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C94" w:rsidRDefault="007D7C94" w:rsidP="007D7C94">
      <w:bookmarkStart w:id="0" w:name="_GoBack"/>
      <w:bookmarkEnd w:id="0"/>
    </w:p>
    <w:p w:rsidR="007D7C94" w:rsidRDefault="007D7C94" w:rsidP="007D7C94"/>
    <w:p w:rsidR="007D7C94" w:rsidRDefault="007D7C94" w:rsidP="007D7C94"/>
    <w:p w:rsidR="007D7C94" w:rsidRDefault="007D7C94" w:rsidP="007D7C94"/>
    <w:p w:rsidR="007D7C94" w:rsidRDefault="007D7C94" w:rsidP="007D7C94"/>
    <w:p w:rsidR="007D7C94" w:rsidRDefault="007D7C94" w:rsidP="007D7C94"/>
    <w:p w:rsidR="007D7C94" w:rsidRDefault="007D7C94" w:rsidP="007D7C94"/>
    <w:p w:rsidR="007D7C94" w:rsidRDefault="007D7C94" w:rsidP="007D7C94"/>
    <w:p w:rsidR="007D7C94" w:rsidRDefault="007D7C94" w:rsidP="007D7C94"/>
    <w:p w:rsidR="007D7C94" w:rsidRDefault="007D7C94" w:rsidP="007D7C94"/>
    <w:p w:rsidR="007D7C94" w:rsidRDefault="007D7C94" w:rsidP="007D7C94"/>
    <w:p w:rsidR="007D7C94" w:rsidRDefault="007D7C94" w:rsidP="007D7C94"/>
    <w:tbl>
      <w:tblPr>
        <w:tblW w:w="10089" w:type="dxa"/>
        <w:tblLook w:val="01E0" w:firstRow="1" w:lastRow="1" w:firstColumn="1" w:lastColumn="1" w:noHBand="0" w:noVBand="0"/>
      </w:tblPr>
      <w:tblGrid>
        <w:gridCol w:w="10089"/>
      </w:tblGrid>
      <w:tr w:rsidR="007D7C94" w:rsidRPr="004F65E4" w:rsidTr="00A355BC">
        <w:tc>
          <w:tcPr>
            <w:tcW w:w="10089" w:type="dxa"/>
          </w:tcPr>
          <w:p w:rsidR="007D7C94" w:rsidRPr="001511A6" w:rsidRDefault="007D7C94" w:rsidP="00A355BC">
            <w:pPr>
              <w:spacing w:before="380" w:line="280" w:lineRule="exact"/>
              <w:jc w:val="right"/>
              <w:rPr>
                <w:rFonts w:ascii="Tahoma" w:hAnsi="Tahoma" w:cs="Tahoma"/>
                <w:b/>
                <w:bCs/>
                <w:iCs/>
                <w:color w:val="243285"/>
                <w:sz w:val="32"/>
                <w:szCs w:val="32"/>
                <w:lang w:val="en-US"/>
              </w:rPr>
            </w:pPr>
          </w:p>
          <w:p w:rsidR="007D7C94" w:rsidRPr="004F65E4" w:rsidRDefault="007D7C94" w:rsidP="007D7C9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2062-0</w:t>
            </w:r>
          </w:p>
          <w:p w:rsidR="007D7C94" w:rsidRPr="004F65E4" w:rsidRDefault="007D7C94" w:rsidP="007D7C9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7D7C94" w:rsidRPr="00CC3572" w:rsidTr="00A355BC">
        <w:tc>
          <w:tcPr>
            <w:tcW w:w="10089" w:type="dxa"/>
          </w:tcPr>
          <w:p w:rsidR="007D7C94" w:rsidRPr="007D7C94" w:rsidRDefault="007D7C94" w:rsidP="00A355BC">
            <w:pPr>
              <w:spacing w:before="80" w:line="500" w:lineRule="exact"/>
              <w:jc w:val="right"/>
              <w:rPr>
                <w:rFonts w:ascii="Tahoma" w:hAnsi="Tahoma" w:cs="Tahoma"/>
                <w:b/>
                <w:bCs/>
                <w:iCs/>
                <w:color w:val="243285"/>
                <w:sz w:val="44"/>
                <w:szCs w:val="44"/>
                <w:lang w:val="en-US"/>
              </w:rPr>
            </w:pPr>
          </w:p>
          <w:p w:rsidR="007D7C94" w:rsidRPr="001511A6" w:rsidRDefault="007D7C94" w:rsidP="007D7C94">
            <w:pPr>
              <w:spacing w:before="80" w:line="500" w:lineRule="exact"/>
              <w:jc w:val="right"/>
              <w:rPr>
                <w:rFonts w:ascii="Tahoma" w:hAnsi="Tahoma" w:cs="Tahoma"/>
                <w:b/>
                <w:bCs/>
                <w:iCs/>
                <w:color w:val="243285"/>
                <w:sz w:val="44"/>
                <w:szCs w:val="44"/>
                <w:lang w:val="en-US"/>
              </w:rPr>
            </w:pPr>
            <w:r w:rsidRPr="007D7C94">
              <w:rPr>
                <w:rFonts w:ascii="Tahoma" w:hAnsi="Tahoma" w:cs="Tahoma"/>
                <w:b/>
                <w:bCs/>
                <w:iCs/>
                <w:color w:val="243285"/>
                <w:sz w:val="44"/>
                <w:szCs w:val="44"/>
                <w:lang w:val="en-GB"/>
              </w:rPr>
              <w:t xml:space="preserve">Carrier identification system for </w:t>
            </w:r>
            <w:r w:rsidRPr="007D7C94">
              <w:rPr>
                <w:rFonts w:ascii="Tahoma" w:hAnsi="Tahoma" w:cs="Tahoma"/>
                <w:b/>
                <w:bCs/>
                <w:iCs/>
                <w:color w:val="243285"/>
                <w:sz w:val="44"/>
                <w:szCs w:val="44"/>
                <w:lang w:val="en-GB"/>
              </w:rPr>
              <w:br/>
              <w:t xml:space="preserve">digital-modulation transmissions of </w:t>
            </w:r>
            <w:r w:rsidRPr="007D7C94">
              <w:rPr>
                <w:rFonts w:ascii="Tahoma" w:hAnsi="Tahoma" w:cs="Tahoma"/>
                <w:b/>
                <w:bCs/>
                <w:iCs/>
                <w:color w:val="243285"/>
                <w:sz w:val="44"/>
                <w:szCs w:val="44"/>
                <w:lang w:val="en-GB"/>
              </w:rPr>
              <w:br/>
              <w:t xml:space="preserve">fixed-satellite service occasional use </w:t>
            </w:r>
            <w:r w:rsidRPr="007D7C94">
              <w:rPr>
                <w:rFonts w:ascii="Tahoma" w:hAnsi="Tahoma" w:cs="Tahoma"/>
                <w:b/>
                <w:bCs/>
                <w:iCs/>
                <w:color w:val="243285"/>
                <w:sz w:val="44"/>
                <w:szCs w:val="44"/>
                <w:lang w:val="en-GB"/>
              </w:rPr>
              <w:br/>
              <w:t xml:space="preserve">carrier earth station transmissions </w:t>
            </w:r>
            <w:r>
              <w:rPr>
                <w:rFonts w:ascii="Tahoma" w:hAnsi="Tahoma" w:cs="Tahoma"/>
                <w:b/>
                <w:bCs/>
                <w:iCs/>
                <w:color w:val="243285"/>
                <w:sz w:val="44"/>
                <w:szCs w:val="44"/>
                <w:lang w:val="en-GB"/>
              </w:rPr>
              <w:br/>
            </w:r>
            <w:r w:rsidRPr="007D7C94">
              <w:rPr>
                <w:rFonts w:ascii="Tahoma" w:hAnsi="Tahoma" w:cs="Tahoma"/>
                <w:b/>
                <w:bCs/>
                <w:iCs/>
                <w:color w:val="243285"/>
                <w:sz w:val="44"/>
                <w:szCs w:val="44"/>
                <w:lang w:val="en-GB"/>
              </w:rPr>
              <w:t xml:space="preserve">using geostationary-satellite </w:t>
            </w:r>
            <w:r>
              <w:rPr>
                <w:rFonts w:ascii="Tahoma" w:hAnsi="Tahoma" w:cs="Tahoma"/>
                <w:b/>
                <w:bCs/>
                <w:iCs/>
                <w:color w:val="243285"/>
                <w:sz w:val="44"/>
                <w:szCs w:val="44"/>
                <w:lang w:val="en-GB"/>
              </w:rPr>
              <w:br/>
            </w:r>
            <w:r w:rsidRPr="007D7C94">
              <w:rPr>
                <w:rFonts w:ascii="Tahoma" w:hAnsi="Tahoma" w:cs="Tahoma"/>
                <w:b/>
                <w:bCs/>
                <w:iCs/>
                <w:color w:val="243285"/>
                <w:sz w:val="44"/>
                <w:szCs w:val="44"/>
                <w:lang w:val="en-GB"/>
              </w:rPr>
              <w:t xml:space="preserve">networks in the 4/6 GHz and </w:t>
            </w:r>
            <w:r>
              <w:rPr>
                <w:rFonts w:ascii="Tahoma" w:hAnsi="Tahoma" w:cs="Tahoma"/>
                <w:b/>
                <w:bCs/>
                <w:iCs/>
                <w:color w:val="243285"/>
                <w:sz w:val="44"/>
                <w:szCs w:val="44"/>
                <w:lang w:val="en-GB"/>
              </w:rPr>
              <w:br/>
            </w:r>
            <w:r w:rsidRPr="007D7C94">
              <w:rPr>
                <w:rFonts w:ascii="Tahoma" w:hAnsi="Tahoma" w:cs="Tahoma"/>
                <w:b/>
                <w:bCs/>
                <w:iCs/>
                <w:color w:val="243285"/>
                <w:sz w:val="44"/>
                <w:szCs w:val="44"/>
                <w:lang w:val="en-GB"/>
              </w:rPr>
              <w:t>11-12/13/14 GHz FSS bands</w:t>
            </w:r>
          </w:p>
          <w:p w:rsidR="007D7C94" w:rsidRPr="001511A6" w:rsidRDefault="007D7C94" w:rsidP="00A355BC">
            <w:pPr>
              <w:spacing w:before="80" w:line="500" w:lineRule="exact"/>
              <w:jc w:val="right"/>
              <w:rPr>
                <w:rFonts w:ascii="Tahoma" w:hAnsi="Tahoma" w:cs="Tahoma"/>
                <w:b/>
                <w:bCs/>
                <w:iCs/>
                <w:color w:val="243285"/>
                <w:sz w:val="40"/>
                <w:szCs w:val="40"/>
                <w:lang w:val="en-US"/>
              </w:rPr>
            </w:pPr>
          </w:p>
        </w:tc>
      </w:tr>
      <w:tr w:rsidR="007D7C94" w:rsidRPr="00CC3572" w:rsidTr="00A355BC">
        <w:tc>
          <w:tcPr>
            <w:tcW w:w="10089" w:type="dxa"/>
          </w:tcPr>
          <w:p w:rsidR="007D7C94" w:rsidRPr="001637F2" w:rsidRDefault="007D7C94" w:rsidP="00A355BC">
            <w:pPr>
              <w:spacing w:before="80" w:after="180" w:line="360" w:lineRule="exact"/>
              <w:ind w:right="720"/>
              <w:rPr>
                <w:rFonts w:ascii="Tahoma" w:hAnsi="Tahoma" w:cs="Tahoma"/>
                <w:b/>
                <w:bCs/>
                <w:iCs/>
                <w:color w:val="243285"/>
                <w:sz w:val="36"/>
                <w:szCs w:val="36"/>
                <w:lang w:val="en-US"/>
              </w:rPr>
            </w:pPr>
          </w:p>
          <w:p w:rsidR="007D7C94" w:rsidRPr="001637F2" w:rsidRDefault="007D7C94" w:rsidP="00A355BC">
            <w:pPr>
              <w:spacing w:before="80" w:after="180" w:line="360" w:lineRule="exact"/>
              <w:ind w:right="720"/>
              <w:rPr>
                <w:rFonts w:ascii="Tahoma" w:hAnsi="Tahoma" w:cs="Tahoma"/>
                <w:b/>
                <w:bCs/>
                <w:iCs/>
                <w:color w:val="243285"/>
                <w:sz w:val="36"/>
                <w:szCs w:val="36"/>
                <w:lang w:val="en-US"/>
              </w:rPr>
            </w:pPr>
          </w:p>
          <w:p w:rsidR="007D7C94" w:rsidRPr="001511A6" w:rsidRDefault="007D7C94" w:rsidP="00A355B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7D7C94" w:rsidRPr="0041667C" w:rsidRDefault="007D7C94" w:rsidP="00A355BC">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7D7C94" w:rsidRDefault="007D7C94" w:rsidP="007D7C94">
      <w:pPr>
        <w:spacing w:before="80"/>
        <w:rPr>
          <w:i/>
          <w:sz w:val="22"/>
          <w:lang w:val="en-US"/>
        </w:rPr>
      </w:pPr>
    </w:p>
    <w:p w:rsidR="007D7C94" w:rsidRDefault="007D7C94" w:rsidP="007D7C94">
      <w:pPr>
        <w:spacing w:before="80"/>
        <w:rPr>
          <w:i/>
          <w:sz w:val="22"/>
          <w:lang w:val="en-US"/>
        </w:rPr>
      </w:pPr>
    </w:p>
    <w:p w:rsidR="007D7C94" w:rsidRDefault="007D7C94" w:rsidP="007D7C94">
      <w:pPr>
        <w:spacing w:before="80"/>
        <w:rPr>
          <w:i/>
          <w:sz w:val="22"/>
          <w:lang w:val="en-US"/>
        </w:rPr>
      </w:pPr>
    </w:p>
    <w:p w:rsidR="007D7C94" w:rsidRDefault="007D7C94" w:rsidP="007D7C94">
      <w:pPr>
        <w:spacing w:before="80"/>
        <w:rPr>
          <w:i/>
          <w:sz w:val="22"/>
          <w:lang w:val="en-US"/>
        </w:rPr>
      </w:pPr>
    </w:p>
    <w:p w:rsidR="007D7C94" w:rsidRDefault="007D7C94" w:rsidP="007D7C94">
      <w:pPr>
        <w:spacing w:before="80"/>
        <w:rPr>
          <w:i/>
          <w:sz w:val="22"/>
          <w:lang w:val="en-US"/>
        </w:rPr>
      </w:pPr>
    </w:p>
    <w:p w:rsidR="007D7C94" w:rsidRDefault="007D7C94" w:rsidP="007D7C94">
      <w:pPr>
        <w:spacing w:before="80"/>
        <w:rPr>
          <w:i/>
          <w:sz w:val="22"/>
          <w:lang w:val="en-US"/>
        </w:rPr>
      </w:pPr>
    </w:p>
    <w:p w:rsidR="007D7C94" w:rsidRDefault="007D7C94" w:rsidP="007D7C94">
      <w:pPr>
        <w:pStyle w:val="Equation"/>
        <w:tabs>
          <w:tab w:val="clear" w:pos="4820"/>
          <w:tab w:val="clear" w:pos="9639"/>
          <w:tab w:val="left" w:pos="1191"/>
          <w:tab w:val="left" w:pos="1588"/>
          <w:tab w:val="left" w:pos="1985"/>
        </w:tabs>
        <w:rPr>
          <w:rFonts w:ascii="Palatino Linotype" w:hAnsi="Palatino Linotype"/>
          <w:lang w:val="en-US"/>
        </w:rPr>
        <w:sectPr w:rsidR="007D7C94">
          <w:headerReference w:type="even" r:id="rId6"/>
          <w:headerReference w:type="default" r:id="rId7"/>
          <w:pgSz w:w="11907" w:h="16840" w:code="9"/>
          <w:pgMar w:top="1089" w:right="1089" w:bottom="284" w:left="1089" w:header="567" w:footer="284" w:gutter="0"/>
          <w:pgNumType w:start="1"/>
          <w:cols w:space="720"/>
        </w:sectPr>
      </w:pPr>
    </w:p>
    <w:p w:rsidR="007D7C94" w:rsidRPr="00586EF8" w:rsidRDefault="007D7C94" w:rsidP="007D7C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7C94" w:rsidRDefault="007D7C94" w:rsidP="007D7C9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7C94" w:rsidRDefault="007D7C94" w:rsidP="007D7C9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7C94" w:rsidRPr="00B714F3" w:rsidRDefault="007D7C94" w:rsidP="007D7C94">
      <w:pPr>
        <w:pStyle w:val="Heading1"/>
        <w:spacing w:before="680"/>
        <w:jc w:val="center"/>
        <w:rPr>
          <w:szCs w:val="24"/>
          <w:lang w:val="en-US"/>
        </w:rPr>
      </w:pPr>
      <w:r w:rsidRPr="00B714F3">
        <w:rPr>
          <w:szCs w:val="24"/>
          <w:lang w:val="en-US"/>
        </w:rPr>
        <w:t>Policy on Intellectual Property Right (IPR)</w:t>
      </w:r>
    </w:p>
    <w:p w:rsidR="007D7C94" w:rsidRPr="00B714F3" w:rsidRDefault="007D7C94" w:rsidP="007D7C9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7C94" w:rsidRDefault="007D7C94" w:rsidP="007D7C9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7C94" w:rsidRPr="00CC3572" w:rsidTr="00FB419E">
        <w:tc>
          <w:tcPr>
            <w:tcW w:w="9321" w:type="dxa"/>
            <w:gridSpan w:val="2"/>
          </w:tcPr>
          <w:p w:rsidR="007D7C94" w:rsidRPr="00036EE3" w:rsidRDefault="007D7C94" w:rsidP="00A355B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7C94" w:rsidRPr="00036EE3" w:rsidRDefault="007D7C94" w:rsidP="00A355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9" w:history="1">
              <w:r>
                <w:rPr>
                  <w:rStyle w:val="Hyperlink"/>
                  <w:sz w:val="18"/>
                  <w:szCs w:val="18"/>
                  <w:lang w:val="en-US"/>
                </w:rPr>
                <w:t>http://www.itu.int/publ/R-REC/en</w:t>
              </w:r>
            </w:hyperlink>
            <w:r w:rsidRPr="00CE0A43">
              <w:rPr>
                <w:b w:val="0"/>
                <w:sz w:val="18"/>
                <w:szCs w:val="18"/>
                <w:lang w:val="en-US"/>
              </w:rPr>
              <w:t>)</w:t>
            </w:r>
          </w:p>
        </w:tc>
      </w:tr>
      <w:tr w:rsidR="007D7C94" w:rsidRPr="00036EE3" w:rsidTr="00FB419E">
        <w:tc>
          <w:tcPr>
            <w:tcW w:w="1138" w:type="dxa"/>
          </w:tcPr>
          <w:p w:rsidR="007D7C94" w:rsidRPr="00036EE3" w:rsidRDefault="007D7C94" w:rsidP="00A355BC">
            <w:pPr>
              <w:spacing w:before="200" w:after="100"/>
              <w:ind w:left="57"/>
              <w:rPr>
                <w:b/>
                <w:bCs/>
                <w:sz w:val="20"/>
                <w:lang w:val="en-US"/>
              </w:rPr>
            </w:pPr>
            <w:r w:rsidRPr="00036EE3">
              <w:rPr>
                <w:b/>
                <w:bCs/>
                <w:sz w:val="20"/>
                <w:lang w:val="en-US"/>
              </w:rPr>
              <w:t>Series</w:t>
            </w:r>
          </w:p>
        </w:tc>
        <w:tc>
          <w:tcPr>
            <w:tcW w:w="8183" w:type="dxa"/>
          </w:tcPr>
          <w:p w:rsidR="007D7C94" w:rsidRPr="00036EE3" w:rsidRDefault="007D7C94" w:rsidP="00A355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7C94" w:rsidRPr="00036EE3" w:rsidTr="00FB419E">
        <w:tc>
          <w:tcPr>
            <w:tcW w:w="1138" w:type="dxa"/>
          </w:tcPr>
          <w:p w:rsidR="007D7C94" w:rsidRPr="00036EE3" w:rsidRDefault="007D7C94" w:rsidP="00A355BC">
            <w:pPr>
              <w:spacing w:before="30" w:after="30"/>
              <w:ind w:left="57"/>
              <w:jc w:val="left"/>
              <w:rPr>
                <w:b/>
                <w:bCs/>
                <w:sz w:val="20"/>
                <w:lang w:val="en-US"/>
              </w:rPr>
            </w:pPr>
            <w:r w:rsidRPr="00036EE3">
              <w:rPr>
                <w:b/>
                <w:bCs/>
                <w:sz w:val="20"/>
                <w:lang w:val="en-US"/>
              </w:rPr>
              <w:t>BO</w:t>
            </w:r>
          </w:p>
        </w:tc>
        <w:tc>
          <w:tcPr>
            <w:tcW w:w="8183" w:type="dxa"/>
          </w:tcPr>
          <w:p w:rsidR="007D7C94" w:rsidRPr="00036EE3" w:rsidRDefault="007D7C94" w:rsidP="00A355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7C94" w:rsidRPr="00CC3572" w:rsidTr="00FB419E">
        <w:tc>
          <w:tcPr>
            <w:tcW w:w="1138" w:type="dxa"/>
            <w:tcBorders>
              <w:bottom w:val="nil"/>
            </w:tcBorders>
          </w:tcPr>
          <w:p w:rsidR="007D7C94" w:rsidRPr="00036EE3" w:rsidRDefault="007D7C94" w:rsidP="00A355BC">
            <w:pPr>
              <w:spacing w:before="30" w:after="30"/>
              <w:ind w:left="57"/>
              <w:jc w:val="left"/>
              <w:rPr>
                <w:b/>
                <w:bCs/>
                <w:sz w:val="20"/>
                <w:lang w:val="en-US"/>
              </w:rPr>
            </w:pPr>
            <w:r w:rsidRPr="00036EE3">
              <w:rPr>
                <w:b/>
                <w:bCs/>
                <w:sz w:val="20"/>
                <w:lang w:val="en-US"/>
              </w:rPr>
              <w:t>BR</w:t>
            </w:r>
          </w:p>
        </w:tc>
        <w:tc>
          <w:tcPr>
            <w:tcW w:w="8183" w:type="dxa"/>
            <w:tcBorders>
              <w:bottom w:val="nil"/>
            </w:tcBorders>
          </w:tcPr>
          <w:p w:rsidR="007D7C94" w:rsidRPr="00036EE3" w:rsidRDefault="007D7C94" w:rsidP="00A355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7C94" w:rsidRPr="00036EE3" w:rsidTr="00FB419E">
        <w:tc>
          <w:tcPr>
            <w:tcW w:w="1138" w:type="dxa"/>
            <w:tcBorders>
              <w:top w:val="nil"/>
              <w:bottom w:val="nil"/>
            </w:tcBorders>
            <w:shd w:val="clear" w:color="auto" w:fill="auto"/>
          </w:tcPr>
          <w:p w:rsidR="007D7C94" w:rsidRPr="007D224F" w:rsidRDefault="007D7C94" w:rsidP="00A355BC">
            <w:pPr>
              <w:spacing w:before="30" w:after="30"/>
              <w:ind w:left="57"/>
              <w:jc w:val="left"/>
              <w:rPr>
                <w:rFonts w:hAnsi="Times New Roman Bold"/>
                <w:b/>
                <w:bCs/>
                <w:sz w:val="20"/>
                <w:lang w:val="en-US"/>
              </w:rPr>
            </w:pPr>
            <w:r w:rsidRPr="007D224F">
              <w:rPr>
                <w:rFonts w:hAnsi="Times New Roman Bold"/>
                <w:b/>
                <w:bCs/>
                <w:sz w:val="20"/>
                <w:lang w:val="en-US"/>
              </w:rPr>
              <w:t>BS</w:t>
            </w:r>
          </w:p>
        </w:tc>
        <w:tc>
          <w:tcPr>
            <w:tcW w:w="8183" w:type="dxa"/>
            <w:tcBorders>
              <w:top w:val="nil"/>
              <w:bottom w:val="nil"/>
            </w:tcBorders>
            <w:shd w:val="clear" w:color="auto" w:fill="auto"/>
          </w:tcPr>
          <w:p w:rsidR="007D7C94" w:rsidRPr="007D224F" w:rsidRDefault="007D7C94" w:rsidP="00A355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D7C94" w:rsidRPr="00ED2695" w:rsidTr="00FB419E">
        <w:tc>
          <w:tcPr>
            <w:tcW w:w="1138" w:type="dxa"/>
            <w:tcBorders>
              <w:top w:val="nil"/>
              <w:bottom w:val="nil"/>
            </w:tcBorders>
            <w:shd w:val="clear" w:color="auto" w:fill="auto"/>
          </w:tcPr>
          <w:p w:rsidR="007D7C94" w:rsidRPr="00ED2695" w:rsidRDefault="007D7C94" w:rsidP="00A355BC">
            <w:pPr>
              <w:spacing w:before="30" w:after="30"/>
              <w:ind w:left="57"/>
              <w:jc w:val="left"/>
              <w:rPr>
                <w:b/>
                <w:bCs/>
                <w:sz w:val="20"/>
                <w:lang w:val="en-US"/>
              </w:rPr>
            </w:pPr>
            <w:r w:rsidRPr="00ED2695">
              <w:rPr>
                <w:b/>
                <w:bCs/>
                <w:sz w:val="20"/>
                <w:lang w:val="en-US"/>
              </w:rPr>
              <w:t>BT</w:t>
            </w:r>
          </w:p>
        </w:tc>
        <w:tc>
          <w:tcPr>
            <w:tcW w:w="8183" w:type="dxa"/>
            <w:tcBorders>
              <w:top w:val="nil"/>
              <w:bottom w:val="nil"/>
            </w:tcBorders>
            <w:shd w:val="clear" w:color="auto" w:fill="auto"/>
          </w:tcPr>
          <w:p w:rsidR="007D7C94" w:rsidRPr="00ED2695" w:rsidRDefault="007D7C94" w:rsidP="00A355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D7C94" w:rsidRPr="007D224F" w:rsidTr="00FB419E">
        <w:tc>
          <w:tcPr>
            <w:tcW w:w="1138" w:type="dxa"/>
            <w:tcBorders>
              <w:top w:val="nil"/>
              <w:bottom w:val="nil"/>
            </w:tcBorders>
            <w:shd w:val="clear" w:color="auto" w:fill="auto"/>
          </w:tcPr>
          <w:p w:rsidR="007D7C94" w:rsidRPr="0041667C" w:rsidRDefault="007D7C94" w:rsidP="00A355BC">
            <w:pPr>
              <w:spacing w:before="30" w:after="30"/>
              <w:ind w:left="57"/>
              <w:jc w:val="left"/>
              <w:rPr>
                <w:rFonts w:hAnsi="Times New Roman Bold"/>
                <w:b/>
                <w:bCs/>
                <w:sz w:val="20"/>
                <w:lang w:val="fr-CH"/>
              </w:rPr>
            </w:pPr>
            <w:r w:rsidRPr="0041667C">
              <w:rPr>
                <w:rFonts w:hAnsi="Times New Roman Bold"/>
                <w:b/>
                <w:bCs/>
                <w:sz w:val="20"/>
                <w:lang w:val="fr-CH"/>
              </w:rPr>
              <w:t>F</w:t>
            </w:r>
          </w:p>
        </w:tc>
        <w:tc>
          <w:tcPr>
            <w:tcW w:w="8183" w:type="dxa"/>
            <w:tcBorders>
              <w:top w:val="nil"/>
              <w:bottom w:val="nil"/>
            </w:tcBorders>
            <w:shd w:val="clear" w:color="auto" w:fill="auto"/>
          </w:tcPr>
          <w:p w:rsidR="007D7C94" w:rsidRPr="0041667C" w:rsidRDefault="007D7C94" w:rsidP="00A355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7D7C94" w:rsidRPr="0041667C" w:rsidTr="00FB419E">
        <w:tc>
          <w:tcPr>
            <w:tcW w:w="1138" w:type="dxa"/>
            <w:tcBorders>
              <w:top w:val="nil"/>
              <w:bottom w:val="nil"/>
            </w:tcBorders>
            <w:shd w:val="clear" w:color="auto" w:fill="FFFFFF"/>
          </w:tcPr>
          <w:p w:rsidR="007D7C94" w:rsidRPr="0041667C" w:rsidRDefault="007D7C94" w:rsidP="00A355BC">
            <w:pPr>
              <w:spacing w:before="30" w:after="30"/>
              <w:ind w:left="57"/>
              <w:jc w:val="left"/>
              <w:rPr>
                <w:rFonts w:hAnsi="Times New Roman Bold"/>
                <w:b/>
                <w:bCs/>
                <w:sz w:val="20"/>
                <w:lang w:val="fr-CH"/>
              </w:rPr>
            </w:pPr>
            <w:r>
              <w:rPr>
                <w:rFonts w:hAnsi="Times New Roman Bold"/>
                <w:b/>
                <w:bCs/>
                <w:sz w:val="20"/>
                <w:lang w:val="fr-CH"/>
              </w:rPr>
              <w:t>M</w:t>
            </w:r>
          </w:p>
        </w:tc>
        <w:tc>
          <w:tcPr>
            <w:tcW w:w="8183" w:type="dxa"/>
            <w:tcBorders>
              <w:top w:val="nil"/>
              <w:bottom w:val="nil"/>
            </w:tcBorders>
            <w:shd w:val="clear" w:color="auto" w:fill="FFFFFF"/>
          </w:tcPr>
          <w:p w:rsidR="007D7C94" w:rsidRPr="00885C3D" w:rsidRDefault="007D7C94" w:rsidP="00A355BC">
            <w:pPr>
              <w:spacing w:before="30" w:after="30"/>
              <w:jc w:val="left"/>
              <w:rPr>
                <w:color w:val="000000"/>
                <w:sz w:val="20"/>
                <w:lang w:val="en-US"/>
              </w:rPr>
            </w:pPr>
            <w:r w:rsidRPr="00885C3D">
              <w:rPr>
                <w:color w:val="000000"/>
                <w:sz w:val="20"/>
                <w:lang w:val="en-US"/>
              </w:rPr>
              <w:t>Mobile, radiodetermination, amateur and related satellite services</w:t>
            </w:r>
          </w:p>
        </w:tc>
      </w:tr>
      <w:tr w:rsidR="007D7C94" w:rsidRPr="00036EE3" w:rsidTr="00FB419E">
        <w:tc>
          <w:tcPr>
            <w:tcW w:w="1138" w:type="dxa"/>
            <w:tcBorders>
              <w:top w:val="nil"/>
            </w:tcBorders>
          </w:tcPr>
          <w:p w:rsidR="007D7C94" w:rsidRPr="00036EE3" w:rsidRDefault="007D7C94" w:rsidP="00A355BC">
            <w:pPr>
              <w:spacing w:before="30" w:after="30"/>
              <w:ind w:left="57"/>
              <w:jc w:val="left"/>
              <w:rPr>
                <w:b/>
                <w:bCs/>
                <w:sz w:val="20"/>
                <w:lang w:val="fr-CH"/>
              </w:rPr>
            </w:pPr>
            <w:r w:rsidRPr="00036EE3">
              <w:rPr>
                <w:b/>
                <w:bCs/>
                <w:sz w:val="20"/>
                <w:lang w:val="fr-CH"/>
              </w:rPr>
              <w:t>P</w:t>
            </w:r>
          </w:p>
        </w:tc>
        <w:tc>
          <w:tcPr>
            <w:tcW w:w="8183" w:type="dxa"/>
            <w:tcBorders>
              <w:top w:val="nil"/>
            </w:tcBorders>
          </w:tcPr>
          <w:p w:rsidR="007D7C94" w:rsidRPr="00036EE3" w:rsidRDefault="007D7C94" w:rsidP="00A355BC">
            <w:pPr>
              <w:spacing w:before="30" w:after="30"/>
              <w:jc w:val="left"/>
              <w:rPr>
                <w:sz w:val="20"/>
                <w:lang w:val="fr-CH"/>
              </w:rPr>
            </w:pPr>
            <w:r w:rsidRPr="00036EE3">
              <w:rPr>
                <w:sz w:val="20"/>
                <w:lang w:val="fr-CH"/>
              </w:rPr>
              <w:t>Radiowave propagation</w:t>
            </w:r>
          </w:p>
        </w:tc>
      </w:tr>
      <w:tr w:rsidR="007D7C94" w:rsidRPr="00036EE3" w:rsidTr="00FB419E">
        <w:tc>
          <w:tcPr>
            <w:tcW w:w="1138" w:type="dxa"/>
          </w:tcPr>
          <w:p w:rsidR="007D7C94" w:rsidRPr="00036EE3" w:rsidRDefault="007D7C94" w:rsidP="00A355BC">
            <w:pPr>
              <w:spacing w:before="30" w:after="30"/>
              <w:ind w:left="57"/>
              <w:jc w:val="left"/>
              <w:rPr>
                <w:b/>
                <w:bCs/>
                <w:sz w:val="20"/>
                <w:lang w:val="en-US"/>
              </w:rPr>
            </w:pPr>
            <w:r w:rsidRPr="00036EE3">
              <w:rPr>
                <w:b/>
                <w:bCs/>
                <w:sz w:val="20"/>
                <w:lang w:val="en-US"/>
              </w:rPr>
              <w:t>RA</w:t>
            </w:r>
          </w:p>
        </w:tc>
        <w:tc>
          <w:tcPr>
            <w:tcW w:w="8183" w:type="dxa"/>
          </w:tcPr>
          <w:p w:rsidR="007D7C94" w:rsidRPr="00036EE3" w:rsidRDefault="007D7C94" w:rsidP="00A355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7C94" w:rsidRPr="00036EE3" w:rsidTr="00FB419E">
        <w:tc>
          <w:tcPr>
            <w:tcW w:w="1138" w:type="dxa"/>
            <w:tcBorders>
              <w:bottom w:val="nil"/>
            </w:tcBorders>
          </w:tcPr>
          <w:p w:rsidR="007D7C94" w:rsidRPr="00036EE3" w:rsidRDefault="007D7C94" w:rsidP="00A355BC">
            <w:pPr>
              <w:spacing w:before="30" w:after="30"/>
              <w:ind w:left="57"/>
              <w:jc w:val="left"/>
              <w:rPr>
                <w:b/>
                <w:bCs/>
                <w:sz w:val="20"/>
                <w:lang w:val="en-US"/>
              </w:rPr>
            </w:pPr>
            <w:r w:rsidRPr="00036EE3">
              <w:rPr>
                <w:b/>
                <w:bCs/>
                <w:sz w:val="20"/>
                <w:lang w:val="en-US"/>
              </w:rPr>
              <w:t>RS</w:t>
            </w:r>
          </w:p>
        </w:tc>
        <w:tc>
          <w:tcPr>
            <w:tcW w:w="8183" w:type="dxa"/>
            <w:tcBorders>
              <w:bottom w:val="nil"/>
            </w:tcBorders>
          </w:tcPr>
          <w:p w:rsidR="007D7C94" w:rsidRPr="00036EE3" w:rsidRDefault="007D7C94" w:rsidP="00A355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7C94" w:rsidRPr="00885C3D" w:rsidTr="00FB419E">
        <w:tc>
          <w:tcPr>
            <w:tcW w:w="1138" w:type="dxa"/>
            <w:tcBorders>
              <w:top w:val="nil"/>
              <w:bottom w:val="nil"/>
            </w:tcBorders>
            <w:shd w:val="clear" w:color="auto" w:fill="F3F3F3"/>
          </w:tcPr>
          <w:p w:rsidR="007D7C94" w:rsidRPr="00885C3D" w:rsidRDefault="007D7C94" w:rsidP="00A355BC">
            <w:pPr>
              <w:spacing w:before="30" w:after="30"/>
              <w:ind w:left="57"/>
              <w:jc w:val="left"/>
              <w:rPr>
                <w:b/>
                <w:bCs/>
                <w:color w:val="000080"/>
                <w:sz w:val="20"/>
                <w:lang w:val="en-US"/>
              </w:rPr>
            </w:pPr>
            <w:r w:rsidRPr="00885C3D">
              <w:rPr>
                <w:b/>
                <w:bCs/>
                <w:color w:val="000080"/>
                <w:sz w:val="20"/>
                <w:lang w:val="en-US"/>
              </w:rPr>
              <w:t>S</w:t>
            </w:r>
          </w:p>
        </w:tc>
        <w:tc>
          <w:tcPr>
            <w:tcW w:w="8183" w:type="dxa"/>
            <w:tcBorders>
              <w:top w:val="nil"/>
              <w:bottom w:val="nil"/>
            </w:tcBorders>
            <w:shd w:val="clear" w:color="auto" w:fill="F3F3F3"/>
          </w:tcPr>
          <w:p w:rsidR="007D7C94" w:rsidRPr="00885C3D" w:rsidRDefault="007D7C94" w:rsidP="00A355BC">
            <w:pPr>
              <w:spacing w:before="30" w:after="30"/>
              <w:jc w:val="left"/>
              <w:rPr>
                <w:color w:val="000080"/>
                <w:sz w:val="20"/>
                <w:lang w:val="en-US"/>
              </w:rPr>
            </w:pPr>
            <w:r w:rsidRPr="00885C3D">
              <w:rPr>
                <w:color w:val="000080"/>
                <w:sz w:val="20"/>
                <w:lang w:val="en-US"/>
              </w:rPr>
              <w:t>Fixed-satellite service</w:t>
            </w:r>
          </w:p>
        </w:tc>
      </w:tr>
      <w:tr w:rsidR="007D7C94" w:rsidRPr="00036EE3" w:rsidTr="00FB419E">
        <w:tc>
          <w:tcPr>
            <w:tcW w:w="1138" w:type="dxa"/>
            <w:tcBorders>
              <w:top w:val="nil"/>
            </w:tcBorders>
          </w:tcPr>
          <w:p w:rsidR="007D7C94" w:rsidRPr="00036EE3" w:rsidRDefault="007D7C94" w:rsidP="00A355BC">
            <w:pPr>
              <w:spacing w:before="30" w:after="30"/>
              <w:ind w:left="57"/>
              <w:jc w:val="left"/>
              <w:rPr>
                <w:b/>
                <w:bCs/>
                <w:sz w:val="20"/>
                <w:lang w:val="en-US"/>
              </w:rPr>
            </w:pPr>
            <w:r w:rsidRPr="00036EE3">
              <w:rPr>
                <w:b/>
                <w:bCs/>
                <w:sz w:val="20"/>
                <w:lang w:val="en-US"/>
              </w:rPr>
              <w:t>SA</w:t>
            </w:r>
          </w:p>
        </w:tc>
        <w:tc>
          <w:tcPr>
            <w:tcW w:w="8183" w:type="dxa"/>
            <w:tcBorders>
              <w:top w:val="nil"/>
            </w:tcBorders>
          </w:tcPr>
          <w:p w:rsidR="007D7C94" w:rsidRPr="00036EE3" w:rsidRDefault="007D7C94" w:rsidP="00A355BC">
            <w:pPr>
              <w:spacing w:before="30" w:after="30"/>
              <w:jc w:val="left"/>
              <w:rPr>
                <w:sz w:val="20"/>
                <w:lang w:val="en-US"/>
              </w:rPr>
            </w:pPr>
            <w:r w:rsidRPr="00036EE3">
              <w:rPr>
                <w:sz w:val="20"/>
                <w:lang w:val="en-US"/>
              </w:rPr>
              <w:t>Space applications and meteorology</w:t>
            </w:r>
          </w:p>
        </w:tc>
      </w:tr>
      <w:tr w:rsidR="007D7C94" w:rsidRPr="00CC3572" w:rsidTr="00FB419E">
        <w:tc>
          <w:tcPr>
            <w:tcW w:w="1138" w:type="dxa"/>
            <w:tcBorders>
              <w:bottom w:val="nil"/>
            </w:tcBorders>
          </w:tcPr>
          <w:p w:rsidR="007D7C94" w:rsidRPr="00036EE3" w:rsidRDefault="007D7C94" w:rsidP="00A355BC">
            <w:pPr>
              <w:spacing w:before="30" w:after="30"/>
              <w:ind w:left="57"/>
              <w:jc w:val="left"/>
              <w:rPr>
                <w:b/>
                <w:bCs/>
                <w:sz w:val="20"/>
                <w:lang w:val="en-US"/>
              </w:rPr>
            </w:pPr>
            <w:r w:rsidRPr="00036EE3">
              <w:rPr>
                <w:b/>
                <w:bCs/>
                <w:sz w:val="20"/>
                <w:lang w:val="en-US"/>
              </w:rPr>
              <w:t>SF</w:t>
            </w:r>
          </w:p>
        </w:tc>
        <w:tc>
          <w:tcPr>
            <w:tcW w:w="8183" w:type="dxa"/>
            <w:tcBorders>
              <w:bottom w:val="nil"/>
            </w:tcBorders>
          </w:tcPr>
          <w:p w:rsidR="007D7C94" w:rsidRPr="00036EE3" w:rsidRDefault="007D7C94" w:rsidP="00A355BC">
            <w:pPr>
              <w:spacing w:before="30" w:after="30"/>
              <w:jc w:val="left"/>
              <w:rPr>
                <w:sz w:val="20"/>
                <w:lang w:val="en-US"/>
              </w:rPr>
            </w:pPr>
            <w:r w:rsidRPr="00036EE3">
              <w:rPr>
                <w:sz w:val="20"/>
                <w:lang w:val="en-US"/>
              </w:rPr>
              <w:t>Frequency sharing and coordination between fixed-satellite and fixed service systems</w:t>
            </w:r>
          </w:p>
        </w:tc>
      </w:tr>
      <w:tr w:rsidR="007D7C94" w:rsidRPr="00036EE3" w:rsidTr="00FB419E">
        <w:tc>
          <w:tcPr>
            <w:tcW w:w="1138" w:type="dxa"/>
            <w:tcBorders>
              <w:top w:val="nil"/>
              <w:bottom w:val="nil"/>
            </w:tcBorders>
            <w:shd w:val="clear" w:color="auto" w:fill="auto"/>
          </w:tcPr>
          <w:p w:rsidR="007D7C94" w:rsidRPr="000A4386" w:rsidRDefault="007D7C94" w:rsidP="00A355BC">
            <w:pPr>
              <w:spacing w:before="30" w:after="30"/>
              <w:ind w:left="57"/>
              <w:jc w:val="left"/>
              <w:rPr>
                <w:b/>
                <w:bCs/>
                <w:sz w:val="20"/>
                <w:lang w:val="en-US"/>
              </w:rPr>
            </w:pPr>
            <w:r w:rsidRPr="000A4386">
              <w:rPr>
                <w:b/>
                <w:bCs/>
                <w:sz w:val="20"/>
                <w:lang w:val="en-US"/>
              </w:rPr>
              <w:t>SM</w:t>
            </w:r>
          </w:p>
        </w:tc>
        <w:tc>
          <w:tcPr>
            <w:tcW w:w="8183" w:type="dxa"/>
            <w:tcBorders>
              <w:top w:val="nil"/>
              <w:bottom w:val="nil"/>
            </w:tcBorders>
            <w:shd w:val="clear" w:color="auto" w:fill="auto"/>
          </w:tcPr>
          <w:p w:rsidR="007D7C94" w:rsidRPr="000A4386" w:rsidRDefault="007D7C94" w:rsidP="00A355BC">
            <w:pPr>
              <w:spacing w:before="30" w:after="30"/>
              <w:jc w:val="left"/>
              <w:rPr>
                <w:sz w:val="20"/>
                <w:lang w:val="en-US"/>
              </w:rPr>
            </w:pPr>
            <w:r w:rsidRPr="000A4386">
              <w:rPr>
                <w:sz w:val="20"/>
                <w:lang w:val="en-US"/>
              </w:rPr>
              <w:t>Spectrum management</w:t>
            </w:r>
          </w:p>
        </w:tc>
      </w:tr>
      <w:tr w:rsidR="007D7C94" w:rsidRPr="00036EE3" w:rsidTr="00FB419E">
        <w:tc>
          <w:tcPr>
            <w:tcW w:w="1138" w:type="dxa"/>
            <w:tcBorders>
              <w:top w:val="nil"/>
            </w:tcBorders>
          </w:tcPr>
          <w:p w:rsidR="007D7C94" w:rsidRPr="00036EE3" w:rsidRDefault="007D7C94" w:rsidP="00A355BC">
            <w:pPr>
              <w:spacing w:before="30" w:after="30"/>
              <w:ind w:left="57"/>
              <w:jc w:val="left"/>
              <w:rPr>
                <w:b/>
                <w:bCs/>
                <w:sz w:val="20"/>
                <w:lang w:val="en-US"/>
              </w:rPr>
            </w:pPr>
            <w:r w:rsidRPr="00036EE3">
              <w:rPr>
                <w:b/>
                <w:bCs/>
                <w:sz w:val="20"/>
                <w:lang w:val="en-US"/>
              </w:rPr>
              <w:t>SNG</w:t>
            </w:r>
          </w:p>
        </w:tc>
        <w:tc>
          <w:tcPr>
            <w:tcW w:w="8183" w:type="dxa"/>
            <w:tcBorders>
              <w:top w:val="nil"/>
            </w:tcBorders>
          </w:tcPr>
          <w:p w:rsidR="007D7C94" w:rsidRPr="00036EE3" w:rsidRDefault="007D7C94" w:rsidP="00A355BC">
            <w:pPr>
              <w:spacing w:before="30" w:after="30"/>
              <w:jc w:val="left"/>
              <w:rPr>
                <w:sz w:val="20"/>
                <w:lang w:val="en-US"/>
              </w:rPr>
            </w:pPr>
            <w:r w:rsidRPr="00036EE3">
              <w:rPr>
                <w:sz w:val="20"/>
                <w:lang w:val="en-US"/>
              </w:rPr>
              <w:t>Satellite news gathering</w:t>
            </w:r>
          </w:p>
        </w:tc>
      </w:tr>
      <w:tr w:rsidR="007D7C94" w:rsidRPr="00CC3572" w:rsidTr="00FB419E">
        <w:tc>
          <w:tcPr>
            <w:tcW w:w="1138" w:type="dxa"/>
          </w:tcPr>
          <w:p w:rsidR="007D7C94" w:rsidRPr="00036EE3" w:rsidRDefault="007D7C94" w:rsidP="00A355BC">
            <w:pPr>
              <w:spacing w:before="30" w:after="30"/>
              <w:ind w:left="57"/>
              <w:jc w:val="left"/>
              <w:rPr>
                <w:b/>
                <w:bCs/>
                <w:sz w:val="20"/>
                <w:lang w:val="en-US"/>
              </w:rPr>
            </w:pPr>
            <w:r w:rsidRPr="00036EE3">
              <w:rPr>
                <w:b/>
                <w:bCs/>
                <w:sz w:val="20"/>
                <w:lang w:val="en-US"/>
              </w:rPr>
              <w:t>TF</w:t>
            </w:r>
          </w:p>
        </w:tc>
        <w:tc>
          <w:tcPr>
            <w:tcW w:w="8183" w:type="dxa"/>
          </w:tcPr>
          <w:p w:rsidR="007D7C94" w:rsidRPr="00036EE3" w:rsidRDefault="007D7C94" w:rsidP="00A355BC">
            <w:pPr>
              <w:spacing w:before="30" w:after="30"/>
              <w:jc w:val="left"/>
              <w:rPr>
                <w:sz w:val="20"/>
                <w:lang w:val="en-US"/>
              </w:rPr>
            </w:pPr>
            <w:r w:rsidRPr="00036EE3">
              <w:rPr>
                <w:sz w:val="20"/>
                <w:lang w:val="en-US"/>
              </w:rPr>
              <w:t>Time signals and frequency standards emissions</w:t>
            </w:r>
          </w:p>
        </w:tc>
      </w:tr>
      <w:tr w:rsidR="007D7C94" w:rsidRPr="00036EE3" w:rsidTr="00FB419E">
        <w:tc>
          <w:tcPr>
            <w:tcW w:w="1138" w:type="dxa"/>
          </w:tcPr>
          <w:p w:rsidR="007D7C94" w:rsidRPr="00036EE3" w:rsidRDefault="007D7C94" w:rsidP="00A355BC">
            <w:pPr>
              <w:spacing w:before="30" w:after="30"/>
              <w:ind w:left="57"/>
              <w:jc w:val="left"/>
              <w:rPr>
                <w:b/>
                <w:bCs/>
                <w:sz w:val="20"/>
                <w:lang w:val="en-US"/>
              </w:rPr>
            </w:pPr>
            <w:r w:rsidRPr="00036EE3">
              <w:rPr>
                <w:b/>
                <w:bCs/>
                <w:sz w:val="20"/>
                <w:lang w:val="en-US"/>
              </w:rPr>
              <w:t>V</w:t>
            </w:r>
          </w:p>
        </w:tc>
        <w:tc>
          <w:tcPr>
            <w:tcW w:w="8183" w:type="dxa"/>
          </w:tcPr>
          <w:p w:rsidR="007D7C94" w:rsidRPr="00036EE3" w:rsidRDefault="007D7C94" w:rsidP="00A355BC">
            <w:pPr>
              <w:spacing w:before="30" w:after="180"/>
              <w:jc w:val="left"/>
              <w:rPr>
                <w:sz w:val="20"/>
                <w:lang w:val="en-US"/>
              </w:rPr>
            </w:pPr>
            <w:r w:rsidRPr="00036EE3">
              <w:rPr>
                <w:sz w:val="20"/>
                <w:lang w:val="en-US"/>
              </w:rPr>
              <w:t>Vocabulary and related subjects</w:t>
            </w:r>
          </w:p>
        </w:tc>
      </w:tr>
    </w:tbl>
    <w:p w:rsidR="007D7C94" w:rsidRPr="00036EE3" w:rsidRDefault="007D7C94" w:rsidP="007D7C9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D7C94" w:rsidTr="00A355BC">
        <w:tc>
          <w:tcPr>
            <w:tcW w:w="720" w:type="dxa"/>
          </w:tcPr>
          <w:p w:rsidR="007D7C94" w:rsidRDefault="007D7C94" w:rsidP="00A355BC">
            <w:pPr>
              <w:jc w:val="center"/>
              <w:rPr>
                <w:sz w:val="22"/>
                <w:lang w:val="en-US"/>
              </w:rPr>
            </w:pPr>
          </w:p>
        </w:tc>
      </w:tr>
    </w:tbl>
    <w:p w:rsidR="007D7C94" w:rsidRPr="00036EE3" w:rsidRDefault="007D7C94" w:rsidP="007D7C9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7C94" w:rsidRPr="00CC3572" w:rsidTr="00A355BC">
        <w:tc>
          <w:tcPr>
            <w:tcW w:w="9360" w:type="dxa"/>
          </w:tcPr>
          <w:p w:rsidR="007D7C94" w:rsidRPr="002F5199" w:rsidRDefault="007D7C94" w:rsidP="00A355B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D7C94" w:rsidRDefault="007D7C94" w:rsidP="007D7C94">
      <w:pPr>
        <w:spacing w:before="0"/>
        <w:jc w:val="center"/>
        <w:rPr>
          <w:sz w:val="22"/>
          <w:lang w:val="en-US"/>
        </w:rPr>
      </w:pPr>
    </w:p>
    <w:p w:rsidR="007D7C94" w:rsidRDefault="007D7C94" w:rsidP="007D7C94">
      <w:pPr>
        <w:spacing w:before="0"/>
        <w:jc w:val="center"/>
        <w:rPr>
          <w:sz w:val="22"/>
          <w:lang w:val="en-US"/>
        </w:rPr>
      </w:pPr>
    </w:p>
    <w:p w:rsidR="007D7C94" w:rsidRPr="002F5199" w:rsidRDefault="007D7C94" w:rsidP="007D7C94">
      <w:pPr>
        <w:spacing w:before="0"/>
        <w:jc w:val="right"/>
        <w:rPr>
          <w:i/>
          <w:iCs/>
          <w:sz w:val="20"/>
          <w:lang w:val="en-US"/>
        </w:rPr>
      </w:pPr>
      <w:r w:rsidRPr="002F5199">
        <w:rPr>
          <w:i/>
          <w:iCs/>
          <w:sz w:val="20"/>
          <w:lang w:val="en-US"/>
        </w:rPr>
        <w:t>Electronic Publication</w:t>
      </w:r>
    </w:p>
    <w:p w:rsidR="007D7C94" w:rsidRPr="002F5199" w:rsidRDefault="007D7C94" w:rsidP="007D7C94">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CC3572">
        <w:rPr>
          <w:sz w:val="20"/>
          <w:lang w:val="en-US"/>
        </w:rPr>
        <w:t>16</w:t>
      </w:r>
    </w:p>
    <w:p w:rsidR="007D7C94" w:rsidRDefault="007D7C94" w:rsidP="007D7C94">
      <w:pPr>
        <w:jc w:val="center"/>
        <w:rPr>
          <w:sz w:val="22"/>
          <w:lang w:val="en-US"/>
        </w:rPr>
      </w:pPr>
    </w:p>
    <w:p w:rsidR="007D7C94" w:rsidRPr="00470E28" w:rsidRDefault="007D7C94" w:rsidP="007D7C9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CC3572">
        <w:rPr>
          <w:sz w:val="20"/>
          <w:lang w:val="en-US"/>
        </w:rPr>
        <w:t>6</w:t>
      </w:r>
    </w:p>
    <w:p w:rsidR="007D7C94" w:rsidRPr="00470E28" w:rsidRDefault="007D7C94" w:rsidP="007D7C9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D7C94" w:rsidRDefault="007D7C94" w:rsidP="007D7C94">
      <w:pPr>
        <w:spacing w:before="160"/>
        <w:rPr>
          <w:i/>
          <w:sz w:val="20"/>
          <w:lang w:val="en-US"/>
        </w:rPr>
        <w:sectPr w:rsidR="007D7C94" w:rsidSect="00885C3D">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7D7C94" w:rsidRPr="00BF487A" w:rsidRDefault="007D7C94" w:rsidP="007D7C9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2062-0</w:t>
      </w:r>
      <w:r w:rsidR="009528F3" w:rsidRPr="00971561">
        <w:rPr>
          <w:rStyle w:val="FootnoteReference"/>
          <w:lang w:val="en-GB"/>
        </w:rPr>
        <w:footnoteReference w:customMarkFollows="1" w:id="1"/>
        <w:t>*</w:t>
      </w:r>
    </w:p>
    <w:p w:rsidR="007D7C94" w:rsidRPr="003B1DD1" w:rsidRDefault="007D7C94" w:rsidP="007D7C94">
      <w:pPr>
        <w:pStyle w:val="Rectitle"/>
        <w:rPr>
          <w:rFonts w:eastAsia="SimSun"/>
          <w:lang w:val="en-GB"/>
        </w:rPr>
      </w:pPr>
      <w:r w:rsidRPr="003B1DD1">
        <w:rPr>
          <w:rFonts w:eastAsia="SimSun"/>
          <w:lang w:val="en-GB"/>
        </w:rPr>
        <w:t xml:space="preserve">Carrier identification system for digital-modulation transmissions of </w:t>
      </w:r>
      <w:r w:rsidRPr="003B1DD1">
        <w:rPr>
          <w:rFonts w:eastAsia="SimSun"/>
          <w:lang w:val="en-GB"/>
        </w:rPr>
        <w:br/>
        <w:t xml:space="preserve">fixed-satellite service occasional use carrier earth station transmissions </w:t>
      </w:r>
      <w:r>
        <w:rPr>
          <w:rFonts w:eastAsia="SimSun"/>
          <w:lang w:val="en-GB"/>
        </w:rPr>
        <w:br/>
      </w:r>
      <w:r w:rsidRPr="003B1DD1">
        <w:rPr>
          <w:rFonts w:eastAsia="SimSun"/>
          <w:lang w:val="en-GB"/>
        </w:rPr>
        <w:t>using geostationary-satellite networks in the 4/6 GHz</w:t>
      </w:r>
      <w:r w:rsidRPr="003B1DD1">
        <w:rPr>
          <w:rFonts w:eastAsia="SimSun"/>
          <w:lang w:val="en-GB"/>
        </w:rPr>
        <w:br/>
        <w:t>and 11-12/13/14 GHz FSS bands</w:t>
      </w:r>
    </w:p>
    <w:p w:rsidR="007D7C94" w:rsidRPr="003B1DD1" w:rsidRDefault="007D7C94" w:rsidP="007D7C94">
      <w:pPr>
        <w:pStyle w:val="Recref"/>
        <w:rPr>
          <w:lang w:val="en-GB"/>
        </w:rPr>
      </w:pPr>
      <w:r w:rsidRPr="003B1DD1">
        <w:rPr>
          <w:lang w:val="en-GB"/>
        </w:rPr>
        <w:t>(Question ITU-R 271/4)</w:t>
      </w:r>
    </w:p>
    <w:p w:rsidR="007D7C94" w:rsidRPr="003B1DD1" w:rsidRDefault="007D7C94" w:rsidP="007D7C94">
      <w:pPr>
        <w:pStyle w:val="Recdate"/>
        <w:rPr>
          <w:rFonts w:eastAsia="Batang"/>
          <w:lang w:val="en-GB"/>
        </w:rPr>
      </w:pPr>
      <w:r w:rsidRPr="003B1DD1">
        <w:rPr>
          <w:rFonts w:eastAsia="Batang"/>
          <w:lang w:val="en-GB"/>
        </w:rPr>
        <w:t>(2014)</w:t>
      </w:r>
    </w:p>
    <w:p w:rsidR="007D7C94" w:rsidRPr="003B1DD1" w:rsidRDefault="007D7C94" w:rsidP="007D7C94">
      <w:pPr>
        <w:pStyle w:val="HeadingSum"/>
        <w:rPr>
          <w:lang w:val="en-GB"/>
        </w:rPr>
      </w:pPr>
      <w:r w:rsidRPr="003B1DD1">
        <w:rPr>
          <w:lang w:val="en-GB"/>
        </w:rPr>
        <w:t>Scope</w:t>
      </w:r>
    </w:p>
    <w:p w:rsidR="007D7C94" w:rsidRPr="003B1DD1" w:rsidRDefault="007D7C94" w:rsidP="007D7C94">
      <w:pPr>
        <w:pStyle w:val="Summary"/>
        <w:rPr>
          <w:lang w:val="en-GB" w:eastAsia="ja-JP"/>
        </w:rPr>
      </w:pPr>
      <w:r w:rsidRPr="003B1DD1">
        <w:rPr>
          <w:lang w:val="en-GB"/>
        </w:rPr>
        <w:t xml:space="preserve">This Recommendation provides </w:t>
      </w:r>
      <w:r w:rsidRPr="003B1DD1">
        <w:rPr>
          <w:lang w:val="en-GB" w:eastAsia="ja-JP"/>
        </w:rPr>
        <w:t>possible methods about a carrier identification system for digital-modulations of fixed-satellite service (FSS) Occasional use (OU) carrier earth station transmissions from a fixed point to GSO space stations in the 4/6 GHz and 11-12/13/14 GHz FSS bands to facilitate the identification of the source of, and eliminate, unacceptable interference.</w:t>
      </w:r>
    </w:p>
    <w:p w:rsidR="007D7C94" w:rsidRPr="003B1DD1" w:rsidRDefault="007D7C94" w:rsidP="007D7C94">
      <w:pPr>
        <w:pStyle w:val="Headingb"/>
        <w:rPr>
          <w:lang w:val="en-GB"/>
        </w:rPr>
      </w:pPr>
      <w:r w:rsidRPr="003B1DD1">
        <w:rPr>
          <w:lang w:val="en-GB"/>
        </w:rPr>
        <w:t>Keywords</w:t>
      </w:r>
    </w:p>
    <w:p w:rsidR="007D7C94" w:rsidRPr="003B1DD1" w:rsidRDefault="007D7C94" w:rsidP="007D7C94">
      <w:pPr>
        <w:rPr>
          <w:lang w:val="en-GB" w:eastAsia="ja-JP"/>
        </w:rPr>
      </w:pPr>
      <w:r w:rsidRPr="003B1DD1">
        <w:rPr>
          <w:lang w:val="en-GB" w:eastAsia="ja-JP"/>
        </w:rPr>
        <w:t>Carrier-ID; occasional use; FSS.</w:t>
      </w:r>
    </w:p>
    <w:p w:rsidR="007D7C94" w:rsidRPr="003B1DD1" w:rsidRDefault="007D7C94" w:rsidP="007D7C94">
      <w:pPr>
        <w:pStyle w:val="Headingb"/>
        <w:rPr>
          <w:lang w:val="en-GB"/>
        </w:rPr>
      </w:pPr>
      <w:bookmarkStart w:id="4" w:name="_Toc369007122"/>
      <w:r w:rsidRPr="003B1DD1">
        <w:rPr>
          <w:lang w:val="en-GB"/>
        </w:rPr>
        <w:t>Abbreviations/Glossary</w:t>
      </w:r>
      <w:bookmarkEnd w:id="4"/>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ASCII</w:t>
      </w:r>
      <w:r w:rsidRPr="003B1DD1">
        <w:rPr>
          <w:lang w:val="en-GB" w:eastAsia="ja-JP"/>
        </w:rPr>
        <w:tab/>
        <w:t>American Standard Code for Information Interchange</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BCH</w:t>
      </w:r>
      <w:r w:rsidRPr="003B1DD1">
        <w:rPr>
          <w:lang w:val="en-GB" w:eastAsia="ja-JP"/>
        </w:rPr>
        <w:tab/>
        <w:t>Bose, Ray-Chaudhuri, Hocquenghem code</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BPSK</w:t>
      </w:r>
      <w:r w:rsidRPr="003B1DD1">
        <w:rPr>
          <w:lang w:val="en-GB" w:eastAsia="ja-JP"/>
        </w:rPr>
        <w:tab/>
        <w:t>Binary phase shift keying</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Carrier-ID</w:t>
      </w:r>
      <w:r w:rsidRPr="003B1DD1">
        <w:rPr>
          <w:lang w:val="en-GB" w:eastAsia="ja-JP"/>
        </w:rPr>
        <w:tab/>
      </w:r>
      <w:r w:rsidRPr="003B1DD1">
        <w:rPr>
          <w:lang w:val="en-GB"/>
        </w:rPr>
        <w:t>Carrier identification system</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CRC</w:t>
      </w:r>
      <w:r w:rsidRPr="003B1DD1">
        <w:rPr>
          <w:lang w:val="en-GB" w:eastAsia="ja-JP"/>
        </w:rPr>
        <w:tab/>
        <w:t>Cyclic redundancy check</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FEC</w:t>
      </w:r>
      <w:r w:rsidRPr="003B1DD1">
        <w:rPr>
          <w:lang w:val="en-GB" w:eastAsia="ja-JP"/>
        </w:rPr>
        <w:tab/>
        <w:t>Forward error correction</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IRD</w:t>
      </w:r>
      <w:r w:rsidRPr="003B1DD1">
        <w:rPr>
          <w:lang w:val="en-GB" w:eastAsia="ja-JP"/>
        </w:rPr>
        <w:tab/>
        <w:t>Integrated receiver/decoder</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MPEG</w:t>
      </w:r>
      <w:r w:rsidRPr="003B1DD1">
        <w:rPr>
          <w:lang w:val="en-GB" w:eastAsia="ja-JP"/>
        </w:rPr>
        <w:tab/>
        <w:t>Moving Picture Expert Group</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NIT</w:t>
      </w:r>
      <w:r w:rsidRPr="003B1DD1">
        <w:rPr>
          <w:lang w:val="en-GB" w:eastAsia="ja-JP"/>
        </w:rPr>
        <w:tab/>
        <w:t>Network information table</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OU</w:t>
      </w:r>
      <w:r w:rsidRPr="003B1DD1">
        <w:rPr>
          <w:lang w:val="en-GB" w:eastAsia="ja-JP"/>
        </w:rPr>
        <w:tab/>
        <w:t>Occasional use</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PID</w:t>
      </w:r>
      <w:r w:rsidRPr="003B1DD1">
        <w:rPr>
          <w:lang w:val="en-GB" w:eastAsia="ja-JP"/>
        </w:rPr>
        <w:tab/>
        <w:t>Packet identifier</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PSD</w:t>
      </w:r>
      <w:r w:rsidRPr="003B1DD1">
        <w:rPr>
          <w:lang w:val="en-GB" w:eastAsia="ja-JP"/>
        </w:rPr>
        <w:tab/>
        <w:t>Power spectral density</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STB</w:t>
      </w:r>
      <w:r w:rsidRPr="003B1DD1">
        <w:rPr>
          <w:lang w:val="en-GB" w:eastAsia="ja-JP"/>
        </w:rPr>
        <w:tab/>
        <w:t>Set top box</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TDMA</w:t>
      </w:r>
      <w:r w:rsidRPr="003B1DD1">
        <w:rPr>
          <w:lang w:val="en-GB" w:eastAsia="ja-JP"/>
        </w:rPr>
        <w:tab/>
        <w:t>Time division multiple access</w:t>
      </w:r>
    </w:p>
    <w:p w:rsidR="007D7C94" w:rsidRPr="003B1DD1" w:rsidRDefault="007D7C94" w:rsidP="007D7C94">
      <w:pPr>
        <w:tabs>
          <w:tab w:val="clear" w:pos="794"/>
          <w:tab w:val="clear" w:pos="1191"/>
          <w:tab w:val="clear" w:pos="1588"/>
          <w:tab w:val="clear" w:pos="1985"/>
          <w:tab w:val="left" w:pos="1418"/>
        </w:tabs>
        <w:rPr>
          <w:lang w:val="en-GB" w:eastAsia="ja-JP"/>
        </w:rPr>
      </w:pPr>
      <w:r w:rsidRPr="003B1DD1">
        <w:rPr>
          <w:lang w:val="en-GB" w:eastAsia="ja-JP"/>
        </w:rPr>
        <w:t>TS</w:t>
      </w:r>
      <w:r w:rsidRPr="003B1DD1">
        <w:rPr>
          <w:lang w:val="en-GB" w:eastAsia="ja-JP"/>
        </w:rPr>
        <w:tab/>
        <w:t>Transport stream</w:t>
      </w:r>
    </w:p>
    <w:p w:rsidR="007D7C94" w:rsidRPr="003B1DD1" w:rsidRDefault="007D7C94" w:rsidP="007D7C94">
      <w:pPr>
        <w:pStyle w:val="Headingb"/>
        <w:rPr>
          <w:lang w:val="en-GB"/>
        </w:rPr>
      </w:pPr>
      <w:bookmarkStart w:id="5" w:name="_Toc368428505"/>
      <w:bookmarkStart w:id="6" w:name="_Toc368428583"/>
      <w:bookmarkStart w:id="7" w:name="_Toc368430174"/>
      <w:bookmarkStart w:id="8" w:name="_Toc369007123"/>
      <w:r w:rsidRPr="003B1DD1">
        <w:rPr>
          <w:lang w:val="en-GB"/>
        </w:rPr>
        <w:br w:type="page"/>
      </w:r>
    </w:p>
    <w:p w:rsidR="007D7C94" w:rsidRPr="003B1DD1" w:rsidRDefault="007D7C94" w:rsidP="007D7C94">
      <w:pPr>
        <w:pStyle w:val="Headingb"/>
        <w:rPr>
          <w:lang w:val="en-GB"/>
        </w:rPr>
      </w:pPr>
      <w:r w:rsidRPr="003B1DD1">
        <w:rPr>
          <w:lang w:val="en-GB"/>
        </w:rPr>
        <w:lastRenderedPageBreak/>
        <w:t>Related ITU Recommendation</w:t>
      </w:r>
      <w:bookmarkEnd w:id="5"/>
      <w:bookmarkEnd w:id="6"/>
      <w:bookmarkEnd w:id="7"/>
      <w:bookmarkEnd w:id="8"/>
    </w:p>
    <w:p w:rsidR="007D7C94" w:rsidRPr="003B1DD1" w:rsidRDefault="007D7C94" w:rsidP="007D7C94">
      <w:pPr>
        <w:pStyle w:val="Reftext"/>
        <w:keepNext/>
        <w:keepLines/>
        <w:ind w:left="3600" w:hanging="3600"/>
        <w:rPr>
          <w:lang w:val="en-GB"/>
        </w:rPr>
      </w:pPr>
      <w:r w:rsidRPr="003B1DD1">
        <w:rPr>
          <w:lang w:val="en-GB"/>
        </w:rPr>
        <w:t>Recommendation ITU-R S.2049</w:t>
      </w:r>
      <w:r w:rsidRPr="003B1DD1">
        <w:rPr>
          <w:lang w:val="en-GB"/>
        </w:rPr>
        <w:tab/>
        <w:t>Access procedures for fixed-satellite service occasional use, transmissions to geostationary-satellite orbit space stations, in the 4/6 GHz and 11-12/13/14 GHz FSS bands</w:t>
      </w:r>
    </w:p>
    <w:p w:rsidR="007D7C94" w:rsidRPr="003B1DD1" w:rsidRDefault="007D7C94" w:rsidP="007D7C94">
      <w:pPr>
        <w:pStyle w:val="Normalaftertitle"/>
        <w:rPr>
          <w:lang w:val="en-GB"/>
        </w:rPr>
      </w:pPr>
      <w:r w:rsidRPr="003B1DD1">
        <w:rPr>
          <w:lang w:val="en-GB"/>
        </w:rPr>
        <w:t>The ITU Radiocommunication Assembly,</w:t>
      </w:r>
    </w:p>
    <w:p w:rsidR="007D7C94" w:rsidRPr="003B1DD1" w:rsidRDefault="007D7C94" w:rsidP="007D7C94">
      <w:pPr>
        <w:pStyle w:val="Call"/>
        <w:rPr>
          <w:lang w:val="en-GB"/>
        </w:rPr>
      </w:pPr>
      <w:r w:rsidRPr="003B1DD1">
        <w:rPr>
          <w:lang w:val="en-GB"/>
        </w:rPr>
        <w:t>considering</w:t>
      </w:r>
    </w:p>
    <w:p w:rsidR="007D7C94" w:rsidRPr="003B1DD1" w:rsidRDefault="007D7C94" w:rsidP="007D7C94">
      <w:pPr>
        <w:rPr>
          <w:lang w:val="en-GB" w:eastAsia="zh-CN"/>
        </w:rPr>
      </w:pPr>
      <w:r w:rsidRPr="003B1DD1">
        <w:rPr>
          <w:i/>
          <w:iCs/>
          <w:lang w:val="en-GB" w:eastAsia="ja-JP"/>
        </w:rPr>
        <w:t>a</w:t>
      </w:r>
      <w:r w:rsidRPr="003B1DD1">
        <w:rPr>
          <w:i/>
          <w:iCs/>
          <w:lang w:val="en-GB" w:eastAsia="zh-CN"/>
        </w:rPr>
        <w:t>)</w:t>
      </w:r>
      <w:r w:rsidRPr="003B1DD1">
        <w:rPr>
          <w:i/>
          <w:lang w:val="en-GB"/>
        </w:rPr>
        <w:tab/>
      </w:r>
      <w:r w:rsidRPr="003B1DD1">
        <w:rPr>
          <w:lang w:val="en-GB" w:eastAsia="zh-CN"/>
        </w:rPr>
        <w:t xml:space="preserve">that </w:t>
      </w:r>
      <w:r>
        <w:rPr>
          <w:lang w:val="en-GB" w:eastAsia="zh-CN"/>
        </w:rPr>
        <w:t>occasional use (</w:t>
      </w:r>
      <w:r w:rsidRPr="003B1DD1">
        <w:rPr>
          <w:lang w:val="en-GB" w:eastAsia="zh-CN"/>
        </w:rPr>
        <w:t>OU</w:t>
      </w:r>
      <w:r>
        <w:rPr>
          <w:lang w:val="en-GB" w:eastAsia="zh-CN"/>
        </w:rPr>
        <w:t>)</w:t>
      </w:r>
      <w:r w:rsidRPr="003B1DD1">
        <w:rPr>
          <w:lang w:val="en-GB" w:eastAsia="zh-CN"/>
        </w:rPr>
        <w:t xml:space="preserve"> </w:t>
      </w:r>
      <w:r w:rsidRPr="003B1DD1">
        <w:rPr>
          <w:lang w:val="en-GB"/>
        </w:rPr>
        <w:t xml:space="preserve">transmissions </w:t>
      </w:r>
      <w:r w:rsidRPr="003B1DD1">
        <w:rPr>
          <w:lang w:val="en-GB" w:eastAsia="ja-JP"/>
        </w:rPr>
        <w:t xml:space="preserve">in the 4/6 GHz and 11-12/13/14 GHz FSS bands </w:t>
      </w:r>
      <w:r w:rsidRPr="003B1DD1">
        <w:rPr>
          <w:lang w:val="en-GB"/>
        </w:rPr>
        <w:t xml:space="preserve">often </w:t>
      </w:r>
      <w:r w:rsidRPr="003B1DD1">
        <w:rPr>
          <w:lang w:val="en-GB" w:eastAsia="ja-JP"/>
        </w:rPr>
        <w:t>require</w:t>
      </w:r>
      <w:r w:rsidRPr="003B1DD1">
        <w:rPr>
          <w:lang w:val="en-GB"/>
        </w:rPr>
        <w:t xml:space="preserve"> changes in earth station antenna pointing, frequency, power level, polarization sense, carrier bandwidth and modulation technique;</w:t>
      </w:r>
    </w:p>
    <w:p w:rsidR="007D7C94" w:rsidRPr="003B1DD1" w:rsidRDefault="007D7C94" w:rsidP="007D7C94">
      <w:pPr>
        <w:rPr>
          <w:lang w:val="en-GB" w:eastAsia="zh-CN"/>
        </w:rPr>
      </w:pPr>
      <w:r w:rsidRPr="003B1DD1">
        <w:rPr>
          <w:i/>
          <w:iCs/>
          <w:lang w:val="en-GB" w:eastAsia="ja-JP"/>
        </w:rPr>
        <w:t>b</w:t>
      </w:r>
      <w:r w:rsidRPr="003B1DD1">
        <w:rPr>
          <w:i/>
          <w:iCs/>
          <w:lang w:val="en-GB" w:eastAsia="zh-CN"/>
        </w:rPr>
        <w:t>)</w:t>
      </w:r>
      <w:r w:rsidRPr="003B1DD1">
        <w:rPr>
          <w:lang w:val="en-GB" w:eastAsia="zh-CN"/>
        </w:rPr>
        <w:tab/>
        <w:t>that the wide use of OU transmitting earth stations, and their recurring changes in link parameters, has resulted in frequent cases of unintentional interference to other satellite users;</w:t>
      </w:r>
    </w:p>
    <w:p w:rsidR="007D7C94" w:rsidRPr="003B1DD1" w:rsidRDefault="007D7C94" w:rsidP="007D7C94">
      <w:pPr>
        <w:rPr>
          <w:lang w:val="en-GB"/>
        </w:rPr>
      </w:pPr>
      <w:r w:rsidRPr="003B1DD1">
        <w:rPr>
          <w:i/>
          <w:lang w:val="en-GB" w:eastAsia="ja-JP"/>
        </w:rPr>
        <w:t>c</w:t>
      </w:r>
      <w:r w:rsidRPr="003B1DD1">
        <w:rPr>
          <w:i/>
          <w:lang w:val="en-GB" w:eastAsia="zh-CN"/>
        </w:rPr>
        <w:t>)</w:t>
      </w:r>
      <w:r w:rsidRPr="003B1DD1">
        <w:rPr>
          <w:lang w:val="en-GB"/>
        </w:rPr>
        <w:tab/>
        <w:t>that this interference is most frequently caused by operator error</w:t>
      </w:r>
      <w:r w:rsidRPr="003B1DD1">
        <w:rPr>
          <w:lang w:val="en-GB" w:eastAsia="ja-JP"/>
        </w:rPr>
        <w:t xml:space="preserve"> and/or equipment failure</w:t>
      </w:r>
      <w:r w:rsidRPr="003B1DD1">
        <w:rPr>
          <w:lang w:val="en-GB"/>
        </w:rPr>
        <w:t>;</w:t>
      </w:r>
    </w:p>
    <w:p w:rsidR="007D7C94" w:rsidRPr="003B1DD1" w:rsidRDefault="007D7C94" w:rsidP="007D7C94">
      <w:pPr>
        <w:rPr>
          <w:lang w:val="en-GB"/>
        </w:rPr>
      </w:pPr>
      <w:r w:rsidRPr="003B1DD1">
        <w:rPr>
          <w:i/>
          <w:lang w:val="en-GB" w:eastAsia="ja-JP"/>
        </w:rPr>
        <w:t>d</w:t>
      </w:r>
      <w:r w:rsidRPr="003B1DD1">
        <w:rPr>
          <w:i/>
          <w:lang w:val="en-GB" w:eastAsia="zh-CN"/>
        </w:rPr>
        <w:t>)</w:t>
      </w:r>
      <w:r w:rsidRPr="003B1DD1">
        <w:rPr>
          <w:lang w:val="en-GB"/>
        </w:rPr>
        <w:tab/>
        <w:t>that interference may inhibit the reception of time-sensitive information;</w:t>
      </w:r>
    </w:p>
    <w:p w:rsidR="007D7C94" w:rsidRPr="003B1DD1" w:rsidRDefault="007D7C94" w:rsidP="007D7C94">
      <w:pPr>
        <w:rPr>
          <w:lang w:val="en-GB"/>
        </w:rPr>
      </w:pPr>
      <w:r w:rsidRPr="003B1DD1">
        <w:rPr>
          <w:i/>
          <w:lang w:val="en-GB" w:eastAsia="ja-JP"/>
        </w:rPr>
        <w:t>e</w:t>
      </w:r>
      <w:r w:rsidRPr="003B1DD1">
        <w:rPr>
          <w:i/>
          <w:lang w:val="en-GB" w:eastAsia="zh-CN"/>
        </w:rPr>
        <w:t>)</w:t>
      </w:r>
      <w:r w:rsidRPr="003B1DD1">
        <w:rPr>
          <w:lang w:val="en-GB"/>
        </w:rPr>
        <w:tab/>
        <w:t>that it is difficult to precisely identify the source of such interference;</w:t>
      </w:r>
    </w:p>
    <w:p w:rsidR="007D7C94" w:rsidRPr="003B1DD1" w:rsidRDefault="007D7C94" w:rsidP="007D7C94">
      <w:pPr>
        <w:rPr>
          <w:lang w:val="en-GB"/>
        </w:rPr>
      </w:pPr>
      <w:r w:rsidRPr="003B1DD1">
        <w:rPr>
          <w:i/>
          <w:lang w:val="en-GB" w:eastAsia="ja-JP"/>
        </w:rPr>
        <w:t>f</w:t>
      </w:r>
      <w:r w:rsidRPr="003B1DD1">
        <w:rPr>
          <w:i/>
          <w:lang w:val="en-GB" w:eastAsia="zh-CN"/>
        </w:rPr>
        <w:t>)</w:t>
      </w:r>
      <w:r w:rsidRPr="003B1DD1">
        <w:rPr>
          <w:lang w:val="en-GB"/>
        </w:rPr>
        <w:tab/>
        <w:t>that there has been no internationally-recognized technical method for identifying the source of such interference;</w:t>
      </w:r>
    </w:p>
    <w:p w:rsidR="007D7C94" w:rsidRPr="003B1DD1" w:rsidRDefault="007D7C94" w:rsidP="007D7C94">
      <w:pPr>
        <w:rPr>
          <w:lang w:val="en-GB"/>
        </w:rPr>
      </w:pPr>
      <w:r w:rsidRPr="003B1DD1">
        <w:rPr>
          <w:i/>
          <w:lang w:val="en-GB" w:eastAsia="ja-JP"/>
        </w:rPr>
        <w:t>g</w:t>
      </w:r>
      <w:r w:rsidRPr="003B1DD1">
        <w:rPr>
          <w:i/>
          <w:lang w:val="en-GB" w:eastAsia="zh-CN"/>
        </w:rPr>
        <w:t>)</w:t>
      </w:r>
      <w:r w:rsidRPr="003B1DD1">
        <w:rPr>
          <w:lang w:val="en-GB"/>
        </w:rPr>
        <w:tab/>
        <w:t xml:space="preserve">that technologies exist </w:t>
      </w:r>
      <w:r w:rsidRPr="003B1DD1">
        <w:rPr>
          <w:lang w:val="en-GB" w:eastAsia="ja-JP"/>
        </w:rPr>
        <w:t>which</w:t>
      </w:r>
      <w:r w:rsidRPr="003B1DD1">
        <w:rPr>
          <w:lang w:val="en-GB"/>
        </w:rPr>
        <w:t xml:space="preserve"> will permit </w:t>
      </w:r>
      <w:r w:rsidRPr="003B1DD1">
        <w:rPr>
          <w:lang w:val="en-GB" w:eastAsia="ja-JP"/>
        </w:rPr>
        <w:t>the</w:t>
      </w:r>
      <w:r w:rsidRPr="003B1DD1">
        <w:rPr>
          <w:lang w:val="en-GB"/>
        </w:rPr>
        <w:t xml:space="preserve"> identification of interference sources in a short period of time;</w:t>
      </w:r>
    </w:p>
    <w:p w:rsidR="007D7C94" w:rsidRPr="003B1DD1" w:rsidRDefault="007D7C94" w:rsidP="007D7C94">
      <w:pPr>
        <w:rPr>
          <w:lang w:val="en-GB"/>
        </w:rPr>
      </w:pPr>
      <w:r w:rsidRPr="003B1DD1">
        <w:rPr>
          <w:i/>
          <w:lang w:val="en-GB" w:eastAsia="ja-JP"/>
        </w:rPr>
        <w:t>h</w:t>
      </w:r>
      <w:r w:rsidRPr="003B1DD1">
        <w:rPr>
          <w:i/>
          <w:lang w:val="en-GB" w:eastAsia="zh-CN"/>
        </w:rPr>
        <w:t>)</w:t>
      </w:r>
      <w:r w:rsidRPr="003B1DD1">
        <w:rPr>
          <w:lang w:val="en-GB"/>
        </w:rPr>
        <w:tab/>
        <w:t xml:space="preserve">that the ability to </w:t>
      </w:r>
      <w:r w:rsidRPr="003B1DD1">
        <w:rPr>
          <w:lang w:val="en-GB" w:eastAsia="ja-JP"/>
        </w:rPr>
        <w:t xml:space="preserve">rapidly </w:t>
      </w:r>
      <w:r w:rsidRPr="003B1DD1">
        <w:rPr>
          <w:lang w:val="en-GB"/>
        </w:rPr>
        <w:t xml:space="preserve">identify the source is essential to </w:t>
      </w:r>
      <w:r w:rsidRPr="003B1DD1">
        <w:rPr>
          <w:lang w:val="en-GB" w:eastAsia="ja-JP"/>
        </w:rPr>
        <w:t>cease</w:t>
      </w:r>
      <w:r w:rsidRPr="003B1DD1">
        <w:rPr>
          <w:lang w:val="en-GB"/>
        </w:rPr>
        <w:t xml:space="preserve"> </w:t>
      </w:r>
      <w:r w:rsidRPr="003B1DD1">
        <w:rPr>
          <w:lang w:val="en-GB" w:eastAsia="ja-JP"/>
        </w:rPr>
        <w:t>unacceptable</w:t>
      </w:r>
      <w:r w:rsidRPr="003B1DD1">
        <w:rPr>
          <w:lang w:val="en-GB"/>
        </w:rPr>
        <w:t xml:space="preserve"> interference,</w:t>
      </w:r>
    </w:p>
    <w:p w:rsidR="007D7C94" w:rsidRPr="003B1DD1" w:rsidRDefault="007D7C94" w:rsidP="007D7C94">
      <w:pPr>
        <w:pStyle w:val="Call"/>
        <w:rPr>
          <w:lang w:val="en-GB"/>
        </w:rPr>
      </w:pPr>
      <w:r w:rsidRPr="003B1DD1">
        <w:rPr>
          <w:lang w:val="en-GB"/>
        </w:rPr>
        <w:t>recommends</w:t>
      </w:r>
    </w:p>
    <w:p w:rsidR="007D7C94" w:rsidRPr="003B1DD1" w:rsidRDefault="007D7C94" w:rsidP="007D7C94">
      <w:pPr>
        <w:rPr>
          <w:lang w:val="en-GB"/>
        </w:rPr>
      </w:pPr>
      <w:r w:rsidRPr="00F51063">
        <w:rPr>
          <w:b/>
          <w:lang w:val="en-GB"/>
        </w:rPr>
        <w:t>1</w:t>
      </w:r>
      <w:r w:rsidRPr="003B1DD1">
        <w:rPr>
          <w:lang w:val="en-GB"/>
        </w:rPr>
        <w:tab/>
        <w:t xml:space="preserve">that OU FSS earth station transmissions in the bands listed in </w:t>
      </w:r>
      <w:r w:rsidRPr="003B1DD1">
        <w:rPr>
          <w:i/>
          <w:lang w:val="en-GB"/>
        </w:rPr>
        <w:t xml:space="preserve">considering a) </w:t>
      </w:r>
      <w:r w:rsidRPr="003B1DD1">
        <w:rPr>
          <w:lang w:val="en-GB" w:eastAsia="ja-JP"/>
        </w:rPr>
        <w:t xml:space="preserve">could </w:t>
      </w:r>
      <w:r w:rsidRPr="003B1DD1">
        <w:rPr>
          <w:lang w:val="en-GB"/>
        </w:rPr>
        <w:t xml:space="preserve">use a carrier identification system </w:t>
      </w:r>
      <w:r w:rsidRPr="003B1DD1">
        <w:rPr>
          <w:lang w:val="en-GB" w:eastAsia="ja-JP"/>
        </w:rPr>
        <w:t xml:space="preserve">(Carrier-ID) </w:t>
      </w:r>
      <w:r w:rsidRPr="003B1DD1">
        <w:rPr>
          <w:lang w:val="en-GB"/>
        </w:rPr>
        <w:t>to allow the timely detection of interference source</w:t>
      </w:r>
      <w:r w:rsidRPr="003B1DD1">
        <w:rPr>
          <w:lang w:val="en-GB" w:eastAsia="ja-JP"/>
        </w:rPr>
        <w:t>s</w:t>
      </w:r>
      <w:r w:rsidRPr="003B1DD1">
        <w:rPr>
          <w:lang w:val="en-GB"/>
        </w:rPr>
        <w:t xml:space="preserve"> and to </w:t>
      </w:r>
      <w:r w:rsidRPr="003B1DD1">
        <w:rPr>
          <w:lang w:val="en-GB" w:eastAsia="ja-JP"/>
        </w:rPr>
        <w:t>cease</w:t>
      </w:r>
      <w:r w:rsidRPr="003B1DD1">
        <w:rPr>
          <w:lang w:val="en-GB"/>
        </w:rPr>
        <w:t xml:space="preserve"> </w:t>
      </w:r>
      <w:r w:rsidRPr="003B1DD1">
        <w:rPr>
          <w:lang w:val="en-GB" w:eastAsia="ja-JP"/>
        </w:rPr>
        <w:t>unacceptable</w:t>
      </w:r>
      <w:r w:rsidRPr="003B1DD1">
        <w:rPr>
          <w:lang w:val="en-GB"/>
        </w:rPr>
        <w:t xml:space="preserve"> interference;</w:t>
      </w:r>
    </w:p>
    <w:p w:rsidR="007D7C94" w:rsidRPr="003B1DD1" w:rsidRDefault="007D7C94" w:rsidP="007D7C94">
      <w:pPr>
        <w:rPr>
          <w:lang w:val="en-GB"/>
        </w:rPr>
      </w:pPr>
      <w:r w:rsidRPr="00F51063">
        <w:rPr>
          <w:b/>
          <w:lang w:val="en-GB" w:eastAsia="ja-JP"/>
        </w:rPr>
        <w:t>2</w:t>
      </w:r>
      <w:r w:rsidRPr="003B1DD1">
        <w:rPr>
          <w:b/>
          <w:lang w:val="en-GB"/>
        </w:rPr>
        <w:tab/>
      </w:r>
      <w:r w:rsidRPr="003B1DD1">
        <w:rPr>
          <w:lang w:val="en-GB"/>
        </w:rPr>
        <w:t xml:space="preserve">that the carrier identification </w:t>
      </w:r>
      <w:r w:rsidRPr="003B1DD1">
        <w:rPr>
          <w:lang w:val="en-GB" w:eastAsia="ja-JP"/>
        </w:rPr>
        <w:t xml:space="preserve">implementation described </w:t>
      </w:r>
      <w:r w:rsidRPr="003B1DD1">
        <w:rPr>
          <w:lang w:val="en-GB"/>
        </w:rPr>
        <w:t>in Annex 1</w:t>
      </w:r>
      <w:r>
        <w:rPr>
          <w:lang w:val="en-GB"/>
        </w:rPr>
        <w:t xml:space="preserve"> </w:t>
      </w:r>
      <w:r>
        <w:rPr>
          <w:lang w:val="en-GB" w:eastAsia="ja-JP"/>
        </w:rPr>
        <w:t>should be considered in </w:t>
      </w:r>
      <w:r w:rsidRPr="003B1DD1">
        <w:rPr>
          <w:lang w:val="en-GB" w:eastAsia="ja-JP"/>
        </w:rPr>
        <w:t xml:space="preserve">the implementation of </w:t>
      </w:r>
      <w:r w:rsidRPr="003B1DD1">
        <w:rPr>
          <w:i/>
          <w:lang w:val="en-GB" w:eastAsia="ja-JP"/>
        </w:rPr>
        <w:t>recommends</w:t>
      </w:r>
      <w:r w:rsidRPr="003B1DD1">
        <w:rPr>
          <w:lang w:val="en-GB" w:eastAsia="ja-JP"/>
        </w:rPr>
        <w:t xml:space="preserve"> 1</w:t>
      </w:r>
      <w:r w:rsidRPr="003B1DD1">
        <w:rPr>
          <w:lang w:val="en-GB"/>
        </w:rPr>
        <w:t>.</w:t>
      </w:r>
    </w:p>
    <w:p w:rsidR="007D7C94" w:rsidRDefault="007D7C94" w:rsidP="007D7C94">
      <w:pPr>
        <w:rPr>
          <w:lang w:val="en-GB"/>
        </w:rPr>
      </w:pPr>
    </w:p>
    <w:p w:rsidR="007D7C94" w:rsidRPr="003B1DD1" w:rsidRDefault="007D7C94" w:rsidP="007D7C94">
      <w:pPr>
        <w:rPr>
          <w:lang w:val="en-GB"/>
        </w:rPr>
      </w:pPr>
    </w:p>
    <w:p w:rsidR="007D7C94" w:rsidRPr="003B1DD1" w:rsidRDefault="007D7C94" w:rsidP="007D7C94">
      <w:pPr>
        <w:pStyle w:val="AnnexNoTitle"/>
        <w:rPr>
          <w:lang w:val="en-GB"/>
        </w:rPr>
      </w:pPr>
      <w:r w:rsidRPr="003B1DD1">
        <w:rPr>
          <w:rFonts w:eastAsia="Batang"/>
          <w:lang w:val="en-GB"/>
        </w:rPr>
        <w:t>Annex 1</w:t>
      </w:r>
      <w:r w:rsidRPr="003B1DD1">
        <w:rPr>
          <w:rFonts w:eastAsia="Batang"/>
          <w:bCs/>
          <w:lang w:val="en-GB"/>
        </w:rPr>
        <w:br/>
      </w:r>
      <w:r w:rsidRPr="003B1DD1">
        <w:rPr>
          <w:rFonts w:eastAsia="Batang"/>
          <w:bCs/>
          <w:lang w:val="en-GB"/>
        </w:rPr>
        <w:br/>
      </w:r>
      <w:r w:rsidRPr="003B1DD1">
        <w:rPr>
          <w:rFonts w:eastAsia="Batang"/>
          <w:lang w:val="en-GB"/>
        </w:rPr>
        <w:t xml:space="preserve">Methods to identify interference from fixed-satellite service </w:t>
      </w:r>
      <w:r w:rsidRPr="003B1DD1">
        <w:rPr>
          <w:lang w:val="en-GB"/>
        </w:rPr>
        <w:t xml:space="preserve">occasional use earth station </w:t>
      </w:r>
      <w:r w:rsidRPr="003B1DD1">
        <w:rPr>
          <w:rFonts w:eastAsia="Batang"/>
          <w:lang w:val="en-GB"/>
        </w:rPr>
        <w:t>transmissions using geostationary-satellite networks</w:t>
      </w:r>
      <w:r w:rsidRPr="003B1DD1">
        <w:rPr>
          <w:rFonts w:eastAsia="Batang"/>
          <w:lang w:val="en-GB"/>
        </w:rPr>
        <w:br/>
        <w:t>in the 4/6 GHz and 11-12/13/14 GHz FSS bands</w:t>
      </w:r>
    </w:p>
    <w:p w:rsidR="007D7C94" w:rsidRPr="003B1DD1" w:rsidRDefault="007D7C94" w:rsidP="007D7C94">
      <w:pPr>
        <w:pStyle w:val="Heading1"/>
        <w:rPr>
          <w:lang w:val="en-GB"/>
        </w:rPr>
      </w:pPr>
      <w:r w:rsidRPr="003B1DD1">
        <w:rPr>
          <w:lang w:val="en-GB"/>
        </w:rPr>
        <w:t>1</w:t>
      </w:r>
      <w:r w:rsidRPr="003B1DD1">
        <w:rPr>
          <w:lang w:val="en-GB"/>
        </w:rPr>
        <w:tab/>
        <w:t>Introduction</w:t>
      </w:r>
    </w:p>
    <w:p w:rsidR="007D7C94" w:rsidRPr="003B1DD1" w:rsidRDefault="007D7C94" w:rsidP="007D7C94">
      <w:pPr>
        <w:rPr>
          <w:lang w:val="en-GB" w:eastAsia="ja-JP"/>
        </w:rPr>
      </w:pPr>
      <w:r w:rsidRPr="003B1DD1">
        <w:rPr>
          <w:lang w:val="en-GB" w:eastAsia="ja-JP"/>
        </w:rPr>
        <w:t>In general, when interference is observed at a service provider’s earth station, the provider tries to investigate the causes of interference by utilizing a spectrum analyser or similar measurement tools at each monitoring point for a certain period. Once the service provider finds a suspicious carrier, it</w:t>
      </w:r>
      <w:r>
        <w:rPr>
          <w:lang w:val="en-GB" w:eastAsia="ja-JP"/>
        </w:rPr>
        <w:t> </w:t>
      </w:r>
      <w:r w:rsidRPr="003B1DD1">
        <w:rPr>
          <w:lang w:val="en-GB" w:eastAsia="ja-JP"/>
        </w:rPr>
        <w:t xml:space="preserve">consults with its satellite operator to assist with rectifying the problem. If the satellite operator cannot identify the possible source of interference, the resulting long-term interference may adversely </w:t>
      </w:r>
      <w:r w:rsidRPr="003B1DD1">
        <w:rPr>
          <w:lang w:val="en-GB" w:eastAsia="ja-JP"/>
        </w:rPr>
        <w:lastRenderedPageBreak/>
        <w:t xml:space="preserve">affect existing services. Therefore, a carrier identification system (Carrier-ID) would be </w:t>
      </w:r>
      <w:r>
        <w:rPr>
          <w:lang w:val="en-GB" w:eastAsia="ja-JP"/>
        </w:rPr>
        <w:t>beneficial in </w:t>
      </w:r>
      <w:r w:rsidRPr="003B1DD1">
        <w:rPr>
          <w:lang w:val="en-GB" w:eastAsia="ja-JP"/>
        </w:rPr>
        <w:t>sparing existing services from long-term interference.</w:t>
      </w:r>
    </w:p>
    <w:p w:rsidR="007D7C94" w:rsidRPr="003B1DD1" w:rsidRDefault="007D7C94" w:rsidP="007D7C94">
      <w:pPr>
        <w:rPr>
          <w:lang w:val="en-GB" w:eastAsia="ja-JP"/>
        </w:rPr>
      </w:pPr>
      <w:r w:rsidRPr="003B1DD1">
        <w:rPr>
          <w:lang w:val="en-GB" w:eastAsia="ja-JP"/>
        </w:rPr>
        <w:t>It is noted that Occasional use (OU) refers to satellite ground facilities and satellite transponder bandwidth, purchased or utilized on a temporary or as-needed basis. Typically these resources are offered in segments starting at 5 minutes, progressing up to multiple hours, days, weeks or even months, and used for non-fulltime and/or short-duration transmissions. Transmissions within a </w:t>
      </w:r>
      <w:r>
        <w:rPr>
          <w:lang w:val="en-GB" w:eastAsia="ja-JP"/>
        </w:rPr>
        <w:t>GSO</w:t>
      </w:r>
      <w:r w:rsidRPr="003B1DD1">
        <w:rPr>
          <w:lang w:val="en-GB" w:eastAsia="ja-JP"/>
        </w:rPr>
        <w:t xml:space="preserve"> FSS network where earth stations are under the automated control of a central station, such as transmissions within a centrally-managed VSAT network, are not considered OU transmissions for the purposes of this Recommendation.</w:t>
      </w:r>
    </w:p>
    <w:p w:rsidR="007D7C94" w:rsidRPr="003B1DD1" w:rsidRDefault="007D7C94" w:rsidP="007D7C94">
      <w:pPr>
        <w:pStyle w:val="Heading1"/>
        <w:rPr>
          <w:lang w:val="en-GB"/>
        </w:rPr>
      </w:pPr>
      <w:r w:rsidRPr="003B1DD1">
        <w:rPr>
          <w:lang w:val="en-GB"/>
        </w:rPr>
        <w:t>2</w:t>
      </w:r>
      <w:r w:rsidRPr="003B1DD1">
        <w:rPr>
          <w:lang w:val="en-GB"/>
        </w:rPr>
        <w:tab/>
        <w:t>Overview of carrier identifier (Carrier-ID)</w:t>
      </w:r>
    </w:p>
    <w:p w:rsidR="007D7C94" w:rsidRPr="003B1DD1" w:rsidRDefault="007D7C94" w:rsidP="007D7C94">
      <w:pPr>
        <w:rPr>
          <w:szCs w:val="24"/>
          <w:lang w:val="en-GB" w:eastAsia="ja-JP"/>
        </w:rPr>
      </w:pPr>
      <w:r w:rsidRPr="003B1DD1">
        <w:rPr>
          <w:lang w:val="en-GB" w:eastAsia="ja-JP"/>
        </w:rPr>
        <w:t>There are two methods of transmitting a Carrier-ID with the original carrier while having minimal impact on the desired data. Possible methods are as follows.</w:t>
      </w:r>
    </w:p>
    <w:p w:rsidR="007D7C94" w:rsidRPr="003B1DD1" w:rsidRDefault="007D7C94" w:rsidP="007D7C94">
      <w:pPr>
        <w:pStyle w:val="Heading2"/>
        <w:rPr>
          <w:lang w:val="en-GB" w:eastAsia="ja-JP"/>
        </w:rPr>
      </w:pPr>
      <w:r w:rsidRPr="003B1DD1">
        <w:rPr>
          <w:lang w:val="en-GB" w:eastAsia="ja-JP"/>
        </w:rPr>
        <w:t>2.1</w:t>
      </w:r>
      <w:r w:rsidRPr="003B1DD1">
        <w:rPr>
          <w:lang w:val="en-GB" w:eastAsia="ja-JP"/>
        </w:rPr>
        <w:tab/>
      </w:r>
      <w:r w:rsidRPr="003B1DD1">
        <w:rPr>
          <w:lang w:val="en-GB"/>
        </w:rPr>
        <w:t>Method</w:t>
      </w:r>
      <w:r w:rsidRPr="003B1DD1">
        <w:rPr>
          <w:lang w:val="en-GB" w:eastAsia="ja-JP"/>
        </w:rPr>
        <w:t xml:space="preserve"> A: Network Information Table (NIT) Carrier-ID</w:t>
      </w:r>
    </w:p>
    <w:p w:rsidR="007D7C94" w:rsidRPr="003B1DD1" w:rsidRDefault="007D7C94" w:rsidP="007D7C94">
      <w:pPr>
        <w:pStyle w:val="enumlev1"/>
        <w:rPr>
          <w:lang w:val="en-GB" w:eastAsia="ja-JP"/>
        </w:rPr>
      </w:pPr>
      <w:r w:rsidRPr="003B1DD1">
        <w:rPr>
          <w:lang w:val="en-GB" w:eastAsia="ja-JP"/>
        </w:rPr>
        <w:t>–</w:t>
      </w:r>
      <w:r w:rsidRPr="003B1DD1">
        <w:rPr>
          <w:lang w:val="en-GB" w:eastAsia="ja-JP"/>
        </w:rPr>
        <w:tab/>
        <w:t xml:space="preserve">insert the Carrier-ID as a Network Information Table (NIT) frame in the original Transport stream (TS) packets of the MPEG </w:t>
      </w:r>
      <w:r w:rsidRPr="003B1DD1">
        <w:rPr>
          <w:lang w:val="en-GB"/>
        </w:rPr>
        <w:t>Stream</w:t>
      </w:r>
      <w:r w:rsidRPr="003B1DD1">
        <w:rPr>
          <w:lang w:val="en-GB" w:eastAsia="ja-JP"/>
        </w:rPr>
        <w:t>.</w:t>
      </w:r>
    </w:p>
    <w:p w:rsidR="007D7C94" w:rsidRPr="003B1DD1" w:rsidRDefault="007D7C94" w:rsidP="007D7C94">
      <w:pPr>
        <w:rPr>
          <w:lang w:val="en-GB" w:eastAsia="ja-JP"/>
        </w:rPr>
      </w:pPr>
      <w:r w:rsidRPr="003B1DD1">
        <w:rPr>
          <w:lang w:val="en-GB" w:eastAsia="ja-JP"/>
        </w:rPr>
        <w:t>TS packets of MPEG streams consist of a 4 byte</w:t>
      </w:r>
      <w:r>
        <w:rPr>
          <w:lang w:val="en-GB" w:eastAsia="ja-JP"/>
        </w:rPr>
        <w:t>s</w:t>
      </w:r>
      <w:r w:rsidRPr="003B1DD1">
        <w:rPr>
          <w:lang w:val="en-GB" w:eastAsia="ja-JP"/>
        </w:rPr>
        <w:t xml:space="preserve"> header and 184 bytes payload, and in the header, there is a Packet identifier (PID) which indicates the contents in the payload of TS packets defined as </w:t>
      </w:r>
      <w:r>
        <w:rPr>
          <w:lang w:val="en-GB" w:eastAsia="ja-JP"/>
        </w:rPr>
        <w:t xml:space="preserve">in </w:t>
      </w:r>
      <w:r w:rsidRPr="003B1DD1">
        <w:rPr>
          <w:lang w:val="en-GB" w:eastAsia="ja-JP"/>
        </w:rPr>
        <w:t>Fig</w:t>
      </w:r>
      <w:r>
        <w:rPr>
          <w:lang w:val="en-GB" w:eastAsia="ja-JP"/>
        </w:rPr>
        <w:t>.</w:t>
      </w:r>
      <w:r w:rsidRPr="003B1DD1">
        <w:rPr>
          <w:lang w:val="en-GB" w:eastAsia="ja-JP"/>
        </w:rPr>
        <w:t xml:space="preserve"> 1. This PID value needs to be set as 0x0010 to indicate a payload of a TS packet as a NIT. With regard to the NIT itself, the DVB specification allows this table</w:t>
      </w:r>
      <w:r>
        <w:rPr>
          <w:lang w:val="en-GB" w:eastAsia="ja-JP"/>
        </w:rPr>
        <w:t xml:space="preserve"> to be retransmitted between 25 </w:t>
      </w:r>
      <w:r w:rsidRPr="003B1DD1">
        <w:rPr>
          <w:lang w:val="en-GB" w:eastAsia="ja-JP"/>
        </w:rPr>
        <w:t>ms and 10 s.</w:t>
      </w:r>
    </w:p>
    <w:p w:rsidR="007D7C94" w:rsidRPr="003B1DD1" w:rsidRDefault="007D7C94" w:rsidP="007D7C94">
      <w:pPr>
        <w:pStyle w:val="FigureNo"/>
        <w:rPr>
          <w:lang w:val="en-GB"/>
        </w:rPr>
      </w:pPr>
      <w:r w:rsidRPr="003B1DD1">
        <w:rPr>
          <w:lang w:val="en-GB"/>
        </w:rPr>
        <w:t>Figure 1</w:t>
      </w:r>
    </w:p>
    <w:p w:rsidR="007D7C94" w:rsidRPr="003B1DD1" w:rsidRDefault="007D7C94" w:rsidP="007D7C94">
      <w:pPr>
        <w:pStyle w:val="Figuretitle"/>
        <w:rPr>
          <w:lang w:val="en-GB" w:eastAsia="ja-JP"/>
        </w:rPr>
      </w:pPr>
      <w:r w:rsidRPr="003B1DD1">
        <w:rPr>
          <w:lang w:val="en-GB" w:eastAsia="ja-JP"/>
        </w:rPr>
        <w:t>Frame structure of TS packets</w:t>
      </w:r>
    </w:p>
    <w:p w:rsidR="007D7C94" w:rsidRPr="003B1DD1" w:rsidRDefault="00CC5822" w:rsidP="007D7C94">
      <w:pPr>
        <w:pStyle w:val="Figure"/>
        <w:rPr>
          <w:lang w:val="en-GB"/>
        </w:rPr>
      </w:pPr>
      <w:r>
        <w:rPr>
          <w:noProof/>
          <w:lang w:val="en-US" w:eastAsia="zh-CN"/>
        </w:rPr>
        <w:object w:dxaOrig="6592" w:dyaOrig="1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110pt;mso-position-vertical:absolute" o:ole="">
            <v:imagedata r:id="rId12" o:title=""/>
          </v:shape>
          <o:OLEObject Type="Embed" ProgID="CorelDraw.Graphic.16" ShapeID="_x0000_i1025" DrawAspect="Content" ObjectID="_1521620738" r:id="rId13"/>
        </w:object>
      </w:r>
    </w:p>
    <w:p w:rsidR="007D7C94" w:rsidRPr="003B1DD1" w:rsidRDefault="007D7C94" w:rsidP="007D7C94">
      <w:pPr>
        <w:rPr>
          <w:lang w:val="en-GB" w:eastAsia="ja-JP"/>
        </w:rPr>
      </w:pPr>
      <w:r w:rsidRPr="003B1DD1">
        <w:rPr>
          <w:lang w:val="en-GB" w:eastAsia="ja-JP"/>
        </w:rPr>
        <w:t>In the payload of TS packets, the NIT contains the manufacturer’s name and the unique unit serial number to provide unique identifier for traceability. In addition to that, any other optional data such as phone number, location information, etc. shown in Table</w:t>
      </w:r>
      <w:r>
        <w:rPr>
          <w:lang w:val="en-GB" w:eastAsia="ja-JP"/>
        </w:rPr>
        <w:t> </w:t>
      </w:r>
      <w:r w:rsidRPr="003B1DD1">
        <w:rPr>
          <w:lang w:val="en-GB" w:eastAsia="ja-JP"/>
        </w:rPr>
        <w:t>1, could be included in the payload of TS packets depending on the requests from the satellite operators. Thes</w:t>
      </w:r>
      <w:r>
        <w:rPr>
          <w:lang w:val="en-GB" w:eastAsia="ja-JP"/>
        </w:rPr>
        <w:t>e strings are fixed length, and </w:t>
      </w:r>
      <w:r w:rsidRPr="003B1DD1">
        <w:rPr>
          <w:lang w:val="en-GB" w:eastAsia="ja-JP"/>
        </w:rPr>
        <w:t>shall be separated by a comma ‘,’. If there are padding characters in each of strings, an underscore “_” will be used to make complete the string. With these rules, total character counts for Carrier ID in the NIT frame shall be 80. When the TS packets containing NIT are suffering</w:t>
      </w:r>
      <w:r>
        <w:rPr>
          <w:lang w:val="en-GB" w:eastAsia="ja-JP"/>
        </w:rPr>
        <w:t xml:space="preserve"> from interference or if the TS </w:t>
      </w:r>
      <w:r w:rsidRPr="003B1DD1">
        <w:rPr>
          <w:lang w:val="en-GB" w:eastAsia="ja-JP"/>
        </w:rPr>
        <w:t>packets are encrypted, the NIT is unable to be read by a decoder.</w:t>
      </w:r>
    </w:p>
    <w:p w:rsidR="007D7C94" w:rsidRPr="003B1DD1" w:rsidRDefault="007D7C94" w:rsidP="007D7C94">
      <w:pPr>
        <w:rPr>
          <w:lang w:val="en-GB" w:eastAsia="ja-JP"/>
        </w:rPr>
      </w:pPr>
      <w:r w:rsidRPr="003B1DD1">
        <w:rPr>
          <w:lang w:val="en-GB" w:eastAsia="ja-JP"/>
        </w:rPr>
        <w:t>Some manufacturers of encoders enable NIT Carrier-ID in equipment</w:t>
      </w:r>
      <w:r>
        <w:rPr>
          <w:lang w:val="en-GB" w:eastAsia="ja-JP"/>
        </w:rPr>
        <w:t xml:space="preserve"> already available or through a </w:t>
      </w:r>
      <w:r w:rsidRPr="003B1DD1">
        <w:rPr>
          <w:lang w:val="en-GB" w:eastAsia="ja-JP"/>
        </w:rPr>
        <w:t>firmware update.</w:t>
      </w:r>
    </w:p>
    <w:p w:rsidR="007D7C94" w:rsidRPr="003B1DD1" w:rsidRDefault="007D7C94" w:rsidP="007D7C94">
      <w:pPr>
        <w:pStyle w:val="TableNo"/>
        <w:rPr>
          <w:lang w:val="en-GB"/>
        </w:rPr>
      </w:pPr>
      <w:r w:rsidRPr="003B1DD1">
        <w:rPr>
          <w:lang w:val="en-GB"/>
        </w:rPr>
        <w:lastRenderedPageBreak/>
        <w:t xml:space="preserve">TABLE 1 </w:t>
      </w:r>
    </w:p>
    <w:p w:rsidR="007D7C94" w:rsidRPr="003B1DD1" w:rsidRDefault="007D7C94" w:rsidP="007D7C94">
      <w:pPr>
        <w:pStyle w:val="Tabletitle"/>
        <w:rPr>
          <w:lang w:val="en-GB"/>
        </w:rPr>
      </w:pPr>
      <w:r w:rsidRPr="003B1DD1">
        <w:rPr>
          <w:lang w:val="en-GB"/>
        </w:rPr>
        <w:t>An example content ID and content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412"/>
      </w:tblGrid>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Carrier identifier format</w:t>
            </w:r>
          </w:p>
        </w:tc>
        <w:tc>
          <w:tcPr>
            <w:tcW w:w="3412" w:type="dxa"/>
            <w:shd w:val="clear" w:color="auto" w:fill="auto"/>
          </w:tcPr>
          <w:p w:rsidR="007D7C94" w:rsidRPr="003B1DD1" w:rsidRDefault="007D7C94" w:rsidP="00A355BC">
            <w:pPr>
              <w:pStyle w:val="Tabletext"/>
              <w:rPr>
                <w:lang w:val="en-GB"/>
              </w:rPr>
            </w:pPr>
            <w:r w:rsidRPr="003B1DD1">
              <w:rPr>
                <w:lang w:val="en-GB"/>
              </w:rPr>
              <w:t>2 character string numeric only</w:t>
            </w:r>
          </w:p>
        </w:tc>
      </w:tr>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Encoder manufacturer</w:t>
            </w:r>
          </w:p>
        </w:tc>
        <w:tc>
          <w:tcPr>
            <w:tcW w:w="3412" w:type="dxa"/>
            <w:shd w:val="clear" w:color="auto" w:fill="auto"/>
          </w:tcPr>
          <w:p w:rsidR="007D7C94" w:rsidRPr="003B1DD1" w:rsidRDefault="007D7C94" w:rsidP="00A355BC">
            <w:pPr>
              <w:pStyle w:val="Tabletext"/>
              <w:rPr>
                <w:lang w:val="en-GB"/>
              </w:rPr>
            </w:pPr>
            <w:r w:rsidRPr="003B1DD1">
              <w:rPr>
                <w:lang w:val="en-GB"/>
              </w:rPr>
              <w:t>5 character string</w:t>
            </w:r>
          </w:p>
        </w:tc>
      </w:tr>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Encoder serial number</w:t>
            </w:r>
          </w:p>
        </w:tc>
        <w:tc>
          <w:tcPr>
            <w:tcW w:w="3412" w:type="dxa"/>
            <w:shd w:val="clear" w:color="auto" w:fill="auto"/>
          </w:tcPr>
          <w:p w:rsidR="007D7C94" w:rsidRPr="003B1DD1" w:rsidRDefault="007D7C94" w:rsidP="00A355BC">
            <w:pPr>
              <w:pStyle w:val="Tabletext"/>
              <w:rPr>
                <w:lang w:val="en-GB"/>
              </w:rPr>
            </w:pPr>
            <w:r w:rsidRPr="003B1DD1">
              <w:rPr>
                <w:lang w:val="en-GB"/>
              </w:rPr>
              <w:t>12 character string</w:t>
            </w:r>
          </w:p>
        </w:tc>
      </w:tr>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Carrier identifier</w:t>
            </w:r>
          </w:p>
        </w:tc>
        <w:tc>
          <w:tcPr>
            <w:tcW w:w="3412" w:type="dxa"/>
            <w:shd w:val="clear" w:color="auto" w:fill="auto"/>
          </w:tcPr>
          <w:p w:rsidR="007D7C94" w:rsidRPr="003B1DD1" w:rsidRDefault="007D7C94" w:rsidP="00A355BC">
            <w:pPr>
              <w:pStyle w:val="Tabletext"/>
              <w:rPr>
                <w:lang w:val="en-GB"/>
              </w:rPr>
            </w:pPr>
            <w:r w:rsidRPr="003B1DD1">
              <w:rPr>
                <w:lang w:val="en-GB"/>
              </w:rPr>
              <w:t>5 character string</w:t>
            </w:r>
          </w:p>
        </w:tc>
      </w:tr>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Telephone number</w:t>
            </w:r>
          </w:p>
        </w:tc>
        <w:tc>
          <w:tcPr>
            <w:tcW w:w="3412" w:type="dxa"/>
            <w:shd w:val="clear" w:color="auto" w:fill="auto"/>
          </w:tcPr>
          <w:p w:rsidR="007D7C94" w:rsidRPr="003B1DD1" w:rsidRDefault="007D7C94" w:rsidP="00A355BC">
            <w:pPr>
              <w:pStyle w:val="Tabletext"/>
              <w:rPr>
                <w:lang w:val="en-GB"/>
              </w:rPr>
            </w:pPr>
            <w:r w:rsidRPr="003B1DD1">
              <w:rPr>
                <w:lang w:val="en-GB"/>
              </w:rPr>
              <w:t xml:space="preserve">17 character string numeric only </w:t>
            </w:r>
          </w:p>
        </w:tc>
      </w:tr>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Longitude</w:t>
            </w:r>
          </w:p>
        </w:tc>
        <w:tc>
          <w:tcPr>
            <w:tcW w:w="3412" w:type="dxa"/>
            <w:shd w:val="clear" w:color="auto" w:fill="auto"/>
          </w:tcPr>
          <w:p w:rsidR="007D7C94" w:rsidRPr="003B1DD1" w:rsidRDefault="007F0FC6" w:rsidP="007F0FC6">
            <w:pPr>
              <w:pStyle w:val="Tabletext"/>
              <w:rPr>
                <w:lang w:val="en-GB"/>
              </w:rPr>
            </w:pPr>
            <w:r>
              <w:rPr>
                <w:lang w:val="en-GB"/>
              </w:rPr>
              <w:t>9</w:t>
            </w:r>
            <w:r w:rsidR="007D7C94" w:rsidRPr="003B1DD1">
              <w:rPr>
                <w:lang w:val="en-GB"/>
              </w:rPr>
              <w:t xml:space="preserve"> character string </w:t>
            </w:r>
          </w:p>
        </w:tc>
      </w:tr>
      <w:tr w:rsidR="007D7C94" w:rsidRPr="003B1DD1" w:rsidTr="00A355BC">
        <w:trPr>
          <w:jc w:val="center"/>
        </w:trPr>
        <w:tc>
          <w:tcPr>
            <w:tcW w:w="3392" w:type="dxa"/>
            <w:shd w:val="clear" w:color="auto" w:fill="auto"/>
          </w:tcPr>
          <w:p w:rsidR="007D7C94" w:rsidRPr="003B1DD1" w:rsidRDefault="007D7C94" w:rsidP="00A355BC">
            <w:pPr>
              <w:pStyle w:val="Tabletext"/>
              <w:rPr>
                <w:lang w:val="en-GB"/>
              </w:rPr>
            </w:pPr>
            <w:r w:rsidRPr="003B1DD1">
              <w:rPr>
                <w:lang w:val="en-GB"/>
              </w:rPr>
              <w:t>Latitude</w:t>
            </w:r>
          </w:p>
        </w:tc>
        <w:tc>
          <w:tcPr>
            <w:tcW w:w="3412" w:type="dxa"/>
            <w:shd w:val="clear" w:color="auto" w:fill="auto"/>
          </w:tcPr>
          <w:p w:rsidR="007D7C94" w:rsidRPr="003B1DD1" w:rsidRDefault="007D7C94" w:rsidP="00A355BC">
            <w:pPr>
              <w:pStyle w:val="Tabletext"/>
              <w:rPr>
                <w:lang w:val="en-GB"/>
              </w:rPr>
            </w:pPr>
            <w:r w:rsidRPr="003B1DD1">
              <w:rPr>
                <w:lang w:val="en-GB"/>
              </w:rPr>
              <w:t>8 character string</w:t>
            </w:r>
          </w:p>
        </w:tc>
      </w:tr>
      <w:tr w:rsidR="007D7C94" w:rsidRPr="003B1DD1" w:rsidTr="00A355BC">
        <w:trPr>
          <w:jc w:val="center"/>
        </w:trPr>
        <w:tc>
          <w:tcPr>
            <w:tcW w:w="3392" w:type="dxa"/>
            <w:tcBorders>
              <w:bottom w:val="single" w:sz="4" w:space="0" w:color="auto"/>
            </w:tcBorders>
            <w:shd w:val="clear" w:color="auto" w:fill="auto"/>
          </w:tcPr>
          <w:p w:rsidR="007D7C94" w:rsidRPr="003B1DD1" w:rsidRDefault="007D7C94" w:rsidP="00A355BC">
            <w:pPr>
              <w:pStyle w:val="Tabletext"/>
              <w:rPr>
                <w:lang w:val="en-GB"/>
              </w:rPr>
            </w:pPr>
            <w:r w:rsidRPr="003B1DD1">
              <w:rPr>
                <w:lang w:val="en-GB"/>
              </w:rPr>
              <w:t>User information</w:t>
            </w:r>
          </w:p>
        </w:tc>
        <w:tc>
          <w:tcPr>
            <w:tcW w:w="3412" w:type="dxa"/>
            <w:tcBorders>
              <w:bottom w:val="single" w:sz="4" w:space="0" w:color="auto"/>
            </w:tcBorders>
            <w:shd w:val="clear" w:color="auto" w:fill="auto"/>
          </w:tcPr>
          <w:p w:rsidR="007D7C94" w:rsidRPr="003B1DD1" w:rsidRDefault="007D7C94" w:rsidP="00A355BC">
            <w:pPr>
              <w:pStyle w:val="Tabletext"/>
              <w:rPr>
                <w:lang w:val="en-GB"/>
              </w:rPr>
            </w:pPr>
            <w:r w:rsidRPr="003B1DD1">
              <w:rPr>
                <w:lang w:val="en-GB"/>
              </w:rPr>
              <w:t>15 character string</w:t>
            </w:r>
          </w:p>
        </w:tc>
      </w:tr>
    </w:tbl>
    <w:p w:rsidR="007D7C94" w:rsidRPr="003B1DD1" w:rsidRDefault="007D7C94" w:rsidP="007D7C94">
      <w:pPr>
        <w:pStyle w:val="Tablefin"/>
      </w:pPr>
    </w:p>
    <w:p w:rsidR="007D7C94" w:rsidRPr="003B1DD1" w:rsidRDefault="007D7C94" w:rsidP="007D7C94">
      <w:pPr>
        <w:pStyle w:val="Heading2"/>
        <w:rPr>
          <w:lang w:val="en-GB"/>
        </w:rPr>
      </w:pPr>
      <w:r w:rsidRPr="003B1DD1">
        <w:rPr>
          <w:lang w:val="en-GB"/>
        </w:rPr>
        <w:t>2.2</w:t>
      </w:r>
      <w:r w:rsidRPr="003B1DD1">
        <w:rPr>
          <w:lang w:val="en-GB"/>
        </w:rPr>
        <w:tab/>
        <w:t xml:space="preserve">Method B: Spread </w:t>
      </w:r>
      <w:r>
        <w:rPr>
          <w:lang w:val="en-GB"/>
        </w:rPr>
        <w:t>S</w:t>
      </w:r>
      <w:r w:rsidRPr="003B1DD1">
        <w:rPr>
          <w:lang w:val="en-GB"/>
        </w:rPr>
        <w:t>pectrum Carrier-ID</w:t>
      </w:r>
    </w:p>
    <w:p w:rsidR="007D7C94" w:rsidRPr="003B1DD1" w:rsidRDefault="007D7C94" w:rsidP="007D7C94">
      <w:pPr>
        <w:pStyle w:val="enumlev1"/>
        <w:rPr>
          <w:lang w:val="en-GB"/>
        </w:rPr>
      </w:pPr>
      <w:r w:rsidRPr="003B1DD1">
        <w:rPr>
          <w:lang w:val="en-GB"/>
        </w:rPr>
        <w:t>–</w:t>
      </w:r>
      <w:r w:rsidRPr="003B1DD1">
        <w:rPr>
          <w:lang w:val="en-GB"/>
        </w:rPr>
        <w:tab/>
        <w:t xml:space="preserve">Carrier-ID with specific carrier information is embedded within </w:t>
      </w:r>
      <w:r w:rsidRPr="003B1DD1">
        <w:rPr>
          <w:lang w:val="en-GB" w:eastAsia="ja-JP"/>
        </w:rPr>
        <w:t>a</w:t>
      </w:r>
      <w:r w:rsidRPr="003B1DD1">
        <w:rPr>
          <w:lang w:val="en-GB"/>
        </w:rPr>
        <w:t xml:space="preserve"> low rate spread spectrum carrier </w:t>
      </w:r>
      <w:r w:rsidRPr="003B1DD1">
        <w:rPr>
          <w:lang w:val="en-GB" w:eastAsia="ja-JP"/>
        </w:rPr>
        <w:t>which</w:t>
      </w:r>
      <w:r w:rsidRPr="003B1DD1">
        <w:rPr>
          <w:lang w:val="en-GB"/>
        </w:rPr>
        <w:t xml:space="preserve"> </w:t>
      </w:r>
      <w:r w:rsidRPr="003B1DD1">
        <w:rPr>
          <w:lang w:val="en-GB" w:eastAsia="ja-JP"/>
        </w:rPr>
        <w:t>is</w:t>
      </w:r>
      <w:r w:rsidRPr="003B1DD1">
        <w:rPr>
          <w:lang w:val="en-GB"/>
        </w:rPr>
        <w:t xml:space="preserve"> sent overlaying the original carrier without adding appreciable noise to the original carrier.</w:t>
      </w:r>
    </w:p>
    <w:p w:rsidR="007D7C94" w:rsidRPr="003B1DD1" w:rsidRDefault="007D7C94" w:rsidP="007D7C94">
      <w:pPr>
        <w:rPr>
          <w:lang w:val="en-GB" w:eastAsia="ja-JP"/>
        </w:rPr>
      </w:pPr>
      <w:r w:rsidRPr="003B1DD1">
        <w:rPr>
          <w:lang w:val="en-GB" w:eastAsia="ja-JP"/>
        </w:rPr>
        <w:t>By contrast to the NIT method, in the Spread Spectrum method, the Carrier-ID information is more likely to be successfully extracted even in the presence of severe interference. Spread Spectrum Carrier-ID is available on existing modulators from some manufactures and is available as a firmware update on a few not-too-old modulators. Modulators with Spread Spectrum Carrier-ID are marked with a DVB-CID symbol. An external Carrier-ID encoder can also be purchased to add Carrier-ID to existing modulated carriers. Dedicated equipment is needed to detect and decode the Spread Spectrum Carrier-ID on the receiving side.</w:t>
      </w:r>
    </w:p>
    <w:p w:rsidR="007D7C94" w:rsidRPr="003B1DD1" w:rsidRDefault="007D7C94" w:rsidP="007D7C94">
      <w:pPr>
        <w:rPr>
          <w:lang w:val="en-GB" w:eastAsia="ja-JP"/>
        </w:rPr>
      </w:pPr>
      <w:r>
        <w:rPr>
          <w:lang w:val="en-GB" w:eastAsia="ja-JP"/>
        </w:rPr>
        <w:t>Figure </w:t>
      </w:r>
      <w:r w:rsidRPr="003B1DD1">
        <w:rPr>
          <w:lang w:val="en-GB" w:eastAsia="ja-JP"/>
        </w:rPr>
        <w:t>2 shows an example Carrier-ID spread block diagram. After the Format Message is set completely, this message is encoded by the CRC encoder, and also encoded by the BCH FEC encoder, and then a Carrier-ID frame is constructed with adding the unique word bits. This Carrier-ID will be scrambled and spread using the 4 096 chips/bit afterword.</w:t>
      </w:r>
    </w:p>
    <w:p w:rsidR="007D7C94" w:rsidRPr="003B1DD1" w:rsidRDefault="007D7C94" w:rsidP="007D7C94">
      <w:pPr>
        <w:pStyle w:val="FigureNo"/>
        <w:rPr>
          <w:lang w:val="en-GB"/>
        </w:rPr>
      </w:pPr>
      <w:bookmarkStart w:id="9" w:name="_Ref361302829"/>
      <w:r w:rsidRPr="003B1DD1">
        <w:rPr>
          <w:lang w:val="en-GB"/>
        </w:rPr>
        <w:t xml:space="preserve">Figure </w:t>
      </w:r>
      <w:bookmarkEnd w:id="9"/>
      <w:r w:rsidRPr="003B1DD1">
        <w:rPr>
          <w:lang w:val="en-GB"/>
        </w:rPr>
        <w:t>2</w:t>
      </w:r>
    </w:p>
    <w:p w:rsidR="007D7C94" w:rsidRPr="003B1DD1" w:rsidRDefault="007D7C94" w:rsidP="007D7C94">
      <w:pPr>
        <w:pStyle w:val="Figuretitle"/>
        <w:rPr>
          <w:lang w:val="en-GB" w:eastAsia="ja-JP"/>
        </w:rPr>
      </w:pPr>
      <w:r w:rsidRPr="003B1DD1">
        <w:rPr>
          <w:lang w:val="en-GB" w:eastAsia="ja-JP"/>
        </w:rPr>
        <w:t>An example Carrier-ID spread block diagram</w:t>
      </w:r>
    </w:p>
    <w:p w:rsidR="007D7C94" w:rsidRDefault="00CC5822" w:rsidP="007D7C94">
      <w:pPr>
        <w:pStyle w:val="Figure"/>
        <w:rPr>
          <w:lang w:val="en-GB"/>
        </w:rPr>
      </w:pPr>
      <w:r>
        <w:rPr>
          <w:noProof/>
          <w:lang w:val="en-US" w:eastAsia="zh-CN"/>
        </w:rPr>
        <w:object w:dxaOrig="5246" w:dyaOrig="2682">
          <v:shape id="_x0000_i1026" type="#_x0000_t75" style="width:319.5pt;height:163.5pt;mso-position-horizontal:absolute" o:ole="">
            <v:imagedata r:id="rId14" o:title=""/>
          </v:shape>
          <o:OLEObject Type="Embed" ProgID="CorelDraw.Graphic.16" ShapeID="_x0000_i1026" DrawAspect="Content" ObjectID="_1521620739" r:id="rId15"/>
        </w:object>
      </w:r>
    </w:p>
    <w:p w:rsidR="007D7C94" w:rsidRPr="00631CA4" w:rsidRDefault="007D7C94" w:rsidP="007D7C94">
      <w:pPr>
        <w:rPr>
          <w:lang w:val="en-GB"/>
        </w:rPr>
      </w:pPr>
      <w:r w:rsidRPr="003B1DD1">
        <w:rPr>
          <w:lang w:val="en-GB" w:eastAsia="ja-JP"/>
        </w:rPr>
        <w:t>Following this Carrier-ID spread block diagram, the Carrier-ID Frame i</w:t>
      </w:r>
      <w:r>
        <w:rPr>
          <w:lang w:val="en-GB" w:eastAsia="ja-JP"/>
        </w:rPr>
        <w:t>s spread as indicated in Fig. </w:t>
      </w:r>
      <w:r w:rsidRPr="003B1DD1">
        <w:rPr>
          <w:lang w:val="en-GB" w:eastAsia="ja-JP"/>
        </w:rPr>
        <w:t xml:space="preserve">3. At first, </w:t>
      </w:r>
      <w:r>
        <w:rPr>
          <w:lang w:val="en-GB" w:eastAsia="ja-JP"/>
        </w:rPr>
        <w:t>a</w:t>
      </w:r>
      <w:r w:rsidRPr="003B1DD1">
        <w:rPr>
          <w:lang w:val="en-GB" w:eastAsia="ja-JP"/>
        </w:rPr>
        <w:t xml:space="preserve"> Format Message is created by operators via the front panel or remote user interface, and this message includes a “Global Unique ID_High and Low” identifier, Content ID and Content </w:t>
      </w:r>
      <w:r w:rsidRPr="003B1DD1">
        <w:rPr>
          <w:lang w:val="en-GB" w:eastAsia="ja-JP"/>
        </w:rPr>
        <w:lastRenderedPageBreak/>
        <w:t>Information. As for Global Unique IDs, Global Unique ID_High indicates Manufacture ID, and Global Unique ID_Low indicates Extended ID.</w:t>
      </w:r>
    </w:p>
    <w:p w:rsidR="007D7C94" w:rsidRPr="003B1DD1" w:rsidRDefault="007D7C94" w:rsidP="007D7C94">
      <w:pPr>
        <w:pStyle w:val="FigureNo"/>
        <w:rPr>
          <w:lang w:val="en-GB"/>
        </w:rPr>
      </w:pPr>
      <w:bookmarkStart w:id="10" w:name="_Ref361305922"/>
      <w:r w:rsidRPr="003B1DD1">
        <w:rPr>
          <w:lang w:val="en-GB"/>
        </w:rPr>
        <w:t xml:space="preserve">Figure </w:t>
      </w:r>
      <w:bookmarkEnd w:id="10"/>
      <w:r w:rsidRPr="003B1DD1">
        <w:rPr>
          <w:lang w:val="en-GB"/>
        </w:rPr>
        <w:t>3</w:t>
      </w:r>
    </w:p>
    <w:p w:rsidR="007D7C94" w:rsidRPr="003B1DD1" w:rsidRDefault="007D7C94" w:rsidP="007D7C94">
      <w:pPr>
        <w:pStyle w:val="Figuretitle"/>
        <w:rPr>
          <w:lang w:val="en-GB" w:eastAsia="ja-JP"/>
        </w:rPr>
      </w:pPr>
      <w:r w:rsidRPr="003B1DD1">
        <w:rPr>
          <w:lang w:val="en-GB" w:eastAsia="ja-JP"/>
        </w:rPr>
        <w:t>An example scheme of the Carrier-ID frame</w:t>
      </w:r>
    </w:p>
    <w:p w:rsidR="007D7C94" w:rsidRPr="003B1DD1" w:rsidRDefault="00CC5822" w:rsidP="007D7C94">
      <w:pPr>
        <w:pStyle w:val="Figure"/>
        <w:rPr>
          <w:lang w:val="en-GB" w:eastAsia="ja-JP"/>
        </w:rPr>
      </w:pPr>
      <w:r>
        <w:rPr>
          <w:noProof/>
          <w:lang w:val="en-US" w:eastAsia="zh-CN"/>
        </w:rPr>
        <w:object w:dxaOrig="7083" w:dyaOrig="4758">
          <v:shape id="_x0000_i1027" type="#_x0000_t75" style="width:382.5pt;height:257pt;mso-position-horizontal:absolute" o:ole="">
            <v:imagedata r:id="rId16" o:title=""/>
          </v:shape>
          <o:OLEObject Type="Embed" ProgID="CorelDraw.Graphic.16" ShapeID="_x0000_i1027" DrawAspect="Content" ObjectID="_1521620740" r:id="rId17"/>
        </w:object>
      </w:r>
    </w:p>
    <w:p w:rsidR="007D7C94" w:rsidRPr="003B1DD1" w:rsidRDefault="007D7C94" w:rsidP="007D7C94">
      <w:pPr>
        <w:rPr>
          <w:lang w:val="en-GB" w:eastAsia="ja-JP"/>
        </w:rPr>
      </w:pPr>
      <w:r w:rsidRPr="003B1DD1">
        <w:rPr>
          <w:lang w:val="en-GB" w:eastAsia="ja-JP"/>
        </w:rPr>
        <w:t xml:space="preserve">Table 2 shows example Content ID and Content information which help to identify the location of the carrier source. Operators should enter the information of the source into each of information field, as required by their satellite operator. </w:t>
      </w:r>
    </w:p>
    <w:p w:rsidR="007D7C94" w:rsidRPr="003B1DD1" w:rsidRDefault="007D7C94" w:rsidP="007D7C94">
      <w:pPr>
        <w:pStyle w:val="TableNo"/>
        <w:rPr>
          <w:lang w:val="en-GB"/>
        </w:rPr>
      </w:pPr>
      <w:bookmarkStart w:id="11" w:name="_Ref361307165"/>
      <w:r w:rsidRPr="003B1DD1">
        <w:rPr>
          <w:lang w:val="en-GB"/>
        </w:rPr>
        <w:t>TABLE</w:t>
      </w:r>
      <w:bookmarkEnd w:id="11"/>
      <w:r w:rsidRPr="003B1DD1">
        <w:rPr>
          <w:lang w:val="en-GB"/>
        </w:rPr>
        <w:t xml:space="preserve"> 2 </w:t>
      </w:r>
    </w:p>
    <w:p w:rsidR="007D7C94" w:rsidRPr="003B1DD1" w:rsidRDefault="007D7C94" w:rsidP="007D7C94">
      <w:pPr>
        <w:pStyle w:val="Tabletitle"/>
        <w:rPr>
          <w:lang w:val="en-GB"/>
        </w:rPr>
      </w:pPr>
      <w:r w:rsidRPr="003B1DD1">
        <w:rPr>
          <w:lang w:val="en-GB"/>
        </w:rPr>
        <w:t xml:space="preserve">Example content ID and </w:t>
      </w:r>
      <w:r>
        <w:rPr>
          <w:lang w:val="en-GB"/>
        </w:rPr>
        <w:t>c</w:t>
      </w:r>
      <w:r w:rsidRPr="003B1DD1">
        <w:rPr>
          <w:lang w:val="en-GB"/>
        </w:rPr>
        <w:t>ontent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tblGrid>
      <w:tr w:rsidR="007D7C94" w:rsidRPr="003B1DD1" w:rsidTr="00A355BC">
        <w:trPr>
          <w:jc w:val="center"/>
        </w:trPr>
        <w:tc>
          <w:tcPr>
            <w:tcW w:w="1560" w:type="dxa"/>
            <w:shd w:val="clear" w:color="auto" w:fill="auto"/>
          </w:tcPr>
          <w:p w:rsidR="007D7C94" w:rsidRPr="003B1DD1" w:rsidRDefault="007D7C94" w:rsidP="00A355BC">
            <w:pPr>
              <w:pStyle w:val="Tablehead"/>
              <w:rPr>
                <w:lang w:val="en-GB" w:eastAsia="ja-JP"/>
              </w:rPr>
            </w:pPr>
            <w:r w:rsidRPr="003B1DD1">
              <w:rPr>
                <w:lang w:val="en-GB" w:eastAsia="ja-JP"/>
              </w:rPr>
              <w:t>Content ID</w:t>
            </w:r>
          </w:p>
        </w:tc>
        <w:tc>
          <w:tcPr>
            <w:tcW w:w="3402" w:type="dxa"/>
            <w:shd w:val="clear" w:color="auto" w:fill="auto"/>
          </w:tcPr>
          <w:p w:rsidR="007D7C94" w:rsidRPr="003B1DD1" w:rsidRDefault="007D7C94" w:rsidP="00A355BC">
            <w:pPr>
              <w:pStyle w:val="Tablehead"/>
              <w:rPr>
                <w:lang w:val="en-GB" w:eastAsia="ja-JP"/>
              </w:rPr>
            </w:pPr>
            <w:r w:rsidRPr="003B1DD1">
              <w:rPr>
                <w:lang w:val="en-GB" w:eastAsia="ja-JP"/>
              </w:rPr>
              <w:t>Information field content</w:t>
            </w:r>
          </w:p>
        </w:tc>
      </w:tr>
      <w:tr w:rsidR="007D7C94" w:rsidRPr="003B1DD1" w:rsidTr="00A355BC">
        <w:trPr>
          <w:jc w:val="center"/>
        </w:trPr>
        <w:tc>
          <w:tcPr>
            <w:tcW w:w="1560" w:type="dxa"/>
            <w:shd w:val="clear" w:color="auto" w:fill="auto"/>
          </w:tcPr>
          <w:p w:rsidR="007D7C94" w:rsidRPr="003B1DD1" w:rsidRDefault="007D7C94" w:rsidP="00A355BC">
            <w:pPr>
              <w:pStyle w:val="Tabletext"/>
              <w:jc w:val="center"/>
              <w:rPr>
                <w:lang w:val="en-GB"/>
              </w:rPr>
            </w:pPr>
            <w:r w:rsidRPr="003B1DD1">
              <w:rPr>
                <w:lang w:val="en-GB"/>
              </w:rPr>
              <w:t>0</w:t>
            </w:r>
          </w:p>
        </w:tc>
        <w:tc>
          <w:tcPr>
            <w:tcW w:w="3402" w:type="dxa"/>
            <w:shd w:val="clear" w:color="auto" w:fill="auto"/>
          </w:tcPr>
          <w:p w:rsidR="007D7C94" w:rsidRPr="003B1DD1" w:rsidRDefault="007D7C94" w:rsidP="00A355BC">
            <w:pPr>
              <w:pStyle w:val="Tabletext"/>
              <w:rPr>
                <w:lang w:val="en-GB"/>
              </w:rPr>
            </w:pPr>
            <w:r w:rsidRPr="003B1DD1">
              <w:rPr>
                <w:lang w:val="en-GB"/>
              </w:rPr>
              <w:t>Carrier ID revision code</w:t>
            </w:r>
          </w:p>
        </w:tc>
      </w:tr>
      <w:tr w:rsidR="007D7C94" w:rsidRPr="003B1DD1" w:rsidTr="00A355BC">
        <w:trPr>
          <w:jc w:val="center"/>
        </w:trPr>
        <w:tc>
          <w:tcPr>
            <w:tcW w:w="1560" w:type="dxa"/>
            <w:shd w:val="clear" w:color="auto" w:fill="auto"/>
          </w:tcPr>
          <w:p w:rsidR="007D7C94" w:rsidRPr="003B1DD1" w:rsidRDefault="007D7C94" w:rsidP="00A355BC">
            <w:pPr>
              <w:pStyle w:val="Tabletext"/>
              <w:jc w:val="center"/>
              <w:rPr>
                <w:lang w:val="en-GB"/>
              </w:rPr>
            </w:pPr>
            <w:r w:rsidRPr="003B1DD1">
              <w:rPr>
                <w:lang w:val="en-GB"/>
              </w:rPr>
              <w:t>1</w:t>
            </w:r>
          </w:p>
        </w:tc>
        <w:tc>
          <w:tcPr>
            <w:tcW w:w="3402" w:type="dxa"/>
            <w:shd w:val="clear" w:color="auto" w:fill="auto"/>
          </w:tcPr>
          <w:p w:rsidR="007D7C94" w:rsidRPr="003B1DD1" w:rsidRDefault="007D7C94" w:rsidP="00A355BC">
            <w:pPr>
              <w:pStyle w:val="Tabletext"/>
              <w:rPr>
                <w:lang w:val="en-GB"/>
              </w:rPr>
            </w:pPr>
            <w:r w:rsidRPr="003B1DD1">
              <w:rPr>
                <w:lang w:val="en-GB"/>
              </w:rPr>
              <w:t>Latitude</w:t>
            </w:r>
          </w:p>
        </w:tc>
      </w:tr>
      <w:tr w:rsidR="007D7C94" w:rsidRPr="003B1DD1" w:rsidTr="00A355BC">
        <w:trPr>
          <w:jc w:val="center"/>
        </w:trPr>
        <w:tc>
          <w:tcPr>
            <w:tcW w:w="1560" w:type="dxa"/>
            <w:shd w:val="clear" w:color="auto" w:fill="auto"/>
          </w:tcPr>
          <w:p w:rsidR="007D7C94" w:rsidRPr="003B1DD1" w:rsidRDefault="007D7C94" w:rsidP="00A355BC">
            <w:pPr>
              <w:pStyle w:val="Tabletext"/>
              <w:jc w:val="center"/>
              <w:rPr>
                <w:lang w:val="en-GB"/>
              </w:rPr>
            </w:pPr>
            <w:r w:rsidRPr="003B1DD1">
              <w:rPr>
                <w:lang w:val="en-GB"/>
              </w:rPr>
              <w:t>2</w:t>
            </w:r>
          </w:p>
        </w:tc>
        <w:tc>
          <w:tcPr>
            <w:tcW w:w="3402" w:type="dxa"/>
            <w:shd w:val="clear" w:color="auto" w:fill="auto"/>
          </w:tcPr>
          <w:p w:rsidR="007D7C94" w:rsidRPr="003B1DD1" w:rsidRDefault="007D7C94" w:rsidP="00A355BC">
            <w:pPr>
              <w:pStyle w:val="Tabletext"/>
              <w:rPr>
                <w:lang w:val="en-GB"/>
              </w:rPr>
            </w:pPr>
            <w:r w:rsidRPr="003B1DD1">
              <w:rPr>
                <w:lang w:val="en-GB"/>
              </w:rPr>
              <w:t>Longitude</w:t>
            </w:r>
          </w:p>
        </w:tc>
      </w:tr>
      <w:tr w:rsidR="007D7C94" w:rsidRPr="003B1DD1" w:rsidTr="00A355BC">
        <w:trPr>
          <w:jc w:val="center"/>
        </w:trPr>
        <w:tc>
          <w:tcPr>
            <w:tcW w:w="1560" w:type="dxa"/>
            <w:shd w:val="clear" w:color="auto" w:fill="auto"/>
          </w:tcPr>
          <w:p w:rsidR="007D7C94" w:rsidRPr="003B1DD1" w:rsidRDefault="007D7C94" w:rsidP="00A355BC">
            <w:pPr>
              <w:pStyle w:val="Tabletext"/>
              <w:jc w:val="center"/>
              <w:rPr>
                <w:lang w:val="en-GB"/>
              </w:rPr>
            </w:pPr>
            <w:r w:rsidRPr="003B1DD1">
              <w:rPr>
                <w:lang w:val="en-GB"/>
              </w:rPr>
              <w:t>3-5</w:t>
            </w:r>
          </w:p>
        </w:tc>
        <w:tc>
          <w:tcPr>
            <w:tcW w:w="3402" w:type="dxa"/>
            <w:shd w:val="clear" w:color="auto" w:fill="auto"/>
          </w:tcPr>
          <w:p w:rsidR="007D7C94" w:rsidRPr="003B1DD1" w:rsidRDefault="007D7C94" w:rsidP="00A355BC">
            <w:pPr>
              <w:pStyle w:val="Tabletext"/>
              <w:rPr>
                <w:lang w:val="en-GB"/>
              </w:rPr>
            </w:pPr>
            <w:r w:rsidRPr="003B1DD1">
              <w:rPr>
                <w:lang w:val="en-GB"/>
              </w:rPr>
              <w:t>Telephone No.</w:t>
            </w:r>
          </w:p>
        </w:tc>
      </w:tr>
      <w:tr w:rsidR="007D7C94" w:rsidRPr="00CC3572" w:rsidTr="00A355BC">
        <w:trPr>
          <w:jc w:val="center"/>
        </w:trPr>
        <w:tc>
          <w:tcPr>
            <w:tcW w:w="1560" w:type="dxa"/>
            <w:shd w:val="clear" w:color="auto" w:fill="auto"/>
          </w:tcPr>
          <w:p w:rsidR="007D7C94" w:rsidRPr="003B1DD1" w:rsidRDefault="007D7C94" w:rsidP="00A355BC">
            <w:pPr>
              <w:pStyle w:val="Tabletext"/>
              <w:jc w:val="center"/>
              <w:rPr>
                <w:lang w:val="en-GB"/>
              </w:rPr>
            </w:pPr>
            <w:r w:rsidRPr="003B1DD1">
              <w:rPr>
                <w:lang w:val="en-GB"/>
              </w:rPr>
              <w:t>6-12</w:t>
            </w:r>
          </w:p>
        </w:tc>
        <w:tc>
          <w:tcPr>
            <w:tcW w:w="3402" w:type="dxa"/>
            <w:shd w:val="clear" w:color="auto" w:fill="auto"/>
          </w:tcPr>
          <w:p w:rsidR="007D7C94" w:rsidRPr="003B1DD1" w:rsidRDefault="007D7C94" w:rsidP="00CC5822">
            <w:pPr>
              <w:pStyle w:val="Tabletext"/>
              <w:jc w:val="left"/>
              <w:rPr>
                <w:lang w:val="en-GB"/>
              </w:rPr>
            </w:pPr>
            <w:r w:rsidRPr="003B1DD1">
              <w:rPr>
                <w:lang w:val="en-GB"/>
              </w:rPr>
              <w:t>User Data (Message by ASCII code)</w:t>
            </w:r>
          </w:p>
        </w:tc>
      </w:tr>
      <w:tr w:rsidR="007D7C94" w:rsidRPr="003B1DD1" w:rsidTr="00A355BC">
        <w:trPr>
          <w:jc w:val="center"/>
        </w:trPr>
        <w:tc>
          <w:tcPr>
            <w:tcW w:w="1560" w:type="dxa"/>
            <w:shd w:val="clear" w:color="auto" w:fill="auto"/>
          </w:tcPr>
          <w:p w:rsidR="007D7C94" w:rsidRPr="003B1DD1" w:rsidRDefault="007D7C94" w:rsidP="00A355BC">
            <w:pPr>
              <w:pStyle w:val="Tabletext"/>
              <w:jc w:val="center"/>
              <w:rPr>
                <w:lang w:val="en-GB"/>
              </w:rPr>
            </w:pPr>
            <w:r w:rsidRPr="003B1DD1">
              <w:rPr>
                <w:lang w:val="en-GB"/>
              </w:rPr>
              <w:t>13-31</w:t>
            </w:r>
          </w:p>
        </w:tc>
        <w:tc>
          <w:tcPr>
            <w:tcW w:w="3402" w:type="dxa"/>
            <w:shd w:val="clear" w:color="auto" w:fill="auto"/>
          </w:tcPr>
          <w:p w:rsidR="007D7C94" w:rsidRPr="003B1DD1" w:rsidRDefault="007D7C94" w:rsidP="00A355BC">
            <w:pPr>
              <w:pStyle w:val="Tabletext"/>
              <w:rPr>
                <w:lang w:val="en-GB"/>
              </w:rPr>
            </w:pPr>
            <w:r w:rsidRPr="003B1DD1">
              <w:rPr>
                <w:lang w:val="en-GB"/>
              </w:rPr>
              <w:t>Undefined</w:t>
            </w:r>
          </w:p>
        </w:tc>
      </w:tr>
    </w:tbl>
    <w:p w:rsidR="007D7C94" w:rsidRPr="003B1DD1" w:rsidRDefault="007D7C94" w:rsidP="007D7C94">
      <w:pPr>
        <w:pStyle w:val="Tablefin"/>
        <w:rPr>
          <w:lang w:eastAsia="ja-JP"/>
        </w:rPr>
      </w:pPr>
    </w:p>
    <w:p w:rsidR="007D7C94" w:rsidRPr="003B1DD1" w:rsidRDefault="007D7C94" w:rsidP="007D7C94">
      <w:pPr>
        <w:rPr>
          <w:lang w:val="en-GB" w:eastAsia="ja-JP"/>
        </w:rPr>
      </w:pPr>
      <w:r w:rsidRPr="003B1DD1">
        <w:rPr>
          <w:lang w:val="en-GB" w:eastAsia="ja-JP"/>
        </w:rPr>
        <w:t xml:space="preserve">After spreading, each chip of the sequence of </w:t>
      </w:r>
      <w:r>
        <w:rPr>
          <w:lang w:val="en-GB" w:eastAsia="ja-JP"/>
        </w:rPr>
        <w:t xml:space="preserve">the </w:t>
      </w:r>
      <w:r w:rsidRPr="003B1DD1">
        <w:rPr>
          <w:lang w:val="en-GB" w:eastAsia="ja-JP"/>
        </w:rPr>
        <w:t xml:space="preserve">Carrier-ID frame shall be mapped into a BPSK constellation to generate a modulation symbol. This BPSK mapping signal shall be transmitted with lower power spectral density (PSD) than the noise floor of the original carrier by adjusting </w:t>
      </w:r>
      <w:r>
        <w:rPr>
          <w:lang w:val="en-GB" w:eastAsia="ja-JP"/>
        </w:rPr>
        <w:t xml:space="preserve">the </w:t>
      </w:r>
      <w:r w:rsidRPr="003B1DD1">
        <w:rPr>
          <w:lang w:val="en-GB" w:eastAsia="ja-JP"/>
        </w:rPr>
        <w:t xml:space="preserve">transmitting </w:t>
      </w:r>
      <w:r>
        <w:rPr>
          <w:lang w:val="en-GB" w:eastAsia="ja-JP"/>
        </w:rPr>
        <w:t>g</w:t>
      </w:r>
      <w:r w:rsidRPr="003B1DD1">
        <w:rPr>
          <w:lang w:val="en-GB" w:eastAsia="ja-JP"/>
        </w:rPr>
        <w:t>ain not to affect the throughput over the satellite.</w:t>
      </w:r>
    </w:p>
    <w:p w:rsidR="007D7C94" w:rsidRPr="003B1DD1" w:rsidRDefault="007D7C94" w:rsidP="007D7C94">
      <w:pPr>
        <w:rPr>
          <w:lang w:val="en-GB" w:eastAsia="ja-JP"/>
        </w:rPr>
      </w:pPr>
      <w:r>
        <w:rPr>
          <w:lang w:val="en-GB" w:eastAsia="ja-JP"/>
        </w:rPr>
        <w:t>Therefore, Table 3 and Fig.</w:t>
      </w:r>
      <w:r w:rsidRPr="003B1DD1">
        <w:rPr>
          <w:lang w:val="en-GB" w:eastAsia="ja-JP"/>
        </w:rPr>
        <w:t xml:space="preserve"> 4 show the example definition of the relative power spectral density against the original carrier in detail.</w:t>
      </w:r>
    </w:p>
    <w:p w:rsidR="007D7C94" w:rsidRPr="003B1DD1" w:rsidRDefault="007D7C94" w:rsidP="007D7C94">
      <w:pPr>
        <w:pStyle w:val="TableNo"/>
        <w:rPr>
          <w:lang w:val="en-GB"/>
        </w:rPr>
      </w:pPr>
      <w:bookmarkStart w:id="12" w:name="_Ref361310356"/>
      <w:r w:rsidRPr="003B1DD1">
        <w:rPr>
          <w:lang w:val="en-GB"/>
        </w:rPr>
        <w:lastRenderedPageBreak/>
        <w:t xml:space="preserve">TABLE 3 </w:t>
      </w:r>
      <w:bookmarkEnd w:id="12"/>
    </w:p>
    <w:p w:rsidR="007D7C94" w:rsidRPr="003B1DD1" w:rsidRDefault="007D7C94" w:rsidP="007D7C94">
      <w:pPr>
        <w:pStyle w:val="Tabletitle"/>
        <w:rPr>
          <w:lang w:val="en-GB"/>
        </w:rPr>
      </w:pPr>
      <w:r>
        <w:rPr>
          <w:lang w:val="en-GB"/>
        </w:rPr>
        <w:t>Example r</w:t>
      </w:r>
      <w:r w:rsidRPr="003B1DD1">
        <w:rPr>
          <w:lang w:val="en-GB"/>
        </w:rPr>
        <w:t>elative power spectral density levels for the original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3465"/>
        <w:gridCol w:w="3433"/>
      </w:tblGrid>
      <w:tr w:rsidR="007D7C94" w:rsidRPr="00CC3572" w:rsidTr="00A355BC">
        <w:trPr>
          <w:jc w:val="center"/>
        </w:trPr>
        <w:tc>
          <w:tcPr>
            <w:tcW w:w="2802" w:type="dxa"/>
            <w:vAlign w:val="center"/>
          </w:tcPr>
          <w:p w:rsidR="007D7C94" w:rsidRPr="003B1DD1" w:rsidRDefault="007D7C94" w:rsidP="00A355BC">
            <w:pPr>
              <w:pStyle w:val="Tablehead"/>
              <w:rPr>
                <w:lang w:val="en-GB"/>
              </w:rPr>
            </w:pPr>
            <w:r w:rsidRPr="003B1DD1">
              <w:rPr>
                <w:lang w:val="en-GB"/>
              </w:rPr>
              <w:t>Carrier-ID’s chip rate</w:t>
            </w:r>
            <w:r w:rsidRPr="003B1DD1">
              <w:rPr>
                <w:lang w:val="en-GB"/>
              </w:rPr>
              <w:br/>
              <w:t>(kHz)</w:t>
            </w:r>
          </w:p>
        </w:tc>
        <w:tc>
          <w:tcPr>
            <w:tcW w:w="3543" w:type="dxa"/>
            <w:shd w:val="clear" w:color="auto" w:fill="auto"/>
            <w:vAlign w:val="center"/>
          </w:tcPr>
          <w:p w:rsidR="007D7C94" w:rsidRPr="003B1DD1" w:rsidRDefault="007D7C94" w:rsidP="00A355BC">
            <w:pPr>
              <w:pStyle w:val="Tablehead"/>
              <w:rPr>
                <w:lang w:val="en-GB"/>
              </w:rPr>
            </w:pPr>
            <w:r w:rsidRPr="003B1DD1">
              <w:rPr>
                <w:lang w:val="en-GB"/>
              </w:rPr>
              <w:t xml:space="preserve">Host carrier symbol </w:t>
            </w:r>
            <w:r w:rsidRPr="003B1DD1">
              <w:rPr>
                <w:lang w:val="en-GB"/>
              </w:rPr>
              <w:br/>
              <w:t>rates</w:t>
            </w:r>
            <w:r>
              <w:rPr>
                <w:lang w:val="en-GB"/>
              </w:rPr>
              <w:t xml:space="preserve"> </w:t>
            </w:r>
            <w:r w:rsidRPr="003B1DD1">
              <w:rPr>
                <w:lang w:val="en-GB"/>
              </w:rPr>
              <w:t>(S) range</w:t>
            </w:r>
            <w:r w:rsidRPr="003B1DD1">
              <w:rPr>
                <w:lang w:val="en-GB"/>
              </w:rPr>
              <w:br/>
              <w:t>(kBaud)</w:t>
            </w:r>
          </w:p>
        </w:tc>
        <w:tc>
          <w:tcPr>
            <w:tcW w:w="3510" w:type="dxa"/>
            <w:shd w:val="clear" w:color="auto" w:fill="auto"/>
            <w:vAlign w:val="center"/>
          </w:tcPr>
          <w:p w:rsidR="007D7C94" w:rsidRPr="003B1DD1" w:rsidRDefault="007D7C94" w:rsidP="00A355BC">
            <w:pPr>
              <w:pStyle w:val="Tablehead"/>
              <w:rPr>
                <w:lang w:val="en-GB"/>
              </w:rPr>
            </w:pPr>
            <w:r w:rsidRPr="003B1DD1">
              <w:rPr>
                <w:lang w:val="en-GB"/>
              </w:rPr>
              <w:t xml:space="preserve">Original carrier PSD level relative to host carrier </w:t>
            </w:r>
            <w:r w:rsidRPr="003B1DD1">
              <w:rPr>
                <w:lang w:val="en-GB"/>
              </w:rPr>
              <w:br/>
              <w:t xml:space="preserve">centre PSD </w:t>
            </w:r>
            <w:r w:rsidRPr="003B1DD1">
              <w:rPr>
                <w:lang w:val="en-GB"/>
              </w:rPr>
              <w:br/>
              <w:t>(dB)</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112</w:t>
            </w:r>
          </w:p>
        </w:tc>
        <w:tc>
          <w:tcPr>
            <w:tcW w:w="3543" w:type="dxa"/>
            <w:shd w:val="clear" w:color="auto" w:fill="auto"/>
          </w:tcPr>
          <w:p w:rsidR="007D7C94" w:rsidRPr="003B1DD1" w:rsidRDefault="007D7C94" w:rsidP="00A355BC">
            <w:pPr>
              <w:pStyle w:val="Tabletext"/>
              <w:jc w:val="center"/>
              <w:rPr>
                <w:lang w:val="en-GB"/>
              </w:rPr>
            </w:pPr>
            <w:r w:rsidRPr="003B1DD1">
              <w:rPr>
                <w:lang w:val="en-GB"/>
              </w:rPr>
              <w:t>128 ≤ S &lt; 256</w:t>
            </w:r>
          </w:p>
        </w:tc>
        <w:tc>
          <w:tcPr>
            <w:tcW w:w="3510" w:type="dxa"/>
            <w:shd w:val="clear" w:color="auto" w:fill="auto"/>
          </w:tcPr>
          <w:p w:rsidR="007D7C94" w:rsidRPr="003B1DD1" w:rsidRDefault="007D7C94" w:rsidP="00A355BC">
            <w:pPr>
              <w:pStyle w:val="Tabletext"/>
              <w:jc w:val="center"/>
              <w:rPr>
                <w:lang w:val="en-GB"/>
              </w:rPr>
            </w:pPr>
            <w:r w:rsidRPr="003B1DD1">
              <w:rPr>
                <w:lang w:val="en-GB"/>
              </w:rPr>
              <w:t>–27.5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112</w:t>
            </w:r>
          </w:p>
        </w:tc>
        <w:tc>
          <w:tcPr>
            <w:tcW w:w="3543" w:type="dxa"/>
            <w:shd w:val="clear" w:color="auto" w:fill="auto"/>
          </w:tcPr>
          <w:p w:rsidR="007D7C94" w:rsidRPr="003B1DD1" w:rsidRDefault="007D7C94" w:rsidP="00A355BC">
            <w:pPr>
              <w:pStyle w:val="Tabletext"/>
              <w:jc w:val="center"/>
              <w:rPr>
                <w:lang w:val="en-GB"/>
              </w:rPr>
            </w:pPr>
            <w:r w:rsidRPr="003B1DD1">
              <w:rPr>
                <w:lang w:val="en-GB"/>
              </w:rPr>
              <w:t>256 ≤ S &lt; 512</w:t>
            </w:r>
          </w:p>
        </w:tc>
        <w:tc>
          <w:tcPr>
            <w:tcW w:w="3510" w:type="dxa"/>
            <w:shd w:val="clear" w:color="auto" w:fill="auto"/>
          </w:tcPr>
          <w:p w:rsidR="007D7C94" w:rsidRPr="003B1DD1" w:rsidRDefault="007D7C94" w:rsidP="00A355BC">
            <w:pPr>
              <w:pStyle w:val="Tabletext"/>
              <w:jc w:val="center"/>
              <w:rPr>
                <w:lang w:val="en-GB"/>
              </w:rPr>
            </w:pPr>
            <w:r w:rsidRPr="003B1DD1">
              <w:rPr>
                <w:lang w:val="en-GB"/>
              </w:rPr>
              <w:t>–27.5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224</w:t>
            </w:r>
          </w:p>
        </w:tc>
        <w:tc>
          <w:tcPr>
            <w:tcW w:w="3543" w:type="dxa"/>
            <w:shd w:val="clear" w:color="auto" w:fill="auto"/>
          </w:tcPr>
          <w:p w:rsidR="007D7C94" w:rsidRPr="003B1DD1" w:rsidRDefault="007D7C94" w:rsidP="00A355BC">
            <w:pPr>
              <w:pStyle w:val="Tabletext"/>
              <w:jc w:val="center"/>
              <w:rPr>
                <w:lang w:val="en-GB"/>
              </w:rPr>
            </w:pPr>
            <w:r w:rsidRPr="003B1DD1">
              <w:rPr>
                <w:lang w:val="en-GB"/>
              </w:rPr>
              <w:t>512 ≤ S &lt; 1024</w:t>
            </w:r>
          </w:p>
        </w:tc>
        <w:tc>
          <w:tcPr>
            <w:tcW w:w="3510" w:type="dxa"/>
            <w:shd w:val="clear" w:color="auto" w:fill="auto"/>
          </w:tcPr>
          <w:p w:rsidR="007D7C94" w:rsidRPr="003B1DD1" w:rsidRDefault="007D7C94" w:rsidP="00A355BC">
            <w:pPr>
              <w:pStyle w:val="Tabletext"/>
              <w:jc w:val="center"/>
              <w:rPr>
                <w:lang w:val="en-GB"/>
              </w:rPr>
            </w:pPr>
            <w:r w:rsidRPr="003B1DD1">
              <w:rPr>
                <w:lang w:val="en-GB"/>
              </w:rPr>
              <w:t>–27.5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224</w:t>
            </w:r>
          </w:p>
        </w:tc>
        <w:tc>
          <w:tcPr>
            <w:tcW w:w="3543" w:type="dxa"/>
            <w:shd w:val="clear" w:color="auto" w:fill="auto"/>
          </w:tcPr>
          <w:p w:rsidR="007D7C94" w:rsidRPr="003B1DD1" w:rsidRDefault="007D7C94" w:rsidP="00A355BC">
            <w:pPr>
              <w:pStyle w:val="Tabletext"/>
              <w:jc w:val="center"/>
              <w:rPr>
                <w:lang w:val="en-GB"/>
              </w:rPr>
            </w:pPr>
            <w:r w:rsidRPr="003B1DD1">
              <w:rPr>
                <w:lang w:val="en-GB"/>
              </w:rPr>
              <w:t>1 024 ≤ S &lt; 2 04</w:t>
            </w:r>
            <w:r>
              <w:rPr>
                <w:lang w:val="en-GB"/>
              </w:rPr>
              <w:t>8</w:t>
            </w:r>
          </w:p>
        </w:tc>
        <w:tc>
          <w:tcPr>
            <w:tcW w:w="3510" w:type="dxa"/>
            <w:shd w:val="clear" w:color="auto" w:fill="auto"/>
          </w:tcPr>
          <w:p w:rsidR="007D7C94" w:rsidRPr="003B1DD1" w:rsidRDefault="007D7C94" w:rsidP="00A355BC">
            <w:pPr>
              <w:pStyle w:val="Tabletext"/>
              <w:jc w:val="center"/>
              <w:rPr>
                <w:lang w:val="en-GB"/>
              </w:rPr>
            </w:pPr>
            <w:r w:rsidRPr="003B1DD1">
              <w:rPr>
                <w:lang w:val="en-GB"/>
              </w:rPr>
              <w:t>–27.5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224</w:t>
            </w:r>
          </w:p>
        </w:tc>
        <w:tc>
          <w:tcPr>
            <w:tcW w:w="3543" w:type="dxa"/>
            <w:shd w:val="clear" w:color="auto" w:fill="auto"/>
          </w:tcPr>
          <w:p w:rsidR="007D7C94" w:rsidRPr="003B1DD1" w:rsidRDefault="007D7C94" w:rsidP="00A355BC">
            <w:pPr>
              <w:pStyle w:val="Tabletext"/>
              <w:jc w:val="center"/>
              <w:rPr>
                <w:lang w:val="en-GB"/>
              </w:rPr>
            </w:pPr>
            <w:r w:rsidRPr="003B1DD1">
              <w:rPr>
                <w:lang w:val="en-GB"/>
              </w:rPr>
              <w:t>2 048 ≤ S &lt; 4 096</w:t>
            </w:r>
          </w:p>
        </w:tc>
        <w:tc>
          <w:tcPr>
            <w:tcW w:w="3510" w:type="dxa"/>
            <w:shd w:val="clear" w:color="auto" w:fill="auto"/>
          </w:tcPr>
          <w:p w:rsidR="007D7C94" w:rsidRPr="003B1DD1" w:rsidRDefault="007D7C94" w:rsidP="00A355BC">
            <w:pPr>
              <w:pStyle w:val="Tabletext"/>
              <w:jc w:val="center"/>
              <w:rPr>
                <w:lang w:val="en-GB"/>
              </w:rPr>
            </w:pPr>
            <w:r w:rsidRPr="003B1DD1">
              <w:rPr>
                <w:lang w:val="en-GB"/>
              </w:rPr>
              <w:t>–24.5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224</w:t>
            </w:r>
          </w:p>
        </w:tc>
        <w:tc>
          <w:tcPr>
            <w:tcW w:w="3543" w:type="dxa"/>
            <w:shd w:val="clear" w:color="auto" w:fill="auto"/>
          </w:tcPr>
          <w:p w:rsidR="007D7C94" w:rsidRPr="003B1DD1" w:rsidRDefault="007D7C94" w:rsidP="00A355BC">
            <w:pPr>
              <w:pStyle w:val="Tabletext"/>
              <w:jc w:val="center"/>
              <w:rPr>
                <w:lang w:val="en-GB"/>
              </w:rPr>
            </w:pPr>
            <w:r w:rsidRPr="003B1DD1">
              <w:rPr>
                <w:lang w:val="en-GB"/>
              </w:rPr>
              <w:t>4 096 ≤ S &lt; 8 192</w:t>
            </w:r>
          </w:p>
        </w:tc>
        <w:tc>
          <w:tcPr>
            <w:tcW w:w="3510" w:type="dxa"/>
            <w:shd w:val="clear" w:color="auto" w:fill="auto"/>
          </w:tcPr>
          <w:p w:rsidR="007D7C94" w:rsidRPr="003B1DD1" w:rsidRDefault="007D7C94" w:rsidP="00A355BC">
            <w:pPr>
              <w:pStyle w:val="Tabletext"/>
              <w:jc w:val="center"/>
              <w:rPr>
                <w:lang w:val="en-GB"/>
              </w:rPr>
            </w:pPr>
            <w:r w:rsidRPr="003B1DD1">
              <w:rPr>
                <w:lang w:val="en-GB"/>
              </w:rPr>
              <w:t>–21.5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224</w:t>
            </w:r>
          </w:p>
        </w:tc>
        <w:tc>
          <w:tcPr>
            <w:tcW w:w="3543" w:type="dxa"/>
            <w:shd w:val="clear" w:color="auto" w:fill="auto"/>
          </w:tcPr>
          <w:p w:rsidR="007D7C94" w:rsidRPr="003B1DD1" w:rsidRDefault="007D7C94" w:rsidP="00A355BC">
            <w:pPr>
              <w:pStyle w:val="Tabletext"/>
              <w:jc w:val="center"/>
              <w:rPr>
                <w:lang w:val="en-GB"/>
              </w:rPr>
            </w:pPr>
            <w:r w:rsidRPr="003B1DD1">
              <w:rPr>
                <w:lang w:val="en-GB"/>
              </w:rPr>
              <w:t>8 192 ≤ S &lt; 16 384</w:t>
            </w:r>
          </w:p>
        </w:tc>
        <w:tc>
          <w:tcPr>
            <w:tcW w:w="3510" w:type="dxa"/>
            <w:shd w:val="clear" w:color="auto" w:fill="auto"/>
          </w:tcPr>
          <w:p w:rsidR="007D7C94" w:rsidRPr="003B1DD1" w:rsidRDefault="007D7C94" w:rsidP="00A355BC">
            <w:pPr>
              <w:pStyle w:val="Tabletext"/>
              <w:jc w:val="center"/>
              <w:rPr>
                <w:lang w:val="en-GB"/>
              </w:rPr>
            </w:pPr>
            <w:r w:rsidRPr="003B1DD1">
              <w:rPr>
                <w:lang w:val="en-GB"/>
              </w:rPr>
              <w:t>–18.5</w:t>
            </w:r>
          </w:p>
        </w:tc>
      </w:tr>
      <w:tr w:rsidR="007D7C94" w:rsidRPr="003B1DD1" w:rsidTr="00A355BC">
        <w:trPr>
          <w:jc w:val="center"/>
        </w:trPr>
        <w:tc>
          <w:tcPr>
            <w:tcW w:w="2802" w:type="dxa"/>
          </w:tcPr>
          <w:p w:rsidR="007D7C94" w:rsidRPr="003B1DD1" w:rsidRDefault="007D7C94" w:rsidP="00A355BC">
            <w:pPr>
              <w:pStyle w:val="Tabletext"/>
              <w:jc w:val="center"/>
              <w:rPr>
                <w:lang w:val="en-GB"/>
              </w:rPr>
            </w:pPr>
            <w:r w:rsidRPr="003B1DD1">
              <w:rPr>
                <w:lang w:val="en-GB"/>
              </w:rPr>
              <w:t>224</w:t>
            </w:r>
          </w:p>
        </w:tc>
        <w:tc>
          <w:tcPr>
            <w:tcW w:w="3543" w:type="dxa"/>
            <w:shd w:val="clear" w:color="auto" w:fill="auto"/>
          </w:tcPr>
          <w:p w:rsidR="007D7C94" w:rsidRPr="003B1DD1" w:rsidRDefault="007D7C94" w:rsidP="00A355BC">
            <w:pPr>
              <w:pStyle w:val="Tabletext"/>
              <w:jc w:val="center"/>
              <w:rPr>
                <w:lang w:val="en-GB"/>
              </w:rPr>
            </w:pPr>
            <w:r w:rsidRPr="003B1DD1">
              <w:rPr>
                <w:lang w:val="en-GB"/>
              </w:rPr>
              <w:t>16 384 ≤ S</w:t>
            </w:r>
          </w:p>
        </w:tc>
        <w:tc>
          <w:tcPr>
            <w:tcW w:w="3510" w:type="dxa"/>
            <w:shd w:val="clear" w:color="auto" w:fill="auto"/>
          </w:tcPr>
          <w:p w:rsidR="007D7C94" w:rsidRPr="003B1DD1" w:rsidRDefault="007D7C94" w:rsidP="00A355BC">
            <w:pPr>
              <w:pStyle w:val="Tabletext"/>
              <w:jc w:val="center"/>
              <w:rPr>
                <w:lang w:val="en-GB"/>
              </w:rPr>
            </w:pPr>
            <w:r w:rsidRPr="003B1DD1">
              <w:rPr>
                <w:lang w:val="en-GB"/>
              </w:rPr>
              <w:t>–17.5</w:t>
            </w:r>
          </w:p>
        </w:tc>
      </w:tr>
    </w:tbl>
    <w:p w:rsidR="007D7C94" w:rsidRPr="003B1DD1" w:rsidRDefault="007D7C94" w:rsidP="007D7C94">
      <w:pPr>
        <w:pStyle w:val="Tablefin"/>
      </w:pPr>
      <w:bookmarkStart w:id="13" w:name="_Ref361313798"/>
    </w:p>
    <w:p w:rsidR="007D7C94" w:rsidRPr="003B1DD1" w:rsidRDefault="007D7C94" w:rsidP="007D7C94">
      <w:pPr>
        <w:pStyle w:val="FigureNo"/>
        <w:rPr>
          <w:lang w:val="en-GB"/>
        </w:rPr>
      </w:pPr>
      <w:r w:rsidRPr="003B1DD1">
        <w:rPr>
          <w:lang w:val="en-GB"/>
        </w:rPr>
        <w:t>Figure</w:t>
      </w:r>
      <w:bookmarkEnd w:id="13"/>
      <w:r w:rsidRPr="003B1DD1">
        <w:rPr>
          <w:lang w:val="en-GB"/>
        </w:rPr>
        <w:t xml:space="preserve"> 4 </w:t>
      </w:r>
    </w:p>
    <w:p w:rsidR="007D7C94" w:rsidRPr="003B1DD1" w:rsidRDefault="007D7C94" w:rsidP="007D7C94">
      <w:pPr>
        <w:pStyle w:val="Figuretitle"/>
        <w:rPr>
          <w:lang w:val="en-GB" w:eastAsia="ja-JP"/>
        </w:rPr>
      </w:pPr>
      <w:r w:rsidRPr="003B1DD1">
        <w:rPr>
          <w:lang w:val="en-GB" w:eastAsia="ja-JP"/>
        </w:rPr>
        <w:t>Original carrier PSD level relative to host carrier centre PSD</w:t>
      </w:r>
    </w:p>
    <w:p w:rsidR="007D7C94" w:rsidRPr="003B1DD1" w:rsidRDefault="00CC5822" w:rsidP="007D7C94">
      <w:pPr>
        <w:pStyle w:val="Figure"/>
        <w:rPr>
          <w:lang w:val="en-GB"/>
        </w:rPr>
      </w:pPr>
      <w:r>
        <w:rPr>
          <w:noProof/>
          <w:lang w:val="en-US" w:eastAsia="zh-CN"/>
        </w:rPr>
        <w:object w:dxaOrig="5210" w:dyaOrig="2750">
          <v:shape id="_x0000_i1028" type="#_x0000_t75" style="width:317.5pt;height:167pt" o:ole="">
            <v:imagedata r:id="rId18" o:title=""/>
          </v:shape>
          <o:OLEObject Type="Embed" ProgID="CorelDraw.Graphic.16" ShapeID="_x0000_i1028" DrawAspect="Content" ObjectID="_1521620741" r:id="rId19"/>
        </w:object>
      </w:r>
    </w:p>
    <w:p w:rsidR="007D7C94" w:rsidRPr="003B1DD1" w:rsidRDefault="007D7C94" w:rsidP="007D7C94">
      <w:pPr>
        <w:pStyle w:val="Heading2"/>
        <w:rPr>
          <w:lang w:val="en-GB" w:eastAsia="ja-JP"/>
        </w:rPr>
      </w:pPr>
      <w:r w:rsidRPr="003B1DD1">
        <w:rPr>
          <w:lang w:val="en-GB" w:eastAsia="ja-JP"/>
        </w:rPr>
        <w:t>2.3</w:t>
      </w:r>
      <w:r w:rsidRPr="003B1DD1">
        <w:rPr>
          <w:lang w:val="en-GB" w:eastAsia="ja-JP"/>
        </w:rPr>
        <w:tab/>
        <w:t xml:space="preserve">Comparative </w:t>
      </w:r>
      <w:r w:rsidRPr="003B1DD1">
        <w:rPr>
          <w:lang w:val="en-GB"/>
        </w:rPr>
        <w:t>specifications</w:t>
      </w:r>
      <w:r>
        <w:rPr>
          <w:lang w:val="en-GB" w:eastAsia="ja-JP"/>
        </w:rPr>
        <w:t xml:space="preserve"> between NIT Carrier-ID and S</w:t>
      </w:r>
      <w:r w:rsidRPr="003B1DD1">
        <w:rPr>
          <w:lang w:val="en-GB" w:eastAsia="ja-JP"/>
        </w:rPr>
        <w:t xml:space="preserve">pread </w:t>
      </w:r>
      <w:r>
        <w:rPr>
          <w:lang w:val="en-GB" w:eastAsia="ja-JP"/>
        </w:rPr>
        <w:t>S</w:t>
      </w:r>
      <w:r w:rsidRPr="003B1DD1">
        <w:rPr>
          <w:lang w:val="en-GB" w:eastAsia="ja-JP"/>
        </w:rPr>
        <w:t>pectrum Carrier-ID</w:t>
      </w:r>
    </w:p>
    <w:p w:rsidR="007D7C94" w:rsidRPr="003B1DD1" w:rsidRDefault="007D7C94" w:rsidP="007D7C94">
      <w:pPr>
        <w:rPr>
          <w:lang w:val="en-GB" w:eastAsia="ja-JP"/>
        </w:rPr>
      </w:pPr>
      <w:r w:rsidRPr="003B1DD1">
        <w:rPr>
          <w:lang w:val="en-GB" w:eastAsia="ja-JP"/>
        </w:rPr>
        <w:t xml:space="preserve">Table 4 shows the comparative specification between NIT Carrier-ID and </w:t>
      </w:r>
      <w:r>
        <w:rPr>
          <w:lang w:val="en-GB" w:eastAsia="ja-JP"/>
        </w:rPr>
        <w:t>S</w:t>
      </w:r>
      <w:r w:rsidRPr="003B1DD1">
        <w:rPr>
          <w:lang w:val="en-GB" w:eastAsia="ja-JP"/>
        </w:rPr>
        <w:t xml:space="preserve">pread </w:t>
      </w:r>
      <w:r>
        <w:rPr>
          <w:lang w:val="en-GB" w:eastAsia="ja-JP"/>
        </w:rPr>
        <w:t>S</w:t>
      </w:r>
      <w:r w:rsidRPr="003B1DD1">
        <w:rPr>
          <w:lang w:val="en-GB" w:eastAsia="ja-JP"/>
        </w:rPr>
        <w:t>pectrum Carrier</w:t>
      </w:r>
      <w:r>
        <w:rPr>
          <w:lang w:val="en-GB" w:eastAsia="ja-JP"/>
        </w:rPr>
        <w:noBreakHyphen/>
      </w:r>
      <w:r w:rsidRPr="003B1DD1">
        <w:rPr>
          <w:lang w:val="en-GB" w:eastAsia="ja-JP"/>
        </w:rPr>
        <w:t>ID systems with advantages and disadvantages of each system.</w:t>
      </w:r>
    </w:p>
    <w:p w:rsidR="007D7C94" w:rsidRPr="003B1DD1" w:rsidRDefault="007D7C94" w:rsidP="007D7C94">
      <w:pPr>
        <w:tabs>
          <w:tab w:val="clear" w:pos="794"/>
          <w:tab w:val="clear" w:pos="1191"/>
          <w:tab w:val="clear" w:pos="1588"/>
          <w:tab w:val="clear" w:pos="1985"/>
        </w:tabs>
        <w:overflowPunct/>
        <w:autoSpaceDE/>
        <w:autoSpaceDN/>
        <w:adjustRightInd/>
        <w:spacing w:before="0"/>
        <w:jc w:val="left"/>
        <w:textAlignment w:val="auto"/>
        <w:rPr>
          <w:lang w:val="en-GB"/>
        </w:rPr>
      </w:pPr>
      <w:bookmarkStart w:id="14" w:name="_Ref361315242"/>
      <w:r w:rsidRPr="003B1DD1">
        <w:rPr>
          <w:lang w:val="en-GB"/>
        </w:rPr>
        <w:br w:type="page"/>
      </w:r>
    </w:p>
    <w:p w:rsidR="007D7C94" w:rsidRPr="003B1DD1" w:rsidRDefault="007D7C94" w:rsidP="007D7C94">
      <w:pPr>
        <w:pStyle w:val="TableNo"/>
        <w:rPr>
          <w:lang w:val="en-GB"/>
        </w:rPr>
      </w:pPr>
      <w:r w:rsidRPr="003B1DD1">
        <w:rPr>
          <w:lang w:val="en-GB"/>
        </w:rPr>
        <w:lastRenderedPageBreak/>
        <w:t>TABLE</w:t>
      </w:r>
      <w:bookmarkEnd w:id="14"/>
      <w:r w:rsidRPr="003B1DD1">
        <w:rPr>
          <w:lang w:val="en-GB"/>
        </w:rPr>
        <w:t xml:space="preserve"> 4</w:t>
      </w:r>
    </w:p>
    <w:p w:rsidR="007D7C94" w:rsidRPr="003B1DD1" w:rsidRDefault="007D7C94" w:rsidP="007D7C94">
      <w:pPr>
        <w:pStyle w:val="Tabletitle"/>
        <w:rPr>
          <w:lang w:val="en-GB" w:eastAsia="ja-JP"/>
        </w:rPr>
      </w:pPr>
      <w:r w:rsidRPr="003B1DD1">
        <w:rPr>
          <w:lang w:val="en-GB" w:eastAsia="ja-JP"/>
        </w:rPr>
        <w:t>Comparative specifications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3221"/>
        <w:gridCol w:w="3233"/>
      </w:tblGrid>
      <w:tr w:rsidR="007D7C94" w:rsidRPr="003B1DD1" w:rsidTr="00A355BC">
        <w:trPr>
          <w:jc w:val="center"/>
        </w:trPr>
        <w:tc>
          <w:tcPr>
            <w:tcW w:w="3185" w:type="dxa"/>
          </w:tcPr>
          <w:p w:rsidR="007D7C94" w:rsidRPr="003B1DD1" w:rsidRDefault="007D7C94" w:rsidP="00A355BC">
            <w:pPr>
              <w:pStyle w:val="Tablehead"/>
              <w:rPr>
                <w:lang w:val="en-GB" w:eastAsia="ja-JP"/>
              </w:rPr>
            </w:pPr>
          </w:p>
        </w:tc>
        <w:tc>
          <w:tcPr>
            <w:tcW w:w="3221" w:type="dxa"/>
            <w:shd w:val="clear" w:color="auto" w:fill="auto"/>
          </w:tcPr>
          <w:p w:rsidR="007D7C94" w:rsidRPr="003B1DD1" w:rsidRDefault="007D7C94" w:rsidP="00A355BC">
            <w:pPr>
              <w:pStyle w:val="Tablehead"/>
              <w:rPr>
                <w:lang w:val="en-GB" w:eastAsia="ja-JP"/>
              </w:rPr>
            </w:pPr>
            <w:r w:rsidRPr="003B1DD1">
              <w:rPr>
                <w:lang w:val="en-GB" w:eastAsia="ja-JP"/>
              </w:rPr>
              <w:t>NIT Carrier-ID</w:t>
            </w:r>
          </w:p>
        </w:tc>
        <w:tc>
          <w:tcPr>
            <w:tcW w:w="3233" w:type="dxa"/>
            <w:shd w:val="clear" w:color="auto" w:fill="auto"/>
          </w:tcPr>
          <w:p w:rsidR="007D7C94" w:rsidRPr="003B1DD1" w:rsidRDefault="007D7C94" w:rsidP="00A355BC">
            <w:pPr>
              <w:pStyle w:val="Tablehead"/>
              <w:rPr>
                <w:lang w:val="en-GB" w:eastAsia="ja-JP"/>
              </w:rPr>
            </w:pPr>
            <w:r w:rsidRPr="003B1DD1">
              <w:rPr>
                <w:lang w:val="en-GB" w:eastAsia="ja-JP"/>
              </w:rPr>
              <w:t xml:space="preserve">Spread </w:t>
            </w:r>
            <w:r>
              <w:rPr>
                <w:lang w:val="en-GB" w:eastAsia="ja-JP"/>
              </w:rPr>
              <w:t>S</w:t>
            </w:r>
            <w:r w:rsidRPr="003B1DD1">
              <w:rPr>
                <w:lang w:val="en-GB" w:eastAsia="ja-JP"/>
              </w:rPr>
              <w:t>pectrum Carrier-ID</w:t>
            </w:r>
          </w:p>
        </w:tc>
      </w:tr>
      <w:tr w:rsidR="007D7C94" w:rsidRPr="00CC3572" w:rsidTr="00A355BC">
        <w:trPr>
          <w:jc w:val="center"/>
        </w:trPr>
        <w:tc>
          <w:tcPr>
            <w:tcW w:w="3185" w:type="dxa"/>
          </w:tcPr>
          <w:p w:rsidR="007D7C94" w:rsidRPr="003B1DD1" w:rsidRDefault="007D7C94" w:rsidP="00A355BC">
            <w:pPr>
              <w:pStyle w:val="Tabletext"/>
              <w:jc w:val="left"/>
              <w:rPr>
                <w:lang w:val="en-GB"/>
              </w:rPr>
            </w:pPr>
            <w:r w:rsidRPr="003B1DD1">
              <w:rPr>
                <w:lang w:val="en-GB"/>
              </w:rPr>
              <w:t>Transponder and Carrier Compatibility</w:t>
            </w:r>
          </w:p>
        </w:tc>
        <w:tc>
          <w:tcPr>
            <w:tcW w:w="3221" w:type="dxa"/>
            <w:shd w:val="clear" w:color="auto" w:fill="auto"/>
          </w:tcPr>
          <w:p w:rsidR="007D7C94" w:rsidRPr="003B1DD1" w:rsidRDefault="007D7C94" w:rsidP="00A355BC">
            <w:pPr>
              <w:pStyle w:val="Tabletext"/>
              <w:jc w:val="left"/>
              <w:rPr>
                <w:lang w:val="en-GB"/>
              </w:rPr>
            </w:pPr>
            <w:r>
              <w:rPr>
                <w:lang w:val="en-GB"/>
              </w:rPr>
              <w:t>Requires MPEG-TS (</w:t>
            </w:r>
            <w:r w:rsidRPr="003B1DD1">
              <w:rPr>
                <w:lang w:val="en-GB"/>
              </w:rPr>
              <w:t>Video)</w:t>
            </w:r>
          </w:p>
          <w:p w:rsidR="007D7C94" w:rsidRPr="003B1DD1" w:rsidRDefault="007D7C94" w:rsidP="00A355BC">
            <w:pPr>
              <w:pStyle w:val="Tabletext"/>
              <w:jc w:val="left"/>
              <w:rPr>
                <w:lang w:val="en-GB"/>
              </w:rPr>
            </w:pPr>
            <w:r w:rsidRPr="003B1DD1">
              <w:rPr>
                <w:lang w:val="en-GB"/>
              </w:rPr>
              <w:t>–</w:t>
            </w:r>
            <w:r w:rsidRPr="003B1DD1">
              <w:rPr>
                <w:lang w:val="en-GB"/>
              </w:rPr>
              <w:tab/>
              <w:t>Broadcast Contribution</w:t>
            </w:r>
          </w:p>
          <w:p w:rsidR="007D7C94" w:rsidRPr="003B1DD1" w:rsidRDefault="007D7C94" w:rsidP="00A355BC">
            <w:pPr>
              <w:pStyle w:val="Tabletext"/>
              <w:jc w:val="left"/>
              <w:rPr>
                <w:lang w:val="en-GB"/>
              </w:rPr>
            </w:pPr>
            <w:r w:rsidRPr="003B1DD1">
              <w:rPr>
                <w:lang w:val="en-GB"/>
              </w:rPr>
              <w:t>–</w:t>
            </w:r>
            <w:r w:rsidRPr="003B1DD1">
              <w:rPr>
                <w:lang w:val="en-GB"/>
              </w:rPr>
              <w:tab/>
              <w:t>Broadcast Distribution</w:t>
            </w:r>
          </w:p>
        </w:tc>
        <w:tc>
          <w:tcPr>
            <w:tcW w:w="3233" w:type="dxa"/>
            <w:shd w:val="clear" w:color="auto" w:fill="auto"/>
          </w:tcPr>
          <w:p w:rsidR="007D7C94" w:rsidRPr="003B1DD1" w:rsidRDefault="007D7C94" w:rsidP="00A355BC">
            <w:pPr>
              <w:pStyle w:val="Tabletext"/>
              <w:jc w:val="left"/>
              <w:rPr>
                <w:lang w:val="en-GB"/>
              </w:rPr>
            </w:pPr>
            <w:r w:rsidRPr="003B1DD1">
              <w:rPr>
                <w:lang w:val="en-GB"/>
              </w:rPr>
              <w:t>Agnostic to traffic carrier or transport mechanism</w:t>
            </w:r>
          </w:p>
          <w:p w:rsidR="007D7C94" w:rsidRPr="003B1DD1" w:rsidRDefault="007D7C94" w:rsidP="00A355BC">
            <w:pPr>
              <w:pStyle w:val="Tabletext"/>
              <w:ind w:left="227" w:hanging="227"/>
              <w:jc w:val="left"/>
              <w:rPr>
                <w:lang w:val="en-GB"/>
              </w:rPr>
            </w:pPr>
            <w:r w:rsidRPr="003B1DD1">
              <w:rPr>
                <w:lang w:val="en-GB"/>
              </w:rPr>
              <w:t>–</w:t>
            </w:r>
            <w:r w:rsidRPr="003B1DD1">
              <w:rPr>
                <w:lang w:val="en-GB"/>
              </w:rPr>
              <w:tab/>
              <w:t>Video and Data transport focused</w:t>
            </w:r>
          </w:p>
        </w:tc>
      </w:tr>
      <w:tr w:rsidR="007D7C94" w:rsidRPr="00CC3572" w:rsidTr="00A355BC">
        <w:trPr>
          <w:jc w:val="center"/>
        </w:trPr>
        <w:tc>
          <w:tcPr>
            <w:tcW w:w="3185" w:type="dxa"/>
          </w:tcPr>
          <w:p w:rsidR="007D7C94" w:rsidRPr="003B1DD1" w:rsidRDefault="007D7C94" w:rsidP="00A355BC">
            <w:pPr>
              <w:pStyle w:val="Tabletext"/>
              <w:jc w:val="left"/>
              <w:rPr>
                <w:lang w:val="en-GB"/>
              </w:rPr>
            </w:pPr>
            <w:r w:rsidRPr="003B1DD1">
              <w:rPr>
                <w:lang w:val="en-GB"/>
              </w:rPr>
              <w:t>Changes to original carrier</w:t>
            </w:r>
          </w:p>
        </w:tc>
        <w:tc>
          <w:tcPr>
            <w:tcW w:w="3221" w:type="dxa"/>
            <w:shd w:val="clear" w:color="auto" w:fill="auto"/>
          </w:tcPr>
          <w:p w:rsidR="007D7C94" w:rsidRPr="003B1DD1" w:rsidRDefault="007D7C94" w:rsidP="00A355BC">
            <w:pPr>
              <w:pStyle w:val="Tabletext"/>
              <w:jc w:val="left"/>
              <w:rPr>
                <w:lang w:val="en-GB"/>
              </w:rPr>
            </w:pPr>
            <w:r w:rsidRPr="003B1DD1">
              <w:rPr>
                <w:lang w:val="en-GB"/>
              </w:rPr>
              <w:t>Yes (add NIT table)</w:t>
            </w:r>
          </w:p>
        </w:tc>
        <w:tc>
          <w:tcPr>
            <w:tcW w:w="3233" w:type="dxa"/>
            <w:shd w:val="clear" w:color="auto" w:fill="auto"/>
          </w:tcPr>
          <w:p w:rsidR="007D7C94" w:rsidRPr="003B1DD1" w:rsidRDefault="007D7C94" w:rsidP="00A355BC">
            <w:pPr>
              <w:pStyle w:val="Tabletext"/>
              <w:jc w:val="left"/>
              <w:rPr>
                <w:lang w:val="en-GB"/>
              </w:rPr>
            </w:pPr>
            <w:r w:rsidRPr="003B1DD1">
              <w:rPr>
                <w:lang w:val="en-GB"/>
              </w:rPr>
              <w:t>No (spread spectrum carrier is overlay to the original carrier)</w:t>
            </w:r>
          </w:p>
        </w:tc>
      </w:tr>
      <w:tr w:rsidR="007D7C94" w:rsidRPr="00CC3572" w:rsidTr="00A355BC">
        <w:trPr>
          <w:jc w:val="center"/>
        </w:trPr>
        <w:tc>
          <w:tcPr>
            <w:tcW w:w="3185" w:type="dxa"/>
          </w:tcPr>
          <w:p w:rsidR="007D7C94" w:rsidRPr="003B1DD1" w:rsidRDefault="007D7C94" w:rsidP="00A355BC">
            <w:pPr>
              <w:pStyle w:val="Tabletext"/>
              <w:jc w:val="left"/>
              <w:rPr>
                <w:lang w:val="en-GB"/>
              </w:rPr>
            </w:pPr>
            <w:r w:rsidRPr="003B1DD1">
              <w:rPr>
                <w:lang w:val="en-GB"/>
              </w:rPr>
              <w:t>Robustness</w:t>
            </w:r>
          </w:p>
        </w:tc>
        <w:tc>
          <w:tcPr>
            <w:tcW w:w="3221" w:type="dxa"/>
            <w:shd w:val="clear" w:color="auto" w:fill="auto"/>
          </w:tcPr>
          <w:p w:rsidR="007D7C94" w:rsidRPr="003B1DD1" w:rsidRDefault="007D7C94" w:rsidP="00A355BC">
            <w:pPr>
              <w:pStyle w:val="Tabletext"/>
              <w:jc w:val="left"/>
              <w:rPr>
                <w:lang w:val="en-GB"/>
              </w:rPr>
            </w:pPr>
            <w:r w:rsidRPr="003B1DD1">
              <w:rPr>
                <w:lang w:val="en-GB"/>
              </w:rPr>
              <w:t>Low (Carrier-ID not recoverable if the original carrier is down)</w:t>
            </w:r>
          </w:p>
        </w:tc>
        <w:tc>
          <w:tcPr>
            <w:tcW w:w="3233" w:type="dxa"/>
            <w:shd w:val="clear" w:color="auto" w:fill="auto"/>
          </w:tcPr>
          <w:p w:rsidR="007D7C94" w:rsidRPr="003B1DD1" w:rsidRDefault="007D7C94" w:rsidP="00A355BC">
            <w:pPr>
              <w:pStyle w:val="Tabletext"/>
              <w:jc w:val="left"/>
              <w:rPr>
                <w:lang w:val="en-GB"/>
              </w:rPr>
            </w:pPr>
            <w:r w:rsidRPr="003B1DD1">
              <w:rPr>
                <w:lang w:val="en-GB"/>
              </w:rPr>
              <w:t>Higher (Carrier-ID can be decoded even if the original carrier is down)</w:t>
            </w:r>
          </w:p>
        </w:tc>
      </w:tr>
      <w:tr w:rsidR="007D7C94" w:rsidRPr="003B1DD1" w:rsidTr="00A355BC">
        <w:trPr>
          <w:jc w:val="center"/>
        </w:trPr>
        <w:tc>
          <w:tcPr>
            <w:tcW w:w="3185" w:type="dxa"/>
          </w:tcPr>
          <w:p w:rsidR="007D7C94" w:rsidRPr="003B1DD1" w:rsidRDefault="007D7C94" w:rsidP="00A355BC">
            <w:pPr>
              <w:pStyle w:val="Tabletext"/>
              <w:jc w:val="left"/>
              <w:rPr>
                <w:lang w:val="en-GB"/>
              </w:rPr>
            </w:pPr>
            <w:r w:rsidRPr="003B1DD1">
              <w:rPr>
                <w:lang w:val="en-GB"/>
              </w:rPr>
              <w:t>Injection point</w:t>
            </w:r>
          </w:p>
        </w:tc>
        <w:tc>
          <w:tcPr>
            <w:tcW w:w="3221" w:type="dxa"/>
            <w:shd w:val="clear" w:color="auto" w:fill="auto"/>
          </w:tcPr>
          <w:p w:rsidR="007D7C94" w:rsidRPr="003B1DD1" w:rsidRDefault="007D7C94" w:rsidP="00A355BC">
            <w:pPr>
              <w:pStyle w:val="Tabletext"/>
              <w:jc w:val="left"/>
              <w:rPr>
                <w:lang w:val="en-GB"/>
              </w:rPr>
            </w:pPr>
            <w:r w:rsidRPr="003B1DD1">
              <w:rPr>
                <w:lang w:val="en-GB"/>
              </w:rPr>
              <w:t>Modulator or Encoder</w:t>
            </w:r>
          </w:p>
        </w:tc>
        <w:tc>
          <w:tcPr>
            <w:tcW w:w="3233" w:type="dxa"/>
            <w:shd w:val="clear" w:color="auto" w:fill="auto"/>
          </w:tcPr>
          <w:p w:rsidR="007D7C94" w:rsidRPr="003B1DD1" w:rsidRDefault="007D7C94" w:rsidP="00A355BC">
            <w:pPr>
              <w:pStyle w:val="Tabletext"/>
              <w:jc w:val="left"/>
              <w:rPr>
                <w:lang w:val="en-GB"/>
              </w:rPr>
            </w:pPr>
            <w:r w:rsidRPr="003B1DD1">
              <w:rPr>
                <w:lang w:val="en-GB"/>
              </w:rPr>
              <w:t>Modulator</w:t>
            </w:r>
          </w:p>
        </w:tc>
      </w:tr>
      <w:tr w:rsidR="007D7C94" w:rsidRPr="003B1DD1" w:rsidTr="00A355BC">
        <w:trPr>
          <w:jc w:val="center"/>
        </w:trPr>
        <w:tc>
          <w:tcPr>
            <w:tcW w:w="3185" w:type="dxa"/>
          </w:tcPr>
          <w:p w:rsidR="007D7C94" w:rsidRPr="003B1DD1" w:rsidRDefault="007D7C94" w:rsidP="00A355BC">
            <w:pPr>
              <w:pStyle w:val="Tabletext"/>
              <w:jc w:val="left"/>
              <w:rPr>
                <w:lang w:val="en-GB"/>
              </w:rPr>
            </w:pPr>
            <w:r w:rsidRPr="003B1DD1">
              <w:rPr>
                <w:lang w:val="en-GB"/>
              </w:rPr>
              <w:t>Carrier ID decode speed</w:t>
            </w:r>
          </w:p>
        </w:tc>
        <w:tc>
          <w:tcPr>
            <w:tcW w:w="3221" w:type="dxa"/>
            <w:shd w:val="clear" w:color="auto" w:fill="auto"/>
          </w:tcPr>
          <w:p w:rsidR="007D7C94" w:rsidRPr="003B1DD1" w:rsidRDefault="007D7C94" w:rsidP="00A355BC">
            <w:pPr>
              <w:pStyle w:val="Tabletext"/>
              <w:jc w:val="left"/>
              <w:rPr>
                <w:lang w:val="en-GB"/>
              </w:rPr>
            </w:pPr>
            <w:r w:rsidRPr="003B1DD1">
              <w:rPr>
                <w:lang w:val="en-GB"/>
              </w:rPr>
              <w:t>Under 10 seconds</w:t>
            </w:r>
          </w:p>
        </w:tc>
        <w:tc>
          <w:tcPr>
            <w:tcW w:w="3233" w:type="dxa"/>
            <w:shd w:val="clear" w:color="auto" w:fill="auto"/>
          </w:tcPr>
          <w:p w:rsidR="007D7C94" w:rsidRPr="003B1DD1" w:rsidRDefault="007D7C94" w:rsidP="00A355BC">
            <w:pPr>
              <w:pStyle w:val="Tabletext"/>
              <w:jc w:val="left"/>
              <w:rPr>
                <w:lang w:val="en-GB"/>
              </w:rPr>
            </w:pPr>
            <w:r w:rsidRPr="003B1DD1">
              <w:rPr>
                <w:lang w:val="en-GB"/>
              </w:rPr>
              <w:t>15 seconds to over 1 minute</w:t>
            </w:r>
            <w:r w:rsidRPr="003B1DD1">
              <w:rPr>
                <w:rStyle w:val="FootnoteReference"/>
                <w:lang w:val="en-GB"/>
              </w:rPr>
              <w:t>*</w:t>
            </w:r>
          </w:p>
        </w:tc>
      </w:tr>
      <w:tr w:rsidR="007D7C94" w:rsidRPr="003B1DD1" w:rsidTr="00A355BC">
        <w:trPr>
          <w:jc w:val="center"/>
        </w:trPr>
        <w:tc>
          <w:tcPr>
            <w:tcW w:w="3185" w:type="dxa"/>
            <w:tcBorders>
              <w:bottom w:val="single" w:sz="4" w:space="0" w:color="auto"/>
            </w:tcBorders>
          </w:tcPr>
          <w:p w:rsidR="007D7C94" w:rsidRPr="003B1DD1" w:rsidRDefault="007D7C94" w:rsidP="00A355BC">
            <w:pPr>
              <w:pStyle w:val="Tabletext"/>
              <w:jc w:val="left"/>
              <w:rPr>
                <w:lang w:val="en-GB"/>
              </w:rPr>
            </w:pPr>
            <w:r w:rsidRPr="003B1DD1">
              <w:rPr>
                <w:lang w:val="en-GB"/>
              </w:rPr>
              <w:t>Ease of deployment</w:t>
            </w:r>
          </w:p>
        </w:tc>
        <w:tc>
          <w:tcPr>
            <w:tcW w:w="3221" w:type="dxa"/>
            <w:tcBorders>
              <w:bottom w:val="single" w:sz="4" w:space="0" w:color="auto"/>
            </w:tcBorders>
            <w:shd w:val="clear" w:color="auto" w:fill="auto"/>
          </w:tcPr>
          <w:p w:rsidR="007D7C94" w:rsidRPr="003B1DD1" w:rsidRDefault="007D7C94" w:rsidP="00A355BC">
            <w:pPr>
              <w:pStyle w:val="Tabletext"/>
              <w:jc w:val="left"/>
              <w:rPr>
                <w:lang w:val="en-GB"/>
              </w:rPr>
            </w:pPr>
            <w:r w:rsidRPr="003B1DD1">
              <w:rPr>
                <w:lang w:val="en-GB"/>
              </w:rPr>
              <w:t>Modulator: Software upgrade only</w:t>
            </w:r>
          </w:p>
          <w:p w:rsidR="007D7C94" w:rsidRPr="003B1DD1" w:rsidRDefault="007D7C94" w:rsidP="00A355BC">
            <w:pPr>
              <w:pStyle w:val="Tabletext"/>
              <w:jc w:val="left"/>
              <w:rPr>
                <w:lang w:val="en-GB"/>
              </w:rPr>
            </w:pPr>
            <w:r w:rsidRPr="003B1DD1">
              <w:rPr>
                <w:lang w:val="en-GB"/>
              </w:rPr>
              <w:t>Decoder: existing IRD and STB</w:t>
            </w:r>
          </w:p>
        </w:tc>
        <w:tc>
          <w:tcPr>
            <w:tcW w:w="3233" w:type="dxa"/>
            <w:tcBorders>
              <w:bottom w:val="single" w:sz="4" w:space="0" w:color="auto"/>
            </w:tcBorders>
            <w:shd w:val="clear" w:color="auto" w:fill="auto"/>
          </w:tcPr>
          <w:p w:rsidR="007D7C94" w:rsidRPr="003B1DD1" w:rsidRDefault="007D7C94" w:rsidP="00A355BC">
            <w:pPr>
              <w:pStyle w:val="Tabletext"/>
              <w:jc w:val="left"/>
              <w:rPr>
                <w:lang w:val="en-GB"/>
              </w:rPr>
            </w:pPr>
            <w:r w:rsidRPr="003B1DD1">
              <w:rPr>
                <w:lang w:val="en-GB"/>
              </w:rPr>
              <w:t>Modulator: DVB-CID Compliant Modulators or additional dedicated equipment</w:t>
            </w:r>
          </w:p>
          <w:p w:rsidR="007D7C94" w:rsidRPr="003B1DD1" w:rsidRDefault="007D7C94" w:rsidP="00A355BC">
            <w:pPr>
              <w:pStyle w:val="Tabletext"/>
              <w:jc w:val="left"/>
              <w:rPr>
                <w:lang w:val="en-GB"/>
              </w:rPr>
            </w:pPr>
            <w:r w:rsidRPr="003B1DD1">
              <w:rPr>
                <w:lang w:val="en-GB"/>
              </w:rPr>
              <w:t>Decoder: additional dedicated equipment</w:t>
            </w:r>
          </w:p>
        </w:tc>
      </w:tr>
      <w:tr w:rsidR="007D7C94" w:rsidRPr="00CC3572" w:rsidTr="00A355BC">
        <w:trPr>
          <w:jc w:val="center"/>
        </w:trPr>
        <w:tc>
          <w:tcPr>
            <w:tcW w:w="9639" w:type="dxa"/>
            <w:gridSpan w:val="3"/>
            <w:tcBorders>
              <w:top w:val="single" w:sz="4" w:space="0" w:color="auto"/>
              <w:left w:val="nil"/>
              <w:bottom w:val="nil"/>
              <w:right w:val="nil"/>
            </w:tcBorders>
          </w:tcPr>
          <w:p w:rsidR="007D7C94" w:rsidRPr="003B1DD1" w:rsidRDefault="007D7C94" w:rsidP="00A355BC">
            <w:pPr>
              <w:pStyle w:val="Tablelegend"/>
              <w:rPr>
                <w:lang w:val="en-GB"/>
              </w:rPr>
            </w:pPr>
            <w:r w:rsidRPr="003B1DD1">
              <w:rPr>
                <w:rStyle w:val="FootnoteReference"/>
                <w:lang w:val="en-GB"/>
              </w:rPr>
              <w:t>*</w:t>
            </w:r>
            <w:r w:rsidRPr="003B1DD1">
              <w:rPr>
                <w:lang w:val="en-GB"/>
              </w:rPr>
              <w:tab/>
              <w:t>Decoding speed of the Spread Spectrum Carrier-ID depends on the relative power of the interfering carrier and the desired carrier, the accuracy of the estimate of the symbol rate of the interfering carrier, and the</w:t>
            </w:r>
            <w:r>
              <w:rPr>
                <w:lang w:val="en-GB"/>
              </w:rPr>
              <w:t> </w:t>
            </w:r>
            <w:r w:rsidRPr="003B1DD1">
              <w:rPr>
                <w:lang w:val="en-GB"/>
              </w:rPr>
              <w:t>accuracy of the estimate of the centre frequency of the interfering carrier.</w:t>
            </w:r>
          </w:p>
        </w:tc>
      </w:tr>
    </w:tbl>
    <w:p w:rsidR="007D7C94" w:rsidRPr="003B1DD1" w:rsidRDefault="007D7C94" w:rsidP="007D7C94">
      <w:pPr>
        <w:pStyle w:val="Tablefin"/>
      </w:pPr>
    </w:p>
    <w:p w:rsidR="007D7C94" w:rsidRPr="003B1DD1" w:rsidRDefault="007D7C94" w:rsidP="007D7C94">
      <w:pPr>
        <w:pStyle w:val="Heading1"/>
        <w:rPr>
          <w:lang w:val="en-GB" w:eastAsia="ja-JP"/>
        </w:rPr>
      </w:pPr>
      <w:r w:rsidRPr="003B1DD1">
        <w:rPr>
          <w:lang w:val="en-GB" w:eastAsia="ja-JP"/>
        </w:rPr>
        <w:t>3</w:t>
      </w:r>
      <w:r w:rsidRPr="003B1DD1">
        <w:rPr>
          <w:lang w:val="en-GB" w:eastAsia="ja-JP"/>
        </w:rPr>
        <w:tab/>
      </w:r>
      <w:r w:rsidRPr="003B1DD1">
        <w:rPr>
          <w:rFonts w:eastAsia="MS Mincho"/>
          <w:lang w:val="en-GB"/>
        </w:rPr>
        <w:t>Carrier</w:t>
      </w:r>
      <w:r w:rsidRPr="003B1DD1">
        <w:rPr>
          <w:rFonts w:eastAsia="MS Mincho"/>
          <w:lang w:val="en-GB" w:eastAsia="ja-JP"/>
        </w:rPr>
        <w:t>-ID identifying configuration</w:t>
      </w:r>
    </w:p>
    <w:p w:rsidR="007D7C94" w:rsidRPr="003B1DD1" w:rsidRDefault="007D7C94" w:rsidP="007D7C94">
      <w:pPr>
        <w:rPr>
          <w:lang w:val="en-GB" w:eastAsia="ja-JP"/>
        </w:rPr>
      </w:pPr>
      <w:r w:rsidRPr="003B1DD1">
        <w:rPr>
          <w:lang w:val="en-GB" w:eastAsia="ja-JP"/>
        </w:rPr>
        <w:t>As mentioned above, in general, NIT does not need special equipment to insert and detect the Carrier</w:t>
      </w:r>
      <w:r>
        <w:rPr>
          <w:lang w:val="en-GB" w:eastAsia="ja-JP"/>
        </w:rPr>
        <w:noBreakHyphen/>
      </w:r>
      <w:r w:rsidRPr="003B1DD1">
        <w:rPr>
          <w:lang w:val="en-GB" w:eastAsia="ja-JP"/>
        </w:rPr>
        <w:t xml:space="preserve">ID, i.e. just updating the software of </w:t>
      </w:r>
      <w:r>
        <w:rPr>
          <w:lang w:val="en-GB" w:eastAsia="ja-JP"/>
        </w:rPr>
        <w:t xml:space="preserve">the </w:t>
      </w:r>
      <w:r w:rsidRPr="003B1DD1">
        <w:rPr>
          <w:lang w:val="en-GB" w:eastAsia="ja-JP"/>
        </w:rPr>
        <w:t>modulator or encoder, while the Spread Spectrum method requires dedicated equipment to insert the Carrier-ID for older modulators that are not DVB</w:t>
      </w:r>
      <w:r>
        <w:rPr>
          <w:lang w:val="en-GB" w:eastAsia="ja-JP"/>
        </w:rPr>
        <w:noBreakHyphen/>
      </w:r>
      <w:r w:rsidRPr="003B1DD1">
        <w:rPr>
          <w:lang w:val="en-GB" w:eastAsia="ja-JP"/>
        </w:rPr>
        <w:t xml:space="preserve">CID compliant. </w:t>
      </w:r>
    </w:p>
    <w:p w:rsidR="007D7C94" w:rsidRPr="003B1DD1" w:rsidRDefault="007D7C94" w:rsidP="007D7C94">
      <w:pPr>
        <w:rPr>
          <w:lang w:val="en-GB" w:eastAsia="ja-JP"/>
        </w:rPr>
      </w:pPr>
      <w:r w:rsidRPr="003B1DD1">
        <w:rPr>
          <w:lang w:val="en-GB" w:eastAsia="ja-JP"/>
        </w:rPr>
        <w:t>The receiving devices also need special function of receiving and identifying or decoding the Carrier</w:t>
      </w:r>
      <w:r>
        <w:rPr>
          <w:lang w:val="en-GB" w:eastAsia="ja-JP"/>
        </w:rPr>
        <w:noBreakHyphen/>
      </w:r>
      <w:r w:rsidRPr="003B1DD1">
        <w:rPr>
          <w:lang w:val="en-GB" w:eastAsia="ja-JP"/>
        </w:rPr>
        <w:t xml:space="preserve">ID. However, the function of decoding the ID need not to be installed in all receivers, </w:t>
      </w:r>
      <w:r>
        <w:rPr>
          <w:lang w:val="en-GB" w:eastAsia="ja-JP"/>
        </w:rPr>
        <w:t>but a </w:t>
      </w:r>
      <w:r w:rsidRPr="003B1DD1">
        <w:rPr>
          <w:lang w:val="en-GB" w:eastAsia="ja-JP"/>
        </w:rPr>
        <w:t>dedicated receiver, which may be owned and operated by the satellite operator.</w:t>
      </w:r>
    </w:p>
    <w:p w:rsidR="007D7C94" w:rsidRPr="003B1DD1" w:rsidRDefault="007D7C94" w:rsidP="007D7C94">
      <w:pPr>
        <w:rPr>
          <w:lang w:val="en-GB" w:eastAsia="ja-JP"/>
        </w:rPr>
      </w:pPr>
      <w:r w:rsidRPr="003B1DD1">
        <w:rPr>
          <w:lang w:val="en-GB" w:eastAsia="ja-JP"/>
        </w:rPr>
        <w:t>The satellite operator also needs to control and maintain the Carrier-ID in an integrated fashion, i.e. their customer database, in order to resolve an ID to a transmitting earth station.</w:t>
      </w:r>
    </w:p>
    <w:p w:rsidR="007D7C94" w:rsidRPr="003B1DD1" w:rsidRDefault="007D7C94" w:rsidP="007D7C94">
      <w:pPr>
        <w:pStyle w:val="Heading1"/>
        <w:rPr>
          <w:lang w:val="en-GB" w:eastAsia="ja-JP"/>
        </w:rPr>
      </w:pPr>
      <w:r w:rsidRPr="003B1DD1">
        <w:rPr>
          <w:lang w:val="en-GB" w:eastAsia="ja-JP"/>
        </w:rPr>
        <w:t>4</w:t>
      </w:r>
      <w:r w:rsidRPr="003B1DD1">
        <w:rPr>
          <w:lang w:val="en-GB"/>
        </w:rPr>
        <w:tab/>
        <w:t>Summary</w:t>
      </w:r>
    </w:p>
    <w:p w:rsidR="007D7C94" w:rsidRPr="003B1DD1" w:rsidRDefault="007D7C94" w:rsidP="007D7C94">
      <w:pPr>
        <w:rPr>
          <w:lang w:val="en-GB" w:eastAsia="ja-JP"/>
        </w:rPr>
      </w:pPr>
      <w:r w:rsidRPr="003B1DD1">
        <w:rPr>
          <w:lang w:val="en-GB" w:eastAsia="ja-JP"/>
        </w:rPr>
        <w:t>Carrier-ID may be used to facilitate the rapid identification of an interference source and reduce the time required to clear the interference that occurs unintentionally.</w:t>
      </w:r>
    </w:p>
    <w:p w:rsidR="00A6617B" w:rsidRPr="00A6617B" w:rsidRDefault="00A6617B" w:rsidP="008E51A6">
      <w:pPr>
        <w:pStyle w:val="Line"/>
      </w:pPr>
    </w:p>
    <w:sectPr w:rsidR="00A6617B" w:rsidRPr="00A6617B" w:rsidSect="0069555D">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C9D" w:rsidRDefault="000D1C9D">
      <w:r>
        <w:separator/>
      </w:r>
    </w:p>
  </w:endnote>
  <w:endnote w:type="continuationSeparator" w:id="0">
    <w:p w:rsidR="000D1C9D" w:rsidRDefault="000D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C9D" w:rsidRDefault="000D1C9D">
      <w:r>
        <w:separator/>
      </w:r>
    </w:p>
  </w:footnote>
  <w:footnote w:type="continuationSeparator" w:id="0">
    <w:p w:rsidR="000D1C9D" w:rsidRDefault="000D1C9D">
      <w:r>
        <w:continuationSeparator/>
      </w:r>
    </w:p>
  </w:footnote>
  <w:footnote w:id="1">
    <w:p w:rsidR="009528F3" w:rsidRPr="004B6F6B" w:rsidRDefault="009528F3" w:rsidP="009528F3">
      <w:pPr>
        <w:pStyle w:val="FootnoteText"/>
        <w:rPr>
          <w:lang w:val="en-US"/>
        </w:rPr>
      </w:pPr>
      <w:r w:rsidRPr="004B6F6B">
        <w:rPr>
          <w:rStyle w:val="FootnoteReference"/>
          <w:lang w:val="en-US"/>
        </w:rPr>
        <w:t>*</w:t>
      </w:r>
      <w:r w:rsidRPr="004B6F6B">
        <w:rPr>
          <w:lang w:val="en-US"/>
        </w:rPr>
        <w:t xml:space="preserve"> </w:t>
      </w:r>
      <w:r w:rsidRPr="004B6F6B">
        <w:rPr>
          <w:lang w:val="en-US"/>
        </w:rPr>
        <w:tab/>
      </w:r>
      <w:r w:rsidRPr="00745D15">
        <w:rPr>
          <w:lang w:val="en-US"/>
        </w:rPr>
        <w:t xml:space="preserve">Radiocommunication Study Group </w:t>
      </w:r>
      <w:r>
        <w:rPr>
          <w:lang w:val="en-US"/>
        </w:rPr>
        <w:t>4</w:t>
      </w:r>
      <w:r w:rsidRPr="00745D15">
        <w:rPr>
          <w:lang w:val="en-US"/>
        </w:rPr>
        <w:t xml:space="preserve"> made editorial amendments to this Recommendation in </w:t>
      </w:r>
      <w:r>
        <w:rPr>
          <w:lang w:val="en-US"/>
        </w:rPr>
        <w:t>the year 2015</w:t>
      </w:r>
      <w:r w:rsidRPr="00745D15">
        <w:rPr>
          <w:lang w:val="en-US"/>
        </w:rPr>
        <w:t xml:space="preserve">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94" w:rsidRDefault="007D7C9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94" w:rsidRDefault="007D7C94" w:rsidP="00885C3D">
    <w:pPr>
      <w:ind w:right="360" w:firstLine="360"/>
    </w:pPr>
    <w:r>
      <w:rPr>
        <w:noProof/>
        <w:lang w:val="en-US" w:eastAsia="zh-CN"/>
      </w:rPr>
      <w:drawing>
        <wp:anchor distT="0" distB="0" distL="114300" distR="114300" simplePos="0" relativeHeight="251659264" behindDoc="1" locked="0" layoutInCell="1" allowOverlap="1" wp14:anchorId="3E6F1854" wp14:editId="47051360">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94" w:rsidRPr="00FC42AF" w:rsidRDefault="007D7C94"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63A19">
      <w:rPr>
        <w:rStyle w:val="PageNumber"/>
        <w:b/>
        <w:bCs/>
        <w:noProof/>
      </w:rPr>
      <w:t>ii</w:t>
    </w:r>
    <w:r>
      <w:rPr>
        <w:rStyle w:val="PageNumber"/>
        <w:b/>
        <w:bCs/>
      </w:rPr>
      <w:fldChar w:fldCharType="end"/>
    </w:r>
    <w:r w:rsidRPr="00FC42AF">
      <w:tab/>
    </w:r>
    <w:r w:rsidR="00C63A19">
      <w:fldChar w:fldCharType="begin"/>
    </w:r>
    <w:r w:rsidR="00C63A19">
      <w:instrText xml:space="preserve"> DOCPROPERTY "Header" \* MERGEFORMAT </w:instrText>
    </w:r>
    <w:r w:rsidR="00C63A19">
      <w:fldChar w:fldCharType="separate"/>
    </w:r>
    <w:r w:rsidR="00C63A19" w:rsidRPr="00C63A19">
      <w:rPr>
        <w:b/>
        <w:bCs/>
      </w:rPr>
      <w:t xml:space="preserve">Rec. </w:t>
    </w:r>
    <w:r w:rsidR="00C63A19">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C63A19">
      <w:rPr>
        <w:b/>
        <w:bCs/>
        <w:noProof/>
      </w:rPr>
      <w:t>ITU-R  S.2062-0</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94" w:rsidRDefault="007D7C94">
    <w:r>
      <w:tab/>
    </w:r>
    <w:r w:rsidR="00C63A19">
      <w:fldChar w:fldCharType="begin"/>
    </w:r>
    <w:r w:rsidR="00C63A19">
      <w:instrText xml:space="preserve"> DOCPROPERTY "Header" \* MERGEFORMAT </w:instrText>
    </w:r>
    <w:r w:rsidR="00C63A19">
      <w:fldChar w:fldCharType="separate"/>
    </w:r>
    <w:r w:rsidR="00C63A19" w:rsidRPr="00C63A19">
      <w:rPr>
        <w:b/>
        <w:bCs/>
      </w:rPr>
      <w:t xml:space="preserve">Rec. </w:t>
    </w:r>
    <w:r w:rsidR="00C63A19">
      <w:rPr>
        <w:b/>
        <w:bCs/>
      </w:rPr>
      <w:fldChar w:fldCharType="end"/>
    </w:r>
    <w:r>
      <w:rPr>
        <w:b/>
        <w:bCs/>
      </w:rPr>
      <w:t xml:space="preserve"> </w:t>
    </w:r>
    <w:r>
      <w:rPr>
        <w:b/>
        <w:bCs/>
      </w:rPr>
      <w:fldChar w:fldCharType="begin"/>
    </w:r>
    <w:r>
      <w:rPr>
        <w:b/>
        <w:bCs/>
      </w:rPr>
      <w:instrText>styleref href</w:instrText>
    </w:r>
    <w:r>
      <w:rPr>
        <w:b/>
        <w:bCs/>
      </w:rPr>
      <w:fldChar w:fldCharType="separate"/>
    </w:r>
    <w:r w:rsidR="00C63A19">
      <w:rPr>
        <w:b/>
        <w:bCs/>
        <w:noProof/>
      </w:rPr>
      <w:t>ITU-R  S.2062-0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B419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3A19">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63A19" w:rsidRPr="00C63A1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63A19">
      <w:rPr>
        <w:b/>
        <w:bCs/>
        <w:noProof/>
      </w:rPr>
      <w:t>ITU-R  S.2062-0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C63A19">
      <w:fldChar w:fldCharType="begin"/>
    </w:r>
    <w:r w:rsidR="00C63A19">
      <w:instrText xml:space="preserve"> DOCPROPERTY "Header" \* MERGEFORMAT </w:instrText>
    </w:r>
    <w:r w:rsidR="00C63A19">
      <w:fldChar w:fldCharType="separate"/>
    </w:r>
    <w:r w:rsidR="00C63A19" w:rsidRPr="00C63A19">
      <w:rPr>
        <w:b/>
        <w:bCs/>
      </w:rPr>
      <w:t xml:space="preserve">Rec. </w:t>
    </w:r>
    <w:r w:rsidR="00C63A19">
      <w:rPr>
        <w:b/>
        <w:bCs/>
      </w:rPr>
      <w:fldChar w:fldCharType="end"/>
    </w:r>
    <w:r>
      <w:rPr>
        <w:b/>
        <w:bCs/>
      </w:rPr>
      <w:t xml:space="preserve"> </w:t>
    </w:r>
    <w:r>
      <w:rPr>
        <w:b/>
        <w:bCs/>
      </w:rPr>
      <w:fldChar w:fldCharType="begin"/>
    </w:r>
    <w:r>
      <w:rPr>
        <w:b/>
        <w:bCs/>
      </w:rPr>
      <w:instrText>styleref href</w:instrText>
    </w:r>
    <w:r>
      <w:rPr>
        <w:b/>
        <w:bCs/>
      </w:rPr>
      <w:fldChar w:fldCharType="separate"/>
    </w:r>
    <w:r w:rsidR="00C63A19">
      <w:rPr>
        <w:b/>
        <w:bCs/>
        <w:noProof/>
      </w:rPr>
      <w:t>ITU-R  S.2062-0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63A19">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C94"/>
    <w:rsid w:val="000D1C9D"/>
    <w:rsid w:val="00217EBF"/>
    <w:rsid w:val="00242AEE"/>
    <w:rsid w:val="002D76C4"/>
    <w:rsid w:val="004A0FBC"/>
    <w:rsid w:val="004A1D7A"/>
    <w:rsid w:val="004E7247"/>
    <w:rsid w:val="0052529D"/>
    <w:rsid w:val="00607D68"/>
    <w:rsid w:val="0069555D"/>
    <w:rsid w:val="007468DA"/>
    <w:rsid w:val="007D7C94"/>
    <w:rsid w:val="007F0FC6"/>
    <w:rsid w:val="008C16F3"/>
    <w:rsid w:val="008E51A6"/>
    <w:rsid w:val="009528F3"/>
    <w:rsid w:val="009E00A8"/>
    <w:rsid w:val="00A6617B"/>
    <w:rsid w:val="00AB0DC8"/>
    <w:rsid w:val="00B44E24"/>
    <w:rsid w:val="00C63A19"/>
    <w:rsid w:val="00CC3572"/>
    <w:rsid w:val="00CC5822"/>
    <w:rsid w:val="00CF2736"/>
    <w:rsid w:val="00DF4176"/>
    <w:rsid w:val="00F14355"/>
    <w:rsid w:val="00FB41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30"/>
    <o:shapelayout v:ext="edit">
      <o:idmap v:ext="edit" data="1"/>
    </o:shapelayout>
  </w:shapeDefaults>
  <w:decimalSymbol w:val="."/>
  <w:listSeparator w:val=","/>
  <w15:docId w15:val="{036D36B0-6715-4C74-A1C8-AFC48D2AF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C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D7C94"/>
    <w:rPr>
      <w:b/>
      <w:sz w:val="24"/>
      <w:lang w:val="fr-FR" w:eastAsia="en-US"/>
    </w:rPr>
  </w:style>
  <w:style w:type="character" w:customStyle="1" w:styleId="HeaderChar">
    <w:name w:val="Header Char"/>
    <w:basedOn w:val="DefaultParagraphFont"/>
    <w:link w:val="Header"/>
    <w:rsid w:val="007D7C94"/>
    <w:rPr>
      <w:sz w:val="24"/>
      <w:lang w:val="fr-FR" w:eastAsia="en-US"/>
    </w:rPr>
  </w:style>
  <w:style w:type="character" w:styleId="Hyperlink">
    <w:name w:val="Hyperlink"/>
    <w:basedOn w:val="DefaultParagraphFont"/>
    <w:rsid w:val="007D7C94"/>
    <w:rPr>
      <w:color w:val="0000FF"/>
      <w:u w:val="single"/>
    </w:rPr>
  </w:style>
  <w:style w:type="character" w:customStyle="1" w:styleId="NormalaftertitleChar">
    <w:name w:val="Normal_after_title Char"/>
    <w:link w:val="Normalaftertitle"/>
    <w:locked/>
    <w:rsid w:val="007D7C94"/>
    <w:rPr>
      <w:sz w:val="24"/>
      <w:lang w:val="fr-FR" w:eastAsia="en-US"/>
    </w:rPr>
  </w:style>
  <w:style w:type="character" w:customStyle="1" w:styleId="CallChar">
    <w:name w:val="Call Char"/>
    <w:basedOn w:val="DefaultParagraphFont"/>
    <w:link w:val="Call"/>
    <w:locked/>
    <w:rsid w:val="007D7C94"/>
    <w:rPr>
      <w:i/>
      <w:sz w:val="24"/>
      <w:lang w:val="fr-FR" w:eastAsia="en-US"/>
    </w:rPr>
  </w:style>
  <w:style w:type="character" w:customStyle="1" w:styleId="enumlev10">
    <w:name w:val="enumlev1 Знак"/>
    <w:basedOn w:val="DefaultParagraphFont"/>
    <w:link w:val="enumlev1"/>
    <w:locked/>
    <w:rsid w:val="007D7C94"/>
    <w:rPr>
      <w:sz w:val="24"/>
      <w:lang w:val="fr-FR" w:eastAsia="en-US"/>
    </w:rPr>
  </w:style>
  <w:style w:type="character" w:customStyle="1" w:styleId="TabletextChar">
    <w:name w:val="Table_text Char"/>
    <w:link w:val="Tabletext"/>
    <w:locked/>
    <w:rsid w:val="007D7C94"/>
    <w:rPr>
      <w:sz w:val="22"/>
      <w:lang w:val="fr-FR" w:eastAsia="en-US"/>
    </w:rPr>
  </w:style>
  <w:style w:type="character" w:customStyle="1" w:styleId="Tabletitle0">
    <w:name w:val="Table_title Знак"/>
    <w:basedOn w:val="DefaultParagraphFont"/>
    <w:link w:val="Tabletitle"/>
    <w:uiPriority w:val="99"/>
    <w:locked/>
    <w:rsid w:val="007D7C94"/>
    <w:rPr>
      <w:b/>
      <w:sz w:val="24"/>
      <w:lang w:val="fr-FR" w:eastAsia="en-US"/>
    </w:rPr>
  </w:style>
  <w:style w:type="character" w:customStyle="1" w:styleId="FiguretitleChar">
    <w:name w:val="Figure_title Char"/>
    <w:basedOn w:val="DefaultParagraphFont"/>
    <w:link w:val="Figuretitle"/>
    <w:locked/>
    <w:rsid w:val="007D7C94"/>
    <w:rPr>
      <w:rFonts w:ascii="Times New Roman Bold" w:hAnsi="Times New Roman Bold"/>
      <w:b/>
      <w:sz w:val="18"/>
      <w:lang w:val="fr-FR" w:eastAsia="en-US"/>
    </w:rPr>
  </w:style>
  <w:style w:type="character" w:customStyle="1" w:styleId="FigureNoChar">
    <w:name w:val="Figure_No Char"/>
    <w:basedOn w:val="DefaultParagraphFont"/>
    <w:link w:val="FigureNo"/>
    <w:locked/>
    <w:rsid w:val="007D7C94"/>
    <w:rPr>
      <w:caps/>
      <w:sz w:val="18"/>
      <w:lang w:val="fr-FR" w:eastAsia="en-US"/>
    </w:rPr>
  </w:style>
  <w:style w:type="character" w:customStyle="1" w:styleId="TableheadChar">
    <w:name w:val="Table_head Char"/>
    <w:link w:val="Tablehead"/>
    <w:locked/>
    <w:rsid w:val="007D7C94"/>
    <w:rPr>
      <w:b/>
      <w:sz w:val="22"/>
      <w:lang w:val="fr-FR" w:eastAsia="en-US"/>
    </w:rPr>
  </w:style>
  <w:style w:type="character" w:customStyle="1" w:styleId="TablelegendChar">
    <w:name w:val="Table_legend Char"/>
    <w:link w:val="Tablelegend"/>
    <w:locked/>
    <w:rsid w:val="007D7C94"/>
    <w:rPr>
      <w:sz w:val="22"/>
      <w:lang w:val="fr-FR" w:eastAsia="en-US"/>
    </w:rPr>
  </w:style>
  <w:style w:type="character" w:customStyle="1" w:styleId="TableNo0">
    <w:name w:val="Table_No Знак"/>
    <w:basedOn w:val="DefaultParagraphFont"/>
    <w:link w:val="TableNo"/>
    <w:uiPriority w:val="99"/>
    <w:locked/>
    <w:rsid w:val="007D7C94"/>
    <w:rPr>
      <w:sz w:val="24"/>
      <w:lang w:val="fr-FR" w:eastAsia="en-US"/>
    </w:rPr>
  </w:style>
  <w:style w:type="character" w:customStyle="1" w:styleId="HeadingbChar">
    <w:name w:val="Heading_b Char"/>
    <w:basedOn w:val="DefaultParagraphFont"/>
    <w:link w:val="Headingb"/>
    <w:locked/>
    <w:rsid w:val="007D7C9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1</Pages>
  <Words>2140</Words>
  <Characters>12569</Characters>
  <Application>Microsoft Office Word</Application>
  <DocSecurity>0</DocSecurity>
  <Lines>502</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cp:revision>
  <cp:lastPrinted>2016-04-08T09:34:00Z</cp:lastPrinted>
  <dcterms:created xsi:type="dcterms:W3CDTF">2016-04-08T08:45:00Z</dcterms:created>
  <dcterms:modified xsi:type="dcterms:W3CDTF">2016-04-08T09:35:00Z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