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0771" w:rsidRDefault="00CD0771" w:rsidP="00CD0771">
      <w:bookmarkStart w:id="0" w:name="Doc_title"/>
    </w:p>
    <w:p w:rsidR="00CD0771" w:rsidRDefault="00CD0771" w:rsidP="00CD0771"/>
    <w:p w:rsidR="00CD0771" w:rsidRDefault="00CD0771" w:rsidP="00CD0771"/>
    <w:p w:rsidR="00CD0771" w:rsidRDefault="00CD0771" w:rsidP="00CD0771"/>
    <w:p w:rsidR="00CD0771" w:rsidRDefault="00CD0771" w:rsidP="00CD0771"/>
    <w:p w:rsidR="00CD0771" w:rsidRDefault="00CD0771" w:rsidP="00CD0771"/>
    <w:p w:rsidR="00CD0771" w:rsidRDefault="00CD0771" w:rsidP="00CD0771"/>
    <w:p w:rsidR="00CD0771" w:rsidRDefault="00CD0771" w:rsidP="00CD0771"/>
    <w:p w:rsidR="00CD0771" w:rsidRDefault="00CD0771" w:rsidP="00CD0771"/>
    <w:p w:rsidR="00CD0771" w:rsidRDefault="00CD0771" w:rsidP="00CD0771"/>
    <w:p w:rsidR="00CD0771" w:rsidRDefault="00CD0771" w:rsidP="00CD0771"/>
    <w:p w:rsidR="00CD0771" w:rsidRDefault="00CD0771" w:rsidP="00CD0771"/>
    <w:tbl>
      <w:tblPr>
        <w:tblW w:w="10089" w:type="dxa"/>
        <w:tblLook w:val="01E0" w:firstRow="1" w:lastRow="1" w:firstColumn="1" w:lastColumn="1" w:noHBand="0" w:noVBand="0"/>
      </w:tblPr>
      <w:tblGrid>
        <w:gridCol w:w="10089"/>
      </w:tblGrid>
      <w:tr w:rsidR="00CD0771" w:rsidRPr="00A443C2" w:rsidTr="00C10A05">
        <w:tc>
          <w:tcPr>
            <w:tcW w:w="10089" w:type="dxa"/>
          </w:tcPr>
          <w:p w:rsidR="00CD0771" w:rsidRPr="00B033C8" w:rsidRDefault="00CD0771" w:rsidP="00C10A05">
            <w:pPr>
              <w:spacing w:before="380" w:line="280" w:lineRule="exact"/>
              <w:jc w:val="right"/>
              <w:rPr>
                <w:rFonts w:ascii="Tahoma" w:hAnsi="Tahoma" w:cs="Tahoma"/>
                <w:b/>
                <w:bCs/>
                <w:iCs/>
                <w:color w:val="243285"/>
                <w:sz w:val="32"/>
                <w:szCs w:val="32"/>
                <w:lang w:val="en-US"/>
              </w:rPr>
            </w:pPr>
          </w:p>
          <w:p w:rsidR="00CD0771" w:rsidRPr="00A443C2" w:rsidRDefault="00CD0771" w:rsidP="008C58A8">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S</w:t>
            </w:r>
            <w:r w:rsidRPr="00A443C2">
              <w:rPr>
                <w:rFonts w:ascii="Tahoma" w:hAnsi="Tahoma" w:cs="Tahoma"/>
                <w:b/>
                <w:bCs/>
                <w:iCs/>
                <w:color w:val="243285"/>
                <w:sz w:val="36"/>
                <w:szCs w:val="36"/>
              </w:rPr>
              <w:t>.</w:t>
            </w:r>
            <w:r w:rsidR="008C58A8">
              <w:rPr>
                <w:rFonts w:ascii="Tahoma" w:hAnsi="Tahoma" w:cs="Tahoma"/>
                <w:b/>
                <w:bCs/>
                <w:iCs/>
                <w:color w:val="243285"/>
                <w:sz w:val="36"/>
                <w:szCs w:val="36"/>
              </w:rPr>
              <w:t>1527</w:t>
            </w:r>
          </w:p>
          <w:p w:rsidR="00CD0771" w:rsidRPr="00A443C2" w:rsidRDefault="00CD0771" w:rsidP="008C58A8">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8C58A8">
              <w:rPr>
                <w:rFonts w:ascii="Tahoma" w:hAnsi="Tahoma" w:cs="Tahoma"/>
                <w:b/>
                <w:bCs/>
                <w:iCs/>
                <w:color w:val="243285"/>
                <w:szCs w:val="24"/>
              </w:rPr>
              <w:t>0</w:t>
            </w:r>
            <w:r w:rsidR="00E546C4">
              <w:rPr>
                <w:rFonts w:ascii="Tahoma" w:hAnsi="Tahoma" w:cs="Tahoma"/>
                <w:b/>
                <w:bCs/>
                <w:iCs/>
                <w:color w:val="243285"/>
                <w:szCs w:val="24"/>
              </w:rPr>
              <w:t>6</w:t>
            </w:r>
            <w:bookmarkStart w:id="1" w:name="_GoBack"/>
            <w:bookmarkEnd w:id="1"/>
            <w:r w:rsidRPr="00A443C2">
              <w:rPr>
                <w:rFonts w:ascii="Tahoma" w:hAnsi="Tahoma" w:cs="Tahoma"/>
                <w:b/>
                <w:bCs/>
                <w:iCs/>
                <w:color w:val="243285"/>
                <w:szCs w:val="24"/>
              </w:rPr>
              <w:t>/</w:t>
            </w:r>
            <w:r w:rsidR="008C58A8">
              <w:rPr>
                <w:rFonts w:ascii="Tahoma" w:hAnsi="Tahoma" w:cs="Tahoma"/>
                <w:b/>
                <w:bCs/>
                <w:iCs/>
                <w:color w:val="243285"/>
                <w:szCs w:val="24"/>
              </w:rPr>
              <w:t>2001</w:t>
            </w:r>
            <w:r w:rsidRPr="00A443C2">
              <w:rPr>
                <w:rFonts w:ascii="Tahoma" w:hAnsi="Tahoma" w:cs="Tahoma"/>
                <w:b/>
                <w:bCs/>
                <w:iCs/>
                <w:color w:val="243285"/>
                <w:szCs w:val="24"/>
              </w:rPr>
              <w:t>)</w:t>
            </w:r>
          </w:p>
        </w:tc>
      </w:tr>
      <w:tr w:rsidR="00CD0771" w:rsidRPr="00F54FBD" w:rsidTr="00C10A05">
        <w:tc>
          <w:tcPr>
            <w:tcW w:w="10089" w:type="dxa"/>
          </w:tcPr>
          <w:p w:rsidR="00CD0771" w:rsidRDefault="00CD0771" w:rsidP="00C10A05">
            <w:pPr>
              <w:spacing w:before="80" w:line="500" w:lineRule="exact"/>
              <w:jc w:val="right"/>
              <w:rPr>
                <w:rFonts w:ascii="Tahoma" w:hAnsi="Tahoma" w:cs="Tahoma"/>
                <w:b/>
                <w:bCs/>
                <w:iCs/>
                <w:color w:val="243285"/>
                <w:sz w:val="44"/>
                <w:szCs w:val="44"/>
              </w:rPr>
            </w:pPr>
          </w:p>
          <w:p w:rsidR="00CD0771" w:rsidRDefault="008C58A8" w:rsidP="008C58A8">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Procédure d'identification des satellites non géostationnaires brouillant une station terrienne géostationnaire en service</w:t>
            </w:r>
          </w:p>
          <w:p w:rsidR="00CD0771" w:rsidRPr="00F54FBD" w:rsidRDefault="00CD0771" w:rsidP="00C10A05">
            <w:pPr>
              <w:spacing w:before="80" w:line="500" w:lineRule="exact"/>
              <w:jc w:val="right"/>
              <w:rPr>
                <w:rFonts w:ascii="Tahoma" w:hAnsi="Tahoma" w:cs="Tahoma"/>
                <w:b/>
                <w:bCs/>
                <w:iCs/>
                <w:color w:val="243285"/>
                <w:sz w:val="44"/>
                <w:szCs w:val="44"/>
              </w:rPr>
            </w:pPr>
          </w:p>
        </w:tc>
      </w:tr>
      <w:tr w:rsidR="00CD0771" w:rsidRPr="00F54FBD" w:rsidTr="00C10A05">
        <w:tc>
          <w:tcPr>
            <w:tcW w:w="10089" w:type="dxa"/>
          </w:tcPr>
          <w:p w:rsidR="00CD0771" w:rsidRPr="00F54FBD" w:rsidRDefault="00CD0771" w:rsidP="00C10A05">
            <w:pPr>
              <w:spacing w:before="80" w:line="280" w:lineRule="exact"/>
              <w:ind w:right="640"/>
              <w:rPr>
                <w:rFonts w:ascii="Tahoma" w:hAnsi="Tahoma" w:cs="Tahoma"/>
                <w:b/>
                <w:bCs/>
                <w:iCs/>
                <w:color w:val="243285"/>
                <w:sz w:val="32"/>
                <w:szCs w:val="32"/>
              </w:rPr>
            </w:pPr>
          </w:p>
          <w:p w:rsidR="00CD0771" w:rsidRPr="00F54FBD" w:rsidRDefault="00CD0771" w:rsidP="00C10A05">
            <w:pPr>
              <w:spacing w:before="80" w:line="280" w:lineRule="exact"/>
              <w:ind w:right="640"/>
              <w:rPr>
                <w:rFonts w:ascii="Tahoma" w:hAnsi="Tahoma" w:cs="Tahoma"/>
                <w:b/>
                <w:bCs/>
                <w:iCs/>
                <w:color w:val="243285"/>
                <w:sz w:val="32"/>
                <w:szCs w:val="32"/>
              </w:rPr>
            </w:pPr>
          </w:p>
          <w:p w:rsidR="00CD0771" w:rsidRPr="00F54FBD" w:rsidRDefault="00CD0771" w:rsidP="00C10A05">
            <w:pPr>
              <w:spacing w:before="80" w:after="180" w:line="360" w:lineRule="exact"/>
              <w:ind w:right="720"/>
              <w:rPr>
                <w:rFonts w:ascii="Tahoma" w:hAnsi="Tahoma" w:cs="Tahoma"/>
                <w:b/>
                <w:bCs/>
                <w:iCs/>
                <w:color w:val="243285"/>
                <w:sz w:val="36"/>
                <w:szCs w:val="36"/>
              </w:rPr>
            </w:pPr>
          </w:p>
          <w:p w:rsidR="00CD0771" w:rsidRPr="00F54FBD" w:rsidRDefault="00CD0771" w:rsidP="00C10A05">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S</w:t>
            </w:r>
          </w:p>
          <w:p w:rsidR="00CD0771" w:rsidRPr="00F54FBD" w:rsidRDefault="00CD0771" w:rsidP="00C10A05">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 fixe par satellite</w:t>
            </w:r>
          </w:p>
        </w:tc>
      </w:tr>
    </w:tbl>
    <w:p w:rsidR="00CD0771" w:rsidRDefault="00CD0771" w:rsidP="00CD0771">
      <w:pPr>
        <w:spacing w:before="80"/>
        <w:rPr>
          <w:i/>
          <w:sz w:val="22"/>
        </w:rPr>
      </w:pPr>
    </w:p>
    <w:p w:rsidR="00B875B8" w:rsidRDefault="00B875B8" w:rsidP="00CD0771">
      <w:pPr>
        <w:spacing w:before="80"/>
        <w:rPr>
          <w:i/>
          <w:sz w:val="22"/>
        </w:rPr>
      </w:pPr>
    </w:p>
    <w:p w:rsidR="00B875B8" w:rsidRDefault="00B875B8" w:rsidP="00CD0771">
      <w:pPr>
        <w:spacing w:before="80"/>
        <w:rPr>
          <w:i/>
          <w:sz w:val="22"/>
        </w:rPr>
      </w:pPr>
    </w:p>
    <w:p w:rsidR="00B875B8" w:rsidRDefault="00B875B8" w:rsidP="00CD0771">
      <w:pPr>
        <w:spacing w:before="80"/>
        <w:rPr>
          <w:i/>
          <w:sz w:val="22"/>
        </w:rPr>
      </w:pPr>
    </w:p>
    <w:p w:rsidR="00B875B8" w:rsidRDefault="00B875B8" w:rsidP="00CD0771">
      <w:pPr>
        <w:spacing w:before="80"/>
        <w:rPr>
          <w:i/>
          <w:sz w:val="22"/>
        </w:rPr>
      </w:pPr>
    </w:p>
    <w:p w:rsidR="00B875B8" w:rsidRDefault="00B875B8" w:rsidP="00CD0771">
      <w:pPr>
        <w:spacing w:before="80"/>
        <w:rPr>
          <w:i/>
          <w:sz w:val="22"/>
        </w:rPr>
      </w:pPr>
    </w:p>
    <w:p w:rsidR="00B875B8" w:rsidRPr="00F54FBD" w:rsidRDefault="00B875B8" w:rsidP="00CD0771">
      <w:pPr>
        <w:spacing w:before="80"/>
        <w:rPr>
          <w:i/>
          <w:sz w:val="22"/>
        </w:rPr>
      </w:pPr>
    </w:p>
    <w:p w:rsidR="00CD0771" w:rsidRPr="00F54FBD" w:rsidRDefault="00CD0771" w:rsidP="00CD0771">
      <w:pPr>
        <w:spacing w:before="80"/>
        <w:rPr>
          <w:i/>
          <w:sz w:val="22"/>
        </w:rPr>
      </w:pPr>
    </w:p>
    <w:p w:rsidR="000A40C6" w:rsidRDefault="000A40C6" w:rsidP="00CD0771">
      <w:pPr>
        <w:spacing w:before="80"/>
        <w:rPr>
          <w:i/>
          <w:sz w:val="22"/>
        </w:rPr>
        <w:sectPr w:rsidR="000A40C6" w:rsidSect="000A40C6">
          <w:headerReference w:type="even" r:id="rId8"/>
          <w:headerReference w:type="default" r:id="rId9"/>
          <w:pgSz w:w="11907" w:h="16834" w:code="9"/>
          <w:pgMar w:top="1418" w:right="1134" w:bottom="1134" w:left="1134" w:header="720" w:footer="482" w:gutter="0"/>
          <w:paperSrc w:first="15" w:other="15"/>
          <w:cols w:space="720"/>
        </w:sectPr>
      </w:pPr>
    </w:p>
    <w:p w:rsidR="00CD0771" w:rsidRPr="00F54FBD" w:rsidRDefault="00CD0771" w:rsidP="00CD077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2" w:name="c2tope"/>
      <w:bookmarkEnd w:id="2"/>
      <w:r w:rsidRPr="00F54FBD">
        <w:rPr>
          <w:bCs/>
          <w:sz w:val="24"/>
          <w:szCs w:val="24"/>
        </w:rPr>
        <w:lastRenderedPageBreak/>
        <w:t>Avant-propos</w:t>
      </w:r>
    </w:p>
    <w:p w:rsidR="00CD0771" w:rsidRPr="00F54FBD" w:rsidRDefault="00CD0771" w:rsidP="00CD0771">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CD0771" w:rsidRPr="00F54FBD" w:rsidRDefault="00CD0771" w:rsidP="00CD0771">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CD0771" w:rsidRPr="00E44CBB" w:rsidRDefault="00CD0771" w:rsidP="00CD0771">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CD0771" w:rsidRPr="00E44CBB" w:rsidRDefault="00CD0771" w:rsidP="00CD0771">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CD0771" w:rsidRPr="00306307" w:rsidRDefault="00CD0771" w:rsidP="00CD0771">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CD0771" w:rsidRPr="009454F8" w:rsidTr="00C10A05">
        <w:tc>
          <w:tcPr>
            <w:tcW w:w="9360" w:type="dxa"/>
            <w:gridSpan w:val="2"/>
          </w:tcPr>
          <w:p w:rsidR="00CD0771" w:rsidRPr="009454F8" w:rsidRDefault="00CD0771" w:rsidP="00C10A05">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CD0771" w:rsidRPr="009454F8" w:rsidRDefault="00CD0771" w:rsidP="00C10A0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1" w:history="1">
              <w:r>
                <w:rPr>
                  <w:rStyle w:val="Hyperlink"/>
                  <w:b w:val="0"/>
                  <w:bCs/>
                  <w:sz w:val="18"/>
                  <w:szCs w:val="18"/>
                </w:rPr>
                <w:t>http://www.itu.int/publ/R-REC/fr</w:t>
              </w:r>
            </w:hyperlink>
            <w:r w:rsidRPr="00BC0651">
              <w:rPr>
                <w:b w:val="0"/>
                <w:bCs/>
                <w:sz w:val="18"/>
                <w:szCs w:val="18"/>
              </w:rPr>
              <w:t>)</w:t>
            </w:r>
          </w:p>
        </w:tc>
      </w:tr>
      <w:tr w:rsidR="00CD0771" w:rsidRPr="00036EE3" w:rsidTr="00C10A05">
        <w:tc>
          <w:tcPr>
            <w:tcW w:w="1140" w:type="dxa"/>
            <w:tcBorders>
              <w:bottom w:val="nil"/>
            </w:tcBorders>
          </w:tcPr>
          <w:p w:rsidR="00CD0771" w:rsidRPr="00614CC6" w:rsidRDefault="00CD0771" w:rsidP="00C10A05">
            <w:pPr>
              <w:spacing w:before="90" w:after="100"/>
              <w:ind w:left="57"/>
              <w:rPr>
                <w:b/>
                <w:bCs/>
                <w:sz w:val="20"/>
                <w:lang w:val="en-US"/>
              </w:rPr>
            </w:pPr>
            <w:r w:rsidRPr="00614CC6">
              <w:rPr>
                <w:b/>
                <w:bCs/>
                <w:sz w:val="20"/>
                <w:lang w:val="en-US"/>
              </w:rPr>
              <w:t>Séries</w:t>
            </w:r>
          </w:p>
        </w:tc>
        <w:tc>
          <w:tcPr>
            <w:tcW w:w="8220" w:type="dxa"/>
            <w:tcBorders>
              <w:bottom w:val="nil"/>
            </w:tcBorders>
          </w:tcPr>
          <w:p w:rsidR="00CD0771" w:rsidRPr="00614CC6" w:rsidRDefault="00CD0771" w:rsidP="00C10A0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CD0771" w:rsidRPr="005E427C" w:rsidTr="00C10A05">
        <w:tc>
          <w:tcPr>
            <w:tcW w:w="1140" w:type="dxa"/>
            <w:tcBorders>
              <w:top w:val="nil"/>
              <w:bottom w:val="nil"/>
            </w:tcBorders>
            <w:shd w:val="clear" w:color="auto" w:fill="auto"/>
          </w:tcPr>
          <w:p w:rsidR="00CD0771" w:rsidRPr="005E427C" w:rsidRDefault="00CD0771" w:rsidP="00C10A05">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CD0771" w:rsidRPr="005E427C" w:rsidRDefault="00CD0771" w:rsidP="00C10A0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CD0771" w:rsidRPr="009454F8" w:rsidTr="00C10A05">
        <w:tc>
          <w:tcPr>
            <w:tcW w:w="1140" w:type="dxa"/>
            <w:tcBorders>
              <w:top w:val="nil"/>
              <w:bottom w:val="nil"/>
            </w:tcBorders>
          </w:tcPr>
          <w:p w:rsidR="00CD0771" w:rsidRPr="00614CC6" w:rsidRDefault="00CD0771" w:rsidP="00C10A05">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CD0771" w:rsidRPr="00614CC6" w:rsidRDefault="00CD0771" w:rsidP="00C10A0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CD0771" w:rsidRPr="00E80F1D" w:rsidTr="00C10A05">
        <w:tc>
          <w:tcPr>
            <w:tcW w:w="1140" w:type="dxa"/>
            <w:tcBorders>
              <w:top w:val="nil"/>
              <w:bottom w:val="nil"/>
            </w:tcBorders>
            <w:shd w:val="clear" w:color="auto" w:fill="auto"/>
          </w:tcPr>
          <w:p w:rsidR="00CD0771" w:rsidRPr="00E80F1D" w:rsidRDefault="00CD0771" w:rsidP="00C10A05">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CD0771" w:rsidRPr="00E80F1D" w:rsidRDefault="00CD0771" w:rsidP="00C10A0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CD0771" w:rsidRPr="00ED2695" w:rsidTr="00C10A05">
        <w:tc>
          <w:tcPr>
            <w:tcW w:w="1140" w:type="dxa"/>
            <w:tcBorders>
              <w:top w:val="nil"/>
              <w:bottom w:val="nil"/>
            </w:tcBorders>
            <w:shd w:val="clear" w:color="auto" w:fill="auto"/>
          </w:tcPr>
          <w:p w:rsidR="00CD0771" w:rsidRPr="00614CC6" w:rsidRDefault="00CD0771" w:rsidP="00C10A05">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CD0771" w:rsidRPr="00614CC6" w:rsidRDefault="00CD0771" w:rsidP="00C10A0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CD0771" w:rsidRPr="00DE5EA2" w:rsidTr="00C10A05">
        <w:tc>
          <w:tcPr>
            <w:tcW w:w="1140" w:type="dxa"/>
            <w:tcBorders>
              <w:top w:val="nil"/>
              <w:bottom w:val="nil"/>
            </w:tcBorders>
            <w:shd w:val="clear" w:color="auto" w:fill="auto"/>
          </w:tcPr>
          <w:p w:rsidR="00CD0771" w:rsidRPr="00DE5EA2" w:rsidRDefault="00CD0771" w:rsidP="00C10A05">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CD0771" w:rsidRPr="00DE5EA2" w:rsidRDefault="00CD0771" w:rsidP="00C10A0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CD0771" w:rsidRPr="00B21066" w:rsidTr="00C10A05">
        <w:tc>
          <w:tcPr>
            <w:tcW w:w="1140" w:type="dxa"/>
            <w:tcBorders>
              <w:top w:val="nil"/>
              <w:bottom w:val="nil"/>
            </w:tcBorders>
            <w:shd w:val="clear" w:color="auto" w:fill="auto"/>
          </w:tcPr>
          <w:p w:rsidR="00CD0771" w:rsidRPr="00B21066" w:rsidRDefault="00CD0771" w:rsidP="00C10A05">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CD0771" w:rsidRPr="00B21066" w:rsidRDefault="00CD0771" w:rsidP="00C10A0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CD0771" w:rsidRPr="00EC361D" w:rsidTr="00C10A05">
        <w:tc>
          <w:tcPr>
            <w:tcW w:w="1140" w:type="dxa"/>
            <w:tcBorders>
              <w:top w:val="nil"/>
              <w:bottom w:val="nil"/>
            </w:tcBorders>
            <w:shd w:val="clear" w:color="auto" w:fill="auto"/>
          </w:tcPr>
          <w:p w:rsidR="00CD0771" w:rsidRPr="00EC361D" w:rsidRDefault="00CD0771" w:rsidP="00C10A05">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rsidR="00CD0771" w:rsidRPr="00EC361D" w:rsidRDefault="00CD0771" w:rsidP="00C10A05">
            <w:pPr>
              <w:spacing w:before="30" w:after="30"/>
              <w:jc w:val="left"/>
              <w:rPr>
                <w:sz w:val="20"/>
                <w:lang w:val="fr-CH"/>
              </w:rPr>
            </w:pPr>
            <w:r w:rsidRPr="00EC361D">
              <w:rPr>
                <w:sz w:val="20"/>
              </w:rPr>
              <w:t>Propagation des ondes radioélectriques</w:t>
            </w:r>
          </w:p>
        </w:tc>
      </w:tr>
      <w:tr w:rsidR="00CD0771" w:rsidRPr="004822EF" w:rsidTr="00C10A05">
        <w:tc>
          <w:tcPr>
            <w:tcW w:w="1140" w:type="dxa"/>
            <w:tcBorders>
              <w:top w:val="nil"/>
              <w:bottom w:val="nil"/>
            </w:tcBorders>
            <w:shd w:val="clear" w:color="auto" w:fill="auto"/>
          </w:tcPr>
          <w:p w:rsidR="00CD0771" w:rsidRPr="004822EF" w:rsidRDefault="00CD0771" w:rsidP="00C10A05">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rsidR="00CD0771" w:rsidRPr="004822EF" w:rsidRDefault="00CD0771" w:rsidP="00C10A0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CD0771" w:rsidRPr="00326525" w:rsidTr="00C10A05">
        <w:tc>
          <w:tcPr>
            <w:tcW w:w="1140" w:type="dxa"/>
            <w:tcBorders>
              <w:top w:val="nil"/>
              <w:bottom w:val="nil"/>
            </w:tcBorders>
            <w:shd w:val="clear" w:color="auto" w:fill="auto"/>
          </w:tcPr>
          <w:p w:rsidR="00CD0771" w:rsidRPr="00326525" w:rsidRDefault="00CD0771" w:rsidP="00C10A05">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rsidR="00CD0771" w:rsidRPr="00326525" w:rsidRDefault="00CD0771" w:rsidP="00C10A0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26525">
              <w:rPr>
                <w:sz w:val="20"/>
              </w:rPr>
              <w:t>Systèmes de télédétection</w:t>
            </w:r>
          </w:p>
        </w:tc>
      </w:tr>
      <w:tr w:rsidR="00CD0771" w:rsidRPr="00326525" w:rsidTr="00C10A05">
        <w:tc>
          <w:tcPr>
            <w:tcW w:w="1140" w:type="dxa"/>
            <w:tcBorders>
              <w:top w:val="nil"/>
              <w:bottom w:val="nil"/>
            </w:tcBorders>
            <w:shd w:val="clear" w:color="auto" w:fill="F3F3F3"/>
          </w:tcPr>
          <w:p w:rsidR="00CD0771" w:rsidRPr="00326525" w:rsidRDefault="00CD0771" w:rsidP="00C10A05">
            <w:pPr>
              <w:spacing w:before="30" w:after="30"/>
              <w:ind w:left="57"/>
              <w:jc w:val="left"/>
              <w:rPr>
                <w:b/>
                <w:bCs/>
                <w:color w:val="000080"/>
                <w:sz w:val="20"/>
                <w:lang w:val="en-US"/>
              </w:rPr>
            </w:pPr>
            <w:r w:rsidRPr="00326525">
              <w:rPr>
                <w:b/>
                <w:bCs/>
                <w:color w:val="000080"/>
                <w:sz w:val="20"/>
                <w:lang w:val="en-US"/>
              </w:rPr>
              <w:t>S</w:t>
            </w:r>
          </w:p>
        </w:tc>
        <w:tc>
          <w:tcPr>
            <w:tcW w:w="8220" w:type="dxa"/>
            <w:tcBorders>
              <w:top w:val="nil"/>
              <w:bottom w:val="nil"/>
            </w:tcBorders>
            <w:shd w:val="clear" w:color="auto" w:fill="F3F3F3"/>
          </w:tcPr>
          <w:p w:rsidR="00CD0771" w:rsidRPr="00326525" w:rsidRDefault="00CD0771" w:rsidP="00C10A05">
            <w:pPr>
              <w:spacing w:before="30" w:after="30"/>
              <w:jc w:val="left"/>
              <w:rPr>
                <w:b/>
                <w:bCs/>
                <w:color w:val="000080"/>
                <w:sz w:val="20"/>
                <w:lang w:val="en-US"/>
              </w:rPr>
            </w:pPr>
            <w:r w:rsidRPr="00326525">
              <w:rPr>
                <w:b/>
                <w:bCs/>
                <w:color w:val="000080"/>
                <w:sz w:val="20"/>
              </w:rPr>
              <w:t>Service fixe par satellite</w:t>
            </w:r>
          </w:p>
        </w:tc>
      </w:tr>
      <w:tr w:rsidR="00CD0771" w:rsidRPr="00036EE3" w:rsidTr="00C10A05">
        <w:tc>
          <w:tcPr>
            <w:tcW w:w="1140" w:type="dxa"/>
            <w:tcBorders>
              <w:top w:val="nil"/>
            </w:tcBorders>
          </w:tcPr>
          <w:p w:rsidR="00CD0771" w:rsidRPr="00614CC6" w:rsidRDefault="00CD0771" w:rsidP="00C10A05">
            <w:pPr>
              <w:spacing w:before="30" w:after="30"/>
              <w:ind w:left="57"/>
              <w:jc w:val="left"/>
              <w:rPr>
                <w:b/>
                <w:bCs/>
                <w:sz w:val="20"/>
                <w:lang w:val="en-US"/>
              </w:rPr>
            </w:pPr>
            <w:r w:rsidRPr="00614CC6">
              <w:rPr>
                <w:b/>
                <w:bCs/>
                <w:sz w:val="20"/>
                <w:lang w:val="en-US"/>
              </w:rPr>
              <w:t>SA</w:t>
            </w:r>
          </w:p>
        </w:tc>
        <w:tc>
          <w:tcPr>
            <w:tcW w:w="8220" w:type="dxa"/>
            <w:tcBorders>
              <w:top w:val="nil"/>
            </w:tcBorders>
          </w:tcPr>
          <w:p w:rsidR="00CD0771" w:rsidRPr="00614CC6" w:rsidRDefault="00CD0771" w:rsidP="00C10A05">
            <w:pPr>
              <w:spacing w:before="30" w:after="30"/>
              <w:jc w:val="left"/>
              <w:rPr>
                <w:sz w:val="20"/>
                <w:lang w:val="en-US"/>
              </w:rPr>
            </w:pPr>
            <w:r w:rsidRPr="00614CC6">
              <w:rPr>
                <w:sz w:val="20"/>
              </w:rPr>
              <w:t>Applications spatiales et météorologie</w:t>
            </w:r>
          </w:p>
        </w:tc>
      </w:tr>
      <w:tr w:rsidR="00CD0771" w:rsidRPr="00614CC6" w:rsidTr="00C10A05">
        <w:tc>
          <w:tcPr>
            <w:tcW w:w="1140" w:type="dxa"/>
          </w:tcPr>
          <w:p w:rsidR="00CD0771" w:rsidRPr="00614CC6" w:rsidRDefault="00CD0771" w:rsidP="00C10A05">
            <w:pPr>
              <w:spacing w:before="30" w:after="30"/>
              <w:ind w:left="57"/>
              <w:jc w:val="left"/>
              <w:rPr>
                <w:b/>
                <w:bCs/>
                <w:sz w:val="20"/>
                <w:lang w:val="en-US"/>
              </w:rPr>
            </w:pPr>
            <w:r w:rsidRPr="00614CC6">
              <w:rPr>
                <w:b/>
                <w:bCs/>
                <w:sz w:val="20"/>
                <w:lang w:val="en-US"/>
              </w:rPr>
              <w:t>SF</w:t>
            </w:r>
          </w:p>
        </w:tc>
        <w:tc>
          <w:tcPr>
            <w:tcW w:w="8220" w:type="dxa"/>
          </w:tcPr>
          <w:p w:rsidR="00CD0771" w:rsidRPr="00614CC6" w:rsidRDefault="00CD0771" w:rsidP="00C10A05">
            <w:pPr>
              <w:spacing w:before="30" w:after="30"/>
              <w:jc w:val="left"/>
              <w:rPr>
                <w:sz w:val="20"/>
              </w:rPr>
            </w:pPr>
            <w:r w:rsidRPr="00614CC6">
              <w:rPr>
                <w:sz w:val="20"/>
              </w:rPr>
              <w:t>Partage des fréquences et coordination entre les systèmes du service fixe par satellite et du service fixe</w:t>
            </w:r>
          </w:p>
        </w:tc>
      </w:tr>
      <w:tr w:rsidR="00CD0771" w:rsidRPr="00036EE3" w:rsidTr="00C10A05">
        <w:tc>
          <w:tcPr>
            <w:tcW w:w="1140" w:type="dxa"/>
            <w:shd w:val="clear" w:color="auto" w:fill="auto"/>
          </w:tcPr>
          <w:p w:rsidR="00CD0771" w:rsidRPr="00592F9F" w:rsidRDefault="00CD0771" w:rsidP="00C10A05">
            <w:pPr>
              <w:spacing w:before="30" w:after="30"/>
              <w:ind w:left="57"/>
              <w:jc w:val="left"/>
              <w:rPr>
                <w:b/>
                <w:bCs/>
                <w:sz w:val="20"/>
                <w:lang w:val="en-US"/>
              </w:rPr>
            </w:pPr>
            <w:r w:rsidRPr="00592F9F">
              <w:rPr>
                <w:b/>
                <w:bCs/>
                <w:sz w:val="20"/>
                <w:lang w:val="en-US"/>
              </w:rPr>
              <w:t>SM</w:t>
            </w:r>
          </w:p>
        </w:tc>
        <w:tc>
          <w:tcPr>
            <w:tcW w:w="8220" w:type="dxa"/>
            <w:shd w:val="clear" w:color="auto" w:fill="auto"/>
          </w:tcPr>
          <w:p w:rsidR="00CD0771" w:rsidRPr="00592F9F" w:rsidRDefault="00CD0771" w:rsidP="00C10A05">
            <w:pPr>
              <w:spacing w:before="30" w:after="30"/>
              <w:jc w:val="left"/>
              <w:rPr>
                <w:sz w:val="20"/>
                <w:lang w:val="en-US"/>
              </w:rPr>
            </w:pPr>
            <w:r w:rsidRPr="00592F9F">
              <w:rPr>
                <w:sz w:val="20"/>
              </w:rPr>
              <w:t>Gestion du spectre</w:t>
            </w:r>
          </w:p>
        </w:tc>
      </w:tr>
      <w:tr w:rsidR="00CD0771" w:rsidRPr="00036EE3" w:rsidTr="00C10A05">
        <w:tc>
          <w:tcPr>
            <w:tcW w:w="1140" w:type="dxa"/>
          </w:tcPr>
          <w:p w:rsidR="00CD0771" w:rsidRPr="00614CC6" w:rsidRDefault="00CD0771" w:rsidP="00C10A05">
            <w:pPr>
              <w:spacing w:before="30" w:after="30"/>
              <w:ind w:left="57"/>
              <w:jc w:val="left"/>
              <w:rPr>
                <w:b/>
                <w:bCs/>
                <w:sz w:val="20"/>
                <w:lang w:val="en-US"/>
              </w:rPr>
            </w:pPr>
            <w:r w:rsidRPr="00614CC6">
              <w:rPr>
                <w:b/>
                <w:bCs/>
                <w:sz w:val="20"/>
                <w:lang w:val="en-US"/>
              </w:rPr>
              <w:t>SNG</w:t>
            </w:r>
          </w:p>
        </w:tc>
        <w:tc>
          <w:tcPr>
            <w:tcW w:w="8220" w:type="dxa"/>
          </w:tcPr>
          <w:p w:rsidR="00CD0771" w:rsidRPr="00614CC6" w:rsidRDefault="00CD0771" w:rsidP="00C10A05">
            <w:pPr>
              <w:spacing w:before="30" w:after="30"/>
              <w:jc w:val="left"/>
              <w:rPr>
                <w:sz w:val="20"/>
                <w:lang w:val="en-US"/>
              </w:rPr>
            </w:pPr>
            <w:r w:rsidRPr="00614CC6">
              <w:rPr>
                <w:sz w:val="20"/>
              </w:rPr>
              <w:t>Reportage d'actualités par satellite</w:t>
            </w:r>
          </w:p>
        </w:tc>
      </w:tr>
      <w:tr w:rsidR="00CD0771" w:rsidRPr="00614CC6" w:rsidTr="00C10A05">
        <w:tc>
          <w:tcPr>
            <w:tcW w:w="1140" w:type="dxa"/>
          </w:tcPr>
          <w:p w:rsidR="00CD0771" w:rsidRPr="00614CC6" w:rsidRDefault="00CD0771" w:rsidP="00C10A05">
            <w:pPr>
              <w:spacing w:before="30" w:after="30"/>
              <w:ind w:left="57"/>
              <w:jc w:val="left"/>
              <w:rPr>
                <w:b/>
                <w:bCs/>
                <w:sz w:val="20"/>
                <w:lang w:val="en-US"/>
              </w:rPr>
            </w:pPr>
            <w:r w:rsidRPr="00614CC6">
              <w:rPr>
                <w:b/>
                <w:bCs/>
                <w:sz w:val="20"/>
                <w:lang w:val="en-US"/>
              </w:rPr>
              <w:t>TF</w:t>
            </w:r>
          </w:p>
        </w:tc>
        <w:tc>
          <w:tcPr>
            <w:tcW w:w="8220" w:type="dxa"/>
          </w:tcPr>
          <w:p w:rsidR="00CD0771" w:rsidRPr="00614CC6" w:rsidRDefault="00CD0771" w:rsidP="00C10A05">
            <w:pPr>
              <w:spacing w:before="30" w:after="30"/>
              <w:jc w:val="left"/>
              <w:rPr>
                <w:sz w:val="20"/>
              </w:rPr>
            </w:pPr>
            <w:r w:rsidRPr="00614CC6">
              <w:rPr>
                <w:sz w:val="20"/>
              </w:rPr>
              <w:t>Emissions de fréquences étalon et de signaux horaires</w:t>
            </w:r>
          </w:p>
        </w:tc>
      </w:tr>
      <w:tr w:rsidR="00CD0771" w:rsidRPr="00036EE3" w:rsidTr="00C10A05">
        <w:tc>
          <w:tcPr>
            <w:tcW w:w="1140" w:type="dxa"/>
          </w:tcPr>
          <w:p w:rsidR="00CD0771" w:rsidRPr="00614CC6" w:rsidRDefault="00CD0771" w:rsidP="00C10A05">
            <w:pPr>
              <w:spacing w:before="30" w:after="30"/>
              <w:ind w:left="57"/>
              <w:jc w:val="left"/>
              <w:rPr>
                <w:b/>
                <w:bCs/>
                <w:sz w:val="20"/>
                <w:lang w:val="en-US"/>
              </w:rPr>
            </w:pPr>
            <w:r w:rsidRPr="00614CC6">
              <w:rPr>
                <w:b/>
                <w:bCs/>
                <w:sz w:val="20"/>
                <w:lang w:val="en-US"/>
              </w:rPr>
              <w:t>V</w:t>
            </w:r>
          </w:p>
        </w:tc>
        <w:tc>
          <w:tcPr>
            <w:tcW w:w="8220" w:type="dxa"/>
          </w:tcPr>
          <w:p w:rsidR="00CD0771" w:rsidRPr="00614CC6" w:rsidRDefault="00CD0771" w:rsidP="00C10A05">
            <w:pPr>
              <w:spacing w:before="30" w:after="140"/>
              <w:jc w:val="left"/>
              <w:rPr>
                <w:sz w:val="20"/>
                <w:lang w:val="en-US"/>
              </w:rPr>
            </w:pPr>
            <w:r w:rsidRPr="00614CC6">
              <w:rPr>
                <w:sz w:val="20"/>
              </w:rPr>
              <w:t>Vocabulaire et sujets associés</w:t>
            </w:r>
          </w:p>
        </w:tc>
      </w:tr>
    </w:tbl>
    <w:p w:rsidR="00CD0771" w:rsidRPr="00036EE3" w:rsidRDefault="00CD0771" w:rsidP="00CD0771">
      <w:pPr>
        <w:spacing w:before="0"/>
        <w:jc w:val="center"/>
        <w:rPr>
          <w:sz w:val="20"/>
          <w:lang w:val="en-US"/>
        </w:rPr>
      </w:pPr>
    </w:p>
    <w:p w:rsidR="00CD0771" w:rsidRPr="00036EE3" w:rsidRDefault="00CD0771" w:rsidP="00CD0771">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CD0771" w:rsidRPr="00756B4D" w:rsidTr="00C10A05">
        <w:tc>
          <w:tcPr>
            <w:tcW w:w="9360" w:type="dxa"/>
          </w:tcPr>
          <w:p w:rsidR="00CD0771" w:rsidRPr="00756B4D" w:rsidRDefault="00CD0771" w:rsidP="00C10A05">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CD0771" w:rsidRPr="00756B4D" w:rsidRDefault="00CD0771" w:rsidP="00CD0771">
      <w:pPr>
        <w:spacing w:before="0"/>
        <w:jc w:val="center"/>
        <w:rPr>
          <w:sz w:val="22"/>
        </w:rPr>
      </w:pPr>
    </w:p>
    <w:p w:rsidR="00CD0771" w:rsidRPr="00614CC6" w:rsidRDefault="00CD0771" w:rsidP="00CD0771">
      <w:pPr>
        <w:spacing w:before="100"/>
        <w:jc w:val="right"/>
        <w:rPr>
          <w:i/>
          <w:iCs/>
          <w:sz w:val="20"/>
        </w:rPr>
      </w:pPr>
      <w:r w:rsidRPr="00614CC6">
        <w:rPr>
          <w:i/>
          <w:iCs/>
          <w:sz w:val="20"/>
        </w:rPr>
        <w:t>Publication électronique</w:t>
      </w:r>
    </w:p>
    <w:p w:rsidR="00CD0771" w:rsidRPr="00614CC6" w:rsidRDefault="00CD0771" w:rsidP="00CD0771">
      <w:pPr>
        <w:spacing w:before="0"/>
        <w:jc w:val="right"/>
        <w:rPr>
          <w:sz w:val="20"/>
        </w:rPr>
      </w:pPr>
      <w:r w:rsidRPr="00614CC6">
        <w:rPr>
          <w:sz w:val="20"/>
        </w:rPr>
        <w:t>Genève, 20</w:t>
      </w:r>
      <w:r>
        <w:rPr>
          <w:sz w:val="20"/>
        </w:rPr>
        <w:t>12</w:t>
      </w:r>
    </w:p>
    <w:p w:rsidR="00CD0771" w:rsidRPr="00614CC6" w:rsidRDefault="00CD0771" w:rsidP="00CD0771">
      <w:pPr>
        <w:spacing w:before="200"/>
        <w:jc w:val="center"/>
        <w:rPr>
          <w:sz w:val="20"/>
        </w:rPr>
      </w:pPr>
      <w:r w:rsidRPr="00470E28">
        <w:rPr>
          <w:sz w:val="20"/>
          <w:lang w:val="en-US"/>
        </w:rPr>
        <w:sym w:font="Symbol" w:char="F0E3"/>
      </w:r>
      <w:r w:rsidRPr="00614CC6">
        <w:rPr>
          <w:sz w:val="20"/>
        </w:rPr>
        <w:t xml:space="preserve"> UIT </w:t>
      </w:r>
      <w:bookmarkStart w:id="3" w:name="iiannee"/>
      <w:bookmarkEnd w:id="3"/>
      <w:r w:rsidRPr="00614CC6">
        <w:rPr>
          <w:sz w:val="20"/>
        </w:rPr>
        <w:t>20</w:t>
      </w:r>
      <w:r>
        <w:rPr>
          <w:sz w:val="20"/>
        </w:rPr>
        <w:t>12</w:t>
      </w:r>
    </w:p>
    <w:p w:rsidR="00B875B8" w:rsidRDefault="00CD0771" w:rsidP="00B875B8">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bookmarkStart w:id="4" w:name="irecnoe"/>
      <w:bookmarkStart w:id="5" w:name="Pre_title"/>
      <w:bookmarkEnd w:id="4"/>
      <w:bookmarkEnd w:id="0"/>
    </w:p>
    <w:p w:rsidR="00B875B8" w:rsidRDefault="00B875B8" w:rsidP="00B875B8">
      <w:pPr>
        <w:rPr>
          <w:sz w:val="18"/>
          <w:szCs w:val="18"/>
        </w:rPr>
        <w:sectPr w:rsidR="00B875B8" w:rsidSect="00875A50">
          <w:headerReference w:type="even" r:id="rId12"/>
          <w:headerReference w:type="default" r:id="rId13"/>
          <w:footerReference w:type="even" r:id="rId14"/>
          <w:footerReference w:type="default" r:id="rId15"/>
          <w:footnotePr>
            <w:numFmt w:val="chicago"/>
          </w:footnotePr>
          <w:pgSz w:w="11907" w:h="16834" w:code="9"/>
          <w:pgMar w:top="1418" w:right="1134" w:bottom="1134" w:left="1134" w:header="720" w:footer="482" w:gutter="0"/>
          <w:paperSrc w:first="15" w:other="15"/>
          <w:pgNumType w:fmt="lowerRoman" w:start="2"/>
          <w:cols w:space="720"/>
        </w:sectPr>
      </w:pPr>
    </w:p>
    <w:p w:rsidR="00A55D0A" w:rsidRDefault="00B875B8" w:rsidP="009B6727">
      <w:pPr>
        <w:pStyle w:val="RecNo"/>
        <w:spacing w:before="240"/>
      </w:pPr>
      <w:r>
        <w:lastRenderedPageBreak/>
        <w:t>R</w:t>
      </w:r>
      <w:r w:rsidR="00C57CD4" w:rsidRPr="00756B4D">
        <w:t xml:space="preserve">ECOMMANDATION  </w:t>
      </w:r>
      <w:r w:rsidR="00C57CD4">
        <w:rPr>
          <w:rStyle w:val="href"/>
        </w:rPr>
        <w:t>UIT</w:t>
      </w:r>
      <w:r w:rsidR="00C57CD4" w:rsidRPr="00756B4D">
        <w:rPr>
          <w:rStyle w:val="href"/>
        </w:rPr>
        <w:t xml:space="preserve">-R  </w:t>
      </w:r>
      <w:r w:rsidR="00C57CD4">
        <w:rPr>
          <w:rStyle w:val="href"/>
        </w:rPr>
        <w:t>S</w:t>
      </w:r>
      <w:r w:rsidR="00C57CD4" w:rsidRPr="00756B4D">
        <w:rPr>
          <w:rStyle w:val="href"/>
        </w:rPr>
        <w:t>.</w:t>
      </w:r>
      <w:r w:rsidR="00C57CD4">
        <w:rPr>
          <w:rStyle w:val="href"/>
        </w:rPr>
        <w:t>1527</w:t>
      </w:r>
      <w:r w:rsidR="00A55D0A">
        <w:rPr>
          <w:rStyle w:val="FootnoteReference"/>
        </w:rPr>
        <w:footnoteReference w:id="1"/>
      </w:r>
    </w:p>
    <w:p w:rsidR="00191F81" w:rsidRDefault="00191F81" w:rsidP="00191F81">
      <w:pPr>
        <w:pStyle w:val="Rectitle"/>
      </w:pPr>
      <w:r>
        <w:t xml:space="preserve">Procédure d'identification des satellites non géostationnaires </w:t>
      </w:r>
      <w:r w:rsidR="008C58A8">
        <w:br/>
        <w:t xml:space="preserve">brouillant une </w:t>
      </w:r>
      <w:r>
        <w:t>station terrienne géostationnaire en service</w:t>
      </w:r>
      <w:bookmarkEnd w:id="5"/>
    </w:p>
    <w:p w:rsidR="00191F81" w:rsidRDefault="00191F81" w:rsidP="00191F81">
      <w:pPr>
        <w:pStyle w:val="Recref"/>
      </w:pPr>
      <w:bookmarkStart w:id="6" w:name="Related_Questions"/>
      <w:r>
        <w:t>(Question UIT-R 231/4)</w:t>
      </w:r>
      <w:bookmarkEnd w:id="6"/>
    </w:p>
    <w:p w:rsidR="00191F81" w:rsidRDefault="00191F81" w:rsidP="00191F81">
      <w:pPr>
        <w:pStyle w:val="Recdate"/>
      </w:pPr>
      <w:bookmarkStart w:id="7" w:name="Revision_history"/>
      <w:r>
        <w:t>(2001)</w:t>
      </w:r>
      <w:bookmarkEnd w:id="7"/>
    </w:p>
    <w:p w:rsidR="000367B6" w:rsidRPr="000367B6" w:rsidRDefault="000367B6" w:rsidP="000367B6">
      <w:pPr>
        <w:pStyle w:val="Normalaftertitle"/>
        <w:spacing w:before="0"/>
      </w:pPr>
    </w:p>
    <w:p w:rsidR="007B7CFD" w:rsidRPr="000367B6" w:rsidRDefault="007B7CFD" w:rsidP="00100A9E">
      <w:pPr>
        <w:pStyle w:val="HeadingSum"/>
        <w:rPr>
          <w:lang w:val="fr-CH"/>
        </w:rPr>
      </w:pPr>
      <w:r w:rsidRPr="000367B6">
        <w:rPr>
          <w:lang w:val="fr-CH"/>
        </w:rPr>
        <w:t>Domaine d'application</w:t>
      </w:r>
    </w:p>
    <w:p w:rsidR="007B7CFD" w:rsidRPr="000367B6" w:rsidRDefault="007B7CFD" w:rsidP="00100A9E">
      <w:pPr>
        <w:pStyle w:val="Summary"/>
        <w:rPr>
          <w:lang w:val="fr-CH"/>
        </w:rPr>
      </w:pPr>
      <w:r w:rsidRPr="000367B6">
        <w:rPr>
          <w:lang w:val="fr-CH"/>
        </w:rPr>
        <w:t>La présente Recommandation contient une méthode de calcul de l'heure à laquelle un satellite non OSG s'approche ou traverse le faisceau principal d'une antenne de station terrienne OSG du SFS pour ensuite, à l'aide des éphémérides, identifier la constellation de satellites non OSG produisant le brouillage.</w:t>
      </w:r>
    </w:p>
    <w:p w:rsidR="00191F81" w:rsidRDefault="00191F81" w:rsidP="00191F81">
      <w:pPr>
        <w:pStyle w:val="Normalaftertitle"/>
      </w:pPr>
      <w:r>
        <w:t>L'Assemblée des radiocommunications de l'UIT</w:t>
      </w:r>
      <w:r w:rsidR="001C23DA">
        <w:t>,</w:t>
      </w:r>
    </w:p>
    <w:p w:rsidR="00191F81" w:rsidRDefault="00191F81" w:rsidP="00191F81">
      <w:pPr>
        <w:pStyle w:val="Call"/>
      </w:pPr>
      <w:r>
        <w:t>considérant</w:t>
      </w:r>
    </w:p>
    <w:p w:rsidR="00191F81" w:rsidRDefault="00191F81" w:rsidP="000367B6">
      <w:r>
        <w:t>a)</w:t>
      </w:r>
      <w:r>
        <w:tab/>
        <w:t>que la Conférence mondiale des radiocommunications (Istanbul, 2000) (CMR-2000) a adopté un ensemble de limites de puissance surfacique équivalente de liaison descendante (epfd</w:t>
      </w:r>
      <w:r>
        <w:rPr>
          <w:vertAlign w:val="subscript"/>
          <w:lang w:val="en-GB"/>
        </w:rPr>
        <w:sym w:font="Symbol" w:char="F0AF"/>
      </w:r>
      <w:r>
        <w:t>) de validation pour une seule source de brouillage, opérationnelles pour une seule source de brouillage et, pour certaines dimensions d'antenne, les limites opérationnelles d'epfd</w:t>
      </w:r>
      <w:r>
        <w:rPr>
          <w:sz w:val="16"/>
        </w:rPr>
        <w:t>↓</w:t>
      </w:r>
      <w:r>
        <w:t xml:space="preserve"> additionnelles pour une seule source de brouillage énoncées dans l'Article 22 du Règlement des radiocommunications (RR), ainsi que les limites de puissance cumulative de la Résolution 76 (CMR-2000) qui s'appliquent aux systèmes non géostationnaires (non OSG) du service fixe par satellite (SFS) pour protéger les réseaux OSG dans certaines parties de la gamme de fréquences 10,7</w:t>
      </w:r>
      <w:r>
        <w:noBreakHyphen/>
        <w:t>30 GHz;</w:t>
      </w:r>
    </w:p>
    <w:p w:rsidR="00191F81" w:rsidRDefault="005A3F16" w:rsidP="00191F81">
      <w:r>
        <w:t>b</w:t>
      </w:r>
      <w:r w:rsidR="00191F81">
        <w:t>)</w:t>
      </w:r>
      <w:r w:rsidR="00191F81">
        <w:tab/>
        <w:t>qu'il faut une procédure pour identifier un satellite non OSG du SFS susceptible de causer du brouillage lorsqu'il se rapproche du faisceau principal d'une station terrienne OSG en service ou qu'il le traverse,</w:t>
      </w:r>
    </w:p>
    <w:p w:rsidR="00191F81" w:rsidRDefault="00191F81" w:rsidP="00191F81">
      <w:pPr>
        <w:pStyle w:val="Call"/>
      </w:pPr>
      <w:r>
        <w:t>notant</w:t>
      </w:r>
    </w:p>
    <w:p w:rsidR="00191F81" w:rsidRDefault="00191F81" w:rsidP="00191F81">
      <w:r>
        <w:t>a)</w:t>
      </w:r>
      <w:r>
        <w:tab/>
        <w:t>que pour exécuter une procédure d'identification précise, il faut disposer des données à jour des éphémérides relatives aux constellations non OSG;</w:t>
      </w:r>
    </w:p>
    <w:p w:rsidR="00191F81" w:rsidRDefault="00191F81" w:rsidP="00191F81">
      <w:r>
        <w:t>b)</w:t>
      </w:r>
      <w:r>
        <w:tab/>
        <w:t>que ces données des éphémérides peuvent être habituellement accessibles au public;</w:t>
      </w:r>
    </w:p>
    <w:p w:rsidR="00191F81" w:rsidRDefault="00191F81" w:rsidP="00191F81">
      <w:r>
        <w:t>c)</w:t>
      </w:r>
      <w:r>
        <w:tab/>
        <w:t>que l'élaboration d'une Recommandation distincte relative à la mesure des niveaux d'epfd</w:t>
      </w:r>
      <w:r>
        <w:rPr>
          <w:vertAlign w:val="subscript"/>
          <w:lang w:val="en-GB"/>
        </w:rPr>
        <w:sym w:font="Symbol" w:char="F0AF"/>
      </w:r>
      <w:r>
        <w:t xml:space="preserve"> de crête, produits par un satellite non OSG identifié, auxquels est exposée une station terrienne OSG en service est en cours,</w:t>
      </w:r>
    </w:p>
    <w:p w:rsidR="00191F81" w:rsidRDefault="00191F81" w:rsidP="00191F81">
      <w:pPr>
        <w:pStyle w:val="Call"/>
      </w:pPr>
      <w:r>
        <w:t>recommande</w:t>
      </w:r>
    </w:p>
    <w:p w:rsidR="00191F81" w:rsidRDefault="00191F81" w:rsidP="00191F81">
      <w:r>
        <w:rPr>
          <w:b/>
          <w:bCs/>
        </w:rPr>
        <w:t>1</w:t>
      </w:r>
      <w:r>
        <w:tab/>
        <w:t>d'utiliser la méthode présentée dans l'Annexe 1 pour calculer l'heure à laquelle un satellite non OSG s'approche ou traverse le faisceau principal d'une antenne de station terrienne OSG du SFS pour ensuite, à l'aide des éphémérides, identifier la constellation de satellites non OSG produisant le brouillage;</w:t>
      </w:r>
    </w:p>
    <w:p w:rsidR="00191F81" w:rsidRDefault="00191F81" w:rsidP="00191F81">
      <w:r>
        <w:rPr>
          <w:b/>
          <w:bCs/>
        </w:rPr>
        <w:lastRenderedPageBreak/>
        <w:t>2</w:t>
      </w:r>
      <w:r>
        <w:tab/>
        <w:t>à l'opérateur du système à satellite non OSG d'aider l'opérateur du réseau OSG du SFS à obtenir les éphémérides les plus récentes si elles sont nécessaires pour identifier la source de brouillage.</w:t>
      </w:r>
    </w:p>
    <w:p w:rsidR="00191F81" w:rsidRDefault="00191F81" w:rsidP="00191F81"/>
    <w:p w:rsidR="00191F81" w:rsidRDefault="00191F81" w:rsidP="00191F81"/>
    <w:p w:rsidR="00191F81" w:rsidRPr="00714476" w:rsidRDefault="00191F81" w:rsidP="00714476">
      <w:pPr>
        <w:pStyle w:val="AnnexNo"/>
        <w:rPr>
          <w:b/>
          <w:bCs/>
        </w:rPr>
      </w:pPr>
      <w:r w:rsidRPr="00714476">
        <w:rPr>
          <w:b/>
          <w:bCs/>
        </w:rPr>
        <w:t>A</w:t>
      </w:r>
      <w:r w:rsidR="00714476" w:rsidRPr="00714476">
        <w:rPr>
          <w:b/>
          <w:bCs/>
        </w:rPr>
        <w:t>nnexe</w:t>
      </w:r>
      <w:r w:rsidRPr="00714476">
        <w:rPr>
          <w:b/>
          <w:bCs/>
        </w:rPr>
        <w:t xml:space="preserve">  1</w:t>
      </w:r>
    </w:p>
    <w:p w:rsidR="00191F81" w:rsidRDefault="00191F81" w:rsidP="00191F81">
      <w:pPr>
        <w:pStyle w:val="Heading1"/>
      </w:pPr>
      <w:r>
        <w:t>1</w:t>
      </w:r>
      <w:r>
        <w:tab/>
        <w:t>Introduction</w:t>
      </w:r>
    </w:p>
    <w:p w:rsidR="00191F81" w:rsidRDefault="00191F81" w:rsidP="00191F81">
      <w:r>
        <w:t>La présente Annexe contient une procédure qui permettra aux opérateurs de stations terriennes OSG d'identifier des satellites non OSG causant des pertes de synchronisation ou des dégradations importantes dans les liaisons descendantes des systèmes OSG.</w:t>
      </w:r>
    </w:p>
    <w:p w:rsidR="00191F81" w:rsidRDefault="00191F81" w:rsidP="00191F81">
      <w:r>
        <w:t>Elle est composée de trois parties. La première a pour but de montrer que par la simple observation d'un signal brouillant une station terrienne OSG, on peut établir la liste des constellations non OSG existantes susceptibles de causer ces brouillages, la deuxième contient la description d'une configuration d'essai destinée à l'identification d'une constellation non OSG et la troisième contient un exemple d'application de la procédure pour identifier la constellation HIBLEO</w:t>
      </w:r>
      <w:r>
        <w:noBreakHyphen/>
        <w:t>4FL.</w:t>
      </w:r>
    </w:p>
    <w:p w:rsidR="00191F81" w:rsidRDefault="00191F81" w:rsidP="00191F81">
      <w:r>
        <w:t>La présente procédure est une étape importante vers la mesure des niveaux de puissance surfacique auxquels une constellation non OSG expose une station terrienne OSG en service.</w:t>
      </w:r>
    </w:p>
    <w:p w:rsidR="00191F81" w:rsidRDefault="00191F81" w:rsidP="00191F81">
      <w:pPr>
        <w:pStyle w:val="Heading1"/>
      </w:pPr>
      <w:r>
        <w:t>2</w:t>
      </w:r>
      <w:r>
        <w:tab/>
        <w:t>Analyse préliminaire</w:t>
      </w:r>
    </w:p>
    <w:p w:rsidR="00191F81" w:rsidRDefault="00191F81" w:rsidP="00191F81">
      <w:r>
        <w:t>La présente partie a pour but de montrer que par la simple observation d'un signal brouillant une station terrienne OSG, on peut établir la liste des constellations non OSG existantes pouvant être responsables de ce brouillage.</w:t>
      </w:r>
    </w:p>
    <w:p w:rsidR="00191F81" w:rsidRDefault="00191F81" w:rsidP="00191F81">
      <w:pPr>
        <w:pStyle w:val="Heading2"/>
      </w:pPr>
      <w:r>
        <w:t>2.1</w:t>
      </w:r>
      <w:r>
        <w:tab/>
        <w:t>Observation du brouillage</w:t>
      </w:r>
    </w:p>
    <w:p w:rsidR="00191F81" w:rsidRDefault="00191F81" w:rsidP="00191F81">
      <w:r>
        <w:t>Lorsqu'un réseau OSG du SFS subit un brouillage, l'opérateur doit d'abord déterminer si la source du brouillage est interne ou externe à son réseau.</w:t>
      </w:r>
    </w:p>
    <w:p w:rsidR="00191F81" w:rsidRDefault="00191F81" w:rsidP="00191F81">
      <w:r>
        <w:t>On reconnaît un système non OSG brouilleur au moyen d'un ou de plusieurs éléments de l'ensemble suivant:</w:t>
      </w:r>
    </w:p>
    <w:p w:rsidR="00191F81" w:rsidRDefault="00191F81" w:rsidP="00191F81">
      <w:r>
        <w:sym w:font="Symbol" w:char="F02D"/>
      </w:r>
      <w:r>
        <w:tab/>
        <w:t>la répétition du brouillage et sa période;</w:t>
      </w:r>
    </w:p>
    <w:p w:rsidR="00191F81" w:rsidRDefault="00191F81" w:rsidP="00191F81">
      <w:pPr>
        <w:pStyle w:val="enumlev1"/>
      </w:pPr>
      <w:r>
        <w:sym w:font="Symbol" w:char="F02D"/>
      </w:r>
      <w:r>
        <w:tab/>
        <w:t>la durée du brouillage;</w:t>
      </w:r>
    </w:p>
    <w:p w:rsidR="00191F81" w:rsidRDefault="00191F81" w:rsidP="00191F81">
      <w:pPr>
        <w:pStyle w:val="enumlev1"/>
      </w:pPr>
      <w:r>
        <w:sym w:font="Symbol" w:char="F02D"/>
      </w:r>
      <w:r>
        <w:tab/>
        <w:t>la fréquence du brouillage;</w:t>
      </w:r>
    </w:p>
    <w:p w:rsidR="00191F81" w:rsidRDefault="00191F81" w:rsidP="00191F81">
      <w:pPr>
        <w:pStyle w:val="enumlev1"/>
      </w:pPr>
      <w:r>
        <w:sym w:font="Symbol" w:char="F02D"/>
      </w:r>
      <w:r>
        <w:tab/>
        <w:t>une estimation du niveau de brouillage (qui produit la perte de synchronisation ou une dégradation importante du signal OSG reçu);</w:t>
      </w:r>
    </w:p>
    <w:p w:rsidR="00191F81" w:rsidRDefault="00191F81" w:rsidP="00191F81">
      <w:pPr>
        <w:pStyle w:val="enumlev1"/>
      </w:pPr>
      <w:r>
        <w:sym w:font="Symbol" w:char="F02D"/>
      </w:r>
      <w:r>
        <w:tab/>
        <w:t>la date et l'heure exacte du premier cas de dégradation des performances;</w:t>
      </w:r>
    </w:p>
    <w:p w:rsidR="00191F81" w:rsidRDefault="00191F81" w:rsidP="00191F81">
      <w:pPr>
        <w:pStyle w:val="enumlev1"/>
      </w:pPr>
      <w:r>
        <w:sym w:font="Symbol" w:char="F02D"/>
      </w:r>
      <w:r>
        <w:tab/>
        <w:t>les caractéristiques du signal brouilleur émis;</w:t>
      </w:r>
    </w:p>
    <w:p w:rsidR="00191F81" w:rsidRDefault="00191F81" w:rsidP="00191F81">
      <w:pPr>
        <w:pStyle w:val="enumlev1"/>
      </w:pPr>
      <w:r>
        <w:sym w:font="Symbol" w:char="F02D"/>
      </w:r>
      <w:r>
        <w:tab/>
        <w:t>le cas échéant, les courbes d'analyse spectrale des conditions nominales et de brouillage.</w:t>
      </w:r>
    </w:p>
    <w:p w:rsidR="00191F81" w:rsidRDefault="00191F81" w:rsidP="00191F81">
      <w:r>
        <w:t>Au moyen des caractéristiques du signal brouilleur, on peut établir la liste des systèmes non OSG, inscrits à l'UIT, dont les signatures peuvent correspondre à la signature observée.</w:t>
      </w:r>
    </w:p>
    <w:p w:rsidR="00191F81" w:rsidRDefault="00191F81" w:rsidP="00191F81">
      <w:pPr>
        <w:pStyle w:val="Heading2"/>
      </w:pPr>
      <w:r>
        <w:lastRenderedPageBreak/>
        <w:t>2.2</w:t>
      </w:r>
      <w:r>
        <w:tab/>
        <w:t>Hypothèse relative au système brouilleur éventuel</w:t>
      </w:r>
    </w:p>
    <w:p w:rsidR="00191F81" w:rsidRDefault="00191F81" w:rsidP="00191F81">
      <w:r>
        <w:t>Pour identifier les systèmes non OSG pouvant être responsables du brouillage subi par la station terrienne OSG, il faut tout d'abord établir la liste complète des systèmes non OSG existants fonctionnant dans la bande qui intéresse l'opérateur OSG.</w:t>
      </w:r>
    </w:p>
    <w:p w:rsidR="00191F81" w:rsidRDefault="00191F81" w:rsidP="00191F81">
      <w:r>
        <w:t>On peut établir une telle liste au moyen des caractéristiques des fréquences radioélectriques inscrites à l'UIT, qui donnent des informations sur les constellations non OSG présentant de l'intérêt pour l'identification du système non OSG, par exemple:</w:t>
      </w:r>
    </w:p>
    <w:p w:rsidR="00191F81" w:rsidRDefault="00191F81" w:rsidP="00191F81">
      <w:pPr>
        <w:pStyle w:val="enumlev1"/>
      </w:pPr>
      <w:r>
        <w:sym w:font="Symbol" w:char="F02D"/>
      </w:r>
      <w:r>
        <w:tab/>
        <w:t>la période de la constellation non OSG;</w:t>
      </w:r>
    </w:p>
    <w:p w:rsidR="00191F81" w:rsidRDefault="00191F81" w:rsidP="00191F81">
      <w:pPr>
        <w:pStyle w:val="enumlev1"/>
      </w:pPr>
      <w:r>
        <w:sym w:font="Symbol" w:char="F02D"/>
      </w:r>
      <w:r>
        <w:tab/>
        <w:t>la gamme de fréquences utilisée par la constellation;</w:t>
      </w:r>
    </w:p>
    <w:p w:rsidR="00191F81" w:rsidRDefault="00191F81" w:rsidP="00191F81">
      <w:pPr>
        <w:pStyle w:val="enumlev1"/>
      </w:pPr>
      <w:r>
        <w:sym w:font="Symbol" w:char="F02D"/>
      </w:r>
      <w:r>
        <w:tab/>
        <w:t>les numéros des émissions de la constellation (c'est-à-dire les numéros de largeur de bande et de fréquence);</w:t>
      </w:r>
    </w:p>
    <w:p w:rsidR="00191F81" w:rsidRDefault="00191F81" w:rsidP="00191F81">
      <w:pPr>
        <w:pStyle w:val="enumlev1"/>
      </w:pPr>
      <w:r>
        <w:sym w:font="Symbol" w:char="F02D"/>
      </w:r>
      <w:r>
        <w:tab/>
        <w:t>les niveaux escomptés de puissance au sol, etc.</w:t>
      </w:r>
    </w:p>
    <w:p w:rsidR="00191F81" w:rsidRDefault="00191F81" w:rsidP="00191F81">
      <w:r>
        <w:t xml:space="preserve">Etant donné ces informations et le nombre restreint de systèmes non OSG en orbite qui coexistent éventuellement, la liste des brouilleurs possibles sera relativement courte. </w:t>
      </w:r>
    </w:p>
    <w:p w:rsidR="00191F81" w:rsidRDefault="00191F81" w:rsidP="00191F81">
      <w:r>
        <w:t>La crête de puissance d'epfd</w:t>
      </w:r>
      <w:r>
        <w:rPr>
          <w:vertAlign w:val="subscript"/>
          <w:lang w:val="en-GB"/>
        </w:rPr>
        <w:sym w:font="Symbol" w:char="F0AF"/>
      </w:r>
      <w:r>
        <w:t xml:space="preserve"> produite par un système non OSG peut se présenter dans deux configurations:</w:t>
      </w:r>
    </w:p>
    <w:p w:rsidR="00191F81" w:rsidRDefault="00191F81" w:rsidP="00191F81">
      <w:pPr>
        <w:pStyle w:val="enumlev1"/>
      </w:pPr>
      <w:r>
        <w:t>–</w:t>
      </w:r>
      <w:r>
        <w:tab/>
        <w:t>lorsqu'un satellite non OSG continue d'émettre par ses lobes latéraux et qu'il est sur l'axe de visée de la station OSG;</w:t>
      </w:r>
    </w:p>
    <w:p w:rsidR="00191F81" w:rsidRDefault="00191F81" w:rsidP="00191F81">
      <w:pPr>
        <w:pStyle w:val="enumlev1"/>
      </w:pPr>
      <w:r>
        <w:t>–</w:t>
      </w:r>
      <w:r>
        <w:tab/>
        <w:t>lorsqu'un satellite est sur le point d'arrêter ses émissions quand il approche de l'arc OSG.</w:t>
      </w:r>
    </w:p>
    <w:p w:rsidR="00191F81" w:rsidRDefault="00191F81" w:rsidP="00191F81">
      <w:r>
        <w:t>Dans les deux cas, la crête de puissance epfd</w:t>
      </w:r>
      <w:r>
        <w:rPr>
          <w:vertAlign w:val="subscript"/>
          <w:lang w:val="en-GB"/>
        </w:rPr>
        <w:sym w:font="Symbol" w:char="F0AF"/>
      </w:r>
      <w:r>
        <w:t xml:space="preserve"> a des configurations géométriques claires.</w:t>
      </w:r>
    </w:p>
    <w:p w:rsidR="00191F81" w:rsidRDefault="00191F81" w:rsidP="00191F81">
      <w:r>
        <w:t>Le deuxième élément qui aidera à identifier un système non OSG est la coïncidence dans le temps d'un événement de brouillage et de la situation géométrique particulière du satellite non OSG par rapport au réseau OSG.</w:t>
      </w:r>
    </w:p>
    <w:p w:rsidR="00191F81" w:rsidRDefault="00191F81" w:rsidP="00191F81">
      <w:r>
        <w:t>Pour déterminer la position d'un satellite non OSG par rapport à une station terrienne OSG à un instant donné, il faut connaître les éphémérides de référence et disposer d'un logiciel de calcul des orbites. Les logiciels de calcul des orbites sont disponibles sur Internet et donnent des informations telles que:</w:t>
      </w:r>
    </w:p>
    <w:p w:rsidR="00191F81" w:rsidRDefault="00191F81" w:rsidP="00191F81">
      <w:pPr>
        <w:pStyle w:val="enumlev1"/>
      </w:pPr>
      <w:r>
        <w:sym w:font="Symbol" w:char="F02D"/>
      </w:r>
      <w:r>
        <w:tab/>
        <w:t>l'élévation et l'azimut des satellites non OSG lorsqu'ils traversent un faisceau principal de station terrienne OSG;</w:t>
      </w:r>
    </w:p>
    <w:p w:rsidR="00191F81" w:rsidRDefault="00191F81" w:rsidP="00191F81">
      <w:pPr>
        <w:pStyle w:val="enumlev1"/>
      </w:pPr>
      <w:r>
        <w:sym w:font="Symbol" w:char="F02D"/>
      </w:r>
      <w:r>
        <w:tab/>
        <w:t>la possibilité que des satellites d'une constellation non OSG sont visibles depuis l'emplacement d'une station terrienne OSG donnée;</w:t>
      </w:r>
    </w:p>
    <w:p w:rsidR="00191F81" w:rsidRDefault="00191F81" w:rsidP="00191F81">
      <w:pPr>
        <w:pStyle w:val="enumlev1"/>
      </w:pPr>
      <w:r>
        <w:sym w:font="Symbol" w:char="F02D"/>
      </w:r>
      <w:r>
        <w:tab/>
        <w:t>la position des satellites par rapport à la station terrienne OSG lorsque survient le problème de brouillage.</w:t>
      </w:r>
    </w:p>
    <w:p w:rsidR="00191F81" w:rsidRDefault="00191F81" w:rsidP="00191F81">
      <w:r>
        <w:t>Si l'on ne connaît pas par ailleurs les éphémérides du système non OSG, l'opérateur du système à satellite non OSG doit aider l'opérateur du réseau OSG du SFS à obtenir les informations les plus récentes à ce sujet.</w:t>
      </w:r>
    </w:p>
    <w:p w:rsidR="00191F81" w:rsidRDefault="00191F81" w:rsidP="00191F81">
      <w:r>
        <w:t>Une difficulté qui survient dans l'identification d'un satellite non OSG dans la direction de l'orbite OSG est le fait que le signal non OSG est mélangé aux signaux du satellite OSG, ce qui ne le rend pas aisément identifiable.</w:t>
      </w:r>
    </w:p>
    <w:p w:rsidR="00191F81" w:rsidRDefault="00191F81" w:rsidP="00191F81">
      <w:pPr>
        <w:pStyle w:val="Heading2"/>
      </w:pPr>
      <w:r>
        <w:t>2.3</w:t>
      </w:r>
      <w:r>
        <w:tab/>
        <w:t>Programme des essais</w:t>
      </w:r>
    </w:p>
    <w:p w:rsidR="00191F81" w:rsidRDefault="00191F81" w:rsidP="00191F81">
      <w:r>
        <w:t>Le présent paragraphe explique la manière de déterminer la direction de pointage dans laquelle la probabilité de trouver des satellites de systèmes non OSG est élevée.</w:t>
      </w:r>
    </w:p>
    <w:p w:rsidR="00191F81" w:rsidRDefault="00191F81" w:rsidP="00191F81">
      <w:r>
        <w:lastRenderedPageBreak/>
        <w:t xml:space="preserve">Si l'on dispose des éphémérides à jour et d'un logiciel de calcul des orbites associé, on peut déterminer tous les passages des satellites dans les </w:t>
      </w:r>
      <w:r>
        <w:rPr>
          <w:rFonts w:ascii="Symbol" w:hAnsi="Symbol"/>
        </w:rPr>
        <w:sym w:font="Symbol" w:char="F0B1"/>
      </w:r>
      <w:r>
        <w:rPr>
          <w:rFonts w:ascii="Tms Rmn" w:hAnsi="Tms Rmn"/>
          <w:sz w:val="12"/>
        </w:rPr>
        <w:t> </w:t>
      </w:r>
      <w:r>
        <w:rPr>
          <w:i/>
          <w:iCs/>
        </w:rPr>
        <w:t>X</w:t>
      </w:r>
      <w:r>
        <w:rPr>
          <w:rFonts w:ascii="Tms Rmn" w:hAnsi="Tms Rmn"/>
          <w:sz w:val="12"/>
        </w:rPr>
        <w:t> </w:t>
      </w:r>
      <w:r>
        <w:rPr>
          <w:rFonts w:ascii="Symbol" w:hAnsi="Symbol"/>
        </w:rPr>
        <w:t></w:t>
      </w:r>
      <w:r>
        <w:t xml:space="preserve"> de l'azimut et des élévations de l'antenne, le nom des satellites, ainsi que l'heure et la durée de chaque passage. De telles informations peuvent être utilisées pour déterminer une fenêtre (azimut </w:t>
      </w:r>
      <w:r>
        <w:rPr>
          <w:rFonts w:ascii="Symbol" w:hAnsi="Symbol"/>
        </w:rPr>
        <w:t></w:t>
      </w:r>
      <w:r>
        <w:t xml:space="preserve"> élévation) de </w:t>
      </w:r>
      <w:r>
        <w:rPr>
          <w:rFonts w:ascii="Symbol" w:hAnsi="Symbol"/>
        </w:rPr>
        <w:sym w:font="Symbol" w:char="F0B1"/>
      </w:r>
      <w:r>
        <w:rPr>
          <w:rFonts w:ascii="Tms Rmn" w:hAnsi="Tms Rmn"/>
          <w:sz w:val="12"/>
        </w:rPr>
        <w:t> </w:t>
      </w:r>
      <w:r>
        <w:rPr>
          <w:i/>
          <w:iCs/>
        </w:rPr>
        <w:t>X</w:t>
      </w:r>
      <w:r>
        <w:rPr>
          <w:rFonts w:ascii="Tms Rmn" w:hAnsi="Tms Rmn"/>
          <w:sz w:val="12"/>
        </w:rPr>
        <w:t> </w:t>
      </w:r>
      <w:r>
        <w:rPr>
          <w:rFonts w:ascii="Symbol" w:hAnsi="Symbol"/>
        </w:rPr>
        <w:t></w:t>
      </w:r>
      <w:r>
        <w:t xml:space="preserve"> d'un côté pour lequel la probabilité d'avoir des passages de satellite est maximale. Cette opération devra être exécutée pour chaque système non OSG susceptible de causer le brouillage.</w:t>
      </w:r>
    </w:p>
    <w:p w:rsidR="00191F81" w:rsidRDefault="00191F81" w:rsidP="00191F81">
      <w:r>
        <w:t>L'opérateur doit établir, pour la période programmée de l'essai, le Tableau 1 en fonction de l'azimut sélectionné:</w:t>
      </w:r>
    </w:p>
    <w:p w:rsidR="00191F81" w:rsidRDefault="00191F81" w:rsidP="00191F81">
      <w:pPr>
        <w:pStyle w:val="TableNo"/>
      </w:pPr>
      <w:r>
        <w:t>TABLEAU  1</w:t>
      </w:r>
    </w:p>
    <w:p w:rsidR="00191F81" w:rsidRDefault="00191F81" w:rsidP="00191F81">
      <w:pPr>
        <w:pStyle w:val="Tabletitle"/>
      </w:pPr>
      <w:r>
        <w:t>Calendrier du programme d'essai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531"/>
        <w:gridCol w:w="2155"/>
        <w:gridCol w:w="1418"/>
        <w:gridCol w:w="1418"/>
        <w:gridCol w:w="1418"/>
      </w:tblGrid>
      <w:tr w:rsidR="00191F81" w:rsidTr="00C10A05">
        <w:trPr>
          <w:jc w:val="center"/>
        </w:trPr>
        <w:tc>
          <w:tcPr>
            <w:tcW w:w="1701" w:type="dxa"/>
            <w:vAlign w:val="center"/>
          </w:tcPr>
          <w:p w:rsidR="00191F81" w:rsidRDefault="00191F81" w:rsidP="00C10A05">
            <w:pPr>
              <w:pStyle w:val="Tablehead"/>
              <w:framePr w:hSpace="181" w:wrap="notBeside" w:vAnchor="text" w:hAnchor="text" w:xAlign="center" w:y="1"/>
              <w:spacing w:before="120" w:after="120"/>
            </w:pPr>
            <w:r>
              <w:t>Système non OSG éventuellement</w:t>
            </w:r>
            <w:r>
              <w:br/>
              <w:t>en cause</w:t>
            </w:r>
          </w:p>
        </w:tc>
        <w:tc>
          <w:tcPr>
            <w:tcW w:w="1531" w:type="dxa"/>
            <w:vAlign w:val="center"/>
          </w:tcPr>
          <w:p w:rsidR="00191F81" w:rsidRDefault="00191F81" w:rsidP="00C10A05">
            <w:pPr>
              <w:pStyle w:val="Tablehead"/>
              <w:framePr w:hSpace="181" w:wrap="notBeside" w:vAnchor="text" w:hAnchor="text" w:xAlign="center" w:y="1"/>
              <w:spacing w:before="120" w:after="120"/>
            </w:pPr>
            <w:r>
              <w:t>Pointage de l'antenne d'essai</w:t>
            </w:r>
          </w:p>
        </w:tc>
        <w:tc>
          <w:tcPr>
            <w:tcW w:w="2155" w:type="dxa"/>
            <w:vAlign w:val="center"/>
          </w:tcPr>
          <w:p w:rsidR="00191F81" w:rsidRDefault="00191F81" w:rsidP="00C10A05">
            <w:pPr>
              <w:pStyle w:val="Tablehead"/>
              <w:framePr w:hSpace="181" w:wrap="notBeside" w:vAnchor="text" w:hAnchor="text" w:xAlign="center" w:y="1"/>
              <w:spacing w:before="120" w:after="120"/>
            </w:pPr>
            <w:r>
              <w:t xml:space="preserve">Fenêtre de probabilité optimale </w:t>
            </w:r>
            <w:r>
              <w:br/>
              <w:t xml:space="preserve">(azimut </w:t>
            </w:r>
            <w:r>
              <w:rPr>
                <w:rFonts w:ascii="Symbol" w:hAnsi="Symbol"/>
              </w:rPr>
              <w:t></w:t>
            </w:r>
            <w:r>
              <w:t xml:space="preserve"> élévation)</w:t>
            </w:r>
          </w:p>
        </w:tc>
        <w:tc>
          <w:tcPr>
            <w:tcW w:w="1418" w:type="dxa"/>
            <w:vAlign w:val="center"/>
          </w:tcPr>
          <w:p w:rsidR="00191F81" w:rsidRDefault="00191F81" w:rsidP="00C10A05">
            <w:pPr>
              <w:pStyle w:val="Tablehead"/>
              <w:framePr w:hSpace="181" w:wrap="notBeside" w:vAnchor="text" w:hAnchor="text" w:xAlign="center" w:y="1"/>
              <w:spacing w:before="120" w:after="120"/>
            </w:pPr>
            <w:r>
              <w:t>Passage du satellite</w:t>
            </w:r>
          </w:p>
        </w:tc>
        <w:tc>
          <w:tcPr>
            <w:tcW w:w="1418" w:type="dxa"/>
            <w:vAlign w:val="center"/>
          </w:tcPr>
          <w:p w:rsidR="00191F81" w:rsidRDefault="00191F81" w:rsidP="00C10A05">
            <w:pPr>
              <w:pStyle w:val="Tablehead"/>
              <w:framePr w:hSpace="181" w:wrap="notBeside" w:vAnchor="text" w:hAnchor="text" w:xAlign="center" w:y="1"/>
              <w:spacing w:before="120" w:after="120"/>
            </w:pPr>
            <w:r>
              <w:t>Jour du passage (</w:t>
            </w:r>
            <w:r>
              <w:rPr>
                <w:rFonts w:ascii="Tms Rmn" w:hAnsi="Tms Rmn"/>
                <w:sz w:val="4"/>
              </w:rPr>
              <w:t> </w:t>
            </w:r>
            <w:r>
              <w:t>j:m:a)</w:t>
            </w:r>
            <w:r>
              <w:rPr>
                <w:position w:val="6"/>
                <w:sz w:val="18"/>
              </w:rPr>
              <w:t>(1)</w:t>
            </w:r>
          </w:p>
        </w:tc>
        <w:tc>
          <w:tcPr>
            <w:tcW w:w="1418" w:type="dxa"/>
            <w:vAlign w:val="center"/>
          </w:tcPr>
          <w:p w:rsidR="00191F81" w:rsidRDefault="00191F81" w:rsidP="00C10A05">
            <w:pPr>
              <w:pStyle w:val="Tablehead"/>
              <w:framePr w:hSpace="181" w:wrap="notBeside" w:vAnchor="text" w:hAnchor="text" w:xAlign="center" w:y="1"/>
              <w:spacing w:before="120" w:after="120"/>
            </w:pPr>
            <w:r>
              <w:t>Heure théorique du passage (</w:t>
            </w:r>
            <w:r>
              <w:rPr>
                <w:rFonts w:ascii="Tms Rmn" w:hAnsi="Tms Rmn"/>
                <w:sz w:val="4"/>
              </w:rPr>
              <w:t> </w:t>
            </w:r>
            <w:r>
              <w:t>h:m:s)</w:t>
            </w:r>
            <w:r>
              <w:rPr>
                <w:position w:val="6"/>
                <w:sz w:val="18"/>
              </w:rPr>
              <w:t>(2)</w:t>
            </w:r>
          </w:p>
        </w:tc>
      </w:tr>
      <w:tr w:rsidR="00191F81" w:rsidRPr="00E546C4" w:rsidTr="00C10A05">
        <w:trPr>
          <w:jc w:val="center"/>
        </w:trPr>
        <w:tc>
          <w:tcPr>
            <w:tcW w:w="1701" w:type="dxa"/>
          </w:tcPr>
          <w:p w:rsidR="00191F81" w:rsidRDefault="00191F81" w:rsidP="00C10A05">
            <w:pPr>
              <w:pStyle w:val="Tabletext"/>
              <w:framePr w:hSpace="181" w:wrap="notBeside" w:vAnchor="text" w:hAnchor="text" w:xAlign="center" w:y="1"/>
              <w:spacing w:before="80" w:after="80"/>
              <w:jc w:val="center"/>
            </w:pPr>
            <w:r>
              <w:t>1</w:t>
            </w:r>
          </w:p>
        </w:tc>
        <w:tc>
          <w:tcPr>
            <w:tcW w:w="1531" w:type="dxa"/>
          </w:tcPr>
          <w:p w:rsidR="00191F81" w:rsidRDefault="00191F81" w:rsidP="00C10A05">
            <w:pPr>
              <w:pStyle w:val="Tabletext"/>
              <w:framePr w:hSpace="181" w:wrap="notBeside" w:vAnchor="text" w:hAnchor="text" w:xAlign="center" w:y="1"/>
              <w:spacing w:before="80" w:after="80"/>
            </w:pPr>
          </w:p>
        </w:tc>
        <w:tc>
          <w:tcPr>
            <w:tcW w:w="2155" w:type="dxa"/>
          </w:tcPr>
          <w:p w:rsidR="00191F81" w:rsidRDefault="00191F81" w:rsidP="00C10A05">
            <w:pPr>
              <w:pStyle w:val="Tabletext"/>
              <w:framePr w:hSpace="181" w:wrap="notBeside" w:vAnchor="text" w:hAnchor="text" w:xAlign="center" w:y="1"/>
              <w:spacing w:before="80" w:after="80"/>
            </w:pPr>
          </w:p>
        </w:tc>
        <w:tc>
          <w:tcPr>
            <w:tcW w:w="1418" w:type="dxa"/>
          </w:tcPr>
          <w:p w:rsidR="00191F81" w:rsidRDefault="00191F81" w:rsidP="00C10A05">
            <w:pPr>
              <w:pStyle w:val="Tabletext"/>
              <w:framePr w:hSpace="181" w:wrap="notBeside" w:vAnchor="text" w:hAnchor="text" w:xAlign="center" w:y="1"/>
              <w:spacing w:before="80" w:after="80"/>
              <w:jc w:val="center"/>
            </w:pPr>
            <w:r>
              <w:rPr>
                <w:i/>
                <w:iCs/>
              </w:rPr>
              <w:t>x</w:t>
            </w:r>
            <w:r>
              <w:br/>
            </w:r>
            <w:r>
              <w:rPr>
                <w:i/>
                <w:iCs/>
              </w:rPr>
              <w:t>y</w:t>
            </w:r>
            <w:r>
              <w:br/>
            </w:r>
            <w:r>
              <w:rPr>
                <w:i/>
                <w:iCs/>
              </w:rPr>
              <w:t>z</w:t>
            </w:r>
          </w:p>
        </w:tc>
        <w:tc>
          <w:tcPr>
            <w:tcW w:w="1418" w:type="dxa"/>
          </w:tcPr>
          <w:p w:rsidR="00191F81" w:rsidRPr="00191F81" w:rsidRDefault="00191F81" w:rsidP="00C10A05">
            <w:pPr>
              <w:pStyle w:val="Tabletext"/>
              <w:framePr w:hSpace="181" w:wrap="notBeside" w:vAnchor="text" w:hAnchor="text" w:xAlign="center" w:y="1"/>
              <w:spacing w:before="80" w:after="80"/>
              <w:jc w:val="center"/>
              <w:rPr>
                <w:lang w:val="es-ES"/>
              </w:rPr>
            </w:pPr>
            <w:r w:rsidRPr="00191F81">
              <w:rPr>
                <w:lang w:val="es-ES"/>
              </w:rPr>
              <w:t>(</w:t>
            </w:r>
            <w:r w:rsidRPr="00191F81">
              <w:rPr>
                <w:rFonts w:ascii="Tms Rmn" w:hAnsi="Tms Rmn"/>
                <w:sz w:val="4"/>
                <w:lang w:val="es-ES"/>
              </w:rPr>
              <w:t> </w:t>
            </w:r>
            <w:r w:rsidRPr="00191F81">
              <w:rPr>
                <w:lang w:val="es-ES"/>
              </w:rPr>
              <w:t>j:m:a)</w:t>
            </w:r>
            <w:r w:rsidRPr="00191F81">
              <w:rPr>
                <w:i/>
                <w:iCs/>
                <w:position w:val="-4"/>
                <w:sz w:val="18"/>
                <w:lang w:val="es-ES"/>
              </w:rPr>
              <w:t>x</w:t>
            </w:r>
            <w:r w:rsidRPr="00191F81">
              <w:rPr>
                <w:sz w:val="26"/>
                <w:vertAlign w:val="subscript"/>
                <w:lang w:val="es-ES"/>
              </w:rPr>
              <w:br/>
            </w:r>
            <w:r w:rsidRPr="00191F81">
              <w:rPr>
                <w:lang w:val="es-ES"/>
              </w:rPr>
              <w:t>(</w:t>
            </w:r>
            <w:r w:rsidRPr="00191F81">
              <w:rPr>
                <w:rFonts w:ascii="Tms Rmn" w:hAnsi="Tms Rmn"/>
                <w:sz w:val="4"/>
                <w:lang w:val="es-ES"/>
              </w:rPr>
              <w:t> </w:t>
            </w:r>
            <w:r w:rsidRPr="00191F81">
              <w:rPr>
                <w:lang w:val="es-ES"/>
              </w:rPr>
              <w:t>j:m:a)</w:t>
            </w:r>
            <w:r w:rsidRPr="00191F81">
              <w:rPr>
                <w:i/>
                <w:iCs/>
                <w:position w:val="-4"/>
                <w:sz w:val="18"/>
                <w:lang w:val="es-ES"/>
              </w:rPr>
              <w:t>y</w:t>
            </w:r>
            <w:r w:rsidRPr="00191F81">
              <w:rPr>
                <w:vertAlign w:val="subscript"/>
                <w:lang w:val="es-ES"/>
              </w:rPr>
              <w:br/>
            </w:r>
            <w:r w:rsidRPr="00191F81">
              <w:rPr>
                <w:lang w:val="es-ES"/>
              </w:rPr>
              <w:t>(</w:t>
            </w:r>
            <w:r w:rsidRPr="00191F81">
              <w:rPr>
                <w:rFonts w:ascii="Tms Rmn" w:hAnsi="Tms Rmn"/>
                <w:sz w:val="4"/>
                <w:lang w:val="es-ES"/>
              </w:rPr>
              <w:t> </w:t>
            </w:r>
            <w:r w:rsidRPr="00191F81">
              <w:rPr>
                <w:lang w:val="es-ES"/>
              </w:rPr>
              <w:t>j:m:a)</w:t>
            </w:r>
            <w:r w:rsidRPr="00191F81">
              <w:rPr>
                <w:i/>
                <w:iCs/>
                <w:position w:val="-4"/>
                <w:sz w:val="18"/>
                <w:lang w:val="es-ES"/>
              </w:rPr>
              <w:t>z</w:t>
            </w:r>
          </w:p>
        </w:tc>
        <w:tc>
          <w:tcPr>
            <w:tcW w:w="1418" w:type="dxa"/>
          </w:tcPr>
          <w:p w:rsidR="00191F81" w:rsidRPr="00191F81" w:rsidRDefault="00191F81" w:rsidP="00C10A05">
            <w:pPr>
              <w:pStyle w:val="Tabletext"/>
              <w:framePr w:hSpace="181" w:wrap="notBeside" w:vAnchor="text" w:hAnchor="text" w:xAlign="center" w:y="1"/>
              <w:spacing w:before="80" w:after="80"/>
              <w:jc w:val="center"/>
              <w:rPr>
                <w:lang w:val="en-US"/>
              </w:rPr>
            </w:pPr>
            <w:r w:rsidRPr="00191F81">
              <w:rPr>
                <w:lang w:val="en-US"/>
              </w:rPr>
              <w:t>(</w:t>
            </w:r>
            <w:r w:rsidRPr="00191F81">
              <w:rPr>
                <w:rFonts w:ascii="Tms Rmn" w:hAnsi="Tms Rmn"/>
                <w:sz w:val="4"/>
                <w:lang w:val="en-US"/>
              </w:rPr>
              <w:t> </w:t>
            </w:r>
            <w:r w:rsidRPr="00191F81">
              <w:rPr>
                <w:lang w:val="en-US"/>
              </w:rPr>
              <w:t>h:m:s)</w:t>
            </w:r>
            <w:r w:rsidRPr="00191F81">
              <w:rPr>
                <w:i/>
                <w:iCs/>
                <w:position w:val="-4"/>
                <w:sz w:val="18"/>
                <w:lang w:val="en-US"/>
              </w:rPr>
              <w:t>x</w:t>
            </w:r>
            <w:r w:rsidRPr="00191F81">
              <w:rPr>
                <w:sz w:val="26"/>
                <w:vertAlign w:val="subscript"/>
                <w:lang w:val="en-US"/>
              </w:rPr>
              <w:br/>
            </w:r>
            <w:r w:rsidRPr="00191F81">
              <w:rPr>
                <w:lang w:val="en-US"/>
              </w:rPr>
              <w:t>(</w:t>
            </w:r>
            <w:r w:rsidRPr="00191F81">
              <w:rPr>
                <w:rFonts w:ascii="Tms Rmn" w:hAnsi="Tms Rmn"/>
                <w:sz w:val="4"/>
                <w:lang w:val="en-US"/>
              </w:rPr>
              <w:t> </w:t>
            </w:r>
            <w:r w:rsidRPr="00191F81">
              <w:rPr>
                <w:lang w:val="en-US"/>
              </w:rPr>
              <w:t>h:m:s)</w:t>
            </w:r>
            <w:r w:rsidRPr="00191F81">
              <w:rPr>
                <w:i/>
                <w:iCs/>
                <w:position w:val="-4"/>
                <w:sz w:val="18"/>
                <w:lang w:val="en-US"/>
              </w:rPr>
              <w:t>y</w:t>
            </w:r>
            <w:r w:rsidRPr="00191F81">
              <w:rPr>
                <w:sz w:val="26"/>
                <w:vertAlign w:val="subscript"/>
                <w:lang w:val="en-US"/>
              </w:rPr>
              <w:br/>
            </w:r>
            <w:r w:rsidRPr="00191F81">
              <w:rPr>
                <w:lang w:val="en-US"/>
              </w:rPr>
              <w:t>(</w:t>
            </w:r>
            <w:r w:rsidRPr="00191F81">
              <w:rPr>
                <w:rFonts w:ascii="Tms Rmn" w:hAnsi="Tms Rmn"/>
                <w:sz w:val="4"/>
                <w:lang w:val="en-US"/>
              </w:rPr>
              <w:t> </w:t>
            </w:r>
            <w:r w:rsidRPr="00191F81">
              <w:rPr>
                <w:lang w:val="en-US"/>
              </w:rPr>
              <w:t>h:m:s)</w:t>
            </w:r>
            <w:r w:rsidRPr="00191F81">
              <w:rPr>
                <w:i/>
                <w:iCs/>
                <w:position w:val="-4"/>
                <w:sz w:val="18"/>
                <w:lang w:val="en-US"/>
              </w:rPr>
              <w:t>z</w:t>
            </w:r>
          </w:p>
        </w:tc>
      </w:tr>
      <w:tr w:rsidR="00191F81" w:rsidTr="00C10A05">
        <w:trPr>
          <w:jc w:val="center"/>
        </w:trPr>
        <w:tc>
          <w:tcPr>
            <w:tcW w:w="1701" w:type="dxa"/>
          </w:tcPr>
          <w:p w:rsidR="00191F81" w:rsidRDefault="00191F81" w:rsidP="00C10A05">
            <w:pPr>
              <w:pStyle w:val="Tabletext"/>
              <w:framePr w:hSpace="181" w:wrap="notBeside" w:vAnchor="text" w:hAnchor="text" w:xAlign="center" w:y="1"/>
              <w:spacing w:before="80" w:after="80"/>
              <w:jc w:val="center"/>
            </w:pPr>
            <w:r>
              <w:t>2</w:t>
            </w:r>
          </w:p>
        </w:tc>
        <w:tc>
          <w:tcPr>
            <w:tcW w:w="1531" w:type="dxa"/>
          </w:tcPr>
          <w:p w:rsidR="00191F81" w:rsidRDefault="00191F81" w:rsidP="00C10A05">
            <w:pPr>
              <w:pStyle w:val="Tabletext"/>
              <w:framePr w:hSpace="181" w:wrap="notBeside" w:vAnchor="text" w:hAnchor="text" w:xAlign="center" w:y="1"/>
              <w:spacing w:before="80" w:after="80"/>
            </w:pPr>
          </w:p>
        </w:tc>
        <w:tc>
          <w:tcPr>
            <w:tcW w:w="2155" w:type="dxa"/>
          </w:tcPr>
          <w:p w:rsidR="00191F81" w:rsidRDefault="00191F81" w:rsidP="00C10A05">
            <w:pPr>
              <w:pStyle w:val="Tabletext"/>
              <w:framePr w:hSpace="181" w:wrap="notBeside" w:vAnchor="text" w:hAnchor="text" w:xAlign="center" w:y="1"/>
              <w:spacing w:before="80" w:after="80"/>
            </w:pPr>
          </w:p>
        </w:tc>
        <w:tc>
          <w:tcPr>
            <w:tcW w:w="1418" w:type="dxa"/>
          </w:tcPr>
          <w:p w:rsidR="00191F81" w:rsidRDefault="00191F81" w:rsidP="00C10A05">
            <w:pPr>
              <w:pStyle w:val="Tabletext"/>
              <w:framePr w:hSpace="181" w:wrap="notBeside" w:vAnchor="text" w:hAnchor="text" w:xAlign="center" w:y="1"/>
              <w:spacing w:before="80" w:after="80"/>
            </w:pPr>
          </w:p>
        </w:tc>
        <w:tc>
          <w:tcPr>
            <w:tcW w:w="1418" w:type="dxa"/>
          </w:tcPr>
          <w:p w:rsidR="00191F81" w:rsidRDefault="00191F81" w:rsidP="00C10A05">
            <w:pPr>
              <w:pStyle w:val="Tabletext"/>
              <w:framePr w:hSpace="181" w:wrap="notBeside" w:vAnchor="text" w:hAnchor="text" w:xAlign="center" w:y="1"/>
              <w:spacing w:before="80" w:after="80"/>
            </w:pPr>
          </w:p>
        </w:tc>
        <w:tc>
          <w:tcPr>
            <w:tcW w:w="1418" w:type="dxa"/>
          </w:tcPr>
          <w:p w:rsidR="00191F81" w:rsidRDefault="00191F81" w:rsidP="00C10A05">
            <w:pPr>
              <w:pStyle w:val="Tabletext"/>
              <w:framePr w:hSpace="181" w:wrap="notBeside" w:vAnchor="text" w:hAnchor="text" w:xAlign="center" w:y="1"/>
              <w:spacing w:before="80" w:after="80"/>
            </w:pPr>
          </w:p>
        </w:tc>
      </w:tr>
      <w:tr w:rsidR="00191F81" w:rsidTr="00C10A05">
        <w:trPr>
          <w:jc w:val="center"/>
        </w:trPr>
        <w:tc>
          <w:tcPr>
            <w:tcW w:w="1701" w:type="dxa"/>
          </w:tcPr>
          <w:p w:rsidR="00191F81" w:rsidRDefault="00191F81" w:rsidP="00C10A05">
            <w:pPr>
              <w:pStyle w:val="Tabletext"/>
              <w:framePr w:hSpace="181" w:wrap="notBeside" w:vAnchor="text" w:hAnchor="text" w:xAlign="center" w:y="1"/>
              <w:spacing w:before="80" w:after="80"/>
              <w:jc w:val="center"/>
            </w:pPr>
            <w:r>
              <w:t>3</w:t>
            </w:r>
          </w:p>
        </w:tc>
        <w:tc>
          <w:tcPr>
            <w:tcW w:w="1531" w:type="dxa"/>
          </w:tcPr>
          <w:p w:rsidR="00191F81" w:rsidRDefault="00191F81" w:rsidP="00C10A05">
            <w:pPr>
              <w:pStyle w:val="Tabletext"/>
              <w:framePr w:hSpace="181" w:wrap="notBeside" w:vAnchor="text" w:hAnchor="text" w:xAlign="center" w:y="1"/>
              <w:spacing w:before="80" w:after="80"/>
            </w:pPr>
          </w:p>
        </w:tc>
        <w:tc>
          <w:tcPr>
            <w:tcW w:w="2155" w:type="dxa"/>
          </w:tcPr>
          <w:p w:rsidR="00191F81" w:rsidRDefault="00191F81" w:rsidP="00C10A05">
            <w:pPr>
              <w:pStyle w:val="Tabletext"/>
              <w:framePr w:hSpace="181" w:wrap="notBeside" w:vAnchor="text" w:hAnchor="text" w:xAlign="center" w:y="1"/>
              <w:spacing w:before="80" w:after="80"/>
            </w:pPr>
          </w:p>
        </w:tc>
        <w:tc>
          <w:tcPr>
            <w:tcW w:w="1418" w:type="dxa"/>
          </w:tcPr>
          <w:p w:rsidR="00191F81" w:rsidRDefault="00191F81" w:rsidP="00C10A05">
            <w:pPr>
              <w:pStyle w:val="Tabletext"/>
              <w:framePr w:hSpace="181" w:wrap="notBeside" w:vAnchor="text" w:hAnchor="text" w:xAlign="center" w:y="1"/>
              <w:spacing w:before="80" w:after="80"/>
            </w:pPr>
          </w:p>
        </w:tc>
        <w:tc>
          <w:tcPr>
            <w:tcW w:w="1418" w:type="dxa"/>
          </w:tcPr>
          <w:p w:rsidR="00191F81" w:rsidRDefault="00191F81" w:rsidP="00C10A05">
            <w:pPr>
              <w:pStyle w:val="Tabletext"/>
              <w:framePr w:hSpace="181" w:wrap="notBeside" w:vAnchor="text" w:hAnchor="text" w:xAlign="center" w:y="1"/>
              <w:spacing w:before="80" w:after="80"/>
            </w:pPr>
          </w:p>
        </w:tc>
        <w:tc>
          <w:tcPr>
            <w:tcW w:w="1418" w:type="dxa"/>
          </w:tcPr>
          <w:p w:rsidR="00191F81" w:rsidRDefault="00191F81" w:rsidP="00C10A05">
            <w:pPr>
              <w:pStyle w:val="Tabletext"/>
              <w:framePr w:hSpace="181" w:wrap="notBeside" w:vAnchor="text" w:hAnchor="text" w:xAlign="center" w:y="1"/>
              <w:spacing w:before="80" w:after="80"/>
            </w:pPr>
          </w:p>
        </w:tc>
      </w:tr>
      <w:tr w:rsidR="00191F81" w:rsidTr="00C10A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41" w:type="dxa"/>
            <w:gridSpan w:val="6"/>
          </w:tcPr>
          <w:p w:rsidR="00191F81" w:rsidRDefault="00191F81" w:rsidP="00C10A05">
            <w:pPr>
              <w:pStyle w:val="Tablelegend"/>
              <w:framePr w:hSpace="181" w:wrap="notBeside" w:vAnchor="text" w:hAnchor="text" w:xAlign="center" w:y="1"/>
            </w:pPr>
            <w:r>
              <w:rPr>
                <w:position w:val="6"/>
                <w:sz w:val="18"/>
              </w:rPr>
              <w:t>(1)</w:t>
            </w:r>
            <w:r>
              <w:tab/>
              <w:t>(</w:t>
            </w:r>
            <w:r>
              <w:rPr>
                <w:rFonts w:ascii="Tms Rmn" w:hAnsi="Tms Rmn"/>
                <w:sz w:val="4"/>
              </w:rPr>
              <w:t> </w:t>
            </w:r>
            <w:r>
              <w:t>j:m:a):</w:t>
            </w:r>
            <w:r>
              <w:tab/>
              <w:t>jour, mois, année.</w:t>
            </w:r>
          </w:p>
          <w:p w:rsidR="00191F81" w:rsidRDefault="00191F81" w:rsidP="00C10A05">
            <w:pPr>
              <w:pStyle w:val="Tablelegend"/>
              <w:framePr w:hSpace="181" w:wrap="notBeside" w:vAnchor="text" w:hAnchor="text" w:xAlign="center" w:y="1"/>
            </w:pPr>
            <w:r>
              <w:rPr>
                <w:position w:val="6"/>
                <w:sz w:val="18"/>
              </w:rPr>
              <w:t>(2)</w:t>
            </w:r>
            <w:r>
              <w:tab/>
              <w:t>(</w:t>
            </w:r>
            <w:r>
              <w:rPr>
                <w:rFonts w:ascii="Tms Rmn" w:hAnsi="Tms Rmn"/>
                <w:sz w:val="4"/>
              </w:rPr>
              <w:t> </w:t>
            </w:r>
            <w:r>
              <w:t>h:m:s):</w:t>
            </w:r>
            <w:r>
              <w:tab/>
              <w:t>heure, minutes, secondes, millièmes de seconde.</w:t>
            </w:r>
          </w:p>
        </w:tc>
      </w:tr>
    </w:tbl>
    <w:p w:rsidR="00191F81" w:rsidRDefault="00191F81" w:rsidP="00191F81">
      <w:pPr>
        <w:pStyle w:val="Tablefin"/>
        <w:rPr>
          <w:lang w:val="fr-FR"/>
        </w:rPr>
      </w:pPr>
    </w:p>
    <w:p w:rsidR="00191F81" w:rsidRDefault="00191F81" w:rsidP="00191F81">
      <w:pPr>
        <w:pStyle w:val="Heading1"/>
      </w:pPr>
      <w:r>
        <w:t>3</w:t>
      </w:r>
      <w:r>
        <w:tab/>
        <w:t>Présentation de la configuration d'essai</w:t>
      </w:r>
    </w:p>
    <w:p w:rsidR="00191F81" w:rsidRDefault="00191F81" w:rsidP="00191F81">
      <w:pPr>
        <w:pStyle w:val="Heading2"/>
      </w:pPr>
      <w:r>
        <w:t>3.1</w:t>
      </w:r>
      <w:r>
        <w:tab/>
        <w:t>Mise en place de la configuration d'essai</w:t>
      </w:r>
    </w:p>
    <w:p w:rsidR="00191F81" w:rsidRDefault="00191F81" w:rsidP="00191F81">
      <w:r>
        <w:t>La configuration d'essai proposée mesurera le niveau de puissance surfacique du signal de systèmes non OSG reçu par la station terrienne OSG dans la direction de pointage qui présente la plus grande probabilité de passage de satellites par rapport à l'emplacement de la station terrienne OSG (voir le § 2.3).</w:t>
      </w:r>
    </w:p>
    <w:p w:rsidR="00191F81" w:rsidRDefault="00191F81" w:rsidP="003938C6">
      <w:pPr>
        <w:keepNext/>
        <w:keepLines/>
      </w:pPr>
      <w:r>
        <w:t xml:space="preserve">L'antenne d'essai, indépendante de l'antenne de la station terrienne OSG, peut être de petit diamètre, soit 1,2 ou 3 m. En effet, l'examen n'a pas pour but de mesurer le niveau de brouillage engendré mais de détecter et d'observer les signaux provenant d'un satellite non OSG donné, à la fréquence à laquelle le brouillage a été détecté dans la station terrienne OSG. L'antenne d'essai est située à proximité de cette dernière. </w:t>
      </w:r>
    </w:p>
    <w:p w:rsidR="00191F81" w:rsidRDefault="00191F81" w:rsidP="00191F81">
      <w:r>
        <w:t xml:space="preserve">Le signal peut également être observé dans les bandes de télémesure. En effet, la plupart des systèmes non OSG du SFS ne desservent pas l'ensemble de la zone de visibilité du satellite, et le satellite observé n'émet donc pas nécessairement en direction de l'emplacement de mesure. Pour faire la première observation du signal, il faut donc valider des paramètres de la constellation en observant les bandes de télémesure. </w:t>
      </w:r>
    </w:p>
    <w:p w:rsidR="00191F81" w:rsidRDefault="00191F81" w:rsidP="00C66ACF">
      <w:pPr>
        <w:keepNext/>
        <w:keepLines/>
      </w:pPr>
      <w:r>
        <w:lastRenderedPageBreak/>
        <w:t>La configuration d'essai proposée pour l'identification des sources de brouillage non OSG est la suivante:</w:t>
      </w:r>
    </w:p>
    <w:p w:rsidR="00191F81" w:rsidRDefault="00191F81" w:rsidP="00C66ACF">
      <w:pPr>
        <w:pStyle w:val="FigureNo"/>
        <w:spacing w:before="240"/>
      </w:pPr>
      <w:r>
        <w:rPr>
          <w:noProof/>
          <w:lang w:val="en-US" w:eastAsia="zh-CN"/>
        </w:rPr>
        <w:drawing>
          <wp:inline distT="0" distB="0" distL="0" distR="0" wp14:anchorId="3683EF4B" wp14:editId="7E7FE237">
            <wp:extent cx="5593080" cy="361315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93080" cy="3613150"/>
                    </a:xfrm>
                    <a:prstGeom prst="rect">
                      <a:avLst/>
                    </a:prstGeom>
                    <a:noFill/>
                    <a:ln>
                      <a:noFill/>
                    </a:ln>
                  </pic:spPr>
                </pic:pic>
              </a:graphicData>
            </a:graphic>
          </wp:inline>
        </w:drawing>
      </w:r>
    </w:p>
    <w:p w:rsidR="00C66ACF" w:rsidRDefault="00C66ACF" w:rsidP="00C66ACF">
      <w:pPr>
        <w:spacing w:before="0"/>
      </w:pPr>
    </w:p>
    <w:p w:rsidR="00191F81" w:rsidRDefault="00191F81" w:rsidP="00191F81">
      <w:r>
        <w:t>Les informations requises pour les éléments de la configuration d'essai</w:t>
      </w:r>
      <w:r w:rsidR="00C66ACF">
        <w:t xml:space="preserve"> sont données dans le Tableau 2.</w:t>
      </w:r>
    </w:p>
    <w:p w:rsidR="00191F81" w:rsidRDefault="00191F81" w:rsidP="00191F81">
      <w:pPr>
        <w:pStyle w:val="TableNo"/>
      </w:pPr>
      <w:r>
        <w:t>TABLEAU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3459"/>
        <w:gridCol w:w="3119"/>
      </w:tblGrid>
      <w:tr w:rsidR="00191F81" w:rsidTr="00C10A05">
        <w:trPr>
          <w:jc w:val="center"/>
        </w:trPr>
        <w:tc>
          <w:tcPr>
            <w:tcW w:w="3119" w:type="dxa"/>
          </w:tcPr>
          <w:p w:rsidR="00191F81" w:rsidRDefault="00191F81" w:rsidP="00C10A05">
            <w:pPr>
              <w:pStyle w:val="Tabletext"/>
              <w:framePr w:hSpace="181" w:wrap="notBeside" w:vAnchor="text" w:hAnchor="text" w:xAlign="center" w:y="1"/>
              <w:jc w:val="left"/>
            </w:pPr>
            <w:r>
              <w:t>Antenne d'essai et alimentation électrique</w:t>
            </w:r>
          </w:p>
        </w:tc>
        <w:tc>
          <w:tcPr>
            <w:tcW w:w="3459" w:type="dxa"/>
          </w:tcPr>
          <w:p w:rsidR="00191F81" w:rsidRDefault="00191F81" w:rsidP="00C10A05">
            <w:pPr>
              <w:pStyle w:val="Tabletext"/>
              <w:framePr w:hSpace="181" w:wrap="notBeside" w:vAnchor="text" w:hAnchor="text" w:xAlign="center" w:y="1"/>
              <w:jc w:val="left"/>
            </w:pPr>
            <w:r>
              <w:t>Taille</w:t>
            </w:r>
            <w:r>
              <w:br/>
              <w:t>Gain de fréquence</w:t>
            </w:r>
            <w:r>
              <w:br/>
              <w:t>Diagramme de gain d'antenne</w:t>
            </w:r>
          </w:p>
        </w:tc>
        <w:tc>
          <w:tcPr>
            <w:tcW w:w="3119" w:type="dxa"/>
          </w:tcPr>
          <w:p w:rsidR="00191F81" w:rsidRDefault="00191F81" w:rsidP="00C10A05">
            <w:pPr>
              <w:pStyle w:val="Tabletext"/>
              <w:framePr w:hSpace="181" w:wrap="notBeside" w:vAnchor="text" w:hAnchor="text" w:xAlign="center" w:y="1"/>
              <w:jc w:val="left"/>
            </w:pPr>
            <w:r>
              <w:br/>
            </w:r>
            <w:r>
              <w:br/>
              <w:t>Communiquées par le fabricant</w:t>
            </w:r>
          </w:p>
        </w:tc>
      </w:tr>
      <w:tr w:rsidR="00191F81" w:rsidTr="00C10A05">
        <w:trPr>
          <w:jc w:val="center"/>
        </w:trPr>
        <w:tc>
          <w:tcPr>
            <w:tcW w:w="3119" w:type="dxa"/>
          </w:tcPr>
          <w:p w:rsidR="00191F81" w:rsidRDefault="00191F81" w:rsidP="00C10A05">
            <w:pPr>
              <w:pStyle w:val="Tabletext"/>
              <w:framePr w:hSpace="181" w:wrap="notBeside" w:vAnchor="text" w:hAnchor="text" w:xAlign="center" w:y="1"/>
              <w:jc w:val="left"/>
            </w:pPr>
            <w:r>
              <w:t>AFB</w:t>
            </w:r>
          </w:p>
        </w:tc>
        <w:tc>
          <w:tcPr>
            <w:tcW w:w="3459" w:type="dxa"/>
          </w:tcPr>
          <w:p w:rsidR="00191F81" w:rsidRDefault="00191F81" w:rsidP="00C10A05">
            <w:pPr>
              <w:pStyle w:val="Tabletext"/>
              <w:framePr w:hSpace="181" w:wrap="notBeside" w:vAnchor="text" w:hAnchor="text" w:xAlign="center" w:y="1"/>
              <w:jc w:val="left"/>
            </w:pPr>
            <w:r>
              <w:t>Gamme de fréquences</w:t>
            </w:r>
            <w:r>
              <w:br/>
              <w:t>Gain et température de bruit</w:t>
            </w:r>
          </w:p>
        </w:tc>
        <w:tc>
          <w:tcPr>
            <w:tcW w:w="3119" w:type="dxa"/>
          </w:tcPr>
          <w:p w:rsidR="00191F81" w:rsidRDefault="00191F81" w:rsidP="00C10A05">
            <w:pPr>
              <w:pStyle w:val="Tabletext"/>
              <w:framePr w:hSpace="181" w:wrap="notBeside" w:vAnchor="text" w:hAnchor="text" w:xAlign="center" w:y="1"/>
              <w:jc w:val="left"/>
            </w:pPr>
            <w:r>
              <w:br/>
              <w:t>Mesurés par le fabricant</w:t>
            </w:r>
          </w:p>
        </w:tc>
      </w:tr>
      <w:tr w:rsidR="00191F81" w:rsidTr="00C10A05">
        <w:trPr>
          <w:jc w:val="center"/>
        </w:trPr>
        <w:tc>
          <w:tcPr>
            <w:tcW w:w="3119" w:type="dxa"/>
          </w:tcPr>
          <w:p w:rsidR="00191F81" w:rsidRDefault="00191F81" w:rsidP="00C10A05">
            <w:pPr>
              <w:pStyle w:val="Tabletext"/>
              <w:framePr w:hSpace="181" w:wrap="notBeside" w:vAnchor="text" w:hAnchor="text" w:xAlign="center" w:y="1"/>
              <w:jc w:val="left"/>
            </w:pPr>
            <w:r>
              <w:t>Câbles coaxiaux</w:t>
            </w:r>
          </w:p>
        </w:tc>
        <w:tc>
          <w:tcPr>
            <w:tcW w:w="3459" w:type="dxa"/>
          </w:tcPr>
          <w:p w:rsidR="00191F81" w:rsidRDefault="00191F81" w:rsidP="00C10A05">
            <w:pPr>
              <w:pStyle w:val="Tabletext"/>
              <w:framePr w:hSpace="181" w:wrap="notBeside" w:vAnchor="text" w:hAnchor="text" w:xAlign="center" w:y="1"/>
              <w:jc w:val="left"/>
            </w:pPr>
            <w:r>
              <w:t>Câbles à faibles pertes</w:t>
            </w:r>
            <w:r>
              <w:br/>
              <w:t>Affaiblissement en fonction de la fréquence</w:t>
            </w:r>
          </w:p>
        </w:tc>
        <w:tc>
          <w:tcPr>
            <w:tcW w:w="3119" w:type="dxa"/>
          </w:tcPr>
          <w:p w:rsidR="00191F81" w:rsidRDefault="00191F81" w:rsidP="00C10A05">
            <w:pPr>
              <w:pStyle w:val="Tabletext"/>
              <w:framePr w:hSpace="181" w:wrap="notBeside" w:vAnchor="text" w:hAnchor="text" w:xAlign="center" w:y="1"/>
              <w:jc w:val="left"/>
            </w:pPr>
            <w:r>
              <w:br/>
              <w:t>Mesurés au cours des essais d'étalonnage (voir le § 3.2)</w:t>
            </w:r>
          </w:p>
        </w:tc>
      </w:tr>
      <w:tr w:rsidR="00191F81" w:rsidTr="00C10A05">
        <w:trPr>
          <w:jc w:val="center"/>
        </w:trPr>
        <w:tc>
          <w:tcPr>
            <w:tcW w:w="3119" w:type="dxa"/>
          </w:tcPr>
          <w:p w:rsidR="00191F81" w:rsidRDefault="00191F81" w:rsidP="00C10A05">
            <w:pPr>
              <w:pStyle w:val="Tabletext"/>
              <w:framePr w:hSpace="181" w:wrap="notBeside" w:vAnchor="text" w:hAnchor="text" w:xAlign="center" w:y="1"/>
              <w:jc w:val="left"/>
            </w:pPr>
            <w:r>
              <w:t>Bloc CC</w:t>
            </w:r>
          </w:p>
        </w:tc>
        <w:tc>
          <w:tcPr>
            <w:tcW w:w="3459" w:type="dxa"/>
          </w:tcPr>
          <w:p w:rsidR="00191F81" w:rsidRDefault="00191F81" w:rsidP="00C10A05">
            <w:pPr>
              <w:pStyle w:val="Tabletext"/>
              <w:framePr w:hSpace="181" w:wrap="notBeside" w:vAnchor="text" w:hAnchor="text" w:xAlign="center" w:y="1"/>
              <w:jc w:val="left"/>
            </w:pPr>
            <w:r>
              <w:t>Affaiblissement</w:t>
            </w:r>
          </w:p>
        </w:tc>
        <w:tc>
          <w:tcPr>
            <w:tcW w:w="3119" w:type="dxa"/>
          </w:tcPr>
          <w:p w:rsidR="00191F81" w:rsidRDefault="00191F81" w:rsidP="00C10A05">
            <w:pPr>
              <w:pStyle w:val="Tabletext"/>
              <w:framePr w:hSpace="181" w:wrap="notBeside" w:vAnchor="text" w:hAnchor="text" w:xAlign="center" w:y="1"/>
              <w:jc w:val="left"/>
            </w:pPr>
            <w:r>
              <w:t>Mesuré</w:t>
            </w:r>
          </w:p>
        </w:tc>
      </w:tr>
      <w:tr w:rsidR="00191F81" w:rsidTr="00C10A05">
        <w:trPr>
          <w:jc w:val="center"/>
        </w:trPr>
        <w:tc>
          <w:tcPr>
            <w:tcW w:w="3119" w:type="dxa"/>
          </w:tcPr>
          <w:p w:rsidR="00191F81" w:rsidRDefault="00191F81" w:rsidP="00C10A05">
            <w:pPr>
              <w:pStyle w:val="Tabletext"/>
              <w:framePr w:hSpace="181" w:wrap="notBeside" w:vAnchor="text" w:hAnchor="text" w:xAlign="center" w:y="1"/>
              <w:jc w:val="left"/>
            </w:pPr>
            <w:r>
              <w:t>Alimentation électrique</w:t>
            </w:r>
          </w:p>
        </w:tc>
        <w:tc>
          <w:tcPr>
            <w:tcW w:w="3459" w:type="dxa"/>
          </w:tcPr>
          <w:p w:rsidR="00191F81" w:rsidRDefault="00191F81" w:rsidP="00C10A05">
            <w:pPr>
              <w:pStyle w:val="Tabletext"/>
              <w:framePr w:hSpace="181" w:wrap="notBeside" w:vAnchor="text" w:hAnchor="text" w:xAlign="center" w:y="1"/>
              <w:jc w:val="left"/>
            </w:pPr>
            <w:r>
              <w:t>Compatible avec la tension de l'AFB</w:t>
            </w:r>
          </w:p>
        </w:tc>
        <w:tc>
          <w:tcPr>
            <w:tcW w:w="3119" w:type="dxa"/>
          </w:tcPr>
          <w:p w:rsidR="00191F81" w:rsidRDefault="00191F81" w:rsidP="00C10A05">
            <w:pPr>
              <w:pStyle w:val="Tabletext"/>
              <w:framePr w:hSpace="181" w:wrap="notBeside" w:vAnchor="text" w:hAnchor="text" w:xAlign="center" w:y="1"/>
              <w:jc w:val="left"/>
            </w:pPr>
          </w:p>
        </w:tc>
      </w:tr>
      <w:tr w:rsidR="00191F81" w:rsidTr="00C10A05">
        <w:trPr>
          <w:jc w:val="center"/>
        </w:trPr>
        <w:tc>
          <w:tcPr>
            <w:tcW w:w="3119" w:type="dxa"/>
          </w:tcPr>
          <w:p w:rsidR="00191F81" w:rsidRDefault="00191F81" w:rsidP="00C10A05">
            <w:pPr>
              <w:pStyle w:val="Tabletext"/>
              <w:framePr w:hSpace="181" w:wrap="notBeside" w:vAnchor="text" w:hAnchor="text" w:xAlign="center" w:y="1"/>
              <w:jc w:val="left"/>
            </w:pPr>
            <w:r>
              <w:t>Analyseur de spectre</w:t>
            </w:r>
          </w:p>
        </w:tc>
        <w:tc>
          <w:tcPr>
            <w:tcW w:w="3459" w:type="dxa"/>
          </w:tcPr>
          <w:p w:rsidR="00191F81" w:rsidRDefault="00191F81" w:rsidP="00C10A05">
            <w:pPr>
              <w:pStyle w:val="Tabletext"/>
              <w:framePr w:hSpace="181" w:wrap="notBeside" w:vAnchor="text" w:hAnchor="text" w:xAlign="center" w:y="1"/>
              <w:jc w:val="left"/>
            </w:pPr>
            <w:r>
              <w:t>Faible bruit de fond</w:t>
            </w:r>
            <w:r>
              <w:br/>
              <w:t>Gamme de fréquences compatibles avec les essais</w:t>
            </w:r>
          </w:p>
        </w:tc>
        <w:tc>
          <w:tcPr>
            <w:tcW w:w="3119" w:type="dxa"/>
          </w:tcPr>
          <w:p w:rsidR="00191F81" w:rsidRDefault="00191F81" w:rsidP="00C10A05">
            <w:pPr>
              <w:pStyle w:val="Tabletext"/>
              <w:framePr w:hSpace="181" w:wrap="notBeside" w:vAnchor="text" w:hAnchor="text" w:xAlign="center" w:y="1"/>
              <w:jc w:val="left"/>
            </w:pPr>
          </w:p>
        </w:tc>
      </w:tr>
      <w:tr w:rsidR="00191F81" w:rsidTr="00C10A05">
        <w:trPr>
          <w:jc w:val="center"/>
        </w:trPr>
        <w:tc>
          <w:tcPr>
            <w:tcW w:w="3119" w:type="dxa"/>
          </w:tcPr>
          <w:p w:rsidR="00191F81" w:rsidRDefault="00191F81" w:rsidP="00C10A05">
            <w:pPr>
              <w:pStyle w:val="Tabletext"/>
              <w:framePr w:hSpace="181" w:wrap="notBeside" w:vAnchor="text" w:hAnchor="text" w:xAlign="center" w:y="1"/>
              <w:jc w:val="left"/>
            </w:pPr>
            <w:r>
              <w:t>Imprimante</w:t>
            </w:r>
          </w:p>
        </w:tc>
        <w:tc>
          <w:tcPr>
            <w:tcW w:w="3459" w:type="dxa"/>
          </w:tcPr>
          <w:p w:rsidR="00191F81" w:rsidRDefault="00191F81" w:rsidP="00C10A05">
            <w:pPr>
              <w:pStyle w:val="Tabletext"/>
              <w:framePr w:hSpace="181" w:wrap="notBeside" w:vAnchor="text" w:hAnchor="text" w:xAlign="center" w:y="1"/>
              <w:jc w:val="left"/>
            </w:pPr>
            <w:r>
              <w:t>Compatible avec l'analyseur de spectre</w:t>
            </w:r>
          </w:p>
        </w:tc>
        <w:tc>
          <w:tcPr>
            <w:tcW w:w="3119" w:type="dxa"/>
          </w:tcPr>
          <w:p w:rsidR="00191F81" w:rsidRDefault="00191F81" w:rsidP="00C10A05">
            <w:pPr>
              <w:pStyle w:val="Tabletext"/>
              <w:framePr w:hSpace="181" w:wrap="notBeside" w:vAnchor="text" w:hAnchor="text" w:xAlign="center" w:y="1"/>
              <w:jc w:val="left"/>
            </w:pPr>
          </w:p>
        </w:tc>
      </w:tr>
    </w:tbl>
    <w:p w:rsidR="00191F81" w:rsidRDefault="00191F81" w:rsidP="00191F81">
      <w:pPr>
        <w:pStyle w:val="Tablefin"/>
        <w:spacing w:before="120"/>
        <w:rPr>
          <w:lang w:val="fr-FR"/>
        </w:rPr>
      </w:pPr>
    </w:p>
    <w:p w:rsidR="00191F81" w:rsidRDefault="00191F81" w:rsidP="00191F81">
      <w:r>
        <w:t>Pour obtenir des résultats précis, il est nécessaire d'étalonner la chaîne de réception d'essai comme indiqué dans le § 3.2.</w:t>
      </w:r>
    </w:p>
    <w:p w:rsidR="00191F81" w:rsidRDefault="00191F81" w:rsidP="00191F81">
      <w:pPr>
        <w:pStyle w:val="Heading2"/>
      </w:pPr>
      <w:r>
        <w:lastRenderedPageBreak/>
        <w:t>3.2</w:t>
      </w:r>
      <w:r>
        <w:tab/>
        <w:t>Etalonnage de la configuration d'essai</w:t>
      </w:r>
    </w:p>
    <w:p w:rsidR="00191F81" w:rsidRDefault="00191F81" w:rsidP="00C66ACF">
      <w:r>
        <w:t>L'étalonnage de la configuration d'essai consiste à mesurer le gain et l'affaiblissement de l'ensemble de la chaîne de réception ainsi que la précision de pointage de l'antenne d'essai en direction de l'azimut et de l'élévation prévus du satellite non OSG. Il est en effet important, à l'étalonnage de la chaîne de réception, que le rapport porteuse-bruit (</w:t>
      </w:r>
      <w:r>
        <w:rPr>
          <w:i/>
          <w:iCs/>
        </w:rPr>
        <w:t>C</w:t>
      </w:r>
      <w:r>
        <w:t>/</w:t>
      </w:r>
      <w:r>
        <w:rPr>
          <w:i/>
          <w:iCs/>
        </w:rPr>
        <w:t>N</w:t>
      </w:r>
      <w:r>
        <w:rPr>
          <w:rFonts w:ascii="Tms Rmn" w:hAnsi="Tms Rmn"/>
          <w:i/>
          <w:iCs/>
          <w:sz w:val="12"/>
        </w:rPr>
        <w:t> </w:t>
      </w:r>
      <w:r>
        <w:t>) escompté du signal caractéristique non OSG soit suffisamment élevé pour être détecté par la configuration d'essai. Un excès d'affaiblissement dans la chaîne de réception peut compromettre la réussite de l'essai.</w:t>
      </w:r>
    </w:p>
    <w:p w:rsidR="00191F81" w:rsidRDefault="00191F81" w:rsidP="00191F81">
      <w:pPr>
        <w:pStyle w:val="Heading1"/>
      </w:pPr>
      <w:r>
        <w:t>4</w:t>
      </w:r>
      <w:r>
        <w:tab/>
        <w:t>Exemple: Application de la procédure d'identification au système HIBLEO</w:t>
      </w:r>
      <w:r>
        <w:noBreakHyphen/>
        <w:t>4FL</w:t>
      </w:r>
    </w:p>
    <w:p w:rsidR="00191F81" w:rsidRDefault="00191F81" w:rsidP="00191F81">
      <w:r>
        <w:t>Pour démontrer la faisabilité de la technique, un essai pratique de détection des signaux d'un système non OSG a été effectué depuis deux emplacements distincts, l'un près de Washington DC, aux Etats-Unis d'Amérique, l'autre à la station terrienne de Goonhilly, au Royaume</w:t>
      </w:r>
      <w:r>
        <w:noBreakHyphen/>
        <w:t>Uni.</w:t>
      </w:r>
    </w:p>
    <w:p w:rsidR="00191F81" w:rsidRDefault="00191F81" w:rsidP="00191F81">
      <w:r>
        <w:t>Le système HIBLEO-4FL (Globalstar) a été choisi pour les raisons suivantes:</w:t>
      </w:r>
    </w:p>
    <w:p w:rsidR="00191F81" w:rsidRDefault="00191F81" w:rsidP="00191F81">
      <w:pPr>
        <w:pStyle w:val="enumlev1"/>
      </w:pPr>
      <w:r>
        <w:t>–</w:t>
      </w:r>
      <w:r>
        <w:tab/>
        <w:t>ses paramètres orbitaux pour une constellation de 48 satellites inclinée à 52</w:t>
      </w:r>
      <w:r>
        <w:rPr>
          <w:rFonts w:ascii="Symbol" w:hAnsi="Symbol"/>
        </w:rPr>
        <w:t></w:t>
      </w:r>
      <w:r>
        <w:t>, à une altitude de 1</w:t>
      </w:r>
      <w:r>
        <w:rPr>
          <w:rFonts w:ascii="Tms Rmn" w:hAnsi="Tms Rmn"/>
          <w:sz w:val="12"/>
        </w:rPr>
        <w:t> </w:t>
      </w:r>
      <w:r>
        <w:t>414 km, sont représentatifs des systèmes non OSG concernés;</w:t>
      </w:r>
    </w:p>
    <w:p w:rsidR="00191F81" w:rsidRDefault="00191F81" w:rsidP="00191F81">
      <w:pPr>
        <w:pStyle w:val="enumlev1"/>
        <w:spacing w:before="50"/>
      </w:pPr>
      <w:r>
        <w:t>–</w:t>
      </w:r>
      <w:r>
        <w:tab/>
        <w:t>il rayonne vers la Terre un signal de télémesure à puissance constante (largeur de bande de 7 kHz) qui est fonction de l'élévation;</w:t>
      </w:r>
    </w:p>
    <w:p w:rsidR="00191F81" w:rsidRDefault="00191F81" w:rsidP="00191F81">
      <w:pPr>
        <w:pStyle w:val="enumlev1"/>
        <w:spacing w:before="50"/>
      </w:pPr>
      <w:r>
        <w:t>–</w:t>
      </w:r>
      <w:r>
        <w:tab/>
        <w:t>les émissions au voisinage de 7 GHz  utilisent une antenne à faisceau unique, à polarisation circulaire, qui sont parfaitement détectables au moyen d'une antenne à polarisation linéaire;</w:t>
      </w:r>
    </w:p>
    <w:p w:rsidR="00191F81" w:rsidRDefault="00191F81" w:rsidP="00191F81">
      <w:pPr>
        <w:pStyle w:val="enumlev1"/>
        <w:spacing w:before="50"/>
      </w:pPr>
      <w:r>
        <w:t>–</w:t>
      </w:r>
      <w:r>
        <w:tab/>
        <w:t>ce système est le seul à utiliser la bande descendante des 7 GHz, ce qui évite toute confusion avec des signaux provenant d'autres systèmes à satellite;</w:t>
      </w:r>
    </w:p>
    <w:p w:rsidR="00191F81" w:rsidRDefault="00191F81" w:rsidP="00191F81">
      <w:pPr>
        <w:pStyle w:val="enumlev1"/>
        <w:spacing w:before="50"/>
      </w:pPr>
      <w:r>
        <w:t>–</w:t>
      </w:r>
      <w:r>
        <w:tab/>
        <w:t>l'équipement d'essai pour la fréquence 7 GHz était disponible dans le commerce.</w:t>
      </w:r>
    </w:p>
    <w:p w:rsidR="00191F81" w:rsidRDefault="00191F81" w:rsidP="00C66ACF">
      <w:r>
        <w:t>Les essais ont montré qu'il est possible:</w:t>
      </w:r>
    </w:p>
    <w:p w:rsidR="00191F81" w:rsidRDefault="00191F81" w:rsidP="00C66ACF">
      <w:pPr>
        <w:pStyle w:val="enumlev1"/>
      </w:pPr>
      <w:r>
        <w:sym w:font="Symbol" w:char="F02D"/>
      </w:r>
      <w:r>
        <w:tab/>
        <w:t>d'établir une signature de constellation non OSG sans mettre en œuvre des signaux de signature normalisés spécifiques;</w:t>
      </w:r>
    </w:p>
    <w:p w:rsidR="00191F81" w:rsidRDefault="00191F81" w:rsidP="00191F81">
      <w:pPr>
        <w:pStyle w:val="enumlev1"/>
        <w:spacing w:before="50"/>
      </w:pPr>
      <w:r>
        <w:sym w:font="Symbol" w:char="F02D"/>
      </w:r>
      <w:r>
        <w:tab/>
        <w:t>de détecter des satellites d'un système non OSG fonctionnant en orbite basse en modulation à accès multiple par répartition en code;</w:t>
      </w:r>
    </w:p>
    <w:p w:rsidR="00191F81" w:rsidRDefault="00191F81" w:rsidP="00191F81">
      <w:pPr>
        <w:pStyle w:val="enumlev1"/>
        <w:spacing w:before="50"/>
      </w:pPr>
      <w:r>
        <w:sym w:font="Symbol" w:char="F02D"/>
      </w:r>
      <w:r>
        <w:tab/>
        <w:t>de prévoir avec précision la position de satellites non OSG par rapport à l'emplacement de la station terrienne OSG.</w:t>
      </w:r>
    </w:p>
    <w:p w:rsidR="00191F81" w:rsidRDefault="00191F81" w:rsidP="00191F81">
      <w:r>
        <w:t>Il est important de noter que le système HIBLEO-4FL est très proche d'un système tel que le F</w:t>
      </w:r>
      <w:r>
        <w:noBreakHyphen/>
        <w:t>SAT</w:t>
      </w:r>
      <w:r>
        <w:rPr>
          <w:sz w:val="18"/>
        </w:rPr>
        <w:t>  </w:t>
      </w:r>
      <w:r>
        <w:t>MULTI</w:t>
      </w:r>
      <w:r>
        <w:rPr>
          <w:sz w:val="18"/>
        </w:rPr>
        <w:t>  </w:t>
      </w:r>
      <w:r>
        <w:t>1B en termes de paramètres orbitaux et de puissance surfacique au sol. Le Tableau 3 présente les valeurs les plus importantes des paramètres orbitaux de la constellation et de niveau de puissance surfacique.</w:t>
      </w:r>
    </w:p>
    <w:p w:rsidR="00191F81" w:rsidRDefault="00191F81" w:rsidP="00191F81">
      <w:pPr>
        <w:pStyle w:val="TableNo"/>
        <w:spacing w:before="240"/>
      </w:pPr>
      <w:r>
        <w:t>TABLEAU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5"/>
        <w:gridCol w:w="3686"/>
        <w:gridCol w:w="3686"/>
      </w:tblGrid>
      <w:tr w:rsidR="00191F81" w:rsidTr="00C10A05">
        <w:trPr>
          <w:jc w:val="center"/>
        </w:trPr>
        <w:tc>
          <w:tcPr>
            <w:tcW w:w="2325" w:type="dxa"/>
            <w:tcBorders>
              <w:top w:val="nil"/>
              <w:left w:val="nil"/>
            </w:tcBorders>
          </w:tcPr>
          <w:p w:rsidR="00191F81" w:rsidRDefault="00191F81" w:rsidP="00C10A05">
            <w:pPr>
              <w:pStyle w:val="Normalaftertitle"/>
              <w:framePr w:hSpace="181" w:wrap="notBeside" w:vAnchor="text" w:hAnchor="text" w:xAlign="center" w:y="1"/>
              <w:spacing w:before="80" w:after="80"/>
            </w:pPr>
          </w:p>
        </w:tc>
        <w:tc>
          <w:tcPr>
            <w:tcW w:w="3686" w:type="dxa"/>
          </w:tcPr>
          <w:p w:rsidR="00191F81" w:rsidRDefault="00191F81" w:rsidP="00C10A05">
            <w:pPr>
              <w:pStyle w:val="Tablehead"/>
              <w:framePr w:hSpace="181" w:wrap="notBeside" w:vAnchor="text" w:hAnchor="text" w:xAlign="center" w:y="1"/>
            </w:pPr>
            <w:r>
              <w:t>F-SAT  MULTI  1B</w:t>
            </w:r>
          </w:p>
        </w:tc>
        <w:tc>
          <w:tcPr>
            <w:tcW w:w="3686" w:type="dxa"/>
          </w:tcPr>
          <w:p w:rsidR="00191F81" w:rsidRDefault="00191F81" w:rsidP="00C10A05">
            <w:pPr>
              <w:pStyle w:val="Tablehead"/>
              <w:framePr w:hSpace="181" w:wrap="notBeside" w:vAnchor="text" w:hAnchor="text" w:xAlign="center" w:y="1"/>
            </w:pPr>
            <w:r>
              <w:t>HIBLEO-4FL</w:t>
            </w:r>
          </w:p>
        </w:tc>
      </w:tr>
      <w:tr w:rsidR="00191F81" w:rsidTr="00C10A05">
        <w:trPr>
          <w:jc w:val="center"/>
        </w:trPr>
        <w:tc>
          <w:tcPr>
            <w:tcW w:w="2325" w:type="dxa"/>
          </w:tcPr>
          <w:p w:rsidR="00191F81" w:rsidRDefault="00191F81" w:rsidP="00C10A05">
            <w:pPr>
              <w:pStyle w:val="Tabletext"/>
              <w:framePr w:hSpace="181" w:wrap="notBeside" w:vAnchor="text" w:hAnchor="text" w:xAlign="center" w:y="1"/>
            </w:pPr>
            <w:r>
              <w:t>Altitude (km)</w:t>
            </w:r>
          </w:p>
        </w:tc>
        <w:tc>
          <w:tcPr>
            <w:tcW w:w="3686" w:type="dxa"/>
          </w:tcPr>
          <w:p w:rsidR="00191F81" w:rsidRDefault="00191F81" w:rsidP="00C10A05">
            <w:pPr>
              <w:pStyle w:val="Tabletext"/>
              <w:framePr w:hSpace="181" w:wrap="notBeside" w:vAnchor="text" w:hAnchor="text" w:xAlign="center" w:y="1"/>
              <w:ind w:left="113"/>
              <w:jc w:val="left"/>
            </w:pPr>
            <w:r>
              <w:t>1</w:t>
            </w:r>
            <w:r>
              <w:rPr>
                <w:rFonts w:ascii="Tms Rmn" w:hAnsi="Tms Rmn"/>
                <w:sz w:val="12"/>
              </w:rPr>
              <w:t> </w:t>
            </w:r>
            <w:r>
              <w:t>469</w:t>
            </w:r>
          </w:p>
        </w:tc>
        <w:tc>
          <w:tcPr>
            <w:tcW w:w="3686" w:type="dxa"/>
          </w:tcPr>
          <w:p w:rsidR="00191F81" w:rsidRDefault="00191F81" w:rsidP="00C10A05">
            <w:pPr>
              <w:pStyle w:val="Tabletext"/>
              <w:framePr w:hSpace="181" w:wrap="notBeside" w:vAnchor="text" w:hAnchor="text" w:xAlign="center" w:y="1"/>
              <w:ind w:left="113"/>
            </w:pPr>
            <w:r>
              <w:t>1</w:t>
            </w:r>
            <w:r>
              <w:rPr>
                <w:rFonts w:ascii="Tms Rmn" w:hAnsi="Tms Rmn"/>
                <w:sz w:val="12"/>
              </w:rPr>
              <w:t> </w:t>
            </w:r>
            <w:r>
              <w:t>414</w:t>
            </w:r>
          </w:p>
        </w:tc>
      </w:tr>
      <w:tr w:rsidR="00191F81" w:rsidTr="00C10A05">
        <w:trPr>
          <w:jc w:val="center"/>
        </w:trPr>
        <w:tc>
          <w:tcPr>
            <w:tcW w:w="2325" w:type="dxa"/>
          </w:tcPr>
          <w:p w:rsidR="00191F81" w:rsidRDefault="00191F81" w:rsidP="00C10A05">
            <w:pPr>
              <w:pStyle w:val="Tabletext"/>
              <w:framePr w:hSpace="181" w:wrap="notBeside" w:vAnchor="text" w:hAnchor="text" w:xAlign="center" w:y="1"/>
            </w:pPr>
            <w:r>
              <w:t>Type d'orbite</w:t>
            </w:r>
          </w:p>
        </w:tc>
        <w:tc>
          <w:tcPr>
            <w:tcW w:w="3686" w:type="dxa"/>
          </w:tcPr>
          <w:p w:rsidR="00191F81" w:rsidRDefault="00191F81" w:rsidP="00C10A05">
            <w:pPr>
              <w:pStyle w:val="Tabletext"/>
              <w:framePr w:hSpace="181" w:wrap="notBeside" w:vAnchor="text" w:hAnchor="text" w:xAlign="center" w:y="1"/>
              <w:ind w:left="113"/>
              <w:jc w:val="left"/>
            </w:pPr>
            <w:r>
              <w:t>Circulaire</w:t>
            </w:r>
          </w:p>
        </w:tc>
        <w:tc>
          <w:tcPr>
            <w:tcW w:w="3686" w:type="dxa"/>
          </w:tcPr>
          <w:p w:rsidR="00191F81" w:rsidRDefault="00191F81" w:rsidP="00C10A05">
            <w:pPr>
              <w:pStyle w:val="Tabletext"/>
              <w:framePr w:hSpace="181" w:wrap="notBeside" w:vAnchor="text" w:hAnchor="text" w:xAlign="center" w:y="1"/>
              <w:ind w:left="113"/>
            </w:pPr>
            <w:r>
              <w:t>Circulaire</w:t>
            </w:r>
          </w:p>
        </w:tc>
      </w:tr>
      <w:tr w:rsidR="00191F81" w:rsidTr="00C10A05">
        <w:trPr>
          <w:jc w:val="center"/>
        </w:trPr>
        <w:tc>
          <w:tcPr>
            <w:tcW w:w="2325" w:type="dxa"/>
          </w:tcPr>
          <w:p w:rsidR="00191F81" w:rsidRDefault="00191F81" w:rsidP="00C10A05">
            <w:pPr>
              <w:pStyle w:val="Tabletext"/>
              <w:framePr w:hSpace="181" w:wrap="notBeside" w:vAnchor="text" w:hAnchor="text" w:xAlign="center" w:y="1"/>
            </w:pPr>
            <w:r>
              <w:t>Inclinaison (degrés)</w:t>
            </w:r>
          </w:p>
        </w:tc>
        <w:tc>
          <w:tcPr>
            <w:tcW w:w="3686" w:type="dxa"/>
          </w:tcPr>
          <w:p w:rsidR="00191F81" w:rsidRDefault="00191F81" w:rsidP="00C10A05">
            <w:pPr>
              <w:pStyle w:val="Tabletext"/>
              <w:framePr w:hSpace="181" w:wrap="notBeside" w:vAnchor="text" w:hAnchor="text" w:xAlign="center" w:y="1"/>
              <w:ind w:left="113"/>
              <w:jc w:val="left"/>
            </w:pPr>
            <w:r>
              <w:t>53</w:t>
            </w:r>
          </w:p>
        </w:tc>
        <w:tc>
          <w:tcPr>
            <w:tcW w:w="3686" w:type="dxa"/>
          </w:tcPr>
          <w:p w:rsidR="00191F81" w:rsidRDefault="00191F81" w:rsidP="00C10A05">
            <w:pPr>
              <w:pStyle w:val="Tabletext"/>
              <w:framePr w:hSpace="181" w:wrap="notBeside" w:vAnchor="text" w:hAnchor="text" w:xAlign="center" w:y="1"/>
              <w:ind w:left="113"/>
            </w:pPr>
            <w:r>
              <w:t>52</w:t>
            </w:r>
          </w:p>
        </w:tc>
      </w:tr>
      <w:tr w:rsidR="00191F81" w:rsidTr="00C10A05">
        <w:trPr>
          <w:jc w:val="center"/>
        </w:trPr>
        <w:tc>
          <w:tcPr>
            <w:tcW w:w="2325" w:type="dxa"/>
          </w:tcPr>
          <w:p w:rsidR="00191F81" w:rsidRDefault="00191F81" w:rsidP="00C10A05">
            <w:pPr>
              <w:pStyle w:val="Tabletext"/>
              <w:framePr w:hSpace="181" w:wrap="notBeside" w:vAnchor="text" w:hAnchor="text" w:xAlign="center" w:y="1"/>
            </w:pPr>
            <w:r>
              <w:t>Fréquence (GHz)</w:t>
            </w:r>
          </w:p>
        </w:tc>
        <w:tc>
          <w:tcPr>
            <w:tcW w:w="3686" w:type="dxa"/>
          </w:tcPr>
          <w:p w:rsidR="00191F81" w:rsidRDefault="00191F81" w:rsidP="00C10A05">
            <w:pPr>
              <w:pStyle w:val="Tabletext"/>
              <w:framePr w:hSpace="181" w:wrap="notBeside" w:vAnchor="text" w:hAnchor="text" w:xAlign="center" w:y="1"/>
              <w:ind w:left="113" w:right="-113"/>
              <w:jc w:val="left"/>
            </w:pPr>
            <w:r>
              <w:t>10,7-12,75 pour la liaison descendante</w:t>
            </w:r>
          </w:p>
        </w:tc>
        <w:tc>
          <w:tcPr>
            <w:tcW w:w="3686" w:type="dxa"/>
          </w:tcPr>
          <w:p w:rsidR="00191F81" w:rsidRDefault="00191F81" w:rsidP="00C10A05">
            <w:pPr>
              <w:pStyle w:val="Tabletext"/>
              <w:framePr w:hSpace="181" w:wrap="notBeside" w:vAnchor="text" w:hAnchor="text" w:xAlign="center" w:y="1"/>
              <w:ind w:left="113" w:right="-113"/>
              <w:jc w:val="left"/>
            </w:pPr>
            <w:r>
              <w:t>Au voisinage de 6,8 pour la télémesure</w:t>
            </w:r>
          </w:p>
        </w:tc>
      </w:tr>
      <w:tr w:rsidR="00191F81" w:rsidTr="00C10A05">
        <w:trPr>
          <w:jc w:val="center"/>
        </w:trPr>
        <w:tc>
          <w:tcPr>
            <w:tcW w:w="2325" w:type="dxa"/>
          </w:tcPr>
          <w:p w:rsidR="00191F81" w:rsidRDefault="00191F81" w:rsidP="00C10A05">
            <w:pPr>
              <w:pStyle w:val="Tabletext"/>
              <w:framePr w:hSpace="181" w:wrap="notBeside" w:vAnchor="text" w:hAnchor="text" w:xAlign="center" w:y="1"/>
              <w:jc w:val="left"/>
            </w:pPr>
            <w:r>
              <w:t>Niveau de puissance surfacique (pfd)</w:t>
            </w:r>
            <w:r>
              <w:br/>
              <w:t>(dB(W/(m</w:t>
            </w:r>
            <w:r>
              <w:rPr>
                <w:position w:val="6"/>
                <w:sz w:val="18"/>
              </w:rPr>
              <w:t>2</w:t>
            </w:r>
            <w:r>
              <w:t> · 40 kHz)))</w:t>
            </w:r>
          </w:p>
        </w:tc>
        <w:tc>
          <w:tcPr>
            <w:tcW w:w="3686" w:type="dxa"/>
          </w:tcPr>
          <w:p w:rsidR="00191F81" w:rsidRDefault="00191F81" w:rsidP="00C10A05">
            <w:pPr>
              <w:pStyle w:val="Tabletext"/>
              <w:framePr w:hSpace="181" w:wrap="notBeside" w:vAnchor="text" w:hAnchor="text" w:xAlign="center" w:y="1"/>
              <w:ind w:left="113"/>
              <w:jc w:val="left"/>
            </w:pPr>
            <w:r>
              <w:t xml:space="preserve">Aux environs de </w:t>
            </w:r>
            <w:r>
              <w:sym w:font="Symbol" w:char="F02D"/>
            </w:r>
            <w:r>
              <w:t>145</w:t>
            </w:r>
          </w:p>
        </w:tc>
        <w:tc>
          <w:tcPr>
            <w:tcW w:w="3686" w:type="dxa"/>
          </w:tcPr>
          <w:p w:rsidR="00191F81" w:rsidRDefault="00191F81" w:rsidP="00C10A05">
            <w:pPr>
              <w:pStyle w:val="Tabletext"/>
              <w:framePr w:hSpace="181" w:wrap="notBeside" w:vAnchor="text" w:hAnchor="text" w:xAlign="center" w:y="1"/>
              <w:ind w:left="113"/>
              <w:jc w:val="left"/>
            </w:pPr>
            <w:r>
              <w:rPr>
                <w:i/>
                <w:iCs/>
              </w:rPr>
              <w:t>pfd</w:t>
            </w:r>
            <w:r>
              <w:rPr>
                <w:i/>
                <w:iCs/>
                <w:position w:val="-4"/>
                <w:sz w:val="18"/>
              </w:rPr>
              <w:t>min</w:t>
            </w:r>
            <w:r>
              <w:t xml:space="preserve"> </w:t>
            </w:r>
            <w:r>
              <w:rPr>
                <w:rFonts w:ascii="Symbol" w:hAnsi="Symbol"/>
              </w:rPr>
              <w:t></w:t>
            </w:r>
            <w:r>
              <w:t xml:space="preserve"> </w:t>
            </w:r>
            <w:r>
              <w:sym w:font="Symbol" w:char="F02D"/>
            </w:r>
            <w:r>
              <w:t>148</w:t>
            </w:r>
            <w:r>
              <w:br/>
            </w:r>
            <w:r>
              <w:rPr>
                <w:i/>
                <w:iCs/>
              </w:rPr>
              <w:t>pfd</w:t>
            </w:r>
            <w:r>
              <w:rPr>
                <w:i/>
                <w:iCs/>
                <w:position w:val="-4"/>
                <w:sz w:val="18"/>
              </w:rPr>
              <w:t>max</w:t>
            </w:r>
            <w:r>
              <w:t xml:space="preserve"> </w:t>
            </w:r>
            <w:r>
              <w:rPr>
                <w:rFonts w:ascii="Symbol" w:hAnsi="Symbol"/>
              </w:rPr>
              <w:t></w:t>
            </w:r>
            <w:r>
              <w:t xml:space="preserve"> </w:t>
            </w:r>
            <w:r>
              <w:sym w:font="Symbol" w:char="F02D"/>
            </w:r>
            <w:r>
              <w:t>135,8</w:t>
            </w:r>
          </w:p>
        </w:tc>
      </w:tr>
    </w:tbl>
    <w:p w:rsidR="00191F81" w:rsidRPr="00C66ACF" w:rsidRDefault="00191F81" w:rsidP="00191F81">
      <w:pPr>
        <w:pStyle w:val="Tablefin"/>
      </w:pPr>
    </w:p>
    <w:p w:rsidR="00191F81" w:rsidRDefault="00191F81" w:rsidP="00191F81">
      <w:r>
        <w:lastRenderedPageBreak/>
        <w:t>Les tests effectués aux Etats-Unis d'Amérique (dont une description détaillée est reproduite en Appendice 1) et au Royaume</w:t>
      </w:r>
      <w:r>
        <w:noBreakHyphen/>
        <w:t>Uni prouvent que le système HIBLEO-4FL est détectable, identifiable et que l'heure de passage d'un satellite dans le faisceau principal d'une antenne de station terrienne OSG, quel que soit le pointage, peut être prévue avec une précision de 3 s environ.</w:t>
      </w:r>
    </w:p>
    <w:p w:rsidR="00191F81" w:rsidRDefault="00191F81" w:rsidP="00191F81">
      <w:pPr>
        <w:pStyle w:val="Heading1"/>
      </w:pPr>
      <w:r>
        <w:t>5</w:t>
      </w:r>
      <w:r>
        <w:tab/>
        <w:t>Conclusion</w:t>
      </w:r>
    </w:p>
    <w:p w:rsidR="00191F81" w:rsidRDefault="00191F81" w:rsidP="00191F81">
      <w:r>
        <w:t>Il a été démontré dans la présente Annexe que l'identification d'une constellation non OSG est possible, à faible coût. On peut prévoir l'heure de passage d'un satellite non OSG à proximité ou dans le faisceau central d'une station terrienne OSG avec une précision de 3 s environ. Une procé</w:t>
      </w:r>
      <w:r>
        <w:softHyphen/>
        <w:t>dure simple comme celle présentée ici donne des informations qui sont déterminantes pour les opérateurs de systèmes OSG qui cherchent à connaître les systèmes non OSG qui sont à l'origine des brouillages constatés.</w:t>
      </w:r>
    </w:p>
    <w:p w:rsidR="0096362A" w:rsidRDefault="0096362A" w:rsidP="00191F81"/>
    <w:p w:rsidR="0096362A" w:rsidRDefault="0096362A" w:rsidP="00191F81"/>
    <w:p w:rsidR="00191F81" w:rsidRDefault="008A44A6" w:rsidP="00191F81">
      <w:pPr>
        <w:pStyle w:val="AppendixNo"/>
      </w:pPr>
      <w:r w:rsidRPr="008A44A6">
        <w:rPr>
          <w:b/>
          <w:bCs/>
        </w:rPr>
        <w:t>Appendice  1</w:t>
      </w:r>
      <w:r w:rsidRPr="008A44A6">
        <w:rPr>
          <w:b/>
          <w:bCs/>
        </w:rPr>
        <w:br/>
      </w:r>
      <w:r w:rsidRPr="008A44A6">
        <w:rPr>
          <w:b/>
          <w:bCs/>
        </w:rPr>
        <w:br/>
        <w:t xml:space="preserve">à  l'Annexe  </w:t>
      </w:r>
      <w:r w:rsidR="00191F81" w:rsidRPr="00381CFA">
        <w:rPr>
          <w:b/>
          <w:bCs/>
        </w:rPr>
        <w:t>1</w:t>
      </w:r>
    </w:p>
    <w:p w:rsidR="00191F81" w:rsidRDefault="00191F81" w:rsidP="00D21BF4">
      <w:pPr>
        <w:pStyle w:val="Normalaftertitle"/>
        <w:keepNext/>
        <w:keepLines/>
      </w:pPr>
      <w:r>
        <w:t>L'exemple donné dans le présent Appendice est celui de l'essai effectué aux Etats-Unis d'Amérique.</w:t>
      </w:r>
    </w:p>
    <w:p w:rsidR="00191F81" w:rsidRDefault="00191F81" w:rsidP="00D21BF4">
      <w:pPr>
        <w:pStyle w:val="Heading1"/>
      </w:pPr>
      <w:r>
        <w:t>1</w:t>
      </w:r>
      <w:r>
        <w:tab/>
        <w:t>Préparatifs</w:t>
      </w:r>
    </w:p>
    <w:p w:rsidR="00191F81" w:rsidRDefault="00191F81" w:rsidP="00191F81">
      <w:pPr>
        <w:pStyle w:val="Heading2"/>
      </w:pPr>
      <w:r>
        <w:t>1.1</w:t>
      </w:r>
      <w:r>
        <w:tab/>
        <w:t>Recherche d'informations sur le système HIBLEO-4FL</w:t>
      </w:r>
    </w:p>
    <w:p w:rsidR="00191F81" w:rsidRDefault="00191F81" w:rsidP="00191F81">
      <w:r>
        <w:t>Pour préparer l'essai, il faut réunir toutes les informations possibles sur la constellation HIBLEO</w:t>
      </w:r>
      <w:r>
        <w:noBreakHyphen/>
        <w:t>4FL à partir de son inscription à l'UIT (référence: RES46/C/182). On trouvera dans le fichier les informations suivantes sur ce système non OSG:</w:t>
      </w:r>
    </w:p>
    <w:p w:rsidR="00191F81" w:rsidRDefault="00191F81" w:rsidP="00191F81">
      <w:pPr>
        <w:pStyle w:val="Headingi"/>
      </w:pPr>
      <w:r>
        <w:t>Configuration de la constellation</w:t>
      </w:r>
    </w:p>
    <w:p w:rsidR="00191F81" w:rsidRDefault="00191F81" w:rsidP="00191F81">
      <w:r>
        <w:t>Le système HIBLEO-4FL est une constellation non OSG de 48 satellites combinés en huit plans de six satellites sur orbite circulaire à une altitude de 1</w:t>
      </w:r>
      <w:r>
        <w:rPr>
          <w:rFonts w:ascii="Tms Rmn" w:hAnsi="Tms Rmn"/>
          <w:sz w:val="12"/>
        </w:rPr>
        <w:t> </w:t>
      </w:r>
      <w:r>
        <w:t>414 km, inclinée à 52</w:t>
      </w:r>
      <w:r>
        <w:rPr>
          <w:rFonts w:ascii="Symbol" w:hAnsi="Symbol"/>
        </w:rPr>
        <w:t></w:t>
      </w:r>
      <w:r>
        <w:t xml:space="preserve">. Les 48 satellites étaient tous en orbite au moment des essais. </w:t>
      </w:r>
    </w:p>
    <w:p w:rsidR="00191F81" w:rsidRDefault="00191F81" w:rsidP="00191F81">
      <w:pPr>
        <w:pStyle w:val="Headingi"/>
      </w:pPr>
      <w:r>
        <w:t>Plan de fréquences</w:t>
      </w:r>
    </w:p>
    <w:p w:rsidR="00191F81" w:rsidRDefault="00191F81" w:rsidP="00191F81">
      <w:r>
        <w:t>Les fréquences des porteuses de télémesure se situent entre 6</w:t>
      </w:r>
      <w:r>
        <w:rPr>
          <w:rFonts w:ascii="Tms Rmn" w:hAnsi="Tms Rmn"/>
          <w:sz w:val="12"/>
        </w:rPr>
        <w:t> </w:t>
      </w:r>
      <w:r>
        <w:t>876 et 6</w:t>
      </w:r>
      <w:r>
        <w:rPr>
          <w:rFonts w:ascii="Tms Rmn" w:hAnsi="Tms Rmn"/>
          <w:sz w:val="12"/>
        </w:rPr>
        <w:t> </w:t>
      </w:r>
      <w:r>
        <w:t>877,1 MHz, compte non tenu du décalage par effet Doppler. Il y a huit blocs de 13 porteuses de connexion chacun pour les liaisons descendantes du satellite à la passerelle. Chaque porteuse a une largeur de bande de 1,23 MHz. Chaque bloc occupe 15,99 MHz (</w:t>
      </w:r>
      <w:r>
        <w:rPr>
          <w:rFonts w:ascii="Symbol" w:hAnsi="Symbol"/>
        </w:rPr>
        <w:sym w:font="Symbol" w:char="F0B1"/>
      </w:r>
      <w:r>
        <w:t xml:space="preserve"> le décalage Doppler sur les liaisons montantes/ descendantes transparentes) et achemine deux signaux à polarisation croisée.</w:t>
      </w:r>
    </w:p>
    <w:p w:rsidR="00191F81" w:rsidRDefault="00191F81" w:rsidP="00191F81">
      <w:pPr>
        <w:pStyle w:val="Note"/>
      </w:pPr>
      <w:r>
        <w:t xml:space="preserve">NOTE 1 – Le décalage Doppler est de </w:t>
      </w:r>
      <w:r>
        <w:rPr>
          <w:rFonts w:ascii="Symbol" w:hAnsi="Symbol"/>
        </w:rPr>
        <w:sym w:font="Symbol" w:char="F0B1"/>
      </w:r>
      <w:r>
        <w:rPr>
          <w:rFonts w:ascii="Tms Rmn" w:hAnsi="Tms Rmn"/>
          <w:sz w:val="4"/>
        </w:rPr>
        <w:t> </w:t>
      </w:r>
      <w:r>
        <w:t>135 kHz pour les porteuses de télémesure et pour les porteuses de connexion (seul le décalage Doppler de la liaison descendante a été pris en compte).</w:t>
      </w:r>
    </w:p>
    <w:p w:rsidR="00191F81" w:rsidRDefault="00191F81" w:rsidP="00191F81">
      <w:pPr>
        <w:pStyle w:val="Note"/>
      </w:pPr>
      <w:r>
        <w:t>Ces</w:t>
      </w:r>
      <w:r>
        <w:rPr>
          <w:sz w:val="18"/>
        </w:rPr>
        <w:t xml:space="preserve"> </w:t>
      </w:r>
      <w:r>
        <w:t>informations</w:t>
      </w:r>
      <w:r>
        <w:rPr>
          <w:sz w:val="18"/>
        </w:rPr>
        <w:t xml:space="preserve"> </w:t>
      </w:r>
      <w:r>
        <w:t>seront</w:t>
      </w:r>
      <w:r>
        <w:rPr>
          <w:sz w:val="18"/>
        </w:rPr>
        <w:t xml:space="preserve"> </w:t>
      </w:r>
      <w:r>
        <w:t>utiles</w:t>
      </w:r>
      <w:r>
        <w:rPr>
          <w:sz w:val="18"/>
        </w:rPr>
        <w:t xml:space="preserve"> </w:t>
      </w:r>
      <w:r>
        <w:t>pour</w:t>
      </w:r>
      <w:r>
        <w:rPr>
          <w:sz w:val="18"/>
        </w:rPr>
        <w:t xml:space="preserve"> </w:t>
      </w:r>
      <w:r>
        <w:t>adapter</w:t>
      </w:r>
      <w:r>
        <w:rPr>
          <w:sz w:val="18"/>
        </w:rPr>
        <w:t xml:space="preserve"> </w:t>
      </w:r>
      <w:r>
        <w:t>le</w:t>
      </w:r>
      <w:r>
        <w:rPr>
          <w:sz w:val="18"/>
        </w:rPr>
        <w:t xml:space="preserve"> </w:t>
      </w:r>
      <w:r>
        <w:t>spectre</w:t>
      </w:r>
      <w:r>
        <w:rPr>
          <w:sz w:val="18"/>
        </w:rPr>
        <w:t xml:space="preserve"> </w:t>
      </w:r>
      <w:r>
        <w:t>observé</w:t>
      </w:r>
      <w:r>
        <w:rPr>
          <w:sz w:val="18"/>
        </w:rPr>
        <w:t xml:space="preserve"> </w:t>
      </w:r>
      <w:r>
        <w:t>au</w:t>
      </w:r>
      <w:r>
        <w:rPr>
          <w:sz w:val="18"/>
        </w:rPr>
        <w:t xml:space="preserve"> </w:t>
      </w:r>
      <w:r>
        <w:t>plan</w:t>
      </w:r>
      <w:r>
        <w:rPr>
          <w:sz w:val="18"/>
        </w:rPr>
        <w:t xml:space="preserve"> </w:t>
      </w:r>
      <w:r>
        <w:t>de</w:t>
      </w:r>
      <w:r>
        <w:rPr>
          <w:sz w:val="18"/>
        </w:rPr>
        <w:t xml:space="preserve"> </w:t>
      </w:r>
      <w:r>
        <w:t>fréquences</w:t>
      </w:r>
      <w:r>
        <w:rPr>
          <w:sz w:val="18"/>
        </w:rPr>
        <w:t xml:space="preserve"> </w:t>
      </w:r>
      <w:r>
        <w:t>du</w:t>
      </w:r>
      <w:r>
        <w:rPr>
          <w:sz w:val="18"/>
        </w:rPr>
        <w:t xml:space="preserve"> </w:t>
      </w:r>
      <w:r>
        <w:t>système</w:t>
      </w:r>
      <w:r>
        <w:rPr>
          <w:sz w:val="18"/>
        </w:rPr>
        <w:t xml:space="preserve"> </w:t>
      </w:r>
      <w:r>
        <w:t>HIBLEO</w:t>
      </w:r>
      <w:r>
        <w:noBreakHyphen/>
        <w:t>4FL.</w:t>
      </w:r>
    </w:p>
    <w:p w:rsidR="00191F81" w:rsidRDefault="00191F81" w:rsidP="00191F81">
      <w:pPr>
        <w:pStyle w:val="Headingi"/>
      </w:pPr>
      <w:r>
        <w:t>Niveaux de puissance</w:t>
      </w:r>
    </w:p>
    <w:p w:rsidR="00191F81" w:rsidRDefault="00191F81" w:rsidP="00191F81">
      <w:r>
        <w:t>La référence RES46/C/142 donne également le gain et la p.i.r.e. des satellites du système HIBLEO</w:t>
      </w:r>
      <w:r>
        <w:noBreakHyphen/>
        <w:t>4FL en fonction de l'angle d'élévation au sol.</w:t>
      </w:r>
    </w:p>
    <w:p w:rsidR="00191F81" w:rsidRDefault="00191F81" w:rsidP="00714476">
      <w:r>
        <w:lastRenderedPageBreak/>
        <w:t xml:space="preserve">A partir des indications du Tableau 4, on peut calculer le niveau de la puissance surfacique déclaré à l'UIT pour le système HIBLEO-4FL en </w:t>
      </w:r>
      <w:r w:rsidR="00714476">
        <w:t xml:space="preserve">fonction de l'angle d'élévation </w:t>
      </w:r>
      <w:r>
        <w:t>(dB(W/(m</w:t>
      </w:r>
      <w:r>
        <w:rPr>
          <w:position w:val="6"/>
          <w:sz w:val="20"/>
        </w:rPr>
        <w:t>2</w:t>
      </w:r>
      <w:r>
        <w:t> · 40</w:t>
      </w:r>
      <w:r w:rsidR="00714476">
        <w:t> </w:t>
      </w:r>
      <w:r>
        <w:t>kHz))) (voir la Fig. 2).</w:t>
      </w:r>
    </w:p>
    <w:p w:rsidR="00191F81" w:rsidRDefault="00191F81" w:rsidP="00191F81">
      <w:pPr>
        <w:pStyle w:val="TableNo"/>
      </w:pPr>
      <w:r>
        <w:t>TABLEAU  4</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34"/>
        <w:gridCol w:w="1418"/>
        <w:gridCol w:w="1418"/>
        <w:gridCol w:w="1418"/>
        <w:gridCol w:w="1701"/>
        <w:gridCol w:w="2608"/>
      </w:tblGrid>
      <w:tr w:rsidR="00191F81" w:rsidTr="00C10A05">
        <w:trPr>
          <w:jc w:val="center"/>
        </w:trPr>
        <w:tc>
          <w:tcPr>
            <w:tcW w:w="1134" w:type="dxa"/>
            <w:vAlign w:val="center"/>
          </w:tcPr>
          <w:p w:rsidR="00191F81" w:rsidRDefault="00191F81" w:rsidP="00C10A05">
            <w:pPr>
              <w:pStyle w:val="Tablehead"/>
              <w:framePr w:hSpace="181" w:wrap="notBeside" w:vAnchor="text" w:hAnchor="text" w:xAlign="center" w:y="1"/>
            </w:pPr>
            <w:r>
              <w:t>Elévation (degrés)</w:t>
            </w:r>
          </w:p>
        </w:tc>
        <w:tc>
          <w:tcPr>
            <w:tcW w:w="1418" w:type="dxa"/>
            <w:vAlign w:val="center"/>
          </w:tcPr>
          <w:p w:rsidR="00191F81" w:rsidRDefault="00191F81" w:rsidP="00C10A05">
            <w:pPr>
              <w:pStyle w:val="Tablehead"/>
              <w:framePr w:hSpace="181" w:wrap="notBeside" w:vAnchor="text" w:hAnchor="text" w:xAlign="center" w:y="1"/>
            </w:pPr>
            <w:r>
              <w:t>Distance</w:t>
            </w:r>
            <w:r>
              <w:rPr>
                <w:position w:val="6"/>
                <w:sz w:val="18"/>
              </w:rPr>
              <w:t>(1)</w:t>
            </w:r>
            <w:r>
              <w:br/>
              <w:t>(km)</w:t>
            </w:r>
          </w:p>
        </w:tc>
        <w:tc>
          <w:tcPr>
            <w:tcW w:w="1418" w:type="dxa"/>
            <w:vAlign w:val="center"/>
          </w:tcPr>
          <w:p w:rsidR="00191F81" w:rsidRDefault="00191F81" w:rsidP="00C10A05">
            <w:pPr>
              <w:pStyle w:val="Tablehead"/>
              <w:framePr w:hSpace="181" w:wrap="notBeside" w:vAnchor="text" w:hAnchor="text" w:xAlign="center" w:y="1"/>
            </w:pPr>
            <w:r>
              <w:t>Affaiblis-sement</w:t>
            </w:r>
            <w:r>
              <w:rPr>
                <w:position w:val="6"/>
                <w:sz w:val="18"/>
              </w:rPr>
              <w:t>(2)</w:t>
            </w:r>
            <w:r>
              <w:t xml:space="preserve"> (dBm</w:t>
            </w:r>
            <w:r>
              <w:rPr>
                <w:position w:val="6"/>
                <w:sz w:val="18"/>
              </w:rPr>
              <w:t>2</w:t>
            </w:r>
            <w:r>
              <w:t>)</w:t>
            </w:r>
          </w:p>
        </w:tc>
        <w:tc>
          <w:tcPr>
            <w:tcW w:w="1418" w:type="dxa"/>
            <w:vAlign w:val="center"/>
          </w:tcPr>
          <w:p w:rsidR="00191F81" w:rsidRDefault="00191F81" w:rsidP="00C10A05">
            <w:pPr>
              <w:pStyle w:val="Tablehead"/>
              <w:framePr w:hSpace="181" w:wrap="notBeside" w:vAnchor="text" w:hAnchor="text" w:xAlign="center" w:y="1"/>
            </w:pPr>
            <w:r>
              <w:t>Gain</w:t>
            </w:r>
            <w:r>
              <w:rPr>
                <w:position w:val="6"/>
                <w:sz w:val="18"/>
              </w:rPr>
              <w:t>(3)</w:t>
            </w:r>
            <w:r>
              <w:br/>
              <w:t>(dBi)</w:t>
            </w:r>
          </w:p>
        </w:tc>
        <w:tc>
          <w:tcPr>
            <w:tcW w:w="1701" w:type="dxa"/>
            <w:vAlign w:val="center"/>
          </w:tcPr>
          <w:p w:rsidR="00191F81" w:rsidRDefault="00191F81" w:rsidP="00C10A05">
            <w:pPr>
              <w:pStyle w:val="Tablehead"/>
              <w:framePr w:hSpace="181" w:wrap="notBeside" w:vAnchor="text" w:hAnchor="text" w:xAlign="center" w:y="1"/>
            </w:pPr>
            <w:r>
              <w:t>p.i.r.e.</w:t>
            </w:r>
            <w:r>
              <w:br/>
              <w:t>(dB(W/7 kHz))</w:t>
            </w:r>
          </w:p>
        </w:tc>
        <w:tc>
          <w:tcPr>
            <w:tcW w:w="2608" w:type="dxa"/>
            <w:vAlign w:val="center"/>
          </w:tcPr>
          <w:p w:rsidR="00191F81" w:rsidRDefault="00191F81" w:rsidP="00C10A05">
            <w:pPr>
              <w:pStyle w:val="Tablehead"/>
              <w:framePr w:hSpace="181" w:wrap="notBeside" w:vAnchor="text" w:hAnchor="text" w:xAlign="center" w:y="1"/>
            </w:pPr>
            <w:r>
              <w:t>puissance surfacique</w:t>
            </w:r>
            <w:r>
              <w:rPr>
                <w:position w:val="6"/>
                <w:sz w:val="18"/>
              </w:rPr>
              <w:t>(4)</w:t>
            </w:r>
            <w:r>
              <w:br/>
              <w:t>(dB(W/(m</w:t>
            </w:r>
            <w:r>
              <w:rPr>
                <w:position w:val="6"/>
                <w:sz w:val="18"/>
              </w:rPr>
              <w:t>2</w:t>
            </w:r>
            <w:r>
              <w:t> · 7 kHz)))</w:t>
            </w:r>
          </w:p>
        </w:tc>
      </w:tr>
      <w:tr w:rsidR="00191F81" w:rsidTr="00C10A05">
        <w:trPr>
          <w:jc w:val="center"/>
        </w:trPr>
        <w:tc>
          <w:tcPr>
            <w:tcW w:w="1134" w:type="dxa"/>
          </w:tcPr>
          <w:p w:rsidR="00191F81" w:rsidRDefault="00191F81" w:rsidP="00C10A0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pPr>
            <w:r>
              <w:t> </w:t>
            </w:r>
            <w:r>
              <w:t>0</w:t>
            </w:r>
          </w:p>
          <w:p w:rsidR="00191F81" w:rsidRDefault="00191F81" w:rsidP="00C10A0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pPr>
            <w:r>
              <w:t>10</w:t>
            </w:r>
          </w:p>
          <w:p w:rsidR="00191F81" w:rsidRDefault="00191F81" w:rsidP="00C10A0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pPr>
            <w:r>
              <w:t>20</w:t>
            </w:r>
          </w:p>
          <w:p w:rsidR="00191F81" w:rsidRDefault="00191F81" w:rsidP="00C10A0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pPr>
            <w:r>
              <w:t>30</w:t>
            </w:r>
          </w:p>
          <w:p w:rsidR="00191F81" w:rsidRDefault="00191F81" w:rsidP="00C10A0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pPr>
            <w:r>
              <w:t>40</w:t>
            </w:r>
          </w:p>
          <w:p w:rsidR="00191F81" w:rsidRDefault="00191F81" w:rsidP="00C10A0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pPr>
            <w:r>
              <w:t>50</w:t>
            </w:r>
          </w:p>
          <w:p w:rsidR="00191F81" w:rsidRDefault="00191F81" w:rsidP="00C10A0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pPr>
            <w:r>
              <w:t>60</w:t>
            </w:r>
          </w:p>
          <w:p w:rsidR="00191F81" w:rsidRDefault="00191F81" w:rsidP="00C10A0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pPr>
            <w:r>
              <w:t>70</w:t>
            </w:r>
          </w:p>
          <w:p w:rsidR="00191F81" w:rsidRDefault="00191F81" w:rsidP="00C10A0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pPr>
            <w:r>
              <w:t>80</w:t>
            </w:r>
          </w:p>
          <w:p w:rsidR="00191F81" w:rsidRDefault="00191F81" w:rsidP="00C10A0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pPr>
            <w:r>
              <w:t>90</w:t>
            </w:r>
          </w:p>
        </w:tc>
        <w:tc>
          <w:tcPr>
            <w:tcW w:w="1418" w:type="dxa"/>
          </w:tcPr>
          <w:p w:rsidR="00191F81" w:rsidRDefault="00191F81" w:rsidP="00C10A0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9"/>
              </w:tabs>
              <w:spacing w:before="30" w:after="30"/>
              <w:jc w:val="left"/>
            </w:pPr>
            <w:r>
              <w:t>4</w:t>
            </w:r>
            <w:r>
              <w:rPr>
                <w:rFonts w:ascii="Tms Rmn" w:hAnsi="Tms Rmn"/>
                <w:sz w:val="12"/>
              </w:rPr>
              <w:t> </w:t>
            </w:r>
            <w:r>
              <w:t>476,5</w:t>
            </w:r>
          </w:p>
          <w:p w:rsidR="00191F81" w:rsidRDefault="00191F81" w:rsidP="00C10A0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9"/>
              </w:tabs>
              <w:spacing w:before="30" w:after="30"/>
              <w:jc w:val="left"/>
            </w:pPr>
            <w:r>
              <w:t>3</w:t>
            </w:r>
            <w:r>
              <w:rPr>
                <w:rFonts w:ascii="Tms Rmn" w:hAnsi="Tms Rmn"/>
                <w:sz w:val="12"/>
              </w:rPr>
              <w:t> </w:t>
            </w:r>
            <w:r>
              <w:t>504,4</w:t>
            </w:r>
          </w:p>
          <w:p w:rsidR="00191F81" w:rsidRDefault="00191F81" w:rsidP="00C10A0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9"/>
              </w:tabs>
              <w:spacing w:before="30" w:after="30"/>
              <w:jc w:val="left"/>
            </w:pPr>
            <w:r>
              <w:t>2</w:t>
            </w:r>
            <w:r>
              <w:rPr>
                <w:rFonts w:ascii="Tms Rmn" w:hAnsi="Tms Rmn"/>
                <w:sz w:val="12"/>
              </w:rPr>
              <w:t> </w:t>
            </w:r>
            <w:r>
              <w:t>798,4</w:t>
            </w:r>
          </w:p>
          <w:p w:rsidR="00191F81" w:rsidRDefault="00191F81" w:rsidP="00C10A0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9"/>
              </w:tabs>
              <w:spacing w:before="30" w:after="30"/>
              <w:jc w:val="left"/>
            </w:pPr>
            <w:r>
              <w:t>2</w:t>
            </w:r>
            <w:r>
              <w:rPr>
                <w:rFonts w:ascii="Tms Rmn" w:hAnsi="Tms Rmn"/>
                <w:sz w:val="12"/>
              </w:rPr>
              <w:t> </w:t>
            </w:r>
            <w:r>
              <w:t>307,3</w:t>
            </w:r>
          </w:p>
          <w:p w:rsidR="00191F81" w:rsidRDefault="00191F81" w:rsidP="00C10A0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9"/>
              </w:tabs>
              <w:spacing w:before="30" w:after="30"/>
              <w:jc w:val="left"/>
            </w:pPr>
            <w:r>
              <w:t>1</w:t>
            </w:r>
            <w:r>
              <w:rPr>
                <w:rFonts w:ascii="Tms Rmn" w:hAnsi="Tms Rmn"/>
                <w:sz w:val="12"/>
              </w:rPr>
              <w:t> </w:t>
            </w:r>
            <w:r>
              <w:t>970,5</w:t>
            </w:r>
          </w:p>
          <w:p w:rsidR="00191F81" w:rsidRDefault="00191F81" w:rsidP="00C10A0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9"/>
              </w:tabs>
              <w:spacing w:before="30" w:after="30"/>
              <w:jc w:val="left"/>
            </w:pPr>
            <w:r>
              <w:t>1</w:t>
            </w:r>
            <w:r>
              <w:rPr>
                <w:rFonts w:ascii="Tms Rmn" w:hAnsi="Tms Rmn"/>
                <w:sz w:val="12"/>
              </w:rPr>
              <w:t> </w:t>
            </w:r>
            <w:r>
              <w:t>740,7</w:t>
            </w:r>
          </w:p>
          <w:p w:rsidR="00191F81" w:rsidRDefault="00191F81" w:rsidP="00C10A0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9"/>
              </w:tabs>
              <w:spacing w:before="30" w:after="30"/>
              <w:jc w:val="left"/>
            </w:pPr>
            <w:r>
              <w:t>1</w:t>
            </w:r>
            <w:r>
              <w:rPr>
                <w:rFonts w:ascii="Tms Rmn" w:hAnsi="Tms Rmn"/>
                <w:sz w:val="12"/>
              </w:rPr>
              <w:t> </w:t>
            </w:r>
            <w:r>
              <w:t>586,3</w:t>
            </w:r>
          </w:p>
          <w:p w:rsidR="00191F81" w:rsidRDefault="00191F81" w:rsidP="00C10A0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9"/>
              </w:tabs>
              <w:spacing w:before="30" w:after="30"/>
              <w:jc w:val="left"/>
            </w:pPr>
            <w:r>
              <w:t>1</w:t>
            </w:r>
            <w:r>
              <w:rPr>
                <w:rFonts w:ascii="Tms Rmn" w:hAnsi="Tms Rmn"/>
                <w:sz w:val="12"/>
              </w:rPr>
              <w:t> </w:t>
            </w:r>
            <w:r>
              <w:t>487,3</w:t>
            </w:r>
          </w:p>
          <w:p w:rsidR="00191F81" w:rsidRDefault="00191F81" w:rsidP="00C10A0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9"/>
              </w:tabs>
              <w:spacing w:before="30" w:after="30"/>
              <w:jc w:val="left"/>
            </w:pPr>
            <w:r>
              <w:t>1</w:t>
            </w:r>
            <w:r>
              <w:rPr>
                <w:rFonts w:ascii="Tms Rmn" w:hAnsi="Tms Rmn"/>
                <w:sz w:val="12"/>
              </w:rPr>
              <w:t> </w:t>
            </w:r>
            <w:r>
              <w:t>432</w:t>
            </w:r>
          </w:p>
          <w:p w:rsidR="00191F81" w:rsidRDefault="00191F81" w:rsidP="00714476">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9"/>
              </w:tabs>
              <w:spacing w:before="30" w:after="30"/>
              <w:jc w:val="left"/>
            </w:pPr>
            <w:r>
              <w:t>1</w:t>
            </w:r>
            <w:r>
              <w:rPr>
                <w:rFonts w:ascii="Tms Rmn" w:hAnsi="Tms Rmn"/>
                <w:sz w:val="12"/>
              </w:rPr>
              <w:t> </w:t>
            </w:r>
            <w:r>
              <w:t>414</w:t>
            </w:r>
            <w:r w:rsidR="00714476" w:rsidRPr="00714476">
              <w:rPr>
                <w:sz w:val="24"/>
                <w:szCs w:val="24"/>
                <w:vertAlign w:val="superscript"/>
              </w:rPr>
              <w:t>(5)</w:t>
            </w:r>
          </w:p>
        </w:tc>
        <w:tc>
          <w:tcPr>
            <w:tcW w:w="1418" w:type="dxa"/>
          </w:tcPr>
          <w:p w:rsidR="00191F81" w:rsidRDefault="00191F81" w:rsidP="00C10A0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69"/>
              </w:tabs>
              <w:spacing w:before="30" w:after="30"/>
            </w:pPr>
            <w:r>
              <w:tab/>
              <w:t>144</w:t>
            </w:r>
          </w:p>
          <w:p w:rsidR="00191F81" w:rsidRDefault="00191F81" w:rsidP="00C10A0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69"/>
              </w:tabs>
              <w:spacing w:before="30" w:after="30"/>
            </w:pPr>
            <w:r>
              <w:tab/>
              <w:t>141,9</w:t>
            </w:r>
          </w:p>
          <w:p w:rsidR="00191F81" w:rsidRDefault="00191F81" w:rsidP="00C10A0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69"/>
              </w:tabs>
              <w:spacing w:before="30" w:after="30"/>
            </w:pPr>
            <w:r>
              <w:tab/>
              <w:t>139,9</w:t>
            </w:r>
          </w:p>
          <w:p w:rsidR="00191F81" w:rsidRDefault="00191F81" w:rsidP="00C10A0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69"/>
              </w:tabs>
              <w:spacing w:before="30" w:after="30"/>
            </w:pPr>
            <w:r>
              <w:tab/>
              <w:t>138,3</w:t>
            </w:r>
          </w:p>
          <w:p w:rsidR="00191F81" w:rsidRDefault="00191F81" w:rsidP="00C10A0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69"/>
              </w:tabs>
              <w:spacing w:before="30" w:after="30"/>
            </w:pPr>
            <w:r>
              <w:tab/>
              <w:t>136,9</w:t>
            </w:r>
          </w:p>
          <w:p w:rsidR="00191F81" w:rsidRDefault="00191F81" w:rsidP="00C10A0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69"/>
              </w:tabs>
              <w:spacing w:before="30" w:after="30"/>
            </w:pPr>
            <w:r>
              <w:tab/>
              <w:t>135,8</w:t>
            </w:r>
          </w:p>
          <w:p w:rsidR="00191F81" w:rsidRDefault="00191F81" w:rsidP="00C10A0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69"/>
              </w:tabs>
              <w:spacing w:before="30" w:after="30"/>
            </w:pPr>
            <w:r>
              <w:tab/>
              <w:t>135</w:t>
            </w:r>
          </w:p>
          <w:p w:rsidR="00191F81" w:rsidRDefault="00191F81" w:rsidP="00C10A0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69"/>
              </w:tabs>
              <w:spacing w:before="30" w:after="30"/>
            </w:pPr>
            <w:r>
              <w:tab/>
              <w:t>134,4</w:t>
            </w:r>
          </w:p>
          <w:p w:rsidR="00191F81" w:rsidRDefault="00191F81" w:rsidP="00C10A0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69"/>
              </w:tabs>
              <w:spacing w:before="30" w:after="30"/>
            </w:pPr>
            <w:r>
              <w:tab/>
              <w:t>134,1</w:t>
            </w:r>
          </w:p>
          <w:p w:rsidR="00191F81" w:rsidRDefault="00191F81" w:rsidP="00C10A0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69"/>
              </w:tabs>
              <w:spacing w:before="30" w:after="30"/>
            </w:pPr>
            <w:r>
              <w:tab/>
              <w:t>134</w:t>
            </w:r>
          </w:p>
        </w:tc>
        <w:tc>
          <w:tcPr>
            <w:tcW w:w="1418" w:type="dxa"/>
          </w:tcPr>
          <w:p w:rsidR="00191F81" w:rsidRDefault="00191F81" w:rsidP="00C10A0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pPr>
            <w:r>
              <w:t>36,3</w:t>
            </w:r>
          </w:p>
          <w:p w:rsidR="00191F81" w:rsidRDefault="00191F81" w:rsidP="00C10A0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pPr>
            <w:r>
              <w:t>36,3</w:t>
            </w:r>
          </w:p>
          <w:p w:rsidR="00191F81" w:rsidRDefault="00191F81" w:rsidP="00C10A0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pPr>
            <w:r>
              <w:t>36,3</w:t>
            </w:r>
          </w:p>
          <w:p w:rsidR="00191F81" w:rsidRDefault="00191F81" w:rsidP="00C10A0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pPr>
            <w:r>
              <w:t>36,3</w:t>
            </w:r>
          </w:p>
          <w:p w:rsidR="00191F81" w:rsidRDefault="00191F81" w:rsidP="00C10A0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pPr>
            <w:r>
              <w:t>36,3</w:t>
            </w:r>
          </w:p>
          <w:p w:rsidR="00191F81" w:rsidRDefault="00191F81" w:rsidP="00C10A0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pPr>
            <w:r>
              <w:t>36,3</w:t>
            </w:r>
          </w:p>
          <w:p w:rsidR="00191F81" w:rsidRDefault="00191F81" w:rsidP="00C10A0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pPr>
            <w:r>
              <w:t>36,3</w:t>
            </w:r>
          </w:p>
          <w:p w:rsidR="00191F81" w:rsidRDefault="00191F81" w:rsidP="00C10A0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pPr>
            <w:r>
              <w:t>36,3</w:t>
            </w:r>
          </w:p>
          <w:p w:rsidR="00191F81" w:rsidRDefault="00191F81" w:rsidP="00C10A0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pPr>
            <w:r>
              <w:t>36,3</w:t>
            </w:r>
          </w:p>
          <w:p w:rsidR="00191F81" w:rsidRDefault="00191F81" w:rsidP="00C10A0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pPr>
            <w:r>
              <w:t>36,3</w:t>
            </w:r>
          </w:p>
        </w:tc>
        <w:tc>
          <w:tcPr>
            <w:tcW w:w="1701" w:type="dxa"/>
          </w:tcPr>
          <w:p w:rsidR="00191F81" w:rsidRDefault="00191F81" w:rsidP="00C10A0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pPr>
            <w:r>
              <w:t>–11,6</w:t>
            </w:r>
          </w:p>
          <w:p w:rsidR="00191F81" w:rsidRDefault="00191F81" w:rsidP="00C10A0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pPr>
            <w:r>
              <w:t>–11,6</w:t>
            </w:r>
          </w:p>
          <w:p w:rsidR="00191F81" w:rsidRDefault="00191F81" w:rsidP="00C10A0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pPr>
            <w:r>
              <w:t>–10,6</w:t>
            </w:r>
          </w:p>
          <w:p w:rsidR="00191F81" w:rsidRDefault="00191F81" w:rsidP="00C10A0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pPr>
            <w:r>
              <w:t> </w:t>
            </w:r>
            <w:r>
              <w:t>–8,6</w:t>
            </w:r>
          </w:p>
          <w:p w:rsidR="00191F81" w:rsidRDefault="00191F81" w:rsidP="00C10A0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pPr>
            <w:r>
              <w:t> </w:t>
            </w:r>
            <w:r>
              <w:t>–7,6</w:t>
            </w:r>
          </w:p>
          <w:p w:rsidR="00191F81" w:rsidRDefault="00191F81" w:rsidP="00C10A0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pPr>
            <w:r>
              <w:t> </w:t>
            </w:r>
            <w:r>
              <w:t>–7,6</w:t>
            </w:r>
          </w:p>
          <w:p w:rsidR="00191F81" w:rsidRDefault="00191F81" w:rsidP="00C10A0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pPr>
            <w:r>
              <w:t> </w:t>
            </w:r>
            <w:r>
              <w:t>–8,6</w:t>
            </w:r>
          </w:p>
          <w:p w:rsidR="00191F81" w:rsidRDefault="00191F81" w:rsidP="00C10A0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pPr>
            <w:r>
              <w:t>–10,6</w:t>
            </w:r>
          </w:p>
          <w:p w:rsidR="00191F81" w:rsidRDefault="00191F81" w:rsidP="00C10A0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pPr>
            <w:r>
              <w:t>–12,6</w:t>
            </w:r>
          </w:p>
          <w:p w:rsidR="00191F81" w:rsidRDefault="00191F81" w:rsidP="00C10A0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pPr>
            <w:r>
              <w:t>–14,6</w:t>
            </w:r>
          </w:p>
        </w:tc>
        <w:tc>
          <w:tcPr>
            <w:tcW w:w="2608" w:type="dxa"/>
          </w:tcPr>
          <w:p w:rsidR="00191F81" w:rsidRDefault="00191F81" w:rsidP="00C10A0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07"/>
              </w:tabs>
              <w:spacing w:before="30" w:after="30"/>
              <w:jc w:val="left"/>
            </w:pPr>
            <w:r>
              <w:tab/>
            </w:r>
            <w:r>
              <w:sym w:font="Symbol" w:char="F02D"/>
            </w:r>
            <w:r>
              <w:t>155,6</w:t>
            </w:r>
          </w:p>
          <w:p w:rsidR="00191F81" w:rsidRDefault="00191F81" w:rsidP="00C10A0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07"/>
              </w:tabs>
              <w:spacing w:before="30" w:after="30"/>
              <w:jc w:val="left"/>
            </w:pPr>
            <w:r>
              <w:tab/>
              <w:t>–153,5</w:t>
            </w:r>
          </w:p>
          <w:p w:rsidR="00191F81" w:rsidRDefault="00191F81" w:rsidP="00C10A0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07"/>
              </w:tabs>
              <w:spacing w:before="30" w:after="30"/>
              <w:jc w:val="left"/>
            </w:pPr>
            <w:r>
              <w:tab/>
              <w:t>–150,5</w:t>
            </w:r>
          </w:p>
          <w:p w:rsidR="00191F81" w:rsidRDefault="00191F81" w:rsidP="00C10A0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07"/>
              </w:tabs>
              <w:spacing w:before="30" w:after="30"/>
              <w:jc w:val="left"/>
            </w:pPr>
            <w:r>
              <w:tab/>
              <w:t>–146,9</w:t>
            </w:r>
          </w:p>
          <w:p w:rsidR="00191F81" w:rsidRDefault="00191F81" w:rsidP="00C10A0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07"/>
              </w:tabs>
              <w:spacing w:before="30" w:after="30"/>
              <w:jc w:val="left"/>
            </w:pPr>
            <w:r>
              <w:tab/>
              <w:t>–144,5</w:t>
            </w:r>
          </w:p>
          <w:p w:rsidR="00191F81" w:rsidRDefault="00191F81" w:rsidP="00C10A0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07"/>
              </w:tabs>
              <w:spacing w:before="30" w:after="30"/>
              <w:jc w:val="left"/>
            </w:pPr>
            <w:r>
              <w:tab/>
              <w:t>–143,4</w:t>
            </w:r>
          </w:p>
          <w:p w:rsidR="00191F81" w:rsidRDefault="00191F81" w:rsidP="00C10A0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07"/>
              </w:tabs>
              <w:spacing w:before="30" w:after="30"/>
              <w:jc w:val="left"/>
            </w:pPr>
            <w:r>
              <w:tab/>
              <w:t>–143,6</w:t>
            </w:r>
          </w:p>
          <w:p w:rsidR="00191F81" w:rsidRDefault="00191F81" w:rsidP="00C10A0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07"/>
              </w:tabs>
              <w:spacing w:before="30" w:after="30"/>
              <w:jc w:val="left"/>
            </w:pPr>
            <w:r>
              <w:tab/>
              <w:t>–145</w:t>
            </w:r>
          </w:p>
          <w:p w:rsidR="00191F81" w:rsidRDefault="00191F81" w:rsidP="00C10A0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07"/>
              </w:tabs>
              <w:spacing w:before="30" w:after="30"/>
              <w:jc w:val="left"/>
            </w:pPr>
            <w:r>
              <w:tab/>
              <w:t>–146,7</w:t>
            </w:r>
          </w:p>
          <w:p w:rsidR="00191F81" w:rsidRDefault="00191F81" w:rsidP="00C10A0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07"/>
              </w:tabs>
              <w:spacing w:before="30" w:after="30"/>
              <w:jc w:val="left"/>
            </w:pPr>
            <w:r>
              <w:tab/>
              <w:t>–148,6</w:t>
            </w:r>
          </w:p>
        </w:tc>
      </w:tr>
      <w:tr w:rsidR="00191F81" w:rsidTr="00C10A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97" w:type="dxa"/>
            <w:gridSpan w:val="6"/>
          </w:tcPr>
          <w:p w:rsidR="00191F81" w:rsidRDefault="00191F81" w:rsidP="00C10A05">
            <w:pPr>
              <w:pStyle w:val="Tablelegend"/>
              <w:framePr w:hSpace="181" w:wrap="notBeside" w:vAnchor="text" w:hAnchor="text" w:xAlign="center" w:y="1"/>
            </w:pPr>
            <w:r>
              <w:rPr>
                <w:position w:val="6"/>
                <w:sz w:val="18"/>
              </w:rPr>
              <w:t>(1)</w:t>
            </w:r>
            <w:r>
              <w:tab/>
              <w:t>La distance entre la station terrienne OSG et le satellite non OSG est calculée au moyen des données de la fiche du système HIBLEO-4FL et de l'équation suivante:</w:t>
            </w:r>
          </w:p>
          <w:p w:rsidR="00191F81" w:rsidRDefault="00191F81" w:rsidP="00C10A05">
            <w:pPr>
              <w:pStyle w:val="Tablelegend"/>
              <w:framePr w:hSpace="181" w:wrap="notBeside" w:vAnchor="text" w:hAnchor="text" w:xAlign="center" w:y="1"/>
              <w:spacing w:before="0"/>
              <w:jc w:val="center"/>
            </w:pPr>
            <w:r>
              <w:rPr>
                <w:position w:val="-30"/>
              </w:rPr>
              <w:object w:dxaOrig="466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2.5pt;height:36.75pt" o:ole="" fillcolor="window">
                  <v:imagedata r:id="rId17" o:title=""/>
                </v:shape>
                <o:OLEObject Type="Embed" ProgID="Equation.3" ShapeID="_x0000_i1025" DrawAspect="Content" ObjectID="_1425359205" r:id="rId18"/>
              </w:object>
            </w:r>
          </w:p>
          <w:p w:rsidR="00191F81" w:rsidRDefault="00191F81" w:rsidP="00C10A05">
            <w:pPr>
              <w:pStyle w:val="Tablelegend"/>
              <w:framePr w:hSpace="181" w:wrap="notBeside" w:vAnchor="text" w:hAnchor="text" w:xAlign="center" w:y="1"/>
              <w:spacing w:before="0"/>
            </w:pPr>
            <w:r>
              <w:tab/>
              <w:t xml:space="preserve">où </w:t>
            </w:r>
            <w:r>
              <w:rPr>
                <w:rFonts w:ascii="Symbol" w:hAnsi="Symbol"/>
              </w:rPr>
              <w:t></w:t>
            </w:r>
            <w:r>
              <w:t xml:space="preserve"> est l'angle d'élévation du satellite non OSG à l'antenne de réception.</w:t>
            </w:r>
            <w:r w:rsidR="00E1541A">
              <w:t xml:space="preserve"> Voir également la Note 5.</w:t>
            </w:r>
          </w:p>
          <w:p w:rsidR="00191F81" w:rsidRDefault="00191F81" w:rsidP="0096362A">
            <w:pPr>
              <w:pStyle w:val="Tablelegend"/>
            </w:pPr>
            <w:r>
              <w:rPr>
                <w:position w:val="6"/>
                <w:sz w:val="18"/>
              </w:rPr>
              <w:t>(2)</w:t>
            </w:r>
            <w:r>
              <w:tab/>
              <w:t>Calcul de l'affaiblissement géométrique (dBm</w:t>
            </w:r>
            <w:r>
              <w:rPr>
                <w:position w:val="6"/>
                <w:sz w:val="18"/>
              </w:rPr>
              <w:t>2</w:t>
            </w:r>
            <w:r>
              <w:t>):</w:t>
            </w:r>
          </w:p>
          <w:p w:rsidR="00191F81" w:rsidRDefault="00191F81" w:rsidP="00C10A05">
            <w:pPr>
              <w:pStyle w:val="Tablelegend"/>
              <w:framePr w:hSpace="181" w:wrap="notBeside" w:vAnchor="text" w:hAnchor="text" w:xAlign="center" w:y="1"/>
              <w:spacing w:before="0"/>
              <w:jc w:val="center"/>
            </w:pPr>
            <w:r>
              <w:rPr>
                <w:i/>
                <w:iCs/>
              </w:rPr>
              <w:t>L</w:t>
            </w:r>
            <w:r>
              <w:rPr>
                <w:i/>
                <w:iCs/>
                <w:position w:val="-4"/>
                <w:sz w:val="18"/>
              </w:rPr>
              <w:t>affaiblissement géométrique</w:t>
            </w:r>
            <w:r>
              <w:t xml:space="preserve"> (dB) </w:t>
            </w:r>
            <w:r>
              <w:rPr>
                <w:rFonts w:ascii="Symbol" w:hAnsi="Symbol"/>
              </w:rPr>
              <w:t></w:t>
            </w:r>
            <w:r>
              <w:t xml:space="preserve"> 10 log(4 </w:t>
            </w:r>
            <w:r>
              <w:rPr>
                <w:rFonts w:ascii="Symbol" w:hAnsi="Symbol"/>
              </w:rPr>
              <w:br w:type="page"/>
            </w:r>
            <w:r>
              <w:rPr>
                <w:rFonts w:ascii="Symbol" w:hAnsi="Symbol"/>
              </w:rPr>
              <w:t></w:t>
            </w:r>
            <w:r>
              <w:t xml:space="preserve"> </w:t>
            </w:r>
            <w:r>
              <w:rPr>
                <w:i/>
                <w:iCs/>
              </w:rPr>
              <w:t>D</w:t>
            </w:r>
            <w:r>
              <w:rPr>
                <w:position w:val="6"/>
                <w:sz w:val="18"/>
              </w:rPr>
              <w:t>2</w:t>
            </w:r>
            <w:r>
              <w:t>)</w:t>
            </w:r>
          </w:p>
          <w:p w:rsidR="00191F81" w:rsidRDefault="00191F81" w:rsidP="00C10A05">
            <w:pPr>
              <w:pStyle w:val="Tablelegend"/>
              <w:framePr w:hSpace="181" w:wrap="notBeside" w:vAnchor="text" w:hAnchor="text" w:xAlign="center" w:y="1"/>
              <w:spacing w:before="0"/>
            </w:pPr>
            <w:r>
              <w:tab/>
              <w:t xml:space="preserve">où </w:t>
            </w:r>
            <w:r>
              <w:rPr>
                <w:i/>
                <w:iCs/>
              </w:rPr>
              <w:t>D</w:t>
            </w:r>
            <w:r>
              <w:t xml:space="preserve"> est la distance entre le satellite non OSG et la station terrienne OSG (m).</w:t>
            </w:r>
          </w:p>
          <w:p w:rsidR="00191F81" w:rsidRDefault="00191F81" w:rsidP="0096362A">
            <w:pPr>
              <w:pStyle w:val="Tablelegend"/>
            </w:pPr>
            <w:r>
              <w:rPr>
                <w:position w:val="6"/>
                <w:sz w:val="18"/>
              </w:rPr>
              <w:t>(3)</w:t>
            </w:r>
            <w:r>
              <w:tab/>
              <w:t>Gain communiqué par le fabricant.</w:t>
            </w:r>
          </w:p>
          <w:p w:rsidR="00191F81" w:rsidRDefault="00191F81" w:rsidP="0096362A">
            <w:pPr>
              <w:pStyle w:val="Tablelegend"/>
            </w:pPr>
            <w:r>
              <w:rPr>
                <w:position w:val="6"/>
                <w:sz w:val="18"/>
              </w:rPr>
              <w:t>(4)</w:t>
            </w:r>
            <w:r>
              <w:tab/>
              <w:t>Le calcul de la puissance surfacique à l'entrée de l'antenne est le suivant:</w:t>
            </w:r>
          </w:p>
          <w:p w:rsidR="00191F81" w:rsidRDefault="00191F81" w:rsidP="00C10A05">
            <w:pPr>
              <w:pStyle w:val="Tablelegend"/>
              <w:framePr w:hSpace="181" w:wrap="notBeside" w:vAnchor="text" w:hAnchor="text" w:xAlign="center" w:y="1"/>
              <w:spacing w:before="0"/>
              <w:jc w:val="center"/>
            </w:pPr>
            <w:r>
              <w:rPr>
                <w:i/>
                <w:iCs/>
              </w:rPr>
              <w:t xml:space="preserve">puissance surfacique </w:t>
            </w:r>
            <w:r>
              <w:t>(dB(W/(m</w:t>
            </w:r>
            <w:r>
              <w:rPr>
                <w:position w:val="6"/>
                <w:sz w:val="18"/>
              </w:rPr>
              <w:t>2</w:t>
            </w:r>
            <w:r>
              <w:t> ·</w:t>
            </w:r>
            <w:r>
              <w:rPr>
                <w:b/>
              </w:rPr>
              <w:t> </w:t>
            </w:r>
            <w:r>
              <w:t xml:space="preserve">7 kHz))) </w:t>
            </w:r>
            <w:r>
              <w:rPr>
                <w:rFonts w:ascii="Symbol" w:hAnsi="Symbol"/>
              </w:rPr>
              <w:t></w:t>
            </w:r>
            <w:r>
              <w:t xml:space="preserve"> </w:t>
            </w:r>
            <w:r>
              <w:rPr>
                <w:i/>
                <w:iCs/>
              </w:rPr>
              <w:t>p.i.r.e.</w:t>
            </w:r>
            <w:r>
              <w:t xml:space="preserve"> (dB(W/7 kHz)) – affaiblissement géométrique (dBm</w:t>
            </w:r>
            <w:r>
              <w:rPr>
                <w:position w:val="6"/>
                <w:sz w:val="18"/>
              </w:rPr>
              <w:t>2</w:t>
            </w:r>
            <w:r>
              <w:t>)</w:t>
            </w:r>
          </w:p>
          <w:p w:rsidR="00714476" w:rsidRDefault="00714476" w:rsidP="0096362A">
            <w:pPr>
              <w:pStyle w:val="Tablelegend"/>
            </w:pPr>
            <w:r>
              <w:rPr>
                <w:position w:val="6"/>
                <w:sz w:val="18"/>
              </w:rPr>
              <w:t>(5)</w:t>
            </w:r>
            <w:r>
              <w:tab/>
              <w:t>Il est à noter que lorsque l'angle d'élévation est de 90 degrés, la distance entre la station terrienne OSG et le satellite non OSG correspond à l'attitude du satellite non OSG.</w:t>
            </w:r>
          </w:p>
        </w:tc>
      </w:tr>
    </w:tbl>
    <w:p w:rsidR="00191F81" w:rsidRDefault="00191F81" w:rsidP="00191F81">
      <w:pPr>
        <w:pStyle w:val="Tablefin"/>
        <w:rPr>
          <w:sz w:val="16"/>
          <w:lang w:val="fr-FR"/>
        </w:rPr>
      </w:pPr>
    </w:p>
    <w:p w:rsidR="00191F81" w:rsidRDefault="00191F81" w:rsidP="00191F81">
      <w:pPr>
        <w:pStyle w:val="FigureNo"/>
        <w:spacing w:after="0"/>
      </w:pPr>
      <w:r>
        <w:rPr>
          <w:noProof/>
          <w:lang w:val="en-US" w:eastAsia="zh-CN"/>
        </w:rPr>
        <w:lastRenderedPageBreak/>
        <w:drawing>
          <wp:inline distT="0" distB="0" distL="0" distR="0" wp14:anchorId="2BA2ECB8" wp14:editId="24601235">
            <wp:extent cx="5220335" cy="25742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20335" cy="2574290"/>
                    </a:xfrm>
                    <a:prstGeom prst="rect">
                      <a:avLst/>
                    </a:prstGeom>
                    <a:noFill/>
                    <a:ln>
                      <a:noFill/>
                    </a:ln>
                  </pic:spPr>
                </pic:pic>
              </a:graphicData>
            </a:graphic>
          </wp:inline>
        </w:drawing>
      </w:r>
    </w:p>
    <w:p w:rsidR="00191F81" w:rsidRDefault="00191F81" w:rsidP="00191F81">
      <w:pPr>
        <w:pStyle w:val="Headingi"/>
      </w:pPr>
      <w:r>
        <w:t>Polarisation à l'émission</w:t>
      </w:r>
    </w:p>
    <w:p w:rsidR="00191F81" w:rsidRDefault="00191F81" w:rsidP="00191F81">
      <w:r>
        <w:t>Le système HIBLEO-4FL utilise, pour les liaisons de télémesure, les polarisations circulaires gauches et droites. Comme aucun moyen ne permet de prévoir la polarisation qui sera utilisée lors du passage du satellite, il a été décidé d'utiliser une antenne à polarisation linéaire, qui capte toutes les émissions. Pour cette raison il faut ajouter un affaiblissement de 3 dB au bilan de liaison de réception.</w:t>
      </w:r>
    </w:p>
    <w:p w:rsidR="00191F81" w:rsidRDefault="00191F81" w:rsidP="00191F81">
      <w:pPr>
        <w:pStyle w:val="Heading2"/>
      </w:pPr>
      <w:r>
        <w:t>1.2</w:t>
      </w:r>
      <w:r>
        <w:tab/>
        <w:t>Préparation de la configuration d'essai</w:t>
      </w:r>
    </w:p>
    <w:p w:rsidR="00191F81" w:rsidRDefault="00191F81" w:rsidP="00191F81">
      <w:r>
        <w:t>La configuration d'essai utilisée pour identifier le système HIBLEO-4FL est identique à celui proposé au § 3.1, avec les caractérist</w:t>
      </w:r>
      <w:r w:rsidR="00E52202">
        <w:t>iques données dans le Tableau 5.</w:t>
      </w:r>
    </w:p>
    <w:p w:rsidR="00191F81" w:rsidRDefault="00191F81" w:rsidP="00191F81">
      <w:pPr>
        <w:pStyle w:val="Index1"/>
      </w:pPr>
    </w:p>
    <w:p w:rsidR="00191F81" w:rsidRDefault="00191F81" w:rsidP="00191F81">
      <w:pPr>
        <w:pStyle w:val="TableNo"/>
      </w:pPr>
      <w:r>
        <w:lastRenderedPageBreak/>
        <w:t>TABLEAU  5</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01"/>
        <w:gridCol w:w="2552"/>
        <w:gridCol w:w="1418"/>
        <w:gridCol w:w="1985"/>
        <w:gridCol w:w="1701"/>
      </w:tblGrid>
      <w:tr w:rsidR="00191F81" w:rsidTr="00C10A05">
        <w:trPr>
          <w:jc w:val="center"/>
        </w:trPr>
        <w:tc>
          <w:tcPr>
            <w:tcW w:w="1701" w:type="dxa"/>
          </w:tcPr>
          <w:p w:rsidR="00191F81" w:rsidRDefault="00191F81" w:rsidP="00C10A05">
            <w:pPr>
              <w:pStyle w:val="Tablehead"/>
              <w:framePr w:hSpace="181" w:wrap="notBeside" w:vAnchor="text" w:hAnchor="text" w:xAlign="center" w:y="1"/>
              <w:spacing w:before="200" w:after="200"/>
            </w:pPr>
            <w:r>
              <w:t>Description</w:t>
            </w:r>
          </w:p>
        </w:tc>
        <w:tc>
          <w:tcPr>
            <w:tcW w:w="2552" w:type="dxa"/>
          </w:tcPr>
          <w:p w:rsidR="00191F81" w:rsidRDefault="00191F81" w:rsidP="00C10A05">
            <w:pPr>
              <w:pStyle w:val="Tablehead"/>
              <w:framePr w:hSpace="181" w:wrap="notBeside" w:vAnchor="text" w:hAnchor="text" w:xAlign="center" w:y="1"/>
              <w:spacing w:before="200" w:after="200"/>
            </w:pPr>
            <w:r>
              <w:t>Spécifications de base</w:t>
            </w:r>
          </w:p>
        </w:tc>
        <w:tc>
          <w:tcPr>
            <w:tcW w:w="1418" w:type="dxa"/>
            <w:tcBorders>
              <w:right w:val="single" w:sz="4" w:space="0" w:color="auto"/>
            </w:tcBorders>
          </w:tcPr>
          <w:p w:rsidR="00191F81" w:rsidRDefault="00191F81" w:rsidP="00C10A05">
            <w:pPr>
              <w:pStyle w:val="Tablehead"/>
              <w:framePr w:hSpace="181" w:wrap="notBeside" w:vAnchor="text" w:hAnchor="text" w:xAlign="center" w:y="1"/>
              <w:spacing w:before="200" w:after="200"/>
            </w:pPr>
            <w:r>
              <w:t>Marque</w:t>
            </w:r>
          </w:p>
        </w:tc>
        <w:tc>
          <w:tcPr>
            <w:tcW w:w="1985" w:type="dxa"/>
            <w:tcBorders>
              <w:top w:val="single" w:sz="4" w:space="0" w:color="auto"/>
              <w:left w:val="single" w:sz="4" w:space="0" w:color="auto"/>
              <w:bottom w:val="single" w:sz="4" w:space="0" w:color="auto"/>
              <w:right w:val="single" w:sz="4" w:space="0" w:color="auto"/>
            </w:tcBorders>
          </w:tcPr>
          <w:p w:rsidR="00191F81" w:rsidRDefault="00191F81" w:rsidP="00C10A05">
            <w:pPr>
              <w:pStyle w:val="Tablehead"/>
              <w:framePr w:hSpace="181" w:wrap="notBeside" w:vAnchor="text" w:hAnchor="text" w:xAlign="center" w:y="1"/>
              <w:spacing w:before="200" w:after="200"/>
            </w:pPr>
            <w:r>
              <w:t>Numéro de pièce</w:t>
            </w:r>
          </w:p>
        </w:tc>
        <w:tc>
          <w:tcPr>
            <w:tcW w:w="1701" w:type="dxa"/>
            <w:tcBorders>
              <w:left w:val="single" w:sz="4" w:space="0" w:color="auto"/>
            </w:tcBorders>
          </w:tcPr>
          <w:p w:rsidR="00191F81" w:rsidRDefault="00191F81" w:rsidP="00C10A05">
            <w:pPr>
              <w:pStyle w:val="Tablehead"/>
              <w:framePr w:hSpace="181" w:wrap="notBeside" w:vAnchor="text" w:hAnchor="text" w:xAlign="center" w:y="1"/>
              <w:spacing w:before="200" w:after="200"/>
            </w:pPr>
            <w:r>
              <w:t>Notes</w:t>
            </w:r>
          </w:p>
        </w:tc>
      </w:tr>
      <w:tr w:rsidR="00191F81" w:rsidTr="00C10A05">
        <w:trPr>
          <w:jc w:val="center"/>
        </w:trPr>
        <w:tc>
          <w:tcPr>
            <w:tcW w:w="1701" w:type="dxa"/>
          </w:tcPr>
          <w:p w:rsidR="00191F81" w:rsidRDefault="00191F81" w:rsidP="00C10A05">
            <w:pPr>
              <w:pStyle w:val="Tabletext"/>
              <w:framePr w:hSpace="181" w:wrap="notBeside" w:vAnchor="text" w:hAnchor="text" w:xAlign="center" w:y="1"/>
              <w:spacing w:before="80" w:after="80"/>
              <w:jc w:val="left"/>
            </w:pPr>
            <w:r>
              <w:t>Antenne et alimentation</w:t>
            </w:r>
          </w:p>
        </w:tc>
        <w:tc>
          <w:tcPr>
            <w:tcW w:w="2552" w:type="dxa"/>
          </w:tcPr>
          <w:p w:rsidR="00191F81" w:rsidRDefault="00191F81" w:rsidP="00C10A05">
            <w:pPr>
              <w:pStyle w:val="Tabletext"/>
              <w:framePr w:hSpace="181" w:wrap="notBeside" w:vAnchor="text" w:hAnchor="text" w:xAlign="center" w:y="1"/>
              <w:spacing w:before="80" w:after="80"/>
              <w:jc w:val="center"/>
            </w:pPr>
            <w:r>
              <w:t>1,2 m</w:t>
            </w:r>
            <w:r>
              <w:br/>
              <w:t>6,9 GHz</w:t>
            </w:r>
            <w:r>
              <w:br/>
              <w:t>36,3 dBi</w:t>
            </w:r>
            <w:r>
              <w:br/>
              <w:t>Diagramme de gain d'antenne</w:t>
            </w:r>
          </w:p>
        </w:tc>
        <w:tc>
          <w:tcPr>
            <w:tcW w:w="1418" w:type="dxa"/>
          </w:tcPr>
          <w:p w:rsidR="00191F81" w:rsidRDefault="00191F81" w:rsidP="00C10A05">
            <w:pPr>
              <w:pStyle w:val="Tabletext"/>
              <w:framePr w:hSpace="181" w:wrap="notBeside" w:vAnchor="text" w:hAnchor="text" w:xAlign="center" w:y="1"/>
              <w:spacing w:before="80" w:after="80"/>
              <w:jc w:val="center"/>
            </w:pPr>
            <w:r>
              <w:t>Andrew</w:t>
            </w:r>
          </w:p>
        </w:tc>
        <w:tc>
          <w:tcPr>
            <w:tcW w:w="1985" w:type="dxa"/>
            <w:tcBorders>
              <w:top w:val="single" w:sz="4" w:space="0" w:color="auto"/>
            </w:tcBorders>
          </w:tcPr>
          <w:p w:rsidR="00191F81" w:rsidRDefault="00191F81" w:rsidP="00C10A05">
            <w:pPr>
              <w:pStyle w:val="Tabletext"/>
              <w:framePr w:hSpace="181" w:wrap="notBeside" w:vAnchor="text" w:hAnchor="text" w:xAlign="center" w:y="1"/>
              <w:spacing w:before="80" w:after="80"/>
              <w:jc w:val="center"/>
            </w:pPr>
            <w:r>
              <w:t>PL-65D</w:t>
            </w:r>
          </w:p>
        </w:tc>
        <w:tc>
          <w:tcPr>
            <w:tcW w:w="1701" w:type="dxa"/>
          </w:tcPr>
          <w:p w:rsidR="00191F81" w:rsidRDefault="00191F81" w:rsidP="00C10A05">
            <w:pPr>
              <w:pStyle w:val="Tabletext"/>
              <w:framePr w:hSpace="181" w:wrap="notBeside" w:vAnchor="text" w:hAnchor="text" w:xAlign="center" w:y="1"/>
              <w:spacing w:before="80" w:after="80"/>
              <w:jc w:val="center"/>
            </w:pPr>
          </w:p>
        </w:tc>
      </w:tr>
      <w:tr w:rsidR="00191F81" w:rsidTr="00C10A05">
        <w:trPr>
          <w:jc w:val="center"/>
        </w:trPr>
        <w:tc>
          <w:tcPr>
            <w:tcW w:w="1701" w:type="dxa"/>
          </w:tcPr>
          <w:p w:rsidR="00191F81" w:rsidRDefault="00191F81" w:rsidP="00C10A05">
            <w:pPr>
              <w:pStyle w:val="Tabletext"/>
              <w:framePr w:hSpace="181" w:wrap="notBeside" w:vAnchor="text" w:hAnchor="text" w:xAlign="center" w:y="1"/>
              <w:spacing w:before="80" w:after="80"/>
              <w:jc w:val="left"/>
            </w:pPr>
            <w:r>
              <w:t>AFB</w:t>
            </w:r>
          </w:p>
        </w:tc>
        <w:tc>
          <w:tcPr>
            <w:tcW w:w="2552" w:type="dxa"/>
          </w:tcPr>
          <w:p w:rsidR="00191F81" w:rsidRDefault="00191F81" w:rsidP="00C10A05">
            <w:pPr>
              <w:pStyle w:val="Tabletext"/>
              <w:framePr w:hSpace="181" w:wrap="notBeside" w:vAnchor="text" w:hAnchor="text" w:xAlign="center" w:y="1"/>
              <w:spacing w:before="80" w:after="80"/>
              <w:jc w:val="center"/>
            </w:pPr>
            <w:r>
              <w:t>6,9 GHz</w:t>
            </w:r>
            <w:r>
              <w:br/>
              <w:t>53,3 dB</w:t>
            </w:r>
            <w:r>
              <w:br/>
              <w:t xml:space="preserve">T </w:t>
            </w:r>
            <w:r>
              <w:rPr>
                <w:rFonts w:ascii="Symbol" w:hAnsi="Symbol"/>
              </w:rPr>
              <w:t></w:t>
            </w:r>
            <w:r>
              <w:t xml:space="preserve"> 58 K</w:t>
            </w:r>
          </w:p>
        </w:tc>
        <w:tc>
          <w:tcPr>
            <w:tcW w:w="1418" w:type="dxa"/>
          </w:tcPr>
          <w:p w:rsidR="00191F81" w:rsidRDefault="00191F81" w:rsidP="00C10A05">
            <w:pPr>
              <w:pStyle w:val="Tabletext"/>
              <w:framePr w:hSpace="181" w:wrap="notBeside" w:vAnchor="text" w:hAnchor="text" w:xAlign="center" w:y="1"/>
              <w:spacing w:before="80" w:after="80"/>
              <w:jc w:val="center"/>
            </w:pPr>
            <w:r>
              <w:t>Vertex</w:t>
            </w:r>
          </w:p>
        </w:tc>
        <w:tc>
          <w:tcPr>
            <w:tcW w:w="1985" w:type="dxa"/>
          </w:tcPr>
          <w:p w:rsidR="00191F81" w:rsidRDefault="00191F81" w:rsidP="00C10A05">
            <w:pPr>
              <w:pStyle w:val="Tabletext"/>
              <w:framePr w:hSpace="181" w:wrap="notBeside" w:vAnchor="text" w:hAnchor="text" w:xAlign="center" w:y="1"/>
              <w:spacing w:before="80" w:after="80"/>
              <w:jc w:val="center"/>
            </w:pPr>
            <w:r>
              <w:t>LFX-7060-02</w:t>
            </w:r>
          </w:p>
        </w:tc>
        <w:tc>
          <w:tcPr>
            <w:tcW w:w="1701" w:type="dxa"/>
          </w:tcPr>
          <w:p w:rsidR="00191F81" w:rsidRDefault="00191F81" w:rsidP="00C10A05">
            <w:pPr>
              <w:pStyle w:val="Tabletext"/>
              <w:framePr w:hSpace="181" w:wrap="notBeside" w:vAnchor="text" w:hAnchor="text" w:xAlign="center" w:y="1"/>
              <w:spacing w:before="80" w:after="80"/>
              <w:jc w:val="center"/>
            </w:pPr>
          </w:p>
        </w:tc>
      </w:tr>
      <w:tr w:rsidR="00191F81" w:rsidTr="00C10A05">
        <w:trPr>
          <w:jc w:val="center"/>
        </w:trPr>
        <w:tc>
          <w:tcPr>
            <w:tcW w:w="1701" w:type="dxa"/>
          </w:tcPr>
          <w:p w:rsidR="00191F81" w:rsidRDefault="00191F81" w:rsidP="00C10A05">
            <w:pPr>
              <w:pStyle w:val="Tabletext"/>
              <w:framePr w:hSpace="181" w:wrap="notBeside" w:vAnchor="text" w:hAnchor="text" w:xAlign="center" w:y="1"/>
              <w:spacing w:before="80" w:after="80"/>
              <w:jc w:val="left"/>
            </w:pPr>
            <w:r>
              <w:t>Câbles coaxiaux</w:t>
            </w:r>
          </w:p>
        </w:tc>
        <w:tc>
          <w:tcPr>
            <w:tcW w:w="2552" w:type="dxa"/>
          </w:tcPr>
          <w:p w:rsidR="00191F81" w:rsidRDefault="00191F81" w:rsidP="00C10A05">
            <w:pPr>
              <w:pStyle w:val="Tabletext"/>
              <w:framePr w:hSpace="181" w:wrap="notBeside" w:vAnchor="text" w:hAnchor="text" w:xAlign="center" w:y="1"/>
              <w:spacing w:before="80" w:after="80"/>
              <w:jc w:val="center"/>
            </w:pPr>
            <w:r>
              <w:t xml:space="preserve">50 </w:t>
            </w:r>
            <w:r>
              <w:rPr>
                <w:rFonts w:ascii="Symbol" w:hAnsi="Symbol"/>
              </w:rPr>
              <w:sym w:font="Symbol" w:char="F057"/>
            </w:r>
            <w:r>
              <w:t>, à faibles pertes</w:t>
            </w:r>
          </w:p>
        </w:tc>
        <w:tc>
          <w:tcPr>
            <w:tcW w:w="1418" w:type="dxa"/>
          </w:tcPr>
          <w:p w:rsidR="00191F81" w:rsidRDefault="00191F81" w:rsidP="00C10A05">
            <w:pPr>
              <w:pStyle w:val="Tabletext"/>
              <w:framePr w:hSpace="181" w:wrap="notBeside" w:vAnchor="text" w:hAnchor="text" w:xAlign="center" w:y="1"/>
              <w:spacing w:before="80" w:after="80"/>
              <w:jc w:val="center"/>
            </w:pPr>
            <w:r>
              <w:t>Pasterneck</w:t>
            </w:r>
          </w:p>
        </w:tc>
        <w:tc>
          <w:tcPr>
            <w:tcW w:w="1985" w:type="dxa"/>
          </w:tcPr>
          <w:p w:rsidR="00191F81" w:rsidRDefault="00191F81" w:rsidP="00C10A05">
            <w:pPr>
              <w:pStyle w:val="Tabletext"/>
              <w:framePr w:hSpace="181" w:wrap="notBeside" w:vAnchor="text" w:hAnchor="text" w:xAlign="center" w:y="1"/>
              <w:spacing w:before="80" w:after="80"/>
              <w:jc w:val="center"/>
            </w:pPr>
            <w:r>
              <w:t xml:space="preserve">PE-B3199 à </w:t>
            </w:r>
            <w:r>
              <w:rPr>
                <w:i/>
                <w:iCs/>
              </w:rPr>
              <w:t>N</w:t>
            </w:r>
            <w:r>
              <w:t> connecteurs</w:t>
            </w:r>
          </w:p>
        </w:tc>
        <w:tc>
          <w:tcPr>
            <w:tcW w:w="1701" w:type="dxa"/>
          </w:tcPr>
          <w:p w:rsidR="00191F81" w:rsidRDefault="00191F81" w:rsidP="00C10A05">
            <w:pPr>
              <w:pStyle w:val="Tabletext"/>
              <w:framePr w:hSpace="181" w:wrap="notBeside" w:vAnchor="text" w:hAnchor="text" w:xAlign="center" w:y="1"/>
              <w:spacing w:before="80" w:after="80"/>
              <w:jc w:val="center"/>
            </w:pPr>
            <w:r>
              <w:t>Analogue à Belden 9913</w:t>
            </w:r>
          </w:p>
        </w:tc>
      </w:tr>
      <w:tr w:rsidR="00191F81" w:rsidTr="00C10A05">
        <w:trPr>
          <w:jc w:val="center"/>
        </w:trPr>
        <w:tc>
          <w:tcPr>
            <w:tcW w:w="1701" w:type="dxa"/>
          </w:tcPr>
          <w:p w:rsidR="00191F81" w:rsidRDefault="00191F81" w:rsidP="00C10A05">
            <w:pPr>
              <w:pStyle w:val="Tabletext"/>
              <w:framePr w:hSpace="181" w:wrap="notBeside" w:vAnchor="text" w:hAnchor="text" w:xAlign="center" w:y="1"/>
              <w:spacing w:before="80" w:after="80"/>
              <w:jc w:val="left"/>
            </w:pPr>
            <w:r>
              <w:t>Câble coaxial vers l'analyseur</w:t>
            </w:r>
          </w:p>
        </w:tc>
        <w:tc>
          <w:tcPr>
            <w:tcW w:w="2552" w:type="dxa"/>
          </w:tcPr>
          <w:p w:rsidR="00191F81" w:rsidRDefault="00191F81" w:rsidP="00C10A05">
            <w:pPr>
              <w:pStyle w:val="Tabletext"/>
              <w:framePr w:hSpace="181" w:wrap="notBeside" w:vAnchor="text" w:hAnchor="text" w:xAlign="center" w:y="1"/>
              <w:spacing w:before="80" w:after="80"/>
              <w:jc w:val="center"/>
            </w:pPr>
            <w:r>
              <w:t xml:space="preserve">50 </w:t>
            </w:r>
            <w:r>
              <w:rPr>
                <w:rFonts w:ascii="Symbol" w:hAnsi="Symbol"/>
              </w:rPr>
              <w:sym w:font="Symbol" w:char="F057"/>
            </w:r>
            <w:r>
              <w:t>, Heliax,</w:t>
            </w:r>
            <w:r>
              <w:br/>
              <w:t>50 m</w:t>
            </w:r>
          </w:p>
        </w:tc>
        <w:tc>
          <w:tcPr>
            <w:tcW w:w="1418" w:type="dxa"/>
          </w:tcPr>
          <w:p w:rsidR="00191F81" w:rsidRDefault="00191F81" w:rsidP="00C10A05">
            <w:pPr>
              <w:pStyle w:val="Tabletext"/>
              <w:framePr w:hSpace="181" w:wrap="notBeside" w:vAnchor="text" w:hAnchor="text" w:xAlign="center" w:y="1"/>
              <w:spacing w:before="80" w:after="80"/>
              <w:jc w:val="center"/>
            </w:pPr>
            <w:r>
              <w:t>Andrew</w:t>
            </w:r>
          </w:p>
        </w:tc>
        <w:tc>
          <w:tcPr>
            <w:tcW w:w="1985" w:type="dxa"/>
          </w:tcPr>
          <w:p w:rsidR="00191F81" w:rsidRDefault="00191F81" w:rsidP="00C10A05">
            <w:pPr>
              <w:pStyle w:val="Tabletext"/>
              <w:framePr w:hSpace="181" w:wrap="notBeside" w:vAnchor="text" w:hAnchor="text" w:xAlign="center" w:y="1"/>
              <w:spacing w:before="80" w:after="80"/>
              <w:jc w:val="center"/>
            </w:pPr>
            <w:r>
              <w:t xml:space="preserve">LDF4-50A à </w:t>
            </w:r>
            <w:r>
              <w:rPr>
                <w:i/>
                <w:iCs/>
              </w:rPr>
              <w:t>N</w:t>
            </w:r>
            <w:r>
              <w:t> connecteurs</w:t>
            </w:r>
          </w:p>
        </w:tc>
        <w:tc>
          <w:tcPr>
            <w:tcW w:w="1701" w:type="dxa"/>
          </w:tcPr>
          <w:p w:rsidR="00191F81" w:rsidRDefault="00191F81" w:rsidP="00C10A05">
            <w:pPr>
              <w:pStyle w:val="Tabletext"/>
              <w:framePr w:hSpace="181" w:wrap="notBeside" w:vAnchor="text" w:hAnchor="text" w:xAlign="center" w:y="1"/>
              <w:spacing w:before="80" w:after="80"/>
              <w:jc w:val="center"/>
            </w:pPr>
          </w:p>
        </w:tc>
      </w:tr>
      <w:tr w:rsidR="00191F81" w:rsidTr="00C10A05">
        <w:trPr>
          <w:jc w:val="center"/>
        </w:trPr>
        <w:tc>
          <w:tcPr>
            <w:tcW w:w="1701" w:type="dxa"/>
          </w:tcPr>
          <w:p w:rsidR="00191F81" w:rsidRDefault="00191F81" w:rsidP="00C10A05">
            <w:pPr>
              <w:pStyle w:val="Tabletext"/>
              <w:framePr w:hSpace="181" w:wrap="notBeside" w:vAnchor="text" w:hAnchor="text" w:xAlign="center" w:y="1"/>
              <w:spacing w:before="80" w:after="80"/>
              <w:jc w:val="left"/>
            </w:pPr>
            <w:r>
              <w:t>Bloc CC</w:t>
            </w:r>
          </w:p>
        </w:tc>
        <w:tc>
          <w:tcPr>
            <w:tcW w:w="2552" w:type="dxa"/>
          </w:tcPr>
          <w:p w:rsidR="00191F81" w:rsidRDefault="00191F81" w:rsidP="00C10A05">
            <w:pPr>
              <w:pStyle w:val="Tabletext"/>
              <w:framePr w:hSpace="181" w:wrap="notBeside" w:vAnchor="text" w:hAnchor="text" w:xAlign="center" w:y="1"/>
              <w:spacing w:before="80" w:after="80"/>
              <w:jc w:val="center"/>
            </w:pPr>
            <w:r>
              <w:t>15 V, à faibles pertes</w:t>
            </w:r>
            <w:r>
              <w:br/>
              <w:t>à 6,9 GHz</w:t>
            </w:r>
          </w:p>
        </w:tc>
        <w:tc>
          <w:tcPr>
            <w:tcW w:w="1418" w:type="dxa"/>
          </w:tcPr>
          <w:p w:rsidR="00191F81" w:rsidRDefault="00191F81" w:rsidP="00C10A05">
            <w:pPr>
              <w:pStyle w:val="Tabletext"/>
              <w:framePr w:hSpace="181" w:wrap="notBeside" w:vAnchor="text" w:hAnchor="text" w:xAlign="center" w:y="1"/>
              <w:spacing w:before="80" w:after="80"/>
              <w:jc w:val="center"/>
            </w:pPr>
            <w:r>
              <w:t>Avcom</w:t>
            </w:r>
          </w:p>
        </w:tc>
        <w:tc>
          <w:tcPr>
            <w:tcW w:w="1985" w:type="dxa"/>
          </w:tcPr>
          <w:p w:rsidR="00191F81" w:rsidRDefault="00191F81" w:rsidP="00C10A05">
            <w:pPr>
              <w:pStyle w:val="Tabletext"/>
              <w:framePr w:hSpace="181" w:wrap="notBeside" w:vAnchor="text" w:hAnchor="text" w:xAlign="center" w:y="1"/>
              <w:spacing w:before="80" w:after="80"/>
              <w:jc w:val="center"/>
            </w:pPr>
            <w:r>
              <w:t>DCP-1</w:t>
            </w:r>
          </w:p>
        </w:tc>
        <w:tc>
          <w:tcPr>
            <w:tcW w:w="1701" w:type="dxa"/>
          </w:tcPr>
          <w:p w:rsidR="00191F81" w:rsidRDefault="00191F81" w:rsidP="00C10A05">
            <w:pPr>
              <w:pStyle w:val="Tabletext"/>
              <w:framePr w:hSpace="181" w:wrap="notBeside" w:vAnchor="text" w:hAnchor="text" w:xAlign="center" w:y="1"/>
              <w:spacing w:before="80" w:after="80"/>
              <w:jc w:val="center"/>
            </w:pPr>
            <w:r>
              <w:t>Perte de dB</w:t>
            </w:r>
            <w:r>
              <w:br/>
              <w:t>à 6,9 GHz</w:t>
            </w:r>
          </w:p>
        </w:tc>
      </w:tr>
      <w:tr w:rsidR="00191F81" w:rsidTr="00C10A05">
        <w:trPr>
          <w:jc w:val="center"/>
        </w:trPr>
        <w:tc>
          <w:tcPr>
            <w:tcW w:w="1701" w:type="dxa"/>
          </w:tcPr>
          <w:p w:rsidR="00191F81" w:rsidRDefault="00191F81" w:rsidP="00C10A05">
            <w:pPr>
              <w:pStyle w:val="Tabletext"/>
              <w:framePr w:hSpace="181" w:wrap="notBeside" w:vAnchor="text" w:hAnchor="text" w:xAlign="center" w:y="1"/>
              <w:spacing w:before="80" w:after="80"/>
              <w:jc w:val="left"/>
            </w:pPr>
            <w:r>
              <w:t>Alimentation électrique</w:t>
            </w:r>
          </w:p>
        </w:tc>
        <w:tc>
          <w:tcPr>
            <w:tcW w:w="2552" w:type="dxa"/>
          </w:tcPr>
          <w:p w:rsidR="00191F81" w:rsidRDefault="00191F81" w:rsidP="00C10A05">
            <w:pPr>
              <w:pStyle w:val="Tabletext"/>
              <w:framePr w:hSpace="181" w:wrap="notBeside" w:vAnchor="text" w:hAnchor="text" w:xAlign="center" w:y="1"/>
              <w:spacing w:before="80" w:after="80"/>
              <w:jc w:val="center"/>
            </w:pPr>
            <w:r>
              <w:t>CC 12 à 14 V</w:t>
            </w:r>
            <w:r>
              <w:br/>
              <w:t>Max 300 mA</w:t>
            </w:r>
          </w:p>
        </w:tc>
        <w:tc>
          <w:tcPr>
            <w:tcW w:w="1418" w:type="dxa"/>
          </w:tcPr>
          <w:p w:rsidR="00191F81" w:rsidRDefault="00191F81" w:rsidP="00C10A05">
            <w:pPr>
              <w:pStyle w:val="Tabletext"/>
              <w:framePr w:hSpace="181" w:wrap="notBeside" w:vAnchor="text" w:hAnchor="text" w:xAlign="center" w:y="1"/>
              <w:spacing w:before="80" w:after="80"/>
              <w:jc w:val="center"/>
            </w:pPr>
            <w:r>
              <w:t>BK</w:t>
            </w:r>
          </w:p>
        </w:tc>
        <w:tc>
          <w:tcPr>
            <w:tcW w:w="1985" w:type="dxa"/>
          </w:tcPr>
          <w:p w:rsidR="00191F81" w:rsidRDefault="00191F81" w:rsidP="00C10A05">
            <w:pPr>
              <w:framePr w:hSpace="181" w:wrap="notBeside" w:vAnchor="text" w:hAnchor="text" w:xAlign="center" w:y="1"/>
              <w:spacing w:before="80" w:after="80"/>
              <w:jc w:val="center"/>
            </w:pPr>
          </w:p>
        </w:tc>
        <w:tc>
          <w:tcPr>
            <w:tcW w:w="1701" w:type="dxa"/>
          </w:tcPr>
          <w:p w:rsidR="00191F81" w:rsidRDefault="00191F81" w:rsidP="00C10A05">
            <w:pPr>
              <w:pStyle w:val="Tabletext"/>
              <w:framePr w:hSpace="181" w:wrap="notBeside" w:vAnchor="text" w:hAnchor="text" w:xAlign="center" w:y="1"/>
              <w:spacing w:before="80" w:after="80"/>
              <w:jc w:val="center"/>
            </w:pPr>
            <w:r>
              <w:t>Mis à 15 V</w:t>
            </w:r>
          </w:p>
        </w:tc>
      </w:tr>
      <w:tr w:rsidR="00191F81" w:rsidTr="00C10A05">
        <w:trPr>
          <w:jc w:val="center"/>
        </w:trPr>
        <w:tc>
          <w:tcPr>
            <w:tcW w:w="1701" w:type="dxa"/>
          </w:tcPr>
          <w:p w:rsidR="00191F81" w:rsidRDefault="00191F81" w:rsidP="00C10A05">
            <w:pPr>
              <w:pStyle w:val="Tabletext"/>
              <w:framePr w:hSpace="181" w:wrap="notBeside" w:vAnchor="text" w:hAnchor="text" w:xAlign="center" w:y="1"/>
              <w:spacing w:before="80" w:after="80"/>
              <w:jc w:val="left"/>
            </w:pPr>
            <w:r>
              <w:t>Analyseur de spectre</w:t>
            </w:r>
          </w:p>
        </w:tc>
        <w:tc>
          <w:tcPr>
            <w:tcW w:w="2552" w:type="dxa"/>
          </w:tcPr>
          <w:p w:rsidR="00191F81" w:rsidRDefault="00191F81" w:rsidP="00C10A05">
            <w:pPr>
              <w:pStyle w:val="Tabletext"/>
              <w:framePr w:hSpace="181" w:wrap="notBeside" w:vAnchor="text" w:hAnchor="text" w:xAlign="center" w:y="1"/>
              <w:spacing w:before="80" w:after="80"/>
              <w:jc w:val="center"/>
            </w:pPr>
            <w:r>
              <w:t>6,9 GHz</w:t>
            </w:r>
          </w:p>
        </w:tc>
        <w:tc>
          <w:tcPr>
            <w:tcW w:w="1418" w:type="dxa"/>
          </w:tcPr>
          <w:p w:rsidR="00191F81" w:rsidRDefault="00191F81" w:rsidP="00C10A05">
            <w:pPr>
              <w:pStyle w:val="Tabletext"/>
              <w:framePr w:hSpace="181" w:wrap="notBeside" w:vAnchor="text" w:hAnchor="text" w:xAlign="center" w:y="1"/>
              <w:spacing w:before="80" w:after="80"/>
              <w:jc w:val="center"/>
            </w:pPr>
            <w:r>
              <w:t>HP</w:t>
            </w:r>
          </w:p>
        </w:tc>
        <w:tc>
          <w:tcPr>
            <w:tcW w:w="1985" w:type="dxa"/>
          </w:tcPr>
          <w:p w:rsidR="00191F81" w:rsidRDefault="00191F81" w:rsidP="00C10A05">
            <w:pPr>
              <w:pStyle w:val="Tabletext"/>
              <w:framePr w:hSpace="181" w:wrap="notBeside" w:vAnchor="text" w:hAnchor="text" w:xAlign="center" w:y="1"/>
              <w:spacing w:before="80" w:after="80"/>
              <w:jc w:val="center"/>
            </w:pPr>
            <w:r>
              <w:t>E4408B</w:t>
            </w:r>
          </w:p>
        </w:tc>
        <w:tc>
          <w:tcPr>
            <w:tcW w:w="1701" w:type="dxa"/>
          </w:tcPr>
          <w:p w:rsidR="00191F81" w:rsidRDefault="00191F81" w:rsidP="00C10A05">
            <w:pPr>
              <w:pStyle w:val="Tabletext"/>
              <w:framePr w:hSpace="181" w:wrap="notBeside" w:vAnchor="text" w:hAnchor="text" w:xAlign="center" w:y="1"/>
              <w:spacing w:before="80" w:after="80"/>
              <w:jc w:val="center"/>
            </w:pPr>
          </w:p>
        </w:tc>
      </w:tr>
      <w:tr w:rsidR="00191F81" w:rsidTr="00C10A05">
        <w:trPr>
          <w:jc w:val="center"/>
        </w:trPr>
        <w:tc>
          <w:tcPr>
            <w:tcW w:w="1701" w:type="dxa"/>
          </w:tcPr>
          <w:p w:rsidR="00191F81" w:rsidRDefault="00191F81" w:rsidP="00C10A05">
            <w:pPr>
              <w:pStyle w:val="Tabletext"/>
              <w:framePr w:hSpace="181" w:wrap="notBeside" w:vAnchor="text" w:hAnchor="text" w:xAlign="center" w:y="1"/>
              <w:spacing w:before="80" w:after="80"/>
              <w:jc w:val="left"/>
            </w:pPr>
            <w:r>
              <w:t>Imprimante</w:t>
            </w:r>
          </w:p>
        </w:tc>
        <w:tc>
          <w:tcPr>
            <w:tcW w:w="2552" w:type="dxa"/>
          </w:tcPr>
          <w:p w:rsidR="00191F81" w:rsidRDefault="00191F81" w:rsidP="00C10A05">
            <w:pPr>
              <w:pStyle w:val="Tabletext"/>
              <w:framePr w:hSpace="181" w:wrap="notBeside" w:vAnchor="text" w:hAnchor="text" w:xAlign="center" w:y="1"/>
              <w:spacing w:before="80" w:after="80"/>
              <w:jc w:val="center"/>
            </w:pPr>
            <w:r>
              <w:t>Compatible avec l'analyseur de spectre</w:t>
            </w:r>
          </w:p>
        </w:tc>
        <w:tc>
          <w:tcPr>
            <w:tcW w:w="1418" w:type="dxa"/>
          </w:tcPr>
          <w:p w:rsidR="00191F81" w:rsidRDefault="00191F81" w:rsidP="00C10A05">
            <w:pPr>
              <w:pStyle w:val="Tabletext"/>
              <w:framePr w:hSpace="181" w:wrap="notBeside" w:vAnchor="text" w:hAnchor="text" w:xAlign="center" w:y="1"/>
              <w:spacing w:before="80" w:after="80"/>
              <w:jc w:val="center"/>
            </w:pPr>
            <w:r>
              <w:t>HP</w:t>
            </w:r>
          </w:p>
        </w:tc>
        <w:tc>
          <w:tcPr>
            <w:tcW w:w="1985" w:type="dxa"/>
          </w:tcPr>
          <w:p w:rsidR="00191F81" w:rsidRDefault="00191F81" w:rsidP="00C10A05">
            <w:pPr>
              <w:pStyle w:val="Tabletext"/>
              <w:framePr w:hSpace="181" w:wrap="notBeside" w:vAnchor="text" w:hAnchor="text" w:xAlign="center" w:y="1"/>
              <w:spacing w:before="80" w:after="80"/>
              <w:jc w:val="center"/>
            </w:pPr>
            <w:r>
              <w:t>Tous</w:t>
            </w:r>
          </w:p>
        </w:tc>
        <w:tc>
          <w:tcPr>
            <w:tcW w:w="1701" w:type="dxa"/>
          </w:tcPr>
          <w:p w:rsidR="00191F81" w:rsidRDefault="00191F81" w:rsidP="00C10A05">
            <w:pPr>
              <w:pStyle w:val="Tabletext"/>
              <w:framePr w:hSpace="181" w:wrap="notBeside" w:vAnchor="text" w:hAnchor="text" w:xAlign="center" w:y="1"/>
              <w:spacing w:before="80" w:after="80"/>
              <w:jc w:val="center"/>
            </w:pPr>
          </w:p>
        </w:tc>
      </w:tr>
    </w:tbl>
    <w:p w:rsidR="00191F81" w:rsidRDefault="00191F81" w:rsidP="00191F81">
      <w:pPr>
        <w:pStyle w:val="Tablefin"/>
        <w:rPr>
          <w:lang w:val="fr-FR"/>
        </w:rPr>
      </w:pPr>
    </w:p>
    <w:p w:rsidR="00191F81" w:rsidRDefault="00191F81" w:rsidP="00E52202">
      <w:r>
        <w:t>Le choix de la taille de l'antenne d'essai a été déterminé en fonction de deux critères, d'une part l'aspect pratique d'une petite antenne et, d'autre part, la nécessité d'utiliser une antenne suffisamment grande pour détecter les signaux. L'antenne de 1,2 m qui était disponible au moment des essais a été capable de détecter le signal de télémesure de HIBLEO</w:t>
      </w:r>
      <w:r>
        <w:noBreakHyphen/>
        <w:t>4FL. La série d'essais a donc pu être menée à bien au moyen de cette antenne parabolique de 1,2 m.</w:t>
      </w:r>
    </w:p>
    <w:p w:rsidR="00191F81" w:rsidRDefault="00191F81" w:rsidP="00191F81">
      <w:pPr>
        <w:pStyle w:val="Heading3"/>
      </w:pPr>
      <w:r>
        <w:t>1.2.1</w:t>
      </w:r>
      <w:r>
        <w:tab/>
        <w:t>Programme des essais et pointage de l'antenne</w:t>
      </w:r>
    </w:p>
    <w:p w:rsidR="00191F81" w:rsidRDefault="00191F81" w:rsidP="00E52202">
      <w:r>
        <w:t>Sachant que l'antenne d'essai était située à 39,3</w:t>
      </w:r>
      <w:r>
        <w:rPr>
          <w:rFonts w:ascii="Symbol" w:hAnsi="Symbol"/>
        </w:rPr>
        <w:t></w:t>
      </w:r>
      <w:r>
        <w:t xml:space="preserve"> de latitude Nord et 77,3</w:t>
      </w:r>
      <w:r>
        <w:rPr>
          <w:rFonts w:ascii="Symbol" w:hAnsi="Symbol"/>
        </w:rPr>
        <w:t></w:t>
      </w:r>
      <w:r>
        <w:t xml:space="preserve"> de longitude Ouest, et au moyen des outils de calcul des orbites disponibles dans le commerce, la fenêtre présentant la probabilité optimale de détection de satellites HIBLEO-4FL a été déterminée comme indiqué au § 2.3.</w:t>
      </w:r>
    </w:p>
    <w:p w:rsidR="00191F81" w:rsidRDefault="00191F81" w:rsidP="00191F81">
      <w:r>
        <w:t>L'azimut ne devait pas longer l'arc OSG; l'antenne a été pointée le plus possible en direction du nord compte tenu de l'effet d'écran naturel de l'environnement.</w:t>
      </w:r>
    </w:p>
    <w:p w:rsidR="00191F81" w:rsidRDefault="00191F81" w:rsidP="00191F81">
      <w:r>
        <w:t>Avant de déterminer le pointage en élévation, l'antenne d'essai a pivoté sur 360° en azimut  pour déterminer si elle ne captait pas d'émissions de services de Terre, ce qui n'était pas le cas. Elle aurait pu capter certains services mobiles, mais pour un élévation de l'antenne comprise entre 30° et 43°, l'émetteur mobile éventuel aurait dû se trouver très près de l'antenne, ce qui était impossible vu l'emplacement de cette dernière.</w:t>
      </w:r>
    </w:p>
    <w:p w:rsidR="00191F81" w:rsidRDefault="00191F81" w:rsidP="00191F81">
      <w:r>
        <w:t>La Fig. 3 donne la distribution de satellites HIBLEO-4FL en date du 22 novembre 1999 pour une antenne d'essai située à 39,3</w:t>
      </w:r>
      <w:r>
        <w:rPr>
          <w:rFonts w:ascii="Symbol" w:hAnsi="Symbol"/>
        </w:rPr>
        <w:t></w:t>
      </w:r>
      <w:r>
        <w:t xml:space="preserve"> de latitude Nord et 77,3</w:t>
      </w:r>
      <w:r>
        <w:rPr>
          <w:rFonts w:ascii="Symbol" w:hAnsi="Symbol"/>
        </w:rPr>
        <w:t></w:t>
      </w:r>
      <w:r>
        <w:t xml:space="preserve"> de longitude Ouest, pour un azimut de 319,3</w:t>
      </w:r>
      <w:r>
        <w:rPr>
          <w:rFonts w:ascii="Symbol" w:hAnsi="Symbol"/>
        </w:rPr>
        <w:t></w:t>
      </w:r>
      <w:r>
        <w:t>.</w:t>
      </w:r>
    </w:p>
    <w:p w:rsidR="00191F81" w:rsidRDefault="00191F81" w:rsidP="00191F81">
      <w:pPr>
        <w:pStyle w:val="FigureNo"/>
        <w:rPr>
          <w:caps w:val="0"/>
        </w:rPr>
      </w:pPr>
      <w:r>
        <w:rPr>
          <w:noProof/>
          <w:lang w:val="en-US" w:eastAsia="zh-CN"/>
        </w:rPr>
        <w:lastRenderedPageBreak/>
        <w:drawing>
          <wp:inline distT="0" distB="0" distL="0" distR="0" wp14:anchorId="14A73A0C" wp14:editId="6E6A9A13">
            <wp:extent cx="5788025" cy="402145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88025" cy="4021455"/>
                    </a:xfrm>
                    <a:prstGeom prst="rect">
                      <a:avLst/>
                    </a:prstGeom>
                    <a:noFill/>
                    <a:ln>
                      <a:noFill/>
                    </a:ln>
                  </pic:spPr>
                </pic:pic>
              </a:graphicData>
            </a:graphic>
          </wp:inline>
        </w:drawing>
      </w:r>
    </w:p>
    <w:p w:rsidR="00191F81" w:rsidRDefault="00191F81" w:rsidP="00191F81"/>
    <w:p w:rsidR="00191F81" w:rsidRDefault="00191F81" w:rsidP="00E52202">
      <w:r>
        <w:t>Etant donné ce qui précède, le pointage de l'antenne d'essai était compris entre 30</w:t>
      </w:r>
      <w:r>
        <w:rPr>
          <w:rFonts w:ascii="Symbol" w:hAnsi="Symbol"/>
        </w:rPr>
        <w:t></w:t>
      </w:r>
      <w:r>
        <w:t xml:space="preserve"> et 40</w:t>
      </w:r>
      <w:r>
        <w:rPr>
          <w:rFonts w:ascii="Symbol" w:hAnsi="Symbol"/>
        </w:rPr>
        <w:t></w:t>
      </w:r>
      <w:r>
        <w:t xml:space="preserve"> d'élévation pour un azimut de 319,3</w:t>
      </w:r>
      <w:r>
        <w:rPr>
          <w:rFonts w:ascii="Symbol" w:hAnsi="Symbol"/>
        </w:rPr>
        <w:t></w:t>
      </w:r>
      <w:r>
        <w:t>.</w:t>
      </w:r>
    </w:p>
    <w:p w:rsidR="00191F81" w:rsidRDefault="00191F81" w:rsidP="00191F81">
      <w:r>
        <w:t>Le Tableau 8 est le programme qui avait été fixé pour le jour des essais.</w:t>
      </w:r>
    </w:p>
    <w:p w:rsidR="00191F81" w:rsidRDefault="00191F81" w:rsidP="00191F81">
      <w:pPr>
        <w:pStyle w:val="Heading3"/>
      </w:pPr>
      <w:r>
        <w:t>1.3</w:t>
      </w:r>
      <w:r>
        <w:tab/>
        <w:t>Etalonnage de la configuration d'essai et réglage de l'analyseur de spectre</w:t>
      </w:r>
    </w:p>
    <w:p w:rsidR="00191F81" w:rsidRDefault="00191F81" w:rsidP="00191F81">
      <w:r>
        <w:t xml:space="preserve">La configuration d'essai a été soigneusement étalonnée. </w:t>
      </w:r>
    </w:p>
    <w:p w:rsidR="00191F81" w:rsidRDefault="00191F81" w:rsidP="00191F81">
      <w:r>
        <w:t>Après la procédure d'étalonnage du fabricant, l'analyseur de spectre a été réglé comme indiqué dans le Tableau 6.</w:t>
      </w:r>
    </w:p>
    <w:p w:rsidR="00191F81" w:rsidRDefault="00191F81" w:rsidP="00191F81"/>
    <w:p w:rsidR="00191F81" w:rsidRDefault="00191F81" w:rsidP="00191F81">
      <w:pPr>
        <w:pStyle w:val="TableNo"/>
      </w:pPr>
      <w:r>
        <w:lastRenderedPageBreak/>
        <w:t>TABLEAU  6</w:t>
      </w:r>
    </w:p>
    <w:p w:rsidR="00191F81" w:rsidRDefault="00191F81" w:rsidP="00191F81">
      <w:pPr>
        <w:pStyle w:val="Tabletitle"/>
      </w:pPr>
      <w:r>
        <w:t>Réglage de l'analyseur de spectre</w:t>
      </w:r>
    </w:p>
    <w:tbl>
      <w:tblPr>
        <w:tblW w:w="0" w:type="auto"/>
        <w:jc w:val="center"/>
        <w:tblLayout w:type="fixed"/>
        <w:tblLook w:val="0000" w:firstRow="0" w:lastRow="0" w:firstColumn="0" w:lastColumn="0" w:noHBand="0" w:noVBand="0"/>
      </w:tblPr>
      <w:tblGrid>
        <w:gridCol w:w="4253"/>
        <w:gridCol w:w="4253"/>
      </w:tblGrid>
      <w:tr w:rsidR="00191F81" w:rsidTr="00C10A05">
        <w:trPr>
          <w:jc w:val="center"/>
        </w:trPr>
        <w:tc>
          <w:tcPr>
            <w:tcW w:w="4253" w:type="dxa"/>
            <w:tcBorders>
              <w:top w:val="single" w:sz="6" w:space="0" w:color="auto"/>
              <w:left w:val="single" w:sz="6" w:space="0" w:color="auto"/>
              <w:right w:val="single" w:sz="6" w:space="0" w:color="auto"/>
            </w:tcBorders>
          </w:tcPr>
          <w:p w:rsidR="00191F81" w:rsidRDefault="00191F81" w:rsidP="00C10A05">
            <w:pPr>
              <w:pStyle w:val="Tabletext"/>
              <w:framePr w:hSpace="181" w:wrap="notBeside" w:vAnchor="text" w:hAnchor="text" w:xAlign="center" w:y="1"/>
              <w:spacing w:before="120" w:after="120"/>
              <w:rPr>
                <w:i/>
                <w:iCs/>
              </w:rPr>
            </w:pPr>
            <w:r>
              <w:rPr>
                <w:i/>
                <w:iCs/>
              </w:rPr>
              <w:t>Fréquence</w:t>
            </w:r>
            <w:r>
              <w:t>:</w:t>
            </w:r>
          </w:p>
        </w:tc>
        <w:tc>
          <w:tcPr>
            <w:tcW w:w="4253" w:type="dxa"/>
            <w:tcBorders>
              <w:top w:val="single" w:sz="6" w:space="0" w:color="auto"/>
              <w:left w:val="single" w:sz="6" w:space="0" w:color="auto"/>
              <w:right w:val="single" w:sz="6" w:space="0" w:color="auto"/>
            </w:tcBorders>
          </w:tcPr>
          <w:p w:rsidR="00191F81" w:rsidRDefault="00191F81" w:rsidP="00C10A05">
            <w:pPr>
              <w:pStyle w:val="Tabletext"/>
              <w:framePr w:hSpace="181" w:wrap="notBeside" w:vAnchor="text" w:hAnchor="text" w:xAlign="center" w:y="1"/>
              <w:spacing w:before="120" w:after="120"/>
              <w:jc w:val="center"/>
              <w:rPr>
                <w:b/>
                <w:bCs/>
              </w:rPr>
            </w:pPr>
          </w:p>
        </w:tc>
      </w:tr>
      <w:tr w:rsidR="00191F81" w:rsidTr="00C10A05">
        <w:trPr>
          <w:jc w:val="center"/>
        </w:trPr>
        <w:tc>
          <w:tcPr>
            <w:tcW w:w="4253" w:type="dxa"/>
            <w:tcBorders>
              <w:left w:val="single" w:sz="6" w:space="0" w:color="auto"/>
              <w:right w:val="single" w:sz="6" w:space="0" w:color="auto"/>
            </w:tcBorders>
          </w:tcPr>
          <w:p w:rsidR="00191F81" w:rsidRDefault="00191F81" w:rsidP="00C10A05">
            <w:pPr>
              <w:pStyle w:val="Tabletext"/>
              <w:framePr w:hSpace="181" w:wrap="notBeside" w:vAnchor="text" w:hAnchor="text" w:xAlign="center" w:y="1"/>
              <w:spacing w:before="80" w:after="80"/>
              <w:ind w:left="284"/>
              <w:jc w:val="left"/>
            </w:pPr>
            <w:r>
              <w:t>Fréquence centrale</w:t>
            </w:r>
            <w:r>
              <w:br/>
              <w:t>Décalage de fréquence</w:t>
            </w:r>
          </w:p>
        </w:tc>
        <w:tc>
          <w:tcPr>
            <w:tcW w:w="4253" w:type="dxa"/>
            <w:tcBorders>
              <w:left w:val="single" w:sz="6" w:space="0" w:color="auto"/>
              <w:right w:val="single" w:sz="6" w:space="0" w:color="auto"/>
            </w:tcBorders>
          </w:tcPr>
          <w:p w:rsidR="00191F81" w:rsidRDefault="00191F81" w:rsidP="00C10A05">
            <w:pPr>
              <w:pStyle w:val="Tabletext"/>
              <w:framePr w:hSpace="181" w:wrap="notBeside" w:vAnchor="text" w:hAnchor="text" w:xAlign="center" w:y="1"/>
              <w:spacing w:before="80" w:after="80"/>
              <w:jc w:val="center"/>
            </w:pPr>
            <w:r>
              <w:t>6</w:t>
            </w:r>
            <w:r>
              <w:rPr>
                <w:rFonts w:ascii="Tms Rmn" w:hAnsi="Tms Rmn"/>
                <w:sz w:val="12"/>
              </w:rPr>
              <w:t> </w:t>
            </w:r>
            <w:r>
              <w:t>877 MHz</w:t>
            </w:r>
            <w:r>
              <w:br/>
              <w:t>0 Hz</w:t>
            </w:r>
          </w:p>
        </w:tc>
      </w:tr>
      <w:tr w:rsidR="00191F81" w:rsidTr="00C10A05">
        <w:trPr>
          <w:jc w:val="center"/>
        </w:trPr>
        <w:tc>
          <w:tcPr>
            <w:tcW w:w="4253" w:type="dxa"/>
            <w:tcBorders>
              <w:top w:val="single" w:sz="6" w:space="0" w:color="auto"/>
              <w:left w:val="single" w:sz="6" w:space="0" w:color="auto"/>
              <w:bottom w:val="single" w:sz="6" w:space="0" w:color="auto"/>
              <w:right w:val="single" w:sz="6" w:space="0" w:color="auto"/>
            </w:tcBorders>
          </w:tcPr>
          <w:p w:rsidR="00191F81" w:rsidRDefault="00191F81" w:rsidP="00C10A05">
            <w:pPr>
              <w:pStyle w:val="Tabletext"/>
              <w:framePr w:hSpace="181" w:wrap="notBeside" w:vAnchor="text" w:hAnchor="text" w:xAlign="center" w:y="1"/>
              <w:spacing w:before="120" w:after="120"/>
            </w:pPr>
            <w:r>
              <w:rPr>
                <w:i/>
                <w:iCs/>
              </w:rPr>
              <w:t>Fourchette</w:t>
            </w:r>
          </w:p>
        </w:tc>
        <w:tc>
          <w:tcPr>
            <w:tcW w:w="4253" w:type="dxa"/>
            <w:tcBorders>
              <w:top w:val="single" w:sz="6" w:space="0" w:color="auto"/>
              <w:left w:val="single" w:sz="6" w:space="0" w:color="auto"/>
              <w:bottom w:val="single" w:sz="6" w:space="0" w:color="auto"/>
              <w:right w:val="single" w:sz="6" w:space="0" w:color="auto"/>
            </w:tcBorders>
          </w:tcPr>
          <w:p w:rsidR="00191F81" w:rsidRDefault="00191F81" w:rsidP="00C10A05">
            <w:pPr>
              <w:pStyle w:val="Tabletext"/>
              <w:framePr w:hSpace="181" w:wrap="notBeside" w:vAnchor="text" w:hAnchor="text" w:xAlign="center" w:y="1"/>
              <w:spacing w:before="120" w:after="120"/>
              <w:jc w:val="center"/>
              <w:rPr>
                <w:b/>
                <w:bCs/>
              </w:rPr>
            </w:pPr>
            <w:r>
              <w:t>1,1 MHz</w:t>
            </w:r>
          </w:p>
        </w:tc>
      </w:tr>
      <w:tr w:rsidR="00191F81" w:rsidTr="00C10A05">
        <w:trPr>
          <w:jc w:val="center"/>
        </w:trPr>
        <w:tc>
          <w:tcPr>
            <w:tcW w:w="4253" w:type="dxa"/>
            <w:tcBorders>
              <w:top w:val="single" w:sz="6" w:space="0" w:color="auto"/>
              <w:left w:val="single" w:sz="6" w:space="0" w:color="auto"/>
              <w:right w:val="single" w:sz="6" w:space="0" w:color="auto"/>
            </w:tcBorders>
          </w:tcPr>
          <w:p w:rsidR="00191F81" w:rsidRDefault="00191F81" w:rsidP="00C10A05">
            <w:pPr>
              <w:pStyle w:val="Tabletext"/>
              <w:framePr w:hSpace="181" w:wrap="notBeside" w:vAnchor="text" w:hAnchor="text" w:xAlign="center" w:y="1"/>
              <w:spacing w:before="120" w:after="120"/>
            </w:pPr>
            <w:r>
              <w:rPr>
                <w:i/>
                <w:iCs/>
              </w:rPr>
              <w:t>Amplitudes</w:t>
            </w:r>
            <w:r>
              <w:t>:</w:t>
            </w:r>
          </w:p>
        </w:tc>
        <w:tc>
          <w:tcPr>
            <w:tcW w:w="4253" w:type="dxa"/>
            <w:tcBorders>
              <w:top w:val="single" w:sz="6" w:space="0" w:color="auto"/>
              <w:left w:val="single" w:sz="6" w:space="0" w:color="auto"/>
              <w:right w:val="single" w:sz="6" w:space="0" w:color="auto"/>
            </w:tcBorders>
          </w:tcPr>
          <w:p w:rsidR="00191F81" w:rsidRDefault="00191F81" w:rsidP="00C10A05">
            <w:pPr>
              <w:pStyle w:val="Tabletext"/>
              <w:framePr w:hSpace="181" w:wrap="notBeside" w:vAnchor="text" w:hAnchor="text" w:xAlign="center" w:y="1"/>
              <w:spacing w:before="120" w:after="120"/>
              <w:jc w:val="center"/>
              <w:rPr>
                <w:b/>
                <w:bCs/>
              </w:rPr>
            </w:pPr>
          </w:p>
        </w:tc>
      </w:tr>
      <w:tr w:rsidR="00191F81" w:rsidTr="00C10A05">
        <w:trPr>
          <w:jc w:val="center"/>
        </w:trPr>
        <w:tc>
          <w:tcPr>
            <w:tcW w:w="4253" w:type="dxa"/>
            <w:tcBorders>
              <w:left w:val="single" w:sz="6" w:space="0" w:color="auto"/>
              <w:right w:val="single" w:sz="6" w:space="0" w:color="auto"/>
            </w:tcBorders>
          </w:tcPr>
          <w:p w:rsidR="00191F81" w:rsidRDefault="00191F81" w:rsidP="00C10A05">
            <w:pPr>
              <w:pStyle w:val="Tabletext"/>
              <w:framePr w:hSpace="181" w:wrap="notBeside" w:vAnchor="text" w:hAnchor="text" w:xAlign="center" w:y="1"/>
              <w:spacing w:before="80" w:after="80"/>
              <w:ind w:left="284"/>
              <w:jc w:val="left"/>
            </w:pPr>
            <w:r>
              <w:t>Niveau de référence (adapté aux va</w:t>
            </w:r>
            <w:r>
              <w:softHyphen/>
              <w:t>leurs de puissance surfacique prévues)</w:t>
            </w:r>
            <w:r>
              <w:br/>
              <w:t>Affaiblissement</w:t>
            </w:r>
            <w:r>
              <w:br/>
              <w:t>Echelle</w:t>
            </w:r>
          </w:p>
        </w:tc>
        <w:tc>
          <w:tcPr>
            <w:tcW w:w="4253" w:type="dxa"/>
            <w:tcBorders>
              <w:left w:val="single" w:sz="6" w:space="0" w:color="auto"/>
              <w:right w:val="single" w:sz="6" w:space="0" w:color="auto"/>
            </w:tcBorders>
          </w:tcPr>
          <w:p w:rsidR="00191F81" w:rsidRDefault="00191F81" w:rsidP="00C10A05">
            <w:pPr>
              <w:pStyle w:val="Tabletext"/>
              <w:framePr w:hSpace="181" w:wrap="notBeside" w:vAnchor="text" w:hAnchor="text" w:xAlign="center" w:y="1"/>
              <w:spacing w:before="80" w:after="80"/>
              <w:jc w:val="center"/>
            </w:pPr>
            <w:r>
              <w:t>–70 dBm</w:t>
            </w:r>
            <w:r>
              <w:br/>
            </w:r>
            <w:r>
              <w:br/>
              <w:t>0 dBm</w:t>
            </w:r>
            <w:r>
              <w:br/>
              <w:t>2 divisions logarithmiques par graduation</w:t>
            </w:r>
          </w:p>
        </w:tc>
      </w:tr>
      <w:tr w:rsidR="00191F81" w:rsidTr="00C10A05">
        <w:trPr>
          <w:jc w:val="center"/>
        </w:trPr>
        <w:tc>
          <w:tcPr>
            <w:tcW w:w="4253" w:type="dxa"/>
            <w:tcBorders>
              <w:top w:val="single" w:sz="6" w:space="0" w:color="auto"/>
              <w:left w:val="single" w:sz="6" w:space="0" w:color="auto"/>
              <w:right w:val="single" w:sz="6" w:space="0" w:color="auto"/>
            </w:tcBorders>
          </w:tcPr>
          <w:p w:rsidR="00191F81" w:rsidRDefault="00191F81" w:rsidP="00C10A05">
            <w:pPr>
              <w:pStyle w:val="Tabletext"/>
              <w:framePr w:hSpace="181" w:wrap="notBeside" w:vAnchor="text" w:hAnchor="text" w:xAlign="center" w:y="1"/>
              <w:spacing w:before="120" w:after="120"/>
            </w:pPr>
            <w:r>
              <w:rPr>
                <w:i/>
                <w:iCs/>
              </w:rPr>
              <w:t>Commande</w:t>
            </w:r>
            <w:r>
              <w:t>:</w:t>
            </w:r>
          </w:p>
        </w:tc>
        <w:tc>
          <w:tcPr>
            <w:tcW w:w="4253" w:type="dxa"/>
            <w:tcBorders>
              <w:top w:val="single" w:sz="6" w:space="0" w:color="auto"/>
              <w:left w:val="single" w:sz="6" w:space="0" w:color="auto"/>
              <w:right w:val="single" w:sz="6" w:space="0" w:color="auto"/>
            </w:tcBorders>
          </w:tcPr>
          <w:p w:rsidR="00191F81" w:rsidRDefault="00191F81" w:rsidP="00C10A05">
            <w:pPr>
              <w:pStyle w:val="Tabletext"/>
              <w:framePr w:hSpace="181" w:wrap="notBeside" w:vAnchor="text" w:hAnchor="text" w:xAlign="center" w:y="1"/>
              <w:spacing w:before="120" w:after="120"/>
              <w:jc w:val="center"/>
              <w:rPr>
                <w:b/>
                <w:bCs/>
              </w:rPr>
            </w:pPr>
          </w:p>
        </w:tc>
      </w:tr>
      <w:tr w:rsidR="00191F81" w:rsidTr="00C10A05">
        <w:trPr>
          <w:jc w:val="center"/>
        </w:trPr>
        <w:tc>
          <w:tcPr>
            <w:tcW w:w="4253" w:type="dxa"/>
            <w:tcBorders>
              <w:left w:val="single" w:sz="6" w:space="0" w:color="auto"/>
              <w:bottom w:val="single" w:sz="6" w:space="0" w:color="auto"/>
              <w:right w:val="single" w:sz="6" w:space="0" w:color="auto"/>
            </w:tcBorders>
          </w:tcPr>
          <w:p w:rsidR="00191F81" w:rsidRDefault="00191F81" w:rsidP="00C10A05">
            <w:pPr>
              <w:pStyle w:val="Tabletext"/>
              <w:framePr w:hSpace="181" w:wrap="notBeside" w:vAnchor="text" w:hAnchor="text" w:xAlign="center" w:y="1"/>
              <w:spacing w:before="80" w:after="80"/>
              <w:ind w:left="284"/>
              <w:jc w:val="left"/>
            </w:pPr>
            <w:r>
              <w:t>Largeur de bande de résolution</w:t>
            </w:r>
            <w:r>
              <w:br/>
              <w:t>Largeur de bande vidéo</w:t>
            </w:r>
            <w:r>
              <w:br/>
              <w:t>Temps de balayage</w:t>
            </w:r>
            <w:r>
              <w:br/>
              <w:t>Déclenchement</w:t>
            </w:r>
            <w:r>
              <w:br/>
              <w:t>Trace</w:t>
            </w:r>
          </w:p>
        </w:tc>
        <w:tc>
          <w:tcPr>
            <w:tcW w:w="4253" w:type="dxa"/>
            <w:tcBorders>
              <w:left w:val="single" w:sz="6" w:space="0" w:color="auto"/>
              <w:bottom w:val="single" w:sz="6" w:space="0" w:color="auto"/>
              <w:right w:val="single" w:sz="6" w:space="0" w:color="auto"/>
            </w:tcBorders>
          </w:tcPr>
          <w:p w:rsidR="00191F81" w:rsidRDefault="00191F81" w:rsidP="00C10A05">
            <w:pPr>
              <w:pStyle w:val="Tabletext"/>
              <w:framePr w:hSpace="181" w:wrap="notBeside" w:vAnchor="text" w:hAnchor="text" w:xAlign="center" w:y="1"/>
              <w:spacing w:before="80" w:after="80"/>
              <w:jc w:val="center"/>
            </w:pPr>
            <w:r>
              <w:t>1 kHz</w:t>
            </w:r>
            <w:r>
              <w:br/>
              <w:t>1 kHz</w:t>
            </w:r>
            <w:r>
              <w:br/>
              <w:t>500 ms</w:t>
            </w:r>
            <w:r>
              <w:rPr>
                <w:position w:val="6"/>
                <w:sz w:val="18"/>
              </w:rPr>
              <w:t>(1)</w:t>
            </w:r>
            <w:r>
              <w:br/>
              <w:t>Continu</w:t>
            </w:r>
            <w:r>
              <w:br/>
              <w:t>Entrée A puis gel sur maximum</w:t>
            </w:r>
          </w:p>
        </w:tc>
      </w:tr>
      <w:tr w:rsidR="00191F81" w:rsidTr="00320D86">
        <w:trPr>
          <w:cantSplit/>
          <w:jc w:val="center"/>
        </w:trPr>
        <w:tc>
          <w:tcPr>
            <w:tcW w:w="8506" w:type="dxa"/>
            <w:gridSpan w:val="2"/>
            <w:tcBorders>
              <w:top w:val="single" w:sz="6" w:space="0" w:color="auto"/>
            </w:tcBorders>
          </w:tcPr>
          <w:p w:rsidR="00191F81" w:rsidRDefault="00191F81" w:rsidP="00C10A05">
            <w:pPr>
              <w:pStyle w:val="Tablelegend"/>
              <w:framePr w:hSpace="181" w:wrap="notBeside" w:vAnchor="text" w:hAnchor="text" w:xAlign="center" w:y="1"/>
            </w:pPr>
            <w:r>
              <w:rPr>
                <w:position w:val="6"/>
                <w:sz w:val="18"/>
              </w:rPr>
              <w:t>(1)</w:t>
            </w:r>
            <w:r>
              <w:tab/>
              <w:t>Ou une valeur plus faible si l'analyseur de spectre le permet.</w:t>
            </w:r>
          </w:p>
        </w:tc>
      </w:tr>
    </w:tbl>
    <w:p w:rsidR="00191F81" w:rsidRDefault="00191F81" w:rsidP="00191F81">
      <w:pPr>
        <w:pStyle w:val="Tablefin"/>
        <w:spacing w:before="240"/>
        <w:rPr>
          <w:lang w:val="fr-FR"/>
        </w:rPr>
      </w:pPr>
    </w:p>
    <w:p w:rsidR="00191F81" w:rsidRDefault="00191F81" w:rsidP="00191F81">
      <w:pPr>
        <w:pStyle w:val="Heading1"/>
      </w:pPr>
      <w:r>
        <w:t>2</w:t>
      </w:r>
      <w:r>
        <w:tab/>
        <w:t>Mesures et analyse des résultats</w:t>
      </w:r>
    </w:p>
    <w:p w:rsidR="00191F81" w:rsidRDefault="00191F81" w:rsidP="00191F81">
      <w:pPr>
        <w:pStyle w:val="Heading2"/>
      </w:pPr>
      <w:r>
        <w:t>2.1</w:t>
      </w:r>
      <w:r>
        <w:tab/>
        <w:t>Validation du plan de fréquences du système non OSG</w:t>
      </w:r>
    </w:p>
    <w:p w:rsidR="00191F81" w:rsidRDefault="00191F81" w:rsidP="00191F81">
      <w:r>
        <w:t>La première étape consiste à valider le plan de fréquences du système HIBLEO-4FL.</w:t>
      </w:r>
    </w:p>
    <w:p w:rsidR="00191F81" w:rsidRDefault="00191F81" w:rsidP="00191F81">
      <w:r>
        <w:t>Moyennant un minimum de passages de satellites dans le faisceau principal de l'antenne d'essai, on peut observer les différentes fréquences de télémesure utilisées par les satellites non OSG.</w:t>
      </w:r>
    </w:p>
    <w:p w:rsidR="00191F81" w:rsidRDefault="00191F81" w:rsidP="00191F81">
      <w:r>
        <w:t>La Fig. 4 représente les signaux de télémesure enregistrés sur 24 h.</w:t>
      </w:r>
    </w:p>
    <w:p w:rsidR="00191F81" w:rsidRDefault="00191F81" w:rsidP="00191F81">
      <w:r>
        <w:t xml:space="preserve">Comme on peut le constater à la Fig. 4, dix valeurs de crête dépassent nettement le bruit de fond. Elles correspondent toutes à une fréquence de télémesure utilisée par le système HIBLEO-4FL avec un décalage Doppler de </w:t>
      </w:r>
      <w:r>
        <w:rPr>
          <w:rFonts w:ascii="Symbol" w:hAnsi="Symbol"/>
        </w:rPr>
        <w:sym w:font="Symbol" w:char="F0B1"/>
      </w:r>
      <w:r>
        <w:rPr>
          <w:rFonts w:ascii="Tms Rmn" w:hAnsi="Tms Rmn"/>
          <w:sz w:val="4"/>
        </w:rPr>
        <w:t> </w:t>
      </w:r>
      <w:r>
        <w:t>135 kHz.</w:t>
      </w:r>
    </w:p>
    <w:p w:rsidR="00191F81" w:rsidRDefault="00191F81" w:rsidP="00191F81">
      <w:pPr>
        <w:pStyle w:val="FigureNo"/>
      </w:pPr>
      <w:r>
        <w:object w:dxaOrig="9337" w:dyaOrig="5694">
          <v:shape id="_x0000_i1026" type="#_x0000_t75" style="width:466.5pt;height:284.25pt" o:ole="">
            <v:imagedata r:id="rId21" o:title=""/>
          </v:shape>
          <o:OLEObject Type="Embed" ProgID="Designer.Drawing.7" ShapeID="_x0000_i1026" DrawAspect="Content" ObjectID="_1425359206" r:id="rId22"/>
        </w:object>
      </w:r>
    </w:p>
    <w:p w:rsidR="00191F81" w:rsidRDefault="00191F81" w:rsidP="00191F81">
      <w:pPr>
        <w:pStyle w:val="Index1"/>
      </w:pPr>
    </w:p>
    <w:p w:rsidR="00191F81" w:rsidRDefault="00191F81" w:rsidP="00191F81">
      <w:r>
        <w:t>Si le temps d'enregistrement avait été plus long, les cinq fréquences de télémesure manquantes auraient sans doute été observées (au cas où elles auraient été utilisées). Le Tableau 7 garantit que le système observé est effectivement le système HIBLEO</w:t>
      </w:r>
      <w:r>
        <w:noBreakHyphen/>
        <w:t>4FL.</w:t>
      </w:r>
    </w:p>
    <w:p w:rsidR="00191F81" w:rsidRDefault="00191F81" w:rsidP="00191F81"/>
    <w:p w:rsidR="00191F81" w:rsidRDefault="00191F81" w:rsidP="00191F81">
      <w:pPr>
        <w:pStyle w:val="TableNo"/>
      </w:pPr>
      <w:r>
        <w:t>TABLEAU  7</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85"/>
        <w:gridCol w:w="2552"/>
        <w:gridCol w:w="1985"/>
        <w:gridCol w:w="1985"/>
      </w:tblGrid>
      <w:tr w:rsidR="00191F81" w:rsidTr="00C10A05">
        <w:trPr>
          <w:cantSplit/>
          <w:jc w:val="center"/>
        </w:trPr>
        <w:tc>
          <w:tcPr>
            <w:tcW w:w="1985" w:type="dxa"/>
            <w:vAlign w:val="center"/>
          </w:tcPr>
          <w:p w:rsidR="00191F81" w:rsidRDefault="00191F81" w:rsidP="00C10A05">
            <w:pPr>
              <w:pStyle w:val="Tablehead"/>
              <w:framePr w:hSpace="181" w:wrap="notBeside" w:vAnchor="text" w:hAnchor="text" w:xAlign="center" w:y="1"/>
              <w:spacing w:before="100" w:after="100"/>
            </w:pPr>
            <w:r>
              <w:t>Numéro de télémesure</w:t>
            </w:r>
          </w:p>
        </w:tc>
        <w:tc>
          <w:tcPr>
            <w:tcW w:w="2552" w:type="dxa"/>
            <w:vAlign w:val="center"/>
          </w:tcPr>
          <w:p w:rsidR="00191F81" w:rsidRDefault="00191F81" w:rsidP="00C10A05">
            <w:pPr>
              <w:pStyle w:val="Tablehead"/>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65"/>
              </w:tabs>
              <w:spacing w:before="100" w:after="100"/>
            </w:pPr>
            <w:r>
              <w:t>Fréquence prévue inscrite</w:t>
            </w:r>
            <w:r>
              <w:br/>
              <w:t>(MHz)</w:t>
            </w:r>
          </w:p>
        </w:tc>
        <w:tc>
          <w:tcPr>
            <w:tcW w:w="1985" w:type="dxa"/>
            <w:vAlign w:val="center"/>
          </w:tcPr>
          <w:p w:rsidR="00191F81" w:rsidRDefault="00191F81" w:rsidP="00C10A05">
            <w:pPr>
              <w:pStyle w:val="Tablehead"/>
              <w:framePr w:hSpace="181" w:wrap="notBeside" w:vAnchor="text" w:hAnchor="text" w:xAlign="center" w:y="1"/>
              <w:spacing w:before="100" w:after="100"/>
            </w:pPr>
            <w:r>
              <w:t>Fréquence mesurée</w:t>
            </w:r>
            <w:r>
              <w:br/>
              <w:t>(MHz)</w:t>
            </w:r>
          </w:p>
        </w:tc>
        <w:tc>
          <w:tcPr>
            <w:tcW w:w="1985" w:type="dxa"/>
            <w:vAlign w:val="center"/>
          </w:tcPr>
          <w:p w:rsidR="00191F81" w:rsidRDefault="00191F81" w:rsidP="00C10A05">
            <w:pPr>
              <w:pStyle w:val="Tablehead"/>
              <w:framePr w:hSpace="181" w:wrap="notBeside" w:vAnchor="text" w:hAnchor="text" w:xAlign="center" w:y="1"/>
              <w:spacing w:before="100" w:after="100"/>
            </w:pPr>
            <w:r>
              <w:t xml:space="preserve">Décalage Doppler </w:t>
            </w:r>
            <w:r>
              <w:br/>
              <w:t>(kHz)</w:t>
            </w:r>
          </w:p>
        </w:tc>
      </w:tr>
      <w:tr w:rsidR="00191F81" w:rsidTr="00C10A05">
        <w:trPr>
          <w:cantSplit/>
          <w:jc w:val="center"/>
        </w:trPr>
        <w:tc>
          <w:tcPr>
            <w:tcW w:w="1985" w:type="dxa"/>
          </w:tcPr>
          <w:p w:rsidR="00191F81" w:rsidRDefault="00191F81" w:rsidP="00C10A05">
            <w:pPr>
              <w:pStyle w:val="Tabletext"/>
              <w:framePr w:hSpace="181" w:wrap="notBeside" w:vAnchor="text" w:hAnchor="text" w:xAlign="center" w:y="1"/>
              <w:spacing w:before="60" w:after="60"/>
              <w:jc w:val="center"/>
            </w:pPr>
            <w:r>
              <w:t> </w:t>
            </w:r>
            <w:r>
              <w:t>1</w:t>
            </w:r>
          </w:p>
        </w:tc>
        <w:tc>
          <w:tcPr>
            <w:tcW w:w="2552" w:type="dxa"/>
          </w:tcPr>
          <w:p w:rsidR="00191F81" w:rsidRDefault="00191F81" w:rsidP="00C10A0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65"/>
              </w:tabs>
              <w:spacing w:before="60" w:after="60"/>
              <w:ind w:left="765" w:hanging="765"/>
              <w:jc w:val="left"/>
            </w:pPr>
            <w:r>
              <w:tab/>
              <w:t>6</w:t>
            </w:r>
            <w:r>
              <w:rPr>
                <w:rFonts w:ascii="Tms Rmn" w:hAnsi="Tms Rmn"/>
                <w:sz w:val="12"/>
              </w:rPr>
              <w:t> </w:t>
            </w:r>
            <w:r>
              <w:t>876,2</w:t>
            </w:r>
          </w:p>
        </w:tc>
        <w:tc>
          <w:tcPr>
            <w:tcW w:w="1985" w:type="dxa"/>
          </w:tcPr>
          <w:p w:rsidR="00191F81" w:rsidRDefault="00191F81" w:rsidP="00C10A0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left"/>
            </w:pPr>
            <w:r>
              <w:tab/>
              <w:t>6</w:t>
            </w:r>
            <w:r>
              <w:rPr>
                <w:rFonts w:ascii="Tms Rmn" w:hAnsi="Tms Rmn"/>
                <w:sz w:val="12"/>
              </w:rPr>
              <w:t> </w:t>
            </w:r>
            <w:r>
              <w:t>876,1525</w:t>
            </w:r>
          </w:p>
        </w:tc>
        <w:tc>
          <w:tcPr>
            <w:tcW w:w="1985" w:type="dxa"/>
          </w:tcPr>
          <w:p w:rsidR="00191F81" w:rsidRDefault="00191F81" w:rsidP="00C10A05">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spacing w:before="60" w:after="60"/>
              <w:jc w:val="left"/>
            </w:pPr>
            <w:r>
              <w:t>–</w:t>
            </w:r>
            <w:r>
              <w:rPr>
                <w:rFonts w:ascii="Tms Rmn" w:hAnsi="Tms Rmn"/>
                <w:sz w:val="4"/>
              </w:rPr>
              <w:t> </w:t>
            </w:r>
            <w:r>
              <w:t>47,5</w:t>
            </w:r>
          </w:p>
        </w:tc>
      </w:tr>
      <w:tr w:rsidR="00191F81" w:rsidTr="00C10A05">
        <w:trPr>
          <w:cantSplit/>
          <w:jc w:val="center"/>
        </w:trPr>
        <w:tc>
          <w:tcPr>
            <w:tcW w:w="1985" w:type="dxa"/>
          </w:tcPr>
          <w:p w:rsidR="00191F81" w:rsidRDefault="00191F81" w:rsidP="00C10A05">
            <w:pPr>
              <w:pStyle w:val="Tabletext"/>
              <w:framePr w:hSpace="181" w:wrap="notBeside" w:vAnchor="text" w:hAnchor="text" w:xAlign="center" w:y="1"/>
              <w:spacing w:before="60" w:after="60"/>
              <w:jc w:val="center"/>
            </w:pPr>
            <w:r>
              <w:t> </w:t>
            </w:r>
            <w:r>
              <w:t>2</w:t>
            </w:r>
          </w:p>
        </w:tc>
        <w:tc>
          <w:tcPr>
            <w:tcW w:w="2552" w:type="dxa"/>
          </w:tcPr>
          <w:p w:rsidR="00191F81" w:rsidRDefault="00191F81" w:rsidP="00C10A0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65"/>
              </w:tabs>
              <w:spacing w:before="60" w:after="60"/>
              <w:ind w:left="765" w:hanging="765"/>
              <w:jc w:val="left"/>
            </w:pPr>
            <w:r>
              <w:tab/>
              <w:t>6</w:t>
            </w:r>
            <w:r>
              <w:rPr>
                <w:rFonts w:ascii="Tms Rmn" w:hAnsi="Tms Rmn"/>
                <w:sz w:val="12"/>
              </w:rPr>
              <w:t> </w:t>
            </w:r>
            <w:r>
              <w:t>876,2</w:t>
            </w:r>
          </w:p>
        </w:tc>
        <w:tc>
          <w:tcPr>
            <w:tcW w:w="1985" w:type="dxa"/>
          </w:tcPr>
          <w:p w:rsidR="00191F81" w:rsidRDefault="00191F81" w:rsidP="00C10A0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left"/>
            </w:pPr>
            <w:r>
              <w:tab/>
              <w:t>6</w:t>
            </w:r>
            <w:r>
              <w:rPr>
                <w:rFonts w:ascii="Tms Rmn" w:hAnsi="Tms Rmn"/>
                <w:sz w:val="12"/>
              </w:rPr>
              <w:t> </w:t>
            </w:r>
            <w:r>
              <w:t>876,19375</w:t>
            </w:r>
          </w:p>
        </w:tc>
        <w:tc>
          <w:tcPr>
            <w:tcW w:w="1985" w:type="dxa"/>
          </w:tcPr>
          <w:p w:rsidR="00191F81" w:rsidRDefault="00191F81" w:rsidP="00C10A05">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spacing w:before="60" w:after="60"/>
              <w:jc w:val="left"/>
            </w:pPr>
            <w:r>
              <w:t>–</w:t>
            </w:r>
            <w:r>
              <w:rPr>
                <w:rFonts w:ascii="Tms Rmn" w:hAnsi="Tms Rmn"/>
                <w:sz w:val="4"/>
              </w:rPr>
              <w:t> </w:t>
            </w:r>
            <w:r>
              <w:t>6,25</w:t>
            </w:r>
          </w:p>
        </w:tc>
      </w:tr>
      <w:tr w:rsidR="00191F81" w:rsidTr="00C10A05">
        <w:trPr>
          <w:cantSplit/>
          <w:jc w:val="center"/>
        </w:trPr>
        <w:tc>
          <w:tcPr>
            <w:tcW w:w="1985" w:type="dxa"/>
          </w:tcPr>
          <w:p w:rsidR="00191F81" w:rsidRDefault="00191F81" w:rsidP="00C10A05">
            <w:pPr>
              <w:pStyle w:val="Tabletext"/>
              <w:framePr w:hSpace="181" w:wrap="notBeside" w:vAnchor="text" w:hAnchor="text" w:xAlign="center" w:y="1"/>
              <w:spacing w:before="60" w:after="60"/>
              <w:jc w:val="center"/>
            </w:pPr>
            <w:r>
              <w:t> </w:t>
            </w:r>
            <w:r>
              <w:t>3</w:t>
            </w:r>
          </w:p>
        </w:tc>
        <w:tc>
          <w:tcPr>
            <w:tcW w:w="2552" w:type="dxa"/>
          </w:tcPr>
          <w:p w:rsidR="00191F81" w:rsidRDefault="00191F81" w:rsidP="00C10A0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65"/>
              </w:tabs>
              <w:spacing w:before="60" w:after="60"/>
              <w:ind w:left="765" w:hanging="765"/>
              <w:jc w:val="left"/>
            </w:pPr>
            <w:r>
              <w:tab/>
              <w:t>6</w:t>
            </w:r>
            <w:r>
              <w:rPr>
                <w:rFonts w:ascii="Tms Rmn" w:hAnsi="Tms Rmn"/>
                <w:sz w:val="12"/>
              </w:rPr>
              <w:t> </w:t>
            </w:r>
            <w:r>
              <w:t>876,4</w:t>
            </w:r>
          </w:p>
        </w:tc>
        <w:tc>
          <w:tcPr>
            <w:tcW w:w="1985" w:type="dxa"/>
          </w:tcPr>
          <w:p w:rsidR="00191F81" w:rsidRDefault="00191F81" w:rsidP="00C10A0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left"/>
            </w:pPr>
            <w:r>
              <w:tab/>
              <w:t>6</w:t>
            </w:r>
            <w:r>
              <w:rPr>
                <w:rFonts w:ascii="Tms Rmn" w:hAnsi="Tms Rmn"/>
                <w:sz w:val="12"/>
              </w:rPr>
              <w:t> </w:t>
            </w:r>
            <w:r>
              <w:t>876,43375</w:t>
            </w:r>
          </w:p>
        </w:tc>
        <w:tc>
          <w:tcPr>
            <w:tcW w:w="1985" w:type="dxa"/>
          </w:tcPr>
          <w:p w:rsidR="00191F81" w:rsidRDefault="00191F81" w:rsidP="00C10A05">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spacing w:before="60" w:after="60"/>
              <w:jc w:val="left"/>
            </w:pPr>
            <w:r>
              <w:t>33,75</w:t>
            </w:r>
          </w:p>
        </w:tc>
      </w:tr>
      <w:tr w:rsidR="00191F81" w:rsidTr="00C10A05">
        <w:trPr>
          <w:cantSplit/>
          <w:jc w:val="center"/>
        </w:trPr>
        <w:tc>
          <w:tcPr>
            <w:tcW w:w="1985" w:type="dxa"/>
          </w:tcPr>
          <w:p w:rsidR="00191F81" w:rsidRDefault="00191F81" w:rsidP="00C10A05">
            <w:pPr>
              <w:pStyle w:val="Tabletext"/>
              <w:framePr w:hSpace="181" w:wrap="notBeside" w:vAnchor="text" w:hAnchor="text" w:xAlign="center" w:y="1"/>
              <w:spacing w:before="60" w:after="60"/>
              <w:jc w:val="center"/>
            </w:pPr>
            <w:r>
              <w:t> </w:t>
            </w:r>
            <w:r>
              <w:t>4</w:t>
            </w:r>
          </w:p>
        </w:tc>
        <w:tc>
          <w:tcPr>
            <w:tcW w:w="2552" w:type="dxa"/>
          </w:tcPr>
          <w:p w:rsidR="00191F81" w:rsidRDefault="00191F81" w:rsidP="00C10A0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65"/>
              </w:tabs>
              <w:spacing w:before="60" w:after="60"/>
              <w:ind w:left="765" w:hanging="765"/>
              <w:jc w:val="left"/>
            </w:pPr>
            <w:r>
              <w:tab/>
              <w:t>6</w:t>
            </w:r>
            <w:r>
              <w:rPr>
                <w:rFonts w:ascii="Tms Rmn" w:hAnsi="Tms Rmn"/>
                <w:sz w:val="12"/>
              </w:rPr>
              <w:t> </w:t>
            </w:r>
            <w:r>
              <w:t>876,5</w:t>
            </w:r>
          </w:p>
        </w:tc>
        <w:tc>
          <w:tcPr>
            <w:tcW w:w="1985" w:type="dxa"/>
          </w:tcPr>
          <w:p w:rsidR="00191F81" w:rsidRDefault="00191F81" w:rsidP="00C10A0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left"/>
            </w:pPr>
            <w:r>
              <w:tab/>
              <w:t>6</w:t>
            </w:r>
            <w:r>
              <w:rPr>
                <w:rFonts w:ascii="Tms Rmn" w:hAnsi="Tms Rmn"/>
                <w:sz w:val="12"/>
              </w:rPr>
              <w:t> </w:t>
            </w:r>
            <w:r>
              <w:t>876,4975</w:t>
            </w:r>
          </w:p>
        </w:tc>
        <w:tc>
          <w:tcPr>
            <w:tcW w:w="1985" w:type="dxa"/>
          </w:tcPr>
          <w:p w:rsidR="00191F81" w:rsidRDefault="00191F81" w:rsidP="00C10A05">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spacing w:before="60" w:after="60"/>
              <w:jc w:val="left"/>
            </w:pPr>
            <w:r>
              <w:t>–2,5</w:t>
            </w:r>
          </w:p>
        </w:tc>
      </w:tr>
      <w:tr w:rsidR="00191F81" w:rsidTr="00C10A05">
        <w:trPr>
          <w:cantSplit/>
          <w:jc w:val="center"/>
        </w:trPr>
        <w:tc>
          <w:tcPr>
            <w:tcW w:w="1985" w:type="dxa"/>
          </w:tcPr>
          <w:p w:rsidR="00191F81" w:rsidRDefault="00191F81" w:rsidP="00C10A05">
            <w:pPr>
              <w:pStyle w:val="Tabletext"/>
              <w:framePr w:hSpace="181" w:wrap="notBeside" w:vAnchor="text" w:hAnchor="text" w:xAlign="center" w:y="1"/>
              <w:spacing w:before="60" w:after="60"/>
              <w:jc w:val="center"/>
            </w:pPr>
            <w:r>
              <w:t> </w:t>
            </w:r>
            <w:r>
              <w:t>5</w:t>
            </w:r>
          </w:p>
        </w:tc>
        <w:tc>
          <w:tcPr>
            <w:tcW w:w="2552" w:type="dxa"/>
          </w:tcPr>
          <w:p w:rsidR="00191F81" w:rsidRDefault="00191F81" w:rsidP="00C10A0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65"/>
              </w:tabs>
              <w:spacing w:before="60" w:after="60"/>
              <w:ind w:left="765" w:hanging="765"/>
              <w:jc w:val="left"/>
            </w:pPr>
            <w:r>
              <w:tab/>
              <w:t>6</w:t>
            </w:r>
            <w:r>
              <w:rPr>
                <w:rFonts w:ascii="Tms Rmn" w:hAnsi="Tms Rmn"/>
                <w:sz w:val="12"/>
              </w:rPr>
              <w:t> </w:t>
            </w:r>
            <w:r>
              <w:t>876,6</w:t>
            </w:r>
          </w:p>
        </w:tc>
        <w:tc>
          <w:tcPr>
            <w:tcW w:w="1985" w:type="dxa"/>
          </w:tcPr>
          <w:p w:rsidR="00191F81" w:rsidRDefault="00191F81" w:rsidP="00C10A0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left"/>
            </w:pPr>
            <w:r>
              <w:tab/>
              <w:t>6</w:t>
            </w:r>
            <w:r>
              <w:rPr>
                <w:rFonts w:ascii="Tms Rmn" w:hAnsi="Tms Rmn"/>
                <w:sz w:val="12"/>
              </w:rPr>
              <w:t> </w:t>
            </w:r>
            <w:r>
              <w:t>876,60625</w:t>
            </w:r>
          </w:p>
        </w:tc>
        <w:tc>
          <w:tcPr>
            <w:tcW w:w="1985" w:type="dxa"/>
          </w:tcPr>
          <w:p w:rsidR="00191F81" w:rsidRDefault="00191F81" w:rsidP="00C10A05">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spacing w:before="60" w:after="60"/>
              <w:jc w:val="left"/>
            </w:pPr>
            <w:r>
              <w:t>6,25</w:t>
            </w:r>
          </w:p>
        </w:tc>
      </w:tr>
      <w:tr w:rsidR="00191F81" w:rsidTr="00C10A05">
        <w:trPr>
          <w:cantSplit/>
          <w:jc w:val="center"/>
        </w:trPr>
        <w:tc>
          <w:tcPr>
            <w:tcW w:w="1985" w:type="dxa"/>
          </w:tcPr>
          <w:p w:rsidR="00191F81" w:rsidRDefault="00191F81" w:rsidP="00C10A05">
            <w:pPr>
              <w:pStyle w:val="Tabletext"/>
              <w:framePr w:hSpace="181" w:wrap="notBeside" w:vAnchor="text" w:hAnchor="text" w:xAlign="center" w:y="1"/>
              <w:spacing w:before="60" w:after="60"/>
              <w:jc w:val="center"/>
            </w:pPr>
            <w:r>
              <w:t> </w:t>
            </w:r>
            <w:r>
              <w:t>6</w:t>
            </w:r>
          </w:p>
        </w:tc>
        <w:tc>
          <w:tcPr>
            <w:tcW w:w="2552" w:type="dxa"/>
          </w:tcPr>
          <w:p w:rsidR="00191F81" w:rsidRDefault="00191F81" w:rsidP="00C10A0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65"/>
              </w:tabs>
              <w:spacing w:before="60" w:after="60"/>
              <w:ind w:left="765" w:hanging="765"/>
              <w:jc w:val="left"/>
            </w:pPr>
            <w:r>
              <w:tab/>
              <w:t>6</w:t>
            </w:r>
            <w:r>
              <w:rPr>
                <w:rFonts w:ascii="Tms Rmn" w:hAnsi="Tms Rmn"/>
                <w:sz w:val="12"/>
              </w:rPr>
              <w:t> </w:t>
            </w:r>
            <w:r>
              <w:t>876,6</w:t>
            </w:r>
          </w:p>
        </w:tc>
        <w:tc>
          <w:tcPr>
            <w:tcW w:w="1985" w:type="dxa"/>
          </w:tcPr>
          <w:p w:rsidR="00191F81" w:rsidRDefault="00191F81" w:rsidP="00C10A0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left"/>
            </w:pPr>
            <w:r>
              <w:tab/>
              <w:t>6</w:t>
            </w:r>
            <w:r>
              <w:rPr>
                <w:rFonts w:ascii="Tms Rmn" w:hAnsi="Tms Rmn"/>
                <w:sz w:val="12"/>
              </w:rPr>
              <w:t> </w:t>
            </w:r>
            <w:r>
              <w:t>876,64375</w:t>
            </w:r>
          </w:p>
        </w:tc>
        <w:tc>
          <w:tcPr>
            <w:tcW w:w="1985" w:type="dxa"/>
          </w:tcPr>
          <w:p w:rsidR="00191F81" w:rsidRDefault="00191F81" w:rsidP="00C10A05">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spacing w:before="60" w:after="60"/>
              <w:jc w:val="left"/>
            </w:pPr>
            <w:r>
              <w:t>43,75</w:t>
            </w:r>
          </w:p>
        </w:tc>
      </w:tr>
      <w:tr w:rsidR="00191F81" w:rsidTr="00C10A05">
        <w:trPr>
          <w:cantSplit/>
          <w:jc w:val="center"/>
        </w:trPr>
        <w:tc>
          <w:tcPr>
            <w:tcW w:w="1985" w:type="dxa"/>
          </w:tcPr>
          <w:p w:rsidR="00191F81" w:rsidRDefault="00191F81" w:rsidP="00C10A05">
            <w:pPr>
              <w:pStyle w:val="Tabletext"/>
              <w:framePr w:hSpace="181" w:wrap="notBeside" w:vAnchor="text" w:hAnchor="text" w:xAlign="center" w:y="1"/>
              <w:spacing w:before="60" w:after="60"/>
              <w:jc w:val="center"/>
            </w:pPr>
            <w:r>
              <w:t> </w:t>
            </w:r>
            <w:r>
              <w:t>7</w:t>
            </w:r>
          </w:p>
        </w:tc>
        <w:tc>
          <w:tcPr>
            <w:tcW w:w="2552" w:type="dxa"/>
          </w:tcPr>
          <w:p w:rsidR="00191F81" w:rsidRDefault="00191F81" w:rsidP="00C10A0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65"/>
              </w:tabs>
              <w:spacing w:before="60" w:after="60"/>
              <w:ind w:left="765" w:hanging="765"/>
              <w:jc w:val="left"/>
            </w:pPr>
            <w:r>
              <w:tab/>
              <w:t>6</w:t>
            </w:r>
            <w:r>
              <w:rPr>
                <w:rFonts w:ascii="Tms Rmn" w:hAnsi="Tms Rmn"/>
                <w:sz w:val="12"/>
              </w:rPr>
              <w:t> </w:t>
            </w:r>
            <w:r>
              <w:t>876,8</w:t>
            </w:r>
          </w:p>
        </w:tc>
        <w:tc>
          <w:tcPr>
            <w:tcW w:w="1985" w:type="dxa"/>
          </w:tcPr>
          <w:p w:rsidR="00191F81" w:rsidRDefault="00191F81" w:rsidP="00C10A0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left"/>
            </w:pPr>
            <w:r>
              <w:tab/>
              <w:t>6</w:t>
            </w:r>
            <w:r>
              <w:rPr>
                <w:rFonts w:ascii="Tms Rmn" w:hAnsi="Tms Rmn"/>
                <w:sz w:val="12"/>
              </w:rPr>
              <w:t> </w:t>
            </w:r>
            <w:r>
              <w:t>876,7525</w:t>
            </w:r>
          </w:p>
        </w:tc>
        <w:tc>
          <w:tcPr>
            <w:tcW w:w="1985" w:type="dxa"/>
          </w:tcPr>
          <w:p w:rsidR="00191F81" w:rsidRDefault="00191F81" w:rsidP="00C10A05">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spacing w:before="60" w:after="60"/>
              <w:jc w:val="left"/>
            </w:pPr>
            <w:r>
              <w:t>–</w:t>
            </w:r>
            <w:r>
              <w:rPr>
                <w:rFonts w:ascii="Tms Rmn" w:hAnsi="Tms Rmn"/>
                <w:sz w:val="4"/>
              </w:rPr>
              <w:t> </w:t>
            </w:r>
            <w:r>
              <w:t>47,5</w:t>
            </w:r>
          </w:p>
        </w:tc>
      </w:tr>
      <w:tr w:rsidR="00191F81" w:rsidTr="00C10A05">
        <w:trPr>
          <w:cantSplit/>
          <w:jc w:val="center"/>
        </w:trPr>
        <w:tc>
          <w:tcPr>
            <w:tcW w:w="1985" w:type="dxa"/>
          </w:tcPr>
          <w:p w:rsidR="00191F81" w:rsidRDefault="00191F81" w:rsidP="00C10A05">
            <w:pPr>
              <w:pStyle w:val="Tabletext"/>
              <w:framePr w:hSpace="181" w:wrap="notBeside" w:vAnchor="text" w:hAnchor="text" w:xAlign="center" w:y="1"/>
              <w:spacing w:before="60" w:after="60"/>
              <w:jc w:val="center"/>
            </w:pPr>
            <w:r>
              <w:t> </w:t>
            </w:r>
            <w:r>
              <w:t>8</w:t>
            </w:r>
          </w:p>
        </w:tc>
        <w:tc>
          <w:tcPr>
            <w:tcW w:w="2552" w:type="dxa"/>
          </w:tcPr>
          <w:p w:rsidR="00191F81" w:rsidRDefault="00191F81" w:rsidP="00C10A0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65"/>
              </w:tabs>
              <w:spacing w:before="60" w:after="60"/>
              <w:ind w:left="765" w:hanging="765"/>
              <w:jc w:val="left"/>
            </w:pPr>
            <w:r>
              <w:tab/>
              <w:t>6</w:t>
            </w:r>
            <w:r>
              <w:rPr>
                <w:rFonts w:ascii="Tms Rmn" w:hAnsi="Tms Rmn"/>
                <w:sz w:val="12"/>
              </w:rPr>
              <w:t> </w:t>
            </w:r>
            <w:r>
              <w:t>876,8</w:t>
            </w:r>
          </w:p>
        </w:tc>
        <w:tc>
          <w:tcPr>
            <w:tcW w:w="1985" w:type="dxa"/>
          </w:tcPr>
          <w:p w:rsidR="00191F81" w:rsidRDefault="00191F81" w:rsidP="00C10A0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left"/>
            </w:pPr>
            <w:r>
              <w:tab/>
              <w:t>6</w:t>
            </w:r>
            <w:r>
              <w:rPr>
                <w:rFonts w:ascii="Tms Rmn" w:hAnsi="Tms Rmn"/>
                <w:sz w:val="12"/>
              </w:rPr>
              <w:t> </w:t>
            </w:r>
            <w:r>
              <w:t>876,79375</w:t>
            </w:r>
          </w:p>
        </w:tc>
        <w:tc>
          <w:tcPr>
            <w:tcW w:w="1985" w:type="dxa"/>
          </w:tcPr>
          <w:p w:rsidR="00191F81" w:rsidRDefault="00191F81" w:rsidP="00C10A05">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spacing w:before="60" w:after="60"/>
              <w:jc w:val="left"/>
            </w:pPr>
            <w:r>
              <w:t>–</w:t>
            </w:r>
            <w:r>
              <w:rPr>
                <w:rFonts w:ascii="Tms Rmn" w:hAnsi="Tms Rmn"/>
                <w:sz w:val="4"/>
              </w:rPr>
              <w:t> </w:t>
            </w:r>
            <w:r>
              <w:t>6,5</w:t>
            </w:r>
          </w:p>
        </w:tc>
      </w:tr>
      <w:tr w:rsidR="00191F81" w:rsidTr="00C10A05">
        <w:trPr>
          <w:cantSplit/>
          <w:jc w:val="center"/>
        </w:trPr>
        <w:tc>
          <w:tcPr>
            <w:tcW w:w="1985" w:type="dxa"/>
          </w:tcPr>
          <w:p w:rsidR="00191F81" w:rsidRDefault="00191F81" w:rsidP="00C10A05">
            <w:pPr>
              <w:pStyle w:val="Tabletext"/>
              <w:framePr w:hSpace="181" w:wrap="notBeside" w:vAnchor="text" w:hAnchor="text" w:xAlign="center" w:y="1"/>
              <w:spacing w:before="60" w:after="60"/>
              <w:jc w:val="center"/>
            </w:pPr>
            <w:r>
              <w:t> </w:t>
            </w:r>
            <w:r>
              <w:t>9</w:t>
            </w:r>
          </w:p>
        </w:tc>
        <w:tc>
          <w:tcPr>
            <w:tcW w:w="2552" w:type="dxa"/>
          </w:tcPr>
          <w:p w:rsidR="00191F81" w:rsidRDefault="00191F81" w:rsidP="00C10A0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65"/>
              </w:tabs>
              <w:spacing w:before="60" w:after="60"/>
              <w:ind w:left="765" w:hanging="765"/>
              <w:jc w:val="left"/>
            </w:pPr>
            <w:r>
              <w:tab/>
              <w:t>6</w:t>
            </w:r>
            <w:r>
              <w:rPr>
                <w:rFonts w:ascii="Tms Rmn" w:hAnsi="Tms Rmn"/>
                <w:sz w:val="12"/>
              </w:rPr>
              <w:t> </w:t>
            </w:r>
            <w:r>
              <w:t>876,9</w:t>
            </w:r>
          </w:p>
        </w:tc>
        <w:tc>
          <w:tcPr>
            <w:tcW w:w="1985" w:type="dxa"/>
          </w:tcPr>
          <w:p w:rsidR="00191F81" w:rsidRDefault="00191F81" w:rsidP="00C10A0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left"/>
            </w:pPr>
            <w:r>
              <w:tab/>
              <w:t>6</w:t>
            </w:r>
            <w:r>
              <w:rPr>
                <w:rFonts w:ascii="Tms Rmn" w:hAnsi="Tms Rmn"/>
                <w:sz w:val="12"/>
              </w:rPr>
              <w:t> </w:t>
            </w:r>
            <w:r>
              <w:t>876,94375</w:t>
            </w:r>
          </w:p>
        </w:tc>
        <w:tc>
          <w:tcPr>
            <w:tcW w:w="1985" w:type="dxa"/>
          </w:tcPr>
          <w:p w:rsidR="00191F81" w:rsidRDefault="00191F81" w:rsidP="00C10A05">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spacing w:before="60" w:after="60"/>
              <w:jc w:val="left"/>
            </w:pPr>
            <w:r>
              <w:t>43,75</w:t>
            </w:r>
          </w:p>
        </w:tc>
      </w:tr>
      <w:tr w:rsidR="00191F81" w:rsidTr="00C10A05">
        <w:trPr>
          <w:cantSplit/>
          <w:jc w:val="center"/>
        </w:trPr>
        <w:tc>
          <w:tcPr>
            <w:tcW w:w="1985" w:type="dxa"/>
          </w:tcPr>
          <w:p w:rsidR="00191F81" w:rsidRDefault="00191F81" w:rsidP="00C10A05">
            <w:pPr>
              <w:pStyle w:val="Tabletext"/>
              <w:framePr w:hSpace="181" w:wrap="notBeside" w:vAnchor="text" w:hAnchor="text" w:xAlign="center" w:y="1"/>
              <w:spacing w:before="60" w:after="60"/>
              <w:jc w:val="center"/>
            </w:pPr>
            <w:r>
              <w:t>10</w:t>
            </w:r>
          </w:p>
        </w:tc>
        <w:tc>
          <w:tcPr>
            <w:tcW w:w="2552" w:type="dxa"/>
          </w:tcPr>
          <w:p w:rsidR="00191F81" w:rsidRDefault="00191F81" w:rsidP="00C10A0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65"/>
              </w:tabs>
              <w:spacing w:before="60" w:after="60"/>
              <w:ind w:left="765" w:hanging="765"/>
              <w:jc w:val="left"/>
            </w:pPr>
            <w:r>
              <w:tab/>
              <w:t>6</w:t>
            </w:r>
            <w:r>
              <w:rPr>
                <w:rFonts w:ascii="Tms Rmn" w:hAnsi="Tms Rmn"/>
                <w:sz w:val="12"/>
              </w:rPr>
              <w:t> </w:t>
            </w:r>
            <w:r>
              <w:t>877</w:t>
            </w:r>
          </w:p>
        </w:tc>
        <w:tc>
          <w:tcPr>
            <w:tcW w:w="1985" w:type="dxa"/>
          </w:tcPr>
          <w:p w:rsidR="00191F81" w:rsidRDefault="00191F81" w:rsidP="00C10A05">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left"/>
            </w:pPr>
            <w:r>
              <w:tab/>
              <w:t>6</w:t>
            </w:r>
            <w:r>
              <w:rPr>
                <w:rFonts w:ascii="Tms Rmn" w:hAnsi="Tms Rmn"/>
                <w:sz w:val="12"/>
              </w:rPr>
              <w:t> </w:t>
            </w:r>
            <w:r>
              <w:t>876,9925</w:t>
            </w:r>
          </w:p>
        </w:tc>
        <w:tc>
          <w:tcPr>
            <w:tcW w:w="1985" w:type="dxa"/>
          </w:tcPr>
          <w:p w:rsidR="00191F81" w:rsidRDefault="00191F81" w:rsidP="00C10A05">
            <w:pPr>
              <w:pStyle w:val="Tabletext"/>
              <w:framePr w:hSpace="181" w:wrap="notBeside" w:vAnchor="text" w:hAnchor="text" w:xAlign="center" w:y="1"/>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spacing w:before="60" w:after="60"/>
              <w:jc w:val="left"/>
            </w:pPr>
            <w:r>
              <w:t>–7,5</w:t>
            </w:r>
          </w:p>
        </w:tc>
      </w:tr>
    </w:tbl>
    <w:p w:rsidR="00191F81" w:rsidRDefault="00191F81" w:rsidP="00191F81">
      <w:pPr>
        <w:pStyle w:val="Tablefin"/>
        <w:rPr>
          <w:lang w:val="fr-FR"/>
        </w:rPr>
      </w:pPr>
    </w:p>
    <w:p w:rsidR="00191F81" w:rsidRDefault="00191F81" w:rsidP="00191F81">
      <w:pPr>
        <w:pStyle w:val="Heading2"/>
      </w:pPr>
      <w:r>
        <w:lastRenderedPageBreak/>
        <w:t>2.2</w:t>
      </w:r>
      <w:r>
        <w:tab/>
        <w:t xml:space="preserve">Cohérence des niveaux de puissance surfacique escomptés et mesurés </w:t>
      </w:r>
    </w:p>
    <w:p w:rsidR="00191F81" w:rsidRDefault="00191F81" w:rsidP="00191F81">
      <w:r>
        <w:t>La deuxième étape de la campagne de mesures consiste à comparer le niveau de puissance surfacique reçue à l'antenne d'essai aux fréquences de télémesure et la puissance surfacique escomptée à partir des chiffres de la Fig. 2.</w:t>
      </w:r>
    </w:p>
    <w:p w:rsidR="00191F81" w:rsidRDefault="00191F81" w:rsidP="00191F81">
      <w:r>
        <w:t>Les passages du satellite sont attendus comme indiqué au § 2.1. Entre une minute avant le passage du satellite et une minute après, les niveaux du signal reçu sont enregistrés au moyen de la fonction de gel sur maximum de l'analyseur de spectre. La courbe des niveaux du signal de télémesure reçu à l'antenne d'essai est présentée dans la Fig. 5 pour un satellite traversant le faisceau principal de l'antenne d'essai à une élévation de 40,2</w:t>
      </w:r>
      <w:r>
        <w:rPr>
          <w:rFonts w:ascii="Symbol" w:hAnsi="Symbol"/>
        </w:rPr>
        <w:t></w:t>
      </w:r>
      <w:r>
        <w:t>.</w:t>
      </w:r>
    </w:p>
    <w:p w:rsidR="00191F81" w:rsidRDefault="00191F81" w:rsidP="00191F81">
      <w:pPr>
        <w:pStyle w:val="FigureNo"/>
      </w:pPr>
      <w:r>
        <w:rPr>
          <w:noProof/>
          <w:lang w:val="en-US" w:eastAsia="zh-CN"/>
        </w:rPr>
        <w:drawing>
          <wp:inline distT="0" distB="0" distL="0" distR="0" wp14:anchorId="0AA5C231" wp14:editId="14178BE0">
            <wp:extent cx="5921375" cy="377317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21375" cy="3773170"/>
                    </a:xfrm>
                    <a:prstGeom prst="rect">
                      <a:avLst/>
                    </a:prstGeom>
                    <a:noFill/>
                    <a:ln>
                      <a:noFill/>
                    </a:ln>
                  </pic:spPr>
                </pic:pic>
              </a:graphicData>
            </a:graphic>
          </wp:inline>
        </w:drawing>
      </w:r>
    </w:p>
    <w:p w:rsidR="00191F81" w:rsidRDefault="00191F81" w:rsidP="00191F81">
      <w:pPr>
        <w:pStyle w:val="Heading2"/>
      </w:pPr>
      <w:r>
        <w:t>2.3</w:t>
      </w:r>
      <w:r>
        <w:tab/>
        <w:t>Précision des paramètres de la constellation</w:t>
      </w:r>
    </w:p>
    <w:p w:rsidR="00191F81" w:rsidRDefault="00191F81" w:rsidP="00191F81">
      <w:r>
        <w:t>La dernière étape de la procédure d'identification d'une constellation non OSG consiste à mesurer la précision de la prévision de l'heure du passage d'un satellite. L'horaire qui a été utilisé est donné dans le Tableau 8.</w:t>
      </w:r>
    </w:p>
    <w:p w:rsidR="00191F81" w:rsidRDefault="00191F81" w:rsidP="00191F81">
      <w:r>
        <w:t xml:space="preserve">Pour chaque passage de satellite, l'opérateur effectuant l'essai a enregistré l'heure à laquelle le niveau de puissance surfacique maximale apparaissait à l'écran. Dans tous les cas, la différence de temps entre l'heure prévue de passage du satellite non OSG et l'heure de la valeur de puissance surfacique la plus défavorable a été inférieure à 1,5 s. Cet écart négligeable est sans doute dû à l'approximation de l'emplacement de l'antenne d'essai et du pointage. </w:t>
      </w:r>
    </w:p>
    <w:p w:rsidR="00191F81" w:rsidRDefault="00191F81" w:rsidP="00191F81">
      <w:pPr>
        <w:pStyle w:val="TableNo"/>
      </w:pPr>
      <w:r>
        <w:lastRenderedPageBreak/>
        <w:t>TABLEAU  8</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8"/>
        <w:gridCol w:w="2268"/>
        <w:gridCol w:w="1418"/>
        <w:gridCol w:w="2155"/>
        <w:gridCol w:w="1588"/>
      </w:tblGrid>
      <w:tr w:rsidR="00191F81" w:rsidTr="00C10A05">
        <w:trPr>
          <w:jc w:val="center"/>
        </w:trPr>
        <w:tc>
          <w:tcPr>
            <w:tcW w:w="2268" w:type="dxa"/>
            <w:vAlign w:val="center"/>
          </w:tcPr>
          <w:p w:rsidR="00191F81" w:rsidRDefault="00191F81" w:rsidP="00C10A05">
            <w:pPr>
              <w:pStyle w:val="Tablehead"/>
              <w:framePr w:hSpace="181" w:wrap="notBeside" w:vAnchor="text" w:hAnchor="text" w:xAlign="center" w:y="1"/>
              <w:spacing w:before="100" w:after="100"/>
            </w:pPr>
            <w:r>
              <w:t>Pointage de</w:t>
            </w:r>
            <w:r>
              <w:br/>
              <w:t>l'antenne d'essai</w:t>
            </w:r>
            <w:r>
              <w:br/>
              <w:t>(degrés)</w:t>
            </w:r>
          </w:p>
        </w:tc>
        <w:tc>
          <w:tcPr>
            <w:tcW w:w="2268" w:type="dxa"/>
            <w:vAlign w:val="center"/>
          </w:tcPr>
          <w:p w:rsidR="00191F81" w:rsidRDefault="00191F81" w:rsidP="00C10A05">
            <w:pPr>
              <w:pStyle w:val="Tablehead"/>
              <w:framePr w:hSpace="181" w:wrap="notBeside" w:vAnchor="text" w:hAnchor="text" w:xAlign="center" w:y="1"/>
              <w:spacing w:before="100" w:after="100"/>
            </w:pPr>
            <w:r>
              <w:t>Fenêtre de précision</w:t>
            </w:r>
            <w:r>
              <w:br/>
              <w:t xml:space="preserve">(azimut </w:t>
            </w:r>
            <w:r>
              <w:rPr>
                <w:rFonts w:ascii="Symbol" w:hAnsi="Symbol"/>
              </w:rPr>
              <w:t></w:t>
            </w:r>
            <w:r>
              <w:t xml:space="preserve"> élévation)</w:t>
            </w:r>
            <w:r>
              <w:br/>
              <w:t>(degrés)</w:t>
            </w:r>
          </w:p>
        </w:tc>
        <w:tc>
          <w:tcPr>
            <w:tcW w:w="1418" w:type="dxa"/>
            <w:vAlign w:val="center"/>
          </w:tcPr>
          <w:p w:rsidR="00191F81" w:rsidRDefault="00191F81" w:rsidP="00C10A05">
            <w:pPr>
              <w:pStyle w:val="Tablehead"/>
              <w:framePr w:hSpace="181" w:wrap="notBeside" w:vAnchor="text" w:hAnchor="text" w:xAlign="center" w:y="1"/>
              <w:spacing w:before="100" w:after="100"/>
            </w:pPr>
            <w:r>
              <w:t>Numéro de passage du satellite</w:t>
            </w:r>
          </w:p>
        </w:tc>
        <w:tc>
          <w:tcPr>
            <w:tcW w:w="2155" w:type="dxa"/>
            <w:vAlign w:val="center"/>
          </w:tcPr>
          <w:p w:rsidR="00191F81" w:rsidRDefault="00191F81" w:rsidP="00C10A05">
            <w:pPr>
              <w:pStyle w:val="Tablehead"/>
              <w:framePr w:hSpace="181" w:wrap="notBeside" w:vAnchor="text" w:hAnchor="text" w:xAlign="center" w:y="1"/>
              <w:spacing w:before="100" w:after="100"/>
            </w:pPr>
            <w:r>
              <w:t>Jour du passage</w:t>
            </w:r>
          </w:p>
        </w:tc>
        <w:tc>
          <w:tcPr>
            <w:tcW w:w="1588" w:type="dxa"/>
            <w:vAlign w:val="center"/>
          </w:tcPr>
          <w:p w:rsidR="00191F81" w:rsidRDefault="00191F81" w:rsidP="00C10A05">
            <w:pPr>
              <w:pStyle w:val="Tablehead"/>
              <w:framePr w:hSpace="181" w:wrap="notBeside" w:vAnchor="text" w:hAnchor="text" w:xAlign="center" w:y="1"/>
              <w:spacing w:before="100" w:after="100"/>
            </w:pPr>
            <w:r>
              <w:t>Heure du passage</w:t>
            </w:r>
            <w:r>
              <w:br/>
              <w:t>UTR</w:t>
            </w:r>
            <w:r>
              <w:rPr>
                <w:position w:val="6"/>
                <w:sz w:val="18"/>
              </w:rPr>
              <w:t>(1)</w:t>
            </w:r>
          </w:p>
        </w:tc>
      </w:tr>
      <w:tr w:rsidR="00191F81" w:rsidTr="00C10A05">
        <w:trPr>
          <w:jc w:val="center"/>
        </w:trPr>
        <w:tc>
          <w:tcPr>
            <w:tcW w:w="2268" w:type="dxa"/>
          </w:tcPr>
          <w:p w:rsidR="00191F81" w:rsidRDefault="00191F81" w:rsidP="00C10A05">
            <w:pPr>
              <w:pStyle w:val="Tabletext"/>
              <w:framePr w:hSpace="181" w:wrap="notBeside" w:vAnchor="text" w:hAnchor="text" w:xAlign="center" w:y="1"/>
              <w:spacing w:before="60" w:after="60"/>
              <w:jc w:val="center"/>
            </w:pPr>
            <w:r>
              <w:t>Azimut: 319,3</w:t>
            </w:r>
            <w:r>
              <w:br/>
              <w:t>Elévation: 32,7</w:t>
            </w:r>
          </w:p>
        </w:tc>
        <w:tc>
          <w:tcPr>
            <w:tcW w:w="2268" w:type="dxa"/>
          </w:tcPr>
          <w:p w:rsidR="00191F81" w:rsidRDefault="00191F81" w:rsidP="00C10A05">
            <w:pPr>
              <w:pStyle w:val="Tabletext"/>
              <w:framePr w:hSpace="181" w:wrap="notBeside" w:vAnchor="text" w:hAnchor="text" w:xAlign="center" w:y="1"/>
              <w:spacing w:before="60" w:after="60"/>
              <w:jc w:val="center"/>
              <w:rPr>
                <w:lang w:val="en-GB"/>
              </w:rPr>
            </w:pPr>
            <w:r>
              <w:rPr>
                <w:rFonts w:ascii="Symbol" w:hAnsi="Symbol"/>
                <w:lang w:val="en-GB"/>
              </w:rPr>
              <w:sym w:font="Symbol" w:char="F0B1"/>
            </w:r>
            <w:r>
              <w:rPr>
                <w:rFonts w:ascii="Tms Rmn" w:hAnsi="Tms Rmn"/>
                <w:sz w:val="4"/>
                <w:lang w:val="en-GB"/>
              </w:rPr>
              <w:t> </w:t>
            </w:r>
            <w:r>
              <w:rPr>
                <w:lang w:val="en-GB"/>
              </w:rPr>
              <w:t xml:space="preserve">0,35 </w:t>
            </w:r>
            <w:r>
              <w:rPr>
                <w:rFonts w:ascii="Symbol" w:hAnsi="Symbol"/>
                <w:lang w:val="en-GB"/>
              </w:rPr>
              <w:t></w:t>
            </w:r>
            <w:r>
              <w:rPr>
                <w:lang w:val="en-GB"/>
              </w:rPr>
              <w:t xml:space="preserve"> </w:t>
            </w:r>
            <w:r>
              <w:rPr>
                <w:rFonts w:ascii="Symbol" w:hAnsi="Symbol"/>
                <w:lang w:val="en-GB"/>
              </w:rPr>
              <w:sym w:font="Symbol" w:char="F0B1"/>
            </w:r>
            <w:r>
              <w:rPr>
                <w:rFonts w:ascii="Tms Rmn" w:hAnsi="Tms Rmn"/>
                <w:sz w:val="4"/>
                <w:lang w:val="en-GB"/>
              </w:rPr>
              <w:t> </w:t>
            </w:r>
            <w:r>
              <w:rPr>
                <w:lang w:val="en-GB"/>
              </w:rPr>
              <w:t>0,2</w:t>
            </w:r>
          </w:p>
        </w:tc>
        <w:tc>
          <w:tcPr>
            <w:tcW w:w="1418" w:type="dxa"/>
          </w:tcPr>
          <w:p w:rsidR="00191F81" w:rsidRDefault="00191F81" w:rsidP="00C10A05">
            <w:pPr>
              <w:pStyle w:val="Tabletext"/>
              <w:framePr w:hSpace="181" w:wrap="notBeside" w:vAnchor="text" w:hAnchor="text" w:xAlign="center" w:y="1"/>
              <w:spacing w:before="60" w:after="60"/>
              <w:jc w:val="center"/>
            </w:pPr>
            <w:r>
              <w:t>24</w:t>
            </w:r>
            <w:r>
              <w:br/>
              <w:t>23</w:t>
            </w:r>
            <w:r>
              <w:br/>
            </w:r>
            <w:r>
              <w:t> </w:t>
            </w:r>
            <w:r>
              <w:t>3</w:t>
            </w:r>
          </w:p>
        </w:tc>
        <w:tc>
          <w:tcPr>
            <w:tcW w:w="2155" w:type="dxa"/>
          </w:tcPr>
          <w:p w:rsidR="00191F81" w:rsidRDefault="00191F81" w:rsidP="00C10A05">
            <w:pPr>
              <w:pStyle w:val="Tabletext"/>
              <w:framePr w:hSpace="181" w:wrap="notBeside" w:vAnchor="text" w:hAnchor="text" w:xAlign="center" w:y="1"/>
              <w:spacing w:before="60" w:after="60"/>
              <w:jc w:val="center"/>
            </w:pPr>
            <w:r>
              <w:t>19 janvier 2000</w:t>
            </w:r>
          </w:p>
        </w:tc>
        <w:tc>
          <w:tcPr>
            <w:tcW w:w="1588" w:type="dxa"/>
          </w:tcPr>
          <w:p w:rsidR="00191F81" w:rsidRDefault="00191F81" w:rsidP="00C10A05">
            <w:pPr>
              <w:pStyle w:val="Tabletext"/>
              <w:framePr w:hSpace="181" w:wrap="notBeside" w:vAnchor="text" w:hAnchor="text" w:xAlign="center" w:y="1"/>
              <w:spacing w:before="60" w:after="60"/>
              <w:jc w:val="center"/>
            </w:pPr>
            <w:r>
              <w:t>14:19:51,90</w:t>
            </w:r>
            <w:r>
              <w:br/>
              <w:t>17:16:22,06</w:t>
            </w:r>
            <w:r>
              <w:br/>
              <w:t>20:13:18,72</w:t>
            </w:r>
          </w:p>
        </w:tc>
      </w:tr>
      <w:tr w:rsidR="00191F81" w:rsidTr="00C10A05">
        <w:trPr>
          <w:jc w:val="center"/>
        </w:trPr>
        <w:tc>
          <w:tcPr>
            <w:tcW w:w="2268" w:type="dxa"/>
          </w:tcPr>
          <w:p w:rsidR="00191F81" w:rsidRDefault="00191F81" w:rsidP="00C10A05">
            <w:pPr>
              <w:pStyle w:val="Tabletext"/>
              <w:framePr w:hSpace="181" w:wrap="notBeside" w:vAnchor="text" w:hAnchor="text" w:xAlign="center" w:y="1"/>
              <w:spacing w:before="60" w:after="60"/>
              <w:jc w:val="center"/>
            </w:pPr>
            <w:r>
              <w:t>Azimut: 319,3</w:t>
            </w:r>
            <w:r>
              <w:br/>
              <w:t>Elévation: 40,2</w:t>
            </w:r>
          </w:p>
        </w:tc>
        <w:tc>
          <w:tcPr>
            <w:tcW w:w="2268" w:type="dxa"/>
          </w:tcPr>
          <w:p w:rsidR="00191F81" w:rsidRDefault="00191F81" w:rsidP="00C10A05">
            <w:pPr>
              <w:pStyle w:val="Tabletext"/>
              <w:framePr w:hSpace="181" w:wrap="notBeside" w:vAnchor="text" w:hAnchor="text" w:xAlign="center" w:y="1"/>
              <w:spacing w:before="60" w:after="60"/>
              <w:jc w:val="center"/>
              <w:rPr>
                <w:lang w:val="en-GB"/>
              </w:rPr>
            </w:pPr>
            <w:r>
              <w:rPr>
                <w:rFonts w:ascii="Symbol" w:hAnsi="Symbol"/>
                <w:lang w:val="en-GB"/>
              </w:rPr>
              <w:sym w:font="Symbol" w:char="F0B1"/>
            </w:r>
            <w:r>
              <w:rPr>
                <w:rFonts w:ascii="Tms Rmn" w:hAnsi="Tms Rmn"/>
                <w:sz w:val="4"/>
                <w:lang w:val="en-GB"/>
              </w:rPr>
              <w:t> </w:t>
            </w:r>
            <w:r>
              <w:rPr>
                <w:lang w:val="en-GB"/>
              </w:rPr>
              <w:t xml:space="preserve">0,35 </w:t>
            </w:r>
            <w:r>
              <w:rPr>
                <w:rFonts w:ascii="Symbol" w:hAnsi="Symbol"/>
                <w:lang w:val="en-GB"/>
              </w:rPr>
              <w:t></w:t>
            </w:r>
            <w:r>
              <w:rPr>
                <w:lang w:val="en-GB"/>
              </w:rPr>
              <w:t xml:space="preserve"> </w:t>
            </w:r>
            <w:r>
              <w:rPr>
                <w:rFonts w:ascii="Symbol" w:hAnsi="Symbol"/>
                <w:lang w:val="en-GB"/>
              </w:rPr>
              <w:sym w:font="Symbol" w:char="F0B1"/>
            </w:r>
            <w:r>
              <w:rPr>
                <w:rFonts w:ascii="Tms Rmn" w:hAnsi="Tms Rmn"/>
                <w:sz w:val="4"/>
                <w:lang w:val="en-GB"/>
              </w:rPr>
              <w:t> </w:t>
            </w:r>
            <w:r>
              <w:rPr>
                <w:lang w:val="en-GB"/>
              </w:rPr>
              <w:t>0,2</w:t>
            </w:r>
          </w:p>
        </w:tc>
        <w:tc>
          <w:tcPr>
            <w:tcW w:w="1418" w:type="dxa"/>
          </w:tcPr>
          <w:p w:rsidR="00191F81" w:rsidRDefault="00191F81" w:rsidP="00C10A05">
            <w:pPr>
              <w:pStyle w:val="Tabletext"/>
              <w:framePr w:hSpace="181" w:wrap="notBeside" w:vAnchor="text" w:hAnchor="text" w:xAlign="center" w:y="1"/>
              <w:spacing w:before="60" w:after="60"/>
              <w:jc w:val="center"/>
            </w:pPr>
            <w:r>
              <w:t>54</w:t>
            </w:r>
          </w:p>
        </w:tc>
        <w:tc>
          <w:tcPr>
            <w:tcW w:w="2155" w:type="dxa"/>
          </w:tcPr>
          <w:p w:rsidR="00191F81" w:rsidRDefault="00191F81" w:rsidP="00C10A05">
            <w:pPr>
              <w:pStyle w:val="Tabletext"/>
              <w:framePr w:hSpace="181" w:wrap="notBeside" w:vAnchor="text" w:hAnchor="text" w:xAlign="center" w:y="1"/>
              <w:spacing w:before="60" w:after="60"/>
              <w:jc w:val="center"/>
            </w:pPr>
            <w:r>
              <w:t>19 janvier 2000</w:t>
            </w:r>
          </w:p>
        </w:tc>
        <w:tc>
          <w:tcPr>
            <w:tcW w:w="1588" w:type="dxa"/>
          </w:tcPr>
          <w:p w:rsidR="00191F81" w:rsidRDefault="00191F81" w:rsidP="00C10A05">
            <w:pPr>
              <w:pStyle w:val="Tabletext"/>
              <w:framePr w:hSpace="181" w:wrap="notBeside" w:vAnchor="text" w:hAnchor="text" w:xAlign="center" w:y="1"/>
              <w:spacing w:before="60" w:after="60"/>
              <w:jc w:val="center"/>
            </w:pPr>
            <w:r>
              <w:t>17:57:15,15</w:t>
            </w:r>
          </w:p>
        </w:tc>
      </w:tr>
      <w:tr w:rsidR="00191F81" w:rsidTr="00C10A05">
        <w:trPr>
          <w:jc w:val="center"/>
        </w:trPr>
        <w:tc>
          <w:tcPr>
            <w:tcW w:w="2268" w:type="dxa"/>
          </w:tcPr>
          <w:p w:rsidR="00191F81" w:rsidRDefault="00191F81" w:rsidP="00C10A05">
            <w:pPr>
              <w:pStyle w:val="Tabletext"/>
              <w:framePr w:hSpace="181" w:wrap="notBeside" w:vAnchor="text" w:hAnchor="text" w:xAlign="center" w:y="1"/>
              <w:spacing w:before="60" w:after="60"/>
              <w:jc w:val="center"/>
            </w:pPr>
            <w:r>
              <w:t>Azimut: 319,3</w:t>
            </w:r>
            <w:r>
              <w:br/>
              <w:t>Elévation: 26,3</w:t>
            </w:r>
          </w:p>
        </w:tc>
        <w:tc>
          <w:tcPr>
            <w:tcW w:w="2268" w:type="dxa"/>
          </w:tcPr>
          <w:p w:rsidR="00191F81" w:rsidRDefault="00191F81" w:rsidP="00C10A05">
            <w:pPr>
              <w:pStyle w:val="Tabletext"/>
              <w:framePr w:hSpace="181" w:wrap="notBeside" w:vAnchor="text" w:hAnchor="text" w:xAlign="center" w:y="1"/>
              <w:spacing w:before="60" w:after="60"/>
              <w:jc w:val="center"/>
              <w:rPr>
                <w:lang w:val="en-GB"/>
              </w:rPr>
            </w:pPr>
            <w:r>
              <w:rPr>
                <w:rFonts w:ascii="Symbol" w:hAnsi="Symbol"/>
                <w:lang w:val="en-GB"/>
              </w:rPr>
              <w:sym w:font="Symbol" w:char="F0B1"/>
            </w:r>
            <w:r>
              <w:rPr>
                <w:rFonts w:ascii="Tms Rmn" w:hAnsi="Tms Rmn"/>
                <w:sz w:val="4"/>
                <w:lang w:val="en-GB"/>
              </w:rPr>
              <w:t> </w:t>
            </w:r>
            <w:r>
              <w:rPr>
                <w:lang w:val="en-GB"/>
              </w:rPr>
              <w:t xml:space="preserve">0,35 </w:t>
            </w:r>
            <w:r>
              <w:rPr>
                <w:rFonts w:ascii="Symbol" w:hAnsi="Symbol"/>
                <w:lang w:val="en-GB"/>
              </w:rPr>
              <w:t></w:t>
            </w:r>
            <w:r>
              <w:rPr>
                <w:lang w:val="en-GB"/>
              </w:rPr>
              <w:t xml:space="preserve"> </w:t>
            </w:r>
            <w:r>
              <w:rPr>
                <w:rFonts w:ascii="Symbol" w:hAnsi="Symbol"/>
                <w:lang w:val="en-GB"/>
              </w:rPr>
              <w:sym w:font="Symbol" w:char="F0B1"/>
            </w:r>
            <w:r>
              <w:rPr>
                <w:rFonts w:ascii="Tms Rmn" w:hAnsi="Tms Rmn"/>
                <w:sz w:val="4"/>
                <w:lang w:val="en-GB"/>
              </w:rPr>
              <w:t> </w:t>
            </w:r>
            <w:r>
              <w:rPr>
                <w:lang w:val="en-GB"/>
              </w:rPr>
              <w:t>0,2</w:t>
            </w:r>
          </w:p>
        </w:tc>
        <w:tc>
          <w:tcPr>
            <w:tcW w:w="1418" w:type="dxa"/>
          </w:tcPr>
          <w:p w:rsidR="00191F81" w:rsidRDefault="00191F81" w:rsidP="00C10A05">
            <w:pPr>
              <w:pStyle w:val="Tabletext"/>
              <w:framePr w:hSpace="181" w:wrap="notBeside" w:vAnchor="text" w:hAnchor="text" w:xAlign="center" w:y="1"/>
              <w:spacing w:before="60" w:after="60"/>
              <w:jc w:val="center"/>
            </w:pPr>
            <w:r>
              <w:t>55</w:t>
            </w:r>
          </w:p>
        </w:tc>
        <w:tc>
          <w:tcPr>
            <w:tcW w:w="2155" w:type="dxa"/>
          </w:tcPr>
          <w:p w:rsidR="00191F81" w:rsidRDefault="00191F81" w:rsidP="00C10A05">
            <w:pPr>
              <w:pStyle w:val="Tabletext"/>
              <w:framePr w:hSpace="181" w:wrap="notBeside" w:vAnchor="text" w:hAnchor="text" w:xAlign="center" w:y="1"/>
              <w:spacing w:before="60" w:after="60"/>
              <w:jc w:val="center"/>
            </w:pPr>
            <w:r>
              <w:t>19 janvier 2000</w:t>
            </w:r>
          </w:p>
        </w:tc>
        <w:tc>
          <w:tcPr>
            <w:tcW w:w="1588" w:type="dxa"/>
          </w:tcPr>
          <w:p w:rsidR="00191F81" w:rsidRDefault="00191F81" w:rsidP="00C10A05">
            <w:pPr>
              <w:pStyle w:val="Tabletext"/>
              <w:framePr w:hSpace="181" w:wrap="notBeside" w:vAnchor="text" w:hAnchor="text" w:xAlign="center" w:y="1"/>
              <w:spacing w:before="60" w:after="60"/>
              <w:jc w:val="center"/>
            </w:pPr>
            <w:r>
              <w:t>15:08:22,14</w:t>
            </w:r>
          </w:p>
        </w:tc>
      </w:tr>
      <w:tr w:rsidR="00191F81" w:rsidTr="00C10A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97" w:type="dxa"/>
            <w:gridSpan w:val="5"/>
          </w:tcPr>
          <w:p w:rsidR="00191F81" w:rsidRDefault="00191F81" w:rsidP="00E52202">
            <w:pPr>
              <w:pStyle w:val="Tablelegend"/>
              <w:framePr w:hSpace="181" w:wrap="notBeside" w:vAnchor="text" w:hAnchor="text" w:xAlign="center" w:y="1"/>
            </w:pPr>
            <w:r>
              <w:rPr>
                <w:position w:val="6"/>
                <w:sz w:val="18"/>
              </w:rPr>
              <w:t>(1)</w:t>
            </w:r>
            <w:r>
              <w:tab/>
              <w:t>UTR:  Référence de temps universel (</w:t>
            </w:r>
            <w:r>
              <w:rPr>
                <w:i/>
                <w:iCs/>
              </w:rPr>
              <w:t>Universal Time Reference</w:t>
            </w:r>
            <w:r>
              <w:t>). Ces heures ont été déterminées au moyen d'un logiciel de calcul des orbites disponible dans le commerce qui utilise les jeux de données d'éléments à deux lignes s'appliquant aux objets en orbite terrestre. De telles informations sont généralement accessibles au public sur un certain nombre de sites Internet.</w:t>
            </w:r>
          </w:p>
        </w:tc>
      </w:tr>
    </w:tbl>
    <w:p w:rsidR="00191F81" w:rsidRDefault="00191F81" w:rsidP="00191F81">
      <w:pPr>
        <w:pStyle w:val="Tablefin"/>
        <w:rPr>
          <w:lang w:val="fr-FR"/>
        </w:rPr>
      </w:pPr>
    </w:p>
    <w:p w:rsidR="00191F81" w:rsidRDefault="00191F81" w:rsidP="00191F81">
      <w:r>
        <w:t>Néanmoins, cette précision de 1,5 s est suffisante pour établir la corrélation entre un événement de brouillage dans une antenne de station terrienne OSG et la présence effective d'un satellite non OSG dans le lobe principal de la station terrienne OSG. Si un opérateur de système OSG constate un brouillage, il doit enregistrer l'heure à laquelle la dégradation est apparue (au centième de seconde près). Ensuite, par des moyens aisément accessibles sur l'Internet, il sera en mesure de déterminer lequel des satellites d'une constellation non OSG se trouvait dans le faisceau principal. Cette étape préparatoire à la mesure des limites opérationnelles est nécessaire pour les opérateurs de systèmes OSG cherchant à se protéger des systèmes non OSG.</w:t>
      </w:r>
    </w:p>
    <w:p w:rsidR="00A6617B" w:rsidRDefault="00A6617B" w:rsidP="00191F81"/>
    <w:p w:rsidR="00F430CC" w:rsidRDefault="00F430CC" w:rsidP="00191F81"/>
    <w:p w:rsidR="00F430CC" w:rsidRPr="00191F81" w:rsidRDefault="00F430CC" w:rsidP="00F430CC">
      <w:pPr>
        <w:jc w:val="center"/>
      </w:pPr>
      <w:r>
        <w:t>______________</w:t>
      </w:r>
    </w:p>
    <w:sectPr w:rsidR="00F430CC" w:rsidRPr="00191F81" w:rsidSect="00B10775">
      <w:headerReference w:type="even" r:id="rId24"/>
      <w:headerReference w:type="default" r:id="rId25"/>
      <w:footerReference w:type="even" r:id="rId26"/>
      <w:footerReference w:type="default" r:id="rId27"/>
      <w:footnotePr>
        <w:numFmt w:val="chicago"/>
      </w:footnotePr>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75B8" w:rsidRDefault="00B875B8">
      <w:r>
        <w:separator/>
      </w:r>
    </w:p>
  </w:endnote>
  <w:endnote w:type="continuationSeparator" w:id="0">
    <w:p w:rsidR="00B875B8" w:rsidRDefault="00B875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75B8" w:rsidRDefault="00B875B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75B8" w:rsidRDefault="00B875B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775" w:rsidRDefault="00B1077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775" w:rsidRDefault="00B107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75B8" w:rsidRDefault="00B875B8">
      <w:r>
        <w:separator/>
      </w:r>
    </w:p>
  </w:footnote>
  <w:footnote w:type="continuationSeparator" w:id="0">
    <w:p w:rsidR="00B875B8" w:rsidRDefault="00B875B8">
      <w:r>
        <w:continuationSeparator/>
      </w:r>
    </w:p>
  </w:footnote>
  <w:footnote w:id="1">
    <w:p w:rsidR="00B875B8" w:rsidRPr="00A55D0A" w:rsidRDefault="00B875B8">
      <w:pPr>
        <w:pStyle w:val="FootnoteText"/>
        <w:rPr>
          <w:lang w:val="fr-CH"/>
        </w:rPr>
      </w:pPr>
      <w:r>
        <w:rPr>
          <w:rStyle w:val="FootnoteReference"/>
        </w:rPr>
        <w:footnoteRef/>
      </w:r>
      <w:r>
        <w:t xml:space="preserve"> </w:t>
      </w:r>
      <w:r>
        <w:tab/>
        <w:t>La Commission d'études 4 des radiocommunications a apporté des modifications de forme à la présente Recommandation en septembre 2011 conformément à la Résolution UIT-R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75B8" w:rsidRDefault="00B875B8">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75B8" w:rsidRDefault="00E546C4" w:rsidP="000A40C6">
    <w:pPr>
      <w:pStyle w:val="Header"/>
      <w:ind w:right="360" w:firstLine="36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0;margin-top:0;width:597.8pt;height:847.25pt;z-index:-251658752;mso-position-horizontal-relative:page;mso-position-vertical-relative:page">
          <v:imagedata r:id="rId1" o:title="rec_F_2009"/>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75B8" w:rsidRDefault="00B875B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546C4">
      <w:rPr>
        <w:rStyle w:val="PageNumber"/>
        <w:b/>
        <w:bCs/>
        <w:noProof/>
        <w:lang w:val="en-US"/>
      </w:rPr>
      <w:t>ii</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320D86" w:rsidRPr="00320D86">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E546C4">
      <w:rPr>
        <w:b/>
        <w:bCs/>
        <w:noProof/>
      </w:rPr>
      <w:t>UIT-R  S.1527</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75B8" w:rsidRDefault="00B875B8" w:rsidP="00B875B8">
    <w:pPr>
      <w:pStyle w:val="Header"/>
    </w:pPr>
    <w:r>
      <w:tab/>
    </w:r>
    <w:r w:rsidR="00E546C4">
      <w:fldChar w:fldCharType="begin"/>
    </w:r>
    <w:r w:rsidR="00E546C4">
      <w:instrText xml:space="preserve"> DOCPROPER</w:instrText>
    </w:r>
    <w:r w:rsidR="00E546C4">
      <w:instrText xml:space="preserve">TY "Header" \* MERGEFORMAT </w:instrText>
    </w:r>
    <w:r w:rsidR="00E546C4">
      <w:fldChar w:fldCharType="separate"/>
    </w:r>
    <w:r w:rsidR="00320D86" w:rsidRPr="00320D86">
      <w:rPr>
        <w:b/>
        <w:bCs/>
      </w:rPr>
      <w:t xml:space="preserve">Rec. </w:t>
    </w:r>
    <w:r w:rsidR="00E546C4">
      <w:rPr>
        <w:b/>
        <w:bCs/>
      </w:rPr>
      <w:fldChar w:fldCharType="end"/>
    </w:r>
    <w:r>
      <w:rPr>
        <w:b/>
        <w:bCs/>
      </w:rPr>
      <w:t xml:space="preserve"> </w:t>
    </w:r>
    <w:r>
      <w:rPr>
        <w:b/>
        <w:bCs/>
      </w:rPr>
      <w:fldChar w:fldCharType="begin"/>
    </w:r>
    <w:r>
      <w:rPr>
        <w:b/>
        <w:bCs/>
      </w:rPr>
      <w:instrText>styleref href</w:instrText>
    </w:r>
    <w:r>
      <w:rPr>
        <w:b/>
        <w:bCs/>
      </w:rPr>
      <w:fldChar w:fldCharType="separate"/>
    </w:r>
    <w:r w:rsidR="00320D86">
      <w:rPr>
        <w:b/>
        <w:bCs/>
        <w:noProof/>
      </w:rPr>
      <w:t>UIT-R  S.1527</w:t>
    </w:r>
    <w:r>
      <w:rPr>
        <w:b/>
        <w:bCs/>
      </w:rPr>
      <w:fldChar w:fldCharType="end"/>
    </w:r>
    <w:r>
      <w:rPr>
        <w:b/>
        <w:bCs/>
      </w:rPr>
      <w:tab/>
      <w:t>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A50" w:rsidRDefault="00875A50">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546C4">
      <w:rPr>
        <w:rStyle w:val="PageNumber"/>
        <w:b/>
        <w:bCs/>
        <w:noProof/>
        <w:lang w:val="en-US"/>
      </w:rPr>
      <w:t>14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320D86" w:rsidRPr="00320D86">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E546C4">
      <w:rPr>
        <w:b/>
        <w:bCs/>
        <w:noProof/>
      </w:rPr>
      <w:t>UIT-R  S.1527</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A50" w:rsidRDefault="00875A50" w:rsidP="00B10775">
    <w:pPr>
      <w:pStyle w:val="Header"/>
    </w:pPr>
    <w:r>
      <w:tab/>
    </w:r>
    <w:r w:rsidR="00E546C4">
      <w:fldChar w:fldCharType="begin"/>
    </w:r>
    <w:r w:rsidR="00E546C4">
      <w:instrText xml:space="preserve"> DOCPROPERTY "Header" \* MERGEFORMAT </w:instrText>
    </w:r>
    <w:r w:rsidR="00E546C4">
      <w:fldChar w:fldCharType="separate"/>
    </w:r>
    <w:r w:rsidR="00320D86" w:rsidRPr="00320D86">
      <w:rPr>
        <w:b/>
        <w:bCs/>
      </w:rPr>
      <w:t xml:space="preserve">Rec. </w:t>
    </w:r>
    <w:r w:rsidR="00E546C4">
      <w:rPr>
        <w:b/>
        <w:bCs/>
      </w:rPr>
      <w:fldChar w:fldCharType="end"/>
    </w:r>
    <w:r>
      <w:rPr>
        <w:b/>
        <w:bCs/>
      </w:rPr>
      <w:t xml:space="preserve"> </w:t>
    </w:r>
    <w:r>
      <w:rPr>
        <w:b/>
        <w:bCs/>
      </w:rPr>
      <w:fldChar w:fldCharType="begin"/>
    </w:r>
    <w:r>
      <w:rPr>
        <w:b/>
        <w:bCs/>
      </w:rPr>
      <w:instrText>styleref href</w:instrText>
    </w:r>
    <w:r>
      <w:rPr>
        <w:b/>
        <w:bCs/>
      </w:rPr>
      <w:fldChar w:fldCharType="separate"/>
    </w:r>
    <w:r w:rsidR="00E546C4">
      <w:rPr>
        <w:b/>
        <w:bCs/>
        <w:noProof/>
      </w:rPr>
      <w:t>UIT-R  S.1527</w:t>
    </w:r>
    <w:r>
      <w:rPr>
        <w:b/>
        <w:bCs/>
      </w:rPr>
      <w:fldChar w:fldCharType="end"/>
    </w:r>
    <w:r>
      <w:rPr>
        <w:b/>
        <w:bCs/>
      </w:rPr>
      <w:tab/>
    </w:r>
    <w:r w:rsidR="00B10775">
      <w:rPr>
        <w:rStyle w:val="PageNumber"/>
        <w:b/>
        <w:bCs/>
      </w:rPr>
      <w:fldChar w:fldCharType="begin"/>
    </w:r>
    <w:r w:rsidR="00B10775">
      <w:rPr>
        <w:rStyle w:val="PageNumber"/>
        <w:b/>
        <w:bCs/>
        <w:lang w:val="en-US"/>
      </w:rPr>
      <w:instrText xml:space="preserve"> PAGE </w:instrText>
    </w:r>
    <w:r w:rsidR="00B10775">
      <w:rPr>
        <w:rStyle w:val="PageNumber"/>
        <w:b/>
        <w:bCs/>
      </w:rPr>
      <w:fldChar w:fldCharType="separate"/>
    </w:r>
    <w:r w:rsidR="00E546C4">
      <w:rPr>
        <w:rStyle w:val="PageNumber"/>
        <w:b/>
        <w:bCs/>
        <w:noProof/>
        <w:lang w:val="en-US"/>
      </w:rPr>
      <w:t>15</w:t>
    </w:r>
    <w:r w:rsidR="00B10775">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7FD3"/>
    <w:rsid w:val="000367B6"/>
    <w:rsid w:val="000A40C6"/>
    <w:rsid w:val="000B7FD3"/>
    <w:rsid w:val="00100A9E"/>
    <w:rsid w:val="0015389C"/>
    <w:rsid w:val="00191F81"/>
    <w:rsid w:val="001A64F5"/>
    <w:rsid w:val="001C23DA"/>
    <w:rsid w:val="00217EBF"/>
    <w:rsid w:val="00242AEE"/>
    <w:rsid w:val="002D76C4"/>
    <w:rsid w:val="00320D86"/>
    <w:rsid w:val="00381CFA"/>
    <w:rsid w:val="003938C6"/>
    <w:rsid w:val="0052529D"/>
    <w:rsid w:val="005A3F16"/>
    <w:rsid w:val="00607D68"/>
    <w:rsid w:val="00714476"/>
    <w:rsid w:val="007468DA"/>
    <w:rsid w:val="007A08D3"/>
    <w:rsid w:val="007B7CFD"/>
    <w:rsid w:val="00875A50"/>
    <w:rsid w:val="008A44A6"/>
    <w:rsid w:val="008C58A8"/>
    <w:rsid w:val="0096362A"/>
    <w:rsid w:val="009B6727"/>
    <w:rsid w:val="009E00A8"/>
    <w:rsid w:val="00A55D0A"/>
    <w:rsid w:val="00A6617B"/>
    <w:rsid w:val="00A94E3B"/>
    <w:rsid w:val="00AB0DC8"/>
    <w:rsid w:val="00B10775"/>
    <w:rsid w:val="00B113BC"/>
    <w:rsid w:val="00B37261"/>
    <w:rsid w:val="00B44E24"/>
    <w:rsid w:val="00B875B8"/>
    <w:rsid w:val="00C10A05"/>
    <w:rsid w:val="00C57CD4"/>
    <w:rsid w:val="00C66ACF"/>
    <w:rsid w:val="00CD0771"/>
    <w:rsid w:val="00D21BF4"/>
    <w:rsid w:val="00D26176"/>
    <w:rsid w:val="00DF4176"/>
    <w:rsid w:val="00E1541A"/>
    <w:rsid w:val="00E52202"/>
    <w:rsid w:val="00E546C4"/>
    <w:rsid w:val="00E90935"/>
    <w:rsid w:val="00F430C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91F8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paragraph" w:customStyle="1" w:styleId="AnnexNo">
    <w:name w:val="Annex_No"/>
    <w:basedOn w:val="Normal"/>
    <w:next w:val="Normal"/>
    <w:rsid w:val="00191F81"/>
    <w:pPr>
      <w:keepNext/>
      <w:keepLines/>
      <w:spacing w:before="480" w:after="80"/>
      <w:jc w:val="center"/>
    </w:pPr>
    <w:rPr>
      <w:sz w:val="28"/>
    </w:rPr>
  </w:style>
  <w:style w:type="paragraph" w:customStyle="1" w:styleId="AppendixNo">
    <w:name w:val="Appendix_No"/>
    <w:basedOn w:val="AnnexNo"/>
    <w:next w:val="Normal"/>
    <w:rsid w:val="00191F81"/>
  </w:style>
  <w:style w:type="character" w:styleId="Hyperlink">
    <w:name w:val="Hyperlink"/>
    <w:basedOn w:val="DefaultParagraphFont"/>
    <w:rsid w:val="00CD077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91F8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paragraph" w:customStyle="1" w:styleId="AnnexNo">
    <w:name w:val="Annex_No"/>
    <w:basedOn w:val="Normal"/>
    <w:next w:val="Normal"/>
    <w:rsid w:val="00191F81"/>
    <w:pPr>
      <w:keepNext/>
      <w:keepLines/>
      <w:spacing w:before="480" w:after="80"/>
      <w:jc w:val="center"/>
    </w:pPr>
    <w:rPr>
      <w:sz w:val="28"/>
    </w:rPr>
  </w:style>
  <w:style w:type="paragraph" w:customStyle="1" w:styleId="AppendixNo">
    <w:name w:val="Appendix_No"/>
    <w:basedOn w:val="AnnexNo"/>
    <w:next w:val="Normal"/>
    <w:rsid w:val="00191F81"/>
  </w:style>
  <w:style w:type="character" w:styleId="Hyperlink">
    <w:name w:val="Hyperlink"/>
    <w:basedOn w:val="DefaultParagraphFont"/>
    <w:rsid w:val="00CD077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oleObject" Target="embeddings/oleObject1.bin"/><Relationship Id="rId26" Type="http://schemas.openxmlformats.org/officeDocument/2006/relationships/footer" Target="footer3.xml"/><Relationship Id="rId3" Type="http://schemas.microsoft.com/office/2007/relationships/stylesWithEffects" Target="stylesWithEffects.xml"/><Relationship Id="rId21" Type="http://schemas.openxmlformats.org/officeDocument/2006/relationships/image" Target="media/image6.w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wmf"/><Relationship Id="rId25" Type="http://schemas.openxmlformats.org/officeDocument/2006/relationships/header" Target="header6.xml"/><Relationship Id="rId2" Type="http://schemas.openxmlformats.org/officeDocument/2006/relationships/styles" Target="styles.xml"/><Relationship Id="rId16" Type="http://schemas.openxmlformats.org/officeDocument/2006/relationships/image" Target="media/image2.wmf"/><Relationship Id="rId20" Type="http://schemas.openxmlformats.org/officeDocument/2006/relationships/image" Target="media/image5.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7.wmf"/><Relationship Id="rId28" Type="http://schemas.openxmlformats.org/officeDocument/2006/relationships/fontTable" Target="fontTable.xml"/><Relationship Id="rId10" Type="http://schemas.openxmlformats.org/officeDocument/2006/relationships/hyperlink" Target="http://www.itu.int/ITU-R/go/patents/fr"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1.xml"/><Relationship Id="rId22" Type="http://schemas.openxmlformats.org/officeDocument/2006/relationships/oleObject" Target="embeddings/oleObject2.bin"/><Relationship Id="rId27"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c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07D002-B1CA-4898-8772-4FB3917A1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342</TotalTime>
  <Pages>17</Pages>
  <Words>4340</Words>
  <Characters>24742</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29024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Brice, Corinne</dc:creator>
  <cp:lastModifiedBy>Gachet, Christelle</cp:lastModifiedBy>
  <cp:revision>35</cp:revision>
  <cp:lastPrinted>2012-02-28T14:28:00Z</cp:lastPrinted>
  <dcterms:created xsi:type="dcterms:W3CDTF">2012-02-27T13:54:00Z</dcterms:created>
  <dcterms:modified xsi:type="dcterms:W3CDTF">2013-03-21T07:19:00Z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