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EBD" w:rsidRDefault="00FD2EBD" w:rsidP="00FD2EBD"/>
    <w:p w:rsidR="00FD2EBD" w:rsidRDefault="00FD2EBD" w:rsidP="00FD2EBD"/>
    <w:p w:rsidR="00FD2EBD" w:rsidRDefault="00FD2EBD" w:rsidP="00FD2EBD"/>
    <w:p w:rsidR="00FD2EBD" w:rsidRDefault="00FD2EBD" w:rsidP="00FD2EBD"/>
    <w:p w:rsidR="00FD2EBD" w:rsidRDefault="00FD2EBD" w:rsidP="00FD2EBD"/>
    <w:p w:rsidR="00FD2EBD" w:rsidRDefault="00FD2EBD" w:rsidP="00FD2EBD"/>
    <w:p w:rsidR="00FD2EBD" w:rsidRDefault="00FD2EBD" w:rsidP="00FD2EBD"/>
    <w:p w:rsidR="00FD2EBD" w:rsidRDefault="00FD2EBD" w:rsidP="00FD2EBD"/>
    <w:p w:rsidR="00FD2EBD" w:rsidRDefault="00FD2EBD" w:rsidP="00FD2EBD"/>
    <w:p w:rsidR="00FD2EBD" w:rsidRDefault="00FD2EBD" w:rsidP="00FD2EBD"/>
    <w:p w:rsidR="00FD2EBD" w:rsidRDefault="00FD2EBD" w:rsidP="00FD2EBD"/>
    <w:p w:rsidR="00FD2EBD" w:rsidRDefault="00FD2EBD" w:rsidP="00FD2EBD"/>
    <w:tbl>
      <w:tblPr>
        <w:tblW w:w="10089" w:type="dxa"/>
        <w:tblLook w:val="01E0" w:firstRow="1" w:lastRow="1" w:firstColumn="1" w:lastColumn="1" w:noHBand="0" w:noVBand="0"/>
      </w:tblPr>
      <w:tblGrid>
        <w:gridCol w:w="10089"/>
      </w:tblGrid>
      <w:tr w:rsidR="00FD2EBD" w:rsidRPr="00A443C2" w:rsidTr="00221D51">
        <w:tc>
          <w:tcPr>
            <w:tcW w:w="10089" w:type="dxa"/>
          </w:tcPr>
          <w:p w:rsidR="00FD2EBD" w:rsidRPr="00B033C8" w:rsidRDefault="00FD2EBD" w:rsidP="00221D51">
            <w:pPr>
              <w:spacing w:before="380" w:line="280" w:lineRule="exact"/>
              <w:jc w:val="right"/>
              <w:rPr>
                <w:rFonts w:ascii="Tahoma" w:hAnsi="Tahoma" w:cs="Tahoma"/>
                <w:b/>
                <w:bCs/>
                <w:iCs/>
                <w:color w:val="243285"/>
                <w:sz w:val="32"/>
                <w:szCs w:val="32"/>
                <w:lang w:val="en-US"/>
              </w:rPr>
            </w:pPr>
          </w:p>
          <w:p w:rsidR="00FD2EBD" w:rsidRPr="00A443C2" w:rsidRDefault="00FD2EBD" w:rsidP="00221D51">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RS</w:t>
            </w:r>
            <w:r w:rsidRPr="00A443C2">
              <w:rPr>
                <w:rFonts w:ascii="Tahoma" w:hAnsi="Tahoma" w:cs="Tahoma"/>
                <w:b/>
                <w:bCs/>
                <w:iCs/>
                <w:color w:val="243285"/>
                <w:sz w:val="36"/>
                <w:szCs w:val="36"/>
              </w:rPr>
              <w:t>.</w:t>
            </w:r>
            <w:r w:rsidR="00221D51">
              <w:rPr>
                <w:rFonts w:ascii="Tahoma" w:hAnsi="Tahoma" w:cs="Tahoma"/>
                <w:b/>
                <w:bCs/>
                <w:iCs/>
                <w:color w:val="243285"/>
                <w:sz w:val="36"/>
                <w:szCs w:val="36"/>
              </w:rPr>
              <w:t>515-4</w:t>
            </w:r>
          </w:p>
          <w:p w:rsidR="00FD2EBD" w:rsidRPr="00A443C2" w:rsidRDefault="00FD2EBD" w:rsidP="00221D51">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221D51">
              <w:rPr>
                <w:rFonts w:ascii="Tahoma" w:hAnsi="Tahoma" w:cs="Tahoma"/>
                <w:b/>
                <w:bCs/>
                <w:iCs/>
                <w:color w:val="243285"/>
                <w:szCs w:val="24"/>
              </w:rPr>
              <w:t>5</w:t>
            </w:r>
            <w:r w:rsidRPr="00A443C2">
              <w:rPr>
                <w:rFonts w:ascii="Tahoma" w:hAnsi="Tahoma" w:cs="Tahoma"/>
                <w:b/>
                <w:bCs/>
                <w:iCs/>
                <w:color w:val="243285"/>
                <w:szCs w:val="24"/>
              </w:rPr>
              <w:t>/</w:t>
            </w:r>
            <w:r>
              <w:rPr>
                <w:rFonts w:ascii="Tahoma" w:hAnsi="Tahoma" w:cs="Tahoma"/>
                <w:b/>
                <w:bCs/>
                <w:iCs/>
                <w:color w:val="243285"/>
                <w:szCs w:val="24"/>
              </w:rPr>
              <w:t>20</w:t>
            </w:r>
            <w:r w:rsidR="00221D51">
              <w:rPr>
                <w:rFonts w:ascii="Tahoma" w:hAnsi="Tahoma" w:cs="Tahoma"/>
                <w:b/>
                <w:bCs/>
                <w:iCs/>
                <w:color w:val="243285"/>
                <w:szCs w:val="24"/>
              </w:rPr>
              <w:t>03</w:t>
            </w:r>
            <w:r w:rsidRPr="00A443C2">
              <w:rPr>
                <w:rFonts w:ascii="Tahoma" w:hAnsi="Tahoma" w:cs="Tahoma"/>
                <w:b/>
                <w:bCs/>
                <w:iCs/>
                <w:color w:val="243285"/>
                <w:szCs w:val="24"/>
              </w:rPr>
              <w:t>)</w:t>
            </w:r>
          </w:p>
        </w:tc>
      </w:tr>
      <w:tr w:rsidR="00FD2EBD" w:rsidRPr="00F54FBD" w:rsidTr="00221D51">
        <w:tc>
          <w:tcPr>
            <w:tcW w:w="10089" w:type="dxa"/>
          </w:tcPr>
          <w:p w:rsidR="00FD2EBD" w:rsidRDefault="00FD2EBD" w:rsidP="00221D51">
            <w:pPr>
              <w:spacing w:before="80" w:line="500" w:lineRule="exact"/>
              <w:jc w:val="right"/>
              <w:rPr>
                <w:rFonts w:ascii="Tahoma" w:hAnsi="Tahoma" w:cs="Tahoma"/>
                <w:b/>
                <w:bCs/>
                <w:iCs/>
                <w:color w:val="243285"/>
                <w:sz w:val="44"/>
                <w:szCs w:val="44"/>
              </w:rPr>
            </w:pPr>
          </w:p>
          <w:p w:rsidR="00FD2EBD" w:rsidRDefault="00221D51" w:rsidP="00221D51">
            <w:pPr>
              <w:spacing w:before="80" w:line="500" w:lineRule="exact"/>
              <w:jc w:val="right"/>
              <w:rPr>
                <w:rFonts w:ascii="Tahoma" w:hAnsi="Tahoma" w:cs="Tahoma"/>
                <w:b/>
                <w:bCs/>
                <w:iCs/>
                <w:color w:val="243285"/>
                <w:sz w:val="44"/>
                <w:szCs w:val="44"/>
              </w:rPr>
            </w:pPr>
            <w:r w:rsidRPr="00EA4CB4">
              <w:rPr>
                <w:rFonts w:ascii="Tahoma" w:hAnsi="Tahoma" w:cs="Tahoma"/>
                <w:b/>
                <w:bCs/>
                <w:color w:val="243285"/>
                <w:sz w:val="44"/>
                <w:szCs w:val="44"/>
              </w:rPr>
              <w:t>Bandes de fréquences et largeurs de bande utilisées</w:t>
            </w:r>
            <w:r>
              <w:rPr>
                <w:rFonts w:ascii="Tahoma" w:hAnsi="Tahoma" w:cs="Tahoma"/>
                <w:b/>
                <w:bCs/>
                <w:color w:val="243285"/>
                <w:sz w:val="44"/>
                <w:szCs w:val="44"/>
              </w:rPr>
              <w:t xml:space="preserve"> </w:t>
            </w:r>
            <w:r w:rsidRPr="00EA4CB4">
              <w:rPr>
                <w:rFonts w:ascii="Tahoma" w:hAnsi="Tahoma" w:cs="Tahoma"/>
                <w:b/>
                <w:bCs/>
                <w:color w:val="243285"/>
                <w:sz w:val="44"/>
                <w:szCs w:val="44"/>
              </w:rPr>
              <w:t xml:space="preserve">pour la télédétection </w:t>
            </w:r>
            <w:r>
              <w:rPr>
                <w:rFonts w:ascii="Tahoma" w:hAnsi="Tahoma" w:cs="Tahoma"/>
                <w:b/>
                <w:bCs/>
                <w:color w:val="243285"/>
                <w:sz w:val="44"/>
                <w:szCs w:val="44"/>
              </w:rPr>
              <w:br/>
            </w:r>
            <w:r w:rsidRPr="00EA4CB4">
              <w:rPr>
                <w:rFonts w:ascii="Tahoma" w:hAnsi="Tahoma" w:cs="Tahoma"/>
                <w:b/>
                <w:bCs/>
                <w:color w:val="243285"/>
                <w:sz w:val="44"/>
                <w:szCs w:val="44"/>
              </w:rPr>
              <w:t>passive par satellite</w:t>
            </w:r>
          </w:p>
          <w:p w:rsidR="00FD2EBD" w:rsidRPr="00F54FBD" w:rsidRDefault="00FD2EBD" w:rsidP="00221D51">
            <w:pPr>
              <w:spacing w:before="80" w:line="500" w:lineRule="exact"/>
              <w:jc w:val="right"/>
              <w:rPr>
                <w:rFonts w:ascii="Tahoma" w:hAnsi="Tahoma" w:cs="Tahoma"/>
                <w:b/>
                <w:bCs/>
                <w:iCs/>
                <w:color w:val="243285"/>
                <w:sz w:val="44"/>
                <w:szCs w:val="44"/>
              </w:rPr>
            </w:pPr>
          </w:p>
        </w:tc>
      </w:tr>
      <w:tr w:rsidR="00FD2EBD" w:rsidRPr="00F54FBD" w:rsidTr="00221D51">
        <w:tc>
          <w:tcPr>
            <w:tcW w:w="10089" w:type="dxa"/>
          </w:tcPr>
          <w:p w:rsidR="00FD2EBD" w:rsidRPr="00F54FBD" w:rsidRDefault="00FD2EBD" w:rsidP="00221D51">
            <w:pPr>
              <w:spacing w:before="80" w:line="280" w:lineRule="exact"/>
              <w:ind w:right="640"/>
              <w:rPr>
                <w:rFonts w:ascii="Tahoma" w:hAnsi="Tahoma" w:cs="Tahoma"/>
                <w:b/>
                <w:bCs/>
                <w:iCs/>
                <w:color w:val="243285"/>
                <w:sz w:val="32"/>
                <w:szCs w:val="32"/>
              </w:rPr>
            </w:pPr>
          </w:p>
          <w:p w:rsidR="00FD2EBD" w:rsidRPr="00F54FBD" w:rsidRDefault="00FD2EBD" w:rsidP="00221D51">
            <w:pPr>
              <w:spacing w:before="80" w:line="280" w:lineRule="exact"/>
              <w:ind w:right="640"/>
              <w:rPr>
                <w:rFonts w:ascii="Tahoma" w:hAnsi="Tahoma" w:cs="Tahoma"/>
                <w:b/>
                <w:bCs/>
                <w:iCs/>
                <w:color w:val="243285"/>
                <w:sz w:val="32"/>
                <w:szCs w:val="32"/>
              </w:rPr>
            </w:pPr>
          </w:p>
          <w:p w:rsidR="00FD2EBD" w:rsidRPr="00F54FBD" w:rsidRDefault="00FD2EBD" w:rsidP="00221D51">
            <w:pPr>
              <w:spacing w:before="80" w:after="180" w:line="360" w:lineRule="exact"/>
              <w:ind w:right="720"/>
              <w:rPr>
                <w:rFonts w:ascii="Tahoma" w:hAnsi="Tahoma" w:cs="Tahoma"/>
                <w:b/>
                <w:bCs/>
                <w:iCs/>
                <w:color w:val="243285"/>
                <w:sz w:val="36"/>
                <w:szCs w:val="36"/>
              </w:rPr>
            </w:pPr>
          </w:p>
          <w:p w:rsidR="00FD2EBD" w:rsidRPr="00F54FBD" w:rsidRDefault="00FD2EBD" w:rsidP="00221D5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RS</w:t>
            </w:r>
          </w:p>
          <w:p w:rsidR="00FD2EBD" w:rsidRPr="00F54FBD" w:rsidRDefault="00FD2EBD" w:rsidP="00221D5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Systèmes de télédétection</w:t>
            </w:r>
          </w:p>
        </w:tc>
      </w:tr>
    </w:tbl>
    <w:p w:rsidR="00FD2EBD" w:rsidRPr="00F54FBD" w:rsidRDefault="00FD2EBD" w:rsidP="00FD2EBD">
      <w:pPr>
        <w:spacing w:before="80"/>
        <w:rPr>
          <w:i/>
          <w:sz w:val="22"/>
        </w:rPr>
      </w:pPr>
    </w:p>
    <w:p w:rsidR="00FD2EBD" w:rsidRPr="00F54FBD" w:rsidRDefault="00FD2EBD" w:rsidP="00FD2EBD">
      <w:pPr>
        <w:spacing w:before="80"/>
        <w:rPr>
          <w:i/>
          <w:sz w:val="22"/>
        </w:rPr>
      </w:pPr>
    </w:p>
    <w:p w:rsidR="00FD2EBD" w:rsidRPr="00F54FBD" w:rsidRDefault="00FD2EBD" w:rsidP="00FD2EBD">
      <w:pPr>
        <w:spacing w:before="80"/>
        <w:rPr>
          <w:i/>
          <w:sz w:val="22"/>
        </w:rPr>
      </w:pPr>
    </w:p>
    <w:p w:rsidR="00FD2EBD" w:rsidRPr="00F54FBD" w:rsidRDefault="00FD2EBD" w:rsidP="00FD2EBD">
      <w:pPr>
        <w:spacing w:before="80"/>
        <w:rPr>
          <w:i/>
          <w:sz w:val="22"/>
        </w:rPr>
      </w:pPr>
    </w:p>
    <w:p w:rsidR="00FD2EBD" w:rsidRPr="00F54FBD" w:rsidRDefault="00FD2EBD" w:rsidP="00FD2EBD">
      <w:pPr>
        <w:spacing w:before="80"/>
        <w:rPr>
          <w:i/>
          <w:sz w:val="22"/>
        </w:rPr>
      </w:pPr>
    </w:p>
    <w:p w:rsidR="00FD2EBD" w:rsidRPr="00F54FBD" w:rsidRDefault="00FD2EBD" w:rsidP="00FD2EBD">
      <w:pPr>
        <w:spacing w:before="80"/>
        <w:rPr>
          <w:i/>
          <w:sz w:val="22"/>
        </w:rPr>
      </w:pPr>
    </w:p>
    <w:p w:rsidR="00FD2EBD" w:rsidRPr="00F54FBD" w:rsidRDefault="00FD2EBD" w:rsidP="00FD2EBD">
      <w:pPr>
        <w:pStyle w:val="Equation"/>
        <w:tabs>
          <w:tab w:val="clear" w:pos="4820"/>
          <w:tab w:val="clear" w:pos="9639"/>
          <w:tab w:val="left" w:pos="1191"/>
          <w:tab w:val="left" w:pos="1588"/>
          <w:tab w:val="left" w:pos="1985"/>
        </w:tabs>
        <w:rPr>
          <w:rFonts w:ascii="Palatino Linotype" w:hAnsi="Palatino Linotype"/>
        </w:rPr>
        <w:sectPr w:rsidR="00FD2EBD" w:rsidRPr="00F54FBD">
          <w:headerReference w:type="even" r:id="rId8"/>
          <w:headerReference w:type="default" r:id="rId9"/>
          <w:pgSz w:w="11907" w:h="16840" w:code="9"/>
          <w:pgMar w:top="1089" w:right="1089" w:bottom="284" w:left="1089" w:header="567" w:footer="284" w:gutter="0"/>
          <w:pgNumType w:start="1"/>
          <w:cols w:space="720"/>
        </w:sectPr>
      </w:pPr>
    </w:p>
    <w:p w:rsidR="00FD2EBD" w:rsidRPr="00F54FBD" w:rsidRDefault="00FD2EBD" w:rsidP="00FD2E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D2EBD" w:rsidRPr="00F54FBD" w:rsidRDefault="00FD2EBD" w:rsidP="00FD2EB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D2EBD" w:rsidRPr="00F54FBD" w:rsidRDefault="00FD2EBD" w:rsidP="00FD2E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FD2EBD" w:rsidRPr="00E44CBB" w:rsidRDefault="00FD2EBD" w:rsidP="00FD2EBD">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FD2EBD" w:rsidRPr="00E44CBB" w:rsidRDefault="00FD2EBD" w:rsidP="00FD2EBD">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D2EBD" w:rsidRPr="004D4CF4" w:rsidRDefault="00FD2EBD" w:rsidP="00FD2EBD">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D2EBD" w:rsidRPr="009454F8" w:rsidTr="00221D51">
        <w:tc>
          <w:tcPr>
            <w:tcW w:w="9360" w:type="dxa"/>
            <w:gridSpan w:val="2"/>
          </w:tcPr>
          <w:p w:rsidR="00FD2EBD" w:rsidRPr="009454F8" w:rsidRDefault="00FD2EBD" w:rsidP="00221D5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D2EBD" w:rsidRPr="009454F8" w:rsidRDefault="00FD2EBD" w:rsidP="00221D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FD2EBD" w:rsidRPr="00036EE3" w:rsidTr="00221D51">
        <w:tc>
          <w:tcPr>
            <w:tcW w:w="1140" w:type="dxa"/>
            <w:tcBorders>
              <w:bottom w:val="nil"/>
            </w:tcBorders>
          </w:tcPr>
          <w:p w:rsidR="00FD2EBD" w:rsidRPr="00614CC6" w:rsidRDefault="00FD2EBD" w:rsidP="00221D51">
            <w:pPr>
              <w:spacing w:before="90" w:after="100"/>
              <w:ind w:left="57"/>
              <w:rPr>
                <w:b/>
                <w:bCs/>
                <w:sz w:val="20"/>
                <w:lang w:val="en-US"/>
              </w:rPr>
            </w:pPr>
            <w:r w:rsidRPr="00614CC6">
              <w:rPr>
                <w:b/>
                <w:bCs/>
                <w:sz w:val="20"/>
                <w:lang w:val="en-US"/>
              </w:rPr>
              <w:t>Séries</w:t>
            </w:r>
          </w:p>
        </w:tc>
        <w:tc>
          <w:tcPr>
            <w:tcW w:w="8220" w:type="dxa"/>
            <w:tcBorders>
              <w:bottom w:val="nil"/>
            </w:tcBorders>
          </w:tcPr>
          <w:p w:rsidR="00FD2EBD" w:rsidRPr="00614CC6" w:rsidRDefault="00FD2EBD" w:rsidP="00221D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D2EBD" w:rsidRPr="005E427C" w:rsidTr="00221D51">
        <w:tc>
          <w:tcPr>
            <w:tcW w:w="1140" w:type="dxa"/>
            <w:tcBorders>
              <w:top w:val="nil"/>
              <w:bottom w:val="nil"/>
            </w:tcBorders>
            <w:shd w:val="clear" w:color="auto" w:fill="auto"/>
          </w:tcPr>
          <w:p w:rsidR="00FD2EBD" w:rsidRPr="005E427C" w:rsidRDefault="00FD2EBD" w:rsidP="00221D51">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D2EBD" w:rsidRPr="005E427C" w:rsidRDefault="00FD2EBD" w:rsidP="00221D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D2EBD" w:rsidRPr="009454F8" w:rsidTr="00221D51">
        <w:tc>
          <w:tcPr>
            <w:tcW w:w="1140" w:type="dxa"/>
            <w:tcBorders>
              <w:top w:val="nil"/>
              <w:bottom w:val="nil"/>
            </w:tcBorders>
          </w:tcPr>
          <w:p w:rsidR="00FD2EBD" w:rsidRPr="00614CC6" w:rsidRDefault="00FD2EBD" w:rsidP="00221D51">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D2EBD" w:rsidRPr="00614CC6" w:rsidRDefault="00FD2EBD" w:rsidP="00221D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D2EBD" w:rsidRPr="00E80F1D" w:rsidTr="00221D51">
        <w:tc>
          <w:tcPr>
            <w:tcW w:w="1140" w:type="dxa"/>
            <w:tcBorders>
              <w:top w:val="nil"/>
              <w:bottom w:val="nil"/>
            </w:tcBorders>
            <w:shd w:val="clear" w:color="auto" w:fill="auto"/>
          </w:tcPr>
          <w:p w:rsidR="00FD2EBD" w:rsidRPr="00E80F1D" w:rsidRDefault="00FD2EBD" w:rsidP="00221D51">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D2EBD" w:rsidRPr="00E80F1D" w:rsidRDefault="00FD2EBD" w:rsidP="00221D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D2EBD" w:rsidRPr="00ED2695" w:rsidTr="00221D51">
        <w:tc>
          <w:tcPr>
            <w:tcW w:w="1140" w:type="dxa"/>
            <w:tcBorders>
              <w:top w:val="nil"/>
              <w:bottom w:val="nil"/>
            </w:tcBorders>
            <w:shd w:val="clear" w:color="auto" w:fill="auto"/>
          </w:tcPr>
          <w:p w:rsidR="00FD2EBD" w:rsidRPr="00614CC6" w:rsidRDefault="00FD2EBD" w:rsidP="00221D51">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D2EBD" w:rsidRPr="00614CC6" w:rsidRDefault="00FD2EBD" w:rsidP="00221D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D2EBD" w:rsidRPr="00DE5EA2" w:rsidTr="00221D51">
        <w:tc>
          <w:tcPr>
            <w:tcW w:w="1140" w:type="dxa"/>
            <w:tcBorders>
              <w:top w:val="nil"/>
              <w:bottom w:val="nil"/>
            </w:tcBorders>
            <w:shd w:val="clear" w:color="auto" w:fill="auto"/>
          </w:tcPr>
          <w:p w:rsidR="00FD2EBD" w:rsidRPr="00DE5EA2" w:rsidRDefault="00FD2EBD" w:rsidP="00221D51">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D2EBD" w:rsidRPr="00DE5EA2" w:rsidRDefault="00FD2EBD" w:rsidP="00221D5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D2EBD" w:rsidRPr="00B21066" w:rsidTr="00221D51">
        <w:tc>
          <w:tcPr>
            <w:tcW w:w="1140" w:type="dxa"/>
            <w:tcBorders>
              <w:top w:val="nil"/>
              <w:bottom w:val="nil"/>
            </w:tcBorders>
            <w:shd w:val="clear" w:color="auto" w:fill="auto"/>
          </w:tcPr>
          <w:p w:rsidR="00FD2EBD" w:rsidRPr="00B21066" w:rsidRDefault="00FD2EBD" w:rsidP="00221D51">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D2EBD" w:rsidRPr="00B21066" w:rsidRDefault="00FD2EBD" w:rsidP="00221D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D2EBD" w:rsidRPr="00EC361D" w:rsidTr="00221D51">
        <w:tc>
          <w:tcPr>
            <w:tcW w:w="1140" w:type="dxa"/>
            <w:tcBorders>
              <w:top w:val="nil"/>
              <w:bottom w:val="nil"/>
            </w:tcBorders>
            <w:shd w:val="clear" w:color="auto" w:fill="auto"/>
          </w:tcPr>
          <w:p w:rsidR="00FD2EBD" w:rsidRPr="00EC361D" w:rsidRDefault="00FD2EBD" w:rsidP="00221D51">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D2EBD" w:rsidRPr="00EC361D" w:rsidRDefault="00FD2EBD" w:rsidP="00221D51">
            <w:pPr>
              <w:spacing w:before="30" w:after="30"/>
              <w:jc w:val="left"/>
              <w:rPr>
                <w:sz w:val="20"/>
                <w:lang w:val="fr-CH"/>
              </w:rPr>
            </w:pPr>
            <w:r w:rsidRPr="00EC361D">
              <w:rPr>
                <w:sz w:val="20"/>
              </w:rPr>
              <w:t>Propagation des ondes radioélectriques</w:t>
            </w:r>
          </w:p>
        </w:tc>
      </w:tr>
      <w:tr w:rsidR="00FD2EBD" w:rsidRPr="004822EF" w:rsidTr="00221D51">
        <w:tc>
          <w:tcPr>
            <w:tcW w:w="1140" w:type="dxa"/>
            <w:tcBorders>
              <w:top w:val="nil"/>
              <w:bottom w:val="nil"/>
            </w:tcBorders>
            <w:shd w:val="clear" w:color="auto" w:fill="auto"/>
          </w:tcPr>
          <w:p w:rsidR="00FD2EBD" w:rsidRPr="004822EF" w:rsidRDefault="00FD2EBD" w:rsidP="00221D51">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FD2EBD" w:rsidRPr="004822EF" w:rsidRDefault="00FD2EBD" w:rsidP="00221D5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D2EBD" w:rsidRPr="004822EF" w:rsidTr="00221D51">
        <w:tc>
          <w:tcPr>
            <w:tcW w:w="1140" w:type="dxa"/>
            <w:tcBorders>
              <w:top w:val="nil"/>
              <w:bottom w:val="nil"/>
            </w:tcBorders>
            <w:shd w:val="clear" w:color="auto" w:fill="F3F3F3"/>
          </w:tcPr>
          <w:p w:rsidR="00FD2EBD" w:rsidRPr="004822EF" w:rsidRDefault="00FD2EBD" w:rsidP="00221D51">
            <w:pPr>
              <w:spacing w:before="30" w:after="30"/>
              <w:ind w:left="57"/>
              <w:jc w:val="left"/>
              <w:rPr>
                <w:b/>
                <w:bCs/>
                <w:color w:val="000080"/>
                <w:sz w:val="20"/>
                <w:lang w:val="en-US"/>
              </w:rPr>
            </w:pPr>
            <w:r w:rsidRPr="004822EF">
              <w:rPr>
                <w:b/>
                <w:bCs/>
                <w:color w:val="000080"/>
                <w:sz w:val="20"/>
                <w:lang w:val="en-US"/>
              </w:rPr>
              <w:t>RS</w:t>
            </w:r>
          </w:p>
        </w:tc>
        <w:tc>
          <w:tcPr>
            <w:tcW w:w="8220" w:type="dxa"/>
            <w:tcBorders>
              <w:top w:val="nil"/>
              <w:bottom w:val="nil"/>
            </w:tcBorders>
            <w:shd w:val="clear" w:color="auto" w:fill="F3F3F3"/>
          </w:tcPr>
          <w:p w:rsidR="00FD2EBD" w:rsidRPr="004822EF" w:rsidRDefault="00FD2EBD" w:rsidP="00221D5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4822EF">
              <w:rPr>
                <w:b/>
                <w:bCs/>
                <w:color w:val="000080"/>
                <w:sz w:val="20"/>
              </w:rPr>
              <w:t>Systèmes de télédétection</w:t>
            </w:r>
          </w:p>
        </w:tc>
      </w:tr>
      <w:tr w:rsidR="00FD2EBD" w:rsidRPr="00036EE3" w:rsidTr="00221D51">
        <w:tc>
          <w:tcPr>
            <w:tcW w:w="1140" w:type="dxa"/>
            <w:tcBorders>
              <w:top w:val="nil"/>
            </w:tcBorders>
          </w:tcPr>
          <w:p w:rsidR="00FD2EBD" w:rsidRPr="00614CC6" w:rsidRDefault="00FD2EBD" w:rsidP="00221D51">
            <w:pPr>
              <w:spacing w:before="30" w:after="30"/>
              <w:ind w:left="57"/>
              <w:jc w:val="left"/>
              <w:rPr>
                <w:b/>
                <w:bCs/>
                <w:sz w:val="20"/>
                <w:lang w:val="en-US"/>
              </w:rPr>
            </w:pPr>
            <w:r w:rsidRPr="00614CC6">
              <w:rPr>
                <w:b/>
                <w:bCs/>
                <w:sz w:val="20"/>
                <w:lang w:val="en-US"/>
              </w:rPr>
              <w:t>S</w:t>
            </w:r>
          </w:p>
        </w:tc>
        <w:tc>
          <w:tcPr>
            <w:tcW w:w="8220" w:type="dxa"/>
            <w:tcBorders>
              <w:top w:val="nil"/>
            </w:tcBorders>
          </w:tcPr>
          <w:p w:rsidR="00FD2EBD" w:rsidRPr="00614CC6" w:rsidRDefault="00FD2EBD" w:rsidP="00221D51">
            <w:pPr>
              <w:spacing w:before="30" w:after="30"/>
              <w:jc w:val="left"/>
              <w:rPr>
                <w:sz w:val="20"/>
                <w:lang w:val="en-US"/>
              </w:rPr>
            </w:pPr>
            <w:r w:rsidRPr="00614CC6">
              <w:rPr>
                <w:sz w:val="20"/>
              </w:rPr>
              <w:t>Service fixe par satellite</w:t>
            </w:r>
          </w:p>
        </w:tc>
      </w:tr>
      <w:tr w:rsidR="00FD2EBD" w:rsidRPr="00036EE3" w:rsidTr="00221D51">
        <w:tc>
          <w:tcPr>
            <w:tcW w:w="1140" w:type="dxa"/>
          </w:tcPr>
          <w:p w:rsidR="00FD2EBD" w:rsidRPr="00614CC6" w:rsidRDefault="00FD2EBD" w:rsidP="00221D51">
            <w:pPr>
              <w:spacing w:before="30" w:after="30"/>
              <w:ind w:left="57"/>
              <w:jc w:val="left"/>
              <w:rPr>
                <w:b/>
                <w:bCs/>
                <w:sz w:val="20"/>
                <w:lang w:val="en-US"/>
              </w:rPr>
            </w:pPr>
            <w:r w:rsidRPr="00614CC6">
              <w:rPr>
                <w:b/>
                <w:bCs/>
                <w:sz w:val="20"/>
                <w:lang w:val="en-US"/>
              </w:rPr>
              <w:t>SA</w:t>
            </w:r>
          </w:p>
        </w:tc>
        <w:tc>
          <w:tcPr>
            <w:tcW w:w="8220" w:type="dxa"/>
          </w:tcPr>
          <w:p w:rsidR="00FD2EBD" w:rsidRPr="00614CC6" w:rsidRDefault="00FD2EBD" w:rsidP="00221D51">
            <w:pPr>
              <w:spacing w:before="30" w:after="30"/>
              <w:jc w:val="left"/>
              <w:rPr>
                <w:sz w:val="20"/>
                <w:lang w:val="en-US"/>
              </w:rPr>
            </w:pPr>
            <w:r w:rsidRPr="00614CC6">
              <w:rPr>
                <w:sz w:val="20"/>
              </w:rPr>
              <w:t>Applications spatiales et météorologie</w:t>
            </w:r>
          </w:p>
        </w:tc>
      </w:tr>
      <w:tr w:rsidR="00FD2EBD" w:rsidRPr="00614CC6" w:rsidTr="00221D51">
        <w:tc>
          <w:tcPr>
            <w:tcW w:w="1140" w:type="dxa"/>
          </w:tcPr>
          <w:p w:rsidR="00FD2EBD" w:rsidRPr="00614CC6" w:rsidRDefault="00FD2EBD" w:rsidP="00221D51">
            <w:pPr>
              <w:spacing w:before="30" w:after="30"/>
              <w:ind w:left="57"/>
              <w:jc w:val="left"/>
              <w:rPr>
                <w:b/>
                <w:bCs/>
                <w:sz w:val="20"/>
                <w:lang w:val="en-US"/>
              </w:rPr>
            </w:pPr>
            <w:r w:rsidRPr="00614CC6">
              <w:rPr>
                <w:b/>
                <w:bCs/>
                <w:sz w:val="20"/>
                <w:lang w:val="en-US"/>
              </w:rPr>
              <w:t>SF</w:t>
            </w:r>
          </w:p>
        </w:tc>
        <w:tc>
          <w:tcPr>
            <w:tcW w:w="8220" w:type="dxa"/>
          </w:tcPr>
          <w:p w:rsidR="00FD2EBD" w:rsidRPr="00614CC6" w:rsidRDefault="00FD2EBD" w:rsidP="00221D51">
            <w:pPr>
              <w:spacing w:before="30" w:after="30"/>
              <w:jc w:val="left"/>
              <w:rPr>
                <w:sz w:val="20"/>
              </w:rPr>
            </w:pPr>
            <w:r w:rsidRPr="00614CC6">
              <w:rPr>
                <w:sz w:val="20"/>
              </w:rPr>
              <w:t>Partage des fréquences et coordination entre les systèmes du service fixe par satellite et du service fixe</w:t>
            </w:r>
          </w:p>
        </w:tc>
      </w:tr>
      <w:tr w:rsidR="00FD2EBD" w:rsidRPr="00036EE3" w:rsidTr="00221D51">
        <w:tc>
          <w:tcPr>
            <w:tcW w:w="1140" w:type="dxa"/>
            <w:shd w:val="clear" w:color="auto" w:fill="auto"/>
          </w:tcPr>
          <w:p w:rsidR="00FD2EBD" w:rsidRPr="00592F9F" w:rsidRDefault="00FD2EBD" w:rsidP="00221D51">
            <w:pPr>
              <w:spacing w:before="30" w:after="30"/>
              <w:ind w:left="57"/>
              <w:jc w:val="left"/>
              <w:rPr>
                <w:b/>
                <w:bCs/>
                <w:sz w:val="20"/>
                <w:lang w:val="en-US"/>
              </w:rPr>
            </w:pPr>
            <w:r w:rsidRPr="00592F9F">
              <w:rPr>
                <w:b/>
                <w:bCs/>
                <w:sz w:val="20"/>
                <w:lang w:val="en-US"/>
              </w:rPr>
              <w:t>SM</w:t>
            </w:r>
          </w:p>
        </w:tc>
        <w:tc>
          <w:tcPr>
            <w:tcW w:w="8220" w:type="dxa"/>
            <w:shd w:val="clear" w:color="auto" w:fill="auto"/>
          </w:tcPr>
          <w:p w:rsidR="00FD2EBD" w:rsidRPr="00592F9F" w:rsidRDefault="00FD2EBD" w:rsidP="00221D51">
            <w:pPr>
              <w:spacing w:before="30" w:after="30"/>
              <w:jc w:val="left"/>
              <w:rPr>
                <w:sz w:val="20"/>
                <w:lang w:val="en-US"/>
              </w:rPr>
            </w:pPr>
            <w:r w:rsidRPr="00592F9F">
              <w:rPr>
                <w:sz w:val="20"/>
              </w:rPr>
              <w:t>Gestion du spectre</w:t>
            </w:r>
          </w:p>
        </w:tc>
      </w:tr>
      <w:tr w:rsidR="00FD2EBD" w:rsidRPr="00036EE3" w:rsidTr="00221D51">
        <w:tc>
          <w:tcPr>
            <w:tcW w:w="1140" w:type="dxa"/>
          </w:tcPr>
          <w:p w:rsidR="00FD2EBD" w:rsidRPr="00614CC6" w:rsidRDefault="00FD2EBD" w:rsidP="00221D51">
            <w:pPr>
              <w:spacing w:before="30" w:after="30"/>
              <w:ind w:left="57"/>
              <w:jc w:val="left"/>
              <w:rPr>
                <w:b/>
                <w:bCs/>
                <w:sz w:val="20"/>
                <w:lang w:val="en-US"/>
              </w:rPr>
            </w:pPr>
            <w:r w:rsidRPr="00614CC6">
              <w:rPr>
                <w:b/>
                <w:bCs/>
                <w:sz w:val="20"/>
                <w:lang w:val="en-US"/>
              </w:rPr>
              <w:t>SNG</w:t>
            </w:r>
          </w:p>
        </w:tc>
        <w:tc>
          <w:tcPr>
            <w:tcW w:w="8220" w:type="dxa"/>
          </w:tcPr>
          <w:p w:rsidR="00FD2EBD" w:rsidRPr="00614CC6" w:rsidRDefault="00FD2EBD" w:rsidP="00221D51">
            <w:pPr>
              <w:spacing w:before="30" w:after="30"/>
              <w:jc w:val="left"/>
              <w:rPr>
                <w:sz w:val="20"/>
                <w:lang w:val="en-US"/>
              </w:rPr>
            </w:pPr>
            <w:r w:rsidRPr="00614CC6">
              <w:rPr>
                <w:sz w:val="20"/>
              </w:rPr>
              <w:t>Reportage d'actualités par satellite</w:t>
            </w:r>
          </w:p>
        </w:tc>
      </w:tr>
      <w:tr w:rsidR="00FD2EBD" w:rsidRPr="00614CC6" w:rsidTr="00221D51">
        <w:tc>
          <w:tcPr>
            <w:tcW w:w="1140" w:type="dxa"/>
          </w:tcPr>
          <w:p w:rsidR="00FD2EBD" w:rsidRPr="00614CC6" w:rsidRDefault="00FD2EBD" w:rsidP="00221D51">
            <w:pPr>
              <w:spacing w:before="30" w:after="30"/>
              <w:ind w:left="57"/>
              <w:jc w:val="left"/>
              <w:rPr>
                <w:b/>
                <w:bCs/>
                <w:sz w:val="20"/>
                <w:lang w:val="en-US"/>
              </w:rPr>
            </w:pPr>
            <w:r w:rsidRPr="00614CC6">
              <w:rPr>
                <w:b/>
                <w:bCs/>
                <w:sz w:val="20"/>
                <w:lang w:val="en-US"/>
              </w:rPr>
              <w:t>TF</w:t>
            </w:r>
          </w:p>
        </w:tc>
        <w:tc>
          <w:tcPr>
            <w:tcW w:w="8220" w:type="dxa"/>
          </w:tcPr>
          <w:p w:rsidR="00FD2EBD" w:rsidRPr="00614CC6" w:rsidRDefault="00FD2EBD" w:rsidP="00221D51">
            <w:pPr>
              <w:spacing w:before="30" w:after="30"/>
              <w:jc w:val="left"/>
              <w:rPr>
                <w:sz w:val="20"/>
              </w:rPr>
            </w:pPr>
            <w:r w:rsidRPr="00614CC6">
              <w:rPr>
                <w:sz w:val="20"/>
              </w:rPr>
              <w:t>Emissions de fréquences étalon et de signaux horaires</w:t>
            </w:r>
          </w:p>
        </w:tc>
      </w:tr>
      <w:tr w:rsidR="00FD2EBD" w:rsidRPr="00036EE3" w:rsidTr="00221D51">
        <w:tc>
          <w:tcPr>
            <w:tcW w:w="1140" w:type="dxa"/>
          </w:tcPr>
          <w:p w:rsidR="00FD2EBD" w:rsidRPr="00614CC6" w:rsidRDefault="00FD2EBD" w:rsidP="00221D51">
            <w:pPr>
              <w:spacing w:before="30" w:after="30"/>
              <w:ind w:left="57"/>
              <w:jc w:val="left"/>
              <w:rPr>
                <w:b/>
                <w:bCs/>
                <w:sz w:val="20"/>
                <w:lang w:val="en-US"/>
              </w:rPr>
            </w:pPr>
            <w:r w:rsidRPr="00614CC6">
              <w:rPr>
                <w:b/>
                <w:bCs/>
                <w:sz w:val="20"/>
                <w:lang w:val="en-US"/>
              </w:rPr>
              <w:t>V</w:t>
            </w:r>
          </w:p>
        </w:tc>
        <w:tc>
          <w:tcPr>
            <w:tcW w:w="8220" w:type="dxa"/>
          </w:tcPr>
          <w:p w:rsidR="00FD2EBD" w:rsidRPr="00614CC6" w:rsidRDefault="00FD2EBD" w:rsidP="00221D51">
            <w:pPr>
              <w:spacing w:before="30" w:after="140"/>
              <w:jc w:val="left"/>
              <w:rPr>
                <w:sz w:val="20"/>
                <w:lang w:val="en-US"/>
              </w:rPr>
            </w:pPr>
            <w:r w:rsidRPr="00614CC6">
              <w:rPr>
                <w:sz w:val="20"/>
              </w:rPr>
              <w:t>Vocabulaire et sujets associés</w:t>
            </w:r>
          </w:p>
        </w:tc>
      </w:tr>
    </w:tbl>
    <w:p w:rsidR="00FD2EBD" w:rsidRPr="00036EE3" w:rsidRDefault="00FD2EBD" w:rsidP="00FD2EBD">
      <w:pPr>
        <w:spacing w:before="0"/>
        <w:jc w:val="center"/>
        <w:rPr>
          <w:sz w:val="20"/>
          <w:lang w:val="en-US"/>
        </w:rPr>
      </w:pPr>
    </w:p>
    <w:p w:rsidR="00FD2EBD" w:rsidRPr="00036EE3" w:rsidRDefault="00FD2EBD" w:rsidP="00FD2EBD">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D2EBD" w:rsidRPr="00756B4D" w:rsidTr="00221D51">
        <w:tc>
          <w:tcPr>
            <w:tcW w:w="9360" w:type="dxa"/>
          </w:tcPr>
          <w:p w:rsidR="00FD2EBD" w:rsidRPr="00756B4D" w:rsidRDefault="00FD2EBD" w:rsidP="00221D51">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FD2EBD" w:rsidRPr="00756B4D" w:rsidRDefault="00FD2EBD" w:rsidP="00FD2EBD">
      <w:pPr>
        <w:spacing w:before="0"/>
        <w:jc w:val="center"/>
        <w:rPr>
          <w:sz w:val="22"/>
        </w:rPr>
      </w:pPr>
    </w:p>
    <w:p w:rsidR="00FD2EBD" w:rsidRPr="00614CC6" w:rsidRDefault="00FD2EBD" w:rsidP="00FD2EBD">
      <w:pPr>
        <w:spacing w:before="100"/>
        <w:jc w:val="right"/>
        <w:rPr>
          <w:i/>
          <w:iCs/>
          <w:sz w:val="20"/>
        </w:rPr>
      </w:pPr>
      <w:r w:rsidRPr="00614CC6">
        <w:rPr>
          <w:i/>
          <w:iCs/>
          <w:sz w:val="20"/>
        </w:rPr>
        <w:t>Publication électronique</w:t>
      </w:r>
    </w:p>
    <w:p w:rsidR="00FD2EBD" w:rsidRPr="00614CC6" w:rsidRDefault="00FD2EBD" w:rsidP="00FD2EBD">
      <w:pPr>
        <w:spacing w:before="0"/>
        <w:jc w:val="right"/>
        <w:rPr>
          <w:sz w:val="20"/>
        </w:rPr>
      </w:pPr>
      <w:r w:rsidRPr="00614CC6">
        <w:rPr>
          <w:sz w:val="20"/>
        </w:rPr>
        <w:t>Genève, 20</w:t>
      </w:r>
      <w:r>
        <w:rPr>
          <w:sz w:val="20"/>
        </w:rPr>
        <w:t>11</w:t>
      </w:r>
    </w:p>
    <w:p w:rsidR="00FD2EBD" w:rsidRPr="00614CC6" w:rsidRDefault="00FD2EBD" w:rsidP="00FD2EBD">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11</w:t>
      </w:r>
    </w:p>
    <w:p w:rsidR="00FD2EBD" w:rsidRPr="00614CC6" w:rsidRDefault="00FD2EBD" w:rsidP="00FD2EBD">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FD2EBD" w:rsidRPr="00614CC6" w:rsidRDefault="00FD2EBD" w:rsidP="00FD2EBD">
      <w:pPr>
        <w:spacing w:before="160"/>
        <w:rPr>
          <w:i/>
          <w:sz w:val="20"/>
          <w:highlight w:val="yellow"/>
        </w:rPr>
        <w:sectPr w:rsidR="00FD2EBD" w:rsidRPr="00614CC6" w:rsidSect="00221D51">
          <w:headerReference w:type="even" r:id="rId12"/>
          <w:headerReference w:type="default" r:id="rId13"/>
          <w:pgSz w:w="11907" w:h="16834" w:code="9"/>
          <w:pgMar w:top="1418" w:right="1134" w:bottom="1134" w:left="1134" w:header="720" w:footer="482" w:gutter="0"/>
          <w:pgNumType w:fmt="lowerRoman" w:start="2"/>
          <w:cols w:space="720"/>
        </w:sectPr>
      </w:pPr>
    </w:p>
    <w:p w:rsidR="00FD2EBD" w:rsidRPr="00756B4D" w:rsidRDefault="00FD2EBD" w:rsidP="00221D51">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RS</w:t>
      </w:r>
      <w:r w:rsidRPr="00756B4D">
        <w:rPr>
          <w:rStyle w:val="href"/>
        </w:rPr>
        <w:t>.</w:t>
      </w:r>
      <w:r w:rsidR="00221D51">
        <w:rPr>
          <w:rStyle w:val="href"/>
        </w:rPr>
        <w:t>515-4</w:t>
      </w:r>
      <w:r w:rsidR="00486266">
        <w:rPr>
          <w:rStyle w:val="FootnoteReference"/>
        </w:rPr>
        <w:footnoteReference w:id="1"/>
      </w:r>
    </w:p>
    <w:p w:rsidR="00221D51" w:rsidRDefault="00221D51" w:rsidP="00221D51">
      <w:pPr>
        <w:pStyle w:val="Rectitle"/>
        <w:rPr>
          <w:lang w:val="fr-CH"/>
        </w:rPr>
      </w:pPr>
      <w:r>
        <w:rPr>
          <w:lang w:val="fr-CH"/>
        </w:rPr>
        <w:t>Bandes de fréquences et largeurs de bande utilisées</w:t>
      </w:r>
      <w:r>
        <w:rPr>
          <w:lang w:val="fr-CH"/>
        </w:rPr>
        <w:br/>
        <w:t>pour la télédétection passive par satellite</w:t>
      </w:r>
    </w:p>
    <w:p w:rsidR="00221D51" w:rsidRDefault="00221D51" w:rsidP="00221D51">
      <w:pPr>
        <w:pStyle w:val="Recdate"/>
        <w:rPr>
          <w:lang w:val="fr-CH"/>
        </w:rPr>
      </w:pPr>
    </w:p>
    <w:p w:rsidR="00221D51" w:rsidRDefault="00221D51" w:rsidP="00221D51">
      <w:pPr>
        <w:pStyle w:val="Recdate"/>
        <w:rPr>
          <w:lang w:val="fr-CH"/>
        </w:rPr>
      </w:pPr>
      <w:r>
        <w:rPr>
          <w:lang w:val="fr-CH"/>
        </w:rPr>
        <w:t>(1978-1990-1994-1997-2003)</w:t>
      </w:r>
    </w:p>
    <w:p w:rsidR="00221D51" w:rsidRDefault="00221D51" w:rsidP="00221D51">
      <w:pPr>
        <w:rPr>
          <w:lang w:val="fr-CH"/>
        </w:rPr>
      </w:pPr>
    </w:p>
    <w:p w:rsidR="00221D51" w:rsidRDefault="00221D51" w:rsidP="00221D51">
      <w:pPr>
        <w:pStyle w:val="Normalaftertitle"/>
        <w:rPr>
          <w:lang w:val="fr-CH"/>
        </w:rPr>
      </w:pPr>
      <w:r>
        <w:rPr>
          <w:lang w:val="fr-CH"/>
        </w:rPr>
        <w:t>L'Assemblée des radiocommunications de l'UIT,</w:t>
      </w:r>
    </w:p>
    <w:p w:rsidR="00221D51" w:rsidRDefault="00221D51" w:rsidP="00221D51">
      <w:pPr>
        <w:pStyle w:val="Call"/>
        <w:rPr>
          <w:lang w:val="fr-CH"/>
        </w:rPr>
      </w:pPr>
      <w:r>
        <w:rPr>
          <w:lang w:val="fr-CH"/>
        </w:rPr>
        <w:t>considérant</w:t>
      </w:r>
    </w:p>
    <w:p w:rsidR="00221D51" w:rsidRDefault="00221D51" w:rsidP="00221D51">
      <w:pPr>
        <w:rPr>
          <w:lang w:val="fr-CH"/>
        </w:rPr>
      </w:pPr>
      <w:r>
        <w:rPr>
          <w:lang w:val="fr-CH"/>
        </w:rPr>
        <w:t>a)</w:t>
      </w:r>
      <w:r>
        <w:rPr>
          <w:lang w:val="fr-CH"/>
        </w:rPr>
        <w:tab/>
        <w:t>que les données relatives à l'environnement terrestre revêtent une importance croissante;</w:t>
      </w:r>
    </w:p>
    <w:p w:rsidR="00221D51" w:rsidRDefault="00221D51" w:rsidP="00221D51">
      <w:pPr>
        <w:rPr>
          <w:lang w:val="fr-CH"/>
        </w:rPr>
      </w:pPr>
      <w:r>
        <w:rPr>
          <w:lang w:val="fr-CH"/>
        </w:rPr>
        <w:t>b)</w:t>
      </w:r>
      <w:r>
        <w:rPr>
          <w:lang w:val="fr-CH"/>
        </w:rPr>
        <w:tab/>
        <w:t>que les satellites d'exploration de la Terre et les satellites météorologiques utilisent des télédétecteurs passifs hyperfréquences dans certaines bandes de fréquences attribuées à cette fin dans le Règlement des radiocommunications (RR);</w:t>
      </w:r>
    </w:p>
    <w:p w:rsidR="00221D51" w:rsidRDefault="00221D51" w:rsidP="00221D51">
      <w:pPr>
        <w:rPr>
          <w:lang w:val="fr-CH"/>
        </w:rPr>
      </w:pPr>
      <w:r>
        <w:rPr>
          <w:lang w:val="fr-CH"/>
        </w:rPr>
        <w:t>c)</w:t>
      </w:r>
      <w:r>
        <w:rPr>
          <w:lang w:val="fr-CH"/>
        </w:rPr>
        <w:tab/>
        <w:t>que certaines de ces bandes sont également attribuées à d'autres services de radiocommunication;</w:t>
      </w:r>
    </w:p>
    <w:p w:rsidR="00221D51" w:rsidRDefault="00221D51" w:rsidP="00221D51">
      <w:pPr>
        <w:rPr>
          <w:lang w:val="fr-CH"/>
        </w:rPr>
      </w:pPr>
      <w:r>
        <w:rPr>
          <w:lang w:val="fr-CH"/>
        </w:rPr>
        <w:t>d)</w:t>
      </w:r>
      <w:r>
        <w:rPr>
          <w:lang w:val="fr-CH"/>
        </w:rPr>
        <w:tab/>
        <w:t>qu'une protection contre les brouillages, sur certaines fréquences, est essentielle pour la télédétection passive et ses applications;</w:t>
      </w:r>
    </w:p>
    <w:p w:rsidR="00221D51" w:rsidRDefault="00221D51" w:rsidP="00221D51">
      <w:pPr>
        <w:rPr>
          <w:lang w:val="fr-CH"/>
        </w:rPr>
      </w:pPr>
      <w:r>
        <w:rPr>
          <w:lang w:val="fr-CH"/>
        </w:rPr>
        <w:t>e)</w:t>
      </w:r>
      <w:r>
        <w:rPr>
          <w:lang w:val="fr-CH"/>
        </w:rPr>
        <w:tab/>
        <w:t>que, pour les mesures de raies spectrales connues, certaines bandes, sur des fréquences spécifiques, ont une importance particulière;</w:t>
      </w:r>
    </w:p>
    <w:p w:rsidR="00221D51" w:rsidRDefault="00221D51" w:rsidP="00221D51">
      <w:pPr>
        <w:rPr>
          <w:lang w:val="fr-CH"/>
        </w:rPr>
      </w:pPr>
      <w:r>
        <w:rPr>
          <w:lang w:val="fr-CH"/>
        </w:rPr>
        <w:t>f)</w:t>
      </w:r>
      <w:r>
        <w:rPr>
          <w:lang w:val="fr-CH"/>
        </w:rPr>
        <w:tab/>
        <w:t>que, pour d'autres types de mesures de télédétection passive, on utilise un certain nombre de bandes de fréquences, dont les positions exactes dans le spectre n'ont pas une importance critique pour autant que les fréquences centrales soient plus ou moins uniformément réparties dans le spectre;</w:t>
      </w:r>
    </w:p>
    <w:p w:rsidR="00221D51" w:rsidRDefault="00221D51" w:rsidP="00221D51">
      <w:pPr>
        <w:rPr>
          <w:lang w:val="fr-CH"/>
        </w:rPr>
      </w:pPr>
      <w:r>
        <w:rPr>
          <w:lang w:val="fr-CH"/>
        </w:rPr>
        <w:t>g)</w:t>
      </w:r>
      <w:r>
        <w:rPr>
          <w:lang w:val="fr-CH"/>
        </w:rPr>
        <w:tab/>
        <w:t>que les fréquences et les largeurs de bande préférées et essentielles doivent être indiquées;</w:t>
      </w:r>
    </w:p>
    <w:p w:rsidR="00221D51" w:rsidRDefault="00221D51" w:rsidP="00221D51">
      <w:pPr>
        <w:rPr>
          <w:lang w:val="fr-CH"/>
        </w:rPr>
      </w:pPr>
      <w:r>
        <w:rPr>
          <w:lang w:val="fr-CH"/>
        </w:rPr>
        <w:t>h)</w:t>
      </w:r>
      <w:r>
        <w:rPr>
          <w:lang w:val="fr-CH"/>
        </w:rPr>
        <w:tab/>
        <w:t xml:space="preserve">qu'il sera possible dans l'avenir de déterminer de nouvelles fréquences grâce auxquelles de nouveaux types de mesures pourront être effectués, </w:t>
      </w:r>
    </w:p>
    <w:p w:rsidR="00221D51" w:rsidRDefault="00221D51" w:rsidP="00221D51">
      <w:pPr>
        <w:pStyle w:val="Call"/>
        <w:rPr>
          <w:lang w:val="fr-CH"/>
        </w:rPr>
      </w:pPr>
      <w:r>
        <w:rPr>
          <w:lang w:val="fr-CH"/>
        </w:rPr>
        <w:t>recommande</w:t>
      </w:r>
    </w:p>
    <w:p w:rsidR="00221D51" w:rsidRDefault="00221D51" w:rsidP="00221D51">
      <w:pPr>
        <w:rPr>
          <w:lang w:val="fr-CH"/>
        </w:rPr>
      </w:pPr>
      <w:r>
        <w:rPr>
          <w:b/>
          <w:lang w:val="fr-CH"/>
        </w:rPr>
        <w:t>1</w:t>
      </w:r>
      <w:r>
        <w:rPr>
          <w:lang w:val="fr-CH"/>
        </w:rPr>
        <w:tab/>
        <w:t>d'utiliser, pour la télédétection passive par satellite, les bandes de fréquences et les largeurs de bande indiquées dans le Tableau 1 pour la télédétection passive appliquée au milieu terrestre, au milieu marin et à l'atmosphère, compte tenu des Annexes 1 et 2.</w:t>
      </w:r>
    </w:p>
    <w:p w:rsidR="00221D51" w:rsidRDefault="00221D51" w:rsidP="00221D51">
      <w:pPr>
        <w:pStyle w:val="TableNo"/>
        <w:rPr>
          <w:lang w:val="fr-CH"/>
        </w:rPr>
      </w:pPr>
      <w:r>
        <w:rPr>
          <w:lang w:val="fr-CH"/>
        </w:rPr>
        <w:br w:type="page"/>
      </w:r>
    </w:p>
    <w:p w:rsidR="00221D51" w:rsidRDefault="00221D51" w:rsidP="00221D51">
      <w:pPr>
        <w:pStyle w:val="TableNo"/>
        <w:rPr>
          <w:lang w:val="fr-CH"/>
        </w:rPr>
      </w:pPr>
      <w:r>
        <w:rPr>
          <w:lang w:val="fr-CH"/>
        </w:rPr>
        <w:lastRenderedPageBreak/>
        <w:t>TABLEAU  1</w:t>
      </w:r>
    </w:p>
    <w:p w:rsidR="00221D51" w:rsidRDefault="00221D51" w:rsidP="00221D51">
      <w:pPr>
        <w:pStyle w:val="Tabletitle"/>
        <w:rPr>
          <w:lang w:val="fr-CH"/>
        </w:rPr>
      </w:pPr>
      <w:r>
        <w:rPr>
          <w:lang w:val="fr-CH"/>
        </w:rPr>
        <w:t>Conditions requises pour la télédétection passive de données environnementales</w:t>
      </w:r>
    </w:p>
    <w:tbl>
      <w:tblPr>
        <w:tblW w:w="96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9"/>
        <w:gridCol w:w="1358"/>
        <w:gridCol w:w="1827"/>
        <w:gridCol w:w="3706"/>
        <w:gridCol w:w="1189"/>
      </w:tblGrid>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head"/>
              <w:rPr>
                <w:lang w:val="fr-CH"/>
              </w:rPr>
            </w:pPr>
            <w:r>
              <w:rPr>
                <w:lang w:val="fr-CH"/>
              </w:rPr>
              <w:t>Bande(s) de fréquences</w:t>
            </w:r>
            <w:r>
              <w:rPr>
                <w:vertAlign w:val="superscript"/>
                <w:lang w:val="fr-CH"/>
              </w:rPr>
              <w:t>(1)</w:t>
            </w:r>
            <w:r>
              <w:rPr>
                <w:lang w:val="fr-CH"/>
              </w:rPr>
              <w:t xml:space="preserve"> (GHz)</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head"/>
              <w:rPr>
                <w:lang w:val="fr-CH"/>
              </w:rPr>
            </w:pPr>
            <w:r>
              <w:rPr>
                <w:lang w:val="fr-CH"/>
              </w:rPr>
              <w:t>Largeur de bande totale nécessaire (MHz)</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head"/>
              <w:rPr>
                <w:lang w:val="fr-CH"/>
              </w:rPr>
            </w:pPr>
            <w:r>
              <w:rPr>
                <w:lang w:val="fr-CH"/>
              </w:rPr>
              <w:t xml:space="preserve">Raie(s) spectrale(s) </w:t>
            </w:r>
            <w:r>
              <w:rPr>
                <w:lang w:val="fr-CH"/>
              </w:rPr>
              <w:br/>
              <w:t xml:space="preserve">ou fréquence centrale </w:t>
            </w:r>
            <w:r>
              <w:rPr>
                <w:lang w:val="fr-CH"/>
              </w:rPr>
              <w:br/>
              <w:t>(GHz)</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head"/>
              <w:rPr>
                <w:lang w:val="fr-CH"/>
              </w:rPr>
            </w:pPr>
            <w:r>
              <w:rPr>
                <w:lang w:val="fr-CH"/>
              </w:rPr>
              <w:t>Mesure</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head"/>
              <w:rPr>
                <w:vertAlign w:val="superscript"/>
                <w:lang w:val="fr-CH"/>
              </w:rPr>
            </w:pPr>
            <w:r>
              <w:rPr>
                <w:lang w:val="fr-CH"/>
              </w:rPr>
              <w:t xml:space="preserve">Mode de balayage </w:t>
            </w:r>
            <w:r>
              <w:rPr>
                <w:lang w:val="fr-CH"/>
              </w:rPr>
              <w:br/>
              <w:t>N, L</w:t>
            </w:r>
            <w:r>
              <w:rPr>
                <w:vertAlign w:val="superscript"/>
                <w:lang w:val="fr-CH"/>
              </w:rPr>
              <w:t>(2)</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1,37-1,4s,</w:t>
            </w:r>
            <w:r>
              <w:rPr>
                <w:lang w:val="fr-CH"/>
              </w:rPr>
              <w:br/>
              <w:t>1,4-1,427P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es-ES"/>
              </w:rPr>
              <w:t>100</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1,4</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rPr>
                <w:lang w:val="fr-CH"/>
              </w:rPr>
            </w:pPr>
            <w:r>
              <w:rPr>
                <w:lang w:val="fr-CH"/>
              </w:rPr>
              <w:t>Humidité du sol, salinité de l'océan, température de la surface de la mer, indice de végétation</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n-US"/>
              </w:rPr>
            </w:pPr>
            <w:r>
              <w:rPr>
                <w:lang w:val="en-US"/>
              </w:rPr>
              <w:t>N</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en-US"/>
              </w:rPr>
            </w:pPr>
            <w:r>
              <w:rPr>
                <w:lang w:val="en-US"/>
              </w:rPr>
              <w:t xml:space="preserve">2,64-2,655s, </w:t>
            </w:r>
            <w:r>
              <w:rPr>
                <w:lang w:val="en-US"/>
              </w:rPr>
              <w:br/>
              <w:t xml:space="preserve">2,655-2,69s, </w:t>
            </w:r>
            <w:r>
              <w:rPr>
                <w:lang w:val="en-US"/>
              </w:rPr>
              <w:br/>
              <w:t>2,69-2,7P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en-US"/>
              </w:rPr>
            </w:pPr>
            <w:r>
              <w:rPr>
                <w:lang w:val="es-ES"/>
              </w:rPr>
              <w:t>45</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2,7</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rPr>
                <w:lang w:val="fr-CH"/>
              </w:rPr>
            </w:pPr>
            <w:r>
              <w:rPr>
                <w:lang w:val="fr-CH"/>
              </w:rPr>
              <w:t>Salinité de l'océan, humidité du sol, indice de végétation</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n-US"/>
              </w:rPr>
            </w:pPr>
            <w:r>
              <w:rPr>
                <w:lang w:val="en-US"/>
              </w:rPr>
              <w:t>N</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en-US"/>
              </w:rPr>
            </w:pPr>
            <w:r>
              <w:rPr>
                <w:lang w:val="en-US"/>
              </w:rPr>
              <w:t>4,2-4,4s,</w:t>
            </w:r>
            <w:r>
              <w:rPr>
                <w:lang w:val="en-US"/>
              </w:rPr>
              <w:br/>
              <w:t>4,95-4,99s</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es-ES"/>
              </w:rPr>
              <w:t>200</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4,3</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rPr>
                <w:lang w:val="fr-CH"/>
              </w:rPr>
            </w:pPr>
            <w:r>
              <w:rPr>
                <w:lang w:val="fr-CH"/>
              </w:rPr>
              <w:t>Température de la surface de la mer</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N</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6,425-7,25</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es-ES"/>
              </w:rPr>
              <w:t>200</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6,85</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rPr>
                <w:lang w:val="fr-CH"/>
              </w:rPr>
            </w:pPr>
            <w:r>
              <w:rPr>
                <w:lang w:val="fr-CH"/>
              </w:rPr>
              <w:t xml:space="preserve">Température de la surface de la mer </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N</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10,6-10,68p,</w:t>
            </w:r>
            <w:r>
              <w:rPr>
                <w:lang w:val="fr-CH"/>
              </w:rPr>
              <w:br/>
              <w:t>10,68-10,7P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es-ES"/>
              </w:rPr>
              <w:t>100</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10,65</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rPr>
                <w:spacing w:val="-2"/>
                <w:lang w:val="fr-CH"/>
              </w:rPr>
            </w:pPr>
            <w:r>
              <w:rPr>
                <w:spacing w:val="-2"/>
                <w:lang w:val="fr-CH"/>
              </w:rPr>
              <w:t>Taux de pluie, teneur en eau de fonte des neiges, morphologie glaciaire, état de la mer, vitesse du vent océanique</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n-US"/>
              </w:rPr>
            </w:pPr>
            <w:r>
              <w:rPr>
                <w:lang w:val="en-US"/>
              </w:rPr>
              <w:t>N</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en-US"/>
              </w:rPr>
            </w:pPr>
            <w:r>
              <w:rPr>
                <w:lang w:val="en-US"/>
              </w:rPr>
              <w:t xml:space="preserve">15,2-15,35s, </w:t>
            </w:r>
            <w:r>
              <w:rPr>
                <w:lang w:val="en-US"/>
              </w:rPr>
              <w:br/>
              <w:t>15,35-15,4P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es-ES"/>
              </w:rPr>
              <w:t>200</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15,3</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rPr>
                <w:lang w:val="fr-CH"/>
              </w:rPr>
            </w:pPr>
            <w:r>
              <w:rPr>
                <w:lang w:val="fr-CH"/>
              </w:rPr>
              <w:t>Vapeur d'eau, taux de pluie</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N</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18,6-18,8p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200</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18,7</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rPr>
                <w:lang w:val="fr-CH"/>
              </w:rPr>
            </w:pPr>
            <w:r>
              <w:rPr>
                <w:lang w:val="fr-CH"/>
              </w:rPr>
              <w:t>Taux de pluie, état de la mer, glace sur la mer, vapeur d'eau, vitesse du vent océanique, pouvoir émissif et humidité du sol</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N</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21,2-21,4p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es-ES"/>
              </w:rPr>
              <w:t>200</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21,3</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rPr>
                <w:lang w:val="fr-CH"/>
              </w:rPr>
            </w:pPr>
            <w:r>
              <w:rPr>
                <w:lang w:val="fr-CH"/>
              </w:rPr>
              <w:t>Vapeur d'eau, eau à l'état liquide</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N</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22,21-22,5p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es-ES"/>
              </w:rPr>
              <w:t>300</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22,235</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rPr>
                <w:lang w:val="fr-CH"/>
              </w:rPr>
            </w:pPr>
            <w:r>
              <w:rPr>
                <w:lang w:val="fr-CH"/>
              </w:rPr>
              <w:t xml:space="preserve">Vapeur d'eau, eau à l'état liquide </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N</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23,6-24P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es-ES"/>
              </w:rPr>
              <w:t>400</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23,8</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rPr>
                <w:spacing w:val="-2"/>
                <w:lang w:val="fr-CH"/>
              </w:rPr>
            </w:pPr>
            <w:r>
              <w:rPr>
                <w:spacing w:val="-2"/>
                <w:lang w:val="fr-CH"/>
              </w:rPr>
              <w:t xml:space="preserve">Vapeur d'eau, eau à l'état liquide, canal associé pour le sondage atmosphérique </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N</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 xml:space="preserve">31,3-31,5P, </w:t>
            </w:r>
            <w:r>
              <w:rPr>
                <w:lang w:val="fr-CH"/>
              </w:rPr>
              <w:br/>
              <w:t>31,5-31,8p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es-ES"/>
              </w:rPr>
              <w:t>500</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31,4</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rPr>
                <w:lang w:val="fr-CH"/>
              </w:rPr>
            </w:pPr>
            <w:r>
              <w:rPr>
                <w:lang w:val="fr-CH"/>
              </w:rPr>
              <w:t>Glace sur la mer, vapeur d'eau, nappes de pétrole répandu, nuages, eau à l'état liquide, température de surface, fenêtre de référence pour gamme 50-60 GHz</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N</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36-37p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1</w:t>
            </w:r>
            <w:r>
              <w:rPr>
                <w:rFonts w:ascii="Tms Rmn" w:hAnsi="Tms Rmn"/>
                <w:sz w:val="12"/>
                <w:lang w:val="fr-CH"/>
              </w:rPr>
              <w:t> </w:t>
            </w:r>
            <w:r>
              <w:rPr>
                <w:lang w:val="es-ES"/>
              </w:rPr>
              <w:t>000</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36,5</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rPr>
                <w:lang w:val="fr-CH"/>
              </w:rPr>
            </w:pPr>
            <w:r>
              <w:rPr>
                <w:lang w:val="fr-CH"/>
              </w:rPr>
              <w:t>Taux de pluie, neige, glace sur la mer, nuages</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N</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50,2-50,4P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es-ES"/>
              </w:rPr>
              <w:t>200</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50,3</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rPr>
                <w:lang w:val="fr-CH"/>
              </w:rPr>
            </w:pPr>
            <w:r>
              <w:rPr>
                <w:lang w:val="fr-CH"/>
              </w:rPr>
              <w:t>Fenêtre de référence pour le profil de température atmosphérique (tempéra</w:t>
            </w:r>
            <w:r>
              <w:rPr>
                <w:lang w:val="fr-CH"/>
              </w:rPr>
              <w:softHyphen/>
              <w:t>ture de surface)</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52,6-54,25P,</w:t>
            </w:r>
            <w:r>
              <w:rPr>
                <w:lang w:val="fr-CH"/>
              </w:rPr>
              <w:br/>
              <w:t>54,25-59,3p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6</w:t>
            </w:r>
            <w:r>
              <w:rPr>
                <w:rFonts w:ascii="Tms Rmn" w:hAnsi="Tms Rmn"/>
                <w:sz w:val="12"/>
                <w:lang w:val="fr-CH"/>
              </w:rPr>
              <w:t> </w:t>
            </w:r>
            <w:r>
              <w:rPr>
                <w:lang w:val="es-ES"/>
              </w:rPr>
              <w:t>700</w:t>
            </w:r>
            <w:r>
              <w:rPr>
                <w:vertAlign w:val="superscript"/>
                <w:lang w:val="fr-CH"/>
              </w:rPr>
              <w:t>(3)</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 xml:space="preserve">Plusieurs entre </w:t>
            </w:r>
            <w:r>
              <w:rPr>
                <w:lang w:val="fr-CH"/>
              </w:rPr>
              <w:br/>
              <w:t>52,6 et 59,3</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rPr>
                <w:lang w:val="fr-CH"/>
              </w:rPr>
            </w:pPr>
            <w:r>
              <w:rPr>
                <w:lang w:val="fr-CH"/>
              </w:rPr>
              <w:t>Profil de température atmosphérique (raies d'absorption O</w:t>
            </w:r>
            <w:r>
              <w:rPr>
                <w:vertAlign w:val="subscript"/>
                <w:lang w:val="fr-CH"/>
              </w:rPr>
              <w:t>2</w:t>
            </w:r>
            <w:r>
              <w:rPr>
                <w:lang w:val="fr-CH"/>
              </w:rPr>
              <w:t>)</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N</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86-92P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6</w:t>
            </w:r>
            <w:r>
              <w:rPr>
                <w:rFonts w:ascii="Tms Rmn" w:hAnsi="Tms Rmn"/>
                <w:sz w:val="12"/>
                <w:lang w:val="fr-CH"/>
              </w:rPr>
              <w:t> </w:t>
            </w:r>
            <w:r>
              <w:rPr>
                <w:lang w:val="es-ES"/>
              </w:rPr>
              <w:t>000</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jc w:val="center"/>
              <w:rPr>
                <w:lang w:val="fr-CH"/>
              </w:rPr>
            </w:pPr>
            <w:r>
              <w:rPr>
                <w:lang w:val="fr-CH"/>
              </w:rPr>
              <w:t>89</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text"/>
              <w:rPr>
                <w:lang w:val="fr-CH"/>
              </w:rPr>
            </w:pPr>
            <w:r>
              <w:rPr>
                <w:lang w:val="fr-CH"/>
              </w:rPr>
              <w:t>Nuages, nappes de pétrole répandu, glace, neige, pluie, fenêtre de réfé</w:t>
            </w:r>
            <w:r>
              <w:rPr>
                <w:lang w:val="fr-CH"/>
              </w:rPr>
              <w:softHyphen/>
              <w:t>rence pour sondages de température au voisinage de 118 GHz</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s-ES"/>
              </w:rPr>
              <w:t>N</w:t>
            </w:r>
          </w:p>
        </w:tc>
      </w:tr>
    </w:tbl>
    <w:p w:rsidR="00221D51" w:rsidRDefault="00221D51" w:rsidP="00221D51">
      <w:pPr>
        <w:pStyle w:val="Tablefin"/>
      </w:pPr>
    </w:p>
    <w:p w:rsidR="00221D51" w:rsidRDefault="00221D51" w:rsidP="00221D51">
      <w:pPr>
        <w:pStyle w:val="TableNo"/>
      </w:pPr>
      <w:r>
        <w:rPr>
          <w:lang w:val="fr-CH"/>
        </w:rPr>
        <w:br w:type="page"/>
      </w:r>
      <w:r>
        <w:rPr>
          <w:lang w:val="fr-CH"/>
        </w:rPr>
        <w:lastRenderedPageBreak/>
        <w:t>TABLEAU  1 (</w:t>
      </w:r>
      <w:r>
        <w:rPr>
          <w:i/>
          <w:iCs/>
          <w:lang w:val="fr-CH"/>
        </w:rPr>
        <w:t>suite</w:t>
      </w:r>
      <w:r>
        <w:rPr>
          <w:lang w:val="fr-CH"/>
        </w:rPr>
        <w:t>)</w:t>
      </w:r>
    </w:p>
    <w:tbl>
      <w:tblPr>
        <w:tblW w:w="96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9"/>
        <w:gridCol w:w="1358"/>
        <w:gridCol w:w="1827"/>
        <w:gridCol w:w="3706"/>
        <w:gridCol w:w="1189"/>
      </w:tblGrid>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head"/>
              <w:rPr>
                <w:lang w:val="fr-CH"/>
              </w:rPr>
            </w:pPr>
            <w:r>
              <w:rPr>
                <w:lang w:val="fr-CH"/>
              </w:rPr>
              <w:t>Bande(s) de fréquences</w:t>
            </w:r>
            <w:r>
              <w:rPr>
                <w:vertAlign w:val="superscript"/>
                <w:lang w:val="fr-CH"/>
              </w:rPr>
              <w:t>(1)</w:t>
            </w:r>
            <w:r>
              <w:rPr>
                <w:lang w:val="fr-CH"/>
              </w:rPr>
              <w:t xml:space="preserve"> (GHz)</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head"/>
              <w:rPr>
                <w:lang w:val="fr-CH"/>
              </w:rPr>
            </w:pPr>
            <w:r>
              <w:rPr>
                <w:lang w:val="fr-CH"/>
              </w:rPr>
              <w:t>Largeur de bande totale nécessaire (MHz)</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head"/>
              <w:rPr>
                <w:lang w:val="fr-CH"/>
              </w:rPr>
            </w:pPr>
            <w:r>
              <w:rPr>
                <w:lang w:val="fr-CH"/>
              </w:rPr>
              <w:t xml:space="preserve">Raie(s) spectrale(s) </w:t>
            </w:r>
            <w:r>
              <w:rPr>
                <w:lang w:val="fr-CH"/>
              </w:rPr>
              <w:br/>
              <w:t xml:space="preserve">ou fréquence centrale </w:t>
            </w:r>
            <w:r>
              <w:rPr>
                <w:lang w:val="fr-CH"/>
              </w:rPr>
              <w:br/>
              <w:t>(GHz)</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head"/>
              <w:rPr>
                <w:lang w:val="fr-CH"/>
              </w:rPr>
            </w:pPr>
            <w:r>
              <w:rPr>
                <w:lang w:val="fr-CH"/>
              </w:rPr>
              <w:t>Mesure</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head"/>
              <w:rPr>
                <w:vertAlign w:val="superscript"/>
                <w:lang w:val="fr-CH"/>
              </w:rPr>
            </w:pPr>
            <w:r>
              <w:rPr>
                <w:lang w:val="fr-CH"/>
              </w:rPr>
              <w:t xml:space="preserve">Mode de balayage </w:t>
            </w:r>
            <w:r>
              <w:rPr>
                <w:lang w:val="fr-CH"/>
              </w:rPr>
              <w:br/>
              <w:t>N, L</w:t>
            </w:r>
            <w:r>
              <w:rPr>
                <w:vertAlign w:val="superscript"/>
                <w:lang w:val="fr-CH"/>
              </w:rPr>
              <w:t>(2)</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100-102P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2</w:t>
            </w:r>
            <w:r>
              <w:rPr>
                <w:rFonts w:ascii="Tms Rmn" w:hAnsi="Tms Rmn"/>
                <w:sz w:val="12"/>
              </w:rPr>
              <w:t> </w:t>
            </w:r>
            <w:r>
              <w:t>000</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100,49</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N</w:t>
            </w:r>
            <w:r>
              <w:rPr>
                <w:vertAlign w:val="subscript"/>
              </w:rPr>
              <w:t>2</w:t>
            </w:r>
            <w:r>
              <w:t>O, NO</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L</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109,5-111,8P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2</w:t>
            </w:r>
            <w:r>
              <w:rPr>
                <w:rFonts w:ascii="Tms Rmn" w:hAnsi="Tms Rmn"/>
                <w:sz w:val="12"/>
              </w:rPr>
              <w:t> </w:t>
            </w:r>
            <w:r>
              <w:t>000</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110,8</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O</w:t>
            </w:r>
            <w:r>
              <w:rPr>
                <w:vertAlign w:val="subscript"/>
              </w:rPr>
              <w:t>3</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n-US"/>
              </w:rPr>
            </w:pPr>
            <w:r>
              <w:rPr>
                <w:lang w:val="en-US"/>
              </w:rPr>
              <w:t>L</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n-US"/>
              </w:rPr>
            </w:pPr>
            <w:r>
              <w:rPr>
                <w:lang w:val="en-US"/>
              </w:rPr>
              <w:t>114,25-116P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n-US"/>
              </w:rPr>
            </w:pPr>
            <w:r>
              <w:rPr>
                <w:lang w:val="en-US"/>
              </w:rPr>
              <w:t>1</w:t>
            </w:r>
            <w:r>
              <w:rPr>
                <w:rFonts w:ascii="Tms Rmn" w:hAnsi="Tms Rmn"/>
                <w:sz w:val="12"/>
                <w:lang w:val="en-US"/>
              </w:rPr>
              <w:t> </w:t>
            </w:r>
            <w:r>
              <w:t>750</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n-US"/>
              </w:rPr>
            </w:pPr>
            <w:r>
              <w:rPr>
                <w:lang w:val="en-US"/>
              </w:rPr>
              <w:t>115,27</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n-US"/>
              </w:rPr>
            </w:pPr>
            <w:r>
              <w:rPr>
                <w:lang w:val="en-US"/>
              </w:rPr>
              <w:t>CO</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L</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115,25-116,0P,</w:t>
            </w:r>
            <w:r>
              <w:rPr>
                <w:lang w:val="fr-CH"/>
              </w:rPr>
              <w:br/>
              <w:t>116-122,25p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7</w:t>
            </w:r>
            <w:r>
              <w:rPr>
                <w:rFonts w:ascii="Tms Rmn" w:hAnsi="Tms Rmn"/>
                <w:sz w:val="12"/>
                <w:lang w:val="fr-CH"/>
              </w:rPr>
              <w:t> </w:t>
            </w:r>
            <w:r>
              <w:t>000</w:t>
            </w:r>
            <w:r>
              <w:rPr>
                <w:vertAlign w:val="superscript"/>
                <w:lang w:val="fr-CH"/>
              </w:rPr>
              <w:t>(3)</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118,75</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Profil de température atmosphérique (ligne d'absorption O</w:t>
            </w:r>
            <w:r>
              <w:rPr>
                <w:vertAlign w:val="subscript"/>
                <w:lang w:val="fr-CH"/>
              </w:rPr>
              <w:t>2</w:t>
            </w:r>
            <w:r>
              <w:rPr>
                <w:lang w:val="fr-CH"/>
              </w:rPr>
              <w:t>)</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N, L</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148,5-151,5P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3</w:t>
            </w:r>
            <w:r>
              <w:rPr>
                <w:rFonts w:ascii="Tms Rmn" w:hAnsi="Tms Rmn"/>
                <w:sz w:val="12"/>
                <w:lang w:val="fr-CH"/>
              </w:rPr>
              <w:t> </w:t>
            </w:r>
            <w:r>
              <w:t>000</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150,74</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N</w:t>
            </w:r>
            <w:r>
              <w:rPr>
                <w:vertAlign w:val="subscript"/>
                <w:lang w:val="fr-CH"/>
              </w:rPr>
              <w:t>2</w:t>
            </w:r>
            <w:r>
              <w:rPr>
                <w:lang w:val="fr-CH"/>
              </w:rPr>
              <w:t>O, température de surface de la terre, paramètres nuageux, fenêtre de référence pour sondages de température</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N, L</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155,5-158,5</w:t>
            </w:r>
            <w:r>
              <w:rPr>
                <w:vertAlign w:val="superscript"/>
                <w:lang w:val="fr-CH"/>
              </w:rPr>
              <w:t>(4)</w:t>
            </w:r>
            <w:r>
              <w:rPr>
                <w:lang w:val="fr-CH"/>
              </w:rPr>
              <w:t>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3</w:t>
            </w:r>
            <w:r>
              <w:rPr>
                <w:rFonts w:ascii="Tms Rmn" w:hAnsi="Tms Rmn"/>
                <w:sz w:val="12"/>
                <w:lang w:val="fr-CH"/>
              </w:rPr>
              <w:t> </w:t>
            </w:r>
            <w:r>
              <w:t>000</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157</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Paramètres terrestres et nuageux</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N</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164-167P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3</w:t>
            </w:r>
            <w:r>
              <w:rPr>
                <w:rFonts w:ascii="Tms Rmn" w:hAnsi="Tms Rmn"/>
                <w:sz w:val="12"/>
                <w:lang w:val="fr-CH"/>
              </w:rPr>
              <w:t> </w:t>
            </w:r>
            <w:r>
              <w:t>000</w:t>
            </w:r>
            <w:r>
              <w:rPr>
                <w:vertAlign w:val="superscript"/>
                <w:lang w:val="fr-CH"/>
              </w:rPr>
              <w:t>(3)</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164,38; 167,2</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N</w:t>
            </w:r>
            <w:r>
              <w:rPr>
                <w:vertAlign w:val="subscript"/>
                <w:lang w:val="fr-CH"/>
              </w:rPr>
              <w:t>2</w:t>
            </w:r>
            <w:r>
              <w:rPr>
                <w:lang w:val="fr-CH"/>
              </w:rPr>
              <w:t>O, teneur en eau et glace des nuages, pluie, CO, ClO</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N, L</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174,8-182p, 182-185P, 185</w:t>
            </w:r>
            <w:r>
              <w:rPr>
                <w:lang w:val="fr-CH"/>
              </w:rPr>
              <w:noBreakHyphen/>
              <w:t>190p, 190</w:t>
            </w:r>
            <w:r>
              <w:rPr>
                <w:lang w:val="fr-CH"/>
              </w:rPr>
              <w:noBreakHyphen/>
              <w:t>191,8P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17</w:t>
            </w:r>
            <w:r>
              <w:rPr>
                <w:rFonts w:ascii="Tms Rmn" w:hAnsi="Tms Rmn"/>
                <w:sz w:val="12"/>
                <w:lang w:val="fr-CH"/>
              </w:rPr>
              <w:t> </w:t>
            </w:r>
            <w:r>
              <w:t>000</w:t>
            </w:r>
            <w:r>
              <w:rPr>
                <w:vertAlign w:val="superscript"/>
                <w:lang w:val="fr-CH"/>
              </w:rPr>
              <w:t>(3)</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175,86; 177,26;</w:t>
            </w:r>
            <w:r>
              <w:rPr>
                <w:lang w:val="fr-CH"/>
              </w:rPr>
              <w:br/>
              <w:t>183,31; 184,75</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N</w:t>
            </w:r>
            <w:r>
              <w:rPr>
                <w:vertAlign w:val="subscript"/>
                <w:lang w:val="fr-CH"/>
              </w:rPr>
              <w:t>2</w:t>
            </w:r>
            <w:r>
              <w:rPr>
                <w:lang w:val="fr-CH"/>
              </w:rPr>
              <w:t>O, profil de vapeur d'eau, O</w:t>
            </w:r>
            <w:r>
              <w:rPr>
                <w:vertAlign w:val="subscript"/>
                <w:lang w:val="fr-CH"/>
              </w:rPr>
              <w:t>3</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N, L</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200-209P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9</w:t>
            </w:r>
            <w:r>
              <w:rPr>
                <w:rFonts w:ascii="Tms Rmn" w:hAnsi="Tms Rmn"/>
                <w:sz w:val="12"/>
              </w:rPr>
              <w:t> </w:t>
            </w:r>
            <w:r>
              <w:t>000</w:t>
            </w:r>
            <w:r>
              <w:rPr>
                <w:vertAlign w:val="superscript"/>
              </w:rPr>
              <w:t>(3)</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200,98; 203,4;</w:t>
            </w:r>
            <w:r>
              <w:br/>
              <w:t>204,35; 206,13;</w:t>
            </w:r>
            <w:r>
              <w:br/>
              <w:t>208,64</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Pr="00C7141F" w:rsidRDefault="00221D51" w:rsidP="00231957">
            <w:pPr>
              <w:pStyle w:val="Tabletext"/>
              <w:jc w:val="center"/>
              <w:rPr>
                <w:lang w:val="es-ES_tradnl"/>
              </w:rPr>
            </w:pPr>
            <w:r w:rsidRPr="00C7141F">
              <w:rPr>
                <w:lang w:val="es-ES_tradnl"/>
              </w:rPr>
              <w:t>N</w:t>
            </w:r>
            <w:r w:rsidRPr="00C7141F">
              <w:rPr>
                <w:vertAlign w:val="subscript"/>
                <w:lang w:val="es-ES_tradnl"/>
              </w:rPr>
              <w:t>2</w:t>
            </w:r>
            <w:r w:rsidRPr="00C7141F">
              <w:rPr>
                <w:lang w:val="es-ES_tradnl"/>
              </w:rPr>
              <w:t>O, ClO, vapeur d'eau, O</w:t>
            </w:r>
            <w:r w:rsidRPr="00C7141F">
              <w:rPr>
                <w:vertAlign w:val="subscript"/>
                <w:lang w:val="es-ES_tradnl"/>
              </w:rPr>
              <w:t>3</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L</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226-231,5P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5</w:t>
            </w:r>
            <w:r>
              <w:rPr>
                <w:rFonts w:ascii="Tms Rmn" w:hAnsi="Tms Rmn"/>
                <w:sz w:val="12"/>
                <w:lang w:val="fr-CH"/>
              </w:rPr>
              <w:t> </w:t>
            </w:r>
            <w:r>
              <w:t>500</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226,09; 230,54;</w:t>
            </w:r>
            <w:r>
              <w:rPr>
                <w:lang w:val="fr-CH"/>
              </w:rPr>
              <w:br/>
              <w:t>231,28</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Nuages, humidité, N</w:t>
            </w:r>
            <w:r>
              <w:rPr>
                <w:vertAlign w:val="subscript"/>
                <w:lang w:val="fr-CH"/>
              </w:rPr>
              <w:t>2</w:t>
            </w:r>
            <w:r>
              <w:rPr>
                <w:lang w:val="fr-CH"/>
              </w:rPr>
              <w:t>O (226,09</w:t>
            </w:r>
            <w:r>
              <w:rPr>
                <w:rFonts w:ascii="Tms Rmn" w:hAnsi="Tms Rmn"/>
                <w:sz w:val="12"/>
                <w:lang w:val="fr-CH"/>
              </w:rPr>
              <w:t> </w:t>
            </w:r>
            <w:r>
              <w:rPr>
                <w:lang w:val="fr-CH"/>
              </w:rPr>
              <w:t>GHz), CO(230,54 GHz), O</w:t>
            </w:r>
            <w:r>
              <w:rPr>
                <w:vertAlign w:val="subscript"/>
                <w:lang w:val="fr-CH"/>
              </w:rPr>
              <w:t>3</w:t>
            </w:r>
            <w:r>
              <w:rPr>
                <w:lang w:val="fr-CH"/>
              </w:rPr>
              <w:t xml:space="preserve"> (231,28 GHz), fenêtre de référence</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N, L</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235-238p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3</w:t>
            </w:r>
            <w:r>
              <w:rPr>
                <w:rFonts w:ascii="Tms Rmn" w:hAnsi="Tms Rmn"/>
                <w:sz w:val="12"/>
              </w:rPr>
              <w:t> </w:t>
            </w:r>
            <w:r>
              <w:t>000</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235,71; 237,15</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O</w:t>
            </w:r>
            <w:r>
              <w:rPr>
                <w:vertAlign w:val="subscript"/>
              </w:rPr>
              <w:t>3</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L</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250-252P</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2</w:t>
            </w:r>
            <w:r>
              <w:rPr>
                <w:rFonts w:ascii="Tms Rmn" w:hAnsi="Tms Rmn"/>
                <w:sz w:val="12"/>
              </w:rPr>
              <w:t> </w:t>
            </w:r>
            <w:r>
              <w:t>000</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251,21</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N</w:t>
            </w:r>
            <w:r>
              <w:rPr>
                <w:vertAlign w:val="subscript"/>
              </w:rPr>
              <w:t>2</w:t>
            </w:r>
            <w:r>
              <w:t>O</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L</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275-277</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2</w:t>
            </w:r>
            <w:r>
              <w:rPr>
                <w:rFonts w:ascii="Tms Rmn" w:hAnsi="Tms Rmn"/>
                <w:sz w:val="12"/>
              </w:rPr>
              <w:t> </w:t>
            </w:r>
            <w:r>
              <w:t>000</w:t>
            </w:r>
            <w:r>
              <w:rPr>
                <w:vertAlign w:val="superscript"/>
              </w:rPr>
              <w:t>(3)</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276,33</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NO, N</w:t>
            </w:r>
            <w:r>
              <w:rPr>
                <w:vertAlign w:val="subscript"/>
              </w:rPr>
              <w:t>2</w:t>
            </w:r>
            <w:r>
              <w:t>O (276,33 GHz)</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L</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294-306</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12</w:t>
            </w:r>
            <w:r>
              <w:rPr>
                <w:rFonts w:ascii="Tms Rmn" w:hAnsi="Tms Rmn"/>
                <w:sz w:val="12"/>
              </w:rPr>
              <w:t> </w:t>
            </w:r>
            <w:r>
              <w:t>000</w:t>
            </w:r>
            <w:r>
              <w:rPr>
                <w:vertAlign w:val="superscript"/>
              </w:rPr>
              <w:t>(3)</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301,44</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Pr="00C7141F" w:rsidRDefault="00221D51" w:rsidP="00231957">
            <w:pPr>
              <w:pStyle w:val="Tabletext"/>
              <w:jc w:val="center"/>
              <w:rPr>
                <w:lang w:val="es-ES_tradnl"/>
              </w:rPr>
            </w:pPr>
            <w:r w:rsidRPr="00C7141F">
              <w:rPr>
                <w:lang w:val="es-ES_tradnl"/>
              </w:rPr>
              <w:t>NO, N</w:t>
            </w:r>
            <w:r w:rsidRPr="00C7141F">
              <w:rPr>
                <w:vertAlign w:val="subscript"/>
                <w:lang w:val="es-ES_tradnl"/>
              </w:rPr>
              <w:t>2</w:t>
            </w:r>
            <w:r w:rsidRPr="00C7141F">
              <w:rPr>
                <w:lang w:val="es-ES_tradnl"/>
              </w:rPr>
              <w:t>O (301,44 GHz), O</w:t>
            </w:r>
            <w:r w:rsidRPr="00C7141F">
              <w:rPr>
                <w:vertAlign w:val="subscript"/>
                <w:lang w:val="es-ES_tradnl"/>
              </w:rPr>
              <w:t>3</w:t>
            </w:r>
            <w:r w:rsidRPr="00C7141F">
              <w:rPr>
                <w:lang w:val="es-ES_tradnl"/>
              </w:rPr>
              <w:t>, O</w:t>
            </w:r>
            <w:r w:rsidRPr="00C7141F">
              <w:rPr>
                <w:vertAlign w:val="subscript"/>
                <w:lang w:val="es-ES_tradnl"/>
              </w:rPr>
              <w:t>2</w:t>
            </w:r>
            <w:r w:rsidRPr="00C7141F">
              <w:rPr>
                <w:lang w:val="es-ES_tradnl"/>
              </w:rPr>
              <w:t>, HNO</w:t>
            </w:r>
            <w:r w:rsidRPr="00C7141F">
              <w:rPr>
                <w:vertAlign w:val="subscript"/>
                <w:lang w:val="es-ES_tradnl"/>
              </w:rPr>
              <w:t>3</w:t>
            </w:r>
            <w:r w:rsidRPr="00C7141F">
              <w:rPr>
                <w:lang w:val="es-ES_tradnl"/>
              </w:rPr>
              <w:t>, HOCl,</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N, L</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316-334</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18</w:t>
            </w:r>
            <w:r>
              <w:rPr>
                <w:rFonts w:ascii="Tms Rmn" w:hAnsi="Tms Rmn"/>
                <w:sz w:val="12"/>
                <w:lang w:val="fr-CH"/>
              </w:rPr>
              <w:t> </w:t>
            </w:r>
            <w:r>
              <w:t>000</w:t>
            </w:r>
            <w:r>
              <w:rPr>
                <w:vertAlign w:val="superscript"/>
                <w:lang w:val="fr-CH"/>
              </w:rPr>
              <w:t>(3)</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325,15</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Profil de vapeur d'eau (325,1 GHz), O</w:t>
            </w:r>
            <w:r>
              <w:rPr>
                <w:vertAlign w:val="subscript"/>
                <w:lang w:val="fr-CH"/>
              </w:rPr>
              <w:t>3</w:t>
            </w:r>
            <w:r>
              <w:rPr>
                <w:lang w:val="fr-CH"/>
              </w:rPr>
              <w:t>, HOCl</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n-US"/>
              </w:rPr>
            </w:pPr>
            <w:r>
              <w:rPr>
                <w:lang w:val="en-US"/>
              </w:rPr>
              <w:t>N, L</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n-US"/>
              </w:rPr>
            </w:pPr>
            <w:r>
              <w:rPr>
                <w:lang w:val="en-US"/>
              </w:rPr>
              <w:t>342-349</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n-US"/>
              </w:rPr>
            </w:pPr>
            <w:r>
              <w:rPr>
                <w:lang w:val="en-US"/>
              </w:rPr>
              <w:t>7</w:t>
            </w:r>
            <w:r>
              <w:rPr>
                <w:rFonts w:ascii="Tms Rmn" w:hAnsi="Tms Rmn"/>
                <w:sz w:val="12"/>
                <w:lang w:val="en-US"/>
              </w:rPr>
              <w:t> </w:t>
            </w:r>
            <w:r>
              <w:t>000</w:t>
            </w:r>
            <w:r>
              <w:rPr>
                <w:vertAlign w:val="superscript"/>
                <w:lang w:val="en-US"/>
              </w:rPr>
              <w:t>(3)</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n-US"/>
              </w:rPr>
            </w:pPr>
            <w:r>
              <w:rPr>
                <w:lang w:val="en-US"/>
              </w:rPr>
              <w:t>345,8; 346</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n-US"/>
              </w:rPr>
            </w:pPr>
            <w:r>
              <w:rPr>
                <w:lang w:val="en-US"/>
              </w:rPr>
              <w:t>CO (345,8 GHz), HNO</w:t>
            </w:r>
            <w:r>
              <w:rPr>
                <w:vertAlign w:val="subscript"/>
                <w:lang w:val="en-US"/>
              </w:rPr>
              <w:t>3</w:t>
            </w:r>
            <w:r>
              <w:rPr>
                <w:lang w:val="en-US"/>
              </w:rPr>
              <w:t>, CH</w:t>
            </w:r>
            <w:r>
              <w:rPr>
                <w:vertAlign w:val="subscript"/>
                <w:lang w:val="en-US"/>
              </w:rPr>
              <w:t>3</w:t>
            </w:r>
            <w:r>
              <w:rPr>
                <w:lang w:val="en-US"/>
              </w:rPr>
              <w:t>Cl, O</w:t>
            </w:r>
            <w:r>
              <w:rPr>
                <w:vertAlign w:val="subscript"/>
                <w:lang w:val="en-US"/>
              </w:rPr>
              <w:t>3</w:t>
            </w:r>
            <w:r>
              <w:rPr>
                <w:lang w:val="en-US"/>
              </w:rPr>
              <w:t>, oxygène, HOCl</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N, L</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363-365</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2</w:t>
            </w:r>
            <w:r>
              <w:rPr>
                <w:rFonts w:ascii="Tms Rmn" w:hAnsi="Tms Rmn"/>
                <w:sz w:val="12"/>
                <w:lang w:val="fr-CH"/>
              </w:rPr>
              <w:t> </w:t>
            </w:r>
            <w:r>
              <w:rPr>
                <w:lang w:val="fr-CH"/>
              </w:rPr>
              <w:t>000</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364,32</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O</w:t>
            </w:r>
            <w:r>
              <w:rPr>
                <w:vertAlign w:val="subscript"/>
                <w:lang w:val="fr-CH"/>
              </w:rPr>
              <w:t>3</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L</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371-389</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18</w:t>
            </w:r>
            <w:r>
              <w:rPr>
                <w:rFonts w:ascii="Tms Rmn" w:hAnsi="Tms Rmn"/>
                <w:sz w:val="12"/>
                <w:lang w:val="fr-CH"/>
              </w:rPr>
              <w:t> </w:t>
            </w:r>
            <w:r>
              <w:t>000</w:t>
            </w:r>
            <w:r>
              <w:rPr>
                <w:vertAlign w:val="superscript"/>
                <w:lang w:val="fr-CH"/>
              </w:rPr>
              <w:t>(3)</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380,2</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Profil de vapeur d'eau</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N</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416-434</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18</w:t>
            </w:r>
            <w:r>
              <w:rPr>
                <w:rFonts w:ascii="Tms Rmn" w:hAnsi="Tms Rmn"/>
                <w:sz w:val="12"/>
                <w:lang w:val="fr-CH"/>
              </w:rPr>
              <w:t> </w:t>
            </w:r>
            <w:r>
              <w:t>000</w:t>
            </w:r>
            <w:r>
              <w:rPr>
                <w:vertAlign w:val="superscript"/>
                <w:lang w:val="fr-CH"/>
              </w:rPr>
              <w:t>(3)</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425</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Profil de température</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N</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442-444</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2</w:t>
            </w:r>
            <w:r>
              <w:rPr>
                <w:rFonts w:ascii="Tms Rmn" w:hAnsi="Tms Rmn"/>
                <w:sz w:val="12"/>
              </w:rPr>
              <w:t> </w:t>
            </w:r>
            <w:r>
              <w:t>000</w:t>
            </w:r>
            <w:r>
              <w:rPr>
                <w:vertAlign w:val="superscript"/>
              </w:rPr>
              <w:t>(3)</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443</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Pr="00C7141F" w:rsidRDefault="00221D51" w:rsidP="00231957">
            <w:pPr>
              <w:pStyle w:val="Tabletext"/>
              <w:jc w:val="center"/>
              <w:rPr>
                <w:lang w:val="es-ES_tradnl"/>
              </w:rPr>
            </w:pPr>
            <w:r w:rsidRPr="00C7141F">
              <w:rPr>
                <w:lang w:val="es-ES_tradnl"/>
              </w:rPr>
              <w:t>H</w:t>
            </w:r>
            <w:r w:rsidRPr="00C7141F">
              <w:rPr>
                <w:vertAlign w:val="subscript"/>
                <w:lang w:val="es-ES_tradnl"/>
              </w:rPr>
              <w:t>2</w:t>
            </w:r>
            <w:r w:rsidRPr="00C7141F">
              <w:rPr>
                <w:lang w:val="es-ES_tradnl"/>
              </w:rPr>
              <w:t>O, O</w:t>
            </w:r>
            <w:r w:rsidRPr="00C7141F">
              <w:rPr>
                <w:vertAlign w:val="subscript"/>
                <w:lang w:val="es-ES_tradnl"/>
              </w:rPr>
              <w:t>3</w:t>
            </w:r>
            <w:r w:rsidRPr="00C7141F">
              <w:rPr>
                <w:lang w:val="es-ES_tradnl"/>
              </w:rPr>
              <w:t>, HNO</w:t>
            </w:r>
            <w:r w:rsidRPr="00C7141F">
              <w:rPr>
                <w:vertAlign w:val="subscript"/>
                <w:lang w:val="es-ES_tradnl"/>
              </w:rPr>
              <w:t>3</w:t>
            </w:r>
            <w:r w:rsidRPr="00C7141F">
              <w:rPr>
                <w:lang w:val="es-ES_tradnl"/>
              </w:rPr>
              <w:t>, N</w:t>
            </w:r>
            <w:r w:rsidRPr="00C7141F">
              <w:rPr>
                <w:vertAlign w:val="subscript"/>
                <w:lang w:val="es-ES_tradnl"/>
              </w:rPr>
              <w:t>2</w:t>
            </w:r>
            <w:r w:rsidRPr="00C7141F">
              <w:rPr>
                <w:lang w:val="es-ES_tradnl"/>
              </w:rPr>
              <w:t>O, CO</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N, L</w:t>
            </w:r>
          </w:p>
        </w:tc>
      </w:tr>
      <w:tr w:rsidR="00221D51" w:rsidTr="00231957">
        <w:trPr>
          <w:cantSplit/>
          <w:jc w:val="center"/>
        </w:trPr>
        <w:tc>
          <w:tcPr>
            <w:tcW w:w="157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496-506</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10</w:t>
            </w:r>
            <w:r>
              <w:rPr>
                <w:rFonts w:ascii="Tms Rmn" w:hAnsi="Tms Rmn"/>
                <w:sz w:val="12"/>
              </w:rPr>
              <w:t> </w:t>
            </w:r>
            <w:r>
              <w:t>000</w:t>
            </w:r>
            <w:r>
              <w:rPr>
                <w:vertAlign w:val="superscript"/>
              </w:rPr>
              <w:t>(3)</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pPr>
            <w:r>
              <w:t>498,1; 498,2;</w:t>
            </w:r>
            <w:r>
              <w:br/>
              <w:t>498,3; 498,4;</w:t>
            </w:r>
            <w:r>
              <w:br/>
              <w:t>498,5; 498,6</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Pr="00C7141F" w:rsidRDefault="00221D51" w:rsidP="00231957">
            <w:pPr>
              <w:pStyle w:val="Tabletext"/>
              <w:jc w:val="center"/>
              <w:rPr>
                <w:lang w:val="es-ES_tradnl"/>
              </w:rPr>
            </w:pPr>
            <w:r w:rsidRPr="00C7141F">
              <w:rPr>
                <w:lang w:val="es-ES_tradnl"/>
              </w:rPr>
              <w:t>O</w:t>
            </w:r>
            <w:r w:rsidRPr="00C7141F">
              <w:rPr>
                <w:vertAlign w:val="subscript"/>
                <w:lang w:val="es-ES_tradnl"/>
              </w:rPr>
              <w:t>3</w:t>
            </w:r>
            <w:r w:rsidRPr="00C7141F">
              <w:rPr>
                <w:lang w:val="es-ES_tradnl"/>
              </w:rPr>
              <w:t>, CH</w:t>
            </w:r>
            <w:r w:rsidRPr="00C7141F">
              <w:rPr>
                <w:vertAlign w:val="subscript"/>
                <w:lang w:val="es-ES_tradnl"/>
              </w:rPr>
              <w:t>3</w:t>
            </w:r>
            <w:r w:rsidRPr="00C7141F">
              <w:rPr>
                <w:lang w:val="es-ES_tradnl"/>
              </w:rPr>
              <w:t>Cl, N</w:t>
            </w:r>
            <w:r w:rsidRPr="00C7141F">
              <w:rPr>
                <w:vertAlign w:val="subscript"/>
                <w:lang w:val="es-ES_tradnl"/>
              </w:rPr>
              <w:t>2</w:t>
            </w:r>
            <w:r w:rsidRPr="00C7141F">
              <w:rPr>
                <w:lang w:val="es-ES_tradnl"/>
              </w:rPr>
              <w:t>O, BrO, ClO, profil de vapeur d'eau</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N, L</w:t>
            </w:r>
          </w:p>
        </w:tc>
      </w:tr>
    </w:tbl>
    <w:p w:rsidR="00231957" w:rsidRDefault="00231957" w:rsidP="00221D51">
      <w:pPr>
        <w:pStyle w:val="Tablefin"/>
      </w:pPr>
    </w:p>
    <w:p w:rsidR="00231957" w:rsidRDefault="00231957" w:rsidP="00221D51">
      <w:pPr>
        <w:pStyle w:val="Tablefin"/>
      </w:pPr>
      <w:r>
        <w:br w:type="page"/>
      </w:r>
    </w:p>
    <w:p w:rsidR="00221D51" w:rsidRDefault="00221D51" w:rsidP="00221D51">
      <w:pPr>
        <w:pStyle w:val="TableNo"/>
      </w:pPr>
      <w:r>
        <w:rPr>
          <w:lang w:val="fr-CH"/>
        </w:rPr>
        <w:lastRenderedPageBreak/>
        <w:t>TABLEAU  1 (</w:t>
      </w:r>
      <w:r>
        <w:rPr>
          <w:i/>
          <w:iCs/>
          <w:lang w:val="fr-CH"/>
        </w:rPr>
        <w:t>fin</w:t>
      </w:r>
      <w:r>
        <w:rPr>
          <w:lang w:val="fr-CH"/>
        </w:rPr>
        <w:t>)</w:t>
      </w:r>
    </w:p>
    <w:tbl>
      <w:tblPr>
        <w:tblW w:w="96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66"/>
        <w:gridCol w:w="13"/>
        <w:gridCol w:w="1358"/>
        <w:gridCol w:w="1827"/>
        <w:gridCol w:w="3706"/>
        <w:gridCol w:w="1189"/>
      </w:tblGrid>
      <w:tr w:rsidR="00221D51" w:rsidTr="00231957">
        <w:trPr>
          <w:cantSplit/>
          <w:jc w:val="center"/>
        </w:trPr>
        <w:tc>
          <w:tcPr>
            <w:tcW w:w="1579" w:type="dxa"/>
            <w:gridSpan w:val="2"/>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head"/>
              <w:rPr>
                <w:lang w:val="fr-CH"/>
              </w:rPr>
            </w:pPr>
            <w:r>
              <w:rPr>
                <w:lang w:val="fr-CH"/>
              </w:rPr>
              <w:t>Bande(s) de fréquences</w:t>
            </w:r>
            <w:r>
              <w:rPr>
                <w:vertAlign w:val="superscript"/>
                <w:lang w:val="fr-CH"/>
              </w:rPr>
              <w:t>(1)</w:t>
            </w:r>
            <w:r>
              <w:rPr>
                <w:lang w:val="fr-CH"/>
              </w:rPr>
              <w:t xml:space="preserve"> (GHz)</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head"/>
              <w:rPr>
                <w:lang w:val="fr-CH"/>
              </w:rPr>
            </w:pPr>
            <w:r>
              <w:rPr>
                <w:lang w:val="fr-CH"/>
              </w:rPr>
              <w:t>Largeur de bande totale nécessaire (MHz)</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head"/>
              <w:rPr>
                <w:lang w:val="fr-CH"/>
              </w:rPr>
            </w:pPr>
            <w:r>
              <w:rPr>
                <w:lang w:val="fr-CH"/>
              </w:rPr>
              <w:t xml:space="preserve">Raie(s) spectrale(s) </w:t>
            </w:r>
            <w:r>
              <w:rPr>
                <w:lang w:val="fr-CH"/>
              </w:rPr>
              <w:br/>
              <w:t xml:space="preserve">ou fréquence centrale </w:t>
            </w:r>
            <w:r>
              <w:rPr>
                <w:lang w:val="fr-CH"/>
              </w:rPr>
              <w:br/>
              <w:t>(GHz)</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head"/>
              <w:rPr>
                <w:lang w:val="fr-CH"/>
              </w:rPr>
            </w:pPr>
            <w:r>
              <w:rPr>
                <w:lang w:val="fr-CH"/>
              </w:rPr>
              <w:t>Mesure</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21D51">
            <w:pPr>
              <w:pStyle w:val="Tablehead"/>
              <w:rPr>
                <w:vertAlign w:val="superscript"/>
                <w:lang w:val="fr-CH"/>
              </w:rPr>
            </w:pPr>
            <w:r>
              <w:rPr>
                <w:lang w:val="fr-CH"/>
              </w:rPr>
              <w:t xml:space="preserve">Mode de balayage </w:t>
            </w:r>
            <w:r>
              <w:rPr>
                <w:lang w:val="fr-CH"/>
              </w:rPr>
              <w:br/>
              <w:t>N, L</w:t>
            </w:r>
            <w:r>
              <w:rPr>
                <w:vertAlign w:val="superscript"/>
                <w:lang w:val="fr-CH"/>
              </w:rPr>
              <w:t>(2)</w:t>
            </w:r>
          </w:p>
        </w:tc>
      </w:tr>
      <w:tr w:rsidR="00221D51" w:rsidTr="00231957">
        <w:trPr>
          <w:cantSplit/>
          <w:jc w:val="center"/>
        </w:trPr>
        <w:tc>
          <w:tcPr>
            <w:tcW w:w="1579" w:type="dxa"/>
            <w:gridSpan w:val="2"/>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546-568</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22</w:t>
            </w:r>
            <w:r>
              <w:rPr>
                <w:rFonts w:ascii="Tms Rmn" w:hAnsi="Tms Rmn"/>
                <w:sz w:val="12"/>
                <w:lang w:val="fr-CH"/>
              </w:rPr>
              <w:t> </w:t>
            </w:r>
            <w:r>
              <w:rPr>
                <w:lang w:val="fr-CH"/>
              </w:rPr>
              <w:t>000</w:t>
            </w:r>
            <w:r>
              <w:rPr>
                <w:vertAlign w:val="superscript"/>
                <w:lang w:val="fr-CH"/>
              </w:rPr>
              <w:t>(3)</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557</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Profil de vapeur d'eau</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s-ES"/>
              </w:rPr>
              <w:t>N, L</w:t>
            </w:r>
          </w:p>
        </w:tc>
      </w:tr>
      <w:tr w:rsidR="00221D51" w:rsidTr="00231957">
        <w:trPr>
          <w:cantSplit/>
          <w:jc w:val="center"/>
        </w:trPr>
        <w:tc>
          <w:tcPr>
            <w:tcW w:w="1579" w:type="dxa"/>
            <w:gridSpan w:val="2"/>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s-ES"/>
              </w:rPr>
              <w:t>624-629</w:t>
            </w:r>
          </w:p>
        </w:tc>
        <w:tc>
          <w:tcPr>
            <w:tcW w:w="1358"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s-ES"/>
              </w:rPr>
              <w:t>5</w:t>
            </w:r>
            <w:r>
              <w:rPr>
                <w:rFonts w:ascii="Tms Rmn" w:hAnsi="Tms Rmn"/>
                <w:sz w:val="12"/>
                <w:lang w:val="es-ES"/>
              </w:rPr>
              <w:t> </w:t>
            </w:r>
            <w:r>
              <w:rPr>
                <w:lang w:val="es-ES"/>
              </w:rPr>
              <w:t>000</w:t>
            </w:r>
            <w:r>
              <w:rPr>
                <w:vertAlign w:val="superscript"/>
                <w:lang w:val="es-ES"/>
              </w:rPr>
              <w:t>(3)</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s-ES"/>
              </w:rPr>
              <w:t>624,27; 624,34; 624,77; 625,37; 625,92; 627,18; 627,77; 628,46</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s-ES"/>
              </w:rPr>
              <w:t>HCl, BrO, O</w:t>
            </w:r>
            <w:r>
              <w:rPr>
                <w:vertAlign w:val="subscript"/>
                <w:lang w:val="es-ES"/>
              </w:rPr>
              <w:t>3</w:t>
            </w:r>
            <w:r>
              <w:rPr>
                <w:lang w:val="es-ES"/>
              </w:rPr>
              <w:t>, HCl, SO</w:t>
            </w:r>
            <w:r>
              <w:rPr>
                <w:vertAlign w:val="subscript"/>
                <w:lang w:val="es-ES"/>
              </w:rPr>
              <w:t>2</w:t>
            </w:r>
            <w:r>
              <w:rPr>
                <w:lang w:val="es-ES"/>
              </w:rPr>
              <w:t>, H</w:t>
            </w:r>
            <w:r>
              <w:rPr>
                <w:vertAlign w:val="subscript"/>
                <w:lang w:val="es-ES"/>
              </w:rPr>
              <w:t>2</w:t>
            </w:r>
            <w:r>
              <w:rPr>
                <w:lang w:val="es-ES"/>
              </w:rPr>
              <w:t>O</w:t>
            </w:r>
            <w:r>
              <w:rPr>
                <w:vertAlign w:val="subscript"/>
                <w:lang w:val="es-ES"/>
              </w:rPr>
              <w:t>2</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L</w:t>
            </w:r>
          </w:p>
        </w:tc>
      </w:tr>
      <w:tr w:rsidR="00221D51" w:rsidTr="00231957">
        <w:tblPrEx>
          <w:tblBorders>
            <w:bottom w:val="none" w:sz="0" w:space="0" w:color="auto"/>
          </w:tblBorders>
        </w:tblPrEx>
        <w:trPr>
          <w:cantSplit/>
          <w:jc w:val="center"/>
        </w:trPr>
        <w:tc>
          <w:tcPr>
            <w:tcW w:w="156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fr-CH"/>
              </w:rPr>
              <w:br w:type="page"/>
            </w:r>
            <w:r>
              <w:rPr>
                <w:lang w:val="es-ES"/>
              </w:rPr>
              <w:t>634</w:t>
            </w:r>
            <w:r>
              <w:rPr>
                <w:lang w:val="es-ES"/>
              </w:rPr>
              <w:noBreakHyphen/>
              <w:t>654</w:t>
            </w:r>
          </w:p>
        </w:tc>
        <w:tc>
          <w:tcPr>
            <w:tcW w:w="1371" w:type="dxa"/>
            <w:gridSpan w:val="2"/>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n-US"/>
              </w:rPr>
              <w:t>20</w:t>
            </w:r>
            <w:r>
              <w:rPr>
                <w:rFonts w:ascii="Tms Rmn" w:hAnsi="Tms Rmn"/>
                <w:sz w:val="12"/>
                <w:lang w:val="es-ES"/>
              </w:rPr>
              <w:t> </w:t>
            </w:r>
            <w:r>
              <w:rPr>
                <w:lang w:val="es-ES"/>
              </w:rPr>
              <w:t>000</w:t>
            </w:r>
            <w:r>
              <w:rPr>
                <w:vertAlign w:val="superscript"/>
                <w:lang w:val="en-US"/>
              </w:rPr>
              <w:t>(3)</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s-ES"/>
              </w:rPr>
              <w:t>635,87; 642,85; 647,2; 649,45; 649,7; 650,28; 650,73; 651,77; 652,83</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s-ES"/>
              </w:rPr>
              <w:t>CH</w:t>
            </w:r>
            <w:r>
              <w:rPr>
                <w:vertAlign w:val="subscript"/>
                <w:lang w:val="es-ES"/>
              </w:rPr>
              <w:t>3</w:t>
            </w:r>
            <w:r>
              <w:rPr>
                <w:lang w:val="es-ES"/>
              </w:rPr>
              <w:t>Cl, HOCl, ClO, vapeur d'eau, N</w:t>
            </w:r>
            <w:r>
              <w:rPr>
                <w:vertAlign w:val="subscript"/>
                <w:lang w:val="es-ES"/>
              </w:rPr>
              <w:t>2</w:t>
            </w:r>
            <w:r>
              <w:rPr>
                <w:lang w:val="es-ES"/>
              </w:rPr>
              <w:t>O, BrO, O</w:t>
            </w:r>
            <w:r>
              <w:rPr>
                <w:vertAlign w:val="subscript"/>
                <w:lang w:val="es-ES"/>
              </w:rPr>
              <w:t>3</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s-ES"/>
              </w:rPr>
              <w:t>N, L</w:t>
            </w:r>
          </w:p>
        </w:tc>
      </w:tr>
      <w:tr w:rsidR="00221D51" w:rsidTr="00231957">
        <w:tblPrEx>
          <w:tblBorders>
            <w:bottom w:val="none" w:sz="0" w:space="0" w:color="auto"/>
          </w:tblBorders>
        </w:tblPrEx>
        <w:trPr>
          <w:cantSplit/>
          <w:jc w:val="center"/>
        </w:trPr>
        <w:tc>
          <w:tcPr>
            <w:tcW w:w="156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s-ES"/>
              </w:rPr>
              <w:t>659-661</w:t>
            </w:r>
          </w:p>
        </w:tc>
        <w:tc>
          <w:tcPr>
            <w:tcW w:w="1371" w:type="dxa"/>
            <w:gridSpan w:val="2"/>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s-ES"/>
              </w:rPr>
              <w:t>2</w:t>
            </w:r>
            <w:r>
              <w:rPr>
                <w:rFonts w:ascii="Tms Rmn" w:hAnsi="Tms Rmn"/>
                <w:sz w:val="12"/>
                <w:lang w:val="es-ES"/>
              </w:rPr>
              <w:t> </w:t>
            </w:r>
            <w:r>
              <w:rPr>
                <w:lang w:val="es-ES"/>
              </w:rPr>
              <w:t>000</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s-ES"/>
              </w:rPr>
              <w:t>660,49</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s-ES"/>
              </w:rPr>
              <w:t>BrO</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n-US"/>
              </w:rPr>
            </w:pPr>
            <w:r>
              <w:rPr>
                <w:lang w:val="en-US"/>
              </w:rPr>
              <w:t>L</w:t>
            </w:r>
          </w:p>
        </w:tc>
      </w:tr>
      <w:tr w:rsidR="00221D51" w:rsidTr="00231957">
        <w:tblPrEx>
          <w:tblBorders>
            <w:bottom w:val="none" w:sz="0" w:space="0" w:color="auto"/>
          </w:tblBorders>
        </w:tblPrEx>
        <w:trPr>
          <w:cantSplit/>
          <w:jc w:val="center"/>
        </w:trPr>
        <w:tc>
          <w:tcPr>
            <w:tcW w:w="156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n-US"/>
              </w:rPr>
            </w:pPr>
            <w:r>
              <w:rPr>
                <w:lang w:val="en-US"/>
              </w:rPr>
              <w:t>684-692</w:t>
            </w:r>
          </w:p>
        </w:tc>
        <w:tc>
          <w:tcPr>
            <w:tcW w:w="1371" w:type="dxa"/>
            <w:gridSpan w:val="2"/>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n-US"/>
              </w:rPr>
            </w:pPr>
            <w:r>
              <w:rPr>
                <w:lang w:val="en-US"/>
              </w:rPr>
              <w:t>8</w:t>
            </w:r>
            <w:r>
              <w:rPr>
                <w:rFonts w:ascii="Tms Rmn" w:hAnsi="Tms Rmn"/>
                <w:sz w:val="12"/>
                <w:lang w:val="en-US"/>
              </w:rPr>
              <w:t> </w:t>
            </w:r>
            <w:r>
              <w:rPr>
                <w:lang w:val="es-ES"/>
              </w:rPr>
              <w:t>000</w:t>
            </w:r>
            <w:r>
              <w:rPr>
                <w:vertAlign w:val="superscript"/>
                <w:lang w:val="en-US"/>
              </w:rPr>
              <w:t>(3)</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n-US"/>
              </w:rPr>
            </w:pPr>
            <w:r>
              <w:rPr>
                <w:lang w:val="en-US"/>
              </w:rPr>
              <w:t>688</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n-US"/>
              </w:rPr>
            </w:pPr>
            <w:r>
              <w:rPr>
                <w:lang w:val="en-US"/>
              </w:rPr>
              <w:t>ClO, CO, CH</w:t>
            </w:r>
            <w:r>
              <w:rPr>
                <w:vertAlign w:val="subscript"/>
                <w:lang w:val="en-US"/>
              </w:rPr>
              <w:t>3</w:t>
            </w:r>
            <w:r>
              <w:rPr>
                <w:lang w:val="en-US"/>
              </w:rPr>
              <w:t>Cl</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L</w:t>
            </w:r>
          </w:p>
        </w:tc>
      </w:tr>
      <w:tr w:rsidR="00221D51" w:rsidTr="00231957">
        <w:tblPrEx>
          <w:tblBorders>
            <w:bottom w:val="none" w:sz="0" w:space="0" w:color="auto"/>
          </w:tblBorders>
        </w:tblPrEx>
        <w:trPr>
          <w:cantSplit/>
          <w:jc w:val="center"/>
        </w:trPr>
        <w:tc>
          <w:tcPr>
            <w:tcW w:w="156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730-732</w:t>
            </w:r>
          </w:p>
        </w:tc>
        <w:tc>
          <w:tcPr>
            <w:tcW w:w="1371" w:type="dxa"/>
            <w:gridSpan w:val="2"/>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2</w:t>
            </w:r>
            <w:r>
              <w:rPr>
                <w:rFonts w:ascii="Tms Rmn" w:hAnsi="Tms Rmn"/>
                <w:sz w:val="12"/>
                <w:lang w:val="fr-CH"/>
              </w:rPr>
              <w:t> </w:t>
            </w:r>
            <w:r>
              <w:rPr>
                <w:lang w:val="es-ES"/>
              </w:rPr>
              <w:t>000</w:t>
            </w:r>
            <w:r>
              <w:rPr>
                <w:vertAlign w:val="superscript"/>
                <w:lang w:val="fr-CH"/>
              </w:rPr>
              <w:t>(3)</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731</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fr-CH"/>
              </w:rPr>
            </w:pPr>
            <w:r>
              <w:rPr>
                <w:lang w:val="fr-CH"/>
              </w:rPr>
              <w:t>Oxygène, HNO</w:t>
            </w:r>
            <w:r>
              <w:rPr>
                <w:vertAlign w:val="subscript"/>
                <w:lang w:val="fr-CH"/>
              </w:rPr>
              <w:t>3</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s-ES"/>
              </w:rPr>
              <w:t>L</w:t>
            </w:r>
          </w:p>
        </w:tc>
      </w:tr>
      <w:tr w:rsidR="00221D51" w:rsidTr="00231957">
        <w:tblPrEx>
          <w:tblBorders>
            <w:bottom w:val="none" w:sz="0" w:space="0" w:color="auto"/>
          </w:tblBorders>
        </w:tblPrEx>
        <w:trPr>
          <w:cantSplit/>
          <w:jc w:val="center"/>
        </w:trPr>
        <w:tc>
          <w:tcPr>
            <w:tcW w:w="156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s-ES"/>
              </w:rPr>
              <w:t>851-853</w:t>
            </w:r>
          </w:p>
        </w:tc>
        <w:tc>
          <w:tcPr>
            <w:tcW w:w="1371" w:type="dxa"/>
            <w:gridSpan w:val="2"/>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s-ES"/>
              </w:rPr>
              <w:t>2</w:t>
            </w:r>
            <w:r>
              <w:rPr>
                <w:rFonts w:ascii="Tms Rmn" w:hAnsi="Tms Rmn"/>
                <w:sz w:val="12"/>
                <w:lang w:val="es-ES"/>
              </w:rPr>
              <w:t> </w:t>
            </w:r>
            <w:r>
              <w:rPr>
                <w:lang w:val="es-ES"/>
              </w:rPr>
              <w:t>000</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s-ES"/>
              </w:rPr>
              <w:t>852</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s-ES"/>
              </w:rPr>
              <w:t>NO</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s-ES"/>
              </w:rPr>
              <w:t>L</w:t>
            </w:r>
          </w:p>
        </w:tc>
      </w:tr>
      <w:tr w:rsidR="00221D51" w:rsidTr="00231957">
        <w:tblPrEx>
          <w:tblBorders>
            <w:bottom w:val="none" w:sz="0" w:space="0" w:color="auto"/>
          </w:tblBorders>
        </w:tblPrEx>
        <w:trPr>
          <w:cantSplit/>
          <w:jc w:val="center"/>
        </w:trPr>
        <w:tc>
          <w:tcPr>
            <w:tcW w:w="156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s-ES"/>
              </w:rPr>
              <w:t>951-956</w:t>
            </w:r>
          </w:p>
        </w:tc>
        <w:tc>
          <w:tcPr>
            <w:tcW w:w="1371" w:type="dxa"/>
            <w:gridSpan w:val="2"/>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s-ES"/>
              </w:rPr>
              <w:t>5</w:t>
            </w:r>
            <w:r>
              <w:rPr>
                <w:rFonts w:ascii="Tms Rmn" w:hAnsi="Tms Rmn"/>
                <w:sz w:val="12"/>
                <w:lang w:val="es-ES"/>
              </w:rPr>
              <w:t> </w:t>
            </w:r>
            <w:r>
              <w:rPr>
                <w:lang w:val="es-ES"/>
              </w:rPr>
              <w:t>000</w:t>
            </w:r>
            <w:r>
              <w:rPr>
                <w:vertAlign w:val="superscript"/>
                <w:lang w:val="es-ES"/>
              </w:rPr>
              <w:t>(3)</w:t>
            </w:r>
          </w:p>
        </w:tc>
        <w:tc>
          <w:tcPr>
            <w:tcW w:w="1827"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s-ES"/>
              </w:rPr>
              <w:t>952; 955</w:t>
            </w:r>
          </w:p>
        </w:tc>
        <w:tc>
          <w:tcPr>
            <w:tcW w:w="3706"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s-ES"/>
              </w:rPr>
              <w:t>Oxygène, NO</w:t>
            </w:r>
          </w:p>
        </w:tc>
        <w:tc>
          <w:tcPr>
            <w:tcW w:w="1189" w:type="dxa"/>
            <w:tcBorders>
              <w:top w:val="single" w:sz="6" w:space="0" w:color="auto"/>
              <w:left w:val="single" w:sz="6" w:space="0" w:color="auto"/>
              <w:bottom w:val="single" w:sz="6" w:space="0" w:color="auto"/>
              <w:right w:val="single" w:sz="6" w:space="0" w:color="auto"/>
            </w:tcBorders>
            <w:vAlign w:val="center"/>
          </w:tcPr>
          <w:p w:rsidR="00221D51" w:rsidRDefault="00221D51" w:rsidP="00231957">
            <w:pPr>
              <w:pStyle w:val="Tabletext"/>
              <w:jc w:val="center"/>
              <w:rPr>
                <w:lang w:val="es-ES"/>
              </w:rPr>
            </w:pPr>
            <w:r>
              <w:rPr>
                <w:lang w:val="es-ES"/>
              </w:rPr>
              <w:t>L</w:t>
            </w:r>
          </w:p>
        </w:tc>
      </w:tr>
      <w:tr w:rsidR="00221D51" w:rsidTr="00221D51">
        <w:tblPrEx>
          <w:tblBorders>
            <w:bottom w:val="none" w:sz="0" w:space="0" w:color="auto"/>
          </w:tblBorders>
        </w:tblPrEx>
        <w:trPr>
          <w:cantSplit/>
          <w:jc w:val="center"/>
        </w:trPr>
        <w:tc>
          <w:tcPr>
            <w:tcW w:w="9659" w:type="dxa"/>
            <w:gridSpan w:val="6"/>
            <w:tcBorders>
              <w:top w:val="single" w:sz="6" w:space="0" w:color="auto"/>
              <w:left w:val="nil"/>
              <w:bottom w:val="nil"/>
              <w:right w:val="nil"/>
            </w:tcBorders>
            <w:vAlign w:val="center"/>
          </w:tcPr>
          <w:p w:rsidR="00221D51" w:rsidRDefault="00221D51" w:rsidP="00221D51">
            <w:pPr>
              <w:pStyle w:val="Tablelegend"/>
            </w:pPr>
            <w:r>
              <w:rPr>
                <w:vertAlign w:val="superscript"/>
                <w:lang w:val="fr-CH"/>
              </w:rPr>
              <w:t>(1)</w:t>
            </w:r>
            <w:r>
              <w:tab/>
              <w:t>P: Attribution à titre primaire, en partage avec des services passifs seulement (numéro 5.340 du RR); p: attribution à titre primaire, en partage avec des services actifs; s : attribution à titre secondaire.</w:t>
            </w:r>
          </w:p>
          <w:p w:rsidR="00221D51" w:rsidRDefault="00221D51" w:rsidP="00221D51">
            <w:pPr>
              <w:pStyle w:val="Tablelegend"/>
            </w:pPr>
            <w:r>
              <w:rPr>
                <w:vertAlign w:val="superscript"/>
              </w:rPr>
              <w:t>(2)</w:t>
            </w:r>
            <w:r>
              <w:tab/>
              <w:t>N: Nadir; les modes de balayage au Nadir sont axés sur un sondage ou une observation de la surface de la Terre à des angles d'incidence proches de la verticale. Le balayage se termine à la surface de la Terre ou à divers niveaux de l'atmosphère selon les fonctions de pondération. L: Limb; les modes de balayage au Limbe examinent l'atmosphère par la tranche et se terminent dans l'espace et non à la surface de la Terre. Elles sont donc pondérées zéro à la surface et au maximum à la hauteur du point tangent.</w:t>
            </w:r>
          </w:p>
          <w:p w:rsidR="00221D51" w:rsidRDefault="00221D51" w:rsidP="00221D51">
            <w:pPr>
              <w:pStyle w:val="Tablelegend"/>
            </w:pPr>
            <w:r>
              <w:rPr>
                <w:vertAlign w:val="superscript"/>
              </w:rPr>
              <w:t>(3)</w:t>
            </w:r>
            <w:r>
              <w:tab/>
              <w:t>Largeur de bande occupée par plusieurs canaux.</w:t>
            </w:r>
          </w:p>
          <w:p w:rsidR="00221D51" w:rsidRDefault="00221D51" w:rsidP="00221D51">
            <w:pPr>
              <w:pStyle w:val="Tablelegend"/>
            </w:pPr>
            <w:r>
              <w:rPr>
                <w:vertAlign w:val="superscript"/>
              </w:rPr>
              <w:t>(4)</w:t>
            </w:r>
            <w:r>
              <w:tab/>
              <w:t>Cette bande est nécessaire jusqu'en 2018 pour les télédétecteurs actuels et en projet.</w:t>
            </w:r>
          </w:p>
          <w:p w:rsidR="00221D51" w:rsidRDefault="00221D51" w:rsidP="00C7141F">
            <w:pPr>
              <w:pStyle w:val="Tablelegend"/>
              <w:tabs>
                <w:tab w:val="clear" w:pos="567"/>
                <w:tab w:val="clear" w:pos="2552"/>
                <w:tab w:val="clear" w:pos="2835"/>
              </w:tabs>
            </w:pPr>
            <w:r>
              <w:t>HNO</w:t>
            </w:r>
            <w:r>
              <w:rPr>
                <w:vertAlign w:val="subscript"/>
              </w:rPr>
              <w:t>3</w:t>
            </w:r>
            <w:r>
              <w:t>:</w:t>
            </w:r>
            <w:r>
              <w:tab/>
              <w:t xml:space="preserve">acide </w:t>
            </w:r>
            <w:r w:rsidRPr="00221D51">
              <w:rPr>
                <w:lang w:val="fr-CH"/>
              </w:rPr>
              <w:t>nitrique</w:t>
            </w:r>
            <w:r>
              <w:tab/>
            </w:r>
            <w:r w:rsidR="00C7141F">
              <w:tab/>
            </w:r>
            <w:r>
              <w:t>H</w:t>
            </w:r>
            <w:r>
              <w:rPr>
                <w:vertAlign w:val="subscript"/>
              </w:rPr>
              <w:t>2</w:t>
            </w:r>
            <w:r>
              <w:t>O</w:t>
            </w:r>
            <w:r>
              <w:rPr>
                <w:vertAlign w:val="subscript"/>
              </w:rPr>
              <w:t>2</w:t>
            </w:r>
            <w:r>
              <w:t>:</w:t>
            </w:r>
            <w:r>
              <w:tab/>
            </w:r>
            <w:r w:rsidR="00C7141F">
              <w:tab/>
            </w:r>
            <w:r>
              <w:t>peroxyde d'hydrogène</w:t>
            </w:r>
            <w:r>
              <w:tab/>
              <w:t>SO</w:t>
            </w:r>
            <w:r>
              <w:rPr>
                <w:vertAlign w:val="subscript"/>
              </w:rPr>
              <w:t>2</w:t>
            </w:r>
            <w:r>
              <w:t>:</w:t>
            </w:r>
            <w:r>
              <w:tab/>
              <w:t>anhydride sulfureux</w:t>
            </w:r>
          </w:p>
          <w:p w:rsidR="00221D51" w:rsidRDefault="00221D51" w:rsidP="00C7141F">
            <w:pPr>
              <w:pStyle w:val="Tablelegend"/>
              <w:tabs>
                <w:tab w:val="clear" w:pos="567"/>
                <w:tab w:val="clear" w:pos="2552"/>
                <w:tab w:val="clear" w:pos="2835"/>
              </w:tabs>
            </w:pPr>
            <w:r>
              <w:t>CH</w:t>
            </w:r>
            <w:r>
              <w:rPr>
                <w:vertAlign w:val="subscript"/>
              </w:rPr>
              <w:t>3</w:t>
            </w:r>
            <w:r>
              <w:t>Cl:</w:t>
            </w:r>
            <w:r>
              <w:tab/>
            </w:r>
            <w:r w:rsidRPr="00221D51">
              <w:rPr>
                <w:lang w:val="fr-CH"/>
              </w:rPr>
              <w:t>chlorure</w:t>
            </w:r>
            <w:r>
              <w:t xml:space="preserve"> de méthyle</w:t>
            </w:r>
            <w:r>
              <w:tab/>
              <w:t>HOCl:</w:t>
            </w:r>
            <w:r>
              <w:tab/>
              <w:t>acide hypochlorseux</w:t>
            </w:r>
            <w:r>
              <w:tab/>
              <w:t>NO:</w:t>
            </w:r>
            <w:r>
              <w:tab/>
              <w:t>oxyde nitrique</w:t>
            </w:r>
          </w:p>
          <w:p w:rsidR="00221D51" w:rsidRDefault="00221D51" w:rsidP="00C7141F">
            <w:pPr>
              <w:pStyle w:val="Tablelegend"/>
              <w:tabs>
                <w:tab w:val="clear" w:pos="567"/>
                <w:tab w:val="clear" w:pos="2552"/>
                <w:tab w:val="clear" w:pos="2835"/>
              </w:tabs>
            </w:pPr>
            <w:r>
              <w:t>BrO:</w:t>
            </w:r>
            <w:r>
              <w:tab/>
              <w:t xml:space="preserve">oxyde </w:t>
            </w:r>
            <w:r w:rsidRPr="00221D51">
              <w:t>de</w:t>
            </w:r>
            <w:r>
              <w:t xml:space="preserve"> brome</w:t>
            </w:r>
            <w:r>
              <w:tab/>
              <w:t>N</w:t>
            </w:r>
            <w:r>
              <w:rPr>
                <w:vertAlign w:val="subscript"/>
              </w:rPr>
              <w:t>2</w:t>
            </w:r>
            <w:r>
              <w:t>O:</w:t>
            </w:r>
            <w:r>
              <w:tab/>
            </w:r>
            <w:r w:rsidR="00C7141F">
              <w:tab/>
            </w:r>
            <w:r>
              <w:t>protoxyde d'azote</w:t>
            </w:r>
            <w:r>
              <w:tab/>
            </w:r>
            <w:r w:rsidR="00C7141F">
              <w:tab/>
            </w:r>
            <w:r>
              <w:t>CO:</w:t>
            </w:r>
            <w:r>
              <w:tab/>
              <w:t>oxyde de carbone</w:t>
            </w:r>
          </w:p>
          <w:p w:rsidR="00221D51" w:rsidRDefault="00221D51" w:rsidP="00C7141F">
            <w:pPr>
              <w:pStyle w:val="Tablelegend"/>
              <w:tabs>
                <w:tab w:val="clear" w:pos="567"/>
                <w:tab w:val="clear" w:pos="2552"/>
                <w:tab w:val="clear" w:pos="2835"/>
              </w:tabs>
              <w:rPr>
                <w:lang w:val="fr-CH"/>
              </w:rPr>
            </w:pPr>
            <w:r>
              <w:t>HCl:</w:t>
            </w:r>
            <w:r>
              <w:tab/>
              <w:t xml:space="preserve">acide </w:t>
            </w:r>
            <w:r w:rsidRPr="00221D51">
              <w:t>chlorhydrique</w:t>
            </w:r>
            <w:r>
              <w:tab/>
              <w:t>ClO:</w:t>
            </w:r>
            <w:r>
              <w:tab/>
            </w:r>
            <w:r w:rsidR="00C7141F">
              <w:tab/>
            </w:r>
            <w:r>
              <w:t>oxyde de chlore</w:t>
            </w:r>
            <w:r>
              <w:tab/>
            </w:r>
            <w:r w:rsidR="00C7141F">
              <w:tab/>
            </w:r>
            <w:r>
              <w:t>O</w:t>
            </w:r>
            <w:r>
              <w:rPr>
                <w:vertAlign w:val="subscript"/>
              </w:rPr>
              <w:t>3</w:t>
            </w:r>
            <w:r>
              <w:t>:</w:t>
            </w:r>
            <w:r>
              <w:tab/>
              <w:t>ozone</w:t>
            </w:r>
          </w:p>
        </w:tc>
      </w:tr>
    </w:tbl>
    <w:p w:rsidR="00221D51" w:rsidRPr="00221D51" w:rsidRDefault="00221D51" w:rsidP="00221D51">
      <w:pPr>
        <w:pStyle w:val="Tablefin"/>
        <w:rPr>
          <w:vertAlign w:val="superscript"/>
          <w:lang w:val="fr-FR"/>
        </w:rPr>
      </w:pPr>
    </w:p>
    <w:p w:rsidR="00221D51" w:rsidRPr="00221D51" w:rsidRDefault="00221D51" w:rsidP="00221D51"/>
    <w:p w:rsidR="00221D51" w:rsidRPr="00221D51" w:rsidRDefault="00221D51" w:rsidP="00221D51"/>
    <w:p w:rsidR="00231957" w:rsidRDefault="00231957" w:rsidP="00221D51">
      <w:pPr>
        <w:pStyle w:val="AnnexNoTitle"/>
        <w:rPr>
          <w:lang w:val="fr-CH"/>
        </w:rPr>
      </w:pPr>
      <w:r>
        <w:rPr>
          <w:lang w:val="fr-CH"/>
        </w:rPr>
        <w:br w:type="page"/>
      </w:r>
    </w:p>
    <w:p w:rsidR="00221D51" w:rsidRDefault="00221D51" w:rsidP="00221D51">
      <w:pPr>
        <w:pStyle w:val="AnnexNoTitle"/>
        <w:rPr>
          <w:lang w:val="fr-CH"/>
        </w:rPr>
      </w:pPr>
      <w:r>
        <w:rPr>
          <w:lang w:val="fr-CH"/>
        </w:rPr>
        <w:lastRenderedPageBreak/>
        <w:t>Annexe 1</w:t>
      </w:r>
      <w:r>
        <w:rPr>
          <w:lang w:val="fr-CH"/>
        </w:rPr>
        <w:br/>
      </w:r>
      <w:r>
        <w:rPr>
          <w:lang w:val="fr-CH"/>
        </w:rPr>
        <w:br/>
        <w:t>Choix des fréquences de télédétection passive par satellite</w:t>
      </w:r>
    </w:p>
    <w:p w:rsidR="00221D51" w:rsidRDefault="00221D51" w:rsidP="00231957">
      <w:pPr>
        <w:pStyle w:val="Heading1"/>
        <w:rPr>
          <w:lang w:val="fr-CH"/>
        </w:rPr>
      </w:pPr>
      <w:bookmarkStart w:id="3" w:name="dsgno"/>
      <w:bookmarkEnd w:id="3"/>
      <w:r>
        <w:rPr>
          <w:lang w:val="fr-CH"/>
        </w:rPr>
        <w:t>1</w:t>
      </w:r>
      <w:r>
        <w:rPr>
          <w:lang w:val="fr-CH"/>
        </w:rPr>
        <w:tab/>
        <w:t>Introduction</w:t>
      </w:r>
    </w:p>
    <w:p w:rsidR="00221D51" w:rsidRDefault="00221D51" w:rsidP="00231957">
      <w:pPr>
        <w:rPr>
          <w:lang w:val="fr-CH"/>
        </w:rPr>
      </w:pPr>
      <w:r>
        <w:rPr>
          <w:lang w:val="fr-CH"/>
        </w:rPr>
        <w:t>La surface de la Terre et l'atmosphère rayonnent et absorbent de l'énergie hyperfréquences. La propagation dans l'atmosphère absorbante varie en fonction de la fréquence comme le montrent les courbes des Fig. 1a et 1b. Ces courbes ont été établies en reportant les valeurs calculées de l'affai</w:t>
      </w:r>
      <w:r>
        <w:rPr>
          <w:lang w:val="fr-CH"/>
        </w:rPr>
        <w:softHyphen/>
        <w:t>blissement sur un trajet zénithal Terre-satellite (angle d'élévation de 90</w:t>
      </w:r>
      <w:r>
        <w:rPr>
          <w:rFonts w:ascii="Symbol" w:hAnsi="Symbol"/>
          <w:lang w:val="fr-CH"/>
        </w:rPr>
        <w:t></w:t>
      </w:r>
      <w:r>
        <w:rPr>
          <w:lang w:val="fr-CH"/>
        </w:rPr>
        <w:t>) pour les raies d'absorption de l'oxygène, de la vapeur d'eau et de constituants mineurs. Ces calculs montrent que, dans certaines bandes de fréquences, l'atmosphère est opaque et que, dans d'autres, elle est presque transparente. Dans le cas du sondage au nadir, par exemple, les régions presque transparentes, appelées fenêtres, permettent de détecter des phénomènes qui se déroulent au voisinage de la surface de la Terre; celles qui sont opaques permettent d'étudier les caractéristiques des couches de l'atmosphère.</w:t>
      </w:r>
    </w:p>
    <w:p w:rsidR="00221D51" w:rsidRDefault="00221D51" w:rsidP="00221D51">
      <w:pPr>
        <w:pStyle w:val="FigureNo"/>
        <w:rPr>
          <w:lang w:val="fr-CH"/>
        </w:rPr>
      </w:pPr>
      <w:r>
        <w:rPr>
          <w:noProof/>
          <w:lang w:val="en-US" w:eastAsia="zh-CN"/>
        </w:rPr>
        <w:drawing>
          <wp:inline distT="0" distB="0" distL="0" distR="0" wp14:anchorId="6FF644CE" wp14:editId="55BA8480">
            <wp:extent cx="5255895" cy="400748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5895" cy="4007485"/>
                    </a:xfrm>
                    <a:prstGeom prst="rect">
                      <a:avLst/>
                    </a:prstGeom>
                    <a:noFill/>
                    <a:ln>
                      <a:noFill/>
                    </a:ln>
                  </pic:spPr>
                </pic:pic>
              </a:graphicData>
            </a:graphic>
          </wp:inline>
        </w:drawing>
      </w:r>
    </w:p>
    <w:p w:rsidR="00221D51" w:rsidRDefault="00221D51" w:rsidP="00231957">
      <w:pPr>
        <w:pStyle w:val="Normalaftertitle"/>
      </w:pPr>
      <w:r>
        <w:t xml:space="preserve">La température de brillance de la surface, la température de l'atmosphère en des points le long du trajet et les coefficients d'absorption sont déduits des mesures de la température, </w:t>
      </w:r>
      <w:r>
        <w:rPr>
          <w:i/>
        </w:rPr>
        <w:t>T</w:t>
      </w:r>
      <w:r>
        <w:rPr>
          <w:i/>
          <w:iCs/>
          <w:vertAlign w:val="subscript"/>
        </w:rPr>
        <w:t>A</w:t>
      </w:r>
      <w:r>
        <w:t>, de l'antenne. Les températures de brillance de la surface et les coefficients d'absorption dépendent eux</w:t>
      </w:r>
      <w:r>
        <w:noBreakHyphen/>
        <w:t>mêmes des caractéristiques physiques de la surface ou de l'atmosphère étudiées. On ne peut pas, par simple observation sur une seule fréquence, mesurer une caractéristique physique. Il faut pour cela effectuer simultanément des observations sur plusieurs fréquences et combiner les résultats au moyen de modèles simulant les variations de la température de brillance de la surface et celles du coefficient d'absorption en fonction de la fréquence et des caractéristiques physiques.</w:t>
      </w:r>
    </w:p>
    <w:p w:rsidR="00221D51" w:rsidRDefault="00221D51" w:rsidP="00231957">
      <w:pPr>
        <w:pStyle w:val="FigureNo"/>
        <w:rPr>
          <w:lang w:val="fr-CH"/>
        </w:rPr>
      </w:pPr>
      <w:r>
        <w:rPr>
          <w:noProof/>
          <w:lang w:val="en-US" w:eastAsia="zh-CN"/>
        </w:rPr>
        <w:lastRenderedPageBreak/>
        <w:drawing>
          <wp:inline distT="0" distB="0" distL="0" distR="0" wp14:anchorId="6F7A1177" wp14:editId="38FD02CF">
            <wp:extent cx="5701030" cy="40951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1030" cy="4095115"/>
                    </a:xfrm>
                    <a:prstGeom prst="rect">
                      <a:avLst/>
                    </a:prstGeom>
                    <a:noFill/>
                    <a:ln>
                      <a:noFill/>
                    </a:ln>
                  </pic:spPr>
                </pic:pic>
              </a:graphicData>
            </a:graphic>
          </wp:inline>
        </w:drawing>
      </w:r>
    </w:p>
    <w:p w:rsidR="00221D51" w:rsidRDefault="00221D51" w:rsidP="00231957">
      <w:pPr>
        <w:pStyle w:val="Normalaftertitle"/>
        <w:rPr>
          <w:lang w:val="fr-CH"/>
        </w:rPr>
      </w:pPr>
      <w:r>
        <w:rPr>
          <w:lang w:val="fr-CH"/>
        </w:rPr>
        <w:t>Le choix des fréquences de travail des détecteurs passifs hyperfréquences s'effectue essentiellement en fonction du phénomène à étudier. Pour certaines applications, et notamment les mesures des rayonnements hyperfréquences des gaz atmosphériques, le choix des fréquences sera limité; il sera déterminé par les fréquences des raies spectrales de ces gaz. Dans d'autres cas, la gamme de fréquences utilisée pour l'étude de phénomènes sera plus étendue.</w:t>
      </w:r>
    </w:p>
    <w:p w:rsidR="00221D51" w:rsidRDefault="00221D51" w:rsidP="00231957">
      <w:pPr>
        <w:pStyle w:val="Heading1"/>
        <w:rPr>
          <w:lang w:val="fr-CH"/>
        </w:rPr>
      </w:pPr>
      <w:bookmarkStart w:id="4" w:name="_Toc393171401"/>
      <w:r>
        <w:rPr>
          <w:lang w:val="fr-CH"/>
        </w:rPr>
        <w:t>2</w:t>
      </w:r>
      <w:r>
        <w:rPr>
          <w:lang w:val="fr-CH"/>
        </w:rPr>
        <w:tab/>
        <w:t>Mesures des caractéristiques atmosphériques</w:t>
      </w:r>
      <w:bookmarkEnd w:id="4"/>
    </w:p>
    <w:p w:rsidR="00221D51" w:rsidRDefault="00221D51" w:rsidP="00231957">
      <w:pPr>
        <w:rPr>
          <w:lang w:val="fr-CH"/>
        </w:rPr>
      </w:pPr>
      <w:r>
        <w:rPr>
          <w:lang w:val="fr-CH"/>
        </w:rPr>
        <w:t>L'affaiblissement dû à l'atmosphère n'est pas localisé dans une seule couche atmosphérique de température constante. La valeur mesurée de la température d'antenne dépend principalement de la température atmosphérique régnant dans la région traversée lorsque l'affaiblissement total sur le trajet jusqu'au satellite est inférieur à 10 dB, tandis qu'elle dépend peu de la température atmos</w:t>
      </w:r>
      <w:r>
        <w:rPr>
          <w:lang w:val="fr-CH"/>
        </w:rPr>
        <w:softHyphen/>
        <w:t xml:space="preserve">phérique dans les régions où l'affaiblissement est très petit ou lorsque l'affaiblissement total sur le trajet jusqu'au satellite est grand. On peut mesurer la température à différentes altitudes ou distances le long d'un trajet en choisissant des fréquences, en limite des régions opaques, qui donnent des valeurs d'affaiblissement différentes. On obtient ainsi différentes fonctions de pondération et différents coefficients multiplicateurs de la température atmosphérique, </w:t>
      </w:r>
      <w:r>
        <w:rPr>
          <w:i/>
          <w:lang w:val="fr-CH"/>
        </w:rPr>
        <w:t>T</w:t>
      </w:r>
      <w:r>
        <w:rPr>
          <w:lang w:val="fr-CH"/>
        </w:rPr>
        <w:t>(</w:t>
      </w:r>
      <w:r>
        <w:rPr>
          <w:i/>
          <w:lang w:val="fr-CH"/>
        </w:rPr>
        <w:t>s</w:t>
      </w:r>
      <w:r>
        <w:rPr>
          <w:lang w:val="fr-CH"/>
        </w:rPr>
        <w:t>), en un point donné.</w:t>
      </w:r>
    </w:p>
    <w:p w:rsidR="00221D51" w:rsidRDefault="00221D51" w:rsidP="00231957">
      <w:pPr>
        <w:rPr>
          <w:lang w:val="fr-CH"/>
        </w:rPr>
      </w:pPr>
      <w:r>
        <w:rPr>
          <w:lang w:val="fr-CH"/>
        </w:rPr>
        <w:t>Afin d'obtenir un ensemble suffisant de fonctions de pondération pour les mesures des profils de température atmosphérique, de teneur en vapeur d'eau, en ozone, en monoxyde de chlore et protoxyde d'azote et en monoxyde de carbone, on peut choisir plusieurs fréquences. Pour les quatre dernières mesures moléculaires, aucune raie n'a une structure assez fine comme dans la bande de profil de température de O</w:t>
      </w:r>
      <w:r>
        <w:rPr>
          <w:vertAlign w:val="subscript"/>
          <w:lang w:val="fr-CH"/>
        </w:rPr>
        <w:t>2</w:t>
      </w:r>
      <w:r>
        <w:rPr>
          <w:lang w:val="fr-CH"/>
        </w:rPr>
        <w:t>, une largeur suffisante comme dans la bande de vapeur d'eau (environ 22,235 GHz) pour que l'on puisse mesurer les profils sur une seule raie, compte tenu des contraintes imposées par le satellite en matière de temps d'intégration. Il faut donc, afin d'obtenir des informations sur le profil de ces constituants, réaliser des mesures sur plusieurs raies.</w:t>
      </w:r>
    </w:p>
    <w:p w:rsidR="00221D51" w:rsidRDefault="00221D51" w:rsidP="00231957">
      <w:pPr>
        <w:rPr>
          <w:lang w:val="fr-CH"/>
        </w:rPr>
      </w:pPr>
      <w:r>
        <w:rPr>
          <w:lang w:val="fr-CH"/>
        </w:rPr>
        <w:lastRenderedPageBreak/>
        <w:t>Les profils de température atmosphérique sont actuellement obtenus à partir des mesures faites par des sondes spatiales dans les régions infrarouge et hyperfréquences (absorption de l'oxygène autour de 60 GHz).</w:t>
      </w:r>
    </w:p>
    <w:p w:rsidR="00221D51" w:rsidRDefault="00221D51" w:rsidP="00231957">
      <w:pPr>
        <w:rPr>
          <w:lang w:val="fr-CH"/>
        </w:rPr>
      </w:pPr>
      <w:r>
        <w:rPr>
          <w:lang w:val="fr-CH"/>
        </w:rPr>
        <w:t>La capacité tout temps (capacité d'un détecteur spatial de voir à travers la plupart des nuages) est probablement la caractéristique la plus importante des techniques hyperfréquences, par rapport aux techniques infrarouges. Cette caractéristique est fondamentale pour les prévisions du temps et les applications relatives aux sciences de l'atmosphère, puisque plus de 60% de la surface de la Terre, en moyenne, est entièrement couverte de nuages et que seulement 5% des étendues de 20 </w:t>
      </w:r>
      <w:r>
        <w:rPr>
          <w:rFonts w:ascii="Symbol" w:hAnsi="Symbol"/>
          <w:lang w:val="fr-CH"/>
        </w:rPr>
        <w:t></w:t>
      </w:r>
      <w:r>
        <w:rPr>
          <w:lang w:val="fr-CH"/>
        </w:rPr>
        <w:t> 20 km</w:t>
      </w:r>
      <w:r>
        <w:rPr>
          <w:vertAlign w:val="superscript"/>
          <w:lang w:val="fr-CH"/>
        </w:rPr>
        <w:t>2</w:t>
      </w:r>
      <w:r>
        <w:rPr>
          <w:lang w:val="fr-CH"/>
        </w:rPr>
        <w:t xml:space="preserve"> (soit la résolution spatiale type des sondes infrarouges spatiales) sont complètement dégagées. Cette situation rend le fonctionnement des sondes infrarouges très difficile; celles-ci n'ayant que peu ou pas d'accès aux régions météorologiquement actives.</w:t>
      </w:r>
    </w:p>
    <w:p w:rsidR="00221D51" w:rsidRDefault="00221D51" w:rsidP="00231957">
      <w:pPr>
        <w:rPr>
          <w:lang w:val="fr-CH"/>
        </w:rPr>
      </w:pPr>
      <w:r>
        <w:rPr>
          <w:lang w:val="fr-CH"/>
        </w:rPr>
        <w:t>La vaste région opaque comprise entre 50 et 66 GHz comporte plusieurs raies d'absorption étroites (opaques); des observations peuvent être faites aux limites de cette région ou dans les espaces entre les raies. La première raie du spectre d'absorption de l'O</w:t>
      </w:r>
      <w:r>
        <w:rPr>
          <w:vertAlign w:val="subscript"/>
          <w:lang w:val="fr-CH"/>
        </w:rPr>
        <w:t>2</w:t>
      </w:r>
      <w:r>
        <w:rPr>
          <w:lang w:val="fr-CH"/>
        </w:rPr>
        <w:t xml:space="preserve"> qui suit le spectre de raies situé autour de 60 GHz se trouve au voisinage de 118 GHz: elle offre moins de possibilités car elle est monochromatique et l'affaiblissement dû à l'humidité atmosphérique y est beaucoup plus grand.</w:t>
      </w:r>
    </w:p>
    <w:p w:rsidR="00221D51" w:rsidRDefault="00221D51" w:rsidP="00231957">
      <w:pPr>
        <w:rPr>
          <w:lang w:val="fr-CH"/>
        </w:rPr>
      </w:pPr>
      <w:r>
        <w:rPr>
          <w:lang w:val="fr-CH"/>
        </w:rPr>
        <w:t>La présence de nuages et de précipitations sur le trajet peut augmenter l'affaiblissement. Les nuages et les précipitations peuvent être détectés dans les fenêtres atmosphériques comprises entre 5 et 150 GHz. Pour distinguer l'effet des nuages de celui des précipitations et distinguer ces effets des rayonnements émis par la surface de la Terre, des observations multiples sur une large gamme de fréquences sont nécessaires.</w:t>
      </w:r>
    </w:p>
    <w:p w:rsidR="00221D51" w:rsidRDefault="00221D51" w:rsidP="00231957">
      <w:pPr>
        <w:rPr>
          <w:lang w:val="fr-CH"/>
        </w:rPr>
      </w:pPr>
      <w:r>
        <w:rPr>
          <w:lang w:val="fr-CH"/>
        </w:rPr>
        <w:t>On peut utiliser la géométrie de sondage au limbe, l'atmosphère étant observée tangentiellement, à partir d'un satellite ou d'un instrument aéroporté pour détecter les profils de concentration d'espèces à l'état de traces qui sont utiles pour l'étude de la chimie atmosphérique. Le sondage au limbe est plus sensible que le sondage au nadir et permet une résolution verticale plus élevée. Les fréquences submillimétriques d'environ 500 GHz et plus permettent de poursuivre le sondage jusqu'aux couches inférieures de la stratosphère. Les fréquences millimétriques, notamment celles comprises entre 180 et 360 GHz, permettent de sonder à des altitudes inférieures, i.e. pour atteindre les couches su</w:t>
      </w:r>
      <w:bookmarkStart w:id="5" w:name="_Toc393171402"/>
      <w:r>
        <w:rPr>
          <w:lang w:val="fr-CH"/>
        </w:rPr>
        <w:t>périeures de la troposphère.</w:t>
      </w:r>
    </w:p>
    <w:p w:rsidR="00221D51" w:rsidRDefault="00221D51" w:rsidP="00231957">
      <w:pPr>
        <w:pStyle w:val="Heading1"/>
        <w:rPr>
          <w:lang w:val="fr-CH"/>
        </w:rPr>
      </w:pPr>
      <w:r>
        <w:rPr>
          <w:lang w:val="fr-CH"/>
        </w:rPr>
        <w:t>3</w:t>
      </w:r>
      <w:r>
        <w:rPr>
          <w:lang w:val="fr-CH"/>
        </w:rPr>
        <w:tab/>
        <w:t>Télédétection appliquée au milieu terrestre et au milieu marin</w:t>
      </w:r>
      <w:bookmarkEnd w:id="5"/>
    </w:p>
    <w:p w:rsidR="00221D51" w:rsidRDefault="00221D51" w:rsidP="00231957">
      <w:pPr>
        <w:rPr>
          <w:lang w:val="fr-CH"/>
        </w:rPr>
      </w:pPr>
      <w:r>
        <w:rPr>
          <w:lang w:val="fr-CH"/>
        </w:rPr>
        <w:t>Les ondes rayonnées par la surface de la Terre traversent l'atmosphère avant d'atteindre le satellite. Si l'affaiblissement est trop grand, ces rayonnements ne peuvent être détectés. Pour mesurer les températures des couches basses de l'atmosphère, il faut que l'affaiblissement soit faible; dans ce cas, le détecteur reçoit à la fois les ondes thermiques émises par la surface de la Terre et celles émises par l'atmosphère. Pour distinguer ces deux rayonnements, il est nécessaire de faire des mesures complémentaires dans ces fenêtres. Le rayonnement de surface est proportionnel à la température et au pouvoir émissif du sol. Ces caractéristiques dépendent des propriétés diélectriques du sol et de sa rugosité. Si le pouvoir émissif est inférieur à l'unité, la surface émet et diffuse des rayonnements. Le rayonnement diffusé provient d'un rayonnement vers le bas de la couche atmosphérique située au</w:t>
      </w:r>
      <w:r>
        <w:rPr>
          <w:lang w:val="fr-CH"/>
        </w:rPr>
        <w:noBreakHyphen/>
        <w:t>dessus du sol. Dans le cas d'une fenêtre où l'affaiblissement est très faible, le rayonnement diffusé est négligeable, sinon on doit en tenir compte pour la solution.</w:t>
      </w:r>
    </w:p>
    <w:p w:rsidR="00221D51" w:rsidRDefault="00221D51" w:rsidP="00231957">
      <w:pPr>
        <w:rPr>
          <w:lang w:val="fr-CH"/>
        </w:rPr>
      </w:pPr>
      <w:r>
        <w:rPr>
          <w:lang w:val="fr-CH"/>
        </w:rPr>
        <w:t xml:space="preserve">La température de brillance de la surface ne varie pas aussi rapidement en fonction de la fréquence que les rayonnements dans les raies d'absorption atmosphériques. Comme l'influence des caractéristiques de la surface varie assez lentement avec la fréquence, la détermination de ces </w:t>
      </w:r>
      <w:r>
        <w:rPr>
          <w:lang w:val="fr-CH"/>
        </w:rPr>
        <w:br w:type="page"/>
      </w:r>
      <w:r>
        <w:rPr>
          <w:lang w:val="fr-CH"/>
        </w:rPr>
        <w:lastRenderedPageBreak/>
        <w:t>caractéristiques nécessite plusieurs observations simultanées sur une large gamme de fréquences dans les fenêtres atmosphériques. La distinction entre les divers paramètres ne peut s'effectuer que si ces paramètres varient différemment en fonction de la fréquence. La température de brillance de la surface de l'océan dépend de sa salinité, de sa température et du vent. Le vent modifie la température de brillance par agitation de la surface de la mer et production d'écume dont les propriétés diélectriques diffèrent de celles de l'eau. Les mesures de salinité s'effectuent à des fréquences inférieures à 3 GHz, et si la précision l'exige, en dessous de 1,5 GHz. La mesure de température à la surface de la mer s'effectue entre 3 et 10 GHz, la fréquence optimale étant voisine de 5 GHz. Le vent affecte les observations à toutes les fréquences, mais les mesures les meilleures s'effectuent au-dessus de 15 GHz.</w:t>
      </w:r>
    </w:p>
    <w:p w:rsidR="00221D51" w:rsidRDefault="00221D51" w:rsidP="00231957">
      <w:pPr>
        <w:rPr>
          <w:lang w:val="fr-CH"/>
        </w:rPr>
      </w:pPr>
      <w:r>
        <w:rPr>
          <w:lang w:val="fr-CH"/>
        </w:rPr>
        <w:t>Une pellicule de glace ou une nappe d'hydrocarbure flottant à la surface de la mer ont des caractéristiques diélectriques différentes de celles de l'eau, ce qui permet de les détecter par différence de température de brillance. Aux fréquences supérieures à 30 GHz pour une nappe d'huile et entre 1 et 40 GHz pour un banc de glace, cette modification peut être supérieure à 50 K. Bien que les pellicules de glace et les nappes d'hydrocarbure puissent provoquer de fortes variations de la température de brillance, il faut procéder à des observations dans plusieurs fenêtres atmosphériques pour pouvoir distinguer leurs effets de ceux de la pluie et des nuages.</w:t>
      </w:r>
    </w:p>
    <w:p w:rsidR="00221D51" w:rsidRDefault="00221D51" w:rsidP="00231957">
      <w:pPr>
        <w:rPr>
          <w:lang w:val="fr-CH"/>
        </w:rPr>
      </w:pPr>
      <w:r>
        <w:rPr>
          <w:lang w:val="fr-CH"/>
        </w:rPr>
        <w:t>La nature du contenu en eau des couches de surface peut être étudiée par des mesures hyperfréquences. La température de brillance de la neige et celle du sol sont l'une et l'autre fonction du contenu en eau et de la fréquence. En général, l'épaisseur de la couche que l'on peut mesurer est d'autant plus grande que la fréquence est basse. Comme l'humidité à la surface dépend du profil d'humidité en dessous de cette surface, il peut être utile d'effectuer des observations à des fréquences plus élevées. Les observations à 37 GHz et aux fréquences supérieures permettent une étude précise de la fusion de la neige au voisinage de la surface. Pour l'étude de l'humidité du sol, et en particulier du sol en dessous de la couverture végétale, les fréquences inférieures à 3 GHz sont les plus intéressantes. Dans la pratique, plusieurs fréquences sont nécessaires pour, d'une part classer les surfaces en fonction de leur rugosité, de leur couverture végétale ou de l'âge de la couche de glace marine, etc., et d'autre part, mesurer les paramètres comme l'épaisseur de la glace ou l'humidité.</w:t>
      </w:r>
    </w:p>
    <w:p w:rsidR="00221D51" w:rsidRDefault="00221D51" w:rsidP="00221D51">
      <w:pPr>
        <w:pStyle w:val="AnnexNoTitle"/>
      </w:pPr>
      <w:r>
        <w:t>Annexe 2</w:t>
      </w:r>
      <w:r>
        <w:br/>
      </w:r>
      <w:r>
        <w:br/>
        <w:t>Facteurs liés à la détermination des largeurs de bande requises</w:t>
      </w:r>
    </w:p>
    <w:p w:rsidR="00221D51" w:rsidRDefault="00221D51" w:rsidP="00231957">
      <w:pPr>
        <w:pStyle w:val="Heading1"/>
        <w:rPr>
          <w:lang w:val="fr-CH"/>
        </w:rPr>
      </w:pPr>
      <w:bookmarkStart w:id="6" w:name="_Toc393171403"/>
      <w:r>
        <w:rPr>
          <w:lang w:val="fr-CH"/>
        </w:rPr>
        <w:t>1</w:t>
      </w:r>
      <w:r>
        <w:rPr>
          <w:lang w:val="fr-CH"/>
        </w:rPr>
        <w:tab/>
        <w:t>Sensibilité des récepteurs radiométriques</w:t>
      </w:r>
      <w:bookmarkEnd w:id="6"/>
    </w:p>
    <w:p w:rsidR="00221D51" w:rsidRDefault="00221D51" w:rsidP="00221D51">
      <w:pPr>
        <w:rPr>
          <w:lang w:val="fr-CH"/>
        </w:rPr>
      </w:pPr>
      <w:r>
        <w:rPr>
          <w:lang w:val="fr-CH"/>
        </w:rPr>
        <w:t>Un récepteur radiométrique est un appareil qui mesure les rayonnements thermiques reçus par son antenne et le bruit thermique qu'il produit. En intégrant le signal reçu, on peut réduire les fluctuations de bruit aléatoires et évaluer avec précision la somme des puissances du bruit thermique du récepteur et du bruit thermique des rayonnements extérieurs. En convertissant la puissance de bruit par unité de largeur de bande en une température de bruit équivalente, on peut exprimer comme suit l'incertitude de la mesure en fonction de la durée d'intégration:</w:t>
      </w:r>
    </w:p>
    <w:p w:rsidR="00221D51" w:rsidRDefault="00221D51" w:rsidP="00221D51">
      <w:pPr>
        <w:pStyle w:val="Equation"/>
        <w:rPr>
          <w:lang w:val="fr-CH"/>
        </w:rPr>
      </w:pPr>
      <w:r>
        <w:rPr>
          <w:lang w:val="fr-CH"/>
        </w:rPr>
        <w:tab/>
      </w:r>
      <w:r>
        <w:rPr>
          <w:lang w:val="fr-CH"/>
        </w:rPr>
        <w:tab/>
      </w:r>
      <w:r>
        <w:rPr>
          <w:position w:val="-28"/>
        </w:rPr>
        <w:object w:dxaOrig="18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33.5pt" o:ole="">
            <v:imagedata r:id="rId16" o:title=""/>
          </v:shape>
          <o:OLEObject Type="Embed" ProgID="Equation.3" ShapeID="_x0000_i1025" DrawAspect="Content" ObjectID="_1368865997" r:id="rId17"/>
        </w:object>
      </w:r>
    </w:p>
    <w:p w:rsidR="00221D51" w:rsidRDefault="00221D51" w:rsidP="00221D51">
      <w:pPr>
        <w:rPr>
          <w:lang w:val="fr-CH"/>
        </w:rPr>
      </w:pPr>
      <w:r>
        <w:rPr>
          <w:lang w:val="fr-CH"/>
        </w:rPr>
        <w:t>où:</w:t>
      </w:r>
    </w:p>
    <w:p w:rsidR="00221D51" w:rsidRDefault="00221D51" w:rsidP="00E624D9">
      <w:pPr>
        <w:pStyle w:val="Equationlegend"/>
        <w:rPr>
          <w:lang w:val="fr-CH"/>
        </w:rPr>
      </w:pPr>
      <w:r>
        <w:rPr>
          <w:rFonts w:ascii="Symbol" w:hAnsi="Symbol"/>
          <w:lang w:val="fr-CH"/>
        </w:rPr>
        <w:tab/>
      </w:r>
      <w:r>
        <w:rPr>
          <w:rFonts w:ascii="Symbol" w:hAnsi="Symbol"/>
          <w:lang w:val="fr-CH"/>
        </w:rPr>
        <w:t></w:t>
      </w:r>
      <w:r>
        <w:rPr>
          <w:i/>
          <w:lang w:val="fr-CH"/>
        </w:rPr>
        <w:t>T</w:t>
      </w:r>
      <w:r>
        <w:rPr>
          <w:i/>
          <w:iCs/>
          <w:vertAlign w:val="subscript"/>
          <w:lang w:val="fr-CH"/>
        </w:rPr>
        <w:t>e</w:t>
      </w:r>
      <w:r>
        <w:rPr>
          <w:rFonts w:ascii="Tms Rmn" w:hAnsi="Tms Rmn"/>
          <w:sz w:val="12"/>
          <w:lang w:val="fr-CH"/>
        </w:rPr>
        <w:t> </w:t>
      </w:r>
      <w:r>
        <w:rPr>
          <w:lang w:val="fr-CH"/>
        </w:rPr>
        <w:t>:</w:t>
      </w:r>
      <w:r>
        <w:rPr>
          <w:lang w:val="fr-CH"/>
        </w:rPr>
        <w:tab/>
        <w:t xml:space="preserve">résolution radiométrique (incertitude (valeur quadratique moyenne) sur la mesure du bruit total du système, </w:t>
      </w:r>
      <w:r>
        <w:rPr>
          <w:i/>
          <w:lang w:val="fr-CH"/>
        </w:rPr>
        <w:t>T</w:t>
      </w:r>
      <w:r>
        <w:rPr>
          <w:i/>
          <w:iCs/>
          <w:vertAlign w:val="subscript"/>
          <w:lang w:val="fr-CH"/>
        </w:rPr>
        <w:t>A</w:t>
      </w:r>
      <w:r>
        <w:rPr>
          <w:lang w:val="fr-CH"/>
        </w:rPr>
        <w:t xml:space="preserve"> </w:t>
      </w:r>
      <w:r>
        <w:rPr>
          <w:rFonts w:ascii="Symbol" w:hAnsi="Symbol"/>
          <w:lang w:val="fr-CH"/>
        </w:rPr>
        <w:t></w:t>
      </w:r>
      <w:r>
        <w:rPr>
          <w:rFonts w:ascii="Symbol" w:hAnsi="Symbol"/>
          <w:lang w:val="fr-CH"/>
        </w:rPr>
        <w:t></w:t>
      </w:r>
      <w:r>
        <w:rPr>
          <w:i/>
          <w:iCs/>
          <w:lang w:val="fr-CH"/>
        </w:rPr>
        <w:t>T</w:t>
      </w:r>
      <w:r>
        <w:rPr>
          <w:i/>
          <w:iCs/>
          <w:vertAlign w:val="subscript"/>
          <w:lang w:val="fr-CH"/>
        </w:rPr>
        <w:t>N</w:t>
      </w:r>
      <w:r>
        <w:rPr>
          <w:lang w:val="fr-CH"/>
        </w:rPr>
        <w:t>)</w:t>
      </w:r>
    </w:p>
    <w:p w:rsidR="00221D51" w:rsidRDefault="00221D51" w:rsidP="00221D51">
      <w:pPr>
        <w:pStyle w:val="Equationlegend"/>
        <w:rPr>
          <w:lang w:val="fr-CH"/>
        </w:rPr>
      </w:pPr>
      <w:r>
        <w:rPr>
          <w:rFonts w:ascii="Symbol" w:hAnsi="Symbol"/>
          <w:lang w:val="fr-CH"/>
        </w:rPr>
        <w:lastRenderedPageBreak/>
        <w:tab/>
      </w:r>
      <w:r>
        <w:rPr>
          <w:rFonts w:ascii="Symbol" w:hAnsi="Symbol"/>
          <w:lang w:val="fr-CH"/>
        </w:rPr>
        <w:t></w:t>
      </w:r>
      <w:r>
        <w:rPr>
          <w:rFonts w:ascii="Tms Rmn" w:hAnsi="Tms Rmn"/>
          <w:sz w:val="12"/>
          <w:lang w:val="fr-CH"/>
        </w:rPr>
        <w:t> </w:t>
      </w:r>
      <w:r>
        <w:rPr>
          <w:lang w:val="fr-CH"/>
        </w:rPr>
        <w:t>:</w:t>
      </w:r>
      <w:r>
        <w:rPr>
          <w:lang w:val="fr-CH"/>
        </w:rPr>
        <w:tab/>
      </w:r>
      <w:r>
        <w:rPr>
          <w:lang w:val="fr-CH"/>
        </w:rPr>
        <w:tab/>
        <w:t xml:space="preserve">constante du système de réception, </w:t>
      </w:r>
      <w:r>
        <w:rPr>
          <w:lang w:val="fr-CH"/>
        </w:rPr>
        <w:sym w:font="Symbol" w:char="F0B3"/>
      </w:r>
      <w:r>
        <w:rPr>
          <w:lang w:val="fr-CH"/>
        </w:rPr>
        <w:t xml:space="preserve"> 1, selon la conception du système</w:t>
      </w:r>
    </w:p>
    <w:p w:rsidR="00221D51" w:rsidRDefault="00221D51" w:rsidP="00221D51">
      <w:pPr>
        <w:pStyle w:val="Equationlegend"/>
        <w:rPr>
          <w:lang w:val="fr-CH"/>
        </w:rPr>
      </w:pPr>
      <w:r>
        <w:rPr>
          <w:i/>
          <w:lang w:val="fr-CH"/>
        </w:rPr>
        <w:tab/>
        <w:t>T</w:t>
      </w:r>
      <w:r>
        <w:rPr>
          <w:i/>
          <w:iCs/>
          <w:vertAlign w:val="subscript"/>
          <w:lang w:val="fr-CH"/>
        </w:rPr>
        <w:t>A</w:t>
      </w:r>
      <w:r>
        <w:rPr>
          <w:rFonts w:ascii="Tms Rmn" w:hAnsi="Tms Rmn"/>
          <w:i/>
          <w:position w:val="-4"/>
          <w:sz w:val="12"/>
          <w:lang w:val="fr-CH"/>
        </w:rPr>
        <w:t> </w:t>
      </w:r>
      <w:r>
        <w:rPr>
          <w:lang w:val="fr-CH"/>
        </w:rPr>
        <w:t>:</w:t>
      </w:r>
      <w:r>
        <w:rPr>
          <w:lang w:val="fr-CH"/>
        </w:rPr>
        <w:tab/>
      </w:r>
      <w:r>
        <w:rPr>
          <w:lang w:val="fr-CH"/>
        </w:rPr>
        <w:tab/>
        <w:t>température de l'antenne</w:t>
      </w:r>
    </w:p>
    <w:p w:rsidR="00221D51" w:rsidRDefault="00221D51" w:rsidP="00221D51">
      <w:pPr>
        <w:pStyle w:val="Equationlegend"/>
        <w:rPr>
          <w:lang w:val="fr-CH"/>
        </w:rPr>
      </w:pPr>
      <w:r>
        <w:rPr>
          <w:i/>
          <w:lang w:val="fr-CH"/>
        </w:rPr>
        <w:tab/>
        <w:t>T</w:t>
      </w:r>
      <w:r>
        <w:rPr>
          <w:i/>
          <w:iCs/>
          <w:vertAlign w:val="subscript"/>
          <w:lang w:val="fr-CH"/>
        </w:rPr>
        <w:t>N</w:t>
      </w:r>
      <w:r>
        <w:rPr>
          <w:rFonts w:ascii="Tms Rmn" w:hAnsi="Tms Rmn"/>
          <w:sz w:val="12"/>
          <w:lang w:val="fr-CH"/>
        </w:rPr>
        <w:t> </w:t>
      </w:r>
      <w:r>
        <w:rPr>
          <w:rFonts w:ascii="Tms Rmn" w:hAnsi="Tms Rmn"/>
          <w:i/>
          <w:position w:val="-4"/>
          <w:sz w:val="12"/>
          <w:lang w:val="fr-CH"/>
        </w:rPr>
        <w:t> </w:t>
      </w:r>
      <w:r>
        <w:rPr>
          <w:lang w:val="fr-CH"/>
        </w:rPr>
        <w:t>:</w:t>
      </w:r>
      <w:r>
        <w:rPr>
          <w:lang w:val="fr-CH"/>
        </w:rPr>
        <w:tab/>
      </w:r>
      <w:r>
        <w:rPr>
          <w:lang w:val="fr-CH"/>
        </w:rPr>
        <w:tab/>
        <w:t>température de bruit du récepteur</w:t>
      </w:r>
    </w:p>
    <w:p w:rsidR="00221D51" w:rsidRDefault="00221D51" w:rsidP="00E624D9">
      <w:pPr>
        <w:pStyle w:val="Equationlegend"/>
        <w:ind w:left="2160" w:hanging="2160"/>
        <w:rPr>
          <w:lang w:val="fr-CH"/>
        </w:rPr>
      </w:pPr>
      <w:r>
        <w:rPr>
          <w:i/>
          <w:lang w:val="fr-CH"/>
        </w:rPr>
        <w:tab/>
        <w:t>B</w:t>
      </w:r>
      <w:r>
        <w:rPr>
          <w:sz w:val="12"/>
          <w:lang w:val="fr-CH"/>
        </w:rPr>
        <w:t> </w:t>
      </w:r>
      <w:r>
        <w:rPr>
          <w:lang w:val="fr-CH"/>
        </w:rPr>
        <w:t>:</w:t>
      </w:r>
      <w:r>
        <w:rPr>
          <w:lang w:val="fr-CH"/>
        </w:rPr>
        <w:tab/>
      </w:r>
      <w:r>
        <w:rPr>
          <w:lang w:val="fr-CH"/>
        </w:rPr>
        <w:tab/>
        <w:t xml:space="preserve">résolution spectrale du spectroradiomètre ou largeur de bande d'un seul canal </w:t>
      </w:r>
      <w:bookmarkStart w:id="7" w:name="_GoBack"/>
      <w:bookmarkEnd w:id="7"/>
      <w:r>
        <w:rPr>
          <w:lang w:val="fr-CH"/>
        </w:rPr>
        <w:t>radiométrique</w:t>
      </w:r>
    </w:p>
    <w:p w:rsidR="00221D51" w:rsidRDefault="00221D51" w:rsidP="00221D51">
      <w:pPr>
        <w:pStyle w:val="Equationlegend"/>
        <w:rPr>
          <w:lang w:val="fr-CH"/>
        </w:rPr>
      </w:pPr>
      <w:r>
        <w:rPr>
          <w:rFonts w:ascii="Symbol" w:hAnsi="Symbol"/>
          <w:lang w:val="fr-CH"/>
        </w:rPr>
        <w:tab/>
      </w:r>
      <w:r>
        <w:rPr>
          <w:rFonts w:ascii="Symbol" w:hAnsi="Symbol"/>
          <w:lang w:val="fr-CH"/>
        </w:rPr>
        <w:t></w:t>
      </w:r>
      <w:r>
        <w:rPr>
          <w:sz w:val="12"/>
          <w:lang w:val="fr-CH"/>
        </w:rPr>
        <w:t> </w:t>
      </w:r>
      <w:r>
        <w:rPr>
          <w:lang w:val="fr-CH"/>
        </w:rPr>
        <w:t>:</w:t>
      </w:r>
      <w:r>
        <w:rPr>
          <w:lang w:val="fr-CH"/>
        </w:rPr>
        <w:tab/>
      </w:r>
      <w:r>
        <w:rPr>
          <w:lang w:val="fr-CH"/>
        </w:rPr>
        <w:tab/>
        <w:t>durée d'intégration.</w:t>
      </w:r>
    </w:p>
    <w:p w:rsidR="00221D51" w:rsidRDefault="00221D51" w:rsidP="00231957">
      <w:pPr>
        <w:rPr>
          <w:lang w:val="fr-CH"/>
        </w:rPr>
      </w:pPr>
      <w:r>
        <w:rPr>
          <w:lang w:val="fr-CH"/>
        </w:rPr>
        <w:t xml:space="preserve">La constante </w:t>
      </w:r>
      <w:r>
        <w:rPr>
          <w:lang w:val="fr-CH"/>
        </w:rPr>
        <w:sym w:font="Symbol" w:char="F061"/>
      </w:r>
      <w:r>
        <w:rPr>
          <w:lang w:val="fr-CH"/>
        </w:rPr>
        <w:t xml:space="preserve"> du système de réception est fonction du type de système de détection. Dans le cas des radiomètres à puissance totale utilisés par les détecteurs du service d'exploration de la Terre par satellite, cette constante ne peut pas être inférieure à l'unité. Dans la pratique, la plupart des radiomètres à puissance totale modernes approchent l'unité.</w:t>
      </w:r>
    </w:p>
    <w:p w:rsidR="00221D51" w:rsidRDefault="00221D51" w:rsidP="00231957">
      <w:pPr>
        <w:rPr>
          <w:lang w:val="fr-CH"/>
        </w:rPr>
      </w:pPr>
      <w:r>
        <w:rPr>
          <w:lang w:val="fr-CH"/>
        </w:rPr>
        <w:t>Aux longueurs d'onde supérieures à 3 cm, on peut obtenir une température de bruit de récepteur inférieure à 150 K avec des amplificateurs paramétriques à semi-conducteur. Aux longueurs d'onde inférieures à 3 cm, le type de récepteur le plus courant actuellement est le superhétérodyne avec une température de bruit comprise entre quelques centaines de degrés à 3 cm et environ 2</w:t>
      </w:r>
      <w:r>
        <w:rPr>
          <w:sz w:val="12"/>
          <w:lang w:val="fr-CH"/>
        </w:rPr>
        <w:t> </w:t>
      </w:r>
      <w:r>
        <w:rPr>
          <w:lang w:val="fr-CH"/>
        </w:rPr>
        <w:t>000 K à 3 mm. Les améliorations apportées aux transistors à mobilité électronique élevée vont permettre d'utiliser des préamplificateurs à faible bruit, avec des températures de bruit du récepteur de 300 K environ à 5 mm.</w:t>
      </w:r>
    </w:p>
    <w:p w:rsidR="00221D51" w:rsidRDefault="00221D51" w:rsidP="00231957">
      <w:pPr>
        <w:rPr>
          <w:lang w:val="fr-CH"/>
        </w:rPr>
      </w:pPr>
      <w:r>
        <w:rPr>
          <w:lang w:val="fr-CH"/>
        </w:rPr>
        <w:t xml:space="preserve">Outre l'amélioration de la température de bruit du récepteur obtenue grâce à l'utilisation de préamplificateurs à faible bruit, on peut également obtenir une réduction importante de l'incertitude de </w:t>
      </w:r>
      <w:r>
        <w:rPr>
          <w:rFonts w:ascii="Symbol" w:hAnsi="Symbol"/>
          <w:lang w:val="fr-CH"/>
        </w:rPr>
        <w:t></w:t>
      </w:r>
      <w:r>
        <w:rPr>
          <w:i/>
          <w:lang w:val="fr-CH"/>
        </w:rPr>
        <w:t>T</w:t>
      </w:r>
      <w:r>
        <w:rPr>
          <w:i/>
          <w:iCs/>
          <w:vertAlign w:val="subscript"/>
          <w:lang w:val="fr-CH"/>
        </w:rPr>
        <w:t>e</w:t>
      </w:r>
      <w:r>
        <w:rPr>
          <w:lang w:val="fr-CH"/>
        </w:rPr>
        <w:t xml:space="preserve"> (c'est-à-dire une sensibilité plus grande) dans les radiomètres des satellites en augmentant la largeur de bande du système et en introduisant des configurations d'appareils de mesure permettant d'optimiser le temps d'intégration. Selon la résolution spatiale souhaitée, les temps d'intégration des radiomètres de satellites en orbite basse sont limités à quelques secondes ou moins, à cause de la vitesse relative des satellites. </w:t>
      </w:r>
    </w:p>
    <w:p w:rsidR="00221D51" w:rsidRDefault="00221D51" w:rsidP="00231957">
      <w:pPr>
        <w:pStyle w:val="Heading1"/>
        <w:rPr>
          <w:lang w:val="fr-CH"/>
        </w:rPr>
      </w:pPr>
      <w:bookmarkStart w:id="8" w:name="_Toc393171404"/>
      <w:r>
        <w:rPr>
          <w:lang w:val="fr-CH"/>
        </w:rPr>
        <w:t>2</w:t>
      </w:r>
      <w:r>
        <w:rPr>
          <w:lang w:val="fr-CH"/>
        </w:rPr>
        <w:tab/>
        <w:t>Caractéristiques des détecteurs passifs</w:t>
      </w:r>
      <w:bookmarkEnd w:id="8"/>
    </w:p>
    <w:p w:rsidR="00221D51" w:rsidRDefault="00221D51" w:rsidP="00221D51">
      <w:pPr>
        <w:rPr>
          <w:lang w:val="fr-CH"/>
        </w:rPr>
      </w:pPr>
      <w:r>
        <w:rPr>
          <w:lang w:val="fr-CH"/>
        </w:rPr>
        <w:t xml:space="preserve">Le détecteur généralement utilisé pour mesurer diverses caractéristiques atmosphériques et de surface est le détecteur à balayage. Les détecteurs à balayage permettent une plus grande largeur de couverture pour une largeur de bande réduite. Ils autorisent aussi des valeurs plus faibles de </w:t>
      </w:r>
      <w:r>
        <w:rPr>
          <w:rFonts w:ascii="Symbol" w:hAnsi="Symbol"/>
          <w:lang w:val="fr-CH"/>
        </w:rPr>
        <w:t></w:t>
      </w:r>
      <w:r>
        <w:rPr>
          <w:i/>
          <w:lang w:val="fr-CH"/>
        </w:rPr>
        <w:t>T</w:t>
      </w:r>
      <w:r>
        <w:rPr>
          <w:i/>
          <w:iCs/>
          <w:vertAlign w:val="subscript"/>
          <w:lang w:val="fr-CH"/>
        </w:rPr>
        <w:t>e</w:t>
      </w:r>
      <w:r>
        <w:rPr>
          <w:lang w:val="fr-CH"/>
        </w:rPr>
        <w:t xml:space="preserve"> compte tenu de la possibilité d'allonger le temps d'intégration par observation.</w:t>
      </w:r>
    </w:p>
    <w:p w:rsidR="00221D51" w:rsidRDefault="00221D51" w:rsidP="00221D51">
      <w:pPr>
        <w:rPr>
          <w:lang w:val="fr-CH"/>
        </w:rPr>
      </w:pPr>
      <w:r>
        <w:rPr>
          <w:lang w:val="fr-CH"/>
        </w:rPr>
        <w:t>Les besoins de largeur de bande d'un détecteur passif mesurant des traces de gaz dans l'atmosphère sont déterminés par la largeur des raies des gaz observés et par la possibilité d'observer dans la même fenêtre un certain nombre de raies de gaz identique ou différent.</w:t>
      </w:r>
    </w:p>
    <w:p w:rsidR="00221D51" w:rsidRDefault="00221D51" w:rsidP="00221D51">
      <w:pPr>
        <w:rPr>
          <w:lang w:val="fr-CH"/>
        </w:rPr>
      </w:pPr>
      <w:r>
        <w:rPr>
          <w:lang w:val="fr-CH"/>
        </w:rPr>
        <w:t>La largeur des raies d'émission des gaz atmosphériques dépend principalement de la pression. Cette corrélation impose des besoins minima de largeur de bande (et de résolution). Au niveau du sol, les largeurs de raie sont de l'ordre de quelques gigahertz, dans la stratosphère, elles sont limitées à quelques mégahertz. En raison de ces grandes largeurs aux basses altitudes, les sondeurs au limbe à ondes millimétriques (au-dessus de 100 GHz) mesurant les couches supérieures de l'atmosphère nécessitent de très grandes largeurs de bande, de l'ordre de 10 GHz.</w:t>
      </w:r>
    </w:p>
    <w:p w:rsidR="00221D51" w:rsidRDefault="00221D51" w:rsidP="00221D51">
      <w:pPr>
        <w:rPr>
          <w:lang w:val="fr-CH"/>
        </w:rPr>
      </w:pPr>
      <w:r>
        <w:rPr>
          <w:lang w:val="fr-CH"/>
        </w:rPr>
        <w:t>Des études ont été faites pour déterminer les besoins de sensibilité, de résolution spatiale, de temps d'intégration et de résolution spectrale des détecteurs. On trouvera les résultats correspondants dans les Recommandations UIT-R RS.1028 et UIT-R RS.1029.</w:t>
      </w:r>
    </w:p>
    <w:p w:rsidR="00221D51" w:rsidRDefault="00221D51" w:rsidP="00221D51">
      <w:pPr>
        <w:rPr>
          <w:lang w:val="fr-CH"/>
        </w:rPr>
      </w:pPr>
    </w:p>
    <w:p w:rsidR="00231957" w:rsidRDefault="00231957">
      <w:pPr>
        <w:jc w:val="center"/>
      </w:pPr>
      <w:r>
        <w:t>______________</w:t>
      </w:r>
    </w:p>
    <w:p w:rsidR="00A6617B" w:rsidRPr="00221D51" w:rsidRDefault="00A6617B" w:rsidP="00A6617B"/>
    <w:sectPr w:rsidR="00A6617B" w:rsidRPr="00221D51" w:rsidSect="00221D51">
      <w:headerReference w:type="even" r:id="rId18"/>
      <w:headerReference w:type="default" r:id="rId19"/>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D51" w:rsidRDefault="00221D51">
      <w:r>
        <w:separator/>
      </w:r>
    </w:p>
  </w:endnote>
  <w:endnote w:type="continuationSeparator" w:id="0">
    <w:p w:rsidR="00221D51" w:rsidRDefault="00221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D51" w:rsidRDefault="00221D51">
      <w:r>
        <w:separator/>
      </w:r>
    </w:p>
  </w:footnote>
  <w:footnote w:type="continuationSeparator" w:id="0">
    <w:p w:rsidR="00221D51" w:rsidRDefault="00221D51">
      <w:r>
        <w:continuationSeparator/>
      </w:r>
    </w:p>
  </w:footnote>
  <w:footnote w:id="1">
    <w:p w:rsidR="00486266" w:rsidRPr="00486266" w:rsidRDefault="00486266">
      <w:pPr>
        <w:pStyle w:val="FootnoteText"/>
        <w:rPr>
          <w:lang w:val="fr-CH"/>
        </w:rPr>
      </w:pPr>
      <w:r>
        <w:rPr>
          <w:rStyle w:val="FootnoteReference"/>
        </w:rPr>
        <w:footnoteRef/>
      </w:r>
      <w:r>
        <w:t xml:space="preserve"> </w:t>
      </w:r>
      <w:r>
        <w:rPr>
          <w:lang w:val="fr-CH"/>
        </w:rPr>
        <w:tab/>
        <w:t>La Commission d'études 7 des radiocommunications a apporté des modifications rédactionnelles à cette Recommandation en 2010 conformément à la Résolution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D51" w:rsidRDefault="00221D5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D51" w:rsidRDefault="00221D51" w:rsidP="00221D51">
    <w:pPr>
      <w:pStyle w:val="Header"/>
      <w:ind w:right="360" w:firstLine="360"/>
    </w:pPr>
    <w:r>
      <w:rPr>
        <w:noProof/>
        <w:lang w:val="en-US" w:eastAsia="zh-CN"/>
      </w:rPr>
      <w:drawing>
        <wp:anchor distT="0" distB="0" distL="114300" distR="114300" simplePos="0" relativeHeight="251659264" behindDoc="1" locked="0" layoutInCell="1" allowOverlap="1" wp14:anchorId="23FA7DA7" wp14:editId="5BB32D8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D51" w:rsidRPr="00837CB5" w:rsidRDefault="00221D5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624D9">
      <w:rPr>
        <w:rStyle w:val="PageNumber"/>
        <w:b/>
        <w:bCs/>
        <w:noProof/>
      </w:rPr>
      <w:t>ii</w:t>
    </w:r>
    <w:r>
      <w:rPr>
        <w:rStyle w:val="PageNumber"/>
        <w:b/>
        <w:bCs/>
      </w:rPr>
      <w:fldChar w:fldCharType="end"/>
    </w:r>
    <w:r w:rsidRPr="00837CB5">
      <w:tab/>
    </w:r>
    <w:r w:rsidR="00E624D9">
      <w:fldChar w:fldCharType="begin"/>
    </w:r>
    <w:r w:rsidR="00E624D9">
      <w:instrText xml:space="preserve"> DOCPROPERTY "Header" \* MERGEFORMAT </w:instrText>
    </w:r>
    <w:r w:rsidR="00E624D9">
      <w:fldChar w:fldCharType="separate"/>
    </w:r>
    <w:r w:rsidR="00E624D9" w:rsidRPr="00E624D9">
      <w:rPr>
        <w:b/>
        <w:bCs/>
      </w:rPr>
      <w:t xml:space="preserve">Rec. </w:t>
    </w:r>
    <w:r w:rsidR="00E624D9">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624D9">
      <w:rPr>
        <w:b/>
        <w:bCs/>
        <w:noProof/>
      </w:rPr>
      <w:t>UIT-R  RS.515-4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D51" w:rsidRDefault="00221D51" w:rsidP="00221D51">
    <w:pPr>
      <w:pStyle w:val="Header"/>
    </w:pPr>
    <w:r>
      <w:tab/>
    </w:r>
    <w:r w:rsidR="00E624D9">
      <w:fldChar w:fldCharType="begin"/>
    </w:r>
    <w:r w:rsidR="00E624D9">
      <w:instrText xml:space="preserve"> DOCPROPERTY "Header" \* MERGEFORMAT </w:instrText>
    </w:r>
    <w:r w:rsidR="00E624D9">
      <w:fldChar w:fldCharType="separate"/>
    </w:r>
    <w:r w:rsidR="00E624D9" w:rsidRPr="00E624D9">
      <w:rPr>
        <w:b/>
        <w:bCs/>
      </w:rPr>
      <w:t xml:space="preserve">Rec. </w:t>
    </w:r>
    <w:r w:rsidR="00E624D9">
      <w:rPr>
        <w:b/>
        <w:bCs/>
      </w:rPr>
      <w:fldChar w:fldCharType="end"/>
    </w:r>
    <w:r>
      <w:rPr>
        <w:b/>
        <w:bCs/>
      </w:rPr>
      <w:t xml:space="preserve"> UIT-R  RS.1813-1</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D51" w:rsidRDefault="00221D5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624D9">
      <w:rPr>
        <w:rStyle w:val="PageNumber"/>
        <w:b/>
        <w:bCs/>
        <w:noProof/>
        <w:lang w:val="en-US"/>
      </w:rPr>
      <w:t>8</w:t>
    </w:r>
    <w:r>
      <w:rPr>
        <w:rStyle w:val="PageNumber"/>
        <w:b/>
        <w:bCs/>
      </w:rPr>
      <w:fldChar w:fldCharType="end"/>
    </w:r>
    <w:r>
      <w:rPr>
        <w:lang w:val="en-US"/>
      </w:rPr>
      <w:tab/>
    </w:r>
    <w:r w:rsidR="00E624D9">
      <w:fldChar w:fldCharType="begin"/>
    </w:r>
    <w:r w:rsidR="00E624D9">
      <w:instrText xml:space="preserve"> DOCPROPERTY "Header" \* MERGEFORMAT </w:instrText>
    </w:r>
    <w:r w:rsidR="00E624D9">
      <w:fldChar w:fldCharType="separate"/>
    </w:r>
    <w:r w:rsidR="00E624D9" w:rsidRPr="00E624D9">
      <w:rPr>
        <w:b/>
        <w:bCs/>
        <w:lang w:val="en-US"/>
      </w:rPr>
      <w:t xml:space="preserve">Rec. </w:t>
    </w:r>
    <w:r w:rsidR="00E624D9">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E624D9">
      <w:rPr>
        <w:b/>
        <w:bCs/>
        <w:noProof/>
      </w:rPr>
      <w:t>UIT-R  RS.515-4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D51" w:rsidRDefault="00221D51">
    <w:pPr>
      <w:pStyle w:val="Header"/>
    </w:pPr>
    <w:r>
      <w:tab/>
    </w:r>
    <w:r w:rsidR="00E624D9">
      <w:fldChar w:fldCharType="begin"/>
    </w:r>
    <w:r w:rsidR="00E624D9">
      <w:instrText xml:space="preserve"> DOCPROPERTY "Header" \* MERGEFORMAT </w:instrText>
    </w:r>
    <w:r w:rsidR="00E624D9">
      <w:fldChar w:fldCharType="separate"/>
    </w:r>
    <w:r w:rsidR="00E624D9" w:rsidRPr="00E624D9">
      <w:rPr>
        <w:b/>
        <w:bCs/>
      </w:rPr>
      <w:t xml:space="preserve">Rec. </w:t>
    </w:r>
    <w:r w:rsidR="00E624D9">
      <w:rPr>
        <w:b/>
        <w:bCs/>
      </w:rPr>
      <w:fldChar w:fldCharType="end"/>
    </w:r>
    <w:r>
      <w:rPr>
        <w:b/>
        <w:bCs/>
      </w:rPr>
      <w:t xml:space="preserve"> </w:t>
    </w:r>
    <w:r>
      <w:rPr>
        <w:b/>
        <w:bCs/>
      </w:rPr>
      <w:fldChar w:fldCharType="begin"/>
    </w:r>
    <w:r>
      <w:rPr>
        <w:b/>
        <w:bCs/>
      </w:rPr>
      <w:instrText>styleref href</w:instrText>
    </w:r>
    <w:r>
      <w:rPr>
        <w:b/>
        <w:bCs/>
      </w:rPr>
      <w:fldChar w:fldCharType="separate"/>
    </w:r>
    <w:r w:rsidR="00E624D9">
      <w:rPr>
        <w:b/>
        <w:bCs/>
        <w:noProof/>
      </w:rPr>
      <w:t>UIT-R  RS.515-4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624D9">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593"/>
    <w:rsid w:val="000A5593"/>
    <w:rsid w:val="00217EBF"/>
    <w:rsid w:val="00221D51"/>
    <w:rsid w:val="00231957"/>
    <w:rsid w:val="002D76C4"/>
    <w:rsid w:val="00486266"/>
    <w:rsid w:val="00607D68"/>
    <w:rsid w:val="007468DA"/>
    <w:rsid w:val="00A6617B"/>
    <w:rsid w:val="00AB0DC8"/>
    <w:rsid w:val="00B44E24"/>
    <w:rsid w:val="00C7141F"/>
    <w:rsid w:val="00DF4176"/>
    <w:rsid w:val="00E624D9"/>
    <w:rsid w:val="00FD2E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D2EBD"/>
    <w:rPr>
      <w:color w:val="0000FF"/>
      <w:u w:val="single"/>
    </w:rPr>
  </w:style>
  <w:style w:type="character" w:customStyle="1" w:styleId="Heading1Char">
    <w:name w:val="Heading 1 Char"/>
    <w:basedOn w:val="DefaultParagraphFont"/>
    <w:link w:val="Heading1"/>
    <w:rsid w:val="00221D51"/>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D2EBD"/>
    <w:rPr>
      <w:color w:val="0000FF"/>
      <w:u w:val="single"/>
    </w:rPr>
  </w:style>
  <w:style w:type="character" w:customStyle="1" w:styleId="Heading1Char">
    <w:name w:val="Heading 1 Char"/>
    <w:basedOn w:val="DefaultParagraphFont"/>
    <w:link w:val="Heading1"/>
    <w:rsid w:val="00221D51"/>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hyperlink" Target="http://www.itu.int/ITU-R/go/patents/fr"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8B769-045A-40BD-8A72-5AAE71F5D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27</TotalTime>
  <Pages>11</Pages>
  <Words>3747</Words>
  <Characters>20958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decourt</dc:creator>
  <cp:keywords/>
  <dc:description/>
  <cp:lastModifiedBy>brice</cp:lastModifiedBy>
  <cp:revision>6</cp:revision>
  <cp:lastPrinted>2005-02-10T15:54:00Z</cp:lastPrinted>
  <dcterms:created xsi:type="dcterms:W3CDTF">2011-05-02T12:00:00Z</dcterms:created>
  <dcterms:modified xsi:type="dcterms:W3CDTF">2011-06-06T09:46:00Z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