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1DEE7" w14:textId="77777777" w:rsidR="005A6ED9" w:rsidRDefault="005A6ED9" w:rsidP="005A6ED9"/>
    <w:p w14:paraId="1E11361C" w14:textId="77777777" w:rsidR="005A6ED9" w:rsidRDefault="005A6ED9" w:rsidP="005A6ED9">
      <w:pPr>
        <w:tabs>
          <w:tab w:val="clear" w:pos="794"/>
          <w:tab w:val="clear" w:pos="1191"/>
          <w:tab w:val="clear" w:pos="1588"/>
          <w:tab w:val="clear" w:pos="1985"/>
        </w:tabs>
      </w:pPr>
    </w:p>
    <w:p w14:paraId="1555A31F" w14:textId="0BBB1C89" w:rsidR="005A6ED9" w:rsidRPr="004A6FEB" w:rsidRDefault="005A6ED9" w:rsidP="005A6ED9">
      <w:pPr>
        <w:pStyle w:val="CoverNumber"/>
      </w:pPr>
      <w:r w:rsidRPr="00A86DD2">
        <w:t>Recommendation</w:t>
      </w:r>
      <w:r w:rsidRPr="004A6FEB">
        <w:t xml:space="preserve"> ITU-R</w:t>
      </w:r>
      <w:r w:rsidRPr="0036627C">
        <w:t xml:space="preserve"> </w:t>
      </w:r>
      <w:r>
        <w:t>RS.</w:t>
      </w:r>
      <w:r w:rsidR="00AD2FA1" w:rsidRPr="00CC2E73">
        <w:rPr>
          <w:lang w:eastAsia="zh-CN"/>
        </w:rPr>
        <w:t>2066-</w:t>
      </w:r>
      <w:r w:rsidR="00AD2FA1">
        <w:rPr>
          <w:lang w:eastAsia="zh-CN"/>
        </w:rPr>
        <w:t>1</w:t>
      </w:r>
    </w:p>
    <w:p w14:paraId="115F92AA" w14:textId="1784C539" w:rsidR="005A6ED9" w:rsidRPr="004A6FEB" w:rsidRDefault="005A6ED9" w:rsidP="005A6ED9">
      <w:pPr>
        <w:pStyle w:val="CoverDate"/>
      </w:pPr>
      <w:r w:rsidRPr="004A6FEB">
        <w:t>(</w:t>
      </w:r>
      <w:r w:rsidR="00643078">
        <w:rPr>
          <w:rFonts w:eastAsia="MS Mincho"/>
        </w:rPr>
        <w:t>03</w:t>
      </w:r>
      <w:r w:rsidR="00C50BB2">
        <w:rPr>
          <w:rFonts w:eastAsia="MS Mincho"/>
        </w:rPr>
        <w:t>/202</w:t>
      </w:r>
      <w:r w:rsidR="00643078">
        <w:rPr>
          <w:rFonts w:eastAsia="MS Mincho"/>
        </w:rPr>
        <w:t>4</w:t>
      </w:r>
      <w:r w:rsidRPr="004A6FEB">
        <w:t>)</w:t>
      </w:r>
    </w:p>
    <w:p w14:paraId="1A8A324A" w14:textId="77777777" w:rsidR="005A6ED9" w:rsidRPr="004A6FEB" w:rsidRDefault="005A6ED9" w:rsidP="005A6ED9">
      <w:pPr>
        <w:pStyle w:val="CoverSeries"/>
      </w:pPr>
      <w:r>
        <w:t>RS</w:t>
      </w:r>
      <w:r w:rsidRPr="00A86DD2">
        <w:t xml:space="preserve"> </w:t>
      </w:r>
      <w:r w:rsidRPr="004A6FEB">
        <w:t>Series:</w:t>
      </w:r>
      <w:r w:rsidRPr="00A86DD2">
        <w:t xml:space="preserve"> </w:t>
      </w:r>
      <w:r w:rsidRPr="001E435E">
        <w:rPr>
          <w:bCs w:val="0"/>
          <w:lang w:val="en-GB"/>
        </w:rPr>
        <w:t>Remote sensing systems</w:t>
      </w:r>
    </w:p>
    <w:p w14:paraId="42B81301" w14:textId="5CF256B1" w:rsidR="005A6ED9" w:rsidRPr="004A6FEB" w:rsidRDefault="00AD2FA1" w:rsidP="005A6ED9">
      <w:pPr>
        <w:pStyle w:val="CoverTitle"/>
      </w:pPr>
      <w:r w:rsidRPr="00CC2E73">
        <w:rPr>
          <w:lang w:eastAsia="zh-CN"/>
        </w:rPr>
        <w:t>Protection of the radio astronomy service in the frequency band 10.6</w:t>
      </w:r>
      <w:r>
        <w:rPr>
          <w:lang w:eastAsia="zh-CN"/>
        </w:rPr>
        <w:noBreakHyphen/>
      </w:r>
      <w:r w:rsidRPr="00CC2E73">
        <w:rPr>
          <w:lang w:eastAsia="zh-CN"/>
        </w:rPr>
        <w:t>10.7</w:t>
      </w:r>
      <w:r>
        <w:rPr>
          <w:lang w:eastAsia="zh-CN"/>
        </w:rPr>
        <w:t> </w:t>
      </w:r>
      <w:r w:rsidRPr="00CC2E73">
        <w:rPr>
          <w:lang w:eastAsia="zh-CN"/>
        </w:rPr>
        <w:t>GHz from unwanted emissions of synthetic aperture radars operating in the Earth exploration-satellite service (active) around 9 600 MHz</w:t>
      </w:r>
    </w:p>
    <w:p w14:paraId="2ABDEA33" w14:textId="77777777" w:rsidR="005A6ED9" w:rsidRPr="005373E0" w:rsidRDefault="005A6ED9" w:rsidP="005A6ED9">
      <w:pPr>
        <w:rPr>
          <w:lang w:val="en-US"/>
        </w:rPr>
      </w:pPr>
    </w:p>
    <w:p w14:paraId="52CE8263" w14:textId="77777777" w:rsidR="005A6ED9" w:rsidRPr="005373E0" w:rsidRDefault="005A6ED9" w:rsidP="005A6ED9"/>
    <w:p w14:paraId="576D0454" w14:textId="77777777" w:rsidR="005A6ED9" w:rsidRPr="005373E0" w:rsidRDefault="005A6ED9" w:rsidP="005A6ED9">
      <w:pPr>
        <w:sectPr w:rsidR="005A6ED9" w:rsidRPr="005373E0"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0C4BE7BB" w14:textId="77777777" w:rsidR="005A6ED9" w:rsidRPr="00586EF8" w:rsidRDefault="005A6ED9" w:rsidP="005A6E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5705A2E9" w14:textId="77777777" w:rsidR="005A6ED9" w:rsidRDefault="005A6ED9" w:rsidP="005A6ED9">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0E47A468" w14:textId="77777777" w:rsidR="005A6ED9" w:rsidRDefault="005A6ED9" w:rsidP="005A6ED9">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6D7AE280" w14:textId="77777777" w:rsidR="005A6ED9" w:rsidRPr="00B714F3" w:rsidRDefault="005A6ED9" w:rsidP="005A6ED9">
      <w:pPr>
        <w:pStyle w:val="Heading1"/>
        <w:spacing w:before="680"/>
        <w:jc w:val="center"/>
        <w:rPr>
          <w:szCs w:val="24"/>
          <w:lang w:val="en-US"/>
        </w:rPr>
      </w:pPr>
      <w:r w:rsidRPr="00B714F3">
        <w:rPr>
          <w:szCs w:val="24"/>
          <w:lang w:val="en-US"/>
        </w:rPr>
        <w:t>Policy on Intellectual Property Right (IPR)</w:t>
      </w:r>
    </w:p>
    <w:p w14:paraId="1E503599" w14:textId="77777777" w:rsidR="005A6ED9" w:rsidRPr="00B714F3" w:rsidRDefault="005A6ED9" w:rsidP="005A6ED9">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4"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0624F40B" w14:textId="77777777" w:rsidR="005A6ED9" w:rsidRDefault="005A6ED9" w:rsidP="005A6ED9">
      <w:pPr>
        <w:jc w:val="center"/>
        <w:rPr>
          <w:sz w:val="22"/>
          <w:lang w:val="en-US"/>
        </w:rPr>
      </w:pPr>
    </w:p>
    <w:p w14:paraId="52B30C15" w14:textId="77777777" w:rsidR="005A6ED9" w:rsidRDefault="005A6ED9" w:rsidP="005A6ED9">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5A6ED9" w:rsidRPr="00576D47" w14:paraId="638ECE80" w14:textId="77777777" w:rsidTr="002409CA">
        <w:tc>
          <w:tcPr>
            <w:tcW w:w="9360" w:type="dxa"/>
            <w:gridSpan w:val="2"/>
          </w:tcPr>
          <w:p w14:paraId="39E36369" w14:textId="77777777" w:rsidR="005A6ED9" w:rsidRPr="00036EE3" w:rsidRDefault="005A6ED9" w:rsidP="002409CA">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63698E8E" w14:textId="77777777" w:rsidR="005A6ED9" w:rsidRPr="00036EE3"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5" w:history="1">
              <w:r w:rsidRPr="00590EE8">
                <w:rPr>
                  <w:rStyle w:val="Hyperlink"/>
                  <w:b w:val="0"/>
                  <w:sz w:val="18"/>
                  <w:szCs w:val="18"/>
                  <w:lang w:val="en-US"/>
                </w:rPr>
                <w:t>https://www.itu.int/publ/R-REC/en</w:t>
              </w:r>
            </w:hyperlink>
            <w:r w:rsidRPr="00CE0A43">
              <w:rPr>
                <w:b w:val="0"/>
                <w:sz w:val="18"/>
                <w:szCs w:val="18"/>
                <w:lang w:val="en-US"/>
              </w:rPr>
              <w:t>)</w:t>
            </w:r>
          </w:p>
        </w:tc>
      </w:tr>
      <w:tr w:rsidR="005A6ED9" w:rsidRPr="00036EE3" w14:paraId="09EB7742" w14:textId="77777777" w:rsidTr="002409CA">
        <w:tc>
          <w:tcPr>
            <w:tcW w:w="1140" w:type="dxa"/>
            <w:tcBorders>
              <w:bottom w:val="nil"/>
            </w:tcBorders>
            <w:vAlign w:val="bottom"/>
          </w:tcPr>
          <w:p w14:paraId="7894FA6F" w14:textId="77777777" w:rsidR="005A6ED9" w:rsidRPr="00036EE3" w:rsidRDefault="005A6ED9" w:rsidP="002409CA">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065870C9" w14:textId="77777777" w:rsidR="005A6ED9" w:rsidRPr="00036EE3"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5A6ED9" w:rsidRPr="00F92A40" w14:paraId="19B001AB" w14:textId="77777777" w:rsidTr="002409CA">
        <w:tc>
          <w:tcPr>
            <w:tcW w:w="1140" w:type="dxa"/>
            <w:tcBorders>
              <w:top w:val="nil"/>
              <w:bottom w:val="nil"/>
            </w:tcBorders>
            <w:shd w:val="clear" w:color="auto" w:fill="auto"/>
          </w:tcPr>
          <w:p w14:paraId="294AE736" w14:textId="77777777" w:rsidR="005A6ED9" w:rsidRPr="00F92A40" w:rsidRDefault="005A6ED9" w:rsidP="002409CA">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3994B9FD" w14:textId="77777777" w:rsidR="005A6ED9" w:rsidRPr="00F92A40"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5A6ED9" w:rsidRPr="00576D47" w14:paraId="5FAC5F7A" w14:textId="77777777" w:rsidTr="002409CA">
        <w:tc>
          <w:tcPr>
            <w:tcW w:w="1140" w:type="dxa"/>
            <w:tcBorders>
              <w:top w:val="nil"/>
            </w:tcBorders>
            <w:shd w:val="clear" w:color="auto" w:fill="FFFFFF" w:themeFill="background1"/>
          </w:tcPr>
          <w:p w14:paraId="103CC009" w14:textId="77777777" w:rsidR="005A6ED9" w:rsidRPr="00B51DD9" w:rsidRDefault="005A6ED9" w:rsidP="002409CA">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059FD49E" w14:textId="77777777" w:rsidR="005A6ED9" w:rsidRPr="00B51DD9"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5A6ED9" w:rsidRPr="00036EE3" w14:paraId="1A83A574" w14:textId="77777777" w:rsidTr="002409CA">
        <w:tc>
          <w:tcPr>
            <w:tcW w:w="1140" w:type="dxa"/>
          </w:tcPr>
          <w:p w14:paraId="72D7C05B" w14:textId="77777777" w:rsidR="005A6ED9" w:rsidRPr="00036EE3" w:rsidRDefault="005A6ED9" w:rsidP="002409CA">
            <w:pPr>
              <w:spacing w:before="30" w:after="30"/>
              <w:ind w:left="57"/>
              <w:jc w:val="left"/>
              <w:rPr>
                <w:b/>
                <w:bCs/>
                <w:sz w:val="20"/>
                <w:lang w:val="en-US"/>
              </w:rPr>
            </w:pPr>
            <w:r w:rsidRPr="00036EE3">
              <w:rPr>
                <w:b/>
                <w:bCs/>
                <w:sz w:val="20"/>
                <w:lang w:val="en-US"/>
              </w:rPr>
              <w:t>BS</w:t>
            </w:r>
          </w:p>
        </w:tc>
        <w:tc>
          <w:tcPr>
            <w:tcW w:w="8220" w:type="dxa"/>
          </w:tcPr>
          <w:p w14:paraId="59FB589F" w14:textId="77777777" w:rsidR="005A6ED9" w:rsidRPr="00036EE3"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5A6ED9" w:rsidRPr="00ED2695" w14:paraId="63752733" w14:textId="77777777" w:rsidTr="002409CA">
        <w:tc>
          <w:tcPr>
            <w:tcW w:w="1140" w:type="dxa"/>
            <w:shd w:val="clear" w:color="auto" w:fill="auto"/>
          </w:tcPr>
          <w:p w14:paraId="476F16E0" w14:textId="77777777" w:rsidR="005A6ED9" w:rsidRPr="00ED2695" w:rsidRDefault="005A6ED9" w:rsidP="002409CA">
            <w:pPr>
              <w:spacing w:before="30" w:after="30"/>
              <w:ind w:left="57"/>
              <w:jc w:val="left"/>
              <w:rPr>
                <w:b/>
                <w:bCs/>
                <w:sz w:val="20"/>
                <w:lang w:val="en-US"/>
              </w:rPr>
            </w:pPr>
            <w:r w:rsidRPr="00ED2695">
              <w:rPr>
                <w:b/>
                <w:bCs/>
                <w:sz w:val="20"/>
                <w:lang w:val="en-US"/>
              </w:rPr>
              <w:t>BT</w:t>
            </w:r>
          </w:p>
        </w:tc>
        <w:tc>
          <w:tcPr>
            <w:tcW w:w="8220" w:type="dxa"/>
            <w:shd w:val="clear" w:color="auto" w:fill="auto"/>
          </w:tcPr>
          <w:p w14:paraId="0BCD7103" w14:textId="77777777" w:rsidR="005A6ED9" w:rsidRPr="00ED2695"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5A6ED9" w:rsidRPr="00036EE3" w14:paraId="0413D3FB" w14:textId="77777777" w:rsidTr="002409CA">
        <w:tc>
          <w:tcPr>
            <w:tcW w:w="1140" w:type="dxa"/>
            <w:shd w:val="clear" w:color="auto" w:fill="auto"/>
          </w:tcPr>
          <w:p w14:paraId="206DC8B0" w14:textId="77777777" w:rsidR="005A6ED9" w:rsidRPr="00036EE3" w:rsidRDefault="005A6ED9" w:rsidP="002409CA">
            <w:pPr>
              <w:spacing w:before="30" w:after="30"/>
              <w:ind w:left="57"/>
              <w:jc w:val="left"/>
              <w:rPr>
                <w:b/>
                <w:bCs/>
                <w:sz w:val="20"/>
                <w:lang w:val="fr-CH"/>
              </w:rPr>
            </w:pPr>
            <w:r w:rsidRPr="00036EE3">
              <w:rPr>
                <w:b/>
                <w:bCs/>
                <w:sz w:val="20"/>
                <w:lang w:val="fr-CH"/>
              </w:rPr>
              <w:t>F</w:t>
            </w:r>
          </w:p>
        </w:tc>
        <w:tc>
          <w:tcPr>
            <w:tcW w:w="8220" w:type="dxa"/>
            <w:shd w:val="clear" w:color="auto" w:fill="auto"/>
          </w:tcPr>
          <w:p w14:paraId="2EB8D6C3" w14:textId="77777777" w:rsidR="005A6ED9" w:rsidRPr="00036EE3" w:rsidRDefault="005A6ED9" w:rsidP="002409C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5A6ED9" w:rsidRPr="00512A4E" w14:paraId="1E2007EC" w14:textId="77777777" w:rsidTr="002409CA">
        <w:tc>
          <w:tcPr>
            <w:tcW w:w="1140" w:type="dxa"/>
            <w:shd w:val="clear" w:color="auto" w:fill="FFFFFF" w:themeFill="background1"/>
          </w:tcPr>
          <w:p w14:paraId="07B7EF32" w14:textId="77777777" w:rsidR="005A6ED9" w:rsidRPr="00512A4E" w:rsidRDefault="005A6ED9" w:rsidP="002409CA">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36600EAE" w14:textId="77777777" w:rsidR="005A6ED9" w:rsidRPr="00B0442F"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B0442F">
              <w:rPr>
                <w:b w:val="0"/>
                <w:bCs/>
                <w:sz w:val="20"/>
                <w:lang w:val="en-US"/>
              </w:rPr>
              <w:t>Mobile, radiodetermination, amateur and related satellite services</w:t>
            </w:r>
          </w:p>
        </w:tc>
      </w:tr>
      <w:tr w:rsidR="005A6ED9" w:rsidRPr="00512A4E" w14:paraId="6546D008" w14:textId="77777777" w:rsidTr="002409CA">
        <w:tc>
          <w:tcPr>
            <w:tcW w:w="1140" w:type="dxa"/>
            <w:shd w:val="clear" w:color="auto" w:fill="FFFFFF" w:themeFill="background1"/>
          </w:tcPr>
          <w:p w14:paraId="4DDCB2FD" w14:textId="77777777" w:rsidR="005A6ED9" w:rsidRPr="00E830F9" w:rsidRDefault="005A6ED9" w:rsidP="002409CA">
            <w:pPr>
              <w:spacing w:before="30" w:after="30"/>
              <w:ind w:left="57"/>
              <w:jc w:val="left"/>
              <w:rPr>
                <w:b/>
                <w:bCs/>
                <w:sz w:val="20"/>
                <w:lang w:val="en-US"/>
              </w:rPr>
            </w:pPr>
            <w:r w:rsidRPr="00E830F9">
              <w:rPr>
                <w:b/>
                <w:bCs/>
                <w:sz w:val="20"/>
                <w:lang w:val="en-US"/>
              </w:rPr>
              <w:t>P</w:t>
            </w:r>
          </w:p>
        </w:tc>
        <w:tc>
          <w:tcPr>
            <w:tcW w:w="8220" w:type="dxa"/>
            <w:shd w:val="clear" w:color="auto" w:fill="FFFFFF" w:themeFill="background1"/>
          </w:tcPr>
          <w:p w14:paraId="26CB6DFA" w14:textId="77777777" w:rsidR="005A6ED9" w:rsidRPr="00512A4E" w:rsidRDefault="005A6ED9" w:rsidP="002409C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rFonts w:hAnsi="Times New Roman Bold"/>
                <w:color w:val="000080"/>
                <w:sz w:val="20"/>
                <w:lang w:val="en-US"/>
              </w:rPr>
            </w:pPr>
            <w:r w:rsidRPr="00E830F9">
              <w:rPr>
                <w:sz w:val="20"/>
                <w:lang w:val="en-US"/>
              </w:rPr>
              <w:t>Radiowave propagation</w:t>
            </w:r>
          </w:p>
        </w:tc>
      </w:tr>
      <w:tr w:rsidR="005A6ED9" w:rsidRPr="00036EE3" w14:paraId="5173AE8E" w14:textId="77777777" w:rsidTr="002409CA">
        <w:tc>
          <w:tcPr>
            <w:tcW w:w="1140" w:type="dxa"/>
            <w:shd w:val="clear" w:color="auto" w:fill="FFFFFF" w:themeFill="background1"/>
          </w:tcPr>
          <w:p w14:paraId="68A7B64B" w14:textId="77777777" w:rsidR="005A6ED9" w:rsidRPr="00441DCF" w:rsidRDefault="005A6ED9" w:rsidP="002409CA">
            <w:pPr>
              <w:spacing w:before="30" w:after="30"/>
              <w:ind w:left="57"/>
              <w:jc w:val="left"/>
              <w:rPr>
                <w:b/>
                <w:bCs/>
                <w:sz w:val="20"/>
                <w:lang w:val="en-US"/>
              </w:rPr>
            </w:pPr>
            <w:r w:rsidRPr="00441DCF">
              <w:rPr>
                <w:b/>
                <w:bCs/>
                <w:sz w:val="20"/>
                <w:lang w:val="en-US"/>
              </w:rPr>
              <w:t>RA</w:t>
            </w:r>
          </w:p>
        </w:tc>
        <w:tc>
          <w:tcPr>
            <w:tcW w:w="8220" w:type="dxa"/>
            <w:shd w:val="clear" w:color="auto" w:fill="FFFFFF" w:themeFill="background1"/>
          </w:tcPr>
          <w:p w14:paraId="050950F6" w14:textId="77777777" w:rsidR="005A6ED9" w:rsidRPr="00036EE3" w:rsidRDefault="005A6ED9" w:rsidP="002409CA">
            <w:pPr>
              <w:spacing w:before="30" w:after="30"/>
              <w:jc w:val="left"/>
              <w:rPr>
                <w:sz w:val="20"/>
                <w:lang w:val="en-US"/>
              </w:rPr>
            </w:pPr>
            <w:r w:rsidRPr="00441DCF">
              <w:rPr>
                <w:sz w:val="20"/>
                <w:lang w:val="en-US"/>
              </w:rPr>
              <w:t>Radio astronomy</w:t>
            </w:r>
          </w:p>
        </w:tc>
      </w:tr>
      <w:tr w:rsidR="005A6ED9" w:rsidRPr="00036EE3" w14:paraId="50AD74ED" w14:textId="77777777" w:rsidTr="002409CA">
        <w:tc>
          <w:tcPr>
            <w:tcW w:w="1140" w:type="dxa"/>
            <w:shd w:val="clear" w:color="auto" w:fill="F2F2F2" w:themeFill="background1" w:themeFillShade="F2"/>
          </w:tcPr>
          <w:p w14:paraId="5DFC5879" w14:textId="77777777" w:rsidR="005A6ED9" w:rsidRPr="00441DCF" w:rsidRDefault="005A6ED9" w:rsidP="002409CA">
            <w:pPr>
              <w:spacing w:before="30" w:after="30"/>
              <w:ind w:left="57"/>
              <w:jc w:val="left"/>
              <w:rPr>
                <w:rFonts w:hAnsi="Times New Roman Bold"/>
                <w:b/>
                <w:color w:val="000080"/>
                <w:sz w:val="20"/>
                <w:lang w:val="en-US"/>
              </w:rPr>
            </w:pPr>
            <w:r w:rsidRPr="00441DCF">
              <w:rPr>
                <w:rFonts w:hAnsi="Times New Roman Bold"/>
                <w:b/>
                <w:color w:val="000080"/>
                <w:sz w:val="20"/>
                <w:lang w:val="en-US"/>
              </w:rPr>
              <w:t>RS</w:t>
            </w:r>
          </w:p>
        </w:tc>
        <w:tc>
          <w:tcPr>
            <w:tcW w:w="8220" w:type="dxa"/>
            <w:shd w:val="clear" w:color="auto" w:fill="F2F2F2" w:themeFill="background1" w:themeFillShade="F2"/>
          </w:tcPr>
          <w:p w14:paraId="34DB0076" w14:textId="77777777" w:rsidR="005A6ED9" w:rsidRPr="00441DCF" w:rsidRDefault="005A6ED9" w:rsidP="002409C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41DCF">
              <w:rPr>
                <w:rFonts w:hAnsi="Times New Roman Bold"/>
                <w:color w:val="000080"/>
                <w:sz w:val="20"/>
                <w:lang w:val="en-US"/>
              </w:rPr>
              <w:t>Remote sensing systems</w:t>
            </w:r>
          </w:p>
        </w:tc>
      </w:tr>
      <w:tr w:rsidR="005A6ED9" w:rsidRPr="00036EE3" w14:paraId="3EDA999B" w14:textId="77777777" w:rsidTr="002409CA">
        <w:tc>
          <w:tcPr>
            <w:tcW w:w="1140" w:type="dxa"/>
          </w:tcPr>
          <w:p w14:paraId="296B7B92" w14:textId="77777777" w:rsidR="005A6ED9" w:rsidRPr="00036EE3" w:rsidRDefault="005A6ED9" w:rsidP="002409CA">
            <w:pPr>
              <w:spacing w:before="30" w:after="30"/>
              <w:ind w:left="57"/>
              <w:jc w:val="left"/>
              <w:rPr>
                <w:b/>
                <w:bCs/>
                <w:sz w:val="20"/>
                <w:lang w:val="en-US"/>
              </w:rPr>
            </w:pPr>
            <w:r w:rsidRPr="00036EE3">
              <w:rPr>
                <w:b/>
                <w:bCs/>
                <w:sz w:val="20"/>
                <w:lang w:val="en-US"/>
              </w:rPr>
              <w:t>S</w:t>
            </w:r>
          </w:p>
        </w:tc>
        <w:tc>
          <w:tcPr>
            <w:tcW w:w="8220" w:type="dxa"/>
          </w:tcPr>
          <w:p w14:paraId="1B7050DB" w14:textId="77777777" w:rsidR="005A6ED9" w:rsidRPr="00036EE3" w:rsidRDefault="005A6ED9" w:rsidP="002409CA">
            <w:pPr>
              <w:spacing w:before="30" w:after="30"/>
              <w:jc w:val="left"/>
              <w:rPr>
                <w:sz w:val="20"/>
                <w:lang w:val="en-US"/>
              </w:rPr>
            </w:pPr>
            <w:r w:rsidRPr="00036EE3">
              <w:rPr>
                <w:sz w:val="20"/>
                <w:lang w:val="en-US"/>
              </w:rPr>
              <w:t>Fixed-satellite service</w:t>
            </w:r>
          </w:p>
        </w:tc>
      </w:tr>
      <w:tr w:rsidR="005A6ED9" w:rsidRPr="00036EE3" w14:paraId="607B4925" w14:textId="77777777" w:rsidTr="002409CA">
        <w:tc>
          <w:tcPr>
            <w:tcW w:w="1140" w:type="dxa"/>
          </w:tcPr>
          <w:p w14:paraId="6343A40D" w14:textId="77777777" w:rsidR="005A6ED9" w:rsidRPr="00036EE3" w:rsidRDefault="005A6ED9" w:rsidP="002409CA">
            <w:pPr>
              <w:spacing w:before="30" w:after="30"/>
              <w:ind w:left="57"/>
              <w:jc w:val="left"/>
              <w:rPr>
                <w:b/>
                <w:bCs/>
                <w:sz w:val="20"/>
                <w:lang w:val="en-US"/>
              </w:rPr>
            </w:pPr>
            <w:r w:rsidRPr="00036EE3">
              <w:rPr>
                <w:b/>
                <w:bCs/>
                <w:sz w:val="20"/>
                <w:lang w:val="en-US"/>
              </w:rPr>
              <w:t>SA</w:t>
            </w:r>
          </w:p>
        </w:tc>
        <w:tc>
          <w:tcPr>
            <w:tcW w:w="8220" w:type="dxa"/>
          </w:tcPr>
          <w:p w14:paraId="34F97146" w14:textId="77777777" w:rsidR="005A6ED9" w:rsidRPr="00036EE3" w:rsidRDefault="005A6ED9" w:rsidP="002409CA">
            <w:pPr>
              <w:spacing w:before="30" w:after="30"/>
              <w:jc w:val="left"/>
              <w:rPr>
                <w:sz w:val="20"/>
                <w:lang w:val="en-US"/>
              </w:rPr>
            </w:pPr>
            <w:r w:rsidRPr="00036EE3">
              <w:rPr>
                <w:sz w:val="20"/>
                <w:lang w:val="en-US"/>
              </w:rPr>
              <w:t>Space applications and meteorology</w:t>
            </w:r>
          </w:p>
        </w:tc>
      </w:tr>
      <w:tr w:rsidR="005A6ED9" w:rsidRPr="00576D47" w14:paraId="55E1AF9F" w14:textId="77777777" w:rsidTr="002409CA">
        <w:tc>
          <w:tcPr>
            <w:tcW w:w="1140" w:type="dxa"/>
            <w:tcBorders>
              <w:bottom w:val="nil"/>
            </w:tcBorders>
          </w:tcPr>
          <w:p w14:paraId="74B1EB8D" w14:textId="77777777" w:rsidR="005A6ED9" w:rsidRPr="00036EE3" w:rsidRDefault="005A6ED9" w:rsidP="002409CA">
            <w:pPr>
              <w:spacing w:before="30" w:after="30"/>
              <w:ind w:left="57"/>
              <w:jc w:val="left"/>
              <w:rPr>
                <w:b/>
                <w:bCs/>
                <w:sz w:val="20"/>
                <w:lang w:val="en-US"/>
              </w:rPr>
            </w:pPr>
            <w:r w:rsidRPr="00036EE3">
              <w:rPr>
                <w:b/>
                <w:bCs/>
                <w:sz w:val="20"/>
                <w:lang w:val="en-US"/>
              </w:rPr>
              <w:t>SF</w:t>
            </w:r>
          </w:p>
        </w:tc>
        <w:tc>
          <w:tcPr>
            <w:tcW w:w="8220" w:type="dxa"/>
            <w:tcBorders>
              <w:bottom w:val="nil"/>
            </w:tcBorders>
          </w:tcPr>
          <w:p w14:paraId="68A67BA1" w14:textId="77777777" w:rsidR="005A6ED9" w:rsidRPr="00036EE3" w:rsidRDefault="005A6ED9" w:rsidP="002409CA">
            <w:pPr>
              <w:spacing w:before="30" w:after="30"/>
              <w:jc w:val="left"/>
              <w:rPr>
                <w:sz w:val="20"/>
                <w:lang w:val="en-US"/>
              </w:rPr>
            </w:pPr>
            <w:r w:rsidRPr="00036EE3">
              <w:rPr>
                <w:sz w:val="20"/>
                <w:lang w:val="en-US"/>
              </w:rPr>
              <w:t>Frequency sharing and coordination between fixed-satellite and fixed service systems</w:t>
            </w:r>
          </w:p>
        </w:tc>
      </w:tr>
      <w:tr w:rsidR="005A6ED9" w:rsidRPr="00036EE3" w14:paraId="65257B45" w14:textId="77777777" w:rsidTr="002409CA">
        <w:tc>
          <w:tcPr>
            <w:tcW w:w="1140" w:type="dxa"/>
            <w:tcBorders>
              <w:top w:val="nil"/>
              <w:bottom w:val="nil"/>
            </w:tcBorders>
            <w:shd w:val="clear" w:color="auto" w:fill="auto"/>
          </w:tcPr>
          <w:p w14:paraId="4E1B4253" w14:textId="77777777" w:rsidR="005A6ED9" w:rsidRPr="001B164E" w:rsidRDefault="005A6ED9" w:rsidP="002409CA">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06CC42A5" w14:textId="77777777" w:rsidR="005A6ED9" w:rsidRPr="001B164E" w:rsidRDefault="005A6ED9" w:rsidP="002409CA">
            <w:pPr>
              <w:spacing w:before="30" w:after="30"/>
              <w:jc w:val="left"/>
              <w:rPr>
                <w:rFonts w:hAnsi="Times New Roman Bold"/>
                <w:sz w:val="20"/>
                <w:lang w:val="en-US"/>
              </w:rPr>
            </w:pPr>
            <w:r w:rsidRPr="001B164E">
              <w:rPr>
                <w:rFonts w:hAnsi="Times New Roman Bold"/>
                <w:sz w:val="20"/>
                <w:lang w:val="en-US"/>
              </w:rPr>
              <w:t>Spectrum management</w:t>
            </w:r>
          </w:p>
        </w:tc>
      </w:tr>
      <w:tr w:rsidR="005A6ED9" w:rsidRPr="00036EE3" w14:paraId="33E3DE6D" w14:textId="77777777" w:rsidTr="002409CA">
        <w:tc>
          <w:tcPr>
            <w:tcW w:w="1140" w:type="dxa"/>
            <w:tcBorders>
              <w:top w:val="nil"/>
            </w:tcBorders>
          </w:tcPr>
          <w:p w14:paraId="69F70345" w14:textId="77777777" w:rsidR="005A6ED9" w:rsidRPr="00036EE3" w:rsidRDefault="005A6ED9" w:rsidP="002409CA">
            <w:pPr>
              <w:spacing w:before="30" w:after="30"/>
              <w:ind w:left="57"/>
              <w:jc w:val="left"/>
              <w:rPr>
                <w:b/>
                <w:bCs/>
                <w:sz w:val="20"/>
                <w:lang w:val="en-US"/>
              </w:rPr>
            </w:pPr>
            <w:r w:rsidRPr="00036EE3">
              <w:rPr>
                <w:b/>
                <w:bCs/>
                <w:sz w:val="20"/>
                <w:lang w:val="en-US"/>
              </w:rPr>
              <w:t>SNG</w:t>
            </w:r>
          </w:p>
        </w:tc>
        <w:tc>
          <w:tcPr>
            <w:tcW w:w="8220" w:type="dxa"/>
            <w:tcBorders>
              <w:top w:val="nil"/>
            </w:tcBorders>
          </w:tcPr>
          <w:p w14:paraId="44455BE9" w14:textId="77777777" w:rsidR="005A6ED9" w:rsidRPr="00036EE3" w:rsidRDefault="005A6ED9" w:rsidP="002409CA">
            <w:pPr>
              <w:spacing w:before="30" w:after="30"/>
              <w:jc w:val="left"/>
              <w:rPr>
                <w:sz w:val="20"/>
                <w:lang w:val="en-US"/>
              </w:rPr>
            </w:pPr>
            <w:r w:rsidRPr="00036EE3">
              <w:rPr>
                <w:sz w:val="20"/>
                <w:lang w:val="en-US"/>
              </w:rPr>
              <w:t>Satellite news gathering</w:t>
            </w:r>
          </w:p>
        </w:tc>
      </w:tr>
      <w:tr w:rsidR="005A6ED9" w:rsidRPr="00576D47" w14:paraId="5792FAA0" w14:textId="77777777" w:rsidTr="002409CA">
        <w:tc>
          <w:tcPr>
            <w:tcW w:w="1140" w:type="dxa"/>
          </w:tcPr>
          <w:p w14:paraId="47D8BAD6" w14:textId="77777777" w:rsidR="005A6ED9" w:rsidRPr="00036EE3" w:rsidRDefault="005A6ED9" w:rsidP="002409CA">
            <w:pPr>
              <w:spacing w:before="30" w:after="30"/>
              <w:ind w:left="57"/>
              <w:jc w:val="left"/>
              <w:rPr>
                <w:b/>
                <w:bCs/>
                <w:sz w:val="20"/>
                <w:lang w:val="en-US"/>
              </w:rPr>
            </w:pPr>
            <w:r w:rsidRPr="00036EE3">
              <w:rPr>
                <w:b/>
                <w:bCs/>
                <w:sz w:val="20"/>
                <w:lang w:val="en-US"/>
              </w:rPr>
              <w:t>TF</w:t>
            </w:r>
          </w:p>
        </w:tc>
        <w:tc>
          <w:tcPr>
            <w:tcW w:w="8220" w:type="dxa"/>
          </w:tcPr>
          <w:p w14:paraId="60848945" w14:textId="77777777" w:rsidR="005A6ED9" w:rsidRPr="00036EE3" w:rsidRDefault="005A6ED9" w:rsidP="002409CA">
            <w:pPr>
              <w:spacing w:before="30" w:after="30"/>
              <w:jc w:val="left"/>
              <w:rPr>
                <w:sz w:val="20"/>
                <w:lang w:val="en-US"/>
              </w:rPr>
            </w:pPr>
            <w:r w:rsidRPr="00036EE3">
              <w:rPr>
                <w:sz w:val="20"/>
                <w:lang w:val="en-US"/>
              </w:rPr>
              <w:t>Time signals and frequency standards emissions</w:t>
            </w:r>
          </w:p>
        </w:tc>
      </w:tr>
      <w:tr w:rsidR="005A6ED9" w:rsidRPr="00036EE3" w14:paraId="3A2905E8" w14:textId="77777777" w:rsidTr="002409CA">
        <w:tc>
          <w:tcPr>
            <w:tcW w:w="1140" w:type="dxa"/>
          </w:tcPr>
          <w:p w14:paraId="3CA5AECE" w14:textId="77777777" w:rsidR="005A6ED9" w:rsidRPr="00036EE3" w:rsidRDefault="005A6ED9" w:rsidP="002409CA">
            <w:pPr>
              <w:spacing w:before="30" w:after="30"/>
              <w:ind w:left="57"/>
              <w:jc w:val="left"/>
              <w:rPr>
                <w:b/>
                <w:bCs/>
                <w:sz w:val="20"/>
                <w:lang w:val="en-US"/>
              </w:rPr>
            </w:pPr>
            <w:r w:rsidRPr="00036EE3">
              <w:rPr>
                <w:b/>
                <w:bCs/>
                <w:sz w:val="20"/>
                <w:lang w:val="en-US"/>
              </w:rPr>
              <w:t>V</w:t>
            </w:r>
          </w:p>
        </w:tc>
        <w:tc>
          <w:tcPr>
            <w:tcW w:w="8220" w:type="dxa"/>
          </w:tcPr>
          <w:p w14:paraId="3B2FF724" w14:textId="77777777" w:rsidR="005A6ED9" w:rsidRPr="00036EE3" w:rsidRDefault="005A6ED9" w:rsidP="002409CA">
            <w:pPr>
              <w:spacing w:before="30" w:after="180"/>
              <w:jc w:val="left"/>
              <w:rPr>
                <w:sz w:val="20"/>
                <w:lang w:val="en-US"/>
              </w:rPr>
            </w:pPr>
            <w:r w:rsidRPr="00036EE3">
              <w:rPr>
                <w:sz w:val="20"/>
                <w:lang w:val="en-US"/>
              </w:rPr>
              <w:t>Vocabulary and related subjects</w:t>
            </w:r>
          </w:p>
        </w:tc>
      </w:tr>
    </w:tbl>
    <w:p w14:paraId="52D4695A" w14:textId="77777777" w:rsidR="005A6ED9" w:rsidRPr="00036EE3" w:rsidRDefault="005A6ED9" w:rsidP="005A6ED9">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5A6ED9" w14:paraId="0C9CD5A3" w14:textId="77777777" w:rsidTr="002409CA">
        <w:tc>
          <w:tcPr>
            <w:tcW w:w="720" w:type="dxa"/>
          </w:tcPr>
          <w:p w14:paraId="39DA73E4" w14:textId="77777777" w:rsidR="005A6ED9" w:rsidRDefault="005A6ED9" w:rsidP="002409CA">
            <w:pPr>
              <w:jc w:val="center"/>
              <w:rPr>
                <w:sz w:val="22"/>
                <w:lang w:val="en-US"/>
              </w:rPr>
            </w:pPr>
          </w:p>
        </w:tc>
      </w:tr>
    </w:tbl>
    <w:p w14:paraId="77BC7F97" w14:textId="77777777" w:rsidR="005A6ED9" w:rsidRPr="00036EE3" w:rsidRDefault="005A6ED9" w:rsidP="005A6ED9">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5A6ED9" w:rsidRPr="00576D47" w14:paraId="2CF1790F" w14:textId="77777777" w:rsidTr="002409CA">
        <w:tc>
          <w:tcPr>
            <w:tcW w:w="9360" w:type="dxa"/>
          </w:tcPr>
          <w:p w14:paraId="1577B899" w14:textId="77777777" w:rsidR="005A6ED9" w:rsidRPr="002F5199" w:rsidRDefault="005A6ED9" w:rsidP="002409CA">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46BE061F" w14:textId="77777777" w:rsidR="005A6ED9" w:rsidRDefault="005A6ED9" w:rsidP="005A6ED9">
      <w:pPr>
        <w:spacing w:before="0"/>
        <w:jc w:val="center"/>
        <w:rPr>
          <w:sz w:val="22"/>
          <w:lang w:val="en-US"/>
        </w:rPr>
      </w:pPr>
    </w:p>
    <w:p w14:paraId="02FDACA8" w14:textId="77777777" w:rsidR="005A6ED9" w:rsidRDefault="005A6ED9" w:rsidP="005A6ED9">
      <w:pPr>
        <w:spacing w:before="0"/>
        <w:jc w:val="center"/>
        <w:rPr>
          <w:sz w:val="22"/>
          <w:lang w:val="en-US"/>
        </w:rPr>
      </w:pPr>
    </w:p>
    <w:p w14:paraId="58D550E4" w14:textId="77777777" w:rsidR="005A6ED9" w:rsidRPr="002F5199" w:rsidRDefault="005A6ED9" w:rsidP="005A6ED9">
      <w:pPr>
        <w:spacing w:before="0"/>
        <w:jc w:val="right"/>
        <w:rPr>
          <w:i/>
          <w:iCs/>
          <w:sz w:val="20"/>
          <w:lang w:val="en-US"/>
        </w:rPr>
      </w:pPr>
      <w:r w:rsidRPr="002F5199">
        <w:rPr>
          <w:i/>
          <w:iCs/>
          <w:sz w:val="20"/>
          <w:lang w:val="en-US"/>
        </w:rPr>
        <w:t>Electronic Publication</w:t>
      </w:r>
    </w:p>
    <w:p w14:paraId="0A8D2CF3" w14:textId="5681ACFD" w:rsidR="005A6ED9" w:rsidRPr="002F5199" w:rsidRDefault="005A6ED9" w:rsidP="005A6ED9">
      <w:pPr>
        <w:spacing w:before="0"/>
        <w:jc w:val="right"/>
        <w:rPr>
          <w:sz w:val="20"/>
          <w:lang w:val="en-US"/>
        </w:rPr>
      </w:pPr>
      <w:r w:rsidRPr="002F5199">
        <w:rPr>
          <w:sz w:val="20"/>
          <w:lang w:val="en-US"/>
        </w:rPr>
        <w:t>Geneva, 20</w:t>
      </w:r>
      <w:r>
        <w:rPr>
          <w:sz w:val="20"/>
          <w:lang w:val="en-US"/>
        </w:rPr>
        <w:t>2</w:t>
      </w:r>
      <w:r w:rsidR="00643078">
        <w:rPr>
          <w:sz w:val="20"/>
          <w:lang w:val="en-US"/>
        </w:rPr>
        <w:t>4</w:t>
      </w:r>
    </w:p>
    <w:p w14:paraId="650222E4" w14:textId="77777777" w:rsidR="005A6ED9" w:rsidRDefault="005A6ED9" w:rsidP="005A6ED9">
      <w:pPr>
        <w:jc w:val="center"/>
        <w:rPr>
          <w:sz w:val="22"/>
          <w:lang w:val="en-US"/>
        </w:rPr>
      </w:pPr>
    </w:p>
    <w:p w14:paraId="1E018302" w14:textId="59761EC7" w:rsidR="005A6ED9" w:rsidRPr="00470E28" w:rsidRDefault="005A6ED9" w:rsidP="005A6ED9">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w:t>
      </w:r>
      <w:r w:rsidR="00643078">
        <w:rPr>
          <w:sz w:val="20"/>
          <w:lang w:val="en-US"/>
        </w:rPr>
        <w:t>4</w:t>
      </w:r>
    </w:p>
    <w:p w14:paraId="3B0BB912" w14:textId="77777777" w:rsidR="005A6ED9" w:rsidRPr="00470E28" w:rsidRDefault="005A6ED9" w:rsidP="005A6ED9">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4BC7BD1B" w14:textId="77777777" w:rsidR="005A6ED9" w:rsidRDefault="005A6ED9" w:rsidP="005A6ED9">
      <w:pPr>
        <w:spacing w:before="160"/>
        <w:rPr>
          <w:i/>
          <w:sz w:val="20"/>
          <w:lang w:val="en-US"/>
        </w:rPr>
        <w:sectPr w:rsidR="005A6ED9" w:rsidSect="002058CE">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758E7857" w14:textId="49D85296" w:rsidR="000C100B" w:rsidRDefault="005A6ED9" w:rsidP="00AD2FA1">
      <w:pPr>
        <w:pStyle w:val="RecNo"/>
        <w:spacing w:before="0"/>
        <w:rPr>
          <w:lang w:eastAsia="zh-CN"/>
        </w:rPr>
      </w:pPr>
      <w:bookmarkStart w:id="2" w:name="irecnoe"/>
      <w:bookmarkStart w:id="3" w:name="dbreak"/>
      <w:bookmarkEnd w:id="2"/>
      <w:bookmarkEnd w:id="3"/>
      <w:r w:rsidRPr="00BF487A">
        <w:lastRenderedPageBreak/>
        <w:t xml:space="preserve">RECOMMENDATION  </w:t>
      </w:r>
      <w:r w:rsidRPr="00BF487A">
        <w:rPr>
          <w:rStyle w:val="href"/>
          <w:lang w:val="en-US"/>
        </w:rPr>
        <w:t xml:space="preserve">ITU-R  </w:t>
      </w:r>
      <w:r>
        <w:rPr>
          <w:rStyle w:val="href"/>
          <w:lang w:val="en-US"/>
        </w:rPr>
        <w:t>RS</w:t>
      </w:r>
      <w:r w:rsidRPr="00BF487A">
        <w:rPr>
          <w:rStyle w:val="href"/>
          <w:lang w:val="en-US"/>
        </w:rPr>
        <w:t>.</w:t>
      </w:r>
      <w:r w:rsidR="000C100B" w:rsidRPr="00954230">
        <w:rPr>
          <w:rStyle w:val="href"/>
          <w:lang w:val="en-US"/>
        </w:rPr>
        <w:t>2066-1</w:t>
      </w:r>
    </w:p>
    <w:p w14:paraId="558C7264" w14:textId="0B69D148" w:rsidR="000C100B" w:rsidRDefault="000C100B" w:rsidP="000C100B">
      <w:pPr>
        <w:pStyle w:val="Reptitle"/>
      </w:pPr>
      <w:r w:rsidRPr="00CC2E73">
        <w:rPr>
          <w:lang w:eastAsia="zh-CN"/>
        </w:rPr>
        <w:t>Protection of the radio astronomy service in the frequency band 10.6-10.7 GHz from unwanted emissions of synthetic aperture radars operating in the Earth exploration-satellite service (active) around 9 600 MHz</w:t>
      </w:r>
    </w:p>
    <w:p w14:paraId="7EC57AB9" w14:textId="6CCEC8FB" w:rsidR="002C0041" w:rsidRDefault="0047506E" w:rsidP="0047506E">
      <w:pPr>
        <w:pStyle w:val="Recdate"/>
      </w:pPr>
      <w:r>
        <w:t>(2014</w:t>
      </w:r>
      <w:r w:rsidR="00E145E7">
        <w:t>-202</w:t>
      </w:r>
      <w:r w:rsidR="00643078">
        <w:t>4</w:t>
      </w:r>
      <w:r>
        <w:t>)</w:t>
      </w:r>
    </w:p>
    <w:p w14:paraId="739A8756" w14:textId="03D1D9EA" w:rsidR="00524B07" w:rsidRPr="001E435E" w:rsidRDefault="00524B07" w:rsidP="00EA6640">
      <w:pPr>
        <w:pStyle w:val="HeadingSum"/>
        <w:rPr>
          <w:lang w:val="en-GB"/>
        </w:rPr>
      </w:pPr>
      <w:r w:rsidRPr="001E435E">
        <w:rPr>
          <w:lang w:val="en-GB"/>
        </w:rPr>
        <w:t xml:space="preserve">Scope </w:t>
      </w:r>
    </w:p>
    <w:p w14:paraId="0A46DEF0" w14:textId="77777777" w:rsidR="00524B07" w:rsidRPr="001E435E" w:rsidRDefault="00524B07" w:rsidP="00EA6640">
      <w:pPr>
        <w:pStyle w:val="Summary"/>
        <w:rPr>
          <w:lang w:val="en-GB"/>
        </w:rPr>
      </w:pPr>
      <w:r w:rsidRPr="001E435E">
        <w:rPr>
          <w:lang w:val="en-GB"/>
        </w:rPr>
        <w:t>This Recommendation provides an operational procedure to avoid main-beam to main-beam coupling between Earth exploration-satellite service (EESS) (active) SAR-4 systems when transmitting near 9 600 MHz and radio astronomy service (RAS) stations performing observations in the band 10.6</w:t>
      </w:r>
      <w:r w:rsidRPr="001E435E">
        <w:rPr>
          <w:lang w:val="en-GB"/>
        </w:rPr>
        <w:noBreakHyphen/>
        <w:t>10.7 GHz in order to avoid damage to the sensitive RAS low noise amplifier.</w:t>
      </w:r>
    </w:p>
    <w:p w14:paraId="5BE357DB" w14:textId="77777777" w:rsidR="00524B07" w:rsidRPr="00CC2E73" w:rsidRDefault="00524B07" w:rsidP="00735651">
      <w:pPr>
        <w:pStyle w:val="Headingb"/>
      </w:pPr>
      <w:r w:rsidRPr="00CC2E73">
        <w:t>Keywords</w:t>
      </w:r>
    </w:p>
    <w:p w14:paraId="3BAE4F04" w14:textId="77777777" w:rsidR="00524B07" w:rsidRPr="00CC2E73" w:rsidRDefault="00524B07" w:rsidP="00735651">
      <w:r w:rsidRPr="00CC2E73">
        <w:t>EESS (active), RAS, mitigation</w:t>
      </w:r>
    </w:p>
    <w:p w14:paraId="291A19DB" w14:textId="77777777" w:rsidR="00524B07" w:rsidRPr="00CC2E73" w:rsidRDefault="00524B07" w:rsidP="00735651">
      <w:pPr>
        <w:pStyle w:val="Headingb"/>
      </w:pPr>
      <w:r w:rsidRPr="00CC2E73">
        <w:t>Abbreviations/Glossary</w:t>
      </w:r>
    </w:p>
    <w:p w14:paraId="695EB262" w14:textId="77777777" w:rsidR="00524B07" w:rsidRPr="00CC2E73" w:rsidRDefault="00524B07" w:rsidP="00735651">
      <w:r w:rsidRPr="00CC2E73">
        <w:t>SAR</w:t>
      </w:r>
      <w:r w:rsidRPr="00CC2E73">
        <w:tab/>
        <w:t>Synthetic Aperture Radar</w:t>
      </w:r>
    </w:p>
    <w:p w14:paraId="70EE52E8" w14:textId="77777777" w:rsidR="00524B07" w:rsidRPr="00CC2E73" w:rsidRDefault="00524B07" w:rsidP="00735651">
      <w:pPr>
        <w:pStyle w:val="Headingb"/>
      </w:pPr>
      <w:r w:rsidRPr="00CC2E73">
        <w:t>Related ITU Recommendations/Reports</w:t>
      </w:r>
    </w:p>
    <w:p w14:paraId="01EF9169" w14:textId="0C619575" w:rsidR="00524B07" w:rsidRPr="00296DB8" w:rsidRDefault="00524B07" w:rsidP="001E435E">
      <w:pPr>
        <w:pStyle w:val="Reftext"/>
      </w:pPr>
      <w:r w:rsidRPr="00CC2E73">
        <w:t xml:space="preserve">Recommendation ITU-R </w:t>
      </w:r>
      <w:r w:rsidRPr="00CC2E73">
        <w:rPr>
          <w:szCs w:val="24"/>
        </w:rPr>
        <w:t>RS.2043</w:t>
      </w:r>
      <w:r w:rsidRPr="00CC2E73">
        <w:t xml:space="preserve"> </w:t>
      </w:r>
      <w:r w:rsidR="001E435E">
        <w:t xml:space="preserve">– </w:t>
      </w:r>
      <w:r w:rsidRPr="00296DB8">
        <w:t>Characteristics of synthetic aperture radars operating in the Earth exploration-satellite service (active) around 9 600 MHz</w:t>
      </w:r>
    </w:p>
    <w:p w14:paraId="5EAA17D3" w14:textId="38FA7246" w:rsidR="00524B07" w:rsidRPr="00296DB8" w:rsidRDefault="00524B07" w:rsidP="001E435E">
      <w:pPr>
        <w:pStyle w:val="Reftext"/>
      </w:pPr>
      <w:r w:rsidRPr="00296DB8">
        <w:t xml:space="preserve">Report ITU-R </w:t>
      </w:r>
      <w:r w:rsidRPr="00296DB8">
        <w:rPr>
          <w:szCs w:val="24"/>
        </w:rPr>
        <w:t>RA.2188</w:t>
      </w:r>
      <w:r w:rsidRPr="00296DB8">
        <w:t xml:space="preserve"> </w:t>
      </w:r>
      <w:r w:rsidR="001E435E">
        <w:t xml:space="preserve">– </w:t>
      </w:r>
      <w:r w:rsidRPr="00296DB8">
        <w:t>Power flux-density and e.i.r.p. levels potentially damaging to radio astronomy receivers</w:t>
      </w:r>
    </w:p>
    <w:p w14:paraId="3E60D9B7" w14:textId="6936A29E" w:rsidR="00524B07" w:rsidRPr="00296DB8" w:rsidRDefault="00524B07" w:rsidP="001E435E">
      <w:pPr>
        <w:pStyle w:val="Reftext"/>
      </w:pPr>
      <w:r w:rsidRPr="00296DB8">
        <w:t xml:space="preserve">Report ITU-R </w:t>
      </w:r>
      <w:r w:rsidRPr="00296DB8">
        <w:rPr>
          <w:szCs w:val="24"/>
        </w:rPr>
        <w:t>RS.2274</w:t>
      </w:r>
      <w:r w:rsidR="001E435E">
        <w:t xml:space="preserve"> – </w:t>
      </w:r>
      <w:r w:rsidRPr="00296DB8">
        <w:t>Spectrum requirements for spaceborne synthetic aperture radar applications planned in an extended allocation to the Earth exploration-satellite service around 9 600 MHz</w:t>
      </w:r>
    </w:p>
    <w:p w14:paraId="248D06B7" w14:textId="1F73A4EA" w:rsidR="00524B07" w:rsidRPr="00296DB8" w:rsidRDefault="00524B07" w:rsidP="001E435E">
      <w:pPr>
        <w:pStyle w:val="Reftext"/>
      </w:pPr>
      <w:r w:rsidRPr="00296DB8">
        <w:t>Report ITU-R RS.2308</w:t>
      </w:r>
      <w:r w:rsidR="001E435E">
        <w:t xml:space="preserve"> – </w:t>
      </w:r>
      <w:r w:rsidRPr="00296DB8">
        <w:t xml:space="preserve">Radio frequency compatibility of unwanted emissions from 9 GHz EESS synthetic aperture radars with the Earth </w:t>
      </w:r>
      <w:r w:rsidRPr="00296DB8">
        <w:rPr>
          <w:spacing w:val="-4"/>
        </w:rPr>
        <w:t>exploration</w:t>
      </w:r>
      <w:r w:rsidRPr="00296DB8">
        <w:t>-satellite service</w:t>
      </w:r>
      <w:r w:rsidRPr="00296DB8" w:rsidDel="00393B86">
        <w:t xml:space="preserve"> </w:t>
      </w:r>
      <w:r w:rsidRPr="00296DB8">
        <w:t>(passive), space research service (passive), space research service and radio astronomy service operating in the frequency bands 8 400-8 500 MHz and 10.6</w:t>
      </w:r>
      <w:r w:rsidRPr="00296DB8">
        <w:noBreakHyphen/>
        <w:t>10.7 GHz, respectively</w:t>
      </w:r>
    </w:p>
    <w:p w14:paraId="51476E06" w14:textId="77777777" w:rsidR="00524B07" w:rsidRPr="00CC2E73" w:rsidRDefault="00524B07" w:rsidP="00735651">
      <w:pPr>
        <w:pStyle w:val="Normalaftertitle"/>
      </w:pPr>
      <w:r w:rsidRPr="00CC2E73">
        <w:t>The ITU Radiocommunication Assembly,</w:t>
      </w:r>
    </w:p>
    <w:p w14:paraId="3C54CA53" w14:textId="77777777" w:rsidR="00524B07" w:rsidRPr="00CC2E73" w:rsidRDefault="00524B07" w:rsidP="00735651">
      <w:pPr>
        <w:pStyle w:val="Call"/>
      </w:pPr>
      <w:r w:rsidRPr="00CC2E73">
        <w:t>considering</w:t>
      </w:r>
    </w:p>
    <w:p w14:paraId="1BE2AC72" w14:textId="77777777" w:rsidR="00524B07" w:rsidRPr="00CC2E73" w:rsidRDefault="00524B07" w:rsidP="00735651">
      <w:r w:rsidRPr="00CC2E73">
        <w:rPr>
          <w:i/>
          <w:iCs/>
        </w:rPr>
        <w:t>a)</w:t>
      </w:r>
      <w:r w:rsidRPr="00CC2E73">
        <w:rPr>
          <w:i/>
        </w:rPr>
        <w:tab/>
      </w:r>
      <w:r w:rsidRPr="00CC2E73">
        <w:t>that the frequency band 9 300-9 800 MHz is allocated to EESS (active) on a primary basis;</w:t>
      </w:r>
    </w:p>
    <w:p w14:paraId="61FE402B" w14:textId="77777777" w:rsidR="00524B07" w:rsidRPr="00CC2E73" w:rsidRDefault="00524B07" w:rsidP="00735651">
      <w:r w:rsidRPr="00CC2E73">
        <w:rPr>
          <w:i/>
          <w:iCs/>
        </w:rPr>
        <w:t>b)</w:t>
      </w:r>
      <w:r w:rsidRPr="00CC2E73">
        <w:tab/>
        <w:t>that the frequency band 9 800-9 900 MHz is allocated to EESS (active) on a secondary basis;</w:t>
      </w:r>
    </w:p>
    <w:p w14:paraId="71F098A5" w14:textId="77777777" w:rsidR="00524B07" w:rsidRPr="00CC2E73" w:rsidRDefault="00524B07" w:rsidP="00735651">
      <w:pPr>
        <w:tabs>
          <w:tab w:val="clear" w:pos="1191"/>
          <w:tab w:val="left" w:pos="-1890"/>
          <w:tab w:val="left" w:pos="1170"/>
        </w:tabs>
      </w:pPr>
      <w:r w:rsidRPr="00CC2E73">
        <w:rPr>
          <w:i/>
          <w:iCs/>
        </w:rPr>
        <w:t>c)</w:t>
      </w:r>
      <w:r w:rsidRPr="00CC2E73">
        <w:tab/>
      </w:r>
      <w:r w:rsidRPr="00CC2E73">
        <w:rPr>
          <w:szCs w:val="24"/>
        </w:rPr>
        <w:t>that the frequency band 10.6-10.7 GHz is allocated to the RAS on a primary basis</w:t>
      </w:r>
      <w:r w:rsidRPr="00CC2E73">
        <w:t xml:space="preserve">; </w:t>
      </w:r>
    </w:p>
    <w:p w14:paraId="361CE8C7" w14:textId="77777777" w:rsidR="00524B07" w:rsidRPr="00CC2E73" w:rsidRDefault="00524B07" w:rsidP="00735651">
      <w:r w:rsidRPr="00CC2E73">
        <w:rPr>
          <w:i/>
          <w:iCs/>
        </w:rPr>
        <w:t>d)</w:t>
      </w:r>
      <w:r w:rsidRPr="00CC2E73">
        <w:tab/>
        <w:t>that EESS (active) systems operating active radars around 9 600 MHz use high power chirp emissions in the space-to-Earth direction;</w:t>
      </w:r>
    </w:p>
    <w:p w14:paraId="0E1AF76F" w14:textId="77777777" w:rsidR="00524B07" w:rsidRPr="00CC2E73" w:rsidRDefault="00524B07" w:rsidP="00735651">
      <w:pPr>
        <w:tabs>
          <w:tab w:val="clear" w:pos="1191"/>
          <w:tab w:val="left" w:pos="-1890"/>
          <w:tab w:val="left" w:pos="1170"/>
        </w:tabs>
        <w:rPr>
          <w:szCs w:val="24"/>
        </w:rPr>
      </w:pPr>
      <w:r w:rsidRPr="00CC2E73">
        <w:rPr>
          <w:i/>
          <w:iCs/>
          <w:szCs w:val="24"/>
        </w:rPr>
        <w:t>e)</w:t>
      </w:r>
      <w:r w:rsidRPr="00CC2E73">
        <w:rPr>
          <w:szCs w:val="24"/>
        </w:rPr>
        <w:tab/>
        <w:t>that radio astronomy stations operating in the frequency band 10.6-10.7 GHz use extremely sensitive low noise amplifiers;</w:t>
      </w:r>
    </w:p>
    <w:p w14:paraId="3B930855" w14:textId="3CAB81C5" w:rsidR="00524B07" w:rsidRPr="00CC2E73" w:rsidRDefault="00524B07" w:rsidP="00735651">
      <w:r w:rsidRPr="00CC2E73">
        <w:rPr>
          <w:i/>
          <w:iCs/>
        </w:rPr>
        <w:t>f)</w:t>
      </w:r>
      <w:r w:rsidRPr="00CC2E73">
        <w:tab/>
        <w:t xml:space="preserve">that Report ITU-R </w:t>
      </w:r>
      <w:r w:rsidRPr="00CC2E73">
        <w:rPr>
          <w:bCs/>
          <w:szCs w:val="24"/>
        </w:rPr>
        <w:t>RA.2188</w:t>
      </w:r>
      <w:r w:rsidRPr="00CC2E73">
        <w:t xml:space="preserve"> provides the power flux-density and e.i.r.p. levels potentially damaging RAS low noise amplifiers/front-ends;</w:t>
      </w:r>
    </w:p>
    <w:p w14:paraId="12B388C3" w14:textId="77777777" w:rsidR="00524B07" w:rsidRPr="00CC2E73" w:rsidRDefault="00524B07" w:rsidP="00735651">
      <w:pPr>
        <w:overflowPunct/>
        <w:autoSpaceDE/>
        <w:autoSpaceDN/>
        <w:adjustRightInd/>
        <w:textAlignment w:val="auto"/>
        <w:rPr>
          <w:szCs w:val="24"/>
        </w:rPr>
      </w:pPr>
      <w:r w:rsidRPr="00CC2E73">
        <w:rPr>
          <w:i/>
          <w:iCs/>
          <w:szCs w:val="24"/>
        </w:rPr>
        <w:t>g)</w:t>
      </w:r>
      <w:r w:rsidRPr="00CC2E73">
        <w:rPr>
          <w:szCs w:val="24"/>
        </w:rPr>
        <w:tab/>
        <w:t xml:space="preserve">that the level of interference received by RAS stations from the emissions of EESS (active) systems may, under rare conditions of mainbeam to main beam coupling, reach or exceed the critical levels as given by Report ITU-R </w:t>
      </w:r>
      <w:r w:rsidRPr="00CC2E73">
        <w:rPr>
          <w:bCs/>
          <w:szCs w:val="24"/>
        </w:rPr>
        <w:t>RA.2188</w:t>
      </w:r>
      <w:r w:rsidRPr="00CC2E73">
        <w:rPr>
          <w:szCs w:val="24"/>
        </w:rPr>
        <w:t>,</w:t>
      </w:r>
    </w:p>
    <w:p w14:paraId="0C925930" w14:textId="77777777" w:rsidR="00524B07" w:rsidRPr="00CC2E73" w:rsidRDefault="00524B07" w:rsidP="00735651">
      <w:pPr>
        <w:pStyle w:val="Call"/>
      </w:pPr>
      <w:r w:rsidRPr="00CC2E73">
        <w:lastRenderedPageBreak/>
        <w:t>recommends</w:t>
      </w:r>
    </w:p>
    <w:p w14:paraId="657450B1" w14:textId="77777777" w:rsidR="00524B07" w:rsidRPr="00CC2E73" w:rsidRDefault="00524B07" w:rsidP="00735651">
      <w:r w:rsidRPr="00CC2E73">
        <w:rPr>
          <w:bCs/>
          <w:color w:val="000000"/>
        </w:rPr>
        <w:t>1</w:t>
      </w:r>
      <w:r w:rsidRPr="00CC2E73">
        <w:rPr>
          <w:color w:val="000000"/>
        </w:rPr>
        <w:tab/>
        <w:t xml:space="preserve">that, </w:t>
      </w:r>
      <w:r w:rsidRPr="00CC2E73">
        <w:t>in order to ensure compatibility of EESS SAR with RAS stations, EESS SAR systems operating around 9 600 MHz should avoid, to the maximum possible extent, to illuminate an area around radio astronomy stations. The size of such an area is defined in Annex 1. Annex 2 provides the list of RAS stations capable to operate in the frequency band 10.6-10.7 GHz and which may perform observations during times of illumination;</w:t>
      </w:r>
    </w:p>
    <w:p w14:paraId="3A48705E" w14:textId="77777777" w:rsidR="00524B07" w:rsidRPr="00CC2E73" w:rsidRDefault="00524B07" w:rsidP="00735651">
      <w:pPr>
        <w:rPr>
          <w:szCs w:val="24"/>
        </w:rPr>
      </w:pPr>
      <w:r w:rsidRPr="00CC2E73">
        <w:rPr>
          <w:bCs/>
          <w:szCs w:val="24"/>
        </w:rPr>
        <w:t>2</w:t>
      </w:r>
      <w:r w:rsidRPr="00CC2E73">
        <w:rPr>
          <w:szCs w:val="24"/>
        </w:rPr>
        <w:tab/>
        <w:t xml:space="preserve">that, in the event that the conditions referred to in </w:t>
      </w:r>
      <w:r w:rsidRPr="00CC2E73">
        <w:rPr>
          <w:i/>
          <w:szCs w:val="24"/>
        </w:rPr>
        <w:t xml:space="preserve">recommends </w:t>
      </w:r>
      <w:r w:rsidRPr="008E1DC3">
        <w:rPr>
          <w:iCs/>
          <w:szCs w:val="24"/>
        </w:rPr>
        <w:t>1</w:t>
      </w:r>
      <w:r w:rsidRPr="00CC2E73">
        <w:rPr>
          <w:iCs/>
          <w:szCs w:val="24"/>
        </w:rPr>
        <w:t xml:space="preserve"> </w:t>
      </w:r>
      <w:r w:rsidRPr="00CC2E73">
        <w:rPr>
          <w:szCs w:val="24"/>
        </w:rPr>
        <w:t>are not met, the operator of the EESS SAR system should contact the operator of the concerned radio astronomy station at least seven calendar days before an event for EESS SAR routine operations and at least 24 hours for EESS SAR acquisition of images in cases of emergency only such as disaster management in order to coordinate and, if necessary, to agree on mitigation or other preventive measures.</w:t>
      </w:r>
    </w:p>
    <w:p w14:paraId="080B865E" w14:textId="77777777" w:rsidR="00524B07" w:rsidRPr="00CC2E73" w:rsidRDefault="00524B07" w:rsidP="00735651"/>
    <w:p w14:paraId="3D2E6AD0" w14:textId="77777777" w:rsidR="00524B07" w:rsidRPr="00CC2E73" w:rsidRDefault="00524B07" w:rsidP="00735651"/>
    <w:p w14:paraId="64F8DE32" w14:textId="63996EEF" w:rsidR="00524B07" w:rsidRPr="00E5031B" w:rsidRDefault="00524B07" w:rsidP="00296DB8">
      <w:pPr>
        <w:pStyle w:val="AnnexNoTitle"/>
      </w:pPr>
      <w:r w:rsidRPr="00E5031B">
        <w:t>Annex 1</w:t>
      </w:r>
      <w:r w:rsidR="00296DB8" w:rsidRPr="00E5031B">
        <w:br/>
      </w:r>
      <w:r w:rsidR="00296DB8" w:rsidRPr="00E5031B">
        <w:br/>
      </w:r>
      <w:r w:rsidRPr="00E5031B">
        <w:t>Determination of the protection area surrounding RAS stations</w:t>
      </w:r>
    </w:p>
    <w:p w14:paraId="3A70FF0E" w14:textId="4F5B1643" w:rsidR="00524B07" w:rsidRPr="00CC2E73" w:rsidRDefault="00524B07" w:rsidP="00735651">
      <w:pPr>
        <w:pStyle w:val="Normalaftertitle"/>
      </w:pPr>
      <w:r w:rsidRPr="00CC2E73">
        <w:t xml:space="preserve">The emission beam contour corresponding to the margin determined by applying Recommendation ITU-R </w:t>
      </w:r>
      <w:r w:rsidRPr="00CC2E73">
        <w:rPr>
          <w:bCs/>
          <w:szCs w:val="24"/>
        </w:rPr>
        <w:t>RA.2188</w:t>
      </w:r>
      <w:r w:rsidRPr="00CC2E73">
        <w:t xml:space="preserve"> defines the damage zone for a potential boresight-to-boresight coupling of both antenna beams. Such a contour has the shape of an ellipse with a major axis </w:t>
      </w:r>
      <w:r w:rsidRPr="00CC2E73">
        <w:sym w:font="Symbol" w:char="F064"/>
      </w:r>
      <w:r w:rsidRPr="00CC2E73">
        <w:sym w:font="Symbol" w:char="F071"/>
      </w:r>
      <w:r w:rsidRPr="00CC2E73">
        <w:rPr>
          <w:i/>
          <w:iCs/>
          <w:vertAlign w:val="subscript"/>
        </w:rPr>
        <w:t>h</w:t>
      </w:r>
      <w:r w:rsidRPr="00CC2E73">
        <w:rPr>
          <w:vertAlign w:val="subscript"/>
        </w:rPr>
        <w:t xml:space="preserve"> </w:t>
      </w:r>
      <w:r w:rsidRPr="00CC2E73">
        <w:t xml:space="preserve">in the horizontal and the minor axis </w:t>
      </w:r>
      <w:r w:rsidRPr="00CC2E73">
        <w:sym w:font="Symbol" w:char="F064"/>
      </w:r>
      <w:r w:rsidRPr="00CC2E73">
        <w:sym w:font="Symbol" w:char="F071"/>
      </w:r>
      <w:r w:rsidRPr="00CC2E73">
        <w:rPr>
          <w:i/>
          <w:iCs/>
          <w:vertAlign w:val="subscript"/>
        </w:rPr>
        <w:t>v</w:t>
      </w:r>
      <w:r w:rsidRPr="00CC2E73">
        <w:t xml:space="preserve"> in the vertical beam direction, thus defining an area where the power level at the RAS station would exceed </w:t>
      </w:r>
      <w:r w:rsidR="001E435E">
        <w:t>−</w:t>
      </w:r>
      <w:r w:rsidRPr="00CC2E73">
        <w:t>18 dBW. The projection onto the Earthʼs surface provides the dimension of an area of size with an extension of ±</w:t>
      </w:r>
      <w:r w:rsidRPr="00CC2E73">
        <w:sym w:font="Symbol" w:char="F064"/>
      </w:r>
      <w:r w:rsidRPr="00CC2E73">
        <w:rPr>
          <w:i/>
          <w:iCs/>
        </w:rPr>
        <w:t>h</w:t>
      </w:r>
      <w:r w:rsidRPr="00CC2E73">
        <w:t xml:space="preserve"> in the horizontal direction and ±</w:t>
      </w:r>
      <w:r w:rsidRPr="00CC2E73">
        <w:sym w:font="Symbol" w:char="F064"/>
      </w:r>
      <w:r w:rsidRPr="00CC2E73">
        <w:rPr>
          <w:i/>
          <w:iCs/>
        </w:rPr>
        <w:t>v</w:t>
      </w:r>
      <w:r w:rsidRPr="00CC2E73">
        <w:t xml:space="preserve"> in the vertical direction around the radio astronomy station which should be protected. Table 1 provides the parameter range for the avoidance of accidental damage to an RAS receiver</w:t>
      </w:r>
      <w:r w:rsidRPr="00CC2E73">
        <w:rPr>
          <w:rStyle w:val="FootnoteReference"/>
        </w:rPr>
        <w:footnoteReference w:id="1"/>
      </w:r>
      <w:r w:rsidRPr="00CC2E73">
        <w:t xml:space="preserve"> with an antenna diameter of 100 m with regard to SAR-4 as described in Recommendation ITU-R </w:t>
      </w:r>
      <w:r w:rsidRPr="00CC2E73">
        <w:rPr>
          <w:bCs/>
        </w:rPr>
        <w:t>RS.2043</w:t>
      </w:r>
      <w:r w:rsidRPr="00CC2E73">
        <w:t>.</w:t>
      </w:r>
    </w:p>
    <w:p w14:paraId="1BF57C3A" w14:textId="77777777" w:rsidR="00524B07" w:rsidRPr="00CC2E73" w:rsidRDefault="00524B07" w:rsidP="00735651">
      <w:pPr>
        <w:pStyle w:val="TableNo"/>
      </w:pPr>
      <w:r w:rsidRPr="00CC2E73">
        <w:t>TABLE 1</w:t>
      </w:r>
    </w:p>
    <w:p w14:paraId="33AB8321" w14:textId="77777777" w:rsidR="00524B07" w:rsidRPr="00CC2E73" w:rsidRDefault="00524B07" w:rsidP="00735651">
      <w:pPr>
        <w:pStyle w:val="Tabletitle"/>
      </w:pPr>
      <w:r w:rsidRPr="00CC2E73">
        <w:t>Parameters for the avoidance of accidental damage to RA receivers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015"/>
        <w:gridCol w:w="1923"/>
        <w:gridCol w:w="2045"/>
        <w:gridCol w:w="1899"/>
      </w:tblGrid>
      <w:tr w:rsidR="00524B07" w:rsidRPr="00CC2E73" w14:paraId="4B4B6485" w14:textId="77777777" w:rsidTr="00FF2594">
        <w:trPr>
          <w:tblHeader/>
          <w:jc w:val="center"/>
        </w:trPr>
        <w:tc>
          <w:tcPr>
            <w:tcW w:w="1705" w:type="dxa"/>
            <w:tcBorders>
              <w:top w:val="single" w:sz="4" w:space="0" w:color="auto"/>
              <w:left w:val="single" w:sz="4" w:space="0" w:color="auto"/>
              <w:bottom w:val="single" w:sz="4" w:space="0" w:color="auto"/>
              <w:right w:val="single" w:sz="4" w:space="0" w:color="auto"/>
            </w:tcBorders>
            <w:hideMark/>
          </w:tcPr>
          <w:p w14:paraId="55D25C75" w14:textId="77777777" w:rsidR="00524B07" w:rsidRPr="00CC2E73" w:rsidRDefault="00524B07" w:rsidP="00FF2594">
            <w:pPr>
              <w:pStyle w:val="Tablehead"/>
            </w:pPr>
            <w:r w:rsidRPr="00CC2E73">
              <w:t xml:space="preserve">Incident angle </w:t>
            </w:r>
            <w:r w:rsidRPr="00CC2E73">
              <w:sym w:font="Symbol" w:char="F046"/>
            </w:r>
          </w:p>
        </w:tc>
        <w:tc>
          <w:tcPr>
            <w:tcW w:w="1956" w:type="dxa"/>
            <w:tcBorders>
              <w:top w:val="single" w:sz="4" w:space="0" w:color="auto"/>
              <w:left w:val="single" w:sz="4" w:space="0" w:color="auto"/>
              <w:bottom w:val="single" w:sz="4" w:space="0" w:color="auto"/>
              <w:right w:val="single" w:sz="4" w:space="0" w:color="auto"/>
            </w:tcBorders>
            <w:hideMark/>
          </w:tcPr>
          <w:p w14:paraId="0231DBAF" w14:textId="77777777" w:rsidR="00524B07" w:rsidRPr="00CC2E73" w:rsidRDefault="00524B07" w:rsidP="00FF2594">
            <w:pPr>
              <w:pStyle w:val="Tablehead"/>
            </w:pPr>
            <w:r w:rsidRPr="00CC2E73">
              <w:t xml:space="preserve">Horizontal offset angle </w:t>
            </w:r>
            <w:r w:rsidRPr="00CC2E73">
              <w:sym w:font="Symbol" w:char="F064"/>
            </w:r>
            <w:r w:rsidRPr="00CC2E73">
              <w:sym w:font="Symbol" w:char="F071"/>
            </w:r>
            <w:r w:rsidRPr="00CC2E73">
              <w:rPr>
                <w:i/>
                <w:iCs/>
                <w:vertAlign w:val="subscript"/>
              </w:rPr>
              <w:t>h</w:t>
            </w:r>
          </w:p>
        </w:tc>
        <w:tc>
          <w:tcPr>
            <w:tcW w:w="1867" w:type="dxa"/>
            <w:tcBorders>
              <w:top w:val="single" w:sz="4" w:space="0" w:color="auto"/>
              <w:left w:val="single" w:sz="4" w:space="0" w:color="auto"/>
              <w:bottom w:val="single" w:sz="4" w:space="0" w:color="auto"/>
              <w:right w:val="single" w:sz="4" w:space="0" w:color="auto"/>
            </w:tcBorders>
            <w:hideMark/>
          </w:tcPr>
          <w:p w14:paraId="4DC5809F" w14:textId="77777777" w:rsidR="00524B07" w:rsidRPr="00CC2E73" w:rsidRDefault="00524B07" w:rsidP="00FF2594">
            <w:pPr>
              <w:pStyle w:val="Tablehead"/>
            </w:pPr>
            <w:r w:rsidRPr="00CC2E73">
              <w:t xml:space="preserve">Vertical offset angle </w:t>
            </w:r>
            <w:r w:rsidRPr="00CC2E73">
              <w:sym w:font="Symbol" w:char="F064"/>
            </w:r>
            <w:r w:rsidRPr="00CC2E73">
              <w:sym w:font="Symbol" w:char="F071"/>
            </w:r>
            <w:r w:rsidRPr="00CC2E73">
              <w:rPr>
                <w:i/>
                <w:iCs/>
                <w:vertAlign w:val="subscript"/>
              </w:rPr>
              <w:t>v</w:t>
            </w:r>
            <w:r w:rsidRPr="00CC2E73">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CE42882" w14:textId="77777777" w:rsidR="00524B07" w:rsidRPr="00CC2E73" w:rsidRDefault="00524B07" w:rsidP="00FF2594">
            <w:pPr>
              <w:pStyle w:val="Tablehead"/>
            </w:pPr>
            <w:r w:rsidRPr="00CC2E73">
              <w:t xml:space="preserve">Horizontal separation (km) </w:t>
            </w:r>
            <w:r w:rsidRPr="00CC2E73">
              <w:sym w:font="Symbol" w:char="F064"/>
            </w:r>
            <w:r w:rsidRPr="00CC2E73">
              <w:rPr>
                <w:i/>
                <w:iCs/>
              </w:rPr>
              <w:t>h</w:t>
            </w:r>
          </w:p>
        </w:tc>
        <w:tc>
          <w:tcPr>
            <w:tcW w:w="1843" w:type="dxa"/>
            <w:tcBorders>
              <w:top w:val="single" w:sz="4" w:space="0" w:color="auto"/>
              <w:left w:val="single" w:sz="4" w:space="0" w:color="auto"/>
              <w:bottom w:val="single" w:sz="4" w:space="0" w:color="auto"/>
              <w:right w:val="single" w:sz="4" w:space="0" w:color="auto"/>
            </w:tcBorders>
            <w:hideMark/>
          </w:tcPr>
          <w:p w14:paraId="47F2DE6A" w14:textId="77777777" w:rsidR="00524B07" w:rsidRPr="00CC2E73" w:rsidRDefault="00524B07" w:rsidP="00FF2594">
            <w:pPr>
              <w:pStyle w:val="Tablehead"/>
            </w:pPr>
            <w:r w:rsidRPr="00CC2E73">
              <w:t xml:space="preserve">Vertical separation (km) </w:t>
            </w:r>
            <w:r w:rsidRPr="00CC2E73">
              <w:sym w:font="Symbol" w:char="F064"/>
            </w:r>
            <w:r w:rsidRPr="00CC2E73">
              <w:rPr>
                <w:i/>
                <w:iCs/>
              </w:rPr>
              <w:t>v</w:t>
            </w:r>
          </w:p>
        </w:tc>
      </w:tr>
      <w:tr w:rsidR="00524B07" w:rsidRPr="00CC2E73" w14:paraId="3BAEB77E" w14:textId="77777777" w:rsidTr="00FF2594">
        <w:trPr>
          <w:jc w:val="center"/>
        </w:trPr>
        <w:tc>
          <w:tcPr>
            <w:tcW w:w="1705" w:type="dxa"/>
            <w:tcBorders>
              <w:top w:val="single" w:sz="4" w:space="0" w:color="auto"/>
              <w:left w:val="single" w:sz="4" w:space="0" w:color="auto"/>
              <w:bottom w:val="single" w:sz="4" w:space="0" w:color="auto"/>
              <w:right w:val="single" w:sz="4" w:space="0" w:color="auto"/>
            </w:tcBorders>
            <w:hideMark/>
          </w:tcPr>
          <w:p w14:paraId="265C1E41" w14:textId="77777777" w:rsidR="00524B07" w:rsidRPr="00CC2E73" w:rsidRDefault="00524B07" w:rsidP="00FF2594">
            <w:pPr>
              <w:pStyle w:val="Tabletext"/>
              <w:jc w:val="center"/>
            </w:pPr>
            <w:r w:rsidRPr="00CC2E73">
              <w:t>20°</w:t>
            </w:r>
          </w:p>
        </w:tc>
        <w:tc>
          <w:tcPr>
            <w:tcW w:w="1956" w:type="dxa"/>
            <w:tcBorders>
              <w:top w:val="single" w:sz="4" w:space="0" w:color="auto"/>
              <w:left w:val="single" w:sz="4" w:space="0" w:color="auto"/>
              <w:bottom w:val="single" w:sz="4" w:space="0" w:color="auto"/>
              <w:right w:val="single" w:sz="4" w:space="0" w:color="auto"/>
            </w:tcBorders>
            <w:hideMark/>
          </w:tcPr>
          <w:p w14:paraId="37017895" w14:textId="77777777" w:rsidR="00524B07" w:rsidRPr="00CC2E73" w:rsidRDefault="00524B07" w:rsidP="00FF2594">
            <w:pPr>
              <w:pStyle w:val="Tabletext"/>
              <w:keepLines/>
              <w:tabs>
                <w:tab w:val="left" w:leader="dot" w:pos="7938"/>
                <w:tab w:val="center" w:pos="9526"/>
              </w:tabs>
              <w:ind w:left="567" w:hanging="567"/>
              <w:jc w:val="center"/>
            </w:pPr>
            <w:r w:rsidRPr="00CC2E73">
              <w:t>1.02°</w:t>
            </w:r>
          </w:p>
        </w:tc>
        <w:tc>
          <w:tcPr>
            <w:tcW w:w="1867" w:type="dxa"/>
            <w:tcBorders>
              <w:top w:val="single" w:sz="4" w:space="0" w:color="auto"/>
              <w:left w:val="single" w:sz="4" w:space="0" w:color="auto"/>
              <w:bottom w:val="single" w:sz="4" w:space="0" w:color="auto"/>
              <w:right w:val="single" w:sz="4" w:space="0" w:color="auto"/>
            </w:tcBorders>
            <w:hideMark/>
          </w:tcPr>
          <w:p w14:paraId="4E7BC538" w14:textId="77777777" w:rsidR="00524B07" w:rsidRPr="00CC2E73" w:rsidRDefault="00524B07" w:rsidP="00FF2594">
            <w:pPr>
              <w:pStyle w:val="Tabletext"/>
              <w:keepLines/>
              <w:tabs>
                <w:tab w:val="left" w:leader="dot" w:pos="7938"/>
                <w:tab w:val="center" w:pos="9526"/>
              </w:tabs>
              <w:ind w:left="567" w:hanging="567"/>
              <w:jc w:val="center"/>
            </w:pPr>
            <w:r w:rsidRPr="00CC2E73">
              <w:t>1.8°</w:t>
            </w:r>
          </w:p>
        </w:tc>
        <w:tc>
          <w:tcPr>
            <w:tcW w:w="1985" w:type="dxa"/>
            <w:tcBorders>
              <w:top w:val="single" w:sz="4" w:space="0" w:color="auto"/>
              <w:left w:val="single" w:sz="4" w:space="0" w:color="auto"/>
              <w:bottom w:val="single" w:sz="4" w:space="0" w:color="auto"/>
              <w:right w:val="single" w:sz="4" w:space="0" w:color="auto"/>
            </w:tcBorders>
            <w:hideMark/>
          </w:tcPr>
          <w:p w14:paraId="7D49CE0E" w14:textId="77777777" w:rsidR="00524B07" w:rsidRPr="00CC2E73" w:rsidRDefault="00524B07" w:rsidP="00FF2594">
            <w:pPr>
              <w:pStyle w:val="Tabletext"/>
              <w:keepLines/>
              <w:tabs>
                <w:tab w:val="left" w:leader="dot" w:pos="7938"/>
                <w:tab w:val="center" w:pos="9526"/>
              </w:tabs>
              <w:ind w:left="567" w:hanging="567"/>
              <w:jc w:val="center"/>
            </w:pPr>
            <w:r w:rsidRPr="00CC2E73">
              <w:t>9.6</w:t>
            </w:r>
          </w:p>
        </w:tc>
        <w:tc>
          <w:tcPr>
            <w:tcW w:w="1843" w:type="dxa"/>
            <w:tcBorders>
              <w:top w:val="single" w:sz="4" w:space="0" w:color="auto"/>
              <w:left w:val="single" w:sz="4" w:space="0" w:color="auto"/>
              <w:bottom w:val="single" w:sz="4" w:space="0" w:color="auto"/>
              <w:right w:val="single" w:sz="4" w:space="0" w:color="auto"/>
            </w:tcBorders>
            <w:hideMark/>
          </w:tcPr>
          <w:p w14:paraId="1372F1B0" w14:textId="77777777" w:rsidR="00524B07" w:rsidRPr="00CC2E73" w:rsidRDefault="00524B07" w:rsidP="00FF2594">
            <w:pPr>
              <w:pStyle w:val="Tabletext"/>
              <w:keepLines/>
              <w:tabs>
                <w:tab w:val="left" w:leader="dot" w:pos="7938"/>
                <w:tab w:val="center" w:pos="9526"/>
              </w:tabs>
              <w:ind w:left="567" w:hanging="567"/>
              <w:jc w:val="center"/>
            </w:pPr>
            <w:r w:rsidRPr="00CC2E73">
              <w:t>18.2</w:t>
            </w:r>
          </w:p>
        </w:tc>
      </w:tr>
      <w:tr w:rsidR="00524B07" w:rsidRPr="00CC2E73" w14:paraId="4640022B" w14:textId="77777777" w:rsidTr="00FF2594">
        <w:trPr>
          <w:jc w:val="center"/>
        </w:trPr>
        <w:tc>
          <w:tcPr>
            <w:tcW w:w="1705" w:type="dxa"/>
            <w:tcBorders>
              <w:top w:val="single" w:sz="4" w:space="0" w:color="auto"/>
              <w:left w:val="single" w:sz="4" w:space="0" w:color="auto"/>
              <w:bottom w:val="single" w:sz="4" w:space="0" w:color="auto"/>
              <w:right w:val="single" w:sz="4" w:space="0" w:color="auto"/>
            </w:tcBorders>
            <w:hideMark/>
          </w:tcPr>
          <w:p w14:paraId="38C22C59" w14:textId="77777777" w:rsidR="00524B07" w:rsidRPr="00CC2E73" w:rsidRDefault="00524B07" w:rsidP="00FF2594">
            <w:pPr>
              <w:pStyle w:val="Tabletext"/>
              <w:keepLines/>
              <w:tabs>
                <w:tab w:val="left" w:leader="dot" w:pos="7938"/>
                <w:tab w:val="center" w:pos="9526"/>
              </w:tabs>
              <w:ind w:left="567" w:hanging="567"/>
              <w:jc w:val="center"/>
            </w:pPr>
            <w:r w:rsidRPr="00CC2E73">
              <w:t>55°</w:t>
            </w:r>
          </w:p>
        </w:tc>
        <w:tc>
          <w:tcPr>
            <w:tcW w:w="1956" w:type="dxa"/>
            <w:tcBorders>
              <w:top w:val="single" w:sz="4" w:space="0" w:color="auto"/>
              <w:left w:val="single" w:sz="4" w:space="0" w:color="auto"/>
              <w:bottom w:val="single" w:sz="4" w:space="0" w:color="auto"/>
              <w:right w:val="single" w:sz="4" w:space="0" w:color="auto"/>
            </w:tcBorders>
            <w:hideMark/>
          </w:tcPr>
          <w:p w14:paraId="0C2C286E" w14:textId="77777777" w:rsidR="00524B07" w:rsidRPr="00CC2E73" w:rsidRDefault="00524B07" w:rsidP="00FF2594">
            <w:pPr>
              <w:pStyle w:val="Tabletext"/>
              <w:keepLines/>
              <w:tabs>
                <w:tab w:val="left" w:leader="dot" w:pos="7938"/>
                <w:tab w:val="center" w:pos="9526"/>
              </w:tabs>
              <w:ind w:left="567" w:hanging="567"/>
              <w:jc w:val="center"/>
            </w:pPr>
            <w:r w:rsidRPr="00CC2E73">
              <w:t>0.5°</w:t>
            </w:r>
          </w:p>
        </w:tc>
        <w:tc>
          <w:tcPr>
            <w:tcW w:w="1867" w:type="dxa"/>
            <w:tcBorders>
              <w:top w:val="single" w:sz="4" w:space="0" w:color="auto"/>
              <w:left w:val="single" w:sz="4" w:space="0" w:color="auto"/>
              <w:bottom w:val="single" w:sz="4" w:space="0" w:color="auto"/>
              <w:right w:val="single" w:sz="4" w:space="0" w:color="auto"/>
            </w:tcBorders>
            <w:hideMark/>
          </w:tcPr>
          <w:p w14:paraId="1517AC20" w14:textId="77777777" w:rsidR="00524B07" w:rsidRPr="00CC2E73" w:rsidRDefault="00524B07" w:rsidP="00FF2594">
            <w:pPr>
              <w:pStyle w:val="Tabletext"/>
              <w:keepLines/>
              <w:tabs>
                <w:tab w:val="left" w:leader="dot" w:pos="7938"/>
                <w:tab w:val="center" w:pos="9526"/>
              </w:tabs>
              <w:ind w:left="567" w:hanging="567"/>
              <w:jc w:val="center"/>
            </w:pPr>
            <w:r w:rsidRPr="00CC2E73">
              <w:t>1.1°</w:t>
            </w:r>
          </w:p>
        </w:tc>
        <w:tc>
          <w:tcPr>
            <w:tcW w:w="1985" w:type="dxa"/>
            <w:tcBorders>
              <w:top w:val="single" w:sz="4" w:space="0" w:color="auto"/>
              <w:left w:val="single" w:sz="4" w:space="0" w:color="auto"/>
              <w:bottom w:val="single" w:sz="4" w:space="0" w:color="auto"/>
              <w:right w:val="single" w:sz="4" w:space="0" w:color="auto"/>
            </w:tcBorders>
            <w:hideMark/>
          </w:tcPr>
          <w:p w14:paraId="483308E3" w14:textId="77777777" w:rsidR="00524B07" w:rsidRPr="00CC2E73" w:rsidRDefault="00524B07" w:rsidP="00FF2594">
            <w:pPr>
              <w:pStyle w:val="Tabletext"/>
              <w:keepLines/>
              <w:tabs>
                <w:tab w:val="left" w:leader="dot" w:pos="7938"/>
                <w:tab w:val="center" w:pos="9526"/>
              </w:tabs>
              <w:ind w:left="567" w:hanging="567"/>
              <w:jc w:val="center"/>
            </w:pPr>
            <w:r w:rsidRPr="00CC2E73">
              <w:t>7.4</w:t>
            </w:r>
          </w:p>
        </w:tc>
        <w:tc>
          <w:tcPr>
            <w:tcW w:w="1843" w:type="dxa"/>
            <w:tcBorders>
              <w:top w:val="single" w:sz="4" w:space="0" w:color="auto"/>
              <w:left w:val="single" w:sz="4" w:space="0" w:color="auto"/>
              <w:bottom w:val="single" w:sz="4" w:space="0" w:color="auto"/>
              <w:right w:val="single" w:sz="4" w:space="0" w:color="auto"/>
            </w:tcBorders>
            <w:hideMark/>
          </w:tcPr>
          <w:p w14:paraId="68E8CE52" w14:textId="77777777" w:rsidR="00524B07" w:rsidRPr="00CC2E73" w:rsidRDefault="00524B07" w:rsidP="00FF2594">
            <w:pPr>
              <w:pStyle w:val="Tabletext"/>
              <w:keepLines/>
              <w:tabs>
                <w:tab w:val="left" w:leader="dot" w:pos="7938"/>
                <w:tab w:val="center" w:pos="9526"/>
              </w:tabs>
              <w:ind w:left="567" w:hanging="567"/>
              <w:jc w:val="center"/>
            </w:pPr>
            <w:r w:rsidRPr="00CC2E73">
              <w:t>28.1</w:t>
            </w:r>
          </w:p>
        </w:tc>
      </w:tr>
    </w:tbl>
    <w:p w14:paraId="20A0186B" w14:textId="77777777" w:rsidR="00524B07" w:rsidRPr="00CC2E73" w:rsidRDefault="00524B07" w:rsidP="00735651">
      <w:pPr>
        <w:pStyle w:val="Tablefin"/>
      </w:pPr>
    </w:p>
    <w:p w14:paraId="38D590D2" w14:textId="77777777" w:rsidR="00524B07" w:rsidRPr="00CC2E73" w:rsidRDefault="00524B07" w:rsidP="00735651">
      <w:pPr>
        <w:keepNext/>
        <w:keepLines/>
      </w:pPr>
      <w:r w:rsidRPr="00CC2E73">
        <w:lastRenderedPageBreak/>
        <w:t>Figure 1 provides the size of the area around the RAS station to be protected, depending on the RAS antenna diameter and the incidence angle. It can be seen that there is no constraint for RAS stations having an antenna diameter less than 17 m, and that the maximum separation distance from the RAS station is 28 km for most RAS stations.</w:t>
      </w:r>
    </w:p>
    <w:p w14:paraId="74219ADB" w14:textId="77777777" w:rsidR="00524B07" w:rsidRPr="00CC2E73" w:rsidRDefault="00524B07" w:rsidP="00735651">
      <w:pPr>
        <w:pStyle w:val="FigureNo"/>
      </w:pPr>
      <w:r w:rsidRPr="00CC2E73">
        <w:t>figure 1</w:t>
      </w:r>
    </w:p>
    <w:p w14:paraId="483ECA34" w14:textId="77777777" w:rsidR="00524B07" w:rsidRPr="00CC2E73" w:rsidRDefault="00524B07" w:rsidP="00735651">
      <w:pPr>
        <w:pStyle w:val="Figuretitle"/>
        <w:rPr>
          <w:highlight w:val="yellow"/>
        </w:rPr>
      </w:pPr>
      <w:r w:rsidRPr="00CC2E73">
        <w:t>Size of the area around RAS stations to be protected assuming EESS SAR-4 characteristics</w:t>
      </w:r>
    </w:p>
    <w:p w14:paraId="2BE01677" w14:textId="203114FD" w:rsidR="00524B07" w:rsidRPr="00CC2E73" w:rsidRDefault="00F024A7" w:rsidP="00735651">
      <w:pPr>
        <w:pStyle w:val="Figure"/>
      </w:pPr>
      <w:r>
        <w:rPr>
          <w:noProof/>
        </w:rPr>
        <w:drawing>
          <wp:inline distT="0" distB="0" distL="0" distR="0" wp14:anchorId="15FEFCE3" wp14:editId="488DE605">
            <wp:extent cx="5352299" cy="3803912"/>
            <wp:effectExtent l="0" t="0" r="1270" b="6350"/>
            <wp:docPr id="908342971" name="Picture 1" descr="A graph of different types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42971" name="Picture 1" descr="A graph of different types of data&#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52299" cy="3803912"/>
                    </a:xfrm>
                    <a:prstGeom prst="rect">
                      <a:avLst/>
                    </a:prstGeom>
                  </pic:spPr>
                </pic:pic>
              </a:graphicData>
            </a:graphic>
          </wp:inline>
        </w:drawing>
      </w:r>
    </w:p>
    <w:p w14:paraId="4ECAAA72" w14:textId="77777777" w:rsidR="00524B07" w:rsidRPr="00CC2E73" w:rsidRDefault="00524B07" w:rsidP="00735651">
      <w:pPr>
        <w:spacing w:before="240"/>
      </w:pPr>
      <w:r w:rsidRPr="00CC2E73">
        <w:t xml:space="preserve">More generally, for a given incident angle </w:t>
      </w:r>
      <w:r w:rsidRPr="00CC2E73">
        <w:rPr>
          <w:i/>
          <w:iCs/>
        </w:rPr>
        <w:t>i</w:t>
      </w:r>
      <w:r w:rsidRPr="00CC2E73">
        <w:t>, the distance between the SAR satellite and the acquisition area is given by:</w:t>
      </w:r>
    </w:p>
    <w:p w14:paraId="4FF9C1BD" w14:textId="77777777" w:rsidR="00524B07" w:rsidRPr="00CC2E73" w:rsidRDefault="00524B07" w:rsidP="00735651">
      <w:pPr>
        <w:pStyle w:val="Equation"/>
      </w:pPr>
      <w:r w:rsidRPr="00CC2E73">
        <w:tab/>
      </w:r>
      <w:r w:rsidRPr="00CC2E73">
        <w:tab/>
      </w:r>
      <m:oMath>
        <m:r>
          <w:rPr>
            <w:rFonts w:ascii="Cambria Math" w:hAnsi="Cambria Math"/>
          </w:rPr>
          <m:t>d</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r+</m:t>
                    </m:r>
                    <m:r>
                      <w:rPr>
                        <w:rFonts w:ascii="Cambria Math" w:hAnsi="Cambria Math"/>
                      </w:rPr>
                      <m:t>h</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*sin²(</m:t>
            </m:r>
            <m:r>
              <w:rPr>
                <w:rFonts w:ascii="Cambria Math" w:hAnsi="Cambria Math"/>
              </w:rPr>
              <m:t>i</m:t>
            </m:r>
            <m:r>
              <m:rPr>
                <m:sty m:val="p"/>
              </m:rPr>
              <w:rPr>
                <w:rFonts w:ascii="Cambria Math" w:hAnsi="Cambria Math"/>
              </w:rPr>
              <m:t>)</m:t>
            </m:r>
          </m:e>
        </m:rad>
        <m:r>
          <m:rPr>
            <m:sty m:val="p"/>
          </m:rPr>
          <w:rPr>
            <w:rFonts w:ascii="Cambria Math" w:hAnsi="Cambria Math"/>
          </w:rPr>
          <m:t>-r*cos(</m:t>
        </m:r>
        <m:r>
          <w:rPr>
            <w:rFonts w:ascii="Cambria Math" w:hAnsi="Cambria Math"/>
          </w:rPr>
          <m:t>i</m:t>
        </m:r>
        <m:r>
          <m:rPr>
            <m:sty m:val="p"/>
          </m:rPr>
          <w:rPr>
            <w:rFonts w:ascii="Cambria Math" w:hAnsi="Cambria Math"/>
          </w:rPr>
          <m:t>)</m:t>
        </m:r>
      </m:oMath>
    </w:p>
    <w:p w14:paraId="3B8A3FD6" w14:textId="77777777" w:rsidR="00524B07" w:rsidRPr="00CC2E73" w:rsidRDefault="00524B07" w:rsidP="00735651">
      <w:r w:rsidRPr="00CC2E73">
        <w:t>where:</w:t>
      </w:r>
    </w:p>
    <w:p w14:paraId="41BFB5DB" w14:textId="77777777" w:rsidR="00524B07" w:rsidRPr="00CC2E73" w:rsidRDefault="00524B07" w:rsidP="00735651">
      <w:pPr>
        <w:pStyle w:val="Equationlegend"/>
      </w:pPr>
      <w:r w:rsidRPr="00CC2E73">
        <w:tab/>
        <w:t>r:</w:t>
      </w:r>
      <w:r w:rsidRPr="00CC2E73">
        <w:tab/>
        <w:t>Earth radius (km)</w:t>
      </w:r>
    </w:p>
    <w:p w14:paraId="72B0667A" w14:textId="77777777" w:rsidR="00524B07" w:rsidRPr="00CC2E73" w:rsidRDefault="00524B07" w:rsidP="00735651">
      <w:pPr>
        <w:pStyle w:val="Equationlegend"/>
      </w:pPr>
      <w:r w:rsidRPr="00CC2E73">
        <w:tab/>
      </w:r>
      <w:r w:rsidRPr="00CC2E73">
        <w:rPr>
          <w:i/>
          <w:iCs/>
        </w:rPr>
        <w:t>i</w:t>
      </w:r>
      <w:r w:rsidRPr="00CC2E73">
        <w:t>:</w:t>
      </w:r>
      <w:r w:rsidRPr="00CC2E73">
        <w:tab/>
        <w:t>incidence angle (°)</w:t>
      </w:r>
    </w:p>
    <w:p w14:paraId="745840F1" w14:textId="77777777" w:rsidR="00524B07" w:rsidRPr="00CC2E73" w:rsidRDefault="00524B07" w:rsidP="00735651">
      <w:pPr>
        <w:pStyle w:val="Equationlegend"/>
      </w:pPr>
      <w:r w:rsidRPr="00CC2E73">
        <w:tab/>
      </w:r>
      <w:r w:rsidRPr="00CC2E73">
        <w:rPr>
          <w:i/>
          <w:iCs/>
        </w:rPr>
        <w:t>h</w:t>
      </w:r>
      <w:r w:rsidRPr="00CC2E73">
        <w:t>:</w:t>
      </w:r>
      <w:r w:rsidRPr="00CC2E73">
        <w:tab/>
        <w:t>SAR altitude (km).</w:t>
      </w:r>
    </w:p>
    <w:p w14:paraId="78C049AB" w14:textId="77777777" w:rsidR="00524B07" w:rsidRPr="00CC2E73" w:rsidRDefault="00524B07" w:rsidP="00735651">
      <w:r w:rsidRPr="00CC2E73">
        <w:t>The corresponding angle between the nadir and the acquisition area in the vertical plane is given by:</w:t>
      </w:r>
    </w:p>
    <w:p w14:paraId="03D72986" w14:textId="77777777" w:rsidR="00524B07" w:rsidRPr="00CC2E73" w:rsidRDefault="00524B07" w:rsidP="00735651">
      <w:pPr>
        <w:pStyle w:val="Equation"/>
      </w:pPr>
      <w:r w:rsidRPr="00CC2E73">
        <w:tab/>
      </w:r>
      <w:r w:rsidRPr="00CC2E73">
        <w:tab/>
      </w:r>
      <m:oMath>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=asin</m:t>
        </m:r>
        <m:d>
          <m:dPr>
            <m:ctrlPr>
              <w:rPr>
                <w:rFonts w:ascii="Cambria Math" w:hAnsi="Cambria Math"/>
              </w:rPr>
            </m:ctrlPr>
          </m:dPr>
          <m:e>
            <m:f>
              <m:fPr>
                <m:ctrlPr>
                  <w:rPr>
                    <w:rFonts w:ascii="Cambria Math" w:hAnsi="Cambria Math"/>
                  </w:rPr>
                </m:ctrlPr>
              </m:fPr>
              <m:num>
                <m:r>
                  <m:rPr>
                    <m:sty m:val="p"/>
                  </m:rPr>
                  <w:rPr>
                    <w:rFonts w:ascii="Cambria Math" w:hAnsi="Cambria Math"/>
                  </w:rPr>
                  <m:t>r*sin</m:t>
                </m:r>
                <m:d>
                  <m:dPr>
                    <m:ctrlPr>
                      <w:rPr>
                        <w:rFonts w:ascii="Cambria Math" w:hAnsi="Cambria Math"/>
                      </w:rPr>
                    </m:ctrlPr>
                  </m:dPr>
                  <m:e>
                    <m:r>
                      <w:rPr>
                        <w:rFonts w:ascii="Cambria Math" w:hAnsi="Cambria Math"/>
                      </w:rPr>
                      <m:t>i</m:t>
                    </m:r>
                  </m:e>
                </m:d>
              </m:num>
              <m:den>
                <m:r>
                  <m:rPr>
                    <m:sty m:val="p"/>
                  </m:rPr>
                  <w:rPr>
                    <w:rFonts w:ascii="Cambria Math" w:hAnsi="Cambria Math"/>
                  </w:rPr>
                  <m:t>r+</m:t>
                </m:r>
                <m:r>
                  <w:rPr>
                    <w:rFonts w:ascii="Cambria Math" w:hAnsi="Cambria Math"/>
                  </w:rPr>
                  <m:t>h</m:t>
                </m:r>
              </m:den>
            </m:f>
          </m:e>
        </m:d>
      </m:oMath>
    </w:p>
    <w:p w14:paraId="7060ABA7" w14:textId="77777777" w:rsidR="00524B07" w:rsidRPr="00CC2E73" w:rsidRDefault="00524B07" w:rsidP="00735651">
      <w:r w:rsidRPr="00CC2E73">
        <w:t>where:</w:t>
      </w:r>
    </w:p>
    <w:p w14:paraId="47A62BCA" w14:textId="77777777" w:rsidR="00524B07" w:rsidRPr="00CC2E73" w:rsidRDefault="00524B07" w:rsidP="00735651">
      <w:pPr>
        <w:pStyle w:val="Equationlegend"/>
      </w:pPr>
      <w:r w:rsidRPr="00CC2E73">
        <w:tab/>
        <w:t>r:</w:t>
      </w:r>
      <w:r w:rsidRPr="00CC2E73">
        <w:tab/>
        <w:t>Earth radius (km)</w:t>
      </w:r>
    </w:p>
    <w:p w14:paraId="4CEAC39E" w14:textId="77777777" w:rsidR="00524B07" w:rsidRPr="00CC2E73" w:rsidRDefault="00524B07" w:rsidP="00735651">
      <w:pPr>
        <w:pStyle w:val="Equationlegend"/>
      </w:pPr>
      <w:r w:rsidRPr="00CC2E73">
        <w:tab/>
      </w:r>
      <w:r w:rsidRPr="00CC2E73">
        <w:rPr>
          <w:i/>
          <w:iCs/>
        </w:rPr>
        <w:t>i</w:t>
      </w:r>
      <w:r w:rsidRPr="00CC2E73">
        <w:t>:</w:t>
      </w:r>
      <w:r w:rsidRPr="00CC2E73">
        <w:tab/>
        <w:t>incidence angle (°)</w:t>
      </w:r>
    </w:p>
    <w:p w14:paraId="655F5911" w14:textId="77777777" w:rsidR="00524B07" w:rsidRPr="00CC2E73" w:rsidRDefault="00524B07" w:rsidP="00735651">
      <w:pPr>
        <w:pStyle w:val="Equationlegend"/>
      </w:pPr>
      <w:r w:rsidRPr="00CC2E73">
        <w:tab/>
      </w:r>
      <w:r w:rsidRPr="00CC2E73">
        <w:rPr>
          <w:i/>
          <w:iCs/>
        </w:rPr>
        <w:t>h</w:t>
      </w:r>
      <w:r w:rsidRPr="00CC2E73">
        <w:t>:</w:t>
      </w:r>
      <w:r w:rsidRPr="00CC2E73">
        <w:tab/>
        <w:t>SAR altitude (km).</w:t>
      </w:r>
    </w:p>
    <w:p w14:paraId="15E8C4C2" w14:textId="77777777" w:rsidR="00524B07" w:rsidRPr="00CC2E73" w:rsidRDefault="00524B07" w:rsidP="00735651">
      <w:r w:rsidRPr="00CC2E73">
        <w:t>The maximum gain of the RAS antenna can be derived from the antenna diameter and the frequency using the following equation:</w:t>
      </w:r>
    </w:p>
    <w:p w14:paraId="1DD10951" w14:textId="31AC43C1" w:rsidR="00524B07" w:rsidRPr="00CC2E73" w:rsidRDefault="00524B07" w:rsidP="00735651">
      <w:pPr>
        <w:pStyle w:val="Equation"/>
      </w:pPr>
      <w:r w:rsidRPr="00CC2E73">
        <w:lastRenderedPageBreak/>
        <w:tab/>
      </w:r>
      <w:r w:rsidRPr="00CC2E73">
        <w:tab/>
      </w:r>
      <m:oMath>
        <m:sSub>
          <m:sSubPr>
            <m:ctrlPr>
              <w:rPr>
                <w:rFonts w:ascii="Cambria Math" w:hAnsi="Cambria Math"/>
              </w:rPr>
            </m:ctrlPr>
          </m:sSubPr>
          <m:e>
            <m:r>
              <w:rPr>
                <w:rFonts w:ascii="Cambria Math" w:hAnsi="Cambria Math"/>
              </w:rPr>
              <m:t>G</m:t>
            </m:r>
          </m:e>
          <m:sub>
            <m:r>
              <w:rPr>
                <w:rFonts w:ascii="Cambria Math" w:hAnsi="Cambria Math"/>
              </w:rPr>
              <m:t>r</m:t>
            </m:r>
          </m:sub>
        </m:sSub>
        <m:r>
          <m:rPr>
            <m:sty m:val="p"/>
          </m:rPr>
          <w:rPr>
            <w:rFonts w:ascii="Cambria Math" w:hAnsi="Cambria Math"/>
          </w:rPr>
          <m:t>=8.9+20</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(π</m:t>
            </m:r>
            <m:r>
              <w:rPr>
                <w:rFonts w:ascii="Cambria Math" w:hAnsi="Cambria Math"/>
              </w:rPr>
              <m:t>Df</m:t>
            </m:r>
            <m:r>
              <m:rPr>
                <m:sty m:val="p"/>
              </m:rPr>
              <w:rPr>
                <w:rFonts w:ascii="Cambria Math" w:hAnsi="Cambria Math"/>
              </w:rPr>
              <m:t>)</m:t>
            </m:r>
          </m:e>
        </m:func>
      </m:oMath>
    </w:p>
    <w:p w14:paraId="775F1CCC" w14:textId="77777777" w:rsidR="00524B07" w:rsidRPr="00CC2E73" w:rsidRDefault="00524B07" w:rsidP="00735651">
      <w:r w:rsidRPr="00CC2E73">
        <w:t>where:</w:t>
      </w:r>
    </w:p>
    <w:p w14:paraId="16E0BD0A" w14:textId="77777777" w:rsidR="00524B07" w:rsidRPr="00CC2E73" w:rsidRDefault="00524B07" w:rsidP="00735651">
      <w:pPr>
        <w:pStyle w:val="Equationlegend"/>
      </w:pPr>
      <w:r w:rsidRPr="00CC2E73">
        <w:tab/>
      </w:r>
      <w:r w:rsidRPr="00CC2E73">
        <w:rPr>
          <w:i/>
          <w:iCs/>
        </w:rPr>
        <w:t>D</w:t>
      </w:r>
      <w:r w:rsidRPr="00CC2E73">
        <w:t>:</w:t>
      </w:r>
      <w:r w:rsidRPr="00CC2E73">
        <w:tab/>
        <w:t>RAS antenna diameter (m)</w:t>
      </w:r>
    </w:p>
    <w:p w14:paraId="46C0F715" w14:textId="77777777" w:rsidR="00524B07" w:rsidRPr="00CC2E73" w:rsidRDefault="00524B07" w:rsidP="00735651">
      <w:pPr>
        <w:pStyle w:val="Equationlegend"/>
      </w:pPr>
      <w:r w:rsidRPr="00CC2E73">
        <w:tab/>
      </w:r>
      <w:r w:rsidRPr="00CC2E73">
        <w:rPr>
          <w:i/>
          <w:iCs/>
        </w:rPr>
        <w:t>f</w:t>
      </w:r>
      <w:r w:rsidRPr="00CC2E73">
        <w:t>:</w:t>
      </w:r>
      <w:r w:rsidRPr="00CC2E73">
        <w:tab/>
        <w:t>frequency (GHz).</w:t>
      </w:r>
    </w:p>
    <w:p w14:paraId="73D3C149" w14:textId="77777777" w:rsidR="00524B07" w:rsidRPr="00CC2E73" w:rsidRDefault="00524B07" w:rsidP="00735651">
      <w:pPr>
        <w:keepNext/>
        <w:keepLines/>
      </w:pPr>
      <w:r w:rsidRPr="00CC2E73">
        <w:t>From these values, the SAR antenna gain limit that allows the received power limit of −18 dBW to be met is given by:</w:t>
      </w:r>
    </w:p>
    <w:p w14:paraId="1DAAF380" w14:textId="77777777" w:rsidR="00524B07" w:rsidRPr="00CC2E73" w:rsidRDefault="00524B07" w:rsidP="00735651">
      <w:pPr>
        <w:pStyle w:val="Equation"/>
        <w:keepNext/>
        <w:keepLines/>
      </w:pPr>
      <w:r w:rsidRPr="00CC2E73">
        <w:rPr>
          <w:iCs/>
        </w:rPr>
        <w:tab/>
      </w:r>
      <w:r w:rsidRPr="00CC2E73">
        <w:rPr>
          <w:iCs/>
        </w:rPr>
        <w:tab/>
      </w:r>
      <m:oMath>
        <m:r>
          <w:rPr>
            <w:rFonts w:ascii="Cambria Math" w:hAnsi="Cambria Math"/>
          </w:rPr>
          <m:t>Ge</m:t>
        </m:r>
        <m:r>
          <m:rPr>
            <m:sty m:val="p"/>
          </m:rPr>
          <w:rPr>
            <w:rFonts w:ascii="Cambria Math" w:hAnsi="Cambria Math"/>
          </w:rPr>
          <m:t>=</m:t>
        </m:r>
        <m:sSub>
          <m:sSubPr>
            <m:ctrlPr>
              <w:rPr>
                <w:rFonts w:ascii="Cambria Math" w:hAnsi="Cambria Math"/>
              </w:rPr>
            </m:ctrlPr>
          </m:sSubPr>
          <m:e>
            <m:r>
              <w:rPr>
                <w:rFonts w:ascii="Cambria Math" w:hAnsi="Cambria Math"/>
              </w:rPr>
              <m:t>Pr</m:t>
            </m:r>
          </m:e>
          <m:sub>
            <m:r>
              <w:rPr>
                <w:rFonts w:ascii="Cambria Math" w:hAnsi="Cambria Math"/>
              </w:rPr>
              <m:t>limit</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e</m:t>
            </m:r>
          </m:sub>
        </m:sSub>
      </m:oMath>
    </w:p>
    <w:p w14:paraId="424C3138" w14:textId="77777777" w:rsidR="00524B07" w:rsidRPr="00CC2E73" w:rsidRDefault="00524B07" w:rsidP="00735651">
      <w:pPr>
        <w:keepNext/>
      </w:pPr>
      <w:r w:rsidRPr="00CC2E73">
        <w:t>where:</w:t>
      </w:r>
    </w:p>
    <w:p w14:paraId="00090245" w14:textId="77777777" w:rsidR="00524B07" w:rsidRPr="00CC2E73" w:rsidRDefault="00524B07" w:rsidP="00735651">
      <w:pPr>
        <w:pStyle w:val="Equationlegend"/>
      </w:pPr>
      <w:r w:rsidRPr="00CC2E73">
        <w:tab/>
      </w:r>
      <w:r w:rsidRPr="00CC2E73">
        <w:rPr>
          <w:i/>
          <w:iCs/>
        </w:rPr>
        <w:t>Pr</w:t>
      </w:r>
      <w:r w:rsidRPr="00CC2E73">
        <w:rPr>
          <w:i/>
          <w:iCs/>
          <w:vertAlign w:val="subscript"/>
        </w:rPr>
        <w:t>limit</w:t>
      </w:r>
      <w:r w:rsidRPr="00CC2E73">
        <w:t>:</w:t>
      </w:r>
      <w:r w:rsidRPr="00CC2E73">
        <w:tab/>
        <w:t>received power not to be exceeded (−18 dBW below 20 GHz)</w:t>
      </w:r>
    </w:p>
    <w:p w14:paraId="74A8CB22" w14:textId="77777777" w:rsidR="00524B07" w:rsidRPr="00CC2E73" w:rsidRDefault="00524B07" w:rsidP="00735651">
      <w:pPr>
        <w:pStyle w:val="Equationlegend"/>
      </w:pPr>
      <w:r w:rsidRPr="00CC2E73">
        <w:tab/>
      </w:r>
      <w:r w:rsidRPr="00CC2E73">
        <w:rPr>
          <w:i/>
          <w:iCs/>
        </w:rPr>
        <w:t>L</w:t>
      </w:r>
      <w:r w:rsidRPr="00CC2E73">
        <w:rPr>
          <w:i/>
          <w:iCs/>
          <w:vertAlign w:val="subscript"/>
        </w:rPr>
        <w:t>p</w:t>
      </w:r>
      <w:r w:rsidRPr="00CC2E73">
        <w:t>:</w:t>
      </w:r>
      <w:r w:rsidRPr="00CC2E73">
        <w:tab/>
        <w:t>free space loss (dB)</w:t>
      </w:r>
    </w:p>
    <w:p w14:paraId="0A85CECB" w14:textId="77777777" w:rsidR="00524B07" w:rsidRPr="00CC2E73" w:rsidRDefault="00524B07" w:rsidP="00735651">
      <w:pPr>
        <w:pStyle w:val="Equationlegend"/>
      </w:pPr>
      <w:r w:rsidRPr="00CC2E73">
        <w:tab/>
      </w:r>
      <w:r w:rsidRPr="00CC2E73">
        <w:rPr>
          <w:i/>
          <w:iCs/>
        </w:rPr>
        <w:t>G</w:t>
      </w:r>
      <w:r w:rsidRPr="00CC2E73">
        <w:rPr>
          <w:i/>
          <w:iCs/>
          <w:vertAlign w:val="subscript"/>
        </w:rPr>
        <w:t>r</w:t>
      </w:r>
      <w:r w:rsidRPr="00CC2E73">
        <w:t>:</w:t>
      </w:r>
      <w:r w:rsidRPr="00CC2E73">
        <w:tab/>
        <w:t>RAS maximum antenna gain (dBi)</w:t>
      </w:r>
    </w:p>
    <w:p w14:paraId="4A5AF12D" w14:textId="77777777" w:rsidR="00524B07" w:rsidRPr="00CC2E73" w:rsidRDefault="00524B07" w:rsidP="00735651">
      <w:pPr>
        <w:pStyle w:val="Equationlegend"/>
      </w:pPr>
      <w:r w:rsidRPr="00CC2E73">
        <w:tab/>
      </w:r>
      <w:r w:rsidRPr="00CC2E73">
        <w:rPr>
          <w:i/>
          <w:iCs/>
        </w:rPr>
        <w:t>P</w:t>
      </w:r>
      <w:r w:rsidRPr="00CC2E73">
        <w:rPr>
          <w:i/>
          <w:iCs/>
          <w:vertAlign w:val="subscript"/>
        </w:rPr>
        <w:t>e</w:t>
      </w:r>
      <w:r w:rsidRPr="00CC2E73">
        <w:t>:</w:t>
      </w:r>
      <w:r w:rsidRPr="00CC2E73">
        <w:tab/>
        <w:t>SAR peak power (dBW).</w:t>
      </w:r>
    </w:p>
    <w:p w14:paraId="1DE3245D" w14:textId="77777777" w:rsidR="00524B07" w:rsidRPr="00CC2E73" w:rsidRDefault="00524B07" w:rsidP="00735651">
      <w:r w:rsidRPr="00CC2E73">
        <w:t xml:space="preserve">Using the horizontal and vertical SAR antenna patterns, it is possible to determine the corresponding offset angles </w:t>
      </w:r>
      <w:r w:rsidRPr="00CC2E73">
        <w:sym w:font="Symbol" w:char="F064"/>
      </w:r>
      <w:r w:rsidRPr="00CC2E73">
        <w:sym w:font="Symbol" w:char="F071"/>
      </w:r>
      <w:r w:rsidRPr="00CC2E73">
        <w:rPr>
          <w:i/>
          <w:iCs/>
          <w:vertAlign w:val="subscript"/>
        </w:rPr>
        <w:t>h</w:t>
      </w:r>
      <w:r w:rsidRPr="00CC2E73">
        <w:t xml:space="preserve"> and </w:t>
      </w:r>
      <w:r w:rsidRPr="00CC2E73">
        <w:sym w:font="Symbol" w:char="F064"/>
      </w:r>
      <w:r w:rsidRPr="00CC2E73">
        <w:sym w:font="Symbol" w:char="F071"/>
      </w:r>
      <w:r w:rsidRPr="00CC2E73">
        <w:rPr>
          <w:i/>
          <w:iCs/>
          <w:vertAlign w:val="subscript"/>
        </w:rPr>
        <w:t>v</w:t>
      </w:r>
      <w:r w:rsidRPr="00CC2E73">
        <w:t xml:space="preserve">. From these angles, one can derive the horizontal and vertical separation distances </w:t>
      </w:r>
      <w:r w:rsidRPr="00CC2E73">
        <w:sym w:font="Symbol" w:char="F064"/>
      </w:r>
      <w:r w:rsidRPr="00CC2E73">
        <w:rPr>
          <w:i/>
          <w:iCs/>
        </w:rPr>
        <w:t>h</w:t>
      </w:r>
      <w:r w:rsidRPr="00CC2E73">
        <w:t xml:space="preserve"> and </w:t>
      </w:r>
      <w:r w:rsidRPr="00CC2E73">
        <w:sym w:font="Symbol" w:char="F064"/>
      </w:r>
      <w:r w:rsidRPr="00CC2E73">
        <w:rPr>
          <w:i/>
          <w:iCs/>
        </w:rPr>
        <w:t>v</w:t>
      </w:r>
      <w:r w:rsidRPr="00CC2E73">
        <w:t>.</w:t>
      </w:r>
    </w:p>
    <w:p w14:paraId="2DF6D589" w14:textId="77777777" w:rsidR="00524B07" w:rsidRPr="00CC2E73" w:rsidRDefault="00524B07" w:rsidP="00735651">
      <w:pPr>
        <w:pStyle w:val="Equation"/>
      </w:pPr>
      <w:r w:rsidRPr="00CC2E73">
        <w:tab/>
      </w:r>
      <w:r w:rsidRPr="00CC2E73">
        <w:tab/>
      </w:r>
      <m:oMath>
        <m:r>
          <m:rPr>
            <m:sty m:val="p"/>
          </m:rPr>
          <w:rPr>
            <w:rFonts w:ascii="Cambria Math" w:hAnsi="Cambria Math"/>
          </w:rPr>
          <m:t>δ</m:t>
        </m:r>
        <m:r>
          <w:rPr>
            <w:rFonts w:ascii="Cambria Math" w:hAnsi="Cambria Math"/>
          </w:rPr>
          <m:t>h</m:t>
        </m:r>
        <m:r>
          <m:rPr>
            <m:sty m:val="p"/>
          </m:rPr>
          <w:rPr>
            <w:rFonts w:ascii="Cambria Math" w:hAnsi="Cambria Math"/>
          </w:rPr>
          <m:t>=r*asin</m:t>
        </m:r>
        <m:d>
          <m:dPr>
            <m:ctrlPr>
              <w:rPr>
                <w:rFonts w:ascii="Cambria Math" w:hAnsi="Cambria Math"/>
              </w:rPr>
            </m:ctrlPr>
          </m:dPr>
          <m:e>
            <m:f>
              <m:fPr>
                <m:ctrlPr>
                  <w:rPr>
                    <w:rFonts w:ascii="Cambria Math" w:hAnsi="Cambria Math"/>
                  </w:rPr>
                </m:ctrlPr>
              </m:fPr>
              <m:num>
                <m:r>
                  <m:rPr>
                    <m:sty m:val="p"/>
                  </m:rPr>
                  <w:rPr>
                    <w:rFonts w:ascii="Cambria Math" w:hAnsi="Cambria Math"/>
                  </w:rPr>
                  <m:t>dtan</m:t>
                </m:r>
                <m:d>
                  <m:dPr>
                    <m:ctrlPr>
                      <w:rPr>
                        <w:rFonts w:ascii="Cambria Math" w:hAnsi="Cambria Math"/>
                      </w:rPr>
                    </m:ctrlPr>
                  </m:dPr>
                  <m:e>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h</m:t>
                        </m:r>
                      </m:sub>
                    </m:sSub>
                  </m:e>
                </m:d>
              </m:num>
              <m:den>
                <m:r>
                  <m:rPr>
                    <m:sty m:val="p"/>
                  </m:rPr>
                  <w:rPr>
                    <w:rFonts w:ascii="Cambria Math" w:hAnsi="Cambria Math"/>
                  </w:rPr>
                  <m:t>r</m:t>
                </m:r>
              </m:den>
            </m:f>
          </m:e>
        </m:d>
      </m:oMath>
    </w:p>
    <w:p w14:paraId="716AA2C3" w14:textId="77777777" w:rsidR="00524B07" w:rsidRPr="00CC2E73" w:rsidRDefault="00524B07" w:rsidP="00735651">
      <w:r w:rsidRPr="00CC2E73">
        <w:t>where:</w:t>
      </w:r>
    </w:p>
    <w:p w14:paraId="22F3034F" w14:textId="77777777" w:rsidR="00524B07" w:rsidRPr="00CC2E73" w:rsidRDefault="00524B07" w:rsidP="00735651">
      <w:pPr>
        <w:pStyle w:val="Equationlegend"/>
      </w:pPr>
      <w:r w:rsidRPr="00CC2E73">
        <w:tab/>
        <w:t>r:</w:t>
      </w:r>
      <w:r w:rsidRPr="00CC2E73">
        <w:tab/>
        <w:t>Earth radius (km)</w:t>
      </w:r>
    </w:p>
    <w:p w14:paraId="5FD2B9E6" w14:textId="77777777" w:rsidR="00524B07" w:rsidRPr="00CC2E73" w:rsidRDefault="00524B07" w:rsidP="00735651">
      <w:pPr>
        <w:pStyle w:val="Equationlegend"/>
      </w:pPr>
      <w:r w:rsidRPr="00CC2E73">
        <w:tab/>
      </w:r>
      <w:r w:rsidRPr="00CC2E73">
        <w:rPr>
          <w:i/>
          <w:iCs/>
        </w:rPr>
        <w:t>d</w:t>
      </w:r>
      <w:r w:rsidRPr="00CC2E73">
        <w:t>:</w:t>
      </w:r>
      <w:r w:rsidRPr="00CC2E73">
        <w:tab/>
        <w:t>slant range (km)</w:t>
      </w:r>
    </w:p>
    <w:p w14:paraId="3232A258" w14:textId="0FBE7028" w:rsidR="00524B07" w:rsidRPr="00CC2E73" w:rsidRDefault="00524B07" w:rsidP="00735651">
      <w:pPr>
        <w:pStyle w:val="Equationlegend"/>
      </w:pPr>
      <w:r w:rsidRPr="00CC2E73">
        <w:tab/>
      </w:r>
      <m:oMath>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h</m:t>
            </m:r>
          </m:sub>
        </m:sSub>
      </m:oMath>
      <w:r w:rsidRPr="00CC2E73">
        <w:t>:</w:t>
      </w:r>
      <w:r w:rsidRPr="00CC2E73">
        <w:tab/>
        <w:t>horizontal offset angle (</w:t>
      </w:r>
      <w:r w:rsidR="008060E9">
        <w:t>degree</w:t>
      </w:r>
      <w:r w:rsidRPr="00CC2E73">
        <w:t>).</w:t>
      </w:r>
    </w:p>
    <w:p w14:paraId="5B8AD220" w14:textId="77777777" w:rsidR="00524B07" w:rsidRPr="00CC2E73" w:rsidRDefault="00524B07" w:rsidP="00735651">
      <w:r w:rsidRPr="00CC2E73">
        <w:t>The slant range between the satellite and the RAS station that meets the received power limit is given by:</w:t>
      </w:r>
    </w:p>
    <w:p w14:paraId="77ABEC64" w14:textId="77777777" w:rsidR="00524B07" w:rsidRPr="00CC2E73" w:rsidRDefault="00524B07" w:rsidP="00735651">
      <w:pPr>
        <w:pStyle w:val="Equation"/>
      </w:pPr>
      <w:r w:rsidRPr="00CC2E73">
        <w:rPr>
          <w:iCs/>
        </w:rPr>
        <w:tab/>
      </w:r>
      <w:r w:rsidRPr="00CC2E73">
        <w:rPr>
          <w:iCs/>
        </w:rPr>
        <w:tab/>
      </w:r>
      <m:oMath>
        <m:r>
          <w:rPr>
            <w:rFonts w:ascii="Cambria Math" w:hAnsi="Cambria Math"/>
          </w:rPr>
          <m:t>d</m:t>
        </m:r>
        <m:r>
          <m:rPr>
            <m:sty m:val="p"/>
          </m:rPr>
          <w:rPr>
            <w:rFonts w:ascii="Cambria Math" w:hAnsi="Cambria Math"/>
          </w:rPr>
          <m:t>+δ</m:t>
        </m:r>
        <m:r>
          <w:rPr>
            <w:rFonts w:ascii="Cambria Math" w:hAnsi="Cambria Math"/>
          </w:rPr>
          <m:t>d</m:t>
        </m:r>
        <m:r>
          <m:rPr>
            <m:sty m:val="p"/>
          </m:rPr>
          <w:rPr>
            <w:rFonts w:ascii="Cambria Math" w:hAnsi="Cambria Math"/>
          </w:rPr>
          <m:t>=</m:t>
        </m:r>
        <m:d>
          <m:dPr>
            <m:ctrlPr>
              <w:rPr>
                <w:rFonts w:ascii="Cambria Math" w:hAnsi="Cambria Math"/>
              </w:rPr>
            </m:ctrlPr>
          </m:dPr>
          <m:e>
            <m:r>
              <m:rPr>
                <m:sty m:val="p"/>
              </m:rPr>
              <w:rPr>
                <w:rFonts w:ascii="Cambria Math" w:hAnsi="Cambria Math"/>
              </w:rPr>
              <m:t>r+</m:t>
            </m:r>
            <m:r>
              <w:rPr>
                <w:rFonts w:ascii="Cambria Math" w:hAnsi="Cambria Math"/>
              </w:rPr>
              <m:t>h</m:t>
            </m:r>
          </m:e>
        </m:d>
        <m:r>
          <m:rPr>
            <m:sty m:val="p"/>
          </m:rPr>
          <w:rPr>
            <w:rFonts w:ascii="Cambria Math" w:hAnsi="Cambria Math"/>
          </w:rPr>
          <m:t>cos</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r+</m:t>
                </m:r>
                <m:r>
                  <w:rPr>
                    <w:rFonts w:ascii="Cambria Math" w:hAnsi="Cambria Math"/>
                  </w:rPr>
                  <m:t>h</m:t>
                </m:r>
              </m:e>
            </m:d>
            <m:r>
              <m:rPr>
                <m:sty m:val="p"/>
              </m:rPr>
              <w:rPr>
                <w:rFonts w:ascii="Cambria Math" w:hAnsi="Cambria Math"/>
              </w:rPr>
              <m:t>²sin²</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rad>
      </m:oMath>
    </w:p>
    <w:p w14:paraId="19989F35" w14:textId="77777777" w:rsidR="00524B07" w:rsidRPr="00CC2E73" w:rsidRDefault="00524B07" w:rsidP="00735651">
      <w:r w:rsidRPr="00CC2E73">
        <w:t>where:</w:t>
      </w:r>
    </w:p>
    <w:p w14:paraId="0F2076DE" w14:textId="77777777" w:rsidR="00524B07" w:rsidRPr="00CC2E73" w:rsidRDefault="00524B07" w:rsidP="00735651">
      <w:pPr>
        <w:pStyle w:val="Equationlegend"/>
      </w:pPr>
      <w:r w:rsidRPr="00CC2E73">
        <w:tab/>
        <w:t>r:</w:t>
      </w:r>
      <w:r w:rsidRPr="00CC2E73">
        <w:tab/>
        <w:t>Earth radius (km)</w:t>
      </w:r>
    </w:p>
    <w:p w14:paraId="6B7CE87B" w14:textId="77777777" w:rsidR="00524B07" w:rsidRPr="00CC2E73" w:rsidRDefault="00524B07" w:rsidP="00735651">
      <w:pPr>
        <w:pStyle w:val="Equationlegend"/>
      </w:pPr>
      <w:r w:rsidRPr="00CC2E73">
        <w:tab/>
      </w:r>
      <w:r w:rsidRPr="00CC2E73">
        <w:rPr>
          <w:i/>
          <w:iCs/>
        </w:rPr>
        <w:t>d</w:t>
      </w:r>
      <w:r w:rsidRPr="00CC2E73">
        <w:t>:</w:t>
      </w:r>
      <w:r w:rsidRPr="00CC2E73">
        <w:tab/>
        <w:t>slant range between satellite and acquisition area (km)</w:t>
      </w:r>
    </w:p>
    <w:p w14:paraId="31EF9B9D" w14:textId="77777777" w:rsidR="00524B07" w:rsidRPr="001E435E" w:rsidRDefault="00524B07" w:rsidP="00735651">
      <w:pPr>
        <w:pStyle w:val="Equationlegend"/>
        <w:rPr>
          <w:lang w:val="it-IT"/>
        </w:rPr>
      </w:pPr>
      <w:r w:rsidRPr="00CC2E73">
        <w:tab/>
      </w:r>
      <w:r w:rsidRPr="001E435E">
        <w:rPr>
          <w:i/>
          <w:iCs/>
          <w:lang w:val="it-IT"/>
        </w:rPr>
        <w:t>h</w:t>
      </w:r>
      <w:r w:rsidRPr="001E435E">
        <w:rPr>
          <w:lang w:val="it-IT"/>
        </w:rPr>
        <w:t>:</w:t>
      </w:r>
      <w:r w:rsidRPr="001E435E">
        <w:rPr>
          <w:lang w:val="it-IT"/>
        </w:rPr>
        <w:tab/>
        <w:t>SAR satellite altitude (km)</w:t>
      </w:r>
    </w:p>
    <w:p w14:paraId="5031A349" w14:textId="77777777" w:rsidR="00524B07" w:rsidRPr="00CC2E73" w:rsidRDefault="00524B07" w:rsidP="00735651">
      <w:pPr>
        <w:pStyle w:val="Equationlegend"/>
      </w:pPr>
      <w:r w:rsidRPr="001E435E">
        <w:rPr>
          <w:lang w:val="it-IT"/>
        </w:rPr>
        <w:tab/>
      </w:r>
      <w:r w:rsidRPr="00CC2E73">
        <w:t>θ</w:t>
      </w:r>
      <w:r w:rsidRPr="00CC2E73">
        <w:rPr>
          <w:i/>
          <w:iCs/>
          <w:vertAlign w:val="subscript"/>
        </w:rPr>
        <w:t>v</w:t>
      </w:r>
      <w:r w:rsidRPr="00CC2E73">
        <w:t>:</w:t>
      </w:r>
      <w:r w:rsidRPr="00CC2E73">
        <w:tab/>
        <w:t>angle between nadir and acquisition area in the vertical plane (°)</w:t>
      </w:r>
    </w:p>
    <w:p w14:paraId="1B520BC7" w14:textId="572E5D32" w:rsidR="00524B07" w:rsidRPr="00CC2E73" w:rsidRDefault="00524B07" w:rsidP="00735651">
      <w:pPr>
        <w:pStyle w:val="Equationlegend"/>
      </w:pPr>
      <w:r w:rsidRPr="00CC2E73">
        <w:tab/>
      </w:r>
      <m:oMath>
        <m:r>
          <m:rPr>
            <m:sty m:val="p"/>
          </m:rPr>
          <w:rPr>
            <w:rFonts w:ascii="Cambria Math" w:hAnsi="Cambria Math"/>
          </w:rPr>
          <m:t>δ</m:t>
        </m:r>
        <m:sSub>
          <m:sSubPr>
            <m:ctrlPr>
              <w:rPr>
                <w:rFonts w:ascii="Cambria Math" w:hAnsi="Cambria Math"/>
                <w:i/>
                <w:iCs/>
              </w:rPr>
            </m:ctrlPr>
          </m:sSubPr>
          <m:e>
            <m:r>
              <m:rPr>
                <m:sty m:val="p"/>
              </m:rPr>
              <w:rPr>
                <w:rFonts w:ascii="Cambria Math" w:hAnsi="Cambria Math"/>
              </w:rPr>
              <m:t>θ</m:t>
            </m:r>
          </m:e>
          <m:sub>
            <m:r>
              <w:rPr>
                <w:rFonts w:ascii="Cambria Math" w:hAnsi="Cambria Math"/>
              </w:rPr>
              <m:t>v</m:t>
            </m:r>
          </m:sub>
        </m:sSub>
      </m:oMath>
      <w:r w:rsidRPr="00CC2E73">
        <w:t>:</w:t>
      </w:r>
      <w:r w:rsidRPr="00CC2E73">
        <w:tab/>
        <w:t>vertical offset angle (</w:t>
      </w:r>
      <w:r w:rsidR="008060E9">
        <w:t>degree</w:t>
      </w:r>
      <w:r w:rsidRPr="00CC2E73">
        <w:t>).</w:t>
      </w:r>
    </w:p>
    <w:p w14:paraId="359A861E" w14:textId="77777777" w:rsidR="00524B07" w:rsidRPr="00CC2E73" w:rsidRDefault="00524B07" w:rsidP="00735651">
      <w:pPr>
        <w:pStyle w:val="Equationlegend"/>
      </w:pPr>
      <w:r w:rsidRPr="00CC2E73">
        <w:t>And also, one can derive the vertical separation distance, δ</w:t>
      </w:r>
      <w:r w:rsidRPr="00CC2E73">
        <w:rPr>
          <w:i/>
          <w:iCs/>
        </w:rPr>
        <w:t>v</w:t>
      </w:r>
      <w:r w:rsidRPr="00CC2E73">
        <w:t>:</w:t>
      </w:r>
    </w:p>
    <w:p w14:paraId="041808EA" w14:textId="77777777" w:rsidR="00524B07" w:rsidRPr="00CC2E73" w:rsidRDefault="00524B07" w:rsidP="00735651">
      <w:pPr>
        <w:pStyle w:val="Equation"/>
      </w:pPr>
      <w:r w:rsidRPr="00CC2E73">
        <w:rPr>
          <w:iCs/>
        </w:rPr>
        <w:tab/>
      </w:r>
      <w:r w:rsidRPr="00CC2E73">
        <w:rPr>
          <w:iCs/>
        </w:rPr>
        <w:tab/>
      </w:r>
      <m:oMath>
        <m:r>
          <m:rPr>
            <m:sty m:val="p"/>
          </m:rPr>
          <w:rPr>
            <w:rFonts w:ascii="Cambria Math" w:hAnsi="Cambria Math"/>
          </w:rPr>
          <m:t>δ</m:t>
        </m:r>
        <m:r>
          <w:rPr>
            <w:rFonts w:ascii="Cambria Math" w:hAnsi="Cambria Math"/>
          </w:rPr>
          <m:t>v</m:t>
        </m:r>
        <m:r>
          <m:rPr>
            <m:sty m:val="p"/>
          </m:rPr>
          <w:rPr>
            <w:rFonts w:ascii="Cambria Math" w:hAnsi="Cambria Math"/>
          </w:rPr>
          <m:t>=r</m:t>
        </m:r>
        <m:d>
          <m:dPr>
            <m:ctrlPr>
              <w:rPr>
                <w:rFonts w:ascii="Cambria Math" w:hAnsi="Cambria Math"/>
              </w:rPr>
            </m:ctrlPr>
          </m:dPr>
          <m:e>
            <m:r>
              <m:rPr>
                <m:sty m:val="p"/>
              </m:rPr>
              <w:rPr>
                <w:rFonts w:ascii="Cambria Math" w:hAnsi="Cambria Math"/>
              </w:rPr>
              <m:t>asin</m:t>
            </m:r>
            <m:d>
              <m:dPr>
                <m:ctrlPr>
                  <w:rPr>
                    <w:rFonts w:ascii="Cambria Math" w:hAnsi="Cambria Math"/>
                  </w:rPr>
                </m:ctrlPr>
              </m:dPr>
              <m:e>
                <m:f>
                  <m:fPr>
                    <m:ctrlPr>
                      <w:rPr>
                        <w:rFonts w:ascii="Cambria Math" w:hAnsi="Cambria Math"/>
                      </w:rPr>
                    </m:ctrlPr>
                  </m:fPr>
                  <m:num>
                    <m:d>
                      <m:dPr>
                        <m:ctrlPr>
                          <w:rPr>
                            <w:rFonts w:ascii="Cambria Math" w:hAnsi="Cambria Math"/>
                          </w:rPr>
                        </m:ctrlPr>
                      </m:dPr>
                      <m:e>
                        <m:r>
                          <w:rPr>
                            <w:rFonts w:ascii="Cambria Math" w:hAnsi="Cambria Math"/>
                          </w:rPr>
                          <m:t>d</m:t>
                        </m:r>
                        <m:r>
                          <m:rPr>
                            <m:sty m:val="p"/>
                          </m:rPr>
                          <w:rPr>
                            <w:rFonts w:ascii="Cambria Math" w:hAnsi="Cambria Math"/>
                          </w:rPr>
                          <m:t>+δ</m:t>
                        </m:r>
                        <m:r>
                          <w:rPr>
                            <w:rFonts w:ascii="Cambria Math" w:hAnsi="Cambria Math"/>
                          </w:rPr>
                          <m:t>d</m:t>
                        </m:r>
                      </m:e>
                    </m:d>
                  </m:num>
                  <m:den>
                    <m:r>
                      <m:rPr>
                        <m:sty m:val="p"/>
                      </m:rPr>
                      <w:rPr>
                        <w:rFonts w:ascii="Cambria Math" w:hAnsi="Cambria Math"/>
                      </w:rPr>
                      <m:t>r</m:t>
                    </m:r>
                  </m:den>
                </m:f>
                <m:r>
                  <m:rPr>
                    <m:sty m:val="p"/>
                  </m:rPr>
                  <w:rPr>
                    <w:rFonts w:ascii="Cambria Math" w:hAnsi="Cambria Math"/>
                  </w:rPr>
                  <m:t>sin</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r>
                      <m:rPr>
                        <m:sty m:val="p"/>
                      </m:rPr>
                      <w:rPr>
                        <w:rFonts w:ascii="Cambria Math" w:hAnsi="Cambria Math"/>
                      </w:rPr>
                      <m:t>+δ</m:t>
                    </m:r>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d>
            <m:r>
              <m:rPr>
                <m:sty m:val="p"/>
              </m:rPr>
              <w:rPr>
                <w:rFonts w:ascii="Cambria Math" w:hAnsi="Cambria Math"/>
              </w:rPr>
              <m:t>-asin</m:t>
            </m:r>
            <m:d>
              <m:dPr>
                <m:ctrlPr>
                  <w:rPr>
                    <w:rFonts w:ascii="Cambria Math" w:hAnsi="Cambria Math"/>
                  </w:rPr>
                </m:ctrlPr>
              </m:dPr>
              <m:e>
                <m:f>
                  <m:fPr>
                    <m:ctrlPr>
                      <w:rPr>
                        <w:rFonts w:ascii="Cambria Math" w:hAnsi="Cambria Math"/>
                      </w:rPr>
                    </m:ctrlPr>
                  </m:fPr>
                  <m:num>
                    <m:r>
                      <w:rPr>
                        <w:rFonts w:ascii="Cambria Math" w:hAnsi="Cambria Math"/>
                      </w:rPr>
                      <m:t>d</m:t>
                    </m:r>
                  </m:num>
                  <m:den>
                    <m:r>
                      <m:rPr>
                        <m:sty m:val="p"/>
                      </m:rPr>
                      <w:rPr>
                        <w:rFonts w:ascii="Cambria Math" w:hAnsi="Cambria Math"/>
                      </w:rPr>
                      <m:t>r</m:t>
                    </m:r>
                  </m:den>
                </m:f>
                <m:r>
                  <m:rPr>
                    <m:sty m:val="p"/>
                  </m:rPr>
                  <w:rPr>
                    <w:rFonts w:ascii="Cambria Math" w:hAnsi="Cambria Math"/>
                  </w:rPr>
                  <m:t>sin</m:t>
                </m:r>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v</m:t>
                        </m:r>
                      </m:sub>
                    </m:sSub>
                  </m:e>
                </m:d>
              </m:e>
            </m:d>
          </m:e>
        </m:d>
      </m:oMath>
    </w:p>
    <w:p w14:paraId="291AAE95" w14:textId="77777777" w:rsidR="00524B07" w:rsidRPr="00CC2E73" w:rsidRDefault="00524B07" w:rsidP="00735651">
      <w:r w:rsidRPr="00CC2E73">
        <w:t>where:</w:t>
      </w:r>
    </w:p>
    <w:p w14:paraId="7FA85F18" w14:textId="77777777" w:rsidR="00524B07" w:rsidRPr="00CC2E73" w:rsidRDefault="00524B07" w:rsidP="00735651">
      <w:pPr>
        <w:pStyle w:val="Equationlegend"/>
      </w:pPr>
      <w:r w:rsidRPr="00CC2E73">
        <w:tab/>
        <w:t>r:</w:t>
      </w:r>
      <w:r w:rsidRPr="00CC2E73">
        <w:tab/>
        <w:t>Earth radius (km)</w:t>
      </w:r>
    </w:p>
    <w:p w14:paraId="79551B2B" w14:textId="77777777" w:rsidR="00524B07" w:rsidRPr="00CC2E73" w:rsidRDefault="00524B07" w:rsidP="00735651">
      <w:pPr>
        <w:pStyle w:val="Equationlegend"/>
      </w:pPr>
      <w:r w:rsidRPr="00CC2E73">
        <w:tab/>
      </w:r>
      <w:r w:rsidRPr="00CC2E73">
        <w:rPr>
          <w:i/>
          <w:iCs/>
        </w:rPr>
        <w:t>d</w:t>
      </w:r>
      <w:r w:rsidRPr="00CC2E73">
        <w:t>:</w:t>
      </w:r>
      <w:r w:rsidRPr="00CC2E73">
        <w:tab/>
        <w:t>slant range between satellite and acquisition area (km)</w:t>
      </w:r>
    </w:p>
    <w:p w14:paraId="51003FC6" w14:textId="77777777" w:rsidR="00524B07" w:rsidRPr="00CC2E73" w:rsidRDefault="00524B07" w:rsidP="00735651">
      <w:pPr>
        <w:pStyle w:val="Equationlegend"/>
      </w:pPr>
      <w:r w:rsidRPr="00CC2E73">
        <w:tab/>
      </w:r>
      <w:r w:rsidRPr="00CC2E73">
        <w:rPr>
          <w:i/>
          <w:iCs/>
        </w:rPr>
        <w:t>d+</w:t>
      </w:r>
      <m:oMath>
        <m:r>
          <m:rPr>
            <m:sty m:val="bi"/>
          </m:rPr>
          <w:rPr>
            <w:rFonts w:ascii="Cambria Math" w:hAnsi="Cambria Math"/>
            <w:szCs w:val="24"/>
          </w:rPr>
          <m:t xml:space="preserve"> </m:t>
        </m:r>
        <m:r>
          <m:rPr>
            <m:sty m:val="p"/>
          </m:rPr>
          <w:rPr>
            <w:rFonts w:ascii="Cambria Math" w:hAnsi="Cambria Math"/>
            <w:szCs w:val="24"/>
          </w:rPr>
          <m:t>δ</m:t>
        </m:r>
        <m:r>
          <w:rPr>
            <w:rFonts w:ascii="Cambria Math" w:hAnsi="Cambria Math"/>
            <w:szCs w:val="24"/>
          </w:rPr>
          <m:t>d</m:t>
        </m:r>
      </m:oMath>
      <w:r w:rsidRPr="00CC2E73">
        <w:t>:</w:t>
      </w:r>
      <w:r w:rsidRPr="00CC2E73">
        <w:rPr>
          <w:szCs w:val="24"/>
        </w:rPr>
        <w:tab/>
      </w:r>
      <w:r w:rsidRPr="00CC2E73">
        <w:t>slant range between satellite and RAS station (km)</w:t>
      </w:r>
    </w:p>
    <w:p w14:paraId="119B7236" w14:textId="77777777" w:rsidR="00524B07" w:rsidRPr="00CC2E73" w:rsidRDefault="00524B07" w:rsidP="00735651">
      <w:pPr>
        <w:pStyle w:val="Equationlegend"/>
      </w:pPr>
      <w:r w:rsidRPr="00CC2E73">
        <w:tab/>
        <w:t>θ</w:t>
      </w:r>
      <w:r w:rsidRPr="00CC2E73">
        <w:rPr>
          <w:i/>
          <w:iCs/>
          <w:vertAlign w:val="subscript"/>
        </w:rPr>
        <w:t>v</w:t>
      </w:r>
      <w:r w:rsidRPr="00CC2E73">
        <w:t>:</w:t>
      </w:r>
      <w:r w:rsidRPr="00CC2E73">
        <w:tab/>
        <w:t>angle between nadir and acquisition area in the vertical plane (°)</w:t>
      </w:r>
    </w:p>
    <w:p w14:paraId="13794EF2" w14:textId="400D0337" w:rsidR="00524B07" w:rsidRPr="00CC2E73" w:rsidRDefault="00524B07" w:rsidP="00735651">
      <w:pPr>
        <w:pStyle w:val="Equationlegend"/>
      </w:pPr>
      <w:r w:rsidRPr="00CC2E73">
        <w:tab/>
      </w:r>
      <m:oMath>
        <m:r>
          <m:rPr>
            <m:sty m:val="p"/>
          </m:rPr>
          <w:rPr>
            <w:rFonts w:ascii="Cambria Math" w:hAnsi="Cambria Math"/>
          </w:rPr>
          <m:t>δ</m:t>
        </m:r>
        <m:sSub>
          <m:sSubPr>
            <m:ctrlPr>
              <w:rPr>
                <w:rFonts w:ascii="Cambria Math" w:hAnsi="Cambria Math"/>
                <w:i/>
                <w:iCs/>
              </w:rPr>
            </m:ctrlPr>
          </m:sSubPr>
          <m:e>
            <m:r>
              <m:rPr>
                <m:sty m:val="p"/>
              </m:rPr>
              <w:rPr>
                <w:rFonts w:ascii="Cambria Math" w:hAnsi="Cambria Math"/>
              </w:rPr>
              <m:t>θ</m:t>
            </m:r>
          </m:e>
          <m:sub>
            <m:r>
              <w:rPr>
                <w:rFonts w:ascii="Cambria Math" w:hAnsi="Cambria Math"/>
              </w:rPr>
              <m:t>v</m:t>
            </m:r>
          </m:sub>
        </m:sSub>
      </m:oMath>
      <w:r w:rsidRPr="00CC2E73">
        <w:t>:</w:t>
      </w:r>
      <w:r w:rsidRPr="00CC2E73">
        <w:tab/>
        <w:t>vertical offset angle (</w:t>
      </w:r>
      <w:r w:rsidR="008060E9">
        <w:t>degree</w:t>
      </w:r>
      <w:r w:rsidRPr="00CC2E73">
        <w:t>).</w:t>
      </w:r>
    </w:p>
    <w:p w14:paraId="2E647669" w14:textId="54074DA6" w:rsidR="001E435E" w:rsidRDefault="00524B07" w:rsidP="00296DB8">
      <w:pPr>
        <w:pStyle w:val="AnnexNoTitle"/>
      </w:pPr>
      <w:r w:rsidRPr="00E5031B">
        <w:lastRenderedPageBreak/>
        <w:t>Annex 2</w:t>
      </w:r>
      <w:r w:rsidR="00643078">
        <w:br/>
      </w:r>
      <w:r w:rsidR="00643078">
        <w:br/>
      </w:r>
      <w:r w:rsidR="00643078" w:rsidRPr="00E5031B">
        <w:t>List of radio astronomy stations capable of operating in the band 10.6-10.7 GHz</w:t>
      </w:r>
    </w:p>
    <w:p w14:paraId="2DBCC9DE" w14:textId="77777777" w:rsidR="001E3139" w:rsidRPr="001E3139" w:rsidRDefault="001E3139" w:rsidP="001E3139"/>
    <w:p w14:paraId="3DA61B06" w14:textId="77777777" w:rsidR="00524B07" w:rsidRPr="00CC2E73" w:rsidRDefault="00524B07" w:rsidP="00351DFB">
      <w:pPr>
        <w:pStyle w:val="Tabletitle"/>
        <w:spacing w:before="240"/>
      </w:pPr>
      <w:r w:rsidRPr="00CC2E73">
        <w:t>Region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51"/>
        <w:gridCol w:w="1843"/>
        <w:gridCol w:w="1701"/>
        <w:gridCol w:w="1989"/>
      </w:tblGrid>
      <w:tr w:rsidR="00524B07" w:rsidRPr="00CC2E73" w14:paraId="6D121169" w14:textId="77777777" w:rsidTr="00A45B7B">
        <w:trPr>
          <w:tblHeader/>
          <w:jc w:val="center"/>
        </w:trPr>
        <w:tc>
          <w:tcPr>
            <w:tcW w:w="1555" w:type="dxa"/>
            <w:vAlign w:val="center"/>
          </w:tcPr>
          <w:p w14:paraId="28678D99" w14:textId="77777777" w:rsidR="00524B07" w:rsidRPr="00CC2E73" w:rsidRDefault="00524B07" w:rsidP="00FF2594">
            <w:pPr>
              <w:pStyle w:val="Tablehead"/>
            </w:pPr>
            <w:r w:rsidRPr="00CC2E73">
              <w:t>Country</w:t>
            </w:r>
          </w:p>
        </w:tc>
        <w:tc>
          <w:tcPr>
            <w:tcW w:w="2551" w:type="dxa"/>
          </w:tcPr>
          <w:p w14:paraId="27AFE6F2" w14:textId="77777777" w:rsidR="00524B07" w:rsidRPr="00CC2E73" w:rsidRDefault="00524B07" w:rsidP="00FF2594">
            <w:pPr>
              <w:pStyle w:val="Tablehead"/>
            </w:pPr>
            <w:r w:rsidRPr="00CC2E73">
              <w:t>Name</w:t>
            </w:r>
          </w:p>
        </w:tc>
        <w:tc>
          <w:tcPr>
            <w:tcW w:w="1843" w:type="dxa"/>
          </w:tcPr>
          <w:p w14:paraId="223BACE1" w14:textId="6DEE6507" w:rsidR="00524B07" w:rsidRPr="00CC2E73" w:rsidRDefault="00524B07" w:rsidP="00FF2594">
            <w:pPr>
              <w:pStyle w:val="Tablehead"/>
            </w:pPr>
            <w:r w:rsidRPr="00CC2E73">
              <w:t xml:space="preserve">N </w:t>
            </w:r>
            <w:r w:rsidR="00237B89" w:rsidRPr="00CC2E73">
              <w:t>latitude</w:t>
            </w:r>
          </w:p>
        </w:tc>
        <w:tc>
          <w:tcPr>
            <w:tcW w:w="1701" w:type="dxa"/>
          </w:tcPr>
          <w:p w14:paraId="6663FAD8" w14:textId="3FDA81F9" w:rsidR="00524B07" w:rsidRPr="00CC2E73" w:rsidRDefault="00524B07" w:rsidP="00FF2594">
            <w:pPr>
              <w:pStyle w:val="Tablehead"/>
            </w:pPr>
            <w:r w:rsidRPr="00CC2E73">
              <w:t xml:space="preserve">E </w:t>
            </w:r>
            <w:r w:rsidR="00237B89" w:rsidRPr="00CC2E73">
              <w:t>longitude</w:t>
            </w:r>
          </w:p>
        </w:tc>
        <w:tc>
          <w:tcPr>
            <w:tcW w:w="1989" w:type="dxa"/>
          </w:tcPr>
          <w:p w14:paraId="249B18C5" w14:textId="65119D17" w:rsidR="00524B07" w:rsidRPr="00CC2E73" w:rsidRDefault="00524B07" w:rsidP="00FF2594">
            <w:pPr>
              <w:pStyle w:val="Tablehead"/>
            </w:pPr>
            <w:r w:rsidRPr="00CC2E73">
              <w:t>Antenna size</w:t>
            </w:r>
            <w:r w:rsidRPr="007B3415">
              <w:rPr>
                <w:rStyle w:val="FootnoteReference"/>
                <w:b w:val="0"/>
                <w:bCs/>
              </w:rPr>
              <w:footnoteReference w:id="2"/>
            </w:r>
            <w:r w:rsidRPr="00CC2E73">
              <w:t xml:space="preserve"> </w:t>
            </w:r>
          </w:p>
        </w:tc>
      </w:tr>
      <w:tr w:rsidR="00524B07" w:rsidRPr="00CC2E73" w14:paraId="256973C9" w14:textId="77777777" w:rsidTr="00A45B7B">
        <w:trPr>
          <w:jc w:val="center"/>
        </w:trPr>
        <w:tc>
          <w:tcPr>
            <w:tcW w:w="1555" w:type="dxa"/>
            <w:vAlign w:val="center"/>
          </w:tcPr>
          <w:p w14:paraId="6932CCCC" w14:textId="77777777" w:rsidR="00524B07" w:rsidRPr="00CC2E73" w:rsidRDefault="00524B07" w:rsidP="00FF2594">
            <w:pPr>
              <w:pStyle w:val="Tabletext"/>
            </w:pPr>
            <w:r w:rsidRPr="00CC2E73">
              <w:t>Belgium</w:t>
            </w:r>
          </w:p>
        </w:tc>
        <w:tc>
          <w:tcPr>
            <w:tcW w:w="2551" w:type="dxa"/>
          </w:tcPr>
          <w:p w14:paraId="5CE79E6D" w14:textId="77777777" w:rsidR="00524B07" w:rsidRPr="00CC2E73" w:rsidRDefault="00524B07" w:rsidP="00FF2594">
            <w:pPr>
              <w:pStyle w:val="Tabletext"/>
            </w:pPr>
            <w:r w:rsidRPr="00CC2E73">
              <w:t>Humain</w:t>
            </w:r>
          </w:p>
        </w:tc>
        <w:tc>
          <w:tcPr>
            <w:tcW w:w="1843" w:type="dxa"/>
          </w:tcPr>
          <w:p w14:paraId="3CB5A027" w14:textId="77777777" w:rsidR="00524B07" w:rsidRPr="00CC2E73" w:rsidRDefault="00524B07" w:rsidP="00FF2594">
            <w:pPr>
              <w:pStyle w:val="Tabletext"/>
              <w:jc w:val="center"/>
            </w:pPr>
            <w:r w:rsidRPr="00CC2E73">
              <w:t>50° 11' 30"</w:t>
            </w:r>
          </w:p>
        </w:tc>
        <w:tc>
          <w:tcPr>
            <w:tcW w:w="1701" w:type="dxa"/>
          </w:tcPr>
          <w:p w14:paraId="1ECDC8DE" w14:textId="77777777" w:rsidR="00524B07" w:rsidRPr="00CC2E73" w:rsidRDefault="00524B07" w:rsidP="00FF2594">
            <w:pPr>
              <w:pStyle w:val="Tabletext"/>
              <w:jc w:val="center"/>
            </w:pPr>
            <w:r w:rsidRPr="00CC2E73">
              <w:t>05° 15' 27"</w:t>
            </w:r>
          </w:p>
        </w:tc>
        <w:tc>
          <w:tcPr>
            <w:tcW w:w="1989" w:type="dxa"/>
          </w:tcPr>
          <w:p w14:paraId="579FB82D" w14:textId="77777777" w:rsidR="00524B07" w:rsidRPr="00CC2E73" w:rsidRDefault="00524B07" w:rsidP="00FF2594">
            <w:pPr>
              <w:pStyle w:val="Tabletext"/>
              <w:jc w:val="center"/>
            </w:pPr>
            <w:r w:rsidRPr="00CC2E73">
              <w:t>64 m</w:t>
            </w:r>
          </w:p>
        </w:tc>
      </w:tr>
      <w:tr w:rsidR="00524B07" w:rsidRPr="00CC2E73" w14:paraId="1B1A0480" w14:textId="77777777" w:rsidTr="00A45B7B">
        <w:trPr>
          <w:jc w:val="center"/>
        </w:trPr>
        <w:tc>
          <w:tcPr>
            <w:tcW w:w="1555" w:type="dxa"/>
            <w:vAlign w:val="center"/>
          </w:tcPr>
          <w:p w14:paraId="598BACE7" w14:textId="77777777" w:rsidR="00524B07" w:rsidRPr="00CC2E73" w:rsidRDefault="00524B07" w:rsidP="00FF2594">
            <w:pPr>
              <w:pStyle w:val="Tabletext"/>
            </w:pPr>
            <w:r w:rsidRPr="00CC2E73">
              <w:t>Finland</w:t>
            </w:r>
          </w:p>
        </w:tc>
        <w:tc>
          <w:tcPr>
            <w:tcW w:w="2551" w:type="dxa"/>
          </w:tcPr>
          <w:p w14:paraId="5E74ED50" w14:textId="77777777" w:rsidR="00524B07" w:rsidRPr="00CC2E73" w:rsidRDefault="00524B07" w:rsidP="00FF2594">
            <w:pPr>
              <w:pStyle w:val="Tabletext"/>
            </w:pPr>
            <w:r w:rsidRPr="00CC2E73">
              <w:t>Metsahövi</w:t>
            </w:r>
          </w:p>
        </w:tc>
        <w:tc>
          <w:tcPr>
            <w:tcW w:w="1843" w:type="dxa"/>
            <w:vAlign w:val="center"/>
          </w:tcPr>
          <w:p w14:paraId="46C0F645" w14:textId="77777777" w:rsidR="00524B07" w:rsidRPr="00CC2E73" w:rsidRDefault="00524B07" w:rsidP="00FF2594">
            <w:pPr>
              <w:pStyle w:val="Tabletext"/>
              <w:jc w:val="center"/>
              <w:rPr>
                <w:color w:val="000000" w:themeColor="text1"/>
              </w:rPr>
            </w:pPr>
            <w:r w:rsidRPr="00CC2E73">
              <w:rPr>
                <w:color w:val="000000" w:themeColor="text1"/>
              </w:rPr>
              <w:t>60° 13</w:t>
            </w:r>
            <w:r w:rsidRPr="00CC2E73">
              <w:t xml:space="preserve">' </w:t>
            </w:r>
            <w:r w:rsidRPr="00CC2E73">
              <w:rPr>
                <w:color w:val="000000" w:themeColor="text1"/>
              </w:rPr>
              <w:t>04</w:t>
            </w:r>
            <w:r w:rsidRPr="00CC2E73">
              <w:t>"</w:t>
            </w:r>
          </w:p>
        </w:tc>
        <w:tc>
          <w:tcPr>
            <w:tcW w:w="1701" w:type="dxa"/>
            <w:vAlign w:val="center"/>
          </w:tcPr>
          <w:p w14:paraId="73B49798" w14:textId="77777777" w:rsidR="00524B07" w:rsidRPr="00CC2E73" w:rsidRDefault="00524B07" w:rsidP="00FF2594">
            <w:pPr>
              <w:pStyle w:val="Tabletext"/>
              <w:jc w:val="center"/>
              <w:rPr>
                <w:color w:val="000000" w:themeColor="text1"/>
              </w:rPr>
            </w:pPr>
            <w:r w:rsidRPr="00CC2E73">
              <w:rPr>
                <w:color w:val="000000" w:themeColor="text1"/>
              </w:rPr>
              <w:t>24° 23</w:t>
            </w:r>
            <w:r w:rsidRPr="00CC2E73">
              <w:t xml:space="preserve">' </w:t>
            </w:r>
            <w:r w:rsidRPr="00CC2E73">
              <w:rPr>
                <w:color w:val="000000" w:themeColor="text1"/>
              </w:rPr>
              <w:t>37</w:t>
            </w:r>
            <w:r w:rsidRPr="00CC2E73">
              <w:t>"</w:t>
            </w:r>
          </w:p>
        </w:tc>
        <w:tc>
          <w:tcPr>
            <w:tcW w:w="1989" w:type="dxa"/>
            <w:vAlign w:val="center"/>
          </w:tcPr>
          <w:p w14:paraId="72289CF3" w14:textId="77777777" w:rsidR="00524B07" w:rsidRPr="00CC2E73" w:rsidRDefault="00524B07" w:rsidP="00FF2594">
            <w:pPr>
              <w:pStyle w:val="Tabletext"/>
              <w:jc w:val="center"/>
              <w:rPr>
                <w:color w:val="000000" w:themeColor="text1"/>
              </w:rPr>
            </w:pPr>
            <w:r w:rsidRPr="00CC2E73">
              <w:rPr>
                <w:color w:val="000000" w:themeColor="text1"/>
              </w:rPr>
              <w:t>13.7 m, 13.2 m</w:t>
            </w:r>
          </w:p>
        </w:tc>
      </w:tr>
      <w:tr w:rsidR="00524B07" w:rsidRPr="00CC2E73" w14:paraId="1A7C4819" w14:textId="77777777" w:rsidTr="00A45B7B">
        <w:trPr>
          <w:jc w:val="center"/>
        </w:trPr>
        <w:tc>
          <w:tcPr>
            <w:tcW w:w="1555" w:type="dxa"/>
            <w:vAlign w:val="center"/>
          </w:tcPr>
          <w:p w14:paraId="502B5D78" w14:textId="77777777" w:rsidR="00524B07" w:rsidRPr="00CC2E73" w:rsidRDefault="00524B07" w:rsidP="00FF2594">
            <w:pPr>
              <w:pStyle w:val="Tabletext"/>
            </w:pPr>
            <w:r w:rsidRPr="00CC2E73">
              <w:t>France</w:t>
            </w:r>
          </w:p>
        </w:tc>
        <w:tc>
          <w:tcPr>
            <w:tcW w:w="2551" w:type="dxa"/>
          </w:tcPr>
          <w:p w14:paraId="2AAD9C90" w14:textId="77777777" w:rsidR="00524B07" w:rsidRPr="00CC2E73" w:rsidRDefault="00524B07" w:rsidP="00FF2594">
            <w:pPr>
              <w:pStyle w:val="Tabletext"/>
            </w:pPr>
            <w:r w:rsidRPr="00CC2E73">
              <w:t>Nancay</w:t>
            </w:r>
          </w:p>
        </w:tc>
        <w:tc>
          <w:tcPr>
            <w:tcW w:w="1843" w:type="dxa"/>
          </w:tcPr>
          <w:p w14:paraId="615BFD3A" w14:textId="0259D075" w:rsidR="00524B07" w:rsidRPr="00CC2E73" w:rsidRDefault="00524B07" w:rsidP="00FF2594">
            <w:pPr>
              <w:pStyle w:val="Tabletext"/>
              <w:jc w:val="center"/>
              <w:rPr>
                <w:color w:val="000000" w:themeColor="text1"/>
              </w:rPr>
            </w:pPr>
            <w:r w:rsidRPr="00CC2E73">
              <w:rPr>
                <w:color w:val="000000" w:themeColor="text1"/>
              </w:rPr>
              <w:t>47°</w:t>
            </w:r>
            <w:r w:rsidR="00B40AB3">
              <w:rPr>
                <w:color w:val="000000" w:themeColor="text1"/>
              </w:rPr>
              <w:t xml:space="preserve"> </w:t>
            </w:r>
            <w:r w:rsidRPr="00CC2E73">
              <w:rPr>
                <w:color w:val="000000" w:themeColor="text1"/>
              </w:rPr>
              <w:t>23</w:t>
            </w:r>
            <w:r w:rsidR="00B40AB3" w:rsidRPr="00CC2E73">
              <w:t>'</w:t>
            </w:r>
            <w:r w:rsidR="00B40AB3">
              <w:t xml:space="preserve"> </w:t>
            </w:r>
            <w:r w:rsidRPr="00CC2E73">
              <w:rPr>
                <w:color w:val="000000" w:themeColor="text1"/>
              </w:rPr>
              <w:t>00</w:t>
            </w:r>
            <w:r w:rsidR="00B40AB3" w:rsidRPr="00CC2E73">
              <w:t>"</w:t>
            </w:r>
          </w:p>
        </w:tc>
        <w:tc>
          <w:tcPr>
            <w:tcW w:w="1701" w:type="dxa"/>
          </w:tcPr>
          <w:p w14:paraId="210E8DC3" w14:textId="4F122198" w:rsidR="00524B07" w:rsidRPr="00CC2E73" w:rsidRDefault="00524B07" w:rsidP="00FF2594">
            <w:pPr>
              <w:pStyle w:val="Tabletext"/>
              <w:jc w:val="center"/>
              <w:rPr>
                <w:color w:val="000000" w:themeColor="text1"/>
              </w:rPr>
            </w:pPr>
            <w:r w:rsidRPr="00CC2E73">
              <w:rPr>
                <w:color w:val="000000" w:themeColor="text1"/>
              </w:rPr>
              <w:t>02°</w:t>
            </w:r>
            <w:r w:rsidR="00B40AB3">
              <w:rPr>
                <w:color w:val="000000" w:themeColor="text1"/>
              </w:rPr>
              <w:t xml:space="preserve"> </w:t>
            </w:r>
            <w:r w:rsidRPr="00CC2E73">
              <w:rPr>
                <w:color w:val="000000" w:themeColor="text1"/>
              </w:rPr>
              <w:t>12</w:t>
            </w:r>
            <w:r w:rsidR="00B40AB3" w:rsidRPr="00CC2E73">
              <w:t>'</w:t>
            </w:r>
            <w:r w:rsidR="00B40AB3">
              <w:rPr>
                <w:color w:val="000000" w:themeColor="text1"/>
              </w:rPr>
              <w:t xml:space="preserve"> </w:t>
            </w:r>
            <w:r w:rsidRPr="00CC2E73">
              <w:rPr>
                <w:color w:val="000000" w:themeColor="text1"/>
              </w:rPr>
              <w:t>00</w:t>
            </w:r>
            <w:r w:rsidR="00B40AB3" w:rsidRPr="00CC2E73">
              <w:t>"</w:t>
            </w:r>
          </w:p>
        </w:tc>
        <w:tc>
          <w:tcPr>
            <w:tcW w:w="1989" w:type="dxa"/>
          </w:tcPr>
          <w:p w14:paraId="466136B3" w14:textId="77777777" w:rsidR="00524B07" w:rsidRPr="00CC2E73" w:rsidRDefault="00524B07" w:rsidP="00FF2594">
            <w:pPr>
              <w:pStyle w:val="Tabletext"/>
              <w:jc w:val="center"/>
              <w:rPr>
                <w:color w:val="000000" w:themeColor="text1"/>
              </w:rPr>
            </w:pPr>
            <w:r w:rsidRPr="00CC2E73">
              <w:t>16 × 1.1 m</w:t>
            </w:r>
          </w:p>
        </w:tc>
      </w:tr>
      <w:tr w:rsidR="00524B07" w:rsidRPr="00CC2E73" w14:paraId="4220F236" w14:textId="77777777" w:rsidTr="00A45B7B">
        <w:trPr>
          <w:jc w:val="center"/>
        </w:trPr>
        <w:tc>
          <w:tcPr>
            <w:tcW w:w="1555" w:type="dxa"/>
            <w:vMerge w:val="restart"/>
            <w:vAlign w:val="center"/>
          </w:tcPr>
          <w:p w14:paraId="2CE69D1B" w14:textId="77777777" w:rsidR="00524B07" w:rsidRPr="00CC2E73" w:rsidRDefault="00524B07" w:rsidP="00FF2594">
            <w:pPr>
              <w:pStyle w:val="Tabletext"/>
            </w:pPr>
            <w:r w:rsidRPr="00CC2E73">
              <w:t>Germany</w:t>
            </w:r>
          </w:p>
        </w:tc>
        <w:tc>
          <w:tcPr>
            <w:tcW w:w="2551" w:type="dxa"/>
          </w:tcPr>
          <w:p w14:paraId="2625ED3A" w14:textId="77777777" w:rsidR="00524B07" w:rsidRPr="00CC2E73" w:rsidRDefault="00524B07" w:rsidP="00FF2594">
            <w:pPr>
              <w:pStyle w:val="Tabletext"/>
            </w:pPr>
            <w:r w:rsidRPr="00CC2E73">
              <w:t>Effelsberg</w:t>
            </w:r>
          </w:p>
        </w:tc>
        <w:tc>
          <w:tcPr>
            <w:tcW w:w="1843" w:type="dxa"/>
          </w:tcPr>
          <w:p w14:paraId="180A8A70" w14:textId="77777777" w:rsidR="00524B07" w:rsidRPr="00CC2E73" w:rsidRDefault="00524B07" w:rsidP="00FF2594">
            <w:pPr>
              <w:pStyle w:val="Tabletext"/>
              <w:jc w:val="center"/>
            </w:pPr>
            <w:r w:rsidRPr="00CC2E73">
              <w:t>50° 31' 29"</w:t>
            </w:r>
          </w:p>
        </w:tc>
        <w:tc>
          <w:tcPr>
            <w:tcW w:w="1701" w:type="dxa"/>
          </w:tcPr>
          <w:p w14:paraId="676D9F49" w14:textId="77777777" w:rsidR="00524B07" w:rsidRPr="00CC2E73" w:rsidRDefault="00524B07" w:rsidP="00FF2594">
            <w:pPr>
              <w:pStyle w:val="Tabletext"/>
              <w:jc w:val="center"/>
            </w:pPr>
            <w:r w:rsidRPr="00CC2E73">
              <w:t>06° 53' 03"</w:t>
            </w:r>
          </w:p>
        </w:tc>
        <w:tc>
          <w:tcPr>
            <w:tcW w:w="1989" w:type="dxa"/>
          </w:tcPr>
          <w:p w14:paraId="7384A0FD" w14:textId="77777777" w:rsidR="00524B07" w:rsidRPr="00CC2E73" w:rsidRDefault="00524B07" w:rsidP="00FF2594">
            <w:pPr>
              <w:pStyle w:val="Tabletext"/>
              <w:jc w:val="center"/>
            </w:pPr>
            <w:r w:rsidRPr="00CC2E73">
              <w:t>100 m</w:t>
            </w:r>
          </w:p>
        </w:tc>
      </w:tr>
      <w:tr w:rsidR="00524B07" w:rsidRPr="00CC2E73" w14:paraId="777A23CD" w14:textId="77777777" w:rsidTr="00A45B7B">
        <w:trPr>
          <w:jc w:val="center"/>
        </w:trPr>
        <w:tc>
          <w:tcPr>
            <w:tcW w:w="1555" w:type="dxa"/>
            <w:vMerge/>
            <w:vAlign w:val="center"/>
          </w:tcPr>
          <w:p w14:paraId="04F8D577" w14:textId="77777777" w:rsidR="00524B07" w:rsidRPr="00CC2E73" w:rsidRDefault="00524B07" w:rsidP="00FF2594">
            <w:pPr>
              <w:pStyle w:val="Tabletext"/>
            </w:pPr>
          </w:p>
        </w:tc>
        <w:tc>
          <w:tcPr>
            <w:tcW w:w="2551" w:type="dxa"/>
          </w:tcPr>
          <w:p w14:paraId="5921F385" w14:textId="77777777" w:rsidR="00524B07" w:rsidRPr="00CC2E73" w:rsidRDefault="00524B07" w:rsidP="00FF2594">
            <w:pPr>
              <w:pStyle w:val="Tabletext"/>
            </w:pPr>
            <w:r w:rsidRPr="00CC2E73">
              <w:t>Stockert</w:t>
            </w:r>
          </w:p>
        </w:tc>
        <w:tc>
          <w:tcPr>
            <w:tcW w:w="1843" w:type="dxa"/>
          </w:tcPr>
          <w:p w14:paraId="0688257D" w14:textId="77777777" w:rsidR="00524B07" w:rsidRPr="00CC2E73" w:rsidRDefault="00524B07" w:rsidP="00FF2594">
            <w:pPr>
              <w:pStyle w:val="Tabletext"/>
              <w:jc w:val="center"/>
            </w:pPr>
            <w:r w:rsidRPr="00CC2E73">
              <w:t>50° 34' 10</w:t>
            </w:r>
            <w:r w:rsidRPr="00CC2E73">
              <w:rPr>
                <w:lang w:eastAsia="zh-CN"/>
              </w:rPr>
              <w:t>"</w:t>
            </w:r>
          </w:p>
        </w:tc>
        <w:tc>
          <w:tcPr>
            <w:tcW w:w="1701" w:type="dxa"/>
          </w:tcPr>
          <w:p w14:paraId="3012DCAA" w14:textId="0D7CAD2C" w:rsidR="00524B07" w:rsidRPr="00CC2E73" w:rsidRDefault="00524B07" w:rsidP="00FF2594">
            <w:pPr>
              <w:pStyle w:val="Tabletext"/>
              <w:jc w:val="center"/>
            </w:pPr>
            <w:r w:rsidRPr="00CC2E73">
              <w:t>06° 43</w:t>
            </w:r>
            <w:r w:rsidR="00B40AB3" w:rsidRPr="00CC2E73">
              <w:t>'</w:t>
            </w:r>
            <w:r w:rsidRPr="00CC2E73">
              <w:t xml:space="preserve"> 19"</w:t>
            </w:r>
          </w:p>
        </w:tc>
        <w:tc>
          <w:tcPr>
            <w:tcW w:w="1989" w:type="dxa"/>
          </w:tcPr>
          <w:p w14:paraId="5EA83EB2" w14:textId="77777777" w:rsidR="00524B07" w:rsidRPr="00CC2E73" w:rsidRDefault="00524B07" w:rsidP="00FF2594">
            <w:pPr>
              <w:pStyle w:val="Tabletext"/>
              <w:jc w:val="center"/>
            </w:pPr>
            <w:r w:rsidRPr="00CC2E73">
              <w:t>10 m</w:t>
            </w:r>
          </w:p>
        </w:tc>
      </w:tr>
      <w:tr w:rsidR="00524B07" w:rsidRPr="00CC2E73" w14:paraId="32C058FB" w14:textId="77777777" w:rsidTr="007B3415">
        <w:trPr>
          <w:jc w:val="center"/>
        </w:trPr>
        <w:tc>
          <w:tcPr>
            <w:tcW w:w="1555" w:type="dxa"/>
            <w:vMerge/>
            <w:vAlign w:val="center"/>
          </w:tcPr>
          <w:p w14:paraId="23BC7A51" w14:textId="77777777" w:rsidR="00524B07" w:rsidRPr="00CC2E73" w:rsidRDefault="00524B07" w:rsidP="00FF2594">
            <w:pPr>
              <w:pStyle w:val="Tabletext"/>
            </w:pPr>
          </w:p>
        </w:tc>
        <w:tc>
          <w:tcPr>
            <w:tcW w:w="2551" w:type="dxa"/>
            <w:vAlign w:val="center"/>
          </w:tcPr>
          <w:p w14:paraId="10AD3F3C" w14:textId="77777777" w:rsidR="00524B07" w:rsidRPr="00CC2E73" w:rsidRDefault="00524B07" w:rsidP="007B3415">
            <w:pPr>
              <w:pStyle w:val="Tabletext"/>
            </w:pPr>
            <w:r w:rsidRPr="00CC2E73">
              <w:t>Wettzell</w:t>
            </w:r>
          </w:p>
        </w:tc>
        <w:tc>
          <w:tcPr>
            <w:tcW w:w="1843" w:type="dxa"/>
            <w:vAlign w:val="center"/>
          </w:tcPr>
          <w:p w14:paraId="615F910D" w14:textId="77777777" w:rsidR="00524B07" w:rsidRPr="00CC2E73" w:rsidRDefault="00524B07" w:rsidP="007B3415">
            <w:pPr>
              <w:pStyle w:val="Tabletext"/>
              <w:jc w:val="center"/>
            </w:pPr>
            <w:r w:rsidRPr="00CC2E73">
              <w:t>49° 08' 41"</w:t>
            </w:r>
          </w:p>
        </w:tc>
        <w:tc>
          <w:tcPr>
            <w:tcW w:w="1701" w:type="dxa"/>
            <w:vAlign w:val="center"/>
          </w:tcPr>
          <w:p w14:paraId="2A4C78AA" w14:textId="59B1D608" w:rsidR="00524B07" w:rsidRPr="00CC2E73" w:rsidRDefault="00524B07" w:rsidP="007B3415">
            <w:pPr>
              <w:pStyle w:val="Tabletext"/>
              <w:jc w:val="center"/>
            </w:pPr>
            <w:r w:rsidRPr="00CC2E73">
              <w:t>12° 52</w:t>
            </w:r>
            <w:r w:rsidR="00B40AB3" w:rsidRPr="00CC2E73">
              <w:t>'</w:t>
            </w:r>
            <w:r w:rsidRPr="00CC2E73">
              <w:t xml:space="preserve"> 40"</w:t>
            </w:r>
          </w:p>
        </w:tc>
        <w:tc>
          <w:tcPr>
            <w:tcW w:w="1989" w:type="dxa"/>
          </w:tcPr>
          <w:p w14:paraId="58C2583F" w14:textId="1E843B9D" w:rsidR="00524B07" w:rsidRPr="00CC2E73" w:rsidRDefault="00524B07" w:rsidP="007B3415">
            <w:pPr>
              <w:pStyle w:val="Tabletext"/>
              <w:jc w:val="center"/>
            </w:pPr>
            <w:r w:rsidRPr="00CC2E73">
              <w:t>20 m,</w:t>
            </w:r>
            <w:r w:rsidR="007B3415">
              <w:br/>
            </w:r>
            <w:r w:rsidRPr="00CC2E73">
              <w:t>2 × 13.2 m</w:t>
            </w:r>
          </w:p>
        </w:tc>
      </w:tr>
      <w:tr w:rsidR="00524B07" w:rsidRPr="00CC2E73" w14:paraId="72CC042C" w14:textId="77777777" w:rsidTr="00A45B7B">
        <w:trPr>
          <w:jc w:val="center"/>
        </w:trPr>
        <w:tc>
          <w:tcPr>
            <w:tcW w:w="1555" w:type="dxa"/>
            <w:vMerge w:val="restart"/>
            <w:vAlign w:val="center"/>
          </w:tcPr>
          <w:p w14:paraId="182264D6" w14:textId="77777777" w:rsidR="00524B07" w:rsidRPr="00CC2E73" w:rsidRDefault="00524B07" w:rsidP="00FF2594">
            <w:pPr>
              <w:pStyle w:val="Tabletext"/>
            </w:pPr>
            <w:r w:rsidRPr="00CC2E73">
              <w:t>Italy</w:t>
            </w:r>
          </w:p>
        </w:tc>
        <w:tc>
          <w:tcPr>
            <w:tcW w:w="2551" w:type="dxa"/>
          </w:tcPr>
          <w:p w14:paraId="7A831C70" w14:textId="77777777" w:rsidR="00524B07" w:rsidRPr="00CC2E73" w:rsidRDefault="00524B07" w:rsidP="00FF2594">
            <w:pPr>
              <w:pStyle w:val="Tabletext"/>
            </w:pPr>
            <w:r w:rsidRPr="00CC2E73">
              <w:t>Matera</w:t>
            </w:r>
          </w:p>
        </w:tc>
        <w:tc>
          <w:tcPr>
            <w:tcW w:w="1843" w:type="dxa"/>
            <w:vAlign w:val="center"/>
          </w:tcPr>
          <w:p w14:paraId="12E6E575" w14:textId="249CBB69" w:rsidR="00524B07" w:rsidRPr="00CC2E73" w:rsidRDefault="00524B07" w:rsidP="00FF2594">
            <w:pPr>
              <w:pStyle w:val="Tabletext"/>
              <w:jc w:val="center"/>
              <w:rPr>
                <w:color w:val="000000" w:themeColor="text1"/>
              </w:rPr>
            </w:pPr>
            <w:r w:rsidRPr="00CC2E73">
              <w:rPr>
                <w:shd w:val="clear" w:color="auto" w:fill="FFFFFF"/>
              </w:rPr>
              <w:t>40° 38</w:t>
            </w:r>
            <w:r w:rsidR="00B40AB3" w:rsidRPr="00CC2E73">
              <w:t>'</w:t>
            </w:r>
            <w:r w:rsidRPr="00CC2E73">
              <w:rPr>
                <w:shd w:val="clear" w:color="auto" w:fill="FFFFFF"/>
              </w:rPr>
              <w:t xml:space="preserve"> 58</w:t>
            </w:r>
            <w:r w:rsidRPr="00CC2E73" w:rsidDel="002A259D">
              <w:rPr>
                <w:shd w:val="clear" w:color="auto" w:fill="FFFFFF"/>
              </w:rPr>
              <w:t>.2</w:t>
            </w:r>
            <w:r w:rsidR="00B40AB3" w:rsidRPr="00CC2E73">
              <w:t>"</w:t>
            </w:r>
          </w:p>
        </w:tc>
        <w:tc>
          <w:tcPr>
            <w:tcW w:w="1701" w:type="dxa"/>
            <w:vAlign w:val="center"/>
          </w:tcPr>
          <w:p w14:paraId="3EFD7B37" w14:textId="63601214" w:rsidR="00524B07" w:rsidRPr="00CC2E73" w:rsidRDefault="00524B07" w:rsidP="00FF2594">
            <w:pPr>
              <w:pStyle w:val="Tabletext"/>
              <w:jc w:val="center"/>
              <w:rPr>
                <w:color w:val="000000" w:themeColor="text1"/>
              </w:rPr>
            </w:pPr>
            <w:r w:rsidRPr="00CC2E73">
              <w:rPr>
                <w:shd w:val="clear" w:color="auto" w:fill="FFFFFF"/>
              </w:rPr>
              <w:t>16° 42</w:t>
            </w:r>
            <w:r w:rsidR="00B40AB3" w:rsidRPr="00CC2E73">
              <w:t>'</w:t>
            </w:r>
            <w:r w:rsidRPr="00CC2E73">
              <w:rPr>
                <w:shd w:val="clear" w:color="auto" w:fill="FFFFFF"/>
              </w:rPr>
              <w:t xml:space="preserve"> 14</w:t>
            </w:r>
            <w:r w:rsidRPr="00CC2E73" w:rsidDel="002A259D">
              <w:rPr>
                <w:shd w:val="clear" w:color="auto" w:fill="FFFFFF"/>
              </w:rPr>
              <w:t>.45</w:t>
            </w:r>
            <w:r w:rsidR="00B40AB3" w:rsidRPr="00CC2E73">
              <w:t>"</w:t>
            </w:r>
          </w:p>
        </w:tc>
        <w:tc>
          <w:tcPr>
            <w:tcW w:w="1989" w:type="dxa"/>
            <w:vAlign w:val="center"/>
          </w:tcPr>
          <w:p w14:paraId="1D6CD249" w14:textId="77777777" w:rsidR="00524B07" w:rsidRPr="00CC2E73" w:rsidRDefault="00524B07" w:rsidP="00FF2594">
            <w:pPr>
              <w:pStyle w:val="Tabletext"/>
              <w:jc w:val="center"/>
              <w:rPr>
                <w:color w:val="000000" w:themeColor="text1"/>
              </w:rPr>
            </w:pPr>
            <w:r w:rsidRPr="00CC2E73">
              <w:rPr>
                <w:color w:val="000000" w:themeColor="text1"/>
              </w:rPr>
              <w:t>20 m, 13.2 m</w:t>
            </w:r>
          </w:p>
        </w:tc>
      </w:tr>
      <w:tr w:rsidR="00524B07" w:rsidRPr="00CC2E73" w14:paraId="49D7529B" w14:textId="77777777" w:rsidTr="00A45B7B">
        <w:trPr>
          <w:jc w:val="center"/>
        </w:trPr>
        <w:tc>
          <w:tcPr>
            <w:tcW w:w="1555" w:type="dxa"/>
            <w:vMerge/>
            <w:vAlign w:val="center"/>
          </w:tcPr>
          <w:p w14:paraId="17C8FB08" w14:textId="77777777" w:rsidR="00524B07" w:rsidRPr="00CC2E73" w:rsidRDefault="00524B07" w:rsidP="00FF2594">
            <w:pPr>
              <w:pStyle w:val="Tabletext"/>
            </w:pPr>
          </w:p>
        </w:tc>
        <w:tc>
          <w:tcPr>
            <w:tcW w:w="2551" w:type="dxa"/>
          </w:tcPr>
          <w:p w14:paraId="14531CE1" w14:textId="77777777" w:rsidR="00524B07" w:rsidRPr="00CC2E73" w:rsidRDefault="00524B07" w:rsidP="00FF2594">
            <w:pPr>
              <w:pStyle w:val="Tabletext"/>
            </w:pPr>
            <w:r w:rsidRPr="00CC2E73">
              <w:t>Medicina</w:t>
            </w:r>
          </w:p>
        </w:tc>
        <w:tc>
          <w:tcPr>
            <w:tcW w:w="1843" w:type="dxa"/>
            <w:vAlign w:val="center"/>
          </w:tcPr>
          <w:p w14:paraId="53879557" w14:textId="77777777" w:rsidR="00524B07" w:rsidRPr="00CC2E73" w:rsidRDefault="00524B07" w:rsidP="00FF2594">
            <w:pPr>
              <w:pStyle w:val="Tabletext"/>
              <w:jc w:val="center"/>
            </w:pPr>
            <w:r w:rsidRPr="00CC2E73">
              <w:rPr>
                <w:color w:val="000000" w:themeColor="text1"/>
              </w:rPr>
              <w:t>44° 31</w:t>
            </w:r>
            <w:r w:rsidRPr="00CC2E73">
              <w:t xml:space="preserve">' </w:t>
            </w:r>
            <w:r w:rsidRPr="00CC2E73">
              <w:rPr>
                <w:color w:val="000000" w:themeColor="text1"/>
              </w:rPr>
              <w:t>14</w:t>
            </w:r>
            <w:r w:rsidRPr="00CC2E73">
              <w:t>"</w:t>
            </w:r>
          </w:p>
        </w:tc>
        <w:tc>
          <w:tcPr>
            <w:tcW w:w="1701" w:type="dxa"/>
            <w:vAlign w:val="center"/>
          </w:tcPr>
          <w:p w14:paraId="13790DE3" w14:textId="1F306B70" w:rsidR="00524B07" w:rsidRPr="00CC2E73" w:rsidRDefault="00524B07" w:rsidP="00FF2594">
            <w:pPr>
              <w:pStyle w:val="Tabletext"/>
              <w:jc w:val="center"/>
            </w:pPr>
            <w:r w:rsidRPr="00CC2E73">
              <w:rPr>
                <w:color w:val="000000" w:themeColor="text1"/>
              </w:rPr>
              <w:t>11° 38</w:t>
            </w:r>
            <w:r w:rsidR="00B40AB3" w:rsidRPr="00CC2E73">
              <w:t>'</w:t>
            </w:r>
            <w:r w:rsidRPr="00CC2E73">
              <w:rPr>
                <w:color w:val="000000" w:themeColor="text1"/>
              </w:rPr>
              <w:t xml:space="preserve"> 49</w:t>
            </w:r>
            <w:r w:rsidRPr="00CC2E73">
              <w:t>"</w:t>
            </w:r>
          </w:p>
        </w:tc>
        <w:tc>
          <w:tcPr>
            <w:tcW w:w="1989" w:type="dxa"/>
            <w:vAlign w:val="center"/>
          </w:tcPr>
          <w:p w14:paraId="26168ACB" w14:textId="77777777" w:rsidR="00524B07" w:rsidRPr="00CC2E73" w:rsidRDefault="00524B07" w:rsidP="00FF2594">
            <w:pPr>
              <w:pStyle w:val="Tabletext"/>
              <w:jc w:val="center"/>
            </w:pPr>
            <w:r w:rsidRPr="00CC2E73">
              <w:rPr>
                <w:color w:val="000000" w:themeColor="text1"/>
              </w:rPr>
              <w:t>32 m, 2.4 m</w:t>
            </w:r>
          </w:p>
        </w:tc>
      </w:tr>
      <w:tr w:rsidR="00524B07" w:rsidRPr="00CC2E73" w14:paraId="2041DAA6" w14:textId="77777777" w:rsidTr="00A45B7B">
        <w:trPr>
          <w:jc w:val="center"/>
        </w:trPr>
        <w:tc>
          <w:tcPr>
            <w:tcW w:w="1555" w:type="dxa"/>
            <w:vMerge/>
            <w:vAlign w:val="center"/>
          </w:tcPr>
          <w:p w14:paraId="6488DB60" w14:textId="77777777" w:rsidR="00524B07" w:rsidRPr="00CC2E73" w:rsidRDefault="00524B07" w:rsidP="00FF2594">
            <w:pPr>
              <w:pStyle w:val="Tabletext"/>
            </w:pPr>
          </w:p>
        </w:tc>
        <w:tc>
          <w:tcPr>
            <w:tcW w:w="2551" w:type="dxa"/>
          </w:tcPr>
          <w:p w14:paraId="7154CE42" w14:textId="77777777" w:rsidR="00524B07" w:rsidRPr="00CC2E73" w:rsidRDefault="00524B07" w:rsidP="00FF2594">
            <w:pPr>
              <w:pStyle w:val="Tabletext"/>
            </w:pPr>
            <w:r w:rsidRPr="00CC2E73">
              <w:t>Noto</w:t>
            </w:r>
          </w:p>
        </w:tc>
        <w:tc>
          <w:tcPr>
            <w:tcW w:w="1843" w:type="dxa"/>
            <w:vAlign w:val="center"/>
          </w:tcPr>
          <w:p w14:paraId="5D79B8C1" w14:textId="0847E134" w:rsidR="00524B07" w:rsidRPr="00CC2E73" w:rsidRDefault="00524B07" w:rsidP="00FF2594">
            <w:pPr>
              <w:pStyle w:val="Tabletext"/>
              <w:jc w:val="center"/>
              <w:rPr>
                <w:color w:val="000000" w:themeColor="text1"/>
              </w:rPr>
            </w:pPr>
            <w:r w:rsidRPr="00CC2E73">
              <w:rPr>
                <w:color w:val="000000" w:themeColor="text1"/>
              </w:rPr>
              <w:t>36° 52</w:t>
            </w:r>
            <w:r w:rsidR="00B40AB3" w:rsidRPr="00CC2E73">
              <w:t>'</w:t>
            </w:r>
            <w:r w:rsidRPr="00CC2E73">
              <w:t xml:space="preserve"> </w:t>
            </w:r>
            <w:r w:rsidRPr="00CC2E73">
              <w:rPr>
                <w:color w:val="000000" w:themeColor="text1"/>
              </w:rPr>
              <w:t>33''</w:t>
            </w:r>
          </w:p>
        </w:tc>
        <w:tc>
          <w:tcPr>
            <w:tcW w:w="1701" w:type="dxa"/>
            <w:vAlign w:val="center"/>
          </w:tcPr>
          <w:p w14:paraId="21B1AAD8" w14:textId="7689D0F6" w:rsidR="00524B07" w:rsidRPr="00CC2E73" w:rsidRDefault="00524B07" w:rsidP="00FF2594">
            <w:pPr>
              <w:pStyle w:val="Tabletext"/>
              <w:jc w:val="center"/>
              <w:rPr>
                <w:color w:val="000000" w:themeColor="text1"/>
              </w:rPr>
            </w:pPr>
            <w:r w:rsidRPr="00CC2E73">
              <w:rPr>
                <w:color w:val="000000" w:themeColor="text1"/>
              </w:rPr>
              <w:t>14</w:t>
            </w:r>
            <w:r w:rsidR="00B40AB3" w:rsidRPr="00CC2E73">
              <w:rPr>
                <w:color w:val="000000" w:themeColor="text1"/>
              </w:rPr>
              <w:t xml:space="preserve">° </w:t>
            </w:r>
            <w:r w:rsidRPr="00CC2E73">
              <w:rPr>
                <w:color w:val="000000" w:themeColor="text1"/>
              </w:rPr>
              <w:t>59' 20''</w:t>
            </w:r>
          </w:p>
        </w:tc>
        <w:tc>
          <w:tcPr>
            <w:tcW w:w="1989" w:type="dxa"/>
            <w:vAlign w:val="center"/>
          </w:tcPr>
          <w:p w14:paraId="37F3D512" w14:textId="77777777" w:rsidR="00524B07" w:rsidRPr="00CC2E73" w:rsidRDefault="00524B07" w:rsidP="00FF2594">
            <w:pPr>
              <w:pStyle w:val="Tabletext"/>
              <w:jc w:val="center"/>
              <w:rPr>
                <w:color w:val="000000" w:themeColor="text1"/>
              </w:rPr>
            </w:pPr>
            <w:r w:rsidRPr="00CC2E73">
              <w:rPr>
                <w:color w:val="000000" w:themeColor="text1"/>
              </w:rPr>
              <w:t>32 m</w:t>
            </w:r>
          </w:p>
        </w:tc>
      </w:tr>
      <w:tr w:rsidR="00524B07" w:rsidRPr="00CC2E73" w14:paraId="5046400D" w14:textId="77777777" w:rsidTr="00A45B7B">
        <w:trPr>
          <w:jc w:val="center"/>
        </w:trPr>
        <w:tc>
          <w:tcPr>
            <w:tcW w:w="1555" w:type="dxa"/>
            <w:vMerge/>
            <w:vAlign w:val="center"/>
          </w:tcPr>
          <w:p w14:paraId="196DD43F" w14:textId="77777777" w:rsidR="00524B07" w:rsidRPr="00CC2E73" w:rsidRDefault="00524B07" w:rsidP="00FF2594">
            <w:pPr>
              <w:pStyle w:val="Tabletext"/>
            </w:pPr>
          </w:p>
        </w:tc>
        <w:tc>
          <w:tcPr>
            <w:tcW w:w="2551" w:type="dxa"/>
          </w:tcPr>
          <w:p w14:paraId="2574225F" w14:textId="77777777" w:rsidR="00524B07" w:rsidRPr="00CC2E73" w:rsidRDefault="00524B07" w:rsidP="00FF2594">
            <w:pPr>
              <w:pStyle w:val="Tabletext"/>
            </w:pPr>
            <w:r w:rsidRPr="00CC2E73">
              <w:t>Sardinia</w:t>
            </w:r>
          </w:p>
        </w:tc>
        <w:tc>
          <w:tcPr>
            <w:tcW w:w="1843" w:type="dxa"/>
            <w:vAlign w:val="center"/>
          </w:tcPr>
          <w:p w14:paraId="735753CD" w14:textId="5CE7547A" w:rsidR="00524B07" w:rsidRPr="00CC2E73" w:rsidRDefault="00524B07" w:rsidP="00FF2594">
            <w:pPr>
              <w:pStyle w:val="Tabletext"/>
              <w:jc w:val="center"/>
            </w:pPr>
            <w:r w:rsidRPr="00CC2E73">
              <w:t>39</w:t>
            </w:r>
            <w:r w:rsidR="00B40AB3" w:rsidRPr="00CC2E73">
              <w:rPr>
                <w:color w:val="000000" w:themeColor="text1"/>
              </w:rPr>
              <w:t xml:space="preserve">° </w:t>
            </w:r>
            <w:r w:rsidRPr="00CC2E73">
              <w:t>29' 34"</w:t>
            </w:r>
          </w:p>
        </w:tc>
        <w:tc>
          <w:tcPr>
            <w:tcW w:w="1701" w:type="dxa"/>
            <w:vAlign w:val="center"/>
          </w:tcPr>
          <w:p w14:paraId="7836CFA3" w14:textId="30DEC01B" w:rsidR="00524B07" w:rsidRPr="00CC2E73" w:rsidRDefault="00524B07" w:rsidP="00FF2594">
            <w:pPr>
              <w:pStyle w:val="Tabletext"/>
              <w:jc w:val="center"/>
            </w:pPr>
            <w:r w:rsidRPr="00CC2E73">
              <w:t>09</w:t>
            </w:r>
            <w:r w:rsidR="00B40AB3" w:rsidRPr="00CC2E73">
              <w:rPr>
                <w:color w:val="000000" w:themeColor="text1"/>
              </w:rPr>
              <w:t xml:space="preserve">° </w:t>
            </w:r>
            <w:r w:rsidRPr="00CC2E73">
              <w:t>14' 42"</w:t>
            </w:r>
          </w:p>
        </w:tc>
        <w:tc>
          <w:tcPr>
            <w:tcW w:w="1989" w:type="dxa"/>
            <w:vAlign w:val="center"/>
          </w:tcPr>
          <w:p w14:paraId="69C89D45" w14:textId="77777777" w:rsidR="00524B07" w:rsidRPr="00CC2E73" w:rsidRDefault="00524B07" w:rsidP="00FF2594">
            <w:pPr>
              <w:pStyle w:val="Tabletext"/>
              <w:jc w:val="center"/>
            </w:pPr>
            <w:r w:rsidRPr="00CC2E73">
              <w:t>64 m</w:t>
            </w:r>
          </w:p>
        </w:tc>
      </w:tr>
      <w:tr w:rsidR="00524B07" w:rsidRPr="00CC2E73" w14:paraId="73EB9C83" w14:textId="77777777" w:rsidTr="00A45B7B">
        <w:trPr>
          <w:jc w:val="center"/>
        </w:trPr>
        <w:tc>
          <w:tcPr>
            <w:tcW w:w="1555" w:type="dxa"/>
            <w:vAlign w:val="center"/>
          </w:tcPr>
          <w:p w14:paraId="32140059" w14:textId="77777777" w:rsidR="00524B07" w:rsidRPr="00CC2E73" w:rsidRDefault="00524B07" w:rsidP="00FF2594">
            <w:pPr>
              <w:pStyle w:val="Tabletext"/>
            </w:pPr>
            <w:r w:rsidRPr="00CC2E73">
              <w:t>Latvia</w:t>
            </w:r>
          </w:p>
        </w:tc>
        <w:tc>
          <w:tcPr>
            <w:tcW w:w="2551" w:type="dxa"/>
          </w:tcPr>
          <w:p w14:paraId="445E3711" w14:textId="77777777" w:rsidR="00524B07" w:rsidRPr="00CC2E73" w:rsidRDefault="00524B07" w:rsidP="00FF2594">
            <w:pPr>
              <w:pStyle w:val="Tabletext"/>
            </w:pPr>
            <w:r w:rsidRPr="00CC2E73">
              <w:t>Ventspils</w:t>
            </w:r>
          </w:p>
        </w:tc>
        <w:tc>
          <w:tcPr>
            <w:tcW w:w="1843" w:type="dxa"/>
            <w:vAlign w:val="center"/>
          </w:tcPr>
          <w:p w14:paraId="6D734DC1" w14:textId="344B5F25" w:rsidR="00524B07" w:rsidRPr="00CC2E73" w:rsidRDefault="00524B07" w:rsidP="00FF2594">
            <w:pPr>
              <w:pStyle w:val="Tabletext"/>
              <w:jc w:val="center"/>
            </w:pPr>
            <w:r w:rsidRPr="00CC2E73">
              <w:t>57</w:t>
            </w:r>
            <w:r w:rsidR="00B40AB3" w:rsidRPr="00CC2E73">
              <w:rPr>
                <w:color w:val="000000" w:themeColor="text1"/>
              </w:rPr>
              <w:t xml:space="preserve">° </w:t>
            </w:r>
            <w:r w:rsidRPr="00CC2E73">
              <w:t>33' 12"</w:t>
            </w:r>
          </w:p>
        </w:tc>
        <w:tc>
          <w:tcPr>
            <w:tcW w:w="1701" w:type="dxa"/>
            <w:vAlign w:val="center"/>
          </w:tcPr>
          <w:p w14:paraId="7B7AE95C" w14:textId="1B3B03D0" w:rsidR="00524B07" w:rsidRPr="00CC2E73" w:rsidRDefault="00524B07" w:rsidP="00FF2594">
            <w:pPr>
              <w:pStyle w:val="Tabletext"/>
              <w:jc w:val="center"/>
            </w:pPr>
            <w:r w:rsidRPr="00CC2E73">
              <w:t>21</w:t>
            </w:r>
            <w:r w:rsidR="00B40AB3" w:rsidRPr="00CC2E73">
              <w:rPr>
                <w:color w:val="000000" w:themeColor="text1"/>
              </w:rPr>
              <w:t xml:space="preserve">° </w:t>
            </w:r>
            <w:r w:rsidRPr="00CC2E73">
              <w:t>51' 17"</w:t>
            </w:r>
          </w:p>
        </w:tc>
        <w:tc>
          <w:tcPr>
            <w:tcW w:w="1989" w:type="dxa"/>
            <w:vAlign w:val="center"/>
          </w:tcPr>
          <w:p w14:paraId="35575F31" w14:textId="77777777" w:rsidR="00524B07" w:rsidRPr="00CC2E73" w:rsidRDefault="00524B07" w:rsidP="00FF2594">
            <w:pPr>
              <w:pStyle w:val="Tabletext"/>
              <w:jc w:val="center"/>
            </w:pPr>
            <w:r w:rsidRPr="00CC2E73">
              <w:t>32 m</w:t>
            </w:r>
          </w:p>
        </w:tc>
      </w:tr>
      <w:tr w:rsidR="00524B07" w:rsidRPr="00CC2E73" w14:paraId="39B73A87" w14:textId="77777777" w:rsidTr="00A45B7B">
        <w:trPr>
          <w:jc w:val="center"/>
        </w:trPr>
        <w:tc>
          <w:tcPr>
            <w:tcW w:w="1555" w:type="dxa"/>
            <w:vAlign w:val="center"/>
          </w:tcPr>
          <w:p w14:paraId="30E032E5" w14:textId="77777777" w:rsidR="00524B07" w:rsidRPr="00CC2E73" w:rsidRDefault="00524B07" w:rsidP="00FF2594">
            <w:pPr>
              <w:pStyle w:val="Tabletext"/>
            </w:pPr>
            <w:r w:rsidRPr="00CC2E73">
              <w:t>Norway</w:t>
            </w:r>
          </w:p>
        </w:tc>
        <w:tc>
          <w:tcPr>
            <w:tcW w:w="2551" w:type="dxa"/>
          </w:tcPr>
          <w:p w14:paraId="240D44D9" w14:textId="77777777" w:rsidR="00524B07" w:rsidRPr="00CC2E73" w:rsidRDefault="00524B07" w:rsidP="00FF2594">
            <w:pPr>
              <w:pStyle w:val="Tabletext"/>
            </w:pPr>
            <w:r w:rsidRPr="00CC2E73">
              <w:t>Ny Ålesund</w:t>
            </w:r>
          </w:p>
        </w:tc>
        <w:tc>
          <w:tcPr>
            <w:tcW w:w="1843" w:type="dxa"/>
            <w:vAlign w:val="center"/>
          </w:tcPr>
          <w:p w14:paraId="2C170184" w14:textId="31C4FB82" w:rsidR="00524B07" w:rsidRPr="00CC2E73" w:rsidRDefault="00524B07" w:rsidP="00FF2594">
            <w:pPr>
              <w:pStyle w:val="Tabletext"/>
              <w:jc w:val="center"/>
            </w:pPr>
            <w:r w:rsidRPr="00CC2E73">
              <w:t>78</w:t>
            </w:r>
            <w:r w:rsidR="00B40AB3" w:rsidRPr="00CC2E73">
              <w:rPr>
                <w:color w:val="000000" w:themeColor="text1"/>
              </w:rPr>
              <w:t xml:space="preserve">° </w:t>
            </w:r>
            <w:r w:rsidRPr="00CC2E73">
              <w:t>55' 45"</w:t>
            </w:r>
          </w:p>
        </w:tc>
        <w:tc>
          <w:tcPr>
            <w:tcW w:w="1701" w:type="dxa"/>
            <w:vAlign w:val="center"/>
          </w:tcPr>
          <w:p w14:paraId="09A1DFC7" w14:textId="4A9C7E81" w:rsidR="00524B07" w:rsidRPr="00CC2E73" w:rsidRDefault="00524B07" w:rsidP="00FF2594">
            <w:pPr>
              <w:pStyle w:val="Tabletext"/>
              <w:jc w:val="center"/>
            </w:pPr>
            <w:r w:rsidRPr="00CC2E73">
              <w:t>11</w:t>
            </w:r>
            <w:r w:rsidR="00B40AB3" w:rsidRPr="00CC2E73">
              <w:rPr>
                <w:color w:val="000000" w:themeColor="text1"/>
              </w:rPr>
              <w:t xml:space="preserve">° </w:t>
            </w:r>
            <w:r w:rsidRPr="00CC2E73">
              <w:t>52' 15"</w:t>
            </w:r>
          </w:p>
        </w:tc>
        <w:tc>
          <w:tcPr>
            <w:tcW w:w="1989" w:type="dxa"/>
            <w:vAlign w:val="center"/>
          </w:tcPr>
          <w:p w14:paraId="221278F6" w14:textId="5D524AD0" w:rsidR="00524B07" w:rsidRPr="00CC2E73" w:rsidRDefault="00524B07" w:rsidP="00FF2594">
            <w:pPr>
              <w:pStyle w:val="Tabletext"/>
              <w:jc w:val="center"/>
            </w:pPr>
            <w:r w:rsidRPr="00CC2E73">
              <w:t>2 × 13.2 m</w:t>
            </w:r>
          </w:p>
        </w:tc>
      </w:tr>
      <w:tr w:rsidR="00524B07" w:rsidRPr="00CC2E73" w14:paraId="6F3EA9CA" w14:textId="77777777" w:rsidTr="00A45B7B">
        <w:trPr>
          <w:jc w:val="center"/>
        </w:trPr>
        <w:tc>
          <w:tcPr>
            <w:tcW w:w="1555" w:type="dxa"/>
            <w:vMerge w:val="restart"/>
            <w:vAlign w:val="center"/>
          </w:tcPr>
          <w:p w14:paraId="454D199F" w14:textId="77777777" w:rsidR="00524B07" w:rsidRPr="00CC2E73" w:rsidRDefault="00524B07" w:rsidP="00FF2594">
            <w:pPr>
              <w:pStyle w:val="Tabletext"/>
            </w:pPr>
            <w:r w:rsidRPr="00CC2E73">
              <w:t>Portugal</w:t>
            </w:r>
          </w:p>
        </w:tc>
        <w:tc>
          <w:tcPr>
            <w:tcW w:w="2551" w:type="dxa"/>
          </w:tcPr>
          <w:p w14:paraId="39DCB4AA" w14:textId="390CF6FD" w:rsidR="00524B07" w:rsidRPr="00CC2E73" w:rsidRDefault="00524B07" w:rsidP="00FF2594">
            <w:pPr>
              <w:pStyle w:val="Tabletext"/>
            </w:pPr>
          </w:p>
        </w:tc>
        <w:tc>
          <w:tcPr>
            <w:tcW w:w="1843" w:type="dxa"/>
            <w:vAlign w:val="center"/>
          </w:tcPr>
          <w:p w14:paraId="630BB7AC" w14:textId="441C62CA" w:rsidR="00524B07" w:rsidRPr="00CC2E73" w:rsidRDefault="00524B07" w:rsidP="00FF2594">
            <w:pPr>
              <w:pStyle w:val="Tabletext"/>
              <w:jc w:val="center"/>
            </w:pPr>
          </w:p>
        </w:tc>
        <w:tc>
          <w:tcPr>
            <w:tcW w:w="1701" w:type="dxa"/>
            <w:vAlign w:val="center"/>
          </w:tcPr>
          <w:p w14:paraId="53921A20" w14:textId="0778716F" w:rsidR="00524B07" w:rsidRPr="00CC2E73" w:rsidRDefault="00524B07" w:rsidP="00FF2594">
            <w:pPr>
              <w:pStyle w:val="Tabletext"/>
              <w:jc w:val="center"/>
            </w:pPr>
          </w:p>
        </w:tc>
        <w:tc>
          <w:tcPr>
            <w:tcW w:w="1989" w:type="dxa"/>
            <w:vAlign w:val="center"/>
          </w:tcPr>
          <w:p w14:paraId="270112E5" w14:textId="32A471DD" w:rsidR="00524B07" w:rsidRPr="00CC2E73" w:rsidRDefault="00524B07" w:rsidP="00FF2594">
            <w:pPr>
              <w:pStyle w:val="Tabletext"/>
              <w:jc w:val="center"/>
            </w:pPr>
          </w:p>
        </w:tc>
      </w:tr>
      <w:tr w:rsidR="00524B07" w:rsidRPr="00CC2E73" w14:paraId="4B089EDC" w14:textId="77777777" w:rsidTr="00A45B7B">
        <w:trPr>
          <w:jc w:val="center"/>
        </w:trPr>
        <w:tc>
          <w:tcPr>
            <w:tcW w:w="1555" w:type="dxa"/>
            <w:vMerge/>
            <w:vAlign w:val="center"/>
          </w:tcPr>
          <w:p w14:paraId="520498FA" w14:textId="77777777" w:rsidR="00524B07" w:rsidRPr="00CC2E73" w:rsidRDefault="00524B07" w:rsidP="00FF2594">
            <w:pPr>
              <w:pStyle w:val="Tabletext"/>
            </w:pPr>
          </w:p>
        </w:tc>
        <w:tc>
          <w:tcPr>
            <w:tcW w:w="2551" w:type="dxa"/>
          </w:tcPr>
          <w:p w14:paraId="156D8C8F" w14:textId="77777777" w:rsidR="00524B07" w:rsidRPr="00CC2E73" w:rsidRDefault="00524B07" w:rsidP="00FF2594">
            <w:pPr>
              <w:pStyle w:val="Tabletext"/>
            </w:pPr>
            <w:r w:rsidRPr="00CC2E73">
              <w:t>Santa Maria</w:t>
            </w:r>
          </w:p>
        </w:tc>
        <w:tc>
          <w:tcPr>
            <w:tcW w:w="1843" w:type="dxa"/>
            <w:vAlign w:val="center"/>
          </w:tcPr>
          <w:p w14:paraId="26B60658" w14:textId="107F8E36" w:rsidR="00524B07" w:rsidRPr="00CC2E73" w:rsidRDefault="00524B07" w:rsidP="00FF2594">
            <w:pPr>
              <w:pStyle w:val="Tabletext"/>
              <w:jc w:val="center"/>
            </w:pPr>
            <w:r w:rsidRPr="00CC2E73">
              <w:t>36</w:t>
            </w:r>
            <w:r w:rsidR="00C4321E" w:rsidRPr="00CC2E73">
              <w:rPr>
                <w:color w:val="000000" w:themeColor="text1"/>
              </w:rPr>
              <w:t xml:space="preserve">° </w:t>
            </w:r>
            <w:r w:rsidRPr="00CC2E73">
              <w:t>59' 07"</w:t>
            </w:r>
          </w:p>
        </w:tc>
        <w:tc>
          <w:tcPr>
            <w:tcW w:w="1701" w:type="dxa"/>
            <w:vAlign w:val="center"/>
          </w:tcPr>
          <w:p w14:paraId="301E20E2" w14:textId="71CE43C1" w:rsidR="00524B07" w:rsidRPr="00CC2E73" w:rsidRDefault="00EA6DA8" w:rsidP="00FF2594">
            <w:pPr>
              <w:pStyle w:val="Tabletext"/>
              <w:jc w:val="center"/>
            </w:pPr>
            <w:r>
              <w:t>‒</w:t>
            </w:r>
            <w:r w:rsidR="00524B07" w:rsidRPr="00CC2E73">
              <w:t>25</w:t>
            </w:r>
            <w:r w:rsidR="00C4321E" w:rsidRPr="00CC2E73">
              <w:rPr>
                <w:color w:val="000000" w:themeColor="text1"/>
              </w:rPr>
              <w:t xml:space="preserve">° </w:t>
            </w:r>
            <w:r w:rsidR="00524B07" w:rsidRPr="00CC2E73">
              <w:t>07' 33"</w:t>
            </w:r>
          </w:p>
        </w:tc>
        <w:tc>
          <w:tcPr>
            <w:tcW w:w="1989" w:type="dxa"/>
            <w:vAlign w:val="center"/>
          </w:tcPr>
          <w:p w14:paraId="0EE03973" w14:textId="77777777" w:rsidR="00524B07" w:rsidRPr="00CC2E73" w:rsidRDefault="00524B07" w:rsidP="00FF2594">
            <w:pPr>
              <w:pStyle w:val="Tabletext"/>
              <w:jc w:val="center"/>
            </w:pPr>
            <w:r w:rsidRPr="00CC2E73">
              <w:t>13 m</w:t>
            </w:r>
          </w:p>
        </w:tc>
      </w:tr>
      <w:tr w:rsidR="00524B07" w:rsidRPr="00CC2E73" w14:paraId="090ED77A" w14:textId="77777777" w:rsidTr="00A45B7B">
        <w:trPr>
          <w:jc w:val="center"/>
        </w:trPr>
        <w:tc>
          <w:tcPr>
            <w:tcW w:w="1555" w:type="dxa"/>
            <w:vMerge w:val="restart"/>
            <w:vAlign w:val="center"/>
          </w:tcPr>
          <w:p w14:paraId="24C32C99" w14:textId="77777777" w:rsidR="00524B07" w:rsidRPr="00CC2E73" w:rsidRDefault="00524B07" w:rsidP="00FF2594">
            <w:pPr>
              <w:pStyle w:val="Tabletext"/>
            </w:pPr>
            <w:r w:rsidRPr="00CC2E73">
              <w:t>Russia</w:t>
            </w:r>
          </w:p>
        </w:tc>
        <w:tc>
          <w:tcPr>
            <w:tcW w:w="2551" w:type="dxa"/>
          </w:tcPr>
          <w:p w14:paraId="6E92B8C7" w14:textId="77777777" w:rsidR="00524B07" w:rsidRPr="00CC2E73" w:rsidRDefault="00524B07" w:rsidP="00FF2594">
            <w:pPr>
              <w:pStyle w:val="Tabletext"/>
            </w:pPr>
            <w:r w:rsidRPr="00CC2E73">
              <w:t>Badari</w:t>
            </w:r>
          </w:p>
        </w:tc>
        <w:tc>
          <w:tcPr>
            <w:tcW w:w="1843" w:type="dxa"/>
            <w:vAlign w:val="center"/>
          </w:tcPr>
          <w:p w14:paraId="0DC7AA46" w14:textId="7969C6A5" w:rsidR="00524B07" w:rsidRPr="00CC2E73" w:rsidRDefault="00524B07" w:rsidP="00FF2594">
            <w:pPr>
              <w:pStyle w:val="Tabletext"/>
              <w:jc w:val="center"/>
            </w:pPr>
            <w:r w:rsidRPr="00CC2E73">
              <w:t>51</w:t>
            </w:r>
            <w:r w:rsidR="00C4321E" w:rsidRPr="00CC2E73">
              <w:rPr>
                <w:color w:val="000000" w:themeColor="text1"/>
              </w:rPr>
              <w:t xml:space="preserve">° </w:t>
            </w:r>
            <w:r w:rsidRPr="00CC2E73">
              <w:t>46' 10"</w:t>
            </w:r>
          </w:p>
        </w:tc>
        <w:tc>
          <w:tcPr>
            <w:tcW w:w="1701" w:type="dxa"/>
            <w:vAlign w:val="center"/>
          </w:tcPr>
          <w:p w14:paraId="3FDBFC32" w14:textId="5E9DBF85" w:rsidR="00524B07" w:rsidRPr="00CC2E73" w:rsidRDefault="00524B07" w:rsidP="00FF2594">
            <w:pPr>
              <w:pStyle w:val="Tabletext"/>
              <w:jc w:val="center"/>
            </w:pPr>
            <w:r w:rsidRPr="00CC2E73">
              <w:t>102</w:t>
            </w:r>
            <w:r w:rsidR="00C4321E" w:rsidRPr="00CC2E73">
              <w:rPr>
                <w:color w:val="000000" w:themeColor="text1"/>
              </w:rPr>
              <w:t xml:space="preserve">° </w:t>
            </w:r>
            <w:r w:rsidRPr="00CC2E73">
              <w:t>14' 00"</w:t>
            </w:r>
          </w:p>
        </w:tc>
        <w:tc>
          <w:tcPr>
            <w:tcW w:w="1989" w:type="dxa"/>
            <w:vAlign w:val="center"/>
          </w:tcPr>
          <w:p w14:paraId="7566EFEA" w14:textId="77777777" w:rsidR="00524B07" w:rsidRPr="00CC2E73" w:rsidRDefault="00524B07" w:rsidP="00FF2594">
            <w:pPr>
              <w:pStyle w:val="Tabletext"/>
              <w:jc w:val="center"/>
            </w:pPr>
            <w:r w:rsidRPr="00CC2E73">
              <w:t>32 m, 13.2 m</w:t>
            </w:r>
          </w:p>
        </w:tc>
      </w:tr>
      <w:tr w:rsidR="00524B07" w:rsidRPr="00CC2E73" w14:paraId="4C5FDA2B" w14:textId="77777777" w:rsidTr="00A45B7B">
        <w:trPr>
          <w:jc w:val="center"/>
        </w:trPr>
        <w:tc>
          <w:tcPr>
            <w:tcW w:w="1555" w:type="dxa"/>
            <w:vMerge/>
            <w:vAlign w:val="center"/>
          </w:tcPr>
          <w:p w14:paraId="196D135A" w14:textId="77777777" w:rsidR="00524B07" w:rsidRPr="00CC2E73" w:rsidRDefault="00524B07" w:rsidP="00FF2594">
            <w:pPr>
              <w:pStyle w:val="Tabletext"/>
              <w:rPr>
                <w:highlight w:val="yellow"/>
              </w:rPr>
            </w:pPr>
          </w:p>
        </w:tc>
        <w:tc>
          <w:tcPr>
            <w:tcW w:w="2551" w:type="dxa"/>
          </w:tcPr>
          <w:p w14:paraId="088C27BC" w14:textId="77777777" w:rsidR="00524B07" w:rsidRPr="00CC2E73" w:rsidRDefault="00524B07" w:rsidP="00FF2594">
            <w:pPr>
              <w:pStyle w:val="Tabletext"/>
            </w:pPr>
            <w:r w:rsidRPr="00CC2E73">
              <w:t>Kaliazyn</w:t>
            </w:r>
          </w:p>
        </w:tc>
        <w:tc>
          <w:tcPr>
            <w:tcW w:w="1843" w:type="dxa"/>
            <w:vAlign w:val="center"/>
          </w:tcPr>
          <w:p w14:paraId="03DD0814" w14:textId="2B53C274" w:rsidR="00524B07" w:rsidRPr="00CC2E73" w:rsidRDefault="00524B07" w:rsidP="00FF2594">
            <w:pPr>
              <w:pStyle w:val="Tabletext"/>
              <w:jc w:val="center"/>
            </w:pPr>
            <w:r w:rsidRPr="00CC2E73">
              <w:rPr>
                <w:color w:val="000000" w:themeColor="text1"/>
              </w:rPr>
              <w:t>57° 13</w:t>
            </w:r>
            <w:r w:rsidRPr="00CC2E73">
              <w:t>' 22"</w:t>
            </w:r>
          </w:p>
        </w:tc>
        <w:tc>
          <w:tcPr>
            <w:tcW w:w="1701" w:type="dxa"/>
            <w:vAlign w:val="center"/>
          </w:tcPr>
          <w:p w14:paraId="518BA442" w14:textId="77777777" w:rsidR="00524B07" w:rsidRPr="00CC2E73" w:rsidRDefault="00524B07" w:rsidP="00FF2594">
            <w:pPr>
              <w:pStyle w:val="Tabletext"/>
              <w:jc w:val="center"/>
            </w:pPr>
            <w:r w:rsidRPr="00CC2E73">
              <w:rPr>
                <w:color w:val="000000" w:themeColor="text1"/>
              </w:rPr>
              <w:t>37° 54</w:t>
            </w:r>
            <w:r w:rsidRPr="00CC2E73">
              <w:t xml:space="preserve">' </w:t>
            </w:r>
            <w:r w:rsidRPr="00CC2E73">
              <w:rPr>
                <w:color w:val="000000" w:themeColor="text1"/>
              </w:rPr>
              <w:t>01</w:t>
            </w:r>
            <w:r w:rsidRPr="00CC2E73">
              <w:t>"</w:t>
            </w:r>
          </w:p>
        </w:tc>
        <w:tc>
          <w:tcPr>
            <w:tcW w:w="1989" w:type="dxa"/>
            <w:vAlign w:val="center"/>
          </w:tcPr>
          <w:p w14:paraId="75294C45" w14:textId="77777777" w:rsidR="00524B07" w:rsidRPr="00CC2E73" w:rsidRDefault="00524B07" w:rsidP="00FF2594">
            <w:pPr>
              <w:pStyle w:val="Tabletext"/>
              <w:jc w:val="center"/>
            </w:pPr>
            <w:r w:rsidRPr="00CC2E73">
              <w:rPr>
                <w:color w:val="000000" w:themeColor="text1"/>
              </w:rPr>
              <w:t>64 m</w:t>
            </w:r>
          </w:p>
        </w:tc>
      </w:tr>
      <w:tr w:rsidR="00524B07" w:rsidRPr="00CC2E73" w14:paraId="658B6650" w14:textId="77777777" w:rsidTr="00A45B7B">
        <w:trPr>
          <w:jc w:val="center"/>
        </w:trPr>
        <w:tc>
          <w:tcPr>
            <w:tcW w:w="1555" w:type="dxa"/>
            <w:vMerge/>
            <w:vAlign w:val="center"/>
          </w:tcPr>
          <w:p w14:paraId="14417B11" w14:textId="77777777" w:rsidR="00524B07" w:rsidRPr="00CC2E73" w:rsidRDefault="00524B07" w:rsidP="00FF2594">
            <w:pPr>
              <w:pStyle w:val="Tabletext"/>
              <w:rPr>
                <w:highlight w:val="yellow"/>
              </w:rPr>
            </w:pPr>
          </w:p>
        </w:tc>
        <w:tc>
          <w:tcPr>
            <w:tcW w:w="2551" w:type="dxa"/>
          </w:tcPr>
          <w:p w14:paraId="2F1AEDAE" w14:textId="77777777" w:rsidR="00524B07" w:rsidRPr="00CC2E73" w:rsidRDefault="00524B07" w:rsidP="00FF2594">
            <w:pPr>
              <w:pStyle w:val="Tabletext"/>
            </w:pPr>
            <w:r w:rsidRPr="00CC2E73">
              <w:t>Pushchino</w:t>
            </w:r>
          </w:p>
        </w:tc>
        <w:tc>
          <w:tcPr>
            <w:tcW w:w="1843" w:type="dxa"/>
            <w:vAlign w:val="center"/>
          </w:tcPr>
          <w:p w14:paraId="371CF006" w14:textId="77777777" w:rsidR="00524B07" w:rsidRPr="00CC2E73" w:rsidRDefault="00524B07" w:rsidP="00FF2594">
            <w:pPr>
              <w:pStyle w:val="Tabletext"/>
              <w:jc w:val="center"/>
            </w:pPr>
            <w:r w:rsidRPr="00CC2E73">
              <w:t>54° 49' 20"</w:t>
            </w:r>
          </w:p>
        </w:tc>
        <w:tc>
          <w:tcPr>
            <w:tcW w:w="1701" w:type="dxa"/>
            <w:vAlign w:val="center"/>
          </w:tcPr>
          <w:p w14:paraId="6C30D86A" w14:textId="6DDEDE43" w:rsidR="00524B07" w:rsidRPr="00CC2E73" w:rsidRDefault="00524B07" w:rsidP="00FF2594">
            <w:pPr>
              <w:pStyle w:val="Tabletext"/>
              <w:jc w:val="center"/>
            </w:pPr>
            <w:r w:rsidRPr="00CC2E73">
              <w:t>37° 37</w:t>
            </w:r>
            <w:r w:rsidR="00C4321E" w:rsidRPr="00CC2E73">
              <w:t>'</w:t>
            </w:r>
            <w:r w:rsidRPr="00CC2E73">
              <w:t xml:space="preserve"> 53"</w:t>
            </w:r>
          </w:p>
        </w:tc>
        <w:tc>
          <w:tcPr>
            <w:tcW w:w="1989" w:type="dxa"/>
            <w:vAlign w:val="center"/>
          </w:tcPr>
          <w:p w14:paraId="28EB4A3A" w14:textId="77777777" w:rsidR="00524B07" w:rsidRPr="00CC2E73" w:rsidRDefault="00524B07" w:rsidP="00FF2594">
            <w:pPr>
              <w:pStyle w:val="Tabletext"/>
              <w:jc w:val="center"/>
            </w:pPr>
            <w:r w:rsidRPr="00CC2E73">
              <w:t>22 m</w:t>
            </w:r>
          </w:p>
        </w:tc>
      </w:tr>
      <w:tr w:rsidR="00524B07" w:rsidRPr="00CC2E73" w14:paraId="50D8ED68" w14:textId="77777777" w:rsidTr="00A45B7B">
        <w:trPr>
          <w:jc w:val="center"/>
        </w:trPr>
        <w:tc>
          <w:tcPr>
            <w:tcW w:w="1555" w:type="dxa"/>
            <w:vMerge/>
            <w:vAlign w:val="center"/>
          </w:tcPr>
          <w:p w14:paraId="2FE103B3" w14:textId="77777777" w:rsidR="00524B07" w:rsidRPr="00CC2E73" w:rsidRDefault="00524B07" w:rsidP="00FF2594">
            <w:pPr>
              <w:pStyle w:val="Tabletext"/>
              <w:rPr>
                <w:highlight w:val="yellow"/>
              </w:rPr>
            </w:pPr>
          </w:p>
        </w:tc>
        <w:tc>
          <w:tcPr>
            <w:tcW w:w="2551" w:type="dxa"/>
          </w:tcPr>
          <w:p w14:paraId="6657AE6F" w14:textId="77777777" w:rsidR="00524B07" w:rsidRPr="00CC2E73" w:rsidRDefault="00524B07" w:rsidP="00FF2594">
            <w:pPr>
              <w:pStyle w:val="Tabletext"/>
            </w:pPr>
            <w:r w:rsidRPr="00CC2E73">
              <w:t>Svetloe</w:t>
            </w:r>
          </w:p>
        </w:tc>
        <w:tc>
          <w:tcPr>
            <w:tcW w:w="1843" w:type="dxa"/>
            <w:vAlign w:val="center"/>
          </w:tcPr>
          <w:p w14:paraId="4CCBD24F" w14:textId="0AAE45CE" w:rsidR="00524B07" w:rsidRPr="00CC2E73" w:rsidRDefault="00524B07" w:rsidP="00FF2594">
            <w:pPr>
              <w:pStyle w:val="Tabletext"/>
              <w:jc w:val="center"/>
            </w:pPr>
            <w:r w:rsidRPr="00CC2E73">
              <w:t>60</w:t>
            </w:r>
            <w:r w:rsidR="00C4321E" w:rsidRPr="00CC2E73">
              <w:t xml:space="preserve">° </w:t>
            </w:r>
            <w:r w:rsidRPr="00CC2E73">
              <w:t>31' 56"</w:t>
            </w:r>
          </w:p>
        </w:tc>
        <w:tc>
          <w:tcPr>
            <w:tcW w:w="1701" w:type="dxa"/>
            <w:vAlign w:val="center"/>
          </w:tcPr>
          <w:p w14:paraId="424FEF73" w14:textId="1F7A0C26" w:rsidR="00524B07" w:rsidRPr="00CC2E73" w:rsidRDefault="00524B07" w:rsidP="00FF2594">
            <w:pPr>
              <w:pStyle w:val="Tabletext"/>
              <w:jc w:val="center"/>
            </w:pPr>
            <w:r w:rsidRPr="00CC2E73">
              <w:t>29</w:t>
            </w:r>
            <w:r w:rsidR="00C4321E" w:rsidRPr="00CC2E73">
              <w:t xml:space="preserve">° </w:t>
            </w:r>
            <w:r w:rsidRPr="00CC2E73">
              <w:t>46' 54"</w:t>
            </w:r>
          </w:p>
        </w:tc>
        <w:tc>
          <w:tcPr>
            <w:tcW w:w="1989" w:type="dxa"/>
            <w:vAlign w:val="center"/>
          </w:tcPr>
          <w:p w14:paraId="0FA1E4F3" w14:textId="77777777" w:rsidR="00524B07" w:rsidRPr="00CC2E73" w:rsidRDefault="00524B07" w:rsidP="00FF2594">
            <w:pPr>
              <w:pStyle w:val="Tabletext"/>
              <w:jc w:val="center"/>
            </w:pPr>
            <w:r w:rsidRPr="00CC2E73">
              <w:t>32 m, 13.2 m</w:t>
            </w:r>
          </w:p>
        </w:tc>
      </w:tr>
      <w:tr w:rsidR="00524B07" w:rsidRPr="00CC2E73" w14:paraId="5803CB01" w14:textId="77777777" w:rsidTr="00A45B7B">
        <w:trPr>
          <w:jc w:val="center"/>
        </w:trPr>
        <w:tc>
          <w:tcPr>
            <w:tcW w:w="1555" w:type="dxa"/>
            <w:vMerge/>
            <w:vAlign w:val="center"/>
          </w:tcPr>
          <w:p w14:paraId="2D18924A" w14:textId="77777777" w:rsidR="00524B07" w:rsidRPr="00CC2E73" w:rsidRDefault="00524B07" w:rsidP="00FF2594">
            <w:pPr>
              <w:pStyle w:val="Tabletext"/>
              <w:rPr>
                <w:highlight w:val="yellow"/>
              </w:rPr>
            </w:pPr>
          </w:p>
        </w:tc>
        <w:tc>
          <w:tcPr>
            <w:tcW w:w="2551" w:type="dxa"/>
          </w:tcPr>
          <w:p w14:paraId="22B0DCC1" w14:textId="77777777" w:rsidR="00524B07" w:rsidRPr="00CC2E73" w:rsidRDefault="00524B07" w:rsidP="00FF2594">
            <w:pPr>
              <w:pStyle w:val="Tabletext"/>
            </w:pPr>
            <w:r w:rsidRPr="00CC2E73">
              <w:t>Zelenchukskaya</w:t>
            </w:r>
          </w:p>
        </w:tc>
        <w:tc>
          <w:tcPr>
            <w:tcW w:w="1843" w:type="dxa"/>
            <w:vAlign w:val="center"/>
          </w:tcPr>
          <w:p w14:paraId="7611909B" w14:textId="77777777" w:rsidR="00524B07" w:rsidRPr="00CC2E73" w:rsidRDefault="00524B07" w:rsidP="00FF2594">
            <w:pPr>
              <w:pStyle w:val="Tabletext"/>
              <w:jc w:val="center"/>
            </w:pPr>
            <w:r w:rsidRPr="00CC2E73">
              <w:t>43° 49' 34"</w:t>
            </w:r>
          </w:p>
        </w:tc>
        <w:tc>
          <w:tcPr>
            <w:tcW w:w="1701" w:type="dxa"/>
            <w:vAlign w:val="center"/>
          </w:tcPr>
          <w:p w14:paraId="1AE588DD" w14:textId="77777777" w:rsidR="00524B07" w:rsidRPr="00CC2E73" w:rsidRDefault="00524B07" w:rsidP="00FF2594">
            <w:pPr>
              <w:pStyle w:val="Tabletext"/>
              <w:jc w:val="center"/>
            </w:pPr>
            <w:r w:rsidRPr="00CC2E73">
              <w:t>41° 35' 12"</w:t>
            </w:r>
          </w:p>
        </w:tc>
        <w:tc>
          <w:tcPr>
            <w:tcW w:w="1989" w:type="dxa"/>
            <w:vAlign w:val="center"/>
          </w:tcPr>
          <w:p w14:paraId="72C0582E" w14:textId="77777777" w:rsidR="00524B07" w:rsidRPr="00CC2E73" w:rsidRDefault="00524B07" w:rsidP="00FF2594">
            <w:pPr>
              <w:pStyle w:val="Tabletext"/>
              <w:jc w:val="center"/>
            </w:pPr>
            <w:r w:rsidRPr="00CC2E73">
              <w:t>32 m, 13.2 m</w:t>
            </w:r>
          </w:p>
        </w:tc>
      </w:tr>
      <w:tr w:rsidR="00524B07" w:rsidRPr="00CC2E73" w14:paraId="3CE4562F" w14:textId="77777777" w:rsidTr="00A45B7B">
        <w:trPr>
          <w:jc w:val="center"/>
        </w:trPr>
        <w:tc>
          <w:tcPr>
            <w:tcW w:w="1555" w:type="dxa"/>
            <w:vMerge w:val="restart"/>
            <w:vAlign w:val="center"/>
          </w:tcPr>
          <w:p w14:paraId="248FCD97" w14:textId="77777777" w:rsidR="00524B07" w:rsidRPr="00CC2E73" w:rsidRDefault="00524B07" w:rsidP="00FF2594">
            <w:pPr>
              <w:pStyle w:val="Tabletext"/>
            </w:pPr>
            <w:r w:rsidRPr="00CC2E73">
              <w:t>South Africa</w:t>
            </w:r>
          </w:p>
        </w:tc>
        <w:tc>
          <w:tcPr>
            <w:tcW w:w="2551" w:type="dxa"/>
          </w:tcPr>
          <w:p w14:paraId="3BCEE6BC" w14:textId="77777777" w:rsidR="00524B07" w:rsidRPr="00CC2E73" w:rsidRDefault="00524B07" w:rsidP="00FF2594">
            <w:pPr>
              <w:pStyle w:val="Tabletext"/>
            </w:pPr>
            <w:r w:rsidRPr="00CC2E73">
              <w:t>Hartebeesthoek</w:t>
            </w:r>
          </w:p>
        </w:tc>
        <w:tc>
          <w:tcPr>
            <w:tcW w:w="1843" w:type="dxa"/>
            <w:vAlign w:val="center"/>
          </w:tcPr>
          <w:p w14:paraId="0B767BB6" w14:textId="5956736F" w:rsidR="00524B07" w:rsidRPr="00CC2E73" w:rsidRDefault="00524B07" w:rsidP="00FF2594">
            <w:pPr>
              <w:pStyle w:val="Tabletext"/>
              <w:jc w:val="center"/>
            </w:pPr>
            <w:r w:rsidRPr="00CC2E73">
              <w:t>–25° 53</w:t>
            </w:r>
            <w:r w:rsidR="00C4321E" w:rsidRPr="00CC2E73">
              <w:t>'</w:t>
            </w:r>
            <w:r w:rsidRPr="00CC2E73">
              <w:t xml:space="preserve"> 22"</w:t>
            </w:r>
          </w:p>
        </w:tc>
        <w:tc>
          <w:tcPr>
            <w:tcW w:w="1701" w:type="dxa"/>
            <w:vAlign w:val="center"/>
          </w:tcPr>
          <w:p w14:paraId="5B74BE8C" w14:textId="23D95BBA" w:rsidR="00524B07" w:rsidRPr="00CC2E73" w:rsidRDefault="00524B07" w:rsidP="00FF2594">
            <w:pPr>
              <w:pStyle w:val="Tabletext"/>
              <w:jc w:val="center"/>
            </w:pPr>
            <w:r w:rsidRPr="00CC2E73">
              <w:t>27° 41</w:t>
            </w:r>
            <w:r w:rsidR="00C4321E" w:rsidRPr="00CC2E73">
              <w:t>'</w:t>
            </w:r>
            <w:r w:rsidRPr="00CC2E73">
              <w:t xml:space="preserve"> 05"</w:t>
            </w:r>
          </w:p>
        </w:tc>
        <w:tc>
          <w:tcPr>
            <w:tcW w:w="1989" w:type="dxa"/>
            <w:vAlign w:val="center"/>
          </w:tcPr>
          <w:p w14:paraId="28BEDB00" w14:textId="589FF1AF" w:rsidR="00524B07" w:rsidRPr="00CC2E73" w:rsidRDefault="00524B07" w:rsidP="00FF2594">
            <w:pPr>
              <w:pStyle w:val="Tabletext"/>
              <w:jc w:val="center"/>
            </w:pPr>
            <w:r w:rsidRPr="00CC2E73">
              <w:t>26 m, 13.2 m</w:t>
            </w:r>
          </w:p>
        </w:tc>
      </w:tr>
      <w:tr w:rsidR="00524B07" w:rsidRPr="00CC2E73" w14:paraId="361A78D3" w14:textId="77777777" w:rsidTr="00A45B7B">
        <w:trPr>
          <w:jc w:val="center"/>
        </w:trPr>
        <w:tc>
          <w:tcPr>
            <w:tcW w:w="1555" w:type="dxa"/>
            <w:vMerge/>
            <w:vAlign w:val="center"/>
          </w:tcPr>
          <w:p w14:paraId="1ECB11FB" w14:textId="77777777" w:rsidR="00524B07" w:rsidRPr="00CC2E73" w:rsidRDefault="00524B07" w:rsidP="00FF2594">
            <w:pPr>
              <w:pStyle w:val="Tabletext"/>
            </w:pPr>
          </w:p>
        </w:tc>
        <w:tc>
          <w:tcPr>
            <w:tcW w:w="2551" w:type="dxa"/>
          </w:tcPr>
          <w:p w14:paraId="6F7D99E8" w14:textId="77777777" w:rsidR="00524B07" w:rsidRPr="00CC2E73" w:rsidRDefault="00524B07" w:rsidP="00FF2594">
            <w:pPr>
              <w:pStyle w:val="Tabletext"/>
            </w:pPr>
            <w:r w:rsidRPr="00CC2E73">
              <w:t>MeerKAT</w:t>
            </w:r>
          </w:p>
        </w:tc>
        <w:tc>
          <w:tcPr>
            <w:tcW w:w="1843" w:type="dxa"/>
            <w:vAlign w:val="center"/>
          </w:tcPr>
          <w:p w14:paraId="40863D50" w14:textId="33121148" w:rsidR="00524B07" w:rsidRPr="00CC2E73" w:rsidRDefault="00524B07" w:rsidP="00FF2594">
            <w:pPr>
              <w:pStyle w:val="Tabletext"/>
              <w:jc w:val="center"/>
            </w:pPr>
            <w:r w:rsidRPr="00CC2E73">
              <w:t xml:space="preserve">–30° </w:t>
            </w:r>
            <w:r w:rsidR="00237B89" w:rsidRPr="00CC2E73">
              <w:t>43</w:t>
            </w:r>
            <w:r w:rsidR="00C4321E" w:rsidRPr="00CC2E73">
              <w:t>'</w:t>
            </w:r>
            <w:r w:rsidRPr="00CC2E73">
              <w:t xml:space="preserve"> 16</w:t>
            </w:r>
            <w:r w:rsidRPr="00CC2E73">
              <w:rPr>
                <w:lang w:eastAsia="zh-CN"/>
              </w:rPr>
              <w:t>"</w:t>
            </w:r>
          </w:p>
        </w:tc>
        <w:tc>
          <w:tcPr>
            <w:tcW w:w="1701" w:type="dxa"/>
            <w:vAlign w:val="center"/>
          </w:tcPr>
          <w:p w14:paraId="78EAEC6B" w14:textId="77777777" w:rsidR="00524B07" w:rsidRPr="00CC2E73" w:rsidRDefault="00524B07" w:rsidP="00FF2594">
            <w:pPr>
              <w:pStyle w:val="Tabletext"/>
              <w:jc w:val="center"/>
            </w:pPr>
            <w:r w:rsidRPr="00CC2E73">
              <w:t>21° 24' 40"</w:t>
            </w:r>
          </w:p>
        </w:tc>
        <w:tc>
          <w:tcPr>
            <w:tcW w:w="1989" w:type="dxa"/>
            <w:vAlign w:val="center"/>
          </w:tcPr>
          <w:p w14:paraId="677CB436" w14:textId="0B07ABBB" w:rsidR="00524B07" w:rsidRPr="00CC2E73" w:rsidRDefault="00524B07" w:rsidP="00FF2594">
            <w:pPr>
              <w:pStyle w:val="Tabletext"/>
              <w:jc w:val="center"/>
            </w:pPr>
            <w:r w:rsidRPr="00CC2E73">
              <w:t>64 × 13.5 m</w:t>
            </w:r>
          </w:p>
        </w:tc>
      </w:tr>
      <w:tr w:rsidR="00524B07" w:rsidRPr="00CC2E73" w14:paraId="69E29985" w14:textId="77777777" w:rsidTr="00A45B7B">
        <w:trPr>
          <w:jc w:val="center"/>
        </w:trPr>
        <w:tc>
          <w:tcPr>
            <w:tcW w:w="1555" w:type="dxa"/>
            <w:vMerge/>
            <w:vAlign w:val="center"/>
          </w:tcPr>
          <w:p w14:paraId="3099FE23" w14:textId="77777777" w:rsidR="00524B07" w:rsidRPr="00CC2E73" w:rsidRDefault="00524B07" w:rsidP="00FF2594">
            <w:pPr>
              <w:pStyle w:val="Tabletext"/>
            </w:pPr>
          </w:p>
        </w:tc>
        <w:tc>
          <w:tcPr>
            <w:tcW w:w="2551" w:type="dxa"/>
          </w:tcPr>
          <w:p w14:paraId="1EB74322" w14:textId="77777777" w:rsidR="00524B07" w:rsidRPr="00CC2E73" w:rsidRDefault="00524B07" w:rsidP="00FF2594">
            <w:pPr>
              <w:pStyle w:val="Tabletext"/>
            </w:pPr>
            <w:r w:rsidRPr="00CC2E73">
              <w:t>SKA1-MID</w:t>
            </w:r>
          </w:p>
        </w:tc>
        <w:tc>
          <w:tcPr>
            <w:tcW w:w="1843" w:type="dxa"/>
            <w:vAlign w:val="center"/>
          </w:tcPr>
          <w:p w14:paraId="77972E97" w14:textId="0BE386C2" w:rsidR="00524B07" w:rsidRPr="00CC2E73" w:rsidRDefault="00524B07" w:rsidP="00FF2594">
            <w:pPr>
              <w:pStyle w:val="Tabletext"/>
              <w:jc w:val="center"/>
            </w:pPr>
            <w:r w:rsidRPr="00CC2E73">
              <w:t>–30° 42</w:t>
            </w:r>
            <w:r w:rsidR="00C4321E" w:rsidRPr="00CC2E73">
              <w:t>'</w:t>
            </w:r>
            <w:r w:rsidRPr="00CC2E73">
              <w:t xml:space="preserve"> 47</w:t>
            </w:r>
            <w:r w:rsidRPr="00CC2E73">
              <w:rPr>
                <w:lang w:eastAsia="zh-CN"/>
              </w:rPr>
              <w:t>"</w:t>
            </w:r>
          </w:p>
        </w:tc>
        <w:tc>
          <w:tcPr>
            <w:tcW w:w="1701" w:type="dxa"/>
            <w:vAlign w:val="center"/>
          </w:tcPr>
          <w:p w14:paraId="7DE33C61" w14:textId="0637C615" w:rsidR="00524B07" w:rsidRPr="00CC2E73" w:rsidRDefault="00524B07" w:rsidP="00FF2594">
            <w:pPr>
              <w:pStyle w:val="Tabletext"/>
              <w:jc w:val="center"/>
            </w:pPr>
            <w:r w:rsidRPr="00CC2E73">
              <w:t>21° 26</w:t>
            </w:r>
            <w:r w:rsidR="00C4321E" w:rsidRPr="00CC2E73">
              <w:t>'</w:t>
            </w:r>
            <w:r w:rsidRPr="00CC2E73">
              <w:t xml:space="preserve"> 38</w:t>
            </w:r>
            <w:r w:rsidRPr="00CC2E73">
              <w:rPr>
                <w:lang w:eastAsia="zh-CN"/>
              </w:rPr>
              <w:t>"</w:t>
            </w:r>
          </w:p>
        </w:tc>
        <w:tc>
          <w:tcPr>
            <w:tcW w:w="1989" w:type="dxa"/>
            <w:vAlign w:val="center"/>
          </w:tcPr>
          <w:p w14:paraId="11905A3D" w14:textId="3E529107" w:rsidR="00524B07" w:rsidRPr="00CC2E73" w:rsidRDefault="00524B07" w:rsidP="00FF2594">
            <w:pPr>
              <w:pStyle w:val="Tabletext"/>
              <w:jc w:val="center"/>
            </w:pPr>
            <w:r w:rsidRPr="00CC2E73">
              <w:t>133</w:t>
            </w:r>
            <w:r w:rsidR="001E435E">
              <w:t xml:space="preserve"> </w:t>
            </w:r>
            <w:r w:rsidRPr="00CC2E73">
              <w:t>×</w:t>
            </w:r>
            <w:r w:rsidR="001E435E">
              <w:t xml:space="preserve"> </w:t>
            </w:r>
            <w:r w:rsidRPr="00CC2E73">
              <w:t>15 m</w:t>
            </w:r>
          </w:p>
        </w:tc>
      </w:tr>
      <w:tr w:rsidR="00524B07" w:rsidRPr="00CC2E73" w14:paraId="65A509E9" w14:textId="77777777" w:rsidTr="00A45B7B">
        <w:trPr>
          <w:jc w:val="center"/>
        </w:trPr>
        <w:tc>
          <w:tcPr>
            <w:tcW w:w="1555" w:type="dxa"/>
            <w:vMerge w:val="restart"/>
            <w:vAlign w:val="center"/>
          </w:tcPr>
          <w:p w14:paraId="35286878" w14:textId="77777777" w:rsidR="00524B07" w:rsidRPr="00CC2E73" w:rsidRDefault="00524B07" w:rsidP="00FF2594">
            <w:pPr>
              <w:pStyle w:val="Tabletext"/>
            </w:pPr>
            <w:r w:rsidRPr="00CC2E73">
              <w:t>Spain</w:t>
            </w:r>
          </w:p>
        </w:tc>
        <w:tc>
          <w:tcPr>
            <w:tcW w:w="2551" w:type="dxa"/>
          </w:tcPr>
          <w:p w14:paraId="6A3CA5AC" w14:textId="77777777" w:rsidR="00524B07" w:rsidRPr="00CC2E73" w:rsidRDefault="00524B07" w:rsidP="00FF2594">
            <w:pPr>
              <w:pStyle w:val="Tabletext"/>
            </w:pPr>
            <w:r w:rsidRPr="00CC2E73">
              <w:t>Gran Canaria</w:t>
            </w:r>
          </w:p>
        </w:tc>
        <w:tc>
          <w:tcPr>
            <w:tcW w:w="1843" w:type="dxa"/>
            <w:vAlign w:val="center"/>
          </w:tcPr>
          <w:p w14:paraId="33ACAEC5" w14:textId="53599CE0" w:rsidR="00524B07" w:rsidRPr="00CC2E73" w:rsidRDefault="00524B07" w:rsidP="00FF2594">
            <w:pPr>
              <w:pStyle w:val="Tabletext"/>
              <w:jc w:val="center"/>
            </w:pPr>
            <w:r w:rsidRPr="00CC2E73">
              <w:t>28</w:t>
            </w:r>
            <w:r w:rsidR="00C4321E" w:rsidRPr="00CC2E73">
              <w:t xml:space="preserve">° </w:t>
            </w:r>
            <w:r w:rsidRPr="00CC2E73">
              <w:t>01</w:t>
            </w:r>
            <w:r w:rsidR="00C4321E" w:rsidRPr="00CC2E73">
              <w:t>'</w:t>
            </w:r>
            <w:r w:rsidRPr="00CC2E73">
              <w:t xml:space="preserve"> 34</w:t>
            </w:r>
            <w:r w:rsidR="00C4321E" w:rsidRPr="00CC2E73">
              <w:t>"</w:t>
            </w:r>
          </w:p>
        </w:tc>
        <w:tc>
          <w:tcPr>
            <w:tcW w:w="1701" w:type="dxa"/>
            <w:vAlign w:val="center"/>
          </w:tcPr>
          <w:p w14:paraId="02B99C01" w14:textId="6912D099" w:rsidR="00524B07" w:rsidRPr="00CC2E73" w:rsidRDefault="00EA6DA8" w:rsidP="00FF2594">
            <w:pPr>
              <w:pStyle w:val="Tabletext"/>
              <w:jc w:val="center"/>
            </w:pPr>
            <w:r>
              <w:t>‒</w:t>
            </w:r>
            <w:r w:rsidR="00524B07" w:rsidRPr="00CC2E73">
              <w:t>15</w:t>
            </w:r>
            <w:r w:rsidR="00C4321E" w:rsidRPr="00CC2E73">
              <w:t xml:space="preserve">° </w:t>
            </w:r>
            <w:r w:rsidR="00524B07" w:rsidRPr="00CC2E73">
              <w:t>40</w:t>
            </w:r>
            <w:r w:rsidR="00C4321E" w:rsidRPr="00CC2E73">
              <w:t>'</w:t>
            </w:r>
            <w:r w:rsidR="00524B07" w:rsidRPr="00CC2E73">
              <w:t xml:space="preserve"> 16</w:t>
            </w:r>
            <w:r w:rsidR="00C4321E" w:rsidRPr="00CC2E73">
              <w:t>"</w:t>
            </w:r>
          </w:p>
        </w:tc>
        <w:tc>
          <w:tcPr>
            <w:tcW w:w="1989" w:type="dxa"/>
            <w:vAlign w:val="center"/>
          </w:tcPr>
          <w:p w14:paraId="25A27D13" w14:textId="77777777" w:rsidR="00524B07" w:rsidRPr="00CC2E73" w:rsidRDefault="00524B07" w:rsidP="00FF2594">
            <w:pPr>
              <w:pStyle w:val="Tabletext"/>
              <w:jc w:val="center"/>
            </w:pPr>
            <w:r w:rsidRPr="00CC2E73">
              <w:t>13.2 m</w:t>
            </w:r>
          </w:p>
        </w:tc>
      </w:tr>
      <w:tr w:rsidR="00524B07" w:rsidRPr="00CC2E73" w14:paraId="64D11F35" w14:textId="77777777" w:rsidTr="00A45B7B">
        <w:trPr>
          <w:jc w:val="center"/>
        </w:trPr>
        <w:tc>
          <w:tcPr>
            <w:tcW w:w="1555" w:type="dxa"/>
            <w:vMerge/>
            <w:vAlign w:val="center"/>
          </w:tcPr>
          <w:p w14:paraId="077A0F7B" w14:textId="77777777" w:rsidR="00524B07" w:rsidRPr="00CC2E73" w:rsidRDefault="00524B07" w:rsidP="00FF2594">
            <w:pPr>
              <w:pStyle w:val="Tabletext"/>
            </w:pPr>
          </w:p>
        </w:tc>
        <w:tc>
          <w:tcPr>
            <w:tcW w:w="2551" w:type="dxa"/>
          </w:tcPr>
          <w:p w14:paraId="70B0A15F" w14:textId="77777777" w:rsidR="00524B07" w:rsidRPr="00CC2E73" w:rsidRDefault="00524B07" w:rsidP="00FF2594">
            <w:pPr>
              <w:pStyle w:val="Tabletext"/>
            </w:pPr>
            <w:r w:rsidRPr="00CC2E73">
              <w:t>Robledo</w:t>
            </w:r>
          </w:p>
        </w:tc>
        <w:tc>
          <w:tcPr>
            <w:tcW w:w="1843" w:type="dxa"/>
            <w:vAlign w:val="center"/>
          </w:tcPr>
          <w:p w14:paraId="432BA27D" w14:textId="77777777" w:rsidR="00524B07" w:rsidRPr="00CC2E73" w:rsidRDefault="00524B07" w:rsidP="00FF2594">
            <w:pPr>
              <w:pStyle w:val="Tabletext"/>
              <w:jc w:val="center"/>
            </w:pPr>
            <w:r w:rsidRPr="00CC2E73">
              <w:t>40° 25' 38"</w:t>
            </w:r>
          </w:p>
        </w:tc>
        <w:tc>
          <w:tcPr>
            <w:tcW w:w="1701" w:type="dxa"/>
            <w:vAlign w:val="center"/>
          </w:tcPr>
          <w:p w14:paraId="7C055B51" w14:textId="77777777" w:rsidR="00524B07" w:rsidRPr="00CC2E73" w:rsidRDefault="00524B07" w:rsidP="00FF2594">
            <w:pPr>
              <w:pStyle w:val="Tabletext"/>
              <w:jc w:val="center"/>
            </w:pPr>
            <w:r w:rsidRPr="00CC2E73">
              <w:t>–04° 14' 57"</w:t>
            </w:r>
          </w:p>
        </w:tc>
        <w:tc>
          <w:tcPr>
            <w:tcW w:w="1989" w:type="dxa"/>
            <w:vAlign w:val="center"/>
          </w:tcPr>
          <w:p w14:paraId="748D1E52" w14:textId="77777777" w:rsidR="00524B07" w:rsidRPr="00CC2E73" w:rsidRDefault="00524B07" w:rsidP="00FF2594">
            <w:pPr>
              <w:pStyle w:val="Tabletext"/>
              <w:jc w:val="center"/>
            </w:pPr>
            <w:r w:rsidRPr="00CC2E73">
              <w:t>70 m, 34 m</w:t>
            </w:r>
          </w:p>
        </w:tc>
      </w:tr>
      <w:tr w:rsidR="00524B07" w:rsidRPr="00CC2E73" w14:paraId="6873385B" w14:textId="77777777" w:rsidTr="00A45B7B">
        <w:trPr>
          <w:jc w:val="center"/>
        </w:trPr>
        <w:tc>
          <w:tcPr>
            <w:tcW w:w="1555" w:type="dxa"/>
            <w:vMerge/>
            <w:vAlign w:val="center"/>
          </w:tcPr>
          <w:p w14:paraId="45A711FD" w14:textId="77777777" w:rsidR="00524B07" w:rsidRPr="00CC2E73" w:rsidRDefault="00524B07" w:rsidP="00FF2594">
            <w:pPr>
              <w:pStyle w:val="Tabletext"/>
            </w:pPr>
          </w:p>
        </w:tc>
        <w:tc>
          <w:tcPr>
            <w:tcW w:w="2551" w:type="dxa"/>
          </w:tcPr>
          <w:p w14:paraId="3569F9AB" w14:textId="77777777" w:rsidR="00524B07" w:rsidRPr="00CC2E73" w:rsidRDefault="00524B07" w:rsidP="00FF2594">
            <w:pPr>
              <w:pStyle w:val="Tabletext"/>
            </w:pPr>
            <w:r w:rsidRPr="00CC2E73">
              <w:t>Tenerife</w:t>
            </w:r>
          </w:p>
        </w:tc>
        <w:tc>
          <w:tcPr>
            <w:tcW w:w="1843" w:type="dxa"/>
            <w:vAlign w:val="center"/>
          </w:tcPr>
          <w:p w14:paraId="3D9BD808" w14:textId="4053E0A7" w:rsidR="00524B07" w:rsidRPr="00CC2E73" w:rsidRDefault="00524B07" w:rsidP="00FF2594">
            <w:pPr>
              <w:pStyle w:val="Tabletext"/>
              <w:jc w:val="center"/>
            </w:pPr>
            <w:r w:rsidRPr="00CC2E73">
              <w:t>28° 18' 00"</w:t>
            </w:r>
          </w:p>
        </w:tc>
        <w:tc>
          <w:tcPr>
            <w:tcW w:w="1701" w:type="dxa"/>
            <w:vAlign w:val="center"/>
          </w:tcPr>
          <w:p w14:paraId="1EBB8C9D" w14:textId="09B11F38" w:rsidR="00524B07" w:rsidRPr="00CC2E73" w:rsidRDefault="00C4321E" w:rsidP="00FF2594">
            <w:pPr>
              <w:pStyle w:val="Tabletext"/>
              <w:jc w:val="center"/>
            </w:pPr>
            <w:r w:rsidRPr="00CC2E73">
              <w:t>–</w:t>
            </w:r>
            <w:r w:rsidR="00524B07" w:rsidRPr="00CC2E73">
              <w:t>16° 30' 35"</w:t>
            </w:r>
          </w:p>
        </w:tc>
        <w:tc>
          <w:tcPr>
            <w:tcW w:w="1989" w:type="dxa"/>
            <w:vAlign w:val="center"/>
          </w:tcPr>
          <w:p w14:paraId="1C0E377B" w14:textId="77777777" w:rsidR="00524B07" w:rsidRPr="00CC2E73" w:rsidRDefault="00524B07" w:rsidP="00FF2594">
            <w:pPr>
              <w:pStyle w:val="Tabletext"/>
              <w:jc w:val="center"/>
            </w:pPr>
            <w:r w:rsidRPr="00CC2E73">
              <w:t>12 m</w:t>
            </w:r>
          </w:p>
        </w:tc>
      </w:tr>
      <w:tr w:rsidR="00524B07" w:rsidRPr="00CC2E73" w14:paraId="3F81690F" w14:textId="77777777" w:rsidTr="00A45B7B">
        <w:trPr>
          <w:jc w:val="center"/>
        </w:trPr>
        <w:tc>
          <w:tcPr>
            <w:tcW w:w="1555" w:type="dxa"/>
            <w:vMerge/>
            <w:vAlign w:val="center"/>
          </w:tcPr>
          <w:p w14:paraId="2745F09F" w14:textId="77777777" w:rsidR="00524B07" w:rsidRPr="00CC2E73" w:rsidRDefault="00524B07" w:rsidP="00FF2594">
            <w:pPr>
              <w:pStyle w:val="Tabletext"/>
            </w:pPr>
          </w:p>
        </w:tc>
        <w:tc>
          <w:tcPr>
            <w:tcW w:w="2551" w:type="dxa"/>
          </w:tcPr>
          <w:p w14:paraId="412CDD60" w14:textId="77777777" w:rsidR="00524B07" w:rsidRPr="00CC2E73" w:rsidRDefault="00524B07" w:rsidP="00FF2594">
            <w:pPr>
              <w:pStyle w:val="Tabletext"/>
            </w:pPr>
            <w:r w:rsidRPr="00CC2E73">
              <w:t>Yebes</w:t>
            </w:r>
          </w:p>
        </w:tc>
        <w:tc>
          <w:tcPr>
            <w:tcW w:w="1843" w:type="dxa"/>
            <w:vAlign w:val="center"/>
          </w:tcPr>
          <w:p w14:paraId="71358F01" w14:textId="77777777" w:rsidR="00524B07" w:rsidRPr="00CC2E73" w:rsidRDefault="00524B07" w:rsidP="00FF2594">
            <w:pPr>
              <w:pStyle w:val="Tabletext"/>
              <w:jc w:val="center"/>
            </w:pPr>
            <w:r w:rsidRPr="00CC2E73">
              <w:t>40° 31' 27"</w:t>
            </w:r>
          </w:p>
        </w:tc>
        <w:tc>
          <w:tcPr>
            <w:tcW w:w="1701" w:type="dxa"/>
            <w:vAlign w:val="center"/>
          </w:tcPr>
          <w:p w14:paraId="2EBBFF1E" w14:textId="270D6C23" w:rsidR="00524B07" w:rsidRPr="00CC2E73" w:rsidRDefault="00524B07" w:rsidP="00FF2594">
            <w:pPr>
              <w:pStyle w:val="Tabletext"/>
              <w:jc w:val="center"/>
              <w:rPr>
                <w:lang w:eastAsia="fr-FR"/>
              </w:rPr>
            </w:pPr>
            <w:r w:rsidRPr="00CC2E73">
              <w:t>–03° 05</w:t>
            </w:r>
            <w:r w:rsidR="00C4321E" w:rsidRPr="00CC2E73">
              <w:t>'</w:t>
            </w:r>
            <w:r w:rsidRPr="00CC2E73">
              <w:t xml:space="preserve"> 13"</w:t>
            </w:r>
          </w:p>
        </w:tc>
        <w:tc>
          <w:tcPr>
            <w:tcW w:w="1989" w:type="dxa"/>
            <w:vAlign w:val="center"/>
          </w:tcPr>
          <w:p w14:paraId="7D36EF25" w14:textId="77777777" w:rsidR="00524B07" w:rsidRPr="00CC2E73" w:rsidRDefault="00524B07" w:rsidP="00FF2594">
            <w:pPr>
              <w:pStyle w:val="Tabletext"/>
              <w:jc w:val="center"/>
            </w:pPr>
            <w:r w:rsidRPr="00CC2E73">
              <w:t>40 m, 13.2 m</w:t>
            </w:r>
          </w:p>
        </w:tc>
      </w:tr>
      <w:tr w:rsidR="00EA678A" w:rsidRPr="00CC2E73" w14:paraId="52D6E363" w14:textId="77777777" w:rsidTr="00A45B7B">
        <w:trPr>
          <w:jc w:val="center"/>
        </w:trPr>
        <w:tc>
          <w:tcPr>
            <w:tcW w:w="1555" w:type="dxa"/>
            <w:vAlign w:val="center"/>
          </w:tcPr>
          <w:p w14:paraId="661B1F09" w14:textId="446C8B9F" w:rsidR="00EA678A" w:rsidRPr="00CC2E73" w:rsidRDefault="00EA678A" w:rsidP="00EA678A">
            <w:pPr>
              <w:pStyle w:val="Tabletext"/>
            </w:pPr>
            <w:r w:rsidRPr="00CC2E73">
              <w:t>Sweden</w:t>
            </w:r>
          </w:p>
        </w:tc>
        <w:tc>
          <w:tcPr>
            <w:tcW w:w="2551" w:type="dxa"/>
            <w:vAlign w:val="center"/>
          </w:tcPr>
          <w:p w14:paraId="39827B5B" w14:textId="13352423" w:rsidR="00EA678A" w:rsidRPr="00CC2E73" w:rsidRDefault="00EA678A" w:rsidP="001C4880">
            <w:pPr>
              <w:pStyle w:val="Tabletext"/>
            </w:pPr>
            <w:r w:rsidRPr="00CC2E73">
              <w:t>Onsala</w:t>
            </w:r>
          </w:p>
        </w:tc>
        <w:tc>
          <w:tcPr>
            <w:tcW w:w="1843" w:type="dxa"/>
            <w:vAlign w:val="center"/>
          </w:tcPr>
          <w:p w14:paraId="5DC318CA" w14:textId="6449699D" w:rsidR="00EA678A" w:rsidRPr="00CC2E73" w:rsidRDefault="00EA678A" w:rsidP="00EA678A">
            <w:pPr>
              <w:pStyle w:val="Tabletext"/>
              <w:jc w:val="center"/>
            </w:pPr>
            <w:r w:rsidRPr="00CC2E73">
              <w:t>57</w:t>
            </w:r>
            <w:r w:rsidR="00C4321E" w:rsidRPr="00CC2E73">
              <w:t xml:space="preserve">° </w:t>
            </w:r>
            <w:r w:rsidRPr="00CC2E73">
              <w:t>23' 45"</w:t>
            </w:r>
          </w:p>
        </w:tc>
        <w:tc>
          <w:tcPr>
            <w:tcW w:w="1701" w:type="dxa"/>
            <w:vAlign w:val="center"/>
          </w:tcPr>
          <w:p w14:paraId="209AE935" w14:textId="63E0E8F2" w:rsidR="00EA678A" w:rsidRPr="00CC2E73" w:rsidRDefault="00EA678A" w:rsidP="00EA678A">
            <w:pPr>
              <w:pStyle w:val="Tabletext"/>
              <w:jc w:val="center"/>
            </w:pPr>
            <w:r w:rsidRPr="00CC2E73">
              <w:t>11</w:t>
            </w:r>
            <w:r w:rsidR="00C4321E" w:rsidRPr="00CC2E73">
              <w:t xml:space="preserve">° </w:t>
            </w:r>
            <w:r w:rsidRPr="00CC2E73">
              <w:t>55' 35"</w:t>
            </w:r>
          </w:p>
        </w:tc>
        <w:tc>
          <w:tcPr>
            <w:tcW w:w="1989" w:type="dxa"/>
            <w:vAlign w:val="center"/>
          </w:tcPr>
          <w:p w14:paraId="71F15857" w14:textId="436F3683" w:rsidR="00EA678A" w:rsidRPr="00CC2E73" w:rsidRDefault="00EA678A" w:rsidP="007B3415">
            <w:pPr>
              <w:pStyle w:val="Tabletext"/>
              <w:jc w:val="center"/>
            </w:pPr>
            <w:r w:rsidRPr="00CC2E73">
              <w:t>20 m, 25 m</w:t>
            </w:r>
            <w:r w:rsidR="007B3415">
              <w:t>,</w:t>
            </w:r>
            <w:r w:rsidR="007B3415">
              <w:br/>
            </w:r>
            <w:r w:rsidRPr="00CC2E73">
              <w:t>2 × 13.2 m</w:t>
            </w:r>
          </w:p>
        </w:tc>
      </w:tr>
      <w:tr w:rsidR="00EA678A" w:rsidRPr="00CC2E73" w14:paraId="51734CDC" w14:textId="77777777" w:rsidTr="00A45B7B">
        <w:trPr>
          <w:jc w:val="center"/>
        </w:trPr>
        <w:tc>
          <w:tcPr>
            <w:tcW w:w="1555" w:type="dxa"/>
            <w:vMerge w:val="restart"/>
            <w:vAlign w:val="center"/>
          </w:tcPr>
          <w:p w14:paraId="14CA7D2D" w14:textId="77777777" w:rsidR="00EA678A" w:rsidRPr="00CC2E73" w:rsidRDefault="00EA678A" w:rsidP="00EA678A">
            <w:pPr>
              <w:pStyle w:val="Tabletext"/>
            </w:pPr>
            <w:r w:rsidRPr="00CC2E73">
              <w:t>Switzerland</w:t>
            </w:r>
          </w:p>
        </w:tc>
        <w:tc>
          <w:tcPr>
            <w:tcW w:w="2551" w:type="dxa"/>
          </w:tcPr>
          <w:p w14:paraId="3730F054" w14:textId="77777777" w:rsidR="00EA678A" w:rsidRPr="00CC2E73" w:rsidRDefault="00EA678A" w:rsidP="00EA678A">
            <w:pPr>
              <w:pStyle w:val="Tabletext"/>
            </w:pPr>
            <w:r w:rsidRPr="00CC2E73">
              <w:t>Bleien</w:t>
            </w:r>
          </w:p>
        </w:tc>
        <w:tc>
          <w:tcPr>
            <w:tcW w:w="1843" w:type="dxa"/>
            <w:vAlign w:val="center"/>
          </w:tcPr>
          <w:p w14:paraId="6B809D35" w14:textId="62FAB01C" w:rsidR="00EA678A" w:rsidRPr="00CC2E73" w:rsidRDefault="00EA678A" w:rsidP="00EA678A">
            <w:pPr>
              <w:pStyle w:val="Tabletext"/>
              <w:jc w:val="center"/>
            </w:pPr>
            <w:r w:rsidRPr="00CC2E73">
              <w:rPr>
                <w:lang w:eastAsia="fr-FR"/>
              </w:rPr>
              <w:t>47</w:t>
            </w:r>
            <w:r w:rsidR="00C4321E" w:rsidRPr="00CC2E73">
              <w:t xml:space="preserve">° </w:t>
            </w:r>
            <w:r w:rsidRPr="00CC2E73">
              <w:rPr>
                <w:lang w:eastAsia="fr-FR"/>
              </w:rPr>
              <w:t>20' 24</w:t>
            </w:r>
            <w:r w:rsidRPr="00CC2E73">
              <w:t>"</w:t>
            </w:r>
          </w:p>
        </w:tc>
        <w:tc>
          <w:tcPr>
            <w:tcW w:w="1701" w:type="dxa"/>
            <w:vAlign w:val="center"/>
          </w:tcPr>
          <w:p w14:paraId="401BDA2A" w14:textId="46345FAD" w:rsidR="00EA678A" w:rsidRPr="00CC2E73" w:rsidRDefault="00EA678A" w:rsidP="00EA678A">
            <w:pPr>
              <w:pStyle w:val="Tabletext"/>
              <w:jc w:val="center"/>
            </w:pPr>
            <w:r w:rsidRPr="00CC2E73">
              <w:t>08</w:t>
            </w:r>
            <w:r w:rsidR="00C4321E" w:rsidRPr="00CC2E73">
              <w:t xml:space="preserve">° </w:t>
            </w:r>
            <w:r w:rsidRPr="00CC2E73">
              <w:t>06' 42"</w:t>
            </w:r>
          </w:p>
        </w:tc>
        <w:tc>
          <w:tcPr>
            <w:tcW w:w="1989" w:type="dxa"/>
            <w:vAlign w:val="center"/>
          </w:tcPr>
          <w:p w14:paraId="078D43EB" w14:textId="77777777" w:rsidR="00EA678A" w:rsidRPr="00CC2E73" w:rsidRDefault="00EA678A" w:rsidP="00EA678A">
            <w:pPr>
              <w:pStyle w:val="Tabletext"/>
              <w:jc w:val="center"/>
            </w:pPr>
            <w:r w:rsidRPr="00CC2E73">
              <w:t>5 m, 7 m</w:t>
            </w:r>
          </w:p>
        </w:tc>
      </w:tr>
      <w:tr w:rsidR="00EA678A" w:rsidRPr="00CC2E73" w14:paraId="143C1D25" w14:textId="77777777" w:rsidTr="00A45B7B">
        <w:trPr>
          <w:jc w:val="center"/>
        </w:trPr>
        <w:tc>
          <w:tcPr>
            <w:tcW w:w="1555" w:type="dxa"/>
            <w:vMerge/>
            <w:vAlign w:val="center"/>
          </w:tcPr>
          <w:p w14:paraId="4F58807E" w14:textId="77777777" w:rsidR="00EA678A" w:rsidRPr="00CC2E73" w:rsidRDefault="00EA678A" w:rsidP="00EA678A">
            <w:pPr>
              <w:pStyle w:val="Tabletext"/>
            </w:pPr>
          </w:p>
        </w:tc>
        <w:tc>
          <w:tcPr>
            <w:tcW w:w="2551" w:type="dxa"/>
          </w:tcPr>
          <w:p w14:paraId="1146432F" w14:textId="77777777" w:rsidR="00EA678A" w:rsidRPr="00CC2E73" w:rsidRDefault="00EA678A" w:rsidP="00EA678A">
            <w:pPr>
              <w:pStyle w:val="Tabletext"/>
            </w:pPr>
            <w:r w:rsidRPr="00CC2E73">
              <w:t>Zurich</w:t>
            </w:r>
          </w:p>
        </w:tc>
        <w:tc>
          <w:tcPr>
            <w:tcW w:w="1843" w:type="dxa"/>
            <w:vAlign w:val="center"/>
          </w:tcPr>
          <w:p w14:paraId="4F8C1AA5" w14:textId="458A3933" w:rsidR="00EA678A" w:rsidRPr="00CC2E73" w:rsidRDefault="00EA678A" w:rsidP="00EA678A">
            <w:pPr>
              <w:pStyle w:val="Tabletext"/>
              <w:jc w:val="center"/>
              <w:rPr>
                <w:lang w:eastAsia="fr-FR"/>
              </w:rPr>
            </w:pPr>
            <w:r w:rsidRPr="00CC2E73">
              <w:rPr>
                <w:lang w:eastAsia="fr-FR"/>
              </w:rPr>
              <w:t>47</w:t>
            </w:r>
            <w:r w:rsidR="00C4321E" w:rsidRPr="00CC2E73">
              <w:t xml:space="preserve">° </w:t>
            </w:r>
            <w:r w:rsidRPr="00CC2E73">
              <w:rPr>
                <w:lang w:eastAsia="fr-FR"/>
              </w:rPr>
              <w:t>22' 40.8</w:t>
            </w:r>
            <w:r w:rsidRPr="00CC2E73">
              <w:t>"</w:t>
            </w:r>
          </w:p>
        </w:tc>
        <w:tc>
          <w:tcPr>
            <w:tcW w:w="1701" w:type="dxa"/>
            <w:vAlign w:val="center"/>
          </w:tcPr>
          <w:p w14:paraId="4CE70B1A" w14:textId="2BB29237" w:rsidR="00EA678A" w:rsidRPr="00CC2E73" w:rsidRDefault="00EA678A" w:rsidP="00EA678A">
            <w:pPr>
              <w:pStyle w:val="Tabletext"/>
              <w:jc w:val="center"/>
            </w:pPr>
            <w:r w:rsidRPr="00CC2E73">
              <w:t>08</w:t>
            </w:r>
            <w:r w:rsidR="00C4321E" w:rsidRPr="00CC2E73">
              <w:t xml:space="preserve">° </w:t>
            </w:r>
            <w:r w:rsidRPr="00CC2E73">
              <w:t>33' 03"</w:t>
            </w:r>
          </w:p>
        </w:tc>
        <w:tc>
          <w:tcPr>
            <w:tcW w:w="1989" w:type="dxa"/>
            <w:vAlign w:val="center"/>
          </w:tcPr>
          <w:p w14:paraId="56A1B225" w14:textId="77777777" w:rsidR="00EA678A" w:rsidRPr="00CC2E73" w:rsidRDefault="00EA678A" w:rsidP="00EA678A">
            <w:pPr>
              <w:pStyle w:val="Tabletext"/>
              <w:jc w:val="center"/>
            </w:pPr>
            <w:r w:rsidRPr="00CC2E73">
              <w:t>5 m</w:t>
            </w:r>
          </w:p>
        </w:tc>
      </w:tr>
      <w:tr w:rsidR="00EA678A" w:rsidRPr="00CC2E73" w14:paraId="3481F9DB" w14:textId="77777777" w:rsidTr="00A45B7B">
        <w:trPr>
          <w:jc w:val="center"/>
        </w:trPr>
        <w:tc>
          <w:tcPr>
            <w:tcW w:w="1555" w:type="dxa"/>
            <w:vAlign w:val="center"/>
          </w:tcPr>
          <w:p w14:paraId="6136D6E7" w14:textId="77777777" w:rsidR="00EA678A" w:rsidRPr="00CC2E73" w:rsidRDefault="00EA678A" w:rsidP="00EA678A">
            <w:pPr>
              <w:pStyle w:val="Tabletext"/>
            </w:pPr>
            <w:r w:rsidRPr="00CC2E73">
              <w:lastRenderedPageBreak/>
              <w:t>Turkey</w:t>
            </w:r>
          </w:p>
        </w:tc>
        <w:tc>
          <w:tcPr>
            <w:tcW w:w="2551" w:type="dxa"/>
          </w:tcPr>
          <w:p w14:paraId="0FDF3A2E" w14:textId="77777777" w:rsidR="00EA678A" w:rsidRPr="00CC2E73" w:rsidRDefault="00EA678A" w:rsidP="00EA678A">
            <w:pPr>
              <w:pStyle w:val="Tabletext"/>
            </w:pPr>
            <w:r w:rsidRPr="00CC2E73">
              <w:t>Kayseri</w:t>
            </w:r>
          </w:p>
        </w:tc>
        <w:tc>
          <w:tcPr>
            <w:tcW w:w="1843" w:type="dxa"/>
            <w:vAlign w:val="center"/>
          </w:tcPr>
          <w:p w14:paraId="01C7BD86" w14:textId="2A9FFFE2" w:rsidR="00EA678A" w:rsidRPr="00CC2E73" w:rsidRDefault="00EA678A" w:rsidP="00EA678A">
            <w:pPr>
              <w:pStyle w:val="Tabletext"/>
              <w:jc w:val="center"/>
            </w:pPr>
            <w:r w:rsidRPr="00CC2E73">
              <w:t>38</w:t>
            </w:r>
            <w:r w:rsidR="00C4321E" w:rsidRPr="00CC2E73">
              <w:t xml:space="preserve">° </w:t>
            </w:r>
            <w:r w:rsidRPr="00CC2E73">
              <w:t>42' 37"</w:t>
            </w:r>
          </w:p>
        </w:tc>
        <w:tc>
          <w:tcPr>
            <w:tcW w:w="1701" w:type="dxa"/>
            <w:vAlign w:val="center"/>
          </w:tcPr>
          <w:p w14:paraId="66BE63BE" w14:textId="4A91FE5E" w:rsidR="00EA678A" w:rsidRPr="00CC2E73" w:rsidRDefault="00EA678A" w:rsidP="00EA678A">
            <w:pPr>
              <w:pStyle w:val="Tabletext"/>
              <w:jc w:val="center"/>
            </w:pPr>
            <w:r w:rsidRPr="00CC2E73">
              <w:t>35</w:t>
            </w:r>
            <w:r w:rsidR="00C4321E" w:rsidRPr="00CC2E73">
              <w:t xml:space="preserve">° </w:t>
            </w:r>
            <w:r w:rsidRPr="00CC2E73">
              <w:t>32' 43"</w:t>
            </w:r>
          </w:p>
        </w:tc>
        <w:tc>
          <w:tcPr>
            <w:tcW w:w="1989" w:type="dxa"/>
            <w:vAlign w:val="center"/>
          </w:tcPr>
          <w:p w14:paraId="3105545B" w14:textId="7730E49B" w:rsidR="00EA678A" w:rsidRPr="00CC2E73" w:rsidRDefault="00EA678A" w:rsidP="00EA678A">
            <w:pPr>
              <w:pStyle w:val="Tabletext"/>
              <w:jc w:val="center"/>
            </w:pPr>
            <w:r w:rsidRPr="00CC2E73">
              <w:t>13 m</w:t>
            </w:r>
          </w:p>
        </w:tc>
      </w:tr>
      <w:tr w:rsidR="00EA678A" w:rsidRPr="00CC2E73" w14:paraId="7E6BC076" w14:textId="77777777" w:rsidTr="00A45B7B">
        <w:trPr>
          <w:jc w:val="center"/>
        </w:trPr>
        <w:tc>
          <w:tcPr>
            <w:tcW w:w="1555" w:type="dxa"/>
            <w:vMerge w:val="restart"/>
            <w:vAlign w:val="center"/>
          </w:tcPr>
          <w:p w14:paraId="795B1561" w14:textId="77777777" w:rsidR="00EA678A" w:rsidRPr="00CC2E73" w:rsidRDefault="00EA678A" w:rsidP="00EA678A">
            <w:pPr>
              <w:pStyle w:val="Tabletext"/>
            </w:pPr>
            <w:r w:rsidRPr="00CC2E73">
              <w:t>UK</w:t>
            </w:r>
          </w:p>
        </w:tc>
        <w:tc>
          <w:tcPr>
            <w:tcW w:w="2551" w:type="dxa"/>
          </w:tcPr>
          <w:p w14:paraId="36502DBD" w14:textId="21B6681A" w:rsidR="00EA678A" w:rsidRPr="00CC2E73" w:rsidRDefault="00EA678A" w:rsidP="00EA678A">
            <w:pPr>
              <w:pStyle w:val="Tabletext"/>
            </w:pPr>
            <w:r w:rsidRPr="00CC2E73">
              <w:t>MERLIN Cambridge</w:t>
            </w:r>
          </w:p>
        </w:tc>
        <w:tc>
          <w:tcPr>
            <w:tcW w:w="1843" w:type="dxa"/>
          </w:tcPr>
          <w:p w14:paraId="3CF77D1C" w14:textId="4EFA3203" w:rsidR="00EA678A" w:rsidRPr="00CC2E73" w:rsidRDefault="00EA678A" w:rsidP="00EA678A">
            <w:pPr>
              <w:pStyle w:val="Tabletext"/>
              <w:jc w:val="center"/>
            </w:pPr>
            <w:r w:rsidRPr="00CC2E73">
              <w:t>52</w:t>
            </w:r>
            <w:r w:rsidR="00C4321E" w:rsidRPr="00CC2E73">
              <w:t xml:space="preserve">° </w:t>
            </w:r>
            <w:r w:rsidRPr="00CC2E73">
              <w:t>10' 01"</w:t>
            </w:r>
          </w:p>
        </w:tc>
        <w:tc>
          <w:tcPr>
            <w:tcW w:w="1701" w:type="dxa"/>
          </w:tcPr>
          <w:p w14:paraId="7D875FA7" w14:textId="21E6ADFC" w:rsidR="00EA678A" w:rsidRPr="00CC2E73" w:rsidRDefault="00EA678A" w:rsidP="00EA678A">
            <w:pPr>
              <w:pStyle w:val="Tabletext"/>
              <w:jc w:val="center"/>
            </w:pPr>
            <w:r w:rsidRPr="00CC2E73">
              <w:t>00° 02' 14"</w:t>
            </w:r>
          </w:p>
        </w:tc>
        <w:tc>
          <w:tcPr>
            <w:tcW w:w="1989" w:type="dxa"/>
          </w:tcPr>
          <w:p w14:paraId="4D6D8A9E" w14:textId="77777777" w:rsidR="00EA678A" w:rsidRPr="00CC2E73" w:rsidRDefault="00EA678A" w:rsidP="00EA678A">
            <w:pPr>
              <w:pStyle w:val="Tabletext"/>
              <w:jc w:val="center"/>
            </w:pPr>
            <w:r w:rsidRPr="00CC2E73">
              <w:t>32 m</w:t>
            </w:r>
          </w:p>
        </w:tc>
      </w:tr>
      <w:tr w:rsidR="00EA678A" w:rsidRPr="00CC2E73" w14:paraId="11A9CF16" w14:textId="77777777" w:rsidTr="00A45B7B">
        <w:trPr>
          <w:jc w:val="center"/>
        </w:trPr>
        <w:tc>
          <w:tcPr>
            <w:tcW w:w="1555" w:type="dxa"/>
            <w:vMerge/>
            <w:vAlign w:val="center"/>
          </w:tcPr>
          <w:p w14:paraId="06C372BF" w14:textId="77777777" w:rsidR="00EA678A" w:rsidRPr="00CC2E73" w:rsidRDefault="00EA678A" w:rsidP="00EA678A">
            <w:pPr>
              <w:pStyle w:val="Tabletext"/>
            </w:pPr>
          </w:p>
        </w:tc>
        <w:tc>
          <w:tcPr>
            <w:tcW w:w="2551" w:type="dxa"/>
          </w:tcPr>
          <w:p w14:paraId="1315B0E1" w14:textId="29AD6F0B" w:rsidR="00EA678A" w:rsidRPr="00CC2E73" w:rsidRDefault="00EA678A" w:rsidP="00EA678A">
            <w:pPr>
              <w:pStyle w:val="Tabletext"/>
            </w:pPr>
            <w:r w:rsidRPr="00CC2E73">
              <w:t>MERLIN Knockin </w:t>
            </w:r>
          </w:p>
        </w:tc>
        <w:tc>
          <w:tcPr>
            <w:tcW w:w="1843" w:type="dxa"/>
          </w:tcPr>
          <w:p w14:paraId="422F50A6" w14:textId="77777777" w:rsidR="00EA678A" w:rsidRPr="00CC2E73" w:rsidRDefault="00EA678A" w:rsidP="00EA678A">
            <w:pPr>
              <w:pStyle w:val="Tabletext"/>
              <w:jc w:val="center"/>
            </w:pPr>
            <w:r w:rsidRPr="00CC2E73">
              <w:t>52° 47' 25"</w:t>
            </w:r>
          </w:p>
        </w:tc>
        <w:tc>
          <w:tcPr>
            <w:tcW w:w="1701" w:type="dxa"/>
          </w:tcPr>
          <w:p w14:paraId="2C35D0E4" w14:textId="77777777" w:rsidR="00EA678A" w:rsidRPr="00CC2E73" w:rsidRDefault="00EA678A" w:rsidP="00EA678A">
            <w:pPr>
              <w:pStyle w:val="Tabletext"/>
              <w:jc w:val="center"/>
            </w:pPr>
            <w:r w:rsidRPr="00CC2E73">
              <w:t>–02° 59' 50"</w:t>
            </w:r>
          </w:p>
        </w:tc>
        <w:tc>
          <w:tcPr>
            <w:tcW w:w="1989" w:type="dxa"/>
          </w:tcPr>
          <w:p w14:paraId="279B737A" w14:textId="77777777" w:rsidR="00EA678A" w:rsidRPr="00CC2E73" w:rsidRDefault="00EA678A" w:rsidP="00EA678A">
            <w:pPr>
              <w:pStyle w:val="Tabletext"/>
              <w:jc w:val="center"/>
            </w:pPr>
            <w:r w:rsidRPr="00CC2E73">
              <w:t>25 m</w:t>
            </w:r>
          </w:p>
        </w:tc>
      </w:tr>
      <w:tr w:rsidR="00EA678A" w:rsidRPr="00CC2E73" w14:paraId="731B72CE" w14:textId="77777777" w:rsidTr="00A45B7B">
        <w:trPr>
          <w:jc w:val="center"/>
        </w:trPr>
        <w:tc>
          <w:tcPr>
            <w:tcW w:w="1555" w:type="dxa"/>
            <w:vMerge/>
            <w:vAlign w:val="center"/>
          </w:tcPr>
          <w:p w14:paraId="3A7A4893" w14:textId="77777777" w:rsidR="00EA678A" w:rsidRPr="00CC2E73" w:rsidRDefault="00EA678A" w:rsidP="00EA678A">
            <w:pPr>
              <w:pStyle w:val="Tabletext"/>
            </w:pPr>
          </w:p>
        </w:tc>
        <w:tc>
          <w:tcPr>
            <w:tcW w:w="2551" w:type="dxa"/>
          </w:tcPr>
          <w:p w14:paraId="003EF11E" w14:textId="7D89D24F" w:rsidR="00EA678A" w:rsidRPr="00CC2E73" w:rsidRDefault="00EA678A" w:rsidP="00EA678A">
            <w:pPr>
              <w:pStyle w:val="Tabletext"/>
            </w:pPr>
            <w:r w:rsidRPr="00CC2E73">
              <w:t>MERLIN Darnhall</w:t>
            </w:r>
          </w:p>
        </w:tc>
        <w:tc>
          <w:tcPr>
            <w:tcW w:w="1843" w:type="dxa"/>
          </w:tcPr>
          <w:p w14:paraId="09B4CAD8" w14:textId="27CD26DD" w:rsidR="00EA678A" w:rsidRPr="00CC2E73" w:rsidRDefault="00EA678A" w:rsidP="00EA678A">
            <w:pPr>
              <w:pStyle w:val="Tabletext"/>
              <w:jc w:val="center"/>
            </w:pPr>
            <w:r w:rsidRPr="00CC2E73">
              <w:t>53° 09</w:t>
            </w:r>
            <w:r w:rsidR="00C4321E" w:rsidRPr="00CC2E73">
              <w:t>'</w:t>
            </w:r>
            <w:r w:rsidRPr="00CC2E73">
              <w:t xml:space="preserve"> 23"</w:t>
            </w:r>
          </w:p>
        </w:tc>
        <w:tc>
          <w:tcPr>
            <w:tcW w:w="1701" w:type="dxa"/>
          </w:tcPr>
          <w:p w14:paraId="77D663C2" w14:textId="77777777" w:rsidR="00EA678A" w:rsidRPr="00CC2E73" w:rsidRDefault="00EA678A" w:rsidP="00EA678A">
            <w:pPr>
              <w:pStyle w:val="Tabletext"/>
              <w:jc w:val="center"/>
            </w:pPr>
            <w:r w:rsidRPr="00CC2E73">
              <w:t>–02° 32' 09"</w:t>
            </w:r>
          </w:p>
        </w:tc>
        <w:tc>
          <w:tcPr>
            <w:tcW w:w="1989" w:type="dxa"/>
          </w:tcPr>
          <w:p w14:paraId="76BE06E5" w14:textId="77777777" w:rsidR="00EA678A" w:rsidRPr="00CC2E73" w:rsidRDefault="00EA678A" w:rsidP="00EA678A">
            <w:pPr>
              <w:pStyle w:val="Tabletext"/>
              <w:jc w:val="center"/>
            </w:pPr>
            <w:r w:rsidRPr="00CC2E73">
              <w:t>25 m</w:t>
            </w:r>
          </w:p>
        </w:tc>
      </w:tr>
      <w:tr w:rsidR="00EA678A" w:rsidRPr="00CC2E73" w14:paraId="7932D9A3" w14:textId="77777777" w:rsidTr="00A45B7B">
        <w:trPr>
          <w:jc w:val="center"/>
        </w:trPr>
        <w:tc>
          <w:tcPr>
            <w:tcW w:w="1555" w:type="dxa"/>
            <w:vMerge/>
            <w:vAlign w:val="center"/>
          </w:tcPr>
          <w:p w14:paraId="7F102D29" w14:textId="77777777" w:rsidR="00EA678A" w:rsidRPr="00CC2E73" w:rsidRDefault="00EA678A" w:rsidP="00EA678A">
            <w:pPr>
              <w:pStyle w:val="Tabletext"/>
            </w:pPr>
          </w:p>
        </w:tc>
        <w:tc>
          <w:tcPr>
            <w:tcW w:w="2551" w:type="dxa"/>
          </w:tcPr>
          <w:p w14:paraId="2AA1867E" w14:textId="1F702FBD" w:rsidR="00EA678A" w:rsidRPr="00CC2E73" w:rsidRDefault="00EA678A" w:rsidP="00EA678A">
            <w:pPr>
              <w:pStyle w:val="Tabletext"/>
            </w:pPr>
            <w:r w:rsidRPr="00CC2E73">
              <w:t xml:space="preserve">MERLIN Jodrell Bank </w:t>
            </w:r>
          </w:p>
        </w:tc>
        <w:tc>
          <w:tcPr>
            <w:tcW w:w="1843" w:type="dxa"/>
          </w:tcPr>
          <w:p w14:paraId="11B14859" w14:textId="17D47684" w:rsidR="00EA678A" w:rsidRPr="00CC2E73" w:rsidRDefault="00EA678A" w:rsidP="00EA678A">
            <w:pPr>
              <w:pStyle w:val="Tabletext"/>
              <w:jc w:val="center"/>
            </w:pPr>
            <w:r w:rsidRPr="00CC2E73">
              <w:t>53° 14</w:t>
            </w:r>
            <w:r w:rsidR="00C4321E" w:rsidRPr="00CC2E73">
              <w:t>'</w:t>
            </w:r>
            <w:r w:rsidRPr="00CC2E73">
              <w:t xml:space="preserve"> 07"</w:t>
            </w:r>
          </w:p>
        </w:tc>
        <w:tc>
          <w:tcPr>
            <w:tcW w:w="1701" w:type="dxa"/>
          </w:tcPr>
          <w:p w14:paraId="59313720" w14:textId="77777777" w:rsidR="00EA678A" w:rsidRPr="00CC2E73" w:rsidRDefault="00EA678A" w:rsidP="00EA678A">
            <w:pPr>
              <w:pStyle w:val="Tabletext"/>
              <w:jc w:val="center"/>
            </w:pPr>
            <w:r w:rsidRPr="00CC2E73">
              <w:t>–02° 18' 23"</w:t>
            </w:r>
          </w:p>
        </w:tc>
        <w:tc>
          <w:tcPr>
            <w:tcW w:w="1989" w:type="dxa"/>
          </w:tcPr>
          <w:p w14:paraId="501CBAB0" w14:textId="2DE4383C" w:rsidR="00EA678A" w:rsidRPr="00CC2E73" w:rsidRDefault="00EA678A" w:rsidP="00EA678A">
            <w:pPr>
              <w:pStyle w:val="Tabletext"/>
              <w:jc w:val="center"/>
            </w:pPr>
            <w:r w:rsidRPr="00CC2E73">
              <w:t>26 m</w:t>
            </w:r>
          </w:p>
        </w:tc>
      </w:tr>
      <w:tr w:rsidR="00EA678A" w:rsidRPr="00CC2E73" w14:paraId="325D52A0" w14:textId="77777777" w:rsidTr="00A45B7B">
        <w:trPr>
          <w:jc w:val="center"/>
        </w:trPr>
        <w:tc>
          <w:tcPr>
            <w:tcW w:w="1555" w:type="dxa"/>
            <w:vMerge/>
            <w:vAlign w:val="center"/>
          </w:tcPr>
          <w:p w14:paraId="2ED42B0A" w14:textId="77777777" w:rsidR="00EA678A" w:rsidRPr="00CC2E73" w:rsidRDefault="00EA678A" w:rsidP="00EA678A">
            <w:pPr>
              <w:pStyle w:val="Tabletext"/>
            </w:pPr>
          </w:p>
        </w:tc>
        <w:tc>
          <w:tcPr>
            <w:tcW w:w="2551" w:type="dxa"/>
          </w:tcPr>
          <w:p w14:paraId="1C83FCF8" w14:textId="274E0FB8" w:rsidR="00EA678A" w:rsidRPr="00CC2E73" w:rsidRDefault="00EA678A" w:rsidP="00EA678A">
            <w:pPr>
              <w:pStyle w:val="Tabletext"/>
            </w:pPr>
            <w:r w:rsidRPr="00CC2E73">
              <w:t>MERLIN Pickmere</w:t>
            </w:r>
          </w:p>
        </w:tc>
        <w:tc>
          <w:tcPr>
            <w:tcW w:w="1843" w:type="dxa"/>
          </w:tcPr>
          <w:p w14:paraId="0E8C83DF" w14:textId="2DE32C7E" w:rsidR="00EA678A" w:rsidRPr="00CC2E73" w:rsidRDefault="00EA678A" w:rsidP="00EA678A">
            <w:pPr>
              <w:pStyle w:val="Tabletext"/>
              <w:jc w:val="center"/>
            </w:pPr>
            <w:r w:rsidRPr="00CC2E73">
              <w:t>53° 17</w:t>
            </w:r>
            <w:r w:rsidR="00C4321E" w:rsidRPr="00CC2E73">
              <w:t>'</w:t>
            </w:r>
            <w:r w:rsidRPr="00CC2E73">
              <w:t xml:space="preserve"> 19"</w:t>
            </w:r>
          </w:p>
        </w:tc>
        <w:tc>
          <w:tcPr>
            <w:tcW w:w="1701" w:type="dxa"/>
          </w:tcPr>
          <w:p w14:paraId="3FABCA51" w14:textId="77777777" w:rsidR="00EA678A" w:rsidRPr="00CC2E73" w:rsidRDefault="00EA678A" w:rsidP="00EA678A">
            <w:pPr>
              <w:pStyle w:val="Tabletext"/>
              <w:jc w:val="center"/>
            </w:pPr>
            <w:r w:rsidRPr="00CC2E73">
              <w:t>–02° 26' 44"</w:t>
            </w:r>
          </w:p>
        </w:tc>
        <w:tc>
          <w:tcPr>
            <w:tcW w:w="1989" w:type="dxa"/>
          </w:tcPr>
          <w:p w14:paraId="3C7D6A21" w14:textId="77777777" w:rsidR="00EA678A" w:rsidRPr="00CC2E73" w:rsidRDefault="00EA678A" w:rsidP="00EA678A">
            <w:pPr>
              <w:pStyle w:val="Tabletext"/>
              <w:jc w:val="center"/>
            </w:pPr>
            <w:r w:rsidRPr="00CC2E73">
              <w:t>25 m</w:t>
            </w:r>
          </w:p>
        </w:tc>
      </w:tr>
      <w:tr w:rsidR="00EA678A" w:rsidRPr="00CC2E73" w14:paraId="688CF69D" w14:textId="77777777" w:rsidTr="00A45B7B">
        <w:trPr>
          <w:jc w:val="center"/>
        </w:trPr>
        <w:tc>
          <w:tcPr>
            <w:tcW w:w="1555" w:type="dxa"/>
            <w:vMerge/>
            <w:vAlign w:val="center"/>
          </w:tcPr>
          <w:p w14:paraId="41378769" w14:textId="77777777" w:rsidR="00EA678A" w:rsidRPr="00CC2E73" w:rsidRDefault="00EA678A" w:rsidP="00EA678A">
            <w:pPr>
              <w:pStyle w:val="Tabletext"/>
            </w:pPr>
          </w:p>
        </w:tc>
        <w:tc>
          <w:tcPr>
            <w:tcW w:w="2551" w:type="dxa"/>
          </w:tcPr>
          <w:p w14:paraId="1F9D6DB8" w14:textId="4ECDB47A" w:rsidR="00EA678A" w:rsidRPr="00CC2E73" w:rsidDel="00774613" w:rsidRDefault="00EA678A" w:rsidP="00A45B7B">
            <w:pPr>
              <w:pStyle w:val="Tabletext"/>
            </w:pPr>
            <w:r w:rsidRPr="00CC2E73">
              <w:t>MERLIN</w:t>
            </w:r>
            <w:r w:rsidR="00A45B7B">
              <w:t xml:space="preserve"> </w:t>
            </w:r>
            <w:r w:rsidRPr="00CC2E73">
              <w:t>Defford</w:t>
            </w:r>
          </w:p>
        </w:tc>
        <w:tc>
          <w:tcPr>
            <w:tcW w:w="1843" w:type="dxa"/>
          </w:tcPr>
          <w:p w14:paraId="7586FC64" w14:textId="5C58716D" w:rsidR="00EA678A" w:rsidRPr="00CC2E73" w:rsidRDefault="00EA678A" w:rsidP="00EA678A">
            <w:pPr>
              <w:pStyle w:val="Tabletext"/>
              <w:jc w:val="center"/>
            </w:pPr>
            <w:r w:rsidRPr="00CC2E73">
              <w:t>52</w:t>
            </w:r>
            <w:r w:rsidR="00C4321E" w:rsidRPr="00CC2E73">
              <w:t xml:space="preserve">° </w:t>
            </w:r>
            <w:r w:rsidRPr="00CC2E73">
              <w:t>06</w:t>
            </w:r>
            <w:r w:rsidR="00C4321E" w:rsidRPr="00CC2E73">
              <w:t>'</w:t>
            </w:r>
            <w:r w:rsidRPr="00CC2E73">
              <w:t xml:space="preserve"> 02</w:t>
            </w:r>
            <w:r w:rsidR="00C4321E" w:rsidRPr="00CC2E73">
              <w:t>"</w:t>
            </w:r>
          </w:p>
        </w:tc>
        <w:tc>
          <w:tcPr>
            <w:tcW w:w="1701" w:type="dxa"/>
          </w:tcPr>
          <w:p w14:paraId="568D6C48" w14:textId="27661EE2" w:rsidR="00EA678A" w:rsidRPr="00CC2E73" w:rsidRDefault="00C4321E" w:rsidP="00EA678A">
            <w:pPr>
              <w:pStyle w:val="Tabletext"/>
              <w:jc w:val="center"/>
            </w:pPr>
            <w:r w:rsidRPr="00CC2E73">
              <w:t>–</w:t>
            </w:r>
            <w:r w:rsidR="00EA678A" w:rsidRPr="00CC2E73">
              <w:t>02</w:t>
            </w:r>
            <w:r w:rsidRPr="00CC2E73">
              <w:t xml:space="preserve">° </w:t>
            </w:r>
            <w:r w:rsidR="00EA678A" w:rsidRPr="00CC2E73">
              <w:t>08</w:t>
            </w:r>
            <w:r w:rsidRPr="00CC2E73">
              <w:t>'</w:t>
            </w:r>
            <w:r w:rsidR="00EA678A" w:rsidRPr="00CC2E73">
              <w:t xml:space="preserve"> 40</w:t>
            </w:r>
            <w:r w:rsidRPr="00CC2E73">
              <w:t>"</w:t>
            </w:r>
          </w:p>
        </w:tc>
        <w:tc>
          <w:tcPr>
            <w:tcW w:w="1989" w:type="dxa"/>
          </w:tcPr>
          <w:p w14:paraId="0A7FEBFD" w14:textId="77777777" w:rsidR="00EA678A" w:rsidRPr="00CC2E73" w:rsidRDefault="00EA678A" w:rsidP="00EA678A">
            <w:pPr>
              <w:pStyle w:val="Tabletext"/>
              <w:jc w:val="center"/>
            </w:pPr>
            <w:r w:rsidRPr="00CC2E73">
              <w:t>25 m</w:t>
            </w:r>
          </w:p>
        </w:tc>
      </w:tr>
    </w:tbl>
    <w:p w14:paraId="02DDDD99" w14:textId="77777777" w:rsidR="00524B07" w:rsidRPr="00CC2E73" w:rsidRDefault="00524B07" w:rsidP="00735651">
      <w:pPr>
        <w:pStyle w:val="Tablefin"/>
      </w:pPr>
    </w:p>
    <w:p w14:paraId="148AF407" w14:textId="77777777" w:rsidR="00524B07" w:rsidRPr="00CC2E73" w:rsidRDefault="00524B07" w:rsidP="001E435E">
      <w:pPr>
        <w:pStyle w:val="Headingb"/>
        <w:rPr>
          <w:rFonts w:eastAsia="Batang"/>
        </w:rPr>
      </w:pPr>
      <w:r w:rsidRPr="00CC2E73">
        <w:rPr>
          <w:rFonts w:eastAsia="Batang"/>
        </w:rPr>
        <w:t xml:space="preserve">List of radio astronomy stations </w:t>
      </w:r>
      <w:r w:rsidRPr="007B3415">
        <w:t>capable</w:t>
      </w:r>
      <w:r w:rsidRPr="00CC2E73">
        <w:rPr>
          <w:rFonts w:eastAsia="Batang"/>
        </w:rPr>
        <w:t xml:space="preserve"> of operating in the band 10.6-10.7 GHz </w:t>
      </w:r>
    </w:p>
    <w:p w14:paraId="31C061ED" w14:textId="77777777" w:rsidR="00524B07" w:rsidRPr="00CC2E73" w:rsidRDefault="00524B07" w:rsidP="009C7987">
      <w:pPr>
        <w:pStyle w:val="Tabletitle"/>
        <w:spacing w:before="240"/>
        <w:rPr>
          <w:lang w:eastAsia="zh-CN"/>
        </w:rPr>
      </w:pPr>
      <w:r w:rsidRPr="00CC2E73">
        <w:t>Region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34"/>
        <w:gridCol w:w="1718"/>
        <w:gridCol w:w="1701"/>
        <w:gridCol w:w="2131"/>
      </w:tblGrid>
      <w:tr w:rsidR="00524B07" w:rsidRPr="00CC2E73" w14:paraId="27D714B0" w14:textId="77777777" w:rsidTr="007B3415">
        <w:trPr>
          <w:tblHeader/>
          <w:jc w:val="center"/>
        </w:trPr>
        <w:tc>
          <w:tcPr>
            <w:tcW w:w="1555" w:type="dxa"/>
            <w:vAlign w:val="center"/>
          </w:tcPr>
          <w:p w14:paraId="3C79801D" w14:textId="77777777" w:rsidR="00524B07" w:rsidRPr="00CC2E73" w:rsidRDefault="00524B07" w:rsidP="00FF2594">
            <w:pPr>
              <w:pStyle w:val="Tablehead"/>
            </w:pPr>
            <w:r w:rsidRPr="00CC2E73">
              <w:t>Country</w:t>
            </w:r>
          </w:p>
        </w:tc>
        <w:tc>
          <w:tcPr>
            <w:tcW w:w="2534" w:type="dxa"/>
          </w:tcPr>
          <w:p w14:paraId="1C34A929" w14:textId="77777777" w:rsidR="00524B07" w:rsidRPr="00CC2E73" w:rsidRDefault="00524B07" w:rsidP="00FF2594">
            <w:pPr>
              <w:pStyle w:val="Tablehead"/>
            </w:pPr>
            <w:r w:rsidRPr="00CC2E73">
              <w:t>Name</w:t>
            </w:r>
          </w:p>
        </w:tc>
        <w:tc>
          <w:tcPr>
            <w:tcW w:w="1718" w:type="dxa"/>
          </w:tcPr>
          <w:p w14:paraId="2B4A4E75" w14:textId="4A6B94EA" w:rsidR="00524B07" w:rsidRPr="00CC2E73" w:rsidRDefault="00524B07" w:rsidP="00FF2594">
            <w:pPr>
              <w:pStyle w:val="Tablehead"/>
            </w:pPr>
            <w:r w:rsidRPr="00CC2E73">
              <w:t xml:space="preserve">N </w:t>
            </w:r>
            <w:r w:rsidR="00237B89" w:rsidRPr="00CC2E73">
              <w:t>latitude</w:t>
            </w:r>
          </w:p>
        </w:tc>
        <w:tc>
          <w:tcPr>
            <w:tcW w:w="1701" w:type="dxa"/>
          </w:tcPr>
          <w:p w14:paraId="5CB099B2" w14:textId="1848B6B5" w:rsidR="00524B07" w:rsidRPr="00CC2E73" w:rsidRDefault="00524B07" w:rsidP="00FF2594">
            <w:pPr>
              <w:pStyle w:val="Tablehead"/>
            </w:pPr>
            <w:r w:rsidRPr="00CC2E73">
              <w:t xml:space="preserve">E </w:t>
            </w:r>
            <w:r w:rsidR="00237B89" w:rsidRPr="00CC2E73">
              <w:t>longitude</w:t>
            </w:r>
          </w:p>
        </w:tc>
        <w:tc>
          <w:tcPr>
            <w:tcW w:w="2131" w:type="dxa"/>
          </w:tcPr>
          <w:p w14:paraId="7E052E88" w14:textId="78BDC8FA" w:rsidR="00524B07" w:rsidRPr="00CC2E73" w:rsidRDefault="00524B07" w:rsidP="00FF2594">
            <w:pPr>
              <w:pStyle w:val="Tablehead"/>
            </w:pPr>
            <w:r w:rsidRPr="00CC2E73">
              <w:t>Antenna size</w:t>
            </w:r>
            <w:r w:rsidRPr="007B3415">
              <w:rPr>
                <w:rStyle w:val="FootnoteReference"/>
                <w:b w:val="0"/>
                <w:bCs/>
              </w:rPr>
              <w:footnoteReference w:id="3"/>
            </w:r>
            <w:r w:rsidRPr="007B3415">
              <w:rPr>
                <w:b w:val="0"/>
                <w:bCs/>
              </w:rPr>
              <w:t xml:space="preserve"> </w:t>
            </w:r>
          </w:p>
        </w:tc>
      </w:tr>
      <w:tr w:rsidR="00524B07" w:rsidRPr="00CC2E73" w14:paraId="0EFDF99A" w14:textId="77777777" w:rsidTr="007B3415">
        <w:trPr>
          <w:jc w:val="center"/>
        </w:trPr>
        <w:tc>
          <w:tcPr>
            <w:tcW w:w="1555" w:type="dxa"/>
            <w:vAlign w:val="center"/>
          </w:tcPr>
          <w:p w14:paraId="01417264" w14:textId="77777777" w:rsidR="00524B07" w:rsidRPr="00CC2E73" w:rsidRDefault="00524B07" w:rsidP="00FF2594">
            <w:pPr>
              <w:pStyle w:val="Tabletext"/>
            </w:pPr>
            <w:r w:rsidRPr="00CC2E73">
              <w:t>Brasil</w:t>
            </w:r>
          </w:p>
        </w:tc>
        <w:tc>
          <w:tcPr>
            <w:tcW w:w="2534" w:type="dxa"/>
          </w:tcPr>
          <w:p w14:paraId="46CE209F" w14:textId="77777777" w:rsidR="00524B07" w:rsidRPr="00CC2E73" w:rsidRDefault="00524B07" w:rsidP="00FF2594">
            <w:pPr>
              <w:pStyle w:val="Tabletext"/>
            </w:pPr>
            <w:r w:rsidRPr="00CC2E73">
              <w:rPr>
                <w:lang w:eastAsia="zh-CN"/>
              </w:rPr>
              <w:t>Itapetinga</w:t>
            </w:r>
          </w:p>
        </w:tc>
        <w:tc>
          <w:tcPr>
            <w:tcW w:w="1718" w:type="dxa"/>
          </w:tcPr>
          <w:p w14:paraId="6CC659BD" w14:textId="77777777" w:rsidR="00524B07" w:rsidRPr="00CC2E73" w:rsidRDefault="00524B07" w:rsidP="00FF2594">
            <w:pPr>
              <w:pStyle w:val="Tabletext"/>
              <w:jc w:val="center"/>
            </w:pPr>
            <w:r w:rsidRPr="00CC2E73">
              <w:rPr>
                <w:lang w:eastAsia="zh-CN"/>
              </w:rPr>
              <w:t>–23° 11</w:t>
            </w:r>
            <w:r w:rsidRPr="00CC2E73">
              <w:t xml:space="preserve">' </w:t>
            </w:r>
            <w:r w:rsidRPr="00CC2E73">
              <w:rPr>
                <w:lang w:eastAsia="zh-CN"/>
              </w:rPr>
              <w:t>05</w:t>
            </w:r>
            <w:r w:rsidRPr="00CC2E73">
              <w:t>"</w:t>
            </w:r>
          </w:p>
        </w:tc>
        <w:tc>
          <w:tcPr>
            <w:tcW w:w="1701" w:type="dxa"/>
          </w:tcPr>
          <w:p w14:paraId="106D9522" w14:textId="77777777" w:rsidR="00524B07" w:rsidRPr="00CC2E73" w:rsidRDefault="00524B07" w:rsidP="00FF2594">
            <w:pPr>
              <w:pStyle w:val="Tabletext"/>
              <w:jc w:val="center"/>
            </w:pPr>
            <w:r w:rsidRPr="00CC2E73">
              <w:rPr>
                <w:lang w:eastAsia="zh-CN"/>
              </w:rPr>
              <w:t>–46° 33</w:t>
            </w:r>
            <w:r w:rsidRPr="00CC2E73">
              <w:t xml:space="preserve">' </w:t>
            </w:r>
            <w:r w:rsidRPr="00CC2E73">
              <w:rPr>
                <w:lang w:eastAsia="zh-CN"/>
              </w:rPr>
              <w:t>28</w:t>
            </w:r>
            <w:r w:rsidRPr="00CC2E73">
              <w:t>"</w:t>
            </w:r>
          </w:p>
        </w:tc>
        <w:tc>
          <w:tcPr>
            <w:tcW w:w="2131" w:type="dxa"/>
          </w:tcPr>
          <w:p w14:paraId="56FEFB5D" w14:textId="77777777" w:rsidR="00524B07" w:rsidRPr="00CC2E73" w:rsidRDefault="00524B07" w:rsidP="00FF2594">
            <w:pPr>
              <w:pStyle w:val="Tabletext"/>
              <w:jc w:val="center"/>
            </w:pPr>
            <w:r w:rsidRPr="00CC2E73">
              <w:t>14 m</w:t>
            </w:r>
          </w:p>
        </w:tc>
      </w:tr>
      <w:tr w:rsidR="00524B07" w:rsidRPr="00CC2E73" w14:paraId="67D011E0" w14:textId="77777777" w:rsidTr="007B3415">
        <w:trPr>
          <w:jc w:val="center"/>
        </w:trPr>
        <w:tc>
          <w:tcPr>
            <w:tcW w:w="1555" w:type="dxa"/>
            <w:vAlign w:val="center"/>
          </w:tcPr>
          <w:p w14:paraId="405D421E" w14:textId="77777777" w:rsidR="00524B07" w:rsidRPr="00CC2E73" w:rsidRDefault="00524B07" w:rsidP="00FF2594">
            <w:pPr>
              <w:pStyle w:val="Tabletext"/>
            </w:pPr>
            <w:r w:rsidRPr="00CC2E73">
              <w:t>Canada</w:t>
            </w:r>
          </w:p>
        </w:tc>
        <w:tc>
          <w:tcPr>
            <w:tcW w:w="2534" w:type="dxa"/>
          </w:tcPr>
          <w:p w14:paraId="54BE4314" w14:textId="77777777" w:rsidR="00524B07" w:rsidRPr="00CC2E73" w:rsidRDefault="00524B07" w:rsidP="00FF2594">
            <w:pPr>
              <w:pStyle w:val="Tabletext"/>
            </w:pPr>
            <w:r w:rsidRPr="00CC2E73">
              <w:t>Algonquin Radio Obsy</w:t>
            </w:r>
          </w:p>
        </w:tc>
        <w:tc>
          <w:tcPr>
            <w:tcW w:w="1718" w:type="dxa"/>
          </w:tcPr>
          <w:p w14:paraId="2220295D" w14:textId="77777777" w:rsidR="00524B07" w:rsidRPr="00CC2E73" w:rsidRDefault="00524B07" w:rsidP="00FF2594">
            <w:pPr>
              <w:pStyle w:val="Tabletext"/>
              <w:jc w:val="center"/>
            </w:pPr>
            <w:r w:rsidRPr="00CC2E73">
              <w:t>45</w:t>
            </w:r>
            <w:r w:rsidRPr="00CC2E73">
              <w:rPr>
                <w:lang w:eastAsia="zh-CN"/>
              </w:rPr>
              <w:t xml:space="preserve">° </w:t>
            </w:r>
            <w:r w:rsidRPr="00CC2E73">
              <w:t>57</w:t>
            </w:r>
            <w:r w:rsidRPr="00CC2E73">
              <w:rPr>
                <w:lang w:eastAsia="zh-CN"/>
              </w:rPr>
              <w:t xml:space="preserve">' </w:t>
            </w:r>
            <w:r w:rsidRPr="00CC2E73">
              <w:t>19</w:t>
            </w:r>
            <w:r w:rsidRPr="00CC2E73">
              <w:rPr>
                <w:lang w:eastAsia="zh-CN"/>
              </w:rPr>
              <w:t>"</w:t>
            </w:r>
          </w:p>
        </w:tc>
        <w:tc>
          <w:tcPr>
            <w:tcW w:w="1701" w:type="dxa"/>
          </w:tcPr>
          <w:p w14:paraId="46DF991F" w14:textId="77777777" w:rsidR="00524B07" w:rsidRPr="00CC2E73" w:rsidRDefault="00524B07" w:rsidP="00FF2594">
            <w:pPr>
              <w:pStyle w:val="Tabletext"/>
              <w:jc w:val="center"/>
            </w:pPr>
            <w:r w:rsidRPr="00CC2E73">
              <w:t>–78</w:t>
            </w:r>
            <w:r w:rsidRPr="00CC2E73">
              <w:rPr>
                <w:lang w:eastAsia="zh-CN"/>
              </w:rPr>
              <w:t xml:space="preserve">° </w:t>
            </w:r>
            <w:r w:rsidRPr="00CC2E73">
              <w:t>04</w:t>
            </w:r>
            <w:r w:rsidRPr="00CC2E73">
              <w:rPr>
                <w:lang w:eastAsia="zh-CN"/>
              </w:rPr>
              <w:t xml:space="preserve">' </w:t>
            </w:r>
            <w:r w:rsidRPr="00CC2E73">
              <w:t>23</w:t>
            </w:r>
            <w:r w:rsidRPr="00CC2E73">
              <w:rPr>
                <w:lang w:eastAsia="zh-CN"/>
              </w:rPr>
              <w:t>"</w:t>
            </w:r>
          </w:p>
        </w:tc>
        <w:tc>
          <w:tcPr>
            <w:tcW w:w="2131" w:type="dxa"/>
          </w:tcPr>
          <w:p w14:paraId="0B0206EB" w14:textId="1B7E21FA" w:rsidR="00524B07" w:rsidRPr="00CC2E73" w:rsidRDefault="00524B07" w:rsidP="00FF2594">
            <w:pPr>
              <w:pStyle w:val="Tabletext"/>
              <w:jc w:val="center"/>
            </w:pPr>
            <w:r w:rsidRPr="00CC2E73">
              <w:t>46 m</w:t>
            </w:r>
          </w:p>
        </w:tc>
      </w:tr>
      <w:tr w:rsidR="00524B07" w:rsidRPr="00CC2E73" w14:paraId="0188F714" w14:textId="77777777" w:rsidTr="007B3415">
        <w:trPr>
          <w:jc w:val="center"/>
        </w:trPr>
        <w:tc>
          <w:tcPr>
            <w:tcW w:w="1555" w:type="dxa"/>
            <w:vAlign w:val="center"/>
          </w:tcPr>
          <w:p w14:paraId="344ABA88" w14:textId="77777777" w:rsidR="00524B07" w:rsidRPr="00CC2E73" w:rsidRDefault="00524B07" w:rsidP="00FF2594">
            <w:pPr>
              <w:pStyle w:val="Tabletext"/>
            </w:pPr>
            <w:r w:rsidRPr="00CC2E73">
              <w:t>Chile</w:t>
            </w:r>
          </w:p>
        </w:tc>
        <w:tc>
          <w:tcPr>
            <w:tcW w:w="2534" w:type="dxa"/>
          </w:tcPr>
          <w:p w14:paraId="31E2CC6C" w14:textId="77777777" w:rsidR="00524B07" w:rsidRPr="00CC2E73" w:rsidRDefault="00524B07" w:rsidP="00FF2594">
            <w:pPr>
              <w:pStyle w:val="Tabletext"/>
            </w:pPr>
            <w:r w:rsidRPr="00CC2E73">
              <w:t>ALMA</w:t>
            </w:r>
          </w:p>
        </w:tc>
        <w:tc>
          <w:tcPr>
            <w:tcW w:w="1718" w:type="dxa"/>
          </w:tcPr>
          <w:p w14:paraId="64C91CFB" w14:textId="624BB3D1" w:rsidR="00524B07" w:rsidRPr="00CC2E73" w:rsidRDefault="00524B07" w:rsidP="00FF2594">
            <w:pPr>
              <w:pStyle w:val="Tabletext"/>
              <w:jc w:val="center"/>
            </w:pPr>
            <w:r w:rsidRPr="00CC2E73">
              <w:t>–23° 01</w:t>
            </w:r>
            <w:r w:rsidR="00C4321E" w:rsidRPr="00CC2E73">
              <w:t>'</w:t>
            </w:r>
            <w:r w:rsidRPr="00CC2E73">
              <w:t xml:space="preserve"> 09</w:t>
            </w:r>
            <w:r w:rsidR="00C4321E" w:rsidRPr="00CC2E73">
              <w:t>"</w:t>
            </w:r>
          </w:p>
        </w:tc>
        <w:tc>
          <w:tcPr>
            <w:tcW w:w="1701" w:type="dxa"/>
          </w:tcPr>
          <w:p w14:paraId="1269A98B" w14:textId="2410CB71" w:rsidR="00524B07" w:rsidRPr="00CC2E73" w:rsidRDefault="00524B07" w:rsidP="00FF2594">
            <w:pPr>
              <w:pStyle w:val="Tabletext"/>
              <w:jc w:val="center"/>
            </w:pPr>
            <w:r w:rsidRPr="00CC2E73">
              <w:t>–67° 45</w:t>
            </w:r>
            <w:r w:rsidR="00C4321E" w:rsidRPr="00CC2E73">
              <w:t>'</w:t>
            </w:r>
            <w:r w:rsidRPr="00CC2E73">
              <w:t xml:space="preserve"> 12</w:t>
            </w:r>
            <w:r w:rsidR="00C4321E" w:rsidRPr="00CC2E73">
              <w:t>"</w:t>
            </w:r>
          </w:p>
        </w:tc>
        <w:tc>
          <w:tcPr>
            <w:tcW w:w="2131" w:type="dxa"/>
          </w:tcPr>
          <w:p w14:paraId="7A9A0399" w14:textId="77777777" w:rsidR="00524B07" w:rsidRPr="00CC2E73" w:rsidRDefault="00524B07" w:rsidP="00FF2594">
            <w:pPr>
              <w:pStyle w:val="Tabletext"/>
              <w:jc w:val="center"/>
            </w:pPr>
            <w:r w:rsidRPr="00CC2E73">
              <w:t>54 × 12 m, 12 × 7 m</w:t>
            </w:r>
          </w:p>
        </w:tc>
      </w:tr>
      <w:tr w:rsidR="00524B07" w:rsidRPr="00CC2E73" w14:paraId="4E9D7293" w14:textId="77777777" w:rsidTr="007B3415">
        <w:trPr>
          <w:jc w:val="center"/>
        </w:trPr>
        <w:tc>
          <w:tcPr>
            <w:tcW w:w="1555" w:type="dxa"/>
            <w:vAlign w:val="center"/>
          </w:tcPr>
          <w:p w14:paraId="7E7B5C5B" w14:textId="77777777" w:rsidR="00524B07" w:rsidRPr="00CC2E73" w:rsidRDefault="00524B07" w:rsidP="00FF2594">
            <w:pPr>
              <w:pStyle w:val="Tabletext"/>
            </w:pPr>
            <w:r w:rsidRPr="00CC2E73">
              <w:t>Mexico</w:t>
            </w:r>
          </w:p>
        </w:tc>
        <w:tc>
          <w:tcPr>
            <w:tcW w:w="2534" w:type="dxa"/>
          </w:tcPr>
          <w:p w14:paraId="5D9301B3" w14:textId="77777777" w:rsidR="00524B07" w:rsidRPr="00CC2E73" w:rsidRDefault="00524B07" w:rsidP="00FF2594">
            <w:pPr>
              <w:pStyle w:val="Tabletext"/>
            </w:pPr>
            <w:r w:rsidRPr="00CC2E73">
              <w:t>INAOE RT5</w:t>
            </w:r>
          </w:p>
        </w:tc>
        <w:tc>
          <w:tcPr>
            <w:tcW w:w="1718" w:type="dxa"/>
          </w:tcPr>
          <w:p w14:paraId="6BB511F5" w14:textId="77777777" w:rsidR="00524B07" w:rsidRPr="00CC2E73" w:rsidRDefault="00524B07" w:rsidP="00FF2594">
            <w:pPr>
              <w:pStyle w:val="Tabletext"/>
              <w:jc w:val="center"/>
            </w:pPr>
            <w:r w:rsidRPr="00CC2E73">
              <w:t>18° 59' 04"</w:t>
            </w:r>
          </w:p>
        </w:tc>
        <w:tc>
          <w:tcPr>
            <w:tcW w:w="1701" w:type="dxa"/>
          </w:tcPr>
          <w:p w14:paraId="1C7ECD5B" w14:textId="77777777" w:rsidR="00524B07" w:rsidRPr="00CC2E73" w:rsidRDefault="00524B07" w:rsidP="00FF2594">
            <w:pPr>
              <w:pStyle w:val="Tabletext"/>
              <w:jc w:val="center"/>
            </w:pPr>
            <w:r w:rsidRPr="00CC2E73">
              <w:t>–97° 18' 32"</w:t>
            </w:r>
          </w:p>
        </w:tc>
        <w:tc>
          <w:tcPr>
            <w:tcW w:w="2131" w:type="dxa"/>
          </w:tcPr>
          <w:p w14:paraId="4798DE85" w14:textId="77777777" w:rsidR="00524B07" w:rsidRPr="00CC2E73" w:rsidRDefault="00524B07" w:rsidP="00FF2594">
            <w:pPr>
              <w:pStyle w:val="Tabletext"/>
              <w:jc w:val="center"/>
            </w:pPr>
            <w:r w:rsidRPr="00CC2E73">
              <w:t>50 m</w:t>
            </w:r>
          </w:p>
        </w:tc>
      </w:tr>
      <w:tr w:rsidR="00524B07" w:rsidRPr="00CC2E73" w14:paraId="3B439344" w14:textId="77777777" w:rsidTr="007B3415">
        <w:trPr>
          <w:jc w:val="center"/>
        </w:trPr>
        <w:tc>
          <w:tcPr>
            <w:tcW w:w="1555" w:type="dxa"/>
            <w:vMerge w:val="restart"/>
            <w:vAlign w:val="center"/>
          </w:tcPr>
          <w:p w14:paraId="09415E94" w14:textId="77777777" w:rsidR="00524B07" w:rsidRPr="00CC2E73" w:rsidRDefault="00524B07" w:rsidP="00FF2594">
            <w:pPr>
              <w:pStyle w:val="Tabletext"/>
            </w:pPr>
            <w:r w:rsidRPr="00CC2E73">
              <w:t>USA</w:t>
            </w:r>
          </w:p>
        </w:tc>
        <w:tc>
          <w:tcPr>
            <w:tcW w:w="2534" w:type="dxa"/>
          </w:tcPr>
          <w:p w14:paraId="2BD5F9D5" w14:textId="77777777" w:rsidR="00524B07" w:rsidRPr="00CC2E73" w:rsidRDefault="00524B07" w:rsidP="00FF2594">
            <w:pPr>
              <w:pStyle w:val="Tabletext"/>
            </w:pPr>
            <w:r w:rsidRPr="00CC2E73">
              <w:t>Allen Telescope Array (ATA), Hat Creek Radio Observatory</w:t>
            </w:r>
          </w:p>
        </w:tc>
        <w:tc>
          <w:tcPr>
            <w:tcW w:w="1718" w:type="dxa"/>
            <w:vAlign w:val="center"/>
          </w:tcPr>
          <w:p w14:paraId="4ADE1E58" w14:textId="77777777" w:rsidR="00524B07" w:rsidRPr="00CC2E73" w:rsidRDefault="00524B07" w:rsidP="007B3415">
            <w:pPr>
              <w:pStyle w:val="Tabletext"/>
              <w:jc w:val="center"/>
              <w:rPr>
                <w:lang w:eastAsia="zh-CN"/>
              </w:rPr>
            </w:pPr>
            <w:r w:rsidRPr="00CC2E73">
              <w:rPr>
                <w:lang w:eastAsia="zh-CN"/>
              </w:rPr>
              <w:t>40° 49' 03"</w:t>
            </w:r>
          </w:p>
        </w:tc>
        <w:tc>
          <w:tcPr>
            <w:tcW w:w="1701" w:type="dxa"/>
            <w:vAlign w:val="center"/>
          </w:tcPr>
          <w:p w14:paraId="463EF820" w14:textId="77777777" w:rsidR="00524B07" w:rsidRPr="00CC2E73" w:rsidRDefault="00524B07" w:rsidP="007B3415">
            <w:pPr>
              <w:pStyle w:val="Tabletext"/>
              <w:jc w:val="center"/>
              <w:rPr>
                <w:lang w:eastAsia="zh-CN"/>
              </w:rPr>
            </w:pPr>
            <w:r w:rsidRPr="00CC2E73">
              <w:rPr>
                <w:lang w:eastAsia="zh-CN"/>
              </w:rPr>
              <w:t>–121° 28' 24"</w:t>
            </w:r>
          </w:p>
        </w:tc>
        <w:tc>
          <w:tcPr>
            <w:tcW w:w="2131" w:type="dxa"/>
            <w:vAlign w:val="center"/>
          </w:tcPr>
          <w:p w14:paraId="78C1BB83" w14:textId="77777777" w:rsidR="00524B07" w:rsidRPr="00CC2E73" w:rsidRDefault="00524B07" w:rsidP="007B3415">
            <w:pPr>
              <w:pStyle w:val="Tabletext"/>
              <w:jc w:val="center"/>
            </w:pPr>
            <w:r w:rsidRPr="00CC2E73">
              <w:t>42 × 6 m</w:t>
            </w:r>
          </w:p>
        </w:tc>
      </w:tr>
      <w:tr w:rsidR="00524B07" w:rsidRPr="00CC2E73" w14:paraId="247B4B0F" w14:textId="77777777" w:rsidTr="007B3415">
        <w:trPr>
          <w:jc w:val="center"/>
        </w:trPr>
        <w:tc>
          <w:tcPr>
            <w:tcW w:w="1555" w:type="dxa"/>
            <w:vMerge/>
            <w:vAlign w:val="center"/>
          </w:tcPr>
          <w:p w14:paraId="2A756927" w14:textId="77777777" w:rsidR="00524B07" w:rsidRPr="00CC2E73" w:rsidRDefault="00524B07" w:rsidP="00FF2594">
            <w:pPr>
              <w:pStyle w:val="Tabletext"/>
            </w:pPr>
          </w:p>
        </w:tc>
        <w:tc>
          <w:tcPr>
            <w:tcW w:w="2534" w:type="dxa"/>
          </w:tcPr>
          <w:p w14:paraId="754FC1A6" w14:textId="77777777" w:rsidR="00524B07" w:rsidRPr="00CC2E73" w:rsidRDefault="00524B07" w:rsidP="00FF2594">
            <w:pPr>
              <w:pStyle w:val="Tabletext"/>
            </w:pPr>
            <w:r w:rsidRPr="00CC2E73">
              <w:t>Arecibo</w:t>
            </w:r>
          </w:p>
        </w:tc>
        <w:tc>
          <w:tcPr>
            <w:tcW w:w="1718" w:type="dxa"/>
            <w:vAlign w:val="center"/>
          </w:tcPr>
          <w:p w14:paraId="0FC4FE42" w14:textId="77777777" w:rsidR="00524B07" w:rsidRPr="00CC2E73" w:rsidRDefault="00524B07" w:rsidP="007B3415">
            <w:pPr>
              <w:pStyle w:val="Tabletext"/>
              <w:jc w:val="center"/>
            </w:pPr>
            <w:r w:rsidRPr="00CC2E73">
              <w:rPr>
                <w:lang w:eastAsia="zh-CN"/>
              </w:rPr>
              <w:t>18° 20' 39"</w:t>
            </w:r>
          </w:p>
        </w:tc>
        <w:tc>
          <w:tcPr>
            <w:tcW w:w="1701" w:type="dxa"/>
            <w:vAlign w:val="center"/>
          </w:tcPr>
          <w:p w14:paraId="135AF4AF" w14:textId="77777777" w:rsidR="00524B07" w:rsidRPr="00CC2E73" w:rsidRDefault="00524B07" w:rsidP="007B3415">
            <w:pPr>
              <w:pStyle w:val="Tabletext"/>
              <w:jc w:val="center"/>
            </w:pPr>
            <w:r w:rsidRPr="00CC2E73">
              <w:rPr>
                <w:lang w:eastAsia="zh-CN"/>
              </w:rPr>
              <w:t>–66° 45' 10"</w:t>
            </w:r>
          </w:p>
        </w:tc>
        <w:tc>
          <w:tcPr>
            <w:tcW w:w="2131" w:type="dxa"/>
            <w:vAlign w:val="center"/>
          </w:tcPr>
          <w:p w14:paraId="236994B9" w14:textId="77777777" w:rsidR="00524B07" w:rsidRPr="00CC2E73" w:rsidRDefault="00524B07" w:rsidP="007B3415">
            <w:pPr>
              <w:pStyle w:val="Tabletext"/>
              <w:jc w:val="center"/>
            </w:pPr>
            <w:r w:rsidRPr="00CC2E73">
              <w:t>305 m</w:t>
            </w:r>
          </w:p>
        </w:tc>
      </w:tr>
      <w:tr w:rsidR="00524B07" w:rsidRPr="00CC2E73" w14:paraId="4EDC2FDB" w14:textId="77777777" w:rsidTr="007B3415">
        <w:trPr>
          <w:jc w:val="center"/>
        </w:trPr>
        <w:tc>
          <w:tcPr>
            <w:tcW w:w="1555" w:type="dxa"/>
            <w:vMerge/>
            <w:vAlign w:val="center"/>
          </w:tcPr>
          <w:p w14:paraId="28FB4DBA" w14:textId="77777777" w:rsidR="00524B07" w:rsidRPr="00CC2E73" w:rsidRDefault="00524B07" w:rsidP="00FF2594">
            <w:pPr>
              <w:pStyle w:val="Tabletext"/>
            </w:pPr>
          </w:p>
        </w:tc>
        <w:tc>
          <w:tcPr>
            <w:tcW w:w="2534" w:type="dxa"/>
          </w:tcPr>
          <w:p w14:paraId="4BE192CA" w14:textId="50EA22A6" w:rsidR="00524B07" w:rsidRPr="00CC2E73" w:rsidRDefault="00524B07" w:rsidP="00FF2594">
            <w:pPr>
              <w:pStyle w:val="Tabletext"/>
            </w:pPr>
            <w:r w:rsidRPr="00CC2E73">
              <w:t>Goddard Geophysical and Astronomic Observatory (GGAO)</w:t>
            </w:r>
          </w:p>
        </w:tc>
        <w:tc>
          <w:tcPr>
            <w:tcW w:w="1718" w:type="dxa"/>
            <w:vAlign w:val="center"/>
          </w:tcPr>
          <w:p w14:paraId="27C92E65" w14:textId="5556DE53" w:rsidR="00524B07" w:rsidRPr="00CC2E73" w:rsidRDefault="00524B07" w:rsidP="007B3415">
            <w:pPr>
              <w:pStyle w:val="Tabletext"/>
              <w:jc w:val="center"/>
              <w:rPr>
                <w:lang w:eastAsia="zh-CN"/>
              </w:rPr>
            </w:pPr>
            <w:r w:rsidRPr="00CC2E73">
              <w:rPr>
                <w:lang w:eastAsia="zh-CN"/>
              </w:rPr>
              <w:t>39° 01' 19"</w:t>
            </w:r>
          </w:p>
        </w:tc>
        <w:tc>
          <w:tcPr>
            <w:tcW w:w="1701" w:type="dxa"/>
            <w:vAlign w:val="center"/>
          </w:tcPr>
          <w:p w14:paraId="6C059874" w14:textId="79D9CEDD" w:rsidR="00524B07" w:rsidRPr="00CC2E73" w:rsidRDefault="00524B07" w:rsidP="007B3415">
            <w:pPr>
              <w:pStyle w:val="Tabletext"/>
              <w:jc w:val="center"/>
              <w:rPr>
                <w:lang w:eastAsia="zh-CN"/>
              </w:rPr>
            </w:pPr>
            <w:r w:rsidRPr="00CC2E73">
              <w:rPr>
                <w:lang w:eastAsia="zh-CN"/>
              </w:rPr>
              <w:t>–76° 49' 37"</w:t>
            </w:r>
          </w:p>
        </w:tc>
        <w:tc>
          <w:tcPr>
            <w:tcW w:w="2131" w:type="dxa"/>
            <w:vAlign w:val="center"/>
          </w:tcPr>
          <w:p w14:paraId="2DB68A16" w14:textId="77777777" w:rsidR="00524B07" w:rsidRPr="00CC2E73" w:rsidRDefault="00524B07" w:rsidP="007B3415">
            <w:pPr>
              <w:pStyle w:val="Tabletext"/>
              <w:jc w:val="center"/>
            </w:pPr>
            <w:r w:rsidRPr="00CC2E73">
              <w:t>12 m</w:t>
            </w:r>
          </w:p>
        </w:tc>
      </w:tr>
      <w:tr w:rsidR="00524B07" w:rsidRPr="00CC2E73" w14:paraId="10B83AD3" w14:textId="77777777" w:rsidTr="007B3415">
        <w:trPr>
          <w:jc w:val="center"/>
        </w:trPr>
        <w:tc>
          <w:tcPr>
            <w:tcW w:w="1555" w:type="dxa"/>
            <w:vMerge/>
            <w:vAlign w:val="center"/>
          </w:tcPr>
          <w:p w14:paraId="7024B16F" w14:textId="77777777" w:rsidR="00524B07" w:rsidRPr="00CC2E73" w:rsidRDefault="00524B07" w:rsidP="00FF2594">
            <w:pPr>
              <w:pStyle w:val="Tabletext"/>
            </w:pPr>
          </w:p>
        </w:tc>
        <w:tc>
          <w:tcPr>
            <w:tcW w:w="2534" w:type="dxa"/>
          </w:tcPr>
          <w:p w14:paraId="4AB7D719" w14:textId="77777777" w:rsidR="00524B07" w:rsidRPr="00CC2E73" w:rsidRDefault="00524B07" w:rsidP="00FF2594">
            <w:pPr>
              <w:pStyle w:val="Tabletext"/>
            </w:pPr>
            <w:r w:rsidRPr="00CC2E73">
              <w:rPr>
                <w:lang w:eastAsia="zh-CN"/>
              </w:rPr>
              <w:t>Goldstone Deep Space Communications Complex (GDSCC)</w:t>
            </w:r>
          </w:p>
        </w:tc>
        <w:tc>
          <w:tcPr>
            <w:tcW w:w="1718" w:type="dxa"/>
            <w:vAlign w:val="center"/>
          </w:tcPr>
          <w:p w14:paraId="09C3C9F4" w14:textId="77777777" w:rsidR="00524B07" w:rsidRPr="00CC2E73" w:rsidRDefault="00524B07" w:rsidP="007B3415">
            <w:pPr>
              <w:pStyle w:val="Tabletext"/>
              <w:jc w:val="center"/>
              <w:rPr>
                <w:lang w:eastAsia="zh-CN"/>
              </w:rPr>
            </w:pPr>
            <w:r w:rsidRPr="00CC2E73">
              <w:rPr>
                <w:lang w:eastAsia="zh-CN"/>
              </w:rPr>
              <w:t>35° 25' 33"</w:t>
            </w:r>
          </w:p>
        </w:tc>
        <w:tc>
          <w:tcPr>
            <w:tcW w:w="1701" w:type="dxa"/>
            <w:vAlign w:val="center"/>
          </w:tcPr>
          <w:p w14:paraId="37275063" w14:textId="77777777" w:rsidR="00524B07" w:rsidRPr="00CC2E73" w:rsidRDefault="00524B07" w:rsidP="007B3415">
            <w:pPr>
              <w:pStyle w:val="Tabletext"/>
              <w:jc w:val="center"/>
              <w:rPr>
                <w:lang w:eastAsia="zh-CN"/>
              </w:rPr>
            </w:pPr>
            <w:r w:rsidRPr="00CC2E73">
              <w:rPr>
                <w:lang w:eastAsia="zh-CN"/>
              </w:rPr>
              <w:t>–116° 53' 22"</w:t>
            </w:r>
          </w:p>
        </w:tc>
        <w:tc>
          <w:tcPr>
            <w:tcW w:w="2131" w:type="dxa"/>
            <w:vAlign w:val="center"/>
          </w:tcPr>
          <w:p w14:paraId="7A43A906" w14:textId="77777777" w:rsidR="00524B07" w:rsidRPr="00CC2E73" w:rsidRDefault="00524B07" w:rsidP="007B3415">
            <w:pPr>
              <w:pStyle w:val="Tabletext"/>
              <w:jc w:val="center"/>
            </w:pPr>
            <w:r w:rsidRPr="00CC2E73">
              <w:t>70.3 m</w:t>
            </w:r>
          </w:p>
        </w:tc>
      </w:tr>
      <w:tr w:rsidR="00524B07" w:rsidRPr="00CC2E73" w14:paraId="0B251263" w14:textId="77777777" w:rsidTr="007B3415">
        <w:trPr>
          <w:jc w:val="center"/>
        </w:trPr>
        <w:tc>
          <w:tcPr>
            <w:tcW w:w="1555" w:type="dxa"/>
            <w:vMerge/>
            <w:vAlign w:val="center"/>
          </w:tcPr>
          <w:p w14:paraId="06B57D02" w14:textId="77777777" w:rsidR="00524B07" w:rsidRPr="00CC2E73" w:rsidRDefault="00524B07" w:rsidP="00FF2594">
            <w:pPr>
              <w:pStyle w:val="Tabletext"/>
            </w:pPr>
          </w:p>
        </w:tc>
        <w:tc>
          <w:tcPr>
            <w:tcW w:w="2534" w:type="dxa"/>
          </w:tcPr>
          <w:p w14:paraId="7B896CB8" w14:textId="33E1F22B" w:rsidR="00524B07" w:rsidRPr="00CC2E73" w:rsidRDefault="00524B07" w:rsidP="00FF2594">
            <w:pPr>
              <w:pStyle w:val="Tabletext"/>
            </w:pPr>
            <w:r w:rsidRPr="00CC2E73">
              <w:t>Robert C. Byrd Telescope, Green Bank Observatory</w:t>
            </w:r>
          </w:p>
        </w:tc>
        <w:tc>
          <w:tcPr>
            <w:tcW w:w="1718" w:type="dxa"/>
            <w:vAlign w:val="center"/>
          </w:tcPr>
          <w:p w14:paraId="621CDB7B" w14:textId="77777777" w:rsidR="00524B07" w:rsidRPr="00CC2E73" w:rsidRDefault="00524B07" w:rsidP="007B3415">
            <w:pPr>
              <w:pStyle w:val="Tabletext"/>
              <w:jc w:val="center"/>
            </w:pPr>
            <w:r w:rsidRPr="00CC2E73">
              <w:rPr>
                <w:lang w:eastAsia="zh-CN"/>
              </w:rPr>
              <w:t>38° 25' 59"</w:t>
            </w:r>
          </w:p>
        </w:tc>
        <w:tc>
          <w:tcPr>
            <w:tcW w:w="1701" w:type="dxa"/>
            <w:vAlign w:val="center"/>
          </w:tcPr>
          <w:p w14:paraId="081CFBA4" w14:textId="77777777" w:rsidR="00524B07" w:rsidRPr="00CC2E73" w:rsidRDefault="00524B07" w:rsidP="007B3415">
            <w:pPr>
              <w:pStyle w:val="Tabletext"/>
              <w:jc w:val="center"/>
            </w:pPr>
            <w:r w:rsidRPr="00CC2E73">
              <w:rPr>
                <w:lang w:eastAsia="zh-CN"/>
              </w:rPr>
              <w:t>–79° 50' 23"</w:t>
            </w:r>
          </w:p>
        </w:tc>
        <w:tc>
          <w:tcPr>
            <w:tcW w:w="2131" w:type="dxa"/>
            <w:vAlign w:val="center"/>
          </w:tcPr>
          <w:p w14:paraId="5AEE8304" w14:textId="77777777" w:rsidR="00524B07" w:rsidRPr="00CC2E73" w:rsidRDefault="00524B07" w:rsidP="007B3415">
            <w:pPr>
              <w:pStyle w:val="Tabletext"/>
              <w:jc w:val="center"/>
            </w:pPr>
            <w:r w:rsidRPr="00CC2E73">
              <w:t>100 m</w:t>
            </w:r>
          </w:p>
        </w:tc>
      </w:tr>
      <w:tr w:rsidR="00524B07" w:rsidRPr="00CC2E73" w14:paraId="64860A40" w14:textId="77777777" w:rsidTr="007B3415">
        <w:trPr>
          <w:jc w:val="center"/>
        </w:trPr>
        <w:tc>
          <w:tcPr>
            <w:tcW w:w="1555" w:type="dxa"/>
            <w:vMerge/>
            <w:vAlign w:val="center"/>
          </w:tcPr>
          <w:p w14:paraId="283F22F4" w14:textId="77777777" w:rsidR="00524B07" w:rsidRPr="00CC2E73" w:rsidRDefault="00524B07" w:rsidP="00FF2594">
            <w:pPr>
              <w:pStyle w:val="Tabletext"/>
            </w:pPr>
          </w:p>
        </w:tc>
        <w:tc>
          <w:tcPr>
            <w:tcW w:w="2534" w:type="dxa"/>
          </w:tcPr>
          <w:p w14:paraId="192CACF4" w14:textId="7E1420A0" w:rsidR="00524B07" w:rsidRPr="00CC2E73" w:rsidRDefault="00524B07" w:rsidP="00FF2594">
            <w:pPr>
              <w:pStyle w:val="Tabletext"/>
              <w:rPr>
                <w:lang w:eastAsia="zh-CN"/>
              </w:rPr>
            </w:pPr>
            <w:r w:rsidRPr="00CC2E73">
              <w:rPr>
                <w:lang w:eastAsia="zh-CN"/>
              </w:rPr>
              <w:t>Westford Radio Telescope, Haystack Observatory</w:t>
            </w:r>
          </w:p>
        </w:tc>
        <w:tc>
          <w:tcPr>
            <w:tcW w:w="1718" w:type="dxa"/>
            <w:vAlign w:val="center"/>
          </w:tcPr>
          <w:p w14:paraId="61F3DCF6" w14:textId="6534A57D" w:rsidR="00524B07" w:rsidRPr="00CC2E73" w:rsidRDefault="00524B07" w:rsidP="007B3415">
            <w:pPr>
              <w:pStyle w:val="Tabletext"/>
              <w:jc w:val="center"/>
            </w:pPr>
            <w:r w:rsidRPr="00CC2E73">
              <w:t>42° 36' 47"</w:t>
            </w:r>
          </w:p>
        </w:tc>
        <w:tc>
          <w:tcPr>
            <w:tcW w:w="1701" w:type="dxa"/>
            <w:vAlign w:val="center"/>
          </w:tcPr>
          <w:p w14:paraId="6370BEC7" w14:textId="19B95E8A" w:rsidR="00524B07" w:rsidRPr="00CC2E73" w:rsidRDefault="00524B07" w:rsidP="007B3415">
            <w:pPr>
              <w:pStyle w:val="Tabletext"/>
              <w:jc w:val="center"/>
            </w:pPr>
            <w:r w:rsidRPr="00CC2E73">
              <w:rPr>
                <w:lang w:eastAsia="zh-CN"/>
              </w:rPr>
              <w:t>–71</w:t>
            </w:r>
            <w:r w:rsidRPr="00CC2E73">
              <w:t>° 29' 38"</w:t>
            </w:r>
          </w:p>
        </w:tc>
        <w:tc>
          <w:tcPr>
            <w:tcW w:w="2131" w:type="dxa"/>
            <w:vAlign w:val="center"/>
          </w:tcPr>
          <w:p w14:paraId="7753CA55" w14:textId="77777777" w:rsidR="00524B07" w:rsidRPr="00CC2E73" w:rsidRDefault="00524B07" w:rsidP="007B3415">
            <w:pPr>
              <w:pStyle w:val="Tabletext"/>
              <w:jc w:val="center"/>
            </w:pPr>
            <w:r w:rsidRPr="00CC2E73">
              <w:t>18.3 m</w:t>
            </w:r>
          </w:p>
        </w:tc>
      </w:tr>
      <w:tr w:rsidR="00524B07" w:rsidRPr="00CC2E73" w14:paraId="77F3B943" w14:textId="77777777" w:rsidTr="007B3415">
        <w:trPr>
          <w:jc w:val="center"/>
        </w:trPr>
        <w:tc>
          <w:tcPr>
            <w:tcW w:w="1555" w:type="dxa"/>
            <w:vMerge/>
            <w:vAlign w:val="center"/>
          </w:tcPr>
          <w:p w14:paraId="05441E55" w14:textId="77777777" w:rsidR="00524B07" w:rsidRPr="00CC2E73" w:rsidRDefault="00524B07" w:rsidP="00FF2594">
            <w:pPr>
              <w:pStyle w:val="Tabletext"/>
            </w:pPr>
          </w:p>
        </w:tc>
        <w:tc>
          <w:tcPr>
            <w:tcW w:w="2534" w:type="dxa"/>
          </w:tcPr>
          <w:p w14:paraId="214C57A1" w14:textId="46617E61" w:rsidR="00524B07" w:rsidRPr="00CC2E73" w:rsidRDefault="00524B07" w:rsidP="00FF2594">
            <w:pPr>
              <w:pStyle w:val="Tabletext"/>
              <w:rPr>
                <w:lang w:eastAsia="zh-CN"/>
              </w:rPr>
            </w:pPr>
            <w:r w:rsidRPr="00CC2E73">
              <w:rPr>
                <w:lang w:eastAsia="zh-CN"/>
              </w:rPr>
              <w:t>K</w:t>
            </w:r>
            <w:r w:rsidRPr="00CC2E73">
              <w:rPr>
                <w:color w:val="2E2E2E"/>
              </w:rPr>
              <w:t>ōkeʻe Park Geophysical Observatory (KPGO)</w:t>
            </w:r>
          </w:p>
        </w:tc>
        <w:tc>
          <w:tcPr>
            <w:tcW w:w="1718" w:type="dxa"/>
            <w:vAlign w:val="center"/>
          </w:tcPr>
          <w:p w14:paraId="08CA9089" w14:textId="6E22D952" w:rsidR="00524B07" w:rsidRPr="00CC2E73" w:rsidRDefault="00524B07" w:rsidP="007B3415">
            <w:pPr>
              <w:pStyle w:val="Tabletext"/>
              <w:jc w:val="center"/>
            </w:pPr>
            <w:r w:rsidRPr="00CC2E73">
              <w:t xml:space="preserve">22° </w:t>
            </w:r>
            <w:r w:rsidR="00237B89" w:rsidRPr="00CC2E73">
              <w:t xml:space="preserve">07' </w:t>
            </w:r>
            <w:r w:rsidRPr="00CC2E73">
              <w:t>34"</w:t>
            </w:r>
          </w:p>
        </w:tc>
        <w:tc>
          <w:tcPr>
            <w:tcW w:w="1701" w:type="dxa"/>
            <w:vAlign w:val="center"/>
          </w:tcPr>
          <w:p w14:paraId="5E179176" w14:textId="77777777" w:rsidR="00524B07" w:rsidRPr="00CC2E73" w:rsidRDefault="00524B07" w:rsidP="007B3415">
            <w:pPr>
              <w:pStyle w:val="Tabletext"/>
              <w:jc w:val="center"/>
            </w:pPr>
            <w:r w:rsidRPr="00CC2E73">
              <w:rPr>
                <w:lang w:eastAsia="zh-CN"/>
              </w:rPr>
              <w:t>–</w:t>
            </w:r>
            <w:r w:rsidRPr="00CC2E73">
              <w:t>159° 39' 54"</w:t>
            </w:r>
          </w:p>
        </w:tc>
        <w:tc>
          <w:tcPr>
            <w:tcW w:w="2131" w:type="dxa"/>
            <w:vAlign w:val="center"/>
          </w:tcPr>
          <w:p w14:paraId="493456D3" w14:textId="77777777" w:rsidR="00524B07" w:rsidRPr="00CC2E73" w:rsidRDefault="00524B07" w:rsidP="007B3415">
            <w:pPr>
              <w:pStyle w:val="Tabletext"/>
              <w:jc w:val="center"/>
            </w:pPr>
            <w:r w:rsidRPr="00CC2E73">
              <w:t>20 m, 12 m</w:t>
            </w:r>
          </w:p>
        </w:tc>
      </w:tr>
      <w:tr w:rsidR="00524B07" w:rsidRPr="00CC2E73" w14:paraId="5AF890E7" w14:textId="77777777" w:rsidTr="007B3415">
        <w:trPr>
          <w:jc w:val="center"/>
        </w:trPr>
        <w:tc>
          <w:tcPr>
            <w:tcW w:w="1555" w:type="dxa"/>
            <w:vMerge/>
            <w:vAlign w:val="center"/>
          </w:tcPr>
          <w:p w14:paraId="5C172CA9" w14:textId="77777777" w:rsidR="00524B07" w:rsidRPr="00CC2E73" w:rsidRDefault="00524B07" w:rsidP="00FF2594">
            <w:pPr>
              <w:pStyle w:val="Tabletext"/>
            </w:pPr>
          </w:p>
        </w:tc>
        <w:tc>
          <w:tcPr>
            <w:tcW w:w="2534" w:type="dxa"/>
            <w:vAlign w:val="center"/>
          </w:tcPr>
          <w:p w14:paraId="001929D6" w14:textId="253A33A5" w:rsidR="00524B07" w:rsidRPr="00CC2E73" w:rsidRDefault="00524B07" w:rsidP="007B3415">
            <w:pPr>
              <w:pStyle w:val="Tabletext"/>
            </w:pPr>
            <w:r w:rsidRPr="00CC2E73">
              <w:rPr>
                <w:lang w:eastAsia="zh-CN"/>
              </w:rPr>
              <w:t>Jansky Very Large Array (JVLA)</w:t>
            </w:r>
          </w:p>
        </w:tc>
        <w:tc>
          <w:tcPr>
            <w:tcW w:w="1718" w:type="dxa"/>
            <w:vAlign w:val="center"/>
          </w:tcPr>
          <w:p w14:paraId="6066B36F" w14:textId="77777777" w:rsidR="00524B07" w:rsidRPr="00CC2E73" w:rsidRDefault="00524B07" w:rsidP="007B3415">
            <w:pPr>
              <w:pStyle w:val="Tabletext"/>
              <w:jc w:val="center"/>
            </w:pPr>
            <w:r w:rsidRPr="00CC2E73">
              <w:t>33</w:t>
            </w:r>
            <w:r w:rsidRPr="00CC2E73">
              <w:rPr>
                <w:lang w:eastAsia="zh-CN"/>
              </w:rPr>
              <w:t xml:space="preserve">° </w:t>
            </w:r>
            <w:r w:rsidRPr="00CC2E73">
              <w:t>58</w:t>
            </w:r>
            <w:r w:rsidRPr="00CC2E73">
              <w:rPr>
                <w:lang w:eastAsia="zh-CN"/>
              </w:rPr>
              <w:t xml:space="preserve">' </w:t>
            </w:r>
            <w:r w:rsidRPr="00CC2E73">
              <w:t>22"</w:t>
            </w:r>
            <w:r w:rsidRPr="00CC2E73">
              <w:br/>
              <w:t>to</w:t>
            </w:r>
            <w:r w:rsidRPr="00CC2E73">
              <w:br/>
              <w:t>34</w:t>
            </w:r>
            <w:r w:rsidRPr="00CC2E73">
              <w:rPr>
                <w:lang w:eastAsia="zh-CN"/>
              </w:rPr>
              <w:t xml:space="preserve">° </w:t>
            </w:r>
            <w:r w:rsidRPr="00CC2E73">
              <w:t>14</w:t>
            </w:r>
            <w:r w:rsidRPr="00CC2E73">
              <w:rPr>
                <w:lang w:eastAsia="zh-CN"/>
              </w:rPr>
              <w:t xml:space="preserve">' </w:t>
            </w:r>
            <w:r w:rsidRPr="00CC2E73">
              <w:t>56"</w:t>
            </w:r>
          </w:p>
        </w:tc>
        <w:tc>
          <w:tcPr>
            <w:tcW w:w="1701" w:type="dxa"/>
            <w:vAlign w:val="center"/>
          </w:tcPr>
          <w:p w14:paraId="65B87907" w14:textId="56B4ED18" w:rsidR="00524B07" w:rsidRPr="00CC2E73" w:rsidRDefault="00524B07" w:rsidP="007B3415">
            <w:pPr>
              <w:pStyle w:val="Tabletext"/>
              <w:jc w:val="center"/>
            </w:pPr>
            <w:r w:rsidRPr="00CC2E73">
              <w:t>–107</w:t>
            </w:r>
            <w:r w:rsidRPr="00CC2E73">
              <w:rPr>
                <w:lang w:eastAsia="zh-CN"/>
              </w:rPr>
              <w:t xml:space="preserve">° </w:t>
            </w:r>
            <w:r w:rsidRPr="00CC2E73">
              <w:t>24</w:t>
            </w:r>
            <w:r w:rsidRPr="00CC2E73">
              <w:rPr>
                <w:lang w:eastAsia="zh-CN"/>
              </w:rPr>
              <w:t xml:space="preserve">' </w:t>
            </w:r>
            <w:r w:rsidRPr="00CC2E73">
              <w:t>40</w:t>
            </w:r>
            <w:r w:rsidRPr="00CC2E73">
              <w:rPr>
                <w:lang w:eastAsia="zh-CN"/>
              </w:rPr>
              <w:t>"</w:t>
            </w:r>
            <w:r w:rsidR="007B3415">
              <w:rPr>
                <w:lang w:eastAsia="zh-CN"/>
              </w:rPr>
              <w:br/>
            </w:r>
            <w:r w:rsidRPr="00CC2E73">
              <w:t xml:space="preserve">to </w:t>
            </w:r>
            <w:r w:rsidRPr="00CC2E73">
              <w:br/>
              <w:t>–107</w:t>
            </w:r>
            <w:r w:rsidRPr="00CC2E73">
              <w:rPr>
                <w:lang w:eastAsia="zh-CN"/>
              </w:rPr>
              <w:t xml:space="preserve">° </w:t>
            </w:r>
            <w:r w:rsidRPr="00CC2E73">
              <w:t>48</w:t>
            </w:r>
            <w:r w:rsidRPr="00CC2E73">
              <w:rPr>
                <w:lang w:eastAsia="zh-CN"/>
              </w:rPr>
              <w:t xml:space="preserve">' </w:t>
            </w:r>
            <w:r w:rsidRPr="00CC2E73">
              <w:t>22</w:t>
            </w:r>
            <w:r w:rsidRPr="00CC2E73">
              <w:rPr>
                <w:lang w:eastAsia="zh-CN"/>
              </w:rPr>
              <w:t>"</w:t>
            </w:r>
          </w:p>
        </w:tc>
        <w:tc>
          <w:tcPr>
            <w:tcW w:w="2131" w:type="dxa"/>
            <w:vAlign w:val="center"/>
          </w:tcPr>
          <w:p w14:paraId="71080018" w14:textId="44DC03B4" w:rsidR="00524B07" w:rsidRPr="00CC2E73" w:rsidRDefault="00524B07" w:rsidP="007B3415">
            <w:pPr>
              <w:pStyle w:val="Tabletext"/>
              <w:jc w:val="center"/>
            </w:pPr>
            <w:r w:rsidRPr="00CC2E73">
              <w:t>27 × 25 m</w:t>
            </w:r>
          </w:p>
        </w:tc>
      </w:tr>
      <w:tr w:rsidR="00524B07" w:rsidRPr="00CC2E73" w14:paraId="74A2047A" w14:textId="77777777" w:rsidTr="007B3415">
        <w:trPr>
          <w:jc w:val="center"/>
        </w:trPr>
        <w:tc>
          <w:tcPr>
            <w:tcW w:w="1555" w:type="dxa"/>
            <w:vMerge/>
            <w:vAlign w:val="center"/>
          </w:tcPr>
          <w:p w14:paraId="0CDBD53F" w14:textId="77777777" w:rsidR="00524B07" w:rsidRPr="00CC2E73" w:rsidRDefault="00524B07" w:rsidP="00FF2594">
            <w:pPr>
              <w:pStyle w:val="Tabletext"/>
            </w:pPr>
          </w:p>
        </w:tc>
        <w:tc>
          <w:tcPr>
            <w:tcW w:w="2534" w:type="dxa"/>
          </w:tcPr>
          <w:p w14:paraId="689097DE" w14:textId="77777777" w:rsidR="00524B07" w:rsidRPr="00CC2E73" w:rsidRDefault="00524B07" w:rsidP="00FF2594">
            <w:pPr>
              <w:pStyle w:val="Tabletext"/>
              <w:rPr>
                <w:lang w:eastAsia="zh-CN"/>
              </w:rPr>
            </w:pPr>
            <w:r w:rsidRPr="00CC2E73">
              <w:rPr>
                <w:lang w:eastAsia="zh-CN"/>
              </w:rPr>
              <w:t>McDonald Geodetic Observatory (MGO)</w:t>
            </w:r>
          </w:p>
        </w:tc>
        <w:tc>
          <w:tcPr>
            <w:tcW w:w="1718" w:type="dxa"/>
            <w:vAlign w:val="center"/>
          </w:tcPr>
          <w:p w14:paraId="591616E3" w14:textId="1EF0A646" w:rsidR="00524B07" w:rsidRPr="00CC2E73" w:rsidRDefault="00524B07" w:rsidP="007B3415">
            <w:pPr>
              <w:pStyle w:val="Tabletext"/>
              <w:jc w:val="center"/>
            </w:pPr>
            <w:r w:rsidRPr="00CC2E73">
              <w:rPr>
                <w:lang w:eastAsia="zh-CN"/>
              </w:rPr>
              <w:t>30° 40' 48"</w:t>
            </w:r>
          </w:p>
        </w:tc>
        <w:tc>
          <w:tcPr>
            <w:tcW w:w="1701" w:type="dxa"/>
            <w:vAlign w:val="center"/>
          </w:tcPr>
          <w:p w14:paraId="1B4966C5" w14:textId="5038A05D" w:rsidR="00524B07" w:rsidRPr="00CC2E73" w:rsidRDefault="00524B07" w:rsidP="007B3415">
            <w:pPr>
              <w:pStyle w:val="Tabletext"/>
              <w:jc w:val="center"/>
            </w:pPr>
            <w:r w:rsidRPr="00CC2E73">
              <w:rPr>
                <w:lang w:eastAsia="zh-CN"/>
              </w:rPr>
              <w:t>–104° 01' 26"</w:t>
            </w:r>
          </w:p>
        </w:tc>
        <w:tc>
          <w:tcPr>
            <w:tcW w:w="2131" w:type="dxa"/>
            <w:vAlign w:val="center"/>
          </w:tcPr>
          <w:p w14:paraId="69F845FE" w14:textId="77777777" w:rsidR="00524B07" w:rsidRPr="00CC2E73" w:rsidRDefault="00524B07" w:rsidP="007B3415">
            <w:pPr>
              <w:pStyle w:val="Tabletext"/>
              <w:jc w:val="center"/>
            </w:pPr>
            <w:r w:rsidRPr="00CC2E73">
              <w:t>12 m</w:t>
            </w:r>
          </w:p>
        </w:tc>
      </w:tr>
      <w:tr w:rsidR="00524B07" w:rsidRPr="00CC2E73" w14:paraId="5D7FC8C1" w14:textId="77777777" w:rsidTr="007B3415">
        <w:trPr>
          <w:jc w:val="center"/>
        </w:trPr>
        <w:tc>
          <w:tcPr>
            <w:tcW w:w="1555" w:type="dxa"/>
            <w:vMerge/>
            <w:vAlign w:val="center"/>
          </w:tcPr>
          <w:p w14:paraId="0692A90C" w14:textId="77777777" w:rsidR="00524B07" w:rsidRPr="00CC2E73" w:rsidRDefault="00524B07" w:rsidP="00FF2594">
            <w:pPr>
              <w:pStyle w:val="Tabletext"/>
            </w:pPr>
          </w:p>
        </w:tc>
        <w:tc>
          <w:tcPr>
            <w:tcW w:w="2534" w:type="dxa"/>
          </w:tcPr>
          <w:p w14:paraId="436BD40D" w14:textId="77777777" w:rsidR="00524B07" w:rsidRPr="00CC2E73" w:rsidRDefault="00524B07" w:rsidP="00FF2594">
            <w:pPr>
              <w:pStyle w:val="Tabletext"/>
            </w:pPr>
            <w:r w:rsidRPr="00CC2E73">
              <w:rPr>
                <w:lang w:eastAsia="zh-CN"/>
              </w:rPr>
              <w:t>VLBA Brewster, WA</w:t>
            </w:r>
          </w:p>
        </w:tc>
        <w:tc>
          <w:tcPr>
            <w:tcW w:w="1718" w:type="dxa"/>
            <w:vAlign w:val="center"/>
          </w:tcPr>
          <w:p w14:paraId="1AB2D463" w14:textId="4786E429" w:rsidR="00524B07" w:rsidRPr="00CC2E73" w:rsidRDefault="00524B07" w:rsidP="007B3415">
            <w:pPr>
              <w:pStyle w:val="Tabletext"/>
              <w:jc w:val="center"/>
            </w:pPr>
            <w:r w:rsidRPr="00CC2E73">
              <w:rPr>
                <w:lang w:eastAsia="zh-CN"/>
              </w:rPr>
              <w:t>38° 25' 59"</w:t>
            </w:r>
          </w:p>
        </w:tc>
        <w:tc>
          <w:tcPr>
            <w:tcW w:w="1701" w:type="dxa"/>
            <w:vAlign w:val="center"/>
          </w:tcPr>
          <w:p w14:paraId="598A8F63" w14:textId="1CEBD595" w:rsidR="00524B07" w:rsidRPr="00CC2E73" w:rsidRDefault="00524B07" w:rsidP="007B3415">
            <w:pPr>
              <w:pStyle w:val="Tabletext"/>
              <w:jc w:val="center"/>
            </w:pPr>
            <w:r w:rsidRPr="00CC2E73">
              <w:rPr>
                <w:lang w:eastAsia="zh-CN"/>
              </w:rPr>
              <w:t>–79° 50' 23"</w:t>
            </w:r>
          </w:p>
        </w:tc>
        <w:tc>
          <w:tcPr>
            <w:tcW w:w="2131" w:type="dxa"/>
            <w:vAlign w:val="center"/>
          </w:tcPr>
          <w:p w14:paraId="33ABB65C" w14:textId="77777777" w:rsidR="00524B07" w:rsidRPr="00CC2E73" w:rsidRDefault="00524B07" w:rsidP="007B3415">
            <w:pPr>
              <w:pStyle w:val="Tabletext"/>
              <w:jc w:val="center"/>
            </w:pPr>
            <w:r w:rsidRPr="00CC2E73">
              <w:t>25 m</w:t>
            </w:r>
          </w:p>
        </w:tc>
      </w:tr>
      <w:tr w:rsidR="00524B07" w:rsidRPr="00CC2E73" w14:paraId="7A3D673B" w14:textId="77777777" w:rsidTr="007B3415">
        <w:trPr>
          <w:jc w:val="center"/>
        </w:trPr>
        <w:tc>
          <w:tcPr>
            <w:tcW w:w="1555" w:type="dxa"/>
            <w:vMerge/>
            <w:vAlign w:val="center"/>
          </w:tcPr>
          <w:p w14:paraId="0A456C15" w14:textId="77777777" w:rsidR="00524B07" w:rsidRPr="00CC2E73" w:rsidRDefault="00524B07" w:rsidP="00FF2594">
            <w:pPr>
              <w:pStyle w:val="Tabletext"/>
            </w:pPr>
          </w:p>
        </w:tc>
        <w:tc>
          <w:tcPr>
            <w:tcW w:w="2534" w:type="dxa"/>
          </w:tcPr>
          <w:p w14:paraId="24501E8C" w14:textId="77777777" w:rsidR="00524B07" w:rsidRPr="00CC2E73" w:rsidRDefault="00524B07" w:rsidP="00FF2594">
            <w:pPr>
              <w:pStyle w:val="Tabletext"/>
            </w:pPr>
            <w:r w:rsidRPr="00CC2E73">
              <w:rPr>
                <w:lang w:eastAsia="zh-CN"/>
              </w:rPr>
              <w:t>VLBA Fort Davis, TX</w:t>
            </w:r>
          </w:p>
        </w:tc>
        <w:tc>
          <w:tcPr>
            <w:tcW w:w="1718" w:type="dxa"/>
          </w:tcPr>
          <w:p w14:paraId="30B0AE30" w14:textId="77777777" w:rsidR="00524B07" w:rsidRPr="00CC2E73" w:rsidRDefault="00524B07" w:rsidP="00FF2594">
            <w:pPr>
              <w:pStyle w:val="Tabletext"/>
              <w:jc w:val="center"/>
            </w:pPr>
            <w:r w:rsidRPr="00CC2E73">
              <w:rPr>
                <w:lang w:eastAsia="zh-CN"/>
              </w:rPr>
              <w:t>30° 38' 06"</w:t>
            </w:r>
          </w:p>
        </w:tc>
        <w:tc>
          <w:tcPr>
            <w:tcW w:w="1701" w:type="dxa"/>
          </w:tcPr>
          <w:p w14:paraId="05172C4D" w14:textId="77777777" w:rsidR="00524B07" w:rsidRPr="00CC2E73" w:rsidRDefault="00524B07" w:rsidP="00FF2594">
            <w:pPr>
              <w:pStyle w:val="Tabletext"/>
              <w:jc w:val="center"/>
            </w:pPr>
            <w:r w:rsidRPr="00CC2E73">
              <w:rPr>
                <w:lang w:eastAsia="zh-CN"/>
              </w:rPr>
              <w:t>–103° 56' 41"</w:t>
            </w:r>
          </w:p>
        </w:tc>
        <w:tc>
          <w:tcPr>
            <w:tcW w:w="2131" w:type="dxa"/>
          </w:tcPr>
          <w:p w14:paraId="650B36AD" w14:textId="77777777" w:rsidR="00524B07" w:rsidRPr="00CC2E73" w:rsidRDefault="00524B07" w:rsidP="00FF2594">
            <w:pPr>
              <w:pStyle w:val="Tabletext"/>
              <w:jc w:val="center"/>
            </w:pPr>
            <w:r w:rsidRPr="00CC2E73">
              <w:t>25 m</w:t>
            </w:r>
          </w:p>
        </w:tc>
      </w:tr>
      <w:tr w:rsidR="00524B07" w:rsidRPr="00CC2E73" w14:paraId="65D262AF" w14:textId="77777777" w:rsidTr="007B3415">
        <w:trPr>
          <w:jc w:val="center"/>
        </w:trPr>
        <w:tc>
          <w:tcPr>
            <w:tcW w:w="1555" w:type="dxa"/>
            <w:vMerge/>
            <w:vAlign w:val="center"/>
          </w:tcPr>
          <w:p w14:paraId="20AE4137" w14:textId="77777777" w:rsidR="00524B07" w:rsidRPr="00CC2E73" w:rsidRDefault="00524B07" w:rsidP="00FF2594">
            <w:pPr>
              <w:pStyle w:val="Tabletext"/>
            </w:pPr>
          </w:p>
        </w:tc>
        <w:tc>
          <w:tcPr>
            <w:tcW w:w="2534" w:type="dxa"/>
          </w:tcPr>
          <w:p w14:paraId="58089B58" w14:textId="77777777" w:rsidR="00524B07" w:rsidRPr="00CC2E73" w:rsidRDefault="00524B07" w:rsidP="00FF2594">
            <w:pPr>
              <w:pStyle w:val="Tabletext"/>
            </w:pPr>
            <w:r w:rsidRPr="00CC2E73">
              <w:rPr>
                <w:lang w:eastAsia="zh-CN"/>
              </w:rPr>
              <w:t>VLBA Hancock, NH</w:t>
            </w:r>
          </w:p>
        </w:tc>
        <w:tc>
          <w:tcPr>
            <w:tcW w:w="1718" w:type="dxa"/>
          </w:tcPr>
          <w:p w14:paraId="5D3C59EE" w14:textId="77777777" w:rsidR="00524B07" w:rsidRPr="00CC2E73" w:rsidRDefault="00524B07" w:rsidP="00FF2594">
            <w:pPr>
              <w:pStyle w:val="Tabletext"/>
              <w:jc w:val="center"/>
            </w:pPr>
            <w:r w:rsidRPr="00CC2E73">
              <w:rPr>
                <w:lang w:eastAsia="zh-CN"/>
              </w:rPr>
              <w:t>42° 56' 01"</w:t>
            </w:r>
          </w:p>
        </w:tc>
        <w:tc>
          <w:tcPr>
            <w:tcW w:w="1701" w:type="dxa"/>
          </w:tcPr>
          <w:p w14:paraId="6F52ECEE" w14:textId="77777777" w:rsidR="00524B07" w:rsidRPr="00CC2E73" w:rsidRDefault="00524B07" w:rsidP="00FF2594">
            <w:pPr>
              <w:pStyle w:val="Tabletext"/>
              <w:jc w:val="center"/>
            </w:pPr>
            <w:r w:rsidRPr="00CC2E73">
              <w:rPr>
                <w:lang w:eastAsia="zh-CN"/>
              </w:rPr>
              <w:t>–71° 59' 12"</w:t>
            </w:r>
          </w:p>
        </w:tc>
        <w:tc>
          <w:tcPr>
            <w:tcW w:w="2131" w:type="dxa"/>
          </w:tcPr>
          <w:p w14:paraId="5B584EC3" w14:textId="77777777" w:rsidR="00524B07" w:rsidRPr="00CC2E73" w:rsidRDefault="00524B07" w:rsidP="00FF2594">
            <w:pPr>
              <w:pStyle w:val="Tabletext"/>
              <w:jc w:val="center"/>
            </w:pPr>
            <w:r w:rsidRPr="00CC2E73">
              <w:t>25 m</w:t>
            </w:r>
          </w:p>
        </w:tc>
      </w:tr>
      <w:tr w:rsidR="00524B07" w:rsidRPr="00CC2E73" w14:paraId="265694E2" w14:textId="77777777" w:rsidTr="007B3415">
        <w:trPr>
          <w:jc w:val="center"/>
        </w:trPr>
        <w:tc>
          <w:tcPr>
            <w:tcW w:w="1555" w:type="dxa"/>
            <w:vMerge/>
            <w:vAlign w:val="center"/>
          </w:tcPr>
          <w:p w14:paraId="5320B73A" w14:textId="77777777" w:rsidR="00524B07" w:rsidRPr="00CC2E73" w:rsidRDefault="00524B07" w:rsidP="00FF2594">
            <w:pPr>
              <w:pStyle w:val="Tabletext"/>
            </w:pPr>
          </w:p>
        </w:tc>
        <w:tc>
          <w:tcPr>
            <w:tcW w:w="2534" w:type="dxa"/>
          </w:tcPr>
          <w:p w14:paraId="29221C3D" w14:textId="77777777" w:rsidR="00524B07" w:rsidRPr="00CC2E73" w:rsidRDefault="00524B07" w:rsidP="00FF2594">
            <w:pPr>
              <w:pStyle w:val="Tabletext"/>
            </w:pPr>
            <w:r w:rsidRPr="00CC2E73">
              <w:rPr>
                <w:lang w:eastAsia="zh-CN"/>
              </w:rPr>
              <w:t>VLBA Kitt Peak, AZ</w:t>
            </w:r>
          </w:p>
        </w:tc>
        <w:tc>
          <w:tcPr>
            <w:tcW w:w="1718" w:type="dxa"/>
          </w:tcPr>
          <w:p w14:paraId="1CA226C8" w14:textId="77777777" w:rsidR="00524B07" w:rsidRPr="00CC2E73" w:rsidRDefault="00524B07" w:rsidP="00FF2594">
            <w:pPr>
              <w:pStyle w:val="Tabletext"/>
              <w:jc w:val="center"/>
            </w:pPr>
            <w:r w:rsidRPr="00CC2E73">
              <w:rPr>
                <w:lang w:eastAsia="zh-CN"/>
              </w:rPr>
              <w:t>31° 57' 23"</w:t>
            </w:r>
          </w:p>
        </w:tc>
        <w:tc>
          <w:tcPr>
            <w:tcW w:w="1701" w:type="dxa"/>
          </w:tcPr>
          <w:p w14:paraId="13B6793C" w14:textId="77777777" w:rsidR="00524B07" w:rsidRPr="00CC2E73" w:rsidRDefault="00524B07" w:rsidP="00FF2594">
            <w:pPr>
              <w:pStyle w:val="Tabletext"/>
              <w:jc w:val="center"/>
            </w:pPr>
            <w:r w:rsidRPr="00CC2E73">
              <w:rPr>
                <w:lang w:eastAsia="zh-CN"/>
              </w:rPr>
              <w:t>–111° 36' 45"</w:t>
            </w:r>
          </w:p>
        </w:tc>
        <w:tc>
          <w:tcPr>
            <w:tcW w:w="2131" w:type="dxa"/>
          </w:tcPr>
          <w:p w14:paraId="5A55BD93" w14:textId="77777777" w:rsidR="00524B07" w:rsidRPr="00CC2E73" w:rsidRDefault="00524B07" w:rsidP="00FF2594">
            <w:pPr>
              <w:pStyle w:val="Tabletext"/>
              <w:jc w:val="center"/>
            </w:pPr>
            <w:r w:rsidRPr="00CC2E73">
              <w:t>25 m</w:t>
            </w:r>
          </w:p>
        </w:tc>
      </w:tr>
      <w:tr w:rsidR="00524B07" w:rsidRPr="00CC2E73" w14:paraId="3A517E3C" w14:textId="77777777" w:rsidTr="007B3415">
        <w:trPr>
          <w:jc w:val="center"/>
        </w:trPr>
        <w:tc>
          <w:tcPr>
            <w:tcW w:w="1555" w:type="dxa"/>
            <w:vMerge/>
            <w:vAlign w:val="center"/>
          </w:tcPr>
          <w:p w14:paraId="629A6BD4" w14:textId="77777777" w:rsidR="00524B07" w:rsidRPr="00CC2E73" w:rsidRDefault="00524B07" w:rsidP="00FF2594">
            <w:pPr>
              <w:pStyle w:val="Tabletext"/>
            </w:pPr>
          </w:p>
        </w:tc>
        <w:tc>
          <w:tcPr>
            <w:tcW w:w="2534" w:type="dxa"/>
          </w:tcPr>
          <w:p w14:paraId="59279A07" w14:textId="77777777" w:rsidR="00524B07" w:rsidRPr="00CC2E73" w:rsidRDefault="00524B07" w:rsidP="00FF2594">
            <w:pPr>
              <w:pStyle w:val="Tabletext"/>
            </w:pPr>
            <w:r w:rsidRPr="00CC2E73">
              <w:rPr>
                <w:lang w:eastAsia="zh-CN"/>
              </w:rPr>
              <w:t>VLBA Los Alamos, NM</w:t>
            </w:r>
            <w:r w:rsidRPr="00CC2E73">
              <w:rPr>
                <w:lang w:eastAsia="zh-CN"/>
              </w:rPr>
              <w:tab/>
            </w:r>
          </w:p>
        </w:tc>
        <w:tc>
          <w:tcPr>
            <w:tcW w:w="1718" w:type="dxa"/>
          </w:tcPr>
          <w:p w14:paraId="5F4CDB9A" w14:textId="77777777" w:rsidR="00524B07" w:rsidRPr="00CC2E73" w:rsidRDefault="00524B07" w:rsidP="00FF2594">
            <w:pPr>
              <w:pStyle w:val="Tabletext"/>
              <w:jc w:val="center"/>
            </w:pPr>
            <w:r w:rsidRPr="00CC2E73">
              <w:rPr>
                <w:lang w:eastAsia="zh-CN"/>
              </w:rPr>
              <w:t>35° 46' 30"</w:t>
            </w:r>
          </w:p>
        </w:tc>
        <w:tc>
          <w:tcPr>
            <w:tcW w:w="1701" w:type="dxa"/>
          </w:tcPr>
          <w:p w14:paraId="229193B7" w14:textId="77777777" w:rsidR="00524B07" w:rsidRPr="00CC2E73" w:rsidRDefault="00524B07" w:rsidP="00FF2594">
            <w:pPr>
              <w:pStyle w:val="Tabletext"/>
              <w:jc w:val="center"/>
            </w:pPr>
            <w:r w:rsidRPr="00CC2E73">
              <w:rPr>
                <w:lang w:eastAsia="zh-CN"/>
              </w:rPr>
              <w:t>–106° 14' 44"</w:t>
            </w:r>
          </w:p>
        </w:tc>
        <w:tc>
          <w:tcPr>
            <w:tcW w:w="2131" w:type="dxa"/>
          </w:tcPr>
          <w:p w14:paraId="45DC951E" w14:textId="77777777" w:rsidR="00524B07" w:rsidRPr="00CC2E73" w:rsidRDefault="00524B07" w:rsidP="00FF2594">
            <w:pPr>
              <w:pStyle w:val="Tabletext"/>
              <w:jc w:val="center"/>
            </w:pPr>
            <w:r w:rsidRPr="00CC2E73">
              <w:t>25 m</w:t>
            </w:r>
          </w:p>
        </w:tc>
      </w:tr>
      <w:tr w:rsidR="00524B07" w:rsidRPr="00CC2E73" w14:paraId="44BF84F8" w14:textId="77777777" w:rsidTr="007B3415">
        <w:trPr>
          <w:jc w:val="center"/>
        </w:trPr>
        <w:tc>
          <w:tcPr>
            <w:tcW w:w="1555" w:type="dxa"/>
            <w:vMerge/>
            <w:vAlign w:val="center"/>
          </w:tcPr>
          <w:p w14:paraId="63649192" w14:textId="77777777" w:rsidR="00524B07" w:rsidRPr="00CC2E73" w:rsidRDefault="00524B07" w:rsidP="00FF2594">
            <w:pPr>
              <w:pStyle w:val="Tabletext"/>
            </w:pPr>
          </w:p>
        </w:tc>
        <w:tc>
          <w:tcPr>
            <w:tcW w:w="2534" w:type="dxa"/>
          </w:tcPr>
          <w:p w14:paraId="24317CB6" w14:textId="77777777" w:rsidR="00524B07" w:rsidRPr="00CC2E73" w:rsidRDefault="00524B07" w:rsidP="00FF2594">
            <w:pPr>
              <w:pStyle w:val="Tabletext"/>
            </w:pPr>
            <w:r w:rsidRPr="00CC2E73">
              <w:rPr>
                <w:lang w:eastAsia="zh-CN"/>
              </w:rPr>
              <w:t>VLBA Mauna Kea, HI</w:t>
            </w:r>
          </w:p>
        </w:tc>
        <w:tc>
          <w:tcPr>
            <w:tcW w:w="1718" w:type="dxa"/>
          </w:tcPr>
          <w:p w14:paraId="198A1076" w14:textId="77777777" w:rsidR="00524B07" w:rsidRPr="00CC2E73" w:rsidRDefault="00524B07" w:rsidP="00FF2594">
            <w:pPr>
              <w:pStyle w:val="Tabletext"/>
              <w:jc w:val="center"/>
            </w:pPr>
            <w:r w:rsidRPr="00CC2E73">
              <w:rPr>
                <w:lang w:eastAsia="zh-CN"/>
              </w:rPr>
              <w:t>19° 48' 05"</w:t>
            </w:r>
          </w:p>
        </w:tc>
        <w:tc>
          <w:tcPr>
            <w:tcW w:w="1701" w:type="dxa"/>
          </w:tcPr>
          <w:p w14:paraId="60A63723" w14:textId="77777777" w:rsidR="00524B07" w:rsidRPr="00CC2E73" w:rsidRDefault="00524B07" w:rsidP="00FF2594">
            <w:pPr>
              <w:pStyle w:val="Tabletext"/>
              <w:jc w:val="center"/>
            </w:pPr>
            <w:r w:rsidRPr="00CC2E73">
              <w:rPr>
                <w:lang w:eastAsia="zh-CN"/>
              </w:rPr>
              <w:t>–155° 27' 20"</w:t>
            </w:r>
          </w:p>
        </w:tc>
        <w:tc>
          <w:tcPr>
            <w:tcW w:w="2131" w:type="dxa"/>
          </w:tcPr>
          <w:p w14:paraId="639E235D" w14:textId="77777777" w:rsidR="00524B07" w:rsidRPr="00CC2E73" w:rsidRDefault="00524B07" w:rsidP="00FF2594">
            <w:pPr>
              <w:pStyle w:val="Tabletext"/>
              <w:jc w:val="center"/>
            </w:pPr>
            <w:r w:rsidRPr="00CC2E73">
              <w:t>25 m</w:t>
            </w:r>
          </w:p>
        </w:tc>
      </w:tr>
      <w:tr w:rsidR="00524B07" w:rsidRPr="00CC2E73" w14:paraId="6F4D1D43" w14:textId="77777777" w:rsidTr="007B3415">
        <w:trPr>
          <w:jc w:val="center"/>
        </w:trPr>
        <w:tc>
          <w:tcPr>
            <w:tcW w:w="1555" w:type="dxa"/>
            <w:vMerge/>
            <w:vAlign w:val="center"/>
          </w:tcPr>
          <w:p w14:paraId="025D044D" w14:textId="77777777" w:rsidR="00524B07" w:rsidRPr="00CC2E73" w:rsidRDefault="00524B07" w:rsidP="00FF2594">
            <w:pPr>
              <w:pStyle w:val="Tabletext"/>
            </w:pPr>
          </w:p>
        </w:tc>
        <w:tc>
          <w:tcPr>
            <w:tcW w:w="2534" w:type="dxa"/>
          </w:tcPr>
          <w:p w14:paraId="457AA828" w14:textId="77777777" w:rsidR="00524B07" w:rsidRPr="00CC2E73" w:rsidRDefault="00524B07" w:rsidP="00FF2594">
            <w:pPr>
              <w:pStyle w:val="Tabletext"/>
            </w:pPr>
            <w:r w:rsidRPr="00CC2E73">
              <w:rPr>
                <w:lang w:eastAsia="zh-CN"/>
              </w:rPr>
              <w:t>VLBA North Liberty, IA</w:t>
            </w:r>
          </w:p>
        </w:tc>
        <w:tc>
          <w:tcPr>
            <w:tcW w:w="1718" w:type="dxa"/>
          </w:tcPr>
          <w:p w14:paraId="0D91EA7E" w14:textId="1FE2914C" w:rsidR="00524B07" w:rsidRPr="00CC2E73" w:rsidRDefault="00524B07" w:rsidP="00FF2594">
            <w:pPr>
              <w:pStyle w:val="Tabletext"/>
              <w:jc w:val="center"/>
            </w:pPr>
            <w:r w:rsidRPr="00CC2E73">
              <w:rPr>
                <w:lang w:eastAsia="zh-CN"/>
              </w:rPr>
              <w:t>41</w:t>
            </w:r>
            <w:r w:rsidR="00C4321E" w:rsidRPr="00CC2E73">
              <w:rPr>
                <w:lang w:eastAsia="zh-CN"/>
              </w:rPr>
              <w:t xml:space="preserve">° </w:t>
            </w:r>
            <w:r w:rsidRPr="00CC2E73">
              <w:rPr>
                <w:lang w:eastAsia="zh-CN"/>
              </w:rPr>
              <w:t>46' 17"</w:t>
            </w:r>
          </w:p>
        </w:tc>
        <w:tc>
          <w:tcPr>
            <w:tcW w:w="1701" w:type="dxa"/>
          </w:tcPr>
          <w:p w14:paraId="31DD93BB" w14:textId="77777777" w:rsidR="00524B07" w:rsidRPr="00CC2E73" w:rsidRDefault="00524B07" w:rsidP="00FF2594">
            <w:pPr>
              <w:pStyle w:val="Tabletext"/>
              <w:jc w:val="center"/>
            </w:pPr>
            <w:r w:rsidRPr="00CC2E73">
              <w:rPr>
                <w:lang w:eastAsia="zh-CN"/>
              </w:rPr>
              <w:t>–91° 34' 27"</w:t>
            </w:r>
          </w:p>
        </w:tc>
        <w:tc>
          <w:tcPr>
            <w:tcW w:w="2131" w:type="dxa"/>
          </w:tcPr>
          <w:p w14:paraId="1C792A01" w14:textId="77777777" w:rsidR="00524B07" w:rsidRPr="00CC2E73" w:rsidRDefault="00524B07" w:rsidP="00FF2594">
            <w:pPr>
              <w:pStyle w:val="Tabletext"/>
              <w:jc w:val="center"/>
            </w:pPr>
            <w:r w:rsidRPr="00CC2E73">
              <w:t>25 m</w:t>
            </w:r>
          </w:p>
        </w:tc>
      </w:tr>
      <w:tr w:rsidR="00524B07" w:rsidRPr="00CC2E73" w14:paraId="348A7EF9" w14:textId="77777777" w:rsidTr="007B3415">
        <w:trPr>
          <w:jc w:val="center"/>
        </w:trPr>
        <w:tc>
          <w:tcPr>
            <w:tcW w:w="1555" w:type="dxa"/>
            <w:vMerge/>
            <w:vAlign w:val="center"/>
          </w:tcPr>
          <w:p w14:paraId="7C687651" w14:textId="77777777" w:rsidR="00524B07" w:rsidRPr="00CC2E73" w:rsidRDefault="00524B07" w:rsidP="00FF2594">
            <w:pPr>
              <w:pStyle w:val="Tabletext"/>
            </w:pPr>
          </w:p>
        </w:tc>
        <w:tc>
          <w:tcPr>
            <w:tcW w:w="2534" w:type="dxa"/>
            <w:vAlign w:val="center"/>
          </w:tcPr>
          <w:p w14:paraId="4E8FFFAE" w14:textId="77777777" w:rsidR="00524B07" w:rsidRPr="00CC2E73" w:rsidRDefault="00524B07" w:rsidP="007B3415">
            <w:pPr>
              <w:pStyle w:val="Tabletext"/>
            </w:pPr>
            <w:r w:rsidRPr="00CC2E73">
              <w:rPr>
                <w:lang w:eastAsia="zh-CN"/>
              </w:rPr>
              <w:t>VLBA Owens Valley, CA</w:t>
            </w:r>
          </w:p>
        </w:tc>
        <w:tc>
          <w:tcPr>
            <w:tcW w:w="1718" w:type="dxa"/>
            <w:vAlign w:val="center"/>
          </w:tcPr>
          <w:p w14:paraId="0550929A" w14:textId="77777777" w:rsidR="00524B07" w:rsidRPr="00CC2E73" w:rsidRDefault="00524B07" w:rsidP="007B3415">
            <w:pPr>
              <w:pStyle w:val="Tabletext"/>
              <w:jc w:val="center"/>
            </w:pPr>
            <w:r w:rsidRPr="00CC2E73">
              <w:rPr>
                <w:lang w:eastAsia="zh-CN"/>
              </w:rPr>
              <w:t>37° 13' 54"</w:t>
            </w:r>
          </w:p>
        </w:tc>
        <w:tc>
          <w:tcPr>
            <w:tcW w:w="1701" w:type="dxa"/>
            <w:vAlign w:val="center"/>
          </w:tcPr>
          <w:p w14:paraId="7F14CFFE" w14:textId="77777777" w:rsidR="00524B07" w:rsidRPr="00CC2E73" w:rsidRDefault="00524B07" w:rsidP="007B3415">
            <w:pPr>
              <w:pStyle w:val="Tabletext"/>
              <w:jc w:val="center"/>
            </w:pPr>
            <w:r w:rsidRPr="00CC2E73">
              <w:rPr>
                <w:lang w:eastAsia="zh-CN"/>
              </w:rPr>
              <w:t>–118° 16' 37"</w:t>
            </w:r>
          </w:p>
        </w:tc>
        <w:tc>
          <w:tcPr>
            <w:tcW w:w="2131" w:type="dxa"/>
          </w:tcPr>
          <w:p w14:paraId="346C29C0" w14:textId="6BA7EAD1" w:rsidR="00524B07" w:rsidRPr="00CC2E73" w:rsidRDefault="00524B07" w:rsidP="007B3415">
            <w:pPr>
              <w:pStyle w:val="Tabletext"/>
              <w:jc w:val="center"/>
            </w:pPr>
            <w:r w:rsidRPr="00CC2E73">
              <w:t>40 m,</w:t>
            </w:r>
            <w:r w:rsidR="007B3415">
              <w:br/>
            </w:r>
            <w:r w:rsidRPr="00CC2E73">
              <w:t>5 × 2 m,</w:t>
            </w:r>
            <w:r w:rsidR="007B3415">
              <w:br/>
            </w:r>
            <w:r w:rsidRPr="00CC2E73">
              <w:t>8 × 2 m,</w:t>
            </w:r>
            <w:r w:rsidR="007B3415">
              <w:br/>
            </w:r>
            <w:r w:rsidRPr="00CC2E73">
              <w:t>2 × 27 m</w:t>
            </w:r>
          </w:p>
        </w:tc>
      </w:tr>
      <w:tr w:rsidR="00524B07" w:rsidRPr="00CC2E73" w14:paraId="53159BAF" w14:textId="77777777" w:rsidTr="007B3415">
        <w:trPr>
          <w:jc w:val="center"/>
        </w:trPr>
        <w:tc>
          <w:tcPr>
            <w:tcW w:w="1555" w:type="dxa"/>
            <w:vMerge/>
            <w:vAlign w:val="center"/>
          </w:tcPr>
          <w:p w14:paraId="4035E73B" w14:textId="77777777" w:rsidR="00524B07" w:rsidRPr="00CC2E73" w:rsidRDefault="00524B07" w:rsidP="00FF2594">
            <w:pPr>
              <w:pStyle w:val="Tabletext"/>
            </w:pPr>
          </w:p>
        </w:tc>
        <w:tc>
          <w:tcPr>
            <w:tcW w:w="2534" w:type="dxa"/>
          </w:tcPr>
          <w:p w14:paraId="6EF494ED" w14:textId="77777777" w:rsidR="00524B07" w:rsidRPr="00CC2E73" w:rsidRDefault="00524B07" w:rsidP="00FF2594">
            <w:pPr>
              <w:pStyle w:val="Tabletext"/>
            </w:pPr>
            <w:r w:rsidRPr="00CC2E73">
              <w:rPr>
                <w:lang w:eastAsia="zh-CN"/>
              </w:rPr>
              <w:t>VLBA Pie Town, NM</w:t>
            </w:r>
          </w:p>
        </w:tc>
        <w:tc>
          <w:tcPr>
            <w:tcW w:w="1718" w:type="dxa"/>
          </w:tcPr>
          <w:p w14:paraId="380247C7" w14:textId="77777777" w:rsidR="00524B07" w:rsidRPr="00CC2E73" w:rsidRDefault="00524B07" w:rsidP="00FF2594">
            <w:pPr>
              <w:pStyle w:val="Tabletext"/>
              <w:jc w:val="center"/>
            </w:pPr>
            <w:r w:rsidRPr="00CC2E73">
              <w:rPr>
                <w:lang w:eastAsia="zh-CN"/>
              </w:rPr>
              <w:t>34° 18' 04"</w:t>
            </w:r>
          </w:p>
        </w:tc>
        <w:tc>
          <w:tcPr>
            <w:tcW w:w="1701" w:type="dxa"/>
          </w:tcPr>
          <w:p w14:paraId="4A88648D" w14:textId="77777777" w:rsidR="00524B07" w:rsidRPr="00CC2E73" w:rsidRDefault="00524B07" w:rsidP="00FF2594">
            <w:pPr>
              <w:pStyle w:val="Tabletext"/>
              <w:jc w:val="center"/>
            </w:pPr>
            <w:r w:rsidRPr="00CC2E73">
              <w:rPr>
                <w:lang w:eastAsia="zh-CN"/>
              </w:rPr>
              <w:t>–108° 07' 09"</w:t>
            </w:r>
          </w:p>
        </w:tc>
        <w:tc>
          <w:tcPr>
            <w:tcW w:w="2131" w:type="dxa"/>
          </w:tcPr>
          <w:p w14:paraId="6D864518" w14:textId="77777777" w:rsidR="00524B07" w:rsidRPr="00CC2E73" w:rsidRDefault="00524B07" w:rsidP="00FF2594">
            <w:pPr>
              <w:pStyle w:val="Tabletext"/>
              <w:jc w:val="center"/>
            </w:pPr>
            <w:r w:rsidRPr="00CC2E73">
              <w:t>25 m</w:t>
            </w:r>
          </w:p>
        </w:tc>
      </w:tr>
      <w:tr w:rsidR="00524B07" w:rsidRPr="00CC2E73" w14:paraId="29A1C598" w14:textId="77777777" w:rsidTr="007B3415">
        <w:trPr>
          <w:jc w:val="center"/>
        </w:trPr>
        <w:tc>
          <w:tcPr>
            <w:tcW w:w="1555" w:type="dxa"/>
            <w:vMerge/>
            <w:vAlign w:val="center"/>
          </w:tcPr>
          <w:p w14:paraId="7F026D0D" w14:textId="77777777" w:rsidR="00524B07" w:rsidRPr="00CC2E73" w:rsidRDefault="00524B07" w:rsidP="00FF2594">
            <w:pPr>
              <w:pStyle w:val="Tabletext"/>
            </w:pPr>
          </w:p>
        </w:tc>
        <w:tc>
          <w:tcPr>
            <w:tcW w:w="2534" w:type="dxa"/>
          </w:tcPr>
          <w:p w14:paraId="1B1E7BD1" w14:textId="77777777" w:rsidR="00524B07" w:rsidRPr="00CC2E73" w:rsidRDefault="00524B07" w:rsidP="00FF2594">
            <w:pPr>
              <w:pStyle w:val="Tabletext"/>
            </w:pPr>
            <w:r w:rsidRPr="00CC2E73">
              <w:rPr>
                <w:lang w:eastAsia="zh-CN"/>
              </w:rPr>
              <w:t>VLBA St. Croix, VI</w:t>
            </w:r>
          </w:p>
        </w:tc>
        <w:tc>
          <w:tcPr>
            <w:tcW w:w="1718" w:type="dxa"/>
          </w:tcPr>
          <w:p w14:paraId="7B80D092" w14:textId="77777777" w:rsidR="00524B07" w:rsidRPr="00CC2E73" w:rsidRDefault="00524B07" w:rsidP="00FF2594">
            <w:pPr>
              <w:pStyle w:val="Tabletext"/>
              <w:jc w:val="center"/>
            </w:pPr>
            <w:r w:rsidRPr="00CC2E73">
              <w:rPr>
                <w:lang w:eastAsia="zh-CN"/>
              </w:rPr>
              <w:t>17° 45' 24"</w:t>
            </w:r>
          </w:p>
        </w:tc>
        <w:tc>
          <w:tcPr>
            <w:tcW w:w="1701" w:type="dxa"/>
          </w:tcPr>
          <w:p w14:paraId="17CE7477" w14:textId="77777777" w:rsidR="00524B07" w:rsidRPr="00CC2E73" w:rsidRDefault="00524B07" w:rsidP="00FF2594">
            <w:pPr>
              <w:pStyle w:val="Tabletext"/>
              <w:jc w:val="center"/>
            </w:pPr>
            <w:r w:rsidRPr="00CC2E73">
              <w:rPr>
                <w:lang w:eastAsia="zh-CN"/>
              </w:rPr>
              <w:t>–64° 35' 01"</w:t>
            </w:r>
          </w:p>
        </w:tc>
        <w:tc>
          <w:tcPr>
            <w:tcW w:w="2131" w:type="dxa"/>
          </w:tcPr>
          <w:p w14:paraId="6656C3C8" w14:textId="77777777" w:rsidR="00524B07" w:rsidRPr="00CC2E73" w:rsidRDefault="00524B07" w:rsidP="00FF2594">
            <w:pPr>
              <w:pStyle w:val="Tabletext"/>
              <w:jc w:val="center"/>
            </w:pPr>
            <w:r w:rsidRPr="00CC2E73">
              <w:t>25 m</w:t>
            </w:r>
          </w:p>
        </w:tc>
      </w:tr>
    </w:tbl>
    <w:p w14:paraId="4933FA6D" w14:textId="77777777" w:rsidR="00524B07" w:rsidRPr="00CC2E73" w:rsidRDefault="00524B07" w:rsidP="00735651">
      <w:pPr>
        <w:pStyle w:val="Tablefin"/>
      </w:pPr>
    </w:p>
    <w:p w14:paraId="6A1AFEF6" w14:textId="77777777" w:rsidR="00524B07" w:rsidRPr="00CC2E73" w:rsidRDefault="00524B07" w:rsidP="001E435E">
      <w:pPr>
        <w:pStyle w:val="Headingb"/>
        <w:rPr>
          <w:rFonts w:eastAsia="Batang"/>
        </w:rPr>
      </w:pPr>
      <w:r w:rsidRPr="00CC2E73">
        <w:rPr>
          <w:rFonts w:eastAsia="Batang"/>
        </w:rPr>
        <w:t xml:space="preserve">List of radio astronomy stations capable of operating in the band 10.6-10.7 GHz </w:t>
      </w:r>
    </w:p>
    <w:p w14:paraId="28B41BA1" w14:textId="77777777" w:rsidR="00524B07" w:rsidRPr="00CC2E73" w:rsidRDefault="00524B07" w:rsidP="009C7987">
      <w:pPr>
        <w:pStyle w:val="Tabletitle"/>
        <w:spacing w:before="240"/>
      </w:pPr>
      <w:r w:rsidRPr="00CC2E73">
        <w:t>Region 3</w:t>
      </w:r>
    </w:p>
    <w:tbl>
      <w:tblPr>
        <w:tblW w:w="9639"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2551"/>
        <w:gridCol w:w="1843"/>
        <w:gridCol w:w="1701"/>
        <w:gridCol w:w="1992"/>
      </w:tblGrid>
      <w:tr w:rsidR="00524B07" w:rsidRPr="00CC2E73" w14:paraId="5E939122" w14:textId="77777777" w:rsidTr="0003249C">
        <w:trPr>
          <w:trHeight w:val="340"/>
          <w:tblHeade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094B76C" w14:textId="77777777" w:rsidR="00524B07" w:rsidRPr="00CC2E73" w:rsidRDefault="00524B07" w:rsidP="00FF2594">
            <w:pPr>
              <w:pStyle w:val="Tablehead"/>
            </w:pPr>
            <w:r w:rsidRPr="00CC2E73">
              <w:t>Country</w:t>
            </w:r>
          </w:p>
        </w:tc>
        <w:tc>
          <w:tcPr>
            <w:tcW w:w="2551" w:type="dxa"/>
            <w:tcBorders>
              <w:top w:val="single" w:sz="6" w:space="0" w:color="auto"/>
              <w:left w:val="single" w:sz="6" w:space="0" w:color="auto"/>
              <w:bottom w:val="single" w:sz="6" w:space="0" w:color="auto"/>
              <w:right w:val="single" w:sz="6" w:space="0" w:color="auto"/>
            </w:tcBorders>
            <w:hideMark/>
          </w:tcPr>
          <w:p w14:paraId="044D6C1A" w14:textId="77777777" w:rsidR="00524B07" w:rsidRPr="00CC2E73" w:rsidRDefault="00524B07" w:rsidP="00FF2594">
            <w:pPr>
              <w:pStyle w:val="Tablehead"/>
            </w:pPr>
            <w:r w:rsidRPr="00CC2E73">
              <w:t>Name</w:t>
            </w:r>
          </w:p>
        </w:tc>
        <w:tc>
          <w:tcPr>
            <w:tcW w:w="1843" w:type="dxa"/>
            <w:tcBorders>
              <w:top w:val="single" w:sz="6" w:space="0" w:color="auto"/>
              <w:left w:val="single" w:sz="6" w:space="0" w:color="auto"/>
              <w:bottom w:val="single" w:sz="6" w:space="0" w:color="auto"/>
              <w:right w:val="single" w:sz="6" w:space="0" w:color="auto"/>
            </w:tcBorders>
            <w:hideMark/>
          </w:tcPr>
          <w:p w14:paraId="2938C7F6" w14:textId="41773304" w:rsidR="00524B07" w:rsidRPr="00CC2E73" w:rsidRDefault="00524B07" w:rsidP="00FF2594">
            <w:pPr>
              <w:pStyle w:val="Tablehead"/>
            </w:pPr>
            <w:r w:rsidRPr="00CC2E73">
              <w:t xml:space="preserve">N </w:t>
            </w:r>
            <w:r w:rsidR="00237B89" w:rsidRPr="00CC2E73">
              <w:t>latitude</w:t>
            </w:r>
          </w:p>
        </w:tc>
        <w:tc>
          <w:tcPr>
            <w:tcW w:w="1701" w:type="dxa"/>
            <w:tcBorders>
              <w:top w:val="single" w:sz="6" w:space="0" w:color="auto"/>
              <w:left w:val="single" w:sz="6" w:space="0" w:color="auto"/>
              <w:bottom w:val="single" w:sz="6" w:space="0" w:color="auto"/>
              <w:right w:val="single" w:sz="6" w:space="0" w:color="auto"/>
            </w:tcBorders>
            <w:hideMark/>
          </w:tcPr>
          <w:p w14:paraId="025BE9C9" w14:textId="3A2DFFF3" w:rsidR="00524B07" w:rsidRPr="00CC2E73" w:rsidRDefault="00524B07" w:rsidP="00FF2594">
            <w:pPr>
              <w:pStyle w:val="Tablehead"/>
            </w:pPr>
            <w:r w:rsidRPr="00CC2E73">
              <w:t xml:space="preserve">E </w:t>
            </w:r>
            <w:r w:rsidR="00237B89" w:rsidRPr="00CC2E73">
              <w:t>longitude</w:t>
            </w:r>
          </w:p>
        </w:tc>
        <w:tc>
          <w:tcPr>
            <w:tcW w:w="1992" w:type="dxa"/>
            <w:tcBorders>
              <w:top w:val="single" w:sz="6" w:space="0" w:color="auto"/>
              <w:left w:val="single" w:sz="6" w:space="0" w:color="auto"/>
              <w:bottom w:val="single" w:sz="6" w:space="0" w:color="auto"/>
              <w:right w:val="single" w:sz="6" w:space="0" w:color="auto"/>
            </w:tcBorders>
            <w:hideMark/>
          </w:tcPr>
          <w:p w14:paraId="1B246717" w14:textId="2CD12E8E" w:rsidR="00524B07" w:rsidRPr="00CC2E73" w:rsidRDefault="00524B07" w:rsidP="00FF2594">
            <w:pPr>
              <w:pStyle w:val="Tablehead"/>
            </w:pPr>
            <w:r w:rsidRPr="00CC2E73">
              <w:t>Antenna size</w:t>
            </w:r>
            <w:r w:rsidRPr="00515A03">
              <w:rPr>
                <w:rStyle w:val="FootnoteReference"/>
                <w:b w:val="0"/>
                <w:bCs/>
              </w:rPr>
              <w:footnoteReference w:id="4"/>
            </w:r>
            <w:r w:rsidRPr="00515A03">
              <w:rPr>
                <w:b w:val="0"/>
                <w:bCs/>
              </w:rPr>
              <w:t xml:space="preserve"> </w:t>
            </w:r>
          </w:p>
        </w:tc>
      </w:tr>
      <w:tr w:rsidR="00524B07" w:rsidRPr="00CC2E73" w14:paraId="75CDE3D4" w14:textId="77777777" w:rsidTr="0003249C">
        <w:trPr>
          <w:jc w:val="center"/>
        </w:trPr>
        <w:tc>
          <w:tcPr>
            <w:tcW w:w="1552" w:type="dxa"/>
            <w:vMerge w:val="restart"/>
            <w:tcBorders>
              <w:top w:val="single" w:sz="6" w:space="0" w:color="auto"/>
              <w:left w:val="single" w:sz="6" w:space="0" w:color="auto"/>
              <w:right w:val="single" w:sz="6" w:space="0" w:color="auto"/>
            </w:tcBorders>
            <w:vAlign w:val="center"/>
            <w:hideMark/>
          </w:tcPr>
          <w:p w14:paraId="5E33A389" w14:textId="77777777" w:rsidR="00524B07" w:rsidRPr="00CC2E73" w:rsidRDefault="00524B07" w:rsidP="00FF2594">
            <w:pPr>
              <w:pStyle w:val="Tabletext"/>
            </w:pPr>
            <w:r w:rsidRPr="00CC2E73">
              <w:t>Australia</w:t>
            </w:r>
          </w:p>
        </w:tc>
        <w:tc>
          <w:tcPr>
            <w:tcW w:w="2551" w:type="dxa"/>
            <w:tcBorders>
              <w:top w:val="single" w:sz="6" w:space="0" w:color="auto"/>
              <w:left w:val="single" w:sz="6" w:space="0" w:color="auto"/>
              <w:bottom w:val="single" w:sz="6" w:space="0" w:color="auto"/>
              <w:right w:val="single" w:sz="6" w:space="0" w:color="auto"/>
            </w:tcBorders>
            <w:vAlign w:val="center"/>
            <w:hideMark/>
          </w:tcPr>
          <w:p w14:paraId="7E15A4F8" w14:textId="77777777" w:rsidR="00524B07" w:rsidRPr="00CC2E73" w:rsidRDefault="00524B07" w:rsidP="00FF2594">
            <w:pPr>
              <w:pStyle w:val="Tabletext"/>
            </w:pPr>
            <w:r w:rsidRPr="00CC2E73">
              <w:t>Parkes</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F66B502" w14:textId="19DDAD60" w:rsidR="00524B07" w:rsidRPr="00CC2E73" w:rsidRDefault="00524B07" w:rsidP="00FF2594">
            <w:pPr>
              <w:pStyle w:val="Tabletext"/>
              <w:jc w:val="center"/>
            </w:pPr>
            <w:r w:rsidRPr="00CC2E73">
              <w:t>–3</w:t>
            </w:r>
            <w:r w:rsidRPr="00CC2E73">
              <w:rPr>
                <w:lang w:eastAsia="ja-JP"/>
              </w:rPr>
              <w:t>3</w:t>
            </w:r>
            <w:r w:rsidR="00C4321E" w:rsidRPr="00CC2E73">
              <w:t xml:space="preserve">° </w:t>
            </w:r>
            <w:r w:rsidRPr="00CC2E73">
              <w:rPr>
                <w:lang w:eastAsia="ja-JP"/>
              </w:rPr>
              <w:t>00</w:t>
            </w:r>
            <w:r w:rsidRPr="00CC2E73">
              <w:t>' 00"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3ACB65" w14:textId="65DE8B2A" w:rsidR="00524B07" w:rsidRPr="00CC2E73" w:rsidRDefault="00524B07" w:rsidP="00FF2594">
            <w:pPr>
              <w:pStyle w:val="Tabletext"/>
              <w:jc w:val="center"/>
            </w:pPr>
            <w:r w:rsidRPr="00CC2E73">
              <w:t>148</w:t>
            </w:r>
            <w:r w:rsidR="00C4321E" w:rsidRPr="00CC2E73">
              <w:t xml:space="preserve">° </w:t>
            </w:r>
            <w:r w:rsidRPr="00CC2E73">
              <w:t>15' 44"</w:t>
            </w:r>
          </w:p>
        </w:tc>
        <w:tc>
          <w:tcPr>
            <w:tcW w:w="1992" w:type="dxa"/>
            <w:tcBorders>
              <w:top w:val="single" w:sz="6" w:space="0" w:color="auto"/>
              <w:left w:val="single" w:sz="6" w:space="0" w:color="auto"/>
              <w:bottom w:val="single" w:sz="6" w:space="0" w:color="auto"/>
              <w:right w:val="single" w:sz="6" w:space="0" w:color="auto"/>
            </w:tcBorders>
            <w:vAlign w:val="center"/>
            <w:hideMark/>
          </w:tcPr>
          <w:p w14:paraId="6499A7F9" w14:textId="77777777" w:rsidR="00524B07" w:rsidRPr="00CC2E73" w:rsidRDefault="00524B07" w:rsidP="00FF2594">
            <w:pPr>
              <w:pStyle w:val="Tabletext"/>
              <w:jc w:val="center"/>
            </w:pPr>
            <w:r w:rsidRPr="00CC2E73">
              <w:t>64 m</w:t>
            </w:r>
          </w:p>
        </w:tc>
      </w:tr>
      <w:tr w:rsidR="00524B07" w:rsidRPr="00CC2E73" w14:paraId="0202F4BB" w14:textId="77777777" w:rsidTr="0003249C">
        <w:trPr>
          <w:jc w:val="center"/>
        </w:trPr>
        <w:tc>
          <w:tcPr>
            <w:tcW w:w="1552" w:type="dxa"/>
            <w:vMerge/>
            <w:tcBorders>
              <w:left w:val="single" w:sz="6" w:space="0" w:color="auto"/>
              <w:right w:val="single" w:sz="6" w:space="0" w:color="auto"/>
            </w:tcBorders>
            <w:vAlign w:val="center"/>
            <w:hideMark/>
          </w:tcPr>
          <w:p w14:paraId="76AA3D30"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7BFA6055" w14:textId="77777777" w:rsidR="00524B07" w:rsidRPr="00CC2E73" w:rsidRDefault="00524B07" w:rsidP="00FF2594">
            <w:pPr>
              <w:pStyle w:val="Tabletext"/>
            </w:pPr>
            <w:r w:rsidRPr="00CC2E73">
              <w:t>Katherine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F4E8D7F" w14:textId="1A35A3B9" w:rsidR="00524B07" w:rsidRPr="00CC2E73" w:rsidRDefault="00524B07" w:rsidP="00FF2594">
            <w:pPr>
              <w:pStyle w:val="Tabletext"/>
              <w:jc w:val="center"/>
            </w:pPr>
            <w:r w:rsidRPr="00CC2E73">
              <w:t>–14</w:t>
            </w:r>
            <w:r w:rsidR="00C4321E" w:rsidRPr="00CC2E73">
              <w:t xml:space="preserve">° </w:t>
            </w:r>
            <w:r w:rsidRPr="00CC2E73">
              <w:t>22' 30"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971B47" w14:textId="42EAE43B" w:rsidR="00524B07" w:rsidRPr="00CC2E73" w:rsidRDefault="00524B07" w:rsidP="00FF2594">
            <w:pPr>
              <w:pStyle w:val="Tabletext"/>
              <w:jc w:val="center"/>
            </w:pPr>
            <w:r w:rsidRPr="00CC2E73">
              <w:t>132</w:t>
            </w:r>
            <w:r w:rsidR="00C4321E" w:rsidRPr="00CC2E73">
              <w:t xml:space="preserve">° </w:t>
            </w:r>
            <w:r w:rsidRPr="00CC2E73">
              <w:t>09' 07"</w:t>
            </w:r>
          </w:p>
        </w:tc>
        <w:tc>
          <w:tcPr>
            <w:tcW w:w="1992" w:type="dxa"/>
            <w:tcBorders>
              <w:top w:val="single" w:sz="6" w:space="0" w:color="auto"/>
              <w:left w:val="single" w:sz="6" w:space="0" w:color="auto"/>
              <w:bottom w:val="single" w:sz="6" w:space="0" w:color="auto"/>
              <w:right w:val="single" w:sz="6" w:space="0" w:color="auto"/>
            </w:tcBorders>
            <w:vAlign w:val="center"/>
            <w:hideMark/>
          </w:tcPr>
          <w:p w14:paraId="26FE39FA" w14:textId="77777777" w:rsidR="00524B07" w:rsidRPr="00CC2E73" w:rsidRDefault="00524B07" w:rsidP="00FF2594">
            <w:pPr>
              <w:pStyle w:val="Tabletext"/>
              <w:jc w:val="center"/>
            </w:pPr>
            <w:r w:rsidRPr="00CC2E73">
              <w:t>12 m</w:t>
            </w:r>
          </w:p>
        </w:tc>
      </w:tr>
      <w:tr w:rsidR="00524B07" w:rsidRPr="00CC2E73" w14:paraId="3BB77118" w14:textId="77777777" w:rsidTr="0003249C">
        <w:trPr>
          <w:jc w:val="center"/>
        </w:trPr>
        <w:tc>
          <w:tcPr>
            <w:tcW w:w="1552" w:type="dxa"/>
            <w:vMerge/>
            <w:tcBorders>
              <w:left w:val="single" w:sz="6" w:space="0" w:color="auto"/>
              <w:right w:val="single" w:sz="6" w:space="0" w:color="auto"/>
            </w:tcBorders>
            <w:vAlign w:val="center"/>
            <w:hideMark/>
          </w:tcPr>
          <w:p w14:paraId="4673534B"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514F4847" w14:textId="77777777" w:rsidR="00524B07" w:rsidRPr="00CC2E73" w:rsidRDefault="00524B07" w:rsidP="00FF2594">
            <w:pPr>
              <w:pStyle w:val="Tabletext"/>
            </w:pPr>
            <w:r w:rsidRPr="00CC2E73">
              <w:t>Mopra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994A914" w14:textId="57015F6B" w:rsidR="00524B07" w:rsidRPr="00CC2E73" w:rsidRDefault="00524B07" w:rsidP="00FF2594">
            <w:pPr>
              <w:pStyle w:val="Tabletext"/>
              <w:jc w:val="center"/>
            </w:pPr>
            <w:r w:rsidRPr="00CC2E73">
              <w:t>–31</w:t>
            </w:r>
            <w:r w:rsidR="0094002D" w:rsidRPr="00CC2E73">
              <w:t xml:space="preserve">° </w:t>
            </w:r>
            <w:r w:rsidRPr="00CC2E73">
              <w:t>16' 04"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7274394" w14:textId="6A8AE65C" w:rsidR="00524B07" w:rsidRPr="00CC2E73" w:rsidRDefault="00524B07" w:rsidP="00FF2594">
            <w:pPr>
              <w:pStyle w:val="Tabletext"/>
              <w:jc w:val="center"/>
            </w:pPr>
            <w:r w:rsidRPr="00CC2E73">
              <w:t>149</w:t>
            </w:r>
            <w:r w:rsidR="00C4321E" w:rsidRPr="00CC2E73">
              <w:t xml:space="preserve">° </w:t>
            </w:r>
            <w:r w:rsidRPr="00CC2E73">
              <w:t>05' 58"</w:t>
            </w:r>
          </w:p>
        </w:tc>
        <w:tc>
          <w:tcPr>
            <w:tcW w:w="1992" w:type="dxa"/>
            <w:tcBorders>
              <w:top w:val="single" w:sz="6" w:space="0" w:color="auto"/>
              <w:left w:val="single" w:sz="6" w:space="0" w:color="auto"/>
              <w:bottom w:val="single" w:sz="6" w:space="0" w:color="auto"/>
              <w:right w:val="single" w:sz="6" w:space="0" w:color="auto"/>
            </w:tcBorders>
            <w:vAlign w:val="center"/>
            <w:hideMark/>
          </w:tcPr>
          <w:p w14:paraId="08583A0B" w14:textId="77777777" w:rsidR="00524B07" w:rsidRPr="00CC2E73" w:rsidRDefault="00524B07" w:rsidP="00FF2594">
            <w:pPr>
              <w:pStyle w:val="Tabletext"/>
              <w:jc w:val="center"/>
            </w:pPr>
            <w:r w:rsidRPr="00CC2E73">
              <w:t>22 m</w:t>
            </w:r>
          </w:p>
        </w:tc>
      </w:tr>
      <w:tr w:rsidR="00524B07" w:rsidRPr="00CC2E73" w14:paraId="47468C89" w14:textId="77777777" w:rsidTr="0003249C">
        <w:trPr>
          <w:jc w:val="center"/>
        </w:trPr>
        <w:tc>
          <w:tcPr>
            <w:tcW w:w="1552" w:type="dxa"/>
            <w:vMerge/>
            <w:tcBorders>
              <w:left w:val="single" w:sz="6" w:space="0" w:color="auto"/>
              <w:right w:val="single" w:sz="6" w:space="0" w:color="auto"/>
            </w:tcBorders>
            <w:vAlign w:val="center"/>
            <w:hideMark/>
          </w:tcPr>
          <w:p w14:paraId="077A68EF"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7E1849AD" w14:textId="77777777" w:rsidR="00524B07" w:rsidRPr="00CC2E73" w:rsidRDefault="00524B07" w:rsidP="00FF2594">
            <w:pPr>
              <w:pStyle w:val="Tabletext"/>
            </w:pPr>
            <w:r w:rsidRPr="00CC2E73">
              <w:t>ATCA (Narrabri)</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4CF5C2D" w14:textId="0BDFC8D0" w:rsidR="00524B07" w:rsidRPr="00EC6F60" w:rsidRDefault="00524B07" w:rsidP="00FF2594">
            <w:pPr>
              <w:pStyle w:val="Tabletext"/>
              <w:jc w:val="center"/>
            </w:pPr>
            <w:r w:rsidRPr="00EC6F60">
              <w:t>–30</w:t>
            </w:r>
            <w:r w:rsidR="00C4321E" w:rsidRPr="00CC2E73">
              <w:t xml:space="preserve">° </w:t>
            </w:r>
            <w:r w:rsidRPr="00EC6F60">
              <w:t>18' 47"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20FD43C" w14:textId="1DEC82C8" w:rsidR="00524B07" w:rsidRPr="00EC6F60" w:rsidRDefault="00524B07" w:rsidP="00FF2594">
            <w:pPr>
              <w:pStyle w:val="Tabletext"/>
              <w:jc w:val="center"/>
            </w:pPr>
            <w:r w:rsidRPr="00EC6F60">
              <w:t>149</w:t>
            </w:r>
            <w:r w:rsidR="00C4321E" w:rsidRPr="00CC2E73">
              <w:t xml:space="preserve">° </w:t>
            </w:r>
            <w:r w:rsidRPr="00EC6F60">
              <w:t>33' 52"</w:t>
            </w:r>
          </w:p>
        </w:tc>
        <w:tc>
          <w:tcPr>
            <w:tcW w:w="1992" w:type="dxa"/>
            <w:tcBorders>
              <w:top w:val="single" w:sz="6" w:space="0" w:color="auto"/>
              <w:left w:val="single" w:sz="6" w:space="0" w:color="auto"/>
              <w:bottom w:val="single" w:sz="6" w:space="0" w:color="auto"/>
              <w:right w:val="single" w:sz="6" w:space="0" w:color="auto"/>
            </w:tcBorders>
            <w:vAlign w:val="center"/>
            <w:hideMark/>
          </w:tcPr>
          <w:p w14:paraId="544DC9E1" w14:textId="7A1DB970" w:rsidR="00524B07" w:rsidRPr="00CC2E73" w:rsidRDefault="00524B07" w:rsidP="00FF2594">
            <w:pPr>
              <w:pStyle w:val="Tabletext"/>
              <w:jc w:val="center"/>
            </w:pPr>
            <w:r w:rsidRPr="00CC2E73">
              <w:t>6 × 22 m</w:t>
            </w:r>
          </w:p>
        </w:tc>
      </w:tr>
      <w:tr w:rsidR="00524B07" w:rsidRPr="00CC2E73" w14:paraId="2BAA2219" w14:textId="77777777" w:rsidTr="0003249C">
        <w:trPr>
          <w:jc w:val="center"/>
        </w:trPr>
        <w:tc>
          <w:tcPr>
            <w:tcW w:w="1552" w:type="dxa"/>
            <w:vMerge/>
            <w:tcBorders>
              <w:left w:val="single" w:sz="6" w:space="0" w:color="auto"/>
              <w:right w:val="single" w:sz="6" w:space="0" w:color="auto"/>
            </w:tcBorders>
            <w:vAlign w:val="center"/>
            <w:hideMark/>
          </w:tcPr>
          <w:p w14:paraId="788A4EC4"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6CFC9DBA" w14:textId="77777777" w:rsidR="00524B07" w:rsidRPr="00CC2E73" w:rsidRDefault="00524B07" w:rsidP="00FF2594">
            <w:pPr>
              <w:pStyle w:val="Tabletext"/>
            </w:pPr>
            <w:r w:rsidRPr="00CC2E73">
              <w:t>Tidbinbilla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23BD165" w14:textId="5AC6A237" w:rsidR="00524B07" w:rsidRPr="00CC2E73" w:rsidRDefault="00524B07" w:rsidP="00FF2594">
            <w:pPr>
              <w:pStyle w:val="Tabletext"/>
              <w:jc w:val="center"/>
            </w:pPr>
            <w:r w:rsidRPr="00CC2E73">
              <w:t>–35</w:t>
            </w:r>
            <w:r w:rsidR="00C4321E" w:rsidRPr="00CC2E73">
              <w:t xml:space="preserve">° </w:t>
            </w:r>
            <w:r w:rsidRPr="00CC2E73">
              <w:t>24' 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DCEE07" w14:textId="19370B29" w:rsidR="00524B07" w:rsidRPr="00CC2E73" w:rsidRDefault="00524B07" w:rsidP="00FF2594">
            <w:pPr>
              <w:pStyle w:val="Tabletext"/>
              <w:jc w:val="center"/>
            </w:pPr>
            <w:r w:rsidRPr="00CC2E73">
              <w:t>148</w:t>
            </w:r>
            <w:r w:rsidR="00C4321E" w:rsidRPr="00CC2E73">
              <w:t xml:space="preserve">° </w:t>
            </w:r>
            <w:r w:rsidRPr="00CC2E73">
              <w:t>58' 59"</w:t>
            </w:r>
          </w:p>
        </w:tc>
        <w:tc>
          <w:tcPr>
            <w:tcW w:w="1992" w:type="dxa"/>
            <w:tcBorders>
              <w:top w:val="single" w:sz="6" w:space="0" w:color="auto"/>
              <w:left w:val="single" w:sz="6" w:space="0" w:color="auto"/>
              <w:bottom w:val="single" w:sz="6" w:space="0" w:color="auto"/>
              <w:right w:val="single" w:sz="6" w:space="0" w:color="auto"/>
            </w:tcBorders>
            <w:vAlign w:val="center"/>
            <w:hideMark/>
          </w:tcPr>
          <w:p w14:paraId="25A45052" w14:textId="77777777" w:rsidR="00524B07" w:rsidRPr="00CC2E73" w:rsidRDefault="00524B07" w:rsidP="00FF2594">
            <w:pPr>
              <w:pStyle w:val="Tabletext"/>
              <w:jc w:val="center"/>
            </w:pPr>
            <w:r w:rsidRPr="00CC2E73">
              <w:t>70 m, 34 m</w:t>
            </w:r>
          </w:p>
        </w:tc>
      </w:tr>
      <w:tr w:rsidR="00524B07" w:rsidRPr="00CC2E73" w14:paraId="57123ED3" w14:textId="77777777" w:rsidTr="0003249C">
        <w:trPr>
          <w:jc w:val="center"/>
        </w:trPr>
        <w:tc>
          <w:tcPr>
            <w:tcW w:w="1552" w:type="dxa"/>
            <w:vMerge/>
            <w:tcBorders>
              <w:left w:val="single" w:sz="6" w:space="0" w:color="auto"/>
              <w:right w:val="single" w:sz="6" w:space="0" w:color="auto"/>
            </w:tcBorders>
            <w:vAlign w:val="center"/>
            <w:hideMark/>
          </w:tcPr>
          <w:p w14:paraId="38EAD76C"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245728DF" w14:textId="77777777" w:rsidR="00524B07" w:rsidRPr="00CC2E73" w:rsidRDefault="00524B07" w:rsidP="00FF2594">
            <w:pPr>
              <w:pStyle w:val="Tabletext"/>
            </w:pPr>
            <w:r w:rsidRPr="00CC2E73">
              <w:t>Hobart (Mt. Pleasant)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EC7B64C" w14:textId="5AFA57E1" w:rsidR="00524B07" w:rsidRPr="00CC2E73" w:rsidRDefault="00524B07" w:rsidP="00FF2594">
            <w:pPr>
              <w:pStyle w:val="Tabletext"/>
              <w:jc w:val="center"/>
            </w:pPr>
            <w:r w:rsidRPr="00CC2E73">
              <w:t>–</w:t>
            </w:r>
            <w:r w:rsidRPr="00CC2E73">
              <w:rPr>
                <w:lang w:eastAsia="ja-JP"/>
              </w:rPr>
              <w:t>42</w:t>
            </w:r>
            <w:r w:rsidR="00C4321E" w:rsidRPr="00CC2E73">
              <w:t xml:space="preserve">° </w:t>
            </w:r>
            <w:r w:rsidRPr="00CC2E73">
              <w:rPr>
                <w:lang w:eastAsia="ja-JP"/>
              </w:rPr>
              <w:t>48</w:t>
            </w:r>
            <w:r w:rsidRPr="00CC2E73">
              <w:t>' 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EA95FCC" w14:textId="102E3D78" w:rsidR="00524B07" w:rsidRPr="00CC2E73" w:rsidRDefault="00524B07" w:rsidP="00FF2594">
            <w:pPr>
              <w:pStyle w:val="Tabletext"/>
              <w:jc w:val="center"/>
            </w:pPr>
            <w:r w:rsidRPr="00CC2E73">
              <w:t>14</w:t>
            </w:r>
            <w:r w:rsidRPr="00CC2E73">
              <w:rPr>
                <w:lang w:eastAsia="ja-JP"/>
              </w:rPr>
              <w:t>7</w:t>
            </w:r>
            <w:r w:rsidR="00C4321E" w:rsidRPr="00CC2E73">
              <w:t xml:space="preserve">° </w:t>
            </w:r>
            <w:r w:rsidRPr="00CC2E73">
              <w:rPr>
                <w:lang w:eastAsia="ja-JP"/>
              </w:rPr>
              <w:t>26</w:t>
            </w:r>
            <w:r w:rsidRPr="00CC2E73">
              <w:t xml:space="preserve">' </w:t>
            </w:r>
            <w:r w:rsidRPr="00CC2E73">
              <w:rPr>
                <w:lang w:eastAsia="ja-JP"/>
              </w:rPr>
              <w:t>21</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hideMark/>
          </w:tcPr>
          <w:p w14:paraId="12CCD4F4" w14:textId="2403CA1C" w:rsidR="00524B07" w:rsidRPr="00CC2E73" w:rsidRDefault="00524B07" w:rsidP="00FF2594">
            <w:pPr>
              <w:pStyle w:val="Tabletext"/>
              <w:jc w:val="center"/>
            </w:pPr>
            <w:r w:rsidRPr="00CC2E73">
              <w:t>26</w:t>
            </w:r>
            <w:r w:rsidR="00351DFB">
              <w:t xml:space="preserve"> </w:t>
            </w:r>
            <w:r w:rsidRPr="00CC2E73">
              <w:t>m, 12 m</w:t>
            </w:r>
          </w:p>
        </w:tc>
      </w:tr>
      <w:tr w:rsidR="00524B07" w:rsidRPr="00CC2E73" w14:paraId="4C09B03A" w14:textId="77777777" w:rsidTr="0003249C">
        <w:trPr>
          <w:jc w:val="center"/>
        </w:trPr>
        <w:tc>
          <w:tcPr>
            <w:tcW w:w="1552" w:type="dxa"/>
            <w:vMerge/>
            <w:tcBorders>
              <w:left w:val="single" w:sz="6" w:space="0" w:color="auto"/>
              <w:right w:val="single" w:sz="6" w:space="0" w:color="auto"/>
            </w:tcBorders>
            <w:vAlign w:val="center"/>
            <w:hideMark/>
          </w:tcPr>
          <w:p w14:paraId="7201089B"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2CB407FD" w14:textId="77777777" w:rsidR="00524B07" w:rsidRPr="00CC2E73" w:rsidRDefault="00524B07" w:rsidP="00FF2594">
            <w:pPr>
              <w:pStyle w:val="Tabletext"/>
            </w:pPr>
            <w:r w:rsidRPr="00CC2E73">
              <w:t>Ceduna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1A33B1F" w14:textId="5A9F662C" w:rsidR="00524B07" w:rsidRPr="00CC2E73" w:rsidRDefault="00524B07" w:rsidP="00FF2594">
            <w:pPr>
              <w:pStyle w:val="Tabletext"/>
              <w:jc w:val="center"/>
            </w:pPr>
            <w:r w:rsidRPr="00CC2E73">
              <w:t>–31</w:t>
            </w:r>
            <w:r w:rsidR="00C4321E" w:rsidRPr="00CC2E73">
              <w:t xml:space="preserve">° </w:t>
            </w:r>
            <w:r w:rsidRPr="00CC2E73">
              <w:t>52' 05</w:t>
            </w:r>
            <w:r w:rsidRPr="00CC2E73">
              <w:rPr>
                <w:lang w:eastAsia="zh-CN"/>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E1FCF4E" w14:textId="7EEC1A25" w:rsidR="00524B07" w:rsidRPr="00CC2E73" w:rsidRDefault="00524B07" w:rsidP="00FF2594">
            <w:pPr>
              <w:pStyle w:val="Tabletext"/>
              <w:jc w:val="center"/>
            </w:pPr>
            <w:r w:rsidRPr="00CC2E73">
              <w:t>133</w:t>
            </w:r>
            <w:r w:rsidR="00C4321E" w:rsidRPr="00CC2E73">
              <w:t xml:space="preserve">° </w:t>
            </w:r>
            <w:r w:rsidRPr="00CC2E73">
              <w:t>48' 37</w:t>
            </w:r>
            <w:r w:rsidRPr="00CC2E73">
              <w:rPr>
                <w:lang w:eastAsia="zh-CN"/>
              </w:rPr>
              <w:t>"</w:t>
            </w:r>
          </w:p>
        </w:tc>
        <w:tc>
          <w:tcPr>
            <w:tcW w:w="1992" w:type="dxa"/>
            <w:tcBorders>
              <w:top w:val="single" w:sz="6" w:space="0" w:color="auto"/>
              <w:left w:val="single" w:sz="6" w:space="0" w:color="auto"/>
              <w:bottom w:val="single" w:sz="6" w:space="0" w:color="auto"/>
              <w:right w:val="single" w:sz="6" w:space="0" w:color="auto"/>
            </w:tcBorders>
            <w:vAlign w:val="center"/>
            <w:hideMark/>
          </w:tcPr>
          <w:p w14:paraId="6560C245" w14:textId="105852C5" w:rsidR="00524B07" w:rsidRPr="00CC2E73" w:rsidRDefault="00524B07" w:rsidP="00FF2594">
            <w:pPr>
              <w:pStyle w:val="Tabletext"/>
              <w:jc w:val="center"/>
            </w:pPr>
            <w:r w:rsidRPr="00CC2E73">
              <w:t>30</w:t>
            </w:r>
            <w:r w:rsidR="00351DFB">
              <w:t xml:space="preserve"> </w:t>
            </w:r>
            <w:r w:rsidRPr="00CC2E73">
              <w:t>m</w:t>
            </w:r>
          </w:p>
        </w:tc>
      </w:tr>
      <w:tr w:rsidR="00524B07" w:rsidRPr="00CC2E73" w14:paraId="40EA83F2" w14:textId="77777777" w:rsidTr="0003249C">
        <w:trPr>
          <w:jc w:val="center"/>
        </w:trPr>
        <w:tc>
          <w:tcPr>
            <w:tcW w:w="1552" w:type="dxa"/>
            <w:vMerge/>
            <w:tcBorders>
              <w:left w:val="single" w:sz="6" w:space="0" w:color="auto"/>
              <w:bottom w:val="single" w:sz="6" w:space="0" w:color="auto"/>
              <w:right w:val="single" w:sz="6" w:space="0" w:color="auto"/>
            </w:tcBorders>
            <w:vAlign w:val="center"/>
            <w:hideMark/>
          </w:tcPr>
          <w:p w14:paraId="2ABA6EC6"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4D386344" w14:textId="77777777" w:rsidR="00524B07" w:rsidRPr="00CC2E73" w:rsidRDefault="00524B07" w:rsidP="00FF2594">
            <w:pPr>
              <w:pStyle w:val="Tabletext"/>
            </w:pPr>
            <w:r w:rsidRPr="00CC2E73">
              <w:t>Yarragadee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7451088" w14:textId="49C51060" w:rsidR="00524B07" w:rsidRPr="00CC2E73" w:rsidRDefault="00524B07" w:rsidP="00FF2594">
            <w:pPr>
              <w:pStyle w:val="Tabletext"/>
              <w:jc w:val="center"/>
            </w:pPr>
            <w:r w:rsidRPr="00CC2E73">
              <w:t>–29</w:t>
            </w:r>
            <w:r w:rsidR="00C4321E" w:rsidRPr="00CC2E73">
              <w:t xml:space="preserve">° </w:t>
            </w:r>
            <w:r w:rsidRPr="00CC2E73">
              <w:t>02' 47"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F97E94D" w14:textId="3810BD1B" w:rsidR="00524B07" w:rsidRPr="00CC2E73" w:rsidRDefault="00524B07" w:rsidP="00FF2594">
            <w:pPr>
              <w:pStyle w:val="Tabletext"/>
              <w:jc w:val="center"/>
            </w:pPr>
            <w:r w:rsidRPr="00CC2E73">
              <w:t>115</w:t>
            </w:r>
            <w:r w:rsidR="00C4321E" w:rsidRPr="00CC2E73">
              <w:t xml:space="preserve">° </w:t>
            </w:r>
            <w:r w:rsidRPr="00CC2E73">
              <w:t>20' 48"</w:t>
            </w:r>
          </w:p>
        </w:tc>
        <w:tc>
          <w:tcPr>
            <w:tcW w:w="1992" w:type="dxa"/>
            <w:tcBorders>
              <w:top w:val="single" w:sz="6" w:space="0" w:color="auto"/>
              <w:left w:val="single" w:sz="6" w:space="0" w:color="auto"/>
              <w:bottom w:val="single" w:sz="6" w:space="0" w:color="auto"/>
              <w:right w:val="single" w:sz="6" w:space="0" w:color="auto"/>
            </w:tcBorders>
            <w:vAlign w:val="center"/>
            <w:hideMark/>
          </w:tcPr>
          <w:p w14:paraId="01DE1C26" w14:textId="77777777" w:rsidR="00524B07" w:rsidRPr="00CC2E73" w:rsidRDefault="00524B07" w:rsidP="00FF2594">
            <w:pPr>
              <w:pStyle w:val="Tabletext"/>
              <w:jc w:val="center"/>
            </w:pPr>
            <w:r w:rsidRPr="00CC2E73">
              <w:t>12 m</w:t>
            </w:r>
          </w:p>
        </w:tc>
      </w:tr>
      <w:tr w:rsidR="00524B07" w:rsidRPr="00CC2E73" w14:paraId="583B0378" w14:textId="77777777" w:rsidTr="0003249C">
        <w:trPr>
          <w:jc w:val="center"/>
        </w:trPr>
        <w:tc>
          <w:tcPr>
            <w:tcW w:w="1552" w:type="dxa"/>
            <w:vMerge w:val="restart"/>
            <w:tcBorders>
              <w:top w:val="single" w:sz="6" w:space="0" w:color="auto"/>
              <w:left w:val="single" w:sz="6" w:space="0" w:color="auto"/>
              <w:right w:val="single" w:sz="6" w:space="0" w:color="auto"/>
            </w:tcBorders>
            <w:vAlign w:val="center"/>
            <w:hideMark/>
          </w:tcPr>
          <w:p w14:paraId="7FD49FD9" w14:textId="77777777" w:rsidR="00524B07" w:rsidRPr="00CC2E73" w:rsidRDefault="00524B07" w:rsidP="00FF2594">
            <w:pPr>
              <w:pStyle w:val="Tabletext"/>
              <w:rPr>
                <w:lang w:eastAsia="ko-KR"/>
              </w:rPr>
            </w:pPr>
            <w:r w:rsidRPr="00CC2E73">
              <w:rPr>
                <w:lang w:eastAsia="ko-KR"/>
              </w:rPr>
              <w:t>China</w:t>
            </w:r>
          </w:p>
        </w:tc>
        <w:tc>
          <w:tcPr>
            <w:tcW w:w="2551" w:type="dxa"/>
            <w:tcBorders>
              <w:top w:val="single" w:sz="6" w:space="0" w:color="auto"/>
              <w:left w:val="single" w:sz="6" w:space="0" w:color="auto"/>
              <w:bottom w:val="single" w:sz="6" w:space="0" w:color="auto"/>
              <w:right w:val="single" w:sz="6" w:space="0" w:color="auto"/>
            </w:tcBorders>
            <w:hideMark/>
          </w:tcPr>
          <w:p w14:paraId="1B053CDF" w14:textId="77777777" w:rsidR="00524B07" w:rsidRPr="00CC2E73" w:rsidRDefault="00524B07" w:rsidP="00FF2594">
            <w:pPr>
              <w:pStyle w:val="Tabletext"/>
            </w:pPr>
            <w:r w:rsidRPr="00CC2E73">
              <w:rPr>
                <w:rFonts w:eastAsia="SimSun"/>
                <w:color w:val="000000"/>
              </w:rPr>
              <w:t>Miyun</w:t>
            </w:r>
          </w:p>
        </w:tc>
        <w:tc>
          <w:tcPr>
            <w:tcW w:w="1843" w:type="dxa"/>
            <w:tcBorders>
              <w:top w:val="single" w:sz="6" w:space="0" w:color="auto"/>
              <w:left w:val="single" w:sz="6" w:space="0" w:color="auto"/>
              <w:bottom w:val="single" w:sz="6" w:space="0" w:color="auto"/>
              <w:right w:val="single" w:sz="6" w:space="0" w:color="auto"/>
            </w:tcBorders>
            <w:hideMark/>
          </w:tcPr>
          <w:p w14:paraId="32FD065D" w14:textId="25C57CA9" w:rsidR="00524B07" w:rsidRPr="00CC2E73" w:rsidRDefault="00524B07" w:rsidP="00FF2594">
            <w:pPr>
              <w:pStyle w:val="Tabletext"/>
              <w:jc w:val="center"/>
            </w:pPr>
            <w:r w:rsidRPr="00CC2E73">
              <w:rPr>
                <w:color w:val="000000"/>
              </w:rPr>
              <w:t>40</w:t>
            </w:r>
            <w:r w:rsidR="00C4321E" w:rsidRPr="00CC2E73">
              <w:t xml:space="preserve">° </w:t>
            </w:r>
            <w:r w:rsidRPr="00CC2E73">
              <w:rPr>
                <w:color w:val="000000"/>
              </w:rPr>
              <w:t>33</w:t>
            </w:r>
            <w:r w:rsidR="00C4321E" w:rsidRPr="00CC2E73">
              <w:t>'</w:t>
            </w:r>
            <w:r w:rsidRPr="00CC2E73">
              <w:rPr>
                <w:color w:val="000000"/>
              </w:rPr>
              <w:t xml:space="preserve"> 29"</w:t>
            </w:r>
          </w:p>
        </w:tc>
        <w:tc>
          <w:tcPr>
            <w:tcW w:w="1701" w:type="dxa"/>
            <w:tcBorders>
              <w:top w:val="single" w:sz="6" w:space="0" w:color="auto"/>
              <w:left w:val="single" w:sz="6" w:space="0" w:color="auto"/>
              <w:bottom w:val="single" w:sz="6" w:space="0" w:color="auto"/>
              <w:right w:val="single" w:sz="6" w:space="0" w:color="auto"/>
            </w:tcBorders>
            <w:hideMark/>
          </w:tcPr>
          <w:p w14:paraId="2FE9DEF9" w14:textId="54768167" w:rsidR="00524B07" w:rsidRPr="00CC2E73" w:rsidRDefault="00524B07" w:rsidP="00FF2594">
            <w:pPr>
              <w:pStyle w:val="Tabletext"/>
              <w:jc w:val="center"/>
            </w:pPr>
            <w:r w:rsidRPr="00CC2E73">
              <w:rPr>
                <w:color w:val="000000"/>
              </w:rPr>
              <w:t>116</w:t>
            </w:r>
            <w:r w:rsidR="00C4321E" w:rsidRPr="00CC2E73">
              <w:t xml:space="preserve">° </w:t>
            </w:r>
            <w:r w:rsidRPr="00CC2E73">
              <w:rPr>
                <w:color w:val="000000"/>
              </w:rPr>
              <w:t>58</w:t>
            </w:r>
            <w:r w:rsidR="00C4321E" w:rsidRPr="00CC2E73">
              <w:t>'</w:t>
            </w:r>
            <w:r w:rsidRPr="00CC2E73">
              <w:rPr>
                <w:color w:val="000000"/>
              </w:rPr>
              <w:t xml:space="preserve"> 37"</w:t>
            </w:r>
          </w:p>
        </w:tc>
        <w:tc>
          <w:tcPr>
            <w:tcW w:w="1992" w:type="dxa"/>
            <w:tcBorders>
              <w:top w:val="single" w:sz="6" w:space="0" w:color="auto"/>
              <w:left w:val="single" w:sz="6" w:space="0" w:color="auto"/>
              <w:bottom w:val="single" w:sz="6" w:space="0" w:color="auto"/>
              <w:right w:val="single" w:sz="6" w:space="0" w:color="auto"/>
            </w:tcBorders>
            <w:hideMark/>
          </w:tcPr>
          <w:p w14:paraId="3A1BD159" w14:textId="77777777" w:rsidR="00524B07" w:rsidRPr="00CC2E73" w:rsidRDefault="00524B07" w:rsidP="00FF2594">
            <w:pPr>
              <w:pStyle w:val="Tabletext"/>
              <w:jc w:val="center"/>
            </w:pPr>
            <w:r w:rsidRPr="00CC2E73">
              <w:rPr>
                <w:rFonts w:eastAsia="SimSun"/>
                <w:color w:val="000000"/>
              </w:rPr>
              <w:t>50 m</w:t>
            </w:r>
          </w:p>
        </w:tc>
      </w:tr>
      <w:tr w:rsidR="00524B07" w:rsidRPr="00CC2E73" w14:paraId="26F98CCA" w14:textId="77777777" w:rsidTr="0003249C">
        <w:trPr>
          <w:jc w:val="center"/>
        </w:trPr>
        <w:tc>
          <w:tcPr>
            <w:tcW w:w="1552" w:type="dxa"/>
            <w:vMerge/>
            <w:tcBorders>
              <w:left w:val="single" w:sz="6" w:space="0" w:color="auto"/>
              <w:right w:val="single" w:sz="6" w:space="0" w:color="auto"/>
            </w:tcBorders>
            <w:vAlign w:val="center"/>
            <w:hideMark/>
          </w:tcPr>
          <w:p w14:paraId="6B00FF03" w14:textId="77777777" w:rsidR="00524B07" w:rsidRPr="00CC2E73" w:rsidRDefault="00524B07" w:rsidP="00FF259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20440FED" w14:textId="77777777" w:rsidR="00524B07" w:rsidRPr="00CC2E73" w:rsidRDefault="00524B07" w:rsidP="00FF2594">
            <w:pPr>
              <w:pStyle w:val="Tabletext"/>
            </w:pPr>
            <w:r w:rsidRPr="00CC2E73">
              <w:rPr>
                <w:rFonts w:eastAsia="SimSun"/>
                <w:color w:val="000000"/>
              </w:rPr>
              <w:t>Sheshan</w:t>
            </w:r>
          </w:p>
        </w:tc>
        <w:tc>
          <w:tcPr>
            <w:tcW w:w="1843" w:type="dxa"/>
            <w:tcBorders>
              <w:top w:val="single" w:sz="6" w:space="0" w:color="auto"/>
              <w:left w:val="single" w:sz="6" w:space="0" w:color="auto"/>
              <w:bottom w:val="single" w:sz="6" w:space="0" w:color="auto"/>
              <w:right w:val="single" w:sz="6" w:space="0" w:color="auto"/>
            </w:tcBorders>
            <w:hideMark/>
          </w:tcPr>
          <w:p w14:paraId="6E23B80F" w14:textId="1A3A3880" w:rsidR="00524B07" w:rsidRPr="00CC2E73" w:rsidRDefault="00524B07" w:rsidP="00FF2594">
            <w:pPr>
              <w:pStyle w:val="Tabletext"/>
              <w:jc w:val="center"/>
            </w:pPr>
            <w:r w:rsidRPr="00CC2E73">
              <w:rPr>
                <w:rFonts w:eastAsia="SimSun"/>
                <w:color w:val="000000"/>
              </w:rPr>
              <w:t>31</w:t>
            </w:r>
            <w:r w:rsidR="00C4321E" w:rsidRPr="00CC2E73">
              <w:t xml:space="preserve">° </w:t>
            </w:r>
            <w:r w:rsidRPr="00CC2E73">
              <w:rPr>
                <w:rFonts w:eastAsia="SimSun"/>
                <w:color w:val="000000"/>
              </w:rPr>
              <w:t>05</w:t>
            </w:r>
            <w:r w:rsidR="00C4321E" w:rsidRPr="00CC2E73">
              <w:t>'</w:t>
            </w:r>
            <w:r w:rsidRPr="00CC2E73">
              <w:rPr>
                <w:rFonts w:eastAsia="SimSun"/>
                <w:color w:val="000000"/>
              </w:rPr>
              <w:t xml:space="preserve"> 58</w:t>
            </w:r>
            <w:r w:rsidRPr="00CC2E73">
              <w:rPr>
                <w:color w:val="000000"/>
              </w:rPr>
              <w:t>"</w:t>
            </w:r>
          </w:p>
        </w:tc>
        <w:tc>
          <w:tcPr>
            <w:tcW w:w="1701" w:type="dxa"/>
            <w:tcBorders>
              <w:top w:val="single" w:sz="6" w:space="0" w:color="auto"/>
              <w:left w:val="single" w:sz="6" w:space="0" w:color="auto"/>
              <w:bottom w:val="single" w:sz="6" w:space="0" w:color="auto"/>
              <w:right w:val="single" w:sz="6" w:space="0" w:color="auto"/>
            </w:tcBorders>
            <w:hideMark/>
          </w:tcPr>
          <w:p w14:paraId="6B5903CB" w14:textId="2686AAEE" w:rsidR="00524B07" w:rsidRPr="00CC2E73" w:rsidRDefault="00524B07" w:rsidP="00FF2594">
            <w:pPr>
              <w:pStyle w:val="Tabletext"/>
              <w:jc w:val="center"/>
            </w:pPr>
            <w:r w:rsidRPr="00CC2E73">
              <w:rPr>
                <w:rFonts w:eastAsia="SimSun"/>
                <w:color w:val="000000"/>
              </w:rPr>
              <w:t>121</w:t>
            </w:r>
            <w:r w:rsidR="00C4321E" w:rsidRPr="00CC2E73">
              <w:t xml:space="preserve">° </w:t>
            </w:r>
            <w:r w:rsidRPr="00CC2E73">
              <w:rPr>
                <w:rFonts w:eastAsia="SimSun"/>
                <w:color w:val="000000"/>
              </w:rPr>
              <w:t>11</w:t>
            </w:r>
            <w:r w:rsidR="00C4321E" w:rsidRPr="00CC2E73">
              <w:t>'</w:t>
            </w:r>
            <w:r w:rsidRPr="00CC2E73">
              <w:rPr>
                <w:rFonts w:eastAsia="SimSun"/>
                <w:color w:val="000000"/>
              </w:rPr>
              <w:t xml:space="preserve"> 59</w:t>
            </w:r>
            <w:r w:rsidRPr="00CC2E73">
              <w:rPr>
                <w:color w:val="000000"/>
              </w:rPr>
              <w:t>"</w:t>
            </w:r>
          </w:p>
        </w:tc>
        <w:tc>
          <w:tcPr>
            <w:tcW w:w="1992" w:type="dxa"/>
            <w:tcBorders>
              <w:top w:val="single" w:sz="6" w:space="0" w:color="auto"/>
              <w:left w:val="single" w:sz="6" w:space="0" w:color="auto"/>
              <w:bottom w:val="single" w:sz="6" w:space="0" w:color="auto"/>
              <w:right w:val="single" w:sz="6" w:space="0" w:color="auto"/>
            </w:tcBorders>
            <w:hideMark/>
          </w:tcPr>
          <w:p w14:paraId="50F375C3" w14:textId="3CF81AC1" w:rsidR="00524B07" w:rsidRPr="00CC2E73" w:rsidRDefault="00524B07" w:rsidP="00FF2594">
            <w:pPr>
              <w:pStyle w:val="Tabletext"/>
              <w:jc w:val="center"/>
            </w:pPr>
            <w:r w:rsidRPr="00CC2E73">
              <w:rPr>
                <w:rFonts w:eastAsia="SimSun"/>
                <w:color w:val="000000"/>
              </w:rPr>
              <w:t>25 m, 13</w:t>
            </w:r>
            <w:r w:rsidR="00351DFB">
              <w:rPr>
                <w:rFonts w:eastAsia="SimSun"/>
                <w:color w:val="000000"/>
              </w:rPr>
              <w:t xml:space="preserve"> </w:t>
            </w:r>
            <w:r w:rsidRPr="00CC2E73">
              <w:rPr>
                <w:rFonts w:eastAsia="SimSun"/>
                <w:color w:val="000000"/>
              </w:rPr>
              <w:t>m</w:t>
            </w:r>
          </w:p>
        </w:tc>
      </w:tr>
      <w:tr w:rsidR="00524B07" w:rsidRPr="00CC2E73" w14:paraId="6820C607" w14:textId="77777777" w:rsidTr="0003249C">
        <w:trPr>
          <w:jc w:val="center"/>
        </w:trPr>
        <w:tc>
          <w:tcPr>
            <w:tcW w:w="1552" w:type="dxa"/>
            <w:vMerge/>
            <w:tcBorders>
              <w:left w:val="single" w:sz="6" w:space="0" w:color="auto"/>
              <w:right w:val="single" w:sz="6" w:space="0" w:color="auto"/>
            </w:tcBorders>
            <w:vAlign w:val="center"/>
            <w:hideMark/>
          </w:tcPr>
          <w:p w14:paraId="4E9AD7C8" w14:textId="77777777" w:rsidR="00524B07" w:rsidRPr="00CC2E73" w:rsidRDefault="00524B07" w:rsidP="00FF259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2554E88D" w14:textId="77777777" w:rsidR="00524B07" w:rsidRPr="00CC2E73" w:rsidRDefault="00524B07" w:rsidP="00FF2594">
            <w:pPr>
              <w:pStyle w:val="Tabletext"/>
            </w:pPr>
            <w:r w:rsidRPr="00CC2E73">
              <w:rPr>
                <w:rFonts w:eastAsia="SimSun"/>
                <w:color w:val="000000"/>
              </w:rPr>
              <w:t>Nanshan</w:t>
            </w:r>
          </w:p>
        </w:tc>
        <w:tc>
          <w:tcPr>
            <w:tcW w:w="1843" w:type="dxa"/>
            <w:tcBorders>
              <w:top w:val="single" w:sz="6" w:space="0" w:color="auto"/>
              <w:left w:val="single" w:sz="6" w:space="0" w:color="auto"/>
              <w:bottom w:val="single" w:sz="6" w:space="0" w:color="auto"/>
              <w:right w:val="single" w:sz="6" w:space="0" w:color="auto"/>
            </w:tcBorders>
            <w:hideMark/>
          </w:tcPr>
          <w:p w14:paraId="456A3B58" w14:textId="7F4BC7F4" w:rsidR="00524B07" w:rsidRPr="00CC2E73" w:rsidRDefault="00524B07" w:rsidP="00FF2594">
            <w:pPr>
              <w:pStyle w:val="Tabletext"/>
              <w:jc w:val="center"/>
            </w:pPr>
            <w:r w:rsidRPr="00CC2E73">
              <w:rPr>
                <w:rFonts w:eastAsia="SimSun"/>
                <w:color w:val="000000"/>
              </w:rPr>
              <w:t>43</w:t>
            </w:r>
            <w:r w:rsidR="00C4321E" w:rsidRPr="00CC2E73">
              <w:t xml:space="preserve">° </w:t>
            </w:r>
            <w:r w:rsidRPr="00CC2E73">
              <w:rPr>
                <w:rFonts w:eastAsia="SimSun"/>
                <w:color w:val="000000"/>
              </w:rPr>
              <w:t>28</w:t>
            </w:r>
            <w:r w:rsidR="00C4321E" w:rsidRPr="00CC2E73">
              <w:t>'</w:t>
            </w:r>
            <w:r w:rsidRPr="00CC2E73">
              <w:rPr>
                <w:rFonts w:eastAsia="SimSun"/>
                <w:color w:val="000000"/>
              </w:rPr>
              <w:t xml:space="preserve"> 16</w:t>
            </w:r>
            <w:r w:rsidRPr="00CC2E73">
              <w:rPr>
                <w:color w:val="000000"/>
              </w:rPr>
              <w:t>"</w:t>
            </w:r>
          </w:p>
        </w:tc>
        <w:tc>
          <w:tcPr>
            <w:tcW w:w="1701" w:type="dxa"/>
            <w:tcBorders>
              <w:top w:val="single" w:sz="6" w:space="0" w:color="auto"/>
              <w:left w:val="single" w:sz="6" w:space="0" w:color="auto"/>
              <w:bottom w:val="single" w:sz="6" w:space="0" w:color="auto"/>
              <w:right w:val="single" w:sz="6" w:space="0" w:color="auto"/>
            </w:tcBorders>
            <w:hideMark/>
          </w:tcPr>
          <w:p w14:paraId="17737BCF" w14:textId="626BBE00" w:rsidR="00524B07" w:rsidRPr="00CC2E73" w:rsidRDefault="00524B07" w:rsidP="00FF2594">
            <w:pPr>
              <w:pStyle w:val="Tabletext"/>
              <w:jc w:val="center"/>
            </w:pPr>
            <w:r w:rsidRPr="00CC2E73">
              <w:rPr>
                <w:rFonts w:eastAsia="SimSun"/>
                <w:color w:val="000000"/>
              </w:rPr>
              <w:t>87</w:t>
            </w:r>
            <w:r w:rsidR="00C4321E" w:rsidRPr="00CC2E73">
              <w:t xml:space="preserve">° </w:t>
            </w:r>
            <w:r w:rsidRPr="00CC2E73">
              <w:rPr>
                <w:rFonts w:eastAsia="SimSun"/>
                <w:color w:val="000000"/>
              </w:rPr>
              <w:t>10</w:t>
            </w:r>
            <w:r w:rsidR="00C4321E" w:rsidRPr="00CC2E73">
              <w:t>'</w:t>
            </w:r>
            <w:r w:rsidRPr="00CC2E73">
              <w:rPr>
                <w:rFonts w:eastAsia="SimSun"/>
                <w:color w:val="000000"/>
              </w:rPr>
              <w:t xml:space="preserve"> 40</w:t>
            </w:r>
            <w:r w:rsidRPr="00CC2E73">
              <w:rPr>
                <w:color w:val="000000"/>
              </w:rPr>
              <w:t>"</w:t>
            </w:r>
          </w:p>
        </w:tc>
        <w:tc>
          <w:tcPr>
            <w:tcW w:w="1992" w:type="dxa"/>
            <w:tcBorders>
              <w:top w:val="single" w:sz="6" w:space="0" w:color="auto"/>
              <w:left w:val="single" w:sz="6" w:space="0" w:color="auto"/>
              <w:bottom w:val="single" w:sz="6" w:space="0" w:color="auto"/>
              <w:right w:val="single" w:sz="6" w:space="0" w:color="auto"/>
            </w:tcBorders>
            <w:hideMark/>
          </w:tcPr>
          <w:p w14:paraId="446169B3" w14:textId="61600562" w:rsidR="00524B07" w:rsidRPr="00CC2E73" w:rsidRDefault="00524B07" w:rsidP="00FF2594">
            <w:pPr>
              <w:pStyle w:val="Tabletext"/>
              <w:jc w:val="center"/>
            </w:pPr>
            <w:r w:rsidRPr="00CC2E73">
              <w:rPr>
                <w:rFonts w:eastAsia="SimSun"/>
                <w:color w:val="000000"/>
              </w:rPr>
              <w:t>26 m, 13.2</w:t>
            </w:r>
            <w:r w:rsidR="00351DFB">
              <w:rPr>
                <w:rFonts w:eastAsia="SimSun"/>
                <w:color w:val="000000"/>
              </w:rPr>
              <w:t xml:space="preserve"> </w:t>
            </w:r>
            <w:r w:rsidRPr="00CC2E73">
              <w:rPr>
                <w:rFonts w:eastAsia="SimSun"/>
                <w:color w:val="000000"/>
              </w:rPr>
              <w:t>m</w:t>
            </w:r>
          </w:p>
        </w:tc>
      </w:tr>
      <w:tr w:rsidR="00524B07" w:rsidRPr="00CC2E73" w14:paraId="7B134E85" w14:textId="77777777" w:rsidTr="0003249C">
        <w:trPr>
          <w:jc w:val="center"/>
        </w:trPr>
        <w:tc>
          <w:tcPr>
            <w:tcW w:w="1552" w:type="dxa"/>
            <w:vMerge/>
            <w:tcBorders>
              <w:left w:val="single" w:sz="6" w:space="0" w:color="auto"/>
              <w:right w:val="single" w:sz="6" w:space="0" w:color="auto"/>
            </w:tcBorders>
            <w:vAlign w:val="center"/>
            <w:hideMark/>
          </w:tcPr>
          <w:p w14:paraId="4C59D7C1" w14:textId="77777777" w:rsidR="00524B07" w:rsidRPr="00CC2E73" w:rsidRDefault="00524B07" w:rsidP="00FF259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2DB6DF75" w14:textId="77777777" w:rsidR="00524B07" w:rsidRPr="00CC2E73" w:rsidRDefault="00524B07" w:rsidP="00FF2594">
            <w:pPr>
              <w:pStyle w:val="Tabletext"/>
            </w:pPr>
            <w:r w:rsidRPr="00CC2E73">
              <w:rPr>
                <w:rFonts w:eastAsia="SimSun"/>
                <w:color w:val="000000"/>
              </w:rPr>
              <w:t>Tianma</w:t>
            </w:r>
          </w:p>
        </w:tc>
        <w:tc>
          <w:tcPr>
            <w:tcW w:w="1843" w:type="dxa"/>
            <w:tcBorders>
              <w:top w:val="single" w:sz="6" w:space="0" w:color="auto"/>
              <w:left w:val="single" w:sz="6" w:space="0" w:color="auto"/>
              <w:bottom w:val="single" w:sz="6" w:space="0" w:color="auto"/>
              <w:right w:val="single" w:sz="6" w:space="0" w:color="auto"/>
            </w:tcBorders>
            <w:hideMark/>
          </w:tcPr>
          <w:p w14:paraId="5BA744E6" w14:textId="56E74C05" w:rsidR="00524B07" w:rsidRPr="00CC2E73" w:rsidRDefault="00524B07" w:rsidP="00FF2594">
            <w:pPr>
              <w:pStyle w:val="Tabletext"/>
              <w:jc w:val="center"/>
            </w:pPr>
            <w:r w:rsidRPr="00CC2E73">
              <w:rPr>
                <w:color w:val="000000"/>
              </w:rPr>
              <w:t>31° 05</w:t>
            </w:r>
            <w:r w:rsidR="00C4321E" w:rsidRPr="00CC2E73">
              <w:t>'</w:t>
            </w:r>
            <w:r w:rsidRPr="00CC2E73">
              <w:rPr>
                <w:color w:val="000000"/>
              </w:rPr>
              <w:t xml:space="preserve"> 13"</w:t>
            </w:r>
          </w:p>
        </w:tc>
        <w:tc>
          <w:tcPr>
            <w:tcW w:w="1701" w:type="dxa"/>
            <w:tcBorders>
              <w:top w:val="single" w:sz="6" w:space="0" w:color="auto"/>
              <w:left w:val="single" w:sz="6" w:space="0" w:color="auto"/>
              <w:bottom w:val="single" w:sz="6" w:space="0" w:color="auto"/>
              <w:right w:val="single" w:sz="6" w:space="0" w:color="auto"/>
            </w:tcBorders>
            <w:hideMark/>
          </w:tcPr>
          <w:p w14:paraId="3B0B0AA4" w14:textId="4E4CBE48" w:rsidR="00524B07" w:rsidRPr="00CC2E73" w:rsidRDefault="00524B07" w:rsidP="00FF2594">
            <w:pPr>
              <w:pStyle w:val="Tabletext"/>
              <w:jc w:val="center"/>
            </w:pPr>
            <w:r w:rsidRPr="00CC2E73">
              <w:rPr>
                <w:color w:val="000000"/>
              </w:rPr>
              <w:t>121° 08</w:t>
            </w:r>
            <w:r w:rsidR="00C4321E" w:rsidRPr="00CC2E73">
              <w:t>'</w:t>
            </w:r>
            <w:r w:rsidRPr="00CC2E73">
              <w:rPr>
                <w:color w:val="000000"/>
              </w:rPr>
              <w:t xml:space="preserve"> 00"</w:t>
            </w:r>
          </w:p>
        </w:tc>
        <w:tc>
          <w:tcPr>
            <w:tcW w:w="1992" w:type="dxa"/>
            <w:tcBorders>
              <w:top w:val="single" w:sz="6" w:space="0" w:color="auto"/>
              <w:left w:val="single" w:sz="6" w:space="0" w:color="auto"/>
              <w:bottom w:val="single" w:sz="6" w:space="0" w:color="auto"/>
              <w:right w:val="single" w:sz="6" w:space="0" w:color="auto"/>
            </w:tcBorders>
            <w:hideMark/>
          </w:tcPr>
          <w:p w14:paraId="31A3FC50" w14:textId="37F496D0" w:rsidR="00524B07" w:rsidRPr="00CC2E73" w:rsidRDefault="00524B07" w:rsidP="00FF2594">
            <w:pPr>
              <w:pStyle w:val="Tabletext"/>
              <w:jc w:val="center"/>
            </w:pPr>
            <w:r w:rsidRPr="00CC2E73">
              <w:rPr>
                <w:rFonts w:eastAsia="SimSun"/>
                <w:color w:val="000000"/>
              </w:rPr>
              <w:t>65 m, 13</w:t>
            </w:r>
            <w:r w:rsidR="00351DFB">
              <w:rPr>
                <w:rFonts w:eastAsia="SimSun"/>
                <w:color w:val="000000"/>
              </w:rPr>
              <w:t xml:space="preserve"> </w:t>
            </w:r>
            <w:r w:rsidRPr="00CC2E73">
              <w:rPr>
                <w:rFonts w:eastAsia="SimSun"/>
                <w:color w:val="000000"/>
              </w:rPr>
              <w:t>m</w:t>
            </w:r>
          </w:p>
        </w:tc>
      </w:tr>
      <w:tr w:rsidR="00524B07" w:rsidRPr="00CC2E73" w14:paraId="2E4BE588" w14:textId="77777777" w:rsidTr="0003249C">
        <w:trPr>
          <w:jc w:val="center"/>
        </w:trPr>
        <w:tc>
          <w:tcPr>
            <w:tcW w:w="1552" w:type="dxa"/>
            <w:vMerge/>
            <w:tcBorders>
              <w:left w:val="single" w:sz="6" w:space="0" w:color="auto"/>
              <w:right w:val="single" w:sz="6" w:space="0" w:color="auto"/>
            </w:tcBorders>
            <w:vAlign w:val="center"/>
            <w:hideMark/>
          </w:tcPr>
          <w:p w14:paraId="2EB82CC5" w14:textId="77777777" w:rsidR="00524B07" w:rsidRPr="00CC2E73" w:rsidRDefault="00524B07" w:rsidP="00FF259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6A9A3D22" w14:textId="77777777" w:rsidR="00524B07" w:rsidRPr="00CC2E73" w:rsidRDefault="00524B07" w:rsidP="00FF2594">
            <w:pPr>
              <w:pStyle w:val="Tabletext"/>
            </w:pPr>
            <w:r w:rsidRPr="00CC2E73">
              <w:rPr>
                <w:color w:val="000000"/>
              </w:rPr>
              <w:t>CSRH</w:t>
            </w:r>
          </w:p>
        </w:tc>
        <w:tc>
          <w:tcPr>
            <w:tcW w:w="1843" w:type="dxa"/>
            <w:tcBorders>
              <w:top w:val="single" w:sz="6" w:space="0" w:color="auto"/>
              <w:left w:val="single" w:sz="6" w:space="0" w:color="auto"/>
              <w:bottom w:val="single" w:sz="6" w:space="0" w:color="auto"/>
              <w:right w:val="single" w:sz="6" w:space="0" w:color="auto"/>
            </w:tcBorders>
            <w:hideMark/>
          </w:tcPr>
          <w:p w14:paraId="3A282AB4" w14:textId="15DB2FE7" w:rsidR="00524B07" w:rsidRPr="00CC2E73" w:rsidRDefault="00524B07" w:rsidP="00FF2594">
            <w:pPr>
              <w:pStyle w:val="Tabletext"/>
              <w:jc w:val="center"/>
            </w:pPr>
            <w:r w:rsidRPr="00CC2E73">
              <w:rPr>
                <w:color w:val="000000"/>
              </w:rPr>
              <w:t>42° 12</w:t>
            </w:r>
            <w:r w:rsidR="00C4321E" w:rsidRPr="00CC2E73">
              <w:t>'</w:t>
            </w:r>
            <w:r w:rsidRPr="00CC2E73">
              <w:rPr>
                <w:color w:val="000000"/>
              </w:rPr>
              <w:t xml:space="preserve"> 31"</w:t>
            </w:r>
          </w:p>
        </w:tc>
        <w:tc>
          <w:tcPr>
            <w:tcW w:w="1701" w:type="dxa"/>
            <w:tcBorders>
              <w:top w:val="single" w:sz="6" w:space="0" w:color="auto"/>
              <w:left w:val="single" w:sz="6" w:space="0" w:color="auto"/>
              <w:bottom w:val="single" w:sz="6" w:space="0" w:color="auto"/>
              <w:right w:val="single" w:sz="6" w:space="0" w:color="auto"/>
            </w:tcBorders>
            <w:hideMark/>
          </w:tcPr>
          <w:p w14:paraId="31FAFDB4" w14:textId="12B58F53" w:rsidR="00524B07" w:rsidRPr="00CC2E73" w:rsidRDefault="00524B07" w:rsidP="00FF2594">
            <w:pPr>
              <w:pStyle w:val="Tabletext"/>
              <w:jc w:val="center"/>
            </w:pPr>
            <w:r w:rsidRPr="00CC2E73">
              <w:rPr>
                <w:color w:val="000000"/>
              </w:rPr>
              <w:t>115° 14</w:t>
            </w:r>
            <w:r w:rsidR="00C4321E" w:rsidRPr="00CC2E73">
              <w:t>'</w:t>
            </w:r>
            <w:r w:rsidRPr="00CC2E73">
              <w:rPr>
                <w:color w:val="000000"/>
              </w:rPr>
              <w:t xml:space="preserve"> 45"</w:t>
            </w:r>
          </w:p>
        </w:tc>
        <w:tc>
          <w:tcPr>
            <w:tcW w:w="1992" w:type="dxa"/>
            <w:tcBorders>
              <w:top w:val="single" w:sz="6" w:space="0" w:color="auto"/>
              <w:left w:val="single" w:sz="6" w:space="0" w:color="auto"/>
              <w:bottom w:val="single" w:sz="6" w:space="0" w:color="auto"/>
              <w:right w:val="single" w:sz="6" w:space="0" w:color="auto"/>
            </w:tcBorders>
            <w:hideMark/>
          </w:tcPr>
          <w:p w14:paraId="04E3B2B8" w14:textId="66690F38" w:rsidR="00524B07" w:rsidRPr="00CC2E73" w:rsidRDefault="00524B07" w:rsidP="00FF2594">
            <w:pPr>
              <w:pStyle w:val="Tabletext"/>
              <w:jc w:val="center"/>
            </w:pPr>
            <w:r w:rsidRPr="00CC2E73">
              <w:rPr>
                <w:color w:val="000000"/>
              </w:rPr>
              <w:t>60</w:t>
            </w:r>
            <w:r w:rsidRPr="00CC2E73">
              <w:t xml:space="preserve"> × </w:t>
            </w:r>
            <w:r w:rsidRPr="00CC2E73">
              <w:rPr>
                <w:color w:val="000000"/>
              </w:rPr>
              <w:t>2 m</w:t>
            </w:r>
          </w:p>
        </w:tc>
      </w:tr>
      <w:tr w:rsidR="00524B07" w:rsidRPr="00CC2E73" w14:paraId="5B6E0A03" w14:textId="77777777" w:rsidTr="0003249C">
        <w:trPr>
          <w:jc w:val="center"/>
        </w:trPr>
        <w:tc>
          <w:tcPr>
            <w:tcW w:w="1552" w:type="dxa"/>
            <w:vMerge/>
            <w:tcBorders>
              <w:left w:val="single" w:sz="6" w:space="0" w:color="auto"/>
              <w:bottom w:val="single" w:sz="6" w:space="0" w:color="auto"/>
              <w:right w:val="single" w:sz="6" w:space="0" w:color="auto"/>
            </w:tcBorders>
            <w:vAlign w:val="center"/>
            <w:hideMark/>
          </w:tcPr>
          <w:p w14:paraId="30B15E16" w14:textId="77777777" w:rsidR="00524B07" w:rsidRPr="00CC2E73" w:rsidRDefault="00524B07" w:rsidP="00FF2594">
            <w:pPr>
              <w:pStyle w:val="Tabletext"/>
              <w:rPr>
                <w:lang w:eastAsia="ko-KR"/>
              </w:rPr>
            </w:pPr>
          </w:p>
        </w:tc>
        <w:tc>
          <w:tcPr>
            <w:tcW w:w="2551" w:type="dxa"/>
            <w:tcBorders>
              <w:top w:val="single" w:sz="6" w:space="0" w:color="auto"/>
              <w:left w:val="single" w:sz="6" w:space="0" w:color="auto"/>
              <w:bottom w:val="single" w:sz="6" w:space="0" w:color="auto"/>
              <w:right w:val="single" w:sz="6" w:space="0" w:color="auto"/>
            </w:tcBorders>
            <w:hideMark/>
          </w:tcPr>
          <w:p w14:paraId="1F733701" w14:textId="77777777" w:rsidR="00524B07" w:rsidRPr="00CC2E73" w:rsidRDefault="00524B07" w:rsidP="00FF2594">
            <w:pPr>
              <w:pStyle w:val="Tabletext"/>
            </w:pPr>
            <w:r w:rsidRPr="00CC2E73">
              <w:rPr>
                <w:color w:val="000000"/>
              </w:rPr>
              <w:t>QTT</w:t>
            </w:r>
          </w:p>
        </w:tc>
        <w:tc>
          <w:tcPr>
            <w:tcW w:w="1843" w:type="dxa"/>
            <w:tcBorders>
              <w:top w:val="single" w:sz="6" w:space="0" w:color="auto"/>
              <w:left w:val="single" w:sz="6" w:space="0" w:color="auto"/>
              <w:bottom w:val="single" w:sz="6" w:space="0" w:color="auto"/>
              <w:right w:val="single" w:sz="6" w:space="0" w:color="auto"/>
            </w:tcBorders>
            <w:hideMark/>
          </w:tcPr>
          <w:p w14:paraId="2211E001" w14:textId="2CDD1FA6" w:rsidR="00524B07" w:rsidRPr="00CC2E73" w:rsidRDefault="00524B07" w:rsidP="00FF2594">
            <w:pPr>
              <w:pStyle w:val="Tabletext"/>
              <w:jc w:val="center"/>
            </w:pPr>
            <w:r w:rsidRPr="00CC2E73">
              <w:t>43</w:t>
            </w:r>
            <w:r w:rsidR="00C4321E" w:rsidRPr="00CC2E73">
              <w:t xml:space="preserve">° </w:t>
            </w:r>
            <w:r w:rsidRPr="00CC2E73">
              <w:t>36</w:t>
            </w:r>
            <w:r w:rsidR="00C4321E" w:rsidRPr="00CC2E73">
              <w:t>'</w:t>
            </w:r>
            <w:r w:rsidRPr="00CC2E73">
              <w:t xml:space="preserve"> 04"</w:t>
            </w:r>
          </w:p>
        </w:tc>
        <w:tc>
          <w:tcPr>
            <w:tcW w:w="1701" w:type="dxa"/>
            <w:tcBorders>
              <w:top w:val="single" w:sz="6" w:space="0" w:color="auto"/>
              <w:left w:val="single" w:sz="6" w:space="0" w:color="auto"/>
              <w:bottom w:val="single" w:sz="6" w:space="0" w:color="auto"/>
              <w:right w:val="single" w:sz="6" w:space="0" w:color="auto"/>
            </w:tcBorders>
            <w:hideMark/>
          </w:tcPr>
          <w:p w14:paraId="22CB5A83" w14:textId="4174A246" w:rsidR="00524B07" w:rsidRPr="00CC2E73" w:rsidRDefault="00524B07" w:rsidP="00FF2594">
            <w:pPr>
              <w:pStyle w:val="Tabletext"/>
              <w:jc w:val="center"/>
            </w:pPr>
            <w:r w:rsidRPr="00CC2E73">
              <w:t>89</w:t>
            </w:r>
            <w:r w:rsidR="00C4321E" w:rsidRPr="00CC2E73">
              <w:t xml:space="preserve">° </w:t>
            </w:r>
            <w:r w:rsidRPr="00CC2E73">
              <w:t>40' 57"</w:t>
            </w:r>
          </w:p>
        </w:tc>
        <w:tc>
          <w:tcPr>
            <w:tcW w:w="1992" w:type="dxa"/>
            <w:tcBorders>
              <w:top w:val="single" w:sz="6" w:space="0" w:color="auto"/>
              <w:left w:val="single" w:sz="6" w:space="0" w:color="auto"/>
              <w:bottom w:val="single" w:sz="6" w:space="0" w:color="auto"/>
              <w:right w:val="single" w:sz="6" w:space="0" w:color="auto"/>
            </w:tcBorders>
            <w:hideMark/>
          </w:tcPr>
          <w:p w14:paraId="6E5C0664" w14:textId="77777777" w:rsidR="00524B07" w:rsidRPr="00CC2E73" w:rsidRDefault="00524B07" w:rsidP="00FF2594">
            <w:pPr>
              <w:pStyle w:val="Tabletext"/>
              <w:jc w:val="center"/>
            </w:pPr>
            <w:r w:rsidRPr="00CC2E73">
              <w:rPr>
                <w:color w:val="000000"/>
              </w:rPr>
              <w:t>110 m</w:t>
            </w:r>
          </w:p>
        </w:tc>
      </w:tr>
      <w:tr w:rsidR="00524B07" w:rsidRPr="00CC2E73" w14:paraId="3409EF24" w14:textId="77777777" w:rsidTr="0003249C">
        <w:trPr>
          <w:jc w:val="center"/>
        </w:trPr>
        <w:tc>
          <w:tcPr>
            <w:tcW w:w="1552" w:type="dxa"/>
            <w:tcBorders>
              <w:left w:val="single" w:sz="6" w:space="0" w:color="auto"/>
              <w:bottom w:val="single" w:sz="6" w:space="0" w:color="auto"/>
              <w:right w:val="single" w:sz="6" w:space="0" w:color="auto"/>
            </w:tcBorders>
            <w:vAlign w:val="center"/>
          </w:tcPr>
          <w:p w14:paraId="2782ED48" w14:textId="77777777" w:rsidR="00524B07" w:rsidRPr="00CC2E73" w:rsidRDefault="00524B07" w:rsidP="00FF2594">
            <w:pPr>
              <w:pStyle w:val="Tabletext"/>
              <w:rPr>
                <w:lang w:eastAsia="ko-KR"/>
              </w:rPr>
            </w:pPr>
            <w:r w:rsidRPr="00CC2E73">
              <w:rPr>
                <w:lang w:eastAsia="ko-KR"/>
              </w:rPr>
              <w:t>France</w:t>
            </w:r>
          </w:p>
        </w:tc>
        <w:tc>
          <w:tcPr>
            <w:tcW w:w="2551" w:type="dxa"/>
            <w:tcBorders>
              <w:top w:val="single" w:sz="6" w:space="0" w:color="auto"/>
              <w:left w:val="single" w:sz="6" w:space="0" w:color="auto"/>
              <w:bottom w:val="single" w:sz="6" w:space="0" w:color="auto"/>
              <w:right w:val="single" w:sz="6" w:space="0" w:color="auto"/>
            </w:tcBorders>
          </w:tcPr>
          <w:p w14:paraId="64D5B4FA" w14:textId="77777777" w:rsidR="00524B07" w:rsidRPr="00CC2E73" w:rsidRDefault="00524B07" w:rsidP="00FF2594">
            <w:pPr>
              <w:pStyle w:val="Tabletext"/>
              <w:rPr>
                <w:color w:val="000000"/>
              </w:rPr>
            </w:pPr>
            <w:r w:rsidRPr="00CC2E73">
              <w:t>Tahiti</w:t>
            </w:r>
          </w:p>
        </w:tc>
        <w:tc>
          <w:tcPr>
            <w:tcW w:w="1843" w:type="dxa"/>
            <w:tcBorders>
              <w:top w:val="single" w:sz="6" w:space="0" w:color="auto"/>
              <w:left w:val="single" w:sz="6" w:space="0" w:color="auto"/>
              <w:bottom w:val="single" w:sz="6" w:space="0" w:color="auto"/>
              <w:right w:val="single" w:sz="6" w:space="0" w:color="auto"/>
            </w:tcBorders>
          </w:tcPr>
          <w:p w14:paraId="758CC225" w14:textId="3815EA52" w:rsidR="00524B07" w:rsidRPr="00CC2E73" w:rsidRDefault="00CC2E73" w:rsidP="00FF2594">
            <w:pPr>
              <w:pStyle w:val="Tabletext"/>
              <w:jc w:val="center"/>
            </w:pPr>
            <w:r w:rsidRPr="00CC2E73">
              <w:rPr>
                <w:color w:val="000000" w:themeColor="text1"/>
              </w:rPr>
              <w:t>−</w:t>
            </w:r>
            <w:r w:rsidR="00524B07" w:rsidRPr="00CC2E73">
              <w:rPr>
                <w:color w:val="000000" w:themeColor="text1"/>
              </w:rPr>
              <w:t>17</w:t>
            </w:r>
            <w:r w:rsidR="00C4321E" w:rsidRPr="00CC2E73">
              <w:t xml:space="preserve">° </w:t>
            </w:r>
            <w:r w:rsidR="00524B07" w:rsidRPr="00CC2E73">
              <w:rPr>
                <w:color w:val="000000" w:themeColor="text1"/>
              </w:rPr>
              <w:t>31</w:t>
            </w:r>
            <w:r w:rsidR="00C4321E" w:rsidRPr="00CC2E73">
              <w:t>'</w:t>
            </w:r>
            <w:r w:rsidR="00524B07" w:rsidRPr="00CC2E73">
              <w:rPr>
                <w:color w:val="000000" w:themeColor="text1"/>
              </w:rPr>
              <w:t xml:space="preserve"> 05</w:t>
            </w:r>
            <w:r w:rsidR="00C4321E" w:rsidRPr="00CC2E73">
              <w:t>"</w:t>
            </w:r>
          </w:p>
        </w:tc>
        <w:tc>
          <w:tcPr>
            <w:tcW w:w="1701" w:type="dxa"/>
            <w:tcBorders>
              <w:top w:val="single" w:sz="6" w:space="0" w:color="auto"/>
              <w:left w:val="single" w:sz="6" w:space="0" w:color="auto"/>
              <w:bottom w:val="single" w:sz="6" w:space="0" w:color="auto"/>
              <w:right w:val="single" w:sz="6" w:space="0" w:color="auto"/>
            </w:tcBorders>
          </w:tcPr>
          <w:p w14:paraId="3400F1CA" w14:textId="3D14A602" w:rsidR="00524B07" w:rsidRPr="00CC2E73" w:rsidRDefault="00CC2E73" w:rsidP="00FF2594">
            <w:pPr>
              <w:pStyle w:val="Tabletext"/>
              <w:jc w:val="center"/>
            </w:pPr>
            <w:r w:rsidRPr="00CC2E73">
              <w:rPr>
                <w:color w:val="000000" w:themeColor="text1"/>
              </w:rPr>
              <w:t>−</w:t>
            </w:r>
            <w:r w:rsidR="00524B07" w:rsidRPr="00CC2E73">
              <w:rPr>
                <w:color w:val="000000" w:themeColor="text1"/>
              </w:rPr>
              <w:t>149</w:t>
            </w:r>
            <w:r w:rsidR="00C4321E" w:rsidRPr="00CC2E73">
              <w:t xml:space="preserve">° </w:t>
            </w:r>
            <w:r w:rsidR="00524B07" w:rsidRPr="00CC2E73">
              <w:rPr>
                <w:color w:val="000000" w:themeColor="text1"/>
              </w:rPr>
              <w:t>26</w:t>
            </w:r>
            <w:r w:rsidR="00C4321E" w:rsidRPr="00CC2E73">
              <w:t>'</w:t>
            </w:r>
            <w:r w:rsidR="00524B07" w:rsidRPr="00CC2E73">
              <w:rPr>
                <w:color w:val="000000" w:themeColor="text1"/>
              </w:rPr>
              <w:t xml:space="preserve"> 13</w:t>
            </w:r>
            <w:r w:rsidR="00C4321E" w:rsidRPr="00CC2E73">
              <w:t>"</w:t>
            </w:r>
          </w:p>
        </w:tc>
        <w:tc>
          <w:tcPr>
            <w:tcW w:w="1992" w:type="dxa"/>
            <w:tcBorders>
              <w:top w:val="single" w:sz="6" w:space="0" w:color="auto"/>
              <w:left w:val="single" w:sz="6" w:space="0" w:color="auto"/>
              <w:bottom w:val="single" w:sz="6" w:space="0" w:color="auto"/>
              <w:right w:val="single" w:sz="6" w:space="0" w:color="auto"/>
            </w:tcBorders>
          </w:tcPr>
          <w:p w14:paraId="23489F09" w14:textId="77777777" w:rsidR="00524B07" w:rsidRPr="00CC2E73" w:rsidRDefault="00524B07" w:rsidP="00FF2594">
            <w:pPr>
              <w:pStyle w:val="Tabletext"/>
              <w:jc w:val="center"/>
              <w:rPr>
                <w:color w:val="000000"/>
              </w:rPr>
            </w:pPr>
            <w:r w:rsidRPr="00CC2E73">
              <w:t>12 m</w:t>
            </w:r>
          </w:p>
        </w:tc>
      </w:tr>
      <w:tr w:rsidR="00524B07" w:rsidRPr="00CC2E73" w14:paraId="4EC5029D" w14:textId="77777777" w:rsidTr="0003249C">
        <w:trPr>
          <w:jc w:val="center"/>
        </w:trPr>
        <w:tc>
          <w:tcPr>
            <w:tcW w:w="1552" w:type="dxa"/>
            <w:vMerge w:val="restart"/>
            <w:tcBorders>
              <w:top w:val="single" w:sz="6" w:space="0" w:color="auto"/>
              <w:left w:val="single" w:sz="6" w:space="0" w:color="auto"/>
              <w:right w:val="single" w:sz="6" w:space="0" w:color="auto"/>
            </w:tcBorders>
            <w:vAlign w:val="center"/>
            <w:hideMark/>
          </w:tcPr>
          <w:p w14:paraId="7C280DDE" w14:textId="77777777" w:rsidR="00524B07" w:rsidRPr="00CC2E73" w:rsidRDefault="00524B07" w:rsidP="00FF2594">
            <w:pPr>
              <w:pStyle w:val="Tabletext"/>
            </w:pPr>
            <w:r w:rsidRPr="00CC2E73">
              <w:t>Japan</w:t>
            </w:r>
          </w:p>
        </w:tc>
        <w:tc>
          <w:tcPr>
            <w:tcW w:w="2551" w:type="dxa"/>
            <w:tcBorders>
              <w:top w:val="single" w:sz="6" w:space="0" w:color="auto"/>
              <w:left w:val="single" w:sz="6" w:space="0" w:color="auto"/>
              <w:bottom w:val="single" w:sz="6" w:space="0" w:color="auto"/>
              <w:right w:val="single" w:sz="6" w:space="0" w:color="auto"/>
            </w:tcBorders>
            <w:hideMark/>
          </w:tcPr>
          <w:p w14:paraId="27A8FD07" w14:textId="77777777" w:rsidR="00524B07" w:rsidRPr="00CC2E73" w:rsidRDefault="00524B07" w:rsidP="00FF2594">
            <w:pPr>
              <w:pStyle w:val="Tabletext"/>
            </w:pPr>
            <w:r w:rsidRPr="00CC2E73">
              <w:t>Nobeyama</w:t>
            </w:r>
          </w:p>
        </w:tc>
        <w:tc>
          <w:tcPr>
            <w:tcW w:w="1843" w:type="dxa"/>
            <w:tcBorders>
              <w:top w:val="single" w:sz="6" w:space="0" w:color="auto"/>
              <w:left w:val="single" w:sz="6" w:space="0" w:color="auto"/>
              <w:bottom w:val="single" w:sz="6" w:space="0" w:color="auto"/>
              <w:right w:val="single" w:sz="6" w:space="0" w:color="auto"/>
            </w:tcBorders>
            <w:hideMark/>
          </w:tcPr>
          <w:p w14:paraId="18FFC74B" w14:textId="2952DD50" w:rsidR="00524B07" w:rsidRPr="00CC2E73" w:rsidRDefault="00524B07" w:rsidP="00FF2594">
            <w:pPr>
              <w:pStyle w:val="Tabletext"/>
              <w:jc w:val="center"/>
            </w:pPr>
            <w:r w:rsidRPr="00CC2E73">
              <w:t>35</w:t>
            </w:r>
            <w:r w:rsidR="00C4321E" w:rsidRPr="00CC2E73">
              <w:t xml:space="preserve">° </w:t>
            </w:r>
            <w:r w:rsidRPr="00CC2E73">
              <w:t>56' 40"</w:t>
            </w:r>
          </w:p>
        </w:tc>
        <w:tc>
          <w:tcPr>
            <w:tcW w:w="1701" w:type="dxa"/>
            <w:tcBorders>
              <w:top w:val="single" w:sz="6" w:space="0" w:color="auto"/>
              <w:left w:val="single" w:sz="6" w:space="0" w:color="auto"/>
              <w:bottom w:val="single" w:sz="6" w:space="0" w:color="auto"/>
              <w:right w:val="single" w:sz="6" w:space="0" w:color="auto"/>
            </w:tcBorders>
            <w:hideMark/>
          </w:tcPr>
          <w:p w14:paraId="278D423E" w14:textId="0DCA8372" w:rsidR="00524B07" w:rsidRPr="00CC2E73" w:rsidRDefault="00524B07" w:rsidP="00FF2594">
            <w:pPr>
              <w:pStyle w:val="Tabletext"/>
              <w:jc w:val="center"/>
            </w:pPr>
            <w:r w:rsidRPr="00CC2E73">
              <w:t>138</w:t>
            </w:r>
            <w:r w:rsidR="00C4321E" w:rsidRPr="00CC2E73">
              <w:t xml:space="preserve">° </w:t>
            </w:r>
            <w:r w:rsidRPr="00CC2E73">
              <w:t>28' 21"</w:t>
            </w:r>
          </w:p>
        </w:tc>
        <w:tc>
          <w:tcPr>
            <w:tcW w:w="1992" w:type="dxa"/>
            <w:tcBorders>
              <w:top w:val="single" w:sz="6" w:space="0" w:color="auto"/>
              <w:left w:val="single" w:sz="6" w:space="0" w:color="auto"/>
              <w:bottom w:val="single" w:sz="6" w:space="0" w:color="auto"/>
              <w:right w:val="single" w:sz="6" w:space="0" w:color="auto"/>
            </w:tcBorders>
            <w:hideMark/>
          </w:tcPr>
          <w:p w14:paraId="71330EA0" w14:textId="77777777" w:rsidR="00524B07" w:rsidRPr="00CC2E73" w:rsidRDefault="00524B07" w:rsidP="00FF2594">
            <w:pPr>
              <w:pStyle w:val="Tabletext"/>
              <w:jc w:val="center"/>
            </w:pPr>
            <w:r w:rsidRPr="00CC2E73">
              <w:t>45 m</w:t>
            </w:r>
          </w:p>
        </w:tc>
      </w:tr>
      <w:tr w:rsidR="00524B07" w:rsidRPr="00CC2E73" w14:paraId="70BD2496" w14:textId="77777777" w:rsidTr="0003249C">
        <w:trPr>
          <w:jc w:val="center"/>
        </w:trPr>
        <w:tc>
          <w:tcPr>
            <w:tcW w:w="1552" w:type="dxa"/>
            <w:vMerge/>
            <w:tcBorders>
              <w:left w:val="single" w:sz="6" w:space="0" w:color="auto"/>
              <w:right w:val="single" w:sz="6" w:space="0" w:color="auto"/>
            </w:tcBorders>
            <w:vAlign w:val="center"/>
            <w:hideMark/>
          </w:tcPr>
          <w:p w14:paraId="77022FDA"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29F2B0D6" w14:textId="77777777" w:rsidR="00524B07" w:rsidRPr="00CC2E73" w:rsidRDefault="00524B07" w:rsidP="00FF2594">
            <w:pPr>
              <w:pStyle w:val="Tabletext"/>
            </w:pPr>
            <w:r w:rsidRPr="00CC2E73">
              <w:rPr>
                <w:lang w:eastAsia="ja-JP"/>
              </w:rPr>
              <w:t>VERA-</w:t>
            </w:r>
            <w:r w:rsidRPr="00CC2E73">
              <w:t>Mizusa</w:t>
            </w:r>
            <w:r w:rsidRPr="00CC2E73">
              <w:rPr>
                <w:lang w:eastAsia="ko-KR"/>
              </w:rPr>
              <w:t>wa</w:t>
            </w:r>
          </w:p>
        </w:tc>
        <w:tc>
          <w:tcPr>
            <w:tcW w:w="1843" w:type="dxa"/>
            <w:tcBorders>
              <w:top w:val="single" w:sz="6" w:space="0" w:color="auto"/>
              <w:left w:val="single" w:sz="6" w:space="0" w:color="auto"/>
              <w:bottom w:val="single" w:sz="6" w:space="0" w:color="auto"/>
              <w:right w:val="single" w:sz="6" w:space="0" w:color="auto"/>
            </w:tcBorders>
            <w:hideMark/>
          </w:tcPr>
          <w:p w14:paraId="5E76D848" w14:textId="5203A4A6" w:rsidR="00524B07" w:rsidRPr="00CC2E73" w:rsidRDefault="00524B07" w:rsidP="00FF2594">
            <w:pPr>
              <w:pStyle w:val="Tabletext"/>
              <w:jc w:val="center"/>
            </w:pPr>
            <w:r w:rsidRPr="00CC2E73">
              <w:t>39</w:t>
            </w:r>
            <w:r w:rsidR="00C4321E" w:rsidRPr="00CC2E73">
              <w:t xml:space="preserve">° </w:t>
            </w:r>
            <w:r w:rsidRPr="00CC2E73">
              <w:t>08' 01</w:t>
            </w:r>
            <w:r w:rsidR="00C4321E"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10543A7F" w14:textId="69F78014" w:rsidR="00524B07" w:rsidRPr="00CC2E73" w:rsidRDefault="00524B07" w:rsidP="00FF2594">
            <w:pPr>
              <w:pStyle w:val="Tabletext"/>
              <w:jc w:val="center"/>
            </w:pPr>
            <w:r w:rsidRPr="00CC2E73">
              <w:t>141</w:t>
            </w:r>
            <w:r w:rsidR="00C4321E" w:rsidRPr="00CC2E73">
              <w:t xml:space="preserve">° </w:t>
            </w:r>
            <w:r w:rsidRPr="00CC2E73">
              <w:t>07' 57"</w:t>
            </w:r>
          </w:p>
        </w:tc>
        <w:tc>
          <w:tcPr>
            <w:tcW w:w="1992" w:type="dxa"/>
            <w:tcBorders>
              <w:top w:val="single" w:sz="6" w:space="0" w:color="auto"/>
              <w:left w:val="single" w:sz="6" w:space="0" w:color="auto"/>
              <w:bottom w:val="single" w:sz="6" w:space="0" w:color="auto"/>
              <w:right w:val="single" w:sz="6" w:space="0" w:color="auto"/>
            </w:tcBorders>
            <w:hideMark/>
          </w:tcPr>
          <w:p w14:paraId="0A54C2AD" w14:textId="77777777" w:rsidR="00524B07" w:rsidRPr="00CC2E73" w:rsidRDefault="00524B07" w:rsidP="00FF2594">
            <w:pPr>
              <w:pStyle w:val="Tabletext"/>
              <w:jc w:val="center"/>
            </w:pPr>
            <w:r w:rsidRPr="00CC2E73">
              <w:t>20 m, 10 m</w:t>
            </w:r>
          </w:p>
        </w:tc>
      </w:tr>
      <w:tr w:rsidR="00524B07" w:rsidRPr="00CC2E73" w14:paraId="0988B6E2" w14:textId="77777777" w:rsidTr="0003249C">
        <w:trPr>
          <w:jc w:val="center"/>
        </w:trPr>
        <w:tc>
          <w:tcPr>
            <w:tcW w:w="1552" w:type="dxa"/>
            <w:vMerge/>
            <w:tcBorders>
              <w:left w:val="single" w:sz="6" w:space="0" w:color="auto"/>
              <w:right w:val="single" w:sz="6" w:space="0" w:color="auto"/>
            </w:tcBorders>
            <w:vAlign w:val="center"/>
            <w:hideMark/>
          </w:tcPr>
          <w:p w14:paraId="2331821C"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3D592A23" w14:textId="77777777" w:rsidR="00524B07" w:rsidRPr="00CC2E73" w:rsidRDefault="00524B07" w:rsidP="00FF2594">
            <w:pPr>
              <w:pStyle w:val="Tabletext"/>
              <w:rPr>
                <w:lang w:eastAsia="ko-KR"/>
              </w:rPr>
            </w:pPr>
            <w:r w:rsidRPr="00CC2E73">
              <w:rPr>
                <w:lang w:eastAsia="ja-JP"/>
              </w:rPr>
              <w:t>VERA-</w:t>
            </w:r>
            <w:r w:rsidRPr="00CC2E73">
              <w:rPr>
                <w:lang w:eastAsia="ko-KR"/>
              </w:rPr>
              <w:t xml:space="preserve">Iriki </w:t>
            </w:r>
          </w:p>
        </w:tc>
        <w:tc>
          <w:tcPr>
            <w:tcW w:w="1843" w:type="dxa"/>
            <w:tcBorders>
              <w:top w:val="single" w:sz="6" w:space="0" w:color="auto"/>
              <w:left w:val="single" w:sz="6" w:space="0" w:color="auto"/>
              <w:bottom w:val="single" w:sz="6" w:space="0" w:color="auto"/>
              <w:right w:val="single" w:sz="6" w:space="0" w:color="auto"/>
            </w:tcBorders>
            <w:hideMark/>
          </w:tcPr>
          <w:p w14:paraId="20B262E0" w14:textId="0E7E9A98" w:rsidR="00524B07" w:rsidRPr="00CC2E73" w:rsidRDefault="00524B07" w:rsidP="00FF2594">
            <w:pPr>
              <w:pStyle w:val="Tabletext"/>
              <w:jc w:val="center"/>
            </w:pPr>
            <w:r w:rsidRPr="00CC2E73">
              <w:t>31</w:t>
            </w:r>
            <w:r w:rsidR="00C4321E" w:rsidRPr="00CC2E73">
              <w:t xml:space="preserve">° </w:t>
            </w:r>
            <w:r w:rsidRPr="00CC2E73">
              <w:t>44' 5</w:t>
            </w:r>
            <w:r w:rsidRPr="00CC2E73">
              <w:rPr>
                <w:lang w:eastAsia="ja-JP"/>
              </w:rPr>
              <w:t>2</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7687DCE6" w14:textId="00E6206D" w:rsidR="00524B07" w:rsidRPr="00CC2E73" w:rsidRDefault="00524B07" w:rsidP="00FF2594">
            <w:pPr>
              <w:pStyle w:val="Tabletext"/>
              <w:jc w:val="center"/>
            </w:pPr>
            <w:r w:rsidRPr="00CC2E73">
              <w:t>130</w:t>
            </w:r>
            <w:r w:rsidR="00C4321E" w:rsidRPr="00CC2E73">
              <w:t xml:space="preserve">° </w:t>
            </w:r>
            <w:r w:rsidRPr="00CC2E73">
              <w:t>26' 2</w:t>
            </w:r>
            <w:r w:rsidRPr="00CC2E73">
              <w:rPr>
                <w:lang w:eastAsia="ja-JP"/>
              </w:rPr>
              <w:t>4</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5532663B" w14:textId="77777777" w:rsidR="00524B07" w:rsidRPr="00CC2E73" w:rsidRDefault="00524B07" w:rsidP="00FF2594">
            <w:pPr>
              <w:pStyle w:val="Tabletext"/>
              <w:jc w:val="center"/>
            </w:pPr>
            <w:r w:rsidRPr="00CC2E73">
              <w:t>20 m</w:t>
            </w:r>
          </w:p>
        </w:tc>
      </w:tr>
      <w:tr w:rsidR="00524B07" w:rsidRPr="00CC2E73" w14:paraId="03E084C9" w14:textId="77777777" w:rsidTr="0003249C">
        <w:trPr>
          <w:jc w:val="center"/>
        </w:trPr>
        <w:tc>
          <w:tcPr>
            <w:tcW w:w="1552" w:type="dxa"/>
            <w:vMerge/>
            <w:tcBorders>
              <w:left w:val="single" w:sz="6" w:space="0" w:color="auto"/>
              <w:right w:val="single" w:sz="6" w:space="0" w:color="auto"/>
            </w:tcBorders>
            <w:vAlign w:val="center"/>
            <w:hideMark/>
          </w:tcPr>
          <w:p w14:paraId="5CDCC096"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1BD51515" w14:textId="77777777" w:rsidR="00524B07" w:rsidRPr="00CC2E73" w:rsidRDefault="00524B07" w:rsidP="00FF2594">
            <w:pPr>
              <w:pStyle w:val="Tabletext"/>
            </w:pPr>
            <w:r w:rsidRPr="00CC2E73">
              <w:rPr>
                <w:lang w:eastAsia="ja-JP"/>
              </w:rPr>
              <w:t>VERA-</w:t>
            </w:r>
            <w:r w:rsidRPr="00CC2E73">
              <w:t>Ogasawara</w:t>
            </w:r>
          </w:p>
        </w:tc>
        <w:tc>
          <w:tcPr>
            <w:tcW w:w="1843" w:type="dxa"/>
            <w:tcBorders>
              <w:top w:val="single" w:sz="6" w:space="0" w:color="auto"/>
              <w:left w:val="single" w:sz="6" w:space="0" w:color="auto"/>
              <w:bottom w:val="single" w:sz="6" w:space="0" w:color="auto"/>
              <w:right w:val="single" w:sz="6" w:space="0" w:color="auto"/>
            </w:tcBorders>
            <w:hideMark/>
          </w:tcPr>
          <w:p w14:paraId="58969142" w14:textId="620B48C2" w:rsidR="00524B07" w:rsidRPr="00CC2E73" w:rsidRDefault="00524B07" w:rsidP="00FF2594">
            <w:pPr>
              <w:pStyle w:val="Tabletext"/>
              <w:jc w:val="center"/>
            </w:pPr>
            <w:r w:rsidRPr="00CC2E73">
              <w:t>27</w:t>
            </w:r>
            <w:r w:rsidR="00C4321E" w:rsidRPr="00CC2E73">
              <w:t xml:space="preserve">° </w:t>
            </w:r>
            <w:r w:rsidRPr="00CC2E73">
              <w:t>05' 3</w:t>
            </w:r>
            <w:r w:rsidRPr="00CC2E73">
              <w:rPr>
                <w:lang w:eastAsia="ja-JP"/>
              </w:rPr>
              <w:t>1</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234F6785" w14:textId="7592FAA4" w:rsidR="00524B07" w:rsidRPr="00CC2E73" w:rsidRDefault="00524B07" w:rsidP="00FF2594">
            <w:pPr>
              <w:pStyle w:val="Tabletext"/>
              <w:jc w:val="center"/>
            </w:pPr>
            <w:r w:rsidRPr="00CC2E73">
              <w:t>142</w:t>
            </w:r>
            <w:r w:rsidR="00C4321E" w:rsidRPr="00CC2E73">
              <w:t xml:space="preserve">° </w:t>
            </w:r>
            <w:r w:rsidRPr="00CC2E73">
              <w:t>13' 00"</w:t>
            </w:r>
          </w:p>
        </w:tc>
        <w:tc>
          <w:tcPr>
            <w:tcW w:w="1992" w:type="dxa"/>
            <w:tcBorders>
              <w:top w:val="single" w:sz="6" w:space="0" w:color="auto"/>
              <w:left w:val="single" w:sz="6" w:space="0" w:color="auto"/>
              <w:bottom w:val="single" w:sz="6" w:space="0" w:color="auto"/>
              <w:right w:val="single" w:sz="6" w:space="0" w:color="auto"/>
            </w:tcBorders>
            <w:hideMark/>
          </w:tcPr>
          <w:p w14:paraId="38432B4A" w14:textId="77777777" w:rsidR="00524B07" w:rsidRPr="00CC2E73" w:rsidRDefault="00524B07" w:rsidP="00FF2594">
            <w:pPr>
              <w:pStyle w:val="Tabletext"/>
              <w:jc w:val="center"/>
            </w:pPr>
            <w:r w:rsidRPr="00CC2E73">
              <w:t>20 m</w:t>
            </w:r>
          </w:p>
        </w:tc>
      </w:tr>
      <w:tr w:rsidR="00524B07" w:rsidRPr="00CC2E73" w14:paraId="66CECAC2" w14:textId="77777777" w:rsidTr="0003249C">
        <w:trPr>
          <w:jc w:val="center"/>
        </w:trPr>
        <w:tc>
          <w:tcPr>
            <w:tcW w:w="1552" w:type="dxa"/>
            <w:vMerge/>
            <w:tcBorders>
              <w:left w:val="single" w:sz="6" w:space="0" w:color="auto"/>
              <w:right w:val="single" w:sz="6" w:space="0" w:color="auto"/>
            </w:tcBorders>
            <w:vAlign w:val="center"/>
            <w:hideMark/>
          </w:tcPr>
          <w:p w14:paraId="5752D0C2"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1F1F9618" w14:textId="77777777" w:rsidR="00524B07" w:rsidRPr="00CC2E73" w:rsidRDefault="00524B07" w:rsidP="00FF2594">
            <w:pPr>
              <w:pStyle w:val="Tabletext"/>
            </w:pPr>
            <w:r w:rsidRPr="00CC2E73">
              <w:rPr>
                <w:lang w:eastAsia="ja-JP"/>
              </w:rPr>
              <w:t>VERA-</w:t>
            </w:r>
            <w:r w:rsidRPr="00CC2E73">
              <w:t>Ishigakijima</w:t>
            </w:r>
          </w:p>
        </w:tc>
        <w:tc>
          <w:tcPr>
            <w:tcW w:w="1843" w:type="dxa"/>
            <w:tcBorders>
              <w:top w:val="single" w:sz="6" w:space="0" w:color="auto"/>
              <w:left w:val="single" w:sz="6" w:space="0" w:color="auto"/>
              <w:bottom w:val="single" w:sz="6" w:space="0" w:color="auto"/>
              <w:right w:val="single" w:sz="6" w:space="0" w:color="auto"/>
            </w:tcBorders>
            <w:hideMark/>
          </w:tcPr>
          <w:p w14:paraId="19CDD49D" w14:textId="167B7B6B" w:rsidR="00524B07" w:rsidRPr="00CC2E73" w:rsidRDefault="00524B07" w:rsidP="00FF2594">
            <w:pPr>
              <w:pStyle w:val="Tabletext"/>
              <w:jc w:val="center"/>
            </w:pPr>
            <w:r w:rsidRPr="00CC2E73">
              <w:t>24</w:t>
            </w:r>
            <w:r w:rsidR="00C4321E" w:rsidRPr="00CC2E73">
              <w:t xml:space="preserve">° </w:t>
            </w:r>
            <w:r w:rsidRPr="00CC2E73">
              <w:t>24' 44"</w:t>
            </w:r>
          </w:p>
        </w:tc>
        <w:tc>
          <w:tcPr>
            <w:tcW w:w="1701" w:type="dxa"/>
            <w:tcBorders>
              <w:top w:val="single" w:sz="6" w:space="0" w:color="auto"/>
              <w:left w:val="single" w:sz="6" w:space="0" w:color="auto"/>
              <w:bottom w:val="single" w:sz="6" w:space="0" w:color="auto"/>
              <w:right w:val="single" w:sz="6" w:space="0" w:color="auto"/>
            </w:tcBorders>
            <w:hideMark/>
          </w:tcPr>
          <w:p w14:paraId="08623FDD" w14:textId="0D4765EB" w:rsidR="00524B07" w:rsidRPr="00CC2E73" w:rsidRDefault="00524B07" w:rsidP="00FF2594">
            <w:pPr>
              <w:pStyle w:val="Tabletext"/>
              <w:jc w:val="center"/>
            </w:pPr>
            <w:r w:rsidRPr="00CC2E73">
              <w:t>124</w:t>
            </w:r>
            <w:r w:rsidR="00C4321E" w:rsidRPr="00CC2E73">
              <w:t xml:space="preserve">° </w:t>
            </w:r>
            <w:r w:rsidRPr="00CC2E73">
              <w:t>10' 16"</w:t>
            </w:r>
          </w:p>
        </w:tc>
        <w:tc>
          <w:tcPr>
            <w:tcW w:w="1992" w:type="dxa"/>
            <w:tcBorders>
              <w:top w:val="single" w:sz="6" w:space="0" w:color="auto"/>
              <w:left w:val="single" w:sz="6" w:space="0" w:color="auto"/>
              <w:bottom w:val="single" w:sz="6" w:space="0" w:color="auto"/>
              <w:right w:val="single" w:sz="6" w:space="0" w:color="auto"/>
            </w:tcBorders>
            <w:hideMark/>
          </w:tcPr>
          <w:p w14:paraId="3C38B6EF" w14:textId="77777777" w:rsidR="00524B07" w:rsidRPr="00CC2E73" w:rsidRDefault="00524B07" w:rsidP="00FF2594">
            <w:pPr>
              <w:pStyle w:val="Tabletext"/>
              <w:jc w:val="center"/>
            </w:pPr>
            <w:r w:rsidRPr="00CC2E73">
              <w:t>20 m</w:t>
            </w:r>
          </w:p>
        </w:tc>
      </w:tr>
      <w:tr w:rsidR="00524B07" w:rsidRPr="00CC2E73" w14:paraId="67A5C52B" w14:textId="77777777" w:rsidTr="0003249C">
        <w:trPr>
          <w:jc w:val="center"/>
        </w:trPr>
        <w:tc>
          <w:tcPr>
            <w:tcW w:w="1552" w:type="dxa"/>
            <w:vMerge/>
            <w:tcBorders>
              <w:left w:val="single" w:sz="6" w:space="0" w:color="auto"/>
              <w:right w:val="single" w:sz="6" w:space="0" w:color="auto"/>
            </w:tcBorders>
            <w:vAlign w:val="center"/>
            <w:hideMark/>
          </w:tcPr>
          <w:p w14:paraId="26456FCF"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50DF314A" w14:textId="77777777" w:rsidR="00524B07" w:rsidRPr="00CC2E73" w:rsidRDefault="00524B07" w:rsidP="00FF2594">
            <w:pPr>
              <w:pStyle w:val="Tabletext"/>
            </w:pPr>
            <w:r w:rsidRPr="00CC2E73">
              <w:t>Ishioka</w:t>
            </w:r>
          </w:p>
        </w:tc>
        <w:tc>
          <w:tcPr>
            <w:tcW w:w="1843" w:type="dxa"/>
            <w:tcBorders>
              <w:top w:val="single" w:sz="6" w:space="0" w:color="auto"/>
              <w:left w:val="single" w:sz="6" w:space="0" w:color="auto"/>
              <w:bottom w:val="single" w:sz="6" w:space="0" w:color="auto"/>
              <w:right w:val="single" w:sz="6" w:space="0" w:color="auto"/>
            </w:tcBorders>
            <w:hideMark/>
          </w:tcPr>
          <w:p w14:paraId="1D72BC9A" w14:textId="4B849355" w:rsidR="00524B07" w:rsidRPr="00CC2E73" w:rsidRDefault="00524B07" w:rsidP="00FF2594">
            <w:pPr>
              <w:pStyle w:val="Tabletext"/>
              <w:jc w:val="center"/>
            </w:pPr>
            <w:r w:rsidRPr="00CC2E73">
              <w:rPr>
                <w:lang w:eastAsia="ja-JP"/>
              </w:rPr>
              <w:t>36</w:t>
            </w:r>
            <w:r w:rsidR="00C4321E" w:rsidRPr="00CC2E73">
              <w:t xml:space="preserve">° </w:t>
            </w:r>
            <w:r w:rsidRPr="00CC2E73">
              <w:rPr>
                <w:lang w:eastAsia="ja-JP"/>
              </w:rPr>
              <w:t>12' 33"</w:t>
            </w:r>
          </w:p>
        </w:tc>
        <w:tc>
          <w:tcPr>
            <w:tcW w:w="1701" w:type="dxa"/>
            <w:tcBorders>
              <w:top w:val="single" w:sz="6" w:space="0" w:color="auto"/>
              <w:left w:val="single" w:sz="6" w:space="0" w:color="auto"/>
              <w:bottom w:val="single" w:sz="6" w:space="0" w:color="auto"/>
              <w:right w:val="single" w:sz="6" w:space="0" w:color="auto"/>
            </w:tcBorders>
            <w:hideMark/>
          </w:tcPr>
          <w:p w14:paraId="55BA15D1" w14:textId="62EFE627" w:rsidR="00524B07" w:rsidRPr="00CC2E73" w:rsidRDefault="00524B07" w:rsidP="00FF2594">
            <w:pPr>
              <w:pStyle w:val="Tabletext"/>
              <w:jc w:val="center"/>
            </w:pPr>
            <w:r w:rsidRPr="00CC2E73">
              <w:t>140</w:t>
            </w:r>
            <w:r w:rsidR="00C4321E" w:rsidRPr="00CC2E73">
              <w:t xml:space="preserve">° </w:t>
            </w:r>
            <w:r w:rsidRPr="00CC2E73">
              <w:t>13' 08"</w:t>
            </w:r>
          </w:p>
        </w:tc>
        <w:tc>
          <w:tcPr>
            <w:tcW w:w="1992" w:type="dxa"/>
            <w:tcBorders>
              <w:top w:val="single" w:sz="6" w:space="0" w:color="auto"/>
              <w:left w:val="single" w:sz="6" w:space="0" w:color="auto"/>
              <w:bottom w:val="single" w:sz="6" w:space="0" w:color="auto"/>
              <w:right w:val="single" w:sz="6" w:space="0" w:color="auto"/>
            </w:tcBorders>
            <w:hideMark/>
          </w:tcPr>
          <w:p w14:paraId="5EE3E3C4" w14:textId="77777777" w:rsidR="00524B07" w:rsidRPr="00CC2E73" w:rsidRDefault="00524B07" w:rsidP="00FF2594">
            <w:pPr>
              <w:pStyle w:val="Tabletext"/>
              <w:jc w:val="center"/>
            </w:pPr>
            <w:r w:rsidRPr="00CC2E73">
              <w:t>13.2 m</w:t>
            </w:r>
          </w:p>
        </w:tc>
      </w:tr>
      <w:tr w:rsidR="00524B07" w:rsidRPr="00CC2E73" w14:paraId="389CD4E1" w14:textId="77777777" w:rsidTr="0003249C">
        <w:trPr>
          <w:jc w:val="center"/>
        </w:trPr>
        <w:tc>
          <w:tcPr>
            <w:tcW w:w="1552" w:type="dxa"/>
            <w:vMerge/>
            <w:tcBorders>
              <w:left w:val="single" w:sz="6" w:space="0" w:color="auto"/>
              <w:right w:val="single" w:sz="6" w:space="0" w:color="auto"/>
            </w:tcBorders>
            <w:vAlign w:val="center"/>
            <w:hideMark/>
          </w:tcPr>
          <w:p w14:paraId="5D8A0332"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12A989AE" w14:textId="77777777" w:rsidR="00524B07" w:rsidRPr="00CC2E73" w:rsidRDefault="00524B07" w:rsidP="00FF2594">
            <w:pPr>
              <w:pStyle w:val="Tabletext"/>
            </w:pPr>
            <w:r w:rsidRPr="00CC2E73">
              <w:t>Kashima</w:t>
            </w:r>
          </w:p>
        </w:tc>
        <w:tc>
          <w:tcPr>
            <w:tcW w:w="1843" w:type="dxa"/>
            <w:tcBorders>
              <w:top w:val="single" w:sz="6" w:space="0" w:color="auto"/>
              <w:left w:val="single" w:sz="6" w:space="0" w:color="auto"/>
              <w:bottom w:val="single" w:sz="6" w:space="0" w:color="auto"/>
              <w:right w:val="single" w:sz="6" w:space="0" w:color="auto"/>
            </w:tcBorders>
            <w:hideMark/>
          </w:tcPr>
          <w:p w14:paraId="0D139D00" w14:textId="03391510" w:rsidR="00524B07" w:rsidRPr="00CC2E73" w:rsidRDefault="00524B07" w:rsidP="00FF2594">
            <w:pPr>
              <w:pStyle w:val="Tabletext"/>
              <w:jc w:val="center"/>
            </w:pPr>
            <w:r w:rsidRPr="00CC2E73">
              <w:t>35</w:t>
            </w:r>
            <w:r w:rsidR="00C4321E" w:rsidRPr="00CC2E73">
              <w:t xml:space="preserve">° </w:t>
            </w:r>
            <w:r w:rsidRPr="00CC2E73">
              <w:t xml:space="preserve">57' </w:t>
            </w:r>
            <w:r w:rsidRPr="00CC2E73">
              <w:rPr>
                <w:lang w:eastAsia="ja-JP"/>
              </w:rPr>
              <w:t>21</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447AB2BC" w14:textId="6EA6E80D" w:rsidR="00524B07" w:rsidRPr="00CC2E73" w:rsidRDefault="00524B07" w:rsidP="00FF2594">
            <w:pPr>
              <w:pStyle w:val="Tabletext"/>
              <w:jc w:val="center"/>
            </w:pPr>
            <w:r w:rsidRPr="00CC2E73">
              <w:t>140</w:t>
            </w:r>
            <w:r w:rsidR="00C4321E" w:rsidRPr="00CC2E73">
              <w:t xml:space="preserve">° </w:t>
            </w:r>
            <w:r w:rsidRPr="00CC2E73">
              <w:t xml:space="preserve">39' </w:t>
            </w:r>
            <w:r w:rsidRPr="00CC2E73">
              <w:rPr>
                <w:lang w:eastAsia="ja-JP"/>
              </w:rPr>
              <w:t>36</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3227B6CE" w14:textId="77777777" w:rsidR="00524B07" w:rsidRPr="00CC2E73" w:rsidRDefault="00524B07" w:rsidP="00FF2594">
            <w:pPr>
              <w:pStyle w:val="Tabletext"/>
              <w:jc w:val="center"/>
            </w:pPr>
            <w:r w:rsidRPr="00CC2E73">
              <w:t>34 m</w:t>
            </w:r>
          </w:p>
        </w:tc>
      </w:tr>
      <w:tr w:rsidR="00524B07" w:rsidRPr="00CC2E73" w14:paraId="7ECBDBA2" w14:textId="77777777" w:rsidTr="0003249C">
        <w:trPr>
          <w:jc w:val="center"/>
        </w:trPr>
        <w:tc>
          <w:tcPr>
            <w:tcW w:w="1552" w:type="dxa"/>
            <w:vMerge/>
            <w:tcBorders>
              <w:left w:val="single" w:sz="6" w:space="0" w:color="auto"/>
              <w:right w:val="single" w:sz="6" w:space="0" w:color="auto"/>
            </w:tcBorders>
            <w:vAlign w:val="center"/>
            <w:hideMark/>
          </w:tcPr>
          <w:p w14:paraId="739F7F9F" w14:textId="77777777" w:rsidR="00524B07" w:rsidRPr="00CC2E73" w:rsidRDefault="00524B07" w:rsidP="00FF2594">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48EFE654" w14:textId="77777777" w:rsidR="00524B07" w:rsidRPr="00CC2E73" w:rsidRDefault="00524B07" w:rsidP="00FF2594">
            <w:pPr>
              <w:pStyle w:val="Tabletext"/>
            </w:pPr>
            <w:r w:rsidRPr="00CC2E73">
              <w:rPr>
                <w:lang w:eastAsia="ja-JP"/>
              </w:rPr>
              <w:t>Usuda</w:t>
            </w:r>
          </w:p>
        </w:tc>
        <w:tc>
          <w:tcPr>
            <w:tcW w:w="1843" w:type="dxa"/>
            <w:tcBorders>
              <w:top w:val="single" w:sz="6" w:space="0" w:color="auto"/>
              <w:left w:val="single" w:sz="6" w:space="0" w:color="auto"/>
              <w:bottom w:val="single" w:sz="6" w:space="0" w:color="auto"/>
              <w:right w:val="single" w:sz="6" w:space="0" w:color="auto"/>
            </w:tcBorders>
            <w:hideMark/>
          </w:tcPr>
          <w:p w14:paraId="36641030" w14:textId="03EEEAB9" w:rsidR="00524B07" w:rsidRPr="00CC2E73" w:rsidRDefault="00524B07" w:rsidP="00FF2594">
            <w:pPr>
              <w:pStyle w:val="Tabletext"/>
              <w:jc w:val="center"/>
            </w:pPr>
            <w:r w:rsidRPr="00CC2E73">
              <w:rPr>
                <w:lang w:eastAsia="ja-JP"/>
              </w:rPr>
              <w:t>36</w:t>
            </w:r>
            <w:r w:rsidR="00C4321E" w:rsidRPr="00CC2E73">
              <w:t xml:space="preserve">° </w:t>
            </w:r>
            <w:r w:rsidRPr="00CC2E73">
              <w:rPr>
                <w:lang w:eastAsia="ja-JP"/>
              </w:rPr>
              <w:t>07</w:t>
            </w:r>
            <w:r w:rsidRPr="00CC2E73">
              <w:t xml:space="preserve">' </w:t>
            </w:r>
            <w:r w:rsidRPr="00CC2E73">
              <w:rPr>
                <w:lang w:eastAsia="ja-JP"/>
              </w:rPr>
              <w:t>57</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37CDDBF4" w14:textId="437DA0D8" w:rsidR="00524B07" w:rsidRPr="00CC2E73" w:rsidRDefault="00524B07" w:rsidP="00FF2594">
            <w:pPr>
              <w:pStyle w:val="Tabletext"/>
              <w:jc w:val="center"/>
            </w:pPr>
            <w:r w:rsidRPr="00CC2E73">
              <w:t>1</w:t>
            </w:r>
            <w:r w:rsidRPr="00CC2E73">
              <w:rPr>
                <w:lang w:eastAsia="ja-JP"/>
              </w:rPr>
              <w:t>38</w:t>
            </w:r>
            <w:r w:rsidR="00C4321E" w:rsidRPr="00CC2E73">
              <w:t xml:space="preserve">° </w:t>
            </w:r>
            <w:r w:rsidRPr="00CC2E73">
              <w:rPr>
                <w:lang w:eastAsia="ja-JP"/>
              </w:rPr>
              <w:t>21</w:t>
            </w:r>
            <w:r w:rsidRPr="00CC2E73">
              <w:t xml:space="preserve">' </w:t>
            </w:r>
            <w:r w:rsidRPr="00CC2E73">
              <w:rPr>
                <w:lang w:eastAsia="ja-JP"/>
              </w:rPr>
              <w:t>46</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6F7BE34C" w14:textId="77777777" w:rsidR="00524B07" w:rsidRPr="00CC2E73" w:rsidRDefault="00524B07" w:rsidP="00FF2594">
            <w:pPr>
              <w:pStyle w:val="Tabletext"/>
              <w:jc w:val="center"/>
            </w:pPr>
            <w:r w:rsidRPr="00CC2E73">
              <w:rPr>
                <w:lang w:eastAsia="ja-JP"/>
              </w:rPr>
              <w:t>64 m</w:t>
            </w:r>
          </w:p>
        </w:tc>
      </w:tr>
      <w:tr w:rsidR="002C4E6E" w:rsidRPr="00CC2E73" w14:paraId="7078BF88" w14:textId="77777777" w:rsidTr="0003249C">
        <w:trPr>
          <w:jc w:val="center"/>
        </w:trPr>
        <w:tc>
          <w:tcPr>
            <w:tcW w:w="1552" w:type="dxa"/>
            <w:vMerge/>
            <w:tcBorders>
              <w:left w:val="single" w:sz="6" w:space="0" w:color="auto"/>
              <w:right w:val="single" w:sz="6" w:space="0" w:color="auto"/>
            </w:tcBorders>
            <w:vAlign w:val="center"/>
            <w:hideMark/>
          </w:tcPr>
          <w:p w14:paraId="6DB5CDF6"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72AB36CC" w14:textId="3561245B" w:rsidR="002C4E6E" w:rsidRPr="00CC2E73" w:rsidRDefault="002C4E6E" w:rsidP="002C4E6E">
            <w:pPr>
              <w:pStyle w:val="Tabletext"/>
            </w:pPr>
            <w:r w:rsidRPr="00CC2E73">
              <w:rPr>
                <w:lang w:eastAsia="ja-JP"/>
              </w:rPr>
              <w:t>Ibara</w:t>
            </w:r>
            <w:r>
              <w:rPr>
                <w:lang w:eastAsia="ja-JP"/>
              </w:rPr>
              <w:t>k</w:t>
            </w:r>
            <w:r w:rsidRPr="00CC2E73">
              <w:rPr>
                <w:lang w:eastAsia="ja-JP"/>
              </w:rPr>
              <w:t>i</w:t>
            </w:r>
          </w:p>
        </w:tc>
        <w:tc>
          <w:tcPr>
            <w:tcW w:w="1843" w:type="dxa"/>
            <w:tcBorders>
              <w:top w:val="single" w:sz="6" w:space="0" w:color="auto"/>
              <w:left w:val="single" w:sz="6" w:space="0" w:color="auto"/>
              <w:bottom w:val="single" w:sz="6" w:space="0" w:color="auto"/>
              <w:right w:val="single" w:sz="6" w:space="0" w:color="auto"/>
            </w:tcBorders>
            <w:hideMark/>
          </w:tcPr>
          <w:p w14:paraId="2D62279F" w14:textId="26FE2A45" w:rsidR="002C4E6E" w:rsidRPr="00CC2E73" w:rsidRDefault="002C4E6E" w:rsidP="002C4E6E">
            <w:pPr>
              <w:pStyle w:val="Tabletext"/>
              <w:jc w:val="center"/>
            </w:pPr>
            <w:r w:rsidRPr="00CC2E73">
              <w:rPr>
                <w:lang w:eastAsia="ja-JP"/>
              </w:rPr>
              <w:t>36</w:t>
            </w:r>
            <w:r w:rsidR="00C4321E" w:rsidRPr="00CC2E73">
              <w:t xml:space="preserve">° </w:t>
            </w:r>
            <w:r w:rsidRPr="00CC2E73">
              <w:rPr>
                <w:lang w:eastAsia="ja-JP"/>
              </w:rPr>
              <w:t>41' 51"</w:t>
            </w:r>
          </w:p>
        </w:tc>
        <w:tc>
          <w:tcPr>
            <w:tcW w:w="1701" w:type="dxa"/>
            <w:tcBorders>
              <w:top w:val="single" w:sz="6" w:space="0" w:color="auto"/>
              <w:left w:val="single" w:sz="6" w:space="0" w:color="auto"/>
              <w:bottom w:val="single" w:sz="6" w:space="0" w:color="auto"/>
              <w:right w:val="single" w:sz="6" w:space="0" w:color="auto"/>
            </w:tcBorders>
            <w:hideMark/>
          </w:tcPr>
          <w:p w14:paraId="2996CDD0" w14:textId="6A9E1947" w:rsidR="002C4E6E" w:rsidRPr="00CC2E73" w:rsidRDefault="002C4E6E" w:rsidP="002C4E6E">
            <w:pPr>
              <w:pStyle w:val="Tabletext"/>
              <w:jc w:val="center"/>
            </w:pPr>
            <w:r w:rsidRPr="00CC2E73">
              <w:rPr>
                <w:lang w:eastAsia="ja-JP"/>
              </w:rPr>
              <w:t>140</w:t>
            </w:r>
            <w:r w:rsidR="00C4321E" w:rsidRPr="00CC2E73">
              <w:t xml:space="preserve">° </w:t>
            </w:r>
            <w:r w:rsidRPr="00CC2E73">
              <w:rPr>
                <w:lang w:eastAsia="ja-JP"/>
              </w:rPr>
              <w:t>41' 32"</w:t>
            </w:r>
          </w:p>
        </w:tc>
        <w:tc>
          <w:tcPr>
            <w:tcW w:w="1992" w:type="dxa"/>
            <w:tcBorders>
              <w:top w:val="single" w:sz="6" w:space="0" w:color="auto"/>
              <w:left w:val="single" w:sz="6" w:space="0" w:color="auto"/>
              <w:bottom w:val="single" w:sz="6" w:space="0" w:color="auto"/>
              <w:right w:val="single" w:sz="6" w:space="0" w:color="auto"/>
            </w:tcBorders>
            <w:hideMark/>
          </w:tcPr>
          <w:p w14:paraId="1962703E" w14:textId="3985225A" w:rsidR="002C4E6E" w:rsidRPr="00CC2E73" w:rsidRDefault="002C4E6E" w:rsidP="002C4E6E">
            <w:pPr>
              <w:pStyle w:val="Tabletext"/>
              <w:jc w:val="center"/>
            </w:pPr>
            <w:r w:rsidRPr="00CC2E73">
              <w:rPr>
                <w:lang w:eastAsia="ja-JP"/>
              </w:rPr>
              <w:t xml:space="preserve">32 </w:t>
            </w:r>
            <w:r w:rsidRPr="00CC2E73">
              <w:t>×</w:t>
            </w:r>
            <w:r w:rsidRPr="00CC2E73">
              <w:rPr>
                <w:lang w:eastAsia="ja-JP"/>
              </w:rPr>
              <w:t xml:space="preserve"> 2 m</w:t>
            </w:r>
          </w:p>
        </w:tc>
      </w:tr>
      <w:tr w:rsidR="002C4E6E" w:rsidRPr="00CC2E73" w14:paraId="1BF3AA64" w14:textId="77777777" w:rsidTr="0003249C">
        <w:trPr>
          <w:jc w:val="center"/>
        </w:trPr>
        <w:tc>
          <w:tcPr>
            <w:tcW w:w="1552" w:type="dxa"/>
            <w:vMerge/>
            <w:tcBorders>
              <w:left w:val="single" w:sz="6" w:space="0" w:color="auto"/>
              <w:right w:val="single" w:sz="6" w:space="0" w:color="auto"/>
            </w:tcBorders>
            <w:vAlign w:val="center"/>
            <w:hideMark/>
          </w:tcPr>
          <w:p w14:paraId="6358A968"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hideMark/>
          </w:tcPr>
          <w:p w14:paraId="5B67F54A" w14:textId="43839975" w:rsidR="002C4E6E" w:rsidRPr="00CC2E73" w:rsidRDefault="002C4E6E" w:rsidP="002C4E6E">
            <w:pPr>
              <w:pStyle w:val="Tabletext"/>
            </w:pPr>
            <w:r w:rsidRPr="00CC2E73">
              <w:rPr>
                <w:lang w:eastAsia="ja-JP"/>
              </w:rPr>
              <w:t>Gifu</w:t>
            </w:r>
          </w:p>
        </w:tc>
        <w:tc>
          <w:tcPr>
            <w:tcW w:w="1843" w:type="dxa"/>
            <w:tcBorders>
              <w:top w:val="single" w:sz="6" w:space="0" w:color="auto"/>
              <w:left w:val="single" w:sz="6" w:space="0" w:color="auto"/>
              <w:bottom w:val="single" w:sz="6" w:space="0" w:color="auto"/>
              <w:right w:val="single" w:sz="6" w:space="0" w:color="auto"/>
            </w:tcBorders>
            <w:hideMark/>
          </w:tcPr>
          <w:p w14:paraId="3E39F10C" w14:textId="149EEC29" w:rsidR="002C4E6E" w:rsidRPr="00CC2E73" w:rsidRDefault="002C4E6E" w:rsidP="002C4E6E">
            <w:pPr>
              <w:pStyle w:val="Tabletext"/>
              <w:jc w:val="center"/>
            </w:pPr>
            <w:r w:rsidRPr="00CC2E73">
              <w:rPr>
                <w:lang w:eastAsia="ja-JP"/>
              </w:rPr>
              <w:t>35</w:t>
            </w:r>
            <w:r w:rsidR="00C4321E" w:rsidRPr="00CC2E73">
              <w:t xml:space="preserve">° </w:t>
            </w:r>
            <w:r w:rsidRPr="00CC2E73">
              <w:rPr>
                <w:lang w:eastAsia="ja-JP"/>
              </w:rPr>
              <w:t>28</w:t>
            </w:r>
            <w:r w:rsidRPr="00CC2E73">
              <w:t xml:space="preserve">' </w:t>
            </w:r>
            <w:r w:rsidRPr="00CC2E73">
              <w:rPr>
                <w:lang w:eastAsia="ja-JP"/>
              </w:rPr>
              <w:t>03</w:t>
            </w:r>
            <w:r w:rsidRPr="00CC2E73">
              <w:t>"</w:t>
            </w:r>
          </w:p>
        </w:tc>
        <w:tc>
          <w:tcPr>
            <w:tcW w:w="1701" w:type="dxa"/>
            <w:tcBorders>
              <w:top w:val="single" w:sz="6" w:space="0" w:color="auto"/>
              <w:left w:val="single" w:sz="6" w:space="0" w:color="auto"/>
              <w:bottom w:val="single" w:sz="6" w:space="0" w:color="auto"/>
              <w:right w:val="single" w:sz="6" w:space="0" w:color="auto"/>
            </w:tcBorders>
            <w:hideMark/>
          </w:tcPr>
          <w:p w14:paraId="4FE1390B" w14:textId="072A8D9D" w:rsidR="002C4E6E" w:rsidRPr="00CC2E73" w:rsidRDefault="002C4E6E" w:rsidP="002C4E6E">
            <w:pPr>
              <w:pStyle w:val="Tabletext"/>
              <w:jc w:val="center"/>
            </w:pPr>
            <w:r w:rsidRPr="00CC2E73">
              <w:t>1</w:t>
            </w:r>
            <w:r w:rsidRPr="00CC2E73">
              <w:rPr>
                <w:lang w:eastAsia="ja-JP"/>
              </w:rPr>
              <w:t>36</w:t>
            </w:r>
            <w:r w:rsidR="00C4321E" w:rsidRPr="00CC2E73">
              <w:t xml:space="preserve">° </w:t>
            </w:r>
            <w:r w:rsidRPr="00CC2E73">
              <w:rPr>
                <w:lang w:eastAsia="ja-JP"/>
              </w:rPr>
              <w:t>44</w:t>
            </w:r>
            <w:r w:rsidRPr="00CC2E73">
              <w:t xml:space="preserve">' </w:t>
            </w:r>
            <w:r w:rsidRPr="00CC2E73">
              <w:rPr>
                <w:lang w:eastAsia="ja-JP"/>
              </w:rPr>
              <w:t>14</w:t>
            </w:r>
            <w:r w:rsidRPr="00CC2E73">
              <w:t>"</w:t>
            </w:r>
          </w:p>
        </w:tc>
        <w:tc>
          <w:tcPr>
            <w:tcW w:w="1992" w:type="dxa"/>
            <w:tcBorders>
              <w:top w:val="single" w:sz="6" w:space="0" w:color="auto"/>
              <w:left w:val="single" w:sz="6" w:space="0" w:color="auto"/>
              <w:bottom w:val="single" w:sz="6" w:space="0" w:color="auto"/>
              <w:right w:val="single" w:sz="6" w:space="0" w:color="auto"/>
            </w:tcBorders>
            <w:hideMark/>
          </w:tcPr>
          <w:p w14:paraId="0E56331D" w14:textId="7EC537D2" w:rsidR="002C4E6E" w:rsidRPr="00CC2E73" w:rsidRDefault="002C4E6E" w:rsidP="002C4E6E">
            <w:pPr>
              <w:pStyle w:val="Tabletext"/>
              <w:jc w:val="center"/>
            </w:pPr>
            <w:r w:rsidRPr="00CC2E73">
              <w:rPr>
                <w:lang w:eastAsia="ja-JP"/>
              </w:rPr>
              <w:t>11 m</w:t>
            </w:r>
          </w:p>
        </w:tc>
      </w:tr>
      <w:tr w:rsidR="002C4E6E" w:rsidRPr="00CC2E73" w14:paraId="17345F70" w14:textId="77777777" w:rsidTr="0003249C">
        <w:trPr>
          <w:jc w:val="center"/>
        </w:trPr>
        <w:tc>
          <w:tcPr>
            <w:tcW w:w="1552" w:type="dxa"/>
            <w:vMerge/>
            <w:tcBorders>
              <w:left w:val="single" w:sz="6" w:space="0" w:color="auto"/>
              <w:right w:val="single" w:sz="6" w:space="0" w:color="auto"/>
            </w:tcBorders>
            <w:vAlign w:val="center"/>
          </w:tcPr>
          <w:p w14:paraId="6DDC8369"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tcPr>
          <w:p w14:paraId="3FAA3F1E" w14:textId="6EFB6FE4" w:rsidR="002C4E6E" w:rsidRPr="00CC2E73" w:rsidDel="00CA60FA" w:rsidRDefault="002C4E6E" w:rsidP="002C4E6E">
            <w:pPr>
              <w:pStyle w:val="Tabletext"/>
              <w:rPr>
                <w:lang w:eastAsia="ja-JP"/>
              </w:rPr>
            </w:pPr>
            <w:r w:rsidRPr="00CC2E73">
              <w:rPr>
                <w:lang w:eastAsia="ja-JP"/>
              </w:rPr>
              <w:t>Yamaguchi</w:t>
            </w:r>
          </w:p>
        </w:tc>
        <w:tc>
          <w:tcPr>
            <w:tcW w:w="1843" w:type="dxa"/>
            <w:tcBorders>
              <w:top w:val="single" w:sz="6" w:space="0" w:color="auto"/>
              <w:left w:val="single" w:sz="6" w:space="0" w:color="auto"/>
              <w:bottom w:val="single" w:sz="6" w:space="0" w:color="auto"/>
              <w:right w:val="single" w:sz="6" w:space="0" w:color="auto"/>
            </w:tcBorders>
          </w:tcPr>
          <w:p w14:paraId="01443200" w14:textId="4646DF37" w:rsidR="002C4E6E" w:rsidRPr="00CC2E73" w:rsidDel="00CA60FA" w:rsidRDefault="002C4E6E" w:rsidP="002C4E6E">
            <w:pPr>
              <w:pStyle w:val="Tabletext"/>
              <w:jc w:val="center"/>
              <w:rPr>
                <w:lang w:eastAsia="ja-JP"/>
              </w:rPr>
            </w:pPr>
            <w:r w:rsidRPr="00CC2E73">
              <w:rPr>
                <w:lang w:eastAsia="ja-JP"/>
              </w:rPr>
              <w:t>34</w:t>
            </w:r>
            <w:r w:rsidR="00C4321E" w:rsidRPr="00CC2E73">
              <w:t xml:space="preserve">° </w:t>
            </w:r>
            <w:r w:rsidRPr="00CC2E73">
              <w:rPr>
                <w:lang w:eastAsia="ja-JP"/>
              </w:rPr>
              <w:t>12</w:t>
            </w:r>
            <w:r w:rsidRPr="00CC2E73">
              <w:t xml:space="preserve">' </w:t>
            </w:r>
            <w:r w:rsidRPr="00CC2E73">
              <w:rPr>
                <w:lang w:eastAsia="ja-JP"/>
              </w:rPr>
              <w:t>58</w:t>
            </w:r>
            <w:r w:rsidRPr="00CC2E73">
              <w:t>"</w:t>
            </w:r>
          </w:p>
        </w:tc>
        <w:tc>
          <w:tcPr>
            <w:tcW w:w="1701" w:type="dxa"/>
            <w:tcBorders>
              <w:top w:val="single" w:sz="6" w:space="0" w:color="auto"/>
              <w:left w:val="single" w:sz="6" w:space="0" w:color="auto"/>
              <w:bottom w:val="single" w:sz="6" w:space="0" w:color="auto"/>
              <w:right w:val="single" w:sz="6" w:space="0" w:color="auto"/>
            </w:tcBorders>
          </w:tcPr>
          <w:p w14:paraId="303EE425" w14:textId="0F371A1B" w:rsidR="002C4E6E" w:rsidRPr="00CC2E73" w:rsidDel="00CA60FA" w:rsidRDefault="002C4E6E" w:rsidP="002C4E6E">
            <w:pPr>
              <w:pStyle w:val="Tabletext"/>
              <w:jc w:val="center"/>
              <w:rPr>
                <w:lang w:eastAsia="ja-JP"/>
              </w:rPr>
            </w:pPr>
            <w:r w:rsidRPr="00CC2E73">
              <w:t>1</w:t>
            </w:r>
            <w:r w:rsidRPr="00CC2E73">
              <w:rPr>
                <w:lang w:eastAsia="ja-JP"/>
              </w:rPr>
              <w:t>31</w:t>
            </w:r>
            <w:r w:rsidR="00C4321E" w:rsidRPr="00CC2E73">
              <w:t xml:space="preserve">° </w:t>
            </w:r>
            <w:r w:rsidRPr="00CC2E73">
              <w:rPr>
                <w:lang w:eastAsia="ja-JP"/>
              </w:rPr>
              <w:t>33</w:t>
            </w:r>
            <w:r w:rsidRPr="00CC2E73">
              <w:t xml:space="preserve">' </w:t>
            </w:r>
            <w:r w:rsidRPr="00CC2E73">
              <w:rPr>
                <w:lang w:eastAsia="ja-JP"/>
              </w:rPr>
              <w:t>26</w:t>
            </w:r>
            <w:r w:rsidRPr="00CC2E73">
              <w:t>"</w:t>
            </w:r>
          </w:p>
        </w:tc>
        <w:tc>
          <w:tcPr>
            <w:tcW w:w="1992" w:type="dxa"/>
            <w:tcBorders>
              <w:top w:val="single" w:sz="6" w:space="0" w:color="auto"/>
              <w:left w:val="single" w:sz="6" w:space="0" w:color="auto"/>
              <w:bottom w:val="single" w:sz="6" w:space="0" w:color="auto"/>
              <w:right w:val="single" w:sz="6" w:space="0" w:color="auto"/>
            </w:tcBorders>
          </w:tcPr>
          <w:p w14:paraId="77C3377B" w14:textId="5C252D17" w:rsidR="002C4E6E" w:rsidRPr="00CC2E73" w:rsidDel="00CA60FA" w:rsidRDefault="002C4E6E" w:rsidP="002C4E6E">
            <w:pPr>
              <w:pStyle w:val="Tabletext"/>
              <w:jc w:val="center"/>
              <w:rPr>
                <w:lang w:eastAsia="ja-JP"/>
              </w:rPr>
            </w:pPr>
            <w:r w:rsidRPr="00CC2E73">
              <w:rPr>
                <w:lang w:eastAsia="ja-JP"/>
              </w:rPr>
              <w:t>32 m</w:t>
            </w:r>
          </w:p>
        </w:tc>
      </w:tr>
      <w:tr w:rsidR="002C4E6E" w:rsidRPr="00CC2E73" w14:paraId="7F4D3B51" w14:textId="77777777" w:rsidTr="002C4E6E">
        <w:trPr>
          <w:jc w:val="center"/>
        </w:trPr>
        <w:tc>
          <w:tcPr>
            <w:tcW w:w="1552" w:type="dxa"/>
            <w:vMerge/>
            <w:tcBorders>
              <w:left w:val="single" w:sz="6" w:space="0" w:color="auto"/>
              <w:right w:val="single" w:sz="6" w:space="0" w:color="auto"/>
            </w:tcBorders>
            <w:vAlign w:val="center"/>
            <w:hideMark/>
          </w:tcPr>
          <w:p w14:paraId="4F3DFD37"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tcPr>
          <w:p w14:paraId="1828034B" w14:textId="11172E05" w:rsidR="002C4E6E" w:rsidRPr="00CC2E73" w:rsidRDefault="002C4E6E" w:rsidP="002C4E6E">
            <w:pPr>
              <w:pStyle w:val="Tabletext"/>
            </w:pPr>
            <w:r w:rsidRPr="002C4E6E">
              <w:rPr>
                <w:lang w:eastAsia="ja-JP"/>
              </w:rPr>
              <w:t>Tsukuba-NICT</w:t>
            </w:r>
          </w:p>
        </w:tc>
        <w:tc>
          <w:tcPr>
            <w:tcW w:w="1843" w:type="dxa"/>
            <w:tcBorders>
              <w:top w:val="single" w:sz="6" w:space="0" w:color="auto"/>
              <w:left w:val="single" w:sz="6" w:space="0" w:color="auto"/>
              <w:bottom w:val="single" w:sz="6" w:space="0" w:color="auto"/>
              <w:right w:val="single" w:sz="6" w:space="0" w:color="auto"/>
            </w:tcBorders>
          </w:tcPr>
          <w:p w14:paraId="521325B1" w14:textId="2DAA2C2F" w:rsidR="002C4E6E" w:rsidRPr="00CC2E73" w:rsidRDefault="002C4E6E" w:rsidP="002C4E6E">
            <w:pPr>
              <w:pStyle w:val="Tabletext"/>
              <w:jc w:val="center"/>
            </w:pPr>
            <w:r w:rsidRPr="002C4E6E">
              <w:rPr>
                <w:lang w:eastAsia="ja-JP"/>
              </w:rPr>
              <w:t>36</w:t>
            </w:r>
            <w:r w:rsidR="00C4321E" w:rsidRPr="00CC2E73">
              <w:t xml:space="preserve">° </w:t>
            </w:r>
            <w:r w:rsidRPr="002C4E6E">
              <w:rPr>
                <w:lang w:eastAsia="ja-JP"/>
              </w:rPr>
              <w:t>03</w:t>
            </w:r>
            <w:r w:rsidRPr="002C4E6E">
              <w:t xml:space="preserve">' </w:t>
            </w:r>
            <w:r w:rsidRPr="002C4E6E">
              <w:rPr>
                <w:lang w:eastAsia="ja-JP"/>
              </w:rPr>
              <w:t>33</w:t>
            </w:r>
            <w:r w:rsidRPr="002C4E6E">
              <w:t>"</w:t>
            </w:r>
          </w:p>
        </w:tc>
        <w:tc>
          <w:tcPr>
            <w:tcW w:w="1701" w:type="dxa"/>
            <w:tcBorders>
              <w:top w:val="single" w:sz="6" w:space="0" w:color="auto"/>
              <w:left w:val="single" w:sz="6" w:space="0" w:color="auto"/>
              <w:bottom w:val="single" w:sz="6" w:space="0" w:color="auto"/>
              <w:right w:val="single" w:sz="6" w:space="0" w:color="auto"/>
            </w:tcBorders>
          </w:tcPr>
          <w:p w14:paraId="4399E226" w14:textId="053FB036" w:rsidR="002C4E6E" w:rsidRPr="00CC2E73" w:rsidRDefault="002C4E6E" w:rsidP="002C4E6E">
            <w:pPr>
              <w:pStyle w:val="Tabletext"/>
              <w:jc w:val="center"/>
            </w:pPr>
            <w:r w:rsidRPr="002C4E6E">
              <w:t>1</w:t>
            </w:r>
            <w:r w:rsidRPr="002C4E6E">
              <w:rPr>
                <w:lang w:eastAsia="ja-JP"/>
              </w:rPr>
              <w:t>40</w:t>
            </w:r>
            <w:r w:rsidR="00C4321E" w:rsidRPr="00CC2E73">
              <w:t xml:space="preserve">° </w:t>
            </w:r>
            <w:r w:rsidRPr="002C4E6E">
              <w:rPr>
                <w:lang w:eastAsia="ja-JP"/>
              </w:rPr>
              <w:t>08</w:t>
            </w:r>
            <w:r w:rsidRPr="002C4E6E">
              <w:t xml:space="preserve">' </w:t>
            </w:r>
            <w:r w:rsidRPr="002C4E6E">
              <w:rPr>
                <w:lang w:eastAsia="ja-JP"/>
              </w:rPr>
              <w:t>05</w:t>
            </w:r>
            <w:r w:rsidRPr="002C4E6E">
              <w:t>"</w:t>
            </w:r>
          </w:p>
        </w:tc>
        <w:tc>
          <w:tcPr>
            <w:tcW w:w="1992" w:type="dxa"/>
            <w:tcBorders>
              <w:top w:val="single" w:sz="6" w:space="0" w:color="auto"/>
              <w:left w:val="single" w:sz="6" w:space="0" w:color="auto"/>
              <w:bottom w:val="single" w:sz="6" w:space="0" w:color="auto"/>
              <w:right w:val="single" w:sz="6" w:space="0" w:color="auto"/>
            </w:tcBorders>
          </w:tcPr>
          <w:p w14:paraId="0185A666" w14:textId="5C2CAB76" w:rsidR="002C4E6E" w:rsidRPr="00CC2E73" w:rsidRDefault="002C4E6E" w:rsidP="002C4E6E">
            <w:pPr>
              <w:pStyle w:val="Tabletext"/>
              <w:jc w:val="center"/>
            </w:pPr>
            <w:r w:rsidRPr="002C4E6E">
              <w:rPr>
                <w:lang w:eastAsia="ja-JP"/>
              </w:rPr>
              <w:t>1.6 m</w:t>
            </w:r>
          </w:p>
        </w:tc>
      </w:tr>
      <w:tr w:rsidR="002C4E6E" w:rsidRPr="00CC2E73" w14:paraId="6983D684" w14:textId="77777777" w:rsidTr="002C4E6E">
        <w:trPr>
          <w:jc w:val="center"/>
        </w:trPr>
        <w:tc>
          <w:tcPr>
            <w:tcW w:w="1552" w:type="dxa"/>
            <w:vMerge/>
            <w:tcBorders>
              <w:left w:val="single" w:sz="6" w:space="0" w:color="auto"/>
              <w:right w:val="single" w:sz="6" w:space="0" w:color="auto"/>
            </w:tcBorders>
            <w:vAlign w:val="center"/>
            <w:hideMark/>
          </w:tcPr>
          <w:p w14:paraId="50E98F55"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tcPr>
          <w:p w14:paraId="2B2C8D77" w14:textId="38BAA562" w:rsidR="002C4E6E" w:rsidRPr="00CC2E73" w:rsidRDefault="002C4E6E" w:rsidP="002C4E6E">
            <w:pPr>
              <w:pStyle w:val="Tabletext"/>
            </w:pPr>
            <w:r w:rsidRPr="002C4E6E">
              <w:rPr>
                <w:lang w:eastAsia="ja-JP"/>
              </w:rPr>
              <w:t>Koganei-NICT</w:t>
            </w:r>
          </w:p>
        </w:tc>
        <w:tc>
          <w:tcPr>
            <w:tcW w:w="1843" w:type="dxa"/>
            <w:tcBorders>
              <w:top w:val="single" w:sz="6" w:space="0" w:color="auto"/>
              <w:left w:val="single" w:sz="6" w:space="0" w:color="auto"/>
              <w:bottom w:val="single" w:sz="6" w:space="0" w:color="auto"/>
              <w:right w:val="single" w:sz="6" w:space="0" w:color="auto"/>
            </w:tcBorders>
          </w:tcPr>
          <w:p w14:paraId="673BE30C" w14:textId="1C1FDBDB" w:rsidR="002C4E6E" w:rsidRPr="00CC2E73" w:rsidRDefault="002C4E6E" w:rsidP="002C4E6E">
            <w:pPr>
              <w:pStyle w:val="Tabletext"/>
              <w:jc w:val="center"/>
            </w:pPr>
            <w:r w:rsidRPr="002C4E6E">
              <w:rPr>
                <w:lang w:eastAsia="ja-JP"/>
              </w:rPr>
              <w:t>35</w:t>
            </w:r>
            <w:r w:rsidR="00C4321E" w:rsidRPr="00CC2E73">
              <w:t xml:space="preserve">° </w:t>
            </w:r>
            <w:r w:rsidRPr="002C4E6E">
              <w:rPr>
                <w:lang w:eastAsia="ja-JP"/>
              </w:rPr>
              <w:t>42</w:t>
            </w:r>
            <w:r w:rsidRPr="002C4E6E">
              <w:t xml:space="preserve">' </w:t>
            </w:r>
            <w:r w:rsidRPr="002C4E6E">
              <w:rPr>
                <w:lang w:eastAsia="ja-JP"/>
              </w:rPr>
              <w:t>37</w:t>
            </w:r>
            <w:r w:rsidRPr="002C4E6E">
              <w:t>"</w:t>
            </w:r>
          </w:p>
        </w:tc>
        <w:tc>
          <w:tcPr>
            <w:tcW w:w="1701" w:type="dxa"/>
            <w:tcBorders>
              <w:top w:val="single" w:sz="6" w:space="0" w:color="auto"/>
              <w:left w:val="single" w:sz="6" w:space="0" w:color="auto"/>
              <w:bottom w:val="single" w:sz="6" w:space="0" w:color="auto"/>
              <w:right w:val="single" w:sz="6" w:space="0" w:color="auto"/>
            </w:tcBorders>
          </w:tcPr>
          <w:p w14:paraId="7F8234DF" w14:textId="75C69592" w:rsidR="002C4E6E" w:rsidRPr="00CC2E73" w:rsidRDefault="002C4E6E" w:rsidP="002C4E6E">
            <w:pPr>
              <w:pStyle w:val="Tabletext"/>
              <w:jc w:val="center"/>
            </w:pPr>
            <w:r w:rsidRPr="002C4E6E">
              <w:t>1</w:t>
            </w:r>
            <w:r w:rsidRPr="002C4E6E">
              <w:rPr>
                <w:lang w:eastAsia="ja-JP"/>
              </w:rPr>
              <w:t>39</w:t>
            </w:r>
            <w:r w:rsidR="00C4321E" w:rsidRPr="00CC2E73">
              <w:t xml:space="preserve">° </w:t>
            </w:r>
            <w:r w:rsidRPr="002C4E6E">
              <w:rPr>
                <w:lang w:eastAsia="ja-JP"/>
              </w:rPr>
              <w:t>29</w:t>
            </w:r>
            <w:r w:rsidRPr="002C4E6E">
              <w:t xml:space="preserve">' </w:t>
            </w:r>
            <w:r w:rsidRPr="002C4E6E">
              <w:rPr>
                <w:lang w:eastAsia="ja-JP"/>
              </w:rPr>
              <w:t>17</w:t>
            </w:r>
            <w:r w:rsidRPr="002C4E6E">
              <w:t>"</w:t>
            </w:r>
          </w:p>
        </w:tc>
        <w:tc>
          <w:tcPr>
            <w:tcW w:w="1992" w:type="dxa"/>
            <w:tcBorders>
              <w:top w:val="single" w:sz="6" w:space="0" w:color="auto"/>
              <w:left w:val="single" w:sz="6" w:space="0" w:color="auto"/>
              <w:bottom w:val="single" w:sz="6" w:space="0" w:color="auto"/>
              <w:right w:val="single" w:sz="6" w:space="0" w:color="auto"/>
            </w:tcBorders>
          </w:tcPr>
          <w:p w14:paraId="41335655" w14:textId="14C93401" w:rsidR="002C4E6E" w:rsidRPr="00CC2E73" w:rsidRDefault="002C4E6E" w:rsidP="002C4E6E">
            <w:pPr>
              <w:pStyle w:val="Tabletext"/>
              <w:jc w:val="center"/>
            </w:pPr>
            <w:r w:rsidRPr="002C4E6E">
              <w:rPr>
                <w:lang w:eastAsia="ja-JP"/>
              </w:rPr>
              <w:t>2.4 m, 11 m</w:t>
            </w:r>
          </w:p>
        </w:tc>
      </w:tr>
      <w:tr w:rsidR="002C4E6E" w:rsidRPr="00CC2E73" w14:paraId="31A52804" w14:textId="77777777" w:rsidTr="0003249C">
        <w:trPr>
          <w:jc w:val="center"/>
        </w:trPr>
        <w:tc>
          <w:tcPr>
            <w:tcW w:w="1552" w:type="dxa"/>
            <w:vMerge w:val="restart"/>
            <w:tcBorders>
              <w:top w:val="single" w:sz="6" w:space="0" w:color="auto"/>
              <w:left w:val="single" w:sz="6" w:space="0" w:color="auto"/>
              <w:bottom w:val="single" w:sz="6" w:space="0" w:color="auto"/>
              <w:right w:val="single" w:sz="6" w:space="0" w:color="auto"/>
            </w:tcBorders>
            <w:vAlign w:val="center"/>
            <w:hideMark/>
          </w:tcPr>
          <w:p w14:paraId="3B0A2EB1" w14:textId="77777777" w:rsidR="002C4E6E" w:rsidRPr="00CC2E73" w:rsidRDefault="002C4E6E" w:rsidP="002C4E6E">
            <w:pPr>
              <w:pStyle w:val="Tabletext"/>
            </w:pPr>
            <w:r w:rsidRPr="00CC2E73">
              <w:t>Korea</w:t>
            </w:r>
          </w:p>
        </w:tc>
        <w:tc>
          <w:tcPr>
            <w:tcW w:w="2551" w:type="dxa"/>
            <w:tcBorders>
              <w:top w:val="single" w:sz="6" w:space="0" w:color="auto"/>
              <w:left w:val="single" w:sz="6" w:space="0" w:color="auto"/>
              <w:bottom w:val="single" w:sz="6" w:space="0" w:color="auto"/>
              <w:right w:val="single" w:sz="6" w:space="0" w:color="auto"/>
            </w:tcBorders>
            <w:vAlign w:val="center"/>
          </w:tcPr>
          <w:p w14:paraId="10AE2248" w14:textId="77777777" w:rsidR="002C4E6E" w:rsidRPr="00CC2E73" w:rsidRDefault="002C4E6E" w:rsidP="002C4E6E">
            <w:pPr>
              <w:pStyle w:val="Tabletext"/>
            </w:pPr>
            <w:r w:rsidRPr="00CC2E73">
              <w:rPr>
                <w:lang w:eastAsia="ko-KR"/>
              </w:rPr>
              <w:t>KSWC (Jeju)</w:t>
            </w:r>
          </w:p>
        </w:tc>
        <w:tc>
          <w:tcPr>
            <w:tcW w:w="1843" w:type="dxa"/>
            <w:tcBorders>
              <w:top w:val="single" w:sz="6" w:space="0" w:color="auto"/>
              <w:left w:val="single" w:sz="6" w:space="0" w:color="auto"/>
              <w:bottom w:val="single" w:sz="6" w:space="0" w:color="auto"/>
              <w:right w:val="single" w:sz="6" w:space="0" w:color="auto"/>
            </w:tcBorders>
            <w:vAlign w:val="center"/>
          </w:tcPr>
          <w:p w14:paraId="0365DFCE" w14:textId="0DB1F905" w:rsidR="002C4E6E" w:rsidRPr="00CC2E73" w:rsidRDefault="002C4E6E" w:rsidP="002C4E6E">
            <w:pPr>
              <w:pStyle w:val="Tabletext"/>
              <w:jc w:val="center"/>
            </w:pPr>
            <w:r w:rsidRPr="00CC2E73">
              <w:t>3</w:t>
            </w:r>
            <w:r w:rsidRPr="00CC2E73">
              <w:rPr>
                <w:lang w:eastAsia="ko-KR"/>
              </w:rPr>
              <w:t>3</w:t>
            </w:r>
            <w:r w:rsidR="00C4321E" w:rsidRPr="00CC2E73">
              <w:t xml:space="preserve">° </w:t>
            </w:r>
            <w:r w:rsidRPr="00CC2E73">
              <w:rPr>
                <w:lang w:eastAsia="ko-KR"/>
              </w:rPr>
              <w:t>25</w:t>
            </w:r>
            <w:r w:rsidRPr="00CC2E73">
              <w:t xml:space="preserve">' </w:t>
            </w:r>
            <w:r w:rsidRPr="00CC2E73">
              <w:rPr>
                <w:lang w:eastAsia="ko-KR"/>
              </w:rPr>
              <w:t>40</w:t>
            </w:r>
            <w:r w:rsidRPr="00CC2E73">
              <w:t>"</w:t>
            </w:r>
          </w:p>
        </w:tc>
        <w:tc>
          <w:tcPr>
            <w:tcW w:w="1701" w:type="dxa"/>
            <w:tcBorders>
              <w:top w:val="single" w:sz="6" w:space="0" w:color="auto"/>
              <w:left w:val="single" w:sz="6" w:space="0" w:color="auto"/>
              <w:bottom w:val="single" w:sz="6" w:space="0" w:color="auto"/>
              <w:right w:val="single" w:sz="6" w:space="0" w:color="auto"/>
            </w:tcBorders>
            <w:vAlign w:val="center"/>
          </w:tcPr>
          <w:p w14:paraId="7647856D" w14:textId="78711E66" w:rsidR="002C4E6E" w:rsidRPr="00CC2E73" w:rsidRDefault="002C4E6E" w:rsidP="002C4E6E">
            <w:pPr>
              <w:pStyle w:val="Tabletext"/>
              <w:jc w:val="center"/>
            </w:pPr>
            <w:r w:rsidRPr="00CC2E73">
              <w:t>12</w:t>
            </w:r>
            <w:r w:rsidRPr="00CC2E73">
              <w:rPr>
                <w:lang w:eastAsia="ko-KR"/>
              </w:rPr>
              <w:t>6</w:t>
            </w:r>
            <w:r w:rsidR="00C4321E" w:rsidRPr="00CC2E73">
              <w:t xml:space="preserve">° </w:t>
            </w:r>
            <w:r w:rsidRPr="00CC2E73">
              <w:rPr>
                <w:lang w:eastAsia="ko-KR"/>
              </w:rPr>
              <w:t>17</w:t>
            </w:r>
            <w:r w:rsidRPr="00CC2E73">
              <w:t>'</w:t>
            </w:r>
            <w:r w:rsidRPr="00CC2E73">
              <w:rPr>
                <w:lang w:eastAsia="ko-KR"/>
              </w:rPr>
              <w:t xml:space="preserve"> 45</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tcPr>
          <w:p w14:paraId="30D68B27" w14:textId="536D2F82" w:rsidR="002C4E6E" w:rsidRPr="00CC2E73" w:rsidRDefault="002C4E6E" w:rsidP="002C4E6E">
            <w:pPr>
              <w:pStyle w:val="Tabletext"/>
              <w:jc w:val="center"/>
            </w:pPr>
            <w:r w:rsidRPr="00CC2E73">
              <w:rPr>
                <w:lang w:eastAsia="ko-KR"/>
              </w:rPr>
              <w:t>1.8 m</w:t>
            </w:r>
          </w:p>
        </w:tc>
      </w:tr>
      <w:tr w:rsidR="002C4E6E" w:rsidRPr="00CC2E73" w14:paraId="19165EE9" w14:textId="77777777" w:rsidTr="0003249C">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27FCFAEB"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2F32DE91" w14:textId="77777777" w:rsidR="002C4E6E" w:rsidRPr="00CC2E73" w:rsidRDefault="002C4E6E" w:rsidP="002C4E6E">
            <w:pPr>
              <w:pStyle w:val="Tabletext"/>
            </w:pPr>
            <w:r w:rsidRPr="00CC2E73">
              <w:rPr>
                <w:lang w:eastAsia="ko-KR"/>
              </w:rPr>
              <w:t>SGOC (Sejong)</w:t>
            </w:r>
          </w:p>
        </w:tc>
        <w:tc>
          <w:tcPr>
            <w:tcW w:w="1843" w:type="dxa"/>
            <w:tcBorders>
              <w:top w:val="single" w:sz="6" w:space="0" w:color="auto"/>
              <w:left w:val="single" w:sz="6" w:space="0" w:color="auto"/>
              <w:bottom w:val="single" w:sz="6" w:space="0" w:color="auto"/>
              <w:right w:val="single" w:sz="6" w:space="0" w:color="auto"/>
            </w:tcBorders>
            <w:vAlign w:val="center"/>
          </w:tcPr>
          <w:p w14:paraId="4D91284F" w14:textId="39D1D699" w:rsidR="002C4E6E" w:rsidRPr="00CC2E73" w:rsidRDefault="002C4E6E" w:rsidP="002C4E6E">
            <w:pPr>
              <w:pStyle w:val="Tabletext"/>
              <w:jc w:val="center"/>
            </w:pPr>
            <w:r w:rsidRPr="00CC2E73">
              <w:t>3</w:t>
            </w:r>
            <w:r w:rsidRPr="00CC2E73">
              <w:rPr>
                <w:lang w:eastAsia="ko-KR"/>
              </w:rPr>
              <w:t>6</w:t>
            </w:r>
            <w:r w:rsidR="00C4321E" w:rsidRPr="00CC2E73">
              <w:t xml:space="preserve">° </w:t>
            </w:r>
            <w:r w:rsidRPr="00CC2E73">
              <w:t>3</w:t>
            </w:r>
            <w:r w:rsidRPr="00CC2E73">
              <w:rPr>
                <w:lang w:eastAsia="ko-KR"/>
              </w:rPr>
              <w:t>1</w:t>
            </w:r>
            <w:r w:rsidRPr="00CC2E73">
              <w:t xml:space="preserve">' </w:t>
            </w:r>
            <w:r w:rsidRPr="00CC2E73">
              <w:rPr>
                <w:lang w:eastAsia="ko-KR"/>
              </w:rPr>
              <w:t>22</w:t>
            </w:r>
            <w:r w:rsidRPr="00CC2E73">
              <w:t>"</w:t>
            </w:r>
          </w:p>
        </w:tc>
        <w:tc>
          <w:tcPr>
            <w:tcW w:w="1701" w:type="dxa"/>
            <w:tcBorders>
              <w:top w:val="single" w:sz="6" w:space="0" w:color="auto"/>
              <w:left w:val="single" w:sz="6" w:space="0" w:color="auto"/>
              <w:bottom w:val="single" w:sz="6" w:space="0" w:color="auto"/>
              <w:right w:val="single" w:sz="6" w:space="0" w:color="auto"/>
            </w:tcBorders>
            <w:vAlign w:val="center"/>
          </w:tcPr>
          <w:p w14:paraId="54C42B0D" w14:textId="55F78489" w:rsidR="002C4E6E" w:rsidRPr="00CC2E73" w:rsidRDefault="002C4E6E" w:rsidP="002C4E6E">
            <w:pPr>
              <w:pStyle w:val="Tabletext"/>
              <w:jc w:val="center"/>
            </w:pPr>
            <w:r w:rsidRPr="00CC2E73">
              <w:t>12</w:t>
            </w:r>
            <w:r w:rsidRPr="00CC2E73">
              <w:rPr>
                <w:lang w:eastAsia="ko-KR"/>
              </w:rPr>
              <w:t>7</w:t>
            </w:r>
            <w:r w:rsidR="00C4321E" w:rsidRPr="00CC2E73">
              <w:t xml:space="preserve">° </w:t>
            </w:r>
            <w:r w:rsidRPr="00CC2E73">
              <w:rPr>
                <w:lang w:eastAsia="ko-KR"/>
              </w:rPr>
              <w:t>18</w:t>
            </w:r>
            <w:r w:rsidRPr="00CC2E73">
              <w:t>'</w:t>
            </w:r>
            <w:r w:rsidRPr="00CC2E73">
              <w:rPr>
                <w:lang w:eastAsia="ko-KR"/>
              </w:rPr>
              <w:t xml:space="preserve"> 12</w:t>
            </w:r>
            <w:r w:rsidRPr="00CC2E73">
              <w:t>"</w:t>
            </w:r>
          </w:p>
        </w:tc>
        <w:tc>
          <w:tcPr>
            <w:tcW w:w="1992" w:type="dxa"/>
            <w:tcBorders>
              <w:top w:val="single" w:sz="6" w:space="0" w:color="auto"/>
              <w:left w:val="single" w:sz="6" w:space="0" w:color="auto"/>
              <w:bottom w:val="single" w:sz="6" w:space="0" w:color="auto"/>
              <w:right w:val="single" w:sz="6" w:space="0" w:color="auto"/>
            </w:tcBorders>
            <w:vAlign w:val="center"/>
          </w:tcPr>
          <w:p w14:paraId="04B46F16" w14:textId="77777777" w:rsidR="002C4E6E" w:rsidRPr="00CC2E73" w:rsidRDefault="002C4E6E" w:rsidP="002C4E6E">
            <w:pPr>
              <w:pStyle w:val="Tabletext"/>
              <w:jc w:val="center"/>
            </w:pPr>
            <w:r w:rsidRPr="00CC2E73">
              <w:rPr>
                <w:lang w:eastAsia="ko-KR"/>
              </w:rPr>
              <w:t>22 m</w:t>
            </w:r>
          </w:p>
        </w:tc>
      </w:tr>
      <w:tr w:rsidR="002C4E6E" w:rsidRPr="00CC2E73" w14:paraId="09CF3B1C" w14:textId="77777777" w:rsidTr="0003249C">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0A43C1CD"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646E8EF1" w14:textId="77777777" w:rsidR="002C4E6E" w:rsidRPr="00CC2E73" w:rsidRDefault="002C4E6E" w:rsidP="002C4E6E">
            <w:pPr>
              <w:pStyle w:val="Tabletext"/>
            </w:pPr>
            <w:r w:rsidRPr="00CC2E73">
              <w:rPr>
                <w:lang w:eastAsia="ja-JP"/>
              </w:rPr>
              <w:t>K-SRBL</w:t>
            </w:r>
          </w:p>
        </w:tc>
        <w:tc>
          <w:tcPr>
            <w:tcW w:w="1843" w:type="dxa"/>
            <w:tcBorders>
              <w:top w:val="single" w:sz="6" w:space="0" w:color="auto"/>
              <w:left w:val="single" w:sz="6" w:space="0" w:color="auto"/>
              <w:bottom w:val="single" w:sz="6" w:space="0" w:color="auto"/>
              <w:right w:val="single" w:sz="6" w:space="0" w:color="auto"/>
            </w:tcBorders>
            <w:vAlign w:val="center"/>
          </w:tcPr>
          <w:p w14:paraId="006E999B" w14:textId="7DAD7BDB" w:rsidR="002C4E6E" w:rsidRPr="00CC2E73" w:rsidRDefault="002C4E6E" w:rsidP="002C4E6E">
            <w:pPr>
              <w:pStyle w:val="Tabletext"/>
              <w:jc w:val="center"/>
            </w:pPr>
            <w:r w:rsidRPr="00CC2E73">
              <w:t>36° 23' 54"</w:t>
            </w:r>
          </w:p>
        </w:tc>
        <w:tc>
          <w:tcPr>
            <w:tcW w:w="1701" w:type="dxa"/>
            <w:tcBorders>
              <w:top w:val="single" w:sz="6" w:space="0" w:color="auto"/>
              <w:left w:val="single" w:sz="6" w:space="0" w:color="auto"/>
              <w:bottom w:val="single" w:sz="6" w:space="0" w:color="auto"/>
              <w:right w:val="single" w:sz="6" w:space="0" w:color="auto"/>
            </w:tcBorders>
            <w:vAlign w:val="center"/>
          </w:tcPr>
          <w:p w14:paraId="2E0791EC" w14:textId="03758689" w:rsidR="002C4E6E" w:rsidRPr="00CC2E73" w:rsidRDefault="002C4E6E" w:rsidP="002C4E6E">
            <w:pPr>
              <w:pStyle w:val="Tabletext"/>
              <w:jc w:val="center"/>
            </w:pPr>
            <w:r w:rsidRPr="00CC2E73">
              <w:t>127° 22' 31"</w:t>
            </w:r>
          </w:p>
        </w:tc>
        <w:tc>
          <w:tcPr>
            <w:tcW w:w="1992" w:type="dxa"/>
            <w:tcBorders>
              <w:top w:val="single" w:sz="6" w:space="0" w:color="auto"/>
              <w:left w:val="single" w:sz="6" w:space="0" w:color="auto"/>
              <w:bottom w:val="single" w:sz="6" w:space="0" w:color="auto"/>
              <w:right w:val="single" w:sz="6" w:space="0" w:color="auto"/>
            </w:tcBorders>
            <w:vAlign w:val="center"/>
          </w:tcPr>
          <w:p w14:paraId="7375D091" w14:textId="4977D742" w:rsidR="002C4E6E" w:rsidRPr="00CC2E73" w:rsidRDefault="002C4E6E" w:rsidP="002C4E6E">
            <w:pPr>
              <w:pStyle w:val="Tabletext"/>
              <w:jc w:val="center"/>
            </w:pPr>
            <w:r w:rsidRPr="00CC2E73">
              <w:rPr>
                <w:lang w:eastAsia="ja-JP"/>
              </w:rPr>
              <w:t>2.1 m</w:t>
            </w:r>
          </w:p>
        </w:tc>
      </w:tr>
      <w:tr w:rsidR="002C4E6E" w:rsidRPr="00CC2E73" w14:paraId="7F74EC35" w14:textId="77777777" w:rsidTr="0003249C">
        <w:trPr>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6E1B56BE"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29DBB25B" w14:textId="77777777" w:rsidR="002C4E6E" w:rsidRPr="00CC2E73" w:rsidRDefault="002C4E6E" w:rsidP="002C4E6E">
            <w:pPr>
              <w:pStyle w:val="Tabletext"/>
            </w:pPr>
            <w:r w:rsidRPr="00CC2E73">
              <w:rPr>
                <w:lang w:eastAsia="ko-KR"/>
              </w:rPr>
              <w:t>KVN-</w:t>
            </w:r>
            <w:r w:rsidRPr="00CC2E73">
              <w:t>Yonsei</w:t>
            </w:r>
          </w:p>
        </w:tc>
        <w:tc>
          <w:tcPr>
            <w:tcW w:w="1843" w:type="dxa"/>
            <w:tcBorders>
              <w:top w:val="single" w:sz="6" w:space="0" w:color="auto"/>
              <w:left w:val="single" w:sz="6" w:space="0" w:color="auto"/>
              <w:bottom w:val="single" w:sz="6" w:space="0" w:color="auto"/>
              <w:right w:val="single" w:sz="6" w:space="0" w:color="auto"/>
            </w:tcBorders>
            <w:vAlign w:val="center"/>
          </w:tcPr>
          <w:p w14:paraId="6C56264C" w14:textId="4E288720" w:rsidR="002C4E6E" w:rsidRPr="00CC2E73" w:rsidRDefault="002C4E6E" w:rsidP="002C4E6E">
            <w:pPr>
              <w:pStyle w:val="Tabletext"/>
              <w:jc w:val="center"/>
            </w:pPr>
            <w:r w:rsidRPr="00CC2E73">
              <w:t>37</w:t>
            </w:r>
            <w:r w:rsidR="00C4321E" w:rsidRPr="00CC2E73">
              <w:t xml:space="preserve">° </w:t>
            </w:r>
            <w:r w:rsidRPr="00CC2E73">
              <w:t>33' 55"</w:t>
            </w:r>
          </w:p>
        </w:tc>
        <w:tc>
          <w:tcPr>
            <w:tcW w:w="1701" w:type="dxa"/>
            <w:tcBorders>
              <w:top w:val="single" w:sz="6" w:space="0" w:color="auto"/>
              <w:left w:val="single" w:sz="6" w:space="0" w:color="auto"/>
              <w:bottom w:val="single" w:sz="6" w:space="0" w:color="auto"/>
              <w:right w:val="single" w:sz="6" w:space="0" w:color="auto"/>
            </w:tcBorders>
            <w:vAlign w:val="center"/>
          </w:tcPr>
          <w:p w14:paraId="40081843" w14:textId="039056EB" w:rsidR="002C4E6E" w:rsidRPr="00CC2E73" w:rsidRDefault="002C4E6E" w:rsidP="002C4E6E">
            <w:pPr>
              <w:pStyle w:val="Tabletext"/>
              <w:jc w:val="center"/>
            </w:pPr>
            <w:r w:rsidRPr="00CC2E73">
              <w:t>126</w:t>
            </w:r>
            <w:r w:rsidR="00C4321E" w:rsidRPr="00CC2E73">
              <w:t xml:space="preserve">° </w:t>
            </w:r>
            <w:r w:rsidRPr="00CC2E73">
              <w:t>56' 27"</w:t>
            </w:r>
          </w:p>
        </w:tc>
        <w:tc>
          <w:tcPr>
            <w:tcW w:w="1992" w:type="dxa"/>
            <w:tcBorders>
              <w:top w:val="single" w:sz="6" w:space="0" w:color="auto"/>
              <w:left w:val="single" w:sz="6" w:space="0" w:color="auto"/>
              <w:bottom w:val="single" w:sz="6" w:space="0" w:color="auto"/>
              <w:right w:val="single" w:sz="6" w:space="0" w:color="auto"/>
            </w:tcBorders>
            <w:vAlign w:val="center"/>
          </w:tcPr>
          <w:p w14:paraId="1197967D" w14:textId="77777777" w:rsidR="002C4E6E" w:rsidRPr="00CC2E73" w:rsidRDefault="002C4E6E" w:rsidP="002C4E6E">
            <w:pPr>
              <w:pStyle w:val="Tabletext"/>
              <w:jc w:val="center"/>
            </w:pPr>
            <w:r w:rsidRPr="00CC2E73">
              <w:t>21 m</w:t>
            </w:r>
          </w:p>
        </w:tc>
      </w:tr>
      <w:tr w:rsidR="002C4E6E" w:rsidRPr="00CC2E73" w14:paraId="478E9043" w14:textId="77777777" w:rsidTr="0003249C">
        <w:trPr>
          <w:jc w:val="center"/>
        </w:trPr>
        <w:tc>
          <w:tcPr>
            <w:tcW w:w="1552" w:type="dxa"/>
            <w:vMerge/>
            <w:tcBorders>
              <w:top w:val="single" w:sz="6" w:space="0" w:color="auto"/>
              <w:left w:val="single" w:sz="6" w:space="0" w:color="auto"/>
              <w:bottom w:val="single" w:sz="6" w:space="0" w:color="auto"/>
              <w:right w:val="single" w:sz="6" w:space="0" w:color="auto"/>
            </w:tcBorders>
            <w:vAlign w:val="center"/>
            <w:hideMark/>
          </w:tcPr>
          <w:p w14:paraId="4396B34D"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tcPr>
          <w:p w14:paraId="0769692B" w14:textId="77777777" w:rsidR="002C4E6E" w:rsidRPr="00CC2E73" w:rsidRDefault="002C4E6E" w:rsidP="002C4E6E">
            <w:pPr>
              <w:pStyle w:val="Tabletext"/>
            </w:pPr>
            <w:r w:rsidRPr="00CC2E73">
              <w:rPr>
                <w:lang w:eastAsia="ko-KR"/>
              </w:rPr>
              <w:t>KVN-</w:t>
            </w:r>
            <w:r w:rsidRPr="00CC2E73">
              <w:t>Ulsan</w:t>
            </w:r>
          </w:p>
        </w:tc>
        <w:tc>
          <w:tcPr>
            <w:tcW w:w="1843" w:type="dxa"/>
            <w:tcBorders>
              <w:top w:val="single" w:sz="6" w:space="0" w:color="auto"/>
              <w:left w:val="single" w:sz="6" w:space="0" w:color="auto"/>
              <w:bottom w:val="single" w:sz="6" w:space="0" w:color="auto"/>
              <w:right w:val="single" w:sz="6" w:space="0" w:color="auto"/>
            </w:tcBorders>
            <w:vAlign w:val="center"/>
          </w:tcPr>
          <w:p w14:paraId="71F44214" w14:textId="09F2F73C" w:rsidR="002C4E6E" w:rsidRPr="00CC2E73" w:rsidRDefault="002C4E6E" w:rsidP="002C4E6E">
            <w:pPr>
              <w:pStyle w:val="Tabletext"/>
              <w:jc w:val="center"/>
            </w:pPr>
            <w:r w:rsidRPr="00CC2E73">
              <w:t>35</w:t>
            </w:r>
            <w:r w:rsidR="00C4321E" w:rsidRPr="00CC2E73">
              <w:t xml:space="preserve">° </w:t>
            </w:r>
            <w:r w:rsidRPr="00CC2E73">
              <w:t>32' 44"</w:t>
            </w:r>
          </w:p>
        </w:tc>
        <w:tc>
          <w:tcPr>
            <w:tcW w:w="1701" w:type="dxa"/>
            <w:tcBorders>
              <w:top w:val="single" w:sz="6" w:space="0" w:color="auto"/>
              <w:left w:val="single" w:sz="6" w:space="0" w:color="auto"/>
              <w:bottom w:val="single" w:sz="6" w:space="0" w:color="auto"/>
              <w:right w:val="single" w:sz="6" w:space="0" w:color="auto"/>
            </w:tcBorders>
            <w:vAlign w:val="center"/>
          </w:tcPr>
          <w:p w14:paraId="4297E098" w14:textId="2D7589F4" w:rsidR="002C4E6E" w:rsidRPr="00CC2E73" w:rsidRDefault="002C4E6E" w:rsidP="002C4E6E">
            <w:pPr>
              <w:pStyle w:val="Tabletext"/>
              <w:jc w:val="center"/>
            </w:pPr>
            <w:r w:rsidRPr="00CC2E73">
              <w:t>129</w:t>
            </w:r>
            <w:r w:rsidR="00C4321E" w:rsidRPr="00CC2E73">
              <w:t xml:space="preserve">° </w:t>
            </w:r>
            <w:r w:rsidRPr="00CC2E73">
              <w:t>14' 59"</w:t>
            </w:r>
          </w:p>
        </w:tc>
        <w:tc>
          <w:tcPr>
            <w:tcW w:w="1992" w:type="dxa"/>
            <w:tcBorders>
              <w:top w:val="single" w:sz="6" w:space="0" w:color="auto"/>
              <w:left w:val="single" w:sz="6" w:space="0" w:color="auto"/>
              <w:bottom w:val="single" w:sz="6" w:space="0" w:color="auto"/>
              <w:right w:val="single" w:sz="6" w:space="0" w:color="auto"/>
            </w:tcBorders>
            <w:vAlign w:val="center"/>
            <w:hideMark/>
          </w:tcPr>
          <w:p w14:paraId="578FED47" w14:textId="77777777" w:rsidR="002C4E6E" w:rsidRPr="00CC2E73" w:rsidRDefault="002C4E6E" w:rsidP="002C4E6E">
            <w:pPr>
              <w:pStyle w:val="Tabletext"/>
              <w:jc w:val="center"/>
            </w:pPr>
            <w:r w:rsidRPr="00CC2E73">
              <w:t>21 m</w:t>
            </w:r>
          </w:p>
        </w:tc>
      </w:tr>
      <w:tr w:rsidR="002C4E6E" w:rsidRPr="00CC2E73" w14:paraId="7F6990EF" w14:textId="77777777" w:rsidTr="0003249C">
        <w:trPr>
          <w:jc w:val="center"/>
        </w:trPr>
        <w:tc>
          <w:tcPr>
            <w:tcW w:w="1552" w:type="dxa"/>
            <w:vMerge/>
            <w:tcBorders>
              <w:top w:val="single" w:sz="6" w:space="0" w:color="auto"/>
              <w:left w:val="single" w:sz="6" w:space="0" w:color="auto"/>
              <w:bottom w:val="single" w:sz="6" w:space="0" w:color="auto"/>
              <w:right w:val="single" w:sz="6" w:space="0" w:color="auto"/>
            </w:tcBorders>
            <w:vAlign w:val="center"/>
            <w:hideMark/>
          </w:tcPr>
          <w:p w14:paraId="43414184" w14:textId="77777777" w:rsidR="002C4E6E" w:rsidRPr="00CC2E73" w:rsidRDefault="002C4E6E" w:rsidP="002C4E6E">
            <w:pPr>
              <w:pStyle w:val="Tabletext"/>
            </w:pPr>
          </w:p>
        </w:tc>
        <w:tc>
          <w:tcPr>
            <w:tcW w:w="2551" w:type="dxa"/>
            <w:tcBorders>
              <w:top w:val="single" w:sz="6" w:space="0" w:color="auto"/>
              <w:left w:val="single" w:sz="6" w:space="0" w:color="auto"/>
              <w:bottom w:val="single" w:sz="6" w:space="0" w:color="auto"/>
              <w:right w:val="single" w:sz="6" w:space="0" w:color="auto"/>
            </w:tcBorders>
            <w:vAlign w:val="center"/>
            <w:hideMark/>
          </w:tcPr>
          <w:p w14:paraId="397B435D" w14:textId="77777777" w:rsidR="002C4E6E" w:rsidRPr="00CC2E73" w:rsidRDefault="002C4E6E" w:rsidP="002C4E6E">
            <w:pPr>
              <w:pStyle w:val="Tabletext"/>
            </w:pPr>
            <w:r w:rsidRPr="00CC2E73">
              <w:rPr>
                <w:lang w:eastAsia="ko-KR"/>
              </w:rPr>
              <w:t>KVN-</w:t>
            </w:r>
            <w:r w:rsidRPr="00CC2E73">
              <w:t>Tamna</w:t>
            </w:r>
          </w:p>
        </w:tc>
        <w:tc>
          <w:tcPr>
            <w:tcW w:w="1843" w:type="dxa"/>
            <w:tcBorders>
              <w:top w:val="single" w:sz="6" w:space="0" w:color="auto"/>
              <w:left w:val="single" w:sz="6" w:space="0" w:color="auto"/>
              <w:bottom w:val="single" w:sz="6" w:space="0" w:color="auto"/>
              <w:right w:val="single" w:sz="6" w:space="0" w:color="auto"/>
            </w:tcBorders>
            <w:vAlign w:val="center"/>
          </w:tcPr>
          <w:p w14:paraId="48D41B87" w14:textId="2A0F7CD8" w:rsidR="002C4E6E" w:rsidRPr="00CC2E73" w:rsidRDefault="002C4E6E" w:rsidP="002C4E6E">
            <w:pPr>
              <w:pStyle w:val="Tabletext"/>
              <w:jc w:val="center"/>
            </w:pPr>
            <w:r w:rsidRPr="00CC2E73">
              <w:t>33</w:t>
            </w:r>
            <w:r w:rsidR="00C4321E" w:rsidRPr="00CC2E73">
              <w:t xml:space="preserve">° </w:t>
            </w:r>
            <w:r w:rsidRPr="00CC2E73">
              <w:t>17' 21"</w:t>
            </w:r>
          </w:p>
        </w:tc>
        <w:tc>
          <w:tcPr>
            <w:tcW w:w="1701" w:type="dxa"/>
            <w:tcBorders>
              <w:top w:val="single" w:sz="6" w:space="0" w:color="auto"/>
              <w:left w:val="single" w:sz="6" w:space="0" w:color="auto"/>
              <w:bottom w:val="single" w:sz="6" w:space="0" w:color="auto"/>
              <w:right w:val="single" w:sz="6" w:space="0" w:color="auto"/>
            </w:tcBorders>
            <w:vAlign w:val="center"/>
          </w:tcPr>
          <w:p w14:paraId="0C30F498" w14:textId="6DBC8DDB" w:rsidR="002C4E6E" w:rsidRPr="00CC2E73" w:rsidRDefault="002C4E6E" w:rsidP="002C4E6E">
            <w:pPr>
              <w:pStyle w:val="Tabletext"/>
              <w:jc w:val="center"/>
            </w:pPr>
            <w:r w:rsidRPr="00CC2E73">
              <w:t>126</w:t>
            </w:r>
            <w:r w:rsidR="00C4321E" w:rsidRPr="00CC2E73">
              <w:t xml:space="preserve">° </w:t>
            </w:r>
            <w:r w:rsidRPr="00CC2E73">
              <w:t>27' 34"</w:t>
            </w:r>
          </w:p>
        </w:tc>
        <w:tc>
          <w:tcPr>
            <w:tcW w:w="1992" w:type="dxa"/>
            <w:tcBorders>
              <w:top w:val="single" w:sz="6" w:space="0" w:color="auto"/>
              <w:left w:val="single" w:sz="6" w:space="0" w:color="auto"/>
              <w:bottom w:val="single" w:sz="6" w:space="0" w:color="auto"/>
              <w:right w:val="single" w:sz="6" w:space="0" w:color="auto"/>
            </w:tcBorders>
            <w:vAlign w:val="center"/>
            <w:hideMark/>
          </w:tcPr>
          <w:p w14:paraId="4D2429EF" w14:textId="77777777" w:rsidR="002C4E6E" w:rsidRPr="00CC2E73" w:rsidRDefault="002C4E6E" w:rsidP="002C4E6E">
            <w:pPr>
              <w:pStyle w:val="Tabletext"/>
              <w:jc w:val="center"/>
            </w:pPr>
            <w:r w:rsidRPr="00CC2E73">
              <w:t>21 m</w:t>
            </w:r>
          </w:p>
        </w:tc>
      </w:tr>
      <w:tr w:rsidR="002C4E6E" w:rsidRPr="00CC2E73" w14:paraId="302FC9D8" w14:textId="77777777" w:rsidTr="0003249C">
        <w:trP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0FEA1C3C" w14:textId="77777777" w:rsidR="002C4E6E" w:rsidRPr="00CC2E73" w:rsidRDefault="002C4E6E" w:rsidP="002C4E6E">
            <w:pPr>
              <w:pStyle w:val="Tabletext"/>
            </w:pPr>
            <w:r w:rsidRPr="00CC2E73">
              <w:t>New Zealand</w:t>
            </w:r>
          </w:p>
        </w:tc>
        <w:tc>
          <w:tcPr>
            <w:tcW w:w="2551" w:type="dxa"/>
            <w:tcBorders>
              <w:top w:val="single" w:sz="6" w:space="0" w:color="auto"/>
              <w:left w:val="single" w:sz="6" w:space="0" w:color="auto"/>
              <w:bottom w:val="single" w:sz="6" w:space="0" w:color="auto"/>
              <w:right w:val="single" w:sz="6" w:space="0" w:color="auto"/>
            </w:tcBorders>
            <w:vAlign w:val="center"/>
            <w:hideMark/>
          </w:tcPr>
          <w:p w14:paraId="2349E392" w14:textId="77777777" w:rsidR="002C4E6E" w:rsidRPr="00CC2E73" w:rsidRDefault="002C4E6E" w:rsidP="002C4E6E">
            <w:pPr>
              <w:pStyle w:val="Tabletext"/>
              <w:rPr>
                <w:lang w:eastAsia="ko-KR"/>
              </w:rPr>
            </w:pPr>
            <w:r w:rsidRPr="00CC2E73">
              <w:rPr>
                <w:lang w:eastAsia="ko-KR"/>
              </w:rPr>
              <w:t>Warkworth</w:t>
            </w:r>
          </w:p>
        </w:tc>
        <w:tc>
          <w:tcPr>
            <w:tcW w:w="1843" w:type="dxa"/>
            <w:tcBorders>
              <w:top w:val="single" w:sz="6" w:space="0" w:color="auto"/>
              <w:left w:val="single" w:sz="6" w:space="0" w:color="auto"/>
              <w:bottom w:val="single" w:sz="6" w:space="0" w:color="auto"/>
              <w:right w:val="single" w:sz="6" w:space="0" w:color="auto"/>
            </w:tcBorders>
            <w:vAlign w:val="center"/>
          </w:tcPr>
          <w:p w14:paraId="64AC0D3C" w14:textId="68363C92" w:rsidR="002C4E6E" w:rsidRPr="00CC2E73" w:rsidRDefault="002C4E6E" w:rsidP="002C4E6E">
            <w:pPr>
              <w:pStyle w:val="Tabletext"/>
              <w:jc w:val="center"/>
            </w:pPr>
            <w:r w:rsidRPr="00CC2E73">
              <w:t>–36</w:t>
            </w:r>
            <w:r w:rsidR="00C4321E" w:rsidRPr="00CC2E73">
              <w:t xml:space="preserve">° </w:t>
            </w:r>
            <w:r w:rsidRPr="00CC2E73">
              <w:t>25' 59"</w:t>
            </w:r>
          </w:p>
        </w:tc>
        <w:tc>
          <w:tcPr>
            <w:tcW w:w="1701" w:type="dxa"/>
            <w:tcBorders>
              <w:top w:val="single" w:sz="6" w:space="0" w:color="auto"/>
              <w:left w:val="single" w:sz="6" w:space="0" w:color="auto"/>
              <w:bottom w:val="single" w:sz="6" w:space="0" w:color="auto"/>
              <w:right w:val="single" w:sz="6" w:space="0" w:color="auto"/>
            </w:tcBorders>
            <w:vAlign w:val="center"/>
          </w:tcPr>
          <w:p w14:paraId="3784B5A7" w14:textId="2F321DC0" w:rsidR="002C4E6E" w:rsidRPr="00CC2E73" w:rsidRDefault="002C4E6E" w:rsidP="002C4E6E">
            <w:pPr>
              <w:pStyle w:val="Tabletext"/>
              <w:jc w:val="center"/>
            </w:pPr>
            <w:r w:rsidRPr="00CC2E73">
              <w:t>174</w:t>
            </w:r>
            <w:r w:rsidR="00C4321E" w:rsidRPr="00CC2E73">
              <w:t xml:space="preserve">° </w:t>
            </w:r>
            <w:r w:rsidRPr="00CC2E73">
              <w:t>39' 52"</w:t>
            </w:r>
          </w:p>
        </w:tc>
        <w:tc>
          <w:tcPr>
            <w:tcW w:w="1992" w:type="dxa"/>
            <w:tcBorders>
              <w:top w:val="single" w:sz="6" w:space="0" w:color="auto"/>
              <w:left w:val="single" w:sz="6" w:space="0" w:color="auto"/>
              <w:bottom w:val="single" w:sz="6" w:space="0" w:color="auto"/>
              <w:right w:val="single" w:sz="6" w:space="0" w:color="auto"/>
            </w:tcBorders>
            <w:vAlign w:val="center"/>
            <w:hideMark/>
          </w:tcPr>
          <w:p w14:paraId="79398EFF" w14:textId="77777777" w:rsidR="002C4E6E" w:rsidRPr="00CC2E73" w:rsidRDefault="002C4E6E" w:rsidP="002C4E6E">
            <w:pPr>
              <w:pStyle w:val="Tabletext"/>
              <w:jc w:val="center"/>
            </w:pPr>
            <w:r w:rsidRPr="00CC2E73">
              <w:t>30 m, 12 m</w:t>
            </w:r>
          </w:p>
        </w:tc>
      </w:tr>
    </w:tbl>
    <w:p w14:paraId="1606B6E2" w14:textId="77777777" w:rsidR="00F81C80" w:rsidRPr="00CC2E73" w:rsidRDefault="00F81C80" w:rsidP="00F1361B">
      <w:pPr>
        <w:pStyle w:val="Tablefin"/>
      </w:pPr>
    </w:p>
    <w:p w14:paraId="2FAC956B" w14:textId="77777777" w:rsidR="00954230" w:rsidRPr="00BF487A" w:rsidRDefault="00954230" w:rsidP="0094002D">
      <w:pPr>
        <w:pStyle w:val="Line"/>
        <w:spacing w:before="720"/>
      </w:pPr>
    </w:p>
    <w:sectPr w:rsidR="00954230" w:rsidRPr="00BF487A" w:rsidSect="00EA6640">
      <w:headerReference w:type="default" r:id="rId19"/>
      <w:footerReference w:type="default" r:id="rId20"/>
      <w:headerReference w:type="first" r:id="rId21"/>
      <w:footerReference w:type="first" r:id="rId22"/>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BFF57" w14:textId="77777777" w:rsidR="00970047" w:rsidRDefault="00970047">
      <w:r>
        <w:separator/>
      </w:r>
    </w:p>
  </w:endnote>
  <w:endnote w:type="continuationSeparator" w:id="0">
    <w:p w14:paraId="5B4E2E9F" w14:textId="77777777" w:rsidR="00970047" w:rsidRDefault="0097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44A7" w14:textId="77777777" w:rsidR="00954230" w:rsidRDefault="00954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BBE7" w14:textId="77777777" w:rsidR="005A6ED9" w:rsidRDefault="005A6ED9">
    <w:pPr>
      <w:pStyle w:val="Footer"/>
    </w:pPr>
    <w:r>
      <w:drawing>
        <wp:anchor distT="0" distB="0" distL="0" distR="0" simplePos="0" relativeHeight="251659264" behindDoc="0" locked="0" layoutInCell="1" allowOverlap="1" wp14:anchorId="1E9E5FC9" wp14:editId="3CCD519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0983" w14:textId="77777777" w:rsidR="00954230" w:rsidRDefault="009542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4448" w14:textId="529C16EC" w:rsidR="00CC2E73" w:rsidRPr="002F7CB3" w:rsidRDefault="00CC2E73" w:rsidP="00CC2E73">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6572" w14:textId="74A1AABD" w:rsidR="00FA124A" w:rsidRPr="00954230" w:rsidRDefault="00FA124A" w:rsidP="0095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8A140" w14:textId="77777777" w:rsidR="00970047" w:rsidRDefault="00970047">
      <w:r>
        <w:t>____________________</w:t>
      </w:r>
    </w:p>
  </w:footnote>
  <w:footnote w:type="continuationSeparator" w:id="0">
    <w:p w14:paraId="250A2078" w14:textId="77777777" w:rsidR="00970047" w:rsidRDefault="00970047">
      <w:r>
        <w:continuationSeparator/>
      </w:r>
    </w:p>
  </w:footnote>
  <w:footnote w:id="1">
    <w:p w14:paraId="1BD2DF29" w14:textId="77777777" w:rsidR="00524B07" w:rsidRPr="0037515F" w:rsidRDefault="00524B07" w:rsidP="0097286D">
      <w:pPr>
        <w:pStyle w:val="FootnoteText"/>
        <w:rPr>
          <w:lang w:val="en-US"/>
        </w:rPr>
      </w:pPr>
      <w:r>
        <w:rPr>
          <w:rStyle w:val="FootnoteReference"/>
        </w:rPr>
        <w:footnoteRef/>
      </w:r>
      <w:r w:rsidRPr="0037515F">
        <w:rPr>
          <w:lang w:val="en-US"/>
        </w:rPr>
        <w:t xml:space="preserve"> </w:t>
      </w:r>
      <w:r w:rsidRPr="0037515F">
        <w:rPr>
          <w:lang w:val="en-US"/>
        </w:rPr>
        <w:tab/>
        <w:t xml:space="preserve">In the vertical direction, there is an asymmetry of 5.6% for </w:t>
      </w:r>
      <w:r>
        <w:rPr>
          <w:lang w:val="en-US"/>
        </w:rPr>
        <w:sym w:font="Symbol" w:char="F064"/>
      </w:r>
      <w:r>
        <w:rPr>
          <w:lang w:val="en-US"/>
        </w:rPr>
        <w:sym w:font="Symbol" w:char="F071"/>
      </w:r>
      <w:r w:rsidRPr="00FF7AAB">
        <w:rPr>
          <w:i/>
          <w:iCs/>
          <w:vertAlign w:val="subscript"/>
          <w:lang w:val="en-US"/>
        </w:rPr>
        <w:t>v</w:t>
      </w:r>
      <w:r w:rsidRPr="0037515F">
        <w:rPr>
          <w:lang w:val="en-US"/>
        </w:rPr>
        <w:t xml:space="preserve"> and </w:t>
      </w:r>
      <w:r>
        <w:rPr>
          <w:lang w:val="en-US"/>
        </w:rPr>
        <w:sym w:font="Symbol" w:char="F064"/>
      </w:r>
      <w:r w:rsidRPr="00FF7AAB">
        <w:rPr>
          <w:i/>
          <w:iCs/>
          <w:lang w:val="en-US"/>
        </w:rPr>
        <w:t>v</w:t>
      </w:r>
      <w:r w:rsidRPr="0037515F">
        <w:rPr>
          <w:lang w:val="en-US"/>
        </w:rPr>
        <w:t xml:space="preserve"> between inner and outer off-set angles and distances which has been neglected. Only the larger outer value has been listed. The ground projections of the margin contours which are distorted ellipses were approximated by rectangles.</w:t>
      </w:r>
    </w:p>
  </w:footnote>
  <w:footnote w:id="2">
    <w:p w14:paraId="03C7F5F9" w14:textId="0B66ACAB" w:rsidR="00524B07" w:rsidRDefault="00524B07" w:rsidP="003A13FC">
      <w:pPr>
        <w:pStyle w:val="FootnoteText"/>
      </w:pPr>
      <w:r w:rsidRPr="00F009E3">
        <w:rPr>
          <w:rStyle w:val="FootnoteReference"/>
        </w:rPr>
        <w:footnoteRef/>
      </w:r>
      <w:r w:rsidR="00CC2E73">
        <w:tab/>
      </w:r>
      <w:r w:rsidRPr="00F009E3">
        <w:t>In this column</w:t>
      </w:r>
      <w:r w:rsidR="00F542FD">
        <w:t>,</w:t>
      </w:r>
      <w:r w:rsidRPr="00F009E3">
        <w:t xml:space="preserve"> X m means antenna of X met</w:t>
      </w:r>
      <w:r w:rsidR="00F542FD">
        <w:t>r</w:t>
      </w:r>
      <w:r w:rsidRPr="00F009E3">
        <w:t>es diameter and Y × X m means Y antennas of X met</w:t>
      </w:r>
      <w:r w:rsidR="00F542FD">
        <w:t>r</w:t>
      </w:r>
      <w:r w:rsidRPr="00F009E3">
        <w:t>e diameter.</w:t>
      </w:r>
    </w:p>
  </w:footnote>
  <w:footnote w:id="3">
    <w:p w14:paraId="29340F46" w14:textId="3C4BE373" w:rsidR="00524B07" w:rsidRDefault="00524B07" w:rsidP="006F4C17">
      <w:pPr>
        <w:pStyle w:val="FootnoteText"/>
      </w:pPr>
      <w:r w:rsidRPr="00F009E3">
        <w:rPr>
          <w:rStyle w:val="FootnoteReference"/>
        </w:rPr>
        <w:footnoteRef/>
      </w:r>
      <w:r w:rsidR="00CC2E73">
        <w:tab/>
      </w:r>
      <w:r w:rsidRPr="00F009E3">
        <w:t>In this column</w:t>
      </w:r>
      <w:r w:rsidR="0021322A">
        <w:t>,</w:t>
      </w:r>
      <w:r w:rsidRPr="00F009E3">
        <w:t xml:space="preserve"> </w:t>
      </w:r>
      <w:r w:rsidRPr="004C12CA">
        <w:t>X</w:t>
      </w:r>
      <w:r w:rsidRPr="00F009E3">
        <w:t xml:space="preserve"> m means antenna of X metr</w:t>
      </w:r>
      <w:r w:rsidR="0021322A">
        <w:t>e</w:t>
      </w:r>
      <w:r w:rsidRPr="00F009E3">
        <w:t xml:space="preserve">s diameter and </w:t>
      </w:r>
      <w:r w:rsidRPr="004C12CA">
        <w:t>Y</w:t>
      </w:r>
      <w:r w:rsidRPr="00F009E3">
        <w:t xml:space="preserve"> × </w:t>
      </w:r>
      <w:r w:rsidRPr="004C12CA">
        <w:t>X</w:t>
      </w:r>
      <w:r w:rsidRPr="00F009E3">
        <w:t xml:space="preserve"> m means </w:t>
      </w:r>
      <w:r w:rsidRPr="004C12CA">
        <w:t>Y</w:t>
      </w:r>
      <w:r w:rsidRPr="00F009E3">
        <w:t xml:space="preserve"> antennas of </w:t>
      </w:r>
      <w:r w:rsidRPr="004C12CA">
        <w:t>X</w:t>
      </w:r>
      <w:r w:rsidRPr="00F009E3">
        <w:t xml:space="preserve"> met</w:t>
      </w:r>
      <w:r w:rsidR="00FE6E52">
        <w:t>r</w:t>
      </w:r>
      <w:r w:rsidRPr="00F009E3">
        <w:t>e</w:t>
      </w:r>
      <w:r w:rsidR="00FE6E52">
        <w:t>s</w:t>
      </w:r>
      <w:r w:rsidRPr="00F009E3">
        <w:t xml:space="preserve"> diameter.</w:t>
      </w:r>
    </w:p>
  </w:footnote>
  <w:footnote w:id="4">
    <w:p w14:paraId="4D3AC4A6" w14:textId="762C9CE1" w:rsidR="00524B07" w:rsidRDefault="00524B07" w:rsidP="006F4C17">
      <w:pPr>
        <w:pStyle w:val="FootnoteText"/>
      </w:pPr>
      <w:r w:rsidRPr="00C4456B">
        <w:rPr>
          <w:rStyle w:val="FootnoteReference"/>
        </w:rPr>
        <w:footnoteRef/>
      </w:r>
      <w:r w:rsidR="00CC2E73">
        <w:tab/>
      </w:r>
      <w:r w:rsidRPr="00C4456B">
        <w:t xml:space="preserve">In this column </w:t>
      </w:r>
      <w:r w:rsidRPr="002C4E6E">
        <w:t>X</w:t>
      </w:r>
      <w:r w:rsidRPr="00C4456B">
        <w:t xml:space="preserve"> m means antenna of </w:t>
      </w:r>
      <w:r w:rsidRPr="002C4E6E">
        <w:t>X</w:t>
      </w:r>
      <w:r w:rsidRPr="00C4456B">
        <w:t xml:space="preserve"> meters diameter and </w:t>
      </w:r>
      <w:r w:rsidRPr="002C4E6E">
        <w:t>Y</w:t>
      </w:r>
      <w:r w:rsidRPr="00C4456B">
        <w:t xml:space="preserve"> × </w:t>
      </w:r>
      <w:r w:rsidRPr="002C4E6E">
        <w:t>X</w:t>
      </w:r>
      <w:r w:rsidRPr="00C4456B">
        <w:t xml:space="preserve"> m means </w:t>
      </w:r>
      <w:r w:rsidR="00EC6F60">
        <w:t xml:space="preserve">Y </w:t>
      </w:r>
      <w:r w:rsidRPr="00C4456B">
        <w:t xml:space="preserve">antennas of </w:t>
      </w:r>
      <w:r w:rsidR="00EC6F60">
        <w:t>X</w:t>
      </w:r>
      <w:r w:rsidRPr="00C4456B">
        <w:t xml:space="preserve"> meter diameter.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5BCE" w14:textId="77777777" w:rsidR="005A6ED9" w:rsidRDefault="005A6ED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A6ED9" w:rsidRPr="00A239D1" w14:paraId="775E9D6C" w14:textId="77777777" w:rsidTr="0019307B">
      <w:tc>
        <w:tcPr>
          <w:tcW w:w="4634" w:type="dxa"/>
          <w:vAlign w:val="center"/>
        </w:tcPr>
        <w:p w14:paraId="357FE752" w14:textId="77777777" w:rsidR="005A6ED9" w:rsidRPr="005B0371" w:rsidRDefault="005A6ED9"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6DA14DA" w14:textId="77777777" w:rsidR="005A6ED9" w:rsidRPr="00260B24" w:rsidRDefault="005A6ED9"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A6ED9" w:rsidRPr="00A239D1" w14:paraId="5702DAC4" w14:textId="77777777" w:rsidTr="0019307B">
      <w:tc>
        <w:tcPr>
          <w:tcW w:w="4634" w:type="dxa"/>
          <w:vAlign w:val="center"/>
        </w:tcPr>
        <w:p w14:paraId="03CA3B37" w14:textId="77777777" w:rsidR="005A6ED9" w:rsidRPr="00260B24" w:rsidRDefault="005A6ED9"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04E4D94" w14:textId="77777777" w:rsidR="005A6ED9" w:rsidRPr="00260B24" w:rsidRDefault="005A6ED9"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238F6D4B" w14:textId="77777777" w:rsidR="005A6ED9" w:rsidRDefault="005A6ED9"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0DB707F" wp14:editId="7D776CCF">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6996434A" wp14:editId="44A0675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27D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60A12C" w14:textId="77777777" w:rsidR="005A6ED9" w:rsidRDefault="005A6ED9"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58A95F4D" wp14:editId="74B9FFFC">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BA1B5"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D3A2" w14:textId="77777777" w:rsidR="00954230" w:rsidRDefault="009542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803B" w14:textId="2D9AE1A6" w:rsidR="005A6ED9" w:rsidRPr="00D72623" w:rsidRDefault="005A6ED9"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45590E" w:rsidRPr="0045590E">
      <w:rPr>
        <w:b/>
        <w:bCs/>
        <w:lang w:val="en-US"/>
      </w:rPr>
      <w:t>Rec.</w:t>
    </w:r>
    <w:r w:rsidR="0045590E">
      <w:rPr>
        <w:lang w:val="en-US"/>
      </w:rPr>
      <w:t xml:space="preserve"> </w:t>
    </w:r>
    <w:r>
      <w:rPr>
        <w:b/>
        <w:bCs/>
      </w:rPr>
      <w:fldChar w:fldCharType="begin"/>
    </w:r>
    <w:r>
      <w:rPr>
        <w:b/>
        <w:bCs/>
        <w:lang w:val="en-US"/>
      </w:rPr>
      <w:instrText>styleref href</w:instrText>
    </w:r>
    <w:r>
      <w:rPr>
        <w:b/>
        <w:bCs/>
      </w:rPr>
      <w:fldChar w:fldCharType="separate"/>
    </w:r>
    <w:r w:rsidR="007F0DD9">
      <w:rPr>
        <w:b/>
        <w:bCs/>
        <w:noProof/>
        <w:lang w:val="en-US"/>
      </w:rPr>
      <w:t>ITU-R  RS.2066-1</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BBA8" w14:textId="2C412165" w:rsidR="005A6ED9" w:rsidRDefault="005A6ED9">
    <w:pPr>
      <w:pStyle w:val="Header"/>
    </w:pPr>
    <w:r>
      <w:tab/>
    </w:r>
    <w:r>
      <w:rPr>
        <w:b/>
        <w:bCs/>
      </w:rPr>
      <w:fldChar w:fldCharType="begin"/>
    </w:r>
    <w:r>
      <w:rPr>
        <w:b/>
        <w:bCs/>
      </w:rPr>
      <w:instrText xml:space="preserve"> DOCPROPERTY "Header" \* MERGEFORMAT </w:instrText>
    </w:r>
    <w:r>
      <w:rPr>
        <w:b/>
        <w:bCs/>
      </w:rPr>
      <w:fldChar w:fldCharType="separate"/>
    </w:r>
    <w:r w:rsidR="007F0DD9">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7F0DD9">
      <w:rPr>
        <w:b/>
        <w:bCs/>
        <w:noProof/>
      </w:rPr>
      <w:t>ITU-R  RS.2066-1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B0D6" w14:textId="70BAFC91" w:rsidR="00FA124A" w:rsidRPr="00954230" w:rsidRDefault="00954230" w:rsidP="00954230">
    <w:pPr>
      <w:pStyle w:val="Header"/>
      <w:jc w:val="left"/>
    </w:pPr>
    <w:r>
      <w:tab/>
    </w:r>
    <w:r w:rsidR="0045590E" w:rsidRPr="0045590E">
      <w:rPr>
        <w:b/>
        <w:bCs/>
        <w:lang w:val="en-US"/>
      </w:rPr>
      <w:t>Rec.</w:t>
    </w:r>
    <w:r w:rsidR="0045590E">
      <w:rPr>
        <w:lang w:val="en-US"/>
      </w:rPr>
      <w:t xml:space="preserve"> </w:t>
    </w:r>
    <w:r>
      <w:rPr>
        <w:b/>
        <w:bCs/>
      </w:rPr>
      <w:fldChar w:fldCharType="begin"/>
    </w:r>
    <w:r>
      <w:rPr>
        <w:b/>
        <w:bCs/>
      </w:rPr>
      <w:instrText>styleref href</w:instrText>
    </w:r>
    <w:r>
      <w:rPr>
        <w:b/>
        <w:bCs/>
      </w:rPr>
      <w:fldChar w:fldCharType="separate"/>
    </w:r>
    <w:r w:rsidR="007F0DD9">
      <w:rPr>
        <w:b/>
        <w:bCs/>
        <w:noProof/>
      </w:rPr>
      <w:t>ITU-R  RS.2066-1</w:t>
    </w:r>
    <w:r>
      <w:rPr>
        <w:b/>
        <w:bCs/>
      </w:rPr>
      <w:fldChar w:fldCharType="end"/>
    </w:r>
    <w:r w:rsidR="00EA6640">
      <w:rPr>
        <w:b/>
        <w:bCs/>
      </w:rPr>
      <w:tab/>
    </w:r>
    <w:r w:rsidR="00EA6640">
      <w:rPr>
        <w:rStyle w:val="PageNumber"/>
        <w:b/>
        <w:bCs/>
      </w:rPr>
      <w:fldChar w:fldCharType="begin"/>
    </w:r>
    <w:r w:rsidR="00EA6640">
      <w:rPr>
        <w:rStyle w:val="PageNumber"/>
        <w:b/>
        <w:bCs/>
      </w:rPr>
      <w:instrText xml:space="preserve"> PAGE </w:instrText>
    </w:r>
    <w:r w:rsidR="00EA6640">
      <w:rPr>
        <w:rStyle w:val="PageNumber"/>
        <w:b/>
        <w:bCs/>
      </w:rPr>
      <w:fldChar w:fldCharType="separate"/>
    </w:r>
    <w:r w:rsidR="00EA6640">
      <w:rPr>
        <w:rStyle w:val="PageNumber"/>
        <w:b/>
        <w:bCs/>
      </w:rPr>
      <w:t>3</w:t>
    </w:r>
    <w:r w:rsidR="00EA6640">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32FE" w14:textId="29FDABD5" w:rsidR="00954230" w:rsidRDefault="00954230">
    <w:pPr>
      <w:pStyle w:val="Header"/>
    </w:pPr>
    <w:r>
      <w:tab/>
    </w:r>
    <w:r>
      <w:rPr>
        <w:b/>
        <w:bCs/>
      </w:rPr>
      <w:fldChar w:fldCharType="begin"/>
    </w:r>
    <w:r>
      <w:rPr>
        <w:b/>
        <w:bCs/>
      </w:rPr>
      <w:instrText xml:space="preserve"> DOCPROPERTY "Header" \* MERGEFORMAT </w:instrText>
    </w:r>
    <w:r>
      <w:rPr>
        <w:b/>
        <w:bCs/>
      </w:rPr>
      <w:fldChar w:fldCharType="separate"/>
    </w:r>
    <w:r w:rsidR="007F0DD9">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7F0DD9">
      <w:rPr>
        <w:b/>
        <w:bCs/>
        <w:noProof/>
      </w:rPr>
      <w:t>ITU-R  RS.2066-1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43DCC"/>
    <w:multiLevelType w:val="hybridMultilevel"/>
    <w:tmpl w:val="187C90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331BFD"/>
    <w:multiLevelType w:val="hybridMultilevel"/>
    <w:tmpl w:val="D1F2B51E"/>
    <w:lvl w:ilvl="0" w:tplc="4AF28076">
      <w:start w:val="26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15:restartNumberingAfterBreak="0">
    <w:nsid w:val="62B45678"/>
    <w:multiLevelType w:val="hybridMultilevel"/>
    <w:tmpl w:val="1C6CA46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936015096">
    <w:abstractNumId w:val="9"/>
  </w:num>
  <w:num w:numId="2" w16cid:durableId="1120341939">
    <w:abstractNumId w:val="7"/>
  </w:num>
  <w:num w:numId="3" w16cid:durableId="604386834">
    <w:abstractNumId w:val="6"/>
  </w:num>
  <w:num w:numId="4" w16cid:durableId="995915065">
    <w:abstractNumId w:val="5"/>
  </w:num>
  <w:num w:numId="5" w16cid:durableId="570235748">
    <w:abstractNumId w:val="4"/>
  </w:num>
  <w:num w:numId="6" w16cid:durableId="600141883">
    <w:abstractNumId w:val="8"/>
  </w:num>
  <w:num w:numId="7" w16cid:durableId="477037986">
    <w:abstractNumId w:val="3"/>
  </w:num>
  <w:num w:numId="8" w16cid:durableId="653340611">
    <w:abstractNumId w:val="2"/>
  </w:num>
  <w:num w:numId="9" w16cid:durableId="1923830907">
    <w:abstractNumId w:val="1"/>
  </w:num>
  <w:num w:numId="10" w16cid:durableId="210264909">
    <w:abstractNumId w:val="0"/>
  </w:num>
  <w:num w:numId="11" w16cid:durableId="685450771">
    <w:abstractNumId w:val="10"/>
  </w:num>
  <w:num w:numId="12" w16cid:durableId="1512139277">
    <w:abstractNumId w:val="12"/>
  </w:num>
  <w:num w:numId="13" w16cid:durableId="1550068819">
    <w:abstractNumId w:val="12"/>
    <w:lvlOverride w:ilvl="0">
      <w:startOverride w:val="1"/>
    </w:lvlOverride>
  </w:num>
  <w:num w:numId="14" w16cid:durableId="685863483">
    <w:abstractNumId w:val="13"/>
  </w:num>
  <w:num w:numId="15" w16cid:durableId="331496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07"/>
    <w:rsid w:val="000069D4"/>
    <w:rsid w:val="000174AD"/>
    <w:rsid w:val="0003249C"/>
    <w:rsid w:val="00047A1D"/>
    <w:rsid w:val="000604B9"/>
    <w:rsid w:val="000A7D55"/>
    <w:rsid w:val="000C100B"/>
    <w:rsid w:val="000C12C8"/>
    <w:rsid w:val="000C2E8E"/>
    <w:rsid w:val="000E0E7C"/>
    <w:rsid w:val="000F1B4B"/>
    <w:rsid w:val="00124747"/>
    <w:rsid w:val="0012744F"/>
    <w:rsid w:val="00131178"/>
    <w:rsid w:val="00156F66"/>
    <w:rsid w:val="00163271"/>
    <w:rsid w:val="00172122"/>
    <w:rsid w:val="00177809"/>
    <w:rsid w:val="00182528"/>
    <w:rsid w:val="0018500B"/>
    <w:rsid w:val="00196A19"/>
    <w:rsid w:val="001A03F1"/>
    <w:rsid w:val="001A09D6"/>
    <w:rsid w:val="001B14E8"/>
    <w:rsid w:val="001C4880"/>
    <w:rsid w:val="001E3139"/>
    <w:rsid w:val="001E3FF5"/>
    <w:rsid w:val="001E435E"/>
    <w:rsid w:val="00202DC1"/>
    <w:rsid w:val="002116EE"/>
    <w:rsid w:val="0021322A"/>
    <w:rsid w:val="002309D8"/>
    <w:rsid w:val="00237B89"/>
    <w:rsid w:val="00281C59"/>
    <w:rsid w:val="002866DC"/>
    <w:rsid w:val="00296DB8"/>
    <w:rsid w:val="002A7FE2"/>
    <w:rsid w:val="002B7D78"/>
    <w:rsid w:val="002C0041"/>
    <w:rsid w:val="002C4E6E"/>
    <w:rsid w:val="002E1B4F"/>
    <w:rsid w:val="002F2E67"/>
    <w:rsid w:val="002F7CB3"/>
    <w:rsid w:val="00315546"/>
    <w:rsid w:val="00326382"/>
    <w:rsid w:val="00330567"/>
    <w:rsid w:val="00331474"/>
    <w:rsid w:val="00351DFB"/>
    <w:rsid w:val="00386A9D"/>
    <w:rsid w:val="0038770A"/>
    <w:rsid w:val="00391081"/>
    <w:rsid w:val="003B2789"/>
    <w:rsid w:val="003C13CE"/>
    <w:rsid w:val="003C697E"/>
    <w:rsid w:val="003E2518"/>
    <w:rsid w:val="003E7CEF"/>
    <w:rsid w:val="003E7D07"/>
    <w:rsid w:val="004151EF"/>
    <w:rsid w:val="00441D46"/>
    <w:rsid w:val="0045590E"/>
    <w:rsid w:val="0047506E"/>
    <w:rsid w:val="004B1EF7"/>
    <w:rsid w:val="004B3FAD"/>
    <w:rsid w:val="004B6D74"/>
    <w:rsid w:val="004C12CA"/>
    <w:rsid w:val="004C5749"/>
    <w:rsid w:val="00501DCA"/>
    <w:rsid w:val="00513A47"/>
    <w:rsid w:val="00515A03"/>
    <w:rsid w:val="00524B07"/>
    <w:rsid w:val="005408DF"/>
    <w:rsid w:val="00543A73"/>
    <w:rsid w:val="00573344"/>
    <w:rsid w:val="00583F9B"/>
    <w:rsid w:val="005A6ED9"/>
    <w:rsid w:val="005B0D29"/>
    <w:rsid w:val="005C13AE"/>
    <w:rsid w:val="005E5C10"/>
    <w:rsid w:val="005F2C78"/>
    <w:rsid w:val="00600B13"/>
    <w:rsid w:val="006144E4"/>
    <w:rsid w:val="00643078"/>
    <w:rsid w:val="00650299"/>
    <w:rsid w:val="00655FC5"/>
    <w:rsid w:val="006A5742"/>
    <w:rsid w:val="006D6358"/>
    <w:rsid w:val="006E67F8"/>
    <w:rsid w:val="006E6923"/>
    <w:rsid w:val="00721295"/>
    <w:rsid w:val="007B3415"/>
    <w:rsid w:val="007F0DD9"/>
    <w:rsid w:val="0080538C"/>
    <w:rsid w:val="008060E9"/>
    <w:rsid w:val="00807049"/>
    <w:rsid w:val="00814E0A"/>
    <w:rsid w:val="008223BC"/>
    <w:rsid w:val="00822581"/>
    <w:rsid w:val="008309DD"/>
    <w:rsid w:val="0083227A"/>
    <w:rsid w:val="00866900"/>
    <w:rsid w:val="00876A8A"/>
    <w:rsid w:val="00881BA1"/>
    <w:rsid w:val="008C2302"/>
    <w:rsid w:val="008C26B8"/>
    <w:rsid w:val="008E1DC3"/>
    <w:rsid w:val="008F208F"/>
    <w:rsid w:val="0094002D"/>
    <w:rsid w:val="00954230"/>
    <w:rsid w:val="00970047"/>
    <w:rsid w:val="00982084"/>
    <w:rsid w:val="00995963"/>
    <w:rsid w:val="009B61EB"/>
    <w:rsid w:val="009C185B"/>
    <w:rsid w:val="009C2064"/>
    <w:rsid w:val="009C7987"/>
    <w:rsid w:val="009D1697"/>
    <w:rsid w:val="009F3A46"/>
    <w:rsid w:val="009F6520"/>
    <w:rsid w:val="00A014F8"/>
    <w:rsid w:val="00A41B9A"/>
    <w:rsid w:val="00A45B7B"/>
    <w:rsid w:val="00A5173C"/>
    <w:rsid w:val="00A573A4"/>
    <w:rsid w:val="00A61AEF"/>
    <w:rsid w:val="00AD2345"/>
    <w:rsid w:val="00AD2FA1"/>
    <w:rsid w:val="00AF173A"/>
    <w:rsid w:val="00B04FEB"/>
    <w:rsid w:val="00B066A4"/>
    <w:rsid w:val="00B07A13"/>
    <w:rsid w:val="00B40AB3"/>
    <w:rsid w:val="00B4279B"/>
    <w:rsid w:val="00B45FC9"/>
    <w:rsid w:val="00B76F35"/>
    <w:rsid w:val="00B81138"/>
    <w:rsid w:val="00BC1215"/>
    <w:rsid w:val="00BC7CCF"/>
    <w:rsid w:val="00BE470B"/>
    <w:rsid w:val="00C4321E"/>
    <w:rsid w:val="00C50BB2"/>
    <w:rsid w:val="00C57A91"/>
    <w:rsid w:val="00C7162F"/>
    <w:rsid w:val="00C824AE"/>
    <w:rsid w:val="00CC01C2"/>
    <w:rsid w:val="00CC2E73"/>
    <w:rsid w:val="00CF21F2"/>
    <w:rsid w:val="00D02712"/>
    <w:rsid w:val="00D046A7"/>
    <w:rsid w:val="00D214D0"/>
    <w:rsid w:val="00D25BC9"/>
    <w:rsid w:val="00D65412"/>
    <w:rsid w:val="00D6546B"/>
    <w:rsid w:val="00D95E7E"/>
    <w:rsid w:val="00DA70C7"/>
    <w:rsid w:val="00DB178B"/>
    <w:rsid w:val="00DC17D3"/>
    <w:rsid w:val="00DD4BED"/>
    <w:rsid w:val="00DE39F0"/>
    <w:rsid w:val="00DF0AF3"/>
    <w:rsid w:val="00DF7E9F"/>
    <w:rsid w:val="00E07499"/>
    <w:rsid w:val="00E145E7"/>
    <w:rsid w:val="00E27D7E"/>
    <w:rsid w:val="00E42E13"/>
    <w:rsid w:val="00E5031B"/>
    <w:rsid w:val="00E56D5C"/>
    <w:rsid w:val="00E6257C"/>
    <w:rsid w:val="00E63C59"/>
    <w:rsid w:val="00E64497"/>
    <w:rsid w:val="00EA6640"/>
    <w:rsid w:val="00EA678A"/>
    <w:rsid w:val="00EA6DA8"/>
    <w:rsid w:val="00EB7519"/>
    <w:rsid w:val="00EC6F60"/>
    <w:rsid w:val="00F024A7"/>
    <w:rsid w:val="00F1361B"/>
    <w:rsid w:val="00F25662"/>
    <w:rsid w:val="00F542FD"/>
    <w:rsid w:val="00F81C80"/>
    <w:rsid w:val="00FA124A"/>
    <w:rsid w:val="00FC08DD"/>
    <w:rsid w:val="00FC2316"/>
    <w:rsid w:val="00FC2CFD"/>
    <w:rsid w:val="00FE6843"/>
    <w:rsid w:val="00FE6E52"/>
    <w:rsid w:val="00FF5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D159"/>
  <w15:docId w15:val="{579CFEC9-EC4F-4479-8CA5-4CC81764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6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7162F"/>
    <w:pPr>
      <w:keepNext/>
      <w:keepLines/>
      <w:spacing w:before="480"/>
      <w:ind w:left="794" w:hanging="794"/>
      <w:outlineLvl w:val="0"/>
    </w:pPr>
    <w:rPr>
      <w:b/>
    </w:rPr>
  </w:style>
  <w:style w:type="paragraph" w:styleId="Heading2">
    <w:name w:val="heading 2"/>
    <w:basedOn w:val="Heading1"/>
    <w:next w:val="Normal"/>
    <w:link w:val="Heading2Char"/>
    <w:qFormat/>
    <w:rsid w:val="00C7162F"/>
    <w:pPr>
      <w:spacing w:before="320"/>
      <w:outlineLvl w:val="1"/>
    </w:pPr>
  </w:style>
  <w:style w:type="paragraph" w:styleId="Heading3">
    <w:name w:val="heading 3"/>
    <w:basedOn w:val="Heading1"/>
    <w:next w:val="Normal"/>
    <w:link w:val="Heading3Char"/>
    <w:qFormat/>
    <w:rsid w:val="00C7162F"/>
    <w:pPr>
      <w:spacing w:before="200"/>
      <w:outlineLvl w:val="2"/>
    </w:pPr>
  </w:style>
  <w:style w:type="paragraph" w:styleId="Heading4">
    <w:name w:val="heading 4"/>
    <w:basedOn w:val="Heading3"/>
    <w:next w:val="Normal"/>
    <w:link w:val="Heading4Char"/>
    <w:qFormat/>
    <w:rsid w:val="00C7162F"/>
    <w:pPr>
      <w:tabs>
        <w:tab w:val="clear" w:pos="794"/>
        <w:tab w:val="left" w:pos="992"/>
      </w:tabs>
      <w:ind w:left="992" w:hanging="992"/>
      <w:outlineLvl w:val="3"/>
    </w:pPr>
  </w:style>
  <w:style w:type="paragraph" w:styleId="Heading5">
    <w:name w:val="heading 5"/>
    <w:basedOn w:val="Heading4"/>
    <w:next w:val="Normal"/>
    <w:link w:val="Heading5Char"/>
    <w:qFormat/>
    <w:rsid w:val="00C7162F"/>
    <w:pPr>
      <w:outlineLvl w:val="4"/>
    </w:pPr>
  </w:style>
  <w:style w:type="paragraph" w:styleId="Heading6">
    <w:name w:val="heading 6"/>
    <w:basedOn w:val="Heading4"/>
    <w:next w:val="Normal"/>
    <w:link w:val="Heading6Char"/>
    <w:qFormat/>
    <w:rsid w:val="00C7162F"/>
    <w:pPr>
      <w:tabs>
        <w:tab w:val="clear" w:pos="992"/>
        <w:tab w:val="clear" w:pos="1191"/>
      </w:tabs>
      <w:ind w:left="1588" w:hanging="1588"/>
      <w:outlineLvl w:val="5"/>
    </w:pPr>
  </w:style>
  <w:style w:type="paragraph" w:styleId="Heading7">
    <w:name w:val="heading 7"/>
    <w:basedOn w:val="Heading6"/>
    <w:next w:val="Normal"/>
    <w:link w:val="Heading7Char"/>
    <w:qFormat/>
    <w:rsid w:val="00C7162F"/>
    <w:pPr>
      <w:outlineLvl w:val="6"/>
    </w:pPr>
  </w:style>
  <w:style w:type="paragraph" w:styleId="Heading8">
    <w:name w:val="heading 8"/>
    <w:basedOn w:val="Heading6"/>
    <w:next w:val="Normal"/>
    <w:link w:val="Heading8Char"/>
    <w:qFormat/>
    <w:rsid w:val="00C7162F"/>
    <w:pPr>
      <w:outlineLvl w:val="7"/>
    </w:pPr>
  </w:style>
  <w:style w:type="paragraph" w:styleId="Heading9">
    <w:name w:val="heading 9"/>
    <w:basedOn w:val="Heading6"/>
    <w:next w:val="Normal"/>
    <w:link w:val="Heading9Char"/>
    <w:qFormat/>
    <w:rsid w:val="00C7162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C7162F"/>
    <w:pPr>
      <w:spacing w:before="32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C7162F"/>
    <w:pPr>
      <w:keepNext/>
      <w:keepLines/>
      <w:spacing w:before="480"/>
      <w:jc w:val="center"/>
    </w:pPr>
    <w:rPr>
      <w:sz w:val="28"/>
    </w:rPr>
  </w:style>
  <w:style w:type="paragraph" w:customStyle="1" w:styleId="Arttitle">
    <w:name w:val="Art_title"/>
    <w:basedOn w:val="Normal"/>
    <w:next w:val="Normalaftertitle"/>
    <w:rsid w:val="00C7162F"/>
    <w:pPr>
      <w:keepNext/>
      <w:keepLines/>
      <w:spacing w:before="240"/>
      <w:jc w:val="center"/>
    </w:pPr>
    <w:rPr>
      <w:b/>
      <w:sz w:val="28"/>
    </w:rPr>
  </w:style>
  <w:style w:type="paragraph" w:customStyle="1" w:styleId="ASN1">
    <w:name w:val="ASN.1"/>
    <w:basedOn w:val="Normal"/>
    <w:next w:val="Normal"/>
    <w:rsid w:val="00C7162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C7162F"/>
    <w:pPr>
      <w:keepNext/>
      <w:keepLines/>
      <w:spacing w:before="160"/>
      <w:ind w:left="794"/>
    </w:pPr>
    <w:rPr>
      <w:i/>
    </w:rPr>
  </w:style>
  <w:style w:type="paragraph" w:customStyle="1" w:styleId="ChapNo">
    <w:name w:val="Chap_No"/>
    <w:basedOn w:val="ArtNo"/>
    <w:next w:val="Chaptitle"/>
    <w:rsid w:val="00C7162F"/>
    <w:rPr>
      <w:b/>
    </w:rPr>
  </w:style>
  <w:style w:type="paragraph" w:customStyle="1" w:styleId="Chaptitle">
    <w:name w:val="Chap_title"/>
    <w:basedOn w:val="Arttitle"/>
    <w:next w:val="Normalaftertitle"/>
    <w:rsid w:val="00C7162F"/>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C7162F"/>
    <w:pPr>
      <w:spacing w:before="80"/>
      <w:ind w:left="794" w:hanging="794"/>
    </w:pPr>
  </w:style>
  <w:style w:type="paragraph" w:customStyle="1" w:styleId="enumlev2">
    <w:name w:val="enumlev2"/>
    <w:basedOn w:val="enumlev1"/>
    <w:rsid w:val="00C7162F"/>
    <w:pPr>
      <w:ind w:left="1191" w:hanging="397"/>
    </w:pPr>
  </w:style>
  <w:style w:type="paragraph" w:customStyle="1" w:styleId="enumlev3">
    <w:name w:val="enumlev3"/>
    <w:basedOn w:val="enumlev2"/>
    <w:rsid w:val="00C7162F"/>
    <w:pPr>
      <w:ind w:left="1588"/>
    </w:pPr>
  </w:style>
  <w:style w:type="paragraph" w:customStyle="1" w:styleId="Equation">
    <w:name w:val="Equation"/>
    <w:basedOn w:val="Normal"/>
    <w:rsid w:val="00C7162F"/>
    <w:pPr>
      <w:tabs>
        <w:tab w:val="clear" w:pos="1191"/>
        <w:tab w:val="clear" w:pos="1588"/>
        <w:tab w:val="clear" w:pos="1985"/>
        <w:tab w:val="center" w:pos="4820"/>
        <w:tab w:val="right" w:pos="9639"/>
      </w:tabs>
    </w:pPr>
  </w:style>
  <w:style w:type="paragraph" w:customStyle="1" w:styleId="Equationlegend">
    <w:name w:val="Equation_legend"/>
    <w:basedOn w:val="NormalIndent"/>
    <w:rsid w:val="00C7162F"/>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C7162F"/>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7B34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C7162F"/>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9C185B"/>
    <w:pPr>
      <w:overflowPunct/>
      <w:autoSpaceDE/>
      <w:autoSpaceDN/>
      <w:adjustRightInd/>
      <w:spacing w:before="40"/>
      <w:textAlignment w:val="auto"/>
    </w:pPr>
    <w:rPr>
      <w:caps/>
      <w:noProof w:val="0"/>
    </w:rPr>
  </w:style>
  <w:style w:type="character" w:styleId="FootnoteReference">
    <w:name w:val="footnote reference"/>
    <w:basedOn w:val="DefaultParagraphFont"/>
    <w:rsid w:val="00C7162F"/>
    <w:rPr>
      <w:position w:val="6"/>
      <w:sz w:val="18"/>
    </w:rPr>
  </w:style>
  <w:style w:type="paragraph" w:styleId="FootnoteText">
    <w:name w:val="footnote text"/>
    <w:basedOn w:val="Normal"/>
    <w:link w:val="FootnoteTextChar"/>
    <w:rsid w:val="00C7162F"/>
    <w:pPr>
      <w:keepLines/>
      <w:tabs>
        <w:tab w:val="left" w:pos="255"/>
      </w:tabs>
      <w:ind w:left="255" w:hanging="255"/>
    </w:pPr>
    <w:rPr>
      <w:sz w:val="22"/>
    </w:rPr>
  </w:style>
  <w:style w:type="paragraph" w:customStyle="1" w:styleId="Note">
    <w:name w:val="Note"/>
    <w:basedOn w:val="Normal"/>
    <w:rsid w:val="00C7162F"/>
    <w:pPr>
      <w:tabs>
        <w:tab w:val="clear" w:pos="794"/>
        <w:tab w:val="clear" w:pos="1191"/>
        <w:tab w:val="clear" w:pos="1588"/>
        <w:tab w:val="clear" w:pos="1985"/>
      </w:tabs>
      <w:spacing w:before="80"/>
    </w:pPr>
    <w:rPr>
      <w:sz w:val="22"/>
    </w:rPr>
  </w:style>
  <w:style w:type="paragraph" w:styleId="Header">
    <w:name w:val="header"/>
    <w:basedOn w:val="Normal"/>
    <w:link w:val="HeaderChar"/>
    <w:uiPriority w:val="99"/>
    <w:rsid w:val="00C7162F"/>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C7162F"/>
  </w:style>
  <w:style w:type="paragraph" w:styleId="Index2">
    <w:name w:val="index 2"/>
    <w:basedOn w:val="Normal"/>
    <w:next w:val="Normal"/>
    <w:semiHidden/>
    <w:rsid w:val="00C7162F"/>
    <w:pPr>
      <w:ind w:left="283"/>
    </w:pPr>
  </w:style>
  <w:style w:type="paragraph" w:styleId="Index3">
    <w:name w:val="index 3"/>
    <w:basedOn w:val="Normal"/>
    <w:next w:val="Normal"/>
    <w:semiHidden/>
    <w:rsid w:val="00C7162F"/>
    <w:pPr>
      <w:ind w:left="566"/>
    </w:pPr>
  </w:style>
  <w:style w:type="paragraph" w:customStyle="1" w:styleId="PartNo">
    <w:name w:val="Part_No"/>
    <w:basedOn w:val="Normal"/>
    <w:next w:val="Normal"/>
    <w:rsid w:val="00C7162F"/>
  </w:style>
  <w:style w:type="paragraph" w:customStyle="1" w:styleId="Partref">
    <w:name w:val="Part_ref"/>
    <w:basedOn w:val="Normal"/>
    <w:next w:val="Normal"/>
    <w:rsid w:val="00C7162F"/>
    <w:pPr>
      <w:keepNext/>
      <w:keepLines/>
      <w:spacing w:after="280"/>
      <w:jc w:val="center"/>
    </w:pPr>
  </w:style>
  <w:style w:type="paragraph" w:customStyle="1" w:styleId="Parttitle">
    <w:name w:val="Part_title"/>
    <w:basedOn w:val="Normal"/>
    <w:next w:val="Normalaftertitle"/>
    <w:rsid w:val="00C7162F"/>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rsid w:val="00C7162F"/>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C7162F"/>
    <w:pPr>
      <w:keepNext/>
      <w:keepLines/>
      <w:spacing w:before="240"/>
      <w:jc w:val="center"/>
    </w:pPr>
    <w:rPr>
      <w:b/>
      <w:sz w:val="28"/>
    </w:rPr>
  </w:style>
  <w:style w:type="paragraph" w:customStyle="1" w:styleId="Recref">
    <w:name w:val="Rec_ref"/>
    <w:basedOn w:val="Normal"/>
    <w:next w:val="Recdate"/>
    <w:rsid w:val="00C7162F"/>
    <w:pPr>
      <w:jc w:val="center"/>
    </w:pPr>
  </w:style>
  <w:style w:type="paragraph" w:customStyle="1" w:styleId="Recdate">
    <w:name w:val="Rec_date"/>
    <w:basedOn w:val="Recref"/>
    <w:next w:val="Normalaftertitle"/>
    <w:rsid w:val="00C7162F"/>
    <w:pPr>
      <w:jc w:val="right"/>
    </w:pPr>
  </w:style>
  <w:style w:type="paragraph" w:customStyle="1" w:styleId="Questiondate">
    <w:name w:val="Question_date"/>
    <w:basedOn w:val="Recdate"/>
    <w:next w:val="Normalaftertitle"/>
    <w:rsid w:val="00C7162F"/>
  </w:style>
  <w:style w:type="paragraph" w:customStyle="1" w:styleId="QuestionNo">
    <w:name w:val="Question_No"/>
    <w:basedOn w:val="RecNo"/>
    <w:next w:val="Normal"/>
    <w:rsid w:val="00C7162F"/>
  </w:style>
  <w:style w:type="paragraph" w:customStyle="1" w:styleId="Questiontitle">
    <w:name w:val="Question_title"/>
    <w:basedOn w:val="Normal"/>
    <w:next w:val="Questionref"/>
    <w:rsid w:val="00C7162F"/>
  </w:style>
  <w:style w:type="paragraph" w:customStyle="1" w:styleId="Questionref">
    <w:name w:val="Question_ref"/>
    <w:basedOn w:val="Recref"/>
    <w:next w:val="Questiondate"/>
    <w:rsid w:val="00C7162F"/>
  </w:style>
  <w:style w:type="paragraph" w:customStyle="1" w:styleId="Reftext">
    <w:name w:val="Ref_text"/>
    <w:basedOn w:val="Normal"/>
    <w:rsid w:val="00C7162F"/>
    <w:pPr>
      <w:ind w:left="794" w:hanging="794"/>
    </w:pPr>
    <w:rPr>
      <w:sz w:val="22"/>
    </w:rPr>
  </w:style>
  <w:style w:type="paragraph" w:customStyle="1" w:styleId="Reftitle">
    <w:name w:val="Ref_title"/>
    <w:basedOn w:val="Normal"/>
    <w:next w:val="Reftext"/>
    <w:rsid w:val="00C7162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C7162F"/>
  </w:style>
  <w:style w:type="paragraph" w:customStyle="1" w:styleId="RepNo">
    <w:name w:val="Rep_No"/>
    <w:basedOn w:val="RecNo"/>
    <w:next w:val="Reptitle"/>
    <w:rsid w:val="00C7162F"/>
  </w:style>
  <w:style w:type="paragraph" w:customStyle="1" w:styleId="Reptitle">
    <w:name w:val="Rep_title"/>
    <w:basedOn w:val="Rectitle"/>
    <w:next w:val="Repref"/>
    <w:rsid w:val="00C7162F"/>
  </w:style>
  <w:style w:type="paragraph" w:customStyle="1" w:styleId="Repref">
    <w:name w:val="Rep_ref"/>
    <w:basedOn w:val="Recref"/>
    <w:next w:val="Repdate"/>
    <w:rsid w:val="00C7162F"/>
  </w:style>
  <w:style w:type="paragraph" w:customStyle="1" w:styleId="Resdate">
    <w:name w:val="Res_date"/>
    <w:basedOn w:val="Recdate"/>
    <w:next w:val="Normalaftertitle"/>
    <w:rsid w:val="00C7162F"/>
  </w:style>
  <w:style w:type="paragraph" w:customStyle="1" w:styleId="ResNo">
    <w:name w:val="Res_No"/>
    <w:basedOn w:val="RecNo"/>
    <w:next w:val="Restitle"/>
    <w:rsid w:val="00C7162F"/>
  </w:style>
  <w:style w:type="paragraph" w:customStyle="1" w:styleId="Restitle">
    <w:name w:val="Res_title"/>
    <w:basedOn w:val="Normal"/>
    <w:next w:val="Resref"/>
    <w:rsid w:val="00C7162F"/>
    <w:pPr>
      <w:spacing w:before="240"/>
      <w:jc w:val="center"/>
    </w:pPr>
    <w:rPr>
      <w:b/>
      <w:sz w:val="28"/>
    </w:rPr>
  </w:style>
  <w:style w:type="paragraph" w:customStyle="1" w:styleId="Resref">
    <w:name w:val="Res_ref"/>
    <w:basedOn w:val="Recref"/>
    <w:next w:val="Resdate"/>
    <w:rsid w:val="00C7162F"/>
  </w:style>
  <w:style w:type="paragraph" w:customStyle="1" w:styleId="SectionNo">
    <w:name w:val="Section_No"/>
    <w:basedOn w:val="Normal"/>
    <w:next w:val="Normal"/>
    <w:rsid w:val="00C7162F"/>
  </w:style>
  <w:style w:type="paragraph" w:customStyle="1" w:styleId="Sectiontitle">
    <w:name w:val="Section_title"/>
    <w:basedOn w:val="Normal"/>
    <w:next w:val="Normalaftertitle"/>
    <w:rsid w:val="00C7162F"/>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link w:val="TableheadChar"/>
    <w:rsid w:val="00C716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71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C7162F"/>
    <w:pPr>
      <w:keepNext/>
      <w:spacing w:before="360" w:after="120"/>
      <w:jc w:val="center"/>
    </w:pPr>
  </w:style>
  <w:style w:type="paragraph" w:customStyle="1" w:styleId="Tabletitle">
    <w:name w:val="Table_title"/>
    <w:basedOn w:val="Normal"/>
    <w:next w:val="Tablehead"/>
    <w:link w:val="Tabletitle0"/>
    <w:rsid w:val="00C7162F"/>
    <w:pPr>
      <w:keepNext/>
      <w:spacing w:before="0" w:after="120"/>
      <w:jc w:val="center"/>
    </w:pPr>
    <w:rPr>
      <w:b/>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C7162F"/>
    <w:pPr>
      <w:tabs>
        <w:tab w:val="clear" w:pos="794"/>
        <w:tab w:val="clear" w:pos="1191"/>
        <w:tab w:val="clear" w:pos="1588"/>
        <w:tab w:val="clear" w:pos="1985"/>
        <w:tab w:val="right" w:pos="9611"/>
      </w:tabs>
    </w:pPr>
    <w:rPr>
      <w:i/>
    </w:rPr>
  </w:style>
  <w:style w:type="paragraph" w:styleId="TOC1">
    <w:name w:val="toc 1"/>
    <w:basedOn w:val="Normal"/>
    <w:rsid w:val="00C7162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C7162F"/>
    <w:pPr>
      <w:tabs>
        <w:tab w:val="clear" w:pos="567"/>
        <w:tab w:val="left" w:pos="1276"/>
      </w:tabs>
      <w:spacing w:before="160"/>
      <w:ind w:left="1276" w:hanging="709"/>
    </w:pPr>
  </w:style>
  <w:style w:type="paragraph" w:styleId="TOC3">
    <w:name w:val="toc 3"/>
    <w:basedOn w:val="TOC2"/>
    <w:rsid w:val="00C7162F"/>
    <w:pPr>
      <w:tabs>
        <w:tab w:val="clear" w:pos="1276"/>
        <w:tab w:val="left" w:pos="2155"/>
      </w:tabs>
      <w:ind w:left="2155" w:hanging="879"/>
    </w:pPr>
  </w:style>
  <w:style w:type="paragraph" w:styleId="TOC4">
    <w:name w:val="toc 4"/>
    <w:basedOn w:val="TOC3"/>
    <w:rsid w:val="00C7162F"/>
    <w:pPr>
      <w:tabs>
        <w:tab w:val="left" w:pos="3261"/>
      </w:tabs>
      <w:spacing w:before="80"/>
      <w:ind w:left="3261" w:hanging="993"/>
    </w:pPr>
  </w:style>
  <w:style w:type="paragraph" w:styleId="TOC5">
    <w:name w:val="toc 5"/>
    <w:basedOn w:val="TOC4"/>
    <w:rsid w:val="00C7162F"/>
  </w:style>
  <w:style w:type="paragraph" w:styleId="TOC6">
    <w:name w:val="toc 6"/>
    <w:basedOn w:val="TOC4"/>
    <w:rsid w:val="00C7162F"/>
  </w:style>
  <w:style w:type="paragraph" w:styleId="TOC7">
    <w:name w:val="toc 7"/>
    <w:basedOn w:val="TOC4"/>
    <w:rsid w:val="00C7162F"/>
  </w:style>
  <w:style w:type="paragraph" w:styleId="TOC8">
    <w:name w:val="toc 8"/>
    <w:basedOn w:val="TOC4"/>
    <w:rsid w:val="00C7162F"/>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Heading3"/>
    <w:next w:val="Normal"/>
    <w:rsid w:val="00C7162F"/>
    <w:pPr>
      <w:spacing w:before="160"/>
      <w:ind w:left="0" w:firstLine="0"/>
    </w:pPr>
    <w:rPr>
      <w:b w:val="0"/>
      <w:i/>
    </w:rPr>
  </w:style>
  <w:style w:type="paragraph" w:customStyle="1" w:styleId="Headingb">
    <w:name w:val="Heading_b"/>
    <w:basedOn w:val="Heading3"/>
    <w:next w:val="Normal"/>
    <w:link w:val="HeadingbChar"/>
    <w:rsid w:val="00C7162F"/>
    <w:pPr>
      <w:spacing w:before="160"/>
      <w:ind w:left="0" w:firstLine="0"/>
      <w:outlineLvl w:val="9"/>
    </w:pPr>
  </w:style>
  <w:style w:type="paragraph" w:customStyle="1" w:styleId="Figure">
    <w:name w:val="Figure"/>
    <w:basedOn w:val="FigureNo"/>
    <w:next w:val="Normal"/>
    <w:rsid w:val="00C7162F"/>
    <w:pPr>
      <w:keepNext w:val="0"/>
      <w:spacing w:before="0" w:after="240"/>
    </w:pPr>
  </w:style>
  <w:style w:type="character" w:styleId="PageNumber">
    <w:name w:val="page number"/>
    <w:basedOn w:val="DefaultParagraphFont"/>
    <w:rsid w:val="00C7162F"/>
  </w:style>
  <w:style w:type="paragraph" w:customStyle="1" w:styleId="Figuretitle">
    <w:name w:val="Figure_title"/>
    <w:basedOn w:val="Normal"/>
    <w:next w:val="Figure"/>
    <w:link w:val="FiguretitleChar"/>
    <w:rsid w:val="00C7162F"/>
    <w:pPr>
      <w:keepNext/>
      <w:spacing w:before="0" w:after="120"/>
      <w:jc w:val="center"/>
    </w:pPr>
    <w:rPr>
      <w:rFonts w:ascii="Times New Roman Bold" w:hAnsi="Times New Roman Bold"/>
      <w:b/>
      <w:sz w:val="18"/>
    </w:rPr>
  </w:style>
  <w:style w:type="paragraph" w:customStyle="1" w:styleId="FigureNo">
    <w:name w:val="Figure_No"/>
    <w:basedOn w:val="Normal"/>
    <w:next w:val="Figuretitle"/>
    <w:link w:val="FigureNoChar"/>
    <w:rsid w:val="00C7162F"/>
    <w:pPr>
      <w:keepNext/>
      <w:keepLines/>
      <w:spacing w:before="480" w:after="80"/>
      <w:jc w:val="center"/>
    </w:pPr>
    <w:rPr>
      <w:caps/>
      <w:sz w:val="18"/>
    </w:rPr>
  </w:style>
  <w:style w:type="paragraph" w:customStyle="1" w:styleId="AnnexNo">
    <w:name w:val="Annex_No"/>
    <w:basedOn w:val="Normal"/>
    <w:next w:val="Normal"/>
    <w:link w:val="AnnexNoCar"/>
    <w:rsid w:val="009C185B"/>
    <w:pPr>
      <w:keepNext/>
      <w:keepLines/>
      <w:spacing w:before="480" w:after="80"/>
      <w:jc w:val="center"/>
    </w:pPr>
    <w:rPr>
      <w:caps/>
      <w:sz w:val="28"/>
    </w:rPr>
  </w:style>
  <w:style w:type="paragraph" w:customStyle="1" w:styleId="Annexref">
    <w:name w:val="Annex_ref"/>
    <w:basedOn w:val="Normal"/>
    <w:next w:val="Normalaftertitle"/>
    <w:rsid w:val="00C7162F"/>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Normalaftertitle"/>
    <w:rsid w:val="00C7162F"/>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C7162F"/>
    <w:pPr>
      <w:ind w:left="79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C7162F"/>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sid w:val="009C185B"/>
    <w:rPr>
      <w:rFonts w:ascii="Times New Roman" w:hAnsi="Times New Roman"/>
      <w:noProof/>
      <w:sz w:val="18"/>
      <w:lang w:val="en-GB" w:eastAsia="en-US"/>
    </w:rPr>
  </w:style>
  <w:style w:type="character" w:customStyle="1" w:styleId="FootnoteTextChar">
    <w:name w:val="Footnote Text Char"/>
    <w:basedOn w:val="DefaultParagraphFont"/>
    <w:link w:val="FootnoteText"/>
    <w:rsid w:val="009C185B"/>
    <w:rPr>
      <w:rFonts w:ascii="Times New Roman" w:hAnsi="Times New Roman"/>
      <w:sz w:val="22"/>
      <w:lang w:val="en-GB" w:eastAsia="en-US"/>
    </w:rPr>
  </w:style>
  <w:style w:type="character" w:customStyle="1" w:styleId="HeaderChar">
    <w:name w:val="Header Char"/>
    <w:basedOn w:val="DefaultParagraphFont"/>
    <w:link w:val="Header"/>
    <w:uiPriority w:val="99"/>
    <w:rsid w:val="009C185B"/>
    <w:rPr>
      <w:rFonts w:ascii="Times New Roman" w:hAnsi="Times New Roman"/>
      <w:sz w:val="24"/>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sz w:val="18"/>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next w:val="Normal"/>
    <w:rsid w:val="00C7162F"/>
    <w:pPr>
      <w:spacing w:before="0"/>
    </w:pPr>
    <w:rPr>
      <w:sz w:val="20"/>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rmalaftertitleChar">
    <w:name w:val="Normal_after_title Char"/>
    <w:basedOn w:val="DefaultParagraphFont"/>
    <w:link w:val="Normalaftertitle"/>
    <w:locked/>
    <w:rsid w:val="00524B07"/>
    <w:rPr>
      <w:rFonts w:ascii="Times New Roman" w:hAnsi="Times New Roman"/>
      <w:sz w:val="24"/>
      <w:lang w:val="en-GB" w:eastAsia="en-US"/>
    </w:rPr>
  </w:style>
  <w:style w:type="character" w:styleId="Hyperlink">
    <w:name w:val="Hyperlink"/>
    <w:basedOn w:val="DefaultParagraphFont"/>
    <w:unhideWhenUsed/>
    <w:rsid w:val="00524B07"/>
    <w:rPr>
      <w:color w:val="0000FF" w:themeColor="hyperlink"/>
      <w:u w:val="single"/>
    </w:rPr>
  </w:style>
  <w:style w:type="paragraph" w:customStyle="1" w:styleId="TabletitleBR">
    <w:name w:val="Table_title_BR"/>
    <w:basedOn w:val="Normal"/>
    <w:next w:val="Normal"/>
    <w:rsid w:val="00524B07"/>
    <w:pPr>
      <w:keepNext/>
      <w:keepLines/>
      <w:overflowPunct/>
      <w:autoSpaceDE/>
      <w:autoSpaceDN/>
      <w:adjustRightInd/>
      <w:spacing w:before="0" w:after="120"/>
      <w:jc w:val="center"/>
      <w:textAlignment w:val="auto"/>
    </w:pPr>
    <w:rPr>
      <w:b/>
      <w:lang w:val="en-US"/>
    </w:rPr>
  </w:style>
  <w:style w:type="paragraph" w:styleId="BodyTextIndent">
    <w:name w:val="Body Text Indent"/>
    <w:basedOn w:val="Normal"/>
    <w:link w:val="BodyTextIndentChar"/>
    <w:rsid w:val="00524B07"/>
    <w:pPr>
      <w:overflowPunct/>
      <w:autoSpaceDE/>
      <w:autoSpaceDN/>
      <w:adjustRightInd/>
      <w:spacing w:before="0" w:after="120"/>
      <w:ind w:left="360"/>
      <w:textAlignment w:val="auto"/>
    </w:pPr>
    <w:rPr>
      <w:lang w:val="en-US"/>
    </w:rPr>
  </w:style>
  <w:style w:type="character" w:customStyle="1" w:styleId="BodyTextIndentChar">
    <w:name w:val="Body Text Indent Char"/>
    <w:basedOn w:val="DefaultParagraphFont"/>
    <w:link w:val="BodyTextIndent"/>
    <w:rsid w:val="00524B07"/>
    <w:rPr>
      <w:rFonts w:ascii="Times New Roman" w:hAnsi="Times New Roman"/>
      <w:sz w:val="24"/>
      <w:lang w:eastAsia="en-US"/>
    </w:rPr>
  </w:style>
  <w:style w:type="character" w:styleId="UnresolvedMention">
    <w:name w:val="Unresolved Mention"/>
    <w:basedOn w:val="DefaultParagraphFont"/>
    <w:uiPriority w:val="99"/>
    <w:rsid w:val="00524B07"/>
    <w:rPr>
      <w:color w:val="605E5C"/>
      <w:shd w:val="clear" w:color="auto" w:fill="E1DFDD"/>
    </w:rPr>
  </w:style>
  <w:style w:type="character" w:customStyle="1" w:styleId="SourceChar">
    <w:name w:val="Source Char"/>
    <w:basedOn w:val="DefaultParagraphFont"/>
    <w:link w:val="Source"/>
    <w:locked/>
    <w:rsid w:val="00524B07"/>
    <w:rPr>
      <w:rFonts w:ascii="Times New Roman" w:hAnsi="Times New Roman"/>
      <w:b/>
      <w:sz w:val="28"/>
      <w:lang w:val="en-GB" w:eastAsia="en-US"/>
    </w:rPr>
  </w:style>
  <w:style w:type="character" w:customStyle="1" w:styleId="Title1Char">
    <w:name w:val="Title 1 Char"/>
    <w:link w:val="Title1"/>
    <w:locked/>
    <w:rsid w:val="00524B07"/>
    <w:rPr>
      <w:rFonts w:ascii="Times New Roman" w:hAnsi="Times New Roman"/>
      <w:caps/>
      <w:sz w:val="28"/>
      <w:lang w:val="en-GB" w:eastAsia="en-US"/>
    </w:rPr>
  </w:style>
  <w:style w:type="character" w:customStyle="1" w:styleId="Heading1Char">
    <w:name w:val="Heading 1 Char"/>
    <w:basedOn w:val="DefaultParagraphFont"/>
    <w:link w:val="Heading1"/>
    <w:rsid w:val="00524B07"/>
    <w:rPr>
      <w:rFonts w:ascii="Times New Roman" w:hAnsi="Times New Roman"/>
      <w:b/>
      <w:sz w:val="24"/>
      <w:lang w:val="en-GB" w:eastAsia="en-US"/>
    </w:rPr>
  </w:style>
  <w:style w:type="character" w:customStyle="1" w:styleId="Heading2Char">
    <w:name w:val="Heading 2 Char"/>
    <w:basedOn w:val="DefaultParagraphFont"/>
    <w:link w:val="Heading2"/>
    <w:rsid w:val="00524B07"/>
    <w:rPr>
      <w:rFonts w:ascii="Times New Roman" w:hAnsi="Times New Roman"/>
      <w:b/>
      <w:sz w:val="24"/>
      <w:lang w:val="en-GB" w:eastAsia="en-US"/>
    </w:rPr>
  </w:style>
  <w:style w:type="character" w:customStyle="1" w:styleId="Heading3Char">
    <w:name w:val="Heading 3 Char"/>
    <w:basedOn w:val="DefaultParagraphFont"/>
    <w:link w:val="Heading3"/>
    <w:rsid w:val="00524B07"/>
    <w:rPr>
      <w:rFonts w:ascii="Times New Roman" w:hAnsi="Times New Roman"/>
      <w:b/>
      <w:sz w:val="24"/>
      <w:lang w:val="en-GB" w:eastAsia="en-US"/>
    </w:rPr>
  </w:style>
  <w:style w:type="character" w:customStyle="1" w:styleId="Heading4Char">
    <w:name w:val="Heading 4 Char"/>
    <w:basedOn w:val="DefaultParagraphFont"/>
    <w:link w:val="Heading4"/>
    <w:rsid w:val="00524B07"/>
    <w:rPr>
      <w:rFonts w:ascii="Times New Roman" w:hAnsi="Times New Roman"/>
      <w:b/>
      <w:sz w:val="24"/>
      <w:lang w:val="en-GB" w:eastAsia="en-US"/>
    </w:rPr>
  </w:style>
  <w:style w:type="character" w:customStyle="1" w:styleId="Heading5Char">
    <w:name w:val="Heading 5 Char"/>
    <w:basedOn w:val="DefaultParagraphFont"/>
    <w:link w:val="Heading5"/>
    <w:rsid w:val="00524B07"/>
    <w:rPr>
      <w:rFonts w:ascii="Times New Roman" w:hAnsi="Times New Roman"/>
      <w:b/>
      <w:sz w:val="24"/>
      <w:lang w:val="en-GB" w:eastAsia="en-US"/>
    </w:rPr>
  </w:style>
  <w:style w:type="character" w:customStyle="1" w:styleId="Heading6Char">
    <w:name w:val="Heading 6 Char"/>
    <w:basedOn w:val="DefaultParagraphFont"/>
    <w:link w:val="Heading6"/>
    <w:rsid w:val="00524B07"/>
    <w:rPr>
      <w:rFonts w:ascii="Times New Roman" w:hAnsi="Times New Roman"/>
      <w:b/>
      <w:sz w:val="24"/>
      <w:lang w:val="en-GB" w:eastAsia="en-US"/>
    </w:rPr>
  </w:style>
  <w:style w:type="character" w:customStyle="1" w:styleId="Heading7Char">
    <w:name w:val="Heading 7 Char"/>
    <w:basedOn w:val="DefaultParagraphFont"/>
    <w:link w:val="Heading7"/>
    <w:rsid w:val="00524B07"/>
    <w:rPr>
      <w:rFonts w:ascii="Times New Roman" w:hAnsi="Times New Roman"/>
      <w:b/>
      <w:sz w:val="24"/>
      <w:lang w:val="en-GB" w:eastAsia="en-US"/>
    </w:rPr>
  </w:style>
  <w:style w:type="character" w:customStyle="1" w:styleId="Heading8Char">
    <w:name w:val="Heading 8 Char"/>
    <w:basedOn w:val="DefaultParagraphFont"/>
    <w:link w:val="Heading8"/>
    <w:rsid w:val="00524B07"/>
    <w:rPr>
      <w:rFonts w:ascii="Times New Roman" w:hAnsi="Times New Roman"/>
      <w:b/>
      <w:sz w:val="24"/>
      <w:lang w:val="en-GB" w:eastAsia="en-US"/>
    </w:rPr>
  </w:style>
  <w:style w:type="character" w:customStyle="1" w:styleId="Heading9Char">
    <w:name w:val="Heading 9 Char"/>
    <w:basedOn w:val="DefaultParagraphFont"/>
    <w:link w:val="Heading9"/>
    <w:rsid w:val="00524B07"/>
    <w:rPr>
      <w:rFonts w:ascii="Times New Roman" w:hAnsi="Times New Roman"/>
      <w:b/>
      <w:sz w:val="24"/>
      <w:lang w:val="en-GB" w:eastAsia="en-US"/>
    </w:rPr>
  </w:style>
  <w:style w:type="character" w:customStyle="1" w:styleId="Recdef">
    <w:name w:val="Rec_def"/>
    <w:basedOn w:val="DefaultParagraphFont"/>
    <w:rsid w:val="00524B07"/>
    <w:rPr>
      <w:b/>
    </w:rPr>
  </w:style>
  <w:style w:type="character" w:customStyle="1" w:styleId="Resdef">
    <w:name w:val="Res_def"/>
    <w:basedOn w:val="DefaultParagraphFont"/>
    <w:rsid w:val="00524B07"/>
    <w:rPr>
      <w:rFonts w:ascii="Times New Roman" w:hAnsi="Times New Roman"/>
      <w:b/>
    </w:rPr>
  </w:style>
  <w:style w:type="character" w:customStyle="1" w:styleId="href">
    <w:name w:val="href"/>
    <w:basedOn w:val="DefaultParagraphFont"/>
    <w:rsid w:val="00C7162F"/>
  </w:style>
  <w:style w:type="paragraph" w:customStyle="1" w:styleId="HeadingSum">
    <w:name w:val="Heading_Sum"/>
    <w:basedOn w:val="Headingb"/>
    <w:next w:val="Normal"/>
    <w:autoRedefine/>
    <w:rsid w:val="00C7162F"/>
    <w:pPr>
      <w:spacing w:before="240"/>
    </w:pPr>
    <w:rPr>
      <w:sz w:val="22"/>
      <w:lang w:val="es-ES_tradnl"/>
    </w:rPr>
  </w:style>
  <w:style w:type="paragraph" w:customStyle="1" w:styleId="AnnexNoTitle">
    <w:name w:val="Annex_NoTitle"/>
    <w:basedOn w:val="Normal"/>
    <w:next w:val="Normalaftertitle"/>
    <w:rsid w:val="001E435E"/>
    <w:pPr>
      <w:keepNext/>
      <w:keepLines/>
      <w:spacing w:before="480" w:after="80"/>
      <w:jc w:val="center"/>
      <w:outlineLvl w:val="0"/>
    </w:pPr>
    <w:rPr>
      <w:b/>
      <w:sz w:val="28"/>
    </w:rPr>
  </w:style>
  <w:style w:type="paragraph" w:customStyle="1" w:styleId="AppendixNoTitle">
    <w:name w:val="Appendix_NoTitle"/>
    <w:basedOn w:val="AnnexNoTitle"/>
    <w:next w:val="Normal"/>
    <w:rsid w:val="00C7162F"/>
  </w:style>
  <w:style w:type="paragraph" w:customStyle="1" w:styleId="tocpart">
    <w:name w:val="tocpart"/>
    <w:basedOn w:val="Normal"/>
    <w:rsid w:val="00C7162F"/>
    <w:pPr>
      <w:tabs>
        <w:tab w:val="clear" w:pos="794"/>
        <w:tab w:val="clear" w:pos="1191"/>
        <w:tab w:val="clear" w:pos="1588"/>
        <w:tab w:val="clear" w:pos="1985"/>
        <w:tab w:val="left" w:pos="2693"/>
        <w:tab w:val="left" w:pos="8789"/>
        <w:tab w:val="right" w:pos="9639"/>
      </w:tabs>
      <w:ind w:left="2693" w:hanging="2693"/>
    </w:pPr>
  </w:style>
  <w:style w:type="paragraph" w:customStyle="1" w:styleId="Blanc">
    <w:name w:val="Blanc"/>
    <w:basedOn w:val="Normal"/>
    <w:next w:val="Tabletext"/>
    <w:rsid w:val="00C7162F"/>
    <w:pPr>
      <w:keepNext/>
      <w:keepLines/>
      <w:tabs>
        <w:tab w:val="clear" w:pos="794"/>
        <w:tab w:val="clear" w:pos="1191"/>
        <w:tab w:val="clear" w:pos="1588"/>
        <w:tab w:val="clear" w:pos="1985"/>
      </w:tabs>
      <w:spacing w:before="0"/>
    </w:pPr>
    <w:rPr>
      <w:sz w:val="16"/>
    </w:rPr>
  </w:style>
  <w:style w:type="paragraph" w:customStyle="1" w:styleId="Line">
    <w:name w:val="Line"/>
    <w:basedOn w:val="Normal"/>
    <w:next w:val="Normal"/>
    <w:rsid w:val="00C7162F"/>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C7162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Summary">
    <w:name w:val="Summary"/>
    <w:basedOn w:val="Normal"/>
    <w:next w:val="Normalaftertitle"/>
    <w:autoRedefine/>
    <w:rsid w:val="00C7162F"/>
    <w:pPr>
      <w:spacing w:after="480"/>
    </w:pPr>
    <w:rPr>
      <w:sz w:val="22"/>
      <w:lang w:val="es-ES_tradnl"/>
    </w:rPr>
  </w:style>
  <w:style w:type="paragraph" w:customStyle="1" w:styleId="TableLegendNote">
    <w:name w:val="Table_Legend_Note"/>
    <w:basedOn w:val="Tablelegend"/>
    <w:next w:val="Tablelegend"/>
    <w:rsid w:val="00C7162F"/>
    <w:pPr>
      <w:ind w:left="-85" w:firstLine="0"/>
    </w:pPr>
    <w:rPr>
      <w:lang w:val="en-US"/>
    </w:rPr>
  </w:style>
  <w:style w:type="character" w:customStyle="1" w:styleId="CallChar">
    <w:name w:val="Call Char"/>
    <w:basedOn w:val="DefaultParagraphFont"/>
    <w:link w:val="Call"/>
    <w:locked/>
    <w:rsid w:val="00524B07"/>
    <w:rPr>
      <w:rFonts w:ascii="Times New Roman" w:hAnsi="Times New Roman"/>
      <w:i/>
      <w:sz w:val="24"/>
      <w:lang w:val="en-GB" w:eastAsia="en-US"/>
    </w:rPr>
  </w:style>
  <w:style w:type="character" w:customStyle="1" w:styleId="TabletextChar">
    <w:name w:val="Table_text Char"/>
    <w:link w:val="Tabletext"/>
    <w:locked/>
    <w:rsid w:val="007B3415"/>
    <w:rPr>
      <w:rFonts w:ascii="Times New Roman" w:hAnsi="Times New Roman"/>
      <w:sz w:val="22"/>
      <w:lang w:val="en-GB" w:eastAsia="en-US"/>
    </w:rPr>
  </w:style>
  <w:style w:type="character" w:customStyle="1" w:styleId="TableheadChar">
    <w:name w:val="Table_head Char"/>
    <w:link w:val="Tablehead"/>
    <w:locked/>
    <w:rsid w:val="00524B07"/>
    <w:rPr>
      <w:rFonts w:ascii="Times New Roman" w:hAnsi="Times New Roman"/>
      <w:b/>
      <w:sz w:val="22"/>
      <w:lang w:val="en-GB" w:eastAsia="en-US"/>
    </w:rPr>
  </w:style>
  <w:style w:type="character" w:customStyle="1" w:styleId="Tabletitle0">
    <w:name w:val="Table_title Знак"/>
    <w:link w:val="Tabletitle"/>
    <w:locked/>
    <w:rsid w:val="00524B07"/>
    <w:rPr>
      <w:rFonts w:ascii="Times New Roman" w:hAnsi="Times New Roman"/>
      <w:b/>
      <w:sz w:val="24"/>
      <w:lang w:val="en-GB" w:eastAsia="en-US"/>
    </w:rPr>
  </w:style>
  <w:style w:type="character" w:customStyle="1" w:styleId="TableNo0">
    <w:name w:val="Table_No Знак"/>
    <w:link w:val="TableNo"/>
    <w:locked/>
    <w:rsid w:val="00524B07"/>
    <w:rPr>
      <w:rFonts w:ascii="Times New Roman" w:hAnsi="Times New Roman"/>
      <w:sz w:val="24"/>
      <w:lang w:val="en-GB" w:eastAsia="en-US"/>
    </w:rPr>
  </w:style>
  <w:style w:type="paragraph" w:styleId="Revision">
    <w:name w:val="Revision"/>
    <w:hidden/>
    <w:uiPriority w:val="99"/>
    <w:semiHidden/>
    <w:rsid w:val="00524B07"/>
    <w:rPr>
      <w:rFonts w:ascii="Times New Roman" w:hAnsi="Times New Roman"/>
      <w:sz w:val="24"/>
      <w:lang w:val="en-GB" w:eastAsia="en-US"/>
    </w:rPr>
  </w:style>
  <w:style w:type="numbering" w:customStyle="1" w:styleId="NoList1">
    <w:name w:val="No List1"/>
    <w:next w:val="NoList"/>
    <w:uiPriority w:val="99"/>
    <w:semiHidden/>
    <w:unhideWhenUsed/>
    <w:rsid w:val="00524B07"/>
  </w:style>
  <w:style w:type="character" w:customStyle="1" w:styleId="enumlev1Char">
    <w:name w:val="enumlev1 Char"/>
    <w:basedOn w:val="DefaultParagraphFont"/>
    <w:link w:val="enumlev1"/>
    <w:locked/>
    <w:rsid w:val="00524B07"/>
    <w:rPr>
      <w:rFonts w:ascii="Times New Roman" w:hAnsi="Times New Roman"/>
      <w:sz w:val="24"/>
      <w:lang w:val="en-GB" w:eastAsia="en-US"/>
    </w:rPr>
  </w:style>
  <w:style w:type="character" w:customStyle="1" w:styleId="FigureNoChar">
    <w:name w:val="Figure_No Char"/>
    <w:link w:val="FigureNo"/>
    <w:locked/>
    <w:rsid w:val="00524B07"/>
    <w:rPr>
      <w:rFonts w:ascii="Times New Roman" w:hAnsi="Times New Roman"/>
      <w:caps/>
      <w:sz w:val="18"/>
      <w:lang w:val="en-GB" w:eastAsia="en-US"/>
    </w:rPr>
  </w:style>
  <w:style w:type="character" w:customStyle="1" w:styleId="AnnexNoCar">
    <w:name w:val="Annex_No Car"/>
    <w:link w:val="AnnexNo"/>
    <w:locked/>
    <w:rsid w:val="00524B07"/>
    <w:rPr>
      <w:rFonts w:ascii="Times New Roman" w:hAnsi="Times New Roman"/>
      <w:caps/>
      <w:sz w:val="28"/>
      <w:lang w:val="en-GB" w:eastAsia="en-US"/>
    </w:rPr>
  </w:style>
  <w:style w:type="character" w:customStyle="1" w:styleId="NormalaftertitleChar0">
    <w:name w:val="Normal after title Char"/>
    <w:basedOn w:val="DefaultParagraphFont"/>
    <w:link w:val="Normalaftertitle0"/>
    <w:rsid w:val="00524B07"/>
    <w:rPr>
      <w:rFonts w:ascii="Times New Roman" w:hAnsi="Times New Roman"/>
      <w:sz w:val="24"/>
      <w:lang w:val="en-GB" w:eastAsia="en-US"/>
    </w:rPr>
  </w:style>
  <w:style w:type="character" w:customStyle="1" w:styleId="TabletitleChar">
    <w:name w:val="Table_title Char"/>
    <w:basedOn w:val="DefaultParagraphFont"/>
    <w:locked/>
    <w:rsid w:val="00524B07"/>
    <w:rPr>
      <w:rFonts w:ascii="Times New Roman Bold" w:hAnsi="Times New Roman Bold"/>
      <w:b/>
      <w:lang w:val="en-GB" w:eastAsia="en-US"/>
    </w:rPr>
  </w:style>
  <w:style w:type="paragraph" w:styleId="ListParagraph">
    <w:name w:val="List Paragraph"/>
    <w:basedOn w:val="Normal"/>
    <w:uiPriority w:val="34"/>
    <w:qFormat/>
    <w:rsid w:val="00524B07"/>
    <w:pPr>
      <w:ind w:left="720"/>
      <w:contextualSpacing/>
    </w:pPr>
  </w:style>
  <w:style w:type="table" w:customStyle="1" w:styleId="Grilledutableau1">
    <w:name w:val="Grille du tableau1"/>
    <w:basedOn w:val="TableNormal"/>
    <w:next w:val="TableGrid"/>
    <w:rsid w:val="0052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4B07"/>
    <w:rPr>
      <w:color w:val="605E5C"/>
      <w:shd w:val="clear" w:color="auto" w:fill="E1DFDD"/>
    </w:rPr>
  </w:style>
  <w:style w:type="paragraph" w:styleId="BalloonText">
    <w:name w:val="Balloon Text"/>
    <w:basedOn w:val="Normal"/>
    <w:link w:val="BalloonTextChar"/>
    <w:unhideWhenUsed/>
    <w:rsid w:val="00524B07"/>
    <w:pPr>
      <w:spacing w:before="0"/>
    </w:pPr>
    <w:rPr>
      <w:rFonts w:ascii="Tahoma" w:hAnsi="Tahoma" w:cs="Tahoma"/>
      <w:sz w:val="16"/>
      <w:szCs w:val="16"/>
    </w:rPr>
  </w:style>
  <w:style w:type="character" w:customStyle="1" w:styleId="BalloonTextChar">
    <w:name w:val="Balloon Text Char"/>
    <w:basedOn w:val="DefaultParagraphFont"/>
    <w:link w:val="BalloonText"/>
    <w:rsid w:val="00524B07"/>
    <w:rPr>
      <w:rFonts w:ascii="Tahoma" w:hAnsi="Tahoma" w:cs="Tahoma"/>
      <w:sz w:val="16"/>
      <w:szCs w:val="16"/>
      <w:lang w:val="en-GB" w:eastAsia="en-US"/>
    </w:rPr>
  </w:style>
  <w:style w:type="character" w:styleId="CommentReference">
    <w:name w:val="annotation reference"/>
    <w:basedOn w:val="DefaultParagraphFont"/>
    <w:semiHidden/>
    <w:unhideWhenUsed/>
    <w:rsid w:val="00524B07"/>
    <w:rPr>
      <w:sz w:val="16"/>
      <w:szCs w:val="16"/>
    </w:rPr>
  </w:style>
  <w:style w:type="paragraph" w:styleId="CommentText">
    <w:name w:val="annotation text"/>
    <w:basedOn w:val="Normal"/>
    <w:link w:val="CommentTextChar"/>
    <w:semiHidden/>
    <w:unhideWhenUsed/>
    <w:rsid w:val="00524B07"/>
    <w:rPr>
      <w:sz w:val="20"/>
    </w:rPr>
  </w:style>
  <w:style w:type="character" w:customStyle="1" w:styleId="CommentTextChar">
    <w:name w:val="Comment Text Char"/>
    <w:basedOn w:val="DefaultParagraphFont"/>
    <w:link w:val="CommentText"/>
    <w:semiHidden/>
    <w:rsid w:val="00524B0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24B07"/>
    <w:rPr>
      <w:b/>
      <w:bCs/>
    </w:rPr>
  </w:style>
  <w:style w:type="character" w:customStyle="1" w:styleId="CommentSubjectChar">
    <w:name w:val="Comment Subject Char"/>
    <w:basedOn w:val="CommentTextChar"/>
    <w:link w:val="CommentSubject"/>
    <w:semiHidden/>
    <w:rsid w:val="00524B07"/>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524B07"/>
    <w:rPr>
      <w:color w:val="605E5C"/>
      <w:shd w:val="clear" w:color="auto" w:fill="E1DFDD"/>
    </w:rPr>
  </w:style>
  <w:style w:type="paragraph" w:customStyle="1" w:styleId="ParaNum">
    <w:name w:val="ParaNum"/>
    <w:basedOn w:val="Normal"/>
    <w:link w:val="ParaNumChar"/>
    <w:rsid w:val="00524B07"/>
    <w:pPr>
      <w:widowControl w:val="0"/>
      <w:numPr>
        <w:numId w:val="12"/>
      </w:numPr>
      <w:tabs>
        <w:tab w:val="clear" w:pos="1080"/>
        <w:tab w:val="num" w:pos="1440"/>
      </w:tabs>
      <w:overflowPunct/>
      <w:autoSpaceDE/>
      <w:autoSpaceDN/>
      <w:adjustRightInd/>
      <w:spacing w:before="0" w:after="120"/>
      <w:textAlignment w:val="auto"/>
    </w:pPr>
    <w:rPr>
      <w:snapToGrid w:val="0"/>
      <w:kern w:val="28"/>
      <w:sz w:val="22"/>
      <w:lang w:val="en-US"/>
    </w:rPr>
  </w:style>
  <w:style w:type="character" w:customStyle="1" w:styleId="ParaNumChar">
    <w:name w:val="ParaNum Char"/>
    <w:link w:val="ParaNum"/>
    <w:rsid w:val="00524B07"/>
    <w:rPr>
      <w:rFonts w:ascii="Times New Roman" w:hAnsi="Times New Roman"/>
      <w:snapToGrid w:val="0"/>
      <w:kern w:val="28"/>
      <w:sz w:val="22"/>
      <w:lang w:eastAsia="en-US"/>
    </w:rPr>
  </w:style>
  <w:style w:type="character" w:customStyle="1" w:styleId="FootnoteTextChar1CharChar">
    <w:name w:val="Footnote Text Char1 Char Char"/>
    <w:aliases w:val="Footnote Text Char Char Char Char,Footnote Text Char1 Char Char Char Char,Footnote Text Char Char Char Char1 Char Char,Footnote Text Char1 Char Char Char Char Char Char,Footnote Text Char6 Char,f Char"/>
    <w:rsid w:val="00524B07"/>
  </w:style>
  <w:style w:type="character" w:styleId="FollowedHyperlink">
    <w:name w:val="FollowedHyperlink"/>
    <w:basedOn w:val="DefaultParagraphFont"/>
    <w:semiHidden/>
    <w:unhideWhenUsed/>
    <w:rsid w:val="00524B07"/>
    <w:rPr>
      <w:color w:val="800080" w:themeColor="followedHyperlink"/>
      <w:u w:val="single"/>
    </w:rPr>
  </w:style>
  <w:style w:type="paragraph" w:customStyle="1" w:styleId="RecNoBR">
    <w:name w:val="Rec_No_BR"/>
    <w:basedOn w:val="Normal"/>
    <w:next w:val="Normal"/>
    <w:rsid w:val="00524B07"/>
    <w:pPr>
      <w:keepNext/>
      <w:keepLines/>
      <w:spacing w:before="480"/>
      <w:jc w:val="center"/>
    </w:pPr>
    <w:rPr>
      <w:rFonts w:eastAsia="Batang"/>
      <w:caps/>
      <w:sz w:val="28"/>
      <w:lang w:val="en-US"/>
    </w:rPr>
  </w:style>
  <w:style w:type="paragraph" w:customStyle="1" w:styleId="ResTitle0">
    <w:name w:val="Res_Title"/>
    <w:basedOn w:val="Normal"/>
    <w:next w:val="Normal"/>
    <w:rsid w:val="00524B07"/>
    <w:pPr>
      <w:keepNext/>
      <w:keepLines/>
      <w:overflowPunct/>
      <w:autoSpaceDE/>
      <w:autoSpaceDN/>
      <w:adjustRightInd/>
      <w:spacing w:before="240"/>
      <w:jc w:val="center"/>
      <w:textAlignment w:val="auto"/>
    </w:pPr>
    <w:rPr>
      <w:rFonts w:ascii="Times New Roman Bold" w:eastAsia="Batang" w:hAnsi="Times New Roman Bold"/>
      <w:b/>
      <w:sz w:val="28"/>
      <w:lang w:val="en-US"/>
    </w:rPr>
  </w:style>
  <w:style w:type="character" w:customStyle="1" w:styleId="contents">
    <w:name w:val="contents"/>
    <w:basedOn w:val="DefaultParagraphFont"/>
    <w:rsid w:val="00524B07"/>
  </w:style>
  <w:style w:type="character" w:customStyle="1" w:styleId="HeadingbChar">
    <w:name w:val="Heading_b Char"/>
    <w:link w:val="Headingb"/>
    <w:locked/>
    <w:rsid w:val="00524B07"/>
    <w:rPr>
      <w:rFonts w:ascii="Times New Roman" w:hAnsi="Times New Roman"/>
      <w:b/>
      <w:sz w:val="24"/>
      <w:lang w:val="en-GB" w:eastAsia="en-US"/>
    </w:rPr>
  </w:style>
  <w:style w:type="paragraph" w:customStyle="1" w:styleId="CoverNumber">
    <w:name w:val="Cover Number"/>
    <w:basedOn w:val="Normal"/>
    <w:qFormat/>
    <w:rsid w:val="005A6ED9"/>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5A6ED9"/>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5A6ED9"/>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5A6ED9"/>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l/R-REC/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R/go/patents/en"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1E7B-975F-4996-9969-128179D1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140</TotalTime>
  <Pages>10</Pages>
  <Words>2509</Words>
  <Characters>12314</Characters>
  <Application>Microsoft Office Word</Application>
  <DocSecurity>0</DocSecurity>
  <Lines>492</Lines>
  <Paragraphs>142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RS.2066-1 (03/2024) - Protection of the radio astronomy service in the frequency band 10.6 10.7 GHz from unwanted emissions of synthetic aperture radars operating in the Earth exploration-satellite service (active) around 9 600 MHz</dc:title>
  <dc:creator>Author1</dc:creator>
  <cp:lastModifiedBy>Gachet, Christelle</cp:lastModifiedBy>
  <cp:revision>52</cp:revision>
  <cp:lastPrinted>2024-07-04T07:11:00Z</cp:lastPrinted>
  <dcterms:created xsi:type="dcterms:W3CDTF">2023-12-21T08:54:00Z</dcterms:created>
  <dcterms:modified xsi:type="dcterms:W3CDTF">2024-07-04T07:11:00Z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