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F01DE" w14:textId="77777777" w:rsidR="00FE79FE" w:rsidRDefault="00FE79FE"/>
    <w:p w14:paraId="3E378E4B" w14:textId="77777777" w:rsidR="00013002" w:rsidRDefault="00013002" w:rsidP="00DE5556">
      <w:pPr>
        <w:tabs>
          <w:tab w:val="clear" w:pos="794"/>
          <w:tab w:val="clear" w:pos="1191"/>
          <w:tab w:val="clear" w:pos="1588"/>
          <w:tab w:val="clear" w:pos="1985"/>
        </w:tabs>
      </w:pPr>
    </w:p>
    <w:p w14:paraId="745ABB9E" w14:textId="74186B19" w:rsidR="00D5024B" w:rsidRPr="000E2A1C"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C64844">
        <w:rPr>
          <w:lang w:val="es-ES"/>
        </w:rPr>
        <w:t>RS</w:t>
      </w:r>
      <w:r w:rsidRPr="00F111D6">
        <w:rPr>
          <w:lang w:val="es-ES"/>
        </w:rPr>
        <w:t>.</w:t>
      </w:r>
      <w:r w:rsidR="000E2A1C" w:rsidRPr="000E2A1C">
        <w:rPr>
          <w:lang w:val="es-ES"/>
        </w:rPr>
        <w:t>2042-2</w:t>
      </w:r>
    </w:p>
    <w:p w14:paraId="57DC9D93" w14:textId="0029FC71" w:rsidR="00D5024B" w:rsidRPr="00F111D6" w:rsidRDefault="00D5024B" w:rsidP="00D5024B">
      <w:pPr>
        <w:pStyle w:val="CoverDate"/>
        <w:rPr>
          <w:lang w:val="es-ES"/>
        </w:rPr>
      </w:pPr>
      <w:r w:rsidRPr="00F111D6">
        <w:rPr>
          <w:lang w:val="es-ES"/>
        </w:rPr>
        <w:t>(</w:t>
      </w:r>
      <w:r w:rsidR="000E2A1C">
        <w:t>12</w:t>
      </w:r>
      <w:r w:rsidR="000E2A1C" w:rsidRPr="004A6FEB">
        <w:t>/</w:t>
      </w:r>
      <w:r w:rsidR="000E2A1C">
        <w:t>2023</w:t>
      </w:r>
      <w:r w:rsidRPr="00F111D6">
        <w:rPr>
          <w:lang w:val="es-ES"/>
        </w:rPr>
        <w:t>)</w:t>
      </w:r>
    </w:p>
    <w:p w14:paraId="4595EFF0"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C64844">
        <w:rPr>
          <w:lang w:val="es-ES"/>
        </w:rPr>
        <w:t>RS</w:t>
      </w:r>
      <w:r w:rsidR="00D5024B" w:rsidRPr="00F111D6">
        <w:rPr>
          <w:lang w:val="es-ES"/>
        </w:rPr>
        <w:t xml:space="preserve">: </w:t>
      </w:r>
      <w:r w:rsidR="00C64844" w:rsidRPr="00C64844">
        <w:rPr>
          <w:lang w:val="es-ES"/>
        </w:rPr>
        <w:t>Sistemas de detección a distancia</w:t>
      </w:r>
    </w:p>
    <w:p w14:paraId="2422945E" w14:textId="288AD22D" w:rsidR="00D5024B" w:rsidRPr="00F111D6" w:rsidRDefault="000E2A1C" w:rsidP="00D5024B">
      <w:pPr>
        <w:pStyle w:val="CoverTitle"/>
        <w:rPr>
          <w:lang w:val="es-ES"/>
        </w:rPr>
      </w:pPr>
      <w:r w:rsidRPr="004870EA">
        <w:rPr>
          <w:lang w:val="es-ES"/>
        </w:rPr>
        <w:t>Características técnicas y operativas t</w:t>
      </w:r>
      <w:r>
        <w:rPr>
          <w:lang w:val="es-ES"/>
        </w:rPr>
        <w:t>ípicas de los sistemas de sonda de radar en vehículos espaciales que utilizan la banda 40-50 MHz</w:t>
      </w:r>
    </w:p>
    <w:p w14:paraId="5DA2AD3E" w14:textId="77777777" w:rsidR="00FE79FE" w:rsidRPr="00F111D6" w:rsidRDefault="00FE79FE" w:rsidP="005373E0"/>
    <w:p w14:paraId="44DD0E39" w14:textId="77777777" w:rsidR="00A71FE5" w:rsidRPr="00F111D6" w:rsidRDefault="00A71FE5" w:rsidP="005373E0"/>
    <w:p w14:paraId="6F776D5B" w14:textId="77777777" w:rsidR="00EE47C4" w:rsidRPr="00F111D6" w:rsidRDefault="00EE47C4" w:rsidP="005373E0">
      <w:pPr>
        <w:sectPr w:rsidR="00EE47C4" w:rsidRPr="00F111D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53AB354B"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6A285430"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8329C64"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8A671D5"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469D97C"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BC95378" w14:textId="77777777" w:rsidR="0069322D" w:rsidRPr="007C36CA" w:rsidRDefault="0069322D" w:rsidP="0069322D">
      <w:pPr>
        <w:spacing w:before="0"/>
        <w:jc w:val="center"/>
        <w:rPr>
          <w:sz w:val="22"/>
          <w:lang w:val="es-ES_tradnl"/>
        </w:rPr>
      </w:pPr>
    </w:p>
    <w:p w14:paraId="0594123E"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C64844" w14:paraId="12840CC7" w14:textId="77777777" w:rsidTr="0069322D">
        <w:tc>
          <w:tcPr>
            <w:tcW w:w="9360" w:type="dxa"/>
            <w:gridSpan w:val="2"/>
          </w:tcPr>
          <w:p w14:paraId="1C8C7A5D"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43F1135"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76A24C1B" w14:textId="77777777" w:rsidTr="00B96572">
        <w:tc>
          <w:tcPr>
            <w:tcW w:w="1140" w:type="dxa"/>
            <w:tcBorders>
              <w:bottom w:val="nil"/>
            </w:tcBorders>
            <w:vAlign w:val="bottom"/>
          </w:tcPr>
          <w:p w14:paraId="6EEADEB2"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436E398A"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6E6D3D6B" w14:textId="77777777" w:rsidTr="0069322D">
        <w:tc>
          <w:tcPr>
            <w:tcW w:w="1140" w:type="dxa"/>
            <w:tcBorders>
              <w:top w:val="nil"/>
              <w:bottom w:val="nil"/>
            </w:tcBorders>
            <w:shd w:val="clear" w:color="auto" w:fill="auto"/>
          </w:tcPr>
          <w:p w14:paraId="4B4E9401"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090CF4B"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C64844" w14:paraId="4AF4CBB5" w14:textId="77777777" w:rsidTr="0069322D">
        <w:tc>
          <w:tcPr>
            <w:tcW w:w="1140" w:type="dxa"/>
            <w:tcBorders>
              <w:top w:val="nil"/>
              <w:bottom w:val="nil"/>
            </w:tcBorders>
            <w:shd w:val="clear" w:color="auto" w:fill="auto"/>
          </w:tcPr>
          <w:p w14:paraId="6FDA3584"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21440EB4"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0F5971DE" w14:textId="77777777" w:rsidTr="0069322D">
        <w:tc>
          <w:tcPr>
            <w:tcW w:w="1140" w:type="dxa"/>
            <w:tcBorders>
              <w:top w:val="nil"/>
              <w:bottom w:val="nil"/>
            </w:tcBorders>
            <w:shd w:val="clear" w:color="auto" w:fill="auto"/>
          </w:tcPr>
          <w:p w14:paraId="2C37C110"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71F64246"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1981D616" w14:textId="77777777" w:rsidTr="008B56B2">
        <w:tc>
          <w:tcPr>
            <w:tcW w:w="1140" w:type="dxa"/>
            <w:tcBorders>
              <w:top w:val="nil"/>
              <w:bottom w:val="nil"/>
            </w:tcBorders>
            <w:shd w:val="clear" w:color="auto" w:fill="auto"/>
          </w:tcPr>
          <w:p w14:paraId="7571FDA1"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11BFB3B"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2E14B164" w14:textId="77777777" w:rsidTr="008B56B2">
        <w:tc>
          <w:tcPr>
            <w:tcW w:w="1140" w:type="dxa"/>
            <w:tcBorders>
              <w:top w:val="nil"/>
              <w:bottom w:val="nil"/>
            </w:tcBorders>
            <w:shd w:val="clear" w:color="auto" w:fill="FFFFFF" w:themeFill="background1"/>
          </w:tcPr>
          <w:p w14:paraId="24FEC0B1"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C3310B4"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C64844" w14:paraId="1912BA3A" w14:textId="77777777" w:rsidTr="008B56B2">
        <w:tc>
          <w:tcPr>
            <w:tcW w:w="1140" w:type="dxa"/>
            <w:tcBorders>
              <w:top w:val="nil"/>
              <w:bottom w:val="nil"/>
            </w:tcBorders>
            <w:shd w:val="clear" w:color="auto" w:fill="auto"/>
          </w:tcPr>
          <w:p w14:paraId="6AE627A9"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A8C7289"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C64844" w14:paraId="270866AF" w14:textId="77777777" w:rsidTr="0069322D">
        <w:tc>
          <w:tcPr>
            <w:tcW w:w="1140" w:type="dxa"/>
            <w:tcBorders>
              <w:top w:val="nil"/>
              <w:bottom w:val="nil"/>
            </w:tcBorders>
            <w:shd w:val="clear" w:color="auto" w:fill="auto"/>
          </w:tcPr>
          <w:p w14:paraId="7E7F0F58"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6B7C9FB9"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62E840BD" w14:textId="77777777" w:rsidTr="00C64844">
        <w:tc>
          <w:tcPr>
            <w:tcW w:w="1140" w:type="dxa"/>
            <w:tcBorders>
              <w:top w:val="nil"/>
              <w:bottom w:val="nil"/>
            </w:tcBorders>
            <w:shd w:val="clear" w:color="auto" w:fill="auto"/>
          </w:tcPr>
          <w:p w14:paraId="0857FF66"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32EDABE5"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C64844" w14:paraId="0A2E149F" w14:textId="77777777" w:rsidTr="00C64844">
        <w:tc>
          <w:tcPr>
            <w:tcW w:w="1140" w:type="dxa"/>
            <w:tcBorders>
              <w:top w:val="nil"/>
              <w:bottom w:val="nil"/>
            </w:tcBorders>
            <w:shd w:val="clear" w:color="auto" w:fill="F2F2F2" w:themeFill="background1" w:themeFillShade="F2"/>
          </w:tcPr>
          <w:p w14:paraId="0308769E" w14:textId="77777777" w:rsidR="0069322D" w:rsidRPr="00C64844" w:rsidRDefault="0069322D" w:rsidP="000B4BD9">
            <w:pPr>
              <w:spacing w:before="30" w:after="30"/>
              <w:ind w:left="57"/>
              <w:jc w:val="left"/>
              <w:rPr>
                <w:b/>
                <w:bCs/>
                <w:color w:val="000080"/>
                <w:sz w:val="20"/>
                <w:lang w:val="en-US"/>
              </w:rPr>
            </w:pPr>
            <w:r w:rsidRPr="00C64844">
              <w:rPr>
                <w:b/>
                <w:bCs/>
                <w:color w:val="000080"/>
                <w:sz w:val="20"/>
                <w:lang w:val="en-US"/>
              </w:rPr>
              <w:t>RS</w:t>
            </w:r>
          </w:p>
        </w:tc>
        <w:tc>
          <w:tcPr>
            <w:tcW w:w="8220" w:type="dxa"/>
            <w:tcBorders>
              <w:top w:val="nil"/>
              <w:bottom w:val="nil"/>
            </w:tcBorders>
            <w:shd w:val="clear" w:color="auto" w:fill="F2F2F2" w:themeFill="background1" w:themeFillShade="F2"/>
          </w:tcPr>
          <w:p w14:paraId="76BB4AB6" w14:textId="77777777" w:rsidR="0069322D" w:rsidRPr="00C64844"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C64844">
              <w:rPr>
                <w:b/>
                <w:bCs/>
                <w:color w:val="000080"/>
                <w:sz w:val="20"/>
                <w:lang w:val="es-ES_tradnl"/>
              </w:rPr>
              <w:t>Sistemas de detección a distancia</w:t>
            </w:r>
          </w:p>
        </w:tc>
      </w:tr>
      <w:tr w:rsidR="0069322D" w:rsidRPr="00025336" w14:paraId="757B1632" w14:textId="77777777" w:rsidTr="00C64844">
        <w:tc>
          <w:tcPr>
            <w:tcW w:w="1140" w:type="dxa"/>
            <w:tcBorders>
              <w:top w:val="nil"/>
              <w:bottom w:val="nil"/>
            </w:tcBorders>
            <w:shd w:val="clear" w:color="auto" w:fill="auto"/>
          </w:tcPr>
          <w:p w14:paraId="24D9BC8E"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50234E2E" w14:textId="77777777" w:rsidR="0069322D" w:rsidRPr="00025336" w:rsidRDefault="0069322D" w:rsidP="000B4BD9">
            <w:pPr>
              <w:spacing w:before="30" w:after="30"/>
              <w:jc w:val="left"/>
              <w:rPr>
                <w:sz w:val="20"/>
                <w:lang w:val="en-US"/>
              </w:rPr>
            </w:pPr>
            <w:r w:rsidRPr="00025336">
              <w:rPr>
                <w:sz w:val="20"/>
              </w:rPr>
              <w:t>Servicio fijo por satélite</w:t>
            </w:r>
          </w:p>
        </w:tc>
      </w:tr>
      <w:tr w:rsidR="00C64844" w:rsidRPr="00C64844" w14:paraId="1E68AED1" w14:textId="77777777" w:rsidTr="00C64844">
        <w:tc>
          <w:tcPr>
            <w:tcW w:w="1140" w:type="dxa"/>
            <w:tcBorders>
              <w:top w:val="nil"/>
              <w:bottom w:val="nil"/>
            </w:tcBorders>
            <w:shd w:val="clear" w:color="auto" w:fill="FFFFFF" w:themeFill="background1"/>
          </w:tcPr>
          <w:p w14:paraId="0E0F740D" w14:textId="77777777" w:rsidR="0069322D" w:rsidRPr="00C64844" w:rsidRDefault="0069322D" w:rsidP="000B4BD9">
            <w:pPr>
              <w:spacing w:before="30" w:after="30"/>
              <w:ind w:left="57"/>
              <w:jc w:val="left"/>
              <w:rPr>
                <w:b/>
                <w:bCs/>
                <w:sz w:val="20"/>
                <w:lang w:val="en-US"/>
              </w:rPr>
            </w:pPr>
            <w:r w:rsidRPr="00C64844">
              <w:rPr>
                <w:b/>
                <w:bCs/>
                <w:sz w:val="20"/>
                <w:lang w:val="en-US"/>
              </w:rPr>
              <w:t>SA</w:t>
            </w:r>
          </w:p>
        </w:tc>
        <w:tc>
          <w:tcPr>
            <w:tcW w:w="8220" w:type="dxa"/>
            <w:tcBorders>
              <w:top w:val="nil"/>
              <w:bottom w:val="nil"/>
            </w:tcBorders>
            <w:shd w:val="clear" w:color="auto" w:fill="FFFFFF" w:themeFill="background1"/>
          </w:tcPr>
          <w:p w14:paraId="01E3E22E" w14:textId="77777777" w:rsidR="0069322D" w:rsidRPr="00C64844" w:rsidRDefault="0069322D" w:rsidP="000B4BD9">
            <w:pPr>
              <w:spacing w:before="30" w:after="30"/>
              <w:jc w:val="left"/>
              <w:rPr>
                <w:sz w:val="20"/>
                <w:lang w:val="en-US"/>
              </w:rPr>
            </w:pPr>
            <w:r w:rsidRPr="00C64844">
              <w:rPr>
                <w:sz w:val="20"/>
              </w:rPr>
              <w:t>Aplicaciones espaciales y meteorología</w:t>
            </w:r>
          </w:p>
        </w:tc>
      </w:tr>
      <w:tr w:rsidR="0069322D" w:rsidRPr="00C64844" w14:paraId="460695B6" w14:textId="77777777" w:rsidTr="0069322D">
        <w:tc>
          <w:tcPr>
            <w:tcW w:w="1140" w:type="dxa"/>
            <w:tcBorders>
              <w:top w:val="nil"/>
            </w:tcBorders>
          </w:tcPr>
          <w:p w14:paraId="310752EF"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01055E7D"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59B7BA7A" w14:textId="77777777" w:rsidTr="0069322D">
        <w:tc>
          <w:tcPr>
            <w:tcW w:w="1140" w:type="dxa"/>
            <w:shd w:val="clear" w:color="auto" w:fill="auto"/>
          </w:tcPr>
          <w:p w14:paraId="05AA38B8"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6E4EA25D"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5963FBB8" w14:textId="77777777" w:rsidTr="0069322D">
        <w:tc>
          <w:tcPr>
            <w:tcW w:w="1140" w:type="dxa"/>
          </w:tcPr>
          <w:p w14:paraId="7879BB59"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71154E26"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C64844" w14:paraId="3E6BFC6D" w14:textId="77777777" w:rsidTr="0069322D">
        <w:tc>
          <w:tcPr>
            <w:tcW w:w="1140" w:type="dxa"/>
          </w:tcPr>
          <w:p w14:paraId="6BBC9BAE"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3DAD5A3F"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63D73A6C" w14:textId="77777777" w:rsidTr="0069322D">
        <w:tc>
          <w:tcPr>
            <w:tcW w:w="1140" w:type="dxa"/>
          </w:tcPr>
          <w:p w14:paraId="4FBFBDC2"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09DFA55B"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52E91B13"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1A04D5CB" w14:textId="77777777" w:rsidTr="000B4BD9">
        <w:tc>
          <w:tcPr>
            <w:tcW w:w="720" w:type="dxa"/>
          </w:tcPr>
          <w:p w14:paraId="53C07993"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C64844" w14:paraId="4E680E35" w14:textId="77777777" w:rsidTr="00B96572">
        <w:tc>
          <w:tcPr>
            <w:tcW w:w="9360" w:type="dxa"/>
          </w:tcPr>
          <w:p w14:paraId="468A9AF9" w14:textId="57CC8E88"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E145B2">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08F5F999" w14:textId="77777777" w:rsidR="0069322D" w:rsidRPr="00763D08" w:rsidRDefault="0069322D" w:rsidP="0069322D">
      <w:pPr>
        <w:spacing w:before="0"/>
        <w:jc w:val="center"/>
        <w:rPr>
          <w:sz w:val="22"/>
          <w:lang w:val="es-ES_tradnl"/>
        </w:rPr>
      </w:pPr>
    </w:p>
    <w:p w14:paraId="5F751D19"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2AEA42F7" w14:textId="44E9E0DE"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0E2A1C">
        <w:rPr>
          <w:sz w:val="20"/>
          <w:lang w:val="es-ES_tradnl"/>
        </w:rPr>
        <w:t>4</w:t>
      </w:r>
    </w:p>
    <w:p w14:paraId="7817D35F" w14:textId="77777777" w:rsidR="0069322D" w:rsidRPr="00763D08" w:rsidRDefault="0069322D" w:rsidP="0069322D">
      <w:pPr>
        <w:spacing w:before="0" w:after="120"/>
        <w:jc w:val="center"/>
        <w:rPr>
          <w:sz w:val="22"/>
          <w:lang w:val="es-ES_tradnl"/>
        </w:rPr>
      </w:pPr>
    </w:p>
    <w:p w14:paraId="4514D4F4" w14:textId="593D72B1"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0E2A1C">
        <w:rPr>
          <w:sz w:val="20"/>
          <w:lang w:val="es-ES_tradnl"/>
        </w:rPr>
        <w:t>4</w:t>
      </w:r>
    </w:p>
    <w:p w14:paraId="4B3A6EC7"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BB8B5D7" w14:textId="77777777" w:rsidR="007565CC" w:rsidRPr="00F111D6" w:rsidRDefault="007565CC" w:rsidP="00A971A1">
      <w:pPr>
        <w:spacing w:before="160"/>
        <w:rPr>
          <w:i/>
          <w:sz w:val="20"/>
        </w:rPr>
        <w:sectPr w:rsidR="007565CC" w:rsidRPr="00F111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150E40F" w14:textId="77777777" w:rsidR="000E2A1C" w:rsidRDefault="000E2A1C" w:rsidP="000E2A1C">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Pr>
          <w:rStyle w:val="href"/>
          <w:lang w:val="es-ES_tradnl"/>
        </w:rPr>
        <w:t>2042-2</w:t>
      </w:r>
    </w:p>
    <w:p w14:paraId="0749D192" w14:textId="77777777" w:rsidR="000E2A1C" w:rsidRDefault="000E2A1C" w:rsidP="000E2A1C">
      <w:pPr>
        <w:pStyle w:val="Rectitle"/>
        <w:rPr>
          <w:lang w:val="es-ES_tradnl"/>
        </w:rPr>
      </w:pPr>
      <w:r w:rsidRPr="00C525AE">
        <w:rPr>
          <w:lang w:val="es-ES_tradnl"/>
        </w:rPr>
        <w:t xml:space="preserve">Características técnicas y operativas típicas de los sistemas de sonda de radar </w:t>
      </w:r>
      <w:r w:rsidRPr="00C525AE">
        <w:rPr>
          <w:lang w:val="es-ES_tradnl"/>
        </w:rPr>
        <w:br/>
        <w:t>en vehículos espaciales que utilizan la banda 40-50 MHz</w:t>
      </w:r>
    </w:p>
    <w:p w14:paraId="35F97168" w14:textId="77777777" w:rsidR="000E2A1C" w:rsidRPr="00E432D8" w:rsidRDefault="000E2A1C" w:rsidP="000E2A1C">
      <w:pPr>
        <w:pStyle w:val="Recdate"/>
        <w:rPr>
          <w:lang w:val="es-ES_tradnl"/>
        </w:rPr>
      </w:pPr>
      <w:r>
        <w:rPr>
          <w:lang w:val="es-ES_tradnl"/>
        </w:rPr>
        <w:t>(2014-2018-2023)</w:t>
      </w:r>
    </w:p>
    <w:p w14:paraId="3D80726E" w14:textId="77777777" w:rsidR="000E2A1C" w:rsidRPr="00C525AE" w:rsidRDefault="000E2A1C" w:rsidP="00E145B2">
      <w:pPr>
        <w:pStyle w:val="HeadingSum"/>
      </w:pPr>
      <w:r w:rsidRPr="00C525AE">
        <w:t>Cometido</w:t>
      </w:r>
    </w:p>
    <w:p w14:paraId="03B2C307" w14:textId="77777777" w:rsidR="000E2A1C" w:rsidRPr="00C525AE" w:rsidRDefault="000E2A1C" w:rsidP="00E145B2">
      <w:pPr>
        <w:pStyle w:val="Summary"/>
      </w:pPr>
      <w:r w:rsidRPr="00C525AE">
        <w:t xml:space="preserve">Esta Recomendación proporciona las características técnicas y operativas de los sistemas de sonda de radar en vehículos espaciales que funcionan en la </w:t>
      </w:r>
      <w:r>
        <w:t>gama</w:t>
      </w:r>
      <w:r w:rsidRPr="00C525AE">
        <w:t xml:space="preserve"> </w:t>
      </w:r>
      <w:r>
        <w:t>40-50</w:t>
      </w:r>
      <w:r w:rsidRPr="00C525AE">
        <w:t xml:space="preserve"> MHz. Esta información se utilizará para los estudios de compatibilidad.</w:t>
      </w:r>
    </w:p>
    <w:p w14:paraId="7BF08795" w14:textId="77777777" w:rsidR="000E2A1C" w:rsidRPr="00C525AE" w:rsidRDefault="000E2A1C" w:rsidP="000E2A1C">
      <w:pPr>
        <w:pStyle w:val="Headingb"/>
        <w:rPr>
          <w:lang w:val="es-ES_tradnl" w:eastAsia="ar-SA"/>
        </w:rPr>
      </w:pPr>
      <w:r w:rsidRPr="00C525AE">
        <w:rPr>
          <w:lang w:val="es-ES_tradnl" w:eastAsia="ar-SA"/>
        </w:rPr>
        <w:t>Palabras clave</w:t>
      </w:r>
    </w:p>
    <w:p w14:paraId="558E4721" w14:textId="537ACDF2" w:rsidR="000E2A1C" w:rsidRPr="00C525AE" w:rsidRDefault="000E2A1C" w:rsidP="000E2A1C">
      <w:pPr>
        <w:rPr>
          <w:lang w:val="es-ES_tradnl"/>
        </w:rPr>
      </w:pPr>
      <w:r w:rsidRPr="00C525AE">
        <w:rPr>
          <w:lang w:val="es-ES_tradnl"/>
        </w:rPr>
        <w:t>Servicio de exploración de la Tierra por satélite (activo), sensores activos en vehículos espaciales, superficie del lecho glacial, capas subterráneas de dispersión, acuíferos fósiles de la Tierra en entornos desérticos, sistema de sonda de radar superficial (</w:t>
      </w:r>
      <w:r w:rsidRPr="00C525AE">
        <w:rPr>
          <w:i/>
          <w:iCs/>
          <w:lang w:val="es-ES_tradnl"/>
        </w:rPr>
        <w:t xml:space="preserve">Shallow Radar Sounder </w:t>
      </w:r>
      <w:r w:rsidRPr="00C525AE">
        <w:rPr>
          <w:lang w:val="es-ES_tradnl"/>
        </w:rPr>
        <w:t>(SHARAD))</w:t>
      </w:r>
    </w:p>
    <w:p w14:paraId="4E4B9B53" w14:textId="77777777" w:rsidR="000E2A1C" w:rsidRPr="00C525AE" w:rsidRDefault="000E2A1C" w:rsidP="000E2A1C">
      <w:pPr>
        <w:pStyle w:val="Headingb"/>
        <w:rPr>
          <w:lang w:val="es-ES_tradnl" w:eastAsia="ar-SA"/>
        </w:rPr>
      </w:pPr>
      <w:r w:rsidRPr="00C525AE">
        <w:rPr>
          <w:lang w:val="es-ES_tradnl" w:eastAsia="ar-SA"/>
        </w:rPr>
        <w:t>Informes y Recomendaciones del UIT-R conexos</w:t>
      </w:r>
    </w:p>
    <w:p w14:paraId="45928CEE" w14:textId="23E1B265" w:rsidR="000E2A1C" w:rsidRDefault="000E2A1C" w:rsidP="000E2A1C">
      <w:pPr>
        <w:pStyle w:val="Reftext"/>
        <w:rPr>
          <w:lang w:val="es-ES_tradnl"/>
        </w:rPr>
      </w:pPr>
      <w:r w:rsidRPr="00C525AE">
        <w:rPr>
          <w:lang w:val="es-ES_tradnl"/>
        </w:rPr>
        <w:t>Informe UIT-R M.2234 –</w:t>
      </w:r>
      <w:r w:rsidR="006D7A63">
        <w:rPr>
          <w:lang w:val="es-ES_tradnl"/>
        </w:rPr>
        <w:t xml:space="preserve"> </w:t>
      </w:r>
      <w:r w:rsidRPr="00C525AE">
        <w:rPr>
          <w:lang w:val="es-ES_tradnl"/>
        </w:rPr>
        <w:t>Viabilidad de la compartición de subbandas entre los radares oceanográficos que funcionan en el servicio de radiolocalización y los servicios fijos y móviles en la banda 3-50 MHz</w:t>
      </w:r>
    </w:p>
    <w:p w14:paraId="22354EC5" w14:textId="74D46A46" w:rsidR="000E2A1C" w:rsidRPr="0001494E" w:rsidRDefault="000E2A1C" w:rsidP="000E2A1C">
      <w:pPr>
        <w:pStyle w:val="Reftext"/>
      </w:pPr>
      <w:r w:rsidRPr="0001494E">
        <w:t>Informe UIT-R RS.2536 –</w:t>
      </w:r>
      <w:r w:rsidR="006D7A63">
        <w:t xml:space="preserve"> </w:t>
      </w:r>
      <w:r w:rsidRPr="0001494E">
        <w:t>Estudios de compa</w:t>
      </w:r>
      <w:r>
        <w:t>rtición y compatibilidad relativos a sondas de radar en vehículos espaciales en la banda de frecuencias 40-50 MHz</w:t>
      </w:r>
    </w:p>
    <w:p w14:paraId="721B99E7" w14:textId="77777777" w:rsidR="000E2A1C" w:rsidRPr="00C525AE" w:rsidRDefault="000E2A1C" w:rsidP="000E2A1C">
      <w:pPr>
        <w:pStyle w:val="Normalaftertitle"/>
        <w:rPr>
          <w:lang w:val="es-ES_tradnl"/>
        </w:rPr>
      </w:pPr>
      <w:r w:rsidRPr="00C525AE">
        <w:rPr>
          <w:lang w:val="es-ES_tradnl"/>
        </w:rPr>
        <w:t>La Asamblea de Radiocomunicaciones de la UIT,</w:t>
      </w:r>
    </w:p>
    <w:p w14:paraId="27EC37EB" w14:textId="77777777" w:rsidR="000E2A1C" w:rsidRPr="004870EA" w:rsidRDefault="000E2A1C" w:rsidP="000E2A1C">
      <w:pPr>
        <w:pStyle w:val="Call"/>
      </w:pPr>
      <w:r w:rsidRPr="00C525AE">
        <w:rPr>
          <w:lang w:val="es-ES_tradnl"/>
        </w:rPr>
        <w:t>considerando</w:t>
      </w:r>
    </w:p>
    <w:p w14:paraId="2C29F5BC" w14:textId="77777777" w:rsidR="000E2A1C" w:rsidRPr="00C525AE" w:rsidRDefault="000E2A1C" w:rsidP="000E2A1C">
      <w:pPr>
        <w:rPr>
          <w:lang w:val="es-ES_tradnl"/>
        </w:rPr>
      </w:pPr>
      <w:r w:rsidRPr="00C525AE">
        <w:rPr>
          <w:i/>
          <w:iCs/>
          <w:lang w:val="es-ES_tradnl"/>
        </w:rPr>
        <w:t>a)</w:t>
      </w:r>
      <w:r w:rsidRPr="00C525AE">
        <w:rPr>
          <w:lang w:val="es-ES_tradnl"/>
        </w:rPr>
        <w:tab/>
        <w:t>que las sondas de radar en vehículos espaciales pueden proporcionar cartografías de radar de las capas de dispersión subterráneas para la localización de depósitos de agua/hielo utilizando sensores activos en vehículos espaciales;</w:t>
      </w:r>
    </w:p>
    <w:p w14:paraId="60C4EC16" w14:textId="77777777" w:rsidR="000E2A1C" w:rsidRPr="00C525AE" w:rsidRDefault="000E2A1C" w:rsidP="000E2A1C">
      <w:pPr>
        <w:rPr>
          <w:lang w:val="es-ES_tradnl"/>
        </w:rPr>
      </w:pPr>
      <w:r w:rsidRPr="00C525AE">
        <w:rPr>
          <w:i/>
          <w:iCs/>
          <w:lang w:val="es-ES_tradnl"/>
        </w:rPr>
        <w:t>b)</w:t>
      </w:r>
      <w:r w:rsidRPr="00C525AE">
        <w:rPr>
          <w:lang w:val="es-ES_tradnl"/>
        </w:rPr>
        <w:tab/>
        <w:t xml:space="preserve">que los objetivos científicos de la misión son: 1) entender el espesor global, la estructura interna y la estabilidad térmica de las capas de hielo de la Tierra </w:t>
      </w:r>
      <w:r>
        <w:rPr>
          <w:lang w:val="es-ES_tradnl"/>
        </w:rPr>
        <w:t xml:space="preserve">(por ejemplo, en </w:t>
      </w:r>
      <w:r w:rsidRPr="00C525AE">
        <w:rPr>
          <w:lang w:val="es-ES_tradnl"/>
        </w:rPr>
        <w:t xml:space="preserve">Groenlandia y </w:t>
      </w:r>
      <w:r>
        <w:rPr>
          <w:lang w:val="es-ES_tradnl"/>
        </w:rPr>
        <w:t xml:space="preserve">en </w:t>
      </w:r>
      <w:r w:rsidRPr="00C525AE">
        <w:rPr>
          <w:lang w:val="es-ES_tradnl"/>
        </w:rPr>
        <w:t>la</w:t>
      </w:r>
      <w:r>
        <w:rPr>
          <w:lang w:val="es-ES_tradnl"/>
        </w:rPr>
        <w:t> </w:t>
      </w:r>
      <w:r w:rsidRPr="00C525AE">
        <w:rPr>
          <w:lang w:val="es-ES_tradnl"/>
        </w:rPr>
        <w:t>Antártica</w:t>
      </w:r>
      <w:r>
        <w:rPr>
          <w:lang w:val="es-ES_tradnl"/>
        </w:rPr>
        <w:t>)</w:t>
      </w:r>
      <w:r w:rsidRPr="00C525AE">
        <w:rPr>
          <w:lang w:val="es-ES_tradnl"/>
        </w:rPr>
        <w:t xml:space="preserve"> como parámetros observables del cambio climático de la Tierra, y 2) entender la aparición, la distribución y la dinámica de los acuíferos superficiales de la Tierra en entornos desérticos</w:t>
      </w:r>
      <w:r>
        <w:rPr>
          <w:lang w:val="es-ES_tradnl"/>
        </w:rPr>
        <w:t xml:space="preserve"> (por ejemplo, en</w:t>
      </w:r>
      <w:r w:rsidRPr="00C525AE">
        <w:rPr>
          <w:lang w:val="es-ES_tradnl"/>
        </w:rPr>
        <w:t xml:space="preserve"> el norte de África y </w:t>
      </w:r>
      <w:r>
        <w:rPr>
          <w:lang w:val="es-ES_tradnl"/>
        </w:rPr>
        <w:t xml:space="preserve">en </w:t>
      </w:r>
      <w:r w:rsidRPr="00C525AE">
        <w:rPr>
          <w:lang w:val="es-ES_tradnl"/>
        </w:rPr>
        <w:t>la Península Arábiga</w:t>
      </w:r>
      <w:r>
        <w:rPr>
          <w:lang w:val="es-ES_tradnl"/>
        </w:rPr>
        <w:t>)</w:t>
      </w:r>
      <w:r w:rsidRPr="00C525AE">
        <w:rPr>
          <w:lang w:val="es-ES_tradnl"/>
        </w:rPr>
        <w:t xml:space="preserve"> como elementos clave para comprender los recientes cambios paleoclimáticos;</w:t>
      </w:r>
    </w:p>
    <w:p w14:paraId="7DA1EA12" w14:textId="77777777" w:rsidR="000E2A1C" w:rsidRPr="00C525AE" w:rsidRDefault="000E2A1C" w:rsidP="000E2A1C">
      <w:pPr>
        <w:rPr>
          <w:lang w:val="es-ES_tradnl"/>
        </w:rPr>
      </w:pPr>
      <w:r w:rsidRPr="00C525AE">
        <w:rPr>
          <w:i/>
          <w:iCs/>
          <w:lang w:val="es-ES_tradnl"/>
        </w:rPr>
        <w:t>c)</w:t>
      </w:r>
      <w:r w:rsidRPr="00C525AE">
        <w:rPr>
          <w:lang w:val="es-ES_tradnl"/>
        </w:rPr>
        <w:tab/>
        <w:t>que es necesario realizar mediciones de reflectividad de las capas de dispersión subterráneas, en profundidades de 10 m a 100 m</w:t>
      </w:r>
      <w:r>
        <w:rPr>
          <w:lang w:val="es-ES_tradnl"/>
        </w:rPr>
        <w:t xml:space="preserve"> para acuíferos poco profundos y conductos de aguas subterráneas, y del orden de 5km para la topografía de la interfaz basas y el espesor de la capa de hielo</w:t>
      </w:r>
      <w:r w:rsidRPr="00C525AE">
        <w:rPr>
          <w:lang w:val="es-ES_tradnl"/>
        </w:rPr>
        <w:t>;</w:t>
      </w:r>
    </w:p>
    <w:p w14:paraId="479DABD3" w14:textId="77777777" w:rsidR="000E2A1C" w:rsidRPr="00C525AE" w:rsidRDefault="000E2A1C" w:rsidP="000E2A1C">
      <w:pPr>
        <w:spacing w:line="0" w:lineRule="atLeast"/>
        <w:rPr>
          <w:lang w:val="es-ES_tradnl"/>
        </w:rPr>
      </w:pPr>
      <w:r w:rsidRPr="00C525AE">
        <w:rPr>
          <w:i/>
          <w:iCs/>
          <w:lang w:val="es-ES_tradnl"/>
        </w:rPr>
        <w:t>d)</w:t>
      </w:r>
      <w:r w:rsidRPr="00C525AE">
        <w:rPr>
          <w:lang w:val="es-ES_tradnl"/>
        </w:rPr>
        <w:tab/>
        <w:t>que la profundidad de penetración en las capas de dispersión subterráneas es, para longitudes de onda de microondas y de manera aproximada, inversamente proporcional a la frecuencia;</w:t>
      </w:r>
    </w:p>
    <w:p w14:paraId="06D59E17" w14:textId="77777777" w:rsidR="000E2A1C" w:rsidRPr="00C525AE" w:rsidRDefault="000E2A1C" w:rsidP="000E2A1C">
      <w:pPr>
        <w:spacing w:line="0" w:lineRule="atLeast"/>
        <w:rPr>
          <w:lang w:val="es-ES_tradnl"/>
        </w:rPr>
      </w:pPr>
      <w:r w:rsidRPr="00C525AE">
        <w:rPr>
          <w:i/>
          <w:iCs/>
          <w:lang w:val="es-ES_tradnl"/>
        </w:rPr>
        <w:t>e)</w:t>
      </w:r>
      <w:r w:rsidRPr="00C525AE">
        <w:rPr>
          <w:lang w:val="es-ES_tradnl"/>
        </w:rPr>
        <w:tab/>
        <w:t xml:space="preserve">que a nivel mundial, las mediciones </w:t>
      </w:r>
      <w:r>
        <w:rPr>
          <w:lang w:val="es-ES_tradnl"/>
        </w:rPr>
        <w:t xml:space="preserve">regulares </w:t>
      </w:r>
      <w:r w:rsidRPr="00C525AE">
        <w:rPr>
          <w:lang w:val="es-ES_tradnl"/>
        </w:rPr>
        <w:t>de los depósitos de agua</w:t>
      </w:r>
      <w:r>
        <w:rPr>
          <w:lang w:val="es-ES_tradnl"/>
        </w:rPr>
        <w:t>/hielo</w:t>
      </w:r>
      <w:r w:rsidRPr="00C525AE">
        <w:rPr>
          <w:lang w:val="es-ES_tradnl"/>
        </w:rPr>
        <w:t xml:space="preserve"> subterráneos requieren la utilización de sensores activos en vehículos espaciales;</w:t>
      </w:r>
    </w:p>
    <w:p w14:paraId="4C1E8310" w14:textId="77777777" w:rsidR="000E2A1C" w:rsidRPr="00C525AE" w:rsidRDefault="000E2A1C" w:rsidP="000E2A1C">
      <w:pPr>
        <w:rPr>
          <w:lang w:val="es-ES_tradnl"/>
        </w:rPr>
      </w:pPr>
      <w:r w:rsidRPr="00C525AE">
        <w:rPr>
          <w:i/>
          <w:iCs/>
          <w:lang w:val="es-ES_tradnl"/>
        </w:rPr>
        <w:t>f)</w:t>
      </w:r>
      <w:r w:rsidRPr="00C525AE">
        <w:rPr>
          <w:lang w:val="es-ES_tradnl"/>
        </w:rPr>
        <w:tab/>
        <w:t>que para cumplir con todos los requisitos de las sondas de radar en vehículos espaciales es preferible utilizar la gama de frecuencia 40-50 MHz;</w:t>
      </w:r>
    </w:p>
    <w:p w14:paraId="4996EB2E" w14:textId="77777777" w:rsidR="000E2A1C" w:rsidRPr="00C525AE" w:rsidRDefault="000E2A1C" w:rsidP="000E2A1C">
      <w:pPr>
        <w:rPr>
          <w:lang w:val="es-ES_tradnl"/>
        </w:rPr>
      </w:pPr>
      <w:r w:rsidRPr="00C525AE">
        <w:rPr>
          <w:i/>
          <w:iCs/>
          <w:lang w:val="es-ES_tradnl"/>
        </w:rPr>
        <w:t>g)</w:t>
      </w:r>
      <w:r w:rsidRPr="00C525AE">
        <w:rPr>
          <w:lang w:val="es-ES_tradnl"/>
        </w:rPr>
        <w:tab/>
        <w:t>que la banda de frecuencias 40-50 MHz está atribuida a título primario a los servicios fijo, móvil y de radiodifusión;</w:t>
      </w:r>
    </w:p>
    <w:p w14:paraId="3DC932E8" w14:textId="77777777" w:rsidR="000E2A1C" w:rsidRPr="00C525AE" w:rsidRDefault="000E2A1C" w:rsidP="000E2A1C">
      <w:pPr>
        <w:rPr>
          <w:lang w:val="es-ES_tradnl"/>
        </w:rPr>
      </w:pPr>
      <w:r w:rsidRPr="00C525AE">
        <w:rPr>
          <w:i/>
          <w:iCs/>
          <w:lang w:val="es-ES_tradnl"/>
        </w:rPr>
        <w:lastRenderedPageBreak/>
        <w:t>h)</w:t>
      </w:r>
      <w:r w:rsidRPr="00C525AE">
        <w:rPr>
          <w:lang w:val="es-ES_tradnl"/>
        </w:rPr>
        <w:tab/>
        <w:t xml:space="preserve">que la utilización de la banda de frecuencias </w:t>
      </w:r>
      <w:r w:rsidRPr="00C525AE">
        <w:rPr>
          <w:lang w:val="es-ES_tradnl" w:eastAsia="zh-CN"/>
        </w:rPr>
        <w:t>40,98</w:t>
      </w:r>
      <w:r w:rsidRPr="00C525AE">
        <w:rPr>
          <w:lang w:val="es-ES_tradnl" w:eastAsia="zh-CN"/>
        </w:rPr>
        <w:noBreakHyphen/>
        <w:t>41,015 MHz por el servicio de investigación espacial es a título secundario</w:t>
      </w:r>
      <w:r w:rsidRPr="00C525AE">
        <w:rPr>
          <w:lang w:val="es-ES_tradnl"/>
        </w:rPr>
        <w:t>;</w:t>
      </w:r>
    </w:p>
    <w:p w14:paraId="6AB2B709" w14:textId="77777777" w:rsidR="000E2A1C" w:rsidRPr="00C525AE" w:rsidRDefault="000E2A1C" w:rsidP="000E2A1C">
      <w:pPr>
        <w:rPr>
          <w:lang w:val="es-ES_tradnl"/>
        </w:rPr>
      </w:pPr>
      <w:r w:rsidRPr="00C525AE">
        <w:rPr>
          <w:i/>
          <w:iCs/>
          <w:lang w:val="es-ES_tradnl"/>
        </w:rPr>
        <w:t>i)</w:t>
      </w:r>
      <w:r w:rsidRPr="00C525AE">
        <w:rPr>
          <w:i/>
          <w:iCs/>
          <w:lang w:val="es-ES_tradnl"/>
        </w:rPr>
        <w:tab/>
      </w:r>
      <w:r w:rsidRPr="00C525AE">
        <w:rPr>
          <w:lang w:val="es-ES_tradnl"/>
        </w:rPr>
        <w:t xml:space="preserve">que las notas de los países en el Cuadro de Atribución de Frecuencias para la gama de frecuencias de 40-50 MHz proporcionan atribuciones a título primario </w:t>
      </w:r>
      <w:r>
        <w:rPr>
          <w:lang w:val="es-ES_tradnl"/>
        </w:rPr>
        <w:t xml:space="preserve">o secundario </w:t>
      </w:r>
      <w:r w:rsidRPr="00C525AE">
        <w:rPr>
          <w:lang w:val="es-ES_tradnl"/>
        </w:rPr>
        <w:t>a los servicios de radiodifusión, fijo y móvil, radionavegación aeronáutica y radiolocalización en ciertas partes del mundo;</w:t>
      </w:r>
    </w:p>
    <w:p w14:paraId="6524BC6B" w14:textId="77777777" w:rsidR="000E2A1C" w:rsidRDefault="000E2A1C" w:rsidP="000E2A1C">
      <w:pPr>
        <w:rPr>
          <w:lang w:val="es-ES_tradnl"/>
        </w:rPr>
      </w:pPr>
      <w:r w:rsidRPr="00C525AE">
        <w:rPr>
          <w:i/>
          <w:iCs/>
          <w:lang w:val="es-ES_tradnl"/>
        </w:rPr>
        <w:t>j)</w:t>
      </w:r>
      <w:r w:rsidRPr="00C525AE">
        <w:rPr>
          <w:lang w:val="es-ES_tradnl"/>
        </w:rPr>
        <w:tab/>
        <w:t xml:space="preserve">que </w:t>
      </w:r>
      <w:r>
        <w:rPr>
          <w:lang w:val="es-ES_tradnl"/>
        </w:rPr>
        <w:t>el Cuado de Atribución de Frecuencias para las bandas adyacentes a la gama de frecuencias 40-50 MHz proporciona atribuciones primarias y secundarias para el servicio de aficionados;</w:t>
      </w:r>
    </w:p>
    <w:p w14:paraId="4D5D4124" w14:textId="77777777" w:rsidR="000E2A1C" w:rsidRPr="00C525AE" w:rsidRDefault="000E2A1C" w:rsidP="000E2A1C">
      <w:pPr>
        <w:rPr>
          <w:lang w:val="es-ES_tradnl"/>
        </w:rPr>
      </w:pPr>
      <w:r>
        <w:rPr>
          <w:i/>
          <w:iCs/>
          <w:lang w:val="es-ES_tradnl"/>
        </w:rPr>
        <w:t>k</w:t>
      </w:r>
      <w:r w:rsidRPr="00C525AE">
        <w:rPr>
          <w:i/>
          <w:iCs/>
          <w:lang w:val="es-ES_tradnl"/>
        </w:rPr>
        <w:t>)</w:t>
      </w:r>
      <w:r w:rsidRPr="00C525AE">
        <w:rPr>
          <w:lang w:val="es-ES_tradnl"/>
        </w:rPr>
        <w:tab/>
      </w:r>
      <w:r>
        <w:rPr>
          <w:lang w:val="es-ES_tradnl"/>
        </w:rPr>
        <w:t xml:space="preserve">que </w:t>
      </w:r>
      <w:r w:rsidRPr="00C525AE">
        <w:rPr>
          <w:lang w:val="es-ES_tradnl"/>
        </w:rPr>
        <w:t xml:space="preserve">el funcionamiento de sondas de radar en vehículos espaciales </w:t>
      </w:r>
      <w:r>
        <w:rPr>
          <w:lang w:val="es-ES_tradnl"/>
        </w:rPr>
        <w:t xml:space="preserve">fuera de las atribuciones al SETS (activo) </w:t>
      </w:r>
      <w:r w:rsidRPr="00C525AE">
        <w:rPr>
          <w:lang w:val="es-ES_tradnl"/>
        </w:rPr>
        <w:t xml:space="preserve">deberá hacerse, de conformidad con el número </w:t>
      </w:r>
      <w:r w:rsidRPr="00C525AE">
        <w:rPr>
          <w:b/>
          <w:bCs/>
          <w:lang w:val="es-ES_tradnl"/>
        </w:rPr>
        <w:t>4.4</w:t>
      </w:r>
      <w:r w:rsidRPr="00C525AE">
        <w:rPr>
          <w:lang w:val="es-ES_tradnl"/>
        </w:rPr>
        <w:t xml:space="preserve"> del Reglamento de Radiocomunicaciones;</w:t>
      </w:r>
    </w:p>
    <w:p w14:paraId="0D98EDFA" w14:textId="77777777" w:rsidR="000E2A1C" w:rsidRPr="00C525AE" w:rsidRDefault="000E2A1C" w:rsidP="000E2A1C">
      <w:pPr>
        <w:rPr>
          <w:lang w:val="es-ES_tradnl"/>
        </w:rPr>
      </w:pPr>
      <w:r>
        <w:rPr>
          <w:i/>
          <w:iCs/>
          <w:lang w:val="es-ES_tradnl"/>
        </w:rPr>
        <w:t>l</w:t>
      </w:r>
      <w:r w:rsidRPr="00C525AE">
        <w:rPr>
          <w:i/>
          <w:iCs/>
          <w:lang w:val="es-ES_tradnl"/>
        </w:rPr>
        <w:t>)</w:t>
      </w:r>
      <w:r w:rsidRPr="00C525AE">
        <w:rPr>
          <w:lang w:val="es-ES_tradnl"/>
        </w:rPr>
        <w:tab/>
        <w:t>que para sondas de radar en vehículos espaciales es suficiente una anchura de banda de 10 MHz;</w:t>
      </w:r>
    </w:p>
    <w:p w14:paraId="3EEE58E0" w14:textId="77777777" w:rsidR="000E2A1C" w:rsidRPr="00C525AE" w:rsidRDefault="000E2A1C" w:rsidP="000E2A1C">
      <w:pPr>
        <w:keepNext/>
        <w:keepLines/>
        <w:rPr>
          <w:lang w:val="es-ES_tradnl"/>
        </w:rPr>
      </w:pPr>
      <w:r>
        <w:rPr>
          <w:i/>
          <w:iCs/>
          <w:lang w:val="es-ES_tradnl"/>
        </w:rPr>
        <w:t>m</w:t>
      </w:r>
      <w:r w:rsidRPr="00C525AE">
        <w:rPr>
          <w:i/>
          <w:iCs/>
          <w:lang w:val="es-ES_tradnl"/>
        </w:rPr>
        <w:t>)</w:t>
      </w:r>
      <w:r w:rsidRPr="00C525AE">
        <w:rPr>
          <w:lang w:val="es-ES_tradnl"/>
        </w:rPr>
        <w:tab/>
        <w:t>que se han identificado limitaciones al funcionamiento como se describe en el Anexo 1,</w:t>
      </w:r>
    </w:p>
    <w:p w14:paraId="58D46709" w14:textId="77777777" w:rsidR="000E2A1C" w:rsidRPr="00C525AE" w:rsidRDefault="000E2A1C" w:rsidP="000E2A1C">
      <w:pPr>
        <w:pStyle w:val="Call"/>
        <w:rPr>
          <w:lang w:val="es-ES_tradnl"/>
        </w:rPr>
      </w:pPr>
      <w:r w:rsidRPr="00C525AE">
        <w:rPr>
          <w:lang w:val="es-ES_tradnl"/>
        </w:rPr>
        <w:t>recomienda</w:t>
      </w:r>
    </w:p>
    <w:p w14:paraId="6781A00E" w14:textId="11C34496" w:rsidR="000E2A1C" w:rsidRDefault="000E2A1C" w:rsidP="000E2A1C">
      <w:pPr>
        <w:rPr>
          <w:lang w:val="es-ES_tradnl"/>
        </w:rPr>
      </w:pPr>
      <w:r w:rsidRPr="00C525AE">
        <w:rPr>
          <w:lang w:val="es-ES_tradnl"/>
        </w:rPr>
        <w:t>que se utilicen las características del Cuadro</w:t>
      </w:r>
      <w:r w:rsidR="00E145B2">
        <w:rPr>
          <w:lang w:val="es-ES_tradnl"/>
        </w:rPr>
        <w:t> </w:t>
      </w:r>
      <w:r w:rsidRPr="00C525AE">
        <w:rPr>
          <w:lang w:val="es-ES_tradnl"/>
        </w:rPr>
        <w:t>1 del Anexo para sus estudios de</w:t>
      </w:r>
      <w:r>
        <w:rPr>
          <w:lang w:val="es-ES_tradnl"/>
        </w:rPr>
        <w:t xml:space="preserve"> compartición y</w:t>
      </w:r>
      <w:r w:rsidRPr="00C525AE">
        <w:rPr>
          <w:lang w:val="es-ES_tradnl"/>
        </w:rPr>
        <w:t xml:space="preserve"> compatibilidad</w:t>
      </w:r>
      <w:r>
        <w:rPr>
          <w:lang w:val="es-ES_tradnl"/>
        </w:rPr>
        <w:t xml:space="preserve"> relativos a dondas de radar a bordo de vehículos especiales en la gama de frecuencias 40-50 MHz.</w:t>
      </w:r>
    </w:p>
    <w:p w14:paraId="2D323970" w14:textId="77777777" w:rsidR="00E145B2" w:rsidRDefault="00E145B2" w:rsidP="000E2A1C">
      <w:pPr>
        <w:rPr>
          <w:lang w:val="es-ES_tradnl"/>
        </w:rPr>
      </w:pPr>
    </w:p>
    <w:p w14:paraId="0E9D8174" w14:textId="77777777" w:rsidR="00E145B2" w:rsidRPr="00C525AE" w:rsidRDefault="00E145B2" w:rsidP="000E2A1C">
      <w:pPr>
        <w:rPr>
          <w:lang w:val="es-ES_tradnl"/>
        </w:rPr>
      </w:pPr>
    </w:p>
    <w:p w14:paraId="160F577F" w14:textId="77777777" w:rsidR="000E2A1C" w:rsidRPr="00C525AE" w:rsidRDefault="000E2A1C" w:rsidP="000E2A1C">
      <w:pPr>
        <w:pStyle w:val="AnnexNoTitle"/>
        <w:rPr>
          <w:lang w:val="es-ES_tradnl"/>
        </w:rPr>
      </w:pPr>
      <w:r w:rsidRPr="00C525AE">
        <w:rPr>
          <w:lang w:val="es-ES_tradnl" w:eastAsia="zh-CN"/>
        </w:rPr>
        <w:t>Anexo</w:t>
      </w:r>
      <w:r w:rsidRPr="00C525AE">
        <w:rPr>
          <w:lang w:val="es-ES_tradnl" w:eastAsia="zh-CN"/>
        </w:rPr>
        <w:br/>
      </w:r>
      <w:r w:rsidRPr="00C525AE">
        <w:rPr>
          <w:lang w:val="es-ES_tradnl" w:eastAsia="zh-CN"/>
        </w:rPr>
        <w:br/>
      </w:r>
      <w:r w:rsidRPr="00C525AE">
        <w:rPr>
          <w:lang w:val="es-ES_tradnl"/>
        </w:rPr>
        <w:t xml:space="preserve">Características técnicas y operativas típicas de los sistemas de sonda </w:t>
      </w:r>
      <w:r w:rsidRPr="00C525AE">
        <w:rPr>
          <w:lang w:val="es-ES_tradnl"/>
        </w:rPr>
        <w:br/>
        <w:t>de radar en vehículos espaciales que utilizan la banda 40-50 MHz</w:t>
      </w:r>
    </w:p>
    <w:p w14:paraId="659C6706" w14:textId="77777777" w:rsidR="000E2A1C" w:rsidRPr="00C525AE" w:rsidRDefault="000E2A1C" w:rsidP="000E2A1C">
      <w:pPr>
        <w:pStyle w:val="Heading1"/>
        <w:rPr>
          <w:lang w:val="es-ES_tradnl"/>
        </w:rPr>
      </w:pPr>
      <w:r w:rsidRPr="00C525AE">
        <w:rPr>
          <w:lang w:val="es-ES_tradnl"/>
        </w:rPr>
        <w:t>1</w:t>
      </w:r>
      <w:r w:rsidRPr="00C525AE">
        <w:rPr>
          <w:lang w:val="es-ES_tradnl"/>
        </w:rPr>
        <w:tab/>
        <w:t>Introducción</w:t>
      </w:r>
    </w:p>
    <w:p w14:paraId="3C293163" w14:textId="77777777" w:rsidR="000E2A1C" w:rsidRPr="00C525AE" w:rsidRDefault="000E2A1C" w:rsidP="000E2A1C">
      <w:pPr>
        <w:rPr>
          <w:lang w:val="es-ES_tradnl" w:eastAsia="zh-CN"/>
        </w:rPr>
      </w:pPr>
      <w:r w:rsidRPr="00C525AE">
        <w:rPr>
          <w:lang w:val="es-ES_tradnl" w:eastAsia="zh-CN"/>
        </w:rPr>
        <w:t>Existe un interés entre los climatólogos por la teledetección en las bandas cercanas a 40-50 MHz para su uso en mediciones a distancia bajo la superficie de la Tierra y la obtención de cartografías de radar de las capas subterráneas de dispersión con el objetivo de localizar depósitos de agua/hielo y de estudiar las superficies bajo el hielo de los lechos glaciales, mediante la utilización de sensores activos en vehículos espaciales. Este Anexo presenta los argumentos para la selección de las bandas de frecuencias preferidas, y las características técnicas y de funcionamiento típicas.</w:t>
      </w:r>
    </w:p>
    <w:p w14:paraId="13588580" w14:textId="77777777" w:rsidR="000E2A1C" w:rsidRPr="00C525AE" w:rsidRDefault="000E2A1C" w:rsidP="000E2A1C">
      <w:pPr>
        <w:rPr>
          <w:lang w:val="es-ES_tradnl" w:eastAsia="zh-CN"/>
        </w:rPr>
      </w:pPr>
      <w:r w:rsidRPr="00C525AE">
        <w:rPr>
          <w:lang w:val="es-ES_tradnl" w:eastAsia="zh-CN"/>
        </w:rPr>
        <w:t>Se describen las características técnicas y de funcionamiento de un sensor activo a bordo de un vehículo espacial que funciona en la gama de frecuencias 40-50 MHz</w:t>
      </w:r>
      <w:r>
        <w:rPr>
          <w:lang w:val="es-ES_tradnl" w:eastAsia="zh-CN"/>
        </w:rPr>
        <w:t>.</w:t>
      </w:r>
    </w:p>
    <w:p w14:paraId="46062D82" w14:textId="77777777" w:rsidR="000E2A1C" w:rsidRPr="00C525AE" w:rsidRDefault="000E2A1C" w:rsidP="000E2A1C">
      <w:pPr>
        <w:pStyle w:val="Heading1"/>
        <w:rPr>
          <w:lang w:val="es-ES_tradnl"/>
        </w:rPr>
      </w:pPr>
      <w:r w:rsidRPr="00C525AE">
        <w:rPr>
          <w:lang w:val="es-ES_tradnl"/>
        </w:rPr>
        <w:t>2</w:t>
      </w:r>
      <w:r w:rsidRPr="00C525AE">
        <w:rPr>
          <w:lang w:val="es-ES_tradnl"/>
        </w:rPr>
        <w:tab/>
        <w:t>Argumentos para la selección de una banda de frecuencias</w:t>
      </w:r>
    </w:p>
    <w:p w14:paraId="760C9BEE" w14:textId="77777777" w:rsidR="000E2A1C" w:rsidRPr="00C525AE" w:rsidRDefault="000E2A1C" w:rsidP="000E2A1C">
      <w:pPr>
        <w:rPr>
          <w:lang w:val="es-ES_tradnl" w:eastAsia="zh-CN"/>
        </w:rPr>
      </w:pPr>
      <w:r w:rsidRPr="00C525AE">
        <w:rPr>
          <w:lang w:val="es-ES_tradnl" w:eastAsia="zh-CN"/>
        </w:rPr>
        <w:t>Las razones para una atribución de frecuencias entre 40 y 50 MHz se basan en los siguientes criterios de selección: penetración en la superficie, escala de longitud de la observación, región del modelo de dispersión electromagnética, y trabajos anteriores.</w:t>
      </w:r>
    </w:p>
    <w:p w14:paraId="5CC6F325" w14:textId="77777777" w:rsidR="000E2A1C" w:rsidRPr="00C525AE" w:rsidRDefault="000E2A1C" w:rsidP="000E2A1C">
      <w:pPr>
        <w:pStyle w:val="Heading2"/>
        <w:rPr>
          <w:lang w:val="es-ES_tradnl"/>
        </w:rPr>
      </w:pPr>
      <w:r w:rsidRPr="00C525AE">
        <w:rPr>
          <w:lang w:val="es-ES_tradnl"/>
        </w:rPr>
        <w:lastRenderedPageBreak/>
        <w:t>2.1</w:t>
      </w:r>
      <w:r w:rsidRPr="00C525AE">
        <w:rPr>
          <w:lang w:val="es-ES_tradnl"/>
        </w:rPr>
        <w:tab/>
        <w:t>Penetración en la superficie</w:t>
      </w:r>
    </w:p>
    <w:p w14:paraId="576AABAE" w14:textId="77777777" w:rsidR="000E2A1C" w:rsidRPr="00C525AE" w:rsidRDefault="000E2A1C" w:rsidP="000E2A1C">
      <w:pPr>
        <w:rPr>
          <w:lang w:val="es-ES_tradnl" w:eastAsia="zh-CN"/>
        </w:rPr>
      </w:pPr>
      <w:r w:rsidRPr="00C525AE">
        <w:rPr>
          <w:lang w:val="es-ES_tradnl" w:eastAsia="zh-CN"/>
        </w:rPr>
        <w:t xml:space="preserve">La penetración de una onda de radar incidente es normalmente varias decenas de veces la longitud de onda. Con las condiciones adecuadas de longitud de onda y de composición del medio dispersor, las ondas radioeléctricas pueden penetrar fácilmente los materiales dieléctricos que componen la superficie y la cobertura de la Tierra. Una estimación cuantitativa de esta profundidad </w:t>
      </w:r>
      <w:r w:rsidRPr="00C525AE">
        <w:rPr>
          <w:szCs w:val="24"/>
          <w:lang w:val="es-ES_tradnl" w:eastAsia="zh-CN"/>
        </w:rPr>
        <w:sym w:font="Symbol" w:char="F064"/>
      </w:r>
      <w:r w:rsidRPr="00C525AE">
        <w:rPr>
          <w:i/>
          <w:iCs/>
          <w:vertAlign w:val="subscript"/>
          <w:lang w:val="es-ES_tradnl" w:eastAsia="zh-CN"/>
        </w:rPr>
        <w:t>p</w:t>
      </w:r>
      <w:r w:rsidRPr="00C525AE">
        <w:rPr>
          <w:lang w:val="es-ES_tradnl" w:eastAsia="zh-CN"/>
        </w:rPr>
        <w:t xml:space="preserve"> viene dada por:</w:t>
      </w:r>
    </w:p>
    <w:p w14:paraId="324918DD" w14:textId="77777777" w:rsidR="000E2A1C" w:rsidRPr="00C525AE" w:rsidRDefault="000E2A1C" w:rsidP="000E2A1C">
      <w:pPr>
        <w:pStyle w:val="Equation"/>
        <w:rPr>
          <w:rFonts w:ascii="Times" w:hAnsi="Times"/>
          <w:lang w:val="es-ES_tradnl" w:eastAsia="zh-CN"/>
        </w:rPr>
      </w:pPr>
      <w:r w:rsidRPr="00C525AE">
        <w:rPr>
          <w:rFonts w:ascii="Times" w:hAnsi="Times"/>
          <w:lang w:val="es-ES_tradnl" w:eastAsia="zh-CN"/>
        </w:rPr>
        <w:tab/>
      </w:r>
      <w:r w:rsidRPr="00C525AE">
        <w:rPr>
          <w:rFonts w:ascii="Times" w:hAnsi="Times"/>
          <w:lang w:val="es-ES_tradnl" w:eastAsia="zh-CN"/>
        </w:rPr>
        <w:tab/>
      </w:r>
      <w:r w:rsidRPr="00C525AE">
        <w:rPr>
          <w:position w:val="-24"/>
          <w:lang w:val="es-ES_tradnl" w:eastAsia="zh-CN"/>
        </w:rPr>
        <w:object w:dxaOrig="1260" w:dyaOrig="680" w14:anchorId="5ED0F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35.55pt" o:ole="">
            <v:imagedata r:id="rId14" o:title=""/>
          </v:shape>
          <o:OLEObject Type="Embed" ProgID="Equation.3" ShapeID="_x0000_i1025" DrawAspect="Content" ObjectID="_1792331106" r:id="rId15"/>
        </w:object>
      </w:r>
      <w:r w:rsidRPr="00C525AE">
        <w:rPr>
          <w:rFonts w:ascii="Times" w:hAnsi="Times"/>
          <w:lang w:val="es-ES_tradnl" w:eastAsia="zh-CN"/>
        </w:rPr>
        <w:tab/>
        <w:t>(1)</w:t>
      </w:r>
    </w:p>
    <w:p w14:paraId="394BAA48" w14:textId="77777777" w:rsidR="000E2A1C" w:rsidRPr="00C525AE" w:rsidRDefault="000E2A1C" w:rsidP="000E2A1C">
      <w:pPr>
        <w:keepNext/>
        <w:keepLines/>
        <w:rPr>
          <w:lang w:val="es-ES_tradnl" w:eastAsia="zh-CN"/>
        </w:rPr>
      </w:pPr>
      <w:r w:rsidRPr="00C525AE">
        <w:rPr>
          <w:lang w:val="es-ES_tradnl" w:eastAsia="zh-CN"/>
        </w:rPr>
        <w:t>donde:</w:t>
      </w:r>
    </w:p>
    <w:p w14:paraId="26D05763" w14:textId="77777777" w:rsidR="000E2A1C" w:rsidRPr="00C525AE" w:rsidRDefault="000E2A1C" w:rsidP="000E2A1C">
      <w:pPr>
        <w:pStyle w:val="Equationlegend"/>
        <w:rPr>
          <w:lang w:val="es-ES_tradnl" w:eastAsia="zh-CN"/>
        </w:rPr>
      </w:pPr>
      <w:r w:rsidRPr="00C525AE">
        <w:rPr>
          <w:lang w:val="es-ES_tradnl" w:eastAsia="zh-CN"/>
        </w:rPr>
        <w:tab/>
      </w:r>
      <w:r w:rsidRPr="00C525AE">
        <w:rPr>
          <w:szCs w:val="24"/>
          <w:lang w:val="es-ES_tradnl" w:eastAsia="zh-CN"/>
        </w:rPr>
        <w:sym w:font="Symbol" w:char="F06C"/>
      </w:r>
      <w:r w:rsidRPr="00C525AE">
        <w:rPr>
          <w:vertAlign w:val="subscript"/>
          <w:lang w:val="es-ES_tradnl" w:eastAsia="zh-CN"/>
        </w:rPr>
        <w:t>0</w:t>
      </w:r>
      <w:r w:rsidRPr="00C525AE">
        <w:rPr>
          <w:lang w:val="es-ES_tradnl" w:eastAsia="zh-CN"/>
        </w:rPr>
        <w:t>:</w:t>
      </w:r>
      <w:r w:rsidRPr="00C525AE">
        <w:rPr>
          <w:vertAlign w:val="subscript"/>
          <w:lang w:val="es-ES_tradnl" w:eastAsia="zh-CN"/>
        </w:rPr>
        <w:tab/>
      </w:r>
      <w:r w:rsidRPr="00C525AE">
        <w:rPr>
          <w:lang w:val="es-ES_tradnl" w:eastAsia="zh-CN"/>
        </w:rPr>
        <w:t>longitud de onda</w:t>
      </w:r>
    </w:p>
    <w:p w14:paraId="21B53287" w14:textId="6CB0B506" w:rsidR="000E2A1C" w:rsidRPr="00C525AE" w:rsidRDefault="000E2A1C" w:rsidP="000E2A1C">
      <w:pPr>
        <w:pStyle w:val="Equationlegend"/>
        <w:rPr>
          <w:lang w:val="es-ES_tradnl" w:eastAsia="zh-CN"/>
        </w:rPr>
      </w:pPr>
      <w:r w:rsidRPr="00C525AE">
        <w:rPr>
          <w:lang w:val="es-ES_tradnl" w:eastAsia="zh-CN"/>
        </w:rPr>
        <w:tab/>
      </w:r>
      <w:r w:rsidRPr="0001494E">
        <w:rPr>
          <w:i/>
          <w:iCs/>
          <w:lang w:val="es-ES_tradnl" w:eastAsia="zh-CN"/>
        </w:rPr>
        <w:t xml:space="preserve">e′ </w:t>
      </w:r>
      <w:r>
        <w:rPr>
          <w:i/>
          <w:iCs/>
          <w:lang w:val="es-ES_tradnl" w:eastAsia="zh-CN"/>
        </w:rPr>
        <w:t>y</w:t>
      </w:r>
      <w:r w:rsidRPr="0001494E">
        <w:rPr>
          <w:i/>
          <w:iCs/>
          <w:lang w:val="es-ES_tradnl" w:eastAsia="zh-CN"/>
        </w:rPr>
        <w:t xml:space="preserve"> e″</w:t>
      </w:r>
      <w:r w:rsidRPr="00C525AE">
        <w:rPr>
          <w:lang w:val="es-ES_tradnl" w:eastAsia="zh-CN"/>
        </w:rPr>
        <w:t>:</w:t>
      </w:r>
      <w:r w:rsidRPr="00C525AE">
        <w:rPr>
          <w:lang w:val="es-ES_tradnl" w:eastAsia="zh-CN"/>
        </w:rPr>
        <w:tab/>
        <w:t>partes real e imaginaria de la constante dieléctrica de la superficie.</w:t>
      </w:r>
    </w:p>
    <w:p w14:paraId="3F603C69" w14:textId="4DA9A170" w:rsidR="000E2A1C" w:rsidRPr="00C525AE" w:rsidRDefault="000E2A1C" w:rsidP="000E2A1C">
      <w:pPr>
        <w:rPr>
          <w:lang w:val="es-ES_tradnl" w:eastAsia="zh-CN"/>
        </w:rPr>
      </w:pPr>
      <w:r w:rsidRPr="00C525AE">
        <w:rPr>
          <w:lang w:val="es-ES_tradnl" w:eastAsia="zh-CN"/>
        </w:rPr>
        <w:t>Utilizando esta fórmula con las constantes dieléctricas del suelo, la Fig</w:t>
      </w:r>
      <w:r w:rsidR="00E91A47">
        <w:rPr>
          <w:lang w:val="es-ES_tradnl" w:eastAsia="zh-CN"/>
        </w:rPr>
        <w:t>. </w:t>
      </w:r>
      <w:r w:rsidRPr="00C525AE">
        <w:rPr>
          <w:lang w:val="es-ES_tradnl" w:eastAsia="zh-CN"/>
        </w:rPr>
        <w:t>1 muestra la profundidad de penetración de superficie para 50 MHz, 500 MHz, y 5</w:t>
      </w:r>
      <w:r w:rsidR="00E145B2">
        <w:rPr>
          <w:lang w:val="es-ES_tradnl" w:eastAsia="zh-CN"/>
        </w:rPr>
        <w:t> </w:t>
      </w:r>
      <w:r w:rsidRPr="00C525AE">
        <w:rPr>
          <w:lang w:val="es-ES_tradnl" w:eastAsia="zh-CN"/>
        </w:rPr>
        <w:t>000 MHz. De esta figura se desprende que la penetración es mayor a 50 MHz que a 500 MHz, en un factor de 20 a 30, y es por lo tanto más favorable para los estudios de penetración de la Tierra. Los objetivos serían la obtención de cartografías de radar de las capas de dispersión subterráneas para la localización de depósitos de agua/hielo utilizando sensores activos en vehículos espaciales.</w:t>
      </w:r>
    </w:p>
    <w:p w14:paraId="69FA5A0A" w14:textId="77777777" w:rsidR="000E2A1C" w:rsidRPr="00C525AE" w:rsidRDefault="000E2A1C" w:rsidP="000E2A1C">
      <w:pPr>
        <w:pStyle w:val="FigureNo"/>
        <w:rPr>
          <w:lang w:val="es-ES_tradnl"/>
        </w:rPr>
      </w:pPr>
      <w:r w:rsidRPr="00C525AE">
        <w:rPr>
          <w:lang w:val="es-ES_tradnl"/>
        </w:rPr>
        <w:t>figura 1</w:t>
      </w:r>
    </w:p>
    <w:p w14:paraId="445D1FED" w14:textId="77777777" w:rsidR="000E2A1C" w:rsidRPr="00C525AE" w:rsidRDefault="000E2A1C" w:rsidP="000E2A1C">
      <w:pPr>
        <w:pStyle w:val="Figuretitle"/>
        <w:rPr>
          <w:lang w:val="es-ES_tradnl"/>
        </w:rPr>
      </w:pPr>
      <w:r w:rsidRPr="00C525AE">
        <w:rPr>
          <w:lang w:val="es-ES_tradnl"/>
        </w:rPr>
        <w:t>Profundidad de penetración en superficie</w:t>
      </w:r>
    </w:p>
    <w:p w14:paraId="439EAF53" w14:textId="77777777" w:rsidR="000E2A1C" w:rsidRPr="00C525AE" w:rsidRDefault="000E2A1C" w:rsidP="0087130E">
      <w:pPr>
        <w:pStyle w:val="Figure"/>
        <w:rPr>
          <w:lang w:val="es-ES_tradnl"/>
        </w:rPr>
      </w:pPr>
      <w:r w:rsidRPr="00C525AE">
        <w:rPr>
          <w:lang w:val="es-ES_tradnl"/>
        </w:rPr>
        <w:object w:dxaOrig="5850" w:dyaOrig="3229" w14:anchorId="12F118BD">
          <v:shape id="_x0000_i1026" type="#_x0000_t75" style="width:417.95pt;height:231.9pt" o:ole="">
            <v:imagedata r:id="rId16" o:title=""/>
          </v:shape>
          <o:OLEObject Type="Embed" ProgID="CorelDraw.Graphic.16" ShapeID="_x0000_i1026" DrawAspect="Content" ObjectID="_1792331107" r:id="rId17"/>
        </w:object>
      </w:r>
    </w:p>
    <w:p w14:paraId="39B8D008" w14:textId="77777777" w:rsidR="000E2A1C" w:rsidRPr="00C525AE" w:rsidRDefault="000E2A1C" w:rsidP="000E2A1C">
      <w:pPr>
        <w:pStyle w:val="Heading2"/>
        <w:rPr>
          <w:lang w:val="es-ES_tradnl"/>
        </w:rPr>
      </w:pPr>
      <w:r w:rsidRPr="00C525AE">
        <w:rPr>
          <w:lang w:val="es-ES_tradnl"/>
        </w:rPr>
        <w:t>2.2</w:t>
      </w:r>
      <w:r w:rsidRPr="00C525AE">
        <w:rPr>
          <w:lang w:val="es-ES_tradnl"/>
        </w:rPr>
        <w:tab/>
        <w:t>Escala de longitud de las observaciones</w:t>
      </w:r>
    </w:p>
    <w:p w14:paraId="02118453" w14:textId="77777777" w:rsidR="000E2A1C" w:rsidRPr="00C525AE" w:rsidRDefault="000E2A1C" w:rsidP="000E2A1C">
      <w:pPr>
        <w:rPr>
          <w:lang w:val="es-ES_tradnl" w:eastAsia="zh-CN"/>
        </w:rPr>
      </w:pPr>
      <w:r w:rsidRPr="00C525AE">
        <w:rPr>
          <w:lang w:val="es-ES_tradnl" w:eastAsia="zh-CN"/>
        </w:rPr>
        <w:t>La adición de 50 MHz a las bandas ya existentes de 435 MHz y 1 250 MHz, extendería la gama de longitudes de escala en las cuales se analizan las irregularidades de la superficie. Para muchas superficies geológicas, la retrodispersión está dominada por la componente armónica de la superficie cuya longitud de onda es igual o mayor que la longitud de onda del radar proyectado, contribuyendo los otros componentes de la superficie solamente de manera secundaria. En consecuencia, las mediciones con radares en tantas frecuencias como sea posible y con una gama de ángulos de incidencia tan amplia como sea posible, incrementan la capacidad de describir de manera exacta la superficie.</w:t>
      </w:r>
    </w:p>
    <w:p w14:paraId="750E0737" w14:textId="77777777" w:rsidR="000E2A1C" w:rsidRPr="00C525AE" w:rsidRDefault="000E2A1C" w:rsidP="000E2A1C">
      <w:pPr>
        <w:pStyle w:val="Heading2"/>
        <w:rPr>
          <w:lang w:val="es-ES_tradnl"/>
        </w:rPr>
      </w:pPr>
      <w:r w:rsidRPr="00C525AE">
        <w:rPr>
          <w:lang w:val="es-ES_tradnl"/>
        </w:rPr>
        <w:lastRenderedPageBreak/>
        <w:t>2.3</w:t>
      </w:r>
      <w:r w:rsidRPr="00C525AE">
        <w:rPr>
          <w:lang w:val="es-ES_tradnl"/>
        </w:rPr>
        <w:tab/>
        <w:t>Región del modelo de dispersión electromagnética</w:t>
      </w:r>
    </w:p>
    <w:p w14:paraId="3637C97C" w14:textId="77777777" w:rsidR="000E2A1C" w:rsidRPr="00C525AE" w:rsidRDefault="000E2A1C" w:rsidP="000E2A1C">
      <w:pPr>
        <w:rPr>
          <w:lang w:val="es-ES_tradnl" w:eastAsia="zh-CN"/>
        </w:rPr>
      </w:pPr>
      <w:r w:rsidRPr="00C525AE">
        <w:rPr>
          <w:lang w:val="es-ES_tradnl" w:eastAsia="zh-CN"/>
        </w:rPr>
        <w:t>La adición de 50 MHz a las bandas ya existentes de 435 MHz y 1 250 MHz, ampliaría la región de validez de los modelos de dispersión electromagnética. El radar de 50 MHz sería más sensible a la morfología subterránea porque la altura eficaz de la superficie es una fracción menor de la longitud de onda, dando lugar a una medida menor de la retrodispersión del radar. La mayor sensibilidad de la banda de 50 MHz a la morfología subterránea, combinada con la mayor penetración en el suelo de las señales de 50 MHz, incrementa el volumen subterráneo en el cual se produce la dispersión aumentando, en consecuencia, la relación entre la potencia recibida de la zona subterránea y la potencia recibida de la superficie, en comparación con una longitud de onda menor. Además, los objetos dispersantes de la capa aluvial serán menores en la banda de 50 MHz que en las bandas de 435 MHz o 1 250 MHz.</w:t>
      </w:r>
    </w:p>
    <w:p w14:paraId="1539783C" w14:textId="77777777" w:rsidR="000E2A1C" w:rsidRPr="00C525AE" w:rsidRDefault="000E2A1C" w:rsidP="000E2A1C">
      <w:pPr>
        <w:pStyle w:val="Heading2"/>
        <w:rPr>
          <w:lang w:val="es-ES_tradnl"/>
        </w:rPr>
      </w:pPr>
      <w:r w:rsidRPr="00C525AE">
        <w:rPr>
          <w:lang w:val="es-ES_tradnl"/>
        </w:rPr>
        <w:t>2.4</w:t>
      </w:r>
      <w:r w:rsidRPr="00C525AE">
        <w:rPr>
          <w:lang w:val="es-ES_tradnl"/>
        </w:rPr>
        <w:tab/>
        <w:t>Anteriores trabajos previos y situación reglamentaria en la banda de 40-44 MHz</w:t>
      </w:r>
    </w:p>
    <w:p w14:paraId="58C655A2" w14:textId="77777777" w:rsidR="000E2A1C" w:rsidRPr="00C525AE" w:rsidRDefault="000E2A1C" w:rsidP="000E2A1C">
      <w:pPr>
        <w:rPr>
          <w:lang w:val="es-ES_tradnl" w:eastAsia="zh-CN"/>
        </w:rPr>
      </w:pPr>
      <w:r w:rsidRPr="00C525AE">
        <w:rPr>
          <w:lang w:val="es-ES_tradnl" w:eastAsia="zh-CN"/>
        </w:rPr>
        <w:t>Ya se ha realizado una cantidad considerable de trabajo para el desarrollo y la obtención de datos de sistemas de radar basados en tierra y a bordo de aeronaves, en la banda de 3-50 MHz. Junto con este desarrollo de equipos, también se han llevado a cabo trabajos de cálculo para estudiar la profundidad de penetración en la superficie en función de la humedad del suelo en la banda 3-50 MHz y analizar las mediciones de retorno del océano con radares oceanográficos.</w:t>
      </w:r>
    </w:p>
    <w:p w14:paraId="4BD01EC3" w14:textId="122F4B92" w:rsidR="000E2A1C" w:rsidRPr="00C525AE" w:rsidRDefault="000E2A1C" w:rsidP="000E2A1C">
      <w:pPr>
        <w:rPr>
          <w:lang w:val="es-ES_tradnl" w:eastAsia="zh-CN"/>
        </w:rPr>
      </w:pPr>
      <w:r w:rsidRPr="00C525AE">
        <w:rPr>
          <w:lang w:val="es-ES_tradnl" w:eastAsia="zh-CN"/>
        </w:rPr>
        <w:t>Los radares a bordo de aeronaves han realizado mediciones alrededor de 50 MHz en áreas desérticas de la Península Arábiga y de la Antártica. La Fig</w:t>
      </w:r>
      <w:r w:rsidR="00E91A47">
        <w:rPr>
          <w:lang w:val="es-ES_tradnl" w:eastAsia="zh-CN"/>
        </w:rPr>
        <w:t>. </w:t>
      </w:r>
      <w:r w:rsidRPr="00C525AE">
        <w:rPr>
          <w:lang w:val="es-ES_tradnl" w:eastAsia="zh-CN"/>
        </w:rPr>
        <w:t>2 muestra un radargrama con variaciones en la profundidad de la superficie de la capa freática entre 49 y 52 metros, con datos tomados por un radar de ondas métricas a bordo de una aeronave, en Kuwait en 2011.</w:t>
      </w:r>
    </w:p>
    <w:p w14:paraId="0A3902CC" w14:textId="77777777" w:rsidR="000E2A1C" w:rsidRPr="00C525AE" w:rsidRDefault="000E2A1C" w:rsidP="000E2A1C">
      <w:pPr>
        <w:pStyle w:val="FigureNo"/>
        <w:rPr>
          <w:lang w:val="es-ES_tradnl"/>
        </w:rPr>
      </w:pPr>
      <w:r w:rsidRPr="00C525AE">
        <w:rPr>
          <w:lang w:val="es-ES_tradnl"/>
        </w:rPr>
        <w:t>figura 2</w:t>
      </w:r>
    </w:p>
    <w:p w14:paraId="482D0B6C" w14:textId="77777777" w:rsidR="000E2A1C" w:rsidRPr="00C525AE" w:rsidRDefault="000E2A1C" w:rsidP="000E2A1C">
      <w:pPr>
        <w:pStyle w:val="Figuretitle"/>
        <w:rPr>
          <w:lang w:val="es-ES_tradnl"/>
        </w:rPr>
      </w:pPr>
      <w:r w:rsidRPr="00C525AE">
        <w:rPr>
          <w:lang w:val="es-ES_tradnl"/>
        </w:rPr>
        <w:t xml:space="preserve">Radargrama tomado por un radar de ondas métricas </w:t>
      </w:r>
      <w:r w:rsidRPr="00C525AE">
        <w:rPr>
          <w:lang w:val="es-ES_tradnl"/>
        </w:rPr>
        <w:br/>
        <w:t>a bordo de una aeronave en Kuwait en 2011</w:t>
      </w:r>
    </w:p>
    <w:p w14:paraId="031C1ABC" w14:textId="77777777" w:rsidR="000E2A1C" w:rsidRPr="00C525AE" w:rsidRDefault="000E2A1C" w:rsidP="000E2A1C">
      <w:pPr>
        <w:pStyle w:val="Figure"/>
        <w:rPr>
          <w:lang w:val="es-ES_tradnl"/>
        </w:rPr>
      </w:pPr>
      <w:r>
        <w:rPr>
          <w:lang w:val="es-ES_tradnl"/>
        </w:rPr>
        <w:object w:dxaOrig="7565" w:dyaOrig="2149" w14:anchorId="464EBAEA">
          <v:shape id="_x0000_i1027" type="#_x0000_t75" style="width:378.7pt;height:107.55pt" o:ole="">
            <v:imagedata r:id="rId18" o:title=""/>
          </v:shape>
          <o:OLEObject Type="Embed" ProgID="CorelDraw.Graphic.17" ShapeID="_x0000_i1027" DrawAspect="Content" ObjectID="_1792331108" r:id="rId19"/>
        </w:object>
      </w:r>
    </w:p>
    <w:p w14:paraId="683A525F" w14:textId="77777777" w:rsidR="000E2A1C" w:rsidRPr="00C525AE" w:rsidRDefault="000E2A1C" w:rsidP="000E2A1C">
      <w:pPr>
        <w:pStyle w:val="Normalaftertitle"/>
        <w:rPr>
          <w:lang w:val="es-ES_tradnl" w:eastAsia="zh-CN"/>
        </w:rPr>
      </w:pPr>
      <w:r w:rsidRPr="00C525AE">
        <w:rPr>
          <w:lang w:val="es-ES_tradnl" w:eastAsia="zh-CN"/>
        </w:rPr>
        <w:t xml:space="preserve">En el punto 1.15 del orden del día de la CMR-12, se consideró la banda de frecuencias 3-50 MHz para los radares oceanográficos en la costa (en el servicio de radiolocalización (SRL)) y los estudios de compartición se documentaron en el Informe UIT-R M.2234. La CMR-12 acordó atribuir al SRL una combinación de atribuciones primarias y secundarias, a nivel regional y de país, con notas en las subbandas entre 4 MHz y 44 MHz (43,35-44 MHz fue la banda de frecuencias más alta atribuida al SRL, con nota de países (dos países)) para proteger los servicios fijo y móvil existentes. Las aplicaciones en el SRL se limitan a los radares oceanográficos que funcionan de conformidad con la </w:t>
      </w:r>
      <w:r w:rsidRPr="00C525AE">
        <w:rPr>
          <w:b/>
          <w:bCs/>
          <w:lang w:val="es-ES_tradnl" w:eastAsia="zh-CN"/>
        </w:rPr>
        <w:t>Resolución</w:t>
      </w:r>
      <w:r w:rsidRPr="0052653B">
        <w:t> </w:t>
      </w:r>
      <w:r w:rsidRPr="00C525AE">
        <w:rPr>
          <w:b/>
          <w:bCs/>
          <w:lang w:val="es-ES_tradnl" w:eastAsia="zh-CN"/>
        </w:rPr>
        <w:t>612 (Rev.CMR-12)</w:t>
      </w:r>
      <w:r w:rsidRPr="00C525AE">
        <w:rPr>
          <w:lang w:val="es-ES_tradnl"/>
        </w:rPr>
        <w:t>, que contiene también limitaciones adicionales para los radares oceanográficos tales como una máxima p.i.r.e. de 25 dBW y un identificador de estación (distintivo de llamada) en la frecuencia asignada. En el Reglamento de Radiocomunicaciones, no existe atribución para el SETS (activo) en la gama 3-50</w:t>
      </w:r>
      <w:r w:rsidRPr="0052653B">
        <w:t> </w:t>
      </w:r>
      <w:r w:rsidRPr="00C525AE">
        <w:rPr>
          <w:lang w:val="es-ES_tradnl"/>
        </w:rPr>
        <w:t xml:space="preserve">MHz. Si se eligiese una banda de frecuencias mayores o menores para los sistemas a bordo de vehículos espaciales, </w:t>
      </w:r>
      <w:r w:rsidRPr="00C525AE">
        <w:rPr>
          <w:lang w:val="es-ES_tradnl" w:eastAsia="zh-CN"/>
        </w:rPr>
        <w:t>se necesitaría repetir los trabajos de referencia sobre equipos y cálculos para las campañas de radar a bordo de aeronaves en las zonas desérticas.</w:t>
      </w:r>
    </w:p>
    <w:p w14:paraId="2076E992" w14:textId="77777777" w:rsidR="000E2A1C" w:rsidRPr="00C525AE" w:rsidRDefault="000E2A1C" w:rsidP="000E2A1C">
      <w:pPr>
        <w:pStyle w:val="Heading1"/>
        <w:rPr>
          <w:lang w:val="es-ES_tradnl"/>
        </w:rPr>
      </w:pPr>
      <w:r w:rsidRPr="00C525AE">
        <w:rPr>
          <w:lang w:val="es-ES_tradnl"/>
        </w:rPr>
        <w:lastRenderedPageBreak/>
        <w:t>3</w:t>
      </w:r>
      <w:r w:rsidRPr="00C525AE">
        <w:rPr>
          <w:lang w:val="es-ES_tradnl"/>
        </w:rPr>
        <w:tab/>
        <w:t>Características técnicas de un radar de detección en vehículo espacial en la banda de frecuencias 40-50 MHz</w:t>
      </w:r>
    </w:p>
    <w:p w14:paraId="0CEB5577" w14:textId="77777777" w:rsidR="000E2A1C" w:rsidRPr="00C525AE" w:rsidRDefault="000E2A1C" w:rsidP="000E2A1C">
      <w:pPr>
        <w:rPr>
          <w:lang w:val="es-ES_tradnl" w:eastAsia="zh-CN"/>
        </w:rPr>
      </w:pPr>
      <w:r w:rsidRPr="00C525AE">
        <w:rPr>
          <w:lang w:val="es-ES_tradnl" w:eastAsia="zh-CN"/>
        </w:rPr>
        <w:t>El radar de detección en vehículo espacial funcionará en una frecuencia central de 45 MHz cubriendo un ancho de banda de 10 MHz. Los datos obtenidos del radar se utilizarán en el estudio de las capas subterráneas de la Tierra para la cartografía por radar de las capas de dispersión subterráneas con el fin de localizar depósitos de agua/hielo. Las características del radar de detección de 45 MHz se muestran en el Cuadro 1.</w:t>
      </w:r>
    </w:p>
    <w:p w14:paraId="3B3A7E63" w14:textId="77777777" w:rsidR="000E2A1C" w:rsidRPr="00C525AE" w:rsidRDefault="000E2A1C" w:rsidP="000E2A1C">
      <w:pPr>
        <w:pStyle w:val="Heading2"/>
        <w:rPr>
          <w:lang w:val="es-ES_tradnl"/>
        </w:rPr>
      </w:pPr>
      <w:r w:rsidRPr="00C525AE">
        <w:rPr>
          <w:lang w:val="es-ES_tradnl"/>
        </w:rPr>
        <w:t>3.1</w:t>
      </w:r>
      <w:r w:rsidRPr="00C525AE">
        <w:rPr>
          <w:lang w:val="es-ES_tradnl"/>
        </w:rPr>
        <w:tab/>
        <w:t>Objetivos de la misión</w:t>
      </w:r>
    </w:p>
    <w:p w14:paraId="4E0F72BB" w14:textId="692A4F23" w:rsidR="000E2A1C" w:rsidRDefault="000E2A1C" w:rsidP="000E2A1C">
      <w:pPr>
        <w:rPr>
          <w:lang w:val="es-ES_tradnl" w:eastAsia="zh-CN"/>
        </w:rPr>
      </w:pPr>
      <w:r w:rsidRPr="00C525AE">
        <w:rPr>
          <w:lang w:val="es-ES_tradnl" w:eastAsia="zh-CN"/>
        </w:rPr>
        <w:t>El sensor activo a bordo de un vehículo espacial que funcione en la gama 40-50 MHz obtendrá datos subsuperficiales con una resolución vertical de 5 a 7 metros, y tendrá una relación de señal/ruido</w:t>
      </w:r>
      <w:r>
        <w:rPr>
          <w:lang w:val="es-ES_tradnl" w:eastAsia="zh-CN"/>
        </w:rPr>
        <w:t xml:space="preserve"> (SNR)</w:t>
      </w:r>
      <w:r w:rsidRPr="00C525AE">
        <w:rPr>
          <w:lang w:val="es-ES_tradnl" w:eastAsia="zh-CN"/>
        </w:rPr>
        <w:t xml:space="preserve"> en la superficie de</w:t>
      </w:r>
      <w:r>
        <w:rPr>
          <w:lang w:val="es-ES_tradnl" w:eastAsia="zh-CN"/>
        </w:rPr>
        <w:t xml:space="preserve"> aproximadamente</w:t>
      </w:r>
      <w:r w:rsidRPr="00C525AE">
        <w:rPr>
          <w:lang w:val="es-ES_tradnl" w:eastAsia="zh-CN"/>
        </w:rPr>
        <w:t xml:space="preserve"> 66 dB.</w:t>
      </w:r>
      <w:r w:rsidR="006B02AD">
        <w:rPr>
          <w:lang w:val="es-ES_tradnl" w:eastAsia="zh-CN"/>
        </w:rPr>
        <w:t xml:space="preserve"> </w:t>
      </w:r>
      <w:r w:rsidRPr="00C525AE">
        <w:rPr>
          <w:lang w:val="es-ES_tradnl" w:eastAsia="zh-CN"/>
        </w:rPr>
        <w:t>Los objetivos científicos de la misión son dos:</w:t>
      </w:r>
    </w:p>
    <w:p w14:paraId="41B156CF" w14:textId="6AE7C980" w:rsidR="000E2A1C" w:rsidRDefault="000E2A1C" w:rsidP="00E145B2">
      <w:pPr>
        <w:pStyle w:val="enumlev1"/>
        <w:rPr>
          <w:lang w:val="es-ES_tradnl" w:eastAsia="zh-CN"/>
        </w:rPr>
      </w:pPr>
      <w:r w:rsidRPr="00443428">
        <w:rPr>
          <w:lang w:eastAsia="zh-CN"/>
        </w:rPr>
        <w:t>1)</w:t>
      </w:r>
      <w:r w:rsidRPr="00443428">
        <w:rPr>
          <w:lang w:eastAsia="zh-CN"/>
        </w:rPr>
        <w:tab/>
      </w:r>
      <w:r w:rsidRPr="00C525AE">
        <w:rPr>
          <w:lang w:val="es-ES_tradnl" w:eastAsia="zh-CN"/>
        </w:rPr>
        <w:t xml:space="preserve">entender el espesor global, la estructura interna, y la estabilidad térmica de las capas de hielo de la Tierra </w:t>
      </w:r>
      <w:r>
        <w:rPr>
          <w:lang w:val="es-ES_tradnl" w:eastAsia="zh-CN"/>
        </w:rPr>
        <w:t xml:space="preserve">(por ejemplo, </w:t>
      </w:r>
      <w:r w:rsidRPr="00C525AE">
        <w:rPr>
          <w:lang w:val="es-ES_tradnl" w:eastAsia="zh-CN"/>
        </w:rPr>
        <w:t>en Groenlandia y en la Antártica</w:t>
      </w:r>
      <w:r>
        <w:rPr>
          <w:lang w:val="es-ES_tradnl" w:eastAsia="zh-CN"/>
        </w:rPr>
        <w:t>)</w:t>
      </w:r>
      <w:r w:rsidRPr="00C525AE">
        <w:rPr>
          <w:lang w:val="es-ES_tradnl" w:eastAsia="zh-CN"/>
        </w:rPr>
        <w:t xml:space="preserve"> como parámetros observables del cambio climático de la Tierra</w:t>
      </w:r>
      <w:r w:rsidR="008C37C3">
        <w:rPr>
          <w:lang w:val="es-ES_tradnl" w:eastAsia="zh-CN"/>
        </w:rPr>
        <w:t>;</w:t>
      </w:r>
      <w:r w:rsidRPr="00C525AE">
        <w:rPr>
          <w:lang w:val="es-ES_tradnl" w:eastAsia="zh-CN"/>
        </w:rPr>
        <w:t xml:space="preserve"> y </w:t>
      </w:r>
    </w:p>
    <w:p w14:paraId="4B5C2C19" w14:textId="77777777" w:rsidR="000E2A1C" w:rsidRDefault="000E2A1C" w:rsidP="00E145B2">
      <w:pPr>
        <w:pStyle w:val="enumlev1"/>
        <w:rPr>
          <w:lang w:val="es-ES_tradnl" w:eastAsia="zh-CN"/>
        </w:rPr>
      </w:pPr>
      <w:r w:rsidRPr="00A57776">
        <w:rPr>
          <w:lang w:eastAsia="zh-CN"/>
        </w:rPr>
        <w:t>2)</w:t>
      </w:r>
      <w:r w:rsidRPr="00A57776">
        <w:rPr>
          <w:lang w:eastAsia="zh-CN"/>
        </w:rPr>
        <w:tab/>
      </w:r>
      <w:r w:rsidRPr="00C525AE">
        <w:rPr>
          <w:lang w:val="es-ES_tradnl" w:eastAsia="zh-CN"/>
        </w:rPr>
        <w:t xml:space="preserve">entender la aparición, la distribución y la dinámica de los acuíferos fósiles de la Tierra en entornos desérticos </w:t>
      </w:r>
      <w:r>
        <w:rPr>
          <w:lang w:val="es-ES_tradnl" w:eastAsia="zh-CN"/>
        </w:rPr>
        <w:t>(por ejemplo, en</w:t>
      </w:r>
      <w:r w:rsidRPr="00C525AE">
        <w:rPr>
          <w:lang w:val="es-ES_tradnl" w:eastAsia="zh-CN"/>
        </w:rPr>
        <w:t xml:space="preserve"> el norte de África y la Península Arábiga</w:t>
      </w:r>
      <w:r>
        <w:rPr>
          <w:lang w:val="es-ES_tradnl" w:eastAsia="zh-CN"/>
        </w:rPr>
        <w:t>)</w:t>
      </w:r>
      <w:r w:rsidRPr="00C525AE">
        <w:rPr>
          <w:lang w:val="es-ES_tradnl" w:eastAsia="zh-CN"/>
        </w:rPr>
        <w:t xml:space="preserve"> como elementos clave para comprender los recientes cambios paleoclimáticos. </w:t>
      </w:r>
    </w:p>
    <w:p w14:paraId="2A14A050" w14:textId="77777777" w:rsidR="000E2A1C" w:rsidRPr="00C525AE" w:rsidRDefault="000E2A1C" w:rsidP="000E2A1C">
      <w:pPr>
        <w:rPr>
          <w:lang w:val="es-ES_tradnl" w:eastAsia="zh-CN"/>
        </w:rPr>
      </w:pPr>
      <w:r w:rsidRPr="00C525AE">
        <w:rPr>
          <w:lang w:val="es-ES_tradnl" w:eastAsia="zh-CN"/>
        </w:rPr>
        <w:t>Cabe señalar que, teniendo en cuenta el elevado costo de inversión asociado a este tipo de observaciones mediante sensores en la banda de 40-50 MHz, se prevé que se mantenga muy reducido el número de misiones de sondas de radar a bordo de vehículos espaciales que funcionen simultáneamente</w:t>
      </w:r>
      <w:r>
        <w:rPr>
          <w:lang w:val="es-ES_tradnl" w:eastAsia="zh-CN"/>
        </w:rPr>
        <w:t>.</w:t>
      </w:r>
    </w:p>
    <w:p w14:paraId="7456DFBF" w14:textId="77777777" w:rsidR="000E2A1C" w:rsidRPr="00C525AE" w:rsidRDefault="000E2A1C" w:rsidP="000E2A1C">
      <w:pPr>
        <w:pStyle w:val="Heading2"/>
        <w:rPr>
          <w:lang w:val="es-ES_tradnl"/>
        </w:rPr>
      </w:pPr>
      <w:r w:rsidRPr="00C525AE">
        <w:rPr>
          <w:lang w:val="es-ES_tradnl"/>
        </w:rPr>
        <w:t>3.2</w:t>
      </w:r>
      <w:r w:rsidRPr="00C525AE">
        <w:rPr>
          <w:lang w:val="es-ES_tradnl"/>
        </w:rPr>
        <w:tab/>
        <w:t>Parámetros orbitales</w:t>
      </w:r>
    </w:p>
    <w:p w14:paraId="43D2958D" w14:textId="77777777" w:rsidR="000E2A1C" w:rsidRPr="00C525AE" w:rsidRDefault="000E2A1C" w:rsidP="000E2A1C">
      <w:pPr>
        <w:rPr>
          <w:lang w:val="es-ES_tradnl" w:eastAsia="zh-CN"/>
        </w:rPr>
      </w:pPr>
      <w:r>
        <w:rPr>
          <w:lang w:val="es-ES_tradnl" w:eastAsia="zh-CN"/>
        </w:rPr>
        <w:t>Se espera que los</w:t>
      </w:r>
      <w:r w:rsidRPr="00C525AE">
        <w:rPr>
          <w:lang w:val="es-ES_tradnl" w:eastAsia="zh-CN"/>
        </w:rPr>
        <w:t xml:space="preserve"> sensor</w:t>
      </w:r>
      <w:r>
        <w:rPr>
          <w:lang w:val="es-ES_tradnl" w:eastAsia="zh-CN"/>
        </w:rPr>
        <w:t>es</w:t>
      </w:r>
      <w:r w:rsidRPr="00C525AE">
        <w:rPr>
          <w:lang w:val="es-ES_tradnl" w:eastAsia="zh-CN"/>
        </w:rPr>
        <w:t xml:space="preserve"> activo</w:t>
      </w:r>
      <w:r>
        <w:rPr>
          <w:lang w:val="es-ES_tradnl" w:eastAsia="zh-CN"/>
        </w:rPr>
        <w:t>s</w:t>
      </w:r>
      <w:r w:rsidRPr="00C525AE">
        <w:rPr>
          <w:lang w:val="es-ES_tradnl" w:eastAsia="zh-CN"/>
        </w:rPr>
        <w:t xml:space="preserve"> a bordo de un vehículo espacial</w:t>
      </w:r>
      <w:r>
        <w:rPr>
          <w:lang w:val="es-ES_tradnl" w:eastAsia="zh-CN"/>
        </w:rPr>
        <w:t xml:space="preserve"> de este tipo se instalen</w:t>
      </w:r>
      <w:r w:rsidRPr="00C525AE">
        <w:rPr>
          <w:lang w:val="es-ES_tradnl" w:eastAsia="zh-CN"/>
        </w:rPr>
        <w:t xml:space="preserve"> en un satélite de órbita terrestre baja con una inclinación optimizada para una órbita heliosíncrona y una excentricidad menor de 0,001. En el Cuadro 1 figuran los parámetros orbitales</w:t>
      </w:r>
      <w:r>
        <w:rPr>
          <w:lang w:val="es-ES_tradnl" w:eastAsia="zh-CN"/>
        </w:rPr>
        <w:t xml:space="preserve"> del sistema propuesto</w:t>
      </w:r>
      <w:r w:rsidRPr="00C525AE">
        <w:rPr>
          <w:lang w:val="es-ES_tradnl" w:eastAsia="zh-CN"/>
        </w:rPr>
        <w:t>.</w:t>
      </w:r>
    </w:p>
    <w:p w14:paraId="00C0231C" w14:textId="77777777" w:rsidR="000E2A1C" w:rsidRPr="00C525AE" w:rsidRDefault="000E2A1C" w:rsidP="000E2A1C">
      <w:pPr>
        <w:pStyle w:val="Heading2"/>
        <w:rPr>
          <w:lang w:val="es-ES_tradnl"/>
        </w:rPr>
      </w:pPr>
      <w:r w:rsidRPr="00C525AE">
        <w:rPr>
          <w:lang w:val="es-ES_tradnl"/>
        </w:rPr>
        <w:t>3.3</w:t>
      </w:r>
      <w:r w:rsidRPr="00C525AE">
        <w:rPr>
          <w:lang w:val="es-ES_tradnl"/>
        </w:rPr>
        <w:tab/>
        <w:t>Parámetros de diseño</w:t>
      </w:r>
    </w:p>
    <w:p w14:paraId="660F9753" w14:textId="77777777" w:rsidR="000E2A1C" w:rsidRPr="00C525AE" w:rsidRDefault="000E2A1C" w:rsidP="000E2A1C">
      <w:pPr>
        <w:rPr>
          <w:rFonts w:ascii="Times" w:hAnsi="Times"/>
          <w:lang w:val="es-ES_tradnl" w:eastAsia="zh-CN"/>
        </w:rPr>
      </w:pPr>
      <w:r w:rsidRPr="00C525AE">
        <w:rPr>
          <w:rFonts w:ascii="Times" w:hAnsi="Times"/>
          <w:lang w:val="es-ES_tradnl" w:eastAsia="zh-CN"/>
        </w:rPr>
        <w:t xml:space="preserve">El sistema </w:t>
      </w:r>
      <w:r>
        <w:rPr>
          <w:rFonts w:ascii="Times" w:hAnsi="Times"/>
          <w:lang w:val="es-ES_tradnl" w:eastAsia="zh-CN"/>
        </w:rPr>
        <w:t>propuesto</w:t>
      </w:r>
      <w:r w:rsidRPr="00C525AE">
        <w:rPr>
          <w:rFonts w:ascii="Times" w:hAnsi="Times"/>
          <w:lang w:val="es-ES_tradnl" w:eastAsia="zh-CN"/>
        </w:rPr>
        <w:t xml:space="preserve"> para el radar de detección en órbita de la Tierra es una copia mejorada para la Tierra del </w:t>
      </w:r>
      <w:r w:rsidRPr="00C525AE">
        <w:rPr>
          <w:lang w:val="es-ES_tradnl" w:eastAsia="zh-CN"/>
        </w:rPr>
        <w:t>Sistema de Sonda de Radar Superficial (SHARAD) que fue un radar de detección en la órbita de Marte que funcionaba en la gama de frecuencias 15-25 MHz. El radar de detección en vehículo espacial emite un impulso modulado en frecuencia (FM) centrado en 45 MHz con una anchura de banda de 10 MHz y una frecuencia de repetición de impulsos de 1 200 Hz. Cada impulso tiene una duración de 85</w:t>
      </w:r>
      <w:r w:rsidRPr="00C525AE">
        <w:rPr>
          <w:rFonts w:ascii="Times" w:hAnsi="Times"/>
          <w:lang w:val="es-ES_tradnl" w:eastAsia="zh-CN"/>
        </w:rPr>
        <w:t> </w:t>
      </w:r>
      <w:r w:rsidRPr="00C525AE">
        <w:rPr>
          <w:rFonts w:ascii="Times" w:hAnsi="Times" w:cs="Times"/>
          <w:lang w:val="es-ES_tradnl" w:eastAsia="zh-CN"/>
        </w:rPr>
        <w:t>µ</w:t>
      </w:r>
      <w:r w:rsidRPr="00C525AE">
        <w:rPr>
          <w:rFonts w:ascii="Times" w:hAnsi="Times"/>
          <w:lang w:val="es-ES_tradnl" w:eastAsia="zh-CN"/>
        </w:rPr>
        <w:t>s. El nivel de potencia de cresta de RF es 100 W, y la señal de transmisión está polarizada circularmente. El Cuadro 1 muestra estos parámetros de diseño.</w:t>
      </w:r>
    </w:p>
    <w:p w14:paraId="7F2D4728" w14:textId="77777777" w:rsidR="000E2A1C" w:rsidRPr="003170CF" w:rsidRDefault="000E2A1C" w:rsidP="00E145B2">
      <w:pPr>
        <w:pStyle w:val="TableNo"/>
        <w:keepLines/>
        <w:rPr>
          <w:lang w:val="es-ES_tradnl"/>
        </w:rPr>
      </w:pPr>
      <w:r w:rsidRPr="003170CF">
        <w:rPr>
          <w:lang w:val="es-ES_tradnl"/>
        </w:rPr>
        <w:lastRenderedPageBreak/>
        <w:t>CUADRO 1</w:t>
      </w:r>
    </w:p>
    <w:p w14:paraId="070FC671" w14:textId="77777777" w:rsidR="000E2A1C" w:rsidRPr="00C525AE" w:rsidRDefault="000E2A1C" w:rsidP="00E145B2">
      <w:pPr>
        <w:pStyle w:val="Tabletitle"/>
        <w:keepLines/>
        <w:rPr>
          <w:lang w:val="es-ES_tradnl"/>
        </w:rPr>
      </w:pPr>
      <w:r w:rsidRPr="003170CF">
        <w:rPr>
          <w:lang w:val="es-ES_tradnl"/>
        </w:rPr>
        <w:t xml:space="preserve">Características de un radar de detección en vehículo espacial </w:t>
      </w:r>
      <w:r w:rsidRPr="003170CF">
        <w:rPr>
          <w:lang w:val="es-ES_tradnl"/>
        </w:rPr>
        <w:br/>
        <w:t>funcionando en la gama de frecuencias de 40-50 MHz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2427"/>
      </w:tblGrid>
      <w:tr w:rsidR="000E2A1C" w:rsidRPr="00E145B2" w14:paraId="44566A2A" w14:textId="77777777" w:rsidTr="00E145B2">
        <w:trPr>
          <w:cantSplit/>
          <w:jc w:val="center"/>
        </w:trPr>
        <w:tc>
          <w:tcPr>
            <w:tcW w:w="7371" w:type="dxa"/>
            <w:gridSpan w:val="2"/>
            <w:shd w:val="clear" w:color="auto" w:fill="auto"/>
            <w:vAlign w:val="center"/>
          </w:tcPr>
          <w:p w14:paraId="033C88BD" w14:textId="77777777" w:rsidR="000E2A1C" w:rsidRPr="00E145B2" w:rsidRDefault="000E2A1C" w:rsidP="00E145B2">
            <w:pPr>
              <w:pStyle w:val="Tablehead"/>
            </w:pPr>
            <w:r w:rsidRPr="00E145B2">
              <w:t>Características del sensor</w:t>
            </w:r>
          </w:p>
        </w:tc>
      </w:tr>
      <w:tr w:rsidR="000E2A1C" w:rsidRPr="00E145B2" w14:paraId="716797D5" w14:textId="77777777" w:rsidTr="00E145B2">
        <w:trPr>
          <w:cantSplit/>
          <w:jc w:val="center"/>
        </w:trPr>
        <w:tc>
          <w:tcPr>
            <w:tcW w:w="4944" w:type="dxa"/>
            <w:shd w:val="clear" w:color="auto" w:fill="auto"/>
            <w:vAlign w:val="center"/>
          </w:tcPr>
          <w:p w14:paraId="4233AD3E" w14:textId="77777777" w:rsidR="000E2A1C" w:rsidRPr="00E145B2" w:rsidRDefault="000E2A1C" w:rsidP="00E145B2">
            <w:pPr>
              <w:pStyle w:val="Tablehead"/>
            </w:pPr>
            <w:r w:rsidRPr="00E145B2">
              <w:t>Parámetro</w:t>
            </w:r>
          </w:p>
        </w:tc>
        <w:tc>
          <w:tcPr>
            <w:tcW w:w="2427" w:type="dxa"/>
            <w:shd w:val="clear" w:color="auto" w:fill="auto"/>
            <w:vAlign w:val="center"/>
          </w:tcPr>
          <w:p w14:paraId="538A0827" w14:textId="77777777" w:rsidR="000E2A1C" w:rsidRPr="00E145B2" w:rsidRDefault="000E2A1C" w:rsidP="00E145B2">
            <w:pPr>
              <w:pStyle w:val="Tablehead"/>
            </w:pPr>
            <w:r w:rsidRPr="00E145B2">
              <w:t>Valor</w:t>
            </w:r>
          </w:p>
        </w:tc>
      </w:tr>
      <w:tr w:rsidR="000E2A1C" w:rsidRPr="00C525AE" w14:paraId="258897A2" w14:textId="77777777" w:rsidTr="00E145B2">
        <w:trPr>
          <w:cantSplit/>
          <w:jc w:val="center"/>
        </w:trPr>
        <w:tc>
          <w:tcPr>
            <w:tcW w:w="4944" w:type="dxa"/>
            <w:tcBorders>
              <w:bottom w:val="single" w:sz="4" w:space="0" w:color="auto"/>
            </w:tcBorders>
            <w:shd w:val="clear" w:color="auto" w:fill="auto"/>
            <w:vAlign w:val="center"/>
          </w:tcPr>
          <w:p w14:paraId="2E38B426" w14:textId="77777777" w:rsidR="000E2A1C" w:rsidRPr="00C525AE" w:rsidRDefault="000E2A1C" w:rsidP="00E145B2">
            <w:pPr>
              <w:pStyle w:val="Tabletext"/>
              <w:keepNext/>
              <w:keepLines/>
              <w:rPr>
                <w:lang w:val="es-ES_tradnl"/>
              </w:rPr>
            </w:pPr>
            <w:r w:rsidRPr="00C525AE">
              <w:rPr>
                <w:lang w:val="es-ES_tradnl"/>
              </w:rPr>
              <w:t>Tipo</w:t>
            </w:r>
          </w:p>
        </w:tc>
        <w:tc>
          <w:tcPr>
            <w:tcW w:w="2427" w:type="dxa"/>
            <w:tcBorders>
              <w:bottom w:val="single" w:sz="4" w:space="0" w:color="auto"/>
            </w:tcBorders>
            <w:shd w:val="clear" w:color="auto" w:fill="auto"/>
            <w:vAlign w:val="center"/>
          </w:tcPr>
          <w:p w14:paraId="5063F3B0" w14:textId="77777777" w:rsidR="000E2A1C" w:rsidRPr="00C525AE" w:rsidRDefault="000E2A1C" w:rsidP="00E145B2">
            <w:pPr>
              <w:pStyle w:val="Tabletext"/>
              <w:keepNext/>
              <w:keepLines/>
              <w:jc w:val="center"/>
              <w:rPr>
                <w:lang w:val="es-ES_tradnl"/>
              </w:rPr>
            </w:pPr>
            <w:r w:rsidRPr="00C525AE">
              <w:rPr>
                <w:lang w:val="es-ES_tradnl"/>
              </w:rPr>
              <w:t>Sonda de radar</w:t>
            </w:r>
          </w:p>
        </w:tc>
      </w:tr>
      <w:tr w:rsidR="000E2A1C" w:rsidRPr="00C525AE" w14:paraId="6E71BCC5" w14:textId="77777777" w:rsidTr="00E145B2">
        <w:trPr>
          <w:cantSplit/>
          <w:jc w:val="center"/>
        </w:trPr>
        <w:tc>
          <w:tcPr>
            <w:tcW w:w="7371" w:type="dxa"/>
            <w:gridSpan w:val="2"/>
            <w:shd w:val="clear" w:color="auto" w:fill="auto"/>
            <w:vAlign w:val="center"/>
          </w:tcPr>
          <w:p w14:paraId="042DDC86" w14:textId="77777777" w:rsidR="000E2A1C" w:rsidRPr="00C525AE" w:rsidRDefault="000E2A1C" w:rsidP="00E145B2">
            <w:pPr>
              <w:pStyle w:val="Tabletext"/>
              <w:keepNext/>
              <w:keepLines/>
              <w:rPr>
                <w:b/>
                <w:lang w:val="es-ES_tradnl"/>
              </w:rPr>
            </w:pPr>
            <w:r w:rsidRPr="00C525AE">
              <w:rPr>
                <w:b/>
                <w:lang w:val="es-ES_tradnl"/>
              </w:rPr>
              <w:t>Características orbitales</w:t>
            </w:r>
          </w:p>
        </w:tc>
      </w:tr>
      <w:tr w:rsidR="000E2A1C" w:rsidRPr="00C525AE" w14:paraId="2B67E792" w14:textId="77777777" w:rsidTr="00E145B2">
        <w:trPr>
          <w:cantSplit/>
          <w:jc w:val="center"/>
        </w:trPr>
        <w:tc>
          <w:tcPr>
            <w:tcW w:w="4944" w:type="dxa"/>
            <w:shd w:val="clear" w:color="auto" w:fill="auto"/>
            <w:vAlign w:val="center"/>
          </w:tcPr>
          <w:p w14:paraId="1C63C555" w14:textId="77777777" w:rsidR="000E2A1C" w:rsidRPr="00C525AE" w:rsidRDefault="000E2A1C" w:rsidP="00E145B2">
            <w:pPr>
              <w:pStyle w:val="Tabletext"/>
              <w:keepNext/>
              <w:keepLines/>
              <w:rPr>
                <w:lang w:val="es-ES_tradnl"/>
              </w:rPr>
            </w:pPr>
            <w:r w:rsidRPr="00C525AE">
              <w:rPr>
                <w:lang w:val="es-ES_tradnl"/>
              </w:rPr>
              <w:t>Tipo de órbita</w:t>
            </w:r>
          </w:p>
        </w:tc>
        <w:tc>
          <w:tcPr>
            <w:tcW w:w="2427" w:type="dxa"/>
            <w:shd w:val="clear" w:color="auto" w:fill="auto"/>
            <w:vAlign w:val="center"/>
          </w:tcPr>
          <w:p w14:paraId="3A9619C8" w14:textId="77777777" w:rsidR="000E2A1C" w:rsidRPr="00C525AE" w:rsidRDefault="000E2A1C" w:rsidP="00E145B2">
            <w:pPr>
              <w:pStyle w:val="Tabletext"/>
              <w:keepNext/>
              <w:keepLines/>
              <w:jc w:val="center"/>
              <w:rPr>
                <w:lang w:val="es-ES_tradnl"/>
              </w:rPr>
            </w:pPr>
            <w:r>
              <w:rPr>
                <w:lang w:val="es-ES_tradnl"/>
              </w:rPr>
              <w:t>Circular, SSO</w:t>
            </w:r>
            <w:r w:rsidRPr="00BB57EE">
              <w:rPr>
                <w:rStyle w:val="FootnoteReference"/>
              </w:rPr>
              <w:footnoteReference w:id="1"/>
            </w:r>
          </w:p>
        </w:tc>
      </w:tr>
      <w:tr w:rsidR="000E2A1C" w:rsidRPr="00C525AE" w14:paraId="21094949" w14:textId="77777777" w:rsidTr="00E145B2">
        <w:trPr>
          <w:cantSplit/>
          <w:jc w:val="center"/>
        </w:trPr>
        <w:tc>
          <w:tcPr>
            <w:tcW w:w="4944" w:type="dxa"/>
            <w:shd w:val="clear" w:color="auto" w:fill="auto"/>
            <w:vAlign w:val="center"/>
          </w:tcPr>
          <w:p w14:paraId="4C2BA4AE" w14:textId="77777777" w:rsidR="000E2A1C" w:rsidRPr="00C525AE" w:rsidRDefault="000E2A1C" w:rsidP="00D35E63">
            <w:pPr>
              <w:pStyle w:val="Tabletext"/>
              <w:rPr>
                <w:lang w:val="es-ES_tradnl"/>
              </w:rPr>
            </w:pPr>
            <w:r w:rsidRPr="00C525AE">
              <w:rPr>
                <w:lang w:val="es-ES_tradnl"/>
              </w:rPr>
              <w:t>Altitud (km)</w:t>
            </w:r>
          </w:p>
        </w:tc>
        <w:tc>
          <w:tcPr>
            <w:tcW w:w="2427" w:type="dxa"/>
            <w:shd w:val="clear" w:color="auto" w:fill="auto"/>
            <w:vAlign w:val="center"/>
          </w:tcPr>
          <w:p w14:paraId="41597C7B" w14:textId="77777777" w:rsidR="000E2A1C" w:rsidRPr="00C525AE" w:rsidRDefault="000E2A1C" w:rsidP="00D35E63">
            <w:pPr>
              <w:pStyle w:val="Tabletext"/>
              <w:jc w:val="center"/>
              <w:rPr>
                <w:lang w:val="es-ES_tradnl"/>
              </w:rPr>
            </w:pPr>
            <w:r w:rsidRPr="00C525AE">
              <w:rPr>
                <w:lang w:val="es-ES_tradnl"/>
              </w:rPr>
              <w:t>400</w:t>
            </w:r>
          </w:p>
        </w:tc>
      </w:tr>
      <w:tr w:rsidR="000E2A1C" w:rsidRPr="00C525AE" w14:paraId="491F93E1" w14:textId="77777777" w:rsidTr="00E145B2">
        <w:trPr>
          <w:cantSplit/>
          <w:jc w:val="center"/>
        </w:trPr>
        <w:tc>
          <w:tcPr>
            <w:tcW w:w="4944" w:type="dxa"/>
            <w:shd w:val="clear" w:color="auto" w:fill="auto"/>
            <w:vAlign w:val="center"/>
          </w:tcPr>
          <w:p w14:paraId="7C4D3DBF" w14:textId="77777777" w:rsidR="000E2A1C" w:rsidRPr="00C525AE" w:rsidRDefault="000E2A1C" w:rsidP="00D35E63">
            <w:pPr>
              <w:pStyle w:val="Tabletext"/>
              <w:rPr>
                <w:lang w:val="es-ES_tradnl"/>
              </w:rPr>
            </w:pPr>
            <w:r w:rsidRPr="00C525AE">
              <w:rPr>
                <w:lang w:val="es-ES_tradnl"/>
              </w:rPr>
              <w:t>Inclinación (grados)</w:t>
            </w:r>
          </w:p>
        </w:tc>
        <w:tc>
          <w:tcPr>
            <w:tcW w:w="2427" w:type="dxa"/>
            <w:shd w:val="clear" w:color="auto" w:fill="auto"/>
            <w:vAlign w:val="center"/>
          </w:tcPr>
          <w:p w14:paraId="3A46CC7C" w14:textId="77777777" w:rsidR="000E2A1C" w:rsidRPr="00C525AE" w:rsidRDefault="000E2A1C" w:rsidP="00D35E63">
            <w:pPr>
              <w:pStyle w:val="Tabletext"/>
              <w:jc w:val="center"/>
              <w:rPr>
                <w:lang w:val="es-ES_tradnl"/>
              </w:rPr>
            </w:pPr>
            <w:r w:rsidRPr="00C525AE">
              <w:rPr>
                <w:lang w:val="es-ES_tradnl"/>
              </w:rPr>
              <w:t>97</w:t>
            </w:r>
          </w:p>
        </w:tc>
      </w:tr>
      <w:tr w:rsidR="000E2A1C" w:rsidRPr="00C525AE" w14:paraId="112AE25E" w14:textId="77777777" w:rsidTr="00E145B2">
        <w:trPr>
          <w:cantSplit/>
          <w:jc w:val="center"/>
        </w:trPr>
        <w:tc>
          <w:tcPr>
            <w:tcW w:w="4944" w:type="dxa"/>
            <w:shd w:val="clear" w:color="auto" w:fill="auto"/>
            <w:vAlign w:val="center"/>
          </w:tcPr>
          <w:p w14:paraId="5B78E89E" w14:textId="77777777" w:rsidR="000E2A1C" w:rsidRPr="00C525AE" w:rsidRDefault="000E2A1C" w:rsidP="00D35E63">
            <w:pPr>
              <w:pStyle w:val="Tabletext"/>
              <w:rPr>
                <w:lang w:val="es-ES_tradnl"/>
              </w:rPr>
            </w:pPr>
            <w:r w:rsidRPr="00C525AE">
              <w:rPr>
                <w:lang w:val="es-ES_tradnl"/>
              </w:rPr>
              <w:t>LST del nodo ascendente</w:t>
            </w:r>
          </w:p>
        </w:tc>
        <w:tc>
          <w:tcPr>
            <w:tcW w:w="2427" w:type="dxa"/>
            <w:shd w:val="clear" w:color="auto" w:fill="auto"/>
            <w:vAlign w:val="center"/>
          </w:tcPr>
          <w:p w14:paraId="4880D2FC" w14:textId="77777777" w:rsidR="000E2A1C" w:rsidRPr="00C525AE" w:rsidRDefault="000E2A1C" w:rsidP="00D35E63">
            <w:pPr>
              <w:pStyle w:val="Tabletext"/>
              <w:jc w:val="center"/>
              <w:rPr>
                <w:lang w:val="es-ES_tradnl"/>
              </w:rPr>
            </w:pPr>
            <w:r w:rsidRPr="00C525AE">
              <w:rPr>
                <w:lang w:val="es-ES_tradnl"/>
              </w:rPr>
              <w:t>004:00</w:t>
            </w:r>
          </w:p>
        </w:tc>
      </w:tr>
      <w:tr w:rsidR="000E2A1C" w:rsidRPr="00C525AE" w14:paraId="2E691AF3" w14:textId="77777777" w:rsidTr="00E145B2">
        <w:trPr>
          <w:cantSplit/>
          <w:jc w:val="center"/>
        </w:trPr>
        <w:tc>
          <w:tcPr>
            <w:tcW w:w="4944" w:type="dxa"/>
            <w:shd w:val="clear" w:color="auto" w:fill="auto"/>
            <w:vAlign w:val="center"/>
          </w:tcPr>
          <w:p w14:paraId="353AFB4D" w14:textId="77777777" w:rsidR="000E2A1C" w:rsidRPr="00C525AE" w:rsidRDefault="000E2A1C" w:rsidP="00D35E63">
            <w:pPr>
              <w:pStyle w:val="Tabletext"/>
              <w:rPr>
                <w:lang w:val="es-ES_tradnl"/>
              </w:rPr>
            </w:pPr>
            <w:r w:rsidRPr="00C525AE">
              <w:rPr>
                <w:lang w:val="es-ES_tradnl"/>
              </w:rPr>
              <w:t>Excentricidad (grados)</w:t>
            </w:r>
          </w:p>
        </w:tc>
        <w:tc>
          <w:tcPr>
            <w:tcW w:w="2427" w:type="dxa"/>
            <w:shd w:val="clear" w:color="auto" w:fill="auto"/>
            <w:vAlign w:val="center"/>
          </w:tcPr>
          <w:p w14:paraId="32C799EE" w14:textId="77777777" w:rsidR="000E2A1C" w:rsidRPr="00C525AE" w:rsidRDefault="000E2A1C" w:rsidP="00D35E63">
            <w:pPr>
              <w:pStyle w:val="Tabletext"/>
              <w:jc w:val="center"/>
              <w:rPr>
                <w:lang w:val="es-ES_tradnl"/>
              </w:rPr>
            </w:pPr>
            <w:r w:rsidRPr="00C525AE">
              <w:rPr>
                <w:lang w:val="es-ES_tradnl"/>
              </w:rPr>
              <w:t>0</w:t>
            </w:r>
          </w:p>
        </w:tc>
      </w:tr>
      <w:tr w:rsidR="000E2A1C" w:rsidRPr="00C525AE" w14:paraId="1904C691" w14:textId="77777777" w:rsidTr="00E145B2">
        <w:trPr>
          <w:cantSplit/>
          <w:jc w:val="center"/>
        </w:trPr>
        <w:tc>
          <w:tcPr>
            <w:tcW w:w="4944" w:type="dxa"/>
            <w:tcBorders>
              <w:bottom w:val="single" w:sz="4" w:space="0" w:color="auto"/>
            </w:tcBorders>
            <w:shd w:val="clear" w:color="auto" w:fill="auto"/>
            <w:vAlign w:val="center"/>
          </w:tcPr>
          <w:p w14:paraId="113BADCD" w14:textId="77777777" w:rsidR="000E2A1C" w:rsidRPr="00C525AE" w:rsidRDefault="000E2A1C" w:rsidP="00D35E63">
            <w:pPr>
              <w:pStyle w:val="Tabletext"/>
              <w:rPr>
                <w:lang w:val="es-ES_tradnl"/>
              </w:rPr>
            </w:pPr>
            <w:r w:rsidRPr="00C525AE">
              <w:rPr>
                <w:lang w:val="es-ES_tradnl"/>
              </w:rPr>
              <w:t>Orbitas al día</w:t>
            </w:r>
          </w:p>
        </w:tc>
        <w:tc>
          <w:tcPr>
            <w:tcW w:w="2427" w:type="dxa"/>
            <w:tcBorders>
              <w:bottom w:val="single" w:sz="4" w:space="0" w:color="auto"/>
            </w:tcBorders>
            <w:shd w:val="clear" w:color="auto" w:fill="auto"/>
            <w:vAlign w:val="center"/>
          </w:tcPr>
          <w:p w14:paraId="39875CED" w14:textId="77777777" w:rsidR="000E2A1C" w:rsidRPr="00C525AE" w:rsidRDefault="000E2A1C" w:rsidP="00D35E63">
            <w:pPr>
              <w:pStyle w:val="Tabletext"/>
              <w:jc w:val="center"/>
              <w:rPr>
                <w:lang w:val="es-ES_tradnl"/>
              </w:rPr>
            </w:pPr>
            <w:r w:rsidRPr="00C525AE">
              <w:rPr>
                <w:lang w:val="es-ES_tradnl"/>
              </w:rPr>
              <w:t>15,8</w:t>
            </w:r>
          </w:p>
        </w:tc>
      </w:tr>
      <w:tr w:rsidR="000E2A1C" w:rsidRPr="00C525AE" w14:paraId="2D6E942A" w14:textId="77777777" w:rsidTr="00E145B2">
        <w:trPr>
          <w:cantSplit/>
          <w:jc w:val="center"/>
        </w:trPr>
        <w:tc>
          <w:tcPr>
            <w:tcW w:w="4944" w:type="dxa"/>
            <w:tcBorders>
              <w:bottom w:val="single" w:sz="4" w:space="0" w:color="auto"/>
            </w:tcBorders>
            <w:shd w:val="clear" w:color="auto" w:fill="auto"/>
            <w:vAlign w:val="center"/>
          </w:tcPr>
          <w:p w14:paraId="674273AD" w14:textId="77777777" w:rsidR="000E2A1C" w:rsidRPr="00C525AE" w:rsidRDefault="000E2A1C" w:rsidP="00D35E63">
            <w:pPr>
              <w:pStyle w:val="Tabletext"/>
              <w:rPr>
                <w:lang w:val="es-ES_tradnl"/>
              </w:rPr>
            </w:pPr>
            <w:r w:rsidRPr="00C525AE">
              <w:rPr>
                <w:lang w:val="es-ES_tradnl"/>
              </w:rPr>
              <w:t>Periodo de repetición (días)</w:t>
            </w:r>
          </w:p>
        </w:tc>
        <w:tc>
          <w:tcPr>
            <w:tcW w:w="2427" w:type="dxa"/>
            <w:tcBorders>
              <w:bottom w:val="single" w:sz="4" w:space="0" w:color="auto"/>
            </w:tcBorders>
            <w:shd w:val="clear" w:color="auto" w:fill="auto"/>
            <w:vAlign w:val="center"/>
          </w:tcPr>
          <w:p w14:paraId="7B5CAD3A" w14:textId="77777777" w:rsidR="000E2A1C" w:rsidRPr="00C525AE" w:rsidRDefault="000E2A1C" w:rsidP="00D35E63">
            <w:pPr>
              <w:pStyle w:val="Tabletext"/>
              <w:jc w:val="center"/>
              <w:rPr>
                <w:lang w:val="es-ES_tradnl"/>
              </w:rPr>
            </w:pPr>
            <w:r w:rsidRPr="00C525AE">
              <w:rPr>
                <w:lang w:val="es-ES_tradnl"/>
              </w:rPr>
              <w:t>548</w:t>
            </w:r>
          </w:p>
        </w:tc>
      </w:tr>
      <w:tr w:rsidR="000E2A1C" w:rsidRPr="00C525AE" w14:paraId="02404547" w14:textId="77777777" w:rsidTr="00E145B2">
        <w:trPr>
          <w:cantSplit/>
          <w:jc w:val="center"/>
        </w:trPr>
        <w:tc>
          <w:tcPr>
            <w:tcW w:w="7371" w:type="dxa"/>
            <w:gridSpan w:val="2"/>
            <w:shd w:val="clear" w:color="auto" w:fill="auto"/>
            <w:vAlign w:val="center"/>
          </w:tcPr>
          <w:p w14:paraId="0636E01C" w14:textId="77777777" w:rsidR="000E2A1C" w:rsidRPr="00C525AE" w:rsidRDefault="000E2A1C" w:rsidP="00D35E63">
            <w:pPr>
              <w:pStyle w:val="Tabletext"/>
              <w:rPr>
                <w:lang w:val="es-ES_tradnl"/>
              </w:rPr>
            </w:pPr>
            <w:r w:rsidRPr="00C525AE">
              <w:rPr>
                <w:b/>
                <w:lang w:val="es-ES_tradnl"/>
              </w:rPr>
              <w:t>Características de la antena</w:t>
            </w:r>
          </w:p>
        </w:tc>
      </w:tr>
      <w:tr w:rsidR="000E2A1C" w:rsidRPr="00C525AE" w14:paraId="372CCDE8" w14:textId="77777777" w:rsidTr="00E145B2">
        <w:trPr>
          <w:cantSplit/>
          <w:jc w:val="center"/>
        </w:trPr>
        <w:tc>
          <w:tcPr>
            <w:tcW w:w="4944" w:type="dxa"/>
            <w:shd w:val="clear" w:color="auto" w:fill="auto"/>
            <w:vAlign w:val="center"/>
          </w:tcPr>
          <w:p w14:paraId="76AE639F" w14:textId="77777777" w:rsidR="000E2A1C" w:rsidRPr="00C525AE" w:rsidRDefault="000E2A1C" w:rsidP="00D35E63">
            <w:pPr>
              <w:pStyle w:val="Tabletext"/>
              <w:rPr>
                <w:lang w:val="es-ES_tradnl"/>
              </w:rPr>
            </w:pPr>
            <w:r w:rsidRPr="00C525AE">
              <w:rPr>
                <w:lang w:val="es-ES_tradnl"/>
              </w:rPr>
              <w:t>Tipo de antena</w:t>
            </w:r>
          </w:p>
        </w:tc>
        <w:tc>
          <w:tcPr>
            <w:tcW w:w="2427" w:type="dxa"/>
            <w:shd w:val="clear" w:color="auto" w:fill="auto"/>
            <w:vAlign w:val="center"/>
          </w:tcPr>
          <w:p w14:paraId="1B30B8C3" w14:textId="77777777" w:rsidR="000E2A1C" w:rsidRPr="00C525AE" w:rsidRDefault="000E2A1C" w:rsidP="00D35E63">
            <w:pPr>
              <w:pStyle w:val="Tabletext"/>
              <w:jc w:val="center"/>
              <w:rPr>
                <w:lang w:val="es-ES_tradnl"/>
              </w:rPr>
            </w:pPr>
            <w:r w:rsidRPr="00C525AE">
              <w:rPr>
                <w:lang w:val="es-ES_tradnl"/>
              </w:rPr>
              <w:t>Yagi de 9 elementos cruzados</w:t>
            </w:r>
          </w:p>
        </w:tc>
      </w:tr>
      <w:tr w:rsidR="000E2A1C" w:rsidRPr="00C525AE" w14:paraId="24577323" w14:textId="77777777" w:rsidTr="00E145B2">
        <w:trPr>
          <w:cantSplit/>
          <w:jc w:val="center"/>
        </w:trPr>
        <w:tc>
          <w:tcPr>
            <w:tcW w:w="4944" w:type="dxa"/>
            <w:shd w:val="clear" w:color="auto" w:fill="auto"/>
            <w:vAlign w:val="center"/>
          </w:tcPr>
          <w:p w14:paraId="4CE4188B" w14:textId="77777777" w:rsidR="000E2A1C" w:rsidRPr="00C525AE" w:rsidRDefault="000E2A1C" w:rsidP="00D35E63">
            <w:pPr>
              <w:pStyle w:val="Tabletext"/>
              <w:rPr>
                <w:lang w:val="es-ES_tradnl"/>
              </w:rPr>
            </w:pPr>
            <w:r w:rsidRPr="00C525AE">
              <w:rPr>
                <w:lang w:val="es-ES_tradnl"/>
              </w:rPr>
              <w:t>Número de haces</w:t>
            </w:r>
          </w:p>
        </w:tc>
        <w:tc>
          <w:tcPr>
            <w:tcW w:w="2427" w:type="dxa"/>
            <w:shd w:val="clear" w:color="auto" w:fill="auto"/>
            <w:vAlign w:val="center"/>
          </w:tcPr>
          <w:p w14:paraId="658E6F79" w14:textId="77777777" w:rsidR="000E2A1C" w:rsidRPr="00C525AE" w:rsidRDefault="000E2A1C" w:rsidP="00D35E63">
            <w:pPr>
              <w:pStyle w:val="Tabletext"/>
              <w:jc w:val="center"/>
              <w:rPr>
                <w:lang w:val="es-ES_tradnl"/>
              </w:rPr>
            </w:pPr>
            <w:r w:rsidRPr="00C525AE">
              <w:rPr>
                <w:lang w:val="es-ES_tradnl"/>
              </w:rPr>
              <w:t>1</w:t>
            </w:r>
          </w:p>
        </w:tc>
      </w:tr>
      <w:tr w:rsidR="000E2A1C" w:rsidRPr="00C525AE" w14:paraId="032917EE" w14:textId="77777777" w:rsidTr="00E145B2">
        <w:trPr>
          <w:cantSplit/>
          <w:trHeight w:val="363"/>
          <w:jc w:val="center"/>
        </w:trPr>
        <w:tc>
          <w:tcPr>
            <w:tcW w:w="4944" w:type="dxa"/>
            <w:shd w:val="clear" w:color="auto" w:fill="auto"/>
            <w:vAlign w:val="center"/>
          </w:tcPr>
          <w:p w14:paraId="49E8DB0F" w14:textId="77777777" w:rsidR="000E2A1C" w:rsidRPr="00C525AE" w:rsidRDefault="000E2A1C" w:rsidP="00D35E63">
            <w:pPr>
              <w:pStyle w:val="Tabletext"/>
              <w:jc w:val="left"/>
              <w:rPr>
                <w:lang w:val="es-ES_tradnl"/>
              </w:rPr>
            </w:pPr>
            <w:r w:rsidRPr="00C525AE">
              <w:rPr>
                <w:lang w:val="es-ES_tradnl"/>
              </w:rPr>
              <w:t xml:space="preserve">Ganancia de cresta de la antena </w:t>
            </w:r>
            <w:r w:rsidRPr="00C525AE">
              <w:rPr>
                <w:lang w:val="es-ES_tradnl"/>
              </w:rPr>
              <w:br/>
              <w:t>(Transmisión y Recepción –dBi)</w:t>
            </w:r>
          </w:p>
        </w:tc>
        <w:tc>
          <w:tcPr>
            <w:tcW w:w="2427" w:type="dxa"/>
            <w:shd w:val="clear" w:color="auto" w:fill="auto"/>
            <w:vAlign w:val="center"/>
          </w:tcPr>
          <w:p w14:paraId="0528A405" w14:textId="77777777" w:rsidR="000E2A1C" w:rsidRPr="00C525AE" w:rsidRDefault="000E2A1C" w:rsidP="00D35E63">
            <w:pPr>
              <w:pStyle w:val="Tabletext"/>
              <w:jc w:val="center"/>
              <w:rPr>
                <w:lang w:val="es-ES_tradnl"/>
              </w:rPr>
            </w:pPr>
            <w:r w:rsidRPr="00C525AE">
              <w:rPr>
                <w:lang w:val="es-ES_tradnl"/>
              </w:rPr>
              <w:t>10</w:t>
            </w:r>
          </w:p>
        </w:tc>
      </w:tr>
      <w:tr w:rsidR="000E2A1C" w:rsidRPr="00C525AE" w14:paraId="14DD6881" w14:textId="77777777" w:rsidTr="00E145B2">
        <w:trPr>
          <w:cantSplit/>
          <w:jc w:val="center"/>
        </w:trPr>
        <w:tc>
          <w:tcPr>
            <w:tcW w:w="7371" w:type="dxa"/>
            <w:gridSpan w:val="2"/>
            <w:shd w:val="clear" w:color="auto" w:fill="auto"/>
            <w:vAlign w:val="center"/>
          </w:tcPr>
          <w:p w14:paraId="1FFF0131" w14:textId="77777777" w:rsidR="000E2A1C" w:rsidRPr="00141039" w:rsidRDefault="000E2A1C" w:rsidP="00D35E63">
            <w:pPr>
              <w:pStyle w:val="Tablehead"/>
              <w:jc w:val="left"/>
              <w:rPr>
                <w:szCs w:val="22"/>
                <w:lang w:val="es-ES_tradnl"/>
              </w:rPr>
            </w:pPr>
            <w:r w:rsidRPr="00141039">
              <w:rPr>
                <w:szCs w:val="22"/>
                <w:lang w:val="es-ES_tradnl"/>
              </w:rPr>
              <w:t>Características de la antena</w:t>
            </w:r>
          </w:p>
        </w:tc>
      </w:tr>
      <w:tr w:rsidR="000E2A1C" w:rsidRPr="00C525AE" w14:paraId="0861AD99" w14:textId="77777777" w:rsidTr="00E145B2">
        <w:trPr>
          <w:cantSplit/>
          <w:jc w:val="center"/>
        </w:trPr>
        <w:tc>
          <w:tcPr>
            <w:tcW w:w="4944" w:type="dxa"/>
            <w:shd w:val="clear" w:color="auto" w:fill="auto"/>
            <w:vAlign w:val="center"/>
          </w:tcPr>
          <w:p w14:paraId="0CFEDD15" w14:textId="77777777" w:rsidR="000E2A1C" w:rsidRPr="00C525AE" w:rsidRDefault="000E2A1C" w:rsidP="00D35E63">
            <w:pPr>
              <w:pStyle w:val="Tabletext"/>
              <w:rPr>
                <w:lang w:val="es-ES_tradnl"/>
              </w:rPr>
            </w:pPr>
            <w:r w:rsidRPr="00C525AE">
              <w:rPr>
                <w:lang w:val="es-ES_tradnl"/>
              </w:rPr>
              <w:t>Polarización</w:t>
            </w:r>
          </w:p>
        </w:tc>
        <w:tc>
          <w:tcPr>
            <w:tcW w:w="2427" w:type="dxa"/>
            <w:shd w:val="clear" w:color="auto" w:fill="auto"/>
            <w:vAlign w:val="center"/>
          </w:tcPr>
          <w:p w14:paraId="2874154B" w14:textId="77777777" w:rsidR="000E2A1C" w:rsidRPr="00C525AE" w:rsidRDefault="000E2A1C" w:rsidP="00D35E63">
            <w:pPr>
              <w:pStyle w:val="Tabletext"/>
              <w:jc w:val="center"/>
              <w:rPr>
                <w:lang w:val="es-ES_tradnl"/>
              </w:rPr>
            </w:pPr>
            <w:r w:rsidRPr="00C525AE">
              <w:rPr>
                <w:lang w:val="es-ES_tradnl"/>
              </w:rPr>
              <w:t>Circular</w:t>
            </w:r>
          </w:p>
        </w:tc>
      </w:tr>
      <w:tr w:rsidR="000E2A1C" w:rsidRPr="00C525AE" w14:paraId="4C4D27A4" w14:textId="77777777" w:rsidTr="00E145B2">
        <w:trPr>
          <w:cantSplit/>
          <w:jc w:val="center"/>
        </w:trPr>
        <w:tc>
          <w:tcPr>
            <w:tcW w:w="4944" w:type="dxa"/>
            <w:tcBorders>
              <w:bottom w:val="single" w:sz="4" w:space="0" w:color="auto"/>
            </w:tcBorders>
            <w:shd w:val="clear" w:color="auto" w:fill="auto"/>
            <w:vAlign w:val="center"/>
          </w:tcPr>
          <w:p w14:paraId="264D87C6" w14:textId="77777777" w:rsidR="000E2A1C" w:rsidRPr="00C525AE" w:rsidRDefault="000E2A1C" w:rsidP="00D35E63">
            <w:pPr>
              <w:pStyle w:val="Tabletext"/>
              <w:rPr>
                <w:lang w:val="es-ES_tradnl"/>
              </w:rPr>
            </w:pPr>
            <w:r w:rsidRPr="00C525AE">
              <w:rPr>
                <w:lang w:val="es-ES_tradnl"/>
              </w:rPr>
              <w:t>Anchura de haz −3 dB (grados)</w:t>
            </w:r>
          </w:p>
        </w:tc>
        <w:tc>
          <w:tcPr>
            <w:tcW w:w="2427" w:type="dxa"/>
            <w:tcBorders>
              <w:bottom w:val="single" w:sz="4" w:space="0" w:color="auto"/>
            </w:tcBorders>
            <w:shd w:val="clear" w:color="auto" w:fill="auto"/>
            <w:vAlign w:val="center"/>
          </w:tcPr>
          <w:p w14:paraId="075E6B75" w14:textId="77777777" w:rsidR="000E2A1C" w:rsidRPr="00C525AE" w:rsidRDefault="000E2A1C" w:rsidP="00D35E63">
            <w:pPr>
              <w:pStyle w:val="Tabletext"/>
              <w:jc w:val="center"/>
              <w:rPr>
                <w:lang w:val="es-ES_tradnl"/>
              </w:rPr>
            </w:pPr>
            <w:r w:rsidRPr="00C525AE">
              <w:rPr>
                <w:lang w:val="es-ES_tradnl"/>
              </w:rPr>
              <w:t>40</w:t>
            </w:r>
          </w:p>
        </w:tc>
      </w:tr>
      <w:tr w:rsidR="000E2A1C" w:rsidRPr="00C525AE" w14:paraId="3F04CCC5" w14:textId="77777777" w:rsidTr="00E145B2">
        <w:trPr>
          <w:cantSplit/>
          <w:jc w:val="center"/>
        </w:trPr>
        <w:tc>
          <w:tcPr>
            <w:tcW w:w="4944" w:type="dxa"/>
            <w:shd w:val="clear" w:color="auto" w:fill="auto"/>
            <w:vAlign w:val="center"/>
          </w:tcPr>
          <w:p w14:paraId="46F6AB00" w14:textId="77777777" w:rsidR="000E2A1C" w:rsidRPr="00C525AE" w:rsidRDefault="000E2A1C" w:rsidP="00D35E63">
            <w:pPr>
              <w:pStyle w:val="Tabletext"/>
              <w:jc w:val="left"/>
              <w:rPr>
                <w:lang w:val="es-ES_tradnl"/>
              </w:rPr>
            </w:pPr>
            <w:r w:rsidRPr="00C525AE">
              <w:rPr>
                <w:lang w:val="es-ES_tradnl"/>
              </w:rPr>
              <w:t>Ángulo de orientación del haz de la antena (grados)</w:t>
            </w:r>
          </w:p>
        </w:tc>
        <w:tc>
          <w:tcPr>
            <w:tcW w:w="2427" w:type="dxa"/>
            <w:shd w:val="clear" w:color="auto" w:fill="auto"/>
            <w:vAlign w:val="center"/>
          </w:tcPr>
          <w:p w14:paraId="000AF279" w14:textId="77777777" w:rsidR="000E2A1C" w:rsidRPr="00C525AE" w:rsidRDefault="000E2A1C" w:rsidP="00D35E63">
            <w:pPr>
              <w:pStyle w:val="Tabletext"/>
              <w:jc w:val="center"/>
              <w:rPr>
                <w:lang w:val="es-ES_tradnl" w:eastAsia="fr-FR"/>
              </w:rPr>
            </w:pPr>
            <w:r w:rsidRPr="00C525AE">
              <w:rPr>
                <w:lang w:val="es-ES_tradnl" w:eastAsia="fr-FR"/>
              </w:rPr>
              <w:t>Nadir</w:t>
            </w:r>
          </w:p>
        </w:tc>
      </w:tr>
      <w:tr w:rsidR="000E2A1C" w:rsidRPr="00C525AE" w14:paraId="106B9D54" w14:textId="77777777" w:rsidTr="00E145B2">
        <w:trPr>
          <w:cantSplit/>
          <w:jc w:val="center"/>
        </w:trPr>
        <w:tc>
          <w:tcPr>
            <w:tcW w:w="4944" w:type="dxa"/>
            <w:tcBorders>
              <w:bottom w:val="single" w:sz="4" w:space="0" w:color="auto"/>
            </w:tcBorders>
            <w:shd w:val="clear" w:color="auto" w:fill="auto"/>
            <w:vAlign w:val="center"/>
          </w:tcPr>
          <w:p w14:paraId="36307FFA" w14:textId="77777777" w:rsidR="000E2A1C" w:rsidRPr="00C525AE" w:rsidRDefault="000E2A1C" w:rsidP="00D35E63">
            <w:pPr>
              <w:pStyle w:val="Tabletext"/>
              <w:jc w:val="left"/>
              <w:rPr>
                <w:lang w:val="es-ES_tradnl"/>
              </w:rPr>
            </w:pPr>
            <w:r w:rsidRPr="00C525AE">
              <w:rPr>
                <w:lang w:val="es-ES_tradnl" w:eastAsia="fr-FR"/>
              </w:rPr>
              <w:t>Ángulo acimutal del haz de la antena (grados)</w:t>
            </w:r>
          </w:p>
        </w:tc>
        <w:tc>
          <w:tcPr>
            <w:tcW w:w="2427" w:type="dxa"/>
            <w:shd w:val="clear" w:color="auto" w:fill="auto"/>
            <w:vAlign w:val="center"/>
          </w:tcPr>
          <w:p w14:paraId="7DAA7C33" w14:textId="77777777" w:rsidR="000E2A1C" w:rsidRPr="00C525AE" w:rsidRDefault="000E2A1C" w:rsidP="00D35E63">
            <w:pPr>
              <w:pStyle w:val="Tabletext"/>
              <w:jc w:val="center"/>
              <w:rPr>
                <w:lang w:val="es-ES_tradnl" w:eastAsia="fr-FR"/>
              </w:rPr>
            </w:pPr>
            <w:r w:rsidRPr="00C525AE">
              <w:rPr>
                <w:lang w:val="es-ES_tradnl" w:eastAsia="fr-FR"/>
              </w:rPr>
              <w:t>Nadir</w:t>
            </w:r>
          </w:p>
        </w:tc>
      </w:tr>
      <w:tr w:rsidR="000E2A1C" w:rsidRPr="00C525AE" w14:paraId="6245A2BC" w14:textId="77777777" w:rsidTr="00E145B2">
        <w:trPr>
          <w:cantSplit/>
          <w:jc w:val="center"/>
        </w:trPr>
        <w:tc>
          <w:tcPr>
            <w:tcW w:w="4944" w:type="dxa"/>
            <w:shd w:val="clear" w:color="auto" w:fill="auto"/>
            <w:vAlign w:val="center"/>
          </w:tcPr>
          <w:p w14:paraId="0B7F491B" w14:textId="77777777" w:rsidR="000E2A1C" w:rsidRPr="00C525AE" w:rsidRDefault="000E2A1C" w:rsidP="00D35E63">
            <w:pPr>
              <w:pStyle w:val="Tabletext"/>
              <w:jc w:val="left"/>
              <w:rPr>
                <w:lang w:val="es-ES_tradnl"/>
              </w:rPr>
            </w:pPr>
            <w:r w:rsidRPr="00C525AE">
              <w:rPr>
                <w:lang w:val="es-ES_tradnl" w:eastAsia="fr-FR"/>
              </w:rPr>
              <w:t>Ancho del haz de elevación de la antena (grados)</w:t>
            </w:r>
          </w:p>
        </w:tc>
        <w:tc>
          <w:tcPr>
            <w:tcW w:w="2427" w:type="dxa"/>
            <w:shd w:val="clear" w:color="auto" w:fill="auto"/>
            <w:vAlign w:val="center"/>
          </w:tcPr>
          <w:p w14:paraId="2D243D05" w14:textId="77777777" w:rsidR="000E2A1C" w:rsidRPr="00C525AE" w:rsidRDefault="000E2A1C" w:rsidP="00D35E63">
            <w:pPr>
              <w:pStyle w:val="Tabletext"/>
              <w:jc w:val="center"/>
              <w:rPr>
                <w:lang w:val="es-ES_tradnl" w:eastAsia="fr-FR"/>
              </w:rPr>
            </w:pPr>
            <w:r w:rsidRPr="00C525AE">
              <w:rPr>
                <w:lang w:val="es-ES_tradnl" w:eastAsia="fr-FR"/>
              </w:rPr>
              <w:t>40</w:t>
            </w:r>
          </w:p>
        </w:tc>
      </w:tr>
      <w:tr w:rsidR="000E2A1C" w:rsidRPr="00C525AE" w14:paraId="1517D281" w14:textId="77777777" w:rsidTr="00E145B2">
        <w:trPr>
          <w:cantSplit/>
          <w:jc w:val="center"/>
        </w:trPr>
        <w:tc>
          <w:tcPr>
            <w:tcW w:w="4944" w:type="dxa"/>
            <w:shd w:val="clear" w:color="auto" w:fill="auto"/>
            <w:vAlign w:val="center"/>
          </w:tcPr>
          <w:p w14:paraId="2480EFCC" w14:textId="77777777" w:rsidR="000E2A1C" w:rsidRPr="00C525AE" w:rsidRDefault="000E2A1C" w:rsidP="00D35E63">
            <w:pPr>
              <w:pStyle w:val="Tabletext"/>
              <w:rPr>
                <w:lang w:val="es-ES_tradnl" w:eastAsia="fr-FR"/>
              </w:rPr>
            </w:pPr>
            <w:r w:rsidRPr="00C525AE">
              <w:rPr>
                <w:lang w:val="es-ES_tradnl" w:eastAsia="fr-FR"/>
              </w:rPr>
              <w:t>Ancho de haz acimutal de la antena (grados)</w:t>
            </w:r>
          </w:p>
        </w:tc>
        <w:tc>
          <w:tcPr>
            <w:tcW w:w="2427" w:type="dxa"/>
            <w:shd w:val="clear" w:color="auto" w:fill="auto"/>
            <w:vAlign w:val="center"/>
          </w:tcPr>
          <w:p w14:paraId="017C355D" w14:textId="77777777" w:rsidR="000E2A1C" w:rsidRPr="00C525AE" w:rsidRDefault="000E2A1C" w:rsidP="00D35E63">
            <w:pPr>
              <w:pStyle w:val="Tabletext"/>
              <w:jc w:val="center"/>
              <w:rPr>
                <w:lang w:val="es-ES_tradnl" w:eastAsia="fr-FR"/>
              </w:rPr>
            </w:pPr>
            <w:r w:rsidRPr="00C525AE">
              <w:rPr>
                <w:lang w:val="es-ES_tradnl" w:eastAsia="fr-FR"/>
              </w:rPr>
              <w:t>40</w:t>
            </w:r>
          </w:p>
        </w:tc>
      </w:tr>
      <w:tr w:rsidR="000E2A1C" w:rsidRPr="00C525AE" w14:paraId="254504F7" w14:textId="77777777" w:rsidTr="00E145B2">
        <w:trPr>
          <w:cantSplit/>
          <w:jc w:val="center"/>
        </w:trPr>
        <w:tc>
          <w:tcPr>
            <w:tcW w:w="4944" w:type="dxa"/>
            <w:shd w:val="clear" w:color="auto" w:fill="auto"/>
            <w:vAlign w:val="center"/>
          </w:tcPr>
          <w:p w14:paraId="4DF36EAA" w14:textId="77777777" w:rsidR="000E2A1C" w:rsidRPr="00C525AE" w:rsidRDefault="000E2A1C" w:rsidP="00D35E63">
            <w:pPr>
              <w:pStyle w:val="Tabletext"/>
              <w:rPr>
                <w:lang w:val="es-ES_tradnl"/>
              </w:rPr>
            </w:pPr>
            <w:r w:rsidRPr="00C525AE">
              <w:rPr>
                <w:lang w:val="es-ES_tradnl"/>
              </w:rPr>
              <w:t>Diagrama de la antena del sensor</w:t>
            </w:r>
          </w:p>
        </w:tc>
        <w:tc>
          <w:tcPr>
            <w:tcW w:w="2427" w:type="dxa"/>
            <w:shd w:val="clear" w:color="auto" w:fill="auto"/>
            <w:vAlign w:val="center"/>
          </w:tcPr>
          <w:p w14:paraId="0EE93FE6" w14:textId="77777777" w:rsidR="000E2A1C" w:rsidRPr="00C525AE" w:rsidRDefault="000E2A1C" w:rsidP="00D35E63">
            <w:pPr>
              <w:pStyle w:val="Tabletext"/>
              <w:jc w:val="center"/>
              <w:rPr>
                <w:lang w:val="es-ES_tradnl"/>
              </w:rPr>
            </w:pPr>
            <w:r w:rsidRPr="00C525AE">
              <w:rPr>
                <w:lang w:val="es-ES_tradnl"/>
              </w:rPr>
              <w:t>Véase la Fig. 3</w:t>
            </w:r>
          </w:p>
        </w:tc>
      </w:tr>
      <w:tr w:rsidR="000E2A1C" w:rsidRPr="00C525AE" w14:paraId="15186C63" w14:textId="77777777" w:rsidTr="00E145B2">
        <w:trPr>
          <w:cantSplit/>
          <w:jc w:val="center"/>
        </w:trPr>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C4A3A" w14:textId="77777777" w:rsidR="000E2A1C" w:rsidRPr="00C525AE" w:rsidRDefault="000E2A1C" w:rsidP="00D35E63">
            <w:pPr>
              <w:pStyle w:val="Tabletext"/>
              <w:rPr>
                <w:b/>
                <w:lang w:val="es-ES_tradnl"/>
              </w:rPr>
            </w:pPr>
            <w:r w:rsidRPr="00C525AE">
              <w:rPr>
                <w:b/>
                <w:lang w:val="es-ES_tradnl"/>
              </w:rPr>
              <w:t>Características del transmisor</w:t>
            </w:r>
          </w:p>
        </w:tc>
      </w:tr>
      <w:tr w:rsidR="000E2A1C" w:rsidRPr="00C525AE" w14:paraId="6DB232BB" w14:textId="77777777" w:rsidTr="00E145B2">
        <w:trPr>
          <w:cantSplit/>
          <w:trHeight w:val="295"/>
          <w:jc w:val="center"/>
        </w:trPr>
        <w:tc>
          <w:tcPr>
            <w:tcW w:w="4944" w:type="dxa"/>
            <w:tcBorders>
              <w:top w:val="single" w:sz="4" w:space="0" w:color="auto"/>
              <w:left w:val="single" w:sz="4" w:space="0" w:color="auto"/>
              <w:right w:val="single" w:sz="4" w:space="0" w:color="auto"/>
            </w:tcBorders>
            <w:shd w:val="clear" w:color="auto" w:fill="auto"/>
            <w:vAlign w:val="center"/>
          </w:tcPr>
          <w:p w14:paraId="6502D938" w14:textId="77777777" w:rsidR="000E2A1C" w:rsidRPr="00C525AE" w:rsidRDefault="000E2A1C" w:rsidP="00D35E63">
            <w:pPr>
              <w:pStyle w:val="Tabletext"/>
              <w:rPr>
                <w:lang w:val="es-ES_tradnl"/>
              </w:rPr>
            </w:pPr>
            <w:r w:rsidRPr="00C525AE">
              <w:rPr>
                <w:lang w:val="es-ES_tradnl"/>
              </w:rPr>
              <w:t>Frecuencia RF central (MHz)</w:t>
            </w:r>
          </w:p>
        </w:tc>
        <w:tc>
          <w:tcPr>
            <w:tcW w:w="2427" w:type="dxa"/>
            <w:tcBorders>
              <w:top w:val="single" w:sz="4" w:space="0" w:color="auto"/>
              <w:left w:val="single" w:sz="4" w:space="0" w:color="auto"/>
              <w:right w:val="single" w:sz="4" w:space="0" w:color="auto"/>
            </w:tcBorders>
            <w:shd w:val="clear" w:color="auto" w:fill="auto"/>
            <w:vAlign w:val="center"/>
          </w:tcPr>
          <w:p w14:paraId="39542F95" w14:textId="77777777" w:rsidR="000E2A1C" w:rsidRPr="00C525AE" w:rsidRDefault="000E2A1C" w:rsidP="00D35E63">
            <w:pPr>
              <w:pStyle w:val="Tabletext"/>
              <w:jc w:val="center"/>
              <w:rPr>
                <w:lang w:val="es-ES_tradnl"/>
              </w:rPr>
            </w:pPr>
            <w:r w:rsidRPr="00C525AE">
              <w:rPr>
                <w:lang w:val="es-ES_tradnl"/>
              </w:rPr>
              <w:t>45</w:t>
            </w:r>
          </w:p>
        </w:tc>
      </w:tr>
      <w:tr w:rsidR="000E2A1C" w:rsidRPr="00036888" w14:paraId="772EB9EA" w14:textId="77777777" w:rsidTr="00E145B2">
        <w:trPr>
          <w:cantSplit/>
          <w:trHeight w:val="295"/>
          <w:jc w:val="center"/>
        </w:trPr>
        <w:tc>
          <w:tcPr>
            <w:tcW w:w="4944" w:type="dxa"/>
            <w:tcBorders>
              <w:top w:val="single" w:sz="4" w:space="0" w:color="auto"/>
              <w:left w:val="single" w:sz="4" w:space="0" w:color="auto"/>
              <w:right w:val="single" w:sz="4" w:space="0" w:color="auto"/>
            </w:tcBorders>
            <w:shd w:val="clear" w:color="auto" w:fill="auto"/>
            <w:vAlign w:val="center"/>
          </w:tcPr>
          <w:p w14:paraId="68511456" w14:textId="5D51BCF4" w:rsidR="000E2A1C" w:rsidRPr="00C525AE" w:rsidRDefault="000E2A1C" w:rsidP="00D35E63">
            <w:pPr>
              <w:pStyle w:val="Tabletext"/>
              <w:rPr>
                <w:lang w:val="es-ES_tradnl"/>
              </w:rPr>
            </w:pPr>
            <w:r>
              <w:rPr>
                <w:lang w:val="es-ES_tradnl"/>
              </w:rPr>
              <w:t>Ancho de banda RF a 3</w:t>
            </w:r>
            <w:r w:rsidR="006B02AD">
              <w:rPr>
                <w:lang w:val="es-ES_tradnl"/>
              </w:rPr>
              <w:t xml:space="preserve"> </w:t>
            </w:r>
            <w:r>
              <w:rPr>
                <w:lang w:val="es-ES_tradnl"/>
              </w:rPr>
              <w:t>dB (MHz)</w:t>
            </w:r>
          </w:p>
        </w:tc>
        <w:tc>
          <w:tcPr>
            <w:tcW w:w="2427" w:type="dxa"/>
            <w:tcBorders>
              <w:top w:val="single" w:sz="4" w:space="0" w:color="auto"/>
              <w:left w:val="single" w:sz="4" w:space="0" w:color="auto"/>
              <w:right w:val="single" w:sz="4" w:space="0" w:color="auto"/>
            </w:tcBorders>
            <w:shd w:val="clear" w:color="auto" w:fill="auto"/>
            <w:vAlign w:val="center"/>
          </w:tcPr>
          <w:p w14:paraId="0986105F" w14:textId="77777777" w:rsidR="000E2A1C" w:rsidRPr="00C525AE" w:rsidRDefault="000E2A1C" w:rsidP="00D35E63">
            <w:pPr>
              <w:pStyle w:val="Tabletext"/>
              <w:jc w:val="center"/>
              <w:rPr>
                <w:lang w:val="es-ES_tradnl"/>
              </w:rPr>
            </w:pPr>
            <w:r>
              <w:rPr>
                <w:lang w:val="es-ES_tradnl"/>
              </w:rPr>
              <w:t>8</w:t>
            </w:r>
          </w:p>
        </w:tc>
      </w:tr>
      <w:tr w:rsidR="000E2A1C" w:rsidRPr="00C525AE" w14:paraId="3E7922FD" w14:textId="77777777" w:rsidTr="00E145B2">
        <w:trPr>
          <w:cantSplit/>
          <w:trHeight w:val="295"/>
          <w:jc w:val="center"/>
        </w:trPr>
        <w:tc>
          <w:tcPr>
            <w:tcW w:w="4944" w:type="dxa"/>
            <w:tcBorders>
              <w:top w:val="single" w:sz="4" w:space="0" w:color="auto"/>
              <w:left w:val="single" w:sz="4" w:space="0" w:color="auto"/>
              <w:right w:val="single" w:sz="4" w:space="0" w:color="auto"/>
            </w:tcBorders>
            <w:shd w:val="clear" w:color="auto" w:fill="auto"/>
            <w:vAlign w:val="center"/>
          </w:tcPr>
          <w:p w14:paraId="569F490E" w14:textId="77777777" w:rsidR="000E2A1C" w:rsidRPr="00C525AE" w:rsidRDefault="000E2A1C" w:rsidP="00D35E63">
            <w:pPr>
              <w:pStyle w:val="Tabletext"/>
              <w:rPr>
                <w:lang w:val="es-ES_tradnl"/>
              </w:rPr>
            </w:pPr>
            <w:r w:rsidRPr="00C525AE">
              <w:rPr>
                <w:lang w:val="es-ES_tradnl"/>
              </w:rPr>
              <w:t xml:space="preserve">Ancho de banda RF </w:t>
            </w:r>
            <w:r>
              <w:rPr>
                <w:lang w:val="es-ES_tradnl"/>
              </w:rPr>
              <w:t xml:space="preserve">a 20 dB </w:t>
            </w:r>
            <w:r w:rsidRPr="00C525AE">
              <w:rPr>
                <w:lang w:val="es-ES_tradnl"/>
              </w:rPr>
              <w:t>(MHz)</w:t>
            </w:r>
          </w:p>
        </w:tc>
        <w:tc>
          <w:tcPr>
            <w:tcW w:w="2427" w:type="dxa"/>
            <w:tcBorders>
              <w:top w:val="single" w:sz="4" w:space="0" w:color="auto"/>
              <w:left w:val="single" w:sz="4" w:space="0" w:color="auto"/>
              <w:right w:val="single" w:sz="4" w:space="0" w:color="auto"/>
            </w:tcBorders>
            <w:shd w:val="clear" w:color="auto" w:fill="auto"/>
            <w:vAlign w:val="center"/>
          </w:tcPr>
          <w:p w14:paraId="37C29273" w14:textId="77777777" w:rsidR="000E2A1C" w:rsidRPr="00C525AE" w:rsidRDefault="000E2A1C" w:rsidP="00D35E63">
            <w:pPr>
              <w:pStyle w:val="Tabletext"/>
              <w:jc w:val="center"/>
              <w:rPr>
                <w:lang w:val="es-ES_tradnl"/>
              </w:rPr>
            </w:pPr>
            <w:r w:rsidRPr="00C525AE">
              <w:rPr>
                <w:lang w:val="es-ES_tradnl"/>
              </w:rPr>
              <w:t>10</w:t>
            </w:r>
          </w:p>
        </w:tc>
      </w:tr>
      <w:tr w:rsidR="000E2A1C" w:rsidRPr="00C525AE" w14:paraId="3AE262D0" w14:textId="77777777" w:rsidTr="00E145B2">
        <w:trPr>
          <w:cantSplit/>
          <w:trHeight w:val="295"/>
          <w:jc w:val="center"/>
        </w:trPr>
        <w:tc>
          <w:tcPr>
            <w:tcW w:w="4944" w:type="dxa"/>
            <w:tcBorders>
              <w:top w:val="single" w:sz="4" w:space="0" w:color="auto"/>
              <w:left w:val="single" w:sz="4" w:space="0" w:color="auto"/>
              <w:right w:val="single" w:sz="4" w:space="0" w:color="auto"/>
            </w:tcBorders>
            <w:shd w:val="clear" w:color="auto" w:fill="auto"/>
            <w:vAlign w:val="center"/>
          </w:tcPr>
          <w:p w14:paraId="48401C40" w14:textId="77777777" w:rsidR="000E2A1C" w:rsidRPr="00C525AE" w:rsidRDefault="000E2A1C" w:rsidP="00D35E63">
            <w:pPr>
              <w:pStyle w:val="Tabletext"/>
              <w:rPr>
                <w:lang w:val="es-ES_tradnl"/>
              </w:rPr>
            </w:pPr>
            <w:r w:rsidRPr="00C525AE">
              <w:rPr>
                <w:lang w:val="es-ES_tradnl"/>
              </w:rPr>
              <w:t>Potencia de cresta de transmisión (dBW)</w:t>
            </w:r>
          </w:p>
        </w:tc>
        <w:tc>
          <w:tcPr>
            <w:tcW w:w="2427" w:type="dxa"/>
            <w:tcBorders>
              <w:top w:val="single" w:sz="4" w:space="0" w:color="auto"/>
              <w:left w:val="single" w:sz="4" w:space="0" w:color="auto"/>
              <w:right w:val="single" w:sz="4" w:space="0" w:color="auto"/>
            </w:tcBorders>
            <w:shd w:val="clear" w:color="auto" w:fill="auto"/>
            <w:vAlign w:val="center"/>
          </w:tcPr>
          <w:p w14:paraId="5E88A302" w14:textId="77777777" w:rsidR="000E2A1C" w:rsidRPr="00C525AE" w:rsidRDefault="000E2A1C" w:rsidP="00D35E63">
            <w:pPr>
              <w:pStyle w:val="Tabletext"/>
              <w:jc w:val="center"/>
              <w:rPr>
                <w:lang w:val="es-ES_tradnl"/>
              </w:rPr>
            </w:pPr>
            <w:r w:rsidRPr="00C525AE">
              <w:rPr>
                <w:lang w:val="es-ES_tradnl"/>
              </w:rPr>
              <w:t>20</w:t>
            </w:r>
          </w:p>
        </w:tc>
      </w:tr>
      <w:tr w:rsidR="000E2A1C" w:rsidRPr="00C525AE" w14:paraId="271345A1" w14:textId="77777777" w:rsidTr="00E145B2">
        <w:trPr>
          <w:cantSplit/>
          <w:trHeight w:val="295"/>
          <w:jc w:val="center"/>
        </w:trPr>
        <w:tc>
          <w:tcPr>
            <w:tcW w:w="4944" w:type="dxa"/>
            <w:tcBorders>
              <w:top w:val="single" w:sz="4" w:space="0" w:color="auto"/>
              <w:left w:val="single" w:sz="4" w:space="0" w:color="auto"/>
              <w:right w:val="single" w:sz="4" w:space="0" w:color="auto"/>
            </w:tcBorders>
            <w:shd w:val="clear" w:color="auto" w:fill="auto"/>
          </w:tcPr>
          <w:p w14:paraId="19F58C4C" w14:textId="77777777" w:rsidR="000E2A1C" w:rsidRPr="00C525AE" w:rsidRDefault="000E2A1C" w:rsidP="00D35E63">
            <w:pPr>
              <w:pStyle w:val="Tabletext"/>
              <w:rPr>
                <w:lang w:val="es-ES_tradnl"/>
              </w:rPr>
            </w:pPr>
            <w:r w:rsidRPr="00C525AE">
              <w:rPr>
                <w:lang w:val="es-ES_tradnl"/>
              </w:rPr>
              <w:t>Ancho de impulso (</w:t>
            </w:r>
            <w:r w:rsidRPr="00E82098">
              <w:t>μs</w:t>
            </w:r>
            <w:r w:rsidRPr="00C525AE">
              <w:rPr>
                <w:lang w:val="es-ES_tradnl"/>
              </w:rPr>
              <w:t>)</w:t>
            </w:r>
          </w:p>
        </w:tc>
        <w:tc>
          <w:tcPr>
            <w:tcW w:w="2427" w:type="dxa"/>
            <w:tcBorders>
              <w:top w:val="single" w:sz="4" w:space="0" w:color="auto"/>
              <w:left w:val="single" w:sz="4" w:space="0" w:color="auto"/>
              <w:right w:val="single" w:sz="4" w:space="0" w:color="auto"/>
            </w:tcBorders>
            <w:shd w:val="clear" w:color="auto" w:fill="auto"/>
          </w:tcPr>
          <w:p w14:paraId="7C140511" w14:textId="77777777" w:rsidR="000E2A1C" w:rsidRPr="00C525AE" w:rsidRDefault="000E2A1C" w:rsidP="00D35E63">
            <w:pPr>
              <w:pStyle w:val="Tabletext"/>
              <w:jc w:val="center"/>
              <w:rPr>
                <w:lang w:val="es-ES_tradnl"/>
              </w:rPr>
            </w:pPr>
            <w:r w:rsidRPr="00C525AE">
              <w:rPr>
                <w:lang w:val="es-ES_tradnl"/>
              </w:rPr>
              <w:t>85</w:t>
            </w:r>
          </w:p>
        </w:tc>
      </w:tr>
      <w:tr w:rsidR="000E2A1C" w:rsidRPr="00C525AE" w14:paraId="04825A01" w14:textId="77777777" w:rsidTr="00E145B2">
        <w:trPr>
          <w:cantSplit/>
          <w:trHeight w:val="295"/>
          <w:jc w:val="center"/>
        </w:trPr>
        <w:tc>
          <w:tcPr>
            <w:tcW w:w="4944" w:type="dxa"/>
            <w:tcBorders>
              <w:top w:val="single" w:sz="4" w:space="0" w:color="auto"/>
              <w:left w:val="single" w:sz="4" w:space="0" w:color="auto"/>
              <w:right w:val="single" w:sz="4" w:space="0" w:color="auto"/>
            </w:tcBorders>
            <w:shd w:val="clear" w:color="auto" w:fill="auto"/>
          </w:tcPr>
          <w:p w14:paraId="2962ED0F" w14:textId="77777777" w:rsidR="000E2A1C" w:rsidRPr="00C525AE" w:rsidRDefault="000E2A1C" w:rsidP="00D35E63">
            <w:pPr>
              <w:pStyle w:val="Tabletext"/>
              <w:rPr>
                <w:lang w:val="es-ES_tradnl"/>
              </w:rPr>
            </w:pPr>
            <w:r w:rsidRPr="00C525AE">
              <w:rPr>
                <w:lang w:val="es-ES_tradnl"/>
              </w:rPr>
              <w:t>Frecuencia de repetición del impulso (PRF) (Hz)</w:t>
            </w:r>
          </w:p>
        </w:tc>
        <w:tc>
          <w:tcPr>
            <w:tcW w:w="2427" w:type="dxa"/>
            <w:tcBorders>
              <w:top w:val="single" w:sz="4" w:space="0" w:color="auto"/>
              <w:left w:val="single" w:sz="4" w:space="0" w:color="auto"/>
              <w:right w:val="single" w:sz="4" w:space="0" w:color="auto"/>
            </w:tcBorders>
            <w:shd w:val="clear" w:color="auto" w:fill="auto"/>
          </w:tcPr>
          <w:p w14:paraId="532D1B6F" w14:textId="6C1A79DB" w:rsidR="000E2A1C" w:rsidRPr="00C525AE" w:rsidRDefault="000E2A1C" w:rsidP="00D35E63">
            <w:pPr>
              <w:pStyle w:val="Tabletext"/>
              <w:jc w:val="center"/>
              <w:rPr>
                <w:lang w:val="es-ES_tradnl"/>
              </w:rPr>
            </w:pPr>
            <w:r w:rsidRPr="00C525AE">
              <w:rPr>
                <w:lang w:val="es-ES_tradnl"/>
              </w:rPr>
              <w:t>1</w:t>
            </w:r>
            <w:r w:rsidR="006B02AD">
              <w:rPr>
                <w:lang w:val="es-ES_tradnl"/>
              </w:rPr>
              <w:t> </w:t>
            </w:r>
            <w:r w:rsidRPr="00C525AE">
              <w:rPr>
                <w:lang w:val="es-ES_tradnl"/>
              </w:rPr>
              <w:t>200</w:t>
            </w:r>
          </w:p>
        </w:tc>
      </w:tr>
      <w:tr w:rsidR="000E2A1C" w:rsidRPr="00C525AE" w14:paraId="30158B92"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17C38253" w14:textId="77777777" w:rsidR="000E2A1C" w:rsidRPr="00C525AE" w:rsidRDefault="000E2A1C" w:rsidP="00D35E63">
            <w:pPr>
              <w:pStyle w:val="Tabletext"/>
              <w:rPr>
                <w:lang w:val="es-ES_tradnl"/>
              </w:rPr>
            </w:pPr>
            <w:r w:rsidRPr="00C525AE">
              <w:rPr>
                <w:lang w:val="es-ES_tradnl"/>
              </w:rPr>
              <w:t>Modulación del impulso</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426B7934" w14:textId="77777777" w:rsidR="000E2A1C" w:rsidRPr="00C525AE" w:rsidRDefault="000E2A1C" w:rsidP="00D35E63">
            <w:pPr>
              <w:pStyle w:val="Tabletext"/>
              <w:jc w:val="center"/>
              <w:rPr>
                <w:lang w:val="es-ES_tradnl"/>
              </w:rPr>
            </w:pPr>
            <w:r w:rsidRPr="00C525AE">
              <w:rPr>
                <w:lang w:val="es-ES_tradnl"/>
              </w:rPr>
              <w:t>Lineal MF con compresión</w:t>
            </w:r>
          </w:p>
        </w:tc>
      </w:tr>
    </w:tbl>
    <w:p w14:paraId="07EEA88D" w14:textId="47BFED66" w:rsidR="00E145B2" w:rsidRDefault="00E145B2">
      <w:r>
        <w:br w:type="page"/>
      </w:r>
    </w:p>
    <w:p w14:paraId="3EB36784" w14:textId="051DB6BE" w:rsidR="00E145B2" w:rsidRPr="003170CF" w:rsidRDefault="00E145B2" w:rsidP="00E145B2">
      <w:pPr>
        <w:pStyle w:val="TableNo"/>
        <w:keepLines/>
        <w:rPr>
          <w:lang w:val="es-ES_tradnl"/>
        </w:rPr>
      </w:pPr>
      <w:r w:rsidRPr="003170CF">
        <w:rPr>
          <w:lang w:val="es-ES_tradnl"/>
        </w:rPr>
        <w:lastRenderedPageBreak/>
        <w:t>CUADRO 1</w:t>
      </w:r>
      <w:r>
        <w:rPr>
          <w:lang w:val="es-ES_tradnl"/>
        </w:rPr>
        <w:t xml:space="preserve"> (</w:t>
      </w:r>
      <w:r w:rsidRPr="00E145B2">
        <w:rPr>
          <w:i/>
          <w:iCs/>
          <w:lang w:val="es-ES_tradnl"/>
        </w:rPr>
        <w:t>fin</w:t>
      </w:r>
      <w:r>
        <w:rPr>
          <w:lang w:val="es-ES_tradnl"/>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2427"/>
      </w:tblGrid>
      <w:tr w:rsidR="00E145B2" w:rsidRPr="00E145B2" w14:paraId="4F50B7AB" w14:textId="77777777" w:rsidTr="00233339">
        <w:trPr>
          <w:cantSplit/>
          <w:jc w:val="center"/>
        </w:trPr>
        <w:tc>
          <w:tcPr>
            <w:tcW w:w="7371" w:type="dxa"/>
            <w:gridSpan w:val="2"/>
            <w:shd w:val="clear" w:color="auto" w:fill="auto"/>
            <w:vAlign w:val="center"/>
          </w:tcPr>
          <w:p w14:paraId="39A0224D" w14:textId="77777777" w:rsidR="00E145B2" w:rsidRPr="00E145B2" w:rsidRDefault="00E145B2" w:rsidP="00233339">
            <w:pPr>
              <w:pStyle w:val="Tablehead"/>
            </w:pPr>
            <w:r w:rsidRPr="00E145B2">
              <w:t>Características del sensor</w:t>
            </w:r>
          </w:p>
        </w:tc>
      </w:tr>
      <w:tr w:rsidR="00E145B2" w:rsidRPr="00E145B2" w14:paraId="1B09C00A" w14:textId="77777777" w:rsidTr="00233339">
        <w:trPr>
          <w:cantSplit/>
          <w:jc w:val="center"/>
        </w:trPr>
        <w:tc>
          <w:tcPr>
            <w:tcW w:w="4944" w:type="dxa"/>
            <w:shd w:val="clear" w:color="auto" w:fill="auto"/>
            <w:vAlign w:val="center"/>
          </w:tcPr>
          <w:p w14:paraId="66A2F0D6" w14:textId="77777777" w:rsidR="00E145B2" w:rsidRPr="00E145B2" w:rsidRDefault="00E145B2" w:rsidP="00233339">
            <w:pPr>
              <w:pStyle w:val="Tablehead"/>
            </w:pPr>
            <w:r w:rsidRPr="00E145B2">
              <w:t>Parámetro</w:t>
            </w:r>
          </w:p>
        </w:tc>
        <w:tc>
          <w:tcPr>
            <w:tcW w:w="2427" w:type="dxa"/>
            <w:shd w:val="clear" w:color="auto" w:fill="auto"/>
            <w:vAlign w:val="center"/>
          </w:tcPr>
          <w:p w14:paraId="13FE3A28" w14:textId="77777777" w:rsidR="00E145B2" w:rsidRPr="00E145B2" w:rsidRDefault="00E145B2" w:rsidP="00233339">
            <w:pPr>
              <w:pStyle w:val="Tablehead"/>
            </w:pPr>
            <w:r w:rsidRPr="00E145B2">
              <w:t>Valor</w:t>
            </w:r>
          </w:p>
        </w:tc>
      </w:tr>
      <w:tr w:rsidR="000E2A1C" w:rsidRPr="00C525AE" w14:paraId="307D1DEE"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vAlign w:val="center"/>
          </w:tcPr>
          <w:p w14:paraId="4598250C" w14:textId="77777777" w:rsidR="000E2A1C" w:rsidRPr="00C525AE" w:rsidRDefault="000E2A1C" w:rsidP="00D35E63">
            <w:pPr>
              <w:pStyle w:val="Tabletext"/>
              <w:rPr>
                <w:lang w:val="es-ES_tradnl"/>
              </w:rPr>
            </w:pPr>
            <w:r w:rsidRPr="00C525AE">
              <w:rPr>
                <w:b/>
                <w:lang w:val="es-ES_tradnl"/>
              </w:rPr>
              <w:t>Características del receptor</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78D2225C" w14:textId="77777777" w:rsidR="000E2A1C" w:rsidRPr="00C525AE" w:rsidRDefault="000E2A1C" w:rsidP="00D35E63">
            <w:pPr>
              <w:pStyle w:val="Tabletext"/>
              <w:jc w:val="center"/>
              <w:rPr>
                <w:lang w:val="es-ES_tradnl"/>
              </w:rPr>
            </w:pPr>
          </w:p>
        </w:tc>
      </w:tr>
      <w:tr w:rsidR="000E2A1C" w:rsidRPr="00C525AE" w14:paraId="5CF28834"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4AF20CB3" w14:textId="77777777" w:rsidR="000E2A1C" w:rsidRPr="00C525AE" w:rsidRDefault="000E2A1C" w:rsidP="00D35E63">
            <w:pPr>
              <w:pStyle w:val="Tabletext"/>
              <w:rPr>
                <w:b/>
                <w:lang w:val="es-ES_tradnl"/>
              </w:rPr>
            </w:pPr>
            <w:r w:rsidRPr="00C525AE">
              <w:rPr>
                <w:lang w:val="es-ES_tradnl"/>
              </w:rPr>
              <w:t>Frecuencia RF central (MHz)</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42DE15AE" w14:textId="77777777" w:rsidR="000E2A1C" w:rsidRPr="00C525AE" w:rsidRDefault="000E2A1C" w:rsidP="00D35E63">
            <w:pPr>
              <w:pStyle w:val="Tabletext"/>
              <w:jc w:val="center"/>
              <w:rPr>
                <w:lang w:val="es-ES_tradnl"/>
              </w:rPr>
            </w:pPr>
            <w:r w:rsidRPr="00C525AE">
              <w:rPr>
                <w:lang w:val="es-ES_tradnl"/>
              </w:rPr>
              <w:t>45</w:t>
            </w:r>
          </w:p>
        </w:tc>
      </w:tr>
      <w:tr w:rsidR="000E2A1C" w:rsidRPr="00C525AE" w14:paraId="555ABA0A"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5F60247B" w14:textId="77777777" w:rsidR="000E2A1C" w:rsidRPr="00C525AE" w:rsidRDefault="000E2A1C" w:rsidP="00D35E63">
            <w:pPr>
              <w:pStyle w:val="Tabletext"/>
              <w:rPr>
                <w:lang w:val="es-ES_tradnl"/>
              </w:rPr>
            </w:pPr>
            <w:r w:rsidRPr="00C525AE">
              <w:rPr>
                <w:lang w:val="es-ES_tradnl"/>
              </w:rPr>
              <w:t>Ganancia (dB)</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06646A9D" w14:textId="77777777" w:rsidR="000E2A1C" w:rsidRPr="00C525AE" w:rsidRDefault="000E2A1C" w:rsidP="00D35E63">
            <w:pPr>
              <w:pStyle w:val="Tabletext"/>
              <w:jc w:val="center"/>
              <w:rPr>
                <w:lang w:val="es-ES_tradnl"/>
              </w:rPr>
            </w:pPr>
            <w:r w:rsidRPr="00C525AE">
              <w:rPr>
                <w:lang w:val="es-ES_tradnl"/>
              </w:rPr>
              <w:t>40-50</w:t>
            </w:r>
          </w:p>
        </w:tc>
      </w:tr>
      <w:tr w:rsidR="000E2A1C" w:rsidRPr="00C525AE" w14:paraId="7B5BEB77"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149FE388" w14:textId="77777777" w:rsidR="000E2A1C" w:rsidRPr="00C525AE" w:rsidRDefault="000E2A1C" w:rsidP="00D35E63">
            <w:pPr>
              <w:pStyle w:val="Tabletext"/>
              <w:rPr>
                <w:lang w:val="es-ES_tradnl"/>
              </w:rPr>
            </w:pPr>
            <w:r w:rsidRPr="00C525AE">
              <w:rPr>
                <w:lang w:val="es-ES_tradnl"/>
              </w:rPr>
              <w:t>SNR (dB)</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54E8A056" w14:textId="77777777" w:rsidR="000E2A1C" w:rsidRPr="00C525AE" w:rsidRDefault="000E2A1C" w:rsidP="00D35E63">
            <w:pPr>
              <w:pStyle w:val="Tabletext"/>
              <w:jc w:val="center"/>
              <w:rPr>
                <w:lang w:val="es-ES_tradnl"/>
              </w:rPr>
            </w:pPr>
            <w:r w:rsidRPr="00C525AE">
              <w:rPr>
                <w:lang w:val="es-ES_tradnl"/>
              </w:rPr>
              <w:t>30</w:t>
            </w:r>
          </w:p>
        </w:tc>
      </w:tr>
      <w:tr w:rsidR="000E2A1C" w:rsidRPr="00C525AE" w14:paraId="3141DBAF"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10652779" w14:textId="77777777" w:rsidR="000E2A1C" w:rsidRPr="00C525AE" w:rsidRDefault="000E2A1C" w:rsidP="00D35E63">
            <w:pPr>
              <w:pStyle w:val="Tabletext"/>
              <w:rPr>
                <w:lang w:val="es-ES_tradnl"/>
              </w:rPr>
            </w:pPr>
            <w:r w:rsidRPr="00C525AE">
              <w:rPr>
                <w:lang w:val="es-ES_tradnl"/>
              </w:rPr>
              <w:t>Ancho de banda del LNA (MHz)</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13A80E86" w14:textId="77777777" w:rsidR="000E2A1C" w:rsidRPr="00C525AE" w:rsidRDefault="000E2A1C" w:rsidP="00D35E63">
            <w:pPr>
              <w:pStyle w:val="Tabletext"/>
              <w:jc w:val="center"/>
              <w:rPr>
                <w:lang w:val="es-ES_tradnl"/>
              </w:rPr>
            </w:pPr>
            <w:r w:rsidRPr="00C525AE">
              <w:rPr>
                <w:lang w:val="es-ES_tradnl"/>
              </w:rPr>
              <w:t>&gt;100</w:t>
            </w:r>
          </w:p>
        </w:tc>
      </w:tr>
      <w:tr w:rsidR="000E2A1C" w:rsidRPr="00C525AE" w14:paraId="50277BB0"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46959A79" w14:textId="77777777" w:rsidR="000E2A1C" w:rsidRPr="00C525AE" w:rsidRDefault="000E2A1C" w:rsidP="00D35E63">
            <w:pPr>
              <w:pStyle w:val="Tabletext"/>
              <w:rPr>
                <w:lang w:val="es-ES_tradnl"/>
              </w:rPr>
            </w:pPr>
            <w:r w:rsidRPr="00C525AE">
              <w:rPr>
                <w:lang w:val="es-ES_tradnl"/>
              </w:rPr>
              <w:t>Ancho de banda del filtro de FI final (MHz)</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7453DBE3" w14:textId="77777777" w:rsidR="000E2A1C" w:rsidRPr="00C525AE" w:rsidRDefault="000E2A1C" w:rsidP="00D35E63">
            <w:pPr>
              <w:pStyle w:val="Tabletext"/>
              <w:jc w:val="center"/>
              <w:rPr>
                <w:lang w:val="es-ES_tradnl"/>
              </w:rPr>
            </w:pPr>
            <w:r w:rsidRPr="00C525AE">
              <w:rPr>
                <w:lang w:val="es-ES_tradnl"/>
              </w:rPr>
              <w:t>12</w:t>
            </w:r>
          </w:p>
        </w:tc>
      </w:tr>
      <w:tr w:rsidR="000E2A1C" w:rsidRPr="00C525AE" w14:paraId="5B23DEF2"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15C10241" w14:textId="77777777" w:rsidR="000E2A1C" w:rsidRPr="00C525AE" w:rsidRDefault="000E2A1C" w:rsidP="00D35E63">
            <w:pPr>
              <w:pStyle w:val="Tabletext"/>
              <w:rPr>
                <w:lang w:val="es-ES_tradnl"/>
              </w:rPr>
            </w:pPr>
            <w:r w:rsidRPr="00C525AE">
              <w:rPr>
                <w:lang w:val="es-ES_tradnl"/>
              </w:rPr>
              <w:t>Factor de ruido (dB)</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28803FFF" w14:textId="77777777" w:rsidR="000E2A1C" w:rsidRPr="00C525AE" w:rsidRDefault="000E2A1C" w:rsidP="00D35E63">
            <w:pPr>
              <w:pStyle w:val="Tabletext"/>
              <w:jc w:val="center"/>
              <w:rPr>
                <w:lang w:val="es-ES_tradnl"/>
              </w:rPr>
            </w:pPr>
            <w:r w:rsidRPr="00C525AE">
              <w:rPr>
                <w:lang w:val="es-ES_tradnl"/>
              </w:rPr>
              <w:t>5</w:t>
            </w:r>
          </w:p>
        </w:tc>
      </w:tr>
      <w:tr w:rsidR="000E2A1C" w:rsidRPr="00C525AE" w14:paraId="11F8756E"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0A2CC46E" w14:textId="77777777" w:rsidR="000E2A1C" w:rsidRPr="00C525AE" w:rsidRDefault="000E2A1C" w:rsidP="00D35E63">
            <w:pPr>
              <w:pStyle w:val="Tabletext"/>
              <w:rPr>
                <w:lang w:val="es-ES_tradnl"/>
              </w:rPr>
            </w:pPr>
            <w:r w:rsidRPr="00C525AE">
              <w:rPr>
                <w:lang w:val="es-ES_tradnl"/>
              </w:rPr>
              <w:t>Nivel mínimo de la señal detectable (dBm)</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7278739E" w14:textId="77777777" w:rsidR="000E2A1C" w:rsidRPr="00C525AE" w:rsidRDefault="000E2A1C" w:rsidP="00D35E63">
            <w:pPr>
              <w:pStyle w:val="Tabletext"/>
              <w:jc w:val="center"/>
              <w:rPr>
                <w:lang w:val="es-ES_tradnl"/>
              </w:rPr>
            </w:pPr>
            <w:r w:rsidRPr="00C525AE">
              <w:rPr>
                <w:lang w:val="es-ES_tradnl"/>
              </w:rPr>
              <w:t>−132</w:t>
            </w:r>
          </w:p>
        </w:tc>
      </w:tr>
      <w:tr w:rsidR="000E2A1C" w:rsidRPr="00C525AE" w14:paraId="1EE2189F" w14:textId="77777777" w:rsidTr="00E145B2">
        <w:trPr>
          <w:cantSplit/>
          <w:trHeight w:val="295"/>
          <w:jc w:val="center"/>
        </w:trPr>
        <w:tc>
          <w:tcPr>
            <w:tcW w:w="4944" w:type="dxa"/>
            <w:tcBorders>
              <w:top w:val="single" w:sz="4" w:space="0" w:color="auto"/>
              <w:left w:val="single" w:sz="4" w:space="0" w:color="auto"/>
              <w:bottom w:val="single" w:sz="4" w:space="0" w:color="auto"/>
              <w:right w:val="single" w:sz="4" w:space="0" w:color="auto"/>
            </w:tcBorders>
            <w:shd w:val="clear" w:color="auto" w:fill="auto"/>
          </w:tcPr>
          <w:p w14:paraId="03BDA859" w14:textId="77777777" w:rsidR="000E2A1C" w:rsidRPr="00C525AE" w:rsidRDefault="000E2A1C" w:rsidP="00D35E63">
            <w:pPr>
              <w:pStyle w:val="Tabletext"/>
              <w:rPr>
                <w:lang w:val="es-ES_tradnl"/>
              </w:rPr>
            </w:pPr>
            <w:r w:rsidRPr="00C525AE">
              <w:rPr>
                <w:lang w:val="es-ES_tradnl"/>
              </w:rPr>
              <w:t>Gama dinámica (dB)</w:t>
            </w:r>
          </w:p>
        </w:tc>
        <w:tc>
          <w:tcPr>
            <w:tcW w:w="2427" w:type="dxa"/>
            <w:tcBorders>
              <w:top w:val="single" w:sz="4" w:space="0" w:color="auto"/>
              <w:left w:val="single" w:sz="4" w:space="0" w:color="auto"/>
              <w:bottom w:val="single" w:sz="4" w:space="0" w:color="auto"/>
              <w:right w:val="single" w:sz="4" w:space="0" w:color="auto"/>
            </w:tcBorders>
            <w:shd w:val="clear" w:color="auto" w:fill="auto"/>
          </w:tcPr>
          <w:p w14:paraId="1DF01854" w14:textId="77777777" w:rsidR="000E2A1C" w:rsidRPr="00C525AE" w:rsidRDefault="000E2A1C" w:rsidP="00D35E63">
            <w:pPr>
              <w:pStyle w:val="Tabletext"/>
              <w:jc w:val="center"/>
              <w:rPr>
                <w:lang w:val="es-ES_tradnl"/>
              </w:rPr>
            </w:pPr>
            <w:r w:rsidRPr="00C525AE">
              <w:rPr>
                <w:lang w:val="es-ES_tradnl"/>
              </w:rPr>
              <w:t>&lt;20</w:t>
            </w:r>
          </w:p>
        </w:tc>
      </w:tr>
    </w:tbl>
    <w:p w14:paraId="26106F74" w14:textId="77777777" w:rsidR="00E145B2" w:rsidRDefault="00E145B2" w:rsidP="00E145B2">
      <w:pPr>
        <w:pStyle w:val="Tablefin"/>
        <w:rPr>
          <w:lang w:eastAsia="zh-CN"/>
        </w:rPr>
      </w:pPr>
    </w:p>
    <w:p w14:paraId="62D757E3" w14:textId="758E3501" w:rsidR="000E2A1C" w:rsidRPr="00C525AE" w:rsidRDefault="000E2A1C" w:rsidP="000E2A1C">
      <w:pPr>
        <w:rPr>
          <w:lang w:val="es-ES_tradnl" w:eastAsia="zh-CN"/>
        </w:rPr>
      </w:pPr>
      <w:r w:rsidRPr="005648A1">
        <w:rPr>
          <w:lang w:eastAsia="zh-CN"/>
        </w:rPr>
        <w:t>El</w:t>
      </w:r>
      <w:r>
        <w:rPr>
          <w:lang w:eastAsia="zh-CN"/>
        </w:rPr>
        <w:t xml:space="preserve"> diagrama de antena del sistema propuesto</w:t>
      </w:r>
      <w:r w:rsidRPr="00C525AE">
        <w:rPr>
          <w:lang w:val="es-ES_tradnl" w:eastAsia="zh-CN"/>
        </w:rPr>
        <w:t xml:space="preserve"> </w:t>
      </w:r>
      <w:r>
        <w:rPr>
          <w:lang w:val="es-ES_tradnl" w:eastAsia="zh-CN"/>
        </w:rPr>
        <w:t xml:space="preserve">tiene </w:t>
      </w:r>
      <w:r w:rsidRPr="00C525AE">
        <w:rPr>
          <w:lang w:val="es-ES_tradnl" w:eastAsia="zh-CN"/>
        </w:rPr>
        <w:t xml:space="preserve">una ganancia de </w:t>
      </w:r>
      <w:r>
        <w:rPr>
          <w:lang w:val="es-ES_tradnl" w:eastAsia="zh-CN"/>
        </w:rPr>
        <w:t xml:space="preserve">cresta </w:t>
      </w:r>
      <w:r w:rsidRPr="00C525AE">
        <w:rPr>
          <w:lang w:val="es-ES_tradnl" w:eastAsia="zh-CN"/>
        </w:rPr>
        <w:t>10 dBi, y una anchura de haz de 40 grados en alcance y acimut, como muestra la Fig</w:t>
      </w:r>
      <w:r w:rsidR="00E145B2">
        <w:rPr>
          <w:lang w:val="es-ES_tradnl" w:eastAsia="zh-CN"/>
        </w:rPr>
        <w:t>. </w:t>
      </w:r>
      <w:r w:rsidRPr="00C525AE">
        <w:rPr>
          <w:lang w:val="es-ES_tradnl" w:eastAsia="zh-CN"/>
        </w:rPr>
        <w:t>3.</w:t>
      </w:r>
    </w:p>
    <w:p w14:paraId="7A538E48" w14:textId="77777777" w:rsidR="000E2A1C" w:rsidRPr="00C525AE" w:rsidRDefault="000E2A1C" w:rsidP="000E2A1C">
      <w:pPr>
        <w:pStyle w:val="FigureNo"/>
        <w:rPr>
          <w:lang w:val="es-ES_tradnl"/>
        </w:rPr>
      </w:pPr>
      <w:r w:rsidRPr="00C525AE">
        <w:rPr>
          <w:lang w:val="es-ES_tradnl"/>
        </w:rPr>
        <w:t>figurA 3</w:t>
      </w:r>
    </w:p>
    <w:p w14:paraId="728652CB" w14:textId="77777777" w:rsidR="000E2A1C" w:rsidRPr="00C525AE" w:rsidRDefault="000E2A1C" w:rsidP="000E2A1C">
      <w:pPr>
        <w:pStyle w:val="Figuretitle"/>
        <w:rPr>
          <w:lang w:val="es-ES_tradnl"/>
        </w:rPr>
      </w:pPr>
      <w:r w:rsidRPr="00C525AE">
        <w:rPr>
          <w:lang w:val="es-ES_tradnl"/>
        </w:rPr>
        <w:t>Diagrama de la antena Yagi de 9 elementos</w:t>
      </w:r>
    </w:p>
    <w:p w14:paraId="262332A7" w14:textId="77777777" w:rsidR="000E2A1C" w:rsidRPr="00C525AE" w:rsidRDefault="000E2A1C" w:rsidP="000E2A1C">
      <w:pPr>
        <w:pStyle w:val="Figure"/>
        <w:rPr>
          <w:lang w:val="es-ES_tradnl"/>
        </w:rPr>
      </w:pPr>
      <w:r w:rsidRPr="00C525AE">
        <w:rPr>
          <w:lang w:val="es-ES_tradnl"/>
        </w:rPr>
        <w:object w:dxaOrig="5534" w:dyaOrig="5414" w14:anchorId="55657BF2">
          <v:shape id="_x0000_i1028" type="#_x0000_t75" style="width:366.55pt;height:5in" o:ole="">
            <v:imagedata r:id="rId20" o:title=""/>
          </v:shape>
          <o:OLEObject Type="Embed" ProgID="CorelDraw.Graphic.16" ShapeID="_x0000_i1028" DrawAspect="Content" ObjectID="_1792331109" r:id="rId21"/>
        </w:object>
      </w:r>
    </w:p>
    <w:p w14:paraId="2F5B02B7" w14:textId="77777777" w:rsidR="000E2A1C" w:rsidRPr="00C525AE" w:rsidRDefault="000E2A1C" w:rsidP="000E2A1C">
      <w:pPr>
        <w:pStyle w:val="Heading2"/>
        <w:rPr>
          <w:lang w:val="es-ES_tradnl"/>
        </w:rPr>
      </w:pPr>
      <w:r w:rsidRPr="00C525AE">
        <w:rPr>
          <w:lang w:val="es-ES_tradnl"/>
        </w:rPr>
        <w:lastRenderedPageBreak/>
        <w:t>3.4</w:t>
      </w:r>
      <w:r w:rsidRPr="00C525AE">
        <w:rPr>
          <w:lang w:val="es-ES_tradnl"/>
        </w:rPr>
        <w:tab/>
        <w:t>Limitaciones geográficas operativas</w:t>
      </w:r>
    </w:p>
    <w:p w14:paraId="5183FC59" w14:textId="77777777" w:rsidR="000E2A1C" w:rsidRPr="00C525AE" w:rsidRDefault="000E2A1C" w:rsidP="000E2A1C">
      <w:pPr>
        <w:rPr>
          <w:lang w:val="es-ES_tradnl" w:eastAsia="zh-CN"/>
        </w:rPr>
      </w:pPr>
      <w:bookmarkStart w:id="3" w:name="OLE_LINK3"/>
      <w:bookmarkStart w:id="4" w:name="OLE_LINK4"/>
      <w:r w:rsidRPr="00E56D38">
        <w:rPr>
          <w:lang w:val="es-ES_tradnl" w:eastAsia="zh-CN"/>
        </w:rPr>
        <w:t>Los radares de detección en la gama 40-50 MHz están diseñados para funcionar en zonas deshabitadas o escasamente habitadas de las capas de hielo (por ejemplo, en Groenlandia y en la Antártica),</w:t>
      </w:r>
      <w:r w:rsidRPr="00C525AE">
        <w:rPr>
          <w:lang w:val="es-ES_tradnl" w:eastAsia="zh-CN"/>
        </w:rPr>
        <w:t xml:space="preserve"> y de los desiertos </w:t>
      </w:r>
      <w:r>
        <w:rPr>
          <w:lang w:val="es-ES_tradnl" w:eastAsia="zh-CN"/>
        </w:rPr>
        <w:t>(por ejemplo, en el</w:t>
      </w:r>
      <w:r w:rsidRPr="00C525AE">
        <w:rPr>
          <w:lang w:val="es-ES_tradnl" w:eastAsia="zh-CN"/>
        </w:rPr>
        <w:t xml:space="preserve"> norte de África y </w:t>
      </w:r>
      <w:r>
        <w:rPr>
          <w:lang w:val="es-ES_tradnl" w:eastAsia="zh-CN"/>
        </w:rPr>
        <w:t xml:space="preserve">en </w:t>
      </w:r>
      <w:r w:rsidRPr="00C525AE">
        <w:rPr>
          <w:lang w:val="es-ES_tradnl" w:eastAsia="zh-CN"/>
        </w:rPr>
        <w:t>la Península Arábiga</w:t>
      </w:r>
      <w:r>
        <w:rPr>
          <w:lang w:val="es-ES_tradnl" w:eastAsia="zh-CN"/>
        </w:rPr>
        <w:t>)</w:t>
      </w:r>
      <w:r w:rsidRPr="00C525AE">
        <w:rPr>
          <w:lang w:val="es-ES_tradnl" w:eastAsia="zh-CN"/>
        </w:rPr>
        <w:t xml:space="preserve"> y </w:t>
      </w:r>
      <w:r>
        <w:rPr>
          <w:lang w:val="es-ES_tradnl" w:eastAsia="zh-CN"/>
        </w:rPr>
        <w:t xml:space="preserve">de duración limitada. Por ejemplo, se espera que el funcionamiento de la misión propuesta no supere los </w:t>
      </w:r>
      <w:r w:rsidRPr="00C525AE">
        <w:rPr>
          <w:lang w:val="es-ES_tradnl" w:eastAsia="zh-CN"/>
        </w:rPr>
        <w:t>10 mi</w:t>
      </w:r>
      <w:r>
        <w:rPr>
          <w:lang w:val="es-ES_tradnl" w:eastAsia="zh-CN"/>
        </w:rPr>
        <w:t>nutos de duración por órbita de </w:t>
      </w:r>
      <w:r w:rsidRPr="00C525AE">
        <w:rPr>
          <w:lang w:val="es-ES_tradnl" w:eastAsia="zh-CN"/>
        </w:rPr>
        <w:t>92,7 minutos.</w:t>
      </w:r>
    </w:p>
    <w:p w14:paraId="4F74C251" w14:textId="6DA9A3BB" w:rsidR="000E2A1C" w:rsidRPr="00C525AE" w:rsidRDefault="000E2A1C" w:rsidP="000E2A1C">
      <w:pPr>
        <w:rPr>
          <w:lang w:val="es-ES_tradnl" w:eastAsia="zh-CN"/>
        </w:rPr>
      </w:pPr>
      <w:r w:rsidRPr="00C525AE">
        <w:rPr>
          <w:lang w:val="es-ES_tradnl" w:eastAsia="zh-CN"/>
        </w:rPr>
        <w:t>En la Fig</w:t>
      </w:r>
      <w:r w:rsidR="00E145B2">
        <w:rPr>
          <w:lang w:val="es-ES_tradnl" w:eastAsia="zh-CN"/>
        </w:rPr>
        <w:t>. </w:t>
      </w:r>
      <w:r w:rsidRPr="00C525AE">
        <w:rPr>
          <w:lang w:val="es-ES_tradnl" w:eastAsia="zh-CN"/>
        </w:rPr>
        <w:t>4 se muestran las zonas de cobertura en las regiones propuestas para las operaciones que describen la zona geográfica sobre la que se propagará la señal transmitida.</w:t>
      </w:r>
    </w:p>
    <w:p w14:paraId="4D4F6B0D" w14:textId="77777777" w:rsidR="000E2A1C" w:rsidRPr="00C525AE" w:rsidRDefault="000E2A1C" w:rsidP="000E2A1C">
      <w:pPr>
        <w:pStyle w:val="FigureNo"/>
        <w:rPr>
          <w:lang w:val="es-ES_tradnl"/>
        </w:rPr>
      </w:pPr>
      <w:r w:rsidRPr="00C525AE">
        <w:rPr>
          <w:lang w:val="es-ES_tradnl"/>
        </w:rPr>
        <w:t>FI</w:t>
      </w:r>
      <w:r w:rsidRPr="00C525AE">
        <w:rPr>
          <w:szCs w:val="18"/>
          <w:lang w:val="es-ES_tradnl" w:eastAsia="zh-CN"/>
        </w:rPr>
        <w:t>GURA</w:t>
      </w:r>
      <w:r w:rsidRPr="00C525AE">
        <w:rPr>
          <w:lang w:val="es-ES_tradnl"/>
        </w:rPr>
        <w:t xml:space="preserve"> 4</w:t>
      </w:r>
    </w:p>
    <w:p w14:paraId="7ACAB274" w14:textId="77777777" w:rsidR="000E2A1C" w:rsidRPr="00C525AE" w:rsidRDefault="000E2A1C" w:rsidP="000E2A1C">
      <w:pPr>
        <w:pStyle w:val="Figuretitle"/>
        <w:rPr>
          <w:lang w:val="es-ES_tradnl"/>
        </w:rPr>
      </w:pPr>
      <w:r w:rsidRPr="00C525AE">
        <w:rPr>
          <w:lang w:val="es-ES_tradnl" w:eastAsia="zh-CN"/>
        </w:rPr>
        <w:t>Cobertura de la sonda de radar a bordo de vehículo espacial</w:t>
      </w:r>
    </w:p>
    <w:p w14:paraId="4D2CF916" w14:textId="77777777" w:rsidR="000E2A1C" w:rsidRPr="00C525AE" w:rsidRDefault="000E2A1C" w:rsidP="000E2A1C">
      <w:pPr>
        <w:pStyle w:val="Figure"/>
        <w:rPr>
          <w:lang w:val="es-ES_tradnl"/>
        </w:rPr>
      </w:pPr>
      <w:r w:rsidRPr="00C525AE">
        <w:rPr>
          <w:lang w:val="es-ES_tradnl"/>
        </w:rPr>
        <w:t>-</w:t>
      </w:r>
      <w:r w:rsidRPr="00C525AE">
        <w:rPr>
          <w:noProof/>
          <w:lang w:val="en-GB" w:eastAsia="en-GB"/>
        </w:rPr>
        <w:drawing>
          <wp:inline distT="0" distB="0" distL="0" distR="0" wp14:anchorId="221FA16B" wp14:editId="3D1B6D20">
            <wp:extent cx="4515902" cy="2242512"/>
            <wp:effectExtent l="0" t="0" r="0" b="5715"/>
            <wp:docPr id="3" name="Picture 3" descr="A map of the world with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world with different continents&#10;&#10;Description automatically generated"/>
                    <pic:cNvPicPr/>
                  </pic:nvPicPr>
                  <pic:blipFill>
                    <a:blip r:embed="rId22" cstate="print"/>
                    <a:stretch>
                      <a:fillRect/>
                    </a:stretch>
                  </pic:blipFill>
                  <pic:spPr>
                    <a:xfrm>
                      <a:off x="0" y="0"/>
                      <a:ext cx="4513772" cy="2241454"/>
                    </a:xfrm>
                    <a:prstGeom prst="rect">
                      <a:avLst/>
                    </a:prstGeom>
                  </pic:spPr>
                </pic:pic>
              </a:graphicData>
            </a:graphic>
          </wp:inline>
        </w:drawing>
      </w:r>
    </w:p>
    <w:p w14:paraId="515C9F07" w14:textId="77777777" w:rsidR="000E2A1C" w:rsidRDefault="000E2A1C" w:rsidP="000E2A1C">
      <w:pPr>
        <w:pStyle w:val="Normalaftertitle"/>
        <w:rPr>
          <w:lang w:val="es-ES_tradnl" w:eastAsia="zh-CN"/>
        </w:rPr>
      </w:pPr>
      <w:r>
        <w:rPr>
          <w:lang w:val="es-ES_tradnl" w:eastAsia="zh-CN"/>
        </w:rPr>
        <w:t>Los radares de detección están diseñados</w:t>
      </w:r>
      <w:r w:rsidRPr="00C525AE">
        <w:rPr>
          <w:lang w:val="es-ES_tradnl" w:eastAsia="zh-CN"/>
        </w:rPr>
        <w:t xml:space="preserve"> </w:t>
      </w:r>
      <w:r>
        <w:rPr>
          <w:lang w:val="es-ES_tradnl" w:eastAsia="zh-CN"/>
        </w:rPr>
        <w:t>para</w:t>
      </w:r>
      <w:r w:rsidRPr="00C525AE">
        <w:rPr>
          <w:lang w:val="es-ES_tradnl" w:eastAsia="zh-CN"/>
        </w:rPr>
        <w:t xml:space="preserve"> explotarse </w:t>
      </w:r>
      <w:r>
        <w:rPr>
          <w:lang w:val="es-ES_tradnl" w:eastAsia="zh-CN"/>
        </w:rPr>
        <w:t>sólo en una ventana de unas pocas horas</w:t>
      </w:r>
      <w:r w:rsidRPr="00C525AE">
        <w:rPr>
          <w:lang w:val="es-ES_tradnl" w:eastAsia="zh-CN"/>
        </w:rPr>
        <w:t>,</w:t>
      </w:r>
      <w:r>
        <w:rPr>
          <w:lang w:val="es-ES_tradnl" w:eastAsia="zh-CN"/>
        </w:rPr>
        <w:t xml:space="preserve"> centrada aproximadamente alrededor de las 04.00 horas,</w:t>
      </w:r>
      <w:r w:rsidRPr="00C525AE">
        <w:rPr>
          <w:lang w:val="es-ES_tradnl" w:eastAsia="zh-CN"/>
        </w:rPr>
        <w:t xml:space="preserve"> hora local. Este horario se escogió porque </w:t>
      </w:r>
      <w:bookmarkEnd w:id="3"/>
      <w:bookmarkEnd w:id="4"/>
      <w:r w:rsidRPr="00C525AE">
        <w:rPr>
          <w:lang w:val="es-ES_tradnl" w:eastAsia="zh-CN"/>
        </w:rPr>
        <w:t>las perturbaciones ionosféricas a la señal de radar son mínimas durante ese periodo y porque se espera el menor uso del espectro por parte otros servicios.</w:t>
      </w:r>
    </w:p>
    <w:p w14:paraId="694DA7CE" w14:textId="3E6D30EB" w:rsidR="000E2A1C" w:rsidRPr="000E2A1C" w:rsidRDefault="000E2A1C" w:rsidP="000E2A1C">
      <w:pPr>
        <w:pStyle w:val="Heading2"/>
      </w:pPr>
      <w:r w:rsidRPr="000E2A1C">
        <w:t>3.5</w:t>
      </w:r>
      <w:r w:rsidRPr="000E2A1C">
        <w:tab/>
        <w:t>E</w:t>
      </w:r>
      <w:r w:rsidR="006B02AD">
        <w:t>spectro de la emisión</w:t>
      </w:r>
    </w:p>
    <w:p w14:paraId="632B88FD" w14:textId="46062931" w:rsidR="000E2A1C" w:rsidRDefault="000E2A1C" w:rsidP="000E2A1C">
      <w:r w:rsidRPr="00EA6FCE">
        <w:t>La Fig</w:t>
      </w:r>
      <w:r w:rsidR="00E145B2">
        <w:t>. </w:t>
      </w:r>
      <w:r w:rsidRPr="00EA6FCE">
        <w:t>5 muestra la forma de onda típica del espectro de emisión de chirridos que cabe esperar para la sonda de radar que funciona en la gama de frecuencias de 40-50 MHz. En la práctica, el filtrado de paso de banda se aplica a menudo para atenuar la potencia fuera de banda.</w:t>
      </w:r>
    </w:p>
    <w:p w14:paraId="2A6A3EF0" w14:textId="77777777" w:rsidR="000D50D0" w:rsidRPr="000745A7" w:rsidRDefault="000D50D0" w:rsidP="00F94881">
      <w:pPr>
        <w:pStyle w:val="FigureNo"/>
      </w:pPr>
      <w:bookmarkStart w:id="5" w:name="_Ref42246390"/>
      <w:r w:rsidRPr="000745A7">
        <w:lastRenderedPageBreak/>
        <w:t>FIGURA 5</w:t>
      </w:r>
      <w:bookmarkEnd w:id="5"/>
    </w:p>
    <w:p w14:paraId="7F59E3E8" w14:textId="1260D671" w:rsidR="000D50D0" w:rsidRDefault="000D50D0" w:rsidP="00F94881">
      <w:pPr>
        <w:pStyle w:val="Figure"/>
        <w:keepNext/>
        <w:rPr>
          <w:b/>
          <w:bCs/>
          <w:caps w:val="0"/>
          <w:lang w:val="es-ES_tradnl" w:eastAsia="zh-CN"/>
        </w:rPr>
      </w:pPr>
      <w:r w:rsidRPr="00E145B2">
        <w:rPr>
          <w:b/>
          <w:bCs/>
          <w:caps w:val="0"/>
          <w:lang w:val="es-ES_tradnl" w:eastAsia="zh-CN"/>
        </w:rPr>
        <w:t>Espectro típico de emisión de chirridos</w:t>
      </w:r>
    </w:p>
    <w:p w14:paraId="1BDCFC0C" w14:textId="4E5FE5B2" w:rsidR="00F94881" w:rsidRPr="00F94881" w:rsidRDefault="00F94881" w:rsidP="00F94881">
      <w:pPr>
        <w:pStyle w:val="Figure"/>
        <w:keepNext/>
        <w:rPr>
          <w:lang w:val="es-ES_tradnl" w:eastAsia="zh-CN"/>
        </w:rPr>
      </w:pPr>
      <w:r>
        <w:rPr>
          <w:lang w:val="es-ES_tradnl" w:eastAsia="zh-CN"/>
        </w:rPr>
        <w:object w:dxaOrig="7464" w:dyaOrig="4687" w14:anchorId="4FFBAD9D">
          <v:shape id="_x0000_i1029" type="#_x0000_t75" style="width:373.1pt;height:234.7pt" o:ole="">
            <v:imagedata r:id="rId23" o:title=""/>
          </v:shape>
          <o:OLEObject Type="Embed" ProgID="CorelDraw.Graphic.24" ShapeID="_x0000_i1029" DrawAspect="Content" ObjectID="_1792331110" r:id="rId24"/>
        </w:object>
      </w:r>
    </w:p>
    <w:p w14:paraId="59F05AF5" w14:textId="77777777" w:rsidR="000E2A1C" w:rsidRPr="00C525AE" w:rsidRDefault="000E2A1C" w:rsidP="00E145B2">
      <w:pPr>
        <w:pStyle w:val="Heading1"/>
        <w:keepNext w:val="0"/>
        <w:keepLines w:val="0"/>
        <w:rPr>
          <w:lang w:val="es-ES_tradnl"/>
        </w:rPr>
      </w:pPr>
      <w:r w:rsidRPr="00C525AE">
        <w:rPr>
          <w:lang w:val="es-ES_tradnl"/>
        </w:rPr>
        <w:t>4</w:t>
      </w:r>
      <w:r w:rsidRPr="00C525AE">
        <w:rPr>
          <w:lang w:val="es-ES_tradnl"/>
        </w:rPr>
        <w:tab/>
      </w:r>
      <w:r>
        <w:rPr>
          <w:lang w:val="es-ES_tradnl"/>
        </w:rPr>
        <w:t>N</w:t>
      </w:r>
      <w:r w:rsidRPr="00C525AE">
        <w:rPr>
          <w:lang w:val="es-ES_tradnl"/>
        </w:rPr>
        <w:t>iveles de dfp en la superficie terrestre</w:t>
      </w:r>
    </w:p>
    <w:p w14:paraId="74DE3FD8" w14:textId="77777777" w:rsidR="000E2A1C" w:rsidRDefault="000E2A1C" w:rsidP="00E145B2">
      <w:pPr>
        <w:tabs>
          <w:tab w:val="clear" w:pos="794"/>
          <w:tab w:val="clear" w:pos="1191"/>
          <w:tab w:val="clear" w:pos="1588"/>
          <w:tab w:val="clear" w:pos="1985"/>
          <w:tab w:val="left" w:pos="1134"/>
          <w:tab w:val="left" w:pos="1871"/>
          <w:tab w:val="left" w:pos="2268"/>
        </w:tabs>
        <w:rPr>
          <w:lang w:val="es-ES_tradnl"/>
        </w:rPr>
      </w:pPr>
      <w:r>
        <w:rPr>
          <w:lang w:val="es-ES_tradnl"/>
        </w:rPr>
        <w:t>L</w:t>
      </w:r>
      <w:r w:rsidRPr="00C525AE">
        <w:rPr>
          <w:lang w:val="es-ES_tradnl"/>
        </w:rPr>
        <w:t xml:space="preserve">a densidad de flujo de potencia (dfp) </w:t>
      </w:r>
      <w:r>
        <w:rPr>
          <w:lang w:val="es-ES_tradnl"/>
        </w:rPr>
        <w:t xml:space="preserve">media </w:t>
      </w:r>
      <w:r w:rsidRPr="00C525AE">
        <w:rPr>
          <w:lang w:val="es-ES_tradnl"/>
        </w:rPr>
        <w:t>en la superficie terrestre se calcula</w:t>
      </w:r>
      <w:r>
        <w:rPr>
          <w:lang w:val="es-ES_tradnl"/>
        </w:rPr>
        <w:t xml:space="preserve"> utilizando la fórmula del número </w:t>
      </w:r>
      <w:r>
        <w:rPr>
          <w:b/>
          <w:bCs/>
          <w:lang w:val="es-ES_tradnl"/>
        </w:rPr>
        <w:t>21.16.8</w:t>
      </w:r>
      <w:r>
        <w:rPr>
          <w:lang w:val="es-ES_tradnl"/>
        </w:rPr>
        <w:t>, edición de 2020.</w:t>
      </w:r>
    </w:p>
    <w:p w14:paraId="0D442F51" w14:textId="77777777" w:rsidR="000E2A1C" w:rsidRDefault="000E2A1C" w:rsidP="00E145B2">
      <w:pPr>
        <w:tabs>
          <w:tab w:val="clear" w:pos="794"/>
          <w:tab w:val="clear" w:pos="1191"/>
          <w:tab w:val="clear" w:pos="1588"/>
          <w:tab w:val="clear" w:pos="1985"/>
          <w:tab w:val="left" w:pos="1134"/>
          <w:tab w:val="left" w:pos="1871"/>
          <w:tab w:val="left" w:pos="2268"/>
        </w:tabs>
        <w:rPr>
          <w:lang w:val="es-ES_tradnl"/>
        </w:rPr>
      </w:pPr>
      <w:r w:rsidRPr="000B475D">
        <w:rPr>
          <w:lang w:val="es-ES_tradnl"/>
        </w:rPr>
        <w:t>Del mismo modo, el valor de cresta de la dfp puede calcularse eliminando el factor del ciclo de trabajo de la fórmula utilizada para calcular el valor medio de la dfp.</w:t>
      </w:r>
    </w:p>
    <w:p w14:paraId="0BD7F4FF" w14:textId="017BF082" w:rsidR="000E2A1C" w:rsidRDefault="000E2A1C" w:rsidP="00E145B2">
      <w:pPr>
        <w:tabs>
          <w:tab w:val="clear" w:pos="794"/>
          <w:tab w:val="clear" w:pos="1191"/>
          <w:tab w:val="clear" w:pos="1588"/>
          <w:tab w:val="clear" w:pos="1985"/>
          <w:tab w:val="left" w:pos="1134"/>
          <w:tab w:val="left" w:pos="1871"/>
          <w:tab w:val="left" w:pos="2268"/>
        </w:tabs>
        <w:rPr>
          <w:lang w:val="es-ES_tradnl"/>
        </w:rPr>
      </w:pPr>
      <w:r w:rsidRPr="007553EC">
        <w:rPr>
          <w:lang w:val="es-ES_tradnl"/>
        </w:rPr>
        <w:t>Para los parámetros de la sonda de radar del Cuadro 1, los valores medios de dfp en la superficie de la Tierra se indican en la Fig</w:t>
      </w:r>
      <w:r w:rsidR="00E91A47">
        <w:rPr>
          <w:lang w:val="es-ES_tradnl"/>
        </w:rPr>
        <w:t>. </w:t>
      </w:r>
      <w:r w:rsidRPr="007553EC">
        <w:rPr>
          <w:lang w:val="es-ES_tradnl"/>
        </w:rPr>
        <w:t xml:space="preserve">6. </w:t>
      </w:r>
      <w:r>
        <w:rPr>
          <w:lang w:val="es-ES_tradnl"/>
        </w:rPr>
        <w:t>De acuerdo con</w:t>
      </w:r>
      <w:r w:rsidRPr="007553EC">
        <w:rPr>
          <w:lang w:val="es-ES_tradnl"/>
        </w:rPr>
        <w:t xml:space="preserve"> la Fig</w:t>
      </w:r>
      <w:r w:rsidR="00E91A47">
        <w:rPr>
          <w:lang w:val="es-ES_tradnl"/>
        </w:rPr>
        <w:t>. </w:t>
      </w:r>
      <w:r w:rsidRPr="007553EC">
        <w:rPr>
          <w:lang w:val="es-ES_tradnl"/>
        </w:rPr>
        <w:t xml:space="preserve">6, el valor medio máximo de dfp es </w:t>
      </w:r>
      <w:r w:rsidR="00356FD9">
        <w:rPr>
          <w:lang w:val="es-ES_tradnl"/>
        </w:rPr>
        <w:br/>
      </w:r>
      <w:r w:rsidRPr="007553EC">
        <w:rPr>
          <w:lang w:val="es-ES_tradnl"/>
        </w:rPr>
        <w:t>−135,96 dB(W/m</w:t>
      </w:r>
      <w:r w:rsidRPr="00F56556">
        <w:rPr>
          <w:vertAlign w:val="superscript"/>
          <w:lang w:val="es-ES_tradnl"/>
        </w:rPr>
        <w:t>2</w:t>
      </w:r>
      <w:r w:rsidRPr="007553EC">
        <w:rPr>
          <w:lang w:val="es-ES_tradnl"/>
        </w:rPr>
        <w:t xml:space="preserve"> 4kHz) y el valor máximo resultante de dfp de cresta es −126,05 dB(W/m</w:t>
      </w:r>
      <w:r w:rsidRPr="00F56556">
        <w:rPr>
          <w:vertAlign w:val="superscript"/>
          <w:lang w:val="es-ES_tradnl"/>
        </w:rPr>
        <w:t>2</w:t>
      </w:r>
      <w:r w:rsidRPr="007553EC">
        <w:rPr>
          <w:lang w:val="es-ES_tradnl"/>
        </w:rPr>
        <w:t xml:space="preserve"> 4kHz).</w:t>
      </w:r>
    </w:p>
    <w:p w14:paraId="76DE8172" w14:textId="77777777" w:rsidR="000E2A1C" w:rsidRPr="000E2A1C" w:rsidRDefault="000E2A1C" w:rsidP="00F94881">
      <w:pPr>
        <w:pStyle w:val="FigureNo"/>
      </w:pPr>
      <w:r w:rsidRPr="000E2A1C">
        <w:lastRenderedPageBreak/>
        <w:t>FIGURA 6</w:t>
      </w:r>
    </w:p>
    <w:p w14:paraId="5118F610" w14:textId="48347055" w:rsidR="000E2A1C" w:rsidRDefault="000E2A1C" w:rsidP="00F94881">
      <w:pPr>
        <w:pStyle w:val="Figuretitle"/>
        <w:keepLines/>
        <w:rPr>
          <w:rFonts w:cs="Times New Roman Bold"/>
        </w:rPr>
      </w:pPr>
      <w:r w:rsidRPr="00DF0D02">
        <w:t xml:space="preserve">Densidad de flujo de potencia (dfp) en función del ángulo de elevación </w:t>
      </w:r>
      <w:r w:rsidRPr="00692BA1">
        <w:rPr>
          <w:rFonts w:cs="Times New Roman Bold"/>
        </w:rPr>
        <w:t>δ</w:t>
      </w:r>
      <w:r w:rsidR="00E145B2">
        <w:rPr>
          <w:rFonts w:cs="Times New Roman Bold"/>
        </w:rPr>
        <w:t xml:space="preserve"> </w:t>
      </w:r>
      <w:r w:rsidRPr="00DF0D02">
        <w:rPr>
          <w:rFonts w:cs="Times New Roman Bold"/>
        </w:rPr>
        <w:t xml:space="preserve">para la sonda de radar </w:t>
      </w:r>
      <w:r w:rsidR="00E145B2">
        <w:rPr>
          <w:rFonts w:cs="Times New Roman Bold"/>
        </w:rPr>
        <w:br/>
      </w:r>
      <w:r>
        <w:rPr>
          <w:rFonts w:cs="Times New Roman Bold"/>
        </w:rPr>
        <w:t>en vehículos espaciales</w:t>
      </w:r>
      <w:r w:rsidRPr="00DF0D02">
        <w:rPr>
          <w:rFonts w:cs="Times New Roman Bold"/>
        </w:rPr>
        <w:t xml:space="preserve"> en ondas</w:t>
      </w:r>
      <w:r>
        <w:rPr>
          <w:rFonts w:cs="Times New Roman Bold"/>
        </w:rPr>
        <w:t xml:space="preserve"> métricas descrita en el Cuadro 1 </w:t>
      </w:r>
      <w:r w:rsidR="00E145B2">
        <w:rPr>
          <w:rFonts w:cs="Times New Roman Bold"/>
        </w:rPr>
        <w:br/>
      </w:r>
      <w:r>
        <w:rPr>
          <w:rFonts w:cs="Times New Roman Bold"/>
        </w:rPr>
        <w:t>(anchura de banda de referencia de 4kHz)</w:t>
      </w:r>
    </w:p>
    <w:p w14:paraId="23277E4E" w14:textId="31F2B7B2" w:rsidR="00F94881" w:rsidRPr="00F94881" w:rsidRDefault="00F94881" w:rsidP="00F94881">
      <w:pPr>
        <w:pStyle w:val="Figure"/>
        <w:keepNext/>
      </w:pPr>
      <w:r>
        <w:object w:dxaOrig="7934" w:dyaOrig="5357" w14:anchorId="477DF18B">
          <v:shape id="_x0000_i1032" type="#_x0000_t75" style="width:396.45pt;height:267.45pt" o:ole="">
            <v:imagedata r:id="rId25" o:title=""/>
          </v:shape>
          <o:OLEObject Type="Embed" ProgID="CorelDraw.Graphic.24" ShapeID="_x0000_i1032" DrawAspect="Content" ObjectID="_1792331111" r:id="rId26"/>
        </w:object>
      </w:r>
    </w:p>
    <w:p w14:paraId="4F6C3BE7" w14:textId="77777777" w:rsidR="000E2A1C" w:rsidRPr="00C525AE" w:rsidRDefault="000E2A1C" w:rsidP="000E2A1C">
      <w:pPr>
        <w:pStyle w:val="Heading1"/>
        <w:rPr>
          <w:lang w:val="es-ES_tradnl"/>
        </w:rPr>
      </w:pPr>
      <w:r w:rsidRPr="00C525AE">
        <w:rPr>
          <w:lang w:val="es-ES_tradnl"/>
        </w:rPr>
        <w:t>5</w:t>
      </w:r>
      <w:r w:rsidRPr="00C525AE">
        <w:rPr>
          <w:lang w:val="es-ES_tradnl"/>
        </w:rPr>
        <w:tab/>
        <w:t>Conclusiones</w:t>
      </w:r>
    </w:p>
    <w:p w14:paraId="0642F6DF" w14:textId="77777777" w:rsidR="000E2A1C" w:rsidRPr="00C525AE" w:rsidRDefault="000E2A1C" w:rsidP="000E2A1C">
      <w:pPr>
        <w:keepNext/>
        <w:keepLines/>
        <w:tabs>
          <w:tab w:val="clear" w:pos="794"/>
          <w:tab w:val="clear" w:pos="1191"/>
          <w:tab w:val="clear" w:pos="1588"/>
          <w:tab w:val="clear" w:pos="1985"/>
          <w:tab w:val="left" w:pos="1134"/>
          <w:tab w:val="left" w:pos="1871"/>
          <w:tab w:val="left" w:pos="2268"/>
        </w:tabs>
        <w:rPr>
          <w:lang w:val="es-ES_tradnl"/>
        </w:rPr>
      </w:pPr>
      <w:r w:rsidRPr="00C525AE">
        <w:rPr>
          <w:lang w:val="es-ES_tradnl"/>
        </w:rPr>
        <w:t>Existe un interés por la teledetección en las bandas cercanas a 40-50 MHz para su uso en mediciones a distancia bajo la superficie de la Tierra y la obtención de cartografías de radar de las capas subterráneas de dispersión con el objetivo de localizar depósitos de agua/hielo, mediante la utilización de sensores activos en vehículos espaciales. Este Anexo presenta los argumentos para la selección de las bandas de frecuencias preferidas, y las características técnicas y de funcionamiento típicas para un posible sistema</w:t>
      </w:r>
      <w:r>
        <w:rPr>
          <w:lang w:val="es-ES_tradnl"/>
        </w:rPr>
        <w:t xml:space="preserve"> para su utilización en estudios de compartición y compatibilidad.</w:t>
      </w:r>
    </w:p>
    <w:p w14:paraId="52057658" w14:textId="77777777" w:rsidR="000E2A1C" w:rsidRPr="00C525AE" w:rsidRDefault="000E2A1C" w:rsidP="00E145B2">
      <w:pPr>
        <w:rPr>
          <w:lang w:val="es-ES_tradnl"/>
        </w:rPr>
      </w:pPr>
    </w:p>
    <w:p w14:paraId="27DD1FDD" w14:textId="77777777" w:rsidR="00E145B2" w:rsidRDefault="00E145B2" w:rsidP="00E145B2">
      <w:pPr>
        <w:pStyle w:val="Line"/>
      </w:pPr>
    </w:p>
    <w:sectPr w:rsidR="00E145B2" w:rsidSect="007565CC">
      <w:footerReference w:type="default" r:id="rId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4F2B4" w14:textId="77777777" w:rsidR="000E2A1C" w:rsidRDefault="000E2A1C">
      <w:r>
        <w:separator/>
      </w:r>
    </w:p>
  </w:endnote>
  <w:endnote w:type="continuationSeparator" w:id="0">
    <w:p w14:paraId="17EFBBEC" w14:textId="77777777" w:rsidR="000E2A1C" w:rsidRDefault="000E2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DBC16" w14:textId="77777777" w:rsidR="00301DB3" w:rsidRDefault="00301DB3">
    <w:pPr>
      <w:pStyle w:val="Footer"/>
    </w:pPr>
    <w:r>
      <w:drawing>
        <wp:anchor distT="0" distB="0" distL="0" distR="0" simplePos="0" relativeHeight="251656192" behindDoc="0" locked="0" layoutInCell="1" allowOverlap="1" wp14:anchorId="6C0737AE" wp14:editId="6BF00BF0">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FFA0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89EF9" w14:textId="77777777" w:rsidR="000E2A1C" w:rsidRDefault="000E2A1C">
      <w:r>
        <w:separator/>
      </w:r>
    </w:p>
  </w:footnote>
  <w:footnote w:type="continuationSeparator" w:id="0">
    <w:p w14:paraId="514EC04F" w14:textId="77777777" w:rsidR="000E2A1C" w:rsidRDefault="000E2A1C">
      <w:r>
        <w:continuationSeparator/>
      </w:r>
    </w:p>
  </w:footnote>
  <w:footnote w:id="1">
    <w:p w14:paraId="7AB7208F" w14:textId="77777777" w:rsidR="000E2A1C" w:rsidRPr="00E16B8F" w:rsidRDefault="000E2A1C" w:rsidP="000E2A1C">
      <w:pPr>
        <w:pStyle w:val="FootnoteText"/>
      </w:pPr>
      <w:r w:rsidRPr="00EE1B61">
        <w:rPr>
          <w:rStyle w:val="FootnoteReference"/>
        </w:rPr>
        <w:footnoteRef/>
      </w:r>
      <w:r w:rsidRPr="00EE1B61">
        <w:tab/>
      </w:r>
      <w:r>
        <w:t>Órbitas heliosíncronas</w:t>
      </w:r>
      <w:r w:rsidRPr="00EE1B61">
        <w:t xml:space="preserve"> (SSO).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A4AB6"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43B4C2CF" w14:textId="77777777" w:rsidTr="0019307B">
      <w:tc>
        <w:tcPr>
          <w:tcW w:w="4634" w:type="dxa"/>
          <w:vAlign w:val="center"/>
        </w:tcPr>
        <w:p w14:paraId="5DBEFA93"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29FB378"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3E894B7" w14:textId="77777777" w:rsidTr="0019307B">
      <w:tc>
        <w:tcPr>
          <w:tcW w:w="4634" w:type="dxa"/>
          <w:vAlign w:val="center"/>
        </w:tcPr>
        <w:p w14:paraId="08A24C3B"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5553336C"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3C9E328E"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0775E67" wp14:editId="2E6D8FED">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C375056" wp14:editId="3111D9E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0BA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C06580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4E0FA30" wp14:editId="15EACEA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07683"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E13AD" w14:textId="5AA103E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12FD">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0A4398">
      <w:rPr>
        <w:b/>
        <w:bCs/>
        <w:noProof/>
        <w:lang w:val="en-US"/>
      </w:rPr>
      <w:t>UIT-R  RS.2042-2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80FD6" w14:textId="3F68E642"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B912F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0A4398">
      <w:rPr>
        <w:b/>
        <w:bCs/>
        <w:noProof/>
      </w:rPr>
      <w:t>UIT-R  RS.2042-2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1C"/>
    <w:rsid w:val="00013002"/>
    <w:rsid w:val="000246E0"/>
    <w:rsid w:val="00036EE3"/>
    <w:rsid w:val="00057C90"/>
    <w:rsid w:val="00072484"/>
    <w:rsid w:val="0008639F"/>
    <w:rsid w:val="00095530"/>
    <w:rsid w:val="00096612"/>
    <w:rsid w:val="000A4398"/>
    <w:rsid w:val="000A4A32"/>
    <w:rsid w:val="000B1B2B"/>
    <w:rsid w:val="000B7683"/>
    <w:rsid w:val="000D0677"/>
    <w:rsid w:val="000D50D0"/>
    <w:rsid w:val="000D6593"/>
    <w:rsid w:val="000E0548"/>
    <w:rsid w:val="000E2A1C"/>
    <w:rsid w:val="000E6A6E"/>
    <w:rsid w:val="00102934"/>
    <w:rsid w:val="00103265"/>
    <w:rsid w:val="00120C75"/>
    <w:rsid w:val="00133038"/>
    <w:rsid w:val="00147110"/>
    <w:rsid w:val="001511A6"/>
    <w:rsid w:val="00171C4D"/>
    <w:rsid w:val="0017562F"/>
    <w:rsid w:val="0019307B"/>
    <w:rsid w:val="001B0927"/>
    <w:rsid w:val="001B164E"/>
    <w:rsid w:val="001B7886"/>
    <w:rsid w:val="001F38BB"/>
    <w:rsid w:val="002058CE"/>
    <w:rsid w:val="002165F1"/>
    <w:rsid w:val="00233211"/>
    <w:rsid w:val="002433B5"/>
    <w:rsid w:val="00247071"/>
    <w:rsid w:val="00260B24"/>
    <w:rsid w:val="0027411A"/>
    <w:rsid w:val="00276D21"/>
    <w:rsid w:val="00282DCF"/>
    <w:rsid w:val="00296D7F"/>
    <w:rsid w:val="002A5D45"/>
    <w:rsid w:val="002B3CF6"/>
    <w:rsid w:val="002B3E59"/>
    <w:rsid w:val="002C768A"/>
    <w:rsid w:val="002D0BD7"/>
    <w:rsid w:val="002D76C4"/>
    <w:rsid w:val="002F5199"/>
    <w:rsid w:val="00301DB3"/>
    <w:rsid w:val="00305119"/>
    <w:rsid w:val="003157F1"/>
    <w:rsid w:val="00346EC2"/>
    <w:rsid w:val="00356B5D"/>
    <w:rsid w:val="00356FD9"/>
    <w:rsid w:val="00357707"/>
    <w:rsid w:val="0036627C"/>
    <w:rsid w:val="003E5516"/>
    <w:rsid w:val="003F4B75"/>
    <w:rsid w:val="004045B7"/>
    <w:rsid w:val="00410651"/>
    <w:rsid w:val="00420DFD"/>
    <w:rsid w:val="00425BC7"/>
    <w:rsid w:val="00437A76"/>
    <w:rsid w:val="004604B2"/>
    <w:rsid w:val="00470E28"/>
    <w:rsid w:val="0047379B"/>
    <w:rsid w:val="00474170"/>
    <w:rsid w:val="00477729"/>
    <w:rsid w:val="004842E2"/>
    <w:rsid w:val="00486EB3"/>
    <w:rsid w:val="004934C5"/>
    <w:rsid w:val="004A6FEB"/>
    <w:rsid w:val="004D0DF1"/>
    <w:rsid w:val="004E61FF"/>
    <w:rsid w:val="005373E0"/>
    <w:rsid w:val="00556548"/>
    <w:rsid w:val="00571B1C"/>
    <w:rsid w:val="00576D47"/>
    <w:rsid w:val="00586EF8"/>
    <w:rsid w:val="005B0371"/>
    <w:rsid w:val="005B49AB"/>
    <w:rsid w:val="005B50E7"/>
    <w:rsid w:val="005C260E"/>
    <w:rsid w:val="005C4BAB"/>
    <w:rsid w:val="005E12A5"/>
    <w:rsid w:val="005E69F0"/>
    <w:rsid w:val="005E7B4F"/>
    <w:rsid w:val="005F003B"/>
    <w:rsid w:val="005F2E73"/>
    <w:rsid w:val="00601882"/>
    <w:rsid w:val="00604826"/>
    <w:rsid w:val="00607D68"/>
    <w:rsid w:val="00613212"/>
    <w:rsid w:val="006149B1"/>
    <w:rsid w:val="00640332"/>
    <w:rsid w:val="00680D2B"/>
    <w:rsid w:val="00681B32"/>
    <w:rsid w:val="0069322D"/>
    <w:rsid w:val="00697887"/>
    <w:rsid w:val="006B02AD"/>
    <w:rsid w:val="006B1D2B"/>
    <w:rsid w:val="006B1E05"/>
    <w:rsid w:val="006C37D5"/>
    <w:rsid w:val="006D7A63"/>
    <w:rsid w:val="006E1131"/>
    <w:rsid w:val="006E2037"/>
    <w:rsid w:val="006E6199"/>
    <w:rsid w:val="00712870"/>
    <w:rsid w:val="00714AC0"/>
    <w:rsid w:val="0074147D"/>
    <w:rsid w:val="00743D85"/>
    <w:rsid w:val="00744F8B"/>
    <w:rsid w:val="00747D6E"/>
    <w:rsid w:val="00753CF4"/>
    <w:rsid w:val="007565CC"/>
    <w:rsid w:val="007624B1"/>
    <w:rsid w:val="00763B9A"/>
    <w:rsid w:val="007A6AA8"/>
    <w:rsid w:val="007B1357"/>
    <w:rsid w:val="007B3343"/>
    <w:rsid w:val="007C4CDA"/>
    <w:rsid w:val="008310C9"/>
    <w:rsid w:val="008335F0"/>
    <w:rsid w:val="00834306"/>
    <w:rsid w:val="00853CC5"/>
    <w:rsid w:val="0087130E"/>
    <w:rsid w:val="00877E6E"/>
    <w:rsid w:val="008B083A"/>
    <w:rsid w:val="008B56B2"/>
    <w:rsid w:val="008C37C3"/>
    <w:rsid w:val="008C7848"/>
    <w:rsid w:val="00906589"/>
    <w:rsid w:val="00906AD6"/>
    <w:rsid w:val="00917AF2"/>
    <w:rsid w:val="0092418A"/>
    <w:rsid w:val="00934ED7"/>
    <w:rsid w:val="00940D16"/>
    <w:rsid w:val="009535C6"/>
    <w:rsid w:val="009543C3"/>
    <w:rsid w:val="00966E1B"/>
    <w:rsid w:val="00972F51"/>
    <w:rsid w:val="00984A02"/>
    <w:rsid w:val="009947C0"/>
    <w:rsid w:val="009A4039"/>
    <w:rsid w:val="009A41F9"/>
    <w:rsid w:val="009D4BBD"/>
    <w:rsid w:val="009F2D2C"/>
    <w:rsid w:val="009F2D88"/>
    <w:rsid w:val="009F5580"/>
    <w:rsid w:val="00A03C0E"/>
    <w:rsid w:val="00A10C65"/>
    <w:rsid w:val="00A16BE1"/>
    <w:rsid w:val="00A239D1"/>
    <w:rsid w:val="00A25EE2"/>
    <w:rsid w:val="00A31928"/>
    <w:rsid w:val="00A35B27"/>
    <w:rsid w:val="00A507D4"/>
    <w:rsid w:val="00A5147A"/>
    <w:rsid w:val="00A62A14"/>
    <w:rsid w:val="00A6617B"/>
    <w:rsid w:val="00A71FE5"/>
    <w:rsid w:val="00A7534B"/>
    <w:rsid w:val="00A76007"/>
    <w:rsid w:val="00A86DD2"/>
    <w:rsid w:val="00A936CB"/>
    <w:rsid w:val="00A94E9E"/>
    <w:rsid w:val="00A971A1"/>
    <w:rsid w:val="00AA3AD8"/>
    <w:rsid w:val="00AA7FB6"/>
    <w:rsid w:val="00AB0DC8"/>
    <w:rsid w:val="00AB405C"/>
    <w:rsid w:val="00AC015D"/>
    <w:rsid w:val="00AE698D"/>
    <w:rsid w:val="00AF0286"/>
    <w:rsid w:val="00AF5326"/>
    <w:rsid w:val="00B019A2"/>
    <w:rsid w:val="00B0286E"/>
    <w:rsid w:val="00B033C8"/>
    <w:rsid w:val="00B111CE"/>
    <w:rsid w:val="00B33425"/>
    <w:rsid w:val="00B42334"/>
    <w:rsid w:val="00B44E24"/>
    <w:rsid w:val="00B54ECC"/>
    <w:rsid w:val="00B60AC0"/>
    <w:rsid w:val="00B714F3"/>
    <w:rsid w:val="00B75A52"/>
    <w:rsid w:val="00B874C6"/>
    <w:rsid w:val="00B87B6B"/>
    <w:rsid w:val="00B912FD"/>
    <w:rsid w:val="00B9169E"/>
    <w:rsid w:val="00B96572"/>
    <w:rsid w:val="00BB7886"/>
    <w:rsid w:val="00BC5D77"/>
    <w:rsid w:val="00BD4283"/>
    <w:rsid w:val="00BD5ADE"/>
    <w:rsid w:val="00BF487A"/>
    <w:rsid w:val="00BF5544"/>
    <w:rsid w:val="00C15F3E"/>
    <w:rsid w:val="00C46BD9"/>
    <w:rsid w:val="00C504BF"/>
    <w:rsid w:val="00C55258"/>
    <w:rsid w:val="00C64844"/>
    <w:rsid w:val="00C707D6"/>
    <w:rsid w:val="00C73560"/>
    <w:rsid w:val="00C84DB7"/>
    <w:rsid w:val="00C87A35"/>
    <w:rsid w:val="00CB0F14"/>
    <w:rsid w:val="00CD659B"/>
    <w:rsid w:val="00CE0A43"/>
    <w:rsid w:val="00CF130D"/>
    <w:rsid w:val="00CF3B01"/>
    <w:rsid w:val="00D00118"/>
    <w:rsid w:val="00D0483A"/>
    <w:rsid w:val="00D16749"/>
    <w:rsid w:val="00D5024B"/>
    <w:rsid w:val="00D61962"/>
    <w:rsid w:val="00D72623"/>
    <w:rsid w:val="00D83556"/>
    <w:rsid w:val="00DE5556"/>
    <w:rsid w:val="00DF4176"/>
    <w:rsid w:val="00E0095C"/>
    <w:rsid w:val="00E145B2"/>
    <w:rsid w:val="00E17240"/>
    <w:rsid w:val="00E31346"/>
    <w:rsid w:val="00E74595"/>
    <w:rsid w:val="00E77485"/>
    <w:rsid w:val="00E91A47"/>
    <w:rsid w:val="00EB1CB6"/>
    <w:rsid w:val="00EB7C57"/>
    <w:rsid w:val="00ED2695"/>
    <w:rsid w:val="00ED3CA8"/>
    <w:rsid w:val="00EE04BA"/>
    <w:rsid w:val="00EE47C4"/>
    <w:rsid w:val="00EF2D52"/>
    <w:rsid w:val="00F024FF"/>
    <w:rsid w:val="00F111D6"/>
    <w:rsid w:val="00F17CED"/>
    <w:rsid w:val="00F30C9B"/>
    <w:rsid w:val="00F354B1"/>
    <w:rsid w:val="00F354D7"/>
    <w:rsid w:val="00F6343F"/>
    <w:rsid w:val="00F70AED"/>
    <w:rsid w:val="00F72776"/>
    <w:rsid w:val="00F77360"/>
    <w:rsid w:val="00F80EA9"/>
    <w:rsid w:val="00F92A40"/>
    <w:rsid w:val="00F94881"/>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d62a47,#f8f8f8"/>
    </o:shapedefaults>
    <o:shapelayout v:ext="edit">
      <o:idmap v:ext="edit" data="2"/>
    </o:shapelayout>
  </w:shapeDefaults>
  <w:decimalSymbol w:val=","/>
  <w:listSeparator w:val=";"/>
  <w14:docId w14:val="6BFC3986"/>
  <w15:docId w15:val="{2B69CC84-306C-4CCD-BF75-3C54622F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7F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E145B2"/>
    <w:pPr>
      <w:spacing w:before="240"/>
    </w:pPr>
    <w:rPr>
      <w:sz w:val="22"/>
      <w:lang w:val="es-ES_tradnl" w:eastAsia="ar-SA"/>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E145B2"/>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NoChar">
    <w:name w:val="Table_No Char"/>
    <w:basedOn w:val="DefaultParagraphFont"/>
    <w:link w:val="TableNo"/>
    <w:rsid w:val="000E2A1C"/>
    <w:rPr>
      <w:sz w:val="24"/>
      <w:lang w:val="es-ES" w:eastAsia="en-US"/>
    </w:rPr>
  </w:style>
  <w:style w:type="character" w:customStyle="1" w:styleId="TabletitleChar">
    <w:name w:val="Table_title Char"/>
    <w:basedOn w:val="DefaultParagraphFont"/>
    <w:link w:val="Tabletitle"/>
    <w:rsid w:val="000E2A1C"/>
    <w:rPr>
      <w:b/>
      <w:sz w:val="24"/>
      <w:lang w:val="es-ES" w:eastAsia="en-US"/>
    </w:rPr>
  </w:style>
  <w:style w:type="character" w:customStyle="1" w:styleId="EquationChar">
    <w:name w:val="Equation Char"/>
    <w:basedOn w:val="DefaultParagraphFont"/>
    <w:link w:val="Equation"/>
    <w:locked/>
    <w:rsid w:val="000E2A1C"/>
    <w:rPr>
      <w:sz w:val="24"/>
      <w:lang w:val="es-ES" w:eastAsia="en-US"/>
    </w:rPr>
  </w:style>
  <w:style w:type="character" w:customStyle="1" w:styleId="TabletextChar">
    <w:name w:val="Table_text Char"/>
    <w:basedOn w:val="DefaultParagraphFont"/>
    <w:link w:val="Tabletext"/>
    <w:qFormat/>
    <w:locked/>
    <w:rsid w:val="000E2A1C"/>
    <w:rPr>
      <w:sz w:val="22"/>
      <w:lang w:val="es-ES" w:eastAsia="en-US"/>
    </w:rPr>
  </w:style>
  <w:style w:type="character" w:customStyle="1" w:styleId="TableheadChar">
    <w:name w:val="Table_head Char"/>
    <w:basedOn w:val="DefaultParagraphFont"/>
    <w:link w:val="Tablehead"/>
    <w:qFormat/>
    <w:locked/>
    <w:rsid w:val="000E2A1C"/>
    <w:rPr>
      <w:b/>
      <w:sz w:val="22"/>
      <w:lang w:val="es-ES" w:eastAsia="en-US"/>
    </w:rPr>
  </w:style>
  <w:style w:type="character" w:customStyle="1" w:styleId="FiguretitleChar">
    <w:name w:val="Figure_title Char"/>
    <w:link w:val="Figuretitle"/>
    <w:locked/>
    <w:rsid w:val="000E2A1C"/>
    <w:rPr>
      <w:rFonts w:ascii="Times New Roman Bold" w:hAnsi="Times New Roman Bold"/>
      <w:b/>
      <w:sz w:val="18"/>
      <w:lang w:val="es-ES" w:eastAsia="en-US"/>
    </w:rPr>
  </w:style>
  <w:style w:type="character" w:customStyle="1" w:styleId="FigureNoChar">
    <w:name w:val="Figure_No Char"/>
    <w:link w:val="FigureNo"/>
    <w:locked/>
    <w:rsid w:val="000E2A1C"/>
    <w:rPr>
      <w:caps/>
      <w:sz w:val="18"/>
      <w:lang w:val="es-ES" w:eastAsia="en-US"/>
    </w:rPr>
  </w:style>
  <w:style w:type="paragraph" w:customStyle="1" w:styleId="Reasons">
    <w:name w:val="Reasons"/>
    <w:basedOn w:val="Normal"/>
    <w:qFormat/>
    <w:rsid w:val="000E2A1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0E2A1C"/>
    <w:rPr>
      <w:sz w:val="22"/>
      <w:lang w:val="es-ES" w:eastAsia="en-US"/>
    </w:rPr>
  </w:style>
  <w:style w:type="character" w:customStyle="1" w:styleId="Heading2Char">
    <w:name w:val="Heading 2 Char"/>
    <w:basedOn w:val="DefaultParagraphFont"/>
    <w:link w:val="Heading2"/>
    <w:rsid w:val="000E2A1C"/>
    <w:rPr>
      <w:b/>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bec7d39e-7be8-4340-bec0-d24287c71a69_Recomendaciones%20Nueva%20carpeta%20comprimida%20(en%20zip).zip.a69\2023-ITU-R_REC_RS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2023-ITU-R_REC_RS_S.dotx</Template>
  <TotalTime>28</TotalTime>
  <Pages>12</Pages>
  <Words>3295</Words>
  <Characters>17415</Characters>
  <Application>Microsoft Office Word</Application>
  <DocSecurity>0</DocSecurity>
  <Lines>405</Lines>
  <Paragraphs>258</Paragraphs>
  <ScaleCrop>false</ScaleCrop>
  <HeadingPairs>
    <vt:vector size="2" baseType="variant">
      <vt:variant>
        <vt:lpstr>Title</vt:lpstr>
      </vt:variant>
      <vt:variant>
        <vt:i4>1</vt:i4>
      </vt:variant>
    </vt:vector>
  </HeadingPairs>
  <TitlesOfParts>
    <vt:vector size="1" baseType="lpstr">
      <vt:lpstr>RECOMENDACIÓN  UIT-R  RS.2042-2 - Características técnicas y operativas típicas de los sistemas de sonda de radar  en vehículos espaciales que utilizan la banda 40-50 MHz</vt:lpstr>
    </vt:vector>
  </TitlesOfParts>
  <Manager/>
  <Company>ITU</Company>
  <LinksUpToDate>false</LinksUpToDate>
  <CharactersWithSpaces>20452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RS.2042-2 (12/2023) - Características técnicas y operativas típicas de los sistemas de sonda de radar  en vehículos espaciales que utilizan la banda 40-50 MHz</dc:title>
  <dc:subject/>
  <dc:creator>Oficina de Radiocomunicaciones del UIT (BR)</dc:creator>
  <cp:keywords/>
  <dc:description>Saez, 05.11.2024, ITU51017659</dc:description>
  <cp:lastModifiedBy>Saez Grau, Ricardo</cp:lastModifiedBy>
  <cp:revision>13</cp:revision>
  <cp:lastPrinted>2024-11-05T15:52:00Z</cp:lastPrinted>
  <dcterms:created xsi:type="dcterms:W3CDTF">2024-11-05T15:29:00Z</dcterms:created>
  <dcterms:modified xsi:type="dcterms:W3CDTF">2024-11-05T15:56:00Z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5 novembre 2024</vt:lpwstr>
  </property>
</Properties>
</file>