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01E0" w14:textId="77777777" w:rsidR="00E22C27" w:rsidRPr="004F0BA7" w:rsidRDefault="00E22C27" w:rsidP="00E22C27"/>
    <w:p w14:paraId="0D7710B3" w14:textId="77777777" w:rsidR="00E22C27" w:rsidRPr="004F0BA7" w:rsidRDefault="00E22C27" w:rsidP="00E22C27"/>
    <w:p w14:paraId="3E1DE1E0" w14:textId="66F2D8E1" w:rsidR="00E22C27" w:rsidRPr="004F0BA7" w:rsidRDefault="00E22C27" w:rsidP="00E22C27">
      <w:pPr>
        <w:pStyle w:val="CoverNumber"/>
        <w:rPr>
          <w:lang w:val="fr-FR"/>
        </w:rPr>
      </w:pPr>
      <w:r w:rsidRPr="004F0BA7">
        <w:rPr>
          <w:lang w:val="fr-FR"/>
        </w:rPr>
        <w:t>Recommandation UIT-R RS.1263-3</w:t>
      </w:r>
    </w:p>
    <w:p w14:paraId="1B6F1C27" w14:textId="77777777" w:rsidR="00E22C27" w:rsidRPr="004F0BA7" w:rsidRDefault="00E22C27" w:rsidP="00E22C27">
      <w:pPr>
        <w:pStyle w:val="DateCover"/>
        <w:rPr>
          <w:lang w:val="fr-FR"/>
        </w:rPr>
      </w:pPr>
      <w:r w:rsidRPr="004F0BA7">
        <w:rPr>
          <w:lang w:val="fr-FR"/>
        </w:rPr>
        <w:t>(12/2023)</w:t>
      </w:r>
    </w:p>
    <w:p w14:paraId="1097CC7A" w14:textId="77777777" w:rsidR="00E22C27" w:rsidRPr="004F0BA7" w:rsidRDefault="00E22C27" w:rsidP="00E22C27">
      <w:pPr>
        <w:pStyle w:val="CoverSeries"/>
        <w:rPr>
          <w:lang w:val="fr-FR"/>
        </w:rPr>
      </w:pPr>
      <w:r w:rsidRPr="004F0BA7">
        <w:rPr>
          <w:lang w:val="fr-FR"/>
        </w:rPr>
        <w:t xml:space="preserve">Série </w:t>
      </w:r>
      <w:proofErr w:type="gramStart"/>
      <w:r w:rsidRPr="004F0BA7">
        <w:rPr>
          <w:lang w:val="fr-FR"/>
        </w:rPr>
        <w:t>RS:</w:t>
      </w:r>
      <w:proofErr w:type="gramEnd"/>
      <w:r w:rsidRPr="004F0BA7">
        <w:rPr>
          <w:lang w:val="fr-FR"/>
        </w:rPr>
        <w:t xml:space="preserve"> Systèmes de télédétection</w:t>
      </w:r>
    </w:p>
    <w:p w14:paraId="58C5F8FE" w14:textId="48892452" w:rsidR="00E22C27" w:rsidRPr="004F0BA7" w:rsidRDefault="00E22C27" w:rsidP="00E22C27">
      <w:pPr>
        <w:pStyle w:val="TitleCover"/>
        <w:rPr>
          <w:lang w:val="fr-FR"/>
        </w:rPr>
      </w:pPr>
      <w:r w:rsidRPr="004F0BA7">
        <w:rPr>
          <w:lang w:val="fr-FR"/>
        </w:rPr>
        <w:t>Critères de brouillage applicables au service des auxiliaires de la météorologie dans les bandes 400,15</w:t>
      </w:r>
      <w:r w:rsidRPr="004F0BA7">
        <w:rPr>
          <w:lang w:val="fr-FR"/>
        </w:rPr>
        <w:noBreakHyphen/>
        <w:t>406 MHz et 1 668,4-1 700 MHz</w:t>
      </w:r>
    </w:p>
    <w:p w14:paraId="6EFC2265" w14:textId="75ABE92D" w:rsidR="00E22C27" w:rsidRPr="004F0BA7" w:rsidRDefault="00E22C27">
      <w:pPr>
        <w:tabs>
          <w:tab w:val="clear" w:pos="794"/>
          <w:tab w:val="clear" w:pos="1191"/>
          <w:tab w:val="clear" w:pos="1588"/>
          <w:tab w:val="clear" w:pos="1985"/>
        </w:tabs>
        <w:overflowPunct/>
        <w:autoSpaceDE/>
        <w:autoSpaceDN/>
        <w:adjustRightInd/>
        <w:spacing w:before="0"/>
        <w:jc w:val="left"/>
        <w:textAlignment w:val="auto"/>
        <w:rPr>
          <w:b/>
          <w:bCs/>
          <w:szCs w:val="24"/>
        </w:rPr>
      </w:pPr>
      <w:r w:rsidRPr="004F0BA7">
        <w:rPr>
          <w:bCs/>
          <w:szCs w:val="24"/>
        </w:rPr>
        <w:br w:type="page"/>
      </w:r>
    </w:p>
    <w:p w14:paraId="64E43150" w14:textId="3DEE0329" w:rsidR="00F54FBD" w:rsidRPr="004F0BA7" w:rsidRDefault="00F54FBD"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rPr>
      </w:pPr>
      <w:r w:rsidRPr="004F0BA7">
        <w:rPr>
          <w:bCs/>
          <w:sz w:val="24"/>
          <w:szCs w:val="24"/>
        </w:rPr>
        <w:lastRenderedPageBreak/>
        <w:t>Avant-propos</w:t>
      </w:r>
    </w:p>
    <w:p w14:paraId="2144AD32" w14:textId="4EF25610" w:rsidR="00F54FBD" w:rsidRPr="004F0BA7" w:rsidRDefault="00F54FBD" w:rsidP="001F2C4F">
      <w:pPr>
        <w:spacing w:before="240"/>
        <w:rPr>
          <w:sz w:val="20"/>
        </w:rPr>
      </w:pPr>
      <w:r w:rsidRPr="004F0BA7">
        <w:rPr>
          <w:sz w:val="20"/>
        </w:rPr>
        <w:t xml:space="preserve">Le </w:t>
      </w:r>
      <w:r w:rsidR="00614CC6" w:rsidRPr="004F0BA7">
        <w:rPr>
          <w:sz w:val="20"/>
        </w:rPr>
        <w:t>rôle</w:t>
      </w:r>
      <w:r w:rsidRPr="004F0BA7">
        <w:rPr>
          <w:sz w:val="20"/>
        </w:rPr>
        <w:t xml:space="preserve"> du Secteur des radiocommunications est d</w:t>
      </w:r>
      <w:r w:rsidR="00AE7F06" w:rsidRPr="004F0BA7">
        <w:rPr>
          <w:sz w:val="20"/>
        </w:rPr>
        <w:t>'</w:t>
      </w:r>
      <w:r w:rsidRPr="004F0BA7">
        <w:rPr>
          <w:sz w:val="20"/>
        </w:rPr>
        <w:t>assurer l</w:t>
      </w:r>
      <w:r w:rsidR="00AE7F06" w:rsidRPr="004F0BA7">
        <w:rPr>
          <w:sz w:val="20"/>
        </w:rPr>
        <w:t>'</w:t>
      </w:r>
      <w:r w:rsidRPr="004F0BA7">
        <w:rPr>
          <w:sz w:val="20"/>
        </w:rPr>
        <w:t xml:space="preserve">utilisation rationnelle, équitable, efficace et économique du spectre radioélectrique par tous les services de radiocommunication, y compris les services par satellite, et de </w:t>
      </w:r>
      <w:r w:rsidR="00614CC6" w:rsidRPr="004F0BA7">
        <w:rPr>
          <w:sz w:val="20"/>
        </w:rPr>
        <w:t>procéder</w:t>
      </w:r>
      <w:r w:rsidRPr="004F0BA7">
        <w:rPr>
          <w:sz w:val="20"/>
        </w:rPr>
        <w:t xml:space="preserve"> à des études pour toutes les gammes de </w:t>
      </w:r>
      <w:r w:rsidR="00614CC6" w:rsidRPr="004F0BA7">
        <w:rPr>
          <w:sz w:val="20"/>
        </w:rPr>
        <w:t>fréquences</w:t>
      </w:r>
      <w:r w:rsidRPr="004F0BA7">
        <w:rPr>
          <w:sz w:val="20"/>
        </w:rPr>
        <w:t>, à partir desquelles les Recommandations seront élaborées et adoptées.</w:t>
      </w:r>
    </w:p>
    <w:p w14:paraId="62B5168D" w14:textId="7527CF09" w:rsidR="00F54FBD" w:rsidRPr="004F0BA7" w:rsidRDefault="00F54FBD" w:rsidP="001F2C4F">
      <w:pPr>
        <w:rPr>
          <w:sz w:val="20"/>
        </w:rPr>
      </w:pPr>
      <w:r w:rsidRPr="004F0BA7">
        <w:rPr>
          <w:sz w:val="20"/>
        </w:rPr>
        <w:t xml:space="preserve">Les </w:t>
      </w:r>
      <w:r w:rsidR="00614CC6" w:rsidRPr="004F0BA7">
        <w:rPr>
          <w:sz w:val="20"/>
        </w:rPr>
        <w:t>fo</w:t>
      </w:r>
      <w:r w:rsidRPr="004F0BA7">
        <w:rPr>
          <w:sz w:val="20"/>
        </w:rPr>
        <w:t xml:space="preserve">nctions </w:t>
      </w:r>
      <w:r w:rsidR="00614CC6" w:rsidRPr="004F0BA7">
        <w:rPr>
          <w:sz w:val="20"/>
        </w:rPr>
        <w:t>réglementaires</w:t>
      </w:r>
      <w:r w:rsidRPr="004F0BA7">
        <w:rPr>
          <w:sz w:val="20"/>
        </w:rPr>
        <w:t xml:space="preserve"> et politiques du Secteur des radiocommunications sont remplies par les Conférences mondiales et </w:t>
      </w:r>
      <w:r w:rsidR="00614CC6" w:rsidRPr="004F0BA7">
        <w:rPr>
          <w:sz w:val="20"/>
        </w:rPr>
        <w:t>régionales</w:t>
      </w:r>
      <w:r w:rsidRPr="004F0BA7">
        <w:rPr>
          <w:sz w:val="20"/>
        </w:rPr>
        <w:t xml:space="preserve"> des radiocommunications et par les Assemblées des radiocommunications assistées par les Commissions d</w:t>
      </w:r>
      <w:r w:rsidR="00AE7F06" w:rsidRPr="004F0BA7">
        <w:rPr>
          <w:sz w:val="20"/>
        </w:rPr>
        <w:t>'</w:t>
      </w:r>
      <w:r w:rsidRPr="004F0BA7">
        <w:rPr>
          <w:sz w:val="20"/>
        </w:rPr>
        <w:t>études.</w:t>
      </w:r>
    </w:p>
    <w:p w14:paraId="582F12B0" w14:textId="77777777" w:rsidR="00F54FBD" w:rsidRPr="004F0BA7" w:rsidRDefault="00E44CBB" w:rsidP="001F2C4F">
      <w:pPr>
        <w:pStyle w:val="Heading1"/>
        <w:spacing w:before="360"/>
        <w:jc w:val="center"/>
        <w:rPr>
          <w:szCs w:val="24"/>
        </w:rPr>
      </w:pPr>
      <w:r w:rsidRPr="004F0BA7">
        <w:rPr>
          <w:szCs w:val="24"/>
        </w:rPr>
        <w:t>Politique en matière de droits de propriété intellectuelle</w:t>
      </w:r>
      <w:r w:rsidR="00F54FBD" w:rsidRPr="004F0BA7">
        <w:rPr>
          <w:szCs w:val="24"/>
        </w:rPr>
        <w:t xml:space="preserve"> (IPR)</w:t>
      </w:r>
    </w:p>
    <w:p w14:paraId="20ECC042" w14:textId="3CAB14B3" w:rsidR="00E44CBB" w:rsidRPr="004F0BA7" w:rsidRDefault="00E44CBB" w:rsidP="00C11F42">
      <w:pPr>
        <w:spacing w:before="240"/>
        <w:rPr>
          <w:sz w:val="20"/>
        </w:rPr>
      </w:pPr>
      <w:r w:rsidRPr="004F0BA7">
        <w:rPr>
          <w:sz w:val="20"/>
        </w:rPr>
        <w:t>La politique de l'UIT</w:t>
      </w:r>
      <w:r w:rsidRPr="004F0BA7">
        <w:rPr>
          <w:sz w:val="20"/>
        </w:rPr>
        <w:noBreakHyphen/>
        <w:t>R en matière de droits de propriété intellectuelle est décrite dans la</w:t>
      </w:r>
      <w:proofErr w:type="gramStart"/>
      <w:r w:rsidRPr="004F0BA7">
        <w:rPr>
          <w:sz w:val="20"/>
        </w:rPr>
        <w:t xml:space="preserve"> «Politique</w:t>
      </w:r>
      <w:proofErr w:type="gramEnd"/>
      <w:r w:rsidRPr="004F0BA7">
        <w:rPr>
          <w:sz w:val="20"/>
        </w:rPr>
        <w:t xml:space="preserve"> commune de l'UIT</w:t>
      </w:r>
      <w:r w:rsidRPr="004F0BA7">
        <w:rPr>
          <w:sz w:val="20"/>
        </w:rPr>
        <w:noBreakHyphen/>
        <w:t>T, l'UIT</w:t>
      </w:r>
      <w:r w:rsidRPr="004F0BA7">
        <w:rPr>
          <w:sz w:val="20"/>
        </w:rPr>
        <w:noBreakHyphen/>
        <w:t xml:space="preserve">R, l'ISO et la CEI en matière de brevets», dont il est question dans la Résolution UIT-R 1. Les formulaires que les titulaires de brevets doivent utiliser pour soumettre les déclarations de brevet et d'octroi de licence sont accessibles à l'adresse </w:t>
      </w:r>
      <w:hyperlink r:id="rId8" w:history="1">
        <w:r w:rsidR="002528C0" w:rsidRPr="004F0BA7">
          <w:rPr>
            <w:rStyle w:val="Hyperlink"/>
            <w:sz w:val="20"/>
          </w:rPr>
          <w:t>http://www.itu.int/ITU-R/go/patents/en</w:t>
        </w:r>
      </w:hyperlink>
      <w:r w:rsidRPr="004F0BA7">
        <w:rPr>
          <w:sz w:val="20"/>
        </w:rPr>
        <w:t xml:space="preserve">, où l'on trouvera également les Lignes directrices pour la mise en </w:t>
      </w:r>
      <w:r w:rsidR="00832E43" w:rsidRPr="004F0BA7">
        <w:rPr>
          <w:sz w:val="20"/>
        </w:rPr>
        <w:t>œuvre</w:t>
      </w:r>
      <w:r w:rsidRPr="004F0BA7">
        <w:rPr>
          <w:sz w:val="20"/>
        </w:rPr>
        <w:t xml:space="preserve"> de la politique commune en matière de brevets de l'UIT</w:t>
      </w:r>
      <w:r w:rsidRPr="004F0BA7">
        <w:rPr>
          <w:sz w:val="20"/>
        </w:rPr>
        <w:noBreakHyphen/>
        <w:t>T, l'UIT</w:t>
      </w:r>
      <w:r w:rsidRPr="004F0BA7">
        <w:rPr>
          <w:sz w:val="20"/>
        </w:rPr>
        <w:noBreakHyphen/>
        <w:t>R, l'ISO et la CEI</w:t>
      </w:r>
      <w:r w:rsidRPr="004F0BA7" w:rsidDel="0061025C">
        <w:rPr>
          <w:sz w:val="20"/>
        </w:rPr>
        <w:t xml:space="preserve"> </w:t>
      </w:r>
      <w:r w:rsidRPr="004F0BA7">
        <w:rPr>
          <w:sz w:val="20"/>
        </w:rPr>
        <w:t>et la base de données en matière de brevets de l'UIT-R.</w:t>
      </w:r>
    </w:p>
    <w:p w14:paraId="3598610B" w14:textId="77777777" w:rsidR="00F54FBD" w:rsidRPr="004F0BA7" w:rsidRDefault="00F54FBD" w:rsidP="001F2C4F">
      <w:pPr>
        <w:spacing w:before="240"/>
        <w:jc w:val="center"/>
        <w:rPr>
          <w:sz w:val="22"/>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38"/>
        <w:gridCol w:w="8183"/>
      </w:tblGrid>
      <w:tr w:rsidR="00F54FBD" w:rsidRPr="004F0BA7" w14:paraId="113DAAD3" w14:textId="77777777">
        <w:tc>
          <w:tcPr>
            <w:tcW w:w="9360" w:type="dxa"/>
            <w:gridSpan w:val="2"/>
          </w:tcPr>
          <w:p w14:paraId="31CFBE43" w14:textId="3B09996D" w:rsidR="00F54FBD" w:rsidRPr="004F0BA7" w:rsidRDefault="009454F8" w:rsidP="001F2C4F">
            <w:pPr>
              <w:pStyle w:val="Chaptitle"/>
              <w:keepLines w:val="0"/>
              <w:tabs>
                <w:tab w:val="clear" w:pos="794"/>
                <w:tab w:val="clear" w:pos="1191"/>
                <w:tab w:val="clear" w:pos="1588"/>
                <w:tab w:val="clear" w:pos="1985"/>
              </w:tabs>
              <w:overflowPunct/>
              <w:spacing w:before="140"/>
              <w:textAlignment w:val="auto"/>
              <w:rPr>
                <w:sz w:val="22"/>
                <w:szCs w:val="22"/>
              </w:rPr>
            </w:pPr>
            <w:r w:rsidRPr="004F0BA7">
              <w:rPr>
                <w:sz w:val="22"/>
                <w:szCs w:val="22"/>
              </w:rPr>
              <w:t>Séries des Recommandations UIT-R</w:t>
            </w:r>
          </w:p>
          <w:p w14:paraId="09C2CCF6" w14:textId="22379BA1" w:rsidR="00F54FBD" w:rsidRPr="004F0BA7" w:rsidRDefault="00F54FBD"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4F0BA7">
              <w:rPr>
                <w:b w:val="0"/>
                <w:sz w:val="18"/>
                <w:szCs w:val="18"/>
              </w:rPr>
              <w:t>(</w:t>
            </w:r>
            <w:r w:rsidR="00832E43" w:rsidRPr="004F0BA7">
              <w:rPr>
                <w:b w:val="0"/>
                <w:sz w:val="18"/>
                <w:szCs w:val="18"/>
              </w:rPr>
              <w:t>Également</w:t>
            </w:r>
            <w:r w:rsidR="009454F8" w:rsidRPr="004F0BA7">
              <w:rPr>
                <w:b w:val="0"/>
                <w:sz w:val="18"/>
                <w:szCs w:val="18"/>
              </w:rPr>
              <w:t xml:space="preserve"> disponible en </w:t>
            </w:r>
            <w:proofErr w:type="gramStart"/>
            <w:r w:rsidR="009454F8" w:rsidRPr="004F0BA7">
              <w:rPr>
                <w:b w:val="0"/>
                <w:sz w:val="18"/>
                <w:szCs w:val="18"/>
              </w:rPr>
              <w:t>ligne:</w:t>
            </w:r>
            <w:proofErr w:type="gramEnd"/>
            <w:r w:rsidRPr="004F0BA7">
              <w:rPr>
                <w:b w:val="0"/>
                <w:sz w:val="18"/>
                <w:szCs w:val="18"/>
              </w:rPr>
              <w:t xml:space="preserve"> </w:t>
            </w:r>
            <w:hyperlink r:id="rId9" w:history="1">
              <w:r w:rsidR="002528C0" w:rsidRPr="004F0BA7">
                <w:rPr>
                  <w:rStyle w:val="Hyperlink"/>
                  <w:b w:val="0"/>
                  <w:sz w:val="18"/>
                  <w:szCs w:val="18"/>
                </w:rPr>
                <w:t>https://www.itu.int/publ/R-REC/en</w:t>
              </w:r>
            </w:hyperlink>
            <w:r w:rsidR="00BC0651" w:rsidRPr="004F0BA7">
              <w:rPr>
                <w:b w:val="0"/>
                <w:bCs/>
                <w:sz w:val="18"/>
                <w:szCs w:val="18"/>
              </w:rPr>
              <w:t>)</w:t>
            </w:r>
          </w:p>
        </w:tc>
      </w:tr>
      <w:tr w:rsidR="00F54FBD" w:rsidRPr="004F0BA7" w14:paraId="1865E659" w14:textId="77777777" w:rsidTr="005E427C">
        <w:tc>
          <w:tcPr>
            <w:tcW w:w="1140" w:type="dxa"/>
            <w:tcBorders>
              <w:bottom w:val="nil"/>
            </w:tcBorders>
          </w:tcPr>
          <w:p w14:paraId="05CF0FA3" w14:textId="77777777" w:rsidR="00F54FBD" w:rsidRPr="004F0BA7" w:rsidRDefault="00F54FBD" w:rsidP="001F2C4F">
            <w:pPr>
              <w:spacing w:before="90" w:after="100"/>
              <w:ind w:left="57"/>
              <w:rPr>
                <w:b/>
                <w:bCs/>
                <w:sz w:val="20"/>
              </w:rPr>
            </w:pPr>
            <w:r w:rsidRPr="004F0BA7">
              <w:rPr>
                <w:b/>
                <w:bCs/>
                <w:sz w:val="20"/>
              </w:rPr>
              <w:t>S</w:t>
            </w:r>
            <w:r w:rsidR="009454F8" w:rsidRPr="004F0BA7">
              <w:rPr>
                <w:b/>
                <w:bCs/>
                <w:sz w:val="20"/>
              </w:rPr>
              <w:t>é</w:t>
            </w:r>
            <w:r w:rsidRPr="004F0BA7">
              <w:rPr>
                <w:b/>
                <w:bCs/>
                <w:sz w:val="20"/>
              </w:rPr>
              <w:t>ries</w:t>
            </w:r>
          </w:p>
        </w:tc>
        <w:tc>
          <w:tcPr>
            <w:tcW w:w="8220" w:type="dxa"/>
            <w:tcBorders>
              <w:bottom w:val="nil"/>
            </w:tcBorders>
          </w:tcPr>
          <w:p w14:paraId="73978F6B"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rPr>
            </w:pPr>
            <w:r w:rsidRPr="004F0BA7">
              <w:rPr>
                <w:bCs/>
                <w:sz w:val="20"/>
              </w:rPr>
              <w:t>Titre</w:t>
            </w:r>
          </w:p>
        </w:tc>
      </w:tr>
      <w:tr w:rsidR="00F54FBD" w:rsidRPr="004F0BA7" w14:paraId="56968F0F" w14:textId="77777777" w:rsidTr="005E427C">
        <w:tc>
          <w:tcPr>
            <w:tcW w:w="1140" w:type="dxa"/>
            <w:tcBorders>
              <w:top w:val="nil"/>
              <w:bottom w:val="nil"/>
            </w:tcBorders>
            <w:shd w:val="clear" w:color="auto" w:fill="auto"/>
          </w:tcPr>
          <w:p w14:paraId="18429C28" w14:textId="77777777" w:rsidR="00F54FBD" w:rsidRPr="004F0BA7" w:rsidRDefault="00F54FBD" w:rsidP="001F2C4F">
            <w:pPr>
              <w:spacing w:before="30" w:after="30"/>
              <w:ind w:left="57"/>
              <w:jc w:val="left"/>
              <w:rPr>
                <w:b/>
                <w:bCs/>
                <w:sz w:val="20"/>
              </w:rPr>
            </w:pPr>
            <w:r w:rsidRPr="004F0BA7">
              <w:rPr>
                <w:b/>
                <w:bCs/>
                <w:sz w:val="20"/>
              </w:rPr>
              <w:t>BO</w:t>
            </w:r>
          </w:p>
        </w:tc>
        <w:tc>
          <w:tcPr>
            <w:tcW w:w="8220" w:type="dxa"/>
            <w:tcBorders>
              <w:top w:val="nil"/>
              <w:bottom w:val="nil"/>
            </w:tcBorders>
            <w:shd w:val="clear" w:color="auto" w:fill="auto"/>
          </w:tcPr>
          <w:p w14:paraId="4E6D6A5F"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4F0BA7">
              <w:rPr>
                <w:b w:val="0"/>
                <w:sz w:val="20"/>
              </w:rPr>
              <w:t>Diffusion par satellite</w:t>
            </w:r>
          </w:p>
        </w:tc>
      </w:tr>
      <w:tr w:rsidR="00F54FBD" w:rsidRPr="004F0BA7" w14:paraId="5F5BAC37" w14:textId="77777777" w:rsidTr="00E80F1D">
        <w:tc>
          <w:tcPr>
            <w:tcW w:w="1140" w:type="dxa"/>
            <w:tcBorders>
              <w:top w:val="nil"/>
              <w:bottom w:val="nil"/>
            </w:tcBorders>
          </w:tcPr>
          <w:p w14:paraId="68FB1667" w14:textId="77777777" w:rsidR="00F54FBD" w:rsidRPr="004F0BA7" w:rsidRDefault="00F54FBD" w:rsidP="001F2C4F">
            <w:pPr>
              <w:spacing w:before="30" w:after="30"/>
              <w:ind w:left="57"/>
              <w:jc w:val="left"/>
              <w:rPr>
                <w:b/>
                <w:bCs/>
                <w:sz w:val="20"/>
              </w:rPr>
            </w:pPr>
            <w:r w:rsidRPr="004F0BA7">
              <w:rPr>
                <w:b/>
                <w:bCs/>
                <w:sz w:val="20"/>
              </w:rPr>
              <w:t>BR</w:t>
            </w:r>
          </w:p>
        </w:tc>
        <w:tc>
          <w:tcPr>
            <w:tcW w:w="8220" w:type="dxa"/>
            <w:tcBorders>
              <w:top w:val="nil"/>
              <w:bottom w:val="nil"/>
            </w:tcBorders>
          </w:tcPr>
          <w:p w14:paraId="0397531A"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rPr>
            </w:pPr>
            <w:r w:rsidRPr="004F0BA7">
              <w:rPr>
                <w:b w:val="0"/>
                <w:bCs/>
                <w:sz w:val="20"/>
              </w:rPr>
              <w:t xml:space="preserve">Enregistrement pour la production, l'archivage et la </w:t>
            </w:r>
            <w:proofErr w:type="gramStart"/>
            <w:r w:rsidRPr="004F0BA7">
              <w:rPr>
                <w:b w:val="0"/>
                <w:bCs/>
                <w:sz w:val="20"/>
              </w:rPr>
              <w:t>diffusion;</w:t>
            </w:r>
            <w:proofErr w:type="gramEnd"/>
            <w:r w:rsidRPr="004F0BA7">
              <w:rPr>
                <w:b w:val="0"/>
                <w:bCs/>
                <w:sz w:val="20"/>
              </w:rPr>
              <w:t xml:space="preserve"> films pour la télévision</w:t>
            </w:r>
          </w:p>
        </w:tc>
      </w:tr>
      <w:tr w:rsidR="00F54FBD" w:rsidRPr="004F0BA7" w14:paraId="3D05F5E2" w14:textId="77777777" w:rsidTr="00E80F1D">
        <w:tc>
          <w:tcPr>
            <w:tcW w:w="1140" w:type="dxa"/>
            <w:tcBorders>
              <w:top w:val="nil"/>
              <w:bottom w:val="nil"/>
            </w:tcBorders>
            <w:shd w:val="clear" w:color="auto" w:fill="auto"/>
          </w:tcPr>
          <w:p w14:paraId="5AEA946B" w14:textId="77777777" w:rsidR="00F54FBD" w:rsidRPr="004F0BA7" w:rsidRDefault="00F54FBD" w:rsidP="001F2C4F">
            <w:pPr>
              <w:spacing w:before="30" w:after="30"/>
              <w:ind w:left="57"/>
              <w:jc w:val="left"/>
              <w:rPr>
                <w:b/>
                <w:bCs/>
                <w:sz w:val="20"/>
              </w:rPr>
            </w:pPr>
            <w:r w:rsidRPr="004F0BA7">
              <w:rPr>
                <w:b/>
                <w:bCs/>
                <w:sz w:val="20"/>
              </w:rPr>
              <w:t>BS</w:t>
            </w:r>
          </w:p>
        </w:tc>
        <w:tc>
          <w:tcPr>
            <w:tcW w:w="8220" w:type="dxa"/>
            <w:tcBorders>
              <w:top w:val="nil"/>
              <w:bottom w:val="nil"/>
            </w:tcBorders>
            <w:shd w:val="clear" w:color="auto" w:fill="auto"/>
          </w:tcPr>
          <w:p w14:paraId="744CAFEC"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4F0BA7">
              <w:rPr>
                <w:b w:val="0"/>
                <w:sz w:val="20"/>
              </w:rPr>
              <w:t>Service de radiodiffusion sonore</w:t>
            </w:r>
          </w:p>
        </w:tc>
      </w:tr>
      <w:tr w:rsidR="00F54FBD" w:rsidRPr="004F0BA7" w14:paraId="49498790" w14:textId="77777777" w:rsidTr="00DE5EA2">
        <w:tc>
          <w:tcPr>
            <w:tcW w:w="1140" w:type="dxa"/>
            <w:tcBorders>
              <w:top w:val="nil"/>
              <w:bottom w:val="nil"/>
            </w:tcBorders>
            <w:shd w:val="clear" w:color="auto" w:fill="auto"/>
          </w:tcPr>
          <w:p w14:paraId="28B6B067" w14:textId="77777777" w:rsidR="00F54FBD" w:rsidRPr="004F0BA7" w:rsidRDefault="00F54FBD" w:rsidP="001F2C4F">
            <w:pPr>
              <w:spacing w:before="30" w:after="30"/>
              <w:ind w:left="57"/>
              <w:jc w:val="left"/>
              <w:rPr>
                <w:b/>
                <w:bCs/>
                <w:sz w:val="20"/>
              </w:rPr>
            </w:pPr>
            <w:r w:rsidRPr="004F0BA7">
              <w:rPr>
                <w:b/>
                <w:bCs/>
                <w:sz w:val="20"/>
              </w:rPr>
              <w:t>BT</w:t>
            </w:r>
          </w:p>
        </w:tc>
        <w:tc>
          <w:tcPr>
            <w:tcW w:w="8220" w:type="dxa"/>
            <w:tcBorders>
              <w:top w:val="nil"/>
              <w:bottom w:val="nil"/>
            </w:tcBorders>
            <w:shd w:val="clear" w:color="auto" w:fill="auto"/>
          </w:tcPr>
          <w:p w14:paraId="039A15F8"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rPr>
            </w:pPr>
            <w:r w:rsidRPr="004F0BA7">
              <w:rPr>
                <w:b w:val="0"/>
                <w:bCs/>
                <w:sz w:val="20"/>
              </w:rPr>
              <w:t>Service de radiodiffusion télévisuelle</w:t>
            </w:r>
          </w:p>
        </w:tc>
      </w:tr>
      <w:tr w:rsidR="00F54FBD" w:rsidRPr="004F0BA7" w14:paraId="659A5CC8" w14:textId="77777777" w:rsidTr="00DE5EA2">
        <w:tc>
          <w:tcPr>
            <w:tcW w:w="1140" w:type="dxa"/>
            <w:tcBorders>
              <w:top w:val="nil"/>
              <w:bottom w:val="nil"/>
            </w:tcBorders>
            <w:shd w:val="clear" w:color="auto" w:fill="auto"/>
          </w:tcPr>
          <w:p w14:paraId="24E26932" w14:textId="77777777" w:rsidR="00F54FBD" w:rsidRPr="004F0BA7" w:rsidRDefault="00F54FBD" w:rsidP="001F2C4F">
            <w:pPr>
              <w:spacing w:before="30" w:after="30"/>
              <w:ind w:left="57"/>
              <w:jc w:val="left"/>
              <w:rPr>
                <w:b/>
                <w:bCs/>
                <w:sz w:val="20"/>
              </w:rPr>
            </w:pPr>
            <w:r w:rsidRPr="004F0BA7">
              <w:rPr>
                <w:b/>
                <w:bCs/>
                <w:sz w:val="20"/>
              </w:rPr>
              <w:t>F</w:t>
            </w:r>
          </w:p>
        </w:tc>
        <w:tc>
          <w:tcPr>
            <w:tcW w:w="8220" w:type="dxa"/>
            <w:tcBorders>
              <w:top w:val="nil"/>
              <w:bottom w:val="nil"/>
            </w:tcBorders>
            <w:shd w:val="clear" w:color="auto" w:fill="auto"/>
          </w:tcPr>
          <w:p w14:paraId="1CEA5A64" w14:textId="77777777" w:rsidR="00F54FBD" w:rsidRPr="004F0BA7" w:rsidRDefault="009454F8" w:rsidP="001F2C4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4F0BA7">
              <w:rPr>
                <w:sz w:val="20"/>
              </w:rPr>
              <w:t>Service fixe</w:t>
            </w:r>
          </w:p>
        </w:tc>
      </w:tr>
      <w:tr w:rsidR="00F54FBD" w:rsidRPr="004F0BA7" w14:paraId="566B1730" w14:textId="77777777" w:rsidTr="00EC361D">
        <w:tc>
          <w:tcPr>
            <w:tcW w:w="1140" w:type="dxa"/>
            <w:tcBorders>
              <w:top w:val="nil"/>
              <w:bottom w:val="nil"/>
            </w:tcBorders>
            <w:shd w:val="clear" w:color="auto" w:fill="auto"/>
          </w:tcPr>
          <w:p w14:paraId="6DE6562C" w14:textId="77777777" w:rsidR="00F54FBD" w:rsidRPr="004F0BA7" w:rsidRDefault="00F54FBD" w:rsidP="001F2C4F">
            <w:pPr>
              <w:spacing w:before="30" w:after="30"/>
              <w:ind w:left="57"/>
              <w:jc w:val="left"/>
              <w:rPr>
                <w:b/>
                <w:bCs/>
                <w:sz w:val="20"/>
              </w:rPr>
            </w:pPr>
            <w:r w:rsidRPr="004F0BA7">
              <w:rPr>
                <w:b/>
                <w:bCs/>
                <w:sz w:val="20"/>
              </w:rPr>
              <w:t>M</w:t>
            </w:r>
          </w:p>
        </w:tc>
        <w:tc>
          <w:tcPr>
            <w:tcW w:w="8220" w:type="dxa"/>
            <w:tcBorders>
              <w:top w:val="nil"/>
              <w:bottom w:val="nil"/>
            </w:tcBorders>
            <w:shd w:val="clear" w:color="auto" w:fill="auto"/>
          </w:tcPr>
          <w:p w14:paraId="3884B6F1" w14:textId="77777777" w:rsidR="00F54FBD" w:rsidRPr="004F0BA7" w:rsidRDefault="009454F8" w:rsidP="001F2C4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proofErr w:type="gramStart"/>
            <w:r w:rsidRPr="004F0BA7">
              <w:rPr>
                <w:b w:val="0"/>
                <w:sz w:val="20"/>
              </w:rPr>
              <w:t>Services mobile</w:t>
            </w:r>
            <w:proofErr w:type="gramEnd"/>
            <w:r w:rsidRPr="004F0BA7">
              <w:rPr>
                <w:b w:val="0"/>
                <w:sz w:val="20"/>
              </w:rPr>
              <w:t>, de radiorepérage et d'amateur y compris les services par satellite associés</w:t>
            </w:r>
          </w:p>
        </w:tc>
      </w:tr>
      <w:tr w:rsidR="00F54FBD" w:rsidRPr="004F0BA7" w14:paraId="4F8E4B6B" w14:textId="77777777" w:rsidTr="004822EF">
        <w:tc>
          <w:tcPr>
            <w:tcW w:w="1140" w:type="dxa"/>
            <w:tcBorders>
              <w:top w:val="nil"/>
              <w:bottom w:val="nil"/>
            </w:tcBorders>
            <w:shd w:val="clear" w:color="auto" w:fill="auto"/>
          </w:tcPr>
          <w:p w14:paraId="65656BE5" w14:textId="77777777" w:rsidR="00F54FBD" w:rsidRPr="004F0BA7" w:rsidRDefault="00F54FBD" w:rsidP="001F2C4F">
            <w:pPr>
              <w:spacing w:before="30" w:after="30"/>
              <w:ind w:left="57"/>
              <w:jc w:val="left"/>
              <w:rPr>
                <w:b/>
                <w:bCs/>
                <w:sz w:val="20"/>
              </w:rPr>
            </w:pPr>
            <w:r w:rsidRPr="004F0BA7">
              <w:rPr>
                <w:b/>
                <w:bCs/>
                <w:sz w:val="20"/>
              </w:rPr>
              <w:t>P</w:t>
            </w:r>
          </w:p>
        </w:tc>
        <w:tc>
          <w:tcPr>
            <w:tcW w:w="8220" w:type="dxa"/>
            <w:tcBorders>
              <w:top w:val="nil"/>
              <w:bottom w:val="nil"/>
            </w:tcBorders>
            <w:shd w:val="clear" w:color="auto" w:fill="auto"/>
          </w:tcPr>
          <w:p w14:paraId="7EE919C3" w14:textId="77777777" w:rsidR="00F54FBD" w:rsidRPr="004F0BA7" w:rsidRDefault="00614CC6" w:rsidP="001F2C4F">
            <w:pPr>
              <w:spacing w:before="30" w:after="30"/>
              <w:jc w:val="left"/>
              <w:rPr>
                <w:sz w:val="20"/>
              </w:rPr>
            </w:pPr>
            <w:r w:rsidRPr="004F0BA7">
              <w:rPr>
                <w:sz w:val="20"/>
              </w:rPr>
              <w:t>Propagation des ondes radioélectriques</w:t>
            </w:r>
          </w:p>
        </w:tc>
      </w:tr>
      <w:tr w:rsidR="00F54FBD" w:rsidRPr="004F0BA7" w14:paraId="748F62B7" w14:textId="77777777" w:rsidTr="004822EF">
        <w:tc>
          <w:tcPr>
            <w:tcW w:w="1140" w:type="dxa"/>
            <w:tcBorders>
              <w:top w:val="nil"/>
              <w:bottom w:val="nil"/>
            </w:tcBorders>
            <w:shd w:val="clear" w:color="auto" w:fill="auto"/>
          </w:tcPr>
          <w:p w14:paraId="20F03232" w14:textId="77777777" w:rsidR="00F54FBD" w:rsidRPr="004F0BA7" w:rsidRDefault="00F54FBD" w:rsidP="001F2C4F">
            <w:pPr>
              <w:spacing w:before="30" w:after="30"/>
              <w:ind w:left="57"/>
              <w:jc w:val="left"/>
              <w:rPr>
                <w:b/>
                <w:bCs/>
                <w:sz w:val="20"/>
              </w:rPr>
            </w:pPr>
            <w:r w:rsidRPr="004F0BA7">
              <w:rPr>
                <w:b/>
                <w:bCs/>
                <w:sz w:val="20"/>
              </w:rPr>
              <w:t>RA</w:t>
            </w:r>
          </w:p>
        </w:tc>
        <w:tc>
          <w:tcPr>
            <w:tcW w:w="8220" w:type="dxa"/>
            <w:tcBorders>
              <w:top w:val="nil"/>
              <w:bottom w:val="nil"/>
            </w:tcBorders>
            <w:shd w:val="clear" w:color="auto" w:fill="auto"/>
          </w:tcPr>
          <w:p w14:paraId="39C27857" w14:textId="77777777" w:rsidR="00F54FBD" w:rsidRPr="004F0BA7" w:rsidRDefault="00614CC6" w:rsidP="001F2C4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4F0BA7">
              <w:rPr>
                <w:sz w:val="20"/>
              </w:rPr>
              <w:t>Radio astronomie</w:t>
            </w:r>
          </w:p>
        </w:tc>
      </w:tr>
      <w:tr w:rsidR="00F54FBD" w:rsidRPr="004F0BA7" w14:paraId="0C0251EB" w14:textId="77777777" w:rsidTr="004822EF">
        <w:tc>
          <w:tcPr>
            <w:tcW w:w="1140" w:type="dxa"/>
            <w:tcBorders>
              <w:top w:val="nil"/>
              <w:bottom w:val="nil"/>
            </w:tcBorders>
            <w:shd w:val="clear" w:color="auto" w:fill="F3F3F3"/>
          </w:tcPr>
          <w:p w14:paraId="3BCB00C4" w14:textId="77777777" w:rsidR="00F54FBD" w:rsidRPr="004F0BA7" w:rsidRDefault="00F54FBD" w:rsidP="001F2C4F">
            <w:pPr>
              <w:spacing w:before="30" w:after="30"/>
              <w:ind w:left="57"/>
              <w:jc w:val="left"/>
              <w:rPr>
                <w:b/>
                <w:bCs/>
                <w:color w:val="000080"/>
                <w:sz w:val="20"/>
              </w:rPr>
            </w:pPr>
            <w:r w:rsidRPr="004F0BA7">
              <w:rPr>
                <w:b/>
                <w:bCs/>
                <w:color w:val="000080"/>
                <w:sz w:val="20"/>
              </w:rPr>
              <w:t>RS</w:t>
            </w:r>
          </w:p>
        </w:tc>
        <w:tc>
          <w:tcPr>
            <w:tcW w:w="8220" w:type="dxa"/>
            <w:tcBorders>
              <w:top w:val="nil"/>
              <w:bottom w:val="nil"/>
            </w:tcBorders>
            <w:shd w:val="clear" w:color="auto" w:fill="F3F3F3"/>
          </w:tcPr>
          <w:p w14:paraId="75E92376" w14:textId="77777777" w:rsidR="00F54FBD" w:rsidRPr="004F0BA7" w:rsidRDefault="00614CC6" w:rsidP="001F2C4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rPr>
            </w:pPr>
            <w:r w:rsidRPr="004F0BA7">
              <w:rPr>
                <w:b/>
                <w:bCs/>
                <w:color w:val="000080"/>
                <w:sz w:val="20"/>
              </w:rPr>
              <w:t>Systèmes de télédétection</w:t>
            </w:r>
          </w:p>
        </w:tc>
      </w:tr>
      <w:tr w:rsidR="00F54FBD" w:rsidRPr="004F0BA7" w14:paraId="5029D730" w14:textId="77777777" w:rsidTr="004822EF">
        <w:tc>
          <w:tcPr>
            <w:tcW w:w="1140" w:type="dxa"/>
            <w:tcBorders>
              <w:top w:val="nil"/>
            </w:tcBorders>
          </w:tcPr>
          <w:p w14:paraId="500D5526" w14:textId="77777777" w:rsidR="00F54FBD" w:rsidRPr="004F0BA7" w:rsidRDefault="00F54FBD" w:rsidP="001F2C4F">
            <w:pPr>
              <w:spacing w:before="30" w:after="30"/>
              <w:ind w:left="57"/>
              <w:jc w:val="left"/>
              <w:rPr>
                <w:b/>
                <w:bCs/>
                <w:sz w:val="20"/>
              </w:rPr>
            </w:pPr>
            <w:r w:rsidRPr="004F0BA7">
              <w:rPr>
                <w:b/>
                <w:bCs/>
                <w:sz w:val="20"/>
              </w:rPr>
              <w:t>S</w:t>
            </w:r>
          </w:p>
        </w:tc>
        <w:tc>
          <w:tcPr>
            <w:tcW w:w="8220" w:type="dxa"/>
            <w:tcBorders>
              <w:top w:val="nil"/>
            </w:tcBorders>
          </w:tcPr>
          <w:p w14:paraId="2A887629" w14:textId="77777777" w:rsidR="00F54FBD" w:rsidRPr="004F0BA7" w:rsidRDefault="00614CC6" w:rsidP="001F2C4F">
            <w:pPr>
              <w:spacing w:before="30" w:after="30"/>
              <w:jc w:val="left"/>
              <w:rPr>
                <w:sz w:val="20"/>
              </w:rPr>
            </w:pPr>
            <w:r w:rsidRPr="004F0BA7">
              <w:rPr>
                <w:sz w:val="20"/>
              </w:rPr>
              <w:t>Service fixe par satellite</w:t>
            </w:r>
          </w:p>
        </w:tc>
      </w:tr>
      <w:tr w:rsidR="00F54FBD" w:rsidRPr="004F0BA7" w14:paraId="66563C57" w14:textId="77777777">
        <w:tc>
          <w:tcPr>
            <w:tcW w:w="1140" w:type="dxa"/>
          </w:tcPr>
          <w:p w14:paraId="70313389" w14:textId="77777777" w:rsidR="00F54FBD" w:rsidRPr="004F0BA7" w:rsidRDefault="00F54FBD" w:rsidP="001F2C4F">
            <w:pPr>
              <w:spacing w:before="30" w:after="30"/>
              <w:ind w:left="57"/>
              <w:jc w:val="left"/>
              <w:rPr>
                <w:b/>
                <w:bCs/>
                <w:sz w:val="20"/>
              </w:rPr>
            </w:pPr>
            <w:r w:rsidRPr="004F0BA7">
              <w:rPr>
                <w:b/>
                <w:bCs/>
                <w:sz w:val="20"/>
              </w:rPr>
              <w:t>SA</w:t>
            </w:r>
          </w:p>
        </w:tc>
        <w:tc>
          <w:tcPr>
            <w:tcW w:w="8220" w:type="dxa"/>
          </w:tcPr>
          <w:p w14:paraId="2A930C93" w14:textId="77777777" w:rsidR="00F54FBD" w:rsidRPr="004F0BA7" w:rsidRDefault="00614CC6" w:rsidP="001F2C4F">
            <w:pPr>
              <w:spacing w:before="30" w:after="30"/>
              <w:jc w:val="left"/>
              <w:rPr>
                <w:sz w:val="20"/>
              </w:rPr>
            </w:pPr>
            <w:r w:rsidRPr="004F0BA7">
              <w:rPr>
                <w:sz w:val="20"/>
              </w:rPr>
              <w:t>Applications spatiales et météorologie</w:t>
            </w:r>
          </w:p>
        </w:tc>
      </w:tr>
      <w:tr w:rsidR="00F54FBD" w:rsidRPr="004F0BA7" w14:paraId="703B1B60" w14:textId="77777777">
        <w:tc>
          <w:tcPr>
            <w:tcW w:w="1140" w:type="dxa"/>
          </w:tcPr>
          <w:p w14:paraId="1555C6C0" w14:textId="77777777" w:rsidR="00F54FBD" w:rsidRPr="004F0BA7" w:rsidRDefault="00F54FBD" w:rsidP="001F2C4F">
            <w:pPr>
              <w:spacing w:before="30" w:after="30"/>
              <w:ind w:left="57"/>
              <w:jc w:val="left"/>
              <w:rPr>
                <w:b/>
                <w:bCs/>
                <w:sz w:val="20"/>
              </w:rPr>
            </w:pPr>
            <w:r w:rsidRPr="004F0BA7">
              <w:rPr>
                <w:b/>
                <w:bCs/>
                <w:sz w:val="20"/>
              </w:rPr>
              <w:t>SF</w:t>
            </w:r>
          </w:p>
        </w:tc>
        <w:tc>
          <w:tcPr>
            <w:tcW w:w="8220" w:type="dxa"/>
          </w:tcPr>
          <w:p w14:paraId="16B671DE" w14:textId="77777777" w:rsidR="00F54FBD" w:rsidRPr="004F0BA7" w:rsidRDefault="00614CC6" w:rsidP="001F2C4F">
            <w:pPr>
              <w:spacing w:before="30" w:after="30"/>
              <w:jc w:val="left"/>
              <w:rPr>
                <w:sz w:val="20"/>
              </w:rPr>
            </w:pPr>
            <w:r w:rsidRPr="004F0BA7">
              <w:rPr>
                <w:sz w:val="20"/>
              </w:rPr>
              <w:t>Partage des fréquences et coordination entre les systèmes du service fixe par satellite et du service fixe</w:t>
            </w:r>
          </w:p>
        </w:tc>
      </w:tr>
      <w:tr w:rsidR="00F54FBD" w:rsidRPr="004F0BA7" w14:paraId="30414152" w14:textId="77777777">
        <w:tc>
          <w:tcPr>
            <w:tcW w:w="1140" w:type="dxa"/>
            <w:shd w:val="clear" w:color="auto" w:fill="auto"/>
          </w:tcPr>
          <w:p w14:paraId="269627E4" w14:textId="77777777" w:rsidR="00F54FBD" w:rsidRPr="004F0BA7" w:rsidRDefault="00F54FBD" w:rsidP="001F2C4F">
            <w:pPr>
              <w:spacing w:before="30" w:after="30"/>
              <w:ind w:left="57"/>
              <w:jc w:val="left"/>
              <w:rPr>
                <w:b/>
                <w:bCs/>
                <w:sz w:val="20"/>
              </w:rPr>
            </w:pPr>
            <w:r w:rsidRPr="004F0BA7">
              <w:rPr>
                <w:b/>
                <w:bCs/>
                <w:sz w:val="20"/>
              </w:rPr>
              <w:t>SM</w:t>
            </w:r>
          </w:p>
        </w:tc>
        <w:tc>
          <w:tcPr>
            <w:tcW w:w="8220" w:type="dxa"/>
            <w:shd w:val="clear" w:color="auto" w:fill="auto"/>
          </w:tcPr>
          <w:p w14:paraId="69850C99" w14:textId="77777777" w:rsidR="00F54FBD" w:rsidRPr="004F0BA7" w:rsidRDefault="00614CC6" w:rsidP="001F2C4F">
            <w:pPr>
              <w:spacing w:before="30" w:after="30"/>
              <w:jc w:val="left"/>
              <w:rPr>
                <w:sz w:val="20"/>
              </w:rPr>
            </w:pPr>
            <w:r w:rsidRPr="004F0BA7">
              <w:rPr>
                <w:sz w:val="20"/>
              </w:rPr>
              <w:t>Gestion du spectre</w:t>
            </w:r>
          </w:p>
        </w:tc>
      </w:tr>
      <w:tr w:rsidR="00F54FBD" w:rsidRPr="004F0BA7" w14:paraId="11144D9E" w14:textId="77777777">
        <w:tc>
          <w:tcPr>
            <w:tcW w:w="1140" w:type="dxa"/>
          </w:tcPr>
          <w:p w14:paraId="5273A44E" w14:textId="77777777" w:rsidR="00F54FBD" w:rsidRPr="004F0BA7" w:rsidRDefault="00F54FBD" w:rsidP="001F2C4F">
            <w:pPr>
              <w:spacing w:before="30" w:after="30"/>
              <w:ind w:left="57"/>
              <w:jc w:val="left"/>
              <w:rPr>
                <w:b/>
                <w:bCs/>
                <w:sz w:val="20"/>
              </w:rPr>
            </w:pPr>
            <w:r w:rsidRPr="004F0BA7">
              <w:rPr>
                <w:b/>
                <w:bCs/>
                <w:sz w:val="20"/>
              </w:rPr>
              <w:t>SNG</w:t>
            </w:r>
          </w:p>
        </w:tc>
        <w:tc>
          <w:tcPr>
            <w:tcW w:w="8220" w:type="dxa"/>
          </w:tcPr>
          <w:p w14:paraId="3973230C" w14:textId="77777777" w:rsidR="00F54FBD" w:rsidRPr="004F0BA7" w:rsidRDefault="00614CC6" w:rsidP="001F2C4F">
            <w:pPr>
              <w:spacing w:before="30" w:after="30"/>
              <w:jc w:val="left"/>
              <w:rPr>
                <w:sz w:val="20"/>
              </w:rPr>
            </w:pPr>
            <w:r w:rsidRPr="004F0BA7">
              <w:rPr>
                <w:sz w:val="20"/>
              </w:rPr>
              <w:t>Reportage d'actualités par satellite</w:t>
            </w:r>
          </w:p>
        </w:tc>
      </w:tr>
      <w:tr w:rsidR="00F54FBD" w:rsidRPr="004F0BA7" w14:paraId="1B6ABB6C" w14:textId="77777777">
        <w:tc>
          <w:tcPr>
            <w:tcW w:w="1140" w:type="dxa"/>
          </w:tcPr>
          <w:p w14:paraId="52F25A19" w14:textId="77777777" w:rsidR="00F54FBD" w:rsidRPr="004F0BA7" w:rsidRDefault="00F54FBD" w:rsidP="001F2C4F">
            <w:pPr>
              <w:spacing w:before="30" w:after="30"/>
              <w:ind w:left="57"/>
              <w:jc w:val="left"/>
              <w:rPr>
                <w:b/>
                <w:bCs/>
                <w:sz w:val="20"/>
              </w:rPr>
            </w:pPr>
            <w:r w:rsidRPr="004F0BA7">
              <w:rPr>
                <w:b/>
                <w:bCs/>
                <w:sz w:val="20"/>
              </w:rPr>
              <w:t>TF</w:t>
            </w:r>
          </w:p>
        </w:tc>
        <w:tc>
          <w:tcPr>
            <w:tcW w:w="8220" w:type="dxa"/>
          </w:tcPr>
          <w:p w14:paraId="367757A9" w14:textId="77777777" w:rsidR="00F54FBD" w:rsidRPr="004F0BA7" w:rsidRDefault="00832E43" w:rsidP="001F2C4F">
            <w:pPr>
              <w:spacing w:before="30" w:after="30"/>
              <w:jc w:val="left"/>
              <w:rPr>
                <w:sz w:val="20"/>
              </w:rPr>
            </w:pPr>
            <w:r w:rsidRPr="004F0BA7">
              <w:rPr>
                <w:sz w:val="20"/>
              </w:rPr>
              <w:t>Émissions</w:t>
            </w:r>
            <w:r w:rsidR="00614CC6" w:rsidRPr="004F0BA7">
              <w:rPr>
                <w:sz w:val="20"/>
              </w:rPr>
              <w:t xml:space="preserve"> de fréquences étalon et de signaux horaires</w:t>
            </w:r>
          </w:p>
        </w:tc>
      </w:tr>
      <w:tr w:rsidR="00F54FBD" w:rsidRPr="004F0BA7" w14:paraId="712C7219" w14:textId="77777777">
        <w:tc>
          <w:tcPr>
            <w:tcW w:w="1140" w:type="dxa"/>
          </w:tcPr>
          <w:p w14:paraId="68A4ED95" w14:textId="77777777" w:rsidR="00F54FBD" w:rsidRPr="004F0BA7" w:rsidRDefault="00F54FBD" w:rsidP="001F2C4F">
            <w:pPr>
              <w:spacing w:before="30" w:after="30"/>
              <w:ind w:left="57"/>
              <w:jc w:val="left"/>
              <w:rPr>
                <w:b/>
                <w:bCs/>
                <w:sz w:val="20"/>
              </w:rPr>
            </w:pPr>
            <w:r w:rsidRPr="004F0BA7">
              <w:rPr>
                <w:b/>
                <w:bCs/>
                <w:sz w:val="20"/>
              </w:rPr>
              <w:t>V</w:t>
            </w:r>
          </w:p>
        </w:tc>
        <w:tc>
          <w:tcPr>
            <w:tcW w:w="8220" w:type="dxa"/>
          </w:tcPr>
          <w:p w14:paraId="1A3B54AF" w14:textId="77777777" w:rsidR="00F54FBD" w:rsidRPr="004F0BA7" w:rsidRDefault="00614CC6" w:rsidP="001F2C4F">
            <w:pPr>
              <w:spacing w:before="30" w:after="140"/>
              <w:jc w:val="left"/>
              <w:rPr>
                <w:sz w:val="20"/>
              </w:rPr>
            </w:pPr>
            <w:r w:rsidRPr="004F0BA7">
              <w:rPr>
                <w:sz w:val="20"/>
              </w:rPr>
              <w:t>Vocabulaire et sujets associés</w:t>
            </w:r>
          </w:p>
        </w:tc>
      </w:tr>
    </w:tbl>
    <w:p w14:paraId="51220F95" w14:textId="77777777" w:rsidR="00F54FBD" w:rsidRPr="004F0BA7" w:rsidRDefault="00F54FBD" w:rsidP="001F2C4F">
      <w:pPr>
        <w:spacing w:before="0"/>
        <w:jc w:val="center"/>
        <w:rPr>
          <w:sz w:val="20"/>
        </w:rPr>
      </w:pPr>
    </w:p>
    <w:p w14:paraId="22BCB38D" w14:textId="77777777" w:rsidR="00F54FBD" w:rsidRPr="004F0BA7" w:rsidRDefault="00F54FBD" w:rsidP="001F2C4F">
      <w:pPr>
        <w:spacing w:before="0"/>
        <w:ind w:left="180"/>
        <w:jc w:val="center"/>
        <w:rPr>
          <w:sz w:val="22"/>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321"/>
      </w:tblGrid>
      <w:tr w:rsidR="00F54FBD" w:rsidRPr="004F0BA7" w14:paraId="24049C7B" w14:textId="77777777">
        <w:tc>
          <w:tcPr>
            <w:tcW w:w="9360" w:type="dxa"/>
          </w:tcPr>
          <w:p w14:paraId="3C40FBB1" w14:textId="505F2F6E" w:rsidR="00F54FBD" w:rsidRPr="004F0BA7" w:rsidRDefault="00F54FBD" w:rsidP="001F2C4F">
            <w:pPr>
              <w:spacing w:before="80" w:after="80"/>
              <w:jc w:val="left"/>
              <w:rPr>
                <w:i/>
                <w:iCs/>
                <w:sz w:val="20"/>
              </w:rPr>
            </w:pPr>
            <w:proofErr w:type="gramStart"/>
            <w:r w:rsidRPr="004F0BA7">
              <w:rPr>
                <w:b/>
                <w:bCs/>
                <w:i/>
                <w:iCs/>
                <w:sz w:val="20"/>
              </w:rPr>
              <w:t>Note</w:t>
            </w:r>
            <w:r w:rsidRPr="004F0BA7">
              <w:rPr>
                <w:i/>
                <w:iCs/>
                <w:sz w:val="20"/>
              </w:rPr>
              <w:t>:</w:t>
            </w:r>
            <w:proofErr w:type="gramEnd"/>
            <w:r w:rsidRPr="004F0BA7">
              <w:rPr>
                <w:i/>
                <w:iCs/>
                <w:sz w:val="20"/>
              </w:rPr>
              <w:t xml:space="preserve"> </w:t>
            </w:r>
            <w:r w:rsidR="00756B4D" w:rsidRPr="004F0BA7">
              <w:rPr>
                <w:i/>
                <w:iCs/>
                <w:sz w:val="20"/>
              </w:rPr>
              <w:t>Cette Recommandation UIT-R a été approuvée en anglais aux termes de la procédure détaillée dans la</w:t>
            </w:r>
            <w:r w:rsidR="003C27AE" w:rsidRPr="004F0BA7">
              <w:rPr>
                <w:i/>
                <w:iCs/>
                <w:sz w:val="20"/>
              </w:rPr>
              <w:t xml:space="preserve"> </w:t>
            </w:r>
            <w:r w:rsidR="00756B4D" w:rsidRPr="004F0BA7">
              <w:rPr>
                <w:i/>
                <w:iCs/>
                <w:sz w:val="20"/>
              </w:rPr>
              <w:t>Résolution UIT-R 1.</w:t>
            </w:r>
          </w:p>
        </w:tc>
      </w:tr>
    </w:tbl>
    <w:p w14:paraId="5FF3D2BA" w14:textId="77777777" w:rsidR="00F54FBD" w:rsidRPr="004F0BA7" w:rsidRDefault="00F54FBD" w:rsidP="001F2C4F">
      <w:pPr>
        <w:spacing w:before="0"/>
        <w:jc w:val="center"/>
        <w:rPr>
          <w:sz w:val="22"/>
        </w:rPr>
      </w:pPr>
    </w:p>
    <w:p w14:paraId="27E824AE" w14:textId="77777777" w:rsidR="00F54FBD" w:rsidRPr="004F0BA7" w:rsidRDefault="00614CC6" w:rsidP="001F2C4F">
      <w:pPr>
        <w:spacing w:before="100"/>
        <w:jc w:val="right"/>
        <w:rPr>
          <w:i/>
          <w:iCs/>
          <w:sz w:val="20"/>
        </w:rPr>
      </w:pPr>
      <w:r w:rsidRPr="004F0BA7">
        <w:rPr>
          <w:i/>
          <w:iCs/>
          <w:sz w:val="20"/>
        </w:rPr>
        <w:t xml:space="preserve">Publication </w:t>
      </w:r>
      <w:r w:rsidR="00756B4D" w:rsidRPr="004F0BA7">
        <w:rPr>
          <w:i/>
          <w:iCs/>
          <w:sz w:val="20"/>
        </w:rPr>
        <w:t>électronique</w:t>
      </w:r>
    </w:p>
    <w:p w14:paraId="0FD3EB66" w14:textId="3FE4977B" w:rsidR="00F54FBD" w:rsidRPr="004F0BA7" w:rsidRDefault="00F54FBD" w:rsidP="001F2C4F">
      <w:pPr>
        <w:spacing w:before="0"/>
        <w:jc w:val="right"/>
        <w:rPr>
          <w:sz w:val="20"/>
        </w:rPr>
      </w:pPr>
      <w:r w:rsidRPr="004F0BA7">
        <w:rPr>
          <w:sz w:val="20"/>
        </w:rPr>
        <w:t>G</w:t>
      </w:r>
      <w:r w:rsidR="00614CC6" w:rsidRPr="004F0BA7">
        <w:rPr>
          <w:sz w:val="20"/>
        </w:rPr>
        <w:t>enève</w:t>
      </w:r>
      <w:r w:rsidRPr="004F0BA7">
        <w:rPr>
          <w:sz w:val="20"/>
        </w:rPr>
        <w:t xml:space="preserve">, </w:t>
      </w:r>
      <w:r w:rsidR="00092EC1" w:rsidRPr="004F0BA7">
        <w:rPr>
          <w:sz w:val="20"/>
        </w:rPr>
        <w:t>2024</w:t>
      </w:r>
    </w:p>
    <w:p w14:paraId="4FFA66C5" w14:textId="2467A730" w:rsidR="00F54FBD" w:rsidRPr="004F0BA7" w:rsidRDefault="00F54FBD" w:rsidP="001F2C4F">
      <w:pPr>
        <w:spacing w:before="200"/>
        <w:jc w:val="center"/>
        <w:rPr>
          <w:sz w:val="20"/>
        </w:rPr>
      </w:pPr>
      <w:r w:rsidRPr="004F0BA7">
        <w:rPr>
          <w:sz w:val="20"/>
        </w:rPr>
        <w:sym w:font="Symbol" w:char="F0E3"/>
      </w:r>
      <w:r w:rsidRPr="004F0BA7">
        <w:rPr>
          <w:sz w:val="20"/>
        </w:rPr>
        <w:t xml:space="preserve"> </w:t>
      </w:r>
      <w:r w:rsidR="00614CC6" w:rsidRPr="004F0BA7">
        <w:rPr>
          <w:sz w:val="20"/>
        </w:rPr>
        <w:t>UIT</w:t>
      </w:r>
      <w:r w:rsidRPr="004F0BA7">
        <w:rPr>
          <w:sz w:val="20"/>
        </w:rPr>
        <w:t xml:space="preserve"> </w:t>
      </w:r>
      <w:bookmarkStart w:id="0" w:name="iiannee"/>
      <w:bookmarkEnd w:id="0"/>
      <w:r w:rsidR="00092EC1" w:rsidRPr="004F0BA7">
        <w:rPr>
          <w:sz w:val="20"/>
        </w:rPr>
        <w:t>2024</w:t>
      </w:r>
    </w:p>
    <w:p w14:paraId="54456EAE" w14:textId="6C2401F6" w:rsidR="007565CC" w:rsidRPr="004F0BA7" w:rsidRDefault="00614CC6" w:rsidP="001F2C4F">
      <w:pPr>
        <w:rPr>
          <w:sz w:val="18"/>
          <w:szCs w:val="18"/>
        </w:rPr>
      </w:pPr>
      <w:r w:rsidRPr="004F0BA7">
        <w:rPr>
          <w:sz w:val="18"/>
          <w:szCs w:val="18"/>
        </w:rPr>
        <w:t xml:space="preserve">Tous droits </w:t>
      </w:r>
      <w:r w:rsidR="00756B4D" w:rsidRPr="004F0BA7">
        <w:rPr>
          <w:sz w:val="18"/>
          <w:szCs w:val="18"/>
        </w:rPr>
        <w:t>réservés</w:t>
      </w:r>
      <w:r w:rsidRPr="004F0BA7">
        <w:rPr>
          <w:sz w:val="18"/>
          <w:szCs w:val="18"/>
        </w:rPr>
        <w:t>. Aucune partie de cette publication ne peut être reproduite, par quelque procédé que ce soit, sans l</w:t>
      </w:r>
      <w:r w:rsidR="00AE7F06" w:rsidRPr="004F0BA7">
        <w:rPr>
          <w:sz w:val="18"/>
          <w:szCs w:val="18"/>
        </w:rPr>
        <w:t>'</w:t>
      </w:r>
      <w:r w:rsidRPr="004F0BA7">
        <w:rPr>
          <w:sz w:val="18"/>
          <w:szCs w:val="18"/>
        </w:rPr>
        <w:t>accord écrit préalable de l</w:t>
      </w:r>
      <w:r w:rsidR="00AE7F06" w:rsidRPr="004F0BA7">
        <w:rPr>
          <w:sz w:val="18"/>
          <w:szCs w:val="18"/>
        </w:rPr>
        <w:t>'</w:t>
      </w:r>
      <w:r w:rsidR="00756B4D" w:rsidRPr="004F0BA7">
        <w:rPr>
          <w:sz w:val="18"/>
          <w:szCs w:val="18"/>
        </w:rPr>
        <w:t>UIT</w:t>
      </w:r>
      <w:r w:rsidR="00F54FBD" w:rsidRPr="004F0BA7">
        <w:rPr>
          <w:sz w:val="18"/>
          <w:szCs w:val="18"/>
        </w:rPr>
        <w:t>.</w:t>
      </w:r>
    </w:p>
    <w:p w14:paraId="06B3DE42" w14:textId="77777777" w:rsidR="007565CC" w:rsidRPr="004F0BA7" w:rsidRDefault="007565CC" w:rsidP="001F2C4F">
      <w:pPr>
        <w:spacing w:before="160"/>
        <w:rPr>
          <w:i/>
          <w:sz w:val="20"/>
          <w:highlight w:val="yellow"/>
        </w:rPr>
        <w:sectPr w:rsidR="007565CC" w:rsidRPr="004F0BA7" w:rsidSect="00D07D53">
          <w:headerReference w:type="even" r:id="rId10"/>
          <w:headerReference w:type="default" r:id="rId11"/>
          <w:headerReference w:type="first" r:id="rId12"/>
          <w:footerReference w:type="first" r:id="rId13"/>
          <w:pgSz w:w="11907" w:h="16834" w:code="9"/>
          <w:pgMar w:top="1418" w:right="1134" w:bottom="1134" w:left="1134" w:header="737" w:footer="283" w:gutter="0"/>
          <w:pgNumType w:fmt="lowerRoman"/>
          <w:cols w:space="720"/>
          <w:titlePg/>
          <w:docGrid w:linePitch="326"/>
        </w:sectPr>
      </w:pPr>
    </w:p>
    <w:p w14:paraId="3D6243AC" w14:textId="167C0378" w:rsidR="00934ED7" w:rsidRPr="004F0BA7" w:rsidRDefault="00FF6FA4" w:rsidP="004A547D">
      <w:pPr>
        <w:pStyle w:val="RecNo"/>
      </w:pPr>
      <w:bookmarkStart w:id="3" w:name="irecnoe"/>
      <w:bookmarkEnd w:id="3"/>
      <w:r w:rsidRPr="004A547D">
        <w:lastRenderedPageBreak/>
        <w:t>RECOMMANDATION</w:t>
      </w:r>
      <w:r w:rsidRPr="004F0BA7">
        <w:t xml:space="preserve"> </w:t>
      </w:r>
      <w:r w:rsidRPr="004F0BA7">
        <w:rPr>
          <w:rStyle w:val="href"/>
        </w:rPr>
        <w:t>UIT-R RS.1263-</w:t>
      </w:r>
      <w:r w:rsidR="00092EC1" w:rsidRPr="004F0BA7">
        <w:rPr>
          <w:rStyle w:val="href"/>
        </w:rPr>
        <w:t>3</w:t>
      </w:r>
    </w:p>
    <w:p w14:paraId="6DB5C5E0" w14:textId="5D22198D" w:rsidR="00FF6FA4" w:rsidRPr="004F0BA7" w:rsidRDefault="00FF6FA4" w:rsidP="000E1331">
      <w:pPr>
        <w:pStyle w:val="Rectitle"/>
      </w:pPr>
      <w:r w:rsidRPr="004F0BA7">
        <w:t>Critères de brouillage applicables au service des auxiliaires de la météorologie dans les bandes 400,15-406 MHz et 1</w:t>
      </w:r>
      <w:r w:rsidRPr="004F0BA7">
        <w:rPr>
          <w:sz w:val="12"/>
        </w:rPr>
        <w:t> </w:t>
      </w:r>
      <w:r w:rsidRPr="004F0BA7">
        <w:t>668,4-1</w:t>
      </w:r>
      <w:r w:rsidRPr="004F0BA7">
        <w:rPr>
          <w:sz w:val="12"/>
        </w:rPr>
        <w:t> </w:t>
      </w:r>
      <w:r w:rsidRPr="004F0BA7">
        <w:t>700 MHz</w:t>
      </w:r>
    </w:p>
    <w:p w14:paraId="71750FB1" w14:textId="4801788B" w:rsidR="00FF6FA4" w:rsidRPr="004F0BA7" w:rsidRDefault="00FF6FA4" w:rsidP="000E1331">
      <w:pPr>
        <w:pStyle w:val="Recdate"/>
      </w:pPr>
      <w:r w:rsidRPr="004F0BA7">
        <w:rPr>
          <w:szCs w:val="24"/>
        </w:rPr>
        <w:t>(1997-2010</w:t>
      </w:r>
      <w:r w:rsidR="001D0524" w:rsidRPr="004F0BA7">
        <w:rPr>
          <w:szCs w:val="24"/>
        </w:rPr>
        <w:t>-2018</w:t>
      </w:r>
      <w:r w:rsidR="00092EC1" w:rsidRPr="004F0BA7">
        <w:rPr>
          <w:szCs w:val="24"/>
        </w:rPr>
        <w:t>-2023</w:t>
      </w:r>
      <w:r w:rsidRPr="004F0BA7">
        <w:rPr>
          <w:szCs w:val="24"/>
        </w:rPr>
        <w:t>)</w:t>
      </w:r>
    </w:p>
    <w:p w14:paraId="32E7FA1B" w14:textId="77777777" w:rsidR="00FF6FA4" w:rsidRPr="004F0BA7" w:rsidRDefault="00FF6FA4" w:rsidP="001F2C4F">
      <w:pPr>
        <w:pStyle w:val="headfoot"/>
      </w:pPr>
    </w:p>
    <w:p w14:paraId="08729A94" w14:textId="77777777" w:rsidR="00FF6FA4" w:rsidRPr="004F0BA7" w:rsidRDefault="00FF6FA4" w:rsidP="001F2C4F">
      <w:pPr>
        <w:pStyle w:val="HeadingSum"/>
        <w:rPr>
          <w:lang w:val="fr-FR"/>
        </w:rPr>
      </w:pPr>
      <w:r w:rsidRPr="004F0BA7">
        <w:rPr>
          <w:lang w:val="fr-FR"/>
        </w:rPr>
        <w:t>Domaine d'application</w:t>
      </w:r>
    </w:p>
    <w:p w14:paraId="2FA0DF28" w14:textId="77777777" w:rsidR="00FF6FA4" w:rsidRPr="004F0BA7" w:rsidRDefault="00FF6FA4" w:rsidP="001F2C4F">
      <w:pPr>
        <w:pStyle w:val="Summary"/>
        <w:rPr>
          <w:lang w:val="fr-FR"/>
        </w:rPr>
      </w:pPr>
      <w:r w:rsidRPr="004F0BA7">
        <w:rPr>
          <w:lang w:val="fr-FR"/>
        </w:rPr>
        <w:t>La présente Recommandation fournit des données sur les critères de brouillage à utiliser dans les études de compatibilité et de partage concernant le service des auxiliaires de la météorologie fonctionnant dans les bandes 400,15-406 MHz et 1668,4-1700 MHz.</w:t>
      </w:r>
    </w:p>
    <w:p w14:paraId="499DCEA2" w14:textId="77777777" w:rsidR="006767F0" w:rsidRPr="004F0BA7" w:rsidRDefault="00157EE3" w:rsidP="001F2C4F">
      <w:pPr>
        <w:pStyle w:val="Headingb"/>
      </w:pPr>
      <w:r w:rsidRPr="004F0BA7">
        <w:t>Recommandations et Rapports UIT-R connexes</w:t>
      </w:r>
    </w:p>
    <w:p w14:paraId="270EE084" w14:textId="7B85FC70" w:rsidR="00092EC1" w:rsidRPr="004A547D" w:rsidRDefault="001D0524" w:rsidP="004A547D">
      <w:pPr>
        <w:pStyle w:val="Reftext"/>
      </w:pPr>
      <w:r w:rsidRPr="004A547D">
        <w:t xml:space="preserve">Recommandation UIT-R </w:t>
      </w:r>
      <w:hyperlink r:id="rId14" w:history="1">
        <w:r w:rsidR="00092EC1" w:rsidRPr="004A547D">
          <w:rPr>
            <w:rStyle w:val="Hyperlink"/>
            <w:color w:val="auto"/>
            <w:u w:val="none"/>
          </w:rPr>
          <w:t>P.528</w:t>
        </w:r>
      </w:hyperlink>
      <w:r w:rsidRPr="004A547D">
        <w:t xml:space="preserve"> – </w:t>
      </w:r>
      <w:r w:rsidR="00092EC1" w:rsidRPr="004A547D">
        <w:t>Courbes de propagation dans les bandes d'ondes métriques, décimétriques et centimétriques pour le service mobile aéronautique et le service de radionavigation aéronautique</w:t>
      </w:r>
    </w:p>
    <w:p w14:paraId="460CF32B" w14:textId="270E7FCC" w:rsidR="001D0524" w:rsidRPr="004A547D" w:rsidRDefault="00092EC1" w:rsidP="004A547D">
      <w:pPr>
        <w:pStyle w:val="Reftext"/>
      </w:pPr>
      <w:r w:rsidRPr="004A547D">
        <w:t xml:space="preserve">Recommandation UIT-R </w:t>
      </w:r>
      <w:hyperlink r:id="rId15" w:history="1">
        <w:r w:rsidRPr="004A547D">
          <w:rPr>
            <w:rStyle w:val="Hyperlink"/>
            <w:color w:val="auto"/>
            <w:u w:val="none"/>
          </w:rPr>
          <w:t>RS.1165</w:t>
        </w:r>
      </w:hyperlink>
      <w:r w:rsidRPr="004A547D">
        <w:t xml:space="preserve"> – </w:t>
      </w:r>
      <w:r w:rsidR="001D0524" w:rsidRPr="004A547D">
        <w:t>Caractéristiques techniques et critères de qualité de fonctionnement des systèmes utilisés dans le service des auxiliaires de la météorologie dans les bandes à 403 MHz et à 1</w:t>
      </w:r>
      <w:r w:rsidR="009F32AC" w:rsidRPr="004A547D">
        <w:t> </w:t>
      </w:r>
      <w:r w:rsidR="001D0524" w:rsidRPr="004A547D">
        <w:t>680 MHz</w:t>
      </w:r>
    </w:p>
    <w:p w14:paraId="2C4479FD" w14:textId="6980721E" w:rsidR="001D0524" w:rsidRPr="004F0BA7" w:rsidRDefault="001D0524" w:rsidP="004A547D">
      <w:pPr>
        <w:pStyle w:val="Reftext"/>
      </w:pPr>
      <w:r w:rsidRPr="004A547D">
        <w:t xml:space="preserve">Recommandation UIT-R </w:t>
      </w:r>
      <w:hyperlink r:id="rId16" w:history="1">
        <w:r w:rsidRPr="004A547D">
          <w:rPr>
            <w:rStyle w:val="Hyperlink"/>
            <w:color w:val="auto"/>
            <w:u w:val="none"/>
          </w:rPr>
          <w:t>SA.1021</w:t>
        </w:r>
      </w:hyperlink>
      <w:r w:rsidRPr="004A547D">
        <w:t xml:space="preserve"> – </w:t>
      </w:r>
      <w:r w:rsidR="009F7DEA" w:rsidRPr="004A547D">
        <w:t>Méthode permettant de déterminer les objectifs de qualité de fonctionnement</w:t>
      </w:r>
      <w:r w:rsidR="009F7DEA" w:rsidRPr="004F0BA7">
        <w:t xml:space="preserve"> pour des systèmes des services d'exploration de la Terre par satellite et de météorologie par satellite</w:t>
      </w:r>
    </w:p>
    <w:p w14:paraId="5A089BAD" w14:textId="77777777" w:rsidR="001D0524" w:rsidRPr="004F0BA7" w:rsidRDefault="002C1B19" w:rsidP="001F2C4F">
      <w:pPr>
        <w:pStyle w:val="Headingb"/>
      </w:pPr>
      <w:r w:rsidRPr="004F0BA7">
        <w:t>Mots clés</w:t>
      </w:r>
    </w:p>
    <w:p w14:paraId="1749219A" w14:textId="77777777" w:rsidR="009F7DEA" w:rsidRPr="004F0BA7" w:rsidRDefault="002C1B19" w:rsidP="001F2C4F">
      <w:proofErr w:type="spellStart"/>
      <w:r w:rsidRPr="004F0BA7">
        <w:t>MetAids</w:t>
      </w:r>
      <w:proofErr w:type="spellEnd"/>
      <w:r w:rsidRPr="004F0BA7">
        <w:t xml:space="preserve">, radiosondes, </w:t>
      </w:r>
      <w:proofErr w:type="spellStart"/>
      <w:r w:rsidR="00157EE3" w:rsidRPr="004F0BA7">
        <w:t>fusée</w:t>
      </w:r>
      <w:r w:rsidR="001F2C4F" w:rsidRPr="004F0BA7">
        <w:t>-</w:t>
      </w:r>
      <w:r w:rsidR="00157EE3" w:rsidRPr="004F0BA7">
        <w:t>sondes</w:t>
      </w:r>
      <w:proofErr w:type="spellEnd"/>
      <w:r w:rsidRPr="004F0BA7">
        <w:t xml:space="preserve">, </w:t>
      </w:r>
      <w:proofErr w:type="spellStart"/>
      <w:r w:rsidR="00157EE3" w:rsidRPr="004F0BA7">
        <w:t>cata</w:t>
      </w:r>
      <w:r w:rsidRPr="004F0BA7">
        <w:t>sondes</w:t>
      </w:r>
      <w:proofErr w:type="spellEnd"/>
    </w:p>
    <w:p w14:paraId="6B9ADE0B" w14:textId="77777777" w:rsidR="009F7DEA" w:rsidRPr="004F0BA7" w:rsidRDefault="002C1B19" w:rsidP="001F2C4F">
      <w:pPr>
        <w:pStyle w:val="Headingb"/>
      </w:pPr>
      <w:r w:rsidRPr="004F0BA7">
        <w:t>Abréviations/glossaire</w:t>
      </w:r>
    </w:p>
    <w:p w14:paraId="2F4548AE" w14:textId="77777777" w:rsidR="002C1B19" w:rsidRPr="004F0BA7" w:rsidRDefault="002C1B19" w:rsidP="001F2C4F">
      <w:pPr>
        <w:tabs>
          <w:tab w:val="clear" w:pos="794"/>
          <w:tab w:val="clear" w:pos="1191"/>
        </w:tabs>
      </w:pPr>
      <w:r w:rsidRPr="004F0BA7">
        <w:t>AM</w:t>
      </w:r>
      <w:r w:rsidRPr="004F0BA7">
        <w:tab/>
      </w:r>
      <w:r w:rsidR="00157EE3" w:rsidRPr="004F0BA7">
        <w:t>modulation d'amplitude (</w:t>
      </w:r>
      <w:r w:rsidR="00157EE3" w:rsidRPr="004F0BA7">
        <w:rPr>
          <w:i/>
          <w:iCs/>
        </w:rPr>
        <w:t>amplitude modulation</w:t>
      </w:r>
      <w:r w:rsidR="00157EE3" w:rsidRPr="004F0BA7">
        <w:t>)</w:t>
      </w:r>
    </w:p>
    <w:p w14:paraId="1001F848" w14:textId="77777777" w:rsidR="002C1B19" w:rsidRPr="004F0BA7" w:rsidRDefault="002C1B19" w:rsidP="001F2C4F">
      <w:pPr>
        <w:tabs>
          <w:tab w:val="clear" w:pos="794"/>
          <w:tab w:val="clear" w:pos="1191"/>
        </w:tabs>
      </w:pPr>
      <w:r w:rsidRPr="004F0BA7">
        <w:t>FM</w:t>
      </w:r>
      <w:r w:rsidRPr="004F0BA7">
        <w:tab/>
      </w:r>
      <w:r w:rsidR="00157EE3" w:rsidRPr="004F0BA7">
        <w:t>modulation de fréquence (</w:t>
      </w:r>
      <w:proofErr w:type="spellStart"/>
      <w:r w:rsidR="00157EE3" w:rsidRPr="004F0BA7">
        <w:rPr>
          <w:i/>
          <w:iCs/>
        </w:rPr>
        <w:t>frequency</w:t>
      </w:r>
      <w:proofErr w:type="spellEnd"/>
      <w:r w:rsidR="00157EE3" w:rsidRPr="004F0BA7">
        <w:rPr>
          <w:i/>
          <w:iCs/>
        </w:rPr>
        <w:t xml:space="preserve"> modulation</w:t>
      </w:r>
      <w:r w:rsidR="00157EE3" w:rsidRPr="004F0BA7">
        <w:t>)</w:t>
      </w:r>
    </w:p>
    <w:p w14:paraId="369E970E" w14:textId="7FA6CE93" w:rsidR="002C1B19" w:rsidRPr="004F0BA7" w:rsidRDefault="002C1B19" w:rsidP="001F2C4F">
      <w:pPr>
        <w:tabs>
          <w:tab w:val="clear" w:pos="794"/>
          <w:tab w:val="clear" w:pos="1191"/>
        </w:tabs>
      </w:pPr>
      <w:r w:rsidRPr="004F0BA7">
        <w:t>FSK</w:t>
      </w:r>
      <w:r w:rsidRPr="004F0BA7">
        <w:tab/>
      </w:r>
      <w:r w:rsidR="00157EE3" w:rsidRPr="004F0BA7">
        <w:t>modulation par déplacement de fréquence (</w:t>
      </w:r>
      <w:proofErr w:type="spellStart"/>
      <w:r w:rsidR="00157EE3" w:rsidRPr="004F0BA7">
        <w:rPr>
          <w:i/>
          <w:iCs/>
        </w:rPr>
        <w:t>frequency</w:t>
      </w:r>
      <w:proofErr w:type="spellEnd"/>
      <w:r w:rsidR="00157EE3" w:rsidRPr="004F0BA7">
        <w:rPr>
          <w:i/>
          <w:iCs/>
        </w:rPr>
        <w:t xml:space="preserve">-shift </w:t>
      </w:r>
      <w:proofErr w:type="spellStart"/>
      <w:r w:rsidR="00157EE3" w:rsidRPr="004F0BA7">
        <w:rPr>
          <w:i/>
          <w:iCs/>
        </w:rPr>
        <w:t>keying</w:t>
      </w:r>
      <w:proofErr w:type="spellEnd"/>
      <w:r w:rsidR="00157EE3" w:rsidRPr="004F0BA7">
        <w:t>)</w:t>
      </w:r>
    </w:p>
    <w:p w14:paraId="7D15D710" w14:textId="77777777" w:rsidR="002C1B19" w:rsidRPr="004F0BA7" w:rsidRDefault="002C1B19" w:rsidP="00C11F42">
      <w:pPr>
        <w:tabs>
          <w:tab w:val="clear" w:pos="794"/>
          <w:tab w:val="clear" w:pos="1191"/>
        </w:tabs>
        <w:ind w:left="1588" w:hanging="1588"/>
      </w:pPr>
      <w:r w:rsidRPr="004F0BA7">
        <w:t>GFSK</w:t>
      </w:r>
      <w:r w:rsidRPr="004F0BA7">
        <w:tab/>
      </w:r>
      <w:r w:rsidR="00157EE3" w:rsidRPr="004F0BA7">
        <w:t>modulation gaussienne par déplacement de fréquence (</w:t>
      </w:r>
      <w:proofErr w:type="spellStart"/>
      <w:r w:rsidR="00157EE3" w:rsidRPr="004F0BA7">
        <w:rPr>
          <w:i/>
          <w:iCs/>
        </w:rPr>
        <w:t>g</w:t>
      </w:r>
      <w:r w:rsidRPr="004F0BA7">
        <w:rPr>
          <w:i/>
          <w:iCs/>
        </w:rPr>
        <w:t>aussian</w:t>
      </w:r>
      <w:proofErr w:type="spellEnd"/>
      <w:r w:rsidRPr="004F0BA7">
        <w:rPr>
          <w:i/>
          <w:iCs/>
        </w:rPr>
        <w:t xml:space="preserve"> </w:t>
      </w:r>
      <w:proofErr w:type="spellStart"/>
      <w:r w:rsidRPr="004F0BA7">
        <w:rPr>
          <w:i/>
          <w:iCs/>
        </w:rPr>
        <w:t>frequency</w:t>
      </w:r>
      <w:proofErr w:type="spellEnd"/>
      <w:r w:rsidRPr="004F0BA7">
        <w:rPr>
          <w:i/>
          <w:iCs/>
        </w:rPr>
        <w:t xml:space="preserve"> shift </w:t>
      </w:r>
      <w:proofErr w:type="spellStart"/>
      <w:r w:rsidRPr="004F0BA7">
        <w:rPr>
          <w:i/>
          <w:iCs/>
        </w:rPr>
        <w:t>keying</w:t>
      </w:r>
      <w:proofErr w:type="spellEnd"/>
      <w:r w:rsidR="00157EE3" w:rsidRPr="004F0BA7">
        <w:t>)</w:t>
      </w:r>
    </w:p>
    <w:p w14:paraId="49E87EFE" w14:textId="77777777" w:rsidR="002C1B19" w:rsidRPr="004F0BA7" w:rsidRDefault="002C1B19" w:rsidP="001F2C4F">
      <w:pPr>
        <w:tabs>
          <w:tab w:val="clear" w:pos="794"/>
          <w:tab w:val="clear" w:pos="1191"/>
        </w:tabs>
      </w:pPr>
      <w:proofErr w:type="spellStart"/>
      <w:r w:rsidRPr="004F0BA7">
        <w:t>MetAids</w:t>
      </w:r>
      <w:proofErr w:type="spellEnd"/>
      <w:r w:rsidRPr="004F0BA7">
        <w:tab/>
      </w:r>
      <w:r w:rsidR="00157EE3" w:rsidRPr="004F0BA7">
        <w:t>service des auxiliaires de la météorologie</w:t>
      </w:r>
    </w:p>
    <w:p w14:paraId="775CAB9D" w14:textId="77777777" w:rsidR="002C1B19" w:rsidRPr="004F0BA7" w:rsidRDefault="002C1B19" w:rsidP="001F2C4F">
      <w:pPr>
        <w:tabs>
          <w:tab w:val="clear" w:pos="794"/>
          <w:tab w:val="clear" w:pos="1191"/>
        </w:tabs>
      </w:pPr>
      <w:r w:rsidRPr="004F0BA7">
        <w:t>METSAT</w:t>
      </w:r>
      <w:r w:rsidRPr="004F0BA7">
        <w:tab/>
      </w:r>
      <w:r w:rsidR="00157EE3" w:rsidRPr="004F0BA7">
        <w:t>service de météorologie par satellite</w:t>
      </w:r>
    </w:p>
    <w:p w14:paraId="3930A1F8" w14:textId="77777777" w:rsidR="002C1B19" w:rsidRPr="004F0BA7" w:rsidRDefault="00157EE3" w:rsidP="001F2C4F">
      <w:pPr>
        <w:tabs>
          <w:tab w:val="clear" w:pos="794"/>
          <w:tab w:val="clear" w:pos="1191"/>
        </w:tabs>
      </w:pPr>
      <w:r w:rsidRPr="004F0BA7">
        <w:t>SMS</w:t>
      </w:r>
      <w:r w:rsidR="002C1B19" w:rsidRPr="004F0BA7">
        <w:tab/>
      </w:r>
      <w:r w:rsidRPr="004F0BA7">
        <w:t>service mobile par satellite</w:t>
      </w:r>
    </w:p>
    <w:p w14:paraId="19C26B5B" w14:textId="77777777" w:rsidR="002C1B19" w:rsidRPr="004F0BA7" w:rsidRDefault="002C1B19" w:rsidP="003C27AE">
      <w:pPr>
        <w:tabs>
          <w:tab w:val="clear" w:pos="794"/>
          <w:tab w:val="clear" w:pos="1191"/>
        </w:tabs>
      </w:pPr>
      <w:r w:rsidRPr="004F0BA7">
        <w:t>NAVAID</w:t>
      </w:r>
      <w:r w:rsidRPr="004F0BA7">
        <w:tab/>
      </w:r>
      <w:r w:rsidR="00157EE3" w:rsidRPr="004F0BA7">
        <w:t>auxiliaire de la navigation</w:t>
      </w:r>
    </w:p>
    <w:p w14:paraId="529D47BE" w14:textId="77777777" w:rsidR="002C1B19" w:rsidRPr="004F0BA7" w:rsidRDefault="002C1B19" w:rsidP="001F2C4F">
      <w:pPr>
        <w:tabs>
          <w:tab w:val="clear" w:pos="794"/>
          <w:tab w:val="clear" w:pos="1191"/>
        </w:tabs>
      </w:pPr>
      <w:r w:rsidRPr="004F0BA7">
        <w:t>QAM</w:t>
      </w:r>
      <w:r w:rsidRPr="004F0BA7">
        <w:tab/>
      </w:r>
      <w:r w:rsidR="00157EE3" w:rsidRPr="004F0BA7">
        <w:t>modulation d'amplitude en quadrature (</w:t>
      </w:r>
      <w:r w:rsidR="00157EE3" w:rsidRPr="004F0BA7">
        <w:rPr>
          <w:i/>
          <w:iCs/>
        </w:rPr>
        <w:t>quadrature amplitude modulation</w:t>
      </w:r>
      <w:r w:rsidR="00157EE3" w:rsidRPr="004F0BA7">
        <w:t>)</w:t>
      </w:r>
    </w:p>
    <w:p w14:paraId="76D61B03" w14:textId="77777777" w:rsidR="00FF6FA4" w:rsidRPr="004F0BA7" w:rsidRDefault="00FF6FA4" w:rsidP="001F2C4F">
      <w:pPr>
        <w:pStyle w:val="Normalaftertitle"/>
        <w:keepNext/>
        <w:keepLines/>
      </w:pPr>
      <w:r w:rsidRPr="004F0BA7">
        <w:t>L'Assemblée des radiocommunications de l'UIT,</w:t>
      </w:r>
    </w:p>
    <w:p w14:paraId="0ED73DE0" w14:textId="77777777" w:rsidR="00FF6FA4" w:rsidRPr="004F0BA7" w:rsidRDefault="00FF6FA4" w:rsidP="001F2C4F">
      <w:pPr>
        <w:pStyle w:val="Call"/>
      </w:pPr>
      <w:proofErr w:type="gramStart"/>
      <w:r w:rsidRPr="004F0BA7">
        <w:t>considérant</w:t>
      </w:r>
      <w:proofErr w:type="gramEnd"/>
    </w:p>
    <w:p w14:paraId="726D708C" w14:textId="77777777" w:rsidR="00FF6FA4" w:rsidRPr="004F0BA7" w:rsidRDefault="00FF6FA4" w:rsidP="001F2C4F">
      <w:pPr>
        <w:keepNext/>
        <w:keepLines/>
      </w:pPr>
      <w:r w:rsidRPr="004F0BA7">
        <w:rPr>
          <w:i/>
          <w:iCs/>
        </w:rPr>
        <w:t>a)</w:t>
      </w:r>
      <w:r w:rsidRPr="004F0BA7">
        <w:tab/>
        <w:t xml:space="preserve">qu'il est nécessaire d'établir des critères de brouillage, afin que les systèmes mis au point puissent offrir une qualité de fonctionnement satisfaisante en présence de </w:t>
      </w:r>
      <w:proofErr w:type="gramStart"/>
      <w:r w:rsidRPr="004F0BA7">
        <w:t>brouillage;</w:t>
      </w:r>
      <w:proofErr w:type="gramEnd"/>
    </w:p>
    <w:p w14:paraId="6B839136" w14:textId="5C286EAF" w:rsidR="00FF6FA4" w:rsidRPr="004F0BA7" w:rsidRDefault="00FF6FA4" w:rsidP="001F2C4F">
      <w:r w:rsidRPr="004F0BA7">
        <w:rPr>
          <w:i/>
          <w:iCs/>
        </w:rPr>
        <w:t>b)</w:t>
      </w:r>
      <w:r w:rsidRPr="004F0BA7">
        <w:tab/>
        <w:t xml:space="preserve">que les objectifs de qualité de fonctionnement applicables aux radiosondes, aux </w:t>
      </w:r>
      <w:proofErr w:type="spellStart"/>
      <w:r w:rsidRPr="004F0BA7">
        <w:t>catasondes</w:t>
      </w:r>
      <w:proofErr w:type="spellEnd"/>
      <w:r w:rsidRPr="004F0BA7">
        <w:t xml:space="preserve"> et aux fusées-sondes sont indiqués dans la Recommandation </w:t>
      </w:r>
      <w:hyperlink r:id="rId17" w:history="1">
        <w:r w:rsidRPr="004F0BA7">
          <w:rPr>
            <w:rStyle w:val="Hyperlink"/>
            <w:color w:val="auto"/>
            <w:u w:val="none"/>
          </w:rPr>
          <w:t>UIT-R RS.1165</w:t>
        </w:r>
      </w:hyperlink>
      <w:r w:rsidRPr="004F0BA7">
        <w:t>;</w:t>
      </w:r>
    </w:p>
    <w:p w14:paraId="3166A341" w14:textId="77777777" w:rsidR="00FF6FA4" w:rsidRPr="004F0BA7" w:rsidRDefault="00FF6FA4" w:rsidP="001F2C4F">
      <w:r w:rsidRPr="004F0BA7">
        <w:rPr>
          <w:i/>
          <w:iCs/>
        </w:rPr>
        <w:lastRenderedPageBreak/>
        <w:t>c)</w:t>
      </w:r>
      <w:r w:rsidRPr="004F0BA7">
        <w:tab/>
        <w:t xml:space="preserve">que les critères de brouillage facilitent l'établissement de critères pour le partage de bandes de fréquences entre systèmes, y compris ceux qui sont exploités dans le cadre d'autres </w:t>
      </w:r>
      <w:proofErr w:type="gramStart"/>
      <w:r w:rsidRPr="004F0BA7">
        <w:t>services;</w:t>
      </w:r>
      <w:proofErr w:type="gramEnd"/>
    </w:p>
    <w:p w14:paraId="4991B7F9" w14:textId="77777777" w:rsidR="00FF6FA4" w:rsidRPr="004F0BA7" w:rsidRDefault="00FF6FA4" w:rsidP="001F2C4F">
      <w:r w:rsidRPr="004F0BA7">
        <w:rPr>
          <w:i/>
          <w:iCs/>
        </w:rPr>
        <w:t>d)</w:t>
      </w:r>
      <w:r w:rsidRPr="004F0BA7">
        <w:tab/>
        <w:t>que les seuils de brouillage à définir pour les systèmes du service des auxiliaires de la météorologie doivent être au moins égaux aux niveaux admissibles,</w:t>
      </w:r>
    </w:p>
    <w:p w14:paraId="764BB09B" w14:textId="77777777" w:rsidR="00FF6FA4" w:rsidRPr="004F0BA7" w:rsidRDefault="00FF6FA4" w:rsidP="001F2C4F">
      <w:pPr>
        <w:pStyle w:val="Call"/>
      </w:pPr>
      <w:proofErr w:type="gramStart"/>
      <w:r w:rsidRPr="004F0BA7">
        <w:t>recommande</w:t>
      </w:r>
      <w:proofErr w:type="gramEnd"/>
    </w:p>
    <w:p w14:paraId="50C332C1" w14:textId="77777777" w:rsidR="00FF6FA4" w:rsidRPr="004F0BA7" w:rsidRDefault="00FF6FA4" w:rsidP="001F2C4F">
      <w:proofErr w:type="gramStart"/>
      <w:r w:rsidRPr="004F0BA7">
        <w:t>d'utiliser</w:t>
      </w:r>
      <w:proofErr w:type="gramEnd"/>
      <w:r w:rsidRPr="004F0BA7">
        <w:t xml:space="preserve"> les niveaux de brouillage indiqués dans les Tableaux 1</w:t>
      </w:r>
      <w:r w:rsidR="006349A0" w:rsidRPr="004F0BA7">
        <w:t>,</w:t>
      </w:r>
      <w:r w:rsidRPr="004F0BA7">
        <w:t xml:space="preserve"> 2</w:t>
      </w:r>
      <w:r w:rsidR="006349A0" w:rsidRPr="004F0BA7">
        <w:t xml:space="preserve"> et 3 </w:t>
      </w:r>
      <w:r w:rsidRPr="004F0BA7">
        <w:t>comme niveaux totaux admissibles de puissance des signaux brouilleurs à la sortie de l'antenne des stations de réception exploitées dans le service des auxiliaires de la météorologie, sur la base des paramètres de systèmes représentatifs des auxiliaires de la météorologie indiqués dans l'Annexe 1.</w:t>
      </w:r>
    </w:p>
    <w:p w14:paraId="6B7EE71C" w14:textId="77777777" w:rsidR="00FF6FA4" w:rsidRPr="004F0BA7" w:rsidRDefault="00FF6FA4" w:rsidP="001F2C4F">
      <w:pPr>
        <w:pStyle w:val="TableNo"/>
      </w:pPr>
      <w:r w:rsidRPr="004F0BA7">
        <w:t>TABLEAU 1</w:t>
      </w:r>
    </w:p>
    <w:p w14:paraId="7E750492" w14:textId="77777777" w:rsidR="00FF6FA4" w:rsidRPr="004F0BA7" w:rsidRDefault="00FF6FA4" w:rsidP="00175BC1">
      <w:pPr>
        <w:pStyle w:val="Tabletitle"/>
        <w:rPr>
          <w:vertAlign w:val="superscript"/>
        </w:rPr>
      </w:pPr>
      <w:r w:rsidRPr="004F0BA7">
        <w:t xml:space="preserve">Critères de brouillage applicables aux systèmes à radiosondes du service des auxiliaires </w:t>
      </w:r>
      <w:r w:rsidR="00175BC1" w:rsidRPr="004F0BA7">
        <w:br/>
      </w:r>
      <w:r w:rsidRPr="004F0BA7">
        <w:t>de la météorologie</w:t>
      </w:r>
      <w:r w:rsidR="006349A0" w:rsidRPr="004F0BA7">
        <w:t xml:space="preserve"> fonctionnant dans la bande de fréquences 1668-1700 </w:t>
      </w:r>
      <w:proofErr w:type="gramStart"/>
      <w:r w:rsidR="006349A0" w:rsidRPr="004F0BA7">
        <w:t>MHz</w:t>
      </w:r>
      <w:r w:rsidR="006349A0" w:rsidRPr="004F0BA7">
        <w:rPr>
          <w:vertAlign w:val="superscript"/>
        </w:rPr>
        <w:t>(</w:t>
      </w:r>
      <w:proofErr w:type="gramEnd"/>
      <w:r w:rsidR="006349A0" w:rsidRPr="004F0BA7">
        <w:rPr>
          <w:vertAlign w:val="superscript"/>
        </w:rPr>
        <w:t>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556"/>
        <w:gridCol w:w="2153"/>
        <w:gridCol w:w="1828"/>
      </w:tblGrid>
      <w:tr w:rsidR="002C1B19" w:rsidRPr="004F0BA7" w14:paraId="3512DCD4" w14:textId="77777777" w:rsidTr="002C1B19">
        <w:tc>
          <w:tcPr>
            <w:tcW w:w="5556" w:type="dxa"/>
            <w:vAlign w:val="center"/>
          </w:tcPr>
          <w:p w14:paraId="6A3D485A" w14:textId="77777777" w:rsidR="002C1B19" w:rsidRPr="004F0BA7" w:rsidRDefault="002C1B19" w:rsidP="001F2C4F">
            <w:pPr>
              <w:pStyle w:val="Tablehead"/>
            </w:pPr>
            <w:r w:rsidRPr="004F0BA7">
              <w:t>Paramètre</w:t>
            </w:r>
          </w:p>
        </w:tc>
        <w:tc>
          <w:tcPr>
            <w:tcW w:w="2153" w:type="dxa"/>
            <w:vAlign w:val="center"/>
          </w:tcPr>
          <w:p w14:paraId="4C0D9384" w14:textId="77777777" w:rsidR="002C1B19" w:rsidRPr="004F0BA7" w:rsidRDefault="002C1B19" w:rsidP="001F2C4F">
            <w:pPr>
              <w:pStyle w:val="Tablehead"/>
            </w:pPr>
            <w:r w:rsidRPr="004F0BA7">
              <w:t xml:space="preserve">Système à </w:t>
            </w:r>
            <w:r w:rsidRPr="004F0BA7">
              <w:br/>
              <w:t>radiosondes de radiorepérage (RDF)</w:t>
            </w:r>
            <w:r w:rsidRPr="004F0BA7">
              <w:br/>
              <w:t>1 668,4</w:t>
            </w:r>
            <w:r w:rsidRPr="004F0BA7">
              <w:noBreakHyphen/>
              <w:t>1 700 MHz</w:t>
            </w:r>
          </w:p>
        </w:tc>
        <w:tc>
          <w:tcPr>
            <w:tcW w:w="1828" w:type="dxa"/>
            <w:vAlign w:val="center"/>
          </w:tcPr>
          <w:p w14:paraId="3FE0FB3B" w14:textId="77777777" w:rsidR="002C1B19" w:rsidRPr="004F0BA7" w:rsidRDefault="002C1B19" w:rsidP="001F2C4F">
            <w:pPr>
              <w:pStyle w:val="Tablehead"/>
            </w:pPr>
            <w:r w:rsidRPr="004F0BA7">
              <w:t xml:space="preserve">Système à radiosondes GPS </w:t>
            </w:r>
            <w:r w:rsidRPr="004F0BA7">
              <w:br/>
              <w:t>1 675-1 683 MHz</w:t>
            </w:r>
          </w:p>
        </w:tc>
      </w:tr>
      <w:tr w:rsidR="002C1B19" w:rsidRPr="004F0BA7" w14:paraId="17D2DEE0" w14:textId="77777777" w:rsidTr="002C1B19">
        <w:tc>
          <w:tcPr>
            <w:tcW w:w="5556" w:type="dxa"/>
          </w:tcPr>
          <w:p w14:paraId="2FAE750D" w14:textId="77777777" w:rsidR="002C1B19" w:rsidRPr="004F0BA7" w:rsidRDefault="002C1B19" w:rsidP="001F2C4F">
            <w:pPr>
              <w:pStyle w:val="Tabletext"/>
              <w:jc w:val="left"/>
            </w:pPr>
            <w:r w:rsidRPr="004F0BA7">
              <w:t>Largeur de bande de référence du système</w:t>
            </w:r>
            <w:r w:rsidR="00533AA8" w:rsidRPr="004F0BA7">
              <w:t xml:space="preserve"> (kHz)</w:t>
            </w:r>
          </w:p>
        </w:tc>
        <w:tc>
          <w:tcPr>
            <w:tcW w:w="2153" w:type="dxa"/>
            <w:vAlign w:val="center"/>
          </w:tcPr>
          <w:p w14:paraId="52CD4ADD" w14:textId="77777777" w:rsidR="002C1B19" w:rsidRPr="004F0BA7" w:rsidRDefault="002C1B19" w:rsidP="001F2C4F">
            <w:pPr>
              <w:pStyle w:val="Tabletext"/>
              <w:jc w:val="center"/>
            </w:pPr>
            <w:r w:rsidRPr="004F0BA7">
              <w:t>1 300</w:t>
            </w:r>
          </w:p>
        </w:tc>
        <w:tc>
          <w:tcPr>
            <w:tcW w:w="1828" w:type="dxa"/>
            <w:vAlign w:val="center"/>
          </w:tcPr>
          <w:p w14:paraId="28BDE3A4" w14:textId="77777777" w:rsidR="002C1B19" w:rsidRPr="004F0BA7" w:rsidRDefault="002C1B19" w:rsidP="001F2C4F">
            <w:pPr>
              <w:pStyle w:val="Tabletext"/>
              <w:jc w:val="center"/>
            </w:pPr>
            <w:r w:rsidRPr="004F0BA7">
              <w:t xml:space="preserve">150 </w:t>
            </w:r>
          </w:p>
        </w:tc>
      </w:tr>
      <w:tr w:rsidR="002C1B19" w:rsidRPr="004F0BA7" w14:paraId="4DC995BF" w14:textId="77777777" w:rsidTr="002C1B19">
        <w:tc>
          <w:tcPr>
            <w:tcW w:w="5556" w:type="dxa"/>
          </w:tcPr>
          <w:p w14:paraId="0FBCF81E" w14:textId="77777777" w:rsidR="002C1B19" w:rsidRPr="004F0BA7" w:rsidRDefault="002C1B19" w:rsidP="001F2C4F">
            <w:pPr>
              <w:pStyle w:val="Tabletext"/>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w:t>
            </w:r>
            <w:r w:rsidRPr="004F0BA7">
              <w:rPr>
                <w:i/>
                <w:iCs/>
              </w:rPr>
              <w:t>P</w:t>
            </w:r>
            <w:r w:rsidRPr="004F0BA7">
              <w:rPr>
                <w:i/>
                <w:iCs/>
                <w:vertAlign w:val="subscript"/>
              </w:rPr>
              <w:t>PERTE-VERROUILLAGE</w:t>
            </w:r>
            <w:r w:rsidRPr="004F0BA7">
              <w:t>% du temps </w:t>
            </w:r>
          </w:p>
        </w:tc>
        <w:tc>
          <w:tcPr>
            <w:tcW w:w="2153" w:type="dxa"/>
            <w:shd w:val="clear" w:color="auto" w:fill="auto"/>
            <w:vAlign w:val="center"/>
          </w:tcPr>
          <w:p w14:paraId="5F8747FA" w14:textId="77777777" w:rsidR="002C1B19" w:rsidRPr="004F0BA7" w:rsidRDefault="001F3371" w:rsidP="001F2C4F">
            <w:pPr>
              <w:pStyle w:val="Tabletext"/>
              <w:jc w:val="center"/>
            </w:pPr>
            <w:r w:rsidRPr="004F0BA7">
              <w:t>−</w:t>
            </w:r>
            <w:r w:rsidR="002C1B19" w:rsidRPr="004F0BA7">
              <w:t>135,3</w:t>
            </w:r>
          </w:p>
        </w:tc>
        <w:tc>
          <w:tcPr>
            <w:tcW w:w="1828" w:type="dxa"/>
            <w:shd w:val="clear" w:color="auto" w:fill="auto"/>
            <w:vAlign w:val="center"/>
          </w:tcPr>
          <w:p w14:paraId="63E11AAF" w14:textId="77777777" w:rsidR="002C1B19" w:rsidRPr="004F0BA7" w:rsidRDefault="001F3371" w:rsidP="001F2C4F">
            <w:pPr>
              <w:pStyle w:val="Tabletext"/>
              <w:jc w:val="center"/>
            </w:pPr>
            <w:r w:rsidRPr="004F0BA7">
              <w:t>−</w:t>
            </w:r>
            <w:r w:rsidR="002C1B19" w:rsidRPr="004F0BA7">
              <w:t>137,2</w:t>
            </w:r>
          </w:p>
        </w:tc>
      </w:tr>
      <w:tr w:rsidR="002C1B19" w:rsidRPr="004F0BA7" w14:paraId="2DBF46AE" w14:textId="77777777" w:rsidTr="002C1B19">
        <w:tc>
          <w:tcPr>
            <w:tcW w:w="5556" w:type="dxa"/>
          </w:tcPr>
          <w:p w14:paraId="4982A8FD" w14:textId="77777777" w:rsidR="002C1B19" w:rsidRPr="004F0BA7" w:rsidRDefault="002C1B19" w:rsidP="001F2C4F">
            <w:pPr>
              <w:pStyle w:val="Tabletext"/>
              <w:jc w:val="left"/>
            </w:pPr>
            <w:r w:rsidRPr="004F0BA7">
              <w:t xml:space="preserve">Pourcentage de temps, </w:t>
            </w:r>
            <w:r w:rsidRPr="004F0BA7">
              <w:rPr>
                <w:i/>
                <w:iCs/>
              </w:rPr>
              <w:t>P</w:t>
            </w:r>
            <w:r w:rsidRPr="004F0BA7">
              <w:rPr>
                <w:i/>
                <w:iCs/>
                <w:vertAlign w:val="subscript"/>
              </w:rPr>
              <w:t>PERTE-</w:t>
            </w:r>
            <w:proofErr w:type="gramStart"/>
            <w:r w:rsidRPr="004F0BA7">
              <w:rPr>
                <w:i/>
                <w:iCs/>
                <w:vertAlign w:val="subscript"/>
              </w:rPr>
              <w:t>VERROUILLAGE</w:t>
            </w:r>
            <w:r w:rsidRPr="004F0BA7">
              <w:t>(</w:t>
            </w:r>
            <w:proofErr w:type="gramEnd"/>
            <w:r w:rsidRPr="004F0BA7">
              <w:t>%)</w:t>
            </w:r>
            <w:r w:rsidRPr="004F0BA7">
              <w:rPr>
                <w:vertAlign w:val="superscript"/>
              </w:rPr>
              <w:t>(2)</w:t>
            </w:r>
          </w:p>
        </w:tc>
        <w:tc>
          <w:tcPr>
            <w:tcW w:w="2153" w:type="dxa"/>
            <w:shd w:val="clear" w:color="auto" w:fill="auto"/>
            <w:vAlign w:val="center"/>
          </w:tcPr>
          <w:p w14:paraId="3499BB44" w14:textId="77777777" w:rsidR="002C1B19" w:rsidRPr="004F0BA7" w:rsidRDefault="002C1B19" w:rsidP="001F2C4F">
            <w:pPr>
              <w:pStyle w:val="Tabletext"/>
              <w:jc w:val="center"/>
            </w:pPr>
            <w:r w:rsidRPr="004F0BA7">
              <w:t>0,02</w:t>
            </w:r>
          </w:p>
        </w:tc>
        <w:tc>
          <w:tcPr>
            <w:tcW w:w="1828" w:type="dxa"/>
            <w:shd w:val="clear" w:color="auto" w:fill="auto"/>
            <w:vAlign w:val="center"/>
          </w:tcPr>
          <w:p w14:paraId="08B1F2E1" w14:textId="77777777" w:rsidR="002C1B19" w:rsidRPr="004F0BA7" w:rsidRDefault="002C1B19" w:rsidP="001F2C4F">
            <w:pPr>
              <w:pStyle w:val="Tabletext"/>
              <w:jc w:val="center"/>
            </w:pPr>
            <w:r w:rsidRPr="004F0BA7">
              <w:t>0,025</w:t>
            </w:r>
          </w:p>
        </w:tc>
      </w:tr>
      <w:tr w:rsidR="002C1B19" w:rsidRPr="004F0BA7" w14:paraId="594ECC04" w14:textId="77777777" w:rsidTr="002C1B19">
        <w:tc>
          <w:tcPr>
            <w:tcW w:w="5556" w:type="dxa"/>
          </w:tcPr>
          <w:p w14:paraId="1E0749BE" w14:textId="77777777" w:rsidR="002C1B19" w:rsidRPr="004F0BA7" w:rsidRDefault="002C1B19" w:rsidP="001F2C4F">
            <w:pPr>
              <w:pStyle w:val="Tabletext"/>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w:t>
            </w:r>
            <w:r w:rsidRPr="004F0BA7">
              <w:rPr>
                <w:i/>
                <w:iCs/>
              </w:rPr>
              <w:t>P</w:t>
            </w:r>
            <w:r w:rsidRPr="004F0BA7">
              <w:rPr>
                <w:i/>
                <w:iCs/>
                <w:vertAlign w:val="subscript"/>
              </w:rPr>
              <w:t>PERTE-DONNÉES</w:t>
            </w:r>
            <w:r w:rsidRPr="004F0BA7">
              <w:t>% du temps </w:t>
            </w:r>
          </w:p>
        </w:tc>
        <w:tc>
          <w:tcPr>
            <w:tcW w:w="2153" w:type="dxa"/>
            <w:shd w:val="clear" w:color="auto" w:fill="auto"/>
            <w:vAlign w:val="center"/>
          </w:tcPr>
          <w:p w14:paraId="18A4D146" w14:textId="3D4FC9E6" w:rsidR="002C1B19" w:rsidRPr="004F0BA7" w:rsidRDefault="001F3371" w:rsidP="001F2C4F">
            <w:pPr>
              <w:pStyle w:val="Tabletext"/>
              <w:jc w:val="center"/>
            </w:pPr>
            <w:r w:rsidRPr="004F0BA7">
              <w:t>−</w:t>
            </w:r>
            <w:r w:rsidR="00957286" w:rsidRPr="004F0BA7">
              <w:t>148,5</w:t>
            </w:r>
          </w:p>
        </w:tc>
        <w:tc>
          <w:tcPr>
            <w:tcW w:w="1828" w:type="dxa"/>
            <w:shd w:val="clear" w:color="auto" w:fill="auto"/>
            <w:vAlign w:val="center"/>
          </w:tcPr>
          <w:p w14:paraId="05FD1657" w14:textId="77777777" w:rsidR="002C1B19" w:rsidRPr="004F0BA7" w:rsidRDefault="001F3371" w:rsidP="001F2C4F">
            <w:pPr>
              <w:pStyle w:val="Tabletext"/>
              <w:jc w:val="center"/>
            </w:pPr>
            <w:r w:rsidRPr="004F0BA7">
              <w:t>−</w:t>
            </w:r>
            <w:r w:rsidR="002C1B19" w:rsidRPr="004F0BA7">
              <w:t>145,7</w:t>
            </w:r>
          </w:p>
        </w:tc>
      </w:tr>
      <w:tr w:rsidR="002C1B19" w:rsidRPr="004F0BA7" w14:paraId="75FE9F62" w14:textId="77777777" w:rsidTr="002C1B19">
        <w:tc>
          <w:tcPr>
            <w:tcW w:w="5556" w:type="dxa"/>
          </w:tcPr>
          <w:p w14:paraId="3EF58913" w14:textId="77777777" w:rsidR="002C1B19" w:rsidRPr="004F0BA7" w:rsidRDefault="002C1B19" w:rsidP="001F2C4F">
            <w:pPr>
              <w:pStyle w:val="Tabletext"/>
              <w:jc w:val="left"/>
            </w:pPr>
            <w:r w:rsidRPr="004F0BA7">
              <w:t xml:space="preserve">Pourcentage de temps, </w:t>
            </w:r>
            <w:r w:rsidRPr="004F0BA7">
              <w:rPr>
                <w:i/>
                <w:iCs/>
              </w:rPr>
              <w:t>P</w:t>
            </w:r>
            <w:r w:rsidRPr="004F0BA7">
              <w:rPr>
                <w:i/>
                <w:iCs/>
                <w:vertAlign w:val="subscript"/>
              </w:rPr>
              <w:t>PERTE-</w:t>
            </w:r>
            <w:proofErr w:type="gramStart"/>
            <w:r w:rsidRPr="004F0BA7">
              <w:rPr>
                <w:i/>
                <w:iCs/>
                <w:vertAlign w:val="subscript"/>
              </w:rPr>
              <w:t>DONNÉES</w:t>
            </w:r>
            <w:r w:rsidRPr="004F0BA7">
              <w:t>(</w:t>
            </w:r>
            <w:proofErr w:type="gramEnd"/>
            <w:r w:rsidRPr="004F0BA7">
              <w:t>%)</w:t>
            </w:r>
            <w:r w:rsidRPr="004F0BA7">
              <w:rPr>
                <w:vertAlign w:val="superscript"/>
              </w:rPr>
              <w:t>(2)</w:t>
            </w:r>
          </w:p>
        </w:tc>
        <w:tc>
          <w:tcPr>
            <w:tcW w:w="2153" w:type="dxa"/>
            <w:shd w:val="clear" w:color="auto" w:fill="auto"/>
            <w:vAlign w:val="center"/>
          </w:tcPr>
          <w:p w14:paraId="6C986CA6" w14:textId="542FC6BA" w:rsidR="002C1B19" w:rsidRPr="004F0BA7" w:rsidRDefault="002C1B19" w:rsidP="001F2C4F">
            <w:pPr>
              <w:pStyle w:val="Tabletext"/>
              <w:jc w:val="center"/>
            </w:pPr>
            <w:r w:rsidRPr="004F0BA7">
              <w:t>0,</w:t>
            </w:r>
            <w:r w:rsidR="00957286" w:rsidRPr="004F0BA7">
              <w:t>0</w:t>
            </w:r>
            <w:r w:rsidRPr="004F0BA7">
              <w:t>8</w:t>
            </w:r>
          </w:p>
        </w:tc>
        <w:tc>
          <w:tcPr>
            <w:tcW w:w="1828" w:type="dxa"/>
            <w:shd w:val="clear" w:color="auto" w:fill="auto"/>
            <w:vAlign w:val="center"/>
          </w:tcPr>
          <w:p w14:paraId="2E8D18D6" w14:textId="77777777" w:rsidR="002C1B19" w:rsidRPr="004F0BA7" w:rsidRDefault="002C1B19" w:rsidP="001F2C4F">
            <w:pPr>
              <w:pStyle w:val="Tabletext"/>
              <w:jc w:val="center"/>
            </w:pPr>
            <w:r w:rsidRPr="004F0BA7">
              <w:t>0,125</w:t>
            </w:r>
          </w:p>
        </w:tc>
      </w:tr>
      <w:tr w:rsidR="002C1B19" w:rsidRPr="004F0BA7" w14:paraId="07868577" w14:textId="77777777" w:rsidTr="002C1B19">
        <w:tc>
          <w:tcPr>
            <w:tcW w:w="5556" w:type="dxa"/>
            <w:tcBorders>
              <w:bottom w:val="single" w:sz="6" w:space="0" w:color="000000"/>
            </w:tcBorders>
          </w:tcPr>
          <w:p w14:paraId="4435640B" w14:textId="77777777" w:rsidR="002C1B19" w:rsidRPr="004F0BA7" w:rsidRDefault="002C1B19" w:rsidP="001F2C4F">
            <w:pPr>
              <w:pStyle w:val="Tabletext"/>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20% du </w:t>
            </w:r>
            <w:proofErr w:type="gramStart"/>
            <w:r w:rsidRPr="004F0BA7">
              <w:t>temps</w:t>
            </w:r>
            <w:r w:rsidRPr="004F0BA7">
              <w:rPr>
                <w:vertAlign w:val="superscript"/>
              </w:rPr>
              <w:t>(</w:t>
            </w:r>
            <w:proofErr w:type="gramEnd"/>
            <w:r w:rsidRPr="004F0BA7">
              <w:rPr>
                <w:vertAlign w:val="superscript"/>
              </w:rPr>
              <w:t>2)</w:t>
            </w:r>
          </w:p>
        </w:tc>
        <w:tc>
          <w:tcPr>
            <w:tcW w:w="2153" w:type="dxa"/>
            <w:tcBorders>
              <w:bottom w:val="single" w:sz="6" w:space="0" w:color="000000"/>
            </w:tcBorders>
            <w:vAlign w:val="center"/>
          </w:tcPr>
          <w:p w14:paraId="4F4BD422" w14:textId="390156FE" w:rsidR="002C1B19" w:rsidRPr="004F0BA7" w:rsidRDefault="001F3371" w:rsidP="001F2C4F">
            <w:pPr>
              <w:pStyle w:val="Tabletext"/>
              <w:jc w:val="center"/>
            </w:pPr>
            <w:r w:rsidRPr="004F0BA7">
              <w:t>−</w:t>
            </w:r>
            <w:r w:rsidR="00957286" w:rsidRPr="004F0BA7">
              <w:t>149,36</w:t>
            </w:r>
          </w:p>
        </w:tc>
        <w:tc>
          <w:tcPr>
            <w:tcW w:w="1828" w:type="dxa"/>
            <w:tcBorders>
              <w:bottom w:val="single" w:sz="6" w:space="0" w:color="000000"/>
            </w:tcBorders>
            <w:vAlign w:val="center"/>
          </w:tcPr>
          <w:p w14:paraId="2B1609E6" w14:textId="03733155" w:rsidR="002C1B19" w:rsidRPr="004F0BA7" w:rsidRDefault="001F3371" w:rsidP="001F2C4F">
            <w:pPr>
              <w:pStyle w:val="Tabletext"/>
              <w:jc w:val="center"/>
            </w:pPr>
            <w:r w:rsidRPr="004F0BA7">
              <w:t>−</w:t>
            </w:r>
            <w:r w:rsidR="00957286" w:rsidRPr="004F0BA7">
              <w:t>151,51</w:t>
            </w:r>
          </w:p>
        </w:tc>
      </w:tr>
      <w:tr w:rsidR="002C1B19" w:rsidRPr="004F0BA7" w14:paraId="692D45BF" w14:textId="77777777" w:rsidTr="002C1B19">
        <w:tc>
          <w:tcPr>
            <w:tcW w:w="9537" w:type="dxa"/>
            <w:gridSpan w:val="3"/>
            <w:tcBorders>
              <w:left w:val="nil"/>
              <w:bottom w:val="nil"/>
              <w:right w:val="nil"/>
            </w:tcBorders>
          </w:tcPr>
          <w:p w14:paraId="4EBACF97" w14:textId="77777777" w:rsidR="002C1B19" w:rsidRPr="004F0BA7" w:rsidRDefault="002C1B19" w:rsidP="001F2C4F">
            <w:pPr>
              <w:pStyle w:val="Tablelegend"/>
            </w:pPr>
            <w:r w:rsidRPr="004F0BA7">
              <w:rPr>
                <w:vertAlign w:val="superscript"/>
              </w:rPr>
              <w:t>(1)</w:t>
            </w:r>
            <w:r w:rsidRPr="004F0BA7">
              <w:tab/>
            </w:r>
            <w:r w:rsidR="002B6CE9" w:rsidRPr="004F0BA7">
              <w:t>Voir le</w:t>
            </w:r>
            <w:r w:rsidRPr="004F0BA7">
              <w:t xml:space="preserve"> §</w:t>
            </w:r>
            <w:r w:rsidR="002B6CE9" w:rsidRPr="004F0BA7">
              <w:t> </w:t>
            </w:r>
            <w:r w:rsidRPr="004F0BA7">
              <w:t xml:space="preserve">3 </w:t>
            </w:r>
            <w:r w:rsidR="002B6CE9" w:rsidRPr="004F0BA7">
              <w:t>pour le calcul de la marge de liaison et le § 4 pour le calcul des niveaux de puissance de</w:t>
            </w:r>
            <w:r w:rsidR="003C27AE" w:rsidRPr="004F0BA7">
              <w:t>s</w:t>
            </w:r>
            <w:r w:rsidR="002B6CE9" w:rsidRPr="004F0BA7">
              <w:t xml:space="preserve"> signaux brouilleurs</w:t>
            </w:r>
            <w:r w:rsidRPr="004F0BA7">
              <w:t>.</w:t>
            </w:r>
          </w:p>
          <w:p w14:paraId="6FBAB7E2" w14:textId="77777777" w:rsidR="002C1B19" w:rsidRPr="004F0BA7" w:rsidRDefault="002C1B19" w:rsidP="001F2C4F">
            <w:pPr>
              <w:pStyle w:val="Tablelegend"/>
            </w:pPr>
            <w:r w:rsidRPr="004F0BA7">
              <w:rPr>
                <w:vertAlign w:val="superscript"/>
              </w:rPr>
              <w:t>(2)</w:t>
            </w:r>
            <w:r w:rsidRPr="004F0BA7">
              <w:tab/>
              <w:t>Ce pourcentage de temps ne doit pas être dépassé pour chaque vol.</w:t>
            </w:r>
          </w:p>
        </w:tc>
      </w:tr>
    </w:tbl>
    <w:p w14:paraId="08D998EA" w14:textId="77777777" w:rsidR="001F3371" w:rsidRPr="004F0BA7" w:rsidRDefault="001F3371" w:rsidP="001F3371">
      <w:pPr>
        <w:pStyle w:val="Tablefin"/>
        <w:rPr>
          <w:lang w:val="fr-FR"/>
        </w:rPr>
      </w:pPr>
    </w:p>
    <w:p w14:paraId="1ECC0B66" w14:textId="77777777" w:rsidR="00694D3D" w:rsidRPr="004F0BA7" w:rsidRDefault="00694D3D" w:rsidP="001B3644">
      <w:r w:rsidRPr="004F0BA7">
        <w:br w:type="page"/>
      </w:r>
    </w:p>
    <w:p w14:paraId="14DDF8FC" w14:textId="77777777" w:rsidR="002C1B19" w:rsidRPr="004F0BA7" w:rsidRDefault="002C1B19" w:rsidP="001F2C4F">
      <w:pPr>
        <w:pStyle w:val="TableNo"/>
      </w:pPr>
      <w:r w:rsidRPr="004F0BA7">
        <w:lastRenderedPageBreak/>
        <w:t>TABLEAU 2</w:t>
      </w:r>
    </w:p>
    <w:p w14:paraId="22A5A67A" w14:textId="77777777" w:rsidR="002C1B19" w:rsidRPr="004F0BA7" w:rsidRDefault="002B6CE9" w:rsidP="00175BC1">
      <w:pPr>
        <w:pStyle w:val="Tabletitle"/>
      </w:pPr>
      <w:r w:rsidRPr="004F0BA7">
        <w:t xml:space="preserve">Critères de brouillage applicables aux systèmes à radiosondes du service des auxiliaires </w:t>
      </w:r>
      <w:r w:rsidR="00175BC1" w:rsidRPr="004F0BA7">
        <w:br/>
      </w:r>
      <w:r w:rsidRPr="004F0BA7">
        <w:t xml:space="preserve">de la météorologie fonctionnant dans la bande de fréquences </w:t>
      </w:r>
      <w:r w:rsidR="002C1B19" w:rsidRPr="004F0BA7">
        <w:t>400</w:t>
      </w:r>
      <w:r w:rsidRPr="004F0BA7">
        <w:t>,</w:t>
      </w:r>
      <w:r w:rsidR="002C1B19" w:rsidRPr="004F0BA7">
        <w:t xml:space="preserve">15-406 </w:t>
      </w:r>
      <w:proofErr w:type="gramStart"/>
      <w:r w:rsidR="002C1B19" w:rsidRPr="004F0BA7">
        <w:t>MHz</w:t>
      </w:r>
      <w:r w:rsidR="002C1B19" w:rsidRPr="004F0BA7">
        <w:rPr>
          <w:vertAlign w:val="superscript"/>
        </w:rPr>
        <w:t>(</w:t>
      </w:r>
      <w:proofErr w:type="gramEnd"/>
      <w:r w:rsidR="002C1B19" w:rsidRPr="004F0BA7">
        <w:rPr>
          <w:vertAlign w:val="superscript"/>
        </w:rPr>
        <w:t>1)</w:t>
      </w:r>
    </w:p>
    <w:tbl>
      <w:tblPr>
        <w:tblW w:w="492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A0" w:firstRow="1" w:lastRow="0" w:firstColumn="1" w:lastColumn="0" w:noHBand="0" w:noVBand="0"/>
      </w:tblPr>
      <w:tblGrid>
        <w:gridCol w:w="3926"/>
        <w:gridCol w:w="966"/>
        <w:gridCol w:w="1331"/>
        <w:gridCol w:w="966"/>
        <w:gridCol w:w="1333"/>
        <w:gridCol w:w="970"/>
      </w:tblGrid>
      <w:tr w:rsidR="00957286" w:rsidRPr="004F0BA7" w14:paraId="2C22954A" w14:textId="77777777" w:rsidTr="006C2380">
        <w:trPr>
          <w:trHeight w:val="361"/>
          <w:jc w:val="center"/>
        </w:trPr>
        <w:tc>
          <w:tcPr>
            <w:tcW w:w="2068" w:type="pct"/>
            <w:tcBorders>
              <w:top w:val="single" w:sz="4" w:space="0" w:color="auto"/>
              <w:left w:val="single" w:sz="4" w:space="0" w:color="auto"/>
              <w:bottom w:val="single" w:sz="4" w:space="0" w:color="auto"/>
              <w:right w:val="single" w:sz="4" w:space="0" w:color="auto"/>
            </w:tcBorders>
            <w:vAlign w:val="center"/>
          </w:tcPr>
          <w:p w14:paraId="47F0625F" w14:textId="77777777" w:rsidR="00957286" w:rsidRPr="004F0BA7" w:rsidRDefault="00957286" w:rsidP="001F2C4F">
            <w:pPr>
              <w:pStyle w:val="Tablehead"/>
            </w:pPr>
            <w:r w:rsidRPr="004F0BA7">
              <w:t>Paramètre</w:t>
            </w:r>
          </w:p>
        </w:tc>
        <w:tc>
          <w:tcPr>
            <w:tcW w:w="509" w:type="pct"/>
            <w:tcBorders>
              <w:top w:val="single" w:sz="4" w:space="0" w:color="auto"/>
              <w:left w:val="single" w:sz="4" w:space="0" w:color="auto"/>
              <w:right w:val="single" w:sz="4" w:space="0" w:color="auto"/>
            </w:tcBorders>
            <w:vAlign w:val="center"/>
          </w:tcPr>
          <w:p w14:paraId="0D65C630" w14:textId="77777777" w:rsidR="00957286" w:rsidRPr="004F0BA7" w:rsidRDefault="00957286" w:rsidP="001F2C4F">
            <w:pPr>
              <w:pStyle w:val="Tablehead"/>
            </w:pPr>
            <w:r w:rsidRPr="004F0BA7">
              <w:t>Type A</w:t>
            </w:r>
          </w:p>
        </w:tc>
        <w:tc>
          <w:tcPr>
            <w:tcW w:w="701" w:type="pct"/>
            <w:tcBorders>
              <w:top w:val="single" w:sz="4" w:space="0" w:color="auto"/>
              <w:left w:val="single" w:sz="4" w:space="0" w:color="auto"/>
              <w:right w:val="single" w:sz="4" w:space="0" w:color="auto"/>
            </w:tcBorders>
            <w:vAlign w:val="center"/>
          </w:tcPr>
          <w:p w14:paraId="1470CF2B" w14:textId="77777777" w:rsidR="00957286" w:rsidRPr="004F0BA7" w:rsidRDefault="00957286" w:rsidP="001F2C4F">
            <w:pPr>
              <w:pStyle w:val="Tablehead"/>
            </w:pPr>
            <w:r w:rsidRPr="004F0BA7">
              <w:t>Type B</w:t>
            </w:r>
          </w:p>
        </w:tc>
        <w:tc>
          <w:tcPr>
            <w:tcW w:w="509" w:type="pct"/>
            <w:tcBorders>
              <w:top w:val="single" w:sz="4" w:space="0" w:color="auto"/>
              <w:left w:val="single" w:sz="4" w:space="0" w:color="auto"/>
              <w:right w:val="single" w:sz="4" w:space="0" w:color="auto"/>
            </w:tcBorders>
            <w:vAlign w:val="center"/>
          </w:tcPr>
          <w:p w14:paraId="46C87325" w14:textId="77777777" w:rsidR="00957286" w:rsidRPr="004F0BA7" w:rsidRDefault="00957286" w:rsidP="001F2C4F">
            <w:pPr>
              <w:pStyle w:val="Tablehead"/>
            </w:pPr>
            <w:r w:rsidRPr="004F0BA7">
              <w:t>Type C</w:t>
            </w:r>
          </w:p>
        </w:tc>
        <w:tc>
          <w:tcPr>
            <w:tcW w:w="702" w:type="pct"/>
            <w:tcBorders>
              <w:top w:val="single" w:sz="4" w:space="0" w:color="auto"/>
              <w:left w:val="single" w:sz="4" w:space="0" w:color="auto"/>
              <w:right w:val="single" w:sz="4" w:space="0" w:color="auto"/>
            </w:tcBorders>
            <w:vAlign w:val="center"/>
          </w:tcPr>
          <w:p w14:paraId="12F63A12" w14:textId="77777777" w:rsidR="00957286" w:rsidRPr="004F0BA7" w:rsidRDefault="00957286" w:rsidP="001F2C4F">
            <w:pPr>
              <w:pStyle w:val="Tablehead"/>
            </w:pPr>
            <w:r w:rsidRPr="004F0BA7">
              <w:t>Type D</w:t>
            </w:r>
          </w:p>
        </w:tc>
        <w:tc>
          <w:tcPr>
            <w:tcW w:w="511" w:type="pct"/>
            <w:tcBorders>
              <w:top w:val="single" w:sz="4" w:space="0" w:color="auto"/>
              <w:left w:val="single" w:sz="4" w:space="0" w:color="auto"/>
              <w:right w:val="single" w:sz="4" w:space="0" w:color="auto"/>
            </w:tcBorders>
            <w:vAlign w:val="center"/>
          </w:tcPr>
          <w:p w14:paraId="0B1E8009" w14:textId="77777777" w:rsidR="00957286" w:rsidRPr="004F0BA7" w:rsidRDefault="00957286" w:rsidP="001F2C4F">
            <w:pPr>
              <w:pStyle w:val="Tablehead"/>
            </w:pPr>
            <w:r w:rsidRPr="004F0BA7">
              <w:t>Type E</w:t>
            </w:r>
          </w:p>
        </w:tc>
      </w:tr>
      <w:tr w:rsidR="00957286" w:rsidRPr="004F0BA7" w14:paraId="3F4EA55E" w14:textId="77777777" w:rsidTr="006C2380">
        <w:trPr>
          <w:trHeight w:val="297"/>
          <w:jc w:val="center"/>
        </w:trPr>
        <w:tc>
          <w:tcPr>
            <w:tcW w:w="2068" w:type="pct"/>
            <w:tcBorders>
              <w:top w:val="single" w:sz="4" w:space="0" w:color="auto"/>
              <w:left w:val="single" w:sz="4" w:space="0" w:color="auto"/>
              <w:bottom w:val="single" w:sz="4" w:space="0" w:color="auto"/>
              <w:right w:val="single" w:sz="4" w:space="0" w:color="auto"/>
            </w:tcBorders>
          </w:tcPr>
          <w:p w14:paraId="45C5FE51" w14:textId="77777777" w:rsidR="00957286" w:rsidRPr="004F0BA7" w:rsidRDefault="00957286" w:rsidP="00175BC1">
            <w:pPr>
              <w:pStyle w:val="Tabletext"/>
              <w:jc w:val="left"/>
            </w:pPr>
            <w:r w:rsidRPr="004F0BA7">
              <w:t>Largeur de bande de référence du système (kHz)</w:t>
            </w:r>
          </w:p>
        </w:tc>
        <w:tc>
          <w:tcPr>
            <w:tcW w:w="509" w:type="pct"/>
            <w:tcBorders>
              <w:left w:val="single" w:sz="4" w:space="0" w:color="auto"/>
              <w:right w:val="single" w:sz="4" w:space="0" w:color="auto"/>
            </w:tcBorders>
            <w:vAlign w:val="center"/>
          </w:tcPr>
          <w:p w14:paraId="1E37EA73" w14:textId="77777777" w:rsidR="00957286" w:rsidRPr="004F0BA7" w:rsidRDefault="00957286" w:rsidP="001F2C4F">
            <w:pPr>
              <w:pStyle w:val="Tabletext"/>
              <w:jc w:val="center"/>
            </w:pPr>
            <w:r w:rsidRPr="004F0BA7">
              <w:t>300</w:t>
            </w:r>
          </w:p>
        </w:tc>
        <w:tc>
          <w:tcPr>
            <w:tcW w:w="701" w:type="pct"/>
            <w:tcBorders>
              <w:left w:val="single" w:sz="4" w:space="0" w:color="auto"/>
              <w:right w:val="single" w:sz="4" w:space="0" w:color="auto"/>
            </w:tcBorders>
            <w:vAlign w:val="center"/>
          </w:tcPr>
          <w:p w14:paraId="6229F7B2" w14:textId="77777777" w:rsidR="00957286" w:rsidRPr="004F0BA7" w:rsidRDefault="00957286" w:rsidP="001F2C4F">
            <w:pPr>
              <w:pStyle w:val="Tabletext"/>
              <w:jc w:val="center"/>
            </w:pPr>
            <w:r w:rsidRPr="004F0BA7">
              <w:t>6</w:t>
            </w:r>
          </w:p>
        </w:tc>
        <w:tc>
          <w:tcPr>
            <w:tcW w:w="509" w:type="pct"/>
            <w:tcBorders>
              <w:left w:val="single" w:sz="4" w:space="0" w:color="auto"/>
              <w:right w:val="single" w:sz="4" w:space="0" w:color="auto"/>
            </w:tcBorders>
            <w:vAlign w:val="center"/>
          </w:tcPr>
          <w:p w14:paraId="7F105129" w14:textId="77777777" w:rsidR="00957286" w:rsidRPr="004F0BA7" w:rsidRDefault="00957286" w:rsidP="001F2C4F">
            <w:pPr>
              <w:pStyle w:val="Tabletext"/>
              <w:jc w:val="center"/>
            </w:pPr>
            <w:r w:rsidRPr="004F0BA7">
              <w:t>11</w:t>
            </w:r>
          </w:p>
        </w:tc>
        <w:tc>
          <w:tcPr>
            <w:tcW w:w="702" w:type="pct"/>
            <w:tcBorders>
              <w:left w:val="single" w:sz="4" w:space="0" w:color="auto"/>
              <w:right w:val="single" w:sz="4" w:space="0" w:color="auto"/>
            </w:tcBorders>
            <w:vAlign w:val="center"/>
          </w:tcPr>
          <w:p w14:paraId="30068882" w14:textId="77777777" w:rsidR="00957286" w:rsidRPr="004F0BA7" w:rsidRDefault="00957286" w:rsidP="001F2C4F">
            <w:pPr>
              <w:pStyle w:val="Tabletext"/>
              <w:jc w:val="center"/>
            </w:pPr>
            <w:r w:rsidRPr="004F0BA7">
              <w:t>17</w:t>
            </w:r>
          </w:p>
        </w:tc>
        <w:tc>
          <w:tcPr>
            <w:tcW w:w="511" w:type="pct"/>
            <w:tcBorders>
              <w:left w:val="single" w:sz="4" w:space="0" w:color="auto"/>
              <w:right w:val="single" w:sz="4" w:space="0" w:color="auto"/>
            </w:tcBorders>
            <w:vAlign w:val="center"/>
          </w:tcPr>
          <w:p w14:paraId="05AFAB63" w14:textId="77777777" w:rsidR="00957286" w:rsidRPr="004F0BA7" w:rsidRDefault="00957286" w:rsidP="001F2C4F">
            <w:pPr>
              <w:pStyle w:val="Tabletext"/>
              <w:jc w:val="center"/>
            </w:pPr>
            <w:r w:rsidRPr="004F0BA7">
              <w:t>18,8</w:t>
            </w:r>
          </w:p>
        </w:tc>
      </w:tr>
      <w:tr w:rsidR="00957286" w:rsidRPr="004F0BA7" w14:paraId="740A3DC7" w14:textId="77777777" w:rsidTr="006C2380">
        <w:trPr>
          <w:trHeight w:val="733"/>
          <w:jc w:val="center"/>
        </w:trPr>
        <w:tc>
          <w:tcPr>
            <w:tcW w:w="2068" w:type="pct"/>
            <w:tcBorders>
              <w:top w:val="single" w:sz="4" w:space="0" w:color="auto"/>
              <w:left w:val="single" w:sz="4" w:space="0" w:color="auto"/>
              <w:bottom w:val="single" w:sz="4" w:space="0" w:color="auto"/>
              <w:right w:val="single" w:sz="4" w:space="0" w:color="auto"/>
            </w:tcBorders>
          </w:tcPr>
          <w:p w14:paraId="472AEE06" w14:textId="26DF49B6" w:rsidR="00957286" w:rsidRPr="004F0BA7" w:rsidRDefault="00957286" w:rsidP="00175BC1">
            <w:pPr>
              <w:pStyle w:val="Tabletext"/>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w:t>
            </w:r>
            <w:r w:rsidRPr="004F0BA7">
              <w:rPr>
                <w:i/>
                <w:iCs/>
              </w:rPr>
              <w:t>P</w:t>
            </w:r>
            <w:r w:rsidRPr="004F0BA7">
              <w:rPr>
                <w:i/>
                <w:iCs/>
                <w:vertAlign w:val="subscript"/>
              </w:rPr>
              <w:t>PERTE</w:t>
            </w:r>
            <w:r w:rsidRPr="004F0BA7">
              <w:rPr>
                <w:i/>
                <w:iCs/>
                <w:vertAlign w:val="subscript"/>
              </w:rPr>
              <w:noBreakHyphen/>
              <w:t>VERROUILLAGE</w:t>
            </w:r>
            <w:r w:rsidRPr="004F0BA7">
              <w:t xml:space="preserve"> % du temps (</w:t>
            </w:r>
            <w:proofErr w:type="spellStart"/>
            <w:r w:rsidRPr="004F0BA7">
              <w:t>dBW</w:t>
            </w:r>
            <w:proofErr w:type="spellEnd"/>
            <w:r w:rsidRPr="004F0BA7">
              <w:t>)</w:t>
            </w:r>
          </w:p>
        </w:tc>
        <w:tc>
          <w:tcPr>
            <w:tcW w:w="509" w:type="pct"/>
            <w:tcBorders>
              <w:left w:val="single" w:sz="4" w:space="0" w:color="auto"/>
              <w:right w:val="single" w:sz="4" w:space="0" w:color="auto"/>
            </w:tcBorders>
            <w:vAlign w:val="center"/>
          </w:tcPr>
          <w:p w14:paraId="2038F57F" w14:textId="77777777" w:rsidR="00957286" w:rsidRPr="004F0BA7" w:rsidRDefault="00957286" w:rsidP="001F2C4F">
            <w:pPr>
              <w:pStyle w:val="Tabletext"/>
              <w:jc w:val="center"/>
            </w:pPr>
            <w:r w:rsidRPr="004F0BA7">
              <w:t>−</w:t>
            </w:r>
            <w:r w:rsidRPr="004F0BA7">
              <w:rPr>
                <w:color w:val="000000"/>
              </w:rPr>
              <w:t>141,2</w:t>
            </w:r>
          </w:p>
        </w:tc>
        <w:tc>
          <w:tcPr>
            <w:tcW w:w="701" w:type="pct"/>
            <w:tcBorders>
              <w:left w:val="single" w:sz="4" w:space="0" w:color="auto"/>
              <w:right w:val="single" w:sz="4" w:space="0" w:color="auto"/>
            </w:tcBorders>
            <w:vAlign w:val="center"/>
          </w:tcPr>
          <w:p w14:paraId="442ECBD3" w14:textId="77777777" w:rsidR="00957286" w:rsidRPr="004F0BA7" w:rsidRDefault="00957286" w:rsidP="001F2C4F">
            <w:pPr>
              <w:pStyle w:val="Tabletext"/>
              <w:jc w:val="center"/>
            </w:pPr>
            <w:r w:rsidRPr="004F0BA7">
              <w:t>Sans objet</w:t>
            </w:r>
            <w:r w:rsidRPr="004F0BA7">
              <w:rPr>
                <w:vertAlign w:val="superscript"/>
              </w:rPr>
              <w:t xml:space="preserve"> (2)</w:t>
            </w:r>
          </w:p>
        </w:tc>
        <w:tc>
          <w:tcPr>
            <w:tcW w:w="509" w:type="pct"/>
            <w:tcBorders>
              <w:left w:val="single" w:sz="4" w:space="0" w:color="auto"/>
              <w:right w:val="single" w:sz="4" w:space="0" w:color="auto"/>
            </w:tcBorders>
            <w:vAlign w:val="center"/>
          </w:tcPr>
          <w:p w14:paraId="524E2A74" w14:textId="77777777" w:rsidR="00957286" w:rsidRPr="004F0BA7" w:rsidRDefault="00957286" w:rsidP="001F2C4F">
            <w:pPr>
              <w:pStyle w:val="Tabletext"/>
              <w:jc w:val="center"/>
            </w:pPr>
            <w:r w:rsidRPr="004F0BA7">
              <w:t>−</w:t>
            </w:r>
            <w:r w:rsidRPr="004F0BA7">
              <w:rPr>
                <w:color w:val="000000"/>
              </w:rPr>
              <w:t>145,6</w:t>
            </w:r>
          </w:p>
        </w:tc>
        <w:tc>
          <w:tcPr>
            <w:tcW w:w="702" w:type="pct"/>
            <w:tcBorders>
              <w:left w:val="single" w:sz="4" w:space="0" w:color="auto"/>
              <w:right w:val="single" w:sz="4" w:space="0" w:color="auto"/>
            </w:tcBorders>
            <w:vAlign w:val="center"/>
          </w:tcPr>
          <w:p w14:paraId="1BBF84F3" w14:textId="77777777" w:rsidR="00957286" w:rsidRPr="004F0BA7" w:rsidRDefault="00957286" w:rsidP="001F2C4F">
            <w:pPr>
              <w:pStyle w:val="Tabletext"/>
              <w:jc w:val="center"/>
            </w:pPr>
            <w:r w:rsidRPr="004F0BA7">
              <w:t>Sans objet</w:t>
            </w:r>
            <w:r w:rsidRPr="004F0BA7">
              <w:rPr>
                <w:vertAlign w:val="superscript"/>
              </w:rPr>
              <w:t xml:space="preserve"> (2)</w:t>
            </w:r>
          </w:p>
        </w:tc>
        <w:tc>
          <w:tcPr>
            <w:tcW w:w="511" w:type="pct"/>
            <w:tcBorders>
              <w:left w:val="single" w:sz="4" w:space="0" w:color="auto"/>
              <w:right w:val="single" w:sz="4" w:space="0" w:color="auto"/>
            </w:tcBorders>
            <w:vAlign w:val="center"/>
          </w:tcPr>
          <w:p w14:paraId="1D5C2BD5" w14:textId="77777777" w:rsidR="00957286" w:rsidRPr="004F0BA7" w:rsidRDefault="00957286" w:rsidP="001F2C4F">
            <w:pPr>
              <w:pStyle w:val="Tabletext"/>
              <w:jc w:val="center"/>
              <w:rPr>
                <w:color w:val="000000"/>
              </w:rPr>
            </w:pPr>
            <w:r w:rsidRPr="004F0BA7">
              <w:t>−</w:t>
            </w:r>
            <w:r w:rsidRPr="004F0BA7">
              <w:rPr>
                <w:color w:val="000000"/>
              </w:rPr>
              <w:t>142,7</w:t>
            </w:r>
          </w:p>
        </w:tc>
      </w:tr>
      <w:tr w:rsidR="00957286" w:rsidRPr="004F0BA7" w14:paraId="6E233C88" w14:textId="77777777" w:rsidTr="006C2380">
        <w:trPr>
          <w:trHeight w:val="255"/>
          <w:jc w:val="center"/>
        </w:trPr>
        <w:tc>
          <w:tcPr>
            <w:tcW w:w="2068" w:type="pct"/>
            <w:tcBorders>
              <w:top w:val="single" w:sz="4" w:space="0" w:color="auto"/>
              <w:left w:val="single" w:sz="4" w:space="0" w:color="auto"/>
              <w:bottom w:val="single" w:sz="4" w:space="0" w:color="auto"/>
              <w:right w:val="single" w:sz="4" w:space="0" w:color="auto"/>
            </w:tcBorders>
          </w:tcPr>
          <w:p w14:paraId="47F0EC5C" w14:textId="5FDF77DD" w:rsidR="00957286" w:rsidRPr="004F0BA7" w:rsidRDefault="00957286" w:rsidP="00175BC1">
            <w:pPr>
              <w:pStyle w:val="Tabletext"/>
              <w:jc w:val="left"/>
            </w:pPr>
            <w:r w:rsidRPr="004F0BA7">
              <w:t xml:space="preserve">Pourcentage de temps, </w:t>
            </w:r>
            <w:r w:rsidRPr="004F0BA7">
              <w:rPr>
                <w:i/>
                <w:iCs/>
              </w:rPr>
              <w:t>P</w:t>
            </w:r>
            <w:r w:rsidRPr="004F0BA7">
              <w:rPr>
                <w:i/>
                <w:iCs/>
                <w:vertAlign w:val="subscript"/>
              </w:rPr>
              <w:t>PERTE</w:t>
            </w:r>
            <w:r w:rsidRPr="004F0BA7">
              <w:rPr>
                <w:i/>
                <w:iCs/>
                <w:vertAlign w:val="subscript"/>
              </w:rPr>
              <w:noBreakHyphen/>
              <w:t>VERROUILLAGE</w:t>
            </w:r>
            <w:r w:rsidR="006C2380" w:rsidRPr="004F0BA7">
              <w:t> </w:t>
            </w:r>
            <w:r w:rsidRPr="004F0BA7">
              <w:t>(</w:t>
            </w:r>
            <w:proofErr w:type="gramStart"/>
            <w:r w:rsidRPr="004F0BA7">
              <w:t>%)</w:t>
            </w:r>
            <w:r w:rsidRPr="004F0BA7">
              <w:rPr>
                <w:vertAlign w:val="superscript"/>
              </w:rPr>
              <w:t>(</w:t>
            </w:r>
            <w:proofErr w:type="gramEnd"/>
            <w:r w:rsidRPr="004F0BA7">
              <w:rPr>
                <w:vertAlign w:val="superscript"/>
              </w:rPr>
              <w:t xml:space="preserve">3) </w:t>
            </w:r>
          </w:p>
        </w:tc>
        <w:tc>
          <w:tcPr>
            <w:tcW w:w="509" w:type="pct"/>
            <w:tcBorders>
              <w:left w:val="single" w:sz="4" w:space="0" w:color="auto"/>
              <w:right w:val="single" w:sz="4" w:space="0" w:color="auto"/>
            </w:tcBorders>
            <w:vAlign w:val="center"/>
          </w:tcPr>
          <w:p w14:paraId="56EB188B" w14:textId="77777777" w:rsidR="00957286" w:rsidRPr="004F0BA7" w:rsidRDefault="00957286" w:rsidP="001F2C4F">
            <w:pPr>
              <w:pStyle w:val="Tabletext"/>
              <w:jc w:val="center"/>
            </w:pPr>
            <w:r w:rsidRPr="004F0BA7">
              <w:t>0,02</w:t>
            </w:r>
          </w:p>
        </w:tc>
        <w:tc>
          <w:tcPr>
            <w:tcW w:w="701" w:type="pct"/>
            <w:tcBorders>
              <w:left w:val="single" w:sz="4" w:space="0" w:color="auto"/>
              <w:right w:val="single" w:sz="4" w:space="0" w:color="auto"/>
            </w:tcBorders>
            <w:vAlign w:val="center"/>
          </w:tcPr>
          <w:p w14:paraId="14197E04" w14:textId="77777777" w:rsidR="00957286" w:rsidRPr="004F0BA7" w:rsidRDefault="00957286" w:rsidP="001F2C4F">
            <w:pPr>
              <w:pStyle w:val="Tabletext"/>
              <w:jc w:val="center"/>
            </w:pPr>
            <w:r w:rsidRPr="004F0BA7">
              <w:t>Sans objet</w:t>
            </w:r>
            <w:r w:rsidRPr="004F0BA7">
              <w:rPr>
                <w:vertAlign w:val="superscript"/>
              </w:rPr>
              <w:t xml:space="preserve"> (2)</w:t>
            </w:r>
          </w:p>
        </w:tc>
        <w:tc>
          <w:tcPr>
            <w:tcW w:w="509" w:type="pct"/>
            <w:tcBorders>
              <w:left w:val="single" w:sz="4" w:space="0" w:color="auto"/>
              <w:right w:val="single" w:sz="4" w:space="0" w:color="auto"/>
            </w:tcBorders>
            <w:vAlign w:val="center"/>
          </w:tcPr>
          <w:p w14:paraId="31042583" w14:textId="77777777" w:rsidR="00957286" w:rsidRPr="004F0BA7" w:rsidRDefault="00957286" w:rsidP="001F2C4F">
            <w:pPr>
              <w:pStyle w:val="Tabletext"/>
              <w:jc w:val="center"/>
            </w:pPr>
            <w:r w:rsidRPr="004F0BA7">
              <w:t>0,02</w:t>
            </w:r>
          </w:p>
        </w:tc>
        <w:tc>
          <w:tcPr>
            <w:tcW w:w="702" w:type="pct"/>
            <w:tcBorders>
              <w:left w:val="single" w:sz="4" w:space="0" w:color="auto"/>
              <w:right w:val="single" w:sz="4" w:space="0" w:color="auto"/>
            </w:tcBorders>
            <w:vAlign w:val="center"/>
          </w:tcPr>
          <w:p w14:paraId="071FE610" w14:textId="77777777" w:rsidR="00957286" w:rsidRPr="004F0BA7" w:rsidRDefault="00957286" w:rsidP="001F2C4F">
            <w:pPr>
              <w:pStyle w:val="Tabletext"/>
              <w:jc w:val="center"/>
            </w:pPr>
            <w:r w:rsidRPr="004F0BA7">
              <w:t>Sans objet</w:t>
            </w:r>
            <w:r w:rsidRPr="004F0BA7">
              <w:rPr>
                <w:vertAlign w:val="superscript"/>
              </w:rPr>
              <w:t xml:space="preserve"> (2)</w:t>
            </w:r>
          </w:p>
        </w:tc>
        <w:tc>
          <w:tcPr>
            <w:tcW w:w="511" w:type="pct"/>
            <w:tcBorders>
              <w:left w:val="single" w:sz="4" w:space="0" w:color="auto"/>
              <w:right w:val="single" w:sz="4" w:space="0" w:color="auto"/>
            </w:tcBorders>
            <w:vAlign w:val="center"/>
          </w:tcPr>
          <w:p w14:paraId="6DC9B49F" w14:textId="77777777" w:rsidR="00957286" w:rsidRPr="004F0BA7" w:rsidRDefault="00957286" w:rsidP="001F2C4F">
            <w:pPr>
              <w:pStyle w:val="Tabletext"/>
              <w:jc w:val="center"/>
            </w:pPr>
            <w:r w:rsidRPr="004F0BA7">
              <w:t>0,02</w:t>
            </w:r>
          </w:p>
        </w:tc>
      </w:tr>
      <w:tr w:rsidR="00957286" w:rsidRPr="004F0BA7" w14:paraId="13CC30CB" w14:textId="77777777" w:rsidTr="006C2380">
        <w:trPr>
          <w:trHeight w:val="744"/>
          <w:jc w:val="center"/>
        </w:trPr>
        <w:tc>
          <w:tcPr>
            <w:tcW w:w="2068" w:type="pct"/>
            <w:tcBorders>
              <w:top w:val="single" w:sz="4" w:space="0" w:color="auto"/>
              <w:left w:val="single" w:sz="4" w:space="0" w:color="auto"/>
              <w:bottom w:val="single" w:sz="4" w:space="0" w:color="auto"/>
              <w:right w:val="single" w:sz="4" w:space="0" w:color="auto"/>
            </w:tcBorders>
          </w:tcPr>
          <w:p w14:paraId="58D62883" w14:textId="7541FB46" w:rsidR="00957286" w:rsidRPr="004F0BA7" w:rsidRDefault="00957286" w:rsidP="00175BC1">
            <w:pPr>
              <w:pStyle w:val="Tabletext"/>
              <w:jc w:val="left"/>
            </w:pPr>
            <w:r w:rsidRPr="004F0BA7">
              <w:t xml:space="preserve">Puissance des signaux brouilleurs dans la largeur de bande de référence ne devant pas être dépassée pendant plus de </w:t>
            </w:r>
            <w:r w:rsidRPr="004F0BA7">
              <w:rPr>
                <w:i/>
                <w:iCs/>
              </w:rPr>
              <w:t>P</w:t>
            </w:r>
            <w:r w:rsidRPr="004F0BA7">
              <w:rPr>
                <w:i/>
                <w:iCs/>
                <w:vertAlign w:val="subscript"/>
              </w:rPr>
              <w:t>PERTE</w:t>
            </w:r>
            <w:r w:rsidRPr="004F0BA7">
              <w:rPr>
                <w:i/>
                <w:iCs/>
                <w:vertAlign w:val="subscript"/>
              </w:rPr>
              <w:noBreakHyphen/>
              <w:t>DONNÉES</w:t>
            </w:r>
            <w:r w:rsidRPr="004F0BA7">
              <w:rPr>
                <w:i/>
                <w:iCs/>
              </w:rPr>
              <w:t xml:space="preserve"> </w:t>
            </w:r>
            <w:r w:rsidRPr="004F0BA7">
              <w:t>% du temps (</w:t>
            </w:r>
            <w:proofErr w:type="spellStart"/>
            <w:r w:rsidRPr="004F0BA7">
              <w:t>dBW</w:t>
            </w:r>
            <w:proofErr w:type="spellEnd"/>
            <w:r w:rsidRPr="004F0BA7">
              <w:t>)</w:t>
            </w:r>
          </w:p>
        </w:tc>
        <w:tc>
          <w:tcPr>
            <w:tcW w:w="509" w:type="pct"/>
            <w:tcBorders>
              <w:left w:val="single" w:sz="4" w:space="0" w:color="auto"/>
              <w:right w:val="single" w:sz="4" w:space="0" w:color="auto"/>
            </w:tcBorders>
            <w:vAlign w:val="center"/>
          </w:tcPr>
          <w:p w14:paraId="7E5D47A9" w14:textId="77777777" w:rsidR="00957286" w:rsidRPr="004F0BA7" w:rsidRDefault="00957286" w:rsidP="001F2C4F">
            <w:pPr>
              <w:pStyle w:val="Tabletext"/>
              <w:jc w:val="center"/>
            </w:pPr>
            <w:r w:rsidRPr="004F0BA7">
              <w:t>−</w:t>
            </w:r>
            <w:r w:rsidRPr="004F0BA7">
              <w:rPr>
                <w:color w:val="000000"/>
              </w:rPr>
              <w:t>151,7</w:t>
            </w:r>
          </w:p>
        </w:tc>
        <w:tc>
          <w:tcPr>
            <w:tcW w:w="701" w:type="pct"/>
            <w:tcBorders>
              <w:left w:val="single" w:sz="4" w:space="0" w:color="auto"/>
              <w:right w:val="single" w:sz="4" w:space="0" w:color="auto"/>
            </w:tcBorders>
            <w:vAlign w:val="center"/>
          </w:tcPr>
          <w:p w14:paraId="5B931BC0" w14:textId="77777777" w:rsidR="00957286" w:rsidRPr="004F0BA7" w:rsidRDefault="00957286" w:rsidP="001F2C4F">
            <w:pPr>
              <w:pStyle w:val="Tabletext"/>
              <w:jc w:val="center"/>
            </w:pPr>
            <w:r w:rsidRPr="004F0BA7">
              <w:t>−</w:t>
            </w:r>
            <w:r w:rsidRPr="004F0BA7">
              <w:rPr>
                <w:color w:val="000000"/>
              </w:rPr>
              <w:t>146,5</w:t>
            </w:r>
          </w:p>
        </w:tc>
        <w:tc>
          <w:tcPr>
            <w:tcW w:w="509" w:type="pct"/>
            <w:tcBorders>
              <w:left w:val="single" w:sz="4" w:space="0" w:color="auto"/>
              <w:right w:val="single" w:sz="4" w:space="0" w:color="auto"/>
            </w:tcBorders>
            <w:vAlign w:val="center"/>
          </w:tcPr>
          <w:p w14:paraId="359C6A3F" w14:textId="77777777" w:rsidR="00957286" w:rsidRPr="004F0BA7" w:rsidRDefault="00957286" w:rsidP="001F2C4F">
            <w:pPr>
              <w:pStyle w:val="Tabletext"/>
              <w:jc w:val="center"/>
              <w:rPr>
                <w:color w:val="000000"/>
              </w:rPr>
            </w:pPr>
            <w:r w:rsidRPr="004F0BA7">
              <w:t>−</w:t>
            </w:r>
            <w:r w:rsidRPr="004F0BA7">
              <w:rPr>
                <w:color w:val="000000"/>
              </w:rPr>
              <w:t>150,7</w:t>
            </w:r>
          </w:p>
        </w:tc>
        <w:tc>
          <w:tcPr>
            <w:tcW w:w="702" w:type="pct"/>
            <w:tcBorders>
              <w:left w:val="single" w:sz="4" w:space="0" w:color="auto"/>
              <w:right w:val="single" w:sz="4" w:space="0" w:color="auto"/>
            </w:tcBorders>
            <w:vAlign w:val="center"/>
          </w:tcPr>
          <w:p w14:paraId="4CA4B007" w14:textId="77777777" w:rsidR="00957286" w:rsidRPr="004F0BA7" w:rsidRDefault="00957286" w:rsidP="001F2C4F">
            <w:pPr>
              <w:pStyle w:val="Tabletext"/>
              <w:jc w:val="center"/>
              <w:rPr>
                <w:color w:val="000000"/>
              </w:rPr>
            </w:pPr>
            <w:r w:rsidRPr="004F0BA7">
              <w:t>−</w:t>
            </w:r>
            <w:r w:rsidRPr="004F0BA7">
              <w:rPr>
                <w:color w:val="000000"/>
              </w:rPr>
              <w:t>149,7</w:t>
            </w:r>
          </w:p>
        </w:tc>
        <w:tc>
          <w:tcPr>
            <w:tcW w:w="511" w:type="pct"/>
            <w:tcBorders>
              <w:left w:val="single" w:sz="4" w:space="0" w:color="auto"/>
              <w:right w:val="single" w:sz="4" w:space="0" w:color="auto"/>
            </w:tcBorders>
            <w:vAlign w:val="center"/>
          </w:tcPr>
          <w:p w14:paraId="6501DEC6" w14:textId="77777777" w:rsidR="00957286" w:rsidRPr="004F0BA7" w:rsidRDefault="00957286" w:rsidP="001F2C4F">
            <w:pPr>
              <w:pStyle w:val="Tabletext"/>
              <w:jc w:val="center"/>
            </w:pPr>
            <w:r w:rsidRPr="004F0BA7">
              <w:t>−</w:t>
            </w:r>
            <w:r w:rsidRPr="004F0BA7">
              <w:rPr>
                <w:color w:val="000000"/>
              </w:rPr>
              <w:t>148,0</w:t>
            </w:r>
          </w:p>
        </w:tc>
      </w:tr>
      <w:tr w:rsidR="00957286" w:rsidRPr="004F0BA7" w14:paraId="7C5B52EC" w14:textId="77777777" w:rsidTr="006C2380">
        <w:trPr>
          <w:trHeight w:val="286"/>
          <w:jc w:val="center"/>
        </w:trPr>
        <w:tc>
          <w:tcPr>
            <w:tcW w:w="2068" w:type="pct"/>
            <w:tcBorders>
              <w:top w:val="single" w:sz="4" w:space="0" w:color="auto"/>
              <w:left w:val="single" w:sz="4" w:space="0" w:color="auto"/>
              <w:bottom w:val="single" w:sz="4" w:space="0" w:color="auto"/>
              <w:right w:val="single" w:sz="4" w:space="0" w:color="auto"/>
            </w:tcBorders>
          </w:tcPr>
          <w:p w14:paraId="1B788D93" w14:textId="0AED7380" w:rsidR="00957286" w:rsidRPr="004F0BA7" w:rsidRDefault="00957286" w:rsidP="00175BC1">
            <w:pPr>
              <w:pStyle w:val="Tabletext"/>
              <w:jc w:val="left"/>
            </w:pPr>
            <w:r w:rsidRPr="004F0BA7">
              <w:t xml:space="preserve">Pourcentage de temps, </w:t>
            </w:r>
            <w:r w:rsidRPr="004F0BA7">
              <w:rPr>
                <w:i/>
                <w:iCs/>
              </w:rPr>
              <w:t>P</w:t>
            </w:r>
            <w:r w:rsidRPr="004F0BA7">
              <w:rPr>
                <w:i/>
                <w:iCs/>
                <w:vertAlign w:val="subscript"/>
              </w:rPr>
              <w:t>PERTE</w:t>
            </w:r>
            <w:r w:rsidRPr="004F0BA7">
              <w:rPr>
                <w:i/>
                <w:iCs/>
                <w:vertAlign w:val="subscript"/>
              </w:rPr>
              <w:noBreakHyphen/>
              <w:t>DONNÉES</w:t>
            </w:r>
            <w:r w:rsidR="006C2380" w:rsidRPr="004F0BA7">
              <w:t> </w:t>
            </w:r>
            <w:r w:rsidRPr="004F0BA7">
              <w:t>(</w:t>
            </w:r>
            <w:proofErr w:type="gramStart"/>
            <w:r w:rsidRPr="004F0BA7">
              <w:t>%)</w:t>
            </w:r>
            <w:r w:rsidRPr="004F0BA7">
              <w:rPr>
                <w:vertAlign w:val="superscript"/>
              </w:rPr>
              <w:t>(</w:t>
            </w:r>
            <w:proofErr w:type="gramEnd"/>
            <w:r w:rsidRPr="004F0BA7">
              <w:rPr>
                <w:vertAlign w:val="superscript"/>
              </w:rPr>
              <w:t>3)</w:t>
            </w:r>
          </w:p>
        </w:tc>
        <w:tc>
          <w:tcPr>
            <w:tcW w:w="509" w:type="pct"/>
            <w:tcBorders>
              <w:left w:val="single" w:sz="4" w:space="0" w:color="auto"/>
              <w:right w:val="single" w:sz="4" w:space="0" w:color="auto"/>
            </w:tcBorders>
            <w:vAlign w:val="center"/>
          </w:tcPr>
          <w:p w14:paraId="67B3FC08" w14:textId="77777777" w:rsidR="00957286" w:rsidRPr="004F0BA7" w:rsidRDefault="00957286" w:rsidP="001F2C4F">
            <w:pPr>
              <w:pStyle w:val="Tabletext"/>
              <w:jc w:val="center"/>
            </w:pPr>
            <w:r w:rsidRPr="004F0BA7">
              <w:t>0,2</w:t>
            </w:r>
          </w:p>
        </w:tc>
        <w:tc>
          <w:tcPr>
            <w:tcW w:w="701" w:type="pct"/>
            <w:tcBorders>
              <w:left w:val="single" w:sz="4" w:space="0" w:color="auto"/>
              <w:right w:val="single" w:sz="4" w:space="0" w:color="auto"/>
            </w:tcBorders>
            <w:vAlign w:val="center"/>
          </w:tcPr>
          <w:p w14:paraId="7ED8AB53" w14:textId="77777777" w:rsidR="00957286" w:rsidRPr="004F0BA7" w:rsidRDefault="00957286" w:rsidP="001F2C4F">
            <w:pPr>
              <w:pStyle w:val="Tabletext"/>
              <w:jc w:val="center"/>
            </w:pPr>
            <w:r w:rsidRPr="004F0BA7">
              <w:t>0,2</w:t>
            </w:r>
          </w:p>
        </w:tc>
        <w:tc>
          <w:tcPr>
            <w:tcW w:w="509" w:type="pct"/>
            <w:tcBorders>
              <w:left w:val="single" w:sz="4" w:space="0" w:color="auto"/>
              <w:right w:val="single" w:sz="4" w:space="0" w:color="auto"/>
            </w:tcBorders>
            <w:vAlign w:val="center"/>
          </w:tcPr>
          <w:p w14:paraId="593188FC" w14:textId="77777777" w:rsidR="00957286" w:rsidRPr="004F0BA7" w:rsidRDefault="00957286" w:rsidP="001F2C4F">
            <w:pPr>
              <w:pStyle w:val="Tabletext"/>
              <w:jc w:val="center"/>
            </w:pPr>
            <w:r w:rsidRPr="004F0BA7">
              <w:t>0,2</w:t>
            </w:r>
          </w:p>
        </w:tc>
        <w:tc>
          <w:tcPr>
            <w:tcW w:w="702" w:type="pct"/>
            <w:tcBorders>
              <w:left w:val="single" w:sz="4" w:space="0" w:color="auto"/>
              <w:right w:val="single" w:sz="4" w:space="0" w:color="auto"/>
            </w:tcBorders>
            <w:vAlign w:val="center"/>
          </w:tcPr>
          <w:p w14:paraId="5C6112DF" w14:textId="77777777" w:rsidR="00957286" w:rsidRPr="004F0BA7" w:rsidRDefault="00957286" w:rsidP="001F2C4F">
            <w:pPr>
              <w:pStyle w:val="Tabletext"/>
              <w:jc w:val="center"/>
            </w:pPr>
            <w:r w:rsidRPr="004F0BA7">
              <w:t>0,2</w:t>
            </w:r>
          </w:p>
        </w:tc>
        <w:tc>
          <w:tcPr>
            <w:tcW w:w="511" w:type="pct"/>
            <w:tcBorders>
              <w:left w:val="single" w:sz="4" w:space="0" w:color="auto"/>
              <w:right w:val="single" w:sz="4" w:space="0" w:color="auto"/>
            </w:tcBorders>
            <w:vAlign w:val="center"/>
          </w:tcPr>
          <w:p w14:paraId="131DE15C" w14:textId="77777777" w:rsidR="00957286" w:rsidRPr="004F0BA7" w:rsidRDefault="00957286" w:rsidP="001F2C4F">
            <w:pPr>
              <w:pStyle w:val="Tabletext"/>
              <w:jc w:val="center"/>
            </w:pPr>
            <w:r w:rsidRPr="004F0BA7">
              <w:t>0,2</w:t>
            </w:r>
          </w:p>
        </w:tc>
      </w:tr>
      <w:tr w:rsidR="00957286" w:rsidRPr="004F0BA7" w14:paraId="606E0E8C" w14:textId="77777777" w:rsidTr="006C2380">
        <w:trPr>
          <w:trHeight w:val="744"/>
          <w:jc w:val="center"/>
        </w:trPr>
        <w:tc>
          <w:tcPr>
            <w:tcW w:w="2068" w:type="pct"/>
            <w:tcBorders>
              <w:top w:val="single" w:sz="4" w:space="0" w:color="auto"/>
              <w:left w:val="single" w:sz="4" w:space="0" w:color="auto"/>
              <w:bottom w:val="single" w:sz="4" w:space="0" w:color="auto"/>
              <w:right w:val="single" w:sz="4" w:space="0" w:color="auto"/>
            </w:tcBorders>
          </w:tcPr>
          <w:p w14:paraId="56891308" w14:textId="5887FCED" w:rsidR="00957286" w:rsidRPr="004F0BA7" w:rsidRDefault="00957286" w:rsidP="00175BC1">
            <w:pPr>
              <w:pStyle w:val="Tabletext"/>
              <w:jc w:val="left"/>
            </w:pPr>
            <w:r w:rsidRPr="004F0BA7">
              <w:t>Puissance des signaux brouilleurs (</w:t>
            </w:r>
            <w:proofErr w:type="spellStart"/>
            <w:r w:rsidRPr="004F0BA7">
              <w:t>dBW</w:t>
            </w:r>
            <w:proofErr w:type="spellEnd"/>
            <w:r w:rsidRPr="004F0BA7">
              <w:t>) dans la largeur de bande de référence ne devant pas être dépassée pendant plus de</w:t>
            </w:r>
            <w:r w:rsidR="006C2380" w:rsidRPr="004F0BA7">
              <w:t> </w:t>
            </w:r>
            <w:r w:rsidRPr="004F0BA7">
              <w:t xml:space="preserve">20% du </w:t>
            </w:r>
            <w:proofErr w:type="gramStart"/>
            <w:r w:rsidRPr="004F0BA7">
              <w:t>temps</w:t>
            </w:r>
            <w:r w:rsidRPr="004F0BA7">
              <w:rPr>
                <w:vertAlign w:val="superscript"/>
              </w:rPr>
              <w:t>(</w:t>
            </w:r>
            <w:proofErr w:type="gramEnd"/>
            <w:r w:rsidRPr="004F0BA7">
              <w:rPr>
                <w:vertAlign w:val="superscript"/>
              </w:rPr>
              <w:t xml:space="preserve">3) </w:t>
            </w:r>
            <w:r w:rsidRPr="004F0BA7">
              <w:t>(</w:t>
            </w:r>
            <w:proofErr w:type="spellStart"/>
            <w:r w:rsidRPr="004F0BA7">
              <w:t>dBW</w:t>
            </w:r>
            <w:proofErr w:type="spellEnd"/>
            <w:r w:rsidRPr="004F0BA7">
              <w:t>)</w:t>
            </w:r>
          </w:p>
        </w:tc>
        <w:tc>
          <w:tcPr>
            <w:tcW w:w="509" w:type="pct"/>
            <w:tcBorders>
              <w:left w:val="single" w:sz="4" w:space="0" w:color="auto"/>
              <w:bottom w:val="single" w:sz="4" w:space="0" w:color="auto"/>
              <w:right w:val="single" w:sz="4" w:space="0" w:color="auto"/>
            </w:tcBorders>
            <w:vAlign w:val="center"/>
          </w:tcPr>
          <w:p w14:paraId="5753B0D1" w14:textId="77777777" w:rsidR="00957286" w:rsidRPr="004F0BA7" w:rsidRDefault="00957286" w:rsidP="001F2C4F">
            <w:pPr>
              <w:pStyle w:val="Tabletext"/>
              <w:jc w:val="center"/>
              <w:rPr>
                <w:color w:val="000000"/>
              </w:rPr>
            </w:pPr>
            <w:r w:rsidRPr="004F0BA7">
              <w:t>−</w:t>
            </w:r>
            <w:r w:rsidRPr="004F0BA7">
              <w:rPr>
                <w:color w:val="000000"/>
              </w:rPr>
              <w:t>156,0</w:t>
            </w:r>
          </w:p>
        </w:tc>
        <w:tc>
          <w:tcPr>
            <w:tcW w:w="701" w:type="pct"/>
            <w:tcBorders>
              <w:left w:val="single" w:sz="4" w:space="0" w:color="auto"/>
              <w:bottom w:val="single" w:sz="4" w:space="0" w:color="auto"/>
              <w:right w:val="single" w:sz="4" w:space="0" w:color="auto"/>
            </w:tcBorders>
            <w:vAlign w:val="center"/>
          </w:tcPr>
          <w:p w14:paraId="40B31AB7" w14:textId="77777777" w:rsidR="00957286" w:rsidRPr="004F0BA7" w:rsidRDefault="00957286" w:rsidP="001F2C4F">
            <w:pPr>
              <w:pStyle w:val="Tabletext"/>
              <w:jc w:val="center"/>
            </w:pPr>
            <w:r w:rsidRPr="004F0BA7">
              <w:t>−</w:t>
            </w:r>
            <w:r w:rsidRPr="004F0BA7">
              <w:rPr>
                <w:color w:val="000000"/>
              </w:rPr>
              <w:t>158,9</w:t>
            </w:r>
          </w:p>
        </w:tc>
        <w:tc>
          <w:tcPr>
            <w:tcW w:w="509" w:type="pct"/>
            <w:tcBorders>
              <w:left w:val="single" w:sz="4" w:space="0" w:color="auto"/>
              <w:bottom w:val="single" w:sz="4" w:space="0" w:color="auto"/>
              <w:right w:val="single" w:sz="4" w:space="0" w:color="auto"/>
            </w:tcBorders>
            <w:vAlign w:val="center"/>
          </w:tcPr>
          <w:p w14:paraId="3214C1B0" w14:textId="77777777" w:rsidR="00957286" w:rsidRPr="004F0BA7" w:rsidRDefault="00957286" w:rsidP="001F2C4F">
            <w:pPr>
              <w:pStyle w:val="Tabletext"/>
              <w:jc w:val="center"/>
              <w:rPr>
                <w:color w:val="000000"/>
              </w:rPr>
            </w:pPr>
            <w:r w:rsidRPr="004F0BA7">
              <w:t>−</w:t>
            </w:r>
            <w:r w:rsidRPr="004F0BA7">
              <w:rPr>
                <w:color w:val="000000"/>
              </w:rPr>
              <w:t>162,4</w:t>
            </w:r>
          </w:p>
        </w:tc>
        <w:tc>
          <w:tcPr>
            <w:tcW w:w="702" w:type="pct"/>
            <w:tcBorders>
              <w:left w:val="single" w:sz="4" w:space="0" w:color="auto"/>
              <w:bottom w:val="single" w:sz="4" w:space="0" w:color="auto"/>
              <w:right w:val="single" w:sz="4" w:space="0" w:color="auto"/>
            </w:tcBorders>
            <w:vAlign w:val="center"/>
          </w:tcPr>
          <w:p w14:paraId="6157434B" w14:textId="77777777" w:rsidR="00957286" w:rsidRPr="004F0BA7" w:rsidRDefault="00957286" w:rsidP="001F2C4F">
            <w:pPr>
              <w:pStyle w:val="Tabletext"/>
              <w:jc w:val="center"/>
              <w:rPr>
                <w:color w:val="000000"/>
              </w:rPr>
            </w:pPr>
            <w:r w:rsidRPr="004F0BA7">
              <w:t>−</w:t>
            </w:r>
            <w:r w:rsidRPr="004F0BA7">
              <w:rPr>
                <w:color w:val="000000"/>
              </w:rPr>
              <w:t>160,0</w:t>
            </w:r>
          </w:p>
        </w:tc>
        <w:tc>
          <w:tcPr>
            <w:tcW w:w="511" w:type="pct"/>
            <w:tcBorders>
              <w:left w:val="single" w:sz="4" w:space="0" w:color="auto"/>
              <w:bottom w:val="single" w:sz="4" w:space="0" w:color="auto"/>
              <w:right w:val="single" w:sz="4" w:space="0" w:color="auto"/>
            </w:tcBorders>
            <w:vAlign w:val="center"/>
          </w:tcPr>
          <w:p w14:paraId="6BBD8396" w14:textId="77777777" w:rsidR="00957286" w:rsidRPr="004F0BA7" w:rsidRDefault="00957286" w:rsidP="001F2C4F">
            <w:pPr>
              <w:pStyle w:val="Tabletext"/>
              <w:jc w:val="center"/>
              <w:rPr>
                <w:color w:val="000000"/>
              </w:rPr>
            </w:pPr>
            <w:r w:rsidRPr="004F0BA7">
              <w:t>−</w:t>
            </w:r>
            <w:r w:rsidRPr="004F0BA7">
              <w:rPr>
                <w:color w:val="000000"/>
              </w:rPr>
              <w:t>156,8</w:t>
            </w:r>
          </w:p>
        </w:tc>
      </w:tr>
      <w:tr w:rsidR="002C1B19" w:rsidRPr="004F0BA7" w14:paraId="4F7859B9" w14:textId="77777777" w:rsidTr="006C2380">
        <w:trPr>
          <w:trHeight w:val="744"/>
          <w:jc w:val="center"/>
        </w:trPr>
        <w:tc>
          <w:tcPr>
            <w:tcW w:w="5000" w:type="pct"/>
            <w:gridSpan w:val="6"/>
            <w:tcBorders>
              <w:top w:val="single" w:sz="4" w:space="0" w:color="auto"/>
              <w:left w:val="nil"/>
              <w:bottom w:val="nil"/>
              <w:right w:val="nil"/>
            </w:tcBorders>
          </w:tcPr>
          <w:p w14:paraId="7930F0D7" w14:textId="77777777" w:rsidR="002C1B19" w:rsidRPr="004F0BA7" w:rsidRDefault="002C1B19" w:rsidP="001F2C4F">
            <w:pPr>
              <w:pStyle w:val="Tablelegend"/>
              <w:rPr>
                <w:vertAlign w:val="superscript"/>
              </w:rPr>
            </w:pPr>
            <w:r w:rsidRPr="004F0BA7">
              <w:rPr>
                <w:vertAlign w:val="superscript"/>
              </w:rPr>
              <w:t>(1)</w:t>
            </w:r>
            <w:r w:rsidRPr="004F0BA7">
              <w:rPr>
                <w:vertAlign w:val="superscript"/>
              </w:rPr>
              <w:tab/>
            </w:r>
            <w:r w:rsidR="002B6CE9" w:rsidRPr="004F0BA7">
              <w:t>Voir le § 3 pour le calcul de la marge de liaison et le § 4 pour le calcul des niveaux de puissance de</w:t>
            </w:r>
            <w:r w:rsidR="003C27AE" w:rsidRPr="004F0BA7">
              <w:t>s</w:t>
            </w:r>
            <w:r w:rsidR="002B6CE9" w:rsidRPr="004F0BA7">
              <w:t xml:space="preserve"> signaux brouilleurs</w:t>
            </w:r>
            <w:r w:rsidRPr="004F0BA7">
              <w:t>.</w:t>
            </w:r>
          </w:p>
          <w:p w14:paraId="65945C18" w14:textId="77777777" w:rsidR="002C1B19" w:rsidRPr="004F0BA7" w:rsidRDefault="002C1B19" w:rsidP="001F2C4F">
            <w:pPr>
              <w:pStyle w:val="Tablelegend"/>
            </w:pPr>
            <w:r w:rsidRPr="004F0BA7">
              <w:rPr>
                <w:vertAlign w:val="superscript"/>
              </w:rPr>
              <w:t xml:space="preserve">(2) </w:t>
            </w:r>
            <w:r w:rsidRPr="004F0BA7">
              <w:rPr>
                <w:vertAlign w:val="superscript"/>
              </w:rPr>
              <w:tab/>
            </w:r>
            <w:r w:rsidRPr="004F0BA7">
              <w:t xml:space="preserve">Les systèmes dotés d'antennes </w:t>
            </w:r>
            <w:proofErr w:type="spellStart"/>
            <w:r w:rsidRPr="004F0BA7">
              <w:t>équidirectives</w:t>
            </w:r>
            <w:proofErr w:type="spellEnd"/>
            <w:r w:rsidRPr="004F0BA7">
              <w:t xml:space="preserve"> ne risquent pas de perdre le verrouillage de l'antenne sur le signal en raison d'un brouillage ou d'un évanouissement du signal.</w:t>
            </w:r>
          </w:p>
          <w:p w14:paraId="079DE574" w14:textId="77777777" w:rsidR="002C1B19" w:rsidRPr="004F0BA7" w:rsidRDefault="002C1B19" w:rsidP="001F2C4F">
            <w:pPr>
              <w:pStyle w:val="Tablelegend"/>
            </w:pPr>
            <w:r w:rsidRPr="004F0BA7">
              <w:rPr>
                <w:vertAlign w:val="superscript"/>
              </w:rPr>
              <w:t xml:space="preserve">(3) </w:t>
            </w:r>
            <w:r w:rsidRPr="004F0BA7">
              <w:rPr>
                <w:vertAlign w:val="superscript"/>
              </w:rPr>
              <w:tab/>
            </w:r>
            <w:r w:rsidRPr="004F0BA7">
              <w:t>Ce pourcentage de temps ne doit pas être dépassé pour chaque vol.</w:t>
            </w:r>
          </w:p>
        </w:tc>
      </w:tr>
    </w:tbl>
    <w:p w14:paraId="5716EC17" w14:textId="77777777" w:rsidR="00694D3D" w:rsidRPr="004F0BA7" w:rsidRDefault="00694D3D" w:rsidP="00694D3D">
      <w:pPr>
        <w:pStyle w:val="Tablefin"/>
        <w:rPr>
          <w:lang w:val="fr-FR"/>
        </w:rPr>
      </w:pPr>
    </w:p>
    <w:p w14:paraId="256C1F0D" w14:textId="77777777" w:rsidR="00694D3D" w:rsidRPr="004F0BA7" w:rsidRDefault="00694D3D" w:rsidP="001B3644">
      <w:r w:rsidRPr="004F0BA7">
        <w:br w:type="page"/>
      </w:r>
    </w:p>
    <w:p w14:paraId="3FEFF064" w14:textId="77777777" w:rsidR="00FF6FA4" w:rsidRPr="004F0BA7" w:rsidRDefault="002C1B19" w:rsidP="001F2C4F">
      <w:pPr>
        <w:pStyle w:val="TableNo"/>
      </w:pPr>
      <w:r w:rsidRPr="004F0BA7">
        <w:lastRenderedPageBreak/>
        <w:t>TABLEAU 3</w:t>
      </w:r>
    </w:p>
    <w:p w14:paraId="72E60EC8" w14:textId="77777777" w:rsidR="00FF6FA4" w:rsidRPr="004F0BA7" w:rsidRDefault="00FF6FA4" w:rsidP="001F2C4F">
      <w:pPr>
        <w:pStyle w:val="Tabletitle"/>
      </w:pPr>
      <w:r w:rsidRPr="004F0BA7">
        <w:t xml:space="preserve">Critères de brouillage applicables aux systèmes à fusées-sondes et à </w:t>
      </w:r>
      <w:proofErr w:type="spellStart"/>
      <w:r w:rsidRPr="004F0BA7">
        <w:t>catasondes</w:t>
      </w:r>
      <w:proofErr w:type="spellEnd"/>
      <w:r w:rsidRPr="004F0BA7">
        <w:t xml:space="preserve"> </w:t>
      </w:r>
      <w:r w:rsidRPr="004F0BA7">
        <w:br/>
        <w:t>du service des auxiliaires de la météorologie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480"/>
        <w:gridCol w:w="2984"/>
        <w:gridCol w:w="3050"/>
      </w:tblGrid>
      <w:tr w:rsidR="00FF6FA4" w:rsidRPr="004F0BA7" w14:paraId="4604AE00" w14:textId="77777777" w:rsidTr="00882152">
        <w:trPr>
          <w:jc w:val="center"/>
        </w:trPr>
        <w:tc>
          <w:tcPr>
            <w:tcW w:w="3480" w:type="dxa"/>
            <w:vAlign w:val="center"/>
          </w:tcPr>
          <w:p w14:paraId="7ED2026B" w14:textId="77777777" w:rsidR="00FF6FA4" w:rsidRPr="004F0BA7" w:rsidRDefault="00FF6FA4" w:rsidP="001F2C4F">
            <w:pPr>
              <w:pStyle w:val="Tablehead"/>
            </w:pPr>
            <w:r w:rsidRPr="004F0BA7">
              <w:t>Paramètre</w:t>
            </w:r>
          </w:p>
        </w:tc>
        <w:tc>
          <w:tcPr>
            <w:tcW w:w="2984" w:type="dxa"/>
            <w:vAlign w:val="center"/>
          </w:tcPr>
          <w:p w14:paraId="59B3B523" w14:textId="77777777" w:rsidR="00FF6FA4" w:rsidRPr="004F0BA7" w:rsidRDefault="00FF6FA4" w:rsidP="001F2C4F">
            <w:pPr>
              <w:pStyle w:val="Tablehead"/>
            </w:pPr>
            <w:r w:rsidRPr="004F0BA7">
              <w:t xml:space="preserve">Systèmes à </w:t>
            </w:r>
            <w:proofErr w:type="spellStart"/>
            <w:r w:rsidRPr="004F0BA7">
              <w:t>catasondes</w:t>
            </w:r>
            <w:proofErr w:type="spellEnd"/>
            <w:r w:rsidRPr="004F0BA7">
              <w:t xml:space="preserve"> embarquées 400,15-406 MHz</w:t>
            </w:r>
          </w:p>
        </w:tc>
        <w:tc>
          <w:tcPr>
            <w:tcW w:w="3050" w:type="dxa"/>
            <w:vAlign w:val="center"/>
          </w:tcPr>
          <w:p w14:paraId="5E38D9B4" w14:textId="77777777" w:rsidR="00FF6FA4" w:rsidRPr="004F0BA7" w:rsidRDefault="00FF6FA4" w:rsidP="001F2C4F">
            <w:pPr>
              <w:pStyle w:val="Tablehead"/>
            </w:pPr>
            <w:r w:rsidRPr="004F0BA7">
              <w:t>Système à fusées-sondes</w:t>
            </w:r>
            <w:r w:rsidRPr="004F0BA7">
              <w:br/>
              <w:t>400,15-406 MHz</w:t>
            </w:r>
          </w:p>
        </w:tc>
      </w:tr>
      <w:tr w:rsidR="00FF6FA4" w:rsidRPr="004F0BA7" w14:paraId="55122B47" w14:textId="77777777" w:rsidTr="0075289C">
        <w:trPr>
          <w:jc w:val="center"/>
        </w:trPr>
        <w:tc>
          <w:tcPr>
            <w:tcW w:w="3480" w:type="dxa"/>
          </w:tcPr>
          <w:p w14:paraId="3C940726" w14:textId="77777777" w:rsidR="00FF6FA4" w:rsidRPr="004F0BA7" w:rsidRDefault="00FF6FA4" w:rsidP="001F2C4F">
            <w:pPr>
              <w:pStyle w:val="Tabletext"/>
              <w:jc w:val="left"/>
            </w:pPr>
            <w:r w:rsidRPr="004F0BA7">
              <w:t>Largeur de bande de référence du système</w:t>
            </w:r>
          </w:p>
        </w:tc>
        <w:tc>
          <w:tcPr>
            <w:tcW w:w="2984" w:type="dxa"/>
            <w:vAlign w:val="center"/>
          </w:tcPr>
          <w:p w14:paraId="15E30BC8" w14:textId="77777777" w:rsidR="00FF6FA4" w:rsidRPr="004F0BA7" w:rsidRDefault="00FF6FA4" w:rsidP="001F2C4F">
            <w:pPr>
              <w:pStyle w:val="Tabletext"/>
              <w:jc w:val="center"/>
            </w:pPr>
            <w:r w:rsidRPr="004F0BA7">
              <w:t>20 kHz</w:t>
            </w:r>
          </w:p>
        </w:tc>
        <w:tc>
          <w:tcPr>
            <w:tcW w:w="3050" w:type="dxa"/>
            <w:vAlign w:val="center"/>
          </w:tcPr>
          <w:p w14:paraId="4247BC5E" w14:textId="77777777" w:rsidR="00FF6FA4" w:rsidRPr="004F0BA7" w:rsidRDefault="00FF6FA4" w:rsidP="001F2C4F">
            <w:pPr>
              <w:pStyle w:val="Tabletext"/>
              <w:jc w:val="center"/>
            </w:pPr>
            <w:r w:rsidRPr="004F0BA7">
              <w:t>3 MHz</w:t>
            </w:r>
          </w:p>
        </w:tc>
      </w:tr>
      <w:tr w:rsidR="00FF6FA4" w:rsidRPr="004F0BA7" w14:paraId="5A5E77F6" w14:textId="77777777" w:rsidTr="0075289C">
        <w:trPr>
          <w:jc w:val="center"/>
        </w:trPr>
        <w:tc>
          <w:tcPr>
            <w:tcW w:w="3480" w:type="dxa"/>
          </w:tcPr>
          <w:p w14:paraId="3513276C" w14:textId="77777777" w:rsidR="00FF6FA4" w:rsidRPr="004F0BA7" w:rsidRDefault="00FF6FA4" w:rsidP="001F2C4F">
            <w:pPr>
              <w:pStyle w:val="Tabletext"/>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w:t>
            </w:r>
            <w:r w:rsidRPr="004F0BA7">
              <w:rPr>
                <w:i/>
                <w:iCs/>
              </w:rPr>
              <w:t>P</w:t>
            </w:r>
            <w:r w:rsidRPr="004F0BA7">
              <w:rPr>
                <w:i/>
                <w:iCs/>
                <w:vertAlign w:val="subscript"/>
              </w:rPr>
              <w:t>PERTE</w:t>
            </w:r>
            <w:r w:rsidR="00363987" w:rsidRPr="004F0BA7">
              <w:rPr>
                <w:i/>
                <w:iCs/>
                <w:vertAlign w:val="subscript"/>
              </w:rPr>
              <w:noBreakHyphen/>
            </w:r>
            <w:r w:rsidRPr="004F0BA7">
              <w:rPr>
                <w:i/>
                <w:iCs/>
                <w:vertAlign w:val="subscript"/>
              </w:rPr>
              <w:t>VERROUILLAGE</w:t>
            </w:r>
            <w:r w:rsidRPr="004F0BA7">
              <w:t xml:space="preserve"> % du temps </w:t>
            </w:r>
          </w:p>
        </w:tc>
        <w:tc>
          <w:tcPr>
            <w:tcW w:w="2984" w:type="dxa"/>
            <w:shd w:val="clear" w:color="auto" w:fill="auto"/>
            <w:vAlign w:val="center"/>
          </w:tcPr>
          <w:p w14:paraId="3ADC31E7" w14:textId="77777777" w:rsidR="00FF6FA4" w:rsidRPr="004F0BA7" w:rsidRDefault="00FF6FA4" w:rsidP="001F2C4F">
            <w:pPr>
              <w:pStyle w:val="Tabletext"/>
              <w:jc w:val="center"/>
            </w:pPr>
            <w:r w:rsidRPr="004F0BA7">
              <w:t xml:space="preserve">Sans </w:t>
            </w:r>
            <w:proofErr w:type="gramStart"/>
            <w:r w:rsidRPr="004F0BA7">
              <w:t>objet</w:t>
            </w:r>
            <w:r w:rsidRPr="004F0BA7">
              <w:rPr>
                <w:vertAlign w:val="superscript"/>
              </w:rPr>
              <w:t>(</w:t>
            </w:r>
            <w:proofErr w:type="gramEnd"/>
            <w:r w:rsidRPr="004F0BA7">
              <w:rPr>
                <w:vertAlign w:val="superscript"/>
              </w:rPr>
              <w:t>1)</w:t>
            </w:r>
          </w:p>
        </w:tc>
        <w:tc>
          <w:tcPr>
            <w:tcW w:w="3050" w:type="dxa"/>
            <w:shd w:val="clear" w:color="auto" w:fill="auto"/>
            <w:vAlign w:val="center"/>
          </w:tcPr>
          <w:p w14:paraId="2C733253" w14:textId="77777777" w:rsidR="00FF6FA4" w:rsidRPr="004F0BA7" w:rsidRDefault="00694D3D" w:rsidP="001F2C4F">
            <w:pPr>
              <w:pStyle w:val="Tabletext"/>
              <w:jc w:val="center"/>
            </w:pPr>
            <w:r w:rsidRPr="004F0BA7">
              <w:t>−</w:t>
            </w:r>
            <w:r w:rsidR="00FF6FA4" w:rsidRPr="004F0BA7">
              <w:t>116,9</w:t>
            </w:r>
          </w:p>
        </w:tc>
      </w:tr>
      <w:tr w:rsidR="00FF6FA4" w:rsidRPr="004F0BA7" w14:paraId="162E895E" w14:textId="77777777" w:rsidTr="0075289C">
        <w:trPr>
          <w:jc w:val="center"/>
        </w:trPr>
        <w:tc>
          <w:tcPr>
            <w:tcW w:w="3480" w:type="dxa"/>
          </w:tcPr>
          <w:p w14:paraId="752D0217" w14:textId="77777777" w:rsidR="00FF6FA4" w:rsidRPr="004F0BA7" w:rsidRDefault="00FF6FA4" w:rsidP="001F2C4F">
            <w:pPr>
              <w:pStyle w:val="Tabletext"/>
              <w:jc w:val="left"/>
            </w:pPr>
            <w:r w:rsidRPr="004F0BA7">
              <w:rPr>
                <w:i/>
                <w:iCs/>
              </w:rPr>
              <w:t>P</w:t>
            </w:r>
            <w:r w:rsidRPr="004F0BA7">
              <w:rPr>
                <w:i/>
                <w:iCs/>
                <w:vertAlign w:val="subscript"/>
              </w:rPr>
              <w:t>PERTE-</w:t>
            </w:r>
            <w:proofErr w:type="gramStart"/>
            <w:r w:rsidRPr="004F0BA7">
              <w:rPr>
                <w:i/>
                <w:iCs/>
                <w:vertAlign w:val="subscript"/>
              </w:rPr>
              <w:t>VERROUILLAGE</w:t>
            </w:r>
            <w:r w:rsidRPr="004F0BA7">
              <w:t>(</w:t>
            </w:r>
            <w:proofErr w:type="gramEnd"/>
            <w:r w:rsidRPr="004F0BA7">
              <w:t>%)</w:t>
            </w:r>
            <w:r w:rsidRPr="004F0BA7">
              <w:rPr>
                <w:vertAlign w:val="superscript"/>
              </w:rPr>
              <w:t>(2)</w:t>
            </w:r>
          </w:p>
        </w:tc>
        <w:tc>
          <w:tcPr>
            <w:tcW w:w="2984" w:type="dxa"/>
            <w:shd w:val="clear" w:color="auto" w:fill="auto"/>
            <w:vAlign w:val="center"/>
          </w:tcPr>
          <w:p w14:paraId="5AB61182" w14:textId="77777777" w:rsidR="00FF6FA4" w:rsidRPr="004F0BA7" w:rsidRDefault="00FF6FA4" w:rsidP="001F2C4F">
            <w:pPr>
              <w:pStyle w:val="Tabletext"/>
              <w:jc w:val="center"/>
            </w:pPr>
            <w:r w:rsidRPr="004F0BA7">
              <w:t xml:space="preserve">Sans </w:t>
            </w:r>
            <w:proofErr w:type="gramStart"/>
            <w:r w:rsidRPr="004F0BA7">
              <w:t>objet</w:t>
            </w:r>
            <w:r w:rsidRPr="004F0BA7">
              <w:rPr>
                <w:vertAlign w:val="superscript"/>
              </w:rPr>
              <w:t>(</w:t>
            </w:r>
            <w:proofErr w:type="gramEnd"/>
            <w:r w:rsidRPr="004F0BA7">
              <w:rPr>
                <w:vertAlign w:val="superscript"/>
              </w:rPr>
              <w:t>1)</w:t>
            </w:r>
          </w:p>
        </w:tc>
        <w:tc>
          <w:tcPr>
            <w:tcW w:w="3050" w:type="dxa"/>
            <w:shd w:val="clear" w:color="auto" w:fill="auto"/>
            <w:vAlign w:val="center"/>
          </w:tcPr>
          <w:p w14:paraId="15CA8A76" w14:textId="77777777" w:rsidR="00FF6FA4" w:rsidRPr="004F0BA7" w:rsidRDefault="00FF6FA4" w:rsidP="001F2C4F">
            <w:pPr>
              <w:pStyle w:val="Tabletext"/>
              <w:jc w:val="center"/>
            </w:pPr>
            <w:r w:rsidRPr="004F0BA7">
              <w:t>0,02</w:t>
            </w:r>
          </w:p>
        </w:tc>
      </w:tr>
      <w:tr w:rsidR="00FF6FA4" w:rsidRPr="004F0BA7" w14:paraId="26A62044" w14:textId="77777777" w:rsidTr="0075289C">
        <w:trPr>
          <w:jc w:val="center"/>
        </w:trPr>
        <w:tc>
          <w:tcPr>
            <w:tcW w:w="3480" w:type="dxa"/>
          </w:tcPr>
          <w:p w14:paraId="12588CFB" w14:textId="77777777" w:rsidR="00FF6FA4" w:rsidRPr="004F0BA7" w:rsidRDefault="00FF6FA4" w:rsidP="00BA42A4">
            <w:pPr>
              <w:pStyle w:val="Tabletext"/>
              <w:keepNext/>
              <w:keepLines/>
              <w:jc w:val="left"/>
            </w:pPr>
            <w:r w:rsidRPr="004F0BA7">
              <w:t>Puissance des signaux brouilleurs (</w:t>
            </w:r>
            <w:proofErr w:type="spellStart"/>
            <w:r w:rsidRPr="004F0BA7">
              <w:t>dBW</w:t>
            </w:r>
            <w:proofErr w:type="spellEnd"/>
            <w:r w:rsidRPr="004F0BA7">
              <w:t xml:space="preserve">) dans la largeur de bande de référence ne devant pas être dépassée pendant plus de </w:t>
            </w:r>
            <w:r w:rsidRPr="004F0BA7">
              <w:rPr>
                <w:i/>
                <w:iCs/>
              </w:rPr>
              <w:t>P</w:t>
            </w:r>
            <w:r w:rsidRPr="004F0BA7">
              <w:rPr>
                <w:i/>
                <w:iCs/>
                <w:vertAlign w:val="subscript"/>
              </w:rPr>
              <w:t>PERTE</w:t>
            </w:r>
            <w:r w:rsidR="0075289C" w:rsidRPr="004F0BA7">
              <w:rPr>
                <w:i/>
                <w:iCs/>
                <w:vertAlign w:val="subscript"/>
              </w:rPr>
              <w:noBreakHyphen/>
            </w:r>
            <w:r w:rsidRPr="004F0BA7">
              <w:rPr>
                <w:i/>
                <w:iCs/>
                <w:vertAlign w:val="subscript"/>
              </w:rPr>
              <w:t>DONNÉES</w:t>
            </w:r>
            <w:r w:rsidRPr="004F0BA7">
              <w:rPr>
                <w:i/>
                <w:iCs/>
              </w:rPr>
              <w:t xml:space="preserve"> </w:t>
            </w:r>
            <w:r w:rsidRPr="004F0BA7">
              <w:t>% du temps</w:t>
            </w:r>
          </w:p>
        </w:tc>
        <w:tc>
          <w:tcPr>
            <w:tcW w:w="2984" w:type="dxa"/>
            <w:shd w:val="clear" w:color="auto" w:fill="auto"/>
            <w:vAlign w:val="center"/>
          </w:tcPr>
          <w:p w14:paraId="6A2524A4" w14:textId="300671B3" w:rsidR="00FF6FA4" w:rsidRPr="004F0BA7" w:rsidRDefault="00694D3D" w:rsidP="00BA42A4">
            <w:pPr>
              <w:pStyle w:val="Tabletext"/>
              <w:keepNext/>
              <w:keepLines/>
              <w:jc w:val="center"/>
            </w:pPr>
            <w:r w:rsidRPr="004F0BA7">
              <w:t>−</w:t>
            </w:r>
            <w:r w:rsidR="00FF6FA4" w:rsidRPr="004F0BA7">
              <w:t>161,</w:t>
            </w:r>
            <w:r w:rsidR="008C354A">
              <w:t>6</w:t>
            </w:r>
          </w:p>
        </w:tc>
        <w:tc>
          <w:tcPr>
            <w:tcW w:w="3050" w:type="dxa"/>
            <w:shd w:val="clear" w:color="auto" w:fill="auto"/>
            <w:vAlign w:val="center"/>
          </w:tcPr>
          <w:p w14:paraId="2DFB8EE8" w14:textId="77777777" w:rsidR="00FF6FA4" w:rsidRPr="004F0BA7" w:rsidRDefault="00694D3D" w:rsidP="00BA42A4">
            <w:pPr>
              <w:pStyle w:val="Tabletext"/>
              <w:keepNext/>
              <w:keepLines/>
              <w:jc w:val="center"/>
            </w:pPr>
            <w:r w:rsidRPr="004F0BA7">
              <w:t>−</w:t>
            </w:r>
            <w:r w:rsidR="00FF6FA4" w:rsidRPr="004F0BA7">
              <w:t>122,1</w:t>
            </w:r>
          </w:p>
        </w:tc>
      </w:tr>
      <w:tr w:rsidR="00FF6FA4" w:rsidRPr="004F0BA7" w14:paraId="2BDE6439" w14:textId="77777777" w:rsidTr="0075289C">
        <w:trPr>
          <w:jc w:val="center"/>
        </w:trPr>
        <w:tc>
          <w:tcPr>
            <w:tcW w:w="3480" w:type="dxa"/>
          </w:tcPr>
          <w:p w14:paraId="4E309D34" w14:textId="77777777" w:rsidR="00FF6FA4" w:rsidRPr="004F0BA7" w:rsidRDefault="00FF6FA4" w:rsidP="001F2C4F">
            <w:pPr>
              <w:pStyle w:val="Tabletext"/>
              <w:jc w:val="left"/>
            </w:pPr>
            <w:r w:rsidRPr="004F0BA7">
              <w:rPr>
                <w:i/>
                <w:iCs/>
              </w:rPr>
              <w:t>P</w:t>
            </w:r>
            <w:r w:rsidRPr="004F0BA7">
              <w:rPr>
                <w:i/>
                <w:iCs/>
                <w:vertAlign w:val="subscript"/>
              </w:rPr>
              <w:t>PERTE-</w:t>
            </w:r>
            <w:proofErr w:type="gramStart"/>
            <w:r w:rsidRPr="004F0BA7">
              <w:rPr>
                <w:i/>
                <w:iCs/>
                <w:vertAlign w:val="subscript"/>
              </w:rPr>
              <w:t>DONNÉES</w:t>
            </w:r>
            <w:r w:rsidRPr="004F0BA7">
              <w:t>(</w:t>
            </w:r>
            <w:proofErr w:type="gramEnd"/>
            <w:r w:rsidRPr="004F0BA7">
              <w:t>%)</w:t>
            </w:r>
            <w:r w:rsidRPr="004F0BA7">
              <w:rPr>
                <w:vertAlign w:val="superscript"/>
              </w:rPr>
              <w:t>(2)</w:t>
            </w:r>
          </w:p>
        </w:tc>
        <w:tc>
          <w:tcPr>
            <w:tcW w:w="2984" w:type="dxa"/>
            <w:shd w:val="clear" w:color="auto" w:fill="auto"/>
            <w:vAlign w:val="center"/>
          </w:tcPr>
          <w:p w14:paraId="3A0BBF30" w14:textId="77777777" w:rsidR="00FF6FA4" w:rsidRPr="004F0BA7" w:rsidRDefault="00FF6FA4" w:rsidP="001F2C4F">
            <w:pPr>
              <w:pStyle w:val="Tabletext"/>
              <w:jc w:val="center"/>
            </w:pPr>
            <w:r w:rsidRPr="004F0BA7">
              <w:t>0,060</w:t>
            </w:r>
          </w:p>
        </w:tc>
        <w:tc>
          <w:tcPr>
            <w:tcW w:w="3050" w:type="dxa"/>
            <w:shd w:val="clear" w:color="auto" w:fill="auto"/>
            <w:vAlign w:val="center"/>
          </w:tcPr>
          <w:p w14:paraId="6FB27278" w14:textId="77777777" w:rsidR="00FF6FA4" w:rsidRPr="004F0BA7" w:rsidRDefault="00FF6FA4" w:rsidP="001F2C4F">
            <w:pPr>
              <w:pStyle w:val="Tabletext"/>
              <w:jc w:val="center"/>
            </w:pPr>
            <w:r w:rsidRPr="004F0BA7">
              <w:t>0,060</w:t>
            </w:r>
          </w:p>
        </w:tc>
      </w:tr>
      <w:tr w:rsidR="00FF6FA4" w:rsidRPr="004F0BA7" w14:paraId="26C173E7" w14:textId="77777777" w:rsidTr="0075289C">
        <w:trPr>
          <w:jc w:val="center"/>
        </w:trPr>
        <w:tc>
          <w:tcPr>
            <w:tcW w:w="3480" w:type="dxa"/>
          </w:tcPr>
          <w:p w14:paraId="0DB7B7A6" w14:textId="77777777" w:rsidR="00FF6FA4" w:rsidRPr="004F0BA7" w:rsidRDefault="00FF6FA4" w:rsidP="001F2C4F">
            <w:pPr>
              <w:pStyle w:val="Tabletext"/>
              <w:jc w:val="left"/>
            </w:pPr>
            <w:r w:rsidRPr="004F0BA7">
              <w:t>Puissance des signaux brouilleurs (</w:t>
            </w:r>
            <w:proofErr w:type="spellStart"/>
            <w:r w:rsidRPr="004F0BA7">
              <w:t>dBW</w:t>
            </w:r>
            <w:proofErr w:type="spellEnd"/>
            <w:r w:rsidRPr="004F0BA7">
              <w:t>) dans la largeur de bande de référence ne devant pas être dépassée pendant plus de 20% du temps </w:t>
            </w:r>
          </w:p>
        </w:tc>
        <w:tc>
          <w:tcPr>
            <w:tcW w:w="2984" w:type="dxa"/>
            <w:vAlign w:val="center"/>
          </w:tcPr>
          <w:p w14:paraId="5C0D2615" w14:textId="7538424C" w:rsidR="00FF6FA4" w:rsidRPr="004F0BA7" w:rsidRDefault="00694D3D" w:rsidP="001F2C4F">
            <w:pPr>
              <w:pStyle w:val="Tabletext"/>
              <w:jc w:val="center"/>
            </w:pPr>
            <w:r w:rsidRPr="004F0BA7">
              <w:t>−</w:t>
            </w:r>
            <w:r w:rsidR="00EF345C" w:rsidRPr="004F0BA7">
              <w:t>167,06</w:t>
            </w:r>
          </w:p>
        </w:tc>
        <w:tc>
          <w:tcPr>
            <w:tcW w:w="3050" w:type="dxa"/>
            <w:vAlign w:val="center"/>
          </w:tcPr>
          <w:p w14:paraId="7F7AD81B" w14:textId="0A545533" w:rsidR="00FF6FA4" w:rsidRPr="004F0BA7" w:rsidRDefault="00694D3D" w:rsidP="001F2C4F">
            <w:pPr>
              <w:pStyle w:val="Tabletext"/>
              <w:jc w:val="center"/>
            </w:pPr>
            <w:r w:rsidRPr="004F0BA7">
              <w:t>−</w:t>
            </w:r>
            <w:r w:rsidR="00F32B14" w:rsidRPr="004F0BA7">
              <w:t>132,98</w:t>
            </w:r>
          </w:p>
        </w:tc>
      </w:tr>
      <w:tr w:rsidR="00FF6FA4" w:rsidRPr="004F0BA7" w14:paraId="7478CC10" w14:textId="77777777" w:rsidTr="00DB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514" w:type="dxa"/>
            <w:gridSpan w:val="3"/>
          </w:tcPr>
          <w:p w14:paraId="66883491" w14:textId="77777777" w:rsidR="00FF6FA4" w:rsidRPr="004F0BA7" w:rsidRDefault="00FF6FA4" w:rsidP="001F2C4F">
            <w:pPr>
              <w:pStyle w:val="Tablelegend"/>
            </w:pPr>
            <w:r w:rsidRPr="004F0BA7">
              <w:rPr>
                <w:vertAlign w:val="superscript"/>
              </w:rPr>
              <w:t>(1)</w:t>
            </w:r>
            <w:r w:rsidRPr="004F0BA7">
              <w:tab/>
              <w:t xml:space="preserve">Les systèmes dotés d'antennes </w:t>
            </w:r>
            <w:proofErr w:type="spellStart"/>
            <w:r w:rsidRPr="004F0BA7">
              <w:t>équidirectives</w:t>
            </w:r>
            <w:proofErr w:type="spellEnd"/>
            <w:r w:rsidRPr="004F0BA7">
              <w:t xml:space="preserve"> ne risquent pas de perdre le verrouillage de l'antenne sur le signal en raison d'un brouillage ou d'un évanouissement du signal.</w:t>
            </w:r>
          </w:p>
          <w:p w14:paraId="12557BBD" w14:textId="77777777" w:rsidR="00FF6FA4" w:rsidRPr="004F0BA7" w:rsidRDefault="00FF6FA4" w:rsidP="001F2C4F">
            <w:pPr>
              <w:pStyle w:val="Tablelegend"/>
            </w:pPr>
            <w:r w:rsidRPr="004F0BA7">
              <w:rPr>
                <w:vertAlign w:val="superscript"/>
              </w:rPr>
              <w:t>(2)</w:t>
            </w:r>
            <w:r w:rsidRPr="004F0BA7">
              <w:tab/>
              <w:t>Ce pourcentage de temps ne doit pas être dépassé pour chaque vol.</w:t>
            </w:r>
          </w:p>
        </w:tc>
      </w:tr>
    </w:tbl>
    <w:p w14:paraId="593969D0" w14:textId="7C91E0A2" w:rsidR="001B3644" w:rsidRPr="004F0BA7" w:rsidRDefault="001B3644" w:rsidP="00694D3D">
      <w:pPr>
        <w:pStyle w:val="Tablefin"/>
        <w:rPr>
          <w:lang w:val="fr-FR"/>
        </w:rPr>
      </w:pPr>
    </w:p>
    <w:p w14:paraId="702DC459" w14:textId="6FF2EE05" w:rsidR="002528C0" w:rsidRDefault="002528C0" w:rsidP="008C354A"/>
    <w:p w14:paraId="231DDC98" w14:textId="77777777" w:rsidR="008C354A" w:rsidRPr="004F0BA7" w:rsidRDefault="008C354A" w:rsidP="008C354A"/>
    <w:p w14:paraId="4B1CFB54" w14:textId="0FDEC4BA" w:rsidR="00FF6FA4" w:rsidRPr="004F0BA7" w:rsidRDefault="00FF6FA4" w:rsidP="001F2C4F">
      <w:pPr>
        <w:pStyle w:val="AnnexNoTitle"/>
      </w:pPr>
      <w:r w:rsidRPr="004F0BA7">
        <w:t>Annexe 1</w:t>
      </w:r>
      <w:r w:rsidRPr="004F0BA7">
        <w:br/>
      </w:r>
      <w:r w:rsidRPr="004F0BA7">
        <w:br/>
        <w:t xml:space="preserve">Bases utilisées pour l'établissement des critères de qualité de fonctionnement et de brouillage applicables au service des auxiliaires de la météorologie dans </w:t>
      </w:r>
      <w:r w:rsidRPr="004F0BA7">
        <w:br/>
        <w:t xml:space="preserve">les bandes </w:t>
      </w:r>
      <w:r w:rsidR="001939D5" w:rsidRPr="004F0BA7">
        <w:t xml:space="preserve">de fréquences </w:t>
      </w:r>
      <w:r w:rsidRPr="004F0BA7">
        <w:t>400,15-406 MHz et 1</w:t>
      </w:r>
      <w:r w:rsidRPr="004F0BA7">
        <w:rPr>
          <w:sz w:val="12"/>
        </w:rPr>
        <w:t> </w:t>
      </w:r>
      <w:r w:rsidRPr="004F0BA7">
        <w:t>668,4-1</w:t>
      </w:r>
      <w:r w:rsidRPr="004F0BA7">
        <w:rPr>
          <w:sz w:val="12"/>
        </w:rPr>
        <w:t> </w:t>
      </w:r>
      <w:r w:rsidRPr="004F0BA7">
        <w:t>700 MHz</w:t>
      </w:r>
    </w:p>
    <w:p w14:paraId="31E2B430" w14:textId="77777777" w:rsidR="00FF6FA4" w:rsidRPr="004F0BA7" w:rsidRDefault="00FF6FA4" w:rsidP="001F2C4F">
      <w:pPr>
        <w:pStyle w:val="Heading1"/>
      </w:pPr>
      <w:bookmarkStart w:id="4" w:name="_Toc393257585"/>
      <w:r w:rsidRPr="004F0BA7">
        <w:t>1</w:t>
      </w:r>
      <w:r w:rsidRPr="004F0BA7">
        <w:tab/>
        <w:t>Introduction</w:t>
      </w:r>
      <w:bookmarkEnd w:id="4"/>
    </w:p>
    <w:p w14:paraId="612753C7" w14:textId="340F9F36" w:rsidR="00FF6FA4" w:rsidRPr="004F0BA7" w:rsidRDefault="00FF6FA4" w:rsidP="00AE7F06">
      <w:r w:rsidRPr="004F0BA7">
        <w:t xml:space="preserve">Les bandes 400,15-406 MHz (désignée ici par le terme bande </w:t>
      </w:r>
      <w:r w:rsidR="001939D5" w:rsidRPr="004F0BA7">
        <w:t xml:space="preserve">de fréquences </w:t>
      </w:r>
      <w:r w:rsidRPr="004F0BA7">
        <w:t>des 403 MHz) et</w:t>
      </w:r>
      <w:r w:rsidR="00AE7F06" w:rsidRPr="004F0BA7">
        <w:t> </w:t>
      </w:r>
      <w:r w:rsidRPr="004F0BA7">
        <w:t>1</w:t>
      </w:r>
      <w:r w:rsidRPr="004F0BA7">
        <w:rPr>
          <w:sz w:val="12"/>
        </w:rPr>
        <w:t> </w:t>
      </w:r>
      <w:r w:rsidRPr="004F0BA7">
        <w:t>668,4</w:t>
      </w:r>
      <w:r w:rsidR="00E55A97" w:rsidRPr="004F0BA7">
        <w:noBreakHyphen/>
      </w:r>
      <w:r w:rsidRPr="004F0BA7">
        <w:t>1</w:t>
      </w:r>
      <w:r w:rsidRPr="004F0BA7">
        <w:rPr>
          <w:sz w:val="12"/>
        </w:rPr>
        <w:t> </w:t>
      </w:r>
      <w:r w:rsidRPr="004F0BA7">
        <w:t xml:space="preserve">700 MHz (désignée ici par le terme bande </w:t>
      </w:r>
      <w:r w:rsidR="001939D5" w:rsidRPr="004F0BA7">
        <w:t xml:space="preserve">de fréquences </w:t>
      </w:r>
      <w:r w:rsidRPr="004F0BA7">
        <w:t>des 1</w:t>
      </w:r>
      <w:r w:rsidRPr="004F0BA7">
        <w:rPr>
          <w:sz w:val="12"/>
        </w:rPr>
        <w:t> </w:t>
      </w:r>
      <w:r w:rsidRPr="004F0BA7">
        <w:t xml:space="preserve">680 MHz) sont attribuées au service des auxiliaires de la météorologie à titre primaire. Les bandes </w:t>
      </w:r>
      <w:r w:rsidR="001939D5" w:rsidRPr="004F0BA7">
        <w:t>de fréquences</w:t>
      </w:r>
      <w:r w:rsidR="00AE7F06" w:rsidRPr="004F0BA7">
        <w:t> </w:t>
      </w:r>
      <w:r w:rsidRPr="004F0BA7">
        <w:t>400,15</w:t>
      </w:r>
      <w:r w:rsidR="00AE7F06" w:rsidRPr="004F0BA7">
        <w:noBreakHyphen/>
      </w:r>
      <w:r w:rsidRPr="004F0BA7">
        <w:t>403</w:t>
      </w:r>
      <w:r w:rsidR="00AE7F06" w:rsidRPr="004F0BA7">
        <w:t> </w:t>
      </w:r>
      <w:r w:rsidRPr="004F0BA7">
        <w:t>MHz et 1</w:t>
      </w:r>
      <w:r w:rsidRPr="004F0BA7">
        <w:rPr>
          <w:sz w:val="12"/>
        </w:rPr>
        <w:t> </w:t>
      </w:r>
      <w:r w:rsidRPr="004F0BA7">
        <w:t>670-1</w:t>
      </w:r>
      <w:r w:rsidRPr="004F0BA7">
        <w:rPr>
          <w:sz w:val="12"/>
        </w:rPr>
        <w:t> </w:t>
      </w:r>
      <w:r w:rsidRPr="004F0BA7">
        <w:t xml:space="preserve">700 MHz sont de plus attribuées aux utilisateurs du service de météorologie par satellite à titre primaire avec égalité des droits. De plus, la bande </w:t>
      </w:r>
      <w:r w:rsidR="001939D5" w:rsidRPr="004F0BA7">
        <w:t>de fréquences</w:t>
      </w:r>
      <w:r w:rsidR="00AE7F06" w:rsidRPr="004F0BA7">
        <w:t> </w:t>
      </w:r>
      <w:r w:rsidRPr="004F0BA7">
        <w:t xml:space="preserve">400,15-401 MHz est attribuée à l'échelle mondiale au service mobile par satellite </w:t>
      </w:r>
      <w:r w:rsidR="001F2C4F" w:rsidRPr="004F0BA7">
        <w:t xml:space="preserve">(SMS) </w:t>
      </w:r>
      <w:r w:rsidRPr="004F0BA7">
        <w:t xml:space="preserve">et la bande </w:t>
      </w:r>
      <w:r w:rsidR="001939D5" w:rsidRPr="004F0BA7">
        <w:t xml:space="preserve">de fréquences </w:t>
      </w:r>
      <w:r w:rsidRPr="004F0BA7">
        <w:t>1</w:t>
      </w:r>
      <w:r w:rsidRPr="004F0BA7">
        <w:rPr>
          <w:sz w:val="12"/>
        </w:rPr>
        <w:t> </w:t>
      </w:r>
      <w:r w:rsidRPr="004F0BA7">
        <w:t>668,4</w:t>
      </w:r>
      <w:r w:rsidR="00E55A97" w:rsidRPr="004F0BA7">
        <w:noBreakHyphen/>
      </w:r>
      <w:r w:rsidRPr="004F0BA7">
        <w:t>1</w:t>
      </w:r>
      <w:r w:rsidRPr="004F0BA7">
        <w:rPr>
          <w:sz w:val="12"/>
        </w:rPr>
        <w:t> </w:t>
      </w:r>
      <w:r w:rsidRPr="004F0BA7">
        <w:t>675 MHz est attribuée à l'échelle mondiale au SMS.</w:t>
      </w:r>
    </w:p>
    <w:p w14:paraId="3CC5D7EE" w14:textId="77777777" w:rsidR="00FF6FA4" w:rsidRPr="004F0BA7" w:rsidRDefault="00FF6FA4" w:rsidP="001F2C4F">
      <w:r w:rsidRPr="004F0BA7">
        <w:lastRenderedPageBreak/>
        <w:t>L'expression</w:t>
      </w:r>
      <w:proofErr w:type="gramStart"/>
      <w:r w:rsidRPr="004F0BA7">
        <w:t xml:space="preserve"> «auxiliaires</w:t>
      </w:r>
      <w:proofErr w:type="gramEnd"/>
      <w:r w:rsidRPr="004F0BA7">
        <w:t xml:space="preserve"> de météorologie» désigne divers types d'équipements météorologiques: radiosondes, </w:t>
      </w:r>
      <w:proofErr w:type="spellStart"/>
      <w:r w:rsidRPr="004F0BA7">
        <w:t>catasondes</w:t>
      </w:r>
      <w:proofErr w:type="spellEnd"/>
      <w:r w:rsidRPr="004F0BA7">
        <w:t xml:space="preserve"> et fusées-sondes. Des auxiliaires de météorologie sont lancés dans le monde entier en vue de la collecte de données météorologiques dans la haute atmosphère pour les prévisions météorologiques et la prévision des violentes tempêtes, de la collecte de données sur la concentration d'ozone et de la mesure de paramètres atmosphériques pour diverses autres applications. Les données recueillies pendant ces vols ou ces sondages sont très </w:t>
      </w:r>
      <w:proofErr w:type="gramStart"/>
      <w:r w:rsidRPr="004F0BA7">
        <w:t>importantes</w:t>
      </w:r>
      <w:proofErr w:type="gramEnd"/>
      <w:r w:rsidRPr="004F0BA7">
        <w:t xml:space="preserve"> pour la protection des biens et des personnes, car elles permettent de prévoir les violentes tempêtes et fournissent des renseignements vitaux aux compagnies de transport aérien.</w:t>
      </w:r>
    </w:p>
    <w:p w14:paraId="0CF988C0" w14:textId="6055351B" w:rsidR="00FF6FA4" w:rsidRPr="004F0BA7" w:rsidRDefault="00FF6FA4" w:rsidP="001F2C4F">
      <w:pPr>
        <w:pStyle w:val="Heading1"/>
      </w:pPr>
      <w:bookmarkStart w:id="5" w:name="_Toc393257586"/>
      <w:r w:rsidRPr="004F0BA7">
        <w:t>2</w:t>
      </w:r>
      <w:r w:rsidRPr="004F0BA7">
        <w:tab/>
        <w:t xml:space="preserve">Méthode de </w:t>
      </w:r>
      <w:r w:rsidR="00A85A93" w:rsidRPr="004F0BA7">
        <w:t xml:space="preserve">détermination </w:t>
      </w:r>
      <w:r w:rsidRPr="004F0BA7">
        <w:t>des critères de brouillage applicables au service des auxiliaires de la météorologie</w:t>
      </w:r>
      <w:bookmarkEnd w:id="5"/>
    </w:p>
    <w:p w14:paraId="5BFFE592" w14:textId="77777777" w:rsidR="00FF6FA4" w:rsidRPr="004F0BA7" w:rsidRDefault="00FF6FA4" w:rsidP="001F2C4F">
      <w:r w:rsidRPr="004F0BA7">
        <w:t>La sensibilité des auxiliaires de la météorologie au brouillage étant généralement maximale à la portée oblique maximale de fonctionnement, les critères de brouillage seront établis sur la base de la marge pour la liaison correspondant à cette portée. Cette hypothèse ne permet pas aux autres utilisateurs potentiels de</w:t>
      </w:r>
      <w:r w:rsidR="001F2C4F" w:rsidRPr="004F0BA7">
        <w:t>s</w:t>
      </w:r>
      <w:r w:rsidRPr="004F0BA7">
        <w:t xml:space="preserve"> bande</w:t>
      </w:r>
      <w:r w:rsidR="001F2C4F" w:rsidRPr="004F0BA7">
        <w:t>s de fréquence</w:t>
      </w:r>
      <w:r w:rsidR="003C27AE" w:rsidRPr="004F0BA7">
        <w:t>s</w:t>
      </w:r>
      <w:r w:rsidRPr="004F0BA7">
        <w:t xml:space="preserve"> de tirer parti des marges pour les liaisons plus élevées aux portées obliques plus courtes, mais ce facteur peut être utilisé, le cas échéant, dans les études de partage détaillées. La portée oblique maximale sera une portée caractéristique pour la plus grande partie du monde, mais pas en ce qui concerne les conditions extrêmes rencontrées en hiver aux la</w:t>
      </w:r>
      <w:r w:rsidR="001F2C4F" w:rsidRPr="004F0BA7">
        <w:t>titudes élevées.</w:t>
      </w:r>
    </w:p>
    <w:p w14:paraId="0316F83F" w14:textId="77777777" w:rsidR="00FF6FA4" w:rsidRPr="004F0BA7" w:rsidRDefault="00FF6FA4" w:rsidP="00B60B17">
      <w:r w:rsidRPr="004F0BA7">
        <w:t xml:space="preserve">Les critères de brouillage applicables au service des auxiliaires de la météorologie seront au nombre de trois en ce qui concerne les systèmes dotés d'antennes </w:t>
      </w:r>
      <w:proofErr w:type="gramStart"/>
      <w:r w:rsidRPr="004F0BA7">
        <w:t>directives:</w:t>
      </w:r>
      <w:proofErr w:type="gramEnd"/>
      <w:r w:rsidRPr="004F0BA7">
        <w:t xml:space="preserve"> un niveau de brouillage et un pourcentage de temps pour la perte de verrouillage de phase dans le récepteur, un niveau de brouillage et un pourcentage de temps pour la perte de données et un niveau de brouillage à long terme ne devant pas être dépassé pendant plus de 20% du temps. En ce qui concerne les systèmes du service des auxiliaires de la météorologie dotés d'antennes </w:t>
      </w:r>
      <w:proofErr w:type="spellStart"/>
      <w:r w:rsidRPr="004F0BA7">
        <w:t>équidirectives</w:t>
      </w:r>
      <w:proofErr w:type="spellEnd"/>
      <w:r w:rsidRPr="004F0BA7">
        <w:t xml:space="preserve">, les valeurs relatives à la perte de verrouillage </w:t>
      </w:r>
      <w:r w:rsidR="001F2C4F" w:rsidRPr="004F0BA7">
        <w:t xml:space="preserve">de phase </w:t>
      </w:r>
      <w:r w:rsidRPr="004F0BA7">
        <w:t xml:space="preserve">dans le récepteur sont sans objet, car ces antennes ne peuvent pas perdre leur verrouillage sur le signal pendant une période de perte de signal ou de brouillage. Dans le cas des systèmes du service des auxiliaires de la météorologie, un niveau de brouillage et un pourcentage de temps seront calculés pour la perte de données et pour un niveau de brouillage à long terme ne devant pas être dépassé pendant plus de 20% du temps. </w:t>
      </w:r>
      <w:r w:rsidR="00B60B17" w:rsidRPr="004F0BA7">
        <w:t>É</w:t>
      </w:r>
      <w:r w:rsidRPr="004F0BA7">
        <w:t>tant donné que les différents types d'auxiliaires de la météorologie sont utilisés dans diverses applications et présentent des caractéristiques différentes, des critères seront établis pour chacun d'entre eux.</w:t>
      </w:r>
    </w:p>
    <w:p w14:paraId="233E3313" w14:textId="77777777" w:rsidR="00FF6FA4" w:rsidRPr="004F0BA7" w:rsidRDefault="00FF6FA4" w:rsidP="001F2C4F">
      <w:r w:rsidRPr="004F0BA7">
        <w:t xml:space="preserve">Le premier niveau de critères de brouillage à court terme à établir, qui n'est applicable qu'aux systèmes dotés d'antennes de poursuite directives, est le niveau associé à la perte de verrouillage de phase dans le récepteur, qui n'est admissible que pendant une courte durée. Il s'agit de la durée maximale pendant laquelle le récepteur peut tolérer une perte de signal et reverrouiller l'antenne de poursuite sur le signal quand celui-ci réapparaît. Le pourcentage de temps total, </w:t>
      </w:r>
      <w:r w:rsidRPr="004F0BA7">
        <w:rPr>
          <w:i/>
        </w:rPr>
        <w:t>P</w:t>
      </w:r>
      <w:r w:rsidRPr="004F0BA7">
        <w:t>%</w:t>
      </w:r>
      <w:r w:rsidRPr="004F0BA7">
        <w:rPr>
          <w:i/>
          <w:position w:val="-4"/>
          <w:sz w:val="16"/>
        </w:rPr>
        <w:t>TOTAL</w:t>
      </w:r>
      <w:r w:rsidRPr="004F0BA7">
        <w:t xml:space="preserve">, pendant lequel une perte de verrouillage de phase peut se produire sera calculé en fonction du système et de l'application. Ce pourcentage sera alors subdivisé en un pourcentage pour les sources </w:t>
      </w:r>
      <w:proofErr w:type="spellStart"/>
      <w:r w:rsidRPr="004F0BA7">
        <w:t>intrasystème</w:t>
      </w:r>
      <w:proofErr w:type="spellEnd"/>
      <w:r w:rsidRPr="004F0BA7">
        <w:t xml:space="preserve"> et en un pourcentage pour les sources </w:t>
      </w:r>
      <w:proofErr w:type="spellStart"/>
      <w:r w:rsidRPr="004F0BA7">
        <w:t>intersystèmes</w:t>
      </w:r>
      <w:proofErr w:type="spellEnd"/>
      <w:r w:rsidRPr="004F0BA7">
        <w:t>. Dans le cas considéré, la perte de verrouillage sera subdivisée de façon que le pourcentage attribué au brouillage entre systèmes soit égal à 25% de </w:t>
      </w:r>
      <w:r w:rsidRPr="004F0BA7">
        <w:rPr>
          <w:i/>
        </w:rPr>
        <w:t>P</w:t>
      </w:r>
      <w:r w:rsidRPr="004F0BA7">
        <w:t>%</w:t>
      </w:r>
      <w:r w:rsidRPr="004F0BA7">
        <w:rPr>
          <w:i/>
          <w:position w:val="-4"/>
          <w:sz w:val="16"/>
        </w:rPr>
        <w:t>TOTAL</w:t>
      </w:r>
      <w:r w:rsidRPr="004F0BA7">
        <w:t>.</w:t>
      </w:r>
    </w:p>
    <w:p w14:paraId="243A1D7F" w14:textId="77777777" w:rsidR="00FF6FA4" w:rsidRPr="004F0BA7" w:rsidRDefault="00FF6FA4" w:rsidP="001F2C4F">
      <w:r w:rsidRPr="004F0BA7">
        <w:t xml:space="preserve">Les critères de brouillage applicables à la perte du verrouillage seront calculés de la manière </w:t>
      </w:r>
      <w:proofErr w:type="gramStart"/>
      <w:r w:rsidRPr="004F0BA7">
        <w:t>suivante:</w:t>
      </w:r>
      <w:proofErr w:type="gramEnd"/>
    </w:p>
    <w:p w14:paraId="648A6774" w14:textId="77777777" w:rsidR="00FF6FA4" w:rsidRPr="004F0BA7" w:rsidRDefault="00FF6FA4" w:rsidP="001F2C4F">
      <w:pPr>
        <w:pStyle w:val="Equation"/>
      </w:pPr>
      <w:r w:rsidRPr="004F0BA7">
        <w:tab/>
      </w:r>
      <w:r w:rsidRPr="004F0BA7">
        <w:tab/>
      </w:r>
      <w:r w:rsidR="001F032A" w:rsidRPr="004F0BA7">
        <w:rPr>
          <w:position w:val="-12"/>
        </w:rPr>
        <w:object w:dxaOrig="4819" w:dyaOrig="420" w14:anchorId="07506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21.9pt" o:ole="">
            <v:imagedata r:id="rId18" o:title=""/>
          </v:shape>
          <o:OLEObject Type="Embed" ProgID="Equation.3" ShapeID="_x0000_i1025" DrawAspect="Content" ObjectID="_1790497040" r:id="rId19"/>
        </w:object>
      </w:r>
      <w:r w:rsidRPr="004F0BA7">
        <w:tab/>
        <w:t>(1)</w:t>
      </w:r>
    </w:p>
    <w:p w14:paraId="2CAFB092" w14:textId="77777777" w:rsidR="00FF6FA4" w:rsidRPr="004F0BA7" w:rsidRDefault="00FF6FA4" w:rsidP="001F2C4F">
      <w:proofErr w:type="gramStart"/>
      <w:r w:rsidRPr="004F0BA7">
        <w:t>où:</w:t>
      </w:r>
      <w:proofErr w:type="gramEnd"/>
    </w:p>
    <w:p w14:paraId="6B15AC4D" w14:textId="77777777" w:rsidR="00FF6FA4" w:rsidRPr="004F0BA7" w:rsidRDefault="00FF6FA4" w:rsidP="001F2C4F">
      <w:pPr>
        <w:pStyle w:val="Equationlegend"/>
        <w:rPr>
          <w:lang w:val="fr-FR"/>
        </w:rPr>
      </w:pPr>
      <w:r w:rsidRPr="004F0BA7">
        <w:rPr>
          <w:lang w:val="fr-FR"/>
        </w:rPr>
        <w:tab/>
      </w:r>
      <w:r w:rsidRPr="004F0BA7">
        <w:rPr>
          <w:i/>
          <w:lang w:val="fr-FR"/>
        </w:rPr>
        <w:t>N</w:t>
      </w:r>
      <w:r w:rsidRPr="004F0BA7">
        <w:rPr>
          <w:i/>
          <w:position w:val="-4"/>
          <w:sz w:val="16"/>
          <w:lang w:val="fr-FR"/>
        </w:rPr>
        <w:t>RX</w:t>
      </w:r>
      <w:r w:rsidR="00A37CEC" w:rsidRPr="004F0BA7">
        <w:rPr>
          <w:lang w:val="fr-FR"/>
        </w:rPr>
        <w:t xml:space="preserve"> </w:t>
      </w:r>
      <w:r w:rsidRPr="004F0BA7">
        <w:rPr>
          <w:lang w:val="fr-FR"/>
        </w:rPr>
        <w:t>:</w:t>
      </w:r>
      <w:r w:rsidRPr="004F0BA7">
        <w:rPr>
          <w:lang w:val="fr-FR"/>
        </w:rPr>
        <w:tab/>
        <w:t xml:space="preserve">densité spectrale de bruit du récepteur, extraite du bilan de liaison (voir les Tableaux </w:t>
      </w:r>
      <w:r w:rsidR="001939D5" w:rsidRPr="004F0BA7">
        <w:rPr>
          <w:lang w:val="fr-FR"/>
        </w:rPr>
        <w:t>5,</w:t>
      </w:r>
      <w:r w:rsidRPr="004F0BA7">
        <w:rPr>
          <w:lang w:val="fr-FR"/>
        </w:rPr>
        <w:t xml:space="preserve"> </w:t>
      </w:r>
      <w:r w:rsidR="001939D5" w:rsidRPr="004F0BA7">
        <w:rPr>
          <w:lang w:val="fr-FR"/>
        </w:rPr>
        <w:t>6 et 7</w:t>
      </w:r>
      <w:r w:rsidRPr="004F0BA7">
        <w:rPr>
          <w:lang w:val="fr-FR"/>
        </w:rPr>
        <w:t>)</w:t>
      </w:r>
    </w:p>
    <w:p w14:paraId="397FE8F4" w14:textId="77777777" w:rsidR="00FF6FA4" w:rsidRPr="004F0BA7" w:rsidRDefault="00FF6FA4" w:rsidP="001F2C4F">
      <w:pPr>
        <w:pStyle w:val="Equationlegend"/>
        <w:rPr>
          <w:lang w:val="fr-FR"/>
        </w:rPr>
      </w:pPr>
      <w:r w:rsidRPr="004F0BA7">
        <w:rPr>
          <w:lang w:val="fr-FR"/>
        </w:rPr>
        <w:lastRenderedPageBreak/>
        <w:tab/>
      </w:r>
      <w:r w:rsidRPr="004F0BA7">
        <w:rPr>
          <w:i/>
          <w:lang w:val="fr-FR"/>
        </w:rPr>
        <w:t>M</w:t>
      </w:r>
      <w:r w:rsidRPr="004F0BA7">
        <w:rPr>
          <w:sz w:val="12"/>
          <w:lang w:val="fr-FR"/>
        </w:rPr>
        <w:t> </w:t>
      </w:r>
      <w:r w:rsidR="00A37CEC" w:rsidRPr="004F0BA7">
        <w:rPr>
          <w:lang w:val="fr-FR"/>
        </w:rPr>
        <w:t>:</w:t>
      </w:r>
      <w:r w:rsidR="00A37CEC" w:rsidRPr="004F0BA7">
        <w:rPr>
          <w:lang w:val="fr-FR"/>
        </w:rPr>
        <w:tab/>
      </w:r>
      <w:r w:rsidRPr="004F0BA7">
        <w:rPr>
          <w:lang w:val="fr-FR"/>
        </w:rPr>
        <w:t xml:space="preserve">marge calculée pour la perte du verrouillage, extraite du bilan de liaison (voir les Tableaux </w:t>
      </w:r>
      <w:r w:rsidR="001939D5" w:rsidRPr="004F0BA7">
        <w:rPr>
          <w:lang w:val="fr-FR"/>
        </w:rPr>
        <w:t>5, 6 et 7</w:t>
      </w:r>
      <w:r w:rsidRPr="004F0BA7">
        <w:rPr>
          <w:lang w:val="fr-FR"/>
        </w:rPr>
        <w:t>).</w:t>
      </w:r>
    </w:p>
    <w:p w14:paraId="7B18B087" w14:textId="77777777" w:rsidR="00FF6FA4" w:rsidRPr="004F0BA7" w:rsidRDefault="00FF6FA4" w:rsidP="001F2C4F">
      <w:pPr>
        <w:spacing w:before="100"/>
      </w:pPr>
      <w:r w:rsidRPr="004F0BA7">
        <w:t xml:space="preserve">Le niveau </w:t>
      </w:r>
      <w:r w:rsidRPr="004F0BA7">
        <w:rPr>
          <w:i/>
        </w:rPr>
        <w:t>I</w:t>
      </w:r>
      <w:r w:rsidRPr="004F0BA7">
        <w:rPr>
          <w:i/>
          <w:position w:val="-4"/>
          <w:sz w:val="16"/>
        </w:rPr>
        <w:t>PERTE-VERROUILLAGE</w:t>
      </w:r>
      <w:r w:rsidRPr="004F0BA7">
        <w:t xml:space="preserve"> ne doit pas être dépassé pendant plus de</w:t>
      </w:r>
      <w:r w:rsidRPr="004F0BA7">
        <w:rPr>
          <w:i/>
        </w:rPr>
        <w:t xml:space="preserve"> P</w:t>
      </w:r>
      <w:r w:rsidRPr="004F0BA7">
        <w:t>%</w:t>
      </w:r>
      <w:r w:rsidRPr="004F0BA7">
        <w:rPr>
          <w:i/>
          <w:position w:val="-4"/>
          <w:sz w:val="16"/>
        </w:rPr>
        <w:t>PERTE-VERROUILLAGE</w:t>
      </w:r>
      <w:r w:rsidRPr="004F0BA7">
        <w:t xml:space="preserve">, </w:t>
      </w:r>
      <w:proofErr w:type="gramStart"/>
      <w:r w:rsidRPr="004F0BA7">
        <w:t>où:</w:t>
      </w:r>
      <w:proofErr w:type="gramEnd"/>
    </w:p>
    <w:p w14:paraId="7D392DB7" w14:textId="77777777" w:rsidR="00FF6FA4" w:rsidRPr="004F0BA7" w:rsidRDefault="00FF6FA4" w:rsidP="001F2C4F">
      <w:pPr>
        <w:pStyle w:val="Equation"/>
      </w:pPr>
      <w:r w:rsidRPr="004F0BA7">
        <w:tab/>
      </w:r>
      <w:r w:rsidRPr="004F0BA7">
        <w:tab/>
      </w:r>
      <w:r w:rsidRPr="004F0BA7">
        <w:rPr>
          <w:i/>
        </w:rPr>
        <w:t>P</w:t>
      </w:r>
      <w:r w:rsidRPr="004F0BA7">
        <w:t>%</w:t>
      </w:r>
      <w:r w:rsidRPr="004F0BA7">
        <w:rPr>
          <w:i/>
          <w:position w:val="-4"/>
          <w:sz w:val="18"/>
        </w:rPr>
        <w:t>PERTE-VERROUILLAGE</w:t>
      </w:r>
      <w:r w:rsidRPr="004F0BA7">
        <w:t xml:space="preserve"> </w:t>
      </w:r>
      <w:r w:rsidRPr="004F0BA7">
        <w:rPr>
          <w:rFonts w:ascii="Symbol" w:hAnsi="Symbol"/>
        </w:rPr>
        <w:t></w:t>
      </w:r>
      <w:r w:rsidRPr="004F0BA7">
        <w:t xml:space="preserve"> 0,25 (</w:t>
      </w:r>
      <w:r w:rsidRPr="004F0BA7">
        <w:rPr>
          <w:i/>
        </w:rPr>
        <w:t>P</w:t>
      </w:r>
      <w:r w:rsidRPr="004F0BA7">
        <w:t>%</w:t>
      </w:r>
      <w:r w:rsidRPr="004F0BA7">
        <w:rPr>
          <w:i/>
          <w:position w:val="-4"/>
          <w:sz w:val="18"/>
        </w:rPr>
        <w:t>TOTAL</w:t>
      </w:r>
      <w:r w:rsidRPr="004F0BA7">
        <w:t>)</w:t>
      </w:r>
    </w:p>
    <w:p w14:paraId="159BBD4B" w14:textId="77777777" w:rsidR="00FF6FA4" w:rsidRPr="004F0BA7" w:rsidRDefault="00FF6FA4" w:rsidP="001F2C4F">
      <w:r w:rsidRPr="004F0BA7">
        <w:t xml:space="preserve">Le deuxième niveau de critères de brouillage à court terme, qui s'applique à tous les systèmes, est le niveau à partir duquel des données seront perdues. Le pourcentage de temps correspondant </w:t>
      </w:r>
      <w:proofErr w:type="gramStart"/>
      <w:r w:rsidRPr="004F0BA7">
        <w:t>peut être</w:t>
      </w:r>
      <w:proofErr w:type="gramEnd"/>
      <w:r w:rsidRPr="004F0BA7">
        <w:t xml:space="preserve"> obtenu à partir des objectifs de disponibilité des données fixés par les utilisateurs. Les objectifs de disponibilité des données publiés concernant le service des auxiliaires de la météorologie s'appliquent généralement à toutes les sources de perte de données et d'erreur de données. Pendant le vol des auxiliaires de la météorologie, on observe – en plus des pertes de données – des erreurs de données de capteur, qui sont éliminées par filtrage au cours du traitement des données. Vingt-cinq pour cent du pourcentage de temps total </w:t>
      </w:r>
      <w:r w:rsidRPr="004F0BA7">
        <w:rPr>
          <w:i/>
        </w:rPr>
        <w:t>P</w:t>
      </w:r>
      <w:r w:rsidRPr="004F0BA7">
        <w:t>%</w:t>
      </w:r>
      <w:r w:rsidRPr="004F0BA7">
        <w:rPr>
          <w:i/>
          <w:position w:val="-4"/>
          <w:sz w:val="16"/>
        </w:rPr>
        <w:t>TOTAL</w:t>
      </w:r>
      <w:r w:rsidRPr="004F0BA7">
        <w:t xml:space="preserve"> pendant lequel des pertes et des erreurs de données peuvent se produire seront attribués au brouillage et 25% de cette valeur peuvent être attribués au brouillage entre </w:t>
      </w:r>
      <w:proofErr w:type="gramStart"/>
      <w:r w:rsidRPr="004F0BA7">
        <w:t>systèmes;</w:t>
      </w:r>
      <w:proofErr w:type="gramEnd"/>
      <w:r w:rsidRPr="004F0BA7">
        <w:t xml:space="preserve"> d'où:</w:t>
      </w:r>
    </w:p>
    <w:p w14:paraId="12B9AACF" w14:textId="77777777" w:rsidR="00FF6FA4" w:rsidRPr="004F0BA7" w:rsidRDefault="00FF6FA4" w:rsidP="001F2C4F">
      <w:pPr>
        <w:pStyle w:val="Equation"/>
      </w:pPr>
      <w:r w:rsidRPr="004F0BA7">
        <w:tab/>
      </w:r>
      <w:r w:rsidRPr="004F0BA7">
        <w:tab/>
      </w:r>
      <w:r w:rsidRPr="004F0BA7">
        <w:rPr>
          <w:i/>
        </w:rPr>
        <w:t>P</w:t>
      </w:r>
      <w:r w:rsidRPr="004F0BA7">
        <w:t>%</w:t>
      </w:r>
      <w:r w:rsidRPr="004F0BA7">
        <w:rPr>
          <w:i/>
          <w:position w:val="-4"/>
          <w:sz w:val="18"/>
        </w:rPr>
        <w:t>PERTE-DONNÉES</w:t>
      </w:r>
      <w:r w:rsidRPr="004F0BA7">
        <w:t xml:space="preserve"> </w:t>
      </w:r>
      <w:r w:rsidRPr="004F0BA7">
        <w:rPr>
          <w:rFonts w:ascii="Symbol" w:hAnsi="Symbol"/>
        </w:rPr>
        <w:t></w:t>
      </w:r>
      <w:r w:rsidRPr="004F0BA7">
        <w:t xml:space="preserve"> (25%) (25%) (</w:t>
      </w:r>
      <w:r w:rsidRPr="004F0BA7">
        <w:rPr>
          <w:i/>
        </w:rPr>
        <w:t>P</w:t>
      </w:r>
      <w:r w:rsidRPr="004F0BA7">
        <w:t>%</w:t>
      </w:r>
      <w:r w:rsidRPr="004F0BA7">
        <w:rPr>
          <w:i/>
          <w:position w:val="-4"/>
          <w:sz w:val="18"/>
        </w:rPr>
        <w:t>TOTAL</w:t>
      </w:r>
      <w:r w:rsidRPr="004F0BA7">
        <w:t xml:space="preserve">) </w:t>
      </w:r>
      <w:r w:rsidRPr="004F0BA7">
        <w:rPr>
          <w:rFonts w:ascii="Symbol" w:hAnsi="Symbol"/>
        </w:rPr>
        <w:t></w:t>
      </w:r>
      <w:r w:rsidRPr="004F0BA7">
        <w:t xml:space="preserve"> (6,25%) (</w:t>
      </w:r>
      <w:r w:rsidRPr="004F0BA7">
        <w:rPr>
          <w:i/>
        </w:rPr>
        <w:t>P</w:t>
      </w:r>
      <w:r w:rsidRPr="004F0BA7">
        <w:t>%</w:t>
      </w:r>
      <w:r w:rsidRPr="004F0BA7">
        <w:rPr>
          <w:i/>
          <w:position w:val="-4"/>
          <w:sz w:val="18"/>
        </w:rPr>
        <w:t>TOTAL</w:t>
      </w:r>
      <w:r w:rsidRPr="004F0BA7">
        <w:t>)</w:t>
      </w:r>
    </w:p>
    <w:p w14:paraId="77DA8264" w14:textId="77777777" w:rsidR="00FF6FA4" w:rsidRPr="004F0BA7" w:rsidRDefault="00FF6FA4" w:rsidP="001F2C4F">
      <w:pPr>
        <w:spacing w:before="100"/>
      </w:pPr>
      <w:r w:rsidRPr="004F0BA7">
        <w:t xml:space="preserve">Les critères de brouillage applicables à la perte de données seront calculés de la manière </w:t>
      </w:r>
      <w:proofErr w:type="gramStart"/>
      <w:r w:rsidRPr="004F0BA7">
        <w:t>suivante:</w:t>
      </w:r>
      <w:proofErr w:type="gramEnd"/>
    </w:p>
    <w:p w14:paraId="14C92334" w14:textId="77777777" w:rsidR="00FF6FA4" w:rsidRPr="004F0BA7" w:rsidRDefault="00FF6FA4" w:rsidP="001F2C4F">
      <w:pPr>
        <w:pStyle w:val="Equation"/>
      </w:pPr>
      <w:r w:rsidRPr="004F0BA7">
        <w:tab/>
      </w:r>
      <w:r w:rsidRPr="004F0BA7">
        <w:tab/>
      </w:r>
      <w:r w:rsidRPr="004F0BA7">
        <w:rPr>
          <w:i/>
        </w:rPr>
        <w:t>I</w:t>
      </w:r>
      <w:r w:rsidRPr="004F0BA7">
        <w:rPr>
          <w:i/>
          <w:position w:val="-4"/>
          <w:sz w:val="18"/>
        </w:rPr>
        <w:t>PERTE-DONNÉES</w:t>
      </w:r>
      <w:r w:rsidRPr="004F0BA7">
        <w:t xml:space="preserve"> </w:t>
      </w:r>
      <w:r w:rsidRPr="004F0BA7">
        <w:rPr>
          <w:rFonts w:ascii="Symbol" w:hAnsi="Symbol"/>
        </w:rPr>
        <w:t></w:t>
      </w:r>
      <w:r w:rsidRPr="004F0BA7">
        <w:t xml:space="preserve"> </w:t>
      </w:r>
      <w:r w:rsidRPr="004F0BA7">
        <w:rPr>
          <w:i/>
        </w:rPr>
        <w:t>N</w:t>
      </w:r>
      <w:r w:rsidRPr="004F0BA7">
        <w:rPr>
          <w:i/>
          <w:position w:val="-4"/>
          <w:sz w:val="18"/>
        </w:rPr>
        <w:t>RX</w:t>
      </w:r>
      <w:r w:rsidRPr="004F0BA7">
        <w:t xml:space="preserve"> + 10 log (10</w:t>
      </w:r>
      <w:r w:rsidRPr="004F0BA7">
        <w:rPr>
          <w:i/>
          <w:position w:val="6"/>
          <w:sz w:val="18"/>
        </w:rPr>
        <w:t>M</w:t>
      </w:r>
      <w:r w:rsidRPr="004F0BA7">
        <w:rPr>
          <w:position w:val="6"/>
          <w:sz w:val="18"/>
        </w:rPr>
        <w:t>/10</w:t>
      </w:r>
      <w:r w:rsidRPr="004F0BA7">
        <w:t xml:space="preserve"> –</w:t>
      </w:r>
      <w:r w:rsidRPr="004F0BA7">
        <w:rPr>
          <w:sz w:val="4"/>
        </w:rPr>
        <w:t> </w:t>
      </w:r>
      <w:r w:rsidRPr="004F0BA7">
        <w:t>1)</w:t>
      </w:r>
      <w:r w:rsidRPr="004F0BA7">
        <w:tab/>
        <w:t>(2)</w:t>
      </w:r>
    </w:p>
    <w:p w14:paraId="03583286" w14:textId="77777777" w:rsidR="00FF6FA4" w:rsidRPr="004F0BA7" w:rsidRDefault="00FF6FA4" w:rsidP="001F2C4F">
      <w:proofErr w:type="gramStart"/>
      <w:r w:rsidRPr="004F0BA7">
        <w:t>où:</w:t>
      </w:r>
      <w:proofErr w:type="gramEnd"/>
    </w:p>
    <w:p w14:paraId="6996EDBC" w14:textId="77777777" w:rsidR="00FF6FA4" w:rsidRPr="004F0BA7" w:rsidRDefault="00FF6FA4" w:rsidP="001F2C4F">
      <w:pPr>
        <w:pStyle w:val="Equationlegend"/>
        <w:rPr>
          <w:lang w:val="fr-FR"/>
        </w:rPr>
      </w:pPr>
      <w:r w:rsidRPr="004F0BA7">
        <w:rPr>
          <w:lang w:val="fr-FR"/>
        </w:rPr>
        <w:tab/>
      </w:r>
      <w:r w:rsidRPr="004F0BA7">
        <w:rPr>
          <w:i/>
          <w:lang w:val="fr-FR"/>
        </w:rPr>
        <w:t>N</w:t>
      </w:r>
      <w:r w:rsidRPr="004F0BA7">
        <w:rPr>
          <w:i/>
          <w:position w:val="-4"/>
          <w:sz w:val="16"/>
          <w:lang w:val="fr-FR"/>
        </w:rPr>
        <w:t>RX</w:t>
      </w:r>
      <w:r w:rsidRPr="004F0BA7">
        <w:rPr>
          <w:sz w:val="12"/>
          <w:lang w:val="fr-FR"/>
        </w:rPr>
        <w:t> </w:t>
      </w:r>
      <w:r w:rsidRPr="004F0BA7">
        <w:rPr>
          <w:lang w:val="fr-FR"/>
        </w:rPr>
        <w:t>:</w:t>
      </w:r>
      <w:r w:rsidRPr="004F0BA7">
        <w:rPr>
          <w:lang w:val="fr-FR"/>
        </w:rPr>
        <w:tab/>
        <w:t xml:space="preserve">densité spectrale de bruit du récepteur extraite du bilan de liaison (voir les Tableaux </w:t>
      </w:r>
      <w:r w:rsidR="001939D5" w:rsidRPr="004F0BA7">
        <w:rPr>
          <w:lang w:val="fr-FR"/>
        </w:rPr>
        <w:t>5, 6 et 7</w:t>
      </w:r>
      <w:r w:rsidRPr="004F0BA7">
        <w:rPr>
          <w:lang w:val="fr-FR"/>
        </w:rPr>
        <w:t>)</w:t>
      </w:r>
    </w:p>
    <w:p w14:paraId="5E2B21D5" w14:textId="77777777" w:rsidR="00FF6FA4" w:rsidRPr="004F0BA7" w:rsidRDefault="00FF6FA4" w:rsidP="001F2C4F">
      <w:pPr>
        <w:pStyle w:val="Equationlegend"/>
        <w:rPr>
          <w:lang w:val="fr-FR"/>
        </w:rPr>
      </w:pPr>
      <w:r w:rsidRPr="004F0BA7">
        <w:rPr>
          <w:lang w:val="fr-FR"/>
        </w:rPr>
        <w:tab/>
      </w:r>
      <w:r w:rsidRPr="004F0BA7">
        <w:rPr>
          <w:i/>
          <w:lang w:val="fr-FR"/>
        </w:rPr>
        <w:t>M</w:t>
      </w:r>
      <w:r w:rsidRPr="004F0BA7">
        <w:rPr>
          <w:sz w:val="12"/>
          <w:lang w:val="fr-FR"/>
        </w:rPr>
        <w:t> </w:t>
      </w:r>
      <w:r w:rsidR="00A37CEC" w:rsidRPr="004F0BA7">
        <w:rPr>
          <w:lang w:val="fr-FR"/>
        </w:rPr>
        <w:t>:</w:t>
      </w:r>
      <w:r w:rsidR="00A37CEC" w:rsidRPr="004F0BA7">
        <w:rPr>
          <w:lang w:val="fr-FR"/>
        </w:rPr>
        <w:tab/>
      </w:r>
      <w:r w:rsidRPr="004F0BA7">
        <w:rPr>
          <w:lang w:val="fr-FR"/>
        </w:rPr>
        <w:t xml:space="preserve">marge calculée pour la perte de données extraite du bilan de liaison (voir les Tableaux </w:t>
      </w:r>
      <w:r w:rsidR="001939D5" w:rsidRPr="004F0BA7">
        <w:rPr>
          <w:lang w:val="fr-FR"/>
        </w:rPr>
        <w:t>5, 6 et 7</w:t>
      </w:r>
      <w:r w:rsidRPr="004F0BA7">
        <w:rPr>
          <w:lang w:val="fr-FR"/>
        </w:rPr>
        <w:t>).</w:t>
      </w:r>
    </w:p>
    <w:p w14:paraId="37BDCEBB" w14:textId="3D90825D" w:rsidR="00FF6FA4" w:rsidRPr="004F0BA7" w:rsidRDefault="00FF6FA4" w:rsidP="001F2C4F">
      <w:pPr>
        <w:spacing w:before="100"/>
      </w:pPr>
      <w:r w:rsidRPr="004F0BA7">
        <w:t xml:space="preserve">Le niveau </w:t>
      </w:r>
      <w:r w:rsidRPr="004F0BA7">
        <w:rPr>
          <w:i/>
        </w:rPr>
        <w:t>I</w:t>
      </w:r>
      <w:r w:rsidRPr="004F0BA7">
        <w:rPr>
          <w:i/>
          <w:position w:val="-4"/>
          <w:sz w:val="16"/>
        </w:rPr>
        <w:t>PERTE-DONNÉES</w:t>
      </w:r>
      <w:r w:rsidRPr="004F0BA7">
        <w:t xml:space="preserve"> ne doit pas être dépassé pendant plus de </w:t>
      </w:r>
      <w:r w:rsidRPr="004F0BA7">
        <w:rPr>
          <w:i/>
        </w:rPr>
        <w:t>P</w:t>
      </w:r>
      <w:r w:rsidRPr="004F0BA7">
        <w:t>%</w:t>
      </w:r>
      <w:r w:rsidRPr="004F0BA7">
        <w:rPr>
          <w:i/>
          <w:position w:val="-4"/>
          <w:sz w:val="16"/>
        </w:rPr>
        <w:t>PERTE-DONNÉES</w:t>
      </w:r>
      <w:r w:rsidR="00E611F6">
        <w:t>.</w:t>
      </w:r>
    </w:p>
    <w:p w14:paraId="07B0BA6C" w14:textId="77777777" w:rsidR="00FF6FA4" w:rsidRPr="004F0BA7" w:rsidRDefault="00FF6FA4" w:rsidP="00571BD5">
      <w:r w:rsidRPr="004F0BA7">
        <w:t xml:space="preserve">Le troisième niveau de brouillage sera le niveau à long terme, qui ne doit pas être dépassé pendant plus de 20% du temps. Ce niveau peut être calculé à partir des marges à court terme associées à la perte du verrouillage de phase (le cas échéant) et à la perte de données. Le niveau calculé à partir de la marge associée à la perte de verrouillage de phase à court terme est négligeable comparativement au niveau calculé à partir de la marge associée à la perte de données. En ce qui concerne le long terme (20%), les deux tiers de la marge associée à la perte de données seront retenus pour le service des auxiliaires de la météorologie. Les critères de brouillage applicables à la perte de données seront calculés de la manière </w:t>
      </w:r>
      <w:proofErr w:type="gramStart"/>
      <w:r w:rsidRPr="004F0BA7">
        <w:t>suivante:</w:t>
      </w:r>
      <w:proofErr w:type="gramEnd"/>
    </w:p>
    <w:p w14:paraId="444D1A81" w14:textId="77777777" w:rsidR="00E611F6" w:rsidRDefault="00FF6FA4" w:rsidP="001F2C4F">
      <w:pPr>
        <w:pStyle w:val="Equation"/>
        <w:spacing w:before="100"/>
      </w:pPr>
      <w:r w:rsidRPr="004F0BA7">
        <w:tab/>
      </w:r>
      <w:r w:rsidRPr="004F0BA7">
        <w:tab/>
      </w:r>
      <w:r w:rsidRPr="004F0BA7">
        <w:rPr>
          <w:i/>
        </w:rPr>
        <w:t>I</w:t>
      </w:r>
      <w:r w:rsidRPr="004F0BA7">
        <w:rPr>
          <w:position w:val="-4"/>
          <w:sz w:val="18"/>
        </w:rPr>
        <w:t>20%</w:t>
      </w:r>
      <w:r w:rsidRPr="004F0BA7">
        <w:t xml:space="preserve"> </w:t>
      </w:r>
      <w:r w:rsidRPr="004F0BA7">
        <w:rPr>
          <w:rFonts w:ascii="Symbol" w:hAnsi="Symbol"/>
        </w:rPr>
        <w:t></w:t>
      </w:r>
      <w:r w:rsidRPr="004F0BA7">
        <w:t xml:space="preserve"> </w:t>
      </w:r>
      <w:r w:rsidRPr="004F0BA7">
        <w:rPr>
          <w:i/>
        </w:rPr>
        <w:t>N</w:t>
      </w:r>
      <w:r w:rsidRPr="004F0BA7">
        <w:rPr>
          <w:i/>
          <w:position w:val="-4"/>
          <w:sz w:val="18"/>
        </w:rPr>
        <w:t>RX</w:t>
      </w:r>
      <w:r w:rsidRPr="004F0BA7">
        <w:t xml:space="preserve"> + 10 log (10</w:t>
      </w:r>
      <w:r w:rsidRPr="004F0BA7">
        <w:rPr>
          <w:i/>
          <w:position w:val="6"/>
          <w:sz w:val="18"/>
        </w:rPr>
        <w:t>M</w:t>
      </w:r>
      <w:r w:rsidRPr="004F0BA7">
        <w:rPr>
          <w:position w:val="6"/>
          <w:sz w:val="18"/>
        </w:rPr>
        <w:t>/30</w:t>
      </w:r>
      <w:r w:rsidRPr="004F0BA7">
        <w:t xml:space="preserve"> –</w:t>
      </w:r>
      <w:r w:rsidRPr="004F0BA7">
        <w:rPr>
          <w:sz w:val="4"/>
        </w:rPr>
        <w:t> </w:t>
      </w:r>
      <w:r w:rsidRPr="004F0BA7">
        <w:t>1)</w:t>
      </w:r>
      <w:r w:rsidRPr="004F0BA7">
        <w:tab/>
      </w:r>
    </w:p>
    <w:p w14:paraId="3918D6D7" w14:textId="77777777" w:rsidR="00E611F6" w:rsidRDefault="00FF6FA4" w:rsidP="001F2C4F">
      <w:pPr>
        <w:pStyle w:val="Equation"/>
        <w:spacing w:before="100"/>
      </w:pPr>
      <w:proofErr w:type="gramStart"/>
      <w:r w:rsidRPr="004F0BA7">
        <w:t>ou</w:t>
      </w:r>
      <w:proofErr w:type="gramEnd"/>
    </w:p>
    <w:p w14:paraId="21EC7696" w14:textId="2ED83FEB" w:rsidR="00FF6FA4" w:rsidRPr="004F0BA7" w:rsidRDefault="00FF6FA4" w:rsidP="001F2C4F">
      <w:pPr>
        <w:pStyle w:val="Equation"/>
        <w:spacing w:before="100"/>
      </w:pPr>
      <w:r w:rsidRPr="004F0BA7">
        <w:tab/>
      </w:r>
      <w:r w:rsidRPr="004F0BA7">
        <w:tab/>
      </w:r>
      <w:r w:rsidRPr="004F0BA7">
        <w:rPr>
          <w:i/>
        </w:rPr>
        <w:t>N</w:t>
      </w:r>
      <w:r w:rsidRPr="004F0BA7">
        <w:rPr>
          <w:i/>
          <w:position w:val="-4"/>
          <w:sz w:val="18"/>
        </w:rPr>
        <w:t>RX</w:t>
      </w:r>
      <w:r w:rsidRPr="004F0BA7">
        <w:t xml:space="preserve"> – 10 dB, si cette dernière valeur est plus élevée</w:t>
      </w:r>
      <w:r w:rsidRPr="004F0BA7">
        <w:tab/>
        <w:t>(3)</w:t>
      </w:r>
    </w:p>
    <w:p w14:paraId="078E188F" w14:textId="77777777" w:rsidR="00FF6FA4" w:rsidRPr="004F0BA7" w:rsidRDefault="00FF6FA4" w:rsidP="001F2C4F">
      <w:proofErr w:type="gramStart"/>
      <w:r w:rsidRPr="004F0BA7">
        <w:t>où:</w:t>
      </w:r>
      <w:proofErr w:type="gramEnd"/>
    </w:p>
    <w:p w14:paraId="7150E509" w14:textId="77777777" w:rsidR="00FF6FA4" w:rsidRPr="004F0BA7" w:rsidRDefault="00FF6FA4" w:rsidP="00175BC1">
      <w:pPr>
        <w:pStyle w:val="Equationlegend"/>
        <w:jc w:val="left"/>
        <w:rPr>
          <w:lang w:val="fr-FR"/>
        </w:rPr>
      </w:pPr>
      <w:r w:rsidRPr="004F0BA7">
        <w:rPr>
          <w:lang w:val="fr-FR"/>
        </w:rPr>
        <w:tab/>
      </w:r>
      <w:r w:rsidRPr="004F0BA7">
        <w:rPr>
          <w:i/>
          <w:lang w:val="fr-FR"/>
        </w:rPr>
        <w:t>N</w:t>
      </w:r>
      <w:r w:rsidRPr="004F0BA7">
        <w:rPr>
          <w:i/>
          <w:position w:val="-4"/>
          <w:sz w:val="16"/>
          <w:lang w:val="fr-FR"/>
        </w:rPr>
        <w:t>RX</w:t>
      </w:r>
      <w:r w:rsidRPr="004F0BA7">
        <w:rPr>
          <w:sz w:val="12"/>
          <w:lang w:val="fr-FR"/>
        </w:rPr>
        <w:t> </w:t>
      </w:r>
      <w:r w:rsidRPr="004F0BA7">
        <w:rPr>
          <w:lang w:val="fr-FR"/>
        </w:rPr>
        <w:t>:</w:t>
      </w:r>
      <w:r w:rsidRPr="004F0BA7">
        <w:rPr>
          <w:lang w:val="fr-FR"/>
        </w:rPr>
        <w:tab/>
        <w:t>densité spectrale de bruit du récepteur extraite du bil</w:t>
      </w:r>
      <w:r w:rsidR="001939D5" w:rsidRPr="004F0BA7">
        <w:rPr>
          <w:lang w:val="fr-FR"/>
        </w:rPr>
        <w:t>an de liaison (voir les Tableaux 5, 6 et 7</w:t>
      </w:r>
      <w:r w:rsidRPr="004F0BA7">
        <w:rPr>
          <w:lang w:val="fr-FR"/>
        </w:rPr>
        <w:t>)</w:t>
      </w:r>
    </w:p>
    <w:p w14:paraId="476F8839" w14:textId="77777777" w:rsidR="00FF6FA4" w:rsidRPr="004F0BA7" w:rsidRDefault="00FF6FA4" w:rsidP="00175BC1">
      <w:pPr>
        <w:pStyle w:val="Equationlegend"/>
        <w:jc w:val="left"/>
        <w:rPr>
          <w:lang w:val="fr-FR"/>
        </w:rPr>
      </w:pPr>
      <w:r w:rsidRPr="004F0BA7">
        <w:rPr>
          <w:lang w:val="fr-FR"/>
        </w:rPr>
        <w:tab/>
      </w:r>
      <w:r w:rsidRPr="004F0BA7">
        <w:rPr>
          <w:i/>
          <w:lang w:val="fr-FR"/>
        </w:rPr>
        <w:t>M</w:t>
      </w:r>
      <w:r w:rsidRPr="004F0BA7">
        <w:rPr>
          <w:sz w:val="12"/>
          <w:lang w:val="fr-FR"/>
        </w:rPr>
        <w:t> </w:t>
      </w:r>
      <w:r w:rsidR="009C3E07" w:rsidRPr="004F0BA7">
        <w:rPr>
          <w:lang w:val="fr-FR"/>
        </w:rPr>
        <w:t>:</w:t>
      </w:r>
      <w:r w:rsidR="009C3E07" w:rsidRPr="004F0BA7">
        <w:rPr>
          <w:lang w:val="fr-FR"/>
        </w:rPr>
        <w:tab/>
      </w:r>
      <w:r w:rsidRPr="004F0BA7">
        <w:rPr>
          <w:lang w:val="fr-FR"/>
        </w:rPr>
        <w:t>marge calculée pour la perte de données extraite du bilan de liaison (voir le</w:t>
      </w:r>
      <w:r w:rsidR="001939D5" w:rsidRPr="004F0BA7">
        <w:rPr>
          <w:lang w:val="fr-FR"/>
        </w:rPr>
        <w:t>s</w:t>
      </w:r>
      <w:r w:rsidRPr="004F0BA7">
        <w:rPr>
          <w:lang w:val="fr-FR"/>
        </w:rPr>
        <w:t> Tableau</w:t>
      </w:r>
      <w:r w:rsidR="001939D5" w:rsidRPr="004F0BA7">
        <w:rPr>
          <w:lang w:val="fr-FR"/>
        </w:rPr>
        <w:t>x</w:t>
      </w:r>
      <w:r w:rsidRPr="004F0BA7">
        <w:rPr>
          <w:lang w:val="fr-FR"/>
        </w:rPr>
        <w:t> </w:t>
      </w:r>
      <w:r w:rsidR="001939D5" w:rsidRPr="004F0BA7">
        <w:rPr>
          <w:lang w:val="fr-FR"/>
        </w:rPr>
        <w:t>5, 6 et 7</w:t>
      </w:r>
      <w:r w:rsidRPr="004F0BA7">
        <w:rPr>
          <w:lang w:val="fr-FR"/>
        </w:rPr>
        <w:t>).</w:t>
      </w:r>
    </w:p>
    <w:p w14:paraId="1CC9D996" w14:textId="77777777" w:rsidR="00FF6FA4" w:rsidRPr="004F0BA7" w:rsidRDefault="00FF6FA4" w:rsidP="001F2C4F">
      <w:r w:rsidRPr="004F0BA7">
        <w:t xml:space="preserve">Le niveau </w:t>
      </w:r>
      <w:r w:rsidRPr="004F0BA7">
        <w:rPr>
          <w:i/>
        </w:rPr>
        <w:t>I</w:t>
      </w:r>
      <w:r w:rsidRPr="004F0BA7">
        <w:rPr>
          <w:position w:val="-4"/>
          <w:sz w:val="16"/>
        </w:rPr>
        <w:t>20%</w:t>
      </w:r>
      <w:r w:rsidRPr="004F0BA7">
        <w:t xml:space="preserve"> ne doit pas être dépassé pendant plus de 20% du temps.</w:t>
      </w:r>
    </w:p>
    <w:p w14:paraId="06AD1208" w14:textId="77777777" w:rsidR="00FF6FA4" w:rsidRPr="004F0BA7" w:rsidRDefault="001939D5" w:rsidP="001F2C4F">
      <w:pPr>
        <w:pStyle w:val="TableNo"/>
      </w:pPr>
      <w:r w:rsidRPr="004F0BA7">
        <w:lastRenderedPageBreak/>
        <w:t>TABLEAU 4</w:t>
      </w:r>
    </w:p>
    <w:p w14:paraId="38997BC6" w14:textId="77777777" w:rsidR="00FF6FA4" w:rsidRPr="004F0BA7" w:rsidRDefault="00FF6FA4" w:rsidP="001F2C4F">
      <w:pPr>
        <w:pStyle w:val="Tabletitle"/>
      </w:pPr>
      <w:r w:rsidRPr="004F0BA7">
        <w:t xml:space="preserve">Pourcentages de temps associés à des systèmes représentatifs </w:t>
      </w:r>
      <w:r w:rsidRPr="004F0BA7">
        <w:br/>
        <w:t>du service des auxiliaires de la météorologie</w:t>
      </w:r>
      <w:r w:rsidRPr="004F0BA7">
        <w:rPr>
          <w:highlight w:val="lightGray"/>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280"/>
        <w:gridCol w:w="1264"/>
        <w:gridCol w:w="1266"/>
        <w:gridCol w:w="1448"/>
        <w:gridCol w:w="1262"/>
        <w:gridCol w:w="997"/>
      </w:tblGrid>
      <w:tr w:rsidR="00FF6FA4" w:rsidRPr="004F0BA7" w14:paraId="1B444047" w14:textId="77777777" w:rsidTr="00175BC1">
        <w:trPr>
          <w:tblHeader/>
          <w:jc w:val="center"/>
        </w:trPr>
        <w:tc>
          <w:tcPr>
            <w:tcW w:w="2122" w:type="dxa"/>
            <w:vAlign w:val="center"/>
          </w:tcPr>
          <w:p w14:paraId="732E1D9D" w14:textId="77777777" w:rsidR="00FF6FA4" w:rsidRPr="004F0BA7" w:rsidRDefault="00FF6FA4" w:rsidP="00175BC1">
            <w:pPr>
              <w:pStyle w:val="Tablehead"/>
              <w:rPr>
                <w:sz w:val="20"/>
              </w:rPr>
            </w:pPr>
            <w:r w:rsidRPr="004F0BA7">
              <w:rPr>
                <w:sz w:val="20"/>
              </w:rPr>
              <w:t>Pourcentage</w:t>
            </w:r>
          </w:p>
        </w:tc>
        <w:tc>
          <w:tcPr>
            <w:tcW w:w="1280" w:type="dxa"/>
            <w:vAlign w:val="center"/>
          </w:tcPr>
          <w:p w14:paraId="4B330333" w14:textId="77777777" w:rsidR="00FF6FA4" w:rsidRPr="004F0BA7" w:rsidRDefault="00FF6FA4" w:rsidP="00175BC1">
            <w:pPr>
              <w:pStyle w:val="Tablehead"/>
              <w:rPr>
                <w:sz w:val="20"/>
              </w:rPr>
            </w:pPr>
            <w:r w:rsidRPr="004F0BA7">
              <w:rPr>
                <w:sz w:val="20"/>
              </w:rPr>
              <w:t>Système RDF</w:t>
            </w:r>
            <w:r w:rsidRPr="004F0BA7">
              <w:rPr>
                <w:sz w:val="20"/>
              </w:rPr>
              <w:br/>
              <w:t>1 668,4-1</w:t>
            </w:r>
            <w:r w:rsidR="00175BC1" w:rsidRPr="004F0BA7">
              <w:rPr>
                <w:sz w:val="20"/>
              </w:rPr>
              <w:t> </w:t>
            </w:r>
            <w:r w:rsidRPr="004F0BA7">
              <w:rPr>
                <w:sz w:val="20"/>
              </w:rPr>
              <w:t>700 MHz</w:t>
            </w:r>
          </w:p>
        </w:tc>
        <w:tc>
          <w:tcPr>
            <w:tcW w:w="1264" w:type="dxa"/>
            <w:vAlign w:val="center"/>
          </w:tcPr>
          <w:p w14:paraId="7F0E9C68" w14:textId="77777777" w:rsidR="00FF6FA4" w:rsidRPr="004F0BA7" w:rsidRDefault="00FF6FA4" w:rsidP="00175BC1">
            <w:pPr>
              <w:pStyle w:val="Tablehead"/>
              <w:rPr>
                <w:sz w:val="20"/>
              </w:rPr>
            </w:pPr>
            <w:r w:rsidRPr="004F0BA7">
              <w:rPr>
                <w:sz w:val="20"/>
              </w:rPr>
              <w:t>Système GPS</w:t>
            </w:r>
            <w:r w:rsidRPr="004F0BA7">
              <w:rPr>
                <w:sz w:val="20"/>
              </w:rPr>
              <w:br/>
              <w:t>1 675-1</w:t>
            </w:r>
            <w:r w:rsidR="00175BC1" w:rsidRPr="004F0BA7">
              <w:rPr>
                <w:sz w:val="20"/>
              </w:rPr>
              <w:t> </w:t>
            </w:r>
            <w:r w:rsidRPr="004F0BA7">
              <w:rPr>
                <w:sz w:val="20"/>
              </w:rPr>
              <w:t>683</w:t>
            </w:r>
            <w:r w:rsidR="00175BC1" w:rsidRPr="004F0BA7">
              <w:rPr>
                <w:sz w:val="20"/>
              </w:rPr>
              <w:t> </w:t>
            </w:r>
            <w:r w:rsidRPr="004F0BA7">
              <w:rPr>
                <w:sz w:val="20"/>
              </w:rPr>
              <w:t>MHz</w:t>
            </w:r>
          </w:p>
        </w:tc>
        <w:tc>
          <w:tcPr>
            <w:tcW w:w="1266" w:type="dxa"/>
            <w:vAlign w:val="center"/>
          </w:tcPr>
          <w:p w14:paraId="6E933CA9" w14:textId="77777777" w:rsidR="00FF6FA4" w:rsidRPr="004F0BA7" w:rsidRDefault="00FF6FA4" w:rsidP="00175BC1">
            <w:pPr>
              <w:pStyle w:val="Tablehead"/>
              <w:rPr>
                <w:sz w:val="20"/>
              </w:rPr>
            </w:pPr>
            <w:r w:rsidRPr="004F0BA7">
              <w:rPr>
                <w:sz w:val="20"/>
              </w:rPr>
              <w:t>Système NAVAID avec antenne directive</w:t>
            </w:r>
          </w:p>
        </w:tc>
        <w:tc>
          <w:tcPr>
            <w:tcW w:w="1448" w:type="dxa"/>
            <w:vAlign w:val="center"/>
          </w:tcPr>
          <w:p w14:paraId="218B1B67" w14:textId="77777777" w:rsidR="00FF6FA4" w:rsidRPr="004F0BA7" w:rsidRDefault="00FF6FA4" w:rsidP="00175BC1">
            <w:pPr>
              <w:pStyle w:val="Tablehead"/>
              <w:rPr>
                <w:sz w:val="20"/>
              </w:rPr>
            </w:pPr>
            <w:r w:rsidRPr="004F0BA7">
              <w:rPr>
                <w:sz w:val="20"/>
              </w:rPr>
              <w:t xml:space="preserve">Système NAVAID avec antenne </w:t>
            </w:r>
            <w:proofErr w:type="spellStart"/>
            <w:r w:rsidRPr="004F0BA7">
              <w:rPr>
                <w:sz w:val="20"/>
              </w:rPr>
              <w:t>équidirective</w:t>
            </w:r>
            <w:proofErr w:type="spellEnd"/>
          </w:p>
        </w:tc>
        <w:tc>
          <w:tcPr>
            <w:tcW w:w="1262" w:type="dxa"/>
            <w:vAlign w:val="center"/>
          </w:tcPr>
          <w:p w14:paraId="70A70992" w14:textId="77777777" w:rsidR="00FF6FA4" w:rsidRPr="004F0BA7" w:rsidRDefault="00FF6FA4" w:rsidP="00175BC1">
            <w:pPr>
              <w:pStyle w:val="Tablehead"/>
              <w:rPr>
                <w:sz w:val="20"/>
              </w:rPr>
            </w:pPr>
            <w:r w:rsidRPr="004F0BA7">
              <w:rPr>
                <w:sz w:val="20"/>
              </w:rPr>
              <w:t xml:space="preserve">Système à </w:t>
            </w:r>
            <w:proofErr w:type="spellStart"/>
            <w:r w:rsidRPr="004F0BA7">
              <w:rPr>
                <w:sz w:val="20"/>
              </w:rPr>
              <w:t>catasondes</w:t>
            </w:r>
            <w:proofErr w:type="spellEnd"/>
          </w:p>
        </w:tc>
        <w:tc>
          <w:tcPr>
            <w:tcW w:w="997" w:type="dxa"/>
            <w:vAlign w:val="center"/>
          </w:tcPr>
          <w:p w14:paraId="532706FF" w14:textId="77777777" w:rsidR="00FF6FA4" w:rsidRPr="004F0BA7" w:rsidRDefault="00FF6FA4" w:rsidP="00175BC1">
            <w:pPr>
              <w:pStyle w:val="Tablehead"/>
              <w:rPr>
                <w:sz w:val="20"/>
              </w:rPr>
            </w:pPr>
            <w:r w:rsidRPr="004F0BA7">
              <w:rPr>
                <w:sz w:val="20"/>
              </w:rPr>
              <w:t>Système à fusées-sondes</w:t>
            </w:r>
          </w:p>
        </w:tc>
      </w:tr>
      <w:tr w:rsidR="00FF6FA4" w:rsidRPr="004F0BA7" w14:paraId="4C5C3E06" w14:textId="77777777" w:rsidTr="00175BC1">
        <w:trPr>
          <w:jc w:val="center"/>
        </w:trPr>
        <w:tc>
          <w:tcPr>
            <w:tcW w:w="2122" w:type="dxa"/>
          </w:tcPr>
          <w:p w14:paraId="24629CE4" w14:textId="77777777" w:rsidR="00FF6FA4" w:rsidRPr="004F0BA7" w:rsidRDefault="00FF6FA4" w:rsidP="001F2C4F">
            <w:pPr>
              <w:pStyle w:val="Tabletext"/>
              <w:jc w:val="left"/>
              <w:rPr>
                <w:sz w:val="20"/>
              </w:rPr>
            </w:pPr>
            <w:r w:rsidRPr="004F0BA7">
              <w:rPr>
                <w:sz w:val="20"/>
              </w:rPr>
              <w:t>Pourcentage de temps de perte de poursuite (</w:t>
            </w:r>
            <w:r w:rsidRPr="004F0BA7">
              <w:rPr>
                <w:i/>
                <w:sz w:val="20"/>
              </w:rPr>
              <w:t>P%</w:t>
            </w:r>
            <w:r w:rsidRPr="004F0BA7">
              <w:rPr>
                <w:i/>
                <w:sz w:val="20"/>
                <w:vertAlign w:val="subscript"/>
              </w:rPr>
              <w:t>VERROUILLAGE-TOTAL</w:t>
            </w:r>
            <w:r w:rsidRPr="004F0BA7">
              <w:rPr>
                <w:sz w:val="20"/>
              </w:rPr>
              <w:t>)</w:t>
            </w:r>
          </w:p>
        </w:tc>
        <w:tc>
          <w:tcPr>
            <w:tcW w:w="1280" w:type="dxa"/>
            <w:vAlign w:val="center"/>
          </w:tcPr>
          <w:p w14:paraId="76299A09" w14:textId="77777777" w:rsidR="00FF6FA4" w:rsidRPr="004F0BA7" w:rsidRDefault="00FF6FA4" w:rsidP="001F2C4F">
            <w:pPr>
              <w:pStyle w:val="Tabletext"/>
              <w:jc w:val="center"/>
              <w:rPr>
                <w:sz w:val="20"/>
              </w:rPr>
            </w:pPr>
            <w:r w:rsidRPr="004F0BA7">
              <w:rPr>
                <w:sz w:val="20"/>
              </w:rPr>
              <w:t>0,08%</w:t>
            </w:r>
          </w:p>
        </w:tc>
        <w:tc>
          <w:tcPr>
            <w:tcW w:w="1264" w:type="dxa"/>
            <w:vAlign w:val="center"/>
          </w:tcPr>
          <w:p w14:paraId="350748DA" w14:textId="77777777" w:rsidR="00FF6FA4" w:rsidRPr="004F0BA7" w:rsidRDefault="00FF6FA4" w:rsidP="001F2C4F">
            <w:pPr>
              <w:pStyle w:val="Tabletext"/>
              <w:jc w:val="center"/>
              <w:rPr>
                <w:sz w:val="20"/>
              </w:rPr>
            </w:pPr>
            <w:r w:rsidRPr="004F0BA7">
              <w:rPr>
                <w:sz w:val="20"/>
              </w:rPr>
              <w:t>0,1%</w:t>
            </w:r>
          </w:p>
        </w:tc>
        <w:tc>
          <w:tcPr>
            <w:tcW w:w="1266" w:type="dxa"/>
            <w:vAlign w:val="center"/>
          </w:tcPr>
          <w:p w14:paraId="73829727" w14:textId="77777777" w:rsidR="00FF6FA4" w:rsidRPr="004F0BA7" w:rsidRDefault="00FF6FA4" w:rsidP="001F2C4F">
            <w:pPr>
              <w:pStyle w:val="Tabletext"/>
              <w:jc w:val="center"/>
              <w:rPr>
                <w:sz w:val="20"/>
              </w:rPr>
            </w:pPr>
            <w:r w:rsidRPr="004F0BA7">
              <w:rPr>
                <w:sz w:val="20"/>
              </w:rPr>
              <w:t>0,08%</w:t>
            </w:r>
          </w:p>
        </w:tc>
        <w:tc>
          <w:tcPr>
            <w:tcW w:w="1448" w:type="dxa"/>
            <w:vAlign w:val="center"/>
          </w:tcPr>
          <w:p w14:paraId="73EDA9B4"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1262" w:type="dxa"/>
            <w:vAlign w:val="center"/>
          </w:tcPr>
          <w:p w14:paraId="7F944603"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997" w:type="dxa"/>
            <w:vAlign w:val="center"/>
          </w:tcPr>
          <w:p w14:paraId="764EE962" w14:textId="77777777" w:rsidR="00FF6FA4" w:rsidRPr="004F0BA7" w:rsidRDefault="00FF6FA4" w:rsidP="001F2C4F">
            <w:pPr>
              <w:pStyle w:val="Tabletext"/>
              <w:jc w:val="center"/>
              <w:rPr>
                <w:sz w:val="20"/>
              </w:rPr>
            </w:pPr>
            <w:r w:rsidRPr="004F0BA7">
              <w:rPr>
                <w:sz w:val="20"/>
              </w:rPr>
              <w:t>0,08%</w:t>
            </w:r>
          </w:p>
        </w:tc>
      </w:tr>
      <w:tr w:rsidR="00FF6FA4" w:rsidRPr="004F0BA7" w14:paraId="2606B470" w14:textId="77777777" w:rsidTr="00175BC1">
        <w:trPr>
          <w:jc w:val="center"/>
        </w:trPr>
        <w:tc>
          <w:tcPr>
            <w:tcW w:w="2122" w:type="dxa"/>
          </w:tcPr>
          <w:p w14:paraId="09C45BE7" w14:textId="77777777" w:rsidR="00FF6FA4" w:rsidRPr="004F0BA7" w:rsidRDefault="00FF6FA4" w:rsidP="001F2C4F">
            <w:pPr>
              <w:pStyle w:val="Tabletext"/>
              <w:jc w:val="left"/>
              <w:rPr>
                <w:sz w:val="20"/>
              </w:rPr>
            </w:pPr>
            <w:r w:rsidRPr="004F0BA7">
              <w:rPr>
                <w:sz w:val="20"/>
              </w:rPr>
              <w:t xml:space="preserve">Pourcentage de perte de poursuite attribuée au brouillage entre systèmes </w:t>
            </w:r>
            <w:r w:rsidR="001F032A" w:rsidRPr="004F0BA7">
              <w:rPr>
                <w:sz w:val="20"/>
              </w:rPr>
              <w:br/>
            </w:r>
            <w:r w:rsidRPr="004F0BA7">
              <w:rPr>
                <w:sz w:val="20"/>
              </w:rPr>
              <w:t>(</w:t>
            </w:r>
            <w:r w:rsidRPr="004F0BA7">
              <w:rPr>
                <w:i/>
                <w:sz w:val="20"/>
              </w:rPr>
              <w:t>P%</w:t>
            </w:r>
            <w:r w:rsidRPr="004F0BA7">
              <w:rPr>
                <w:i/>
                <w:sz w:val="20"/>
                <w:vertAlign w:val="subscript"/>
              </w:rPr>
              <w:t>PP-INTERSYSTEMES</w:t>
            </w:r>
            <w:r w:rsidRPr="004F0BA7">
              <w:rPr>
                <w:sz w:val="20"/>
              </w:rPr>
              <w:t>)</w:t>
            </w:r>
          </w:p>
        </w:tc>
        <w:tc>
          <w:tcPr>
            <w:tcW w:w="1280" w:type="dxa"/>
            <w:vAlign w:val="center"/>
          </w:tcPr>
          <w:p w14:paraId="4D0659BA" w14:textId="77777777" w:rsidR="00FF6FA4" w:rsidRPr="004F0BA7" w:rsidRDefault="00FF6FA4" w:rsidP="001F2C4F">
            <w:pPr>
              <w:pStyle w:val="Tabletext"/>
              <w:jc w:val="center"/>
              <w:rPr>
                <w:sz w:val="20"/>
              </w:rPr>
            </w:pPr>
            <w:r w:rsidRPr="004F0BA7">
              <w:rPr>
                <w:sz w:val="20"/>
              </w:rPr>
              <w:t>25%</w:t>
            </w:r>
          </w:p>
        </w:tc>
        <w:tc>
          <w:tcPr>
            <w:tcW w:w="1264" w:type="dxa"/>
            <w:vAlign w:val="center"/>
          </w:tcPr>
          <w:p w14:paraId="07ACFFE1" w14:textId="77777777" w:rsidR="00FF6FA4" w:rsidRPr="004F0BA7" w:rsidRDefault="00FF6FA4" w:rsidP="001F2C4F">
            <w:pPr>
              <w:pStyle w:val="Tabletext"/>
              <w:jc w:val="center"/>
              <w:rPr>
                <w:sz w:val="20"/>
              </w:rPr>
            </w:pPr>
            <w:r w:rsidRPr="004F0BA7">
              <w:rPr>
                <w:sz w:val="20"/>
              </w:rPr>
              <w:t>25%</w:t>
            </w:r>
          </w:p>
        </w:tc>
        <w:tc>
          <w:tcPr>
            <w:tcW w:w="1266" w:type="dxa"/>
            <w:vAlign w:val="center"/>
          </w:tcPr>
          <w:p w14:paraId="12E0FCE9" w14:textId="77777777" w:rsidR="00FF6FA4" w:rsidRPr="004F0BA7" w:rsidRDefault="00FF6FA4" w:rsidP="001F2C4F">
            <w:pPr>
              <w:pStyle w:val="Tabletext"/>
              <w:jc w:val="center"/>
              <w:rPr>
                <w:sz w:val="20"/>
              </w:rPr>
            </w:pPr>
            <w:r w:rsidRPr="004F0BA7">
              <w:rPr>
                <w:sz w:val="20"/>
              </w:rPr>
              <w:t>25%</w:t>
            </w:r>
          </w:p>
        </w:tc>
        <w:tc>
          <w:tcPr>
            <w:tcW w:w="1448" w:type="dxa"/>
            <w:vAlign w:val="center"/>
          </w:tcPr>
          <w:p w14:paraId="5C532386"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1262" w:type="dxa"/>
            <w:vAlign w:val="center"/>
          </w:tcPr>
          <w:p w14:paraId="7C86C450"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997" w:type="dxa"/>
            <w:vAlign w:val="center"/>
          </w:tcPr>
          <w:p w14:paraId="59261BD6" w14:textId="77777777" w:rsidR="00FF6FA4" w:rsidRPr="004F0BA7" w:rsidRDefault="00FF6FA4" w:rsidP="001F2C4F">
            <w:pPr>
              <w:pStyle w:val="Tabletext"/>
              <w:jc w:val="center"/>
              <w:rPr>
                <w:sz w:val="20"/>
              </w:rPr>
            </w:pPr>
            <w:r w:rsidRPr="004F0BA7">
              <w:rPr>
                <w:sz w:val="20"/>
              </w:rPr>
              <w:t>25%</w:t>
            </w:r>
          </w:p>
        </w:tc>
      </w:tr>
      <w:tr w:rsidR="00FF6FA4" w:rsidRPr="004F0BA7" w14:paraId="2E03C765" w14:textId="77777777" w:rsidTr="00175BC1">
        <w:trPr>
          <w:jc w:val="center"/>
        </w:trPr>
        <w:tc>
          <w:tcPr>
            <w:tcW w:w="2122" w:type="dxa"/>
          </w:tcPr>
          <w:p w14:paraId="6A450267" w14:textId="77777777" w:rsidR="00FF6FA4" w:rsidRPr="004F0BA7" w:rsidRDefault="00FF6FA4" w:rsidP="00BA42A4">
            <w:pPr>
              <w:pStyle w:val="Tabletext"/>
              <w:keepNext/>
              <w:keepLines/>
              <w:jc w:val="left"/>
              <w:rPr>
                <w:sz w:val="20"/>
              </w:rPr>
            </w:pPr>
            <w:r w:rsidRPr="004F0BA7">
              <w:rPr>
                <w:sz w:val="20"/>
              </w:rPr>
              <w:t>Pourcentage de temps d'indisponibilité maximale de la liaison (</w:t>
            </w:r>
            <w:r w:rsidRPr="004F0BA7">
              <w:rPr>
                <w:i/>
                <w:sz w:val="20"/>
              </w:rPr>
              <w:t>P%</w:t>
            </w:r>
            <w:proofErr w:type="gramStart"/>
            <w:r w:rsidRPr="004F0BA7">
              <w:rPr>
                <w:i/>
                <w:sz w:val="20"/>
                <w:vertAlign w:val="subscript"/>
              </w:rPr>
              <w:t>TOTAL</w:t>
            </w:r>
            <w:r w:rsidRPr="004F0BA7">
              <w:rPr>
                <w:sz w:val="20"/>
              </w:rPr>
              <w:t>)</w:t>
            </w:r>
            <w:r w:rsidRPr="004F0BA7">
              <w:rPr>
                <w:sz w:val="20"/>
                <w:vertAlign w:val="superscript"/>
              </w:rPr>
              <w:t>(</w:t>
            </w:r>
            <w:proofErr w:type="gramEnd"/>
            <w:r w:rsidRPr="004F0BA7">
              <w:rPr>
                <w:sz w:val="20"/>
                <w:vertAlign w:val="superscript"/>
              </w:rPr>
              <w:t>2)</w:t>
            </w:r>
          </w:p>
        </w:tc>
        <w:tc>
          <w:tcPr>
            <w:tcW w:w="1280" w:type="dxa"/>
            <w:vAlign w:val="center"/>
          </w:tcPr>
          <w:p w14:paraId="747A21D3" w14:textId="77777777" w:rsidR="00FF6FA4" w:rsidRPr="004F0BA7" w:rsidRDefault="00FF6FA4" w:rsidP="00BA42A4">
            <w:pPr>
              <w:pStyle w:val="Tabletext"/>
              <w:keepNext/>
              <w:keepLines/>
              <w:jc w:val="center"/>
              <w:rPr>
                <w:sz w:val="20"/>
              </w:rPr>
            </w:pPr>
            <w:r w:rsidRPr="004F0BA7">
              <w:rPr>
                <w:sz w:val="20"/>
              </w:rPr>
              <w:t>13,5%</w:t>
            </w:r>
          </w:p>
        </w:tc>
        <w:tc>
          <w:tcPr>
            <w:tcW w:w="1264" w:type="dxa"/>
            <w:vAlign w:val="center"/>
          </w:tcPr>
          <w:p w14:paraId="0C7097E3" w14:textId="77777777" w:rsidR="00FF6FA4" w:rsidRPr="004F0BA7" w:rsidRDefault="00FF6FA4" w:rsidP="00BA42A4">
            <w:pPr>
              <w:pStyle w:val="Tabletext"/>
              <w:keepNext/>
              <w:keepLines/>
              <w:jc w:val="center"/>
              <w:rPr>
                <w:sz w:val="20"/>
              </w:rPr>
            </w:pPr>
            <w:r w:rsidRPr="004F0BA7">
              <w:rPr>
                <w:sz w:val="20"/>
              </w:rPr>
              <w:t>2,0%</w:t>
            </w:r>
          </w:p>
        </w:tc>
        <w:tc>
          <w:tcPr>
            <w:tcW w:w="1266" w:type="dxa"/>
            <w:vAlign w:val="center"/>
          </w:tcPr>
          <w:p w14:paraId="567F993C" w14:textId="77777777" w:rsidR="00FF6FA4" w:rsidRPr="004F0BA7" w:rsidRDefault="00FF6FA4" w:rsidP="00BA42A4">
            <w:pPr>
              <w:pStyle w:val="Tabletext"/>
              <w:keepNext/>
              <w:keepLines/>
              <w:jc w:val="center"/>
              <w:rPr>
                <w:sz w:val="20"/>
              </w:rPr>
            </w:pPr>
            <w:r w:rsidRPr="004F0BA7">
              <w:rPr>
                <w:sz w:val="20"/>
              </w:rPr>
              <w:t>1%</w:t>
            </w:r>
          </w:p>
        </w:tc>
        <w:tc>
          <w:tcPr>
            <w:tcW w:w="1448" w:type="dxa"/>
            <w:vAlign w:val="center"/>
          </w:tcPr>
          <w:p w14:paraId="78266E5B" w14:textId="77777777" w:rsidR="00FF6FA4" w:rsidRPr="004F0BA7" w:rsidRDefault="00FF6FA4" w:rsidP="00BA42A4">
            <w:pPr>
              <w:pStyle w:val="Tabletext"/>
              <w:keepNext/>
              <w:keepLines/>
              <w:jc w:val="center"/>
              <w:rPr>
                <w:sz w:val="20"/>
              </w:rPr>
            </w:pPr>
            <w:r w:rsidRPr="004F0BA7">
              <w:rPr>
                <w:sz w:val="20"/>
              </w:rPr>
              <w:t>1%</w:t>
            </w:r>
          </w:p>
        </w:tc>
        <w:tc>
          <w:tcPr>
            <w:tcW w:w="1262" w:type="dxa"/>
            <w:vAlign w:val="center"/>
          </w:tcPr>
          <w:p w14:paraId="756497E9" w14:textId="77777777" w:rsidR="00FF6FA4" w:rsidRPr="004F0BA7" w:rsidRDefault="00FF6FA4" w:rsidP="00BA42A4">
            <w:pPr>
              <w:pStyle w:val="Tabletext"/>
              <w:keepNext/>
              <w:keepLines/>
              <w:jc w:val="center"/>
              <w:rPr>
                <w:sz w:val="20"/>
              </w:rPr>
            </w:pPr>
            <w:r w:rsidRPr="004F0BA7">
              <w:rPr>
                <w:sz w:val="20"/>
              </w:rPr>
              <w:t>1,0%</w:t>
            </w:r>
          </w:p>
        </w:tc>
        <w:tc>
          <w:tcPr>
            <w:tcW w:w="997" w:type="dxa"/>
            <w:vAlign w:val="center"/>
          </w:tcPr>
          <w:p w14:paraId="2F24B36A" w14:textId="77777777" w:rsidR="00FF6FA4" w:rsidRPr="004F0BA7" w:rsidRDefault="00FF6FA4" w:rsidP="00BA42A4">
            <w:pPr>
              <w:pStyle w:val="Tabletext"/>
              <w:keepNext/>
              <w:keepLines/>
              <w:jc w:val="center"/>
              <w:rPr>
                <w:sz w:val="20"/>
              </w:rPr>
            </w:pPr>
            <w:r w:rsidRPr="004F0BA7">
              <w:rPr>
                <w:sz w:val="20"/>
              </w:rPr>
              <w:t>1,0%</w:t>
            </w:r>
          </w:p>
        </w:tc>
      </w:tr>
      <w:tr w:rsidR="00FF6FA4" w:rsidRPr="004F0BA7" w14:paraId="6D06DF37" w14:textId="77777777" w:rsidTr="00175BC1">
        <w:trPr>
          <w:jc w:val="center"/>
        </w:trPr>
        <w:tc>
          <w:tcPr>
            <w:tcW w:w="2122" w:type="dxa"/>
          </w:tcPr>
          <w:p w14:paraId="62053805" w14:textId="77777777" w:rsidR="00FF6FA4" w:rsidRPr="004F0BA7" w:rsidRDefault="00FF6FA4" w:rsidP="00B60B17">
            <w:pPr>
              <w:pStyle w:val="Tabletext"/>
              <w:keepLines/>
              <w:jc w:val="left"/>
              <w:rPr>
                <w:sz w:val="20"/>
              </w:rPr>
            </w:pPr>
            <w:r w:rsidRPr="004F0BA7">
              <w:rPr>
                <w:sz w:val="20"/>
              </w:rPr>
              <w:t>Pourcentage de perte de données attribuée au brouillage</w:t>
            </w:r>
            <w:r w:rsidRPr="004F0BA7">
              <w:rPr>
                <w:sz w:val="20"/>
              </w:rPr>
              <w:br/>
              <w:t>(</w:t>
            </w:r>
            <w:r w:rsidRPr="004F0BA7">
              <w:rPr>
                <w:i/>
                <w:sz w:val="20"/>
              </w:rPr>
              <w:t>P%</w:t>
            </w:r>
            <w:r w:rsidRPr="004F0BA7">
              <w:rPr>
                <w:i/>
                <w:sz w:val="20"/>
                <w:vertAlign w:val="subscript"/>
              </w:rPr>
              <w:t>PD-BROUILLAGE</w:t>
            </w:r>
            <w:r w:rsidRPr="004F0BA7">
              <w:rPr>
                <w:sz w:val="20"/>
              </w:rPr>
              <w:t>)</w:t>
            </w:r>
          </w:p>
        </w:tc>
        <w:tc>
          <w:tcPr>
            <w:tcW w:w="1280" w:type="dxa"/>
            <w:vAlign w:val="center"/>
          </w:tcPr>
          <w:p w14:paraId="7D42F8D8" w14:textId="77777777" w:rsidR="00FF6FA4" w:rsidRPr="004F0BA7" w:rsidRDefault="00FF6FA4" w:rsidP="001F2C4F">
            <w:pPr>
              <w:pStyle w:val="Tabletext"/>
              <w:jc w:val="center"/>
              <w:rPr>
                <w:sz w:val="20"/>
              </w:rPr>
            </w:pPr>
            <w:r w:rsidRPr="004F0BA7">
              <w:rPr>
                <w:sz w:val="20"/>
              </w:rPr>
              <w:t>25%</w:t>
            </w:r>
          </w:p>
        </w:tc>
        <w:tc>
          <w:tcPr>
            <w:tcW w:w="1264" w:type="dxa"/>
            <w:vAlign w:val="center"/>
          </w:tcPr>
          <w:p w14:paraId="0D517F4B" w14:textId="77777777" w:rsidR="00FF6FA4" w:rsidRPr="004F0BA7" w:rsidRDefault="00FF6FA4" w:rsidP="001F2C4F">
            <w:pPr>
              <w:pStyle w:val="Tabletext"/>
              <w:jc w:val="center"/>
              <w:rPr>
                <w:sz w:val="20"/>
              </w:rPr>
            </w:pPr>
            <w:r w:rsidRPr="004F0BA7">
              <w:rPr>
                <w:sz w:val="20"/>
              </w:rPr>
              <w:t>25%</w:t>
            </w:r>
          </w:p>
        </w:tc>
        <w:tc>
          <w:tcPr>
            <w:tcW w:w="1266" w:type="dxa"/>
            <w:vAlign w:val="center"/>
          </w:tcPr>
          <w:p w14:paraId="0A8D0770" w14:textId="77777777" w:rsidR="00FF6FA4" w:rsidRPr="004F0BA7" w:rsidRDefault="00FF6FA4" w:rsidP="001F2C4F">
            <w:pPr>
              <w:pStyle w:val="Tabletext"/>
              <w:jc w:val="center"/>
              <w:rPr>
                <w:sz w:val="20"/>
              </w:rPr>
            </w:pPr>
            <w:r w:rsidRPr="004F0BA7">
              <w:rPr>
                <w:sz w:val="20"/>
              </w:rPr>
              <w:t>25%</w:t>
            </w:r>
          </w:p>
        </w:tc>
        <w:tc>
          <w:tcPr>
            <w:tcW w:w="1448" w:type="dxa"/>
            <w:vAlign w:val="center"/>
          </w:tcPr>
          <w:p w14:paraId="5F630716" w14:textId="77777777" w:rsidR="00FF6FA4" w:rsidRPr="004F0BA7" w:rsidRDefault="00FF6FA4" w:rsidP="001F2C4F">
            <w:pPr>
              <w:pStyle w:val="Tabletext"/>
              <w:jc w:val="center"/>
              <w:rPr>
                <w:sz w:val="20"/>
              </w:rPr>
            </w:pPr>
            <w:r w:rsidRPr="004F0BA7">
              <w:rPr>
                <w:sz w:val="20"/>
              </w:rPr>
              <w:t>25%</w:t>
            </w:r>
          </w:p>
        </w:tc>
        <w:tc>
          <w:tcPr>
            <w:tcW w:w="1262" w:type="dxa"/>
            <w:vAlign w:val="center"/>
          </w:tcPr>
          <w:p w14:paraId="7513C80E" w14:textId="77777777" w:rsidR="00FF6FA4" w:rsidRPr="004F0BA7" w:rsidRDefault="00FF6FA4" w:rsidP="001F2C4F">
            <w:pPr>
              <w:pStyle w:val="Tabletext"/>
              <w:jc w:val="center"/>
              <w:rPr>
                <w:sz w:val="20"/>
              </w:rPr>
            </w:pPr>
            <w:r w:rsidRPr="004F0BA7">
              <w:rPr>
                <w:sz w:val="20"/>
              </w:rPr>
              <w:t>25%</w:t>
            </w:r>
          </w:p>
        </w:tc>
        <w:tc>
          <w:tcPr>
            <w:tcW w:w="997" w:type="dxa"/>
            <w:vAlign w:val="center"/>
          </w:tcPr>
          <w:p w14:paraId="12EEC4F6" w14:textId="77777777" w:rsidR="00FF6FA4" w:rsidRPr="004F0BA7" w:rsidRDefault="00FF6FA4" w:rsidP="001F2C4F">
            <w:pPr>
              <w:pStyle w:val="Tabletext"/>
              <w:jc w:val="center"/>
              <w:rPr>
                <w:sz w:val="20"/>
              </w:rPr>
            </w:pPr>
            <w:r w:rsidRPr="004F0BA7">
              <w:rPr>
                <w:sz w:val="20"/>
              </w:rPr>
              <w:t>25%</w:t>
            </w:r>
          </w:p>
        </w:tc>
      </w:tr>
      <w:tr w:rsidR="00FF6FA4" w:rsidRPr="004F0BA7" w14:paraId="4263295C" w14:textId="77777777" w:rsidTr="00175BC1">
        <w:trPr>
          <w:jc w:val="center"/>
        </w:trPr>
        <w:tc>
          <w:tcPr>
            <w:tcW w:w="2122" w:type="dxa"/>
          </w:tcPr>
          <w:p w14:paraId="3BAE369E" w14:textId="77777777" w:rsidR="00FF6FA4" w:rsidRPr="004F0BA7" w:rsidRDefault="00FF6FA4" w:rsidP="001F2C4F">
            <w:pPr>
              <w:pStyle w:val="Tabletext"/>
              <w:jc w:val="left"/>
              <w:rPr>
                <w:sz w:val="20"/>
              </w:rPr>
            </w:pPr>
            <w:r w:rsidRPr="004F0BA7">
              <w:rPr>
                <w:sz w:val="20"/>
              </w:rPr>
              <w:t>Pourcentage de perte de données attribuée au brouillage entre systèmes (</w:t>
            </w:r>
            <w:r w:rsidRPr="004F0BA7">
              <w:rPr>
                <w:i/>
                <w:sz w:val="20"/>
              </w:rPr>
              <w:t>P%</w:t>
            </w:r>
            <w:r w:rsidRPr="004F0BA7">
              <w:rPr>
                <w:i/>
                <w:sz w:val="20"/>
                <w:vertAlign w:val="subscript"/>
              </w:rPr>
              <w:t>PD</w:t>
            </w:r>
            <w:r w:rsidR="00183EB4" w:rsidRPr="004F0BA7">
              <w:rPr>
                <w:i/>
                <w:sz w:val="20"/>
                <w:vertAlign w:val="subscript"/>
              </w:rPr>
              <w:noBreakHyphen/>
            </w:r>
            <w:r w:rsidRPr="004F0BA7">
              <w:rPr>
                <w:i/>
                <w:sz w:val="20"/>
                <w:vertAlign w:val="subscript"/>
              </w:rPr>
              <w:t>INTERSYSTEMES</w:t>
            </w:r>
            <w:r w:rsidRPr="004F0BA7">
              <w:rPr>
                <w:sz w:val="20"/>
              </w:rPr>
              <w:t>)</w:t>
            </w:r>
          </w:p>
        </w:tc>
        <w:tc>
          <w:tcPr>
            <w:tcW w:w="1280" w:type="dxa"/>
            <w:vAlign w:val="center"/>
          </w:tcPr>
          <w:p w14:paraId="25722C22" w14:textId="77777777" w:rsidR="00FF6FA4" w:rsidRPr="004F0BA7" w:rsidRDefault="00FF6FA4" w:rsidP="001F2C4F">
            <w:pPr>
              <w:pStyle w:val="Tabletext"/>
              <w:jc w:val="center"/>
              <w:rPr>
                <w:sz w:val="20"/>
              </w:rPr>
            </w:pPr>
            <w:r w:rsidRPr="004F0BA7">
              <w:rPr>
                <w:sz w:val="20"/>
              </w:rPr>
              <w:t>25%</w:t>
            </w:r>
          </w:p>
        </w:tc>
        <w:tc>
          <w:tcPr>
            <w:tcW w:w="1264" w:type="dxa"/>
            <w:vAlign w:val="center"/>
          </w:tcPr>
          <w:p w14:paraId="2813DAF0" w14:textId="77777777" w:rsidR="00FF6FA4" w:rsidRPr="004F0BA7" w:rsidRDefault="00FF6FA4" w:rsidP="001F2C4F">
            <w:pPr>
              <w:pStyle w:val="Tabletext"/>
              <w:jc w:val="center"/>
              <w:rPr>
                <w:sz w:val="20"/>
              </w:rPr>
            </w:pPr>
            <w:r w:rsidRPr="004F0BA7">
              <w:rPr>
                <w:sz w:val="20"/>
              </w:rPr>
              <w:t>25%</w:t>
            </w:r>
          </w:p>
        </w:tc>
        <w:tc>
          <w:tcPr>
            <w:tcW w:w="1266" w:type="dxa"/>
            <w:vAlign w:val="center"/>
          </w:tcPr>
          <w:p w14:paraId="1CC2E0B6" w14:textId="77777777" w:rsidR="00FF6FA4" w:rsidRPr="004F0BA7" w:rsidRDefault="00FF6FA4" w:rsidP="001F2C4F">
            <w:pPr>
              <w:pStyle w:val="Tabletext"/>
              <w:jc w:val="center"/>
              <w:rPr>
                <w:sz w:val="20"/>
              </w:rPr>
            </w:pPr>
            <w:r w:rsidRPr="004F0BA7">
              <w:rPr>
                <w:sz w:val="20"/>
              </w:rPr>
              <w:t>25%</w:t>
            </w:r>
          </w:p>
        </w:tc>
        <w:tc>
          <w:tcPr>
            <w:tcW w:w="1448" w:type="dxa"/>
            <w:vAlign w:val="center"/>
          </w:tcPr>
          <w:p w14:paraId="7B337071" w14:textId="77777777" w:rsidR="00FF6FA4" w:rsidRPr="004F0BA7" w:rsidRDefault="00FF6FA4" w:rsidP="001F2C4F">
            <w:pPr>
              <w:pStyle w:val="Tabletext"/>
              <w:jc w:val="center"/>
              <w:rPr>
                <w:sz w:val="20"/>
              </w:rPr>
            </w:pPr>
            <w:r w:rsidRPr="004F0BA7">
              <w:rPr>
                <w:sz w:val="20"/>
              </w:rPr>
              <w:t>25%</w:t>
            </w:r>
          </w:p>
        </w:tc>
        <w:tc>
          <w:tcPr>
            <w:tcW w:w="1262" w:type="dxa"/>
            <w:vAlign w:val="center"/>
          </w:tcPr>
          <w:p w14:paraId="7F6DA671" w14:textId="77777777" w:rsidR="00FF6FA4" w:rsidRPr="004F0BA7" w:rsidRDefault="00FF6FA4" w:rsidP="001F2C4F">
            <w:pPr>
              <w:pStyle w:val="Tabletext"/>
              <w:jc w:val="center"/>
              <w:rPr>
                <w:sz w:val="20"/>
              </w:rPr>
            </w:pPr>
            <w:r w:rsidRPr="004F0BA7">
              <w:rPr>
                <w:sz w:val="20"/>
              </w:rPr>
              <w:t>25%</w:t>
            </w:r>
          </w:p>
        </w:tc>
        <w:tc>
          <w:tcPr>
            <w:tcW w:w="997" w:type="dxa"/>
            <w:vAlign w:val="center"/>
          </w:tcPr>
          <w:p w14:paraId="2C9745F2" w14:textId="77777777" w:rsidR="00FF6FA4" w:rsidRPr="004F0BA7" w:rsidRDefault="00FF6FA4" w:rsidP="001F2C4F">
            <w:pPr>
              <w:pStyle w:val="Tabletext"/>
              <w:jc w:val="center"/>
              <w:rPr>
                <w:sz w:val="20"/>
              </w:rPr>
            </w:pPr>
            <w:r w:rsidRPr="004F0BA7">
              <w:rPr>
                <w:sz w:val="20"/>
              </w:rPr>
              <w:t>25%</w:t>
            </w:r>
          </w:p>
        </w:tc>
      </w:tr>
      <w:tr w:rsidR="00FF6FA4" w:rsidRPr="004F0BA7" w14:paraId="6C3CBC44" w14:textId="77777777" w:rsidTr="00175BC1">
        <w:trPr>
          <w:jc w:val="center"/>
        </w:trPr>
        <w:tc>
          <w:tcPr>
            <w:tcW w:w="2122" w:type="dxa"/>
          </w:tcPr>
          <w:p w14:paraId="71367D18" w14:textId="057A3FCE" w:rsidR="00FF6FA4" w:rsidRPr="004F0BA7" w:rsidRDefault="00FF6FA4" w:rsidP="001F2C4F">
            <w:pPr>
              <w:pStyle w:val="Tabletext"/>
              <w:jc w:val="left"/>
              <w:rPr>
                <w:sz w:val="20"/>
              </w:rPr>
            </w:pPr>
            <w:r w:rsidRPr="004F0BA7">
              <w:rPr>
                <w:sz w:val="20"/>
              </w:rPr>
              <w:t>Pourcentage de temps obtenu pour les critères de brouillage applicables à la perte de verrouillage de phase (</w:t>
            </w:r>
            <w:r w:rsidRPr="004F0BA7">
              <w:rPr>
                <w:i/>
                <w:iCs/>
                <w:sz w:val="20"/>
              </w:rPr>
              <w:t>P%</w:t>
            </w:r>
            <w:r w:rsidRPr="004F0BA7">
              <w:rPr>
                <w:i/>
                <w:iCs/>
                <w:sz w:val="20"/>
                <w:vertAlign w:val="subscript"/>
              </w:rPr>
              <w:t>PERTE</w:t>
            </w:r>
            <w:r w:rsidR="00F42676" w:rsidRPr="004F0BA7">
              <w:rPr>
                <w:i/>
                <w:iCs/>
                <w:sz w:val="20"/>
                <w:vertAlign w:val="subscript"/>
              </w:rPr>
              <w:noBreakHyphen/>
            </w:r>
            <w:r w:rsidRPr="004F0BA7">
              <w:rPr>
                <w:i/>
                <w:iCs/>
                <w:sz w:val="20"/>
                <w:vertAlign w:val="subscript"/>
              </w:rPr>
              <w:t>VERROUILLAGE</w:t>
            </w:r>
            <w:r w:rsidRPr="004F0BA7">
              <w:rPr>
                <w:sz w:val="20"/>
              </w:rPr>
              <w:t xml:space="preserve">) </w:t>
            </w:r>
          </w:p>
        </w:tc>
        <w:tc>
          <w:tcPr>
            <w:tcW w:w="1280" w:type="dxa"/>
            <w:vAlign w:val="center"/>
          </w:tcPr>
          <w:p w14:paraId="5269F748" w14:textId="77777777" w:rsidR="00FF6FA4" w:rsidRPr="004F0BA7" w:rsidRDefault="00FF6FA4" w:rsidP="001F2C4F">
            <w:pPr>
              <w:pStyle w:val="Tabletext"/>
              <w:jc w:val="center"/>
              <w:rPr>
                <w:sz w:val="20"/>
              </w:rPr>
            </w:pPr>
            <w:r w:rsidRPr="004F0BA7">
              <w:rPr>
                <w:sz w:val="20"/>
              </w:rPr>
              <w:t>0,02%</w:t>
            </w:r>
          </w:p>
        </w:tc>
        <w:tc>
          <w:tcPr>
            <w:tcW w:w="1264" w:type="dxa"/>
            <w:vAlign w:val="center"/>
          </w:tcPr>
          <w:p w14:paraId="46405ED8" w14:textId="77777777" w:rsidR="00FF6FA4" w:rsidRPr="004F0BA7" w:rsidRDefault="00FF6FA4" w:rsidP="001F2C4F">
            <w:pPr>
              <w:pStyle w:val="Tabletext"/>
              <w:jc w:val="center"/>
              <w:rPr>
                <w:sz w:val="20"/>
              </w:rPr>
            </w:pPr>
            <w:r w:rsidRPr="004F0BA7">
              <w:rPr>
                <w:sz w:val="20"/>
              </w:rPr>
              <w:t>0,025%</w:t>
            </w:r>
          </w:p>
        </w:tc>
        <w:tc>
          <w:tcPr>
            <w:tcW w:w="1266" w:type="dxa"/>
            <w:vAlign w:val="center"/>
          </w:tcPr>
          <w:p w14:paraId="2E836E92" w14:textId="77777777" w:rsidR="00FF6FA4" w:rsidRPr="004F0BA7" w:rsidRDefault="00FF6FA4" w:rsidP="001F2C4F">
            <w:pPr>
              <w:pStyle w:val="Tabletext"/>
              <w:jc w:val="center"/>
              <w:rPr>
                <w:sz w:val="20"/>
              </w:rPr>
            </w:pPr>
            <w:r w:rsidRPr="004F0BA7">
              <w:rPr>
                <w:sz w:val="20"/>
              </w:rPr>
              <w:t>0,02%</w:t>
            </w:r>
          </w:p>
        </w:tc>
        <w:tc>
          <w:tcPr>
            <w:tcW w:w="1448" w:type="dxa"/>
            <w:vAlign w:val="center"/>
          </w:tcPr>
          <w:p w14:paraId="03359250"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1262" w:type="dxa"/>
            <w:vAlign w:val="center"/>
          </w:tcPr>
          <w:p w14:paraId="393AAE2D" w14:textId="77777777" w:rsidR="00FF6FA4" w:rsidRPr="004F0BA7" w:rsidRDefault="00FF6FA4" w:rsidP="001F2C4F">
            <w:pPr>
              <w:pStyle w:val="Tabletext"/>
              <w:jc w:val="center"/>
              <w:rPr>
                <w:sz w:val="20"/>
              </w:rPr>
            </w:pPr>
            <w:proofErr w:type="spellStart"/>
            <w:proofErr w:type="gramStart"/>
            <w:r w:rsidRPr="004F0BA7">
              <w:rPr>
                <w:sz w:val="20"/>
              </w:rPr>
              <w:t>s.o</w:t>
            </w:r>
            <w:proofErr w:type="spellEnd"/>
            <w:r w:rsidRPr="004F0BA7">
              <w:rPr>
                <w:sz w:val="20"/>
              </w:rPr>
              <w:t>.</w:t>
            </w:r>
            <w:r w:rsidRPr="004F0BA7">
              <w:rPr>
                <w:sz w:val="20"/>
                <w:vertAlign w:val="superscript"/>
              </w:rPr>
              <w:t>(</w:t>
            </w:r>
            <w:proofErr w:type="gramEnd"/>
            <w:r w:rsidRPr="004F0BA7">
              <w:rPr>
                <w:sz w:val="20"/>
                <w:vertAlign w:val="superscript"/>
              </w:rPr>
              <w:t>1)</w:t>
            </w:r>
          </w:p>
        </w:tc>
        <w:tc>
          <w:tcPr>
            <w:tcW w:w="997" w:type="dxa"/>
            <w:vAlign w:val="center"/>
          </w:tcPr>
          <w:p w14:paraId="1B38C726" w14:textId="77777777" w:rsidR="00FF6FA4" w:rsidRPr="004F0BA7" w:rsidRDefault="00FF6FA4" w:rsidP="001F2C4F">
            <w:pPr>
              <w:pStyle w:val="Tabletext"/>
              <w:jc w:val="center"/>
              <w:rPr>
                <w:sz w:val="20"/>
              </w:rPr>
            </w:pPr>
            <w:r w:rsidRPr="004F0BA7">
              <w:rPr>
                <w:sz w:val="20"/>
              </w:rPr>
              <w:t>0,02%</w:t>
            </w:r>
          </w:p>
        </w:tc>
      </w:tr>
      <w:tr w:rsidR="00FF6FA4" w:rsidRPr="004F0BA7" w14:paraId="353D7BE4" w14:textId="77777777" w:rsidTr="00175BC1">
        <w:trPr>
          <w:jc w:val="center"/>
        </w:trPr>
        <w:tc>
          <w:tcPr>
            <w:tcW w:w="2122" w:type="dxa"/>
            <w:tcBorders>
              <w:bottom w:val="single" w:sz="4" w:space="0" w:color="auto"/>
            </w:tcBorders>
          </w:tcPr>
          <w:p w14:paraId="710F7722" w14:textId="77777777" w:rsidR="00FF6FA4" w:rsidRPr="004F0BA7" w:rsidRDefault="00FF6FA4" w:rsidP="001F2C4F">
            <w:pPr>
              <w:pStyle w:val="Tabletext"/>
              <w:keepNext/>
              <w:keepLines/>
              <w:jc w:val="left"/>
              <w:rPr>
                <w:sz w:val="20"/>
              </w:rPr>
            </w:pPr>
            <w:r w:rsidRPr="004F0BA7">
              <w:rPr>
                <w:sz w:val="20"/>
              </w:rPr>
              <w:t xml:space="preserve">Pourcentage de temps obtenu pour les critères de brouillage applicables à la perte de données </w:t>
            </w:r>
            <w:r w:rsidR="001F032A" w:rsidRPr="004F0BA7">
              <w:rPr>
                <w:sz w:val="20"/>
              </w:rPr>
              <w:br/>
            </w:r>
            <w:r w:rsidRPr="004F0BA7">
              <w:rPr>
                <w:sz w:val="20"/>
              </w:rPr>
              <w:t>(</w:t>
            </w:r>
            <w:r w:rsidRPr="004F0BA7">
              <w:rPr>
                <w:i/>
                <w:sz w:val="20"/>
              </w:rPr>
              <w:t>P</w:t>
            </w:r>
            <w:r w:rsidRPr="004F0BA7">
              <w:rPr>
                <w:sz w:val="20"/>
              </w:rPr>
              <w:t>%</w:t>
            </w:r>
            <w:r w:rsidRPr="004F0BA7">
              <w:rPr>
                <w:i/>
                <w:position w:val="-4"/>
                <w:sz w:val="20"/>
                <w:vertAlign w:val="subscript"/>
              </w:rPr>
              <w:t>PERTE-DONNÉES</w:t>
            </w:r>
            <w:r w:rsidRPr="004F0BA7">
              <w:rPr>
                <w:position w:val="-4"/>
                <w:sz w:val="20"/>
              </w:rPr>
              <w:t>)</w:t>
            </w:r>
          </w:p>
        </w:tc>
        <w:tc>
          <w:tcPr>
            <w:tcW w:w="1280" w:type="dxa"/>
            <w:tcBorders>
              <w:bottom w:val="single" w:sz="4" w:space="0" w:color="auto"/>
            </w:tcBorders>
            <w:vAlign w:val="center"/>
          </w:tcPr>
          <w:p w14:paraId="795A4C0F" w14:textId="77777777" w:rsidR="00FF6FA4" w:rsidRPr="004F0BA7" w:rsidRDefault="00FF6FA4" w:rsidP="001F2C4F">
            <w:pPr>
              <w:pStyle w:val="Tabletext"/>
              <w:keepNext/>
              <w:keepLines/>
              <w:jc w:val="center"/>
              <w:rPr>
                <w:sz w:val="20"/>
              </w:rPr>
            </w:pPr>
            <w:r w:rsidRPr="004F0BA7">
              <w:rPr>
                <w:sz w:val="20"/>
              </w:rPr>
              <w:t>0,8%</w:t>
            </w:r>
          </w:p>
        </w:tc>
        <w:tc>
          <w:tcPr>
            <w:tcW w:w="1264" w:type="dxa"/>
            <w:tcBorders>
              <w:bottom w:val="single" w:sz="4" w:space="0" w:color="auto"/>
            </w:tcBorders>
            <w:vAlign w:val="center"/>
          </w:tcPr>
          <w:p w14:paraId="1824CD45" w14:textId="77777777" w:rsidR="00FF6FA4" w:rsidRPr="004F0BA7" w:rsidRDefault="00FF6FA4" w:rsidP="001F2C4F">
            <w:pPr>
              <w:pStyle w:val="Tabletext"/>
              <w:keepNext/>
              <w:keepLines/>
              <w:jc w:val="center"/>
              <w:rPr>
                <w:sz w:val="20"/>
              </w:rPr>
            </w:pPr>
            <w:r w:rsidRPr="004F0BA7">
              <w:rPr>
                <w:sz w:val="20"/>
              </w:rPr>
              <w:t>0,125%</w:t>
            </w:r>
          </w:p>
        </w:tc>
        <w:tc>
          <w:tcPr>
            <w:tcW w:w="1266" w:type="dxa"/>
            <w:tcBorders>
              <w:bottom w:val="single" w:sz="4" w:space="0" w:color="auto"/>
            </w:tcBorders>
            <w:vAlign w:val="center"/>
          </w:tcPr>
          <w:p w14:paraId="56E3803F" w14:textId="77777777" w:rsidR="00FF6FA4" w:rsidRPr="004F0BA7" w:rsidRDefault="00FF6FA4" w:rsidP="001F2C4F">
            <w:pPr>
              <w:pStyle w:val="Tabletext"/>
              <w:keepNext/>
              <w:keepLines/>
              <w:jc w:val="center"/>
              <w:rPr>
                <w:sz w:val="20"/>
              </w:rPr>
            </w:pPr>
            <w:r w:rsidRPr="004F0BA7">
              <w:rPr>
                <w:sz w:val="20"/>
              </w:rPr>
              <w:t>0,2%</w:t>
            </w:r>
          </w:p>
        </w:tc>
        <w:tc>
          <w:tcPr>
            <w:tcW w:w="1448" w:type="dxa"/>
            <w:tcBorders>
              <w:bottom w:val="single" w:sz="4" w:space="0" w:color="auto"/>
            </w:tcBorders>
            <w:vAlign w:val="center"/>
          </w:tcPr>
          <w:p w14:paraId="70BBC2DB" w14:textId="77777777" w:rsidR="00FF6FA4" w:rsidRPr="004F0BA7" w:rsidRDefault="00FF6FA4" w:rsidP="001F2C4F">
            <w:pPr>
              <w:pStyle w:val="Tabletext"/>
              <w:keepNext/>
              <w:keepLines/>
              <w:jc w:val="center"/>
              <w:rPr>
                <w:sz w:val="20"/>
              </w:rPr>
            </w:pPr>
            <w:r w:rsidRPr="004F0BA7">
              <w:rPr>
                <w:sz w:val="20"/>
              </w:rPr>
              <w:t>0,2%</w:t>
            </w:r>
          </w:p>
        </w:tc>
        <w:tc>
          <w:tcPr>
            <w:tcW w:w="1262" w:type="dxa"/>
            <w:tcBorders>
              <w:bottom w:val="single" w:sz="4" w:space="0" w:color="auto"/>
            </w:tcBorders>
            <w:vAlign w:val="center"/>
          </w:tcPr>
          <w:p w14:paraId="6E2F40D2" w14:textId="77777777" w:rsidR="00FF6FA4" w:rsidRPr="004F0BA7" w:rsidRDefault="00FF6FA4" w:rsidP="001F2C4F">
            <w:pPr>
              <w:pStyle w:val="Tabletext"/>
              <w:keepNext/>
              <w:keepLines/>
              <w:jc w:val="center"/>
              <w:rPr>
                <w:sz w:val="20"/>
              </w:rPr>
            </w:pPr>
            <w:r w:rsidRPr="004F0BA7">
              <w:rPr>
                <w:sz w:val="20"/>
              </w:rPr>
              <w:t>0,06%</w:t>
            </w:r>
          </w:p>
        </w:tc>
        <w:tc>
          <w:tcPr>
            <w:tcW w:w="997" w:type="dxa"/>
            <w:tcBorders>
              <w:bottom w:val="single" w:sz="4" w:space="0" w:color="auto"/>
            </w:tcBorders>
            <w:vAlign w:val="center"/>
          </w:tcPr>
          <w:p w14:paraId="25D69C78" w14:textId="77777777" w:rsidR="00FF6FA4" w:rsidRPr="004F0BA7" w:rsidRDefault="00FF6FA4" w:rsidP="001F2C4F">
            <w:pPr>
              <w:pStyle w:val="Tabletext"/>
              <w:keepNext/>
              <w:keepLines/>
              <w:jc w:val="center"/>
              <w:rPr>
                <w:sz w:val="20"/>
              </w:rPr>
            </w:pPr>
            <w:r w:rsidRPr="004F0BA7">
              <w:rPr>
                <w:sz w:val="20"/>
              </w:rPr>
              <w:t>0,06%</w:t>
            </w:r>
          </w:p>
        </w:tc>
      </w:tr>
      <w:tr w:rsidR="00FF6FA4" w:rsidRPr="004F0BA7" w14:paraId="39806204" w14:textId="77777777" w:rsidTr="00104F0D">
        <w:trPr>
          <w:jc w:val="center"/>
        </w:trPr>
        <w:tc>
          <w:tcPr>
            <w:tcW w:w="9639" w:type="dxa"/>
            <w:gridSpan w:val="7"/>
            <w:tcBorders>
              <w:left w:val="nil"/>
              <w:bottom w:val="nil"/>
              <w:right w:val="nil"/>
            </w:tcBorders>
          </w:tcPr>
          <w:p w14:paraId="12C69A92" w14:textId="77777777" w:rsidR="00FF6FA4" w:rsidRPr="004F0BA7" w:rsidRDefault="00FF6FA4" w:rsidP="001F2C4F">
            <w:pPr>
              <w:pStyle w:val="Tablelegend"/>
              <w:rPr>
                <w:sz w:val="20"/>
              </w:rPr>
            </w:pPr>
            <w:proofErr w:type="spellStart"/>
            <w:proofErr w:type="gramStart"/>
            <w:r w:rsidRPr="004F0BA7">
              <w:rPr>
                <w:sz w:val="20"/>
              </w:rPr>
              <w:t>s.o</w:t>
            </w:r>
            <w:proofErr w:type="spellEnd"/>
            <w:r w:rsidRPr="004F0BA7">
              <w:rPr>
                <w:sz w:val="20"/>
              </w:rPr>
              <w:t>.:</w:t>
            </w:r>
            <w:proofErr w:type="gramEnd"/>
            <w:r w:rsidRPr="004F0BA7">
              <w:rPr>
                <w:sz w:val="20"/>
              </w:rPr>
              <w:t xml:space="preserve"> Sans objet.</w:t>
            </w:r>
          </w:p>
          <w:p w14:paraId="6824841D" w14:textId="77777777" w:rsidR="00FF6FA4" w:rsidRPr="004F0BA7" w:rsidRDefault="00FF6FA4" w:rsidP="001F2C4F">
            <w:pPr>
              <w:pStyle w:val="Tablelegend"/>
              <w:rPr>
                <w:sz w:val="20"/>
              </w:rPr>
            </w:pPr>
            <w:r w:rsidRPr="004F0BA7">
              <w:rPr>
                <w:sz w:val="20"/>
                <w:vertAlign w:val="superscript"/>
              </w:rPr>
              <w:t>(1)</w:t>
            </w:r>
            <w:r w:rsidRPr="004F0BA7">
              <w:rPr>
                <w:sz w:val="20"/>
              </w:rPr>
              <w:tab/>
              <w:t xml:space="preserve">Les systèmes dotés antennes </w:t>
            </w:r>
            <w:proofErr w:type="spellStart"/>
            <w:r w:rsidRPr="004F0BA7">
              <w:rPr>
                <w:sz w:val="20"/>
              </w:rPr>
              <w:t>équidirectives</w:t>
            </w:r>
            <w:proofErr w:type="spellEnd"/>
            <w:r w:rsidRPr="004F0BA7">
              <w:rPr>
                <w:sz w:val="20"/>
              </w:rPr>
              <w:t xml:space="preserve"> ne risquent pas de perdre le verrouillage de l'antenne sur le signal en raison d'un brouillage ou d'un évanouissement du signal.</w:t>
            </w:r>
          </w:p>
          <w:p w14:paraId="5BED4BC3" w14:textId="77777777" w:rsidR="00FF6FA4" w:rsidRPr="004F0BA7" w:rsidRDefault="00FF6FA4" w:rsidP="001F2C4F">
            <w:pPr>
              <w:pStyle w:val="Tablelegend"/>
              <w:rPr>
                <w:sz w:val="20"/>
              </w:rPr>
            </w:pPr>
            <w:r w:rsidRPr="004F0BA7">
              <w:rPr>
                <w:sz w:val="20"/>
                <w:vertAlign w:val="superscript"/>
              </w:rPr>
              <w:t>(2)</w:t>
            </w:r>
            <w:r w:rsidRPr="004F0BA7">
              <w:rPr>
                <w:sz w:val="20"/>
              </w:rPr>
              <w:tab/>
              <w:t>Les éléments du présent tableau sont tirés des données relatives à la disponibilité des données sur l'ensemble du vol</w:t>
            </w:r>
            <w:r w:rsidR="001F2C4F" w:rsidRPr="004F0BA7">
              <w:rPr>
                <w:sz w:val="20"/>
              </w:rPr>
              <w:t xml:space="preserve"> figurant dans la Rec.</w:t>
            </w:r>
            <w:r w:rsidRPr="004F0BA7">
              <w:rPr>
                <w:sz w:val="20"/>
              </w:rPr>
              <w:t xml:space="preserve"> UIT-R RS.1165-2.</w:t>
            </w:r>
          </w:p>
        </w:tc>
      </w:tr>
    </w:tbl>
    <w:p w14:paraId="0D3CF5B1" w14:textId="77777777" w:rsidR="00FF6FA4" w:rsidRPr="004F0BA7" w:rsidRDefault="00FF6FA4" w:rsidP="001F2C4F">
      <w:pPr>
        <w:pStyle w:val="Heading1"/>
      </w:pPr>
      <w:bookmarkStart w:id="6" w:name="_Toc393257592"/>
      <w:r w:rsidRPr="004F0BA7">
        <w:t>3</w:t>
      </w:r>
      <w:r w:rsidRPr="004F0BA7">
        <w:tab/>
        <w:t>Analyse des bilans de liaison applicables au service des auxiliaires de la météorologie</w:t>
      </w:r>
      <w:bookmarkEnd w:id="6"/>
    </w:p>
    <w:p w14:paraId="76AA50A7" w14:textId="77777777" w:rsidR="00FF6FA4" w:rsidRPr="004F0BA7" w:rsidRDefault="00FF6FA4" w:rsidP="001F2C4F">
      <w:r w:rsidRPr="004F0BA7">
        <w:t>Les divers types d'auxiliaires de météorologie sont utilisés à des fins différentes et présentent des caractéristiques de système différentes, de sorte que les calculs du bilan de liaison correspondants sont différents. On trouvera dans les Tableaux </w:t>
      </w:r>
      <w:r w:rsidR="001939D5" w:rsidRPr="004F0BA7">
        <w:t xml:space="preserve">5, 6 et 7 </w:t>
      </w:r>
      <w:r w:rsidRPr="004F0BA7">
        <w:t>ci-dessous les calculs du bilan de liaison pour des systèmes représentatifs utilisés dans le monde entier.</w:t>
      </w:r>
    </w:p>
    <w:p w14:paraId="7EE51033" w14:textId="77777777" w:rsidR="00FF6FA4" w:rsidRPr="004F0BA7" w:rsidRDefault="001939D5" w:rsidP="001F2C4F">
      <w:pPr>
        <w:pStyle w:val="TableNo"/>
      </w:pPr>
      <w:r w:rsidRPr="004F0BA7">
        <w:lastRenderedPageBreak/>
        <w:t>TABLEAU 5</w:t>
      </w:r>
    </w:p>
    <w:p w14:paraId="34AB6658" w14:textId="77777777" w:rsidR="00FF6FA4" w:rsidRPr="004F0BA7" w:rsidRDefault="00FF6FA4" w:rsidP="001F2C4F">
      <w:pPr>
        <w:pStyle w:val="Tabletitle"/>
      </w:pPr>
      <w:r w:rsidRPr="004F0BA7">
        <w:t>Calculs du bilan de liaison pour le service des auxiliaires de la météorologie</w:t>
      </w:r>
      <w:r w:rsidR="00C8386C" w:rsidRPr="004F0BA7">
        <w:t xml:space="preserve"> (sauf radiosondes)</w:t>
      </w:r>
      <w:r w:rsidRPr="004F0BA7">
        <w:t xml:space="preserve"> </w:t>
      </w:r>
      <w:r w:rsidRPr="004F0BA7">
        <w:br/>
        <w:t xml:space="preserve">fonctionnant dans la bande </w:t>
      </w:r>
      <w:r w:rsidR="001F2C4F" w:rsidRPr="004F0BA7">
        <w:t xml:space="preserve">de fréquences </w:t>
      </w:r>
      <w:r w:rsidRPr="004F0BA7">
        <w:t>400,15-406 MHz</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528"/>
        <w:gridCol w:w="2694"/>
        <w:gridCol w:w="1559"/>
        <w:gridCol w:w="1134"/>
      </w:tblGrid>
      <w:tr w:rsidR="001939D5" w:rsidRPr="004F0BA7" w14:paraId="23D0A1B9" w14:textId="77777777" w:rsidTr="001939D5">
        <w:trPr>
          <w:trHeight w:val="970"/>
        </w:trPr>
        <w:tc>
          <w:tcPr>
            <w:tcW w:w="4528" w:type="dxa"/>
            <w:vAlign w:val="center"/>
          </w:tcPr>
          <w:p w14:paraId="2E821483" w14:textId="77777777" w:rsidR="001939D5" w:rsidRPr="004F0BA7" w:rsidRDefault="001939D5" w:rsidP="001F2C4F">
            <w:pPr>
              <w:pStyle w:val="Tablehead"/>
            </w:pPr>
            <w:r w:rsidRPr="004F0BA7">
              <w:t xml:space="preserve">Facteur de qualité </w:t>
            </w:r>
            <w:r w:rsidRPr="004F0BA7">
              <w:br/>
              <w:t>de fonctionnement</w:t>
            </w:r>
          </w:p>
        </w:tc>
        <w:tc>
          <w:tcPr>
            <w:tcW w:w="2694" w:type="dxa"/>
            <w:vAlign w:val="center"/>
          </w:tcPr>
          <w:p w14:paraId="4F59B790" w14:textId="77777777" w:rsidR="001939D5" w:rsidRPr="004F0BA7" w:rsidRDefault="001939D5" w:rsidP="001F2C4F">
            <w:pPr>
              <w:pStyle w:val="Tablehead"/>
            </w:pPr>
            <w:proofErr w:type="spellStart"/>
            <w:r w:rsidRPr="004F0BA7">
              <w:t>Catasondes</w:t>
            </w:r>
            <w:proofErr w:type="spellEnd"/>
          </w:p>
        </w:tc>
        <w:tc>
          <w:tcPr>
            <w:tcW w:w="2693" w:type="dxa"/>
            <w:gridSpan w:val="2"/>
            <w:vAlign w:val="center"/>
          </w:tcPr>
          <w:p w14:paraId="3FE3DE36" w14:textId="77777777" w:rsidR="001939D5" w:rsidRPr="004F0BA7" w:rsidRDefault="001939D5" w:rsidP="001F2C4F">
            <w:pPr>
              <w:pStyle w:val="Tablehead"/>
            </w:pPr>
            <w:r w:rsidRPr="004F0BA7">
              <w:t>Fusées-sondes</w:t>
            </w:r>
          </w:p>
        </w:tc>
      </w:tr>
      <w:tr w:rsidR="001939D5" w:rsidRPr="004F0BA7" w14:paraId="77C349C4" w14:textId="77777777" w:rsidTr="001939D5">
        <w:tc>
          <w:tcPr>
            <w:tcW w:w="4528" w:type="dxa"/>
          </w:tcPr>
          <w:p w14:paraId="15D90376" w14:textId="77777777" w:rsidR="001939D5" w:rsidRPr="004F0BA7" w:rsidRDefault="001939D5" w:rsidP="001F2C4F">
            <w:pPr>
              <w:pStyle w:val="Tabletext"/>
            </w:pPr>
            <w:r w:rsidRPr="004F0BA7">
              <w:t>Type de modulation</w:t>
            </w:r>
          </w:p>
        </w:tc>
        <w:tc>
          <w:tcPr>
            <w:tcW w:w="2694" w:type="dxa"/>
          </w:tcPr>
          <w:p w14:paraId="416683C2" w14:textId="77777777" w:rsidR="001939D5" w:rsidRPr="004F0BA7" w:rsidRDefault="001939D5" w:rsidP="001F2C4F">
            <w:pPr>
              <w:pStyle w:val="Tabletext"/>
              <w:jc w:val="center"/>
            </w:pPr>
            <w:r w:rsidRPr="004F0BA7">
              <w:t>MF</w:t>
            </w:r>
          </w:p>
        </w:tc>
        <w:tc>
          <w:tcPr>
            <w:tcW w:w="2693" w:type="dxa"/>
            <w:gridSpan w:val="2"/>
          </w:tcPr>
          <w:p w14:paraId="14D984AB" w14:textId="77777777" w:rsidR="001939D5" w:rsidRPr="004F0BA7" w:rsidRDefault="001939D5" w:rsidP="001F2C4F">
            <w:pPr>
              <w:pStyle w:val="Tabletext"/>
              <w:jc w:val="center"/>
            </w:pPr>
            <w:r w:rsidRPr="004F0BA7">
              <w:t>MA</w:t>
            </w:r>
          </w:p>
        </w:tc>
      </w:tr>
      <w:tr w:rsidR="001939D5" w:rsidRPr="004F0BA7" w14:paraId="4BB01F57" w14:textId="77777777" w:rsidTr="001939D5">
        <w:tc>
          <w:tcPr>
            <w:tcW w:w="4528" w:type="dxa"/>
          </w:tcPr>
          <w:p w14:paraId="19F1E682" w14:textId="77777777" w:rsidR="001939D5" w:rsidRPr="004F0BA7" w:rsidRDefault="001939D5" w:rsidP="001F2C4F">
            <w:pPr>
              <w:pStyle w:val="Tabletext"/>
            </w:pPr>
            <w:r w:rsidRPr="004F0BA7">
              <w:t>Gamme de fréquences (MHz)</w:t>
            </w:r>
          </w:p>
        </w:tc>
        <w:tc>
          <w:tcPr>
            <w:tcW w:w="5387" w:type="dxa"/>
            <w:gridSpan w:val="3"/>
          </w:tcPr>
          <w:p w14:paraId="7024B7E7" w14:textId="77777777" w:rsidR="001939D5" w:rsidRPr="004F0BA7" w:rsidRDefault="001939D5" w:rsidP="001F2C4F">
            <w:pPr>
              <w:pStyle w:val="Tabletext"/>
              <w:jc w:val="center"/>
            </w:pPr>
            <w:r w:rsidRPr="004F0BA7">
              <w:t>400,15-406</w:t>
            </w:r>
          </w:p>
        </w:tc>
      </w:tr>
      <w:tr w:rsidR="001939D5" w:rsidRPr="004F0BA7" w14:paraId="3A515AAD" w14:textId="77777777" w:rsidTr="001939D5">
        <w:tc>
          <w:tcPr>
            <w:tcW w:w="4528" w:type="dxa"/>
          </w:tcPr>
          <w:p w14:paraId="3EAF215A" w14:textId="77777777" w:rsidR="001939D5" w:rsidRPr="004F0BA7" w:rsidRDefault="001939D5" w:rsidP="001F2C4F">
            <w:pPr>
              <w:pStyle w:val="Tabletext"/>
            </w:pPr>
            <w:r w:rsidRPr="004F0BA7">
              <w:t>Pourcentage de temps ne devant pas être dépassé (%)</w:t>
            </w:r>
          </w:p>
        </w:tc>
        <w:tc>
          <w:tcPr>
            <w:tcW w:w="2694" w:type="dxa"/>
          </w:tcPr>
          <w:p w14:paraId="5F9F3DE1" w14:textId="77777777" w:rsidR="001939D5" w:rsidRPr="004F0BA7" w:rsidRDefault="001939D5" w:rsidP="001F2C4F">
            <w:pPr>
              <w:pStyle w:val="Tabletext"/>
              <w:jc w:val="center"/>
            </w:pPr>
            <w:r w:rsidRPr="004F0BA7">
              <w:t xml:space="preserve">0,06 </w:t>
            </w:r>
            <w:r w:rsidRPr="004F0BA7">
              <w:br/>
              <w:t>Perte de données</w:t>
            </w:r>
          </w:p>
        </w:tc>
        <w:tc>
          <w:tcPr>
            <w:tcW w:w="1559" w:type="dxa"/>
          </w:tcPr>
          <w:p w14:paraId="7B15C5D0" w14:textId="77777777" w:rsidR="001939D5" w:rsidRPr="004F0BA7" w:rsidRDefault="001939D5" w:rsidP="001F2C4F">
            <w:pPr>
              <w:pStyle w:val="Tabletext"/>
              <w:jc w:val="center"/>
            </w:pPr>
            <w:r w:rsidRPr="004F0BA7">
              <w:t xml:space="preserve">0,02 Perte de verrouillage </w:t>
            </w:r>
            <w:r w:rsidRPr="004F0BA7">
              <w:br/>
              <w:t>de phase</w:t>
            </w:r>
          </w:p>
        </w:tc>
        <w:tc>
          <w:tcPr>
            <w:tcW w:w="1134" w:type="dxa"/>
          </w:tcPr>
          <w:p w14:paraId="0D52BE0B" w14:textId="77777777" w:rsidR="001939D5" w:rsidRPr="004F0BA7" w:rsidRDefault="001939D5" w:rsidP="001F2C4F">
            <w:pPr>
              <w:pStyle w:val="Tabletext"/>
              <w:jc w:val="center"/>
            </w:pPr>
            <w:r w:rsidRPr="004F0BA7">
              <w:t>0,06</w:t>
            </w:r>
            <w:r w:rsidRPr="004F0BA7">
              <w:br/>
              <w:t xml:space="preserve">Perte de </w:t>
            </w:r>
            <w:r w:rsidRPr="004F0BA7">
              <w:br/>
              <w:t>données</w:t>
            </w:r>
          </w:p>
        </w:tc>
      </w:tr>
      <w:tr w:rsidR="001939D5" w:rsidRPr="004F0BA7" w14:paraId="559717DE" w14:textId="77777777" w:rsidTr="001939D5">
        <w:tc>
          <w:tcPr>
            <w:tcW w:w="4528" w:type="dxa"/>
          </w:tcPr>
          <w:p w14:paraId="5E107EE7" w14:textId="77777777" w:rsidR="001939D5" w:rsidRPr="004F0BA7" w:rsidRDefault="001939D5" w:rsidP="001F2C4F">
            <w:pPr>
              <w:pStyle w:val="Tabletext"/>
              <w:jc w:val="left"/>
            </w:pPr>
            <w:r w:rsidRPr="004F0BA7">
              <w:t>Puissance de sortie de l'émetteur (</w:t>
            </w:r>
            <w:proofErr w:type="spellStart"/>
            <w:r w:rsidRPr="004F0BA7">
              <w:t>dBW</w:t>
            </w:r>
            <w:proofErr w:type="spellEnd"/>
            <w:r w:rsidRPr="004F0BA7">
              <w:t>)</w:t>
            </w:r>
          </w:p>
        </w:tc>
        <w:tc>
          <w:tcPr>
            <w:tcW w:w="2694" w:type="dxa"/>
          </w:tcPr>
          <w:p w14:paraId="39E15EE0" w14:textId="77777777" w:rsidR="001939D5" w:rsidRPr="004F0BA7" w:rsidRDefault="00FB5A56" w:rsidP="001F2C4F">
            <w:pPr>
              <w:pStyle w:val="Tabletext"/>
              <w:jc w:val="center"/>
            </w:pPr>
            <w:r w:rsidRPr="004F0BA7">
              <w:t>−</w:t>
            </w:r>
            <w:r w:rsidR="001939D5" w:rsidRPr="004F0BA7">
              <w:t>8,5</w:t>
            </w:r>
          </w:p>
        </w:tc>
        <w:tc>
          <w:tcPr>
            <w:tcW w:w="2693" w:type="dxa"/>
            <w:gridSpan w:val="2"/>
          </w:tcPr>
          <w:p w14:paraId="160193FD" w14:textId="77777777" w:rsidR="001939D5" w:rsidRPr="004F0BA7" w:rsidRDefault="00FB5A56" w:rsidP="001F2C4F">
            <w:pPr>
              <w:pStyle w:val="Tabletext"/>
              <w:jc w:val="center"/>
            </w:pPr>
            <w:r w:rsidRPr="004F0BA7">
              <w:t>−</w:t>
            </w:r>
            <w:r w:rsidR="001939D5" w:rsidRPr="004F0BA7">
              <w:t>5,2</w:t>
            </w:r>
          </w:p>
        </w:tc>
      </w:tr>
      <w:tr w:rsidR="001939D5" w:rsidRPr="004F0BA7" w14:paraId="049D7477" w14:textId="77777777" w:rsidTr="001939D5">
        <w:tc>
          <w:tcPr>
            <w:tcW w:w="4528" w:type="dxa"/>
          </w:tcPr>
          <w:p w14:paraId="207B7A04" w14:textId="77777777" w:rsidR="001939D5" w:rsidRPr="004F0BA7" w:rsidRDefault="001939D5" w:rsidP="001F2C4F">
            <w:pPr>
              <w:pStyle w:val="Tabletext"/>
              <w:jc w:val="left"/>
            </w:pPr>
            <w:r w:rsidRPr="004F0BA7">
              <w:t>Gain d'antenne moyen (</w:t>
            </w:r>
            <w:proofErr w:type="spellStart"/>
            <w:r w:rsidRPr="004F0BA7">
              <w:t>dBi</w:t>
            </w:r>
            <w:proofErr w:type="spellEnd"/>
            <w:r w:rsidRPr="004F0BA7">
              <w:t>)</w:t>
            </w:r>
          </w:p>
        </w:tc>
        <w:tc>
          <w:tcPr>
            <w:tcW w:w="2694" w:type="dxa"/>
          </w:tcPr>
          <w:p w14:paraId="3C04A12D" w14:textId="77777777" w:rsidR="001939D5" w:rsidRPr="004F0BA7" w:rsidRDefault="001939D5" w:rsidP="001F2C4F">
            <w:pPr>
              <w:pStyle w:val="Tabletext"/>
              <w:jc w:val="center"/>
            </w:pPr>
            <w:r w:rsidRPr="004F0BA7">
              <w:t>2,0</w:t>
            </w:r>
          </w:p>
        </w:tc>
        <w:tc>
          <w:tcPr>
            <w:tcW w:w="2693" w:type="dxa"/>
            <w:gridSpan w:val="2"/>
          </w:tcPr>
          <w:p w14:paraId="18A81E41" w14:textId="77777777" w:rsidR="001939D5" w:rsidRPr="004F0BA7" w:rsidRDefault="001939D5" w:rsidP="001F2C4F">
            <w:pPr>
              <w:pStyle w:val="Tabletext"/>
              <w:jc w:val="center"/>
            </w:pPr>
            <w:r w:rsidRPr="004F0BA7">
              <w:t>0,0</w:t>
            </w:r>
          </w:p>
        </w:tc>
      </w:tr>
      <w:tr w:rsidR="001939D5" w:rsidRPr="004F0BA7" w14:paraId="6F7C721E" w14:textId="77777777" w:rsidTr="001939D5">
        <w:tc>
          <w:tcPr>
            <w:tcW w:w="4528" w:type="dxa"/>
          </w:tcPr>
          <w:p w14:paraId="2789AC55" w14:textId="77777777" w:rsidR="001939D5" w:rsidRPr="004F0BA7" w:rsidRDefault="001939D5" w:rsidP="001F2C4F">
            <w:pPr>
              <w:pStyle w:val="Tabletext"/>
              <w:jc w:val="left"/>
            </w:pPr>
            <w:proofErr w:type="spellStart"/>
            <w:r w:rsidRPr="004F0BA7">
              <w:t>p.i.r.e</w:t>
            </w:r>
            <w:proofErr w:type="spellEnd"/>
            <w:r w:rsidRPr="004F0BA7">
              <w:t>. de l'émetteur (</w:t>
            </w:r>
            <w:proofErr w:type="spellStart"/>
            <w:r w:rsidRPr="004F0BA7">
              <w:t>dBW</w:t>
            </w:r>
            <w:proofErr w:type="spellEnd"/>
            <w:r w:rsidRPr="004F0BA7">
              <w:t>)</w:t>
            </w:r>
          </w:p>
        </w:tc>
        <w:tc>
          <w:tcPr>
            <w:tcW w:w="2694" w:type="dxa"/>
          </w:tcPr>
          <w:p w14:paraId="67A50E12" w14:textId="77777777" w:rsidR="001939D5" w:rsidRPr="004F0BA7" w:rsidRDefault="00FB5A56" w:rsidP="001F2C4F">
            <w:pPr>
              <w:pStyle w:val="Tabletext"/>
              <w:jc w:val="center"/>
            </w:pPr>
            <w:r w:rsidRPr="004F0BA7">
              <w:t>−</w:t>
            </w:r>
            <w:r w:rsidR="001939D5" w:rsidRPr="004F0BA7">
              <w:t>6,5</w:t>
            </w:r>
          </w:p>
        </w:tc>
        <w:tc>
          <w:tcPr>
            <w:tcW w:w="2693" w:type="dxa"/>
            <w:gridSpan w:val="2"/>
          </w:tcPr>
          <w:p w14:paraId="4219B689" w14:textId="77777777" w:rsidR="001939D5" w:rsidRPr="004F0BA7" w:rsidRDefault="00FB5A56" w:rsidP="001F2C4F">
            <w:pPr>
              <w:pStyle w:val="Tabletext"/>
              <w:jc w:val="center"/>
            </w:pPr>
            <w:r w:rsidRPr="004F0BA7">
              <w:t>−</w:t>
            </w:r>
            <w:r w:rsidR="001939D5" w:rsidRPr="004F0BA7">
              <w:t>5,2</w:t>
            </w:r>
          </w:p>
        </w:tc>
      </w:tr>
      <w:tr w:rsidR="001939D5" w:rsidRPr="004F0BA7" w14:paraId="5145A66B" w14:textId="77777777" w:rsidTr="001939D5">
        <w:tc>
          <w:tcPr>
            <w:tcW w:w="4528" w:type="dxa"/>
          </w:tcPr>
          <w:p w14:paraId="1432ECA0" w14:textId="77777777" w:rsidR="001939D5" w:rsidRPr="004F0BA7" w:rsidRDefault="001939D5" w:rsidP="001F2C4F">
            <w:pPr>
              <w:pStyle w:val="Tabletext"/>
              <w:jc w:val="left"/>
            </w:pPr>
            <w:r w:rsidRPr="004F0BA7">
              <w:t>Longueur maximale de la liaison (km)</w:t>
            </w:r>
          </w:p>
        </w:tc>
        <w:tc>
          <w:tcPr>
            <w:tcW w:w="2694" w:type="dxa"/>
          </w:tcPr>
          <w:p w14:paraId="00AC7631" w14:textId="77777777" w:rsidR="001939D5" w:rsidRPr="004F0BA7" w:rsidRDefault="001939D5" w:rsidP="001F2C4F">
            <w:pPr>
              <w:pStyle w:val="Tabletext"/>
              <w:jc w:val="center"/>
            </w:pPr>
            <w:r w:rsidRPr="004F0BA7">
              <w:t>350</w:t>
            </w:r>
          </w:p>
        </w:tc>
        <w:tc>
          <w:tcPr>
            <w:tcW w:w="2693" w:type="dxa"/>
            <w:gridSpan w:val="2"/>
          </w:tcPr>
          <w:p w14:paraId="733EF4E3" w14:textId="77777777" w:rsidR="001939D5" w:rsidRPr="004F0BA7" w:rsidRDefault="001939D5" w:rsidP="001F2C4F">
            <w:pPr>
              <w:pStyle w:val="Tabletext"/>
              <w:jc w:val="center"/>
            </w:pPr>
            <w:r w:rsidRPr="004F0BA7">
              <w:t>70</w:t>
            </w:r>
          </w:p>
        </w:tc>
      </w:tr>
      <w:tr w:rsidR="001939D5" w:rsidRPr="004F0BA7" w14:paraId="2C50E168" w14:textId="77777777" w:rsidTr="001939D5">
        <w:tc>
          <w:tcPr>
            <w:tcW w:w="4528" w:type="dxa"/>
          </w:tcPr>
          <w:p w14:paraId="780E4949" w14:textId="77777777" w:rsidR="001939D5" w:rsidRPr="004F0BA7" w:rsidRDefault="001939D5" w:rsidP="001F2C4F">
            <w:pPr>
              <w:pStyle w:val="Tabletext"/>
              <w:jc w:val="left"/>
            </w:pPr>
            <w:r w:rsidRPr="004F0BA7">
              <w:t>Affaiblissement sur le trajet en espace libre (dB)</w:t>
            </w:r>
          </w:p>
        </w:tc>
        <w:tc>
          <w:tcPr>
            <w:tcW w:w="2694" w:type="dxa"/>
          </w:tcPr>
          <w:p w14:paraId="571E5D5E" w14:textId="77777777" w:rsidR="001939D5" w:rsidRPr="004F0BA7" w:rsidRDefault="001939D5" w:rsidP="001F2C4F">
            <w:pPr>
              <w:pStyle w:val="Tabletext"/>
              <w:jc w:val="center"/>
            </w:pPr>
            <w:r w:rsidRPr="004F0BA7">
              <w:t>135,4</w:t>
            </w:r>
          </w:p>
        </w:tc>
        <w:tc>
          <w:tcPr>
            <w:tcW w:w="2693" w:type="dxa"/>
            <w:gridSpan w:val="2"/>
          </w:tcPr>
          <w:p w14:paraId="42F0D60F" w14:textId="77777777" w:rsidR="001939D5" w:rsidRPr="004F0BA7" w:rsidRDefault="001939D5" w:rsidP="001F2C4F">
            <w:pPr>
              <w:pStyle w:val="Tabletext"/>
              <w:jc w:val="center"/>
            </w:pPr>
            <w:r w:rsidRPr="004F0BA7">
              <w:t>121,4</w:t>
            </w:r>
          </w:p>
        </w:tc>
      </w:tr>
      <w:tr w:rsidR="001939D5" w:rsidRPr="004F0BA7" w14:paraId="52046AED" w14:textId="77777777" w:rsidTr="001939D5">
        <w:tc>
          <w:tcPr>
            <w:tcW w:w="4528" w:type="dxa"/>
          </w:tcPr>
          <w:p w14:paraId="35E41219" w14:textId="77777777" w:rsidR="001939D5" w:rsidRPr="004F0BA7" w:rsidRDefault="001939D5" w:rsidP="001F2C4F">
            <w:pPr>
              <w:pStyle w:val="Tabletext"/>
              <w:jc w:val="left"/>
            </w:pPr>
            <w:r w:rsidRPr="004F0BA7">
              <w:t>Affaiblissement supplémentaire sur le trajet (pluie, évanouissements, etc.) (dB)</w:t>
            </w:r>
          </w:p>
        </w:tc>
        <w:tc>
          <w:tcPr>
            <w:tcW w:w="2694" w:type="dxa"/>
          </w:tcPr>
          <w:p w14:paraId="09970F38" w14:textId="77777777" w:rsidR="001939D5" w:rsidRPr="004F0BA7" w:rsidRDefault="001939D5" w:rsidP="001F2C4F">
            <w:pPr>
              <w:pStyle w:val="Tabletext"/>
              <w:jc w:val="center"/>
            </w:pPr>
            <w:r w:rsidRPr="004F0BA7">
              <w:t>4,0</w:t>
            </w:r>
          </w:p>
        </w:tc>
        <w:tc>
          <w:tcPr>
            <w:tcW w:w="2693" w:type="dxa"/>
            <w:gridSpan w:val="2"/>
          </w:tcPr>
          <w:p w14:paraId="032F8B6C" w14:textId="77777777" w:rsidR="001939D5" w:rsidRPr="004F0BA7" w:rsidRDefault="001939D5" w:rsidP="001F2C4F">
            <w:pPr>
              <w:pStyle w:val="Tabletext"/>
              <w:jc w:val="center"/>
            </w:pPr>
            <w:r w:rsidRPr="004F0BA7">
              <w:t>0,25</w:t>
            </w:r>
          </w:p>
        </w:tc>
      </w:tr>
      <w:tr w:rsidR="001939D5" w:rsidRPr="004F0BA7" w14:paraId="68B0C51A" w14:textId="77777777" w:rsidTr="001939D5">
        <w:tc>
          <w:tcPr>
            <w:tcW w:w="4528" w:type="dxa"/>
          </w:tcPr>
          <w:p w14:paraId="0E86E4E3" w14:textId="77777777" w:rsidR="001939D5" w:rsidRPr="004F0BA7" w:rsidRDefault="001939D5" w:rsidP="001F2C4F">
            <w:pPr>
              <w:pStyle w:val="Tabletext"/>
              <w:jc w:val="left"/>
            </w:pPr>
            <w:r w:rsidRPr="004F0BA7">
              <w:t>Gain d'antenne de la station au sol (</w:t>
            </w:r>
            <w:proofErr w:type="spellStart"/>
            <w:r w:rsidRPr="004F0BA7">
              <w:t>dBi</w:t>
            </w:r>
            <w:proofErr w:type="spellEnd"/>
            <w:r w:rsidRPr="004F0BA7">
              <w:t>)</w:t>
            </w:r>
          </w:p>
        </w:tc>
        <w:tc>
          <w:tcPr>
            <w:tcW w:w="2694" w:type="dxa"/>
          </w:tcPr>
          <w:p w14:paraId="68079A53" w14:textId="77777777" w:rsidR="001939D5" w:rsidRPr="004F0BA7" w:rsidRDefault="001939D5" w:rsidP="001F2C4F">
            <w:pPr>
              <w:pStyle w:val="Tabletext"/>
              <w:jc w:val="center"/>
            </w:pPr>
            <w:r w:rsidRPr="004F0BA7">
              <w:t>0,0</w:t>
            </w:r>
          </w:p>
        </w:tc>
        <w:tc>
          <w:tcPr>
            <w:tcW w:w="2693" w:type="dxa"/>
            <w:gridSpan w:val="2"/>
          </w:tcPr>
          <w:p w14:paraId="06B85565" w14:textId="77777777" w:rsidR="001939D5" w:rsidRPr="004F0BA7" w:rsidRDefault="001939D5" w:rsidP="001F2C4F">
            <w:pPr>
              <w:pStyle w:val="Tabletext"/>
              <w:jc w:val="center"/>
            </w:pPr>
            <w:r w:rsidRPr="004F0BA7">
              <w:t>20</w:t>
            </w:r>
          </w:p>
        </w:tc>
      </w:tr>
      <w:tr w:rsidR="001939D5" w:rsidRPr="004F0BA7" w14:paraId="0608A071" w14:textId="77777777" w:rsidTr="001939D5">
        <w:tc>
          <w:tcPr>
            <w:tcW w:w="4528" w:type="dxa"/>
          </w:tcPr>
          <w:p w14:paraId="6086663D" w14:textId="77777777" w:rsidR="001939D5" w:rsidRPr="004F0BA7" w:rsidRDefault="001939D5" w:rsidP="001F2C4F">
            <w:pPr>
              <w:pStyle w:val="Tabletext"/>
              <w:jc w:val="left"/>
            </w:pPr>
            <w:r w:rsidRPr="004F0BA7">
              <w:t>Erreur de pointage de l'antenne de la station au sol (dB)</w:t>
            </w:r>
          </w:p>
        </w:tc>
        <w:tc>
          <w:tcPr>
            <w:tcW w:w="2694" w:type="dxa"/>
          </w:tcPr>
          <w:p w14:paraId="1F0D0C4D" w14:textId="77777777" w:rsidR="001939D5" w:rsidRPr="004F0BA7" w:rsidRDefault="001939D5" w:rsidP="001F2C4F">
            <w:pPr>
              <w:pStyle w:val="Tabletext"/>
              <w:jc w:val="center"/>
            </w:pPr>
            <w:r w:rsidRPr="004F0BA7">
              <w:t>0,0</w:t>
            </w:r>
          </w:p>
        </w:tc>
        <w:tc>
          <w:tcPr>
            <w:tcW w:w="2693" w:type="dxa"/>
            <w:gridSpan w:val="2"/>
          </w:tcPr>
          <w:p w14:paraId="529DAD27" w14:textId="77777777" w:rsidR="001939D5" w:rsidRPr="004F0BA7" w:rsidRDefault="001939D5" w:rsidP="001F2C4F">
            <w:pPr>
              <w:pStyle w:val="Tabletext"/>
              <w:jc w:val="center"/>
            </w:pPr>
            <w:r w:rsidRPr="004F0BA7">
              <w:t>0,5</w:t>
            </w:r>
          </w:p>
        </w:tc>
      </w:tr>
      <w:tr w:rsidR="001939D5" w:rsidRPr="004F0BA7" w14:paraId="762C34DC" w14:textId="77777777" w:rsidTr="001939D5">
        <w:tc>
          <w:tcPr>
            <w:tcW w:w="4528" w:type="dxa"/>
          </w:tcPr>
          <w:p w14:paraId="13FFB86A" w14:textId="77777777" w:rsidR="001939D5" w:rsidRPr="004F0BA7" w:rsidRDefault="001939D5" w:rsidP="001F2C4F">
            <w:pPr>
              <w:pStyle w:val="Tabletext"/>
              <w:jc w:val="left"/>
            </w:pPr>
            <w:r w:rsidRPr="004F0BA7">
              <w:t>Affaiblissement dans le système de réception (alimentation d'antennes, câbles, etc.) (dB)</w:t>
            </w:r>
          </w:p>
        </w:tc>
        <w:tc>
          <w:tcPr>
            <w:tcW w:w="2694" w:type="dxa"/>
          </w:tcPr>
          <w:p w14:paraId="5452782C" w14:textId="77777777" w:rsidR="001939D5" w:rsidRPr="004F0BA7" w:rsidRDefault="001939D5" w:rsidP="001F2C4F">
            <w:pPr>
              <w:pStyle w:val="Tabletext"/>
              <w:jc w:val="center"/>
            </w:pPr>
            <w:r w:rsidRPr="004F0BA7">
              <w:t>0,0</w:t>
            </w:r>
          </w:p>
        </w:tc>
        <w:tc>
          <w:tcPr>
            <w:tcW w:w="2693" w:type="dxa"/>
            <w:gridSpan w:val="2"/>
          </w:tcPr>
          <w:p w14:paraId="7AD91CA1" w14:textId="77777777" w:rsidR="001939D5" w:rsidRPr="004F0BA7" w:rsidRDefault="001939D5" w:rsidP="001F2C4F">
            <w:pPr>
              <w:pStyle w:val="Tabletext"/>
              <w:jc w:val="center"/>
            </w:pPr>
            <w:r w:rsidRPr="004F0BA7">
              <w:t>2,0</w:t>
            </w:r>
          </w:p>
        </w:tc>
      </w:tr>
      <w:tr w:rsidR="001939D5" w:rsidRPr="004F0BA7" w14:paraId="29C154F5" w14:textId="77777777" w:rsidTr="001939D5">
        <w:tc>
          <w:tcPr>
            <w:tcW w:w="4528" w:type="dxa"/>
          </w:tcPr>
          <w:p w14:paraId="18F4DD2D" w14:textId="77777777" w:rsidR="001939D5" w:rsidRPr="004F0BA7" w:rsidRDefault="001939D5" w:rsidP="001F2C4F">
            <w:pPr>
              <w:pStyle w:val="Tabletext"/>
              <w:jc w:val="left"/>
            </w:pPr>
            <w:r w:rsidRPr="004F0BA7">
              <w:t>Affaiblissement par défaut d'adaptation de la polarisation (dB)</w:t>
            </w:r>
          </w:p>
        </w:tc>
        <w:tc>
          <w:tcPr>
            <w:tcW w:w="2694" w:type="dxa"/>
          </w:tcPr>
          <w:p w14:paraId="04D5C791" w14:textId="77777777" w:rsidR="001939D5" w:rsidRPr="004F0BA7" w:rsidRDefault="001939D5" w:rsidP="001F2C4F">
            <w:pPr>
              <w:pStyle w:val="Tabletext"/>
              <w:jc w:val="center"/>
            </w:pPr>
            <w:r w:rsidRPr="004F0BA7">
              <w:t>0,0</w:t>
            </w:r>
          </w:p>
        </w:tc>
        <w:tc>
          <w:tcPr>
            <w:tcW w:w="2693" w:type="dxa"/>
            <w:gridSpan w:val="2"/>
          </w:tcPr>
          <w:p w14:paraId="1855AC57" w14:textId="77777777" w:rsidR="001939D5" w:rsidRPr="004F0BA7" w:rsidRDefault="001939D5" w:rsidP="001F2C4F">
            <w:pPr>
              <w:pStyle w:val="Tabletext"/>
              <w:jc w:val="center"/>
            </w:pPr>
            <w:r w:rsidRPr="004F0BA7">
              <w:t>0,5</w:t>
            </w:r>
          </w:p>
        </w:tc>
      </w:tr>
      <w:tr w:rsidR="001939D5" w:rsidRPr="004F0BA7" w14:paraId="3BE730FB" w14:textId="77777777" w:rsidTr="001939D5">
        <w:tc>
          <w:tcPr>
            <w:tcW w:w="4528" w:type="dxa"/>
          </w:tcPr>
          <w:p w14:paraId="78E4FC30" w14:textId="77777777" w:rsidR="001939D5" w:rsidRPr="004F0BA7" w:rsidRDefault="001939D5" w:rsidP="001F2C4F">
            <w:pPr>
              <w:pStyle w:val="Tabletext"/>
              <w:jc w:val="left"/>
            </w:pPr>
            <w:r w:rsidRPr="004F0BA7">
              <w:t>Puissance du signal reçu (</w:t>
            </w:r>
            <w:proofErr w:type="spellStart"/>
            <w:r w:rsidRPr="004F0BA7">
              <w:t>dBW</w:t>
            </w:r>
            <w:proofErr w:type="spellEnd"/>
            <w:r w:rsidRPr="004F0BA7">
              <w:t>)</w:t>
            </w:r>
          </w:p>
        </w:tc>
        <w:tc>
          <w:tcPr>
            <w:tcW w:w="2694" w:type="dxa"/>
          </w:tcPr>
          <w:p w14:paraId="03ABBEB1" w14:textId="77777777" w:rsidR="001939D5" w:rsidRPr="004F0BA7" w:rsidRDefault="00FB5A56" w:rsidP="001F2C4F">
            <w:pPr>
              <w:pStyle w:val="Tabletext"/>
              <w:jc w:val="center"/>
            </w:pPr>
            <w:r w:rsidRPr="004F0BA7">
              <w:t>−</w:t>
            </w:r>
            <w:r w:rsidR="001939D5" w:rsidRPr="004F0BA7">
              <w:t>145,9</w:t>
            </w:r>
          </w:p>
        </w:tc>
        <w:tc>
          <w:tcPr>
            <w:tcW w:w="2693" w:type="dxa"/>
            <w:gridSpan w:val="2"/>
          </w:tcPr>
          <w:p w14:paraId="6EBF4C83" w14:textId="77777777" w:rsidR="001939D5" w:rsidRPr="004F0BA7" w:rsidRDefault="00FB5A56" w:rsidP="001F2C4F">
            <w:pPr>
              <w:pStyle w:val="Tabletext"/>
              <w:jc w:val="center"/>
            </w:pPr>
            <w:r w:rsidRPr="004F0BA7">
              <w:t>−</w:t>
            </w:r>
            <w:r w:rsidR="001939D5" w:rsidRPr="004F0BA7">
              <w:t>109,85</w:t>
            </w:r>
          </w:p>
        </w:tc>
      </w:tr>
      <w:tr w:rsidR="001939D5" w:rsidRPr="004F0BA7" w14:paraId="4B6A9268" w14:textId="77777777" w:rsidTr="001939D5">
        <w:tc>
          <w:tcPr>
            <w:tcW w:w="4528" w:type="dxa"/>
          </w:tcPr>
          <w:p w14:paraId="2F4EDC89" w14:textId="77777777" w:rsidR="001939D5" w:rsidRPr="004F0BA7" w:rsidRDefault="001939D5" w:rsidP="001F2C4F">
            <w:pPr>
              <w:pStyle w:val="Tabletext"/>
              <w:jc w:val="left"/>
            </w:pPr>
            <w:r w:rsidRPr="004F0BA7">
              <w:t>Largeur de bande de référence du récepteur (kHz)</w:t>
            </w:r>
          </w:p>
        </w:tc>
        <w:tc>
          <w:tcPr>
            <w:tcW w:w="2694" w:type="dxa"/>
          </w:tcPr>
          <w:p w14:paraId="7F6F34F4" w14:textId="77777777" w:rsidR="001939D5" w:rsidRPr="004F0BA7" w:rsidRDefault="001939D5" w:rsidP="001F2C4F">
            <w:pPr>
              <w:pStyle w:val="Tabletext"/>
              <w:jc w:val="center"/>
            </w:pPr>
            <w:r w:rsidRPr="004F0BA7">
              <w:t>20</w:t>
            </w:r>
          </w:p>
        </w:tc>
        <w:tc>
          <w:tcPr>
            <w:tcW w:w="2693" w:type="dxa"/>
            <w:gridSpan w:val="2"/>
          </w:tcPr>
          <w:p w14:paraId="684F75E4" w14:textId="77777777" w:rsidR="001939D5" w:rsidRPr="004F0BA7" w:rsidRDefault="001939D5" w:rsidP="001F2C4F">
            <w:pPr>
              <w:pStyle w:val="Tabletext"/>
              <w:jc w:val="center"/>
            </w:pPr>
            <w:r w:rsidRPr="004F0BA7">
              <w:t>3 000</w:t>
            </w:r>
          </w:p>
        </w:tc>
      </w:tr>
      <w:tr w:rsidR="001939D5" w:rsidRPr="004F0BA7" w14:paraId="07C24130" w14:textId="77777777" w:rsidTr="001939D5">
        <w:tc>
          <w:tcPr>
            <w:tcW w:w="4528" w:type="dxa"/>
          </w:tcPr>
          <w:p w14:paraId="527F6CCF" w14:textId="77777777" w:rsidR="001939D5" w:rsidRPr="004F0BA7" w:rsidRDefault="001939D5" w:rsidP="001F2C4F">
            <w:pPr>
              <w:pStyle w:val="Tabletext"/>
              <w:jc w:val="left"/>
            </w:pPr>
            <w:r w:rsidRPr="004F0BA7">
              <w:t>Largeur de bande de référence (</w:t>
            </w:r>
            <w:proofErr w:type="spellStart"/>
            <w:r w:rsidRPr="004F0BA7">
              <w:t>dBHz</w:t>
            </w:r>
            <w:proofErr w:type="spellEnd"/>
            <w:r w:rsidRPr="004F0BA7">
              <w:t>)</w:t>
            </w:r>
          </w:p>
        </w:tc>
        <w:tc>
          <w:tcPr>
            <w:tcW w:w="2694" w:type="dxa"/>
          </w:tcPr>
          <w:p w14:paraId="7D7E108B" w14:textId="77777777" w:rsidR="001939D5" w:rsidRPr="004F0BA7" w:rsidRDefault="001939D5" w:rsidP="001F2C4F">
            <w:pPr>
              <w:pStyle w:val="Tabletext"/>
              <w:jc w:val="center"/>
            </w:pPr>
            <w:r w:rsidRPr="004F0BA7">
              <w:t>42,5</w:t>
            </w:r>
          </w:p>
        </w:tc>
        <w:tc>
          <w:tcPr>
            <w:tcW w:w="2693" w:type="dxa"/>
            <w:gridSpan w:val="2"/>
          </w:tcPr>
          <w:p w14:paraId="684DB268" w14:textId="77777777" w:rsidR="001939D5" w:rsidRPr="004F0BA7" w:rsidRDefault="001939D5" w:rsidP="001F2C4F">
            <w:pPr>
              <w:pStyle w:val="Tabletext"/>
              <w:jc w:val="center"/>
            </w:pPr>
            <w:r w:rsidRPr="004F0BA7">
              <w:t>64,8</w:t>
            </w:r>
          </w:p>
        </w:tc>
      </w:tr>
      <w:tr w:rsidR="001939D5" w:rsidRPr="004F0BA7" w14:paraId="25366557" w14:textId="77777777" w:rsidTr="001939D5">
        <w:tc>
          <w:tcPr>
            <w:tcW w:w="4528" w:type="dxa"/>
          </w:tcPr>
          <w:p w14:paraId="424B7626" w14:textId="77777777" w:rsidR="001939D5" w:rsidRPr="004F0BA7" w:rsidRDefault="00B60B17" w:rsidP="001F2C4F">
            <w:pPr>
              <w:pStyle w:val="Tabletext"/>
              <w:jc w:val="left"/>
            </w:pPr>
            <w:r w:rsidRPr="004F0BA7">
              <w:t>É</w:t>
            </w:r>
            <w:r w:rsidR="001939D5" w:rsidRPr="004F0BA7">
              <w:t xml:space="preserve">nergie reçue par Hz, </w:t>
            </w:r>
            <w:r w:rsidR="001939D5" w:rsidRPr="004F0BA7">
              <w:rPr>
                <w:i/>
                <w:iCs/>
              </w:rPr>
              <w:t>C</w:t>
            </w:r>
            <w:r w:rsidR="001939D5" w:rsidRPr="004F0BA7">
              <w:rPr>
                <w:vertAlign w:val="subscript"/>
              </w:rPr>
              <w:t>0</w:t>
            </w:r>
            <w:r w:rsidR="001939D5" w:rsidRPr="004F0BA7">
              <w:rPr>
                <w:i/>
                <w:iCs/>
              </w:rPr>
              <w:t xml:space="preserve"> </w:t>
            </w:r>
            <w:r w:rsidR="001939D5" w:rsidRPr="004F0BA7">
              <w:t>(dB(W/Hz))</w:t>
            </w:r>
          </w:p>
        </w:tc>
        <w:tc>
          <w:tcPr>
            <w:tcW w:w="2694" w:type="dxa"/>
          </w:tcPr>
          <w:p w14:paraId="640073FB" w14:textId="77777777" w:rsidR="001939D5" w:rsidRPr="004F0BA7" w:rsidRDefault="00FB5A56" w:rsidP="001F2C4F">
            <w:pPr>
              <w:pStyle w:val="Tabletext"/>
              <w:jc w:val="center"/>
            </w:pPr>
            <w:r w:rsidRPr="004F0BA7">
              <w:t>−</w:t>
            </w:r>
            <w:r w:rsidR="001939D5" w:rsidRPr="004F0BA7">
              <w:t>188,4</w:t>
            </w:r>
          </w:p>
        </w:tc>
        <w:tc>
          <w:tcPr>
            <w:tcW w:w="2693" w:type="dxa"/>
            <w:gridSpan w:val="2"/>
          </w:tcPr>
          <w:p w14:paraId="006E5EC5" w14:textId="27B3652A" w:rsidR="001939D5" w:rsidRPr="004F0BA7" w:rsidRDefault="007A163D" w:rsidP="001F2C4F">
            <w:pPr>
              <w:pStyle w:val="Tabletext"/>
              <w:jc w:val="center"/>
            </w:pPr>
            <w:r w:rsidRPr="004F0BA7">
              <w:t>–</w:t>
            </w:r>
            <w:r w:rsidR="001939D5" w:rsidRPr="004F0BA7">
              <w:t>174,65</w:t>
            </w:r>
          </w:p>
        </w:tc>
      </w:tr>
      <w:tr w:rsidR="001939D5" w:rsidRPr="004F0BA7" w14:paraId="1CD47CE5" w14:textId="77777777" w:rsidTr="001939D5">
        <w:tc>
          <w:tcPr>
            <w:tcW w:w="4528" w:type="dxa"/>
          </w:tcPr>
          <w:p w14:paraId="32DA6FCF" w14:textId="77777777" w:rsidR="001939D5" w:rsidRPr="004F0BA7" w:rsidRDefault="001939D5" w:rsidP="001F2C4F">
            <w:pPr>
              <w:pStyle w:val="Tabletext"/>
              <w:jc w:val="left"/>
            </w:pPr>
            <w:r w:rsidRPr="004F0BA7">
              <w:t>Température de bruit du système de réception (K)</w:t>
            </w:r>
          </w:p>
        </w:tc>
        <w:tc>
          <w:tcPr>
            <w:tcW w:w="2694" w:type="dxa"/>
          </w:tcPr>
          <w:p w14:paraId="010015D5" w14:textId="77777777" w:rsidR="001939D5" w:rsidRPr="004F0BA7" w:rsidRDefault="001939D5" w:rsidP="001F2C4F">
            <w:pPr>
              <w:pStyle w:val="Tabletext"/>
              <w:jc w:val="center"/>
            </w:pPr>
            <w:r w:rsidRPr="004F0BA7">
              <w:t>410</w:t>
            </w:r>
          </w:p>
        </w:tc>
        <w:tc>
          <w:tcPr>
            <w:tcW w:w="2693" w:type="dxa"/>
            <w:gridSpan w:val="2"/>
          </w:tcPr>
          <w:p w14:paraId="7B523BFE" w14:textId="77777777" w:rsidR="001939D5" w:rsidRPr="004F0BA7" w:rsidRDefault="001939D5" w:rsidP="001F2C4F">
            <w:pPr>
              <w:pStyle w:val="Tabletext"/>
              <w:jc w:val="center"/>
            </w:pPr>
            <w:r w:rsidRPr="004F0BA7">
              <w:t>738</w:t>
            </w:r>
          </w:p>
        </w:tc>
      </w:tr>
      <w:tr w:rsidR="001939D5" w:rsidRPr="004F0BA7" w14:paraId="1AEF8845" w14:textId="77777777" w:rsidTr="001939D5">
        <w:tc>
          <w:tcPr>
            <w:tcW w:w="4528" w:type="dxa"/>
          </w:tcPr>
          <w:p w14:paraId="1EC81CF5" w14:textId="77777777" w:rsidR="001939D5" w:rsidRPr="004F0BA7" w:rsidRDefault="001939D5" w:rsidP="001F2C4F">
            <w:pPr>
              <w:pStyle w:val="Tabletext"/>
              <w:jc w:val="left"/>
            </w:pPr>
            <w:r w:rsidRPr="004F0BA7">
              <w:t>Puissance de bruit du système de réception (</w:t>
            </w:r>
            <w:proofErr w:type="spellStart"/>
            <w:r w:rsidRPr="004F0BA7">
              <w:t>dBW</w:t>
            </w:r>
            <w:proofErr w:type="spellEnd"/>
            <w:r w:rsidRPr="004F0BA7">
              <w:t>)</w:t>
            </w:r>
          </w:p>
        </w:tc>
        <w:tc>
          <w:tcPr>
            <w:tcW w:w="2694" w:type="dxa"/>
          </w:tcPr>
          <w:p w14:paraId="7E0BAC94" w14:textId="77777777" w:rsidR="001939D5" w:rsidRPr="004F0BA7" w:rsidRDefault="00FB5A56" w:rsidP="001F2C4F">
            <w:pPr>
              <w:pStyle w:val="Tabletext"/>
              <w:jc w:val="center"/>
            </w:pPr>
            <w:r w:rsidRPr="004F0BA7">
              <w:t>−</w:t>
            </w:r>
            <w:r w:rsidR="001939D5" w:rsidRPr="004F0BA7">
              <w:t>160</w:t>
            </w:r>
          </w:p>
        </w:tc>
        <w:tc>
          <w:tcPr>
            <w:tcW w:w="2693" w:type="dxa"/>
            <w:gridSpan w:val="2"/>
          </w:tcPr>
          <w:p w14:paraId="20E8B835" w14:textId="77777777" w:rsidR="001939D5" w:rsidRPr="004F0BA7" w:rsidRDefault="00FB5A56" w:rsidP="001F2C4F">
            <w:pPr>
              <w:pStyle w:val="Tabletext"/>
              <w:jc w:val="center"/>
            </w:pPr>
            <w:r w:rsidRPr="004F0BA7">
              <w:t>−</w:t>
            </w:r>
            <w:r w:rsidR="001939D5" w:rsidRPr="004F0BA7">
              <w:t>165</w:t>
            </w:r>
          </w:p>
        </w:tc>
      </w:tr>
      <w:tr w:rsidR="001939D5" w:rsidRPr="004F0BA7" w14:paraId="72ACCF0F" w14:textId="77777777" w:rsidTr="001939D5">
        <w:tc>
          <w:tcPr>
            <w:tcW w:w="4528" w:type="dxa"/>
          </w:tcPr>
          <w:p w14:paraId="724B8FB0" w14:textId="77777777" w:rsidR="001939D5" w:rsidRPr="004F0BA7" w:rsidRDefault="001939D5" w:rsidP="001F2C4F">
            <w:pPr>
              <w:pStyle w:val="Tabletext"/>
              <w:jc w:val="left"/>
            </w:pPr>
            <w:r w:rsidRPr="004F0BA7">
              <w:t>Densité spe</w:t>
            </w:r>
            <w:r w:rsidR="00BA42A4" w:rsidRPr="004F0BA7">
              <w:t>ctrale de bruit du récepteur,</w:t>
            </w:r>
            <w:r w:rsidR="00BA42A4" w:rsidRPr="004F0BA7">
              <w:br/>
            </w:r>
            <w:r w:rsidR="00BA42A4" w:rsidRPr="004F0BA7">
              <w:rPr>
                <w:i/>
                <w:iCs/>
              </w:rPr>
              <w:t>N</w:t>
            </w:r>
            <w:r w:rsidR="00BA42A4" w:rsidRPr="004F0BA7">
              <w:rPr>
                <w:vertAlign w:val="subscript"/>
              </w:rPr>
              <w:t>0</w:t>
            </w:r>
            <w:r w:rsidRPr="004F0BA7">
              <w:t xml:space="preserve"> (dB(W/Hz))</w:t>
            </w:r>
          </w:p>
        </w:tc>
        <w:tc>
          <w:tcPr>
            <w:tcW w:w="2694" w:type="dxa"/>
          </w:tcPr>
          <w:p w14:paraId="57D43DDC" w14:textId="77777777" w:rsidR="001939D5" w:rsidRPr="004F0BA7" w:rsidRDefault="00FB5A56" w:rsidP="001F2C4F">
            <w:pPr>
              <w:pStyle w:val="Tabletext"/>
              <w:jc w:val="center"/>
            </w:pPr>
            <w:r w:rsidRPr="004F0BA7">
              <w:t>−</w:t>
            </w:r>
            <w:r w:rsidR="001939D5" w:rsidRPr="004F0BA7">
              <w:t>202,5</w:t>
            </w:r>
          </w:p>
        </w:tc>
        <w:tc>
          <w:tcPr>
            <w:tcW w:w="2693" w:type="dxa"/>
            <w:gridSpan w:val="2"/>
          </w:tcPr>
          <w:p w14:paraId="0456028F" w14:textId="77777777" w:rsidR="001939D5" w:rsidRPr="004F0BA7" w:rsidRDefault="00FB5A56" w:rsidP="001F2C4F">
            <w:pPr>
              <w:pStyle w:val="Tabletext"/>
              <w:jc w:val="center"/>
            </w:pPr>
            <w:r w:rsidRPr="004F0BA7">
              <w:t>−</w:t>
            </w:r>
            <w:r w:rsidR="001939D5" w:rsidRPr="004F0BA7">
              <w:t>200,5</w:t>
            </w:r>
          </w:p>
        </w:tc>
      </w:tr>
      <w:tr w:rsidR="001939D5" w:rsidRPr="004F0BA7" w14:paraId="230055A2" w14:textId="77777777" w:rsidTr="001939D5">
        <w:tc>
          <w:tcPr>
            <w:tcW w:w="4528" w:type="dxa"/>
          </w:tcPr>
          <w:p w14:paraId="6A906B9B" w14:textId="77777777" w:rsidR="001939D5" w:rsidRPr="004F0BA7" w:rsidRDefault="001939D5" w:rsidP="001F2C4F">
            <w:pPr>
              <w:pStyle w:val="Tabletext"/>
              <w:jc w:val="left"/>
            </w:pPr>
            <w:r w:rsidRPr="004F0BA7">
              <w:rPr>
                <w:i/>
                <w:iCs/>
              </w:rPr>
              <w:t>C</w:t>
            </w:r>
            <w:r w:rsidRPr="004F0BA7">
              <w:rPr>
                <w:vertAlign w:val="subscript"/>
              </w:rPr>
              <w:t>0</w:t>
            </w:r>
            <w:r w:rsidRPr="004F0BA7">
              <w:rPr>
                <w:i/>
                <w:iCs/>
              </w:rPr>
              <w:t>/N</w:t>
            </w:r>
            <w:r w:rsidRPr="004F0BA7">
              <w:rPr>
                <w:vertAlign w:val="subscript"/>
              </w:rPr>
              <w:t>0</w:t>
            </w:r>
            <w:r w:rsidRPr="004F0BA7">
              <w:t xml:space="preserve"> minimal (dB)</w:t>
            </w:r>
          </w:p>
        </w:tc>
        <w:tc>
          <w:tcPr>
            <w:tcW w:w="2694" w:type="dxa"/>
          </w:tcPr>
          <w:p w14:paraId="417D0E92" w14:textId="77777777" w:rsidR="001939D5" w:rsidRPr="004F0BA7" w:rsidRDefault="001939D5" w:rsidP="001F2C4F">
            <w:pPr>
              <w:pStyle w:val="Tabletext"/>
              <w:jc w:val="center"/>
            </w:pPr>
            <w:r w:rsidRPr="004F0BA7">
              <w:t>12</w:t>
            </w:r>
          </w:p>
        </w:tc>
        <w:tc>
          <w:tcPr>
            <w:tcW w:w="1559" w:type="dxa"/>
          </w:tcPr>
          <w:p w14:paraId="75A4DB24" w14:textId="77777777" w:rsidR="001939D5" w:rsidRPr="004F0BA7" w:rsidRDefault="001939D5" w:rsidP="001F2C4F">
            <w:pPr>
              <w:pStyle w:val="Tabletext"/>
              <w:jc w:val="center"/>
            </w:pPr>
            <w:r w:rsidRPr="004F0BA7">
              <w:t>7</w:t>
            </w:r>
          </w:p>
        </w:tc>
        <w:tc>
          <w:tcPr>
            <w:tcW w:w="1134" w:type="dxa"/>
          </w:tcPr>
          <w:p w14:paraId="5077E7B1" w14:textId="77777777" w:rsidR="001939D5" w:rsidRPr="004F0BA7" w:rsidRDefault="001939D5" w:rsidP="001F2C4F">
            <w:pPr>
              <w:pStyle w:val="Tabletext"/>
              <w:jc w:val="center"/>
            </w:pPr>
            <w:r w:rsidRPr="004F0BA7">
              <w:t>12</w:t>
            </w:r>
          </w:p>
        </w:tc>
      </w:tr>
      <w:tr w:rsidR="001939D5" w:rsidRPr="004F0BA7" w14:paraId="4842EABF" w14:textId="77777777" w:rsidTr="001939D5">
        <w:tc>
          <w:tcPr>
            <w:tcW w:w="4528" w:type="dxa"/>
          </w:tcPr>
          <w:p w14:paraId="5EE1E3A5" w14:textId="77777777" w:rsidR="001939D5" w:rsidRPr="004F0BA7" w:rsidRDefault="001939D5" w:rsidP="001F2C4F">
            <w:pPr>
              <w:pStyle w:val="Tabletext"/>
              <w:jc w:val="left"/>
            </w:pPr>
            <w:r w:rsidRPr="004F0BA7">
              <w:rPr>
                <w:i/>
                <w:iCs/>
              </w:rPr>
              <w:t>C</w:t>
            </w:r>
            <w:r w:rsidRPr="004F0BA7">
              <w:rPr>
                <w:vertAlign w:val="subscript"/>
              </w:rPr>
              <w:t>0</w:t>
            </w:r>
            <w:r w:rsidR="00022F94" w:rsidRPr="004F0BA7">
              <w:rPr>
                <w:i/>
                <w:iCs/>
              </w:rPr>
              <w:t>/</w:t>
            </w:r>
            <w:r w:rsidRPr="004F0BA7">
              <w:rPr>
                <w:i/>
                <w:iCs/>
              </w:rPr>
              <w:t>N</w:t>
            </w:r>
            <w:r w:rsidRPr="004F0BA7">
              <w:rPr>
                <w:vertAlign w:val="subscript"/>
              </w:rPr>
              <w:t>0</w:t>
            </w:r>
            <w:r w:rsidRPr="004F0BA7">
              <w:t xml:space="preserve"> effectif pour le vol (dB)</w:t>
            </w:r>
          </w:p>
        </w:tc>
        <w:tc>
          <w:tcPr>
            <w:tcW w:w="2694" w:type="dxa"/>
          </w:tcPr>
          <w:p w14:paraId="1AE708D6" w14:textId="77777777" w:rsidR="001939D5" w:rsidRPr="004F0BA7" w:rsidRDefault="001939D5" w:rsidP="001F2C4F">
            <w:pPr>
              <w:pStyle w:val="Tabletext"/>
              <w:jc w:val="center"/>
            </w:pPr>
            <w:r w:rsidRPr="004F0BA7">
              <w:t>14,1</w:t>
            </w:r>
          </w:p>
        </w:tc>
        <w:tc>
          <w:tcPr>
            <w:tcW w:w="2693" w:type="dxa"/>
            <w:gridSpan w:val="2"/>
          </w:tcPr>
          <w:p w14:paraId="2C4AAFB1" w14:textId="77777777" w:rsidR="001939D5" w:rsidRPr="004F0BA7" w:rsidRDefault="001939D5" w:rsidP="001F2C4F">
            <w:pPr>
              <w:pStyle w:val="Tabletext"/>
              <w:jc w:val="center"/>
            </w:pPr>
            <w:r w:rsidRPr="004F0BA7">
              <w:t>25,8</w:t>
            </w:r>
          </w:p>
        </w:tc>
      </w:tr>
      <w:tr w:rsidR="001939D5" w:rsidRPr="004F0BA7" w14:paraId="27A037D0" w14:textId="77777777" w:rsidTr="001939D5">
        <w:tc>
          <w:tcPr>
            <w:tcW w:w="4528" w:type="dxa"/>
          </w:tcPr>
          <w:p w14:paraId="4A348C3C" w14:textId="77777777" w:rsidR="001939D5" w:rsidRPr="004F0BA7" w:rsidRDefault="001939D5" w:rsidP="001F2C4F">
            <w:pPr>
              <w:pStyle w:val="Tabletext"/>
              <w:jc w:val="left"/>
            </w:pPr>
            <w:r w:rsidRPr="004F0BA7">
              <w:t>Marge (dB)</w:t>
            </w:r>
          </w:p>
        </w:tc>
        <w:tc>
          <w:tcPr>
            <w:tcW w:w="2694" w:type="dxa"/>
          </w:tcPr>
          <w:p w14:paraId="5CF4B462" w14:textId="77777777" w:rsidR="001939D5" w:rsidRPr="004F0BA7" w:rsidRDefault="001939D5" w:rsidP="001F2C4F">
            <w:pPr>
              <w:pStyle w:val="Tabletext"/>
              <w:jc w:val="center"/>
            </w:pPr>
            <w:r w:rsidRPr="004F0BA7">
              <w:t>2,1</w:t>
            </w:r>
          </w:p>
        </w:tc>
        <w:tc>
          <w:tcPr>
            <w:tcW w:w="1559" w:type="dxa"/>
          </w:tcPr>
          <w:p w14:paraId="32B90498" w14:textId="77777777" w:rsidR="001939D5" w:rsidRPr="004F0BA7" w:rsidRDefault="001939D5" w:rsidP="001F2C4F">
            <w:pPr>
              <w:pStyle w:val="Tabletext"/>
              <w:jc w:val="center"/>
            </w:pPr>
            <w:r w:rsidRPr="004F0BA7">
              <w:t>18,9</w:t>
            </w:r>
          </w:p>
        </w:tc>
        <w:tc>
          <w:tcPr>
            <w:tcW w:w="1134" w:type="dxa"/>
          </w:tcPr>
          <w:p w14:paraId="7EF211C2" w14:textId="77777777" w:rsidR="001939D5" w:rsidRPr="004F0BA7" w:rsidRDefault="001939D5" w:rsidP="001F2C4F">
            <w:pPr>
              <w:pStyle w:val="Tabletext"/>
              <w:jc w:val="center"/>
            </w:pPr>
            <w:r w:rsidRPr="004F0BA7">
              <w:t>13,8</w:t>
            </w:r>
          </w:p>
        </w:tc>
      </w:tr>
    </w:tbl>
    <w:p w14:paraId="4889F59D" w14:textId="77777777" w:rsidR="00175BC1" w:rsidRPr="004F0BA7" w:rsidRDefault="00175BC1" w:rsidP="00571BD5">
      <w:pPr>
        <w:sectPr w:rsidR="00175BC1" w:rsidRPr="004F0BA7" w:rsidSect="004A547D">
          <w:headerReference w:type="even" r:id="rId20"/>
          <w:pgSz w:w="11907" w:h="16834" w:code="9"/>
          <w:pgMar w:top="1418" w:right="1134" w:bottom="1134" w:left="1134" w:header="720" w:footer="482" w:gutter="0"/>
          <w:pgNumType w:start="1"/>
          <w:cols w:space="720"/>
        </w:sectPr>
      </w:pPr>
    </w:p>
    <w:p w14:paraId="6FA053B6" w14:textId="77777777" w:rsidR="001939D5" w:rsidRPr="004F0BA7" w:rsidRDefault="001939D5" w:rsidP="001F2C4F">
      <w:pPr>
        <w:pStyle w:val="TableNo"/>
      </w:pPr>
      <w:r w:rsidRPr="004F0BA7">
        <w:lastRenderedPageBreak/>
        <w:t>TABLEAU 6</w:t>
      </w:r>
    </w:p>
    <w:p w14:paraId="74B8587D" w14:textId="77777777" w:rsidR="00FF6FA4" w:rsidRPr="004F0BA7" w:rsidRDefault="00FF6FA4" w:rsidP="001F2C4F">
      <w:pPr>
        <w:pStyle w:val="Tabletitle"/>
      </w:pPr>
      <w:r w:rsidRPr="004F0BA7">
        <w:t>Calculs du bilan de liaison pour le</w:t>
      </w:r>
      <w:r w:rsidR="00C8386C" w:rsidRPr="004F0BA7">
        <w:t>s radiosondes du</w:t>
      </w:r>
      <w:r w:rsidRPr="004F0BA7">
        <w:t xml:space="preserve"> service des auxiliaires de la météorologie </w:t>
      </w:r>
      <w:r w:rsidRPr="004F0BA7">
        <w:br/>
        <w:t xml:space="preserve">fonctionnant dans la bande </w:t>
      </w:r>
      <w:r w:rsidR="001F2C4F" w:rsidRPr="004F0BA7">
        <w:t xml:space="preserve">de fréquences </w:t>
      </w:r>
      <w:r w:rsidR="00C8386C" w:rsidRPr="004F0BA7">
        <w:t>400,15-406</w:t>
      </w:r>
      <w:r w:rsidRPr="004F0BA7">
        <w:t xml:space="preserve"> MHz</w:t>
      </w:r>
    </w:p>
    <w:tbl>
      <w:tblPr>
        <w:tblW w:w="14459" w:type="dxa"/>
        <w:jc w:val="center"/>
        <w:tblLayout w:type="fixed"/>
        <w:tblLook w:val="04A0" w:firstRow="1" w:lastRow="0" w:firstColumn="1" w:lastColumn="0" w:noHBand="0" w:noVBand="1"/>
      </w:tblPr>
      <w:tblGrid>
        <w:gridCol w:w="3550"/>
        <w:gridCol w:w="1492"/>
        <w:gridCol w:w="1154"/>
        <w:gridCol w:w="1154"/>
        <w:gridCol w:w="1582"/>
        <w:gridCol w:w="1154"/>
        <w:gridCol w:w="1296"/>
        <w:gridCol w:w="1585"/>
        <w:gridCol w:w="1492"/>
      </w:tblGrid>
      <w:tr w:rsidR="00175BC1" w:rsidRPr="004F0BA7" w14:paraId="50891776" w14:textId="77777777" w:rsidTr="00E3273C">
        <w:trPr>
          <w:trHeight w:hRule="exact" w:val="576"/>
          <w:tblHeader/>
          <w:jc w:val="center"/>
        </w:trPr>
        <w:tc>
          <w:tcPr>
            <w:tcW w:w="122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F27987D" w14:textId="77777777" w:rsidR="00830864" w:rsidRPr="004F0BA7" w:rsidRDefault="00830864" w:rsidP="00BF2F25">
            <w:pPr>
              <w:pStyle w:val="Tablehead"/>
              <w:jc w:val="left"/>
            </w:pPr>
            <w:r w:rsidRPr="004F0BA7">
              <w:t>Type</w:t>
            </w:r>
            <w:r w:rsidR="001F2C4F" w:rsidRPr="004F0BA7">
              <w:t xml:space="preserve"> de systè</w:t>
            </w:r>
            <w:r w:rsidRPr="004F0BA7">
              <w:t>m</w:t>
            </w:r>
            <w:r w:rsidR="001F2C4F" w:rsidRPr="004F0BA7">
              <w:t>e</w:t>
            </w:r>
          </w:p>
        </w:tc>
        <w:tc>
          <w:tcPr>
            <w:tcW w:w="91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11CE9A" w14:textId="77777777" w:rsidR="00830864" w:rsidRPr="004F0BA7" w:rsidRDefault="00830864" w:rsidP="00BF2F25">
            <w:pPr>
              <w:pStyle w:val="Tablehead"/>
            </w:pPr>
            <w:r w:rsidRPr="004F0BA7">
              <w:t>Type A</w:t>
            </w:r>
          </w:p>
        </w:tc>
        <w:tc>
          <w:tcPr>
            <w:tcW w:w="399" w:type="pct"/>
            <w:tcBorders>
              <w:top w:val="single" w:sz="8" w:space="0" w:color="auto"/>
              <w:left w:val="nil"/>
              <w:bottom w:val="single" w:sz="8" w:space="0" w:color="auto"/>
              <w:right w:val="single" w:sz="8" w:space="0" w:color="000000"/>
            </w:tcBorders>
            <w:shd w:val="clear" w:color="auto" w:fill="auto"/>
            <w:noWrap/>
            <w:vAlign w:val="center"/>
            <w:hideMark/>
          </w:tcPr>
          <w:p w14:paraId="7F2F9F97" w14:textId="77777777" w:rsidR="00830864" w:rsidRPr="004F0BA7" w:rsidRDefault="00830864" w:rsidP="00BF2F25">
            <w:pPr>
              <w:pStyle w:val="Tablehead"/>
            </w:pPr>
            <w:r w:rsidRPr="004F0BA7">
              <w:t>Type B</w:t>
            </w:r>
          </w:p>
        </w:tc>
        <w:tc>
          <w:tcPr>
            <w:tcW w:w="94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10A6627" w14:textId="77777777" w:rsidR="00830864" w:rsidRPr="004F0BA7" w:rsidRDefault="00830864" w:rsidP="00BF2F25">
            <w:pPr>
              <w:pStyle w:val="Tablehead"/>
            </w:pPr>
            <w:r w:rsidRPr="004F0BA7">
              <w:t>Type C</w:t>
            </w:r>
          </w:p>
        </w:tc>
        <w:tc>
          <w:tcPr>
            <w:tcW w:w="4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DE193" w14:textId="77777777" w:rsidR="00830864" w:rsidRPr="004F0BA7" w:rsidRDefault="00830864" w:rsidP="00BF2F25">
            <w:pPr>
              <w:pStyle w:val="Tablehead"/>
            </w:pPr>
            <w:r w:rsidRPr="004F0BA7">
              <w:t>Type D</w:t>
            </w:r>
          </w:p>
        </w:tc>
        <w:tc>
          <w:tcPr>
            <w:tcW w:w="1064"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4C3A476" w14:textId="77777777" w:rsidR="00830864" w:rsidRPr="004F0BA7" w:rsidRDefault="00830864" w:rsidP="00BF2F25">
            <w:pPr>
              <w:pStyle w:val="Tablehead"/>
            </w:pPr>
            <w:r w:rsidRPr="004F0BA7">
              <w:t xml:space="preserve">Type E </w:t>
            </w:r>
          </w:p>
        </w:tc>
      </w:tr>
      <w:tr w:rsidR="00830864" w:rsidRPr="004F0BA7" w14:paraId="459944F1" w14:textId="77777777" w:rsidTr="00FB5A56">
        <w:trPr>
          <w:jc w:val="center"/>
        </w:trPr>
        <w:tc>
          <w:tcPr>
            <w:tcW w:w="1228"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3655E67B" w14:textId="77777777" w:rsidR="00830864" w:rsidRPr="004F0BA7" w:rsidRDefault="00A92BB0" w:rsidP="00BF2F25">
            <w:pPr>
              <w:pStyle w:val="Tabletext"/>
              <w:jc w:val="left"/>
            </w:pPr>
            <w:r w:rsidRPr="004F0BA7">
              <w:t>Gamme de fréquences (MHz)</w:t>
            </w:r>
          </w:p>
        </w:tc>
        <w:tc>
          <w:tcPr>
            <w:tcW w:w="3772" w:type="pct"/>
            <w:gridSpan w:val="8"/>
            <w:tcBorders>
              <w:top w:val="single" w:sz="8" w:space="0" w:color="auto"/>
              <w:left w:val="nil"/>
              <w:bottom w:val="single" w:sz="4" w:space="0" w:color="auto"/>
              <w:right w:val="single" w:sz="8" w:space="0" w:color="000000"/>
            </w:tcBorders>
            <w:shd w:val="clear" w:color="auto" w:fill="auto"/>
            <w:noWrap/>
            <w:vAlign w:val="center"/>
          </w:tcPr>
          <w:p w14:paraId="1877C3A5" w14:textId="77777777" w:rsidR="00830864" w:rsidRPr="004F0BA7" w:rsidRDefault="00830864" w:rsidP="00BF2F25">
            <w:pPr>
              <w:pStyle w:val="Tabletext"/>
              <w:jc w:val="center"/>
            </w:pPr>
            <w:r w:rsidRPr="004F0BA7">
              <w:t>400</w:t>
            </w:r>
            <w:r w:rsidR="00641958" w:rsidRPr="004F0BA7">
              <w:t>,</w:t>
            </w:r>
            <w:r w:rsidRPr="004F0BA7">
              <w:t>15-406</w:t>
            </w:r>
          </w:p>
        </w:tc>
      </w:tr>
      <w:tr w:rsidR="00175BC1" w:rsidRPr="004F0BA7" w14:paraId="1E1A5D6E" w14:textId="77777777" w:rsidTr="00E3273C">
        <w:trPr>
          <w:jc w:val="center"/>
        </w:trPr>
        <w:tc>
          <w:tcPr>
            <w:tcW w:w="1228"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F6ADA4" w14:textId="77777777" w:rsidR="00830864" w:rsidRPr="004F0BA7" w:rsidRDefault="00A92BB0" w:rsidP="00BF2F25">
            <w:pPr>
              <w:pStyle w:val="Tabletext"/>
              <w:jc w:val="left"/>
            </w:pPr>
            <w:r w:rsidRPr="004F0BA7">
              <w:t>Type de modulation</w:t>
            </w:r>
          </w:p>
        </w:tc>
        <w:tc>
          <w:tcPr>
            <w:tcW w:w="915"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4970291F" w14:textId="77777777" w:rsidR="00830864" w:rsidRPr="004F0BA7" w:rsidRDefault="00830864" w:rsidP="00BF2F25">
            <w:pPr>
              <w:pStyle w:val="Tabletext"/>
              <w:jc w:val="center"/>
            </w:pPr>
            <w:r w:rsidRPr="004F0BA7">
              <w:t>FM</w:t>
            </w:r>
          </w:p>
        </w:tc>
        <w:tc>
          <w:tcPr>
            <w:tcW w:w="399" w:type="pct"/>
            <w:tcBorders>
              <w:top w:val="single" w:sz="8" w:space="0" w:color="auto"/>
              <w:left w:val="nil"/>
              <w:bottom w:val="single" w:sz="4" w:space="0" w:color="auto"/>
              <w:right w:val="single" w:sz="8" w:space="0" w:color="000000"/>
            </w:tcBorders>
            <w:shd w:val="clear" w:color="auto" w:fill="auto"/>
            <w:noWrap/>
            <w:vAlign w:val="center"/>
            <w:hideMark/>
          </w:tcPr>
          <w:p w14:paraId="6EE65B1B" w14:textId="77777777" w:rsidR="00830864" w:rsidRPr="004F0BA7" w:rsidRDefault="00830864" w:rsidP="00BF2F25">
            <w:pPr>
              <w:pStyle w:val="Tabletext"/>
              <w:jc w:val="center"/>
            </w:pPr>
            <w:r w:rsidRPr="004F0BA7">
              <w:t>GMSK</w:t>
            </w:r>
          </w:p>
        </w:tc>
        <w:tc>
          <w:tcPr>
            <w:tcW w:w="946"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16421AA4" w14:textId="77777777" w:rsidR="00830864" w:rsidRPr="004F0BA7" w:rsidRDefault="00830864" w:rsidP="00BF2F25">
            <w:pPr>
              <w:pStyle w:val="Tabletext"/>
              <w:jc w:val="center"/>
            </w:pPr>
            <w:r w:rsidRPr="004F0BA7">
              <w:t>GFSK</w:t>
            </w:r>
          </w:p>
        </w:tc>
        <w:tc>
          <w:tcPr>
            <w:tcW w:w="448" w:type="pct"/>
            <w:tcBorders>
              <w:top w:val="nil"/>
              <w:left w:val="nil"/>
              <w:bottom w:val="single" w:sz="4" w:space="0" w:color="auto"/>
              <w:right w:val="single" w:sz="8" w:space="0" w:color="auto"/>
            </w:tcBorders>
            <w:shd w:val="clear" w:color="auto" w:fill="auto"/>
            <w:noWrap/>
            <w:vAlign w:val="center"/>
            <w:hideMark/>
          </w:tcPr>
          <w:p w14:paraId="0104B490" w14:textId="77777777" w:rsidR="00830864" w:rsidRPr="004F0BA7" w:rsidRDefault="00830864" w:rsidP="00BF2F25">
            <w:pPr>
              <w:pStyle w:val="Tabletext"/>
              <w:jc w:val="center"/>
            </w:pPr>
            <w:r w:rsidRPr="004F0BA7">
              <w:t>QAM</w:t>
            </w:r>
          </w:p>
        </w:tc>
        <w:tc>
          <w:tcPr>
            <w:tcW w:w="1064" w:type="pct"/>
            <w:gridSpan w:val="2"/>
            <w:tcBorders>
              <w:top w:val="nil"/>
              <w:left w:val="nil"/>
              <w:bottom w:val="single" w:sz="4" w:space="0" w:color="auto"/>
              <w:right w:val="single" w:sz="8" w:space="0" w:color="000000"/>
            </w:tcBorders>
            <w:shd w:val="clear" w:color="auto" w:fill="auto"/>
            <w:vAlign w:val="center"/>
          </w:tcPr>
          <w:p w14:paraId="2C8FA785" w14:textId="77777777" w:rsidR="00830864" w:rsidRPr="004F0BA7" w:rsidRDefault="00830864" w:rsidP="00BF2F25">
            <w:pPr>
              <w:pStyle w:val="Tabletext"/>
              <w:jc w:val="center"/>
            </w:pPr>
            <w:r w:rsidRPr="004F0BA7">
              <w:t>FSK</w:t>
            </w:r>
          </w:p>
        </w:tc>
      </w:tr>
      <w:tr w:rsidR="00175BC1" w:rsidRPr="004F0BA7" w14:paraId="514348D2" w14:textId="77777777" w:rsidTr="00FB5A56">
        <w:trPr>
          <w:jc w:val="center"/>
        </w:trPr>
        <w:tc>
          <w:tcPr>
            <w:tcW w:w="1228" w:type="pct"/>
            <w:tcBorders>
              <w:top w:val="single" w:sz="8" w:space="0" w:color="auto"/>
              <w:left w:val="single" w:sz="8" w:space="0" w:color="auto"/>
              <w:bottom w:val="single" w:sz="4" w:space="0" w:color="auto"/>
              <w:right w:val="single" w:sz="8" w:space="0" w:color="000000"/>
            </w:tcBorders>
            <w:shd w:val="clear" w:color="auto" w:fill="auto"/>
            <w:vAlign w:val="center"/>
            <w:hideMark/>
          </w:tcPr>
          <w:p w14:paraId="747F0835" w14:textId="77777777" w:rsidR="00830864" w:rsidRPr="004F0BA7" w:rsidRDefault="00A92BB0" w:rsidP="00BF2F25">
            <w:pPr>
              <w:pStyle w:val="Tabletext"/>
              <w:jc w:val="left"/>
            </w:pPr>
            <w:r w:rsidRPr="004F0BA7">
              <w:t>Pourcentage de temps ne devant pas être dépassé (%)</w:t>
            </w:r>
          </w:p>
        </w:tc>
        <w:tc>
          <w:tcPr>
            <w:tcW w:w="51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86AC723" w14:textId="77777777" w:rsidR="00830864" w:rsidRPr="004F0BA7" w:rsidRDefault="00830864" w:rsidP="00BF2F25">
            <w:pPr>
              <w:pStyle w:val="Tabletext"/>
              <w:jc w:val="center"/>
            </w:pPr>
            <w:r w:rsidRPr="004F0BA7">
              <w:t>0</w:t>
            </w:r>
            <w:r w:rsidR="00641958" w:rsidRPr="004F0BA7">
              <w:t>,</w:t>
            </w:r>
            <w:r w:rsidRPr="004F0BA7">
              <w:t xml:space="preserve">02 </w:t>
            </w:r>
            <w:r w:rsidRPr="004F0BA7">
              <w:br/>
            </w:r>
            <w:r w:rsidR="00C8386C" w:rsidRPr="004F0BA7">
              <w:t>Perte de verrouillage de phase</w:t>
            </w:r>
          </w:p>
        </w:tc>
        <w:tc>
          <w:tcPr>
            <w:tcW w:w="399" w:type="pct"/>
            <w:tcBorders>
              <w:top w:val="single" w:sz="8" w:space="0" w:color="auto"/>
              <w:left w:val="single" w:sz="8" w:space="0" w:color="auto"/>
              <w:bottom w:val="single" w:sz="4" w:space="0" w:color="auto"/>
              <w:right w:val="single" w:sz="8" w:space="0" w:color="auto"/>
            </w:tcBorders>
            <w:shd w:val="clear" w:color="auto" w:fill="auto"/>
            <w:vAlign w:val="center"/>
          </w:tcPr>
          <w:p w14:paraId="43665EE9" w14:textId="77777777" w:rsidR="00830864" w:rsidRPr="004F0BA7" w:rsidRDefault="00830864" w:rsidP="00BF2F25">
            <w:pPr>
              <w:pStyle w:val="Tabletext"/>
              <w:jc w:val="center"/>
            </w:pPr>
            <w:r w:rsidRPr="004F0BA7">
              <w:t>0</w:t>
            </w:r>
            <w:r w:rsidR="00641958" w:rsidRPr="004F0BA7">
              <w:t>,</w:t>
            </w:r>
            <w:r w:rsidRPr="004F0BA7">
              <w:t xml:space="preserve">2 </w:t>
            </w:r>
            <w:r w:rsidRPr="004F0BA7">
              <w:br/>
            </w:r>
            <w:r w:rsidR="00C8386C" w:rsidRPr="004F0BA7">
              <w:t>Perte de données</w:t>
            </w:r>
          </w:p>
        </w:tc>
        <w:tc>
          <w:tcPr>
            <w:tcW w:w="399" w:type="pct"/>
            <w:tcBorders>
              <w:top w:val="single" w:sz="8" w:space="0" w:color="auto"/>
              <w:left w:val="nil"/>
              <w:bottom w:val="single" w:sz="4" w:space="0" w:color="auto"/>
              <w:right w:val="single" w:sz="8" w:space="0" w:color="auto"/>
            </w:tcBorders>
            <w:shd w:val="clear" w:color="auto" w:fill="auto"/>
            <w:vAlign w:val="center"/>
          </w:tcPr>
          <w:p w14:paraId="4953D847" w14:textId="7853A1DA" w:rsidR="00830864" w:rsidRPr="004F0BA7" w:rsidRDefault="00830864" w:rsidP="00BF2F25">
            <w:pPr>
              <w:pStyle w:val="Tabletext"/>
              <w:jc w:val="center"/>
            </w:pPr>
            <w:r w:rsidRPr="004F0BA7">
              <w:t>0</w:t>
            </w:r>
            <w:r w:rsidR="00641958" w:rsidRPr="004F0BA7">
              <w:t>,</w:t>
            </w:r>
            <w:r w:rsidRPr="004F0BA7">
              <w:t xml:space="preserve">2 </w:t>
            </w:r>
            <w:r w:rsidRPr="004F0BA7">
              <w:br/>
            </w:r>
            <w:r w:rsidR="00C8386C" w:rsidRPr="004F0BA7">
              <w:t>Perte de données</w:t>
            </w:r>
          </w:p>
        </w:tc>
        <w:tc>
          <w:tcPr>
            <w:tcW w:w="547" w:type="pct"/>
            <w:tcBorders>
              <w:top w:val="single" w:sz="8" w:space="0" w:color="auto"/>
              <w:left w:val="nil"/>
              <w:bottom w:val="single" w:sz="4" w:space="0" w:color="auto"/>
              <w:right w:val="nil"/>
            </w:tcBorders>
            <w:shd w:val="clear" w:color="auto" w:fill="auto"/>
            <w:vAlign w:val="center"/>
            <w:hideMark/>
          </w:tcPr>
          <w:p w14:paraId="309CE825" w14:textId="77777777" w:rsidR="00830864" w:rsidRPr="004F0BA7" w:rsidRDefault="00830864" w:rsidP="00BF2F25">
            <w:pPr>
              <w:pStyle w:val="Tabletext"/>
              <w:jc w:val="center"/>
            </w:pPr>
            <w:r w:rsidRPr="004F0BA7">
              <w:t>0</w:t>
            </w:r>
            <w:r w:rsidR="00641958" w:rsidRPr="004F0BA7">
              <w:t>,</w:t>
            </w:r>
            <w:r w:rsidRPr="004F0BA7">
              <w:t>02</w:t>
            </w:r>
            <w:r w:rsidRPr="004F0BA7">
              <w:br/>
            </w:r>
            <w:r w:rsidR="00C8386C" w:rsidRPr="004F0BA7">
              <w:t>Perte de verrouillage de phase</w:t>
            </w:r>
          </w:p>
        </w:tc>
        <w:tc>
          <w:tcPr>
            <w:tcW w:w="399"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0E82B0CE" w14:textId="77777777" w:rsidR="00830864" w:rsidRPr="004F0BA7" w:rsidRDefault="00830864" w:rsidP="00BF2F25">
            <w:pPr>
              <w:pStyle w:val="Tabletext"/>
              <w:jc w:val="center"/>
            </w:pPr>
            <w:r w:rsidRPr="004F0BA7">
              <w:t>0</w:t>
            </w:r>
            <w:r w:rsidR="00641958" w:rsidRPr="004F0BA7">
              <w:t>,</w:t>
            </w:r>
            <w:r w:rsidRPr="004F0BA7">
              <w:t>2</w:t>
            </w:r>
            <w:r w:rsidRPr="004F0BA7">
              <w:br/>
            </w:r>
            <w:r w:rsidR="00C8386C" w:rsidRPr="004F0BA7">
              <w:t>Perte de données</w:t>
            </w:r>
          </w:p>
        </w:tc>
        <w:tc>
          <w:tcPr>
            <w:tcW w:w="448"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46C58EC0" w14:textId="77777777" w:rsidR="00830864" w:rsidRPr="004F0BA7" w:rsidRDefault="00830864" w:rsidP="00BF2F25">
            <w:pPr>
              <w:pStyle w:val="Tabletext"/>
              <w:jc w:val="center"/>
            </w:pPr>
            <w:r w:rsidRPr="004F0BA7">
              <w:t>0</w:t>
            </w:r>
            <w:r w:rsidR="00641958" w:rsidRPr="004F0BA7">
              <w:t>,</w:t>
            </w:r>
            <w:r w:rsidRPr="004F0BA7">
              <w:t xml:space="preserve">2 </w:t>
            </w:r>
            <w:r w:rsidRPr="004F0BA7">
              <w:br/>
            </w:r>
            <w:r w:rsidR="00C8386C" w:rsidRPr="004F0BA7">
              <w:t>Perte de données</w:t>
            </w:r>
          </w:p>
        </w:tc>
        <w:tc>
          <w:tcPr>
            <w:tcW w:w="548" w:type="pct"/>
            <w:tcBorders>
              <w:top w:val="nil"/>
              <w:left w:val="single" w:sz="8" w:space="0" w:color="auto"/>
              <w:bottom w:val="single" w:sz="4" w:space="0" w:color="auto"/>
              <w:right w:val="nil"/>
            </w:tcBorders>
            <w:shd w:val="clear" w:color="auto" w:fill="auto"/>
            <w:vAlign w:val="center"/>
            <w:hideMark/>
          </w:tcPr>
          <w:p w14:paraId="24023345" w14:textId="77777777" w:rsidR="00830864" w:rsidRPr="004F0BA7" w:rsidRDefault="00830864" w:rsidP="00BF2F25">
            <w:pPr>
              <w:pStyle w:val="Tabletext"/>
              <w:jc w:val="center"/>
            </w:pPr>
            <w:r w:rsidRPr="004F0BA7">
              <w:t>0</w:t>
            </w:r>
            <w:r w:rsidR="00641958" w:rsidRPr="004F0BA7">
              <w:t>,</w:t>
            </w:r>
            <w:r w:rsidRPr="004F0BA7">
              <w:t>02</w:t>
            </w:r>
            <w:r w:rsidRPr="004F0BA7">
              <w:br/>
            </w:r>
            <w:r w:rsidR="00C8386C" w:rsidRPr="004F0BA7">
              <w:t>Perte de verrouillage de phase</w:t>
            </w:r>
          </w:p>
        </w:tc>
        <w:tc>
          <w:tcPr>
            <w:tcW w:w="516" w:type="pct"/>
            <w:tcBorders>
              <w:top w:val="nil"/>
              <w:left w:val="single" w:sz="4" w:space="0" w:color="auto"/>
              <w:bottom w:val="single" w:sz="4" w:space="0" w:color="auto"/>
              <w:right w:val="single" w:sz="8" w:space="0" w:color="auto"/>
            </w:tcBorders>
            <w:shd w:val="clear" w:color="auto" w:fill="auto"/>
            <w:vAlign w:val="center"/>
            <w:hideMark/>
          </w:tcPr>
          <w:p w14:paraId="0375978A" w14:textId="77777777" w:rsidR="00830864" w:rsidRPr="004F0BA7" w:rsidRDefault="00830864" w:rsidP="00BF2F25">
            <w:pPr>
              <w:pStyle w:val="Tabletext"/>
              <w:jc w:val="center"/>
            </w:pPr>
            <w:r w:rsidRPr="004F0BA7">
              <w:t>0.2</w:t>
            </w:r>
            <w:r w:rsidRPr="004F0BA7">
              <w:br/>
            </w:r>
            <w:r w:rsidR="00C8386C" w:rsidRPr="004F0BA7">
              <w:t>Perte de données</w:t>
            </w:r>
          </w:p>
        </w:tc>
      </w:tr>
      <w:tr w:rsidR="00175BC1" w:rsidRPr="004F0BA7" w14:paraId="592364AB" w14:textId="77777777" w:rsidTr="00E3273C">
        <w:trPr>
          <w:jc w:val="center"/>
        </w:trPr>
        <w:tc>
          <w:tcPr>
            <w:tcW w:w="1228" w:type="pct"/>
            <w:tcBorders>
              <w:top w:val="nil"/>
              <w:left w:val="single" w:sz="8" w:space="0" w:color="auto"/>
              <w:bottom w:val="single" w:sz="4" w:space="0" w:color="auto"/>
              <w:right w:val="single" w:sz="8" w:space="0" w:color="000000"/>
            </w:tcBorders>
            <w:shd w:val="clear" w:color="auto" w:fill="auto"/>
            <w:hideMark/>
          </w:tcPr>
          <w:p w14:paraId="1D4D8944" w14:textId="77777777" w:rsidR="00C8386C" w:rsidRPr="004F0BA7" w:rsidRDefault="00C8386C" w:rsidP="00BF2F25">
            <w:pPr>
              <w:pStyle w:val="Tabletext"/>
              <w:jc w:val="left"/>
            </w:pPr>
            <w:r w:rsidRPr="004F0BA7">
              <w:t xml:space="preserve">Puissance de sortie de l'émetteur </w:t>
            </w:r>
            <w:r w:rsidR="001F2C4F" w:rsidRPr="004F0BA7">
              <w:t xml:space="preserve">aéroporté </w:t>
            </w:r>
            <w:r w:rsidRPr="004F0BA7">
              <w:t>(</w:t>
            </w:r>
            <w:proofErr w:type="spellStart"/>
            <w:r w:rsidRPr="004F0BA7">
              <w:t>dBW</w:t>
            </w:r>
            <w:proofErr w:type="spellEnd"/>
            <w:r w:rsidRPr="004F0BA7">
              <w:t>)</w:t>
            </w:r>
          </w:p>
        </w:tc>
        <w:tc>
          <w:tcPr>
            <w:tcW w:w="915" w:type="pct"/>
            <w:gridSpan w:val="2"/>
            <w:tcBorders>
              <w:top w:val="nil"/>
              <w:left w:val="nil"/>
              <w:bottom w:val="single" w:sz="4" w:space="0" w:color="auto"/>
              <w:right w:val="single" w:sz="8" w:space="0" w:color="auto"/>
            </w:tcBorders>
            <w:shd w:val="clear" w:color="auto" w:fill="auto"/>
            <w:noWrap/>
            <w:vAlign w:val="center"/>
            <w:hideMark/>
          </w:tcPr>
          <w:p w14:paraId="4297BB89" w14:textId="77777777" w:rsidR="00C8386C" w:rsidRPr="004F0BA7" w:rsidRDefault="00C8386C" w:rsidP="00BF2F25">
            <w:pPr>
              <w:pStyle w:val="Tabletext"/>
              <w:jc w:val="center"/>
            </w:pPr>
            <w:r w:rsidRPr="004F0BA7">
              <w:t>−6</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52025BB2" w14:textId="77777777" w:rsidR="00C8386C" w:rsidRPr="004F0BA7" w:rsidRDefault="00C8386C" w:rsidP="00BF2F25">
            <w:pPr>
              <w:pStyle w:val="Tabletext"/>
              <w:jc w:val="center"/>
            </w:pPr>
            <w:r w:rsidRPr="004F0BA7">
              <w:t>−6</w:t>
            </w:r>
          </w:p>
        </w:tc>
        <w:tc>
          <w:tcPr>
            <w:tcW w:w="946" w:type="pct"/>
            <w:gridSpan w:val="2"/>
            <w:tcBorders>
              <w:top w:val="nil"/>
              <w:left w:val="nil"/>
              <w:bottom w:val="single" w:sz="4" w:space="0" w:color="auto"/>
              <w:right w:val="single" w:sz="8" w:space="0" w:color="auto"/>
            </w:tcBorders>
            <w:shd w:val="clear" w:color="auto" w:fill="auto"/>
            <w:noWrap/>
            <w:vAlign w:val="center"/>
            <w:hideMark/>
          </w:tcPr>
          <w:p w14:paraId="3F84AF34" w14:textId="77777777" w:rsidR="00C8386C" w:rsidRPr="004F0BA7" w:rsidRDefault="00C8386C" w:rsidP="00BF2F25">
            <w:pPr>
              <w:pStyle w:val="Tabletext"/>
              <w:jc w:val="center"/>
            </w:pPr>
            <w:r w:rsidRPr="004F0BA7">
              <w:t>−11,6</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60423B2D" w14:textId="77777777" w:rsidR="00C8386C" w:rsidRPr="004F0BA7" w:rsidRDefault="00C8386C" w:rsidP="00BF2F25">
            <w:pPr>
              <w:pStyle w:val="Tabletext"/>
              <w:jc w:val="center"/>
            </w:pPr>
            <w:r w:rsidRPr="004F0BA7">
              <w:t>−10</w:t>
            </w:r>
          </w:p>
        </w:tc>
        <w:tc>
          <w:tcPr>
            <w:tcW w:w="1064" w:type="pct"/>
            <w:gridSpan w:val="2"/>
            <w:tcBorders>
              <w:top w:val="nil"/>
              <w:left w:val="single" w:sz="8" w:space="0" w:color="auto"/>
              <w:bottom w:val="single" w:sz="4" w:space="0" w:color="auto"/>
              <w:right w:val="single" w:sz="8" w:space="0" w:color="auto"/>
            </w:tcBorders>
            <w:shd w:val="clear" w:color="auto" w:fill="auto"/>
            <w:noWrap/>
            <w:vAlign w:val="center"/>
            <w:hideMark/>
          </w:tcPr>
          <w:p w14:paraId="67E50CA8" w14:textId="77777777" w:rsidR="00C8386C" w:rsidRPr="004F0BA7" w:rsidRDefault="00C8386C" w:rsidP="00BF2F25">
            <w:pPr>
              <w:pStyle w:val="Tabletext"/>
              <w:jc w:val="center"/>
            </w:pPr>
            <w:r w:rsidRPr="004F0BA7">
              <w:t>−11,5</w:t>
            </w:r>
          </w:p>
        </w:tc>
      </w:tr>
      <w:tr w:rsidR="00175BC1" w:rsidRPr="004F0BA7" w14:paraId="339B9AB1"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hideMark/>
          </w:tcPr>
          <w:p w14:paraId="3DD9D395" w14:textId="77777777" w:rsidR="00C8386C" w:rsidRPr="004F0BA7" w:rsidRDefault="001F2C4F" w:rsidP="00BF2F25">
            <w:pPr>
              <w:pStyle w:val="Tabletext"/>
              <w:jc w:val="left"/>
            </w:pPr>
            <w:r w:rsidRPr="004F0BA7">
              <w:t>Gain</w:t>
            </w:r>
            <w:r w:rsidR="00C8386C" w:rsidRPr="004F0BA7">
              <w:t xml:space="preserve"> moyen </w:t>
            </w:r>
            <w:r w:rsidRPr="004F0BA7">
              <w:t xml:space="preserve">de l'antenne aéroportée </w:t>
            </w:r>
            <w:r w:rsidR="00C8386C" w:rsidRPr="004F0BA7">
              <w:t>(</w:t>
            </w:r>
            <w:proofErr w:type="spellStart"/>
            <w:r w:rsidR="00C8386C" w:rsidRPr="004F0BA7">
              <w:t>dBi</w:t>
            </w:r>
            <w:proofErr w:type="spellEnd"/>
            <w:r w:rsidR="00C8386C"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6896BE56" w14:textId="77777777" w:rsidR="00C8386C" w:rsidRPr="004F0BA7" w:rsidRDefault="00C8386C" w:rsidP="00BF2F25">
            <w:pPr>
              <w:pStyle w:val="Tabletext"/>
              <w:jc w:val="center"/>
            </w:pPr>
            <w:r w:rsidRPr="004F0BA7">
              <w:t>2</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7A10E6D2" w14:textId="77777777" w:rsidR="00C8386C" w:rsidRPr="004F0BA7" w:rsidRDefault="00C8386C" w:rsidP="00BF2F25">
            <w:pPr>
              <w:pStyle w:val="Tabletext"/>
              <w:jc w:val="center"/>
            </w:pPr>
            <w:r w:rsidRPr="004F0BA7">
              <w:t>2</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7573F09C" w14:textId="77777777" w:rsidR="00C8386C" w:rsidRPr="004F0BA7" w:rsidRDefault="00C8386C" w:rsidP="00BF2F25">
            <w:pPr>
              <w:pStyle w:val="Tabletext"/>
              <w:jc w:val="center"/>
            </w:pPr>
            <w:r w:rsidRPr="004F0BA7">
              <w:t>2</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7BE28748" w14:textId="77777777" w:rsidR="00C8386C" w:rsidRPr="004F0BA7" w:rsidRDefault="00C8386C" w:rsidP="00BF2F25">
            <w:pPr>
              <w:pStyle w:val="Tabletext"/>
              <w:jc w:val="center"/>
            </w:pPr>
            <w:r w:rsidRPr="004F0BA7">
              <w:t>3</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C6CC3AD" w14:textId="77777777" w:rsidR="00C8386C" w:rsidRPr="004F0BA7" w:rsidRDefault="00C8386C" w:rsidP="00BF2F25">
            <w:pPr>
              <w:pStyle w:val="Tabletext"/>
              <w:jc w:val="center"/>
            </w:pPr>
            <w:r w:rsidRPr="004F0BA7">
              <w:t>2</w:t>
            </w:r>
          </w:p>
        </w:tc>
      </w:tr>
      <w:tr w:rsidR="00175BC1" w:rsidRPr="004F0BA7" w14:paraId="6F8B3F49"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hideMark/>
          </w:tcPr>
          <w:p w14:paraId="738A3FC8" w14:textId="77777777" w:rsidR="00C8386C" w:rsidRPr="004F0BA7" w:rsidRDefault="00C8386C" w:rsidP="00BF2F25">
            <w:pPr>
              <w:pStyle w:val="Tabletext"/>
              <w:jc w:val="left"/>
            </w:pPr>
            <w:proofErr w:type="spellStart"/>
            <w:r w:rsidRPr="004F0BA7">
              <w:t>p.i.r.e</w:t>
            </w:r>
            <w:proofErr w:type="spellEnd"/>
            <w:r w:rsidRPr="004F0BA7">
              <w:t xml:space="preserve">. de l'émetteur </w:t>
            </w:r>
            <w:r w:rsidR="001F2C4F" w:rsidRPr="004F0BA7">
              <w:t xml:space="preserve">aéroporté </w:t>
            </w:r>
            <w:r w:rsidRPr="004F0BA7">
              <w:t>(</w:t>
            </w:r>
            <w:proofErr w:type="spellStart"/>
            <w:r w:rsidRPr="004F0BA7">
              <w:t>dBW</w:t>
            </w:r>
            <w:proofErr w:type="spellEnd"/>
            <w:r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19BDC070" w14:textId="77777777" w:rsidR="00C8386C" w:rsidRPr="004F0BA7" w:rsidRDefault="00C8386C" w:rsidP="00BF2F25">
            <w:pPr>
              <w:pStyle w:val="Tabletext"/>
              <w:jc w:val="center"/>
            </w:pPr>
            <w:r w:rsidRPr="004F0BA7">
              <w:t>−4</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1F8C4801" w14:textId="77777777" w:rsidR="00C8386C" w:rsidRPr="004F0BA7" w:rsidRDefault="00C8386C" w:rsidP="00BF2F25">
            <w:pPr>
              <w:pStyle w:val="Tabletext"/>
              <w:jc w:val="center"/>
            </w:pPr>
            <w:r w:rsidRPr="004F0BA7">
              <w:t>−4</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63B3147F" w14:textId="77777777" w:rsidR="00C8386C" w:rsidRPr="004F0BA7" w:rsidRDefault="00C8386C" w:rsidP="00BF2F25">
            <w:pPr>
              <w:pStyle w:val="Tabletext"/>
              <w:jc w:val="center"/>
            </w:pPr>
            <w:r w:rsidRPr="004F0BA7">
              <w:t>−9,6</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68262693" w14:textId="77777777" w:rsidR="00C8386C" w:rsidRPr="004F0BA7" w:rsidRDefault="00C8386C" w:rsidP="00BF2F25">
            <w:pPr>
              <w:pStyle w:val="Tabletext"/>
              <w:jc w:val="center"/>
            </w:pPr>
            <w:r w:rsidRPr="004F0BA7">
              <w:t>−7</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AA2B876" w14:textId="77777777" w:rsidR="00C8386C" w:rsidRPr="004F0BA7" w:rsidRDefault="00C8386C" w:rsidP="00BF2F25">
            <w:pPr>
              <w:pStyle w:val="Tabletext"/>
              <w:jc w:val="center"/>
            </w:pPr>
            <w:r w:rsidRPr="004F0BA7">
              <w:t>−9,5</w:t>
            </w:r>
          </w:p>
        </w:tc>
      </w:tr>
      <w:tr w:rsidR="00175BC1" w:rsidRPr="004F0BA7" w14:paraId="1567B38D"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C07CB1B" w14:textId="77777777" w:rsidR="00830864" w:rsidRPr="004F0BA7" w:rsidRDefault="00C8386C" w:rsidP="00BF2F25">
            <w:pPr>
              <w:pStyle w:val="Tabletext"/>
              <w:jc w:val="left"/>
            </w:pPr>
            <w:r w:rsidRPr="004F0BA7">
              <w:t>Longueur maximale de la liaison (km)</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6207A0C0" w14:textId="77777777" w:rsidR="00830864" w:rsidRPr="004F0BA7" w:rsidRDefault="00830864" w:rsidP="00BF2F25">
            <w:pPr>
              <w:pStyle w:val="Tabletext"/>
              <w:jc w:val="center"/>
            </w:pPr>
            <w:r w:rsidRPr="004F0BA7">
              <w:t>250</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59AECCB3" w14:textId="77777777" w:rsidR="00830864" w:rsidRPr="004F0BA7" w:rsidRDefault="00830864" w:rsidP="00BF2F25">
            <w:pPr>
              <w:pStyle w:val="Tabletext"/>
              <w:jc w:val="center"/>
            </w:pPr>
            <w:r w:rsidRPr="004F0BA7">
              <w:t>150</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21EFDEE6" w14:textId="77777777" w:rsidR="00830864" w:rsidRPr="004F0BA7" w:rsidRDefault="00830864" w:rsidP="00BF2F25">
            <w:pPr>
              <w:pStyle w:val="Tabletext"/>
              <w:jc w:val="center"/>
            </w:pPr>
            <w:r w:rsidRPr="004F0BA7">
              <w:t>250</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0A46D84D" w14:textId="77777777" w:rsidR="00830864" w:rsidRPr="004F0BA7" w:rsidRDefault="00830864" w:rsidP="00BF2F25">
            <w:pPr>
              <w:pStyle w:val="Tabletext"/>
              <w:jc w:val="center"/>
            </w:pPr>
            <w:r w:rsidRPr="004F0BA7">
              <w:t>150</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AE4C508" w14:textId="77777777" w:rsidR="00830864" w:rsidRPr="004F0BA7" w:rsidRDefault="00830864" w:rsidP="00BF2F25">
            <w:pPr>
              <w:pStyle w:val="Tabletext"/>
              <w:jc w:val="center"/>
            </w:pPr>
          </w:p>
        </w:tc>
      </w:tr>
      <w:tr w:rsidR="00175BC1" w:rsidRPr="004F0BA7" w14:paraId="3AFC737B"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5FF46D" w14:textId="77777777" w:rsidR="00830864" w:rsidRPr="004F0BA7" w:rsidRDefault="00A92BB0" w:rsidP="00BF2F25">
            <w:pPr>
              <w:pStyle w:val="Tabletext"/>
              <w:jc w:val="left"/>
            </w:pPr>
            <w:r w:rsidRPr="004F0BA7">
              <w:t>Affaiblissement sur le trajet en espace libre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6A30C905" w14:textId="77777777" w:rsidR="00830864" w:rsidRPr="004F0BA7" w:rsidRDefault="00830864" w:rsidP="00BF2F25">
            <w:pPr>
              <w:pStyle w:val="Tabletext"/>
              <w:jc w:val="center"/>
            </w:pPr>
            <w:r w:rsidRPr="004F0BA7">
              <w:t>132</w:t>
            </w:r>
            <w:r w:rsidR="00641958" w:rsidRPr="004F0BA7">
              <w:t>,</w:t>
            </w:r>
            <w:r w:rsidRPr="004F0BA7">
              <w:t>5</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6C9CB355" w14:textId="77777777" w:rsidR="00830864" w:rsidRPr="004F0BA7" w:rsidRDefault="00830864" w:rsidP="00BF2F25">
            <w:pPr>
              <w:pStyle w:val="Tabletext"/>
              <w:jc w:val="center"/>
            </w:pPr>
            <w:r w:rsidRPr="004F0BA7">
              <w:t>128</w:t>
            </w:r>
            <w:r w:rsidR="00641958" w:rsidRPr="004F0BA7">
              <w:t>,</w:t>
            </w:r>
            <w:r w:rsidRPr="004F0BA7">
              <w:t>1</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5298C102" w14:textId="77777777" w:rsidR="00830864" w:rsidRPr="004F0BA7" w:rsidRDefault="00830864" w:rsidP="00BF2F25">
            <w:pPr>
              <w:pStyle w:val="Tabletext"/>
              <w:jc w:val="center"/>
            </w:pPr>
            <w:r w:rsidRPr="004F0BA7">
              <w:t>132</w:t>
            </w:r>
            <w:r w:rsidR="00641958" w:rsidRPr="004F0BA7">
              <w:t>,</w:t>
            </w:r>
            <w:r w:rsidRPr="004F0BA7">
              <w:t>5</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493150C1" w14:textId="77777777" w:rsidR="00830864" w:rsidRPr="004F0BA7" w:rsidRDefault="00830864" w:rsidP="00BF2F25">
            <w:pPr>
              <w:pStyle w:val="Tabletext"/>
              <w:jc w:val="center"/>
            </w:pPr>
            <w:r w:rsidRPr="004F0BA7">
              <w:t>128</w:t>
            </w:r>
            <w:r w:rsidR="00641958" w:rsidRPr="004F0BA7">
              <w:t>,</w:t>
            </w:r>
            <w:r w:rsidRPr="004F0BA7">
              <w:t>1</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3F3CC97" w14:textId="77777777" w:rsidR="00830864" w:rsidRPr="004F0BA7" w:rsidRDefault="00830864" w:rsidP="00BF2F25">
            <w:pPr>
              <w:pStyle w:val="Tabletext"/>
              <w:jc w:val="center"/>
            </w:pPr>
            <w:r w:rsidRPr="004F0BA7">
              <w:t>132</w:t>
            </w:r>
            <w:r w:rsidR="00641958" w:rsidRPr="004F0BA7">
              <w:t>,</w:t>
            </w:r>
            <w:r w:rsidRPr="004F0BA7">
              <w:t>5</w:t>
            </w:r>
          </w:p>
        </w:tc>
      </w:tr>
      <w:tr w:rsidR="00175BC1" w:rsidRPr="004F0BA7" w14:paraId="23E62C66"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hideMark/>
          </w:tcPr>
          <w:p w14:paraId="01E6F920" w14:textId="77777777" w:rsidR="00A92BB0" w:rsidRPr="004F0BA7" w:rsidRDefault="00A92BB0" w:rsidP="00BF2F25">
            <w:pPr>
              <w:pStyle w:val="Tabletext"/>
              <w:jc w:val="left"/>
            </w:pPr>
            <w:r w:rsidRPr="004F0BA7">
              <w:t>Affaiblissement supplémentaire sur le trajet (pluie, évanouissements, etc.)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14EFE006" w14:textId="77777777" w:rsidR="00A92BB0" w:rsidRPr="004F0BA7" w:rsidRDefault="00A92BB0" w:rsidP="00BF2F25">
            <w:pPr>
              <w:pStyle w:val="Tabletext"/>
              <w:jc w:val="center"/>
            </w:pPr>
            <w:r w:rsidRPr="004F0BA7">
              <w:t>1</w:t>
            </w:r>
            <w:r w:rsidR="00641958" w:rsidRPr="004F0BA7">
              <w:t>,</w:t>
            </w:r>
            <w:r w:rsidRPr="004F0BA7">
              <w:t>5</w:t>
            </w:r>
          </w:p>
        </w:tc>
        <w:tc>
          <w:tcPr>
            <w:tcW w:w="399" w:type="pct"/>
            <w:tcBorders>
              <w:top w:val="nil"/>
              <w:left w:val="single" w:sz="8" w:space="0" w:color="auto"/>
              <w:bottom w:val="single" w:sz="4" w:space="0" w:color="auto"/>
              <w:right w:val="single" w:sz="8" w:space="0" w:color="auto"/>
            </w:tcBorders>
            <w:shd w:val="clear" w:color="auto" w:fill="auto"/>
            <w:noWrap/>
            <w:vAlign w:val="center"/>
          </w:tcPr>
          <w:p w14:paraId="5171FDC7" w14:textId="77777777" w:rsidR="00A92BB0" w:rsidRPr="004F0BA7" w:rsidRDefault="00A92BB0" w:rsidP="00BF2F25">
            <w:pPr>
              <w:pStyle w:val="Tabletext"/>
              <w:jc w:val="center"/>
            </w:pPr>
            <w:r w:rsidRPr="004F0BA7">
              <w:t>1</w:t>
            </w:r>
            <w:r w:rsidR="00641958" w:rsidRPr="004F0BA7">
              <w:t>,</w:t>
            </w:r>
            <w:r w:rsidRPr="004F0BA7">
              <w:t>5</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1D21A398" w14:textId="77777777" w:rsidR="00A92BB0" w:rsidRPr="004F0BA7" w:rsidRDefault="00A92BB0" w:rsidP="00BF2F25">
            <w:pPr>
              <w:pStyle w:val="Tabletext"/>
              <w:jc w:val="center"/>
            </w:pPr>
            <w:r w:rsidRPr="004F0BA7">
              <w:t>1</w:t>
            </w:r>
            <w:r w:rsidR="00641958" w:rsidRPr="004F0BA7">
              <w:t>,</w:t>
            </w:r>
            <w:r w:rsidRPr="004F0BA7">
              <w:t>5</w:t>
            </w:r>
          </w:p>
        </w:tc>
        <w:tc>
          <w:tcPr>
            <w:tcW w:w="448" w:type="pct"/>
            <w:tcBorders>
              <w:top w:val="nil"/>
              <w:left w:val="single" w:sz="8" w:space="0" w:color="auto"/>
              <w:bottom w:val="single" w:sz="4" w:space="0" w:color="auto"/>
              <w:right w:val="single" w:sz="8" w:space="0" w:color="auto"/>
            </w:tcBorders>
            <w:shd w:val="clear" w:color="auto" w:fill="auto"/>
            <w:noWrap/>
            <w:vAlign w:val="center"/>
            <w:hideMark/>
          </w:tcPr>
          <w:p w14:paraId="2E8DD211" w14:textId="77777777" w:rsidR="00A92BB0" w:rsidRPr="004F0BA7" w:rsidRDefault="00A92BB0" w:rsidP="00BF2F25">
            <w:pPr>
              <w:pStyle w:val="Tabletext"/>
              <w:jc w:val="center"/>
            </w:pPr>
            <w:r w:rsidRPr="004F0BA7">
              <w:t>1</w:t>
            </w:r>
            <w:r w:rsidR="00641958" w:rsidRPr="004F0BA7">
              <w:t>,</w:t>
            </w:r>
            <w:r w:rsidRPr="004F0BA7">
              <w:t>5</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1C09378" w14:textId="77777777" w:rsidR="00A92BB0" w:rsidRPr="004F0BA7" w:rsidRDefault="00A92BB0" w:rsidP="00BF2F25">
            <w:pPr>
              <w:pStyle w:val="Tabletext"/>
              <w:jc w:val="center"/>
            </w:pPr>
            <w:r w:rsidRPr="004F0BA7">
              <w:t>1</w:t>
            </w:r>
            <w:r w:rsidR="00641958" w:rsidRPr="004F0BA7">
              <w:t>,</w:t>
            </w:r>
            <w:r w:rsidRPr="004F0BA7">
              <w:t>5</w:t>
            </w:r>
          </w:p>
        </w:tc>
      </w:tr>
      <w:tr w:rsidR="00175BC1" w:rsidRPr="004F0BA7" w14:paraId="17DED60B"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hideMark/>
          </w:tcPr>
          <w:p w14:paraId="50421BAC" w14:textId="77777777" w:rsidR="00A92BB0" w:rsidRPr="004F0BA7" w:rsidRDefault="00A92BB0" w:rsidP="00BF2F25">
            <w:pPr>
              <w:pStyle w:val="Tabletext"/>
              <w:jc w:val="left"/>
            </w:pPr>
            <w:r w:rsidRPr="004F0BA7">
              <w:t>Gain d'antenne de la station au sol (</w:t>
            </w:r>
            <w:proofErr w:type="spellStart"/>
            <w:r w:rsidRPr="004F0BA7">
              <w:t>dBi</w:t>
            </w:r>
            <w:proofErr w:type="spellEnd"/>
            <w:r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132C6E6D" w14:textId="77777777" w:rsidR="00A92BB0" w:rsidRPr="004F0BA7" w:rsidRDefault="00A92BB0" w:rsidP="00BF2F25">
            <w:pPr>
              <w:pStyle w:val="Tabletext"/>
              <w:jc w:val="center"/>
            </w:pPr>
            <w:r w:rsidRPr="004F0BA7">
              <w:t>8</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A951661" w14:textId="77777777" w:rsidR="00A92BB0" w:rsidRPr="004F0BA7" w:rsidRDefault="00A92BB0" w:rsidP="00BF2F25">
            <w:pPr>
              <w:pStyle w:val="Tabletext"/>
              <w:jc w:val="center"/>
            </w:pPr>
            <w:r w:rsidRPr="004F0BA7">
              <w:t>2</w:t>
            </w:r>
            <w:r w:rsidR="00641958" w:rsidRPr="004F0BA7">
              <w:t>,</w:t>
            </w:r>
            <w:r w:rsidRPr="004F0BA7">
              <w:t>15</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hideMark/>
          </w:tcPr>
          <w:p w14:paraId="3488455B" w14:textId="77777777" w:rsidR="00A92BB0" w:rsidRPr="004F0BA7" w:rsidRDefault="00A92BB0" w:rsidP="00BF2F25">
            <w:pPr>
              <w:pStyle w:val="Tabletext"/>
              <w:jc w:val="center"/>
            </w:pPr>
            <w:r w:rsidRPr="004F0BA7">
              <w:t>8</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D97DC9" w14:textId="77777777" w:rsidR="00A92BB0" w:rsidRPr="004F0BA7" w:rsidRDefault="00A92BB0" w:rsidP="00BF2F25">
            <w:pPr>
              <w:pStyle w:val="Tabletext"/>
              <w:jc w:val="center"/>
            </w:pPr>
            <w:r w:rsidRPr="004F0BA7">
              <w:t>2</w:t>
            </w:r>
            <w:r w:rsidR="00641958" w:rsidRPr="004F0BA7">
              <w:t>,</w:t>
            </w:r>
            <w:r w:rsidRPr="004F0BA7">
              <w:t>15</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4BB7E08" w14:textId="77777777" w:rsidR="00A92BB0" w:rsidRPr="004F0BA7" w:rsidRDefault="00A92BB0" w:rsidP="00BF2F25">
            <w:pPr>
              <w:pStyle w:val="Tabletext"/>
              <w:jc w:val="center"/>
            </w:pPr>
            <w:r w:rsidRPr="004F0BA7">
              <w:t>11</w:t>
            </w:r>
          </w:p>
        </w:tc>
      </w:tr>
      <w:tr w:rsidR="00175BC1" w:rsidRPr="004F0BA7" w14:paraId="0EAA9EF3"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5AC6355E" w14:textId="77777777" w:rsidR="00A92BB0" w:rsidRPr="004F0BA7" w:rsidRDefault="00A92BB0" w:rsidP="00BF2F25">
            <w:pPr>
              <w:pStyle w:val="Tabletext"/>
              <w:jc w:val="left"/>
            </w:pPr>
            <w:r w:rsidRPr="004F0BA7">
              <w:t>Erreur de pointage de l'antenne de la station au sol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00FA3B08" w14:textId="77777777" w:rsidR="00A92BB0" w:rsidRPr="004F0BA7" w:rsidRDefault="00A92BB0" w:rsidP="00BF2F25">
            <w:pPr>
              <w:pStyle w:val="Tabletext"/>
              <w:jc w:val="center"/>
            </w:pPr>
            <w:r w:rsidRPr="004F0BA7">
              <w:t>0</w:t>
            </w:r>
            <w:r w:rsidR="00641958" w:rsidRPr="004F0BA7">
              <w:t>,</w:t>
            </w:r>
            <w:r w:rsidRPr="004F0BA7">
              <w:t>5</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AB75A41" w14:textId="77777777" w:rsidR="00A92BB0" w:rsidRPr="004F0BA7" w:rsidRDefault="00A92BB0" w:rsidP="00BF2F25">
            <w:pPr>
              <w:pStyle w:val="Tabletext"/>
              <w:jc w:val="center"/>
            </w:pPr>
            <w:r w:rsidRPr="004F0BA7">
              <w:t>0</w:t>
            </w:r>
            <w:r w:rsidR="00641958" w:rsidRPr="004F0BA7">
              <w:t>,</w:t>
            </w:r>
            <w:r w:rsidRPr="004F0BA7">
              <w:t>5</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070E39DF" w14:textId="77777777" w:rsidR="00A92BB0" w:rsidRPr="004F0BA7" w:rsidRDefault="00A92BB0" w:rsidP="00BF2F25">
            <w:pPr>
              <w:pStyle w:val="Tabletext"/>
              <w:jc w:val="center"/>
            </w:pPr>
            <w:r w:rsidRPr="004F0BA7">
              <w:t>0</w:t>
            </w:r>
            <w:r w:rsidR="00641958" w:rsidRPr="004F0BA7">
              <w:t>,</w:t>
            </w:r>
            <w:r w:rsidRPr="004F0BA7">
              <w:t>5</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7CEDF37" w14:textId="77777777" w:rsidR="00A92BB0" w:rsidRPr="004F0BA7" w:rsidRDefault="00A92BB0" w:rsidP="00BF2F25">
            <w:pPr>
              <w:pStyle w:val="Tabletext"/>
              <w:jc w:val="center"/>
            </w:pPr>
            <w:r w:rsidRPr="004F0BA7">
              <w:t>0</w:t>
            </w:r>
            <w:r w:rsidR="00641958" w:rsidRPr="004F0BA7">
              <w:t>,</w:t>
            </w:r>
            <w:r w:rsidRPr="004F0BA7">
              <w:t>5</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6560FD7" w14:textId="77777777" w:rsidR="00A92BB0" w:rsidRPr="004F0BA7" w:rsidRDefault="00A92BB0" w:rsidP="00BF2F25">
            <w:pPr>
              <w:pStyle w:val="Tabletext"/>
              <w:jc w:val="center"/>
            </w:pPr>
          </w:p>
        </w:tc>
      </w:tr>
      <w:tr w:rsidR="00175BC1" w:rsidRPr="004F0BA7" w14:paraId="26360772"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42A07CB6" w14:textId="77777777" w:rsidR="00A92BB0" w:rsidRPr="004F0BA7" w:rsidRDefault="00A92BB0" w:rsidP="00BF2F25">
            <w:pPr>
              <w:pStyle w:val="Tabletext"/>
              <w:jc w:val="left"/>
            </w:pPr>
            <w:r w:rsidRPr="004F0BA7">
              <w:t>Affaiblissement dans le système de réception (alimentation d'antennes, câbles, etc.)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21DD20F2" w14:textId="77777777" w:rsidR="00A92BB0" w:rsidRPr="004F0BA7" w:rsidRDefault="00A92BB0" w:rsidP="00BF2F25">
            <w:pPr>
              <w:pStyle w:val="Tabletext"/>
              <w:jc w:val="center"/>
            </w:pPr>
            <w:r w:rsidRPr="004F0BA7">
              <w:t>2</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B459AB0" w14:textId="77777777" w:rsidR="00A92BB0" w:rsidRPr="004F0BA7" w:rsidRDefault="00A92BB0" w:rsidP="00BF2F25">
            <w:pPr>
              <w:pStyle w:val="Tabletext"/>
              <w:jc w:val="center"/>
            </w:pPr>
            <w:r w:rsidRPr="004F0BA7">
              <w:t>2</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784C234E" w14:textId="77777777" w:rsidR="00A92BB0" w:rsidRPr="004F0BA7" w:rsidRDefault="00A92BB0" w:rsidP="00BF2F25">
            <w:pPr>
              <w:pStyle w:val="Tabletext"/>
              <w:jc w:val="center"/>
            </w:pPr>
            <w:r w:rsidRPr="004F0BA7">
              <w:t>2</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BF37195" w14:textId="77777777" w:rsidR="00A92BB0" w:rsidRPr="004F0BA7" w:rsidRDefault="00A92BB0" w:rsidP="00BF2F25">
            <w:pPr>
              <w:pStyle w:val="Tabletext"/>
              <w:jc w:val="center"/>
            </w:pPr>
            <w:r w:rsidRPr="004F0BA7">
              <w:t>2</w:t>
            </w:r>
          </w:p>
        </w:tc>
        <w:tc>
          <w:tcPr>
            <w:tcW w:w="106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559198C" w14:textId="77777777" w:rsidR="00A92BB0" w:rsidRPr="004F0BA7" w:rsidRDefault="00A92BB0" w:rsidP="00BF2F25">
            <w:pPr>
              <w:pStyle w:val="Tabletext"/>
              <w:jc w:val="center"/>
            </w:pPr>
          </w:p>
        </w:tc>
      </w:tr>
    </w:tbl>
    <w:p w14:paraId="02716804" w14:textId="18A9E1B6" w:rsidR="00E3273C" w:rsidRPr="004F0BA7" w:rsidRDefault="00E3273C" w:rsidP="00571BD5">
      <w:pPr>
        <w:pStyle w:val="TableNo"/>
      </w:pPr>
      <w:r w:rsidRPr="004F0BA7">
        <w:lastRenderedPageBreak/>
        <w:t>TABLEAU 6 (</w:t>
      </w:r>
      <w:r w:rsidRPr="004F0BA7">
        <w:rPr>
          <w:i/>
          <w:iCs/>
        </w:rPr>
        <w:t>fin</w:t>
      </w:r>
      <w:r w:rsidRPr="004F0BA7">
        <w:t>)</w:t>
      </w:r>
    </w:p>
    <w:tbl>
      <w:tblPr>
        <w:tblW w:w="14459" w:type="dxa"/>
        <w:jc w:val="center"/>
        <w:tblLayout w:type="fixed"/>
        <w:tblLook w:val="04A0" w:firstRow="1" w:lastRow="0" w:firstColumn="1" w:lastColumn="0" w:noHBand="0" w:noVBand="1"/>
      </w:tblPr>
      <w:tblGrid>
        <w:gridCol w:w="3550"/>
        <w:gridCol w:w="1492"/>
        <w:gridCol w:w="1154"/>
        <w:gridCol w:w="1154"/>
        <w:gridCol w:w="1582"/>
        <w:gridCol w:w="1154"/>
        <w:gridCol w:w="1296"/>
        <w:gridCol w:w="3077"/>
      </w:tblGrid>
      <w:tr w:rsidR="00E3273C" w:rsidRPr="004F0BA7" w14:paraId="0DDE8189" w14:textId="77777777" w:rsidTr="00E3273C">
        <w:trPr>
          <w:trHeight w:hRule="exact" w:val="576"/>
          <w:tblHeader/>
          <w:jc w:val="center"/>
        </w:trPr>
        <w:tc>
          <w:tcPr>
            <w:tcW w:w="122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3B00499" w14:textId="77777777" w:rsidR="00E3273C" w:rsidRPr="004F0BA7" w:rsidRDefault="00E3273C" w:rsidP="006651D7">
            <w:pPr>
              <w:pStyle w:val="Tablehead"/>
              <w:jc w:val="left"/>
            </w:pPr>
            <w:r w:rsidRPr="004F0BA7">
              <w:t>Type de système</w:t>
            </w:r>
          </w:p>
        </w:tc>
        <w:tc>
          <w:tcPr>
            <w:tcW w:w="91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AD3354" w14:textId="77777777" w:rsidR="00E3273C" w:rsidRPr="004F0BA7" w:rsidRDefault="00E3273C" w:rsidP="006651D7">
            <w:pPr>
              <w:pStyle w:val="Tablehead"/>
            </w:pPr>
            <w:r w:rsidRPr="004F0BA7">
              <w:t>Type A</w:t>
            </w:r>
          </w:p>
        </w:tc>
        <w:tc>
          <w:tcPr>
            <w:tcW w:w="399" w:type="pct"/>
            <w:tcBorders>
              <w:top w:val="single" w:sz="8" w:space="0" w:color="auto"/>
              <w:left w:val="nil"/>
              <w:bottom w:val="single" w:sz="8" w:space="0" w:color="auto"/>
              <w:right w:val="single" w:sz="8" w:space="0" w:color="000000"/>
            </w:tcBorders>
            <w:shd w:val="clear" w:color="auto" w:fill="auto"/>
            <w:noWrap/>
            <w:vAlign w:val="center"/>
            <w:hideMark/>
          </w:tcPr>
          <w:p w14:paraId="6996CFDD" w14:textId="77777777" w:rsidR="00E3273C" w:rsidRPr="004F0BA7" w:rsidRDefault="00E3273C" w:rsidP="006651D7">
            <w:pPr>
              <w:pStyle w:val="Tablehead"/>
            </w:pPr>
            <w:r w:rsidRPr="004F0BA7">
              <w:t>Type B</w:t>
            </w:r>
          </w:p>
        </w:tc>
        <w:tc>
          <w:tcPr>
            <w:tcW w:w="94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9B153E2" w14:textId="77777777" w:rsidR="00E3273C" w:rsidRPr="004F0BA7" w:rsidRDefault="00E3273C" w:rsidP="006651D7">
            <w:pPr>
              <w:pStyle w:val="Tablehead"/>
            </w:pPr>
            <w:r w:rsidRPr="004F0BA7">
              <w:t>Type C</w:t>
            </w:r>
          </w:p>
        </w:tc>
        <w:tc>
          <w:tcPr>
            <w:tcW w:w="4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EBF5F3" w14:textId="77777777" w:rsidR="00E3273C" w:rsidRPr="004F0BA7" w:rsidRDefault="00E3273C" w:rsidP="006651D7">
            <w:pPr>
              <w:pStyle w:val="Tablehead"/>
            </w:pPr>
            <w:r w:rsidRPr="004F0BA7">
              <w:t>Type D</w:t>
            </w:r>
          </w:p>
        </w:tc>
        <w:tc>
          <w:tcPr>
            <w:tcW w:w="1064" w:type="pct"/>
            <w:tcBorders>
              <w:top w:val="single" w:sz="8" w:space="0" w:color="auto"/>
              <w:left w:val="single" w:sz="8" w:space="0" w:color="auto"/>
              <w:bottom w:val="single" w:sz="8" w:space="0" w:color="auto"/>
              <w:right w:val="single" w:sz="8" w:space="0" w:color="000000"/>
            </w:tcBorders>
            <w:shd w:val="clear" w:color="auto" w:fill="auto"/>
            <w:vAlign w:val="center"/>
          </w:tcPr>
          <w:p w14:paraId="31470D85" w14:textId="77777777" w:rsidR="00E3273C" w:rsidRPr="004F0BA7" w:rsidRDefault="00E3273C" w:rsidP="006651D7">
            <w:pPr>
              <w:pStyle w:val="Tablehead"/>
            </w:pPr>
            <w:r w:rsidRPr="004F0BA7">
              <w:t xml:space="preserve">Type E </w:t>
            </w:r>
          </w:p>
        </w:tc>
      </w:tr>
      <w:tr w:rsidR="00175BC1" w:rsidRPr="004F0BA7" w14:paraId="343CEDB9"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2C1C2390" w14:textId="77777777" w:rsidR="00A92BB0" w:rsidRPr="004F0BA7" w:rsidRDefault="00A92BB0" w:rsidP="00BF2F25">
            <w:pPr>
              <w:pStyle w:val="Tabletext"/>
              <w:jc w:val="left"/>
            </w:pPr>
            <w:r w:rsidRPr="004F0BA7">
              <w:t>Affaiblissement par défaut d'adaptation de la polarisation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4E8D0708" w14:textId="77777777" w:rsidR="00A92BB0" w:rsidRPr="004F0BA7" w:rsidRDefault="00A92BB0" w:rsidP="00BF2F25">
            <w:pPr>
              <w:pStyle w:val="Tabletext"/>
              <w:jc w:val="center"/>
            </w:pPr>
            <w:r w:rsidRPr="004F0BA7">
              <w:t>0</w:t>
            </w:r>
            <w:r w:rsidR="00641958" w:rsidRPr="004F0BA7">
              <w:t>,</w:t>
            </w:r>
            <w:r w:rsidRPr="004F0BA7">
              <w:t>5</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3538ED5" w14:textId="77777777" w:rsidR="00A92BB0" w:rsidRPr="004F0BA7" w:rsidRDefault="00A92BB0" w:rsidP="00BF2F25">
            <w:pPr>
              <w:pStyle w:val="Tabletext"/>
              <w:jc w:val="center"/>
            </w:pPr>
            <w:r w:rsidRPr="004F0BA7">
              <w:t>0</w:t>
            </w:r>
            <w:r w:rsidR="00641958" w:rsidRPr="004F0BA7">
              <w:t>,</w:t>
            </w:r>
            <w:r w:rsidRPr="004F0BA7">
              <w:t>5</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079B3B74" w14:textId="77777777" w:rsidR="00A92BB0" w:rsidRPr="004F0BA7" w:rsidRDefault="00A92BB0" w:rsidP="00BF2F25">
            <w:pPr>
              <w:pStyle w:val="Tabletext"/>
              <w:jc w:val="center"/>
            </w:pPr>
            <w:r w:rsidRPr="004F0BA7">
              <w:t>0</w:t>
            </w:r>
            <w:r w:rsidR="00641958" w:rsidRPr="004F0BA7">
              <w:t>,</w:t>
            </w:r>
            <w:r w:rsidRPr="004F0BA7">
              <w:t>5</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9447BD9" w14:textId="77777777" w:rsidR="00A92BB0" w:rsidRPr="004F0BA7" w:rsidRDefault="00A92BB0" w:rsidP="00BF2F25">
            <w:pPr>
              <w:pStyle w:val="Tabletext"/>
              <w:jc w:val="center"/>
            </w:pPr>
            <w:r w:rsidRPr="004F0BA7">
              <w:t>0</w:t>
            </w:r>
            <w:r w:rsidR="00641958" w:rsidRPr="004F0BA7">
              <w:t>,</w:t>
            </w:r>
            <w:r w:rsidRPr="004F0BA7">
              <w:t>5</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3502235" w14:textId="77777777" w:rsidR="00A92BB0" w:rsidRPr="004F0BA7" w:rsidRDefault="00A92BB0" w:rsidP="00BF2F25">
            <w:pPr>
              <w:pStyle w:val="Tabletext"/>
              <w:jc w:val="center"/>
            </w:pPr>
          </w:p>
        </w:tc>
      </w:tr>
      <w:tr w:rsidR="00175BC1" w:rsidRPr="004F0BA7" w14:paraId="09CE6E39"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20789AF8" w14:textId="77777777" w:rsidR="00A92BB0" w:rsidRPr="004F0BA7" w:rsidRDefault="00A92BB0" w:rsidP="00BF2F25">
            <w:pPr>
              <w:pStyle w:val="Tabletext"/>
              <w:jc w:val="left"/>
            </w:pPr>
            <w:r w:rsidRPr="004F0BA7">
              <w:t>Puissance du signal reçu (</w:t>
            </w:r>
            <w:proofErr w:type="spellStart"/>
            <w:r w:rsidRPr="004F0BA7">
              <w:t>dBW</w:t>
            </w:r>
            <w:proofErr w:type="spellEnd"/>
            <w:r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4DDDCE85" w14:textId="77777777" w:rsidR="00A92BB0" w:rsidRPr="004F0BA7" w:rsidRDefault="00A92BB0" w:rsidP="00BF2F25">
            <w:pPr>
              <w:pStyle w:val="Tabletext"/>
              <w:jc w:val="center"/>
            </w:pPr>
            <w:r w:rsidRPr="004F0BA7">
              <w:t>−133</w:t>
            </w:r>
            <w:r w:rsidR="00641958" w:rsidRPr="004F0BA7">
              <w:t>,</w:t>
            </w:r>
            <w:r w:rsidRPr="004F0BA7">
              <w:t>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148A785" w14:textId="77777777" w:rsidR="00A92BB0" w:rsidRPr="004F0BA7" w:rsidRDefault="00A92BB0" w:rsidP="00BF2F25">
            <w:pPr>
              <w:pStyle w:val="Tabletext"/>
              <w:jc w:val="center"/>
            </w:pPr>
            <w:r w:rsidRPr="004F0BA7">
              <w:t>−134</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6B4F8609" w14:textId="77777777" w:rsidR="00A92BB0" w:rsidRPr="004F0BA7" w:rsidRDefault="00A92BB0" w:rsidP="00BF2F25">
            <w:pPr>
              <w:pStyle w:val="Tabletext"/>
              <w:jc w:val="center"/>
            </w:pPr>
            <w:r w:rsidRPr="004F0BA7">
              <w:t>−138</w:t>
            </w:r>
            <w:r w:rsidR="00641958" w:rsidRPr="004F0BA7">
              <w:t>,</w:t>
            </w:r>
            <w:r w:rsidRPr="004F0BA7">
              <w:t>6</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4D5F69C" w14:textId="77777777" w:rsidR="00A92BB0" w:rsidRPr="004F0BA7" w:rsidRDefault="00A92BB0" w:rsidP="00BF2F25">
            <w:pPr>
              <w:pStyle w:val="Tabletext"/>
              <w:jc w:val="center"/>
            </w:pPr>
            <w:r w:rsidRPr="004F0BA7">
              <w:t>−137</w:t>
            </w:r>
            <w:r w:rsidR="00641958" w:rsidRPr="004F0BA7">
              <w:t>,</w:t>
            </w:r>
            <w:r w:rsidRPr="004F0BA7">
              <w:t>4</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F62BBE0" w14:textId="77777777" w:rsidR="00A92BB0" w:rsidRPr="004F0BA7" w:rsidRDefault="00A92BB0" w:rsidP="00BF2F25">
            <w:pPr>
              <w:pStyle w:val="Tabletext"/>
              <w:jc w:val="center"/>
            </w:pPr>
          </w:p>
        </w:tc>
      </w:tr>
      <w:tr w:rsidR="00175BC1" w:rsidRPr="004F0BA7" w14:paraId="7FB767B1"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4F673F46" w14:textId="77777777" w:rsidR="00830864" w:rsidRPr="004F0BA7" w:rsidRDefault="00C8386C" w:rsidP="00BF2F25">
            <w:pPr>
              <w:pStyle w:val="Tabletext"/>
              <w:jc w:val="left"/>
            </w:pPr>
            <w:r w:rsidRPr="004F0BA7">
              <w:t xml:space="preserve">Largeur de bande de référence du récepteur </w:t>
            </w:r>
            <w:r w:rsidR="001F2C4F" w:rsidRPr="004F0BA7">
              <w:t xml:space="preserve">au sol </w:t>
            </w:r>
            <w:r w:rsidR="00830864" w:rsidRPr="004F0BA7">
              <w:t>(kHz)</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46F32D9B" w14:textId="77777777" w:rsidR="00830864" w:rsidRPr="004F0BA7" w:rsidRDefault="00830864" w:rsidP="00BF2F25">
            <w:pPr>
              <w:pStyle w:val="Tabletext"/>
              <w:jc w:val="center"/>
            </w:pPr>
            <w:r w:rsidRPr="004F0BA7">
              <w:t>300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A297097" w14:textId="77777777" w:rsidR="00830864" w:rsidRPr="004F0BA7" w:rsidRDefault="00830864" w:rsidP="00BF2F25">
            <w:pPr>
              <w:pStyle w:val="Tabletext"/>
              <w:jc w:val="center"/>
            </w:pPr>
            <w:r w:rsidRPr="004F0BA7">
              <w:t>6</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22D15688" w14:textId="77777777" w:rsidR="00830864" w:rsidRPr="004F0BA7" w:rsidRDefault="00830864" w:rsidP="00BF2F25">
            <w:pPr>
              <w:pStyle w:val="Tabletext"/>
              <w:jc w:val="center"/>
            </w:pPr>
            <w:r w:rsidRPr="004F0BA7">
              <w:t>11</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3F154AE" w14:textId="77777777" w:rsidR="00830864" w:rsidRPr="004F0BA7" w:rsidRDefault="00830864" w:rsidP="00BF2F25">
            <w:pPr>
              <w:pStyle w:val="Tabletext"/>
              <w:jc w:val="center"/>
            </w:pPr>
            <w:r w:rsidRPr="004F0BA7">
              <w:t>17</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C4A76AB" w14:textId="77777777" w:rsidR="00830864" w:rsidRPr="004F0BA7" w:rsidRDefault="00830864" w:rsidP="00BF2F25">
            <w:pPr>
              <w:pStyle w:val="Tabletext"/>
              <w:jc w:val="center"/>
            </w:pPr>
          </w:p>
        </w:tc>
      </w:tr>
      <w:tr w:rsidR="00175BC1" w:rsidRPr="004F0BA7" w14:paraId="1F762B93"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3A11EEF5" w14:textId="77777777" w:rsidR="00830864" w:rsidRPr="004F0BA7" w:rsidRDefault="00C8386C" w:rsidP="00BF2F25">
            <w:pPr>
              <w:pStyle w:val="Tabletext"/>
              <w:jc w:val="left"/>
            </w:pPr>
            <w:r w:rsidRPr="004F0BA7">
              <w:t xml:space="preserve">Largeur de bande de référence du récepteur </w:t>
            </w:r>
            <w:r w:rsidR="001F2C4F" w:rsidRPr="004F0BA7">
              <w:t xml:space="preserve">au sol </w:t>
            </w:r>
            <w:r w:rsidR="00830864" w:rsidRPr="004F0BA7">
              <w:t>(</w:t>
            </w:r>
            <w:proofErr w:type="spellStart"/>
            <w:r w:rsidR="00830864" w:rsidRPr="004F0BA7">
              <w:t>dBHz</w:t>
            </w:r>
            <w:proofErr w:type="spellEnd"/>
            <w:r w:rsidR="00830864"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5D08F801" w14:textId="77777777" w:rsidR="00830864" w:rsidRPr="004F0BA7" w:rsidRDefault="00830864" w:rsidP="00BF2F25">
            <w:pPr>
              <w:pStyle w:val="Tabletext"/>
              <w:jc w:val="center"/>
            </w:pPr>
            <w:r w:rsidRPr="004F0BA7">
              <w:t>54</w:t>
            </w:r>
            <w:r w:rsidR="00641958" w:rsidRPr="004F0BA7">
              <w:t>,</w:t>
            </w:r>
            <w:r w:rsidRPr="004F0BA7">
              <w:t>8</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C1F37BF" w14:textId="77777777" w:rsidR="00830864" w:rsidRPr="004F0BA7" w:rsidRDefault="00830864" w:rsidP="00BF2F25">
            <w:pPr>
              <w:pStyle w:val="Tabletext"/>
              <w:jc w:val="center"/>
            </w:pPr>
            <w:r w:rsidRPr="004F0BA7">
              <w:t>37</w:t>
            </w:r>
            <w:r w:rsidR="00641958" w:rsidRPr="004F0BA7">
              <w:t>,</w:t>
            </w:r>
            <w:r w:rsidRPr="004F0BA7">
              <w:t>8</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14AA7E1F" w14:textId="77777777" w:rsidR="00830864" w:rsidRPr="004F0BA7" w:rsidRDefault="00830864" w:rsidP="00BF2F25">
            <w:pPr>
              <w:pStyle w:val="Tabletext"/>
              <w:jc w:val="center"/>
            </w:pPr>
            <w:r w:rsidRPr="004F0BA7">
              <w:t>40</w:t>
            </w:r>
            <w:r w:rsidR="00641958" w:rsidRPr="004F0BA7">
              <w:t>,</w:t>
            </w:r>
            <w:r w:rsidRPr="004F0BA7">
              <w:t>4</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BB515AB" w14:textId="77777777" w:rsidR="00830864" w:rsidRPr="004F0BA7" w:rsidRDefault="00830864" w:rsidP="00BF2F25">
            <w:pPr>
              <w:pStyle w:val="Tabletext"/>
              <w:jc w:val="center"/>
            </w:pPr>
            <w:r w:rsidRPr="004F0BA7">
              <w:t>42</w:t>
            </w:r>
            <w:r w:rsidR="00641958" w:rsidRPr="004F0BA7">
              <w:t>,</w:t>
            </w:r>
            <w:r w:rsidRPr="004F0BA7">
              <w:t>3</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D0D39FC" w14:textId="77777777" w:rsidR="00830864" w:rsidRPr="004F0BA7" w:rsidRDefault="00830864" w:rsidP="00BF2F25">
            <w:pPr>
              <w:pStyle w:val="Tabletext"/>
              <w:jc w:val="center"/>
            </w:pPr>
          </w:p>
        </w:tc>
      </w:tr>
      <w:tr w:rsidR="00175BC1" w:rsidRPr="004F0BA7" w14:paraId="1CD9965D"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137274A1" w14:textId="77777777" w:rsidR="00830864" w:rsidRPr="004F0BA7" w:rsidRDefault="00A92BB0" w:rsidP="00BF2F25">
            <w:pPr>
              <w:pStyle w:val="Tabletext"/>
              <w:jc w:val="left"/>
            </w:pPr>
            <w:r w:rsidRPr="004F0BA7">
              <w:t xml:space="preserve">Energie reçue par Hz, </w:t>
            </w:r>
            <w:r w:rsidRPr="004F0BA7">
              <w:rPr>
                <w:i/>
                <w:iCs/>
              </w:rPr>
              <w:t>C</w:t>
            </w:r>
            <w:r w:rsidRPr="004F0BA7">
              <w:rPr>
                <w:vertAlign w:val="subscript"/>
              </w:rPr>
              <w:t>0</w:t>
            </w:r>
            <w:r w:rsidRPr="004F0BA7">
              <w:t xml:space="preserve"> (dB(W/Hz))</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28F1103E" w14:textId="77777777" w:rsidR="00830864" w:rsidRPr="004F0BA7" w:rsidRDefault="00830864" w:rsidP="00BF2F25">
            <w:pPr>
              <w:pStyle w:val="Tabletext"/>
              <w:jc w:val="center"/>
            </w:pPr>
            <w:r w:rsidRPr="004F0BA7">
              <w:t>−187</w:t>
            </w:r>
            <w:r w:rsidR="00641958" w:rsidRPr="004F0BA7">
              <w:t>,</w:t>
            </w:r>
            <w:r w:rsidRPr="004F0BA7">
              <w:t>8</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308E680" w14:textId="77777777" w:rsidR="00830864" w:rsidRPr="004F0BA7" w:rsidRDefault="00830864" w:rsidP="00BF2F25">
            <w:pPr>
              <w:pStyle w:val="Tabletext"/>
              <w:jc w:val="center"/>
            </w:pPr>
            <w:r w:rsidRPr="004F0BA7">
              <w:t>−172</w:t>
            </w:r>
            <w:r w:rsidR="00641958" w:rsidRPr="004F0BA7">
              <w:t>,</w:t>
            </w:r>
            <w:r w:rsidRPr="004F0BA7">
              <w:t>2</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477F9D62" w14:textId="77777777" w:rsidR="00830864" w:rsidRPr="004F0BA7" w:rsidRDefault="00830864" w:rsidP="00BF2F25">
            <w:pPr>
              <w:pStyle w:val="Tabletext"/>
              <w:jc w:val="center"/>
            </w:pPr>
            <w:r w:rsidRPr="004F0BA7">
              <w:t>−179</w:t>
            </w:r>
            <w:r w:rsidR="00641958" w:rsidRPr="004F0BA7">
              <w:t>,</w:t>
            </w:r>
            <w:r w:rsidRPr="004F0BA7">
              <w:t>0</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5C58D20" w14:textId="77777777" w:rsidR="00830864" w:rsidRPr="004F0BA7" w:rsidRDefault="00830864" w:rsidP="00BF2F25">
            <w:pPr>
              <w:pStyle w:val="Tabletext"/>
              <w:jc w:val="center"/>
            </w:pPr>
            <w:r w:rsidRPr="004F0BA7">
              <w:t>−179</w:t>
            </w:r>
            <w:r w:rsidR="00641958" w:rsidRPr="004F0BA7">
              <w:t>,</w:t>
            </w:r>
            <w:r w:rsidRPr="004F0BA7">
              <w:t>7</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6C3B3E9" w14:textId="77777777" w:rsidR="00830864" w:rsidRPr="004F0BA7" w:rsidRDefault="00830864" w:rsidP="00BF2F25">
            <w:pPr>
              <w:pStyle w:val="Tabletext"/>
              <w:jc w:val="center"/>
            </w:pPr>
          </w:p>
        </w:tc>
      </w:tr>
      <w:tr w:rsidR="00175BC1" w:rsidRPr="004F0BA7" w14:paraId="01BC0BE2"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626A2169" w14:textId="77777777" w:rsidR="00830864" w:rsidRPr="004F0BA7" w:rsidRDefault="00C8386C" w:rsidP="00BF2F25">
            <w:pPr>
              <w:pStyle w:val="Tabletext"/>
              <w:jc w:val="left"/>
            </w:pPr>
            <w:r w:rsidRPr="004F0BA7">
              <w:t xml:space="preserve">Température de bruit du système de réception au sol </w:t>
            </w:r>
            <w:r w:rsidR="00830864" w:rsidRPr="004F0BA7">
              <w:t>(K)</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1C9098C1" w14:textId="77777777" w:rsidR="00830864" w:rsidRPr="004F0BA7" w:rsidRDefault="00830864" w:rsidP="00BF2F25">
            <w:pPr>
              <w:pStyle w:val="Tabletext"/>
              <w:jc w:val="center"/>
            </w:pPr>
            <w:r w:rsidRPr="004F0BA7">
              <w:t>600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240F542" w14:textId="77777777" w:rsidR="00830864" w:rsidRPr="004F0BA7" w:rsidRDefault="00830864" w:rsidP="00BF2F25">
            <w:pPr>
              <w:pStyle w:val="Tabletext"/>
              <w:jc w:val="center"/>
            </w:pPr>
            <w:r w:rsidRPr="004F0BA7">
              <w:t>600</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410DDA51" w14:textId="77777777" w:rsidR="00830864" w:rsidRPr="004F0BA7" w:rsidRDefault="00830864" w:rsidP="00BF2F25">
            <w:pPr>
              <w:pStyle w:val="Tabletext"/>
              <w:jc w:val="center"/>
            </w:pPr>
            <w:r w:rsidRPr="004F0BA7">
              <w:t>170</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B7D1A49" w14:textId="77777777" w:rsidR="00830864" w:rsidRPr="004F0BA7" w:rsidRDefault="00830864" w:rsidP="00BF2F25">
            <w:pPr>
              <w:pStyle w:val="Tabletext"/>
              <w:jc w:val="center"/>
            </w:pPr>
            <w:r w:rsidRPr="004F0BA7">
              <w:t>255</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9663997" w14:textId="77777777" w:rsidR="00830864" w:rsidRPr="004F0BA7" w:rsidRDefault="00830864" w:rsidP="00BF2F25">
            <w:pPr>
              <w:pStyle w:val="Tabletext"/>
              <w:jc w:val="center"/>
            </w:pPr>
          </w:p>
        </w:tc>
      </w:tr>
      <w:tr w:rsidR="00175BC1" w:rsidRPr="004F0BA7" w14:paraId="37B56A0C"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26208F28" w14:textId="77777777" w:rsidR="00830864" w:rsidRPr="004F0BA7" w:rsidRDefault="00C8386C" w:rsidP="00BF2F25">
            <w:pPr>
              <w:pStyle w:val="Tabletext"/>
              <w:jc w:val="left"/>
            </w:pPr>
            <w:r w:rsidRPr="004F0BA7">
              <w:t xml:space="preserve">Puissance de bruit du système de réception au sol </w:t>
            </w:r>
            <w:r w:rsidR="00830864" w:rsidRPr="004F0BA7">
              <w:t>(</w:t>
            </w:r>
            <w:proofErr w:type="spellStart"/>
            <w:r w:rsidR="00830864" w:rsidRPr="004F0BA7">
              <w:t>dBW</w:t>
            </w:r>
            <w:proofErr w:type="spellEnd"/>
            <w:r w:rsidR="00830864" w:rsidRPr="004F0BA7">
              <w:t>)</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4A20B1E6" w14:textId="77777777" w:rsidR="00830864" w:rsidRPr="004F0BA7" w:rsidRDefault="00830864" w:rsidP="00BF2F25">
            <w:pPr>
              <w:pStyle w:val="Tabletext"/>
              <w:jc w:val="center"/>
            </w:pPr>
            <w:r w:rsidRPr="004F0BA7">
              <w:t>−146</w:t>
            </w:r>
            <w:r w:rsidR="00641958" w:rsidRPr="004F0BA7">
              <w:t>,</w:t>
            </w:r>
            <w:r w:rsidRPr="004F0BA7">
              <w:t>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3559028" w14:textId="77777777" w:rsidR="00830864" w:rsidRPr="004F0BA7" w:rsidRDefault="00830864" w:rsidP="00BF2F25">
            <w:pPr>
              <w:pStyle w:val="Tabletext"/>
              <w:jc w:val="center"/>
            </w:pPr>
            <w:r w:rsidRPr="004F0BA7">
              <w:t>−163</w:t>
            </w:r>
            <w:r w:rsidR="00641958" w:rsidRPr="004F0BA7">
              <w:t>,</w:t>
            </w:r>
            <w:r w:rsidRPr="004F0BA7">
              <w:t>0</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648832EF" w14:textId="77777777" w:rsidR="00830864" w:rsidRPr="004F0BA7" w:rsidRDefault="00830864" w:rsidP="00BF2F25">
            <w:pPr>
              <w:pStyle w:val="Tabletext"/>
              <w:jc w:val="center"/>
            </w:pPr>
            <w:r w:rsidRPr="004F0BA7">
              <w:t>−165</w:t>
            </w:r>
            <w:r w:rsidR="00641958" w:rsidRPr="004F0BA7">
              <w:t>,</w:t>
            </w:r>
            <w:r w:rsidRPr="004F0BA7">
              <w:t>9</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816E3F3" w14:textId="77777777" w:rsidR="00830864" w:rsidRPr="004F0BA7" w:rsidRDefault="00830864" w:rsidP="00BF2F25">
            <w:pPr>
              <w:pStyle w:val="Tabletext"/>
              <w:jc w:val="center"/>
            </w:pPr>
            <w:r w:rsidRPr="004F0BA7">
              <w:t>−162</w:t>
            </w:r>
            <w:r w:rsidR="00641958" w:rsidRPr="004F0BA7">
              <w:t>,</w:t>
            </w:r>
            <w:r w:rsidRPr="004F0BA7">
              <w:t>2</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133B50D" w14:textId="77777777" w:rsidR="00830864" w:rsidRPr="004F0BA7" w:rsidRDefault="00830864" w:rsidP="00BF2F25">
            <w:pPr>
              <w:pStyle w:val="Tabletext"/>
              <w:jc w:val="center"/>
            </w:pPr>
          </w:p>
        </w:tc>
      </w:tr>
      <w:tr w:rsidR="00175BC1" w:rsidRPr="004F0BA7" w14:paraId="149C095B"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45B21C49" w14:textId="77777777" w:rsidR="00830864" w:rsidRPr="004F0BA7" w:rsidRDefault="00C8386C" w:rsidP="00BF2F25">
            <w:pPr>
              <w:pStyle w:val="Tabletext"/>
              <w:jc w:val="left"/>
            </w:pPr>
            <w:r w:rsidRPr="004F0BA7">
              <w:t>Densité spectrale de bruit du récepteur au sol</w:t>
            </w:r>
            <w:r w:rsidR="00830864" w:rsidRPr="004F0BA7">
              <w:t xml:space="preserve">, </w:t>
            </w:r>
            <w:r w:rsidR="00830864" w:rsidRPr="004F0BA7">
              <w:rPr>
                <w:i/>
                <w:iCs/>
              </w:rPr>
              <w:t>N</w:t>
            </w:r>
            <w:r w:rsidR="00830864" w:rsidRPr="004F0BA7">
              <w:rPr>
                <w:vertAlign w:val="subscript"/>
              </w:rPr>
              <w:t>0</w:t>
            </w:r>
            <w:r w:rsidR="00830864" w:rsidRPr="004F0BA7">
              <w:t xml:space="preserve"> (dB(W/Hz))</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5CF3FE39" w14:textId="77777777" w:rsidR="00830864" w:rsidRPr="004F0BA7" w:rsidRDefault="00830864" w:rsidP="00BF2F25">
            <w:pPr>
              <w:pStyle w:val="Tabletext"/>
              <w:jc w:val="center"/>
            </w:pPr>
            <w:r w:rsidRPr="004F0BA7">
              <w:t>−200</w:t>
            </w:r>
            <w:r w:rsidR="00641958" w:rsidRPr="004F0BA7">
              <w:t>,</w:t>
            </w:r>
            <w:r w:rsidRPr="004F0BA7">
              <w:t>8</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76CCB84" w14:textId="77777777" w:rsidR="00830864" w:rsidRPr="004F0BA7" w:rsidRDefault="00830864" w:rsidP="00BF2F25">
            <w:pPr>
              <w:pStyle w:val="Tabletext"/>
              <w:jc w:val="center"/>
            </w:pPr>
            <w:r w:rsidRPr="004F0BA7">
              <w:t>−200</w:t>
            </w:r>
            <w:r w:rsidR="00641958" w:rsidRPr="004F0BA7">
              <w:t>,</w:t>
            </w:r>
            <w:r w:rsidRPr="004F0BA7">
              <w:t>8</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43C855A1" w14:textId="77777777" w:rsidR="00830864" w:rsidRPr="004F0BA7" w:rsidRDefault="00830864" w:rsidP="00BF2F25">
            <w:pPr>
              <w:pStyle w:val="Tabletext"/>
              <w:jc w:val="center"/>
            </w:pPr>
            <w:r w:rsidRPr="004F0BA7">
              <w:t>−206</w:t>
            </w:r>
            <w:r w:rsidR="00641958" w:rsidRPr="004F0BA7">
              <w:t>,</w:t>
            </w:r>
            <w:r w:rsidRPr="004F0BA7">
              <w:t>3</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789D0AF" w14:textId="77777777" w:rsidR="00830864" w:rsidRPr="004F0BA7" w:rsidRDefault="00830864" w:rsidP="00BF2F25">
            <w:pPr>
              <w:pStyle w:val="Tabletext"/>
              <w:jc w:val="center"/>
            </w:pPr>
            <w:r w:rsidRPr="004F0BA7">
              <w:t>−204</w:t>
            </w:r>
            <w:r w:rsidR="00641958" w:rsidRPr="004F0BA7">
              <w:t>,</w:t>
            </w:r>
            <w:r w:rsidRPr="004F0BA7">
              <w:t>5</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D17C98C" w14:textId="77777777" w:rsidR="00830864" w:rsidRPr="004F0BA7" w:rsidRDefault="00830864" w:rsidP="00BF2F25">
            <w:pPr>
              <w:pStyle w:val="Tabletext"/>
              <w:jc w:val="center"/>
            </w:pPr>
          </w:p>
        </w:tc>
      </w:tr>
      <w:tr w:rsidR="00175BC1" w:rsidRPr="004F0BA7" w14:paraId="442B37B7"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vAlign w:val="center"/>
          </w:tcPr>
          <w:p w14:paraId="411FA786" w14:textId="77777777" w:rsidR="00830864" w:rsidRPr="004F0BA7" w:rsidRDefault="00B85E9F" w:rsidP="00B85E9F">
            <w:pPr>
              <w:pStyle w:val="Tabletext"/>
              <w:jc w:val="left"/>
            </w:pPr>
            <w:r w:rsidRPr="004F0BA7">
              <w:rPr>
                <w:i/>
                <w:iCs/>
              </w:rPr>
              <w:t>C</w:t>
            </w:r>
            <w:r w:rsidRPr="004F0BA7">
              <w:rPr>
                <w:vertAlign w:val="subscript"/>
              </w:rPr>
              <w:t>0</w:t>
            </w:r>
            <w:r w:rsidRPr="004F0BA7">
              <w:t>/</w:t>
            </w:r>
            <w:r w:rsidRPr="004F0BA7">
              <w:rPr>
                <w:i/>
                <w:iCs/>
              </w:rPr>
              <w:t>N</w:t>
            </w:r>
            <w:r w:rsidRPr="004F0BA7">
              <w:rPr>
                <w:vertAlign w:val="subscript"/>
              </w:rPr>
              <w:t>0</w:t>
            </w:r>
            <w:r w:rsidRPr="004F0BA7">
              <w:t xml:space="preserve"> </w:t>
            </w:r>
            <w:r w:rsidR="00A92BB0" w:rsidRPr="004F0BA7">
              <w:t>minimal (dB)</w:t>
            </w:r>
          </w:p>
        </w:tc>
        <w:tc>
          <w:tcPr>
            <w:tcW w:w="516" w:type="pct"/>
            <w:tcBorders>
              <w:top w:val="single" w:sz="4" w:space="0" w:color="auto"/>
              <w:left w:val="nil"/>
              <w:bottom w:val="single" w:sz="4" w:space="0" w:color="auto"/>
              <w:right w:val="single" w:sz="8" w:space="0" w:color="auto"/>
            </w:tcBorders>
            <w:shd w:val="clear" w:color="auto" w:fill="auto"/>
            <w:noWrap/>
            <w:vAlign w:val="center"/>
          </w:tcPr>
          <w:p w14:paraId="766A93BF" w14:textId="77777777" w:rsidR="00830864" w:rsidRPr="004F0BA7" w:rsidRDefault="00830864" w:rsidP="00BF2F25">
            <w:pPr>
              <w:pStyle w:val="Tabletext"/>
              <w:jc w:val="center"/>
            </w:pPr>
            <w:r w:rsidRPr="004F0BA7">
              <w:t>7</w:t>
            </w:r>
          </w:p>
        </w:tc>
        <w:tc>
          <w:tcPr>
            <w:tcW w:w="399" w:type="pct"/>
            <w:tcBorders>
              <w:top w:val="single" w:sz="4" w:space="0" w:color="auto"/>
              <w:left w:val="nil"/>
              <w:bottom w:val="single" w:sz="4" w:space="0" w:color="auto"/>
              <w:right w:val="single" w:sz="8" w:space="0" w:color="auto"/>
            </w:tcBorders>
            <w:shd w:val="clear" w:color="auto" w:fill="auto"/>
            <w:vAlign w:val="center"/>
          </w:tcPr>
          <w:p w14:paraId="71B2FEF2" w14:textId="77777777" w:rsidR="00830864" w:rsidRPr="004F0BA7" w:rsidRDefault="00830864" w:rsidP="00BF2F25">
            <w:pPr>
              <w:pStyle w:val="Tabletext"/>
              <w:jc w:val="center"/>
            </w:pPr>
            <w:r w:rsidRPr="004F0BA7">
              <w:t>12</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AEB6DCA" w14:textId="77777777" w:rsidR="00830864" w:rsidRPr="004F0BA7" w:rsidRDefault="00830864" w:rsidP="00BF2F25">
            <w:pPr>
              <w:pStyle w:val="Tabletext"/>
              <w:jc w:val="center"/>
            </w:pPr>
            <w:r w:rsidRPr="004F0BA7">
              <w:t>12</w:t>
            </w:r>
          </w:p>
        </w:tc>
        <w:tc>
          <w:tcPr>
            <w:tcW w:w="547" w:type="pct"/>
            <w:tcBorders>
              <w:top w:val="single" w:sz="4" w:space="0" w:color="auto"/>
              <w:left w:val="nil"/>
              <w:bottom w:val="single" w:sz="4" w:space="0" w:color="auto"/>
              <w:right w:val="single" w:sz="8" w:space="0" w:color="auto"/>
            </w:tcBorders>
            <w:shd w:val="clear" w:color="auto" w:fill="auto"/>
            <w:noWrap/>
            <w:vAlign w:val="center"/>
          </w:tcPr>
          <w:p w14:paraId="34DFE388" w14:textId="77777777" w:rsidR="00830864" w:rsidRPr="004F0BA7" w:rsidRDefault="00830864" w:rsidP="00BF2F25">
            <w:pPr>
              <w:pStyle w:val="Tabletext"/>
              <w:jc w:val="center"/>
            </w:pPr>
            <w:r w:rsidRPr="004F0BA7">
              <w:t>7</w:t>
            </w:r>
          </w:p>
        </w:tc>
        <w:tc>
          <w:tcPr>
            <w:tcW w:w="399" w:type="pct"/>
            <w:tcBorders>
              <w:top w:val="single" w:sz="4" w:space="0" w:color="auto"/>
              <w:left w:val="nil"/>
              <w:bottom w:val="single" w:sz="4" w:space="0" w:color="auto"/>
              <w:right w:val="single" w:sz="8" w:space="0" w:color="auto"/>
            </w:tcBorders>
            <w:shd w:val="clear" w:color="auto" w:fill="auto"/>
            <w:vAlign w:val="center"/>
          </w:tcPr>
          <w:p w14:paraId="0C28A9B5" w14:textId="77777777" w:rsidR="00830864" w:rsidRPr="004F0BA7" w:rsidRDefault="00830864" w:rsidP="00BF2F25">
            <w:pPr>
              <w:pStyle w:val="Tabletext"/>
              <w:jc w:val="center"/>
            </w:pPr>
            <w:r w:rsidRPr="004F0BA7">
              <w:t>12</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F033B4E" w14:textId="77777777" w:rsidR="00830864" w:rsidRPr="004F0BA7" w:rsidRDefault="00830864" w:rsidP="00BF2F25">
            <w:pPr>
              <w:pStyle w:val="Tabletext"/>
              <w:jc w:val="center"/>
            </w:pPr>
            <w:r w:rsidRPr="004F0BA7">
              <w:t>12</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A06DBCF" w14:textId="77777777" w:rsidR="00830864" w:rsidRPr="004F0BA7" w:rsidRDefault="00830864" w:rsidP="00BF2F25">
            <w:pPr>
              <w:pStyle w:val="Tabletext"/>
              <w:jc w:val="center"/>
            </w:pPr>
          </w:p>
        </w:tc>
      </w:tr>
      <w:tr w:rsidR="00175BC1" w:rsidRPr="004F0BA7" w14:paraId="409D64C2"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49054511" w14:textId="77777777" w:rsidR="00A92BB0" w:rsidRPr="004F0BA7" w:rsidRDefault="00B85E9F" w:rsidP="00B85E9F">
            <w:pPr>
              <w:pStyle w:val="Tabletext"/>
              <w:jc w:val="left"/>
            </w:pPr>
            <w:r w:rsidRPr="004F0BA7">
              <w:rPr>
                <w:i/>
                <w:iCs/>
              </w:rPr>
              <w:t>C</w:t>
            </w:r>
            <w:r w:rsidRPr="004F0BA7">
              <w:rPr>
                <w:vertAlign w:val="subscript"/>
              </w:rPr>
              <w:t>0</w:t>
            </w:r>
            <w:r w:rsidRPr="004F0BA7">
              <w:t>/</w:t>
            </w:r>
            <w:r w:rsidRPr="004F0BA7">
              <w:rPr>
                <w:i/>
                <w:iCs/>
              </w:rPr>
              <w:t>N</w:t>
            </w:r>
            <w:r w:rsidRPr="004F0BA7">
              <w:rPr>
                <w:vertAlign w:val="subscript"/>
              </w:rPr>
              <w:t>0</w:t>
            </w:r>
            <w:r w:rsidRPr="004F0BA7">
              <w:t xml:space="preserve"> </w:t>
            </w:r>
            <w:r w:rsidR="00A92BB0" w:rsidRPr="004F0BA7">
              <w:t>effectif pour le vol (dB)</w:t>
            </w:r>
          </w:p>
        </w:tc>
        <w:tc>
          <w:tcPr>
            <w:tcW w:w="915" w:type="pct"/>
            <w:gridSpan w:val="2"/>
            <w:tcBorders>
              <w:top w:val="single" w:sz="4" w:space="0" w:color="auto"/>
              <w:left w:val="nil"/>
              <w:bottom w:val="single" w:sz="4" w:space="0" w:color="auto"/>
              <w:right w:val="single" w:sz="8" w:space="0" w:color="auto"/>
            </w:tcBorders>
            <w:shd w:val="clear" w:color="auto" w:fill="auto"/>
            <w:noWrap/>
            <w:vAlign w:val="center"/>
          </w:tcPr>
          <w:p w14:paraId="6A3771FE" w14:textId="77777777" w:rsidR="00A92BB0" w:rsidRPr="004F0BA7" w:rsidRDefault="00A92BB0" w:rsidP="00BF2F25">
            <w:pPr>
              <w:pStyle w:val="Tabletext"/>
              <w:jc w:val="center"/>
            </w:pPr>
            <w:r w:rsidRPr="004F0BA7">
              <w:t>13</w:t>
            </w:r>
            <w:r w:rsidR="00641958" w:rsidRPr="004F0BA7">
              <w:t>,</w:t>
            </w:r>
            <w:r w:rsidRPr="004F0BA7">
              <w:t>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C1D0ECA" w14:textId="77777777" w:rsidR="00A92BB0" w:rsidRPr="004F0BA7" w:rsidRDefault="00A92BB0" w:rsidP="00BF2F25">
            <w:pPr>
              <w:pStyle w:val="Tabletext"/>
              <w:jc w:val="center"/>
            </w:pPr>
            <w:r w:rsidRPr="004F0BA7">
              <w:t>28</w:t>
            </w:r>
            <w:r w:rsidR="00641958" w:rsidRPr="004F0BA7">
              <w:t>,</w:t>
            </w:r>
            <w:r w:rsidRPr="004F0BA7">
              <w:t>6</w:t>
            </w:r>
          </w:p>
        </w:tc>
        <w:tc>
          <w:tcPr>
            <w:tcW w:w="946" w:type="pct"/>
            <w:gridSpan w:val="2"/>
            <w:tcBorders>
              <w:top w:val="single" w:sz="4" w:space="0" w:color="auto"/>
              <w:left w:val="nil"/>
              <w:bottom w:val="single" w:sz="4" w:space="0" w:color="auto"/>
              <w:right w:val="single" w:sz="8" w:space="0" w:color="auto"/>
            </w:tcBorders>
            <w:shd w:val="clear" w:color="auto" w:fill="auto"/>
            <w:noWrap/>
            <w:vAlign w:val="center"/>
          </w:tcPr>
          <w:p w14:paraId="31CD3C57" w14:textId="77777777" w:rsidR="00A92BB0" w:rsidRPr="004F0BA7" w:rsidRDefault="00A92BB0" w:rsidP="00BF2F25">
            <w:pPr>
              <w:pStyle w:val="Tabletext"/>
              <w:jc w:val="center"/>
            </w:pPr>
            <w:r w:rsidRPr="004F0BA7">
              <w:t>27</w:t>
            </w:r>
            <w:r w:rsidR="00641958" w:rsidRPr="004F0BA7">
              <w:t>,</w:t>
            </w:r>
            <w:r w:rsidRPr="004F0BA7">
              <w:t>3</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990B13F" w14:textId="77777777" w:rsidR="00A92BB0" w:rsidRPr="004F0BA7" w:rsidRDefault="00A92BB0" w:rsidP="00BF2F25">
            <w:pPr>
              <w:pStyle w:val="Tabletext"/>
              <w:jc w:val="center"/>
            </w:pPr>
            <w:r w:rsidRPr="004F0BA7">
              <w:t>24</w:t>
            </w:r>
            <w:r w:rsidR="00641958" w:rsidRPr="004F0BA7">
              <w:t>,</w:t>
            </w:r>
            <w:r w:rsidRPr="004F0BA7">
              <w:t>8</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EEC76FC" w14:textId="77777777" w:rsidR="00A92BB0" w:rsidRPr="004F0BA7" w:rsidRDefault="00A92BB0" w:rsidP="00BF2F25">
            <w:pPr>
              <w:pStyle w:val="Tabletext"/>
              <w:jc w:val="center"/>
            </w:pPr>
          </w:p>
        </w:tc>
      </w:tr>
      <w:tr w:rsidR="00175BC1" w:rsidRPr="004F0BA7" w14:paraId="4C90E499" w14:textId="77777777" w:rsidTr="00E3273C">
        <w:trPr>
          <w:jc w:val="center"/>
        </w:trPr>
        <w:tc>
          <w:tcPr>
            <w:tcW w:w="1228" w:type="pct"/>
            <w:tcBorders>
              <w:top w:val="single" w:sz="4" w:space="0" w:color="auto"/>
              <w:left w:val="single" w:sz="8" w:space="0" w:color="auto"/>
              <w:bottom w:val="single" w:sz="4" w:space="0" w:color="auto"/>
              <w:right w:val="single" w:sz="8" w:space="0" w:color="000000"/>
            </w:tcBorders>
            <w:shd w:val="clear" w:color="auto" w:fill="auto"/>
          </w:tcPr>
          <w:p w14:paraId="712F3DB1" w14:textId="77777777" w:rsidR="00A92BB0" w:rsidRPr="004F0BA7" w:rsidRDefault="00A92BB0" w:rsidP="00BF2F25">
            <w:pPr>
              <w:pStyle w:val="Tabletext"/>
              <w:jc w:val="left"/>
            </w:pPr>
            <w:r w:rsidRPr="004F0BA7">
              <w:t>Marge (dB)</w:t>
            </w:r>
          </w:p>
        </w:tc>
        <w:tc>
          <w:tcPr>
            <w:tcW w:w="516" w:type="pct"/>
            <w:tcBorders>
              <w:top w:val="single" w:sz="4" w:space="0" w:color="auto"/>
              <w:left w:val="nil"/>
              <w:bottom w:val="single" w:sz="4" w:space="0" w:color="auto"/>
              <w:right w:val="single" w:sz="8" w:space="0" w:color="auto"/>
            </w:tcBorders>
            <w:shd w:val="clear" w:color="auto" w:fill="auto"/>
            <w:noWrap/>
            <w:vAlign w:val="center"/>
          </w:tcPr>
          <w:p w14:paraId="3C5E99A0" w14:textId="77777777" w:rsidR="00A92BB0" w:rsidRPr="004F0BA7" w:rsidRDefault="00A92BB0" w:rsidP="00BF2F25">
            <w:pPr>
              <w:pStyle w:val="Tabletext"/>
              <w:jc w:val="center"/>
            </w:pPr>
            <w:r w:rsidRPr="004F0BA7">
              <w:t>6</w:t>
            </w:r>
            <w:r w:rsidR="00641958" w:rsidRPr="004F0BA7">
              <w:t>,</w:t>
            </w:r>
            <w:r w:rsidRPr="004F0BA7">
              <w:t>0</w:t>
            </w:r>
          </w:p>
        </w:tc>
        <w:tc>
          <w:tcPr>
            <w:tcW w:w="399" w:type="pct"/>
            <w:tcBorders>
              <w:top w:val="single" w:sz="4" w:space="0" w:color="auto"/>
              <w:left w:val="nil"/>
              <w:bottom w:val="single" w:sz="4" w:space="0" w:color="auto"/>
              <w:right w:val="single" w:sz="8" w:space="0" w:color="auto"/>
            </w:tcBorders>
            <w:shd w:val="clear" w:color="auto" w:fill="auto"/>
            <w:vAlign w:val="center"/>
          </w:tcPr>
          <w:p w14:paraId="14385F60" w14:textId="77777777" w:rsidR="00A92BB0" w:rsidRPr="004F0BA7" w:rsidRDefault="00A92BB0" w:rsidP="00BF2F25">
            <w:pPr>
              <w:pStyle w:val="Tabletext"/>
              <w:jc w:val="center"/>
            </w:pPr>
            <w:r w:rsidRPr="004F0BA7">
              <w:t>1</w:t>
            </w:r>
            <w:r w:rsidR="00641958" w:rsidRPr="004F0BA7">
              <w:t>,</w:t>
            </w:r>
            <w:r w:rsidRPr="004F0BA7">
              <w:t>0</w:t>
            </w:r>
          </w:p>
        </w:tc>
        <w:tc>
          <w:tcPr>
            <w:tcW w:w="399"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1AFADF5" w14:textId="77777777" w:rsidR="00A92BB0" w:rsidRPr="004F0BA7" w:rsidRDefault="00A92BB0" w:rsidP="00BF2F25">
            <w:pPr>
              <w:pStyle w:val="Tabletext"/>
              <w:jc w:val="center"/>
            </w:pPr>
            <w:r w:rsidRPr="004F0BA7">
              <w:t>16</w:t>
            </w:r>
            <w:r w:rsidR="00641958" w:rsidRPr="004F0BA7">
              <w:t>,</w:t>
            </w:r>
            <w:r w:rsidRPr="004F0BA7">
              <w:t>6</w:t>
            </w:r>
          </w:p>
        </w:tc>
        <w:tc>
          <w:tcPr>
            <w:tcW w:w="547" w:type="pct"/>
            <w:tcBorders>
              <w:top w:val="single" w:sz="4" w:space="0" w:color="auto"/>
              <w:left w:val="nil"/>
              <w:bottom w:val="single" w:sz="4" w:space="0" w:color="auto"/>
              <w:right w:val="single" w:sz="8" w:space="0" w:color="auto"/>
            </w:tcBorders>
            <w:shd w:val="clear" w:color="auto" w:fill="auto"/>
            <w:noWrap/>
            <w:vAlign w:val="center"/>
          </w:tcPr>
          <w:p w14:paraId="5BB15FCD" w14:textId="77777777" w:rsidR="00A92BB0" w:rsidRPr="004F0BA7" w:rsidRDefault="00A92BB0" w:rsidP="00BF2F25">
            <w:pPr>
              <w:pStyle w:val="Tabletext"/>
              <w:jc w:val="center"/>
            </w:pPr>
            <w:r w:rsidRPr="004F0BA7">
              <w:t>20</w:t>
            </w:r>
            <w:r w:rsidR="00641958" w:rsidRPr="004F0BA7">
              <w:t>,</w:t>
            </w:r>
            <w:r w:rsidRPr="004F0BA7">
              <w:t>3</w:t>
            </w:r>
          </w:p>
        </w:tc>
        <w:tc>
          <w:tcPr>
            <w:tcW w:w="399" w:type="pct"/>
            <w:tcBorders>
              <w:top w:val="single" w:sz="4" w:space="0" w:color="auto"/>
              <w:left w:val="nil"/>
              <w:bottom w:val="single" w:sz="4" w:space="0" w:color="auto"/>
              <w:right w:val="single" w:sz="8" w:space="0" w:color="auto"/>
            </w:tcBorders>
            <w:shd w:val="clear" w:color="auto" w:fill="auto"/>
            <w:vAlign w:val="center"/>
          </w:tcPr>
          <w:p w14:paraId="3EB52678" w14:textId="77777777" w:rsidR="00A92BB0" w:rsidRPr="004F0BA7" w:rsidRDefault="00A92BB0" w:rsidP="00BF2F25">
            <w:pPr>
              <w:pStyle w:val="Tabletext"/>
              <w:jc w:val="center"/>
            </w:pPr>
            <w:r w:rsidRPr="004F0BA7">
              <w:t>15</w:t>
            </w:r>
            <w:r w:rsidR="00641958" w:rsidRPr="004F0BA7">
              <w:t>,</w:t>
            </w:r>
            <w:r w:rsidRPr="004F0BA7">
              <w:t>3</w:t>
            </w:r>
          </w:p>
        </w:tc>
        <w:tc>
          <w:tcPr>
            <w:tcW w:w="44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691B21E" w14:textId="77777777" w:rsidR="00A92BB0" w:rsidRPr="004F0BA7" w:rsidRDefault="00A92BB0" w:rsidP="00BF2F25">
            <w:pPr>
              <w:pStyle w:val="Tabletext"/>
              <w:jc w:val="center"/>
            </w:pPr>
            <w:r w:rsidRPr="004F0BA7">
              <w:t>12</w:t>
            </w:r>
            <w:r w:rsidR="00641958" w:rsidRPr="004F0BA7">
              <w:t>,</w:t>
            </w:r>
            <w:r w:rsidRPr="004F0BA7">
              <w:t>8</w:t>
            </w:r>
          </w:p>
        </w:tc>
        <w:tc>
          <w:tcPr>
            <w:tcW w:w="106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E6B11A6" w14:textId="77777777" w:rsidR="00A92BB0" w:rsidRPr="004F0BA7" w:rsidRDefault="00A92BB0" w:rsidP="00BF2F25">
            <w:pPr>
              <w:pStyle w:val="Tabletext"/>
              <w:jc w:val="center"/>
            </w:pPr>
          </w:p>
        </w:tc>
      </w:tr>
    </w:tbl>
    <w:p w14:paraId="6D9E8C82" w14:textId="77777777" w:rsidR="00175BC1" w:rsidRPr="004F0BA7" w:rsidRDefault="00175BC1" w:rsidP="001F2C4F">
      <w:pPr>
        <w:sectPr w:rsidR="00175BC1" w:rsidRPr="004F0BA7" w:rsidSect="00175BC1">
          <w:headerReference w:type="even" r:id="rId21"/>
          <w:headerReference w:type="default" r:id="rId22"/>
          <w:pgSz w:w="16834" w:h="11907" w:orient="landscape" w:code="9"/>
          <w:pgMar w:top="1134" w:right="1418" w:bottom="1134" w:left="1134" w:header="720" w:footer="482" w:gutter="0"/>
          <w:cols w:space="720"/>
          <w:docGrid w:linePitch="326"/>
        </w:sectPr>
      </w:pPr>
    </w:p>
    <w:p w14:paraId="768149A4" w14:textId="77777777" w:rsidR="001939D5" w:rsidRPr="004F0BA7" w:rsidRDefault="00641958" w:rsidP="00EA2B9B">
      <w:pPr>
        <w:pStyle w:val="TableNo"/>
        <w:spacing w:before="120"/>
      </w:pPr>
      <w:r w:rsidRPr="004F0BA7">
        <w:lastRenderedPageBreak/>
        <w:t>TABLEAU 7</w:t>
      </w:r>
    </w:p>
    <w:p w14:paraId="58F30081" w14:textId="77777777" w:rsidR="00641958" w:rsidRPr="004F0BA7" w:rsidRDefault="00EB3BC1" w:rsidP="001F2C4F">
      <w:pPr>
        <w:pStyle w:val="Tabletitle"/>
      </w:pPr>
      <w:r w:rsidRPr="004F0BA7">
        <w:t>Calcul</w:t>
      </w:r>
      <w:r w:rsidR="003C27AE" w:rsidRPr="004F0BA7">
        <w:t>s</w:t>
      </w:r>
      <w:r w:rsidRPr="004F0BA7">
        <w:t xml:space="preserve"> du bilan de liaison pour le service des auxiliaires de la météorologie fonctionnant </w:t>
      </w:r>
      <w:r w:rsidR="00641958" w:rsidRPr="004F0BA7">
        <w:t>dans la bande de fréquences 1 668,4-1 700 MHz</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96"/>
        <w:gridCol w:w="1426"/>
        <w:gridCol w:w="1265"/>
        <w:gridCol w:w="1489"/>
        <w:gridCol w:w="1463"/>
      </w:tblGrid>
      <w:tr w:rsidR="00FF6FA4" w:rsidRPr="004F0BA7" w14:paraId="6A857E71" w14:textId="77777777" w:rsidTr="00A33721">
        <w:trPr>
          <w:jc w:val="center"/>
        </w:trPr>
        <w:tc>
          <w:tcPr>
            <w:tcW w:w="3600" w:type="dxa"/>
            <w:vAlign w:val="center"/>
          </w:tcPr>
          <w:p w14:paraId="7D672C4D" w14:textId="77777777" w:rsidR="00FF6FA4" w:rsidRPr="004F0BA7" w:rsidRDefault="00EB3BC1" w:rsidP="00A33721">
            <w:pPr>
              <w:pStyle w:val="Tablehead"/>
            </w:pPr>
            <w:r w:rsidRPr="004F0BA7">
              <w:t>Facteur de qualité de fonctionnement</w:t>
            </w:r>
          </w:p>
        </w:tc>
        <w:tc>
          <w:tcPr>
            <w:tcW w:w="2425" w:type="dxa"/>
            <w:gridSpan w:val="2"/>
            <w:vAlign w:val="center"/>
          </w:tcPr>
          <w:p w14:paraId="7A1B8533" w14:textId="77777777" w:rsidR="00FF6FA4" w:rsidRPr="004F0BA7" w:rsidRDefault="00641958" w:rsidP="00BA42A4">
            <w:pPr>
              <w:pStyle w:val="Tablehead"/>
            </w:pPr>
            <w:r w:rsidRPr="004F0BA7">
              <w:t>Type G</w:t>
            </w:r>
            <w:r w:rsidRPr="004F0BA7">
              <w:br/>
            </w:r>
            <w:r w:rsidR="00FF6FA4" w:rsidRPr="004F0BA7">
              <w:t>Système RDF</w:t>
            </w:r>
          </w:p>
        </w:tc>
        <w:tc>
          <w:tcPr>
            <w:tcW w:w="2660" w:type="dxa"/>
            <w:gridSpan w:val="2"/>
            <w:vAlign w:val="center"/>
          </w:tcPr>
          <w:p w14:paraId="0CD1DFDB" w14:textId="77777777" w:rsidR="00FF6FA4" w:rsidRPr="004F0BA7" w:rsidRDefault="00641958" w:rsidP="00BA42A4">
            <w:pPr>
              <w:pStyle w:val="Tablehead"/>
            </w:pPr>
            <w:r w:rsidRPr="004F0BA7">
              <w:t>Type H</w:t>
            </w:r>
            <w:r w:rsidRPr="004F0BA7">
              <w:br/>
            </w:r>
            <w:r w:rsidR="00FF6FA4" w:rsidRPr="004F0BA7">
              <w:t>Système GPS</w:t>
            </w:r>
          </w:p>
        </w:tc>
      </w:tr>
      <w:tr w:rsidR="009C3E07" w:rsidRPr="004F0BA7" w14:paraId="5E484DD0" w14:textId="77777777" w:rsidTr="00A33721">
        <w:trPr>
          <w:jc w:val="center"/>
        </w:trPr>
        <w:tc>
          <w:tcPr>
            <w:tcW w:w="3600" w:type="dxa"/>
            <w:tcBorders>
              <w:top w:val="single" w:sz="6" w:space="0" w:color="auto"/>
              <w:left w:val="single" w:sz="6" w:space="0" w:color="auto"/>
              <w:bottom w:val="single" w:sz="6" w:space="0" w:color="auto"/>
              <w:right w:val="single" w:sz="6" w:space="0" w:color="auto"/>
            </w:tcBorders>
            <w:vAlign w:val="center"/>
          </w:tcPr>
          <w:p w14:paraId="1E50A37F" w14:textId="77777777" w:rsidR="009C3E07" w:rsidRPr="004F0BA7" w:rsidRDefault="009C3E07" w:rsidP="00EA2B9B">
            <w:pPr>
              <w:pStyle w:val="Tabletext"/>
              <w:jc w:val="left"/>
            </w:pPr>
            <w:r w:rsidRPr="004F0BA7">
              <w:t>Type de modulation</w:t>
            </w:r>
          </w:p>
        </w:tc>
        <w:tc>
          <w:tcPr>
            <w:tcW w:w="2425" w:type="dxa"/>
            <w:gridSpan w:val="2"/>
            <w:tcBorders>
              <w:top w:val="single" w:sz="6" w:space="0" w:color="auto"/>
              <w:left w:val="single" w:sz="6" w:space="0" w:color="auto"/>
              <w:bottom w:val="single" w:sz="6" w:space="0" w:color="auto"/>
              <w:right w:val="single" w:sz="6" w:space="0" w:color="auto"/>
            </w:tcBorders>
            <w:vAlign w:val="center"/>
          </w:tcPr>
          <w:p w14:paraId="169D0EF0" w14:textId="77777777" w:rsidR="009C3E07" w:rsidRPr="004F0BA7" w:rsidRDefault="009C3E07" w:rsidP="00BA42A4">
            <w:pPr>
              <w:pStyle w:val="Tabletext"/>
              <w:jc w:val="center"/>
            </w:pPr>
            <w:r w:rsidRPr="004F0BA7">
              <w:t>MA</w:t>
            </w:r>
          </w:p>
        </w:tc>
        <w:tc>
          <w:tcPr>
            <w:tcW w:w="2660" w:type="dxa"/>
            <w:gridSpan w:val="2"/>
            <w:tcBorders>
              <w:top w:val="single" w:sz="6" w:space="0" w:color="auto"/>
              <w:left w:val="single" w:sz="6" w:space="0" w:color="auto"/>
              <w:bottom w:val="single" w:sz="6" w:space="0" w:color="auto"/>
              <w:right w:val="single" w:sz="6" w:space="0" w:color="auto"/>
            </w:tcBorders>
            <w:vAlign w:val="center"/>
          </w:tcPr>
          <w:p w14:paraId="2252D1D3" w14:textId="77777777" w:rsidR="009C3E07" w:rsidRPr="004F0BA7" w:rsidRDefault="009C3E07" w:rsidP="00BA42A4">
            <w:pPr>
              <w:pStyle w:val="Tabletext"/>
              <w:jc w:val="center"/>
            </w:pPr>
            <w:r w:rsidRPr="004F0BA7">
              <w:t>MF</w:t>
            </w:r>
          </w:p>
        </w:tc>
      </w:tr>
      <w:tr w:rsidR="009C3E07" w:rsidRPr="004F0BA7" w14:paraId="4A7B03F6" w14:textId="77777777" w:rsidTr="00A33721">
        <w:trPr>
          <w:jc w:val="center"/>
        </w:trPr>
        <w:tc>
          <w:tcPr>
            <w:tcW w:w="3600" w:type="dxa"/>
            <w:tcBorders>
              <w:top w:val="single" w:sz="6" w:space="0" w:color="auto"/>
              <w:left w:val="single" w:sz="6" w:space="0" w:color="auto"/>
              <w:bottom w:val="single" w:sz="6" w:space="0" w:color="auto"/>
              <w:right w:val="single" w:sz="6" w:space="0" w:color="auto"/>
            </w:tcBorders>
            <w:vAlign w:val="center"/>
          </w:tcPr>
          <w:p w14:paraId="16DE0D51" w14:textId="77777777" w:rsidR="009C3E07" w:rsidRPr="004F0BA7" w:rsidRDefault="009C3E07" w:rsidP="00EA2B9B">
            <w:pPr>
              <w:pStyle w:val="Tabletext"/>
              <w:jc w:val="left"/>
            </w:pPr>
            <w:r w:rsidRPr="004F0BA7">
              <w:t>Gamme de fréquences (MHz)</w:t>
            </w:r>
          </w:p>
        </w:tc>
        <w:tc>
          <w:tcPr>
            <w:tcW w:w="2425" w:type="dxa"/>
            <w:gridSpan w:val="2"/>
            <w:tcBorders>
              <w:top w:val="single" w:sz="6" w:space="0" w:color="auto"/>
              <w:left w:val="single" w:sz="6" w:space="0" w:color="auto"/>
              <w:bottom w:val="single" w:sz="6" w:space="0" w:color="auto"/>
              <w:right w:val="single" w:sz="6" w:space="0" w:color="auto"/>
            </w:tcBorders>
            <w:vAlign w:val="center"/>
          </w:tcPr>
          <w:p w14:paraId="5FB18D5A" w14:textId="77777777" w:rsidR="009C3E07" w:rsidRPr="004F0BA7" w:rsidRDefault="009C3E07" w:rsidP="00BA42A4">
            <w:pPr>
              <w:pStyle w:val="Tabletext"/>
              <w:jc w:val="center"/>
            </w:pPr>
            <w:r w:rsidRPr="004F0BA7">
              <w:t>1 668,4-1 700</w:t>
            </w:r>
          </w:p>
        </w:tc>
        <w:tc>
          <w:tcPr>
            <w:tcW w:w="2660" w:type="dxa"/>
            <w:gridSpan w:val="2"/>
            <w:tcBorders>
              <w:top w:val="single" w:sz="6" w:space="0" w:color="auto"/>
              <w:left w:val="single" w:sz="6" w:space="0" w:color="auto"/>
              <w:bottom w:val="single" w:sz="6" w:space="0" w:color="auto"/>
              <w:right w:val="single" w:sz="6" w:space="0" w:color="auto"/>
            </w:tcBorders>
            <w:vAlign w:val="center"/>
          </w:tcPr>
          <w:p w14:paraId="3988A6FD" w14:textId="77777777" w:rsidR="009C3E07" w:rsidRPr="004F0BA7" w:rsidRDefault="009C3E07" w:rsidP="00BA42A4">
            <w:pPr>
              <w:pStyle w:val="Tabletext"/>
              <w:jc w:val="center"/>
            </w:pPr>
            <w:r w:rsidRPr="004F0BA7">
              <w:t>1 675-1 683</w:t>
            </w:r>
          </w:p>
        </w:tc>
      </w:tr>
      <w:tr w:rsidR="00FF6FA4" w:rsidRPr="004F0BA7" w14:paraId="3565F7C7" w14:textId="77777777" w:rsidTr="00A33721">
        <w:trPr>
          <w:jc w:val="center"/>
        </w:trPr>
        <w:tc>
          <w:tcPr>
            <w:tcW w:w="3600" w:type="dxa"/>
          </w:tcPr>
          <w:p w14:paraId="6C53DC37" w14:textId="77777777" w:rsidR="00FF6FA4" w:rsidRPr="004F0BA7" w:rsidRDefault="00FF6FA4" w:rsidP="00EA2B9B">
            <w:pPr>
              <w:pStyle w:val="Tabletext"/>
              <w:jc w:val="left"/>
            </w:pPr>
            <w:r w:rsidRPr="004F0BA7">
              <w:t>Pourcentage de temps ne devant pas être dépassé (%)</w:t>
            </w:r>
          </w:p>
        </w:tc>
        <w:tc>
          <w:tcPr>
            <w:tcW w:w="1285" w:type="dxa"/>
          </w:tcPr>
          <w:p w14:paraId="683420BD" w14:textId="77777777" w:rsidR="00FF6FA4" w:rsidRPr="004F0BA7" w:rsidRDefault="00FF6FA4" w:rsidP="00BA42A4">
            <w:pPr>
              <w:pStyle w:val="Tabletext"/>
              <w:jc w:val="center"/>
            </w:pPr>
            <w:r w:rsidRPr="004F0BA7">
              <w:t xml:space="preserve">0,02 </w:t>
            </w:r>
            <w:r w:rsidRPr="004F0BA7">
              <w:br/>
              <w:t xml:space="preserve">Perte de verrouillage </w:t>
            </w:r>
            <w:r w:rsidRPr="004F0BA7">
              <w:br/>
              <w:t>de phase</w:t>
            </w:r>
          </w:p>
        </w:tc>
        <w:tc>
          <w:tcPr>
            <w:tcW w:w="1140" w:type="dxa"/>
          </w:tcPr>
          <w:p w14:paraId="32D8EF1E" w14:textId="77777777" w:rsidR="00FF6FA4" w:rsidRPr="004F0BA7" w:rsidRDefault="00FF6FA4" w:rsidP="00BA42A4">
            <w:pPr>
              <w:pStyle w:val="Tabletext"/>
              <w:jc w:val="center"/>
            </w:pPr>
            <w:r w:rsidRPr="004F0BA7">
              <w:t>0,</w:t>
            </w:r>
            <w:r w:rsidR="00546B24" w:rsidRPr="004F0BA7">
              <w:t>0</w:t>
            </w:r>
            <w:r w:rsidRPr="004F0BA7">
              <w:t xml:space="preserve">8 </w:t>
            </w:r>
            <w:r w:rsidRPr="004F0BA7">
              <w:br/>
              <w:t>Perte de données</w:t>
            </w:r>
          </w:p>
        </w:tc>
        <w:tc>
          <w:tcPr>
            <w:tcW w:w="1342" w:type="dxa"/>
          </w:tcPr>
          <w:p w14:paraId="475A206C" w14:textId="77777777" w:rsidR="00FF6FA4" w:rsidRPr="004F0BA7" w:rsidRDefault="00FF6FA4" w:rsidP="00BA42A4">
            <w:pPr>
              <w:pStyle w:val="Tabletext"/>
              <w:jc w:val="center"/>
            </w:pPr>
            <w:r w:rsidRPr="004F0BA7">
              <w:t xml:space="preserve">0,025 </w:t>
            </w:r>
            <w:r w:rsidRPr="004F0BA7">
              <w:br/>
              <w:t>Perte de verrouillage de phase</w:t>
            </w:r>
          </w:p>
        </w:tc>
        <w:tc>
          <w:tcPr>
            <w:tcW w:w="1318" w:type="dxa"/>
          </w:tcPr>
          <w:p w14:paraId="679AB6DC" w14:textId="77777777" w:rsidR="00FF6FA4" w:rsidRPr="004F0BA7" w:rsidRDefault="00FF6FA4" w:rsidP="00BA42A4">
            <w:pPr>
              <w:pStyle w:val="Tabletext"/>
              <w:jc w:val="center"/>
            </w:pPr>
            <w:r w:rsidRPr="004F0BA7">
              <w:t>0,125</w:t>
            </w:r>
            <w:r w:rsidRPr="004F0BA7">
              <w:br/>
              <w:t xml:space="preserve">Perte de </w:t>
            </w:r>
            <w:r w:rsidRPr="004F0BA7">
              <w:br/>
              <w:t>données</w:t>
            </w:r>
          </w:p>
        </w:tc>
      </w:tr>
      <w:tr w:rsidR="00FF6FA4" w:rsidRPr="004F0BA7" w14:paraId="231E8662" w14:textId="77777777" w:rsidTr="00A33721">
        <w:trPr>
          <w:jc w:val="center"/>
        </w:trPr>
        <w:tc>
          <w:tcPr>
            <w:tcW w:w="3600" w:type="dxa"/>
          </w:tcPr>
          <w:p w14:paraId="23DF6FAD" w14:textId="77777777" w:rsidR="00FF6FA4" w:rsidRPr="004F0BA7" w:rsidRDefault="00FF6FA4" w:rsidP="00EA2B9B">
            <w:pPr>
              <w:pStyle w:val="Tabletext"/>
              <w:jc w:val="left"/>
            </w:pPr>
            <w:r w:rsidRPr="004F0BA7">
              <w:t>Puissance de sortie de l'émetteur (</w:t>
            </w:r>
            <w:proofErr w:type="spellStart"/>
            <w:r w:rsidRPr="004F0BA7">
              <w:t>dBW</w:t>
            </w:r>
            <w:proofErr w:type="spellEnd"/>
            <w:r w:rsidRPr="004F0BA7">
              <w:t>)</w:t>
            </w:r>
          </w:p>
        </w:tc>
        <w:tc>
          <w:tcPr>
            <w:tcW w:w="2425" w:type="dxa"/>
            <w:gridSpan w:val="2"/>
          </w:tcPr>
          <w:p w14:paraId="4DCC0648" w14:textId="77777777" w:rsidR="00FF6FA4" w:rsidRPr="004F0BA7" w:rsidRDefault="009A2A55" w:rsidP="00BA42A4">
            <w:pPr>
              <w:pStyle w:val="Tabletext"/>
              <w:jc w:val="center"/>
            </w:pPr>
            <w:r w:rsidRPr="004F0BA7">
              <w:t>−</w:t>
            </w:r>
            <w:r w:rsidR="00FF6FA4" w:rsidRPr="004F0BA7">
              <w:t>6,0</w:t>
            </w:r>
          </w:p>
        </w:tc>
        <w:tc>
          <w:tcPr>
            <w:tcW w:w="2660" w:type="dxa"/>
            <w:gridSpan w:val="2"/>
          </w:tcPr>
          <w:p w14:paraId="2719C81B" w14:textId="77777777" w:rsidR="00FF6FA4" w:rsidRPr="004F0BA7" w:rsidRDefault="009A2A55" w:rsidP="00BA42A4">
            <w:pPr>
              <w:pStyle w:val="Tabletext"/>
              <w:jc w:val="center"/>
            </w:pPr>
            <w:r w:rsidRPr="004F0BA7">
              <w:t>−</w:t>
            </w:r>
            <w:r w:rsidR="00FF6FA4" w:rsidRPr="004F0BA7">
              <w:t>5,0</w:t>
            </w:r>
          </w:p>
        </w:tc>
      </w:tr>
      <w:tr w:rsidR="00FF6FA4" w:rsidRPr="004F0BA7" w14:paraId="2C12226E" w14:textId="77777777" w:rsidTr="00A33721">
        <w:trPr>
          <w:jc w:val="center"/>
        </w:trPr>
        <w:tc>
          <w:tcPr>
            <w:tcW w:w="3600" w:type="dxa"/>
          </w:tcPr>
          <w:p w14:paraId="65161785" w14:textId="77777777" w:rsidR="00FF6FA4" w:rsidRPr="004F0BA7" w:rsidRDefault="00FF6FA4" w:rsidP="00EA2B9B">
            <w:pPr>
              <w:pStyle w:val="Tabletext"/>
              <w:jc w:val="left"/>
            </w:pPr>
            <w:r w:rsidRPr="004F0BA7">
              <w:t>Gain d'antenne moyen (</w:t>
            </w:r>
            <w:proofErr w:type="spellStart"/>
            <w:r w:rsidRPr="004F0BA7">
              <w:t>dBi</w:t>
            </w:r>
            <w:proofErr w:type="spellEnd"/>
            <w:r w:rsidRPr="004F0BA7">
              <w:t>)</w:t>
            </w:r>
          </w:p>
        </w:tc>
        <w:tc>
          <w:tcPr>
            <w:tcW w:w="2425" w:type="dxa"/>
            <w:gridSpan w:val="2"/>
          </w:tcPr>
          <w:p w14:paraId="1B9132D1" w14:textId="77777777" w:rsidR="00FF6FA4" w:rsidRPr="004F0BA7" w:rsidRDefault="00FF6FA4" w:rsidP="00BA42A4">
            <w:pPr>
              <w:pStyle w:val="Tabletext"/>
              <w:jc w:val="center"/>
            </w:pPr>
            <w:r w:rsidRPr="004F0BA7">
              <w:t>2,0</w:t>
            </w:r>
          </w:p>
        </w:tc>
        <w:tc>
          <w:tcPr>
            <w:tcW w:w="2660" w:type="dxa"/>
            <w:gridSpan w:val="2"/>
          </w:tcPr>
          <w:p w14:paraId="2C574C2D" w14:textId="77777777" w:rsidR="00FF6FA4" w:rsidRPr="004F0BA7" w:rsidRDefault="009A2A55" w:rsidP="00BA42A4">
            <w:pPr>
              <w:pStyle w:val="Tabletext"/>
              <w:jc w:val="center"/>
            </w:pPr>
            <w:r w:rsidRPr="004F0BA7">
              <w:t>−</w:t>
            </w:r>
            <w:r w:rsidR="00FF6FA4" w:rsidRPr="004F0BA7">
              <w:t>2</w:t>
            </w:r>
          </w:p>
        </w:tc>
      </w:tr>
      <w:tr w:rsidR="00FF6FA4" w:rsidRPr="004F0BA7" w14:paraId="6948D76E" w14:textId="77777777" w:rsidTr="00A33721">
        <w:trPr>
          <w:jc w:val="center"/>
        </w:trPr>
        <w:tc>
          <w:tcPr>
            <w:tcW w:w="3600" w:type="dxa"/>
          </w:tcPr>
          <w:p w14:paraId="4EBFA5C2" w14:textId="77777777" w:rsidR="00FF6FA4" w:rsidRPr="004F0BA7" w:rsidRDefault="00FF6FA4" w:rsidP="00EA2B9B">
            <w:pPr>
              <w:pStyle w:val="Tabletext"/>
              <w:jc w:val="left"/>
            </w:pPr>
            <w:proofErr w:type="spellStart"/>
            <w:r w:rsidRPr="004F0BA7">
              <w:t>p.i.r.e</w:t>
            </w:r>
            <w:proofErr w:type="spellEnd"/>
            <w:r w:rsidRPr="004F0BA7">
              <w:t>. de la radiosonde (</w:t>
            </w:r>
            <w:proofErr w:type="spellStart"/>
            <w:r w:rsidRPr="004F0BA7">
              <w:t>dBW</w:t>
            </w:r>
            <w:proofErr w:type="spellEnd"/>
            <w:r w:rsidRPr="004F0BA7">
              <w:t>)</w:t>
            </w:r>
          </w:p>
        </w:tc>
        <w:tc>
          <w:tcPr>
            <w:tcW w:w="2425" w:type="dxa"/>
            <w:gridSpan w:val="2"/>
          </w:tcPr>
          <w:p w14:paraId="2946EE7A" w14:textId="77777777" w:rsidR="00FF6FA4" w:rsidRPr="004F0BA7" w:rsidRDefault="009A2A55" w:rsidP="00BA42A4">
            <w:pPr>
              <w:pStyle w:val="Tabletext"/>
              <w:jc w:val="center"/>
            </w:pPr>
            <w:r w:rsidRPr="004F0BA7">
              <w:t>−</w:t>
            </w:r>
            <w:r w:rsidR="00FF6FA4" w:rsidRPr="004F0BA7">
              <w:t>4,0</w:t>
            </w:r>
          </w:p>
        </w:tc>
        <w:tc>
          <w:tcPr>
            <w:tcW w:w="2660" w:type="dxa"/>
            <w:gridSpan w:val="2"/>
          </w:tcPr>
          <w:p w14:paraId="2137807C" w14:textId="77777777" w:rsidR="00FF6FA4" w:rsidRPr="004F0BA7" w:rsidRDefault="009A2A55" w:rsidP="00BA42A4">
            <w:pPr>
              <w:pStyle w:val="Tabletext"/>
              <w:jc w:val="center"/>
            </w:pPr>
            <w:r w:rsidRPr="004F0BA7">
              <w:t>−</w:t>
            </w:r>
            <w:r w:rsidR="00FF6FA4" w:rsidRPr="004F0BA7">
              <w:t>3,0</w:t>
            </w:r>
          </w:p>
        </w:tc>
      </w:tr>
      <w:tr w:rsidR="00546B24" w:rsidRPr="004F0BA7" w14:paraId="68355886" w14:textId="77777777" w:rsidTr="00A33721">
        <w:trPr>
          <w:jc w:val="center"/>
        </w:trPr>
        <w:tc>
          <w:tcPr>
            <w:tcW w:w="3600" w:type="dxa"/>
          </w:tcPr>
          <w:p w14:paraId="2A7D949E" w14:textId="77777777" w:rsidR="00546B24" w:rsidRPr="004F0BA7" w:rsidRDefault="00546B24" w:rsidP="00EA2B9B">
            <w:pPr>
              <w:pStyle w:val="Tabletext"/>
              <w:jc w:val="left"/>
            </w:pPr>
            <w:r w:rsidRPr="004F0BA7">
              <w:t>Longueur maximale de la liaison (km)</w:t>
            </w:r>
          </w:p>
        </w:tc>
        <w:tc>
          <w:tcPr>
            <w:tcW w:w="2425" w:type="dxa"/>
            <w:gridSpan w:val="2"/>
          </w:tcPr>
          <w:p w14:paraId="2EBB3C54" w14:textId="77777777" w:rsidR="00546B24" w:rsidRPr="004F0BA7" w:rsidRDefault="00546B24" w:rsidP="00BA42A4">
            <w:pPr>
              <w:pStyle w:val="Tabletext"/>
              <w:jc w:val="center"/>
            </w:pPr>
            <w:r w:rsidRPr="004F0BA7">
              <w:t>250</w:t>
            </w:r>
          </w:p>
        </w:tc>
        <w:tc>
          <w:tcPr>
            <w:tcW w:w="2660" w:type="dxa"/>
            <w:gridSpan w:val="2"/>
          </w:tcPr>
          <w:p w14:paraId="60062E91" w14:textId="77777777" w:rsidR="00546B24" w:rsidRPr="004F0BA7" w:rsidRDefault="00546B24" w:rsidP="00BA42A4">
            <w:pPr>
              <w:pStyle w:val="Tabletext"/>
              <w:jc w:val="center"/>
            </w:pPr>
            <w:r w:rsidRPr="004F0BA7">
              <w:t>250</w:t>
            </w:r>
          </w:p>
        </w:tc>
      </w:tr>
      <w:tr w:rsidR="00546B24" w:rsidRPr="004F0BA7" w14:paraId="6ECE9277" w14:textId="77777777" w:rsidTr="00A33721">
        <w:trPr>
          <w:jc w:val="center"/>
        </w:trPr>
        <w:tc>
          <w:tcPr>
            <w:tcW w:w="3600" w:type="dxa"/>
          </w:tcPr>
          <w:p w14:paraId="61920370" w14:textId="77777777" w:rsidR="00546B24" w:rsidRPr="004F0BA7" w:rsidRDefault="00546B24" w:rsidP="00EA2B9B">
            <w:pPr>
              <w:pStyle w:val="Tabletext"/>
              <w:jc w:val="left"/>
            </w:pPr>
            <w:r w:rsidRPr="004F0BA7">
              <w:t>Affaiblissement sur le trajet en espace libre (dB)</w:t>
            </w:r>
          </w:p>
        </w:tc>
        <w:tc>
          <w:tcPr>
            <w:tcW w:w="2425" w:type="dxa"/>
            <w:gridSpan w:val="2"/>
          </w:tcPr>
          <w:p w14:paraId="399ADC12" w14:textId="77777777" w:rsidR="00546B24" w:rsidRPr="004F0BA7" w:rsidRDefault="00546B24" w:rsidP="00BA42A4">
            <w:pPr>
              <w:pStyle w:val="Tabletext"/>
              <w:jc w:val="center"/>
            </w:pPr>
            <w:r w:rsidRPr="004F0BA7">
              <w:t>144,9</w:t>
            </w:r>
          </w:p>
        </w:tc>
        <w:tc>
          <w:tcPr>
            <w:tcW w:w="2660" w:type="dxa"/>
            <w:gridSpan w:val="2"/>
          </w:tcPr>
          <w:p w14:paraId="04F96619" w14:textId="77777777" w:rsidR="00546B24" w:rsidRPr="004F0BA7" w:rsidRDefault="00546B24" w:rsidP="00BA42A4">
            <w:pPr>
              <w:pStyle w:val="Tabletext"/>
              <w:jc w:val="center"/>
            </w:pPr>
            <w:r w:rsidRPr="004F0BA7">
              <w:t>144,9</w:t>
            </w:r>
          </w:p>
        </w:tc>
      </w:tr>
      <w:tr w:rsidR="00FF6FA4" w:rsidRPr="004F0BA7" w14:paraId="0C744787" w14:textId="77777777" w:rsidTr="00A33721">
        <w:trPr>
          <w:jc w:val="center"/>
        </w:trPr>
        <w:tc>
          <w:tcPr>
            <w:tcW w:w="3600" w:type="dxa"/>
          </w:tcPr>
          <w:p w14:paraId="05D5C0B7" w14:textId="77777777" w:rsidR="00FF6FA4" w:rsidRPr="004F0BA7" w:rsidRDefault="00FF6FA4" w:rsidP="00EA2B9B">
            <w:pPr>
              <w:pStyle w:val="Tabletext"/>
              <w:jc w:val="left"/>
            </w:pPr>
            <w:r w:rsidRPr="004F0BA7">
              <w:t>Affaiblissement supplémentaire sur le trajet (pluie, évanouissements, etc.) (dB)</w:t>
            </w:r>
          </w:p>
        </w:tc>
        <w:tc>
          <w:tcPr>
            <w:tcW w:w="2425" w:type="dxa"/>
            <w:gridSpan w:val="2"/>
          </w:tcPr>
          <w:p w14:paraId="744EEC17" w14:textId="77777777" w:rsidR="00FF6FA4" w:rsidRPr="004F0BA7" w:rsidRDefault="00FF6FA4" w:rsidP="00BA42A4">
            <w:pPr>
              <w:pStyle w:val="Tabletext"/>
              <w:jc w:val="center"/>
            </w:pPr>
            <w:r w:rsidRPr="004F0BA7">
              <w:t>2,0</w:t>
            </w:r>
          </w:p>
        </w:tc>
        <w:tc>
          <w:tcPr>
            <w:tcW w:w="2660" w:type="dxa"/>
            <w:gridSpan w:val="2"/>
          </w:tcPr>
          <w:p w14:paraId="12C436BA" w14:textId="77777777" w:rsidR="00FF6FA4" w:rsidRPr="004F0BA7" w:rsidRDefault="00FF6FA4" w:rsidP="00BA42A4">
            <w:pPr>
              <w:pStyle w:val="Tabletext"/>
              <w:jc w:val="center"/>
            </w:pPr>
            <w:r w:rsidRPr="004F0BA7">
              <w:t>5,0</w:t>
            </w:r>
          </w:p>
        </w:tc>
      </w:tr>
      <w:tr w:rsidR="00FF6FA4" w:rsidRPr="004F0BA7" w14:paraId="16E89032" w14:textId="77777777" w:rsidTr="00A33721">
        <w:trPr>
          <w:jc w:val="center"/>
        </w:trPr>
        <w:tc>
          <w:tcPr>
            <w:tcW w:w="3600" w:type="dxa"/>
          </w:tcPr>
          <w:p w14:paraId="63E8C43B" w14:textId="77777777" w:rsidR="00FF6FA4" w:rsidRPr="004F0BA7" w:rsidRDefault="00FF6FA4" w:rsidP="00EA2B9B">
            <w:pPr>
              <w:pStyle w:val="Tabletext"/>
              <w:jc w:val="left"/>
            </w:pPr>
            <w:r w:rsidRPr="004F0BA7">
              <w:t>Gain d'antenne de la station au sol (</w:t>
            </w:r>
            <w:proofErr w:type="spellStart"/>
            <w:r w:rsidRPr="004F0BA7">
              <w:t>dBi</w:t>
            </w:r>
            <w:proofErr w:type="spellEnd"/>
            <w:r w:rsidRPr="004F0BA7">
              <w:t>)</w:t>
            </w:r>
          </w:p>
        </w:tc>
        <w:tc>
          <w:tcPr>
            <w:tcW w:w="2425" w:type="dxa"/>
            <w:gridSpan w:val="2"/>
          </w:tcPr>
          <w:p w14:paraId="73BD027E" w14:textId="77777777" w:rsidR="00FF6FA4" w:rsidRPr="004F0BA7" w:rsidRDefault="00FF6FA4" w:rsidP="00BA42A4">
            <w:pPr>
              <w:pStyle w:val="Tabletext"/>
              <w:jc w:val="center"/>
            </w:pPr>
            <w:r w:rsidRPr="004F0BA7">
              <w:t>28</w:t>
            </w:r>
          </w:p>
        </w:tc>
        <w:tc>
          <w:tcPr>
            <w:tcW w:w="2660" w:type="dxa"/>
            <w:gridSpan w:val="2"/>
          </w:tcPr>
          <w:p w14:paraId="35158DAA" w14:textId="77777777" w:rsidR="00FF6FA4" w:rsidRPr="004F0BA7" w:rsidRDefault="00FF6FA4" w:rsidP="00BA42A4">
            <w:pPr>
              <w:pStyle w:val="Tabletext"/>
              <w:jc w:val="center"/>
            </w:pPr>
            <w:r w:rsidRPr="004F0BA7">
              <w:t>26</w:t>
            </w:r>
          </w:p>
        </w:tc>
      </w:tr>
      <w:tr w:rsidR="00FF6FA4" w:rsidRPr="004F0BA7" w14:paraId="5A8BE830" w14:textId="77777777" w:rsidTr="00A33721">
        <w:trPr>
          <w:jc w:val="center"/>
        </w:trPr>
        <w:tc>
          <w:tcPr>
            <w:tcW w:w="3600" w:type="dxa"/>
          </w:tcPr>
          <w:p w14:paraId="72F0950B" w14:textId="77777777" w:rsidR="00FF6FA4" w:rsidRPr="004F0BA7" w:rsidRDefault="00FF6FA4" w:rsidP="00EA2B9B">
            <w:pPr>
              <w:pStyle w:val="Tabletext"/>
              <w:jc w:val="left"/>
            </w:pPr>
            <w:r w:rsidRPr="004F0BA7">
              <w:t>Erreur de pointage de l'antenne de la station au sol (dB)</w:t>
            </w:r>
          </w:p>
        </w:tc>
        <w:tc>
          <w:tcPr>
            <w:tcW w:w="2425" w:type="dxa"/>
            <w:gridSpan w:val="2"/>
          </w:tcPr>
          <w:p w14:paraId="1292C0C2" w14:textId="77777777" w:rsidR="00FF6FA4" w:rsidRPr="004F0BA7" w:rsidRDefault="00FF6FA4" w:rsidP="00BA42A4">
            <w:pPr>
              <w:pStyle w:val="Tabletext"/>
              <w:jc w:val="center"/>
            </w:pPr>
            <w:r w:rsidRPr="004F0BA7">
              <w:t>0,5</w:t>
            </w:r>
          </w:p>
        </w:tc>
        <w:tc>
          <w:tcPr>
            <w:tcW w:w="2660" w:type="dxa"/>
            <w:gridSpan w:val="2"/>
          </w:tcPr>
          <w:p w14:paraId="22F98C66" w14:textId="77777777" w:rsidR="00FF6FA4" w:rsidRPr="004F0BA7" w:rsidRDefault="00FF6FA4" w:rsidP="00BA42A4">
            <w:pPr>
              <w:pStyle w:val="Tabletext"/>
              <w:jc w:val="center"/>
            </w:pPr>
            <w:r w:rsidRPr="004F0BA7">
              <w:t>0,0</w:t>
            </w:r>
          </w:p>
        </w:tc>
      </w:tr>
      <w:tr w:rsidR="00FF6FA4" w:rsidRPr="004F0BA7" w14:paraId="4EEEA1D9" w14:textId="77777777" w:rsidTr="00A33721">
        <w:trPr>
          <w:jc w:val="center"/>
        </w:trPr>
        <w:tc>
          <w:tcPr>
            <w:tcW w:w="3600" w:type="dxa"/>
          </w:tcPr>
          <w:p w14:paraId="4457700D" w14:textId="630F4D5A" w:rsidR="00FF6FA4" w:rsidRPr="004F0BA7" w:rsidRDefault="00FF6FA4" w:rsidP="00EA2B9B">
            <w:pPr>
              <w:pStyle w:val="Tabletext"/>
              <w:jc w:val="left"/>
            </w:pPr>
            <w:r w:rsidRPr="004F0BA7">
              <w:t>Affaiblissement dans le système de réception (alimentation d'antennes, câbles,</w:t>
            </w:r>
            <w:r w:rsidR="00F42676" w:rsidRPr="004F0BA7">
              <w:t> </w:t>
            </w:r>
            <w:r w:rsidRPr="004F0BA7">
              <w:t>etc.) (dB)</w:t>
            </w:r>
          </w:p>
        </w:tc>
        <w:tc>
          <w:tcPr>
            <w:tcW w:w="2425" w:type="dxa"/>
            <w:gridSpan w:val="2"/>
          </w:tcPr>
          <w:p w14:paraId="69726ACD" w14:textId="77777777" w:rsidR="00FF6FA4" w:rsidRPr="004F0BA7" w:rsidRDefault="00FF6FA4" w:rsidP="00BA42A4">
            <w:pPr>
              <w:pStyle w:val="Tabletext"/>
              <w:jc w:val="center"/>
            </w:pPr>
            <w:r w:rsidRPr="004F0BA7">
              <w:t>3,0</w:t>
            </w:r>
          </w:p>
        </w:tc>
        <w:tc>
          <w:tcPr>
            <w:tcW w:w="2660" w:type="dxa"/>
            <w:gridSpan w:val="2"/>
          </w:tcPr>
          <w:p w14:paraId="657830A2" w14:textId="77777777" w:rsidR="00FF6FA4" w:rsidRPr="004F0BA7" w:rsidRDefault="00FF6FA4" w:rsidP="00BA42A4">
            <w:pPr>
              <w:pStyle w:val="Tabletext"/>
              <w:jc w:val="center"/>
            </w:pPr>
            <w:r w:rsidRPr="004F0BA7">
              <w:t>0,5</w:t>
            </w:r>
          </w:p>
        </w:tc>
      </w:tr>
      <w:tr w:rsidR="00FF6FA4" w:rsidRPr="004F0BA7" w14:paraId="01D04DC8" w14:textId="77777777" w:rsidTr="00A33721">
        <w:trPr>
          <w:jc w:val="center"/>
        </w:trPr>
        <w:tc>
          <w:tcPr>
            <w:tcW w:w="3600" w:type="dxa"/>
          </w:tcPr>
          <w:p w14:paraId="33C3EA5C" w14:textId="77777777" w:rsidR="00FF6FA4" w:rsidRPr="004F0BA7" w:rsidRDefault="00FF6FA4" w:rsidP="00EA2B9B">
            <w:pPr>
              <w:pStyle w:val="Tabletext"/>
              <w:jc w:val="left"/>
            </w:pPr>
            <w:r w:rsidRPr="004F0BA7">
              <w:t>Affaiblissement par défaut d'adaptation de la polarisation (dB)</w:t>
            </w:r>
          </w:p>
        </w:tc>
        <w:tc>
          <w:tcPr>
            <w:tcW w:w="2425" w:type="dxa"/>
            <w:gridSpan w:val="2"/>
          </w:tcPr>
          <w:p w14:paraId="7E028DCE" w14:textId="77777777" w:rsidR="00FF6FA4" w:rsidRPr="004F0BA7" w:rsidRDefault="00FF6FA4" w:rsidP="00BA42A4">
            <w:pPr>
              <w:pStyle w:val="Tabletext"/>
              <w:jc w:val="center"/>
            </w:pPr>
            <w:r w:rsidRPr="004F0BA7">
              <w:t>0,5</w:t>
            </w:r>
          </w:p>
        </w:tc>
        <w:tc>
          <w:tcPr>
            <w:tcW w:w="2660" w:type="dxa"/>
            <w:gridSpan w:val="2"/>
          </w:tcPr>
          <w:p w14:paraId="4307157E" w14:textId="77777777" w:rsidR="00FF6FA4" w:rsidRPr="004F0BA7" w:rsidRDefault="00FF6FA4" w:rsidP="00BA42A4">
            <w:pPr>
              <w:pStyle w:val="Tabletext"/>
              <w:jc w:val="center"/>
            </w:pPr>
            <w:r w:rsidRPr="004F0BA7">
              <w:t>3</w:t>
            </w:r>
          </w:p>
        </w:tc>
      </w:tr>
      <w:tr w:rsidR="00FF6FA4" w:rsidRPr="004F0BA7" w14:paraId="6DDEFB2F" w14:textId="77777777" w:rsidTr="00A33721">
        <w:trPr>
          <w:jc w:val="center"/>
        </w:trPr>
        <w:tc>
          <w:tcPr>
            <w:tcW w:w="3600" w:type="dxa"/>
          </w:tcPr>
          <w:p w14:paraId="2F449E51" w14:textId="77777777" w:rsidR="00FF6FA4" w:rsidRPr="004F0BA7" w:rsidRDefault="00FF6FA4" w:rsidP="00EA2B9B">
            <w:pPr>
              <w:pStyle w:val="Tabletext"/>
              <w:jc w:val="left"/>
            </w:pPr>
            <w:r w:rsidRPr="004F0BA7">
              <w:t>Puissance du signal reçu (</w:t>
            </w:r>
            <w:proofErr w:type="spellStart"/>
            <w:r w:rsidRPr="004F0BA7">
              <w:t>dBW</w:t>
            </w:r>
            <w:proofErr w:type="spellEnd"/>
            <w:r w:rsidRPr="004F0BA7">
              <w:t>)</w:t>
            </w:r>
          </w:p>
        </w:tc>
        <w:tc>
          <w:tcPr>
            <w:tcW w:w="2425" w:type="dxa"/>
            <w:gridSpan w:val="2"/>
          </w:tcPr>
          <w:p w14:paraId="767A46CB" w14:textId="77777777" w:rsidR="00FF6FA4" w:rsidRPr="004F0BA7" w:rsidRDefault="009A2A55" w:rsidP="00BA42A4">
            <w:pPr>
              <w:pStyle w:val="Tabletext"/>
              <w:jc w:val="center"/>
            </w:pPr>
            <w:r w:rsidRPr="004F0BA7">
              <w:t>−</w:t>
            </w:r>
            <w:r w:rsidR="00FF6FA4" w:rsidRPr="004F0BA7">
              <w:t>126,9</w:t>
            </w:r>
          </w:p>
        </w:tc>
        <w:tc>
          <w:tcPr>
            <w:tcW w:w="2660" w:type="dxa"/>
            <w:gridSpan w:val="2"/>
          </w:tcPr>
          <w:p w14:paraId="4BFAC185" w14:textId="77777777" w:rsidR="00FF6FA4" w:rsidRPr="004F0BA7" w:rsidRDefault="009A2A55" w:rsidP="00BA42A4">
            <w:pPr>
              <w:pStyle w:val="Tabletext"/>
              <w:jc w:val="center"/>
            </w:pPr>
            <w:r w:rsidRPr="004F0BA7">
              <w:t>−</w:t>
            </w:r>
            <w:r w:rsidR="00FF6FA4" w:rsidRPr="004F0BA7">
              <w:t>130,4</w:t>
            </w:r>
          </w:p>
        </w:tc>
      </w:tr>
      <w:tr w:rsidR="00FF6FA4" w:rsidRPr="004F0BA7" w14:paraId="1737D2D7" w14:textId="77777777" w:rsidTr="00A33721">
        <w:trPr>
          <w:jc w:val="center"/>
        </w:trPr>
        <w:tc>
          <w:tcPr>
            <w:tcW w:w="3600" w:type="dxa"/>
          </w:tcPr>
          <w:p w14:paraId="1E571B2F" w14:textId="77777777" w:rsidR="00FF6FA4" w:rsidRPr="004F0BA7" w:rsidRDefault="00FF6FA4" w:rsidP="00EA2B9B">
            <w:pPr>
              <w:pStyle w:val="Tabletext"/>
              <w:jc w:val="left"/>
            </w:pPr>
            <w:r w:rsidRPr="004F0BA7">
              <w:t>Largeur de bande de référence du récepteur (kHz)</w:t>
            </w:r>
          </w:p>
        </w:tc>
        <w:tc>
          <w:tcPr>
            <w:tcW w:w="2425" w:type="dxa"/>
            <w:gridSpan w:val="2"/>
          </w:tcPr>
          <w:p w14:paraId="0EBA9D23" w14:textId="77777777" w:rsidR="00FF6FA4" w:rsidRPr="004F0BA7" w:rsidRDefault="00FF6FA4" w:rsidP="00BA42A4">
            <w:pPr>
              <w:pStyle w:val="Tabletext"/>
              <w:jc w:val="center"/>
            </w:pPr>
            <w:r w:rsidRPr="004F0BA7">
              <w:t>1 300</w:t>
            </w:r>
          </w:p>
        </w:tc>
        <w:tc>
          <w:tcPr>
            <w:tcW w:w="2660" w:type="dxa"/>
            <w:gridSpan w:val="2"/>
          </w:tcPr>
          <w:p w14:paraId="282B10FF" w14:textId="77777777" w:rsidR="00FF6FA4" w:rsidRPr="004F0BA7" w:rsidRDefault="00FF6FA4" w:rsidP="00BA42A4">
            <w:pPr>
              <w:pStyle w:val="Tabletext"/>
              <w:jc w:val="center"/>
            </w:pPr>
            <w:r w:rsidRPr="004F0BA7">
              <w:t>150</w:t>
            </w:r>
          </w:p>
        </w:tc>
      </w:tr>
      <w:tr w:rsidR="00FF6FA4" w:rsidRPr="004F0BA7" w14:paraId="162A8B25" w14:textId="77777777" w:rsidTr="00A33721">
        <w:trPr>
          <w:jc w:val="center"/>
        </w:trPr>
        <w:tc>
          <w:tcPr>
            <w:tcW w:w="3600" w:type="dxa"/>
          </w:tcPr>
          <w:p w14:paraId="53A05187" w14:textId="77777777" w:rsidR="00FF6FA4" w:rsidRPr="004F0BA7" w:rsidRDefault="00FF6FA4" w:rsidP="00EA2B9B">
            <w:pPr>
              <w:pStyle w:val="Tabletext"/>
              <w:jc w:val="left"/>
            </w:pPr>
            <w:r w:rsidRPr="004F0BA7">
              <w:t>Largeur de bande de référence (</w:t>
            </w:r>
            <w:proofErr w:type="spellStart"/>
            <w:r w:rsidRPr="004F0BA7">
              <w:t>dBHz</w:t>
            </w:r>
            <w:proofErr w:type="spellEnd"/>
            <w:r w:rsidRPr="004F0BA7">
              <w:t>)</w:t>
            </w:r>
          </w:p>
        </w:tc>
        <w:tc>
          <w:tcPr>
            <w:tcW w:w="2425" w:type="dxa"/>
            <w:gridSpan w:val="2"/>
          </w:tcPr>
          <w:p w14:paraId="48649690" w14:textId="77777777" w:rsidR="00FF6FA4" w:rsidRPr="004F0BA7" w:rsidRDefault="00FF6FA4" w:rsidP="00BA42A4">
            <w:pPr>
              <w:pStyle w:val="Tabletext"/>
              <w:jc w:val="center"/>
            </w:pPr>
            <w:r w:rsidRPr="004F0BA7">
              <w:t>61,1</w:t>
            </w:r>
          </w:p>
        </w:tc>
        <w:tc>
          <w:tcPr>
            <w:tcW w:w="2660" w:type="dxa"/>
            <w:gridSpan w:val="2"/>
          </w:tcPr>
          <w:p w14:paraId="55F0E914" w14:textId="77777777" w:rsidR="00FF6FA4" w:rsidRPr="004F0BA7" w:rsidRDefault="00FF6FA4" w:rsidP="00BA42A4">
            <w:pPr>
              <w:pStyle w:val="Tabletext"/>
              <w:jc w:val="center"/>
            </w:pPr>
            <w:r w:rsidRPr="004F0BA7">
              <w:t>52</w:t>
            </w:r>
          </w:p>
        </w:tc>
      </w:tr>
      <w:tr w:rsidR="00FF6FA4" w:rsidRPr="004F0BA7" w14:paraId="2BF761D1" w14:textId="77777777" w:rsidTr="00A33721">
        <w:trPr>
          <w:jc w:val="center"/>
        </w:trPr>
        <w:tc>
          <w:tcPr>
            <w:tcW w:w="3600" w:type="dxa"/>
          </w:tcPr>
          <w:p w14:paraId="7928CCF9" w14:textId="77777777" w:rsidR="00FF6FA4" w:rsidRPr="004F0BA7" w:rsidRDefault="00832E43" w:rsidP="00EA2B9B">
            <w:pPr>
              <w:pStyle w:val="Tabletext"/>
              <w:jc w:val="left"/>
            </w:pPr>
            <w:r w:rsidRPr="004F0BA7">
              <w:t>Énergie</w:t>
            </w:r>
            <w:r w:rsidR="00FF6FA4" w:rsidRPr="004F0BA7">
              <w:t xml:space="preserve"> reçue par Hz, </w:t>
            </w:r>
            <w:r w:rsidR="00FF6FA4" w:rsidRPr="004F0BA7">
              <w:rPr>
                <w:i/>
                <w:iCs/>
              </w:rPr>
              <w:t>C</w:t>
            </w:r>
            <w:r w:rsidR="00FF6FA4" w:rsidRPr="004F0BA7">
              <w:rPr>
                <w:vertAlign w:val="subscript"/>
              </w:rPr>
              <w:t>0</w:t>
            </w:r>
            <w:r w:rsidR="00FF6FA4" w:rsidRPr="004F0BA7">
              <w:t xml:space="preserve"> (dB(W/Hz))</w:t>
            </w:r>
          </w:p>
        </w:tc>
        <w:tc>
          <w:tcPr>
            <w:tcW w:w="2425" w:type="dxa"/>
            <w:gridSpan w:val="2"/>
          </w:tcPr>
          <w:p w14:paraId="2D4C780D" w14:textId="77777777" w:rsidR="00FF6FA4" w:rsidRPr="004F0BA7" w:rsidRDefault="009A2A55" w:rsidP="00BA42A4">
            <w:pPr>
              <w:pStyle w:val="Tabletext"/>
              <w:jc w:val="center"/>
            </w:pPr>
            <w:r w:rsidRPr="004F0BA7">
              <w:t>−</w:t>
            </w:r>
            <w:r w:rsidR="00FF6FA4" w:rsidRPr="004F0BA7">
              <w:t>188,0</w:t>
            </w:r>
          </w:p>
        </w:tc>
        <w:tc>
          <w:tcPr>
            <w:tcW w:w="2660" w:type="dxa"/>
            <w:gridSpan w:val="2"/>
          </w:tcPr>
          <w:p w14:paraId="69A64D7B" w14:textId="77777777" w:rsidR="00FF6FA4" w:rsidRPr="004F0BA7" w:rsidRDefault="009A2A55" w:rsidP="00BA42A4">
            <w:pPr>
              <w:pStyle w:val="Tabletext"/>
              <w:jc w:val="center"/>
            </w:pPr>
            <w:r w:rsidRPr="004F0BA7">
              <w:t>−</w:t>
            </w:r>
            <w:r w:rsidR="00FF6FA4" w:rsidRPr="004F0BA7">
              <w:t>182,4</w:t>
            </w:r>
          </w:p>
        </w:tc>
      </w:tr>
      <w:tr w:rsidR="00FF6FA4" w:rsidRPr="004F0BA7" w14:paraId="2D184F23" w14:textId="77777777" w:rsidTr="00A33721">
        <w:trPr>
          <w:jc w:val="center"/>
        </w:trPr>
        <w:tc>
          <w:tcPr>
            <w:tcW w:w="3600" w:type="dxa"/>
          </w:tcPr>
          <w:p w14:paraId="4C706B9D" w14:textId="77777777" w:rsidR="00FF6FA4" w:rsidRPr="004F0BA7" w:rsidRDefault="00FF6FA4" w:rsidP="00EA2B9B">
            <w:pPr>
              <w:pStyle w:val="Tabletext"/>
              <w:jc w:val="left"/>
            </w:pPr>
            <w:r w:rsidRPr="004F0BA7">
              <w:t>Température de bruit du système de réception (K)</w:t>
            </w:r>
          </w:p>
        </w:tc>
        <w:tc>
          <w:tcPr>
            <w:tcW w:w="2425" w:type="dxa"/>
            <w:gridSpan w:val="2"/>
          </w:tcPr>
          <w:p w14:paraId="0FDD33F7" w14:textId="77777777" w:rsidR="00FF6FA4" w:rsidRPr="004F0BA7" w:rsidRDefault="00FF6FA4" w:rsidP="00BA42A4">
            <w:pPr>
              <w:pStyle w:val="Tabletext"/>
              <w:jc w:val="center"/>
            </w:pPr>
            <w:r w:rsidRPr="004F0BA7">
              <w:t>738</w:t>
            </w:r>
          </w:p>
        </w:tc>
        <w:tc>
          <w:tcPr>
            <w:tcW w:w="2660" w:type="dxa"/>
            <w:gridSpan w:val="2"/>
          </w:tcPr>
          <w:p w14:paraId="341F3A9C" w14:textId="77777777" w:rsidR="00FF6FA4" w:rsidRPr="004F0BA7" w:rsidRDefault="00FF6FA4" w:rsidP="00BA42A4">
            <w:pPr>
              <w:pStyle w:val="Tabletext"/>
              <w:jc w:val="center"/>
            </w:pPr>
            <w:r w:rsidRPr="004F0BA7">
              <w:t>1 000</w:t>
            </w:r>
          </w:p>
        </w:tc>
      </w:tr>
      <w:tr w:rsidR="00FF6FA4" w:rsidRPr="004F0BA7" w14:paraId="39D0EC90" w14:textId="77777777" w:rsidTr="00A33721">
        <w:trPr>
          <w:jc w:val="center"/>
        </w:trPr>
        <w:tc>
          <w:tcPr>
            <w:tcW w:w="3600" w:type="dxa"/>
          </w:tcPr>
          <w:p w14:paraId="18A0AABD" w14:textId="77777777" w:rsidR="00FF6FA4" w:rsidRPr="004F0BA7" w:rsidRDefault="00FF6FA4" w:rsidP="00EA2B9B">
            <w:pPr>
              <w:pStyle w:val="Tabletext"/>
              <w:jc w:val="left"/>
              <w:rPr>
                <w:highlight w:val="lightGray"/>
              </w:rPr>
            </w:pPr>
            <w:r w:rsidRPr="004F0BA7">
              <w:t>Puissance de bruit du système de réception (</w:t>
            </w:r>
            <w:proofErr w:type="spellStart"/>
            <w:r w:rsidRPr="004F0BA7">
              <w:t>dBW</w:t>
            </w:r>
            <w:proofErr w:type="spellEnd"/>
            <w:r w:rsidRPr="004F0BA7">
              <w:t>)</w:t>
            </w:r>
          </w:p>
        </w:tc>
        <w:tc>
          <w:tcPr>
            <w:tcW w:w="2425" w:type="dxa"/>
            <w:gridSpan w:val="2"/>
          </w:tcPr>
          <w:p w14:paraId="66C2D0E7" w14:textId="77777777" w:rsidR="00FF6FA4" w:rsidRPr="004F0BA7" w:rsidRDefault="009A2A55" w:rsidP="00BA42A4">
            <w:pPr>
              <w:pStyle w:val="Tabletext"/>
              <w:jc w:val="center"/>
            </w:pPr>
            <w:r w:rsidRPr="004F0BA7">
              <w:t>−</w:t>
            </w:r>
            <w:r w:rsidR="00FF6FA4" w:rsidRPr="004F0BA7">
              <w:t>168,7</w:t>
            </w:r>
          </w:p>
        </w:tc>
        <w:tc>
          <w:tcPr>
            <w:tcW w:w="2660" w:type="dxa"/>
            <w:gridSpan w:val="2"/>
          </w:tcPr>
          <w:p w14:paraId="5AD50941" w14:textId="77777777" w:rsidR="00FF6FA4" w:rsidRPr="004F0BA7" w:rsidRDefault="009A2A55" w:rsidP="00BA42A4">
            <w:pPr>
              <w:pStyle w:val="Tabletext"/>
              <w:jc w:val="center"/>
            </w:pPr>
            <w:r w:rsidRPr="004F0BA7">
              <w:t>−</w:t>
            </w:r>
            <w:r w:rsidR="00FF6FA4" w:rsidRPr="004F0BA7">
              <w:t>146,8</w:t>
            </w:r>
          </w:p>
        </w:tc>
      </w:tr>
      <w:tr w:rsidR="00FF6FA4" w:rsidRPr="004F0BA7" w14:paraId="161FD5BD" w14:textId="77777777" w:rsidTr="00A33721">
        <w:trPr>
          <w:jc w:val="center"/>
        </w:trPr>
        <w:tc>
          <w:tcPr>
            <w:tcW w:w="3600" w:type="dxa"/>
          </w:tcPr>
          <w:p w14:paraId="1F102402" w14:textId="77777777" w:rsidR="00FF6FA4" w:rsidRPr="004F0BA7" w:rsidRDefault="00FF6FA4" w:rsidP="00EA2B9B">
            <w:pPr>
              <w:pStyle w:val="Tabletext"/>
              <w:jc w:val="left"/>
            </w:pPr>
            <w:r w:rsidRPr="004F0BA7">
              <w:t>Densité spectrale de bruit du récepteur,</w:t>
            </w:r>
            <w:r w:rsidRPr="004F0BA7">
              <w:br/>
            </w:r>
            <w:r w:rsidRPr="004F0BA7">
              <w:rPr>
                <w:i/>
                <w:iCs/>
              </w:rPr>
              <w:t>N</w:t>
            </w:r>
            <w:r w:rsidRPr="004F0BA7">
              <w:rPr>
                <w:vertAlign w:val="subscript"/>
              </w:rPr>
              <w:t>0</w:t>
            </w:r>
            <w:r w:rsidRPr="004F0BA7">
              <w:t xml:space="preserve"> (dB(W/Hz))</w:t>
            </w:r>
          </w:p>
        </w:tc>
        <w:tc>
          <w:tcPr>
            <w:tcW w:w="2425" w:type="dxa"/>
            <w:gridSpan w:val="2"/>
          </w:tcPr>
          <w:p w14:paraId="49423672" w14:textId="77777777" w:rsidR="00FF6FA4" w:rsidRPr="004F0BA7" w:rsidRDefault="009A2A55" w:rsidP="00BA42A4">
            <w:pPr>
              <w:pStyle w:val="Tabletext"/>
              <w:jc w:val="center"/>
            </w:pPr>
            <w:r w:rsidRPr="004F0BA7">
              <w:t>−</w:t>
            </w:r>
            <w:r w:rsidR="00FF6FA4" w:rsidRPr="004F0BA7">
              <w:t>200,5</w:t>
            </w:r>
          </w:p>
        </w:tc>
        <w:tc>
          <w:tcPr>
            <w:tcW w:w="2660" w:type="dxa"/>
            <w:gridSpan w:val="2"/>
          </w:tcPr>
          <w:p w14:paraId="0C2F8577" w14:textId="77777777" w:rsidR="00FF6FA4" w:rsidRPr="004F0BA7" w:rsidRDefault="009A2A55" w:rsidP="00BA42A4">
            <w:pPr>
              <w:pStyle w:val="Tabletext"/>
              <w:jc w:val="center"/>
            </w:pPr>
            <w:r w:rsidRPr="004F0BA7">
              <w:t>−</w:t>
            </w:r>
            <w:r w:rsidR="00FF6FA4" w:rsidRPr="004F0BA7">
              <w:t>197,4</w:t>
            </w:r>
          </w:p>
        </w:tc>
      </w:tr>
      <w:tr w:rsidR="00FF6FA4" w:rsidRPr="004F0BA7" w14:paraId="118F92BD" w14:textId="77777777" w:rsidTr="00A33721">
        <w:trPr>
          <w:jc w:val="center"/>
        </w:trPr>
        <w:tc>
          <w:tcPr>
            <w:tcW w:w="3600" w:type="dxa"/>
          </w:tcPr>
          <w:p w14:paraId="5E576D47" w14:textId="77777777" w:rsidR="00FF6FA4" w:rsidRPr="004F0BA7" w:rsidRDefault="00B85E9F" w:rsidP="00B85E9F">
            <w:pPr>
              <w:pStyle w:val="Tabletext"/>
              <w:jc w:val="left"/>
            </w:pPr>
            <w:r w:rsidRPr="004F0BA7">
              <w:rPr>
                <w:i/>
                <w:iCs/>
              </w:rPr>
              <w:t>C</w:t>
            </w:r>
            <w:r w:rsidRPr="004F0BA7">
              <w:rPr>
                <w:vertAlign w:val="subscript"/>
              </w:rPr>
              <w:t>0</w:t>
            </w:r>
            <w:r w:rsidRPr="004F0BA7">
              <w:t>/</w:t>
            </w:r>
            <w:r w:rsidRPr="004F0BA7">
              <w:rPr>
                <w:i/>
                <w:iCs/>
              </w:rPr>
              <w:t>N</w:t>
            </w:r>
            <w:r w:rsidRPr="004F0BA7">
              <w:rPr>
                <w:vertAlign w:val="subscript"/>
              </w:rPr>
              <w:t>0</w:t>
            </w:r>
            <w:r w:rsidRPr="004F0BA7">
              <w:t xml:space="preserve"> </w:t>
            </w:r>
            <w:r w:rsidR="00FF6FA4" w:rsidRPr="004F0BA7">
              <w:t>minimal (dB)</w:t>
            </w:r>
          </w:p>
        </w:tc>
        <w:tc>
          <w:tcPr>
            <w:tcW w:w="1285" w:type="dxa"/>
          </w:tcPr>
          <w:p w14:paraId="5B0830C8" w14:textId="77777777" w:rsidR="00FF6FA4" w:rsidRPr="004F0BA7" w:rsidRDefault="00FF6FA4" w:rsidP="00BA42A4">
            <w:pPr>
              <w:pStyle w:val="Tabletext"/>
              <w:jc w:val="center"/>
            </w:pPr>
            <w:r w:rsidRPr="004F0BA7">
              <w:t>7</w:t>
            </w:r>
          </w:p>
        </w:tc>
        <w:tc>
          <w:tcPr>
            <w:tcW w:w="1140" w:type="dxa"/>
          </w:tcPr>
          <w:p w14:paraId="64444963" w14:textId="77777777" w:rsidR="00FF6FA4" w:rsidRPr="004F0BA7" w:rsidRDefault="00FF6FA4" w:rsidP="00BA42A4">
            <w:pPr>
              <w:pStyle w:val="Tabletext"/>
              <w:jc w:val="center"/>
            </w:pPr>
            <w:r w:rsidRPr="004F0BA7">
              <w:t>12</w:t>
            </w:r>
          </w:p>
        </w:tc>
        <w:tc>
          <w:tcPr>
            <w:tcW w:w="1342" w:type="dxa"/>
          </w:tcPr>
          <w:p w14:paraId="2AC047EA" w14:textId="77777777" w:rsidR="00FF6FA4" w:rsidRPr="004F0BA7" w:rsidRDefault="00FF6FA4" w:rsidP="00BA42A4">
            <w:pPr>
              <w:pStyle w:val="Tabletext"/>
              <w:jc w:val="center"/>
            </w:pPr>
            <w:r w:rsidRPr="004F0BA7">
              <w:t>6</w:t>
            </w:r>
          </w:p>
        </w:tc>
        <w:tc>
          <w:tcPr>
            <w:tcW w:w="1318" w:type="dxa"/>
          </w:tcPr>
          <w:p w14:paraId="2D939388" w14:textId="77777777" w:rsidR="00FF6FA4" w:rsidRPr="004F0BA7" w:rsidRDefault="00FF6FA4" w:rsidP="00BA42A4">
            <w:pPr>
              <w:pStyle w:val="Tabletext"/>
              <w:jc w:val="center"/>
            </w:pPr>
            <w:r w:rsidRPr="004F0BA7">
              <w:t>12</w:t>
            </w:r>
          </w:p>
        </w:tc>
      </w:tr>
      <w:tr w:rsidR="00FF6FA4" w:rsidRPr="004F0BA7" w14:paraId="3430F7C0" w14:textId="77777777" w:rsidTr="00A33721">
        <w:trPr>
          <w:jc w:val="center"/>
        </w:trPr>
        <w:tc>
          <w:tcPr>
            <w:tcW w:w="3600" w:type="dxa"/>
          </w:tcPr>
          <w:p w14:paraId="4BFD1754" w14:textId="77777777" w:rsidR="00FF6FA4" w:rsidRPr="004F0BA7" w:rsidRDefault="00B85E9F" w:rsidP="00B85E9F">
            <w:pPr>
              <w:pStyle w:val="Tabletext"/>
              <w:jc w:val="left"/>
            </w:pPr>
            <w:r w:rsidRPr="004F0BA7">
              <w:rPr>
                <w:i/>
                <w:iCs/>
              </w:rPr>
              <w:t>C</w:t>
            </w:r>
            <w:r w:rsidRPr="004F0BA7">
              <w:rPr>
                <w:vertAlign w:val="subscript"/>
              </w:rPr>
              <w:t>0</w:t>
            </w:r>
            <w:r w:rsidRPr="004F0BA7">
              <w:t>/</w:t>
            </w:r>
            <w:r w:rsidRPr="004F0BA7">
              <w:rPr>
                <w:i/>
                <w:iCs/>
              </w:rPr>
              <w:t>N</w:t>
            </w:r>
            <w:r w:rsidRPr="004F0BA7">
              <w:rPr>
                <w:vertAlign w:val="subscript"/>
              </w:rPr>
              <w:t>0</w:t>
            </w:r>
            <w:r w:rsidRPr="004F0BA7">
              <w:t xml:space="preserve"> </w:t>
            </w:r>
            <w:r w:rsidR="00FF6FA4" w:rsidRPr="004F0BA7">
              <w:t>effectif pour le vol (dB)</w:t>
            </w:r>
          </w:p>
        </w:tc>
        <w:tc>
          <w:tcPr>
            <w:tcW w:w="2425" w:type="dxa"/>
            <w:gridSpan w:val="2"/>
          </w:tcPr>
          <w:p w14:paraId="4774D3F9" w14:textId="77777777" w:rsidR="00FF6FA4" w:rsidRPr="004F0BA7" w:rsidRDefault="00FF6FA4" w:rsidP="00BA42A4">
            <w:pPr>
              <w:pStyle w:val="Tabletext"/>
              <w:jc w:val="center"/>
            </w:pPr>
            <w:r w:rsidRPr="004F0BA7">
              <w:t>12,5</w:t>
            </w:r>
          </w:p>
        </w:tc>
        <w:tc>
          <w:tcPr>
            <w:tcW w:w="2660" w:type="dxa"/>
            <w:gridSpan w:val="2"/>
          </w:tcPr>
          <w:p w14:paraId="67F4C4DB" w14:textId="77777777" w:rsidR="00FF6FA4" w:rsidRPr="004F0BA7" w:rsidRDefault="00FF6FA4" w:rsidP="00BA42A4">
            <w:pPr>
              <w:pStyle w:val="Tabletext"/>
              <w:jc w:val="center"/>
            </w:pPr>
            <w:r w:rsidRPr="004F0BA7">
              <w:t>15</w:t>
            </w:r>
          </w:p>
        </w:tc>
      </w:tr>
      <w:tr w:rsidR="00FF6FA4" w:rsidRPr="004F0BA7" w14:paraId="1371AB69" w14:textId="77777777" w:rsidTr="00A33721">
        <w:trPr>
          <w:jc w:val="center"/>
        </w:trPr>
        <w:tc>
          <w:tcPr>
            <w:tcW w:w="3600" w:type="dxa"/>
          </w:tcPr>
          <w:p w14:paraId="559D53B2" w14:textId="77777777" w:rsidR="00FF6FA4" w:rsidRPr="004F0BA7" w:rsidRDefault="00FF6FA4" w:rsidP="00EA2B9B">
            <w:pPr>
              <w:pStyle w:val="Tabletext"/>
              <w:jc w:val="left"/>
            </w:pPr>
            <w:r w:rsidRPr="004F0BA7">
              <w:t>Marge (dB)</w:t>
            </w:r>
          </w:p>
        </w:tc>
        <w:tc>
          <w:tcPr>
            <w:tcW w:w="1285" w:type="dxa"/>
          </w:tcPr>
          <w:p w14:paraId="0FA0B06E" w14:textId="77777777" w:rsidR="00FF6FA4" w:rsidRPr="004F0BA7" w:rsidRDefault="00FF6FA4" w:rsidP="00BA42A4">
            <w:pPr>
              <w:pStyle w:val="Tabletext"/>
              <w:jc w:val="center"/>
            </w:pPr>
            <w:r w:rsidRPr="004F0BA7">
              <w:t>5,5</w:t>
            </w:r>
          </w:p>
        </w:tc>
        <w:tc>
          <w:tcPr>
            <w:tcW w:w="1140" w:type="dxa"/>
          </w:tcPr>
          <w:p w14:paraId="229D1A7E" w14:textId="77777777" w:rsidR="00FF6FA4" w:rsidRPr="004F0BA7" w:rsidRDefault="00FF6FA4" w:rsidP="00BA42A4">
            <w:pPr>
              <w:pStyle w:val="Tabletext"/>
              <w:jc w:val="center"/>
            </w:pPr>
            <w:r w:rsidRPr="004F0BA7">
              <w:t>0,5</w:t>
            </w:r>
          </w:p>
        </w:tc>
        <w:tc>
          <w:tcPr>
            <w:tcW w:w="1342" w:type="dxa"/>
          </w:tcPr>
          <w:p w14:paraId="000E25E6" w14:textId="77777777" w:rsidR="00FF6FA4" w:rsidRPr="004F0BA7" w:rsidRDefault="00FF6FA4" w:rsidP="00BA42A4">
            <w:pPr>
              <w:pStyle w:val="Tabletext"/>
              <w:jc w:val="center"/>
            </w:pPr>
            <w:r w:rsidRPr="004F0BA7">
              <w:t>9,0</w:t>
            </w:r>
          </w:p>
        </w:tc>
        <w:tc>
          <w:tcPr>
            <w:tcW w:w="1318" w:type="dxa"/>
          </w:tcPr>
          <w:p w14:paraId="39D09F07" w14:textId="77777777" w:rsidR="00FF6FA4" w:rsidRPr="004F0BA7" w:rsidRDefault="00FF6FA4" w:rsidP="00BA42A4">
            <w:pPr>
              <w:pStyle w:val="Tabletext"/>
              <w:jc w:val="center"/>
            </w:pPr>
            <w:r w:rsidRPr="004F0BA7">
              <w:t>3,0</w:t>
            </w:r>
          </w:p>
        </w:tc>
      </w:tr>
    </w:tbl>
    <w:p w14:paraId="0AC9906C" w14:textId="51DDF5F8" w:rsidR="00183EB4" w:rsidRPr="004F0BA7" w:rsidRDefault="00183EB4" w:rsidP="001F2C4F">
      <w:pPr>
        <w:pStyle w:val="Tablefin"/>
        <w:rPr>
          <w:lang w:val="fr-FR"/>
        </w:rPr>
      </w:pPr>
    </w:p>
    <w:p w14:paraId="4B3206BB" w14:textId="59391364" w:rsidR="00F42676" w:rsidRPr="004F0BA7" w:rsidRDefault="00F42676">
      <w:pPr>
        <w:tabs>
          <w:tab w:val="clear" w:pos="794"/>
          <w:tab w:val="clear" w:pos="1191"/>
          <w:tab w:val="clear" w:pos="1588"/>
          <w:tab w:val="clear" w:pos="1985"/>
        </w:tabs>
        <w:overflowPunct/>
        <w:autoSpaceDE/>
        <w:autoSpaceDN/>
        <w:adjustRightInd/>
        <w:spacing w:before="0"/>
        <w:jc w:val="left"/>
        <w:textAlignment w:val="auto"/>
      </w:pPr>
      <w:r w:rsidRPr="004F0BA7">
        <w:br w:type="page"/>
      </w:r>
    </w:p>
    <w:p w14:paraId="71B63854" w14:textId="09525019" w:rsidR="00FF6FA4" w:rsidRPr="004F0BA7" w:rsidRDefault="00FF6FA4" w:rsidP="00F42676">
      <w:pPr>
        <w:pStyle w:val="Heading1"/>
      </w:pPr>
      <w:bookmarkStart w:id="7" w:name="_Toc393257593"/>
      <w:r w:rsidRPr="004F0BA7">
        <w:lastRenderedPageBreak/>
        <w:t>4</w:t>
      </w:r>
      <w:r w:rsidRPr="004F0BA7">
        <w:tab/>
        <w:t>Calcul des critères de brouillage applicables au service des auxiliaires de la météorologie</w:t>
      </w:r>
      <w:bookmarkEnd w:id="7"/>
    </w:p>
    <w:p w14:paraId="769BD816" w14:textId="77777777" w:rsidR="00FF6FA4" w:rsidRPr="004F0BA7" w:rsidRDefault="00FF6FA4" w:rsidP="001F2C4F">
      <w:pPr>
        <w:pStyle w:val="Heading2"/>
      </w:pPr>
      <w:bookmarkStart w:id="8" w:name="_Toc393257594"/>
      <w:r w:rsidRPr="004F0BA7">
        <w:t>4.1</w:t>
      </w:r>
      <w:r w:rsidRPr="004F0BA7">
        <w:tab/>
        <w:t>Radiosondes</w:t>
      </w:r>
      <w:bookmarkEnd w:id="8"/>
    </w:p>
    <w:p w14:paraId="53BDC1A5" w14:textId="77777777" w:rsidR="00FF6FA4" w:rsidRPr="004F0BA7" w:rsidRDefault="00FF6FA4" w:rsidP="001F2C4F">
      <w:r w:rsidRPr="004F0BA7">
        <w:t>Les critères de brouillage peuvent être calculés à l'aide des équations (1), (2) et (3) et des résultats de l'analyse des bilans de liaison présentée dans le</w:t>
      </w:r>
      <w:r w:rsidR="00B1016E" w:rsidRPr="004F0BA7">
        <w:t>s</w:t>
      </w:r>
      <w:r w:rsidRPr="004F0BA7">
        <w:t xml:space="preserve"> Tableau</w:t>
      </w:r>
      <w:r w:rsidR="00B1016E" w:rsidRPr="004F0BA7">
        <w:t>x</w:t>
      </w:r>
      <w:r w:rsidRPr="004F0BA7">
        <w:t> </w:t>
      </w:r>
      <w:r w:rsidR="00B1016E" w:rsidRPr="004F0BA7">
        <w:t>5, 6 et 7</w:t>
      </w:r>
      <w:r w:rsidRPr="004F0BA7">
        <w:t xml:space="preserve">. Les critères de brouillage établis pour chacun des trois systèmes à radiosondes sont donnés dans </w:t>
      </w:r>
      <w:r w:rsidR="00B1016E" w:rsidRPr="004F0BA7">
        <w:t>les Tableaux 8</w:t>
      </w:r>
      <w:r w:rsidRPr="004F0BA7">
        <w:t xml:space="preserve"> et </w:t>
      </w:r>
      <w:r w:rsidR="00B1016E" w:rsidRPr="004F0BA7">
        <w:t>9</w:t>
      </w:r>
      <w:r w:rsidRPr="004F0BA7">
        <w:t>.</w:t>
      </w:r>
    </w:p>
    <w:p w14:paraId="31BAC84F" w14:textId="77777777" w:rsidR="00FF6FA4" w:rsidRPr="004F0BA7" w:rsidRDefault="00FF6FA4" w:rsidP="001F2C4F">
      <w:pPr>
        <w:pStyle w:val="TableNo"/>
      </w:pPr>
      <w:r w:rsidRPr="004F0BA7">
        <w:t xml:space="preserve">TABLEAU </w:t>
      </w:r>
      <w:r w:rsidR="00B1016E" w:rsidRPr="004F0BA7">
        <w:t>8</w:t>
      </w:r>
    </w:p>
    <w:p w14:paraId="65A351B8" w14:textId="77777777" w:rsidR="00FF6FA4" w:rsidRPr="004F0BA7" w:rsidRDefault="00FF6FA4" w:rsidP="001F2C4F">
      <w:pPr>
        <w:pStyle w:val="Tabletitle"/>
      </w:pPr>
      <w:r w:rsidRPr="004F0BA7">
        <w:t xml:space="preserve">Critères de brouillage applicables aux systèmes à radiosondes </w:t>
      </w:r>
      <w:r w:rsidR="001F2C4F" w:rsidRPr="004F0BA7">
        <w:t xml:space="preserve">autres que les systèmes </w:t>
      </w:r>
      <w:r w:rsidR="00865433" w:rsidRPr="004F0BA7">
        <w:t xml:space="preserve">NAVAID </w:t>
      </w:r>
      <w:r w:rsidRPr="004F0BA7">
        <w:t xml:space="preserve">fonctionnant dans la bande </w:t>
      </w:r>
      <w:r w:rsidR="00B1016E" w:rsidRPr="004F0BA7">
        <w:t xml:space="preserve">de fréquences </w:t>
      </w:r>
      <w:r w:rsidRPr="004F0BA7">
        <w:t xml:space="preserve">400,15-406 </w:t>
      </w:r>
      <w:proofErr w:type="gramStart"/>
      <w:r w:rsidRPr="004F0BA7">
        <w:t>MHz</w:t>
      </w:r>
      <w:r w:rsidR="00865433" w:rsidRPr="004F0BA7">
        <w:rPr>
          <w:vertAlign w:val="superscript"/>
        </w:rPr>
        <w:t>(</w:t>
      </w:r>
      <w:proofErr w:type="gramEnd"/>
      <w:r w:rsidR="00865433" w:rsidRPr="004F0BA7">
        <w:rPr>
          <w:vertAlign w:val="superscript"/>
        </w:rPr>
        <w:t>1)</w:t>
      </w:r>
    </w:p>
    <w:tbl>
      <w:tblPr>
        <w:tblW w:w="9639" w:type="dxa"/>
        <w:jc w:val="center"/>
        <w:tblLook w:val="04A0" w:firstRow="1" w:lastRow="0" w:firstColumn="1" w:lastColumn="0" w:noHBand="0" w:noVBand="1"/>
      </w:tblPr>
      <w:tblGrid>
        <w:gridCol w:w="4454"/>
        <w:gridCol w:w="1006"/>
        <w:gridCol w:w="1008"/>
        <w:gridCol w:w="1056"/>
        <w:gridCol w:w="1099"/>
        <w:gridCol w:w="1016"/>
      </w:tblGrid>
      <w:tr w:rsidR="00B1016E" w:rsidRPr="004F0BA7" w14:paraId="49168EB9" w14:textId="77777777" w:rsidTr="00533AA8">
        <w:trPr>
          <w:cantSplit/>
          <w:jc w:val="center"/>
        </w:trPr>
        <w:tc>
          <w:tcPr>
            <w:tcW w:w="231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582E393" w14:textId="77777777" w:rsidR="00B1016E" w:rsidRPr="004F0BA7" w:rsidRDefault="00B1016E" w:rsidP="001F2C4F">
            <w:pPr>
              <w:pStyle w:val="Tablehead"/>
            </w:pPr>
            <w:r w:rsidRPr="004F0BA7">
              <w:t xml:space="preserve">Type </w:t>
            </w:r>
            <w:r w:rsidR="003C27AE" w:rsidRPr="004F0BA7">
              <w:t>de systè</w:t>
            </w:r>
            <w:r w:rsidRPr="004F0BA7">
              <w:t>m</w:t>
            </w:r>
            <w:r w:rsidR="003C27AE" w:rsidRPr="004F0BA7">
              <w:t>e</w:t>
            </w:r>
          </w:p>
        </w:tc>
        <w:tc>
          <w:tcPr>
            <w:tcW w:w="522"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614F2D" w14:textId="77777777" w:rsidR="00B1016E" w:rsidRPr="004F0BA7" w:rsidRDefault="00B1016E" w:rsidP="001F2C4F">
            <w:pPr>
              <w:pStyle w:val="Tablehead"/>
            </w:pPr>
            <w:r w:rsidRPr="004F0BA7">
              <w:t>Type A</w:t>
            </w:r>
          </w:p>
        </w:tc>
        <w:tc>
          <w:tcPr>
            <w:tcW w:w="523" w:type="pct"/>
            <w:tcBorders>
              <w:top w:val="single" w:sz="8" w:space="0" w:color="auto"/>
              <w:left w:val="nil"/>
              <w:bottom w:val="single" w:sz="8" w:space="0" w:color="auto"/>
              <w:right w:val="single" w:sz="8" w:space="0" w:color="000000"/>
            </w:tcBorders>
            <w:shd w:val="clear" w:color="auto" w:fill="auto"/>
            <w:noWrap/>
            <w:vAlign w:val="center"/>
            <w:hideMark/>
          </w:tcPr>
          <w:p w14:paraId="352743D8" w14:textId="77777777" w:rsidR="00B1016E" w:rsidRPr="004F0BA7" w:rsidRDefault="00B1016E" w:rsidP="001F2C4F">
            <w:pPr>
              <w:pStyle w:val="Tablehead"/>
            </w:pPr>
            <w:r w:rsidRPr="004F0BA7">
              <w:t>Type B</w:t>
            </w:r>
          </w:p>
        </w:tc>
        <w:tc>
          <w:tcPr>
            <w:tcW w:w="548" w:type="pct"/>
            <w:tcBorders>
              <w:top w:val="single" w:sz="8" w:space="0" w:color="auto"/>
              <w:left w:val="nil"/>
              <w:bottom w:val="single" w:sz="8" w:space="0" w:color="auto"/>
              <w:right w:val="single" w:sz="8" w:space="0" w:color="000000"/>
            </w:tcBorders>
            <w:shd w:val="clear" w:color="auto" w:fill="auto"/>
            <w:noWrap/>
            <w:vAlign w:val="center"/>
            <w:hideMark/>
          </w:tcPr>
          <w:p w14:paraId="3E628EC9" w14:textId="77777777" w:rsidR="00B1016E" w:rsidRPr="004F0BA7" w:rsidRDefault="00B1016E" w:rsidP="001F2C4F">
            <w:pPr>
              <w:pStyle w:val="Tablehead"/>
            </w:pPr>
            <w:r w:rsidRPr="004F0BA7">
              <w:t>Type C</w:t>
            </w:r>
          </w:p>
        </w:tc>
        <w:tc>
          <w:tcPr>
            <w:tcW w:w="570"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0C7C46" w14:textId="77777777" w:rsidR="00B1016E" w:rsidRPr="004F0BA7" w:rsidRDefault="00B1016E" w:rsidP="001F2C4F">
            <w:pPr>
              <w:pStyle w:val="Tablehead"/>
            </w:pPr>
            <w:r w:rsidRPr="004F0BA7">
              <w:t>Type D</w:t>
            </w:r>
          </w:p>
        </w:tc>
        <w:tc>
          <w:tcPr>
            <w:tcW w:w="527" w:type="pct"/>
            <w:tcBorders>
              <w:top w:val="single" w:sz="8" w:space="0" w:color="auto"/>
              <w:left w:val="nil"/>
              <w:bottom w:val="single" w:sz="8" w:space="0" w:color="auto"/>
              <w:right w:val="single" w:sz="4" w:space="0" w:color="auto"/>
            </w:tcBorders>
            <w:shd w:val="clear" w:color="auto" w:fill="auto"/>
            <w:noWrap/>
            <w:vAlign w:val="center"/>
            <w:hideMark/>
          </w:tcPr>
          <w:p w14:paraId="08087FAC" w14:textId="77777777" w:rsidR="00B1016E" w:rsidRPr="004F0BA7" w:rsidRDefault="00B1016E" w:rsidP="001F2C4F">
            <w:pPr>
              <w:pStyle w:val="Tablehead"/>
            </w:pPr>
            <w:r w:rsidRPr="004F0BA7">
              <w:t>Type E</w:t>
            </w:r>
          </w:p>
        </w:tc>
      </w:tr>
      <w:tr w:rsidR="00B1016E" w:rsidRPr="004F0BA7" w14:paraId="7A80DF6B" w14:textId="77777777" w:rsidTr="00533AA8">
        <w:trPr>
          <w:cantSplit/>
          <w:jc w:val="center"/>
        </w:trPr>
        <w:tc>
          <w:tcPr>
            <w:tcW w:w="2310" w:type="pct"/>
            <w:tcBorders>
              <w:top w:val="nil"/>
              <w:left w:val="single" w:sz="8" w:space="0" w:color="auto"/>
              <w:bottom w:val="single" w:sz="4" w:space="0" w:color="auto"/>
              <w:right w:val="single" w:sz="8" w:space="0" w:color="000000"/>
            </w:tcBorders>
            <w:shd w:val="clear" w:color="auto" w:fill="auto"/>
            <w:vAlign w:val="center"/>
            <w:hideMark/>
          </w:tcPr>
          <w:p w14:paraId="016E339D" w14:textId="77777777" w:rsidR="00B1016E" w:rsidRPr="004F0BA7" w:rsidRDefault="00B1016E" w:rsidP="001F2C4F">
            <w:pPr>
              <w:pStyle w:val="Tablehead"/>
            </w:pPr>
            <w:r w:rsidRPr="004F0BA7">
              <w:rPr>
                <w:szCs w:val="22"/>
              </w:rPr>
              <w:t>Paramètre</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BBED0CB" w14:textId="77777777" w:rsidR="00B1016E" w:rsidRPr="004F0BA7" w:rsidRDefault="00B1016E" w:rsidP="001F2C4F">
            <w:pPr>
              <w:pStyle w:val="Tablehead"/>
            </w:pPr>
            <w:r w:rsidRPr="004F0BA7">
              <w:t>FM</w:t>
            </w:r>
          </w:p>
        </w:tc>
        <w:tc>
          <w:tcPr>
            <w:tcW w:w="523" w:type="pct"/>
            <w:tcBorders>
              <w:top w:val="single" w:sz="8" w:space="0" w:color="auto"/>
              <w:left w:val="nil"/>
              <w:bottom w:val="single" w:sz="4" w:space="0" w:color="auto"/>
              <w:right w:val="single" w:sz="8" w:space="0" w:color="000000"/>
            </w:tcBorders>
            <w:shd w:val="clear" w:color="auto" w:fill="auto"/>
            <w:noWrap/>
            <w:vAlign w:val="center"/>
            <w:hideMark/>
          </w:tcPr>
          <w:p w14:paraId="625CF5E1" w14:textId="77777777" w:rsidR="00B1016E" w:rsidRPr="004F0BA7" w:rsidRDefault="00B1016E" w:rsidP="001F2C4F">
            <w:pPr>
              <w:pStyle w:val="Tablehead"/>
            </w:pPr>
            <w:r w:rsidRPr="004F0BA7">
              <w:t>GMSK</w:t>
            </w:r>
          </w:p>
        </w:tc>
        <w:tc>
          <w:tcPr>
            <w:tcW w:w="548" w:type="pct"/>
            <w:tcBorders>
              <w:top w:val="single" w:sz="8" w:space="0" w:color="auto"/>
              <w:left w:val="nil"/>
              <w:bottom w:val="single" w:sz="4" w:space="0" w:color="auto"/>
              <w:right w:val="single" w:sz="8" w:space="0" w:color="000000"/>
            </w:tcBorders>
            <w:shd w:val="clear" w:color="auto" w:fill="auto"/>
            <w:noWrap/>
            <w:vAlign w:val="center"/>
            <w:hideMark/>
          </w:tcPr>
          <w:p w14:paraId="2351A0F7" w14:textId="77777777" w:rsidR="00B1016E" w:rsidRPr="004F0BA7" w:rsidRDefault="00B1016E" w:rsidP="001F2C4F">
            <w:pPr>
              <w:pStyle w:val="Tablehead"/>
            </w:pPr>
            <w:r w:rsidRPr="004F0BA7">
              <w:t>GFSK</w:t>
            </w:r>
          </w:p>
        </w:tc>
        <w:tc>
          <w:tcPr>
            <w:tcW w:w="570" w:type="pct"/>
            <w:tcBorders>
              <w:top w:val="single" w:sz="8" w:space="0" w:color="auto"/>
              <w:left w:val="nil"/>
              <w:bottom w:val="single" w:sz="4" w:space="0" w:color="auto"/>
              <w:right w:val="single" w:sz="8" w:space="0" w:color="000000"/>
            </w:tcBorders>
            <w:shd w:val="clear" w:color="auto" w:fill="auto"/>
            <w:noWrap/>
            <w:vAlign w:val="center"/>
            <w:hideMark/>
          </w:tcPr>
          <w:p w14:paraId="0D98F09C" w14:textId="77777777" w:rsidR="00B1016E" w:rsidRPr="004F0BA7" w:rsidRDefault="00B1016E" w:rsidP="001F2C4F">
            <w:pPr>
              <w:pStyle w:val="Tablehead"/>
            </w:pPr>
            <w:r w:rsidRPr="004F0BA7">
              <w:t>QAM</w:t>
            </w:r>
          </w:p>
        </w:tc>
        <w:tc>
          <w:tcPr>
            <w:tcW w:w="527" w:type="pct"/>
            <w:tcBorders>
              <w:top w:val="single" w:sz="8" w:space="0" w:color="auto"/>
              <w:left w:val="nil"/>
              <w:bottom w:val="single" w:sz="8" w:space="0" w:color="auto"/>
              <w:right w:val="single" w:sz="8" w:space="0" w:color="000000"/>
            </w:tcBorders>
            <w:shd w:val="clear" w:color="auto" w:fill="auto"/>
            <w:noWrap/>
            <w:vAlign w:val="center"/>
            <w:hideMark/>
          </w:tcPr>
          <w:p w14:paraId="3F535216" w14:textId="77777777" w:rsidR="00B1016E" w:rsidRPr="004F0BA7" w:rsidRDefault="00B1016E" w:rsidP="001F2C4F">
            <w:pPr>
              <w:pStyle w:val="Tablehead"/>
            </w:pPr>
            <w:r w:rsidRPr="004F0BA7">
              <w:t>FSK</w:t>
            </w:r>
          </w:p>
        </w:tc>
      </w:tr>
      <w:tr w:rsidR="00B1016E" w:rsidRPr="004F0BA7" w14:paraId="509C8A08" w14:textId="77777777" w:rsidTr="00533AA8">
        <w:trPr>
          <w:cantSplit/>
          <w:jc w:val="center"/>
        </w:trPr>
        <w:tc>
          <w:tcPr>
            <w:tcW w:w="2310" w:type="pct"/>
            <w:tcBorders>
              <w:top w:val="single" w:sz="4" w:space="0" w:color="auto"/>
              <w:left w:val="single" w:sz="8" w:space="0" w:color="auto"/>
              <w:bottom w:val="single" w:sz="8" w:space="0" w:color="auto"/>
              <w:right w:val="single" w:sz="8" w:space="0" w:color="000000"/>
            </w:tcBorders>
            <w:shd w:val="clear" w:color="auto" w:fill="auto"/>
            <w:hideMark/>
          </w:tcPr>
          <w:p w14:paraId="3D080C60" w14:textId="77777777" w:rsidR="00B1016E" w:rsidRPr="004F0BA7" w:rsidRDefault="00B1016E" w:rsidP="001F2C4F">
            <w:pPr>
              <w:pStyle w:val="Tabletext"/>
              <w:jc w:val="left"/>
              <w:rPr>
                <w:szCs w:val="22"/>
              </w:rPr>
            </w:pPr>
            <w:r w:rsidRPr="004F0BA7">
              <w:rPr>
                <w:szCs w:val="22"/>
              </w:rPr>
              <w:t>Densité spectrale de bruit du récepteur (dB(W/Hz))</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8CF8621" w14:textId="77777777" w:rsidR="00B1016E" w:rsidRPr="004F0BA7" w:rsidRDefault="00B1016E" w:rsidP="001F2C4F">
            <w:pPr>
              <w:pStyle w:val="Tabletext"/>
              <w:jc w:val="center"/>
            </w:pPr>
            <w:r w:rsidRPr="004F0BA7">
              <w:t>−200,8</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4C59963A" w14:textId="77777777" w:rsidR="00B1016E" w:rsidRPr="004F0BA7" w:rsidRDefault="00B1016E" w:rsidP="001F2C4F">
            <w:pPr>
              <w:pStyle w:val="Tabletext"/>
              <w:jc w:val="center"/>
            </w:pPr>
            <w:r w:rsidRPr="004F0BA7">
              <w:t>−200,8</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23E4FAD3" w14:textId="77777777" w:rsidR="00B1016E" w:rsidRPr="004F0BA7" w:rsidRDefault="00B1016E" w:rsidP="001F2C4F">
            <w:pPr>
              <w:pStyle w:val="Tabletext"/>
              <w:jc w:val="center"/>
            </w:pPr>
            <w:r w:rsidRPr="004F0BA7">
              <w:t>−206,3</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22773CA2" w14:textId="77777777" w:rsidR="00B1016E" w:rsidRPr="004F0BA7" w:rsidRDefault="00B1016E" w:rsidP="001F2C4F">
            <w:pPr>
              <w:pStyle w:val="Tabletext"/>
              <w:jc w:val="center"/>
            </w:pPr>
            <w:r w:rsidRPr="004F0BA7">
              <w:t>−204,5</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535DCD5F" w14:textId="77777777" w:rsidR="00B1016E" w:rsidRPr="004F0BA7" w:rsidRDefault="00B1016E" w:rsidP="001F2C4F">
            <w:pPr>
              <w:pStyle w:val="Tabletext"/>
              <w:jc w:val="center"/>
            </w:pPr>
            <w:r w:rsidRPr="004F0BA7">
              <w:t>−199,9</w:t>
            </w:r>
          </w:p>
        </w:tc>
      </w:tr>
      <w:tr w:rsidR="00B1016E" w:rsidRPr="004F0BA7" w14:paraId="0CABC040"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20682A8D" w14:textId="77777777" w:rsidR="00B1016E" w:rsidRPr="004F0BA7" w:rsidRDefault="00B1016E" w:rsidP="001F2C4F">
            <w:pPr>
              <w:pStyle w:val="Tabletext"/>
              <w:jc w:val="left"/>
              <w:rPr>
                <w:szCs w:val="22"/>
              </w:rPr>
            </w:pPr>
            <w:r w:rsidRPr="004F0BA7">
              <w:rPr>
                <w:szCs w:val="22"/>
              </w:rPr>
              <w:t>Largeur de bande de référence du récepteur (dB/Hz)</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57352E4D" w14:textId="77777777" w:rsidR="00B1016E" w:rsidRPr="004F0BA7" w:rsidRDefault="00B1016E" w:rsidP="001F2C4F">
            <w:pPr>
              <w:pStyle w:val="Tabletext"/>
              <w:jc w:val="center"/>
            </w:pPr>
            <w:r w:rsidRPr="004F0BA7">
              <w:t>54,8</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2E3E19F7" w14:textId="77777777" w:rsidR="00B1016E" w:rsidRPr="004F0BA7" w:rsidRDefault="00B1016E" w:rsidP="001F2C4F">
            <w:pPr>
              <w:pStyle w:val="Tabletext"/>
              <w:jc w:val="center"/>
            </w:pPr>
            <w:r w:rsidRPr="004F0BA7">
              <w:t>37,8</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1F76D1FA" w14:textId="77777777" w:rsidR="00B1016E" w:rsidRPr="004F0BA7" w:rsidRDefault="00B1016E" w:rsidP="001F2C4F">
            <w:pPr>
              <w:pStyle w:val="Tabletext"/>
              <w:jc w:val="center"/>
            </w:pPr>
            <w:r w:rsidRPr="004F0BA7">
              <w:t>40,4</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2C6234F8" w14:textId="77777777" w:rsidR="00B1016E" w:rsidRPr="004F0BA7" w:rsidRDefault="00B1016E" w:rsidP="001F2C4F">
            <w:pPr>
              <w:pStyle w:val="Tabletext"/>
              <w:jc w:val="center"/>
            </w:pPr>
            <w:r w:rsidRPr="004F0BA7">
              <w:t>42,3</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4E96DD11" w14:textId="77777777" w:rsidR="00B1016E" w:rsidRPr="004F0BA7" w:rsidRDefault="00B1016E" w:rsidP="001F2C4F">
            <w:pPr>
              <w:pStyle w:val="Tabletext"/>
              <w:jc w:val="center"/>
            </w:pPr>
            <w:r w:rsidRPr="004F0BA7">
              <w:t>42,7</w:t>
            </w:r>
          </w:p>
        </w:tc>
      </w:tr>
      <w:tr w:rsidR="00B1016E" w:rsidRPr="004F0BA7" w14:paraId="751D210B"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33FB2062" w14:textId="77777777" w:rsidR="00B1016E" w:rsidRPr="004F0BA7" w:rsidRDefault="00B1016E" w:rsidP="001F2C4F">
            <w:pPr>
              <w:pStyle w:val="Tabletext"/>
              <w:jc w:val="left"/>
              <w:rPr>
                <w:szCs w:val="22"/>
              </w:rPr>
            </w:pPr>
            <w:r w:rsidRPr="004F0BA7">
              <w:rPr>
                <w:szCs w:val="22"/>
              </w:rPr>
              <w:t xml:space="preserve">Marge de liaison (dB) </w:t>
            </w:r>
            <w:r w:rsidRPr="004F0BA7">
              <w:rPr>
                <w:i/>
                <w:szCs w:val="22"/>
              </w:rPr>
              <w:t>P</w:t>
            </w:r>
            <w:r w:rsidRPr="004F0BA7">
              <w:rPr>
                <w:i/>
                <w:szCs w:val="22"/>
                <w:vertAlign w:val="subscript"/>
              </w:rPr>
              <w:t>PERTE-VERROUILLAGE</w:t>
            </w:r>
            <w:r w:rsidRPr="004F0BA7">
              <w:rPr>
                <w:szCs w:val="22"/>
                <w:vertAlign w:val="subscript"/>
              </w:rPr>
              <w:t xml:space="preserve"> </w:t>
            </w:r>
            <w:r w:rsidRPr="004F0BA7">
              <w:rPr>
                <w:szCs w:val="22"/>
              </w:rPr>
              <w:t>= 0,02% (dB)</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44160DDE" w14:textId="77777777" w:rsidR="00B1016E" w:rsidRPr="004F0BA7" w:rsidRDefault="00B1016E" w:rsidP="001F2C4F">
            <w:pPr>
              <w:pStyle w:val="Tabletext"/>
              <w:jc w:val="center"/>
            </w:pPr>
            <w:r w:rsidRPr="004F0BA7">
              <w:t>6,0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1D1ED551" w14:textId="77777777" w:rsidR="00B1016E" w:rsidRPr="004F0BA7" w:rsidRDefault="00B1016E" w:rsidP="001F2C4F">
            <w:pPr>
              <w:pStyle w:val="Tabletext"/>
              <w:jc w:val="center"/>
            </w:pPr>
            <w:r w:rsidRPr="004F0BA7">
              <w:rPr>
                <w:vertAlign w:val="superscript"/>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42EA4BD5" w14:textId="77777777" w:rsidR="00B1016E" w:rsidRPr="004F0BA7" w:rsidRDefault="00B1016E" w:rsidP="001F2C4F">
            <w:pPr>
              <w:pStyle w:val="Tabletext"/>
              <w:jc w:val="center"/>
            </w:pPr>
            <w:r w:rsidRPr="004F0BA7">
              <w:t>20,3</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316C0831" w14:textId="77777777" w:rsidR="00B1016E" w:rsidRPr="004F0BA7" w:rsidRDefault="00B1016E" w:rsidP="001F2C4F">
            <w:pPr>
              <w:pStyle w:val="Tabletext"/>
              <w:jc w:val="center"/>
            </w:pPr>
            <w:r w:rsidRPr="004F0BA7">
              <w:rPr>
                <w:vertAlign w:val="superscript"/>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1883032A" w14:textId="77777777" w:rsidR="00B1016E" w:rsidRPr="004F0BA7" w:rsidRDefault="00B1016E" w:rsidP="001F2C4F">
            <w:pPr>
              <w:pStyle w:val="Tabletext"/>
              <w:jc w:val="center"/>
            </w:pPr>
            <w:r w:rsidRPr="004F0BA7">
              <w:t>14,7</w:t>
            </w:r>
          </w:p>
        </w:tc>
      </w:tr>
      <w:tr w:rsidR="00B1016E" w:rsidRPr="004F0BA7" w14:paraId="7E50F35C"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7989AB70" w14:textId="77777777" w:rsidR="00B1016E" w:rsidRPr="004F0BA7" w:rsidRDefault="00B1016E" w:rsidP="001F2C4F">
            <w:pPr>
              <w:pStyle w:val="Tabletext"/>
              <w:jc w:val="left"/>
              <w:rPr>
                <w:szCs w:val="22"/>
              </w:rPr>
            </w:pPr>
            <w:r w:rsidRPr="004F0BA7">
              <w:rPr>
                <w:szCs w:val="22"/>
              </w:rPr>
              <w:t xml:space="preserve">Marge de liaison (dB) </w:t>
            </w:r>
            <w:r w:rsidRPr="004F0BA7">
              <w:rPr>
                <w:i/>
                <w:szCs w:val="22"/>
              </w:rPr>
              <w:t>P</w:t>
            </w:r>
            <w:r w:rsidRPr="004F0BA7">
              <w:rPr>
                <w:i/>
                <w:szCs w:val="22"/>
                <w:vertAlign w:val="subscript"/>
              </w:rPr>
              <w:t>PERTE-DONN</w:t>
            </w:r>
            <w:r w:rsidRPr="004F0BA7">
              <w:rPr>
                <w:i/>
                <w:vertAlign w:val="subscript"/>
              </w:rPr>
              <w:t>É</w:t>
            </w:r>
            <w:r w:rsidRPr="004F0BA7">
              <w:rPr>
                <w:i/>
                <w:szCs w:val="22"/>
                <w:vertAlign w:val="subscript"/>
              </w:rPr>
              <w:t>ES</w:t>
            </w:r>
            <w:r w:rsidRPr="004F0BA7">
              <w:rPr>
                <w:szCs w:val="22"/>
                <w:vertAlign w:val="subscript"/>
              </w:rPr>
              <w:t xml:space="preserve"> </w:t>
            </w:r>
            <w:r w:rsidRPr="004F0BA7">
              <w:rPr>
                <w:szCs w:val="22"/>
              </w:rPr>
              <w:t>= 0,2% (dB)</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3182DF0D" w14:textId="77777777" w:rsidR="00B1016E" w:rsidRPr="004F0BA7" w:rsidRDefault="00B1016E" w:rsidP="001F2C4F">
            <w:pPr>
              <w:pStyle w:val="Tabletext"/>
              <w:jc w:val="center"/>
            </w:pPr>
            <w:r w:rsidRPr="004F0BA7">
              <w:t>1,0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04B3B6D7" w14:textId="77777777" w:rsidR="00B1016E" w:rsidRPr="004F0BA7" w:rsidRDefault="00B1016E" w:rsidP="001F2C4F">
            <w:pPr>
              <w:pStyle w:val="Tabletext"/>
              <w:jc w:val="center"/>
            </w:pPr>
            <w:r w:rsidRPr="004F0BA7">
              <w:t>16,6</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7D7A03A9" w14:textId="77777777" w:rsidR="00B1016E" w:rsidRPr="004F0BA7" w:rsidRDefault="00B1016E" w:rsidP="001F2C4F">
            <w:pPr>
              <w:pStyle w:val="Tabletext"/>
              <w:jc w:val="center"/>
            </w:pPr>
            <w:r w:rsidRPr="004F0BA7">
              <w:t>15,3</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4CEB5504" w14:textId="77777777" w:rsidR="00B1016E" w:rsidRPr="004F0BA7" w:rsidRDefault="00B1016E" w:rsidP="001F2C4F">
            <w:pPr>
              <w:pStyle w:val="Tabletext"/>
              <w:jc w:val="center"/>
            </w:pPr>
            <w:r w:rsidRPr="004F0BA7">
              <w:t>12,8</w:t>
            </w:r>
          </w:p>
        </w:tc>
        <w:tc>
          <w:tcPr>
            <w:tcW w:w="527" w:type="pct"/>
            <w:tcBorders>
              <w:top w:val="single" w:sz="4" w:space="0" w:color="auto"/>
              <w:left w:val="nil"/>
              <w:bottom w:val="single" w:sz="4" w:space="0" w:color="auto"/>
              <w:right w:val="single" w:sz="8" w:space="0" w:color="000000"/>
            </w:tcBorders>
            <w:shd w:val="clear" w:color="000000" w:fill="FFFFFF"/>
            <w:noWrap/>
            <w:vAlign w:val="center"/>
            <w:hideMark/>
          </w:tcPr>
          <w:p w14:paraId="7B296692" w14:textId="77777777" w:rsidR="00B1016E" w:rsidRPr="004F0BA7" w:rsidRDefault="00B1016E" w:rsidP="001F2C4F">
            <w:pPr>
              <w:pStyle w:val="Tabletext"/>
              <w:jc w:val="center"/>
            </w:pPr>
            <w:r w:rsidRPr="004F0BA7">
              <w:t>9,7</w:t>
            </w:r>
          </w:p>
        </w:tc>
      </w:tr>
      <w:tr w:rsidR="00B1016E" w:rsidRPr="004F0BA7" w14:paraId="10DA07BB"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0295083C" w14:textId="77777777" w:rsidR="00B1016E" w:rsidRPr="004F0BA7" w:rsidRDefault="00B1016E" w:rsidP="001F2C4F">
            <w:pPr>
              <w:pStyle w:val="Tabletext"/>
              <w:jc w:val="left"/>
              <w:rPr>
                <w:szCs w:val="22"/>
              </w:rPr>
            </w:pPr>
            <w:r w:rsidRPr="004F0BA7">
              <w:rPr>
                <w:szCs w:val="22"/>
              </w:rPr>
              <w:t xml:space="preserve">Niveau de brouillage ne devant pas être dépassé pendant plus de </w:t>
            </w:r>
            <w:r w:rsidRPr="004F0BA7">
              <w:rPr>
                <w:i/>
                <w:szCs w:val="22"/>
              </w:rPr>
              <w:t>P</w:t>
            </w:r>
            <w:r w:rsidRPr="004F0BA7">
              <w:rPr>
                <w:i/>
                <w:szCs w:val="22"/>
                <w:vertAlign w:val="subscript"/>
              </w:rPr>
              <w:t>PERTE-VERROUILLAGE</w:t>
            </w:r>
            <w:r w:rsidRPr="004F0BA7">
              <w:rPr>
                <w:szCs w:val="22"/>
                <w:vertAlign w:val="subscript"/>
              </w:rPr>
              <w:t xml:space="preserve"> </w:t>
            </w:r>
            <w:r w:rsidRPr="004F0BA7">
              <w:rPr>
                <w:szCs w:val="22"/>
              </w:rPr>
              <w:t>= 0,02% du temps (équation (1))</w:t>
            </w:r>
            <w:r w:rsidR="003C27AE" w:rsidRPr="004F0BA7">
              <w:rPr>
                <w:szCs w:val="22"/>
              </w:rPr>
              <w:t xml:space="preserve"> (</w:t>
            </w:r>
            <w:proofErr w:type="spellStart"/>
            <w:r w:rsidR="003C27AE" w:rsidRPr="004F0BA7">
              <w:rPr>
                <w:color w:val="000000"/>
              </w:rPr>
              <w:t>dBW</w:t>
            </w:r>
            <w:proofErr w:type="spellEnd"/>
            <w:r w:rsidR="003C27AE" w:rsidRPr="004F0BA7">
              <w:rPr>
                <w:color w:val="000000"/>
              </w:rPr>
              <w:t> (REF BW))</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2A69AA5C" w14:textId="77777777" w:rsidR="00B1016E" w:rsidRPr="004F0BA7" w:rsidRDefault="00B1016E" w:rsidP="001F2C4F">
            <w:pPr>
              <w:pStyle w:val="Tabletext"/>
              <w:jc w:val="center"/>
            </w:pPr>
            <w:r w:rsidRPr="004F0BA7">
              <w:t>−141,2</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32B9469E" w14:textId="77777777" w:rsidR="00B1016E" w:rsidRPr="004F0BA7" w:rsidRDefault="00B1016E" w:rsidP="001F2C4F">
            <w:pPr>
              <w:pStyle w:val="Tabletext"/>
              <w:jc w:val="center"/>
              <w:rPr>
                <w:vertAlign w:val="superscript"/>
              </w:rPr>
            </w:pPr>
            <w:r w:rsidRPr="004F0BA7">
              <w:rPr>
                <w:vertAlign w:val="superscript"/>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08D6F8EA" w14:textId="77777777" w:rsidR="00B1016E" w:rsidRPr="004F0BA7" w:rsidRDefault="00B1016E" w:rsidP="001F2C4F">
            <w:pPr>
              <w:pStyle w:val="Tabletext"/>
              <w:jc w:val="center"/>
            </w:pPr>
            <w:r w:rsidRPr="004F0BA7">
              <w:t>−145,6</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3A17D07F" w14:textId="77777777" w:rsidR="00B1016E" w:rsidRPr="004F0BA7" w:rsidRDefault="00B1016E" w:rsidP="001F2C4F">
            <w:pPr>
              <w:pStyle w:val="Tabletext"/>
              <w:jc w:val="center"/>
            </w:pPr>
            <w:r w:rsidRPr="004F0BA7">
              <w:rPr>
                <w:vertAlign w:val="superscript"/>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3EA66769" w14:textId="77777777" w:rsidR="00B1016E" w:rsidRPr="004F0BA7" w:rsidRDefault="00B1016E" w:rsidP="001F2C4F">
            <w:pPr>
              <w:pStyle w:val="Tabletext"/>
              <w:jc w:val="center"/>
            </w:pPr>
            <w:r w:rsidRPr="004F0BA7">
              <w:t>−142,7</w:t>
            </w:r>
          </w:p>
        </w:tc>
      </w:tr>
      <w:tr w:rsidR="00B1016E" w:rsidRPr="004F0BA7" w14:paraId="463B7190"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17674995" w14:textId="77777777" w:rsidR="00B1016E" w:rsidRPr="004F0BA7" w:rsidRDefault="00B1016E" w:rsidP="001F2C4F">
            <w:pPr>
              <w:pStyle w:val="Tabletext"/>
              <w:jc w:val="left"/>
              <w:rPr>
                <w:szCs w:val="22"/>
              </w:rPr>
            </w:pPr>
            <w:r w:rsidRPr="004F0BA7">
              <w:rPr>
                <w:szCs w:val="22"/>
              </w:rPr>
              <w:t xml:space="preserve">Niveau de brouillage ne devant pas être dépassé pendant plus de </w:t>
            </w:r>
            <w:r w:rsidRPr="004F0BA7">
              <w:rPr>
                <w:i/>
                <w:szCs w:val="22"/>
              </w:rPr>
              <w:t>P</w:t>
            </w:r>
            <w:r w:rsidRPr="004F0BA7">
              <w:rPr>
                <w:i/>
                <w:szCs w:val="22"/>
                <w:vertAlign w:val="subscript"/>
              </w:rPr>
              <w:t>PERTE-DONN</w:t>
            </w:r>
            <w:r w:rsidRPr="004F0BA7">
              <w:rPr>
                <w:i/>
                <w:vertAlign w:val="subscript"/>
              </w:rPr>
              <w:t>É</w:t>
            </w:r>
            <w:r w:rsidRPr="004F0BA7">
              <w:rPr>
                <w:i/>
                <w:szCs w:val="22"/>
                <w:vertAlign w:val="subscript"/>
              </w:rPr>
              <w:t>ES</w:t>
            </w:r>
            <w:r w:rsidRPr="004F0BA7">
              <w:rPr>
                <w:szCs w:val="22"/>
                <w:vertAlign w:val="subscript"/>
              </w:rPr>
              <w:t xml:space="preserve"> </w:t>
            </w:r>
            <w:r w:rsidRPr="004F0BA7">
              <w:rPr>
                <w:szCs w:val="22"/>
              </w:rPr>
              <w:t xml:space="preserve">= 0,2% du temps (équation (2)) </w:t>
            </w:r>
            <w:r w:rsidRPr="004F0BA7">
              <w:rPr>
                <w:color w:val="000000"/>
              </w:rPr>
              <w:t>(</w:t>
            </w:r>
            <w:proofErr w:type="spellStart"/>
            <w:r w:rsidRPr="004F0BA7">
              <w:rPr>
                <w:color w:val="000000"/>
              </w:rPr>
              <w:t>dBW</w:t>
            </w:r>
            <w:proofErr w:type="spellEnd"/>
            <w:r w:rsidRPr="004F0BA7">
              <w:rPr>
                <w:color w:val="000000"/>
              </w:rPr>
              <w:t> (REF BW))</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707E98E4" w14:textId="77777777" w:rsidR="00B1016E" w:rsidRPr="004F0BA7" w:rsidRDefault="00B1016E" w:rsidP="001F2C4F">
            <w:pPr>
              <w:pStyle w:val="Tabletext"/>
              <w:jc w:val="center"/>
            </w:pPr>
            <w:r w:rsidRPr="004F0BA7">
              <w:t>−151,7</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43BC52C5" w14:textId="77777777" w:rsidR="00B1016E" w:rsidRPr="004F0BA7" w:rsidRDefault="00B1016E" w:rsidP="001F2C4F">
            <w:pPr>
              <w:pStyle w:val="Tabletext"/>
              <w:jc w:val="center"/>
            </w:pPr>
            <w:r w:rsidRPr="004F0BA7">
              <w:t>−146,5</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2AC037CB" w14:textId="77777777" w:rsidR="00B1016E" w:rsidRPr="004F0BA7" w:rsidRDefault="00B1016E" w:rsidP="001F2C4F">
            <w:pPr>
              <w:pStyle w:val="Tabletext"/>
              <w:jc w:val="center"/>
            </w:pPr>
            <w:r w:rsidRPr="004F0BA7">
              <w:t>−150,7</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2B2933A0" w14:textId="77777777" w:rsidR="00B1016E" w:rsidRPr="004F0BA7" w:rsidRDefault="00B1016E" w:rsidP="001F2C4F">
            <w:pPr>
              <w:pStyle w:val="Tabletext"/>
              <w:jc w:val="center"/>
            </w:pPr>
            <w:r w:rsidRPr="004F0BA7">
              <w:t>−149,7</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66AE4289" w14:textId="77777777" w:rsidR="00B1016E" w:rsidRPr="004F0BA7" w:rsidRDefault="00B1016E" w:rsidP="001F2C4F">
            <w:pPr>
              <w:pStyle w:val="Tabletext"/>
              <w:jc w:val="center"/>
            </w:pPr>
            <w:r w:rsidRPr="004F0BA7">
              <w:t>−148,0</w:t>
            </w:r>
          </w:p>
        </w:tc>
      </w:tr>
      <w:tr w:rsidR="00B1016E" w:rsidRPr="004F0BA7" w14:paraId="2E466E69" w14:textId="77777777" w:rsidTr="00533AA8">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71807B73" w14:textId="77777777" w:rsidR="00B1016E" w:rsidRPr="004F0BA7" w:rsidRDefault="00B1016E" w:rsidP="001F2C4F">
            <w:pPr>
              <w:pStyle w:val="Tabletext"/>
              <w:jc w:val="left"/>
              <w:rPr>
                <w:szCs w:val="22"/>
              </w:rPr>
            </w:pPr>
            <w:r w:rsidRPr="004F0BA7">
              <w:rPr>
                <w:szCs w:val="22"/>
              </w:rPr>
              <w:t xml:space="preserve">Niveau de brouillage ne devant pas être dépassé pendant plus de 20% du temps (équation (3)) </w:t>
            </w:r>
            <w:r w:rsidRPr="004F0BA7">
              <w:rPr>
                <w:color w:val="000000"/>
              </w:rPr>
              <w:t>(</w:t>
            </w:r>
            <w:proofErr w:type="spellStart"/>
            <w:r w:rsidRPr="004F0BA7">
              <w:rPr>
                <w:color w:val="000000"/>
              </w:rPr>
              <w:t>dBW</w:t>
            </w:r>
            <w:proofErr w:type="spellEnd"/>
            <w:r w:rsidRPr="004F0BA7">
              <w:rPr>
                <w:color w:val="000000"/>
              </w:rPr>
              <w:t> (REF BW))</w:t>
            </w:r>
          </w:p>
        </w:tc>
        <w:tc>
          <w:tcPr>
            <w:tcW w:w="522" w:type="pct"/>
            <w:tcBorders>
              <w:top w:val="single" w:sz="4" w:space="0" w:color="auto"/>
              <w:left w:val="nil"/>
              <w:bottom w:val="single" w:sz="8" w:space="0" w:color="auto"/>
              <w:right w:val="single" w:sz="8" w:space="0" w:color="000000"/>
            </w:tcBorders>
            <w:shd w:val="clear" w:color="auto" w:fill="auto"/>
            <w:noWrap/>
            <w:vAlign w:val="center"/>
            <w:hideMark/>
          </w:tcPr>
          <w:p w14:paraId="690CD852" w14:textId="77777777" w:rsidR="00B1016E" w:rsidRPr="004F0BA7" w:rsidRDefault="00B1016E" w:rsidP="001F2C4F">
            <w:pPr>
              <w:pStyle w:val="Tabletext"/>
              <w:jc w:val="center"/>
            </w:pPr>
            <w:r w:rsidRPr="004F0BA7">
              <w:t>−156,0</w:t>
            </w:r>
          </w:p>
        </w:tc>
        <w:tc>
          <w:tcPr>
            <w:tcW w:w="523" w:type="pct"/>
            <w:tcBorders>
              <w:top w:val="single" w:sz="4" w:space="0" w:color="auto"/>
              <w:left w:val="nil"/>
              <w:bottom w:val="single" w:sz="8" w:space="0" w:color="auto"/>
              <w:right w:val="single" w:sz="8" w:space="0" w:color="000000"/>
            </w:tcBorders>
            <w:shd w:val="clear" w:color="auto" w:fill="auto"/>
            <w:noWrap/>
            <w:vAlign w:val="center"/>
            <w:hideMark/>
          </w:tcPr>
          <w:p w14:paraId="2CD3B135" w14:textId="77777777" w:rsidR="00B1016E" w:rsidRPr="004F0BA7" w:rsidRDefault="00B1016E" w:rsidP="001F2C4F">
            <w:pPr>
              <w:pStyle w:val="Tabletext"/>
              <w:jc w:val="center"/>
            </w:pPr>
            <w:r w:rsidRPr="004F0BA7">
              <w:t>−158,9</w:t>
            </w:r>
          </w:p>
        </w:tc>
        <w:tc>
          <w:tcPr>
            <w:tcW w:w="548" w:type="pct"/>
            <w:tcBorders>
              <w:top w:val="single" w:sz="4" w:space="0" w:color="auto"/>
              <w:left w:val="nil"/>
              <w:bottom w:val="single" w:sz="8" w:space="0" w:color="auto"/>
              <w:right w:val="single" w:sz="8" w:space="0" w:color="000000"/>
            </w:tcBorders>
            <w:shd w:val="clear" w:color="auto" w:fill="auto"/>
            <w:noWrap/>
            <w:vAlign w:val="center"/>
            <w:hideMark/>
          </w:tcPr>
          <w:p w14:paraId="50421BEA" w14:textId="77777777" w:rsidR="00B1016E" w:rsidRPr="004F0BA7" w:rsidRDefault="00B1016E" w:rsidP="001F2C4F">
            <w:pPr>
              <w:pStyle w:val="Tabletext"/>
              <w:jc w:val="center"/>
            </w:pPr>
            <w:r w:rsidRPr="004F0BA7">
              <w:t>−162,4</w:t>
            </w:r>
          </w:p>
        </w:tc>
        <w:tc>
          <w:tcPr>
            <w:tcW w:w="570" w:type="pct"/>
            <w:tcBorders>
              <w:top w:val="single" w:sz="4" w:space="0" w:color="auto"/>
              <w:left w:val="nil"/>
              <w:bottom w:val="single" w:sz="8" w:space="0" w:color="auto"/>
              <w:right w:val="single" w:sz="8" w:space="0" w:color="000000"/>
            </w:tcBorders>
            <w:shd w:val="clear" w:color="auto" w:fill="auto"/>
            <w:noWrap/>
            <w:vAlign w:val="center"/>
            <w:hideMark/>
          </w:tcPr>
          <w:p w14:paraId="1335BBCC" w14:textId="77777777" w:rsidR="00B1016E" w:rsidRPr="004F0BA7" w:rsidRDefault="00B1016E" w:rsidP="001F2C4F">
            <w:pPr>
              <w:pStyle w:val="Tabletext"/>
              <w:jc w:val="center"/>
            </w:pPr>
            <w:r w:rsidRPr="004F0BA7">
              <w:t>−160,0</w:t>
            </w:r>
          </w:p>
        </w:tc>
        <w:tc>
          <w:tcPr>
            <w:tcW w:w="527" w:type="pct"/>
            <w:tcBorders>
              <w:top w:val="single" w:sz="4" w:space="0" w:color="auto"/>
              <w:left w:val="nil"/>
              <w:bottom w:val="single" w:sz="8" w:space="0" w:color="auto"/>
              <w:right w:val="single" w:sz="8" w:space="0" w:color="000000"/>
            </w:tcBorders>
            <w:shd w:val="clear" w:color="auto" w:fill="auto"/>
            <w:noWrap/>
            <w:vAlign w:val="center"/>
            <w:hideMark/>
          </w:tcPr>
          <w:p w14:paraId="0F724825" w14:textId="77777777" w:rsidR="00B1016E" w:rsidRPr="004F0BA7" w:rsidRDefault="00B1016E" w:rsidP="001F2C4F">
            <w:pPr>
              <w:pStyle w:val="Tabletext"/>
              <w:jc w:val="center"/>
            </w:pPr>
            <w:r w:rsidRPr="004F0BA7">
              <w:t>−156,8</w:t>
            </w:r>
          </w:p>
        </w:tc>
      </w:tr>
      <w:tr w:rsidR="00B1016E" w:rsidRPr="004F0BA7" w14:paraId="18ED3774" w14:textId="77777777" w:rsidTr="00533AA8">
        <w:trPr>
          <w:cantSplit/>
          <w:jc w:val="center"/>
        </w:trPr>
        <w:tc>
          <w:tcPr>
            <w:tcW w:w="5000" w:type="pct"/>
            <w:gridSpan w:val="6"/>
            <w:tcBorders>
              <w:top w:val="single" w:sz="8" w:space="0" w:color="auto"/>
            </w:tcBorders>
            <w:shd w:val="clear" w:color="auto" w:fill="auto"/>
            <w:vAlign w:val="center"/>
          </w:tcPr>
          <w:p w14:paraId="5F068A1C" w14:textId="4E22BFAC" w:rsidR="00B1016E" w:rsidRPr="004F0BA7" w:rsidRDefault="00B1016E" w:rsidP="001F2C4F">
            <w:pPr>
              <w:pStyle w:val="Tabletext"/>
              <w:ind w:left="284" w:hanging="284"/>
            </w:pPr>
            <w:r w:rsidRPr="004F0BA7">
              <w:rPr>
                <w:vertAlign w:val="superscript"/>
              </w:rPr>
              <w:t>(1)</w:t>
            </w:r>
            <w:r w:rsidRPr="004F0BA7">
              <w:tab/>
              <w:t xml:space="preserve">Les systèmes à antennes </w:t>
            </w:r>
            <w:proofErr w:type="spellStart"/>
            <w:r w:rsidRPr="004F0BA7">
              <w:t>équidirectives</w:t>
            </w:r>
            <w:proofErr w:type="spellEnd"/>
            <w:r w:rsidRPr="004F0BA7">
              <w:t xml:space="preserve"> ne risquent pas de perdre le verrouillage de l'antenne sur le signal en raison d'un brouillage ou d'un évanouissement du signal.</w:t>
            </w:r>
          </w:p>
        </w:tc>
      </w:tr>
    </w:tbl>
    <w:p w14:paraId="5F752A77" w14:textId="77777777" w:rsidR="009A2A55" w:rsidRPr="004F0BA7" w:rsidRDefault="009A2A55" w:rsidP="009A2A55">
      <w:pPr>
        <w:pStyle w:val="Tablefin"/>
        <w:rPr>
          <w:lang w:val="fr-FR"/>
        </w:rPr>
      </w:pPr>
    </w:p>
    <w:p w14:paraId="2CEB0274" w14:textId="77777777" w:rsidR="00FF6FA4" w:rsidRPr="004F0BA7" w:rsidRDefault="00FF6FA4" w:rsidP="001F2C4F">
      <w:pPr>
        <w:tabs>
          <w:tab w:val="clear" w:pos="794"/>
          <w:tab w:val="clear" w:pos="1191"/>
          <w:tab w:val="clear" w:pos="1588"/>
          <w:tab w:val="clear" w:pos="1985"/>
        </w:tabs>
        <w:overflowPunct/>
        <w:autoSpaceDE/>
        <w:autoSpaceDN/>
        <w:adjustRightInd/>
        <w:spacing w:before="0"/>
        <w:textAlignment w:val="auto"/>
        <w:rPr>
          <w:caps/>
        </w:rPr>
      </w:pPr>
      <w:r w:rsidRPr="004F0BA7">
        <w:br w:type="page"/>
      </w:r>
    </w:p>
    <w:p w14:paraId="4EC9F335" w14:textId="77777777" w:rsidR="00FF6FA4" w:rsidRPr="004F0BA7" w:rsidRDefault="00B1016E" w:rsidP="001F2C4F">
      <w:pPr>
        <w:pStyle w:val="TableNo"/>
      </w:pPr>
      <w:r w:rsidRPr="004F0BA7">
        <w:lastRenderedPageBreak/>
        <w:t>TABLEAU 9</w:t>
      </w:r>
    </w:p>
    <w:p w14:paraId="348414A4" w14:textId="0DBFC273" w:rsidR="00FF6FA4" w:rsidRPr="004F0BA7" w:rsidRDefault="00FF6FA4" w:rsidP="001F2C4F">
      <w:pPr>
        <w:pStyle w:val="Tabletitle"/>
      </w:pPr>
      <w:r w:rsidRPr="004F0BA7">
        <w:t xml:space="preserve">Critères de brouillage applicables aux systèmes à radiosondes </w:t>
      </w:r>
      <w:r w:rsidRPr="004F0BA7">
        <w:br/>
        <w:t xml:space="preserve">fonctionnant dans la bande </w:t>
      </w:r>
      <w:r w:rsidR="00B1016E" w:rsidRPr="004F0BA7">
        <w:t xml:space="preserve">de fréquences </w:t>
      </w:r>
      <w:r w:rsidR="00001F7E" w:rsidRPr="004F0BA7">
        <w:t>1 668,4-1 700 MHz</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A0" w:firstRow="1" w:lastRow="0" w:firstColumn="1" w:lastColumn="0" w:noHBand="0" w:noVBand="0"/>
      </w:tblPr>
      <w:tblGrid>
        <w:gridCol w:w="5521"/>
        <w:gridCol w:w="2127"/>
        <w:gridCol w:w="1975"/>
      </w:tblGrid>
      <w:tr w:rsidR="00FF6FA4" w:rsidRPr="004F0BA7" w14:paraId="7AA5D1D6" w14:textId="77777777" w:rsidTr="00F06589">
        <w:tc>
          <w:tcPr>
            <w:tcW w:w="2869" w:type="pct"/>
            <w:vAlign w:val="center"/>
          </w:tcPr>
          <w:p w14:paraId="4A18AFFE" w14:textId="77777777" w:rsidR="00FF6FA4" w:rsidRPr="004F0BA7" w:rsidRDefault="00FF6FA4" w:rsidP="001F2C4F">
            <w:pPr>
              <w:pStyle w:val="Tablehead"/>
            </w:pPr>
            <w:r w:rsidRPr="004F0BA7">
              <w:t>Paramètre</w:t>
            </w:r>
          </w:p>
        </w:tc>
        <w:tc>
          <w:tcPr>
            <w:tcW w:w="1105" w:type="pct"/>
            <w:vAlign w:val="center"/>
          </w:tcPr>
          <w:p w14:paraId="30248A00" w14:textId="77777777" w:rsidR="00B1016E" w:rsidRPr="004F0BA7" w:rsidRDefault="00B1016E" w:rsidP="001F2C4F">
            <w:pPr>
              <w:pStyle w:val="Tablehead"/>
            </w:pPr>
            <w:r w:rsidRPr="004F0BA7">
              <w:t>Type G</w:t>
            </w:r>
          </w:p>
          <w:p w14:paraId="04CEFCF8" w14:textId="77777777" w:rsidR="00FF6FA4" w:rsidRPr="004F0BA7" w:rsidRDefault="00FF6FA4" w:rsidP="001F2C4F">
            <w:pPr>
              <w:pStyle w:val="Tablehead"/>
            </w:pPr>
            <w:r w:rsidRPr="004F0BA7">
              <w:t xml:space="preserve">Système RDF </w:t>
            </w:r>
            <w:r w:rsidRPr="004F0BA7">
              <w:br/>
              <w:t>1 668,4-1 700 MHz</w:t>
            </w:r>
          </w:p>
        </w:tc>
        <w:tc>
          <w:tcPr>
            <w:tcW w:w="1026" w:type="pct"/>
            <w:vAlign w:val="center"/>
          </w:tcPr>
          <w:p w14:paraId="13CB56D7" w14:textId="77777777" w:rsidR="00B1016E" w:rsidRPr="004F0BA7" w:rsidRDefault="00B1016E" w:rsidP="001F2C4F">
            <w:pPr>
              <w:pStyle w:val="Tablehead"/>
            </w:pPr>
            <w:r w:rsidRPr="004F0BA7">
              <w:t>Type H</w:t>
            </w:r>
          </w:p>
          <w:p w14:paraId="7ACF380A" w14:textId="77777777" w:rsidR="00FF6FA4" w:rsidRPr="004F0BA7" w:rsidRDefault="00FF6FA4" w:rsidP="001F2C4F">
            <w:pPr>
              <w:pStyle w:val="Tablehead"/>
            </w:pPr>
            <w:r w:rsidRPr="004F0BA7">
              <w:t xml:space="preserve">Système GPS </w:t>
            </w:r>
            <w:r w:rsidRPr="004F0BA7">
              <w:br/>
              <w:t>1 675-1 683 MHz</w:t>
            </w:r>
          </w:p>
        </w:tc>
      </w:tr>
      <w:tr w:rsidR="00FF6FA4" w:rsidRPr="004F0BA7" w14:paraId="50A00AFB" w14:textId="77777777" w:rsidTr="00F06589">
        <w:tc>
          <w:tcPr>
            <w:tcW w:w="2869" w:type="pct"/>
          </w:tcPr>
          <w:p w14:paraId="467008D6" w14:textId="77777777" w:rsidR="00FF6FA4" w:rsidRPr="004F0BA7" w:rsidRDefault="00FF6FA4" w:rsidP="001F2C4F">
            <w:pPr>
              <w:pStyle w:val="Tabletext"/>
              <w:jc w:val="left"/>
            </w:pPr>
            <w:r w:rsidRPr="004F0BA7">
              <w:t>Densité spectrale de bruit du récepteur (dB(W/Hz))</w:t>
            </w:r>
          </w:p>
        </w:tc>
        <w:tc>
          <w:tcPr>
            <w:tcW w:w="1105" w:type="pct"/>
            <w:vAlign w:val="center"/>
          </w:tcPr>
          <w:p w14:paraId="530FCA97" w14:textId="77777777" w:rsidR="00FF6FA4" w:rsidRPr="004F0BA7" w:rsidRDefault="009A2A55" w:rsidP="001F2C4F">
            <w:pPr>
              <w:pStyle w:val="Tabletext"/>
              <w:jc w:val="center"/>
            </w:pPr>
            <w:r w:rsidRPr="004F0BA7">
              <w:t>−</w:t>
            </w:r>
            <w:r w:rsidR="00FF6FA4" w:rsidRPr="004F0BA7">
              <w:t>200,5</w:t>
            </w:r>
          </w:p>
        </w:tc>
        <w:tc>
          <w:tcPr>
            <w:tcW w:w="1026" w:type="pct"/>
            <w:vAlign w:val="center"/>
          </w:tcPr>
          <w:p w14:paraId="1FDBDC52" w14:textId="77777777" w:rsidR="00FF6FA4" w:rsidRPr="004F0BA7" w:rsidRDefault="009A2A55" w:rsidP="001F2C4F">
            <w:pPr>
              <w:pStyle w:val="Tabletext"/>
              <w:jc w:val="center"/>
            </w:pPr>
            <w:r w:rsidRPr="004F0BA7">
              <w:t>−</w:t>
            </w:r>
            <w:r w:rsidR="00FF6FA4" w:rsidRPr="004F0BA7">
              <w:t>197,4</w:t>
            </w:r>
          </w:p>
        </w:tc>
      </w:tr>
      <w:tr w:rsidR="00FF6FA4" w:rsidRPr="004F0BA7" w14:paraId="1AF6AF44" w14:textId="77777777" w:rsidTr="00F06589">
        <w:tc>
          <w:tcPr>
            <w:tcW w:w="2869" w:type="pct"/>
          </w:tcPr>
          <w:p w14:paraId="26D22D2E" w14:textId="77777777" w:rsidR="00FF6FA4" w:rsidRPr="004F0BA7" w:rsidRDefault="00FF6FA4" w:rsidP="001F2C4F">
            <w:pPr>
              <w:pStyle w:val="Tabletext"/>
              <w:jc w:val="left"/>
            </w:pPr>
            <w:r w:rsidRPr="004F0BA7">
              <w:t>Largeur de bande de référence du récepteur (dB/Hz)</w:t>
            </w:r>
          </w:p>
        </w:tc>
        <w:tc>
          <w:tcPr>
            <w:tcW w:w="1105" w:type="pct"/>
            <w:vAlign w:val="center"/>
          </w:tcPr>
          <w:p w14:paraId="681C0A10" w14:textId="77777777" w:rsidR="00FF6FA4" w:rsidRPr="004F0BA7" w:rsidRDefault="00FF6FA4" w:rsidP="001F2C4F">
            <w:pPr>
              <w:pStyle w:val="Tabletext"/>
              <w:jc w:val="center"/>
            </w:pPr>
            <w:r w:rsidRPr="004F0BA7">
              <w:t>1 300</w:t>
            </w:r>
          </w:p>
        </w:tc>
        <w:tc>
          <w:tcPr>
            <w:tcW w:w="1026" w:type="pct"/>
            <w:vAlign w:val="center"/>
          </w:tcPr>
          <w:p w14:paraId="16BAE52D" w14:textId="77777777" w:rsidR="00FF6FA4" w:rsidRPr="004F0BA7" w:rsidRDefault="00FF6FA4" w:rsidP="001F2C4F">
            <w:pPr>
              <w:pStyle w:val="Tabletext"/>
              <w:jc w:val="center"/>
            </w:pPr>
            <w:r w:rsidRPr="004F0BA7">
              <w:t>150</w:t>
            </w:r>
          </w:p>
        </w:tc>
      </w:tr>
      <w:tr w:rsidR="00FF6FA4" w:rsidRPr="004F0BA7" w14:paraId="375DC937" w14:textId="77777777" w:rsidTr="00F06589">
        <w:tc>
          <w:tcPr>
            <w:tcW w:w="2869" w:type="pct"/>
          </w:tcPr>
          <w:p w14:paraId="04AE74DC" w14:textId="246DA15B" w:rsidR="00FF6FA4" w:rsidRPr="004F0BA7" w:rsidRDefault="00FF6FA4" w:rsidP="001F2C4F">
            <w:pPr>
              <w:pStyle w:val="Tabletext"/>
              <w:jc w:val="left"/>
            </w:pPr>
            <w:r w:rsidRPr="004F0BA7">
              <w:t xml:space="preserve">Première marge de liaison à court terme (dB), </w:t>
            </w:r>
            <w:r w:rsidRPr="004F0BA7">
              <w:rPr>
                <w:i/>
              </w:rPr>
              <w:t>P</w:t>
            </w:r>
            <w:r w:rsidRPr="004F0BA7">
              <w:rPr>
                <w:i/>
                <w:vertAlign w:val="subscript"/>
              </w:rPr>
              <w:t>PERTE</w:t>
            </w:r>
            <w:r w:rsidR="00AE7F06" w:rsidRPr="004F0BA7">
              <w:rPr>
                <w:i/>
                <w:vertAlign w:val="subscript"/>
              </w:rPr>
              <w:noBreakHyphen/>
            </w:r>
            <w:r w:rsidRPr="004F0BA7">
              <w:rPr>
                <w:i/>
                <w:vertAlign w:val="subscript"/>
              </w:rPr>
              <w:t>VERROUILLAGE</w:t>
            </w:r>
          </w:p>
        </w:tc>
        <w:tc>
          <w:tcPr>
            <w:tcW w:w="1105" w:type="pct"/>
            <w:vAlign w:val="center"/>
          </w:tcPr>
          <w:p w14:paraId="33C5D565" w14:textId="77777777" w:rsidR="00FF6FA4" w:rsidRPr="004F0BA7" w:rsidRDefault="00FF6FA4" w:rsidP="001F2C4F">
            <w:pPr>
              <w:pStyle w:val="Tabletext"/>
              <w:jc w:val="center"/>
            </w:pPr>
            <w:r w:rsidRPr="004F0BA7">
              <w:t>5,5</w:t>
            </w:r>
          </w:p>
        </w:tc>
        <w:tc>
          <w:tcPr>
            <w:tcW w:w="1026" w:type="pct"/>
            <w:vAlign w:val="center"/>
          </w:tcPr>
          <w:p w14:paraId="47984361" w14:textId="77777777" w:rsidR="00FF6FA4" w:rsidRPr="004F0BA7" w:rsidRDefault="00FF6FA4" w:rsidP="001F2C4F">
            <w:pPr>
              <w:pStyle w:val="Tabletext"/>
              <w:jc w:val="center"/>
            </w:pPr>
            <w:r w:rsidRPr="004F0BA7">
              <w:t>9,0</w:t>
            </w:r>
          </w:p>
        </w:tc>
      </w:tr>
      <w:tr w:rsidR="00FF6FA4" w:rsidRPr="004F0BA7" w14:paraId="7121358F" w14:textId="77777777" w:rsidTr="00F06589">
        <w:tc>
          <w:tcPr>
            <w:tcW w:w="2869" w:type="pct"/>
          </w:tcPr>
          <w:p w14:paraId="23FD08D1" w14:textId="27F7C09B" w:rsidR="00FF6FA4" w:rsidRPr="004F0BA7" w:rsidRDefault="00FF6FA4" w:rsidP="001F2C4F">
            <w:pPr>
              <w:pStyle w:val="Tabletext"/>
              <w:jc w:val="left"/>
            </w:pPr>
            <w:r w:rsidRPr="004F0BA7">
              <w:t xml:space="preserve">Premier pourcentage de temps à court terme, </w:t>
            </w:r>
            <w:r w:rsidRPr="004F0BA7">
              <w:rPr>
                <w:i/>
              </w:rPr>
              <w:t>P</w:t>
            </w:r>
            <w:r w:rsidRPr="004F0BA7">
              <w:rPr>
                <w:i/>
                <w:vertAlign w:val="subscript"/>
              </w:rPr>
              <w:t>PERTE</w:t>
            </w:r>
            <w:r w:rsidR="00AE7F06" w:rsidRPr="004F0BA7">
              <w:rPr>
                <w:i/>
                <w:vertAlign w:val="subscript"/>
              </w:rPr>
              <w:noBreakHyphen/>
            </w:r>
            <w:r w:rsidRPr="004F0BA7">
              <w:rPr>
                <w:i/>
                <w:vertAlign w:val="subscript"/>
              </w:rPr>
              <w:t xml:space="preserve">VERROUILLAGE </w:t>
            </w:r>
            <w:r w:rsidRPr="004F0BA7">
              <w:t>(%)</w:t>
            </w:r>
          </w:p>
        </w:tc>
        <w:tc>
          <w:tcPr>
            <w:tcW w:w="1105" w:type="pct"/>
            <w:vAlign w:val="center"/>
          </w:tcPr>
          <w:p w14:paraId="3D47F87E" w14:textId="77777777" w:rsidR="00FF6FA4" w:rsidRPr="004F0BA7" w:rsidRDefault="00FF6FA4" w:rsidP="001F2C4F">
            <w:pPr>
              <w:pStyle w:val="Tabletext"/>
              <w:jc w:val="center"/>
            </w:pPr>
            <w:r w:rsidRPr="004F0BA7">
              <w:t>0,02</w:t>
            </w:r>
          </w:p>
        </w:tc>
        <w:tc>
          <w:tcPr>
            <w:tcW w:w="1026" w:type="pct"/>
            <w:vAlign w:val="center"/>
          </w:tcPr>
          <w:p w14:paraId="0D14C6F4" w14:textId="77777777" w:rsidR="00FF6FA4" w:rsidRPr="004F0BA7" w:rsidRDefault="00FF6FA4" w:rsidP="001F2C4F">
            <w:pPr>
              <w:pStyle w:val="Tabletext"/>
              <w:jc w:val="center"/>
            </w:pPr>
            <w:r w:rsidRPr="004F0BA7">
              <w:t>0,025</w:t>
            </w:r>
          </w:p>
        </w:tc>
      </w:tr>
      <w:tr w:rsidR="00FF6FA4" w:rsidRPr="004F0BA7" w14:paraId="2B3EFE51" w14:textId="77777777" w:rsidTr="00F06589">
        <w:tc>
          <w:tcPr>
            <w:tcW w:w="2869" w:type="pct"/>
          </w:tcPr>
          <w:p w14:paraId="2210B4A0" w14:textId="06EE9092" w:rsidR="00FF6FA4" w:rsidRPr="004F0BA7" w:rsidRDefault="00FF6FA4" w:rsidP="001F2C4F">
            <w:pPr>
              <w:pStyle w:val="Tabletext"/>
              <w:jc w:val="left"/>
            </w:pPr>
            <w:r w:rsidRPr="004F0BA7">
              <w:t xml:space="preserve">Deuxième marge de liaison à court terme (dB), </w:t>
            </w:r>
            <w:r w:rsidRPr="004F0BA7">
              <w:rPr>
                <w:i/>
              </w:rPr>
              <w:t>P</w:t>
            </w:r>
            <w:r w:rsidRPr="004F0BA7">
              <w:rPr>
                <w:i/>
                <w:vertAlign w:val="subscript"/>
              </w:rPr>
              <w:t>PERTE</w:t>
            </w:r>
            <w:r w:rsidR="00AE7F06" w:rsidRPr="004F0BA7">
              <w:rPr>
                <w:i/>
                <w:vertAlign w:val="subscript"/>
              </w:rPr>
              <w:noBreakHyphen/>
            </w:r>
            <w:r w:rsidRPr="004F0BA7">
              <w:rPr>
                <w:i/>
                <w:vertAlign w:val="subscript"/>
              </w:rPr>
              <w:t>DONNÉES</w:t>
            </w:r>
            <w:r w:rsidRPr="004F0BA7">
              <w:t xml:space="preserve"> </w:t>
            </w:r>
          </w:p>
        </w:tc>
        <w:tc>
          <w:tcPr>
            <w:tcW w:w="1105" w:type="pct"/>
            <w:vAlign w:val="center"/>
          </w:tcPr>
          <w:p w14:paraId="75EE1365" w14:textId="77777777" w:rsidR="00FF6FA4" w:rsidRPr="004F0BA7" w:rsidRDefault="00FF6FA4" w:rsidP="001F2C4F">
            <w:pPr>
              <w:pStyle w:val="Tabletext"/>
              <w:jc w:val="center"/>
            </w:pPr>
            <w:r w:rsidRPr="004F0BA7">
              <w:t>0,5</w:t>
            </w:r>
          </w:p>
        </w:tc>
        <w:tc>
          <w:tcPr>
            <w:tcW w:w="1026" w:type="pct"/>
            <w:vAlign w:val="center"/>
          </w:tcPr>
          <w:p w14:paraId="496B0F83" w14:textId="77777777" w:rsidR="00FF6FA4" w:rsidRPr="004F0BA7" w:rsidRDefault="00FF6FA4" w:rsidP="001F2C4F">
            <w:pPr>
              <w:pStyle w:val="Tabletext"/>
              <w:jc w:val="center"/>
            </w:pPr>
            <w:r w:rsidRPr="004F0BA7">
              <w:t>3,0</w:t>
            </w:r>
          </w:p>
        </w:tc>
      </w:tr>
      <w:tr w:rsidR="00FF6FA4" w:rsidRPr="004F0BA7" w14:paraId="129592BC" w14:textId="77777777" w:rsidTr="00F06589">
        <w:tc>
          <w:tcPr>
            <w:tcW w:w="2869" w:type="pct"/>
          </w:tcPr>
          <w:p w14:paraId="2AAF2838" w14:textId="1E23DB60" w:rsidR="00FF6FA4" w:rsidRPr="004F0BA7" w:rsidRDefault="00FF6FA4" w:rsidP="001F2C4F">
            <w:pPr>
              <w:pStyle w:val="Tabletext"/>
              <w:jc w:val="left"/>
            </w:pPr>
            <w:r w:rsidRPr="004F0BA7">
              <w:t xml:space="preserve">Deuxième pourcentage de temps à court terme, </w:t>
            </w:r>
            <w:r w:rsidRPr="004F0BA7">
              <w:rPr>
                <w:i/>
              </w:rPr>
              <w:t>P</w:t>
            </w:r>
            <w:r w:rsidRPr="004F0BA7">
              <w:rPr>
                <w:i/>
                <w:vertAlign w:val="subscript"/>
              </w:rPr>
              <w:t>PERTE</w:t>
            </w:r>
            <w:r w:rsidR="00AE7F06" w:rsidRPr="004F0BA7">
              <w:rPr>
                <w:i/>
                <w:vertAlign w:val="subscript"/>
              </w:rPr>
              <w:noBreakHyphen/>
            </w:r>
            <w:r w:rsidRPr="004F0BA7">
              <w:rPr>
                <w:i/>
                <w:vertAlign w:val="subscript"/>
              </w:rPr>
              <w:t>DONNÉES</w:t>
            </w:r>
            <w:r w:rsidRPr="004F0BA7">
              <w:rPr>
                <w:vertAlign w:val="subscript"/>
              </w:rPr>
              <w:t xml:space="preserve"> </w:t>
            </w:r>
            <w:r w:rsidRPr="004F0BA7">
              <w:t xml:space="preserve">(%) </w:t>
            </w:r>
          </w:p>
        </w:tc>
        <w:tc>
          <w:tcPr>
            <w:tcW w:w="1105" w:type="pct"/>
            <w:vAlign w:val="center"/>
          </w:tcPr>
          <w:p w14:paraId="1CA6A810" w14:textId="58309F66" w:rsidR="00FF6FA4" w:rsidRPr="004F0BA7" w:rsidRDefault="00FF6FA4" w:rsidP="001F2C4F">
            <w:pPr>
              <w:pStyle w:val="Tabletext"/>
              <w:jc w:val="center"/>
            </w:pPr>
            <w:r w:rsidRPr="004F0BA7">
              <w:t>0,</w:t>
            </w:r>
            <w:r w:rsidR="00A85A93" w:rsidRPr="004F0BA7">
              <w:t>0</w:t>
            </w:r>
            <w:r w:rsidRPr="004F0BA7">
              <w:t>8</w:t>
            </w:r>
          </w:p>
        </w:tc>
        <w:tc>
          <w:tcPr>
            <w:tcW w:w="1026" w:type="pct"/>
            <w:vAlign w:val="center"/>
          </w:tcPr>
          <w:p w14:paraId="408A3EBC" w14:textId="77777777" w:rsidR="00FF6FA4" w:rsidRPr="004F0BA7" w:rsidRDefault="00FF6FA4" w:rsidP="001F2C4F">
            <w:pPr>
              <w:pStyle w:val="Tabletext"/>
              <w:jc w:val="center"/>
            </w:pPr>
            <w:r w:rsidRPr="004F0BA7">
              <w:t>0,125</w:t>
            </w:r>
          </w:p>
        </w:tc>
      </w:tr>
      <w:tr w:rsidR="00FF6FA4" w:rsidRPr="004F0BA7" w14:paraId="1CF7D4BF" w14:textId="77777777" w:rsidTr="00F06589">
        <w:tc>
          <w:tcPr>
            <w:tcW w:w="2869" w:type="pct"/>
          </w:tcPr>
          <w:p w14:paraId="0F2AE102" w14:textId="100EBA4D" w:rsidR="00FF6FA4" w:rsidRPr="004F0BA7" w:rsidRDefault="00FF6FA4" w:rsidP="001F2C4F">
            <w:pPr>
              <w:pStyle w:val="Tabletext"/>
              <w:jc w:val="left"/>
            </w:pPr>
            <w:r w:rsidRPr="004F0BA7">
              <w:t xml:space="preserve">Niveau de brouillage ne devant pas être dépassé pendant plus de </w:t>
            </w:r>
            <w:r w:rsidRPr="004F0BA7">
              <w:rPr>
                <w:i/>
              </w:rPr>
              <w:t>P</w:t>
            </w:r>
            <w:r w:rsidRPr="004F0BA7">
              <w:rPr>
                <w:i/>
                <w:vertAlign w:val="subscript"/>
              </w:rPr>
              <w:t>PERTE-VERROUILLAGE</w:t>
            </w:r>
            <w:r w:rsidRPr="004F0BA7">
              <w:rPr>
                <w:vertAlign w:val="subscript"/>
              </w:rPr>
              <w:t xml:space="preserve"> </w:t>
            </w:r>
            <w:r w:rsidRPr="004F0BA7">
              <w:t>% du temps (équation (1)) (</w:t>
            </w:r>
            <w:proofErr w:type="spellStart"/>
            <w:r w:rsidRPr="004F0BA7">
              <w:t>dBW</w:t>
            </w:r>
            <w:proofErr w:type="spellEnd"/>
            <w:r w:rsidR="00A33721" w:rsidRPr="004F0BA7">
              <w:t> </w:t>
            </w:r>
            <w:r w:rsidRPr="004F0BA7">
              <w:t>dans la largeur de bande de référence)</w:t>
            </w:r>
          </w:p>
        </w:tc>
        <w:tc>
          <w:tcPr>
            <w:tcW w:w="1105" w:type="pct"/>
            <w:vAlign w:val="center"/>
          </w:tcPr>
          <w:p w14:paraId="7B06D1BB" w14:textId="77777777" w:rsidR="00FF6FA4" w:rsidRPr="004F0BA7" w:rsidRDefault="009A2A55" w:rsidP="001F2C4F">
            <w:pPr>
              <w:pStyle w:val="Tabletext"/>
              <w:jc w:val="center"/>
            </w:pPr>
            <w:r w:rsidRPr="004F0BA7">
              <w:t>−</w:t>
            </w:r>
            <w:r w:rsidR="00FF6FA4" w:rsidRPr="004F0BA7">
              <w:t>135,3</w:t>
            </w:r>
          </w:p>
        </w:tc>
        <w:tc>
          <w:tcPr>
            <w:tcW w:w="1026" w:type="pct"/>
            <w:vAlign w:val="center"/>
          </w:tcPr>
          <w:p w14:paraId="4FA8E220" w14:textId="77777777" w:rsidR="00FF6FA4" w:rsidRPr="004F0BA7" w:rsidRDefault="009A2A55" w:rsidP="001F2C4F">
            <w:pPr>
              <w:pStyle w:val="Tabletext"/>
              <w:jc w:val="center"/>
            </w:pPr>
            <w:r w:rsidRPr="004F0BA7">
              <w:t>−</w:t>
            </w:r>
            <w:r w:rsidR="00FF6FA4" w:rsidRPr="004F0BA7">
              <w:t>137,2</w:t>
            </w:r>
          </w:p>
        </w:tc>
      </w:tr>
      <w:tr w:rsidR="00FF6FA4" w:rsidRPr="004F0BA7" w14:paraId="216F6CA6" w14:textId="77777777" w:rsidTr="00F06589">
        <w:tc>
          <w:tcPr>
            <w:tcW w:w="2869" w:type="pct"/>
          </w:tcPr>
          <w:p w14:paraId="6AA9652C" w14:textId="4C0A69E4" w:rsidR="00FF6FA4" w:rsidRPr="004F0BA7" w:rsidRDefault="00FF6FA4" w:rsidP="001F2C4F">
            <w:pPr>
              <w:pStyle w:val="Tabletext"/>
              <w:jc w:val="left"/>
            </w:pPr>
            <w:r w:rsidRPr="004F0BA7">
              <w:t xml:space="preserve">Niveau de brouillage ne devant pas être dépassé pendant plus de </w:t>
            </w:r>
            <w:r w:rsidRPr="004F0BA7">
              <w:rPr>
                <w:i/>
              </w:rPr>
              <w:t>P</w:t>
            </w:r>
            <w:r w:rsidRPr="004F0BA7">
              <w:rPr>
                <w:i/>
                <w:vertAlign w:val="subscript"/>
              </w:rPr>
              <w:t>PERTE-DONNÉES</w:t>
            </w:r>
            <w:r w:rsidRPr="004F0BA7">
              <w:rPr>
                <w:vertAlign w:val="subscript"/>
              </w:rPr>
              <w:t xml:space="preserve"> </w:t>
            </w:r>
            <w:r w:rsidRPr="004F0BA7">
              <w:t>% du temps (équation (2)) (</w:t>
            </w:r>
            <w:proofErr w:type="spellStart"/>
            <w:r w:rsidRPr="004F0BA7">
              <w:t>dBW</w:t>
            </w:r>
            <w:proofErr w:type="spellEnd"/>
            <w:r w:rsidR="00A33721" w:rsidRPr="004F0BA7">
              <w:t> </w:t>
            </w:r>
            <w:r w:rsidRPr="004F0BA7">
              <w:t>dans la largeur de bande de référence)</w:t>
            </w:r>
          </w:p>
        </w:tc>
        <w:tc>
          <w:tcPr>
            <w:tcW w:w="1105" w:type="pct"/>
            <w:vAlign w:val="center"/>
          </w:tcPr>
          <w:p w14:paraId="7F9B3541" w14:textId="3BC46176" w:rsidR="00FF6FA4" w:rsidRPr="004F0BA7" w:rsidRDefault="009A2A55" w:rsidP="001F2C4F">
            <w:pPr>
              <w:pStyle w:val="Tabletext"/>
              <w:jc w:val="center"/>
            </w:pPr>
            <w:r w:rsidRPr="004F0BA7">
              <w:t>−</w:t>
            </w:r>
            <w:r w:rsidR="00A85A93" w:rsidRPr="004F0BA7">
              <w:t>148,5</w:t>
            </w:r>
          </w:p>
        </w:tc>
        <w:tc>
          <w:tcPr>
            <w:tcW w:w="1026" w:type="pct"/>
            <w:vAlign w:val="center"/>
          </w:tcPr>
          <w:p w14:paraId="0056EA84" w14:textId="77777777" w:rsidR="00FF6FA4" w:rsidRPr="004F0BA7" w:rsidRDefault="009A2A55" w:rsidP="001F2C4F">
            <w:pPr>
              <w:pStyle w:val="Tabletext"/>
              <w:jc w:val="center"/>
            </w:pPr>
            <w:r w:rsidRPr="004F0BA7">
              <w:t>−</w:t>
            </w:r>
            <w:r w:rsidR="00FF6FA4" w:rsidRPr="004F0BA7">
              <w:t>145,7</w:t>
            </w:r>
          </w:p>
        </w:tc>
      </w:tr>
      <w:tr w:rsidR="00FF6FA4" w:rsidRPr="004F0BA7" w14:paraId="64A3EFDA" w14:textId="77777777" w:rsidTr="00F06589">
        <w:tc>
          <w:tcPr>
            <w:tcW w:w="2869" w:type="pct"/>
          </w:tcPr>
          <w:p w14:paraId="4AA7D39A" w14:textId="77777777" w:rsidR="00FF6FA4" w:rsidRPr="004F0BA7" w:rsidRDefault="00FF6FA4" w:rsidP="001F2C4F">
            <w:pPr>
              <w:pStyle w:val="Tabletext"/>
              <w:jc w:val="left"/>
            </w:pPr>
            <w:r w:rsidRPr="004F0BA7">
              <w:t>Niveau de brouillage ne devant pas être dépassé pendant plus de 20% du temps (équation (3)) (</w:t>
            </w:r>
            <w:proofErr w:type="spellStart"/>
            <w:r w:rsidRPr="004F0BA7">
              <w:t>dBW</w:t>
            </w:r>
            <w:proofErr w:type="spellEnd"/>
            <w:r w:rsidRPr="004F0BA7">
              <w:t xml:space="preserve"> dans la largeur de bande de référence)</w:t>
            </w:r>
          </w:p>
        </w:tc>
        <w:tc>
          <w:tcPr>
            <w:tcW w:w="1105" w:type="pct"/>
            <w:vAlign w:val="center"/>
          </w:tcPr>
          <w:p w14:paraId="236DA51F" w14:textId="77DBC94D" w:rsidR="00FF6FA4" w:rsidRPr="004F0BA7" w:rsidRDefault="00FF6FA4" w:rsidP="001F2C4F">
            <w:pPr>
              <w:pStyle w:val="Tabletext"/>
              <w:jc w:val="center"/>
            </w:pPr>
            <w:r w:rsidRPr="004F0BA7">
              <w:t>–</w:t>
            </w:r>
            <w:r w:rsidR="00A85A93" w:rsidRPr="004F0BA7">
              <w:t>149,36</w:t>
            </w:r>
          </w:p>
        </w:tc>
        <w:tc>
          <w:tcPr>
            <w:tcW w:w="1026" w:type="pct"/>
            <w:vAlign w:val="center"/>
          </w:tcPr>
          <w:p w14:paraId="40645880" w14:textId="45C67C38" w:rsidR="00FF6FA4" w:rsidRPr="004F0BA7" w:rsidRDefault="00FF6FA4" w:rsidP="001F2C4F">
            <w:pPr>
              <w:pStyle w:val="Tabletext"/>
              <w:jc w:val="center"/>
            </w:pPr>
            <w:r w:rsidRPr="004F0BA7">
              <w:t>–</w:t>
            </w:r>
            <w:r w:rsidR="00A85A93" w:rsidRPr="004F0BA7">
              <w:t>151,51</w:t>
            </w:r>
          </w:p>
        </w:tc>
      </w:tr>
    </w:tbl>
    <w:p w14:paraId="003577BC" w14:textId="77777777" w:rsidR="00FF6FA4" w:rsidRPr="004F0BA7" w:rsidRDefault="00FF6FA4" w:rsidP="001F2C4F">
      <w:pPr>
        <w:pStyle w:val="Heading2"/>
      </w:pPr>
      <w:bookmarkStart w:id="9" w:name="_Toc393257595"/>
      <w:r w:rsidRPr="004F0BA7">
        <w:t>4.2</w:t>
      </w:r>
      <w:r w:rsidRPr="004F0BA7">
        <w:tab/>
      </w:r>
      <w:proofErr w:type="spellStart"/>
      <w:r w:rsidRPr="004F0BA7">
        <w:t>Catasondes</w:t>
      </w:r>
      <w:bookmarkEnd w:id="9"/>
      <w:proofErr w:type="spellEnd"/>
    </w:p>
    <w:p w14:paraId="1E3F0C3D" w14:textId="77777777" w:rsidR="00FF6FA4" w:rsidRPr="004F0BA7" w:rsidRDefault="00FF6FA4" w:rsidP="001F2C4F">
      <w:r w:rsidRPr="004F0BA7">
        <w:t xml:space="preserve">Les équations (1), (2) et (3) peuvent être utilisées pour le calcul des critères de brouillage applicables aux </w:t>
      </w:r>
      <w:proofErr w:type="spellStart"/>
      <w:r w:rsidRPr="004F0BA7">
        <w:t>catasondes</w:t>
      </w:r>
      <w:proofErr w:type="spellEnd"/>
      <w:r w:rsidRPr="004F0BA7">
        <w:t>. Ces critères sont donnés dans le Tableau </w:t>
      </w:r>
      <w:r w:rsidR="00B1016E" w:rsidRPr="004F0BA7">
        <w:t>10</w:t>
      </w:r>
      <w:r w:rsidRPr="004F0BA7">
        <w:t>.</w:t>
      </w:r>
    </w:p>
    <w:p w14:paraId="73C548B0" w14:textId="77777777" w:rsidR="00FF6FA4" w:rsidRPr="004F0BA7" w:rsidRDefault="00B1016E" w:rsidP="001F2C4F">
      <w:pPr>
        <w:pStyle w:val="TableNo"/>
      </w:pPr>
      <w:r w:rsidRPr="004F0BA7">
        <w:t>TABLEAU 10</w:t>
      </w:r>
    </w:p>
    <w:p w14:paraId="72828FEE" w14:textId="77777777" w:rsidR="00FF6FA4" w:rsidRPr="004F0BA7" w:rsidRDefault="00FF6FA4" w:rsidP="001F2C4F">
      <w:pPr>
        <w:pStyle w:val="Tabletitle"/>
      </w:pPr>
      <w:r w:rsidRPr="004F0BA7">
        <w:t xml:space="preserve">Critères de brouillage applicables aux systèmes à </w:t>
      </w:r>
      <w:proofErr w:type="spellStart"/>
      <w:r w:rsidRPr="004F0BA7">
        <w:t>catasondes</w:t>
      </w:r>
      <w:proofErr w:type="spellEnd"/>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912"/>
        <w:gridCol w:w="3727"/>
      </w:tblGrid>
      <w:tr w:rsidR="00FF6FA4" w:rsidRPr="004F0BA7" w14:paraId="380BE327" w14:textId="77777777" w:rsidTr="009A2A55">
        <w:trPr>
          <w:jc w:val="center"/>
        </w:trPr>
        <w:tc>
          <w:tcPr>
            <w:tcW w:w="5373" w:type="dxa"/>
            <w:vAlign w:val="center"/>
          </w:tcPr>
          <w:p w14:paraId="15D89161" w14:textId="77777777" w:rsidR="00FF6FA4" w:rsidRPr="004F0BA7" w:rsidRDefault="00FF6FA4" w:rsidP="001F2C4F">
            <w:pPr>
              <w:pStyle w:val="Tablehead"/>
            </w:pPr>
            <w:r w:rsidRPr="004F0BA7">
              <w:t>Paramètre</w:t>
            </w:r>
          </w:p>
        </w:tc>
        <w:tc>
          <w:tcPr>
            <w:tcW w:w="3387" w:type="dxa"/>
            <w:vAlign w:val="center"/>
          </w:tcPr>
          <w:p w14:paraId="304DE9B7" w14:textId="77777777" w:rsidR="00FF6FA4" w:rsidRPr="004F0BA7" w:rsidRDefault="00FF6FA4" w:rsidP="001F2C4F">
            <w:pPr>
              <w:pStyle w:val="Tablehead"/>
            </w:pPr>
            <w:r w:rsidRPr="004F0BA7">
              <w:t xml:space="preserve">Système à </w:t>
            </w:r>
            <w:proofErr w:type="spellStart"/>
            <w:r w:rsidRPr="004F0BA7">
              <w:t>catasondes</w:t>
            </w:r>
            <w:proofErr w:type="spellEnd"/>
            <w:r w:rsidRPr="004F0BA7">
              <w:br/>
              <w:t>400,15-406 MHz</w:t>
            </w:r>
          </w:p>
        </w:tc>
      </w:tr>
      <w:tr w:rsidR="00FF6FA4" w:rsidRPr="004F0BA7" w14:paraId="2358BE1A" w14:textId="77777777" w:rsidTr="009A2A55">
        <w:trPr>
          <w:jc w:val="center"/>
        </w:trPr>
        <w:tc>
          <w:tcPr>
            <w:tcW w:w="5373" w:type="dxa"/>
          </w:tcPr>
          <w:p w14:paraId="3B16288F" w14:textId="77777777" w:rsidR="00FF6FA4" w:rsidRPr="004F0BA7" w:rsidRDefault="00FF6FA4" w:rsidP="001F2C4F">
            <w:pPr>
              <w:pStyle w:val="Tabletext"/>
              <w:jc w:val="left"/>
            </w:pPr>
            <w:r w:rsidRPr="004F0BA7">
              <w:t>Densité spectrale de bruit du récepteur (dB(W/Hz))</w:t>
            </w:r>
          </w:p>
        </w:tc>
        <w:tc>
          <w:tcPr>
            <w:tcW w:w="3387" w:type="dxa"/>
          </w:tcPr>
          <w:p w14:paraId="5C1EC42C" w14:textId="77777777" w:rsidR="00FF6FA4" w:rsidRPr="004F0BA7" w:rsidRDefault="009A2A55" w:rsidP="001F2C4F">
            <w:pPr>
              <w:pStyle w:val="Tabletext"/>
              <w:jc w:val="center"/>
            </w:pPr>
            <w:r w:rsidRPr="004F0BA7">
              <w:t>−</w:t>
            </w:r>
            <w:r w:rsidR="00FF6FA4" w:rsidRPr="004F0BA7">
              <w:t>202,5</w:t>
            </w:r>
          </w:p>
        </w:tc>
      </w:tr>
      <w:tr w:rsidR="00FF6FA4" w:rsidRPr="004F0BA7" w14:paraId="05F3D26C" w14:textId="77777777" w:rsidTr="009A2A55">
        <w:trPr>
          <w:jc w:val="center"/>
        </w:trPr>
        <w:tc>
          <w:tcPr>
            <w:tcW w:w="5373" w:type="dxa"/>
          </w:tcPr>
          <w:p w14:paraId="1E81B76D" w14:textId="77777777" w:rsidR="00FF6FA4" w:rsidRPr="004F0BA7" w:rsidRDefault="00FF6FA4" w:rsidP="001F2C4F">
            <w:pPr>
              <w:pStyle w:val="Tabletext"/>
              <w:jc w:val="left"/>
            </w:pPr>
            <w:r w:rsidRPr="004F0BA7">
              <w:t>Largeur de bande de référence du récepteur (dB/Hz)</w:t>
            </w:r>
          </w:p>
        </w:tc>
        <w:tc>
          <w:tcPr>
            <w:tcW w:w="3387" w:type="dxa"/>
          </w:tcPr>
          <w:p w14:paraId="71668B1D" w14:textId="77777777" w:rsidR="00FF6FA4" w:rsidRPr="004F0BA7" w:rsidRDefault="00FF6FA4" w:rsidP="001F2C4F">
            <w:pPr>
              <w:pStyle w:val="Tabletext"/>
              <w:jc w:val="center"/>
            </w:pPr>
            <w:r w:rsidRPr="004F0BA7">
              <w:t>42,5</w:t>
            </w:r>
          </w:p>
        </w:tc>
      </w:tr>
      <w:tr w:rsidR="00FF6FA4" w:rsidRPr="004F0BA7" w14:paraId="3718DC0C" w14:textId="77777777" w:rsidTr="009A2A55">
        <w:trPr>
          <w:jc w:val="center"/>
        </w:trPr>
        <w:tc>
          <w:tcPr>
            <w:tcW w:w="5373" w:type="dxa"/>
          </w:tcPr>
          <w:p w14:paraId="75DC2883" w14:textId="77777777" w:rsidR="00FF6FA4" w:rsidRPr="004F0BA7" w:rsidRDefault="00FF6FA4" w:rsidP="001F2C4F">
            <w:pPr>
              <w:pStyle w:val="Tabletext"/>
              <w:jc w:val="left"/>
            </w:pPr>
            <w:r w:rsidRPr="004F0BA7">
              <w:t xml:space="preserve">Marge de liaison (dB) </w:t>
            </w:r>
            <w:r w:rsidRPr="004F0BA7">
              <w:rPr>
                <w:i/>
              </w:rPr>
              <w:t>P</w:t>
            </w:r>
            <w:r w:rsidRPr="004F0BA7">
              <w:rPr>
                <w:i/>
                <w:vertAlign w:val="subscript"/>
              </w:rPr>
              <w:t>PERTE-DONNÉES</w:t>
            </w:r>
            <w:r w:rsidRPr="004F0BA7">
              <w:rPr>
                <w:vertAlign w:val="subscript"/>
              </w:rPr>
              <w:t xml:space="preserve"> </w:t>
            </w:r>
            <w:r w:rsidRPr="004F0BA7">
              <w:t>= 0,06%</w:t>
            </w:r>
          </w:p>
        </w:tc>
        <w:tc>
          <w:tcPr>
            <w:tcW w:w="3387" w:type="dxa"/>
          </w:tcPr>
          <w:p w14:paraId="1A0B1B09" w14:textId="77777777" w:rsidR="00FF6FA4" w:rsidRPr="004F0BA7" w:rsidRDefault="00FF6FA4" w:rsidP="001F2C4F">
            <w:pPr>
              <w:pStyle w:val="Tabletext"/>
              <w:jc w:val="center"/>
            </w:pPr>
            <w:r w:rsidRPr="004F0BA7">
              <w:t>2,1</w:t>
            </w:r>
          </w:p>
        </w:tc>
      </w:tr>
      <w:tr w:rsidR="00FF6FA4" w:rsidRPr="004F0BA7" w14:paraId="74F4FF24" w14:textId="77777777" w:rsidTr="009A2A55">
        <w:trPr>
          <w:jc w:val="center"/>
        </w:trPr>
        <w:tc>
          <w:tcPr>
            <w:tcW w:w="5373" w:type="dxa"/>
          </w:tcPr>
          <w:p w14:paraId="4FBE7F8A" w14:textId="41258712" w:rsidR="00FF6FA4" w:rsidRPr="004F0BA7" w:rsidRDefault="00FF6FA4" w:rsidP="001F2C4F">
            <w:pPr>
              <w:pStyle w:val="Tabletext"/>
              <w:jc w:val="left"/>
            </w:pPr>
            <w:r w:rsidRPr="004F0BA7">
              <w:t xml:space="preserve">Niveau de brouillage ne devant pas être dépassé pendant plus de </w:t>
            </w:r>
            <w:r w:rsidRPr="004F0BA7">
              <w:rPr>
                <w:i/>
              </w:rPr>
              <w:t>P</w:t>
            </w:r>
            <w:r w:rsidRPr="004F0BA7">
              <w:rPr>
                <w:i/>
                <w:vertAlign w:val="subscript"/>
              </w:rPr>
              <w:t>PERTE-DONNÉES</w:t>
            </w:r>
            <w:r w:rsidRPr="004F0BA7">
              <w:rPr>
                <w:vertAlign w:val="subscript"/>
              </w:rPr>
              <w:t xml:space="preserve"> </w:t>
            </w:r>
            <w:r w:rsidRPr="004F0BA7">
              <w:t>% = 0,06% du temps (équation (2))</w:t>
            </w:r>
            <w:r w:rsidR="00B1016E" w:rsidRPr="004F0BA7">
              <w:t xml:space="preserve"> (</w:t>
            </w:r>
            <w:proofErr w:type="spellStart"/>
            <w:proofErr w:type="gramStart"/>
            <w:r w:rsidR="00B1016E" w:rsidRPr="004F0BA7">
              <w:t>dBW</w:t>
            </w:r>
            <w:proofErr w:type="spellEnd"/>
            <w:r w:rsidR="00B1016E" w:rsidRPr="004F0BA7">
              <w:t>(</w:t>
            </w:r>
            <w:proofErr w:type="gramEnd"/>
            <w:r w:rsidR="00B1016E" w:rsidRPr="004F0BA7">
              <w:t>20</w:t>
            </w:r>
            <w:r w:rsidR="00AE7F06" w:rsidRPr="004F0BA7">
              <w:t> </w:t>
            </w:r>
            <w:r w:rsidR="00B1016E" w:rsidRPr="004F0BA7">
              <w:t>kHz))</w:t>
            </w:r>
          </w:p>
        </w:tc>
        <w:tc>
          <w:tcPr>
            <w:tcW w:w="3387" w:type="dxa"/>
          </w:tcPr>
          <w:p w14:paraId="5A2FC066" w14:textId="77777777" w:rsidR="00FF6FA4" w:rsidRPr="004F0BA7" w:rsidRDefault="009A2A55" w:rsidP="001F2C4F">
            <w:pPr>
              <w:pStyle w:val="Tabletext"/>
              <w:jc w:val="center"/>
            </w:pPr>
            <w:r w:rsidRPr="004F0BA7">
              <w:t>−</w:t>
            </w:r>
            <w:r w:rsidR="00FF6FA4" w:rsidRPr="004F0BA7">
              <w:t>161,6</w:t>
            </w:r>
          </w:p>
        </w:tc>
      </w:tr>
      <w:tr w:rsidR="00FF6FA4" w:rsidRPr="004F0BA7" w14:paraId="0A5C8E77" w14:textId="77777777" w:rsidTr="009A2A55">
        <w:trPr>
          <w:jc w:val="center"/>
        </w:trPr>
        <w:tc>
          <w:tcPr>
            <w:tcW w:w="5373" w:type="dxa"/>
          </w:tcPr>
          <w:p w14:paraId="75ECEC1B" w14:textId="52FEF0EA" w:rsidR="00FF6FA4" w:rsidRPr="004F0BA7" w:rsidRDefault="00FF6FA4" w:rsidP="001F2C4F">
            <w:pPr>
              <w:pStyle w:val="Tabletext"/>
              <w:jc w:val="left"/>
            </w:pPr>
            <w:r w:rsidRPr="004F0BA7">
              <w:t>Niveau de brouillage ne devant pas être dépassé pendant plus de</w:t>
            </w:r>
            <w:r w:rsidR="00AE7F06" w:rsidRPr="004F0BA7">
              <w:t> </w:t>
            </w:r>
            <w:r w:rsidRPr="004F0BA7">
              <w:t>20% du temps (équation (3))</w:t>
            </w:r>
            <w:r w:rsidR="00B1016E" w:rsidRPr="004F0BA7">
              <w:t xml:space="preserve"> (</w:t>
            </w:r>
            <w:proofErr w:type="spellStart"/>
            <w:proofErr w:type="gramStart"/>
            <w:r w:rsidR="00B1016E" w:rsidRPr="004F0BA7">
              <w:t>dBW</w:t>
            </w:r>
            <w:proofErr w:type="spellEnd"/>
            <w:r w:rsidR="00B1016E" w:rsidRPr="004F0BA7">
              <w:t>(</w:t>
            </w:r>
            <w:proofErr w:type="gramEnd"/>
            <w:r w:rsidR="00B1016E" w:rsidRPr="004F0BA7">
              <w:t>20 kHz))</w:t>
            </w:r>
          </w:p>
        </w:tc>
        <w:tc>
          <w:tcPr>
            <w:tcW w:w="3387" w:type="dxa"/>
          </w:tcPr>
          <w:p w14:paraId="1D2AB488" w14:textId="6A9843E3" w:rsidR="00FF6FA4" w:rsidRPr="004F0BA7" w:rsidRDefault="009A2A55" w:rsidP="001F2C4F">
            <w:pPr>
              <w:pStyle w:val="Tabletext"/>
              <w:jc w:val="center"/>
            </w:pPr>
            <w:r w:rsidRPr="004F0BA7">
              <w:t>−</w:t>
            </w:r>
            <w:r w:rsidR="00A85A93" w:rsidRPr="004F0BA7">
              <w:t>167,06</w:t>
            </w:r>
          </w:p>
        </w:tc>
      </w:tr>
    </w:tbl>
    <w:p w14:paraId="1BD22288" w14:textId="77777777" w:rsidR="00FF6FA4" w:rsidRPr="004F0BA7" w:rsidRDefault="00FF6FA4" w:rsidP="001F2C4F">
      <w:pPr>
        <w:pStyle w:val="Heading2"/>
        <w:tabs>
          <w:tab w:val="clear" w:pos="794"/>
          <w:tab w:val="clear" w:pos="1191"/>
          <w:tab w:val="clear" w:pos="1588"/>
          <w:tab w:val="clear" w:pos="1985"/>
        </w:tabs>
        <w:spacing w:before="313"/>
        <w:ind w:left="0" w:firstLine="0"/>
        <w:rPr>
          <w:b w:val="0"/>
        </w:rPr>
      </w:pPr>
      <w:bookmarkStart w:id="10" w:name="_Toc393257596"/>
      <w:r w:rsidRPr="004F0BA7">
        <w:lastRenderedPageBreak/>
        <w:t>4.3</w:t>
      </w:r>
      <w:r w:rsidRPr="004F0BA7">
        <w:tab/>
        <w:t>Fusées-sondes</w:t>
      </w:r>
      <w:bookmarkEnd w:id="10"/>
    </w:p>
    <w:p w14:paraId="678370D4" w14:textId="77777777" w:rsidR="00FF6FA4" w:rsidRPr="004F0BA7" w:rsidRDefault="00FF6FA4" w:rsidP="001F2C4F">
      <w:r w:rsidRPr="004F0BA7">
        <w:t>Les équations (1), (2) et (3) peuvent être utilisées pour le calcul des critères de brouillage applicables aux fusées-sondes. Ces critères sont donnés dans le Tableau </w:t>
      </w:r>
      <w:r w:rsidR="00B1016E" w:rsidRPr="004F0BA7">
        <w:t>11</w:t>
      </w:r>
      <w:r w:rsidRPr="004F0BA7">
        <w:t>.</w:t>
      </w:r>
    </w:p>
    <w:p w14:paraId="388C6269" w14:textId="77777777" w:rsidR="00FF6FA4" w:rsidRPr="004F0BA7" w:rsidRDefault="00B1016E" w:rsidP="001F2C4F">
      <w:pPr>
        <w:pStyle w:val="TableNo"/>
      </w:pPr>
      <w:r w:rsidRPr="004F0BA7">
        <w:t>TABLEAU 11</w:t>
      </w:r>
    </w:p>
    <w:p w14:paraId="7CA83779" w14:textId="77777777" w:rsidR="00FF6FA4" w:rsidRPr="004F0BA7" w:rsidRDefault="00FF6FA4" w:rsidP="001F2C4F">
      <w:pPr>
        <w:pStyle w:val="Tabletitle"/>
      </w:pPr>
      <w:r w:rsidRPr="004F0BA7">
        <w:t>Critères de brouillage applicables aux systèmes à fusées-sondes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834"/>
        <w:gridCol w:w="3805"/>
      </w:tblGrid>
      <w:tr w:rsidR="00FF6FA4" w:rsidRPr="004F0BA7" w14:paraId="517C1F8A" w14:textId="77777777" w:rsidTr="009A2A55">
        <w:trPr>
          <w:jc w:val="center"/>
        </w:trPr>
        <w:tc>
          <w:tcPr>
            <w:tcW w:w="5216" w:type="dxa"/>
            <w:vAlign w:val="center"/>
          </w:tcPr>
          <w:p w14:paraId="5C651B49" w14:textId="77777777" w:rsidR="00FF6FA4" w:rsidRPr="004F0BA7" w:rsidRDefault="00FF6FA4" w:rsidP="001F2C4F">
            <w:pPr>
              <w:pStyle w:val="Tablehead"/>
            </w:pPr>
            <w:r w:rsidRPr="004F0BA7">
              <w:t>Paramètre</w:t>
            </w:r>
          </w:p>
        </w:tc>
        <w:tc>
          <w:tcPr>
            <w:tcW w:w="3402" w:type="dxa"/>
            <w:vAlign w:val="center"/>
          </w:tcPr>
          <w:p w14:paraId="2DD4A2F3" w14:textId="77777777" w:rsidR="00FF6FA4" w:rsidRPr="004F0BA7" w:rsidRDefault="00FF6FA4" w:rsidP="001F2C4F">
            <w:pPr>
              <w:pStyle w:val="Tablehead"/>
            </w:pPr>
            <w:r w:rsidRPr="004F0BA7">
              <w:t>Système à fusées-sondes</w:t>
            </w:r>
            <w:r w:rsidRPr="004F0BA7">
              <w:br/>
              <w:t>400,15-406 MHz</w:t>
            </w:r>
          </w:p>
        </w:tc>
      </w:tr>
      <w:tr w:rsidR="00FF6FA4" w:rsidRPr="004F0BA7" w14:paraId="5E853609" w14:textId="77777777" w:rsidTr="009A2A55">
        <w:trPr>
          <w:jc w:val="center"/>
        </w:trPr>
        <w:tc>
          <w:tcPr>
            <w:tcW w:w="5216" w:type="dxa"/>
          </w:tcPr>
          <w:p w14:paraId="21D2D41E" w14:textId="77777777" w:rsidR="00FF6FA4" w:rsidRPr="004F0BA7" w:rsidRDefault="00FF6FA4" w:rsidP="001F2C4F">
            <w:pPr>
              <w:pStyle w:val="Tabletext"/>
              <w:jc w:val="left"/>
            </w:pPr>
            <w:r w:rsidRPr="004F0BA7">
              <w:t>Densité spectrale de bruit du récepteur (dB(W/Hz))</w:t>
            </w:r>
          </w:p>
        </w:tc>
        <w:tc>
          <w:tcPr>
            <w:tcW w:w="3402" w:type="dxa"/>
          </w:tcPr>
          <w:p w14:paraId="3020345A" w14:textId="77777777" w:rsidR="00FF6FA4" w:rsidRPr="004F0BA7" w:rsidRDefault="009A2A55" w:rsidP="001F2C4F">
            <w:pPr>
              <w:pStyle w:val="Tabletext"/>
              <w:jc w:val="center"/>
            </w:pPr>
            <w:r w:rsidRPr="004F0BA7">
              <w:t>−</w:t>
            </w:r>
            <w:r w:rsidR="00FF6FA4" w:rsidRPr="004F0BA7">
              <w:t>200,5</w:t>
            </w:r>
          </w:p>
        </w:tc>
      </w:tr>
      <w:tr w:rsidR="00FF6FA4" w:rsidRPr="004F0BA7" w14:paraId="298A9C1D" w14:textId="77777777" w:rsidTr="009A2A55">
        <w:trPr>
          <w:jc w:val="center"/>
        </w:trPr>
        <w:tc>
          <w:tcPr>
            <w:tcW w:w="5216" w:type="dxa"/>
          </w:tcPr>
          <w:p w14:paraId="3776F334" w14:textId="77777777" w:rsidR="00FF6FA4" w:rsidRPr="004F0BA7" w:rsidRDefault="00FF6FA4" w:rsidP="001F2C4F">
            <w:pPr>
              <w:pStyle w:val="Tabletext"/>
              <w:jc w:val="left"/>
            </w:pPr>
            <w:r w:rsidRPr="004F0BA7">
              <w:t>Largeur de bande de référence du récepteur (dB/Hz)</w:t>
            </w:r>
          </w:p>
        </w:tc>
        <w:tc>
          <w:tcPr>
            <w:tcW w:w="3402" w:type="dxa"/>
          </w:tcPr>
          <w:p w14:paraId="695CD600" w14:textId="77777777" w:rsidR="00FF6FA4" w:rsidRPr="004F0BA7" w:rsidRDefault="00FF6FA4" w:rsidP="001F2C4F">
            <w:pPr>
              <w:pStyle w:val="Tabletext"/>
              <w:jc w:val="center"/>
            </w:pPr>
            <w:r w:rsidRPr="004F0BA7">
              <w:t>64,8</w:t>
            </w:r>
          </w:p>
        </w:tc>
      </w:tr>
      <w:tr w:rsidR="00FF6FA4" w:rsidRPr="004F0BA7" w14:paraId="62B5065B" w14:textId="77777777" w:rsidTr="009A2A55">
        <w:trPr>
          <w:jc w:val="center"/>
        </w:trPr>
        <w:tc>
          <w:tcPr>
            <w:tcW w:w="5216" w:type="dxa"/>
          </w:tcPr>
          <w:p w14:paraId="4593BD68" w14:textId="77777777" w:rsidR="00FF6FA4" w:rsidRPr="004F0BA7" w:rsidRDefault="00FF6FA4" w:rsidP="001F2C4F">
            <w:pPr>
              <w:pStyle w:val="Tabletext"/>
              <w:jc w:val="left"/>
            </w:pPr>
            <w:r w:rsidRPr="004F0BA7">
              <w:t xml:space="preserve">Marge de liaison (dB) </w:t>
            </w:r>
            <w:r w:rsidRPr="004F0BA7">
              <w:rPr>
                <w:i/>
              </w:rPr>
              <w:t>P</w:t>
            </w:r>
            <w:r w:rsidRPr="004F0BA7">
              <w:rPr>
                <w:i/>
                <w:vertAlign w:val="subscript"/>
              </w:rPr>
              <w:t>PERTE-VERROUILLAGE</w:t>
            </w:r>
            <w:r w:rsidRPr="004F0BA7">
              <w:rPr>
                <w:vertAlign w:val="subscript"/>
              </w:rPr>
              <w:t xml:space="preserve"> </w:t>
            </w:r>
            <w:r w:rsidRPr="004F0BA7">
              <w:t>= 0,02%</w:t>
            </w:r>
          </w:p>
        </w:tc>
        <w:tc>
          <w:tcPr>
            <w:tcW w:w="3402" w:type="dxa"/>
          </w:tcPr>
          <w:p w14:paraId="4FD61373" w14:textId="77777777" w:rsidR="00FF6FA4" w:rsidRPr="004F0BA7" w:rsidRDefault="00FF6FA4" w:rsidP="001F2C4F">
            <w:pPr>
              <w:pStyle w:val="Tabletext"/>
              <w:jc w:val="center"/>
            </w:pPr>
            <w:r w:rsidRPr="004F0BA7">
              <w:t>18,9</w:t>
            </w:r>
          </w:p>
        </w:tc>
      </w:tr>
      <w:tr w:rsidR="00FF6FA4" w:rsidRPr="004F0BA7" w14:paraId="740C550B" w14:textId="77777777" w:rsidTr="009A2A55">
        <w:trPr>
          <w:jc w:val="center"/>
        </w:trPr>
        <w:tc>
          <w:tcPr>
            <w:tcW w:w="5216" w:type="dxa"/>
          </w:tcPr>
          <w:p w14:paraId="55C1BA42" w14:textId="77777777" w:rsidR="00FF6FA4" w:rsidRPr="004F0BA7" w:rsidRDefault="00FF6FA4" w:rsidP="001F2C4F">
            <w:pPr>
              <w:pStyle w:val="Tabletext"/>
              <w:jc w:val="left"/>
            </w:pPr>
            <w:r w:rsidRPr="004F0BA7">
              <w:t xml:space="preserve">Marge de liaison (dB) </w:t>
            </w:r>
            <w:r w:rsidRPr="004F0BA7">
              <w:rPr>
                <w:i/>
              </w:rPr>
              <w:t>P</w:t>
            </w:r>
            <w:r w:rsidRPr="004F0BA7">
              <w:rPr>
                <w:i/>
                <w:vertAlign w:val="subscript"/>
              </w:rPr>
              <w:t>PERTE-DONNÉES</w:t>
            </w:r>
            <w:r w:rsidRPr="004F0BA7">
              <w:rPr>
                <w:vertAlign w:val="subscript"/>
              </w:rPr>
              <w:t xml:space="preserve"> </w:t>
            </w:r>
            <w:r w:rsidRPr="004F0BA7">
              <w:t>% = 0,06%</w:t>
            </w:r>
          </w:p>
        </w:tc>
        <w:tc>
          <w:tcPr>
            <w:tcW w:w="3402" w:type="dxa"/>
          </w:tcPr>
          <w:p w14:paraId="041350B8" w14:textId="77777777" w:rsidR="00FF6FA4" w:rsidRPr="004F0BA7" w:rsidRDefault="00FF6FA4" w:rsidP="001F2C4F">
            <w:pPr>
              <w:pStyle w:val="Tabletext"/>
              <w:jc w:val="center"/>
            </w:pPr>
            <w:r w:rsidRPr="004F0BA7">
              <w:t>13,85</w:t>
            </w:r>
          </w:p>
        </w:tc>
      </w:tr>
      <w:tr w:rsidR="00FF6FA4" w:rsidRPr="004F0BA7" w14:paraId="036287A1" w14:textId="77777777" w:rsidTr="009A2A55">
        <w:trPr>
          <w:jc w:val="center"/>
        </w:trPr>
        <w:tc>
          <w:tcPr>
            <w:tcW w:w="5216" w:type="dxa"/>
          </w:tcPr>
          <w:p w14:paraId="18277BAA" w14:textId="77777777" w:rsidR="00FF6FA4" w:rsidRPr="004F0BA7" w:rsidRDefault="00FF6FA4" w:rsidP="009A2A55">
            <w:pPr>
              <w:pStyle w:val="Tabletext"/>
              <w:jc w:val="left"/>
            </w:pPr>
            <w:r w:rsidRPr="004F0BA7">
              <w:t xml:space="preserve">Niveau de brouillage ne devant pas être dépassé pendant plus de </w:t>
            </w:r>
            <w:r w:rsidRPr="004F0BA7">
              <w:rPr>
                <w:i/>
              </w:rPr>
              <w:t>P</w:t>
            </w:r>
            <w:r w:rsidRPr="004F0BA7">
              <w:rPr>
                <w:i/>
                <w:vertAlign w:val="subscript"/>
              </w:rPr>
              <w:t>PERTE-VERROUILLAGE</w:t>
            </w:r>
            <w:r w:rsidRPr="004F0BA7">
              <w:rPr>
                <w:vertAlign w:val="subscript"/>
              </w:rPr>
              <w:t xml:space="preserve"> </w:t>
            </w:r>
            <w:r w:rsidRPr="004F0BA7">
              <w:t>= 0,02% du temps (équation (1))</w:t>
            </w:r>
            <w:r w:rsidR="00B1016E" w:rsidRPr="004F0BA7">
              <w:t xml:space="preserve"> (</w:t>
            </w:r>
            <w:proofErr w:type="spellStart"/>
            <w:proofErr w:type="gramStart"/>
            <w:r w:rsidR="00B1016E" w:rsidRPr="004F0BA7">
              <w:t>dBW</w:t>
            </w:r>
            <w:proofErr w:type="spellEnd"/>
            <w:r w:rsidR="00B1016E" w:rsidRPr="004F0BA7">
              <w:t>(</w:t>
            </w:r>
            <w:proofErr w:type="gramEnd"/>
            <w:r w:rsidR="00B1016E" w:rsidRPr="004F0BA7">
              <w:t>3</w:t>
            </w:r>
            <w:r w:rsidR="009A2A55" w:rsidRPr="004F0BA7">
              <w:t> </w:t>
            </w:r>
            <w:r w:rsidR="00B1016E" w:rsidRPr="004F0BA7">
              <w:t>MHz))</w:t>
            </w:r>
          </w:p>
        </w:tc>
        <w:tc>
          <w:tcPr>
            <w:tcW w:w="3402" w:type="dxa"/>
          </w:tcPr>
          <w:p w14:paraId="3DBFD531" w14:textId="77777777" w:rsidR="00FF6FA4" w:rsidRPr="004F0BA7" w:rsidRDefault="009A2A55" w:rsidP="00207069">
            <w:pPr>
              <w:pStyle w:val="Tabletext"/>
              <w:jc w:val="center"/>
            </w:pPr>
            <w:r w:rsidRPr="004F0BA7">
              <w:t>−</w:t>
            </w:r>
            <w:r w:rsidR="00FF6FA4" w:rsidRPr="004F0BA7">
              <w:t>116,9</w:t>
            </w:r>
          </w:p>
        </w:tc>
      </w:tr>
      <w:tr w:rsidR="00FF6FA4" w:rsidRPr="004F0BA7" w14:paraId="12042B26" w14:textId="77777777" w:rsidTr="009A2A55">
        <w:trPr>
          <w:jc w:val="center"/>
        </w:trPr>
        <w:tc>
          <w:tcPr>
            <w:tcW w:w="5216" w:type="dxa"/>
          </w:tcPr>
          <w:p w14:paraId="75F9E242" w14:textId="77777777" w:rsidR="00FF6FA4" w:rsidRPr="004F0BA7" w:rsidRDefault="00FF6FA4" w:rsidP="001F2C4F">
            <w:pPr>
              <w:pStyle w:val="Tabletext"/>
              <w:jc w:val="left"/>
            </w:pPr>
            <w:r w:rsidRPr="004F0BA7">
              <w:t xml:space="preserve">Niveau de brouillage ne devant pas être dépassé pendant plus de </w:t>
            </w:r>
            <w:r w:rsidRPr="004F0BA7">
              <w:rPr>
                <w:i/>
              </w:rPr>
              <w:t>P</w:t>
            </w:r>
            <w:r w:rsidRPr="004F0BA7">
              <w:rPr>
                <w:i/>
                <w:vertAlign w:val="subscript"/>
              </w:rPr>
              <w:t>PERTE-DONNÉES</w:t>
            </w:r>
            <w:r w:rsidRPr="004F0BA7">
              <w:rPr>
                <w:vertAlign w:val="subscript"/>
              </w:rPr>
              <w:t xml:space="preserve"> </w:t>
            </w:r>
            <w:r w:rsidRPr="004F0BA7">
              <w:t>% = 0,06% du temps (équation (2))</w:t>
            </w:r>
            <w:r w:rsidR="00B1016E" w:rsidRPr="004F0BA7">
              <w:t xml:space="preserve"> </w:t>
            </w:r>
            <w:r w:rsidR="009A2A55" w:rsidRPr="004F0BA7">
              <w:t>(</w:t>
            </w:r>
            <w:proofErr w:type="spellStart"/>
            <w:proofErr w:type="gramStart"/>
            <w:r w:rsidR="009A2A55" w:rsidRPr="004F0BA7">
              <w:t>dBW</w:t>
            </w:r>
            <w:proofErr w:type="spellEnd"/>
            <w:r w:rsidR="009A2A55" w:rsidRPr="004F0BA7">
              <w:t>(</w:t>
            </w:r>
            <w:proofErr w:type="gramEnd"/>
            <w:r w:rsidR="009A2A55" w:rsidRPr="004F0BA7">
              <w:t>3 </w:t>
            </w:r>
            <w:r w:rsidR="00B1016E" w:rsidRPr="004F0BA7">
              <w:t>MHz))</w:t>
            </w:r>
          </w:p>
        </w:tc>
        <w:tc>
          <w:tcPr>
            <w:tcW w:w="3402" w:type="dxa"/>
          </w:tcPr>
          <w:p w14:paraId="0E69F5B7" w14:textId="77777777" w:rsidR="00FF6FA4" w:rsidRPr="004F0BA7" w:rsidRDefault="009A2A55" w:rsidP="001F2C4F">
            <w:pPr>
              <w:pStyle w:val="Tabletext"/>
              <w:jc w:val="center"/>
            </w:pPr>
            <w:r w:rsidRPr="004F0BA7">
              <w:t>−</w:t>
            </w:r>
            <w:r w:rsidR="00FF6FA4" w:rsidRPr="004F0BA7">
              <w:t>122,1</w:t>
            </w:r>
          </w:p>
        </w:tc>
      </w:tr>
      <w:tr w:rsidR="00FF6FA4" w:rsidRPr="004F0BA7" w14:paraId="507AE3F6" w14:textId="77777777" w:rsidTr="009A2A55">
        <w:trPr>
          <w:jc w:val="center"/>
        </w:trPr>
        <w:tc>
          <w:tcPr>
            <w:tcW w:w="5216" w:type="dxa"/>
          </w:tcPr>
          <w:p w14:paraId="44F81716" w14:textId="77777777" w:rsidR="00FF6FA4" w:rsidRPr="004F0BA7" w:rsidRDefault="00FF6FA4" w:rsidP="001F2C4F">
            <w:pPr>
              <w:pStyle w:val="Tabletext"/>
              <w:jc w:val="left"/>
            </w:pPr>
            <w:r w:rsidRPr="004F0BA7">
              <w:t>Niveau de brouillage ne devant pas être dépassé pendant plus de 20% du temps (équation (3))</w:t>
            </w:r>
            <w:r w:rsidR="00B1016E" w:rsidRPr="004F0BA7">
              <w:t xml:space="preserve"> (</w:t>
            </w:r>
            <w:proofErr w:type="spellStart"/>
            <w:proofErr w:type="gramStart"/>
            <w:r w:rsidR="00B1016E" w:rsidRPr="004F0BA7">
              <w:t>dBW</w:t>
            </w:r>
            <w:proofErr w:type="spellEnd"/>
            <w:r w:rsidR="00B1016E" w:rsidRPr="004F0BA7">
              <w:t>(</w:t>
            </w:r>
            <w:proofErr w:type="gramEnd"/>
            <w:r w:rsidR="00B1016E" w:rsidRPr="004F0BA7">
              <w:t>3 MHz))</w:t>
            </w:r>
          </w:p>
        </w:tc>
        <w:tc>
          <w:tcPr>
            <w:tcW w:w="3402" w:type="dxa"/>
          </w:tcPr>
          <w:p w14:paraId="7C9A8F5D" w14:textId="6E71499B" w:rsidR="00FF6FA4" w:rsidRPr="004F0BA7" w:rsidRDefault="009A2A55" w:rsidP="001F2C4F">
            <w:pPr>
              <w:pStyle w:val="Tabletext"/>
              <w:jc w:val="center"/>
            </w:pPr>
            <w:r w:rsidRPr="004F0BA7">
              <w:t>−</w:t>
            </w:r>
            <w:r w:rsidR="00743318" w:rsidRPr="004F0BA7">
              <w:t>132,98</w:t>
            </w:r>
          </w:p>
        </w:tc>
      </w:tr>
    </w:tbl>
    <w:p w14:paraId="417D16C1" w14:textId="77777777" w:rsidR="007A163D" w:rsidRPr="004F0BA7" w:rsidRDefault="007A163D" w:rsidP="003C79C3">
      <w:pPr>
        <w:spacing w:before="240"/>
        <w:jc w:val="center"/>
      </w:pPr>
      <w:r w:rsidRPr="004F0BA7">
        <w:t>______________</w:t>
      </w:r>
    </w:p>
    <w:sectPr w:rsidR="007A163D" w:rsidRPr="004F0BA7" w:rsidSect="00DB4B02">
      <w:headerReference w:type="even" r:id="rId23"/>
      <w:headerReference w:type="default" r:id="rId24"/>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5A8EA" w14:textId="77777777" w:rsidR="00175BC1" w:rsidRDefault="00175BC1">
      <w:r>
        <w:separator/>
      </w:r>
    </w:p>
  </w:endnote>
  <w:endnote w:type="continuationSeparator" w:id="0">
    <w:p w14:paraId="235410B0" w14:textId="77777777" w:rsidR="00175BC1" w:rsidRDefault="0017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73863" w14:textId="386D80E9" w:rsidR="00D07D53" w:rsidRDefault="00D07D53">
    <w:pPr>
      <w:pStyle w:val="Footer"/>
    </w:pPr>
    <w:r>
      <w:drawing>
        <wp:anchor distT="0" distB="0" distL="114300" distR="114300" simplePos="0" relativeHeight="251662336" behindDoc="0" locked="0" layoutInCell="1" allowOverlap="1" wp14:anchorId="5BF73007" wp14:editId="212D0EEE">
          <wp:simplePos x="0" y="0"/>
          <wp:positionH relativeFrom="column">
            <wp:posOffset>5399405</wp:posOffset>
          </wp:positionH>
          <wp:positionV relativeFrom="paragraph">
            <wp:posOffset>-963251</wp:posOffset>
          </wp:positionV>
          <wp:extent cx="737870" cy="813435"/>
          <wp:effectExtent l="0" t="0" r="5080" b="5715"/>
          <wp:wrapThrough wrapText="bothSides">
            <wp:wrapPolygon edited="0">
              <wp:start x="1115" y="0"/>
              <wp:lineTo x="0" y="8600"/>
              <wp:lineTo x="0" y="17199"/>
              <wp:lineTo x="5019" y="21246"/>
              <wp:lineTo x="6134" y="21246"/>
              <wp:lineTo x="21191" y="21246"/>
              <wp:lineTo x="21191" y="5059"/>
              <wp:lineTo x="13384" y="1518"/>
              <wp:lineTo x="3346" y="0"/>
              <wp:lineTo x="1115" y="0"/>
            </wp:wrapPolygon>
          </wp:wrapThrough>
          <wp:docPr id="132498685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86851" name="image1.png"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5A0C" w14:textId="77777777" w:rsidR="00175BC1" w:rsidRDefault="00175BC1">
      <w:r>
        <w:separator/>
      </w:r>
    </w:p>
  </w:footnote>
  <w:footnote w:type="continuationSeparator" w:id="0">
    <w:p w14:paraId="29BF84F6" w14:textId="77777777" w:rsidR="00175BC1" w:rsidRDefault="0017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43F5" w14:textId="7A74552A" w:rsidR="00175BC1" w:rsidRPr="002528C0" w:rsidRDefault="00175BC1" w:rsidP="001F032A">
    <w:pPr>
      <w:pStyle w:val="Header"/>
      <w:jc w:val="left"/>
      <w:rPr>
        <w:b/>
        <w:bCs/>
        <w:lang w:val="en-US"/>
      </w:rPr>
    </w:pPr>
    <w:r w:rsidRPr="001C61C5">
      <w:rPr>
        <w:b/>
        <w:bCs/>
      </w:rPr>
      <w:fldChar w:fldCharType="begin"/>
    </w:r>
    <w:r w:rsidRPr="001C61C5">
      <w:rPr>
        <w:b/>
        <w:bCs/>
      </w:rPr>
      <w:instrText xml:space="preserve"> PAGE   \* MERGEFORMAT </w:instrText>
    </w:r>
    <w:r w:rsidRPr="001C61C5">
      <w:rPr>
        <w:b/>
        <w:bCs/>
      </w:rPr>
      <w:fldChar w:fldCharType="separate"/>
    </w:r>
    <w:r w:rsidR="00785733">
      <w:rPr>
        <w:b/>
        <w:bCs/>
        <w:noProof/>
      </w:rPr>
      <w:t>i</w:t>
    </w:r>
    <w:r w:rsidR="00785733" w:rsidRPr="002528C0">
      <w:rPr>
        <w:b/>
        <w:bCs/>
        <w:noProof/>
        <w:lang w:val="en-US"/>
      </w:rPr>
      <w:t>i</w:t>
    </w:r>
    <w:r w:rsidRPr="001C61C5">
      <w:rPr>
        <w:b/>
        <w:bCs/>
        <w:noProof/>
      </w:rPr>
      <w:fldChar w:fldCharType="end"/>
    </w:r>
    <w:r w:rsidRPr="002528C0">
      <w:rPr>
        <w:b/>
        <w:bCs/>
        <w:noProof/>
        <w:lang w:val="en-US"/>
      </w:rPr>
      <w:tab/>
      <w:t>Rec. UIT-R RS.1263-</w:t>
    </w:r>
    <w:r w:rsidR="00092EC1" w:rsidRPr="002528C0">
      <w:rPr>
        <w:b/>
        <w:bCs/>
        <w:noProof/>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F3C6" w14:textId="4C77ED0E" w:rsidR="00175BC1" w:rsidRDefault="00175BC1" w:rsidP="002C1B19">
    <w:pPr>
      <w:pStyle w:val="Header"/>
    </w:pPr>
    <w:r>
      <w:tab/>
    </w:r>
    <w:r>
      <w:rPr>
        <w:b/>
        <w:bCs/>
      </w:rPr>
      <w:fldChar w:fldCharType="begin"/>
    </w:r>
    <w:r>
      <w:rPr>
        <w:b/>
        <w:bCs/>
      </w:rPr>
      <w:instrText xml:space="preserve"> DOCPROPERTY "Header" \* MERGEFORMAT </w:instrText>
    </w:r>
    <w:r>
      <w:rPr>
        <w:b/>
        <w:bCs/>
      </w:rPr>
      <w:fldChar w:fldCharType="separate"/>
    </w:r>
    <w:r w:rsidR="004F0BA7">
      <w:rPr>
        <w:b/>
        <w:bCs/>
      </w:rPr>
      <w:t xml:space="preserve">Rec. </w:t>
    </w:r>
    <w:r>
      <w:rPr>
        <w:b/>
        <w:bCs/>
      </w:rPr>
      <w:fldChar w:fldCharType="end"/>
    </w:r>
    <w:r w:rsidR="00092EC1">
      <w:rPr>
        <w:b/>
        <w:bCs/>
      </w:rPr>
      <w:t>UIT-R RS.1263-3</w:t>
    </w:r>
    <w:r>
      <w:tab/>
    </w:r>
    <w:r w:rsidRPr="00DB2BCD">
      <w:rPr>
        <w:rStyle w:val="PageNumber"/>
        <w:b/>
        <w:bCs/>
      </w:rPr>
      <w:fldChar w:fldCharType="begin"/>
    </w:r>
    <w:r w:rsidRPr="00DB2BCD">
      <w:rPr>
        <w:rStyle w:val="PageNumber"/>
        <w:b/>
        <w:bCs/>
      </w:rPr>
      <w:instrText xml:space="preserve"> PAGE </w:instrText>
    </w:r>
    <w:r w:rsidRPr="00DB2BCD">
      <w:rPr>
        <w:rStyle w:val="PageNumber"/>
        <w:b/>
        <w:bCs/>
      </w:rPr>
      <w:fldChar w:fldCharType="separate"/>
    </w:r>
    <w:r w:rsidR="00785733">
      <w:rPr>
        <w:rStyle w:val="PageNumber"/>
        <w:b/>
        <w:bCs/>
        <w:noProof/>
      </w:rPr>
      <w:t>7</w:t>
    </w:r>
    <w:r w:rsidRPr="00DB2BCD">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E22C27" w14:paraId="6FF56EC2" w14:textId="77777777" w:rsidTr="00E22C27">
      <w:tc>
        <w:tcPr>
          <w:tcW w:w="4634" w:type="dxa"/>
          <w:vAlign w:val="center"/>
          <w:hideMark/>
        </w:tcPr>
        <w:p w14:paraId="1000A2FF" w14:textId="171DA60C" w:rsidR="00E22C27" w:rsidRDefault="00E22C27" w:rsidP="00E22C27">
          <w:pPr>
            <w:pStyle w:val="Header"/>
            <w:jc w:val="left"/>
            <w:rPr>
              <w:rFonts w:ascii="Arial Black" w:hAnsi="Arial Black" w:cs="Arial"/>
              <w:color w:val="FFFFFF" w:themeColor="background1"/>
              <w:sz w:val="32"/>
              <w:szCs w:val="32"/>
              <w:lang w:val="en-GB"/>
            </w:rPr>
          </w:pPr>
          <w:bookmarkStart w:id="1" w:name="_Hlk179869043"/>
          <w:r>
            <w:rPr>
              <w:noProof/>
            </w:rPr>
            <w:drawing>
              <wp:anchor distT="0" distB="0" distL="114300" distR="114300" simplePos="0" relativeHeight="251660288" behindDoc="0" locked="0" layoutInCell="1" allowOverlap="1" wp14:anchorId="2C744DE7" wp14:editId="7D42CB07">
                <wp:simplePos x="0" y="0"/>
                <wp:positionH relativeFrom="column">
                  <wp:posOffset>-230505</wp:posOffset>
                </wp:positionH>
                <wp:positionV relativeFrom="page">
                  <wp:posOffset>-71755</wp:posOffset>
                </wp:positionV>
                <wp:extent cx="1945640" cy="414020"/>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6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98" w:type="dxa"/>
          <w:vAlign w:val="center"/>
          <w:hideMark/>
        </w:tcPr>
        <w:p w14:paraId="0379BA87" w14:textId="77777777" w:rsidR="00E22C27" w:rsidRDefault="00E22C27" w:rsidP="00E22C27">
          <w:pPr>
            <w:pStyle w:val="Header"/>
            <w:jc w:val="right"/>
            <w:rPr>
              <w:rFonts w:asciiTheme="minorBidi" w:hAnsiTheme="minorBidi"/>
              <w:b/>
              <w:spacing w:val="4"/>
              <w:szCs w:val="24"/>
            </w:rPr>
          </w:pPr>
          <w:r>
            <w:rPr>
              <w:rFonts w:asciiTheme="minorBidi" w:hAnsiTheme="minorBidi"/>
              <w:b/>
              <w:spacing w:val="4"/>
              <w:szCs w:val="24"/>
            </w:rPr>
            <w:t>Union internationale des télécommunications</w:t>
          </w:r>
        </w:p>
      </w:tc>
    </w:tr>
    <w:tr w:rsidR="00E22C27" w14:paraId="6E5C4603" w14:textId="77777777" w:rsidTr="00E22C27">
      <w:tc>
        <w:tcPr>
          <w:tcW w:w="4634" w:type="dxa"/>
          <w:vAlign w:val="center"/>
          <w:hideMark/>
        </w:tcPr>
        <w:p w14:paraId="35A6FEA4" w14:textId="0A90C795" w:rsidR="00E22C27" w:rsidRDefault="00E22C27" w:rsidP="00E22C27">
          <w:pPr>
            <w:pStyle w:val="Header"/>
            <w:jc w:val="left"/>
            <w:rPr>
              <w:rFonts w:asciiTheme="minorBidi" w:hAnsiTheme="minorBidi"/>
              <w:spacing w:val="4"/>
              <w:sz w:val="21"/>
              <w:szCs w:val="21"/>
            </w:rPr>
          </w:pPr>
          <w:bookmarkStart w:id="2" w:name="lt_pId001"/>
          <w:r>
            <w:rPr>
              <w:rFonts w:asciiTheme="minorBidi" w:hAnsiTheme="minorBidi"/>
              <w:spacing w:val="4"/>
              <w:szCs w:val="24"/>
            </w:rPr>
            <w:t>Recommandations</w:t>
          </w:r>
          <w:bookmarkEnd w:id="2"/>
        </w:p>
      </w:tc>
      <w:tc>
        <w:tcPr>
          <w:tcW w:w="5998" w:type="dxa"/>
          <w:vAlign w:val="center"/>
          <w:hideMark/>
        </w:tcPr>
        <w:p w14:paraId="62839E49" w14:textId="77777777" w:rsidR="00E22C27" w:rsidRDefault="00E22C27" w:rsidP="00E22C27">
          <w:pPr>
            <w:pStyle w:val="Header"/>
            <w:jc w:val="right"/>
            <w:rPr>
              <w:rFonts w:asciiTheme="minorBidi" w:hAnsiTheme="minorBidi"/>
              <w:spacing w:val="4"/>
              <w:szCs w:val="24"/>
            </w:rPr>
          </w:pPr>
          <w:r>
            <w:rPr>
              <w:rFonts w:asciiTheme="minorBidi" w:hAnsiTheme="minorBidi"/>
              <w:spacing w:val="4"/>
              <w:szCs w:val="24"/>
            </w:rPr>
            <w:t>Secteur des radiocommunications</w:t>
          </w:r>
        </w:p>
      </w:tc>
      <w:bookmarkEnd w:id="1"/>
    </w:tr>
  </w:tbl>
  <w:p w14:paraId="2F68E742" w14:textId="4E726F1E" w:rsidR="00E22C27" w:rsidRDefault="00E22C27">
    <w:pPr>
      <w:pStyle w:val="Header"/>
    </w:pPr>
    <w:r>
      <w:rPr>
        <w:noProof/>
      </w:rPr>
      <mc:AlternateContent>
        <mc:Choice Requires="wpg">
          <w:drawing>
            <wp:anchor distT="0" distB="0" distL="114300" distR="114300" simplePos="0" relativeHeight="251659264" behindDoc="0" locked="0" layoutInCell="1" allowOverlap="1" wp14:anchorId="748EE907" wp14:editId="4BB9D6D4">
              <wp:simplePos x="0" y="0"/>
              <wp:positionH relativeFrom="column">
                <wp:posOffset>-723900</wp:posOffset>
              </wp:positionH>
              <wp:positionV relativeFrom="paragraph">
                <wp:posOffset>260212</wp:posOffset>
              </wp:positionV>
              <wp:extent cx="7560310" cy="236220"/>
              <wp:effectExtent l="0" t="0" r="21590" b="11430"/>
              <wp:wrapNone/>
              <wp:docPr id="2" name="Group 2" descr="Header separator line"/>
              <wp:cNvGraphicFramePr/>
              <a:graphic xmlns:a="http://schemas.openxmlformats.org/drawingml/2006/main">
                <a:graphicData uri="http://schemas.microsoft.com/office/word/2010/wordprocessingGroup">
                  <wpg:wgp>
                    <wpg:cNvGrpSpPr/>
                    <wpg:grpSpPr>
                      <a:xfrm>
                        <a:off x="0" y="0"/>
                        <a:ext cx="7560310" cy="236220"/>
                        <a:chOff x="0" y="0"/>
                        <a:chExt cx="11906" cy="372"/>
                      </a:xfrm>
                    </wpg:grpSpPr>
                    <wps:wsp>
                      <wps:cNvPr id="1" name="docshape7" descr="Header separator line"/>
                      <wps:cNvSpPr>
                        <a:spLocks noChangeArrowheads="1"/>
                      </wps:cNvSpPr>
                      <wps:spPr bwMode="auto">
                        <a:xfrm>
                          <a:off x="0" y="60"/>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3" name="docshape8" descr="Header separator line"/>
                      <wps:cNvSpPr/>
                      <wps:spPr bwMode="auto">
                        <a:xfrm>
                          <a:off x="1109" y="0"/>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anchor>
          </w:drawing>
        </mc:Choice>
        <mc:Fallback>
          <w:pict>
            <v:group w14:anchorId="0D5192C2" id="Group 2" o:spid="_x0000_s1026" alt="Header separator line" style="position:absolute;margin-left:-57pt;margin-top:20.5pt;width:595.3pt;height:18.6pt;z-index:25165926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">
              <v:rect id="docshape7" o:spid="_x0000_s1027" alt="Header separator line" style="position:absolute;top:60;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" fillcolor="#009cd6" strokecolor="#009cd6"/>
              <v:shape id="docshape8" o:spid="_x0000_s1028" alt="Header separator line" style="position:absolute;left:1109;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" path="m627,l,,314,313,627,xe" fillcolor="white [3212]" stroked="f" strokecolor="#009cd6">
                <v:path arrowok="t" o:connecttype="custom" o:connectlocs="627,1884;0,1884;314,2197;627,1884" o:connectangles="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5E61" w14:textId="5E40E34A" w:rsidR="00175BC1" w:rsidRPr="00363987" w:rsidRDefault="00175BC1" w:rsidP="001F032A">
    <w:pPr>
      <w:pStyle w:val="Header"/>
      <w:jc w:val="left"/>
      <w:rPr>
        <w:b/>
        <w:bCs/>
      </w:rPr>
    </w:pPr>
    <w:r w:rsidRPr="001C61C5">
      <w:rPr>
        <w:b/>
        <w:bCs/>
      </w:rPr>
      <w:fldChar w:fldCharType="begin"/>
    </w:r>
    <w:r w:rsidRPr="001C61C5">
      <w:rPr>
        <w:b/>
        <w:bCs/>
      </w:rPr>
      <w:instrText xml:space="preserve"> PAGE   \* MERGEFORMAT </w:instrText>
    </w:r>
    <w:r w:rsidRPr="001C61C5">
      <w:rPr>
        <w:b/>
        <w:bCs/>
      </w:rPr>
      <w:fldChar w:fldCharType="separate"/>
    </w:r>
    <w:r w:rsidR="00785733">
      <w:rPr>
        <w:b/>
        <w:bCs/>
        <w:noProof/>
      </w:rPr>
      <w:t>8</w:t>
    </w:r>
    <w:r w:rsidRPr="001C61C5">
      <w:rPr>
        <w:b/>
        <w:bCs/>
        <w:noProof/>
      </w:rPr>
      <w:fldChar w:fldCharType="end"/>
    </w:r>
    <w:r w:rsidRPr="001C61C5">
      <w:rPr>
        <w:b/>
        <w:bCs/>
        <w:noProof/>
      </w:rPr>
      <w:tab/>
      <w:t>Rec. UIT-</w:t>
    </w:r>
    <w:r>
      <w:rPr>
        <w:b/>
        <w:bCs/>
        <w:noProof/>
      </w:rPr>
      <w:t>R</w:t>
    </w:r>
    <w:r w:rsidR="00BA42A4">
      <w:rPr>
        <w:b/>
        <w:bCs/>
        <w:noProof/>
      </w:rPr>
      <w:t xml:space="preserve"> RS.1263-</w:t>
    </w:r>
    <w:r w:rsidR="00957286">
      <w:rPr>
        <w:b/>
        <w:bCs/>
        <w:noProof/>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95F1" w14:textId="4DDA5EC5" w:rsidR="00DB2BCD" w:rsidRPr="00363987" w:rsidRDefault="00DB2BCD" w:rsidP="00B95451">
    <w:pPr>
      <w:pStyle w:val="Header"/>
      <w:tabs>
        <w:tab w:val="clear" w:pos="4848"/>
        <w:tab w:val="center" w:pos="7088"/>
      </w:tabs>
      <w:jc w:val="left"/>
      <w:rPr>
        <w:b/>
        <w:bCs/>
      </w:rPr>
    </w:pPr>
    <w:r w:rsidRPr="001C61C5">
      <w:rPr>
        <w:b/>
        <w:bCs/>
      </w:rPr>
      <w:fldChar w:fldCharType="begin"/>
    </w:r>
    <w:r w:rsidRPr="001C61C5">
      <w:rPr>
        <w:b/>
        <w:bCs/>
      </w:rPr>
      <w:instrText xml:space="preserve"> PAGE   \* MERGEFORMAT </w:instrText>
    </w:r>
    <w:r w:rsidRPr="001C61C5">
      <w:rPr>
        <w:b/>
        <w:bCs/>
      </w:rPr>
      <w:fldChar w:fldCharType="separate"/>
    </w:r>
    <w:r w:rsidR="00785733">
      <w:rPr>
        <w:b/>
        <w:bCs/>
        <w:noProof/>
      </w:rPr>
      <w:t>10</w:t>
    </w:r>
    <w:r w:rsidRPr="001C61C5">
      <w:rPr>
        <w:b/>
        <w:bCs/>
        <w:noProof/>
      </w:rPr>
      <w:fldChar w:fldCharType="end"/>
    </w:r>
    <w:r w:rsidRPr="001C61C5">
      <w:rPr>
        <w:b/>
        <w:bCs/>
        <w:noProof/>
      </w:rPr>
      <w:tab/>
      <w:t>Rec. UIT-</w:t>
    </w:r>
    <w:r>
      <w:rPr>
        <w:b/>
        <w:bCs/>
        <w:noProof/>
      </w:rPr>
      <w:t>R</w:t>
    </w:r>
    <w:r w:rsidR="0043579D">
      <w:rPr>
        <w:b/>
        <w:bCs/>
        <w:noProof/>
      </w:rPr>
      <w:t xml:space="preserve"> RS.1263-</w:t>
    </w:r>
    <w:r w:rsidR="00D379F6">
      <w:rPr>
        <w:b/>
        <w:bCs/>
        <w:noProof/>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88FD" w14:textId="7D300421" w:rsidR="00175BC1" w:rsidRDefault="00175BC1" w:rsidP="00DB2BCD">
    <w:pPr>
      <w:pStyle w:val="Header"/>
      <w:tabs>
        <w:tab w:val="clear" w:pos="4848"/>
        <w:tab w:val="clear" w:pos="9696"/>
        <w:tab w:val="center" w:pos="7088"/>
        <w:tab w:val="right" w:pos="14282"/>
      </w:tabs>
    </w:pPr>
    <w:r>
      <w:tab/>
    </w:r>
    <w:r>
      <w:rPr>
        <w:b/>
        <w:bCs/>
      </w:rPr>
      <w:fldChar w:fldCharType="begin"/>
    </w:r>
    <w:r>
      <w:rPr>
        <w:b/>
        <w:bCs/>
      </w:rPr>
      <w:instrText xml:space="preserve"> DOCPROPERTY "Header" \* MERGEFORMAT </w:instrText>
    </w:r>
    <w:r>
      <w:rPr>
        <w:b/>
        <w:bCs/>
      </w:rPr>
      <w:fldChar w:fldCharType="separate"/>
    </w:r>
    <w:r w:rsidR="004F0BA7">
      <w:rPr>
        <w:b/>
        <w:bCs/>
      </w:rPr>
      <w:t xml:space="preserve">Rec. </w:t>
    </w:r>
    <w:r>
      <w:rPr>
        <w:b/>
        <w:bCs/>
      </w:rPr>
      <w:fldChar w:fldCharType="end"/>
    </w:r>
    <w:r>
      <w:rPr>
        <w:b/>
        <w:bCs/>
      </w:rPr>
      <w:fldChar w:fldCharType="begin"/>
    </w:r>
    <w:r>
      <w:rPr>
        <w:b/>
        <w:bCs/>
      </w:rPr>
      <w:instrText>styleref href</w:instrText>
    </w:r>
    <w:r>
      <w:rPr>
        <w:b/>
        <w:bCs/>
      </w:rPr>
      <w:fldChar w:fldCharType="separate"/>
    </w:r>
    <w:r w:rsidR="00E611F6">
      <w:rPr>
        <w:b/>
        <w:bCs/>
        <w:noProof/>
      </w:rPr>
      <w:t>UIT-R RS.1263-3</w:t>
    </w:r>
    <w:r>
      <w:rPr>
        <w:b/>
        <w:bCs/>
      </w:rPr>
      <w:fldChar w:fldCharType="end"/>
    </w:r>
    <w:r>
      <w:tab/>
    </w:r>
    <w:r w:rsidRPr="00DB2BCD">
      <w:rPr>
        <w:rStyle w:val="PageNumber"/>
        <w:b/>
        <w:bCs/>
      </w:rPr>
      <w:fldChar w:fldCharType="begin"/>
    </w:r>
    <w:r w:rsidRPr="00DB2BCD">
      <w:rPr>
        <w:rStyle w:val="PageNumber"/>
        <w:b/>
        <w:bCs/>
      </w:rPr>
      <w:instrText xml:space="preserve"> PAGE </w:instrText>
    </w:r>
    <w:r w:rsidRPr="00DB2BCD">
      <w:rPr>
        <w:rStyle w:val="PageNumber"/>
        <w:b/>
        <w:bCs/>
      </w:rPr>
      <w:fldChar w:fldCharType="separate"/>
    </w:r>
    <w:r w:rsidR="00785733">
      <w:rPr>
        <w:rStyle w:val="PageNumber"/>
        <w:b/>
        <w:bCs/>
        <w:noProof/>
      </w:rPr>
      <w:t>9</w:t>
    </w:r>
    <w:r w:rsidRPr="00DB2BCD">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88C86" w14:textId="42A50C06" w:rsidR="00FF2182" w:rsidRPr="00363987" w:rsidRDefault="00FF2182" w:rsidP="00FF2182">
    <w:pPr>
      <w:pStyle w:val="Header"/>
      <w:tabs>
        <w:tab w:val="clear" w:pos="4848"/>
        <w:tab w:val="center" w:pos="4820"/>
      </w:tabs>
      <w:jc w:val="left"/>
      <w:rPr>
        <w:b/>
        <w:bCs/>
      </w:rPr>
    </w:pPr>
    <w:r w:rsidRPr="001C61C5">
      <w:rPr>
        <w:b/>
        <w:bCs/>
      </w:rPr>
      <w:fldChar w:fldCharType="begin"/>
    </w:r>
    <w:r w:rsidRPr="001C61C5">
      <w:rPr>
        <w:b/>
        <w:bCs/>
      </w:rPr>
      <w:instrText xml:space="preserve"> PAGE   \* MERGEFORMAT </w:instrText>
    </w:r>
    <w:r w:rsidRPr="001C61C5">
      <w:rPr>
        <w:b/>
        <w:bCs/>
      </w:rPr>
      <w:fldChar w:fldCharType="separate"/>
    </w:r>
    <w:r w:rsidR="00785733">
      <w:rPr>
        <w:b/>
        <w:bCs/>
        <w:noProof/>
      </w:rPr>
      <w:t>14</w:t>
    </w:r>
    <w:r w:rsidRPr="001C61C5">
      <w:rPr>
        <w:b/>
        <w:bCs/>
        <w:noProof/>
      </w:rPr>
      <w:fldChar w:fldCharType="end"/>
    </w:r>
    <w:r w:rsidRPr="001C61C5">
      <w:rPr>
        <w:b/>
        <w:bCs/>
        <w:noProof/>
      </w:rPr>
      <w:tab/>
      <w:t>Rec. UIT-</w:t>
    </w:r>
    <w:r>
      <w:rPr>
        <w:b/>
        <w:bCs/>
        <w:noProof/>
      </w:rPr>
      <w:t>R RS.1263-</w:t>
    </w:r>
    <w:r w:rsidR="00D379F6">
      <w:rPr>
        <w:b/>
        <w:bCs/>
        <w:noProof/>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57C9" w14:textId="7BE30540" w:rsidR="00DB2BCD" w:rsidRDefault="00DB2BCD" w:rsidP="00DB2BCD">
    <w:pPr>
      <w:pStyle w:val="Header"/>
    </w:pPr>
    <w:r>
      <w:tab/>
    </w:r>
    <w:r>
      <w:rPr>
        <w:b/>
        <w:bCs/>
      </w:rPr>
      <w:fldChar w:fldCharType="begin"/>
    </w:r>
    <w:r>
      <w:rPr>
        <w:b/>
        <w:bCs/>
      </w:rPr>
      <w:instrText xml:space="preserve"> DOCPROPERTY "Header" \* MERGEFORMAT </w:instrText>
    </w:r>
    <w:r>
      <w:rPr>
        <w:b/>
        <w:bCs/>
      </w:rPr>
      <w:fldChar w:fldCharType="separate"/>
    </w:r>
    <w:r w:rsidR="004F0BA7">
      <w:rPr>
        <w:b/>
        <w:bCs/>
      </w:rPr>
      <w:t xml:space="preserve">Rec. </w:t>
    </w:r>
    <w:r>
      <w:rPr>
        <w:b/>
        <w:bCs/>
      </w:rPr>
      <w:fldChar w:fldCharType="end"/>
    </w:r>
    <w:r w:rsidR="00AE7F06">
      <w:rPr>
        <w:b/>
        <w:bCs/>
      </w:rPr>
      <w:t>UIT-R RS.1263-3</w:t>
    </w:r>
    <w:r>
      <w:tab/>
    </w:r>
    <w:r w:rsidRPr="00DB2BCD">
      <w:rPr>
        <w:rStyle w:val="PageNumber"/>
        <w:b/>
        <w:bCs/>
      </w:rPr>
      <w:fldChar w:fldCharType="begin"/>
    </w:r>
    <w:r w:rsidRPr="00DB2BCD">
      <w:rPr>
        <w:rStyle w:val="PageNumber"/>
        <w:b/>
        <w:bCs/>
      </w:rPr>
      <w:instrText xml:space="preserve"> PAGE </w:instrText>
    </w:r>
    <w:r w:rsidRPr="00DB2BCD">
      <w:rPr>
        <w:rStyle w:val="PageNumber"/>
        <w:b/>
        <w:bCs/>
      </w:rPr>
      <w:fldChar w:fldCharType="separate"/>
    </w:r>
    <w:r w:rsidR="00785733">
      <w:rPr>
        <w:rStyle w:val="PageNumber"/>
        <w:b/>
        <w:bCs/>
        <w:noProof/>
      </w:rPr>
      <w:t>13</w:t>
    </w:r>
    <w:r w:rsidRPr="00DB2BCD">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510"/>
    <w:multiLevelType w:val="hybridMultilevel"/>
    <w:tmpl w:val="3B9A080C"/>
    <w:lvl w:ilvl="0" w:tplc="46382A1E">
      <w:start w:val="1"/>
      <w:numFmt w:val="decimal"/>
      <w:lvlText w:val="(%1)"/>
      <w:lvlJc w:val="left"/>
      <w:pPr>
        <w:tabs>
          <w:tab w:val="num" w:pos="720"/>
        </w:tabs>
        <w:ind w:left="720" w:hanging="360"/>
      </w:pPr>
      <w:rPr>
        <w:rFonts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AC18D7"/>
    <w:multiLevelType w:val="multilevel"/>
    <w:tmpl w:val="B3041254"/>
    <w:lvl w:ilvl="0">
      <w:start w:val="4"/>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BB05025"/>
    <w:multiLevelType w:val="hybridMultilevel"/>
    <w:tmpl w:val="3D6E0292"/>
    <w:lvl w:ilvl="0" w:tplc="964C701C">
      <w:start w:val="1"/>
      <w:numFmt w:val="decimal"/>
      <w:lvlText w:val="(%1)"/>
      <w:lvlJc w:val="left"/>
      <w:pPr>
        <w:tabs>
          <w:tab w:val="num" w:pos="720"/>
        </w:tabs>
        <w:ind w:left="720" w:hanging="360"/>
      </w:pPr>
      <w:rPr>
        <w:rFonts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300738">
    <w:abstractNumId w:val="1"/>
  </w:num>
  <w:num w:numId="2" w16cid:durableId="1921281976">
    <w:abstractNumId w:val="3"/>
  </w:num>
  <w:num w:numId="3" w16cid:durableId="1292395912">
    <w:abstractNumId w:val="0"/>
  </w:num>
  <w:num w:numId="4" w16cid:durableId="188305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50177">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F7E"/>
    <w:rsid w:val="00013002"/>
    <w:rsid w:val="00022F94"/>
    <w:rsid w:val="000257FB"/>
    <w:rsid w:val="00072484"/>
    <w:rsid w:val="00076BD8"/>
    <w:rsid w:val="00086C50"/>
    <w:rsid w:val="00092EC1"/>
    <w:rsid w:val="00096612"/>
    <w:rsid w:val="000A0A78"/>
    <w:rsid w:val="000B7683"/>
    <w:rsid w:val="000E1331"/>
    <w:rsid w:val="00102934"/>
    <w:rsid w:val="00104F0D"/>
    <w:rsid w:val="00123FD5"/>
    <w:rsid w:val="00125B6D"/>
    <w:rsid w:val="00126AF2"/>
    <w:rsid w:val="00147110"/>
    <w:rsid w:val="00157EE3"/>
    <w:rsid w:val="00175BC1"/>
    <w:rsid w:val="00183EB4"/>
    <w:rsid w:val="00192936"/>
    <w:rsid w:val="001939D5"/>
    <w:rsid w:val="001A27FE"/>
    <w:rsid w:val="001B3644"/>
    <w:rsid w:val="001B3C4E"/>
    <w:rsid w:val="001C61C5"/>
    <w:rsid w:val="001D0524"/>
    <w:rsid w:val="001F032A"/>
    <w:rsid w:val="001F2C4F"/>
    <w:rsid w:val="001F3371"/>
    <w:rsid w:val="001F3685"/>
    <w:rsid w:val="001F6BEE"/>
    <w:rsid w:val="00202D10"/>
    <w:rsid w:val="002058CE"/>
    <w:rsid w:val="00207069"/>
    <w:rsid w:val="002165F1"/>
    <w:rsid w:val="00227626"/>
    <w:rsid w:val="002528C0"/>
    <w:rsid w:val="00270ED2"/>
    <w:rsid w:val="00276D21"/>
    <w:rsid w:val="00296D7F"/>
    <w:rsid w:val="002B3CF6"/>
    <w:rsid w:val="002B6CE9"/>
    <w:rsid w:val="002C1B19"/>
    <w:rsid w:val="002C768A"/>
    <w:rsid w:val="002D76C4"/>
    <w:rsid w:val="00363367"/>
    <w:rsid w:val="00363987"/>
    <w:rsid w:val="003B52FE"/>
    <w:rsid w:val="003B7D3D"/>
    <w:rsid w:val="003C27AE"/>
    <w:rsid w:val="003C79C3"/>
    <w:rsid w:val="003E6469"/>
    <w:rsid w:val="003F3F04"/>
    <w:rsid w:val="00420DFD"/>
    <w:rsid w:val="0043579D"/>
    <w:rsid w:val="00464277"/>
    <w:rsid w:val="00470E28"/>
    <w:rsid w:val="004822EF"/>
    <w:rsid w:val="004934C5"/>
    <w:rsid w:val="004A4D65"/>
    <w:rsid w:val="004A547D"/>
    <w:rsid w:val="004F0BA7"/>
    <w:rsid w:val="004F1E08"/>
    <w:rsid w:val="00533AA8"/>
    <w:rsid w:val="00546B24"/>
    <w:rsid w:val="00556548"/>
    <w:rsid w:val="00567DC0"/>
    <w:rsid w:val="00571BD5"/>
    <w:rsid w:val="00586EF8"/>
    <w:rsid w:val="00592F9F"/>
    <w:rsid w:val="00593B96"/>
    <w:rsid w:val="005B49AB"/>
    <w:rsid w:val="005B50E7"/>
    <w:rsid w:val="005B65B9"/>
    <w:rsid w:val="005E427C"/>
    <w:rsid w:val="005E6DCC"/>
    <w:rsid w:val="005E7B4F"/>
    <w:rsid w:val="005F6BBB"/>
    <w:rsid w:val="0060611D"/>
    <w:rsid w:val="00607D68"/>
    <w:rsid w:val="006149B1"/>
    <w:rsid w:val="00614CC6"/>
    <w:rsid w:val="0062077A"/>
    <w:rsid w:val="006349A0"/>
    <w:rsid w:val="00641958"/>
    <w:rsid w:val="00647E80"/>
    <w:rsid w:val="006722F0"/>
    <w:rsid w:val="006767F0"/>
    <w:rsid w:val="00680D2B"/>
    <w:rsid w:val="00681B32"/>
    <w:rsid w:val="00694D3D"/>
    <w:rsid w:val="006C2380"/>
    <w:rsid w:val="006C7827"/>
    <w:rsid w:val="006E2037"/>
    <w:rsid w:val="006F154D"/>
    <w:rsid w:val="00712870"/>
    <w:rsid w:val="00731BD8"/>
    <w:rsid w:val="00743318"/>
    <w:rsid w:val="00743D85"/>
    <w:rsid w:val="0075289C"/>
    <w:rsid w:val="00753CF4"/>
    <w:rsid w:val="007565CC"/>
    <w:rsid w:val="00756B4D"/>
    <w:rsid w:val="00763B9A"/>
    <w:rsid w:val="00776E56"/>
    <w:rsid w:val="00785733"/>
    <w:rsid w:val="007A163D"/>
    <w:rsid w:val="007A308E"/>
    <w:rsid w:val="007A6AA8"/>
    <w:rsid w:val="007B7009"/>
    <w:rsid w:val="00805315"/>
    <w:rsid w:val="0080593B"/>
    <w:rsid w:val="00830864"/>
    <w:rsid w:val="008310C9"/>
    <w:rsid w:val="00832E43"/>
    <w:rsid w:val="00837CB5"/>
    <w:rsid w:val="00865433"/>
    <w:rsid w:val="00872472"/>
    <w:rsid w:val="00874327"/>
    <w:rsid w:val="0088008F"/>
    <w:rsid w:val="00882152"/>
    <w:rsid w:val="008C354A"/>
    <w:rsid w:val="008C7848"/>
    <w:rsid w:val="00902D39"/>
    <w:rsid w:val="00917AF2"/>
    <w:rsid w:val="0092418A"/>
    <w:rsid w:val="009324B7"/>
    <w:rsid w:val="00934ED7"/>
    <w:rsid w:val="009454F8"/>
    <w:rsid w:val="009543C3"/>
    <w:rsid w:val="00957286"/>
    <w:rsid w:val="00966E1B"/>
    <w:rsid w:val="009A2A55"/>
    <w:rsid w:val="009B5551"/>
    <w:rsid w:val="009C3E07"/>
    <w:rsid w:val="009E0521"/>
    <w:rsid w:val="009F21FC"/>
    <w:rsid w:val="009F2D2C"/>
    <w:rsid w:val="009F32AC"/>
    <w:rsid w:val="009F7DEA"/>
    <w:rsid w:val="00A33721"/>
    <w:rsid w:val="00A37CEC"/>
    <w:rsid w:val="00A443C2"/>
    <w:rsid w:val="00A52DB0"/>
    <w:rsid w:val="00A5389E"/>
    <w:rsid w:val="00A6617B"/>
    <w:rsid w:val="00A71FE5"/>
    <w:rsid w:val="00A8108B"/>
    <w:rsid w:val="00A85A93"/>
    <w:rsid w:val="00A91653"/>
    <w:rsid w:val="00A92BB0"/>
    <w:rsid w:val="00AA3AD8"/>
    <w:rsid w:val="00AB0DC8"/>
    <w:rsid w:val="00AB52D1"/>
    <w:rsid w:val="00AC23A0"/>
    <w:rsid w:val="00AD267B"/>
    <w:rsid w:val="00AE7F06"/>
    <w:rsid w:val="00AF6A89"/>
    <w:rsid w:val="00B033C8"/>
    <w:rsid w:val="00B1016E"/>
    <w:rsid w:val="00B21066"/>
    <w:rsid w:val="00B33425"/>
    <w:rsid w:val="00B44E24"/>
    <w:rsid w:val="00B54ECC"/>
    <w:rsid w:val="00B60B17"/>
    <w:rsid w:val="00B672A8"/>
    <w:rsid w:val="00B714F3"/>
    <w:rsid w:val="00B750F4"/>
    <w:rsid w:val="00B85E9F"/>
    <w:rsid w:val="00B95451"/>
    <w:rsid w:val="00BA42A4"/>
    <w:rsid w:val="00BC0651"/>
    <w:rsid w:val="00BC5D77"/>
    <w:rsid w:val="00BF2F25"/>
    <w:rsid w:val="00BF487A"/>
    <w:rsid w:val="00C11F42"/>
    <w:rsid w:val="00C2085A"/>
    <w:rsid w:val="00C268B9"/>
    <w:rsid w:val="00C362C3"/>
    <w:rsid w:val="00C46BD9"/>
    <w:rsid w:val="00C55258"/>
    <w:rsid w:val="00C668C8"/>
    <w:rsid w:val="00C73560"/>
    <w:rsid w:val="00C8386C"/>
    <w:rsid w:val="00C90C5F"/>
    <w:rsid w:val="00CB0F14"/>
    <w:rsid w:val="00CD659B"/>
    <w:rsid w:val="00CD7DC8"/>
    <w:rsid w:val="00D017C0"/>
    <w:rsid w:val="00D07D53"/>
    <w:rsid w:val="00D13AEC"/>
    <w:rsid w:val="00D31EB8"/>
    <w:rsid w:val="00D35384"/>
    <w:rsid w:val="00D379F6"/>
    <w:rsid w:val="00D70C4E"/>
    <w:rsid w:val="00D869C4"/>
    <w:rsid w:val="00DA3200"/>
    <w:rsid w:val="00DB2BCD"/>
    <w:rsid w:val="00DB4B02"/>
    <w:rsid w:val="00DE5EA2"/>
    <w:rsid w:val="00DF4176"/>
    <w:rsid w:val="00DF693C"/>
    <w:rsid w:val="00E02402"/>
    <w:rsid w:val="00E17240"/>
    <w:rsid w:val="00E22C27"/>
    <w:rsid w:val="00E3273C"/>
    <w:rsid w:val="00E44C45"/>
    <w:rsid w:val="00E44CBB"/>
    <w:rsid w:val="00E55A97"/>
    <w:rsid w:val="00E611F6"/>
    <w:rsid w:val="00E73AFE"/>
    <w:rsid w:val="00E80F1D"/>
    <w:rsid w:val="00EA2B9B"/>
    <w:rsid w:val="00EA6E8E"/>
    <w:rsid w:val="00EB3BC1"/>
    <w:rsid w:val="00EC361D"/>
    <w:rsid w:val="00EE57AA"/>
    <w:rsid w:val="00EF345C"/>
    <w:rsid w:val="00F06589"/>
    <w:rsid w:val="00F228C7"/>
    <w:rsid w:val="00F30C9B"/>
    <w:rsid w:val="00F316C4"/>
    <w:rsid w:val="00F32B14"/>
    <w:rsid w:val="00F336CC"/>
    <w:rsid w:val="00F354B1"/>
    <w:rsid w:val="00F42676"/>
    <w:rsid w:val="00F50C37"/>
    <w:rsid w:val="00F54FBD"/>
    <w:rsid w:val="00F82C73"/>
    <w:rsid w:val="00FA5371"/>
    <w:rsid w:val="00FB0E4E"/>
    <w:rsid w:val="00FB5A56"/>
    <w:rsid w:val="00FE79FE"/>
    <w:rsid w:val="00FF2182"/>
    <w:rsid w:val="00FF6F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ru v:ext="edit" colors="#d62a47"/>
      <o:colormenu v:ext="edit" strokecolor="#d62a47"/>
    </o:shapedefaults>
    <o:shapelayout v:ext="edit">
      <o:idmap v:ext="edit" data="1"/>
    </o:shapelayout>
  </w:shapeDefaults>
  <w:decimalSymbol w:val="."/>
  <w:listSeparator w:val=","/>
  <w14:docId w14:val="5606ACAC"/>
  <w15:docId w15:val="{12D5A37F-0533-43FA-8978-181110F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D3D"/>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1C61C5"/>
    <w:pPr>
      <w:keepNext/>
      <w:keepLines/>
      <w:spacing w:before="480"/>
      <w:ind w:left="794" w:hanging="794"/>
      <w:outlineLvl w:val="0"/>
    </w:pPr>
    <w:rPr>
      <w:b/>
    </w:rPr>
  </w:style>
  <w:style w:type="paragraph" w:styleId="Heading2">
    <w:name w:val="heading 2"/>
    <w:basedOn w:val="Heading1"/>
    <w:next w:val="Normal"/>
    <w:link w:val="Heading2Char"/>
    <w:qFormat/>
    <w:rsid w:val="001C61C5"/>
    <w:pPr>
      <w:spacing w:before="320"/>
      <w:outlineLvl w:val="1"/>
    </w:pPr>
  </w:style>
  <w:style w:type="paragraph" w:styleId="Heading3">
    <w:name w:val="heading 3"/>
    <w:basedOn w:val="Heading1"/>
    <w:next w:val="Normal"/>
    <w:link w:val="Heading3Char"/>
    <w:qFormat/>
    <w:rsid w:val="001C61C5"/>
    <w:pPr>
      <w:spacing w:before="200"/>
      <w:outlineLvl w:val="2"/>
    </w:pPr>
  </w:style>
  <w:style w:type="paragraph" w:styleId="Heading4">
    <w:name w:val="heading 4"/>
    <w:basedOn w:val="Heading3"/>
    <w:next w:val="Normal"/>
    <w:link w:val="Heading4Char"/>
    <w:qFormat/>
    <w:rsid w:val="001C61C5"/>
    <w:pPr>
      <w:tabs>
        <w:tab w:val="clear" w:pos="794"/>
        <w:tab w:val="left" w:pos="992"/>
      </w:tabs>
      <w:ind w:left="992" w:hanging="992"/>
      <w:outlineLvl w:val="3"/>
    </w:pPr>
  </w:style>
  <w:style w:type="paragraph" w:styleId="Heading5">
    <w:name w:val="heading 5"/>
    <w:basedOn w:val="Heading4"/>
    <w:next w:val="Normal"/>
    <w:link w:val="Heading5Char"/>
    <w:qFormat/>
    <w:rsid w:val="001C61C5"/>
    <w:pPr>
      <w:outlineLvl w:val="4"/>
    </w:pPr>
  </w:style>
  <w:style w:type="paragraph" w:styleId="Heading6">
    <w:name w:val="heading 6"/>
    <w:basedOn w:val="Heading4"/>
    <w:next w:val="Normal"/>
    <w:link w:val="Heading6Char"/>
    <w:qFormat/>
    <w:rsid w:val="001C61C5"/>
    <w:pPr>
      <w:tabs>
        <w:tab w:val="clear" w:pos="992"/>
        <w:tab w:val="clear" w:pos="1191"/>
      </w:tabs>
      <w:ind w:left="1588" w:hanging="1588"/>
      <w:outlineLvl w:val="5"/>
    </w:pPr>
  </w:style>
  <w:style w:type="paragraph" w:styleId="Heading7">
    <w:name w:val="heading 7"/>
    <w:basedOn w:val="Heading6"/>
    <w:next w:val="Normal"/>
    <w:link w:val="Heading7Char"/>
    <w:qFormat/>
    <w:rsid w:val="001C61C5"/>
    <w:pPr>
      <w:outlineLvl w:val="6"/>
    </w:pPr>
  </w:style>
  <w:style w:type="paragraph" w:styleId="Heading8">
    <w:name w:val="heading 8"/>
    <w:basedOn w:val="Heading6"/>
    <w:next w:val="Normal"/>
    <w:link w:val="Heading8Char"/>
    <w:qFormat/>
    <w:rsid w:val="001C61C5"/>
    <w:pPr>
      <w:outlineLvl w:val="7"/>
    </w:pPr>
  </w:style>
  <w:style w:type="paragraph" w:styleId="Heading9">
    <w:name w:val="heading 9"/>
    <w:basedOn w:val="Heading6"/>
    <w:next w:val="Normal"/>
    <w:link w:val="Heading9Char"/>
    <w:qFormat/>
    <w:rsid w:val="001C61C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FA4"/>
    <w:rPr>
      <w:b/>
      <w:sz w:val="24"/>
      <w:lang w:val="fr-FR" w:eastAsia="en-US"/>
    </w:rPr>
  </w:style>
  <w:style w:type="character" w:customStyle="1" w:styleId="Heading2Char">
    <w:name w:val="Heading 2 Char"/>
    <w:basedOn w:val="DefaultParagraphFont"/>
    <w:link w:val="Heading2"/>
    <w:rsid w:val="00FF6FA4"/>
    <w:rPr>
      <w:b/>
      <w:sz w:val="24"/>
      <w:lang w:val="fr-FR" w:eastAsia="en-US"/>
    </w:rPr>
  </w:style>
  <w:style w:type="character" w:customStyle="1" w:styleId="Heading3Char">
    <w:name w:val="Heading 3 Char"/>
    <w:basedOn w:val="DefaultParagraphFont"/>
    <w:link w:val="Heading3"/>
    <w:rsid w:val="00FF6FA4"/>
    <w:rPr>
      <w:b/>
      <w:sz w:val="24"/>
      <w:lang w:val="fr-FR" w:eastAsia="en-US"/>
    </w:rPr>
  </w:style>
  <w:style w:type="character" w:customStyle="1" w:styleId="Heading4Char">
    <w:name w:val="Heading 4 Char"/>
    <w:basedOn w:val="DefaultParagraphFont"/>
    <w:link w:val="Heading4"/>
    <w:rsid w:val="00FF6FA4"/>
    <w:rPr>
      <w:b/>
      <w:sz w:val="24"/>
      <w:lang w:val="fr-FR" w:eastAsia="en-US"/>
    </w:rPr>
  </w:style>
  <w:style w:type="character" w:customStyle="1" w:styleId="Heading5Char">
    <w:name w:val="Heading 5 Char"/>
    <w:basedOn w:val="DefaultParagraphFont"/>
    <w:link w:val="Heading5"/>
    <w:rsid w:val="00FF6FA4"/>
    <w:rPr>
      <w:b/>
      <w:sz w:val="24"/>
      <w:lang w:val="fr-FR" w:eastAsia="en-US"/>
    </w:rPr>
  </w:style>
  <w:style w:type="character" w:customStyle="1" w:styleId="Heading6Char">
    <w:name w:val="Heading 6 Char"/>
    <w:basedOn w:val="DefaultParagraphFont"/>
    <w:link w:val="Heading6"/>
    <w:rsid w:val="00FF6FA4"/>
    <w:rPr>
      <w:b/>
      <w:sz w:val="24"/>
      <w:lang w:val="fr-FR" w:eastAsia="en-US"/>
    </w:rPr>
  </w:style>
  <w:style w:type="character" w:customStyle="1" w:styleId="Heading7Char">
    <w:name w:val="Heading 7 Char"/>
    <w:basedOn w:val="DefaultParagraphFont"/>
    <w:link w:val="Heading7"/>
    <w:rsid w:val="00FF6FA4"/>
    <w:rPr>
      <w:b/>
      <w:sz w:val="24"/>
      <w:lang w:val="fr-FR" w:eastAsia="en-US"/>
    </w:rPr>
  </w:style>
  <w:style w:type="character" w:customStyle="1" w:styleId="Heading8Char">
    <w:name w:val="Heading 8 Char"/>
    <w:basedOn w:val="DefaultParagraphFont"/>
    <w:link w:val="Heading8"/>
    <w:rsid w:val="00FF6FA4"/>
    <w:rPr>
      <w:b/>
      <w:sz w:val="24"/>
      <w:lang w:val="fr-FR" w:eastAsia="en-US"/>
    </w:rPr>
  </w:style>
  <w:style w:type="character" w:customStyle="1" w:styleId="Heading9Char">
    <w:name w:val="Heading 9 Char"/>
    <w:basedOn w:val="DefaultParagraphFont"/>
    <w:link w:val="Heading9"/>
    <w:rsid w:val="00FF6FA4"/>
    <w:rPr>
      <w:b/>
      <w:sz w:val="24"/>
      <w:lang w:val="fr-FR" w:eastAsia="en-US"/>
    </w:rPr>
  </w:style>
  <w:style w:type="paragraph" w:styleId="Footer">
    <w:name w:val="footer"/>
    <w:basedOn w:val="Normal"/>
    <w:link w:val="FooterChar"/>
    <w:rsid w:val="001C61C5"/>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FF6FA4"/>
    <w:rPr>
      <w:noProof/>
      <w:sz w:val="18"/>
      <w:lang w:val="fr-FR" w:eastAsia="en-US"/>
    </w:rPr>
  </w:style>
  <w:style w:type="character" w:styleId="PageNumber">
    <w:name w:val="page number"/>
    <w:basedOn w:val="DefaultParagraphFont"/>
    <w:rsid w:val="001C61C5"/>
  </w:style>
  <w:style w:type="paragraph" w:customStyle="1" w:styleId="Headingb">
    <w:name w:val="Heading_b"/>
    <w:basedOn w:val="Heading3"/>
    <w:next w:val="Normal"/>
    <w:rsid w:val="001C61C5"/>
    <w:pPr>
      <w:spacing w:before="160"/>
      <w:ind w:left="0" w:firstLine="0"/>
      <w:outlineLvl w:val="9"/>
    </w:pPr>
  </w:style>
  <w:style w:type="paragraph" w:customStyle="1" w:styleId="Headingi">
    <w:name w:val="Heading_i"/>
    <w:basedOn w:val="Heading3"/>
    <w:next w:val="Normal"/>
    <w:rsid w:val="001C61C5"/>
    <w:pPr>
      <w:spacing w:before="160"/>
      <w:ind w:left="0" w:firstLine="0"/>
    </w:pPr>
    <w:rPr>
      <w:b w:val="0"/>
      <w:i/>
    </w:rPr>
  </w:style>
  <w:style w:type="character" w:customStyle="1" w:styleId="href">
    <w:name w:val="href"/>
    <w:basedOn w:val="DefaultParagraphFont"/>
    <w:rsid w:val="001C61C5"/>
  </w:style>
  <w:style w:type="paragraph" w:customStyle="1" w:styleId="AnnexNoTitle">
    <w:name w:val="Annex_NoTitle"/>
    <w:basedOn w:val="Normal"/>
    <w:next w:val="Normalaftertitle"/>
    <w:rsid w:val="00694D3D"/>
    <w:pPr>
      <w:keepNext/>
      <w:keepLines/>
      <w:spacing w:before="480" w:after="80"/>
      <w:jc w:val="center"/>
      <w:outlineLvl w:val="0"/>
    </w:pPr>
    <w:rPr>
      <w:b/>
      <w:sz w:val="28"/>
    </w:rPr>
  </w:style>
  <w:style w:type="paragraph" w:customStyle="1" w:styleId="Normalaftertitle">
    <w:name w:val="Normal_after_title"/>
    <w:basedOn w:val="Normal"/>
    <w:next w:val="Normal"/>
    <w:rsid w:val="001C61C5"/>
    <w:pPr>
      <w:spacing w:before="320"/>
    </w:pPr>
  </w:style>
  <w:style w:type="paragraph" w:customStyle="1" w:styleId="enumlev2">
    <w:name w:val="enumlev2"/>
    <w:basedOn w:val="enumlev1"/>
    <w:rsid w:val="001C61C5"/>
    <w:pPr>
      <w:ind w:left="1191" w:hanging="397"/>
    </w:pPr>
  </w:style>
  <w:style w:type="paragraph" w:customStyle="1" w:styleId="enumlev1">
    <w:name w:val="enumlev1"/>
    <w:basedOn w:val="Normal"/>
    <w:rsid w:val="001C61C5"/>
    <w:pPr>
      <w:spacing w:before="80"/>
      <w:ind w:left="794" w:hanging="794"/>
    </w:pPr>
  </w:style>
  <w:style w:type="paragraph" w:customStyle="1" w:styleId="enumlev3">
    <w:name w:val="enumlev3"/>
    <w:basedOn w:val="enumlev2"/>
    <w:rsid w:val="001C61C5"/>
    <w:pPr>
      <w:ind w:left="1588"/>
    </w:pPr>
  </w:style>
  <w:style w:type="paragraph" w:customStyle="1" w:styleId="Note">
    <w:name w:val="Note"/>
    <w:basedOn w:val="Normal"/>
    <w:rsid w:val="001C61C5"/>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1C61C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1C61C5"/>
    <w:pPr>
      <w:keepNext/>
      <w:keepLines/>
      <w:spacing w:before="240"/>
      <w:jc w:val="center"/>
    </w:pPr>
    <w:rPr>
      <w:b/>
      <w:sz w:val="28"/>
    </w:rPr>
  </w:style>
  <w:style w:type="paragraph" w:customStyle="1" w:styleId="Recref">
    <w:name w:val="Rec_ref"/>
    <w:basedOn w:val="Normal"/>
    <w:next w:val="Recdate"/>
    <w:rsid w:val="001C61C5"/>
    <w:pPr>
      <w:jc w:val="center"/>
    </w:pPr>
  </w:style>
  <w:style w:type="paragraph" w:customStyle="1" w:styleId="Recdate">
    <w:name w:val="Rec_date"/>
    <w:basedOn w:val="Recref"/>
    <w:next w:val="Normalaftertitle"/>
    <w:rsid w:val="001C61C5"/>
    <w:pPr>
      <w:jc w:val="right"/>
    </w:pPr>
  </w:style>
  <w:style w:type="paragraph" w:customStyle="1" w:styleId="HeadingSum">
    <w:name w:val="Heading_Sum"/>
    <w:basedOn w:val="Headingb"/>
    <w:next w:val="Normal"/>
    <w:rsid w:val="001C61C5"/>
    <w:pPr>
      <w:spacing w:before="240"/>
    </w:pPr>
    <w:rPr>
      <w:sz w:val="22"/>
      <w:lang w:val="es-ES_tradnl"/>
    </w:rPr>
  </w:style>
  <w:style w:type="paragraph" w:customStyle="1" w:styleId="AppendixNoTitle">
    <w:name w:val="Appendix_NoTitle"/>
    <w:basedOn w:val="AnnexNoTitle"/>
    <w:next w:val="Normal"/>
    <w:rsid w:val="001C61C5"/>
  </w:style>
  <w:style w:type="paragraph" w:customStyle="1" w:styleId="Tablefin">
    <w:name w:val="Table_fin"/>
    <w:basedOn w:val="Normal"/>
    <w:next w:val="Normal"/>
    <w:rsid w:val="001C61C5"/>
    <w:pPr>
      <w:spacing w:before="0"/>
    </w:pPr>
    <w:rPr>
      <w:sz w:val="20"/>
      <w:lang w:val="en-GB"/>
    </w:rPr>
  </w:style>
  <w:style w:type="paragraph" w:customStyle="1" w:styleId="Tablehead">
    <w:name w:val="Table_head"/>
    <w:basedOn w:val="Normal"/>
    <w:next w:val="Normal"/>
    <w:rsid w:val="001C61C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C61C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1C61C5"/>
    <w:pPr>
      <w:keepNext/>
      <w:spacing w:before="360" w:after="120"/>
      <w:jc w:val="center"/>
    </w:pPr>
  </w:style>
  <w:style w:type="paragraph" w:customStyle="1" w:styleId="Tabletext">
    <w:name w:val="Table_text"/>
    <w:basedOn w:val="Normal"/>
    <w:rsid w:val="001C61C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1C61C5"/>
    <w:pPr>
      <w:tabs>
        <w:tab w:val="clear" w:pos="1191"/>
        <w:tab w:val="clear" w:pos="1588"/>
        <w:tab w:val="clear" w:pos="1985"/>
        <w:tab w:val="center" w:pos="4820"/>
        <w:tab w:val="right" w:pos="9639"/>
      </w:tabs>
    </w:pPr>
  </w:style>
  <w:style w:type="paragraph" w:customStyle="1" w:styleId="Equationlegend">
    <w:name w:val="Equation_legend"/>
    <w:basedOn w:val="NormalIndent"/>
    <w:rsid w:val="001C61C5"/>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1C61C5"/>
    <w:pPr>
      <w:ind w:left="794"/>
    </w:pPr>
  </w:style>
  <w:style w:type="paragraph" w:customStyle="1" w:styleId="Figurelegend">
    <w:name w:val="Figure_legend"/>
    <w:basedOn w:val="Normal"/>
    <w:rsid w:val="001C61C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C61C5"/>
    <w:pPr>
      <w:keepNext/>
      <w:keepLines/>
      <w:spacing w:before="480" w:after="80"/>
      <w:jc w:val="center"/>
    </w:pPr>
    <w:rPr>
      <w:caps/>
      <w:sz w:val="18"/>
    </w:rPr>
  </w:style>
  <w:style w:type="paragraph" w:customStyle="1" w:styleId="Figuretitle">
    <w:name w:val="Figure_title"/>
    <w:basedOn w:val="Normal"/>
    <w:next w:val="Figure"/>
    <w:rsid w:val="001C61C5"/>
    <w:pPr>
      <w:keepNext/>
      <w:spacing w:before="0" w:after="120"/>
      <w:jc w:val="center"/>
    </w:pPr>
    <w:rPr>
      <w:rFonts w:ascii="Times New Roman Bold" w:hAnsi="Times New Roman Bold"/>
      <w:b/>
      <w:sz w:val="18"/>
    </w:rPr>
  </w:style>
  <w:style w:type="paragraph" w:customStyle="1" w:styleId="Figure">
    <w:name w:val="Figure"/>
    <w:basedOn w:val="FigureNo"/>
    <w:next w:val="Normal"/>
    <w:rsid w:val="001C61C5"/>
    <w:pPr>
      <w:keepNext w:val="0"/>
      <w:spacing w:before="0" w:after="240"/>
    </w:pPr>
  </w:style>
  <w:style w:type="paragraph" w:customStyle="1" w:styleId="tocpart">
    <w:name w:val="tocpart"/>
    <w:basedOn w:val="Normal"/>
    <w:rsid w:val="001C61C5"/>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1C61C5"/>
    <w:pPr>
      <w:keepNext/>
      <w:keepLines/>
      <w:spacing w:before="480"/>
      <w:jc w:val="center"/>
    </w:pPr>
    <w:rPr>
      <w:sz w:val="28"/>
    </w:rPr>
  </w:style>
  <w:style w:type="paragraph" w:customStyle="1" w:styleId="Arttitle">
    <w:name w:val="Art_title"/>
    <w:basedOn w:val="Normal"/>
    <w:next w:val="Normalaftertitle"/>
    <w:rsid w:val="001C61C5"/>
    <w:pPr>
      <w:keepNext/>
      <w:keepLines/>
      <w:spacing w:before="240"/>
      <w:jc w:val="center"/>
    </w:pPr>
    <w:rPr>
      <w:b/>
      <w:sz w:val="28"/>
    </w:rPr>
  </w:style>
  <w:style w:type="paragraph" w:customStyle="1" w:styleId="Blanc">
    <w:name w:val="Blanc"/>
    <w:basedOn w:val="Normal"/>
    <w:next w:val="Tabletext"/>
    <w:rsid w:val="001C61C5"/>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1C61C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1C61C5"/>
    <w:pPr>
      <w:keepNext/>
      <w:keepLines/>
      <w:spacing w:before="160"/>
      <w:ind w:left="794"/>
    </w:pPr>
    <w:rPr>
      <w:i/>
    </w:rPr>
  </w:style>
  <w:style w:type="paragraph" w:customStyle="1" w:styleId="ChapNo">
    <w:name w:val="Chap_No"/>
    <w:basedOn w:val="ArtNo"/>
    <w:next w:val="Chaptitle"/>
    <w:rsid w:val="001C61C5"/>
    <w:rPr>
      <w:b/>
    </w:rPr>
  </w:style>
  <w:style w:type="paragraph" w:customStyle="1" w:styleId="Chaptitle">
    <w:name w:val="Chap_title"/>
    <w:basedOn w:val="Arttitle"/>
    <w:next w:val="Normalaftertitle"/>
    <w:rsid w:val="001C61C5"/>
  </w:style>
  <w:style w:type="character" w:styleId="FootnoteReference">
    <w:name w:val="footnote reference"/>
    <w:basedOn w:val="DefaultParagraphFont"/>
    <w:rsid w:val="001C61C5"/>
    <w:rPr>
      <w:position w:val="6"/>
      <w:sz w:val="18"/>
    </w:rPr>
  </w:style>
  <w:style w:type="paragraph" w:styleId="FootnoteText">
    <w:name w:val="footnote text"/>
    <w:basedOn w:val="Normal"/>
    <w:link w:val="FootnoteTextChar"/>
    <w:rsid w:val="001C61C5"/>
    <w:pPr>
      <w:keepLines/>
      <w:tabs>
        <w:tab w:val="left" w:pos="255"/>
      </w:tabs>
      <w:ind w:left="255" w:hanging="255"/>
    </w:pPr>
    <w:rPr>
      <w:sz w:val="22"/>
    </w:rPr>
  </w:style>
  <w:style w:type="character" w:customStyle="1" w:styleId="FootnoteTextChar">
    <w:name w:val="Footnote Text Char"/>
    <w:basedOn w:val="DefaultParagraphFont"/>
    <w:link w:val="FootnoteText"/>
    <w:rsid w:val="00FF6FA4"/>
    <w:rPr>
      <w:sz w:val="22"/>
      <w:lang w:val="fr-FR" w:eastAsia="en-US"/>
    </w:rPr>
  </w:style>
  <w:style w:type="paragraph" w:styleId="Index1">
    <w:name w:val="index 1"/>
    <w:basedOn w:val="Normal"/>
    <w:next w:val="Normal"/>
    <w:rsid w:val="001C61C5"/>
  </w:style>
  <w:style w:type="paragraph" w:styleId="Index2">
    <w:name w:val="index 2"/>
    <w:basedOn w:val="Normal"/>
    <w:next w:val="Normal"/>
    <w:rsid w:val="001C61C5"/>
    <w:pPr>
      <w:ind w:left="283"/>
    </w:pPr>
  </w:style>
  <w:style w:type="paragraph" w:styleId="Index3">
    <w:name w:val="index 3"/>
    <w:basedOn w:val="Normal"/>
    <w:next w:val="Normal"/>
    <w:rsid w:val="001C61C5"/>
    <w:pPr>
      <w:ind w:left="566"/>
    </w:pPr>
  </w:style>
  <w:style w:type="paragraph" w:styleId="IndexHeading">
    <w:name w:val="index heading"/>
    <w:basedOn w:val="Normal"/>
    <w:next w:val="Index1"/>
    <w:rsid w:val="001C61C5"/>
  </w:style>
  <w:style w:type="paragraph" w:customStyle="1" w:styleId="Line">
    <w:name w:val="Line"/>
    <w:basedOn w:val="Normal"/>
    <w:next w:val="Normal"/>
    <w:rsid w:val="001C61C5"/>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1C61C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1C61C5"/>
  </w:style>
  <w:style w:type="paragraph" w:customStyle="1" w:styleId="Partref">
    <w:name w:val="Part_ref"/>
    <w:basedOn w:val="Normal"/>
    <w:next w:val="Normal"/>
    <w:rsid w:val="001C61C5"/>
    <w:pPr>
      <w:keepNext/>
      <w:keepLines/>
      <w:spacing w:after="280"/>
      <w:jc w:val="center"/>
    </w:pPr>
  </w:style>
  <w:style w:type="paragraph" w:customStyle="1" w:styleId="Parttitle">
    <w:name w:val="Part_title"/>
    <w:basedOn w:val="Normal"/>
    <w:next w:val="Normalaftertitle"/>
    <w:rsid w:val="001C61C5"/>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1C61C5"/>
  </w:style>
  <w:style w:type="paragraph" w:customStyle="1" w:styleId="QuestionNo">
    <w:name w:val="Question_No"/>
    <w:basedOn w:val="RecNo"/>
    <w:next w:val="Normal"/>
    <w:rsid w:val="001C61C5"/>
  </w:style>
  <w:style w:type="paragraph" w:customStyle="1" w:styleId="Questionref">
    <w:name w:val="Question_ref"/>
    <w:basedOn w:val="Recref"/>
    <w:next w:val="Questiondate"/>
    <w:rsid w:val="001C61C5"/>
  </w:style>
  <w:style w:type="paragraph" w:customStyle="1" w:styleId="Questiontitle">
    <w:name w:val="Question_title"/>
    <w:basedOn w:val="Normal"/>
    <w:next w:val="Questionref"/>
    <w:rsid w:val="001C61C5"/>
  </w:style>
  <w:style w:type="paragraph" w:customStyle="1" w:styleId="Reftext">
    <w:name w:val="Ref_text"/>
    <w:basedOn w:val="Normal"/>
    <w:rsid w:val="001C61C5"/>
    <w:pPr>
      <w:ind w:left="794" w:hanging="794"/>
    </w:pPr>
    <w:rPr>
      <w:sz w:val="22"/>
    </w:rPr>
  </w:style>
  <w:style w:type="paragraph" w:customStyle="1" w:styleId="Reftitle">
    <w:name w:val="Ref_title"/>
    <w:basedOn w:val="Normal"/>
    <w:next w:val="Reftext"/>
    <w:rsid w:val="001C61C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1C61C5"/>
  </w:style>
  <w:style w:type="paragraph" w:customStyle="1" w:styleId="RepNo">
    <w:name w:val="Rep_No"/>
    <w:basedOn w:val="RecNo"/>
    <w:next w:val="Reptitle"/>
    <w:rsid w:val="001C61C5"/>
  </w:style>
  <w:style w:type="paragraph" w:customStyle="1" w:styleId="Reptitle">
    <w:name w:val="Rep_title"/>
    <w:basedOn w:val="Rectitle"/>
    <w:next w:val="Repref"/>
    <w:rsid w:val="001C61C5"/>
  </w:style>
  <w:style w:type="paragraph" w:customStyle="1" w:styleId="Repref">
    <w:name w:val="Rep_ref"/>
    <w:basedOn w:val="Recref"/>
    <w:next w:val="Repdate"/>
    <w:rsid w:val="001C61C5"/>
  </w:style>
  <w:style w:type="paragraph" w:customStyle="1" w:styleId="Resdate">
    <w:name w:val="Res_date"/>
    <w:basedOn w:val="Recdate"/>
    <w:next w:val="Normalaftertitle"/>
    <w:rsid w:val="001C61C5"/>
  </w:style>
  <w:style w:type="paragraph" w:customStyle="1" w:styleId="ResNo">
    <w:name w:val="Res_No"/>
    <w:basedOn w:val="RecNo"/>
    <w:next w:val="Restitle"/>
    <w:rsid w:val="001C61C5"/>
  </w:style>
  <w:style w:type="paragraph" w:customStyle="1" w:styleId="Restitle">
    <w:name w:val="Res_title"/>
    <w:basedOn w:val="Normal"/>
    <w:next w:val="Resref"/>
    <w:rsid w:val="001C61C5"/>
    <w:pPr>
      <w:spacing w:before="240"/>
      <w:jc w:val="center"/>
    </w:pPr>
    <w:rPr>
      <w:b/>
      <w:sz w:val="28"/>
    </w:rPr>
  </w:style>
  <w:style w:type="paragraph" w:customStyle="1" w:styleId="Resref">
    <w:name w:val="Res_ref"/>
    <w:basedOn w:val="Recref"/>
    <w:next w:val="Resdate"/>
    <w:rsid w:val="001C61C5"/>
  </w:style>
  <w:style w:type="paragraph" w:customStyle="1" w:styleId="SectionNo">
    <w:name w:val="Section_No"/>
    <w:basedOn w:val="Normal"/>
    <w:next w:val="Normal"/>
    <w:rsid w:val="001C61C5"/>
  </w:style>
  <w:style w:type="paragraph" w:customStyle="1" w:styleId="Sectiontitle">
    <w:name w:val="Section_title"/>
    <w:basedOn w:val="Normal"/>
    <w:next w:val="Normalaftertitle"/>
    <w:rsid w:val="001C61C5"/>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1C61C5"/>
    <w:pPr>
      <w:tabs>
        <w:tab w:val="clear" w:pos="794"/>
        <w:tab w:val="clear" w:pos="1191"/>
        <w:tab w:val="clear" w:pos="1588"/>
        <w:tab w:val="clear" w:pos="1985"/>
        <w:tab w:val="right" w:pos="9611"/>
      </w:tabs>
    </w:pPr>
    <w:rPr>
      <w:i/>
    </w:rPr>
  </w:style>
  <w:style w:type="paragraph" w:styleId="TOC1">
    <w:name w:val="toc 1"/>
    <w:basedOn w:val="Normal"/>
    <w:rsid w:val="001C61C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1C61C5"/>
    <w:pPr>
      <w:tabs>
        <w:tab w:val="clear" w:pos="567"/>
        <w:tab w:val="left" w:pos="1276"/>
      </w:tabs>
      <w:spacing w:before="160"/>
      <w:ind w:left="1276" w:hanging="709"/>
    </w:pPr>
  </w:style>
  <w:style w:type="paragraph" w:styleId="TOC3">
    <w:name w:val="toc 3"/>
    <w:basedOn w:val="TOC2"/>
    <w:rsid w:val="001C61C5"/>
    <w:pPr>
      <w:tabs>
        <w:tab w:val="clear" w:pos="1276"/>
        <w:tab w:val="left" w:pos="2155"/>
      </w:tabs>
      <w:ind w:left="2155" w:hanging="879"/>
    </w:pPr>
  </w:style>
  <w:style w:type="paragraph" w:styleId="TOC4">
    <w:name w:val="toc 4"/>
    <w:basedOn w:val="TOC3"/>
    <w:rsid w:val="001C61C5"/>
    <w:pPr>
      <w:tabs>
        <w:tab w:val="left" w:pos="3261"/>
      </w:tabs>
      <w:spacing w:before="80"/>
      <w:ind w:left="3261" w:hanging="993"/>
    </w:pPr>
  </w:style>
  <w:style w:type="paragraph" w:styleId="TOC5">
    <w:name w:val="toc 5"/>
    <w:basedOn w:val="TOC4"/>
    <w:rsid w:val="001C61C5"/>
  </w:style>
  <w:style w:type="paragraph" w:styleId="TOC6">
    <w:name w:val="toc 6"/>
    <w:basedOn w:val="TOC4"/>
    <w:rsid w:val="001C61C5"/>
  </w:style>
  <w:style w:type="paragraph" w:styleId="TOC7">
    <w:name w:val="toc 7"/>
    <w:basedOn w:val="TOC4"/>
    <w:rsid w:val="001C61C5"/>
  </w:style>
  <w:style w:type="paragraph" w:styleId="TOC8">
    <w:name w:val="toc 8"/>
    <w:basedOn w:val="TOC4"/>
    <w:rsid w:val="001C61C5"/>
  </w:style>
  <w:style w:type="paragraph" w:customStyle="1" w:styleId="Annexref">
    <w:name w:val="Annex_ref"/>
    <w:basedOn w:val="Normal"/>
    <w:next w:val="Normalaftertitle"/>
    <w:rsid w:val="001C61C5"/>
    <w:pPr>
      <w:keepNext/>
      <w:keepLines/>
      <w:spacing w:after="280"/>
      <w:jc w:val="center"/>
    </w:pPr>
  </w:style>
  <w:style w:type="paragraph" w:customStyle="1" w:styleId="Appendixref">
    <w:name w:val="Appendix_ref"/>
    <w:basedOn w:val="Annexref"/>
    <w:next w:val="Normalaftertitle"/>
    <w:rsid w:val="001C61C5"/>
  </w:style>
  <w:style w:type="paragraph" w:customStyle="1" w:styleId="Tabletitle">
    <w:name w:val="Table_title"/>
    <w:basedOn w:val="Normal"/>
    <w:next w:val="Tablehead"/>
    <w:rsid w:val="001C61C5"/>
    <w:pPr>
      <w:keepNext/>
      <w:spacing w:before="0" w:after="120"/>
      <w:jc w:val="center"/>
    </w:pPr>
    <w:rPr>
      <w:b/>
    </w:rPr>
  </w:style>
  <w:style w:type="paragraph" w:customStyle="1" w:styleId="Summary">
    <w:name w:val="Summary"/>
    <w:basedOn w:val="Normal"/>
    <w:next w:val="Normalaftertitle"/>
    <w:rsid w:val="001C61C5"/>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1C61C5"/>
    <w:pPr>
      <w:ind w:left="-85" w:firstLine="0"/>
    </w:pPr>
    <w:rPr>
      <w:lang w:val="en-US"/>
    </w:rPr>
  </w:style>
  <w:style w:type="paragraph" w:customStyle="1" w:styleId="TableNotitle">
    <w:name w:val="Table_No &amp; title"/>
    <w:basedOn w:val="Normal"/>
    <w:next w:val="Tablehead"/>
    <w:rsid w:val="00FF6FA4"/>
    <w:pPr>
      <w:keepNext/>
      <w:keepLines/>
      <w:spacing w:before="360" w:after="120"/>
      <w:jc w:val="center"/>
    </w:pPr>
    <w:rPr>
      <w:b/>
    </w:rPr>
  </w:style>
  <w:style w:type="paragraph" w:customStyle="1" w:styleId="headfoot">
    <w:name w:val="head_foot"/>
    <w:basedOn w:val="Normal"/>
    <w:next w:val="Normal"/>
    <w:rsid w:val="00FF6FA4"/>
    <w:pPr>
      <w:tabs>
        <w:tab w:val="clear" w:pos="794"/>
        <w:tab w:val="clear" w:pos="1191"/>
        <w:tab w:val="clear" w:pos="1588"/>
        <w:tab w:val="clear" w:pos="1985"/>
      </w:tabs>
      <w:spacing w:before="0"/>
      <w:jc w:val="left"/>
    </w:pPr>
    <w:rPr>
      <w:b/>
      <w:color w:val="FFFFFF"/>
      <w:sz w:val="8"/>
    </w:rPr>
  </w:style>
  <w:style w:type="paragraph" w:styleId="Header">
    <w:name w:val="header"/>
    <w:aliases w:val="encabezado"/>
    <w:basedOn w:val="Normal"/>
    <w:link w:val="HeaderChar"/>
    <w:rsid w:val="001C61C5"/>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rsid w:val="001C61C5"/>
    <w:rPr>
      <w:sz w:val="24"/>
      <w:lang w:val="fr-FR" w:eastAsia="en-US"/>
    </w:rPr>
  </w:style>
  <w:style w:type="paragraph" w:customStyle="1" w:styleId="Reasons">
    <w:name w:val="Reasons"/>
    <w:basedOn w:val="Normal"/>
    <w:qFormat/>
    <w:rsid w:val="00F06589"/>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FollowedHyperlink">
    <w:name w:val="FollowedHyperlink"/>
    <w:basedOn w:val="DefaultParagraphFont"/>
    <w:uiPriority w:val="99"/>
    <w:semiHidden/>
    <w:unhideWhenUsed/>
    <w:rsid w:val="00092EC1"/>
    <w:rPr>
      <w:color w:val="800080" w:themeColor="followedHyperlink"/>
      <w:u w:val="single"/>
    </w:rPr>
  </w:style>
  <w:style w:type="character" w:styleId="UnresolvedMention">
    <w:name w:val="Unresolved Mention"/>
    <w:basedOn w:val="DefaultParagraphFont"/>
    <w:uiPriority w:val="99"/>
    <w:semiHidden/>
    <w:unhideWhenUsed/>
    <w:rsid w:val="00092EC1"/>
    <w:rPr>
      <w:color w:val="605E5C"/>
      <w:shd w:val="clear" w:color="auto" w:fill="E1DFDD"/>
    </w:rPr>
  </w:style>
  <w:style w:type="paragraph" w:styleId="Revision">
    <w:name w:val="Revision"/>
    <w:hidden/>
    <w:uiPriority w:val="99"/>
    <w:semiHidden/>
    <w:rsid w:val="00E22C27"/>
    <w:rPr>
      <w:sz w:val="24"/>
      <w:lang w:val="fr-FR" w:eastAsia="en-US"/>
    </w:rPr>
  </w:style>
  <w:style w:type="paragraph" w:customStyle="1" w:styleId="CoverNumber">
    <w:name w:val="Cover Number"/>
    <w:basedOn w:val="Normal"/>
    <w:qFormat/>
    <w:rsid w:val="00E22C27"/>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E22C27"/>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E22C27"/>
    <w:pPr>
      <w:widowControl w:val="0"/>
      <w:tabs>
        <w:tab w:val="clear" w:pos="794"/>
        <w:tab w:val="clear" w:pos="1191"/>
        <w:tab w:val="clear" w:pos="1588"/>
        <w:tab w:val="clear" w:pos="1985"/>
      </w:tabs>
      <w:overflowPunct/>
      <w:adjustRightInd/>
      <w:spacing w:before="241" w:line="242"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E22C27"/>
    <w:pPr>
      <w:widowControl w:val="0"/>
      <w:tabs>
        <w:tab w:val="clear" w:pos="794"/>
        <w:tab w:val="clear" w:pos="1191"/>
        <w:tab w:val="clear" w:pos="1588"/>
        <w:tab w:val="clear" w:pos="1985"/>
      </w:tabs>
      <w:overflowPunct/>
      <w:adjustRightInd/>
      <w:spacing w:before="338" w:line="242" w:lineRule="auto"/>
      <w:ind w:left="284" w:right="1002"/>
      <w:jc w:val="left"/>
      <w:textAlignment w:val="auto"/>
    </w:pPr>
    <w:rPr>
      <w:rFonts w:ascii="Arial" w:eastAsia="AvenirNext LT Pro Regular" w:hAnsi="Arial" w:cs="AvenirNext LT Pro Regular"/>
      <w:b/>
      <w:bCs/>
      <w:sz w:val="44"/>
      <w:szCs w:val="48"/>
      <w:lang w:val="en-US"/>
    </w:rPr>
  </w:style>
  <w:style w:type="table" w:styleId="TableGrid">
    <w:name w:val="Table Grid"/>
    <w:basedOn w:val="TableNormal"/>
    <w:qFormat/>
    <w:rsid w:val="00E2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58736">
      <w:bodyDiv w:val="1"/>
      <w:marLeft w:val="0"/>
      <w:marRight w:val="0"/>
      <w:marTop w:val="0"/>
      <w:marBottom w:val="0"/>
      <w:divBdr>
        <w:top w:val="none" w:sz="0" w:space="0" w:color="auto"/>
        <w:left w:val="none" w:sz="0" w:space="0" w:color="auto"/>
        <w:bottom w:val="none" w:sz="0" w:space="0" w:color="auto"/>
        <w:right w:val="none" w:sz="0" w:space="0" w:color="auto"/>
      </w:divBdr>
    </w:div>
    <w:div w:id="602539523">
      <w:bodyDiv w:val="1"/>
      <w:marLeft w:val="0"/>
      <w:marRight w:val="0"/>
      <w:marTop w:val="0"/>
      <w:marBottom w:val="0"/>
      <w:divBdr>
        <w:top w:val="none" w:sz="0" w:space="0" w:color="auto"/>
        <w:left w:val="none" w:sz="0" w:space="0" w:color="auto"/>
        <w:bottom w:val="none" w:sz="0" w:space="0" w:color="auto"/>
        <w:right w:val="none" w:sz="0" w:space="0" w:color="auto"/>
      </w:divBdr>
    </w:div>
    <w:div w:id="848563788">
      <w:bodyDiv w:val="1"/>
      <w:marLeft w:val="0"/>
      <w:marRight w:val="0"/>
      <w:marTop w:val="0"/>
      <w:marBottom w:val="0"/>
      <w:divBdr>
        <w:top w:val="none" w:sz="0" w:space="0" w:color="auto"/>
        <w:left w:val="none" w:sz="0" w:space="0" w:color="auto"/>
        <w:bottom w:val="none" w:sz="0" w:space="0" w:color="auto"/>
        <w:right w:val="none" w:sz="0" w:space="0" w:color="auto"/>
      </w:divBdr>
    </w:div>
    <w:div w:id="1416200061">
      <w:bodyDiv w:val="1"/>
      <w:marLeft w:val="0"/>
      <w:marRight w:val="0"/>
      <w:marTop w:val="0"/>
      <w:marBottom w:val="0"/>
      <w:divBdr>
        <w:top w:val="none" w:sz="0" w:space="0" w:color="auto"/>
        <w:left w:val="none" w:sz="0" w:space="0" w:color="auto"/>
        <w:bottom w:val="none" w:sz="0" w:space="0" w:color="auto"/>
        <w:right w:val="none" w:sz="0" w:space="0" w:color="auto"/>
      </w:divBdr>
    </w:div>
    <w:div w:id="178634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patents/en" TargetMode="Externa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tu.int/rec/R-REC-RS.1165/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rec/R-REC-SA.1021/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itu.int/rec/R-REC-RS.1165/fr" TargetMode="Externa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www.itu.int/pub/R-REC/fr" TargetMode="External"/><Relationship Id="rId14" Type="http://schemas.openxmlformats.org/officeDocument/2006/relationships/hyperlink" Target="http://www.itu.int/rec/R-REC-P.528/fr" TargetMode="Externa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by\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BA12-521F-4005-BBA4-685F5104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15</TotalTime>
  <Pages>16</Pages>
  <Words>4467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RECOMMANDATION  UIT-R  RS.1263-1 - Critères de brouillage applicables au service des auxiliaires de la météorologie dans les bandes 400,15-406 MHz et 1 668,4-1 700 MHz</vt:lpstr>
    </vt:vector>
  </TitlesOfParts>
  <Manager/>
  <Company>ITU</Company>
  <LinksUpToDate>false</LinksUpToDate>
  <CharactersWithSpaces>28790</CharactersWithSpaces>
  <SharedDoc>false</SharedDoc>
  <HLinks>
    <vt:vector size="12" baseType="variant">
      <vt:variant>
        <vt:i4>131159</vt:i4>
      </vt:variant>
      <vt:variant>
        <vt:i4>3</vt:i4>
      </vt:variant>
      <vt:variant>
        <vt:i4>0</vt:i4>
      </vt:variant>
      <vt:variant>
        <vt:i4>5</vt:i4>
      </vt:variant>
      <vt:variant>
        <vt:lpwstr>http://www.itu.int/publ/R-REC/fr</vt:lpwstr>
      </vt:variant>
      <vt:variant>
        <vt:lpwstr/>
      </vt:variant>
      <vt:variant>
        <vt:i4>2162733</vt:i4>
      </vt:variant>
      <vt:variant>
        <vt:i4>0</vt:i4>
      </vt:variant>
      <vt:variant>
        <vt:i4>0</vt:i4>
      </vt:variant>
      <vt:variant>
        <vt:i4>5</vt:i4>
      </vt:variant>
      <vt:variant>
        <vt:lpwstr>http://www.itu.int/ITU-R/go/patents/fr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RS.1263-3 - Critères de brouillage applicables au service des auxiliaires de la météorologie dans les bandes 400,15 406 MHz et 1 668,4-1 700 MHz</dc:title>
  <dc:subject/>
  <dc:creator>Bureau des radiocommunications de l'UIT (BR)</dc:creator>
  <cp:keywords>RS,1263-3</cp:keywords>
  <dc:description/>
  <cp:lastModifiedBy>Gachet, Christelle</cp:lastModifiedBy>
  <cp:revision>5</cp:revision>
  <cp:lastPrinted>2019-03-18T09:29:00Z</cp:lastPrinted>
  <dcterms:created xsi:type="dcterms:W3CDTF">2024-10-15T09:07:00Z</dcterms:created>
  <dcterms:modified xsi:type="dcterms:W3CDTF">2024-10-15T09:20:00Z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French</vt:lpwstr>
  </property>
  <property fmtid="{D5CDD505-2E9C-101B-9397-08002B2CF9AE}" pid="10" name="Typist">
    <vt:lpwstr>Soby</vt:lpwstr>
  </property>
  <property fmtid="{D5CDD505-2E9C-101B-9397-08002B2CF9AE}" pid="11" name="Date completed">
    <vt:lpwstr>lundi, 4. avril 2011</vt:lpwstr>
  </property>
</Properties>
</file>