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371237"/>
    <w:p w:rsidR="00371237" w:rsidRPr="00575CB8" w:rsidRDefault="00371237" w:rsidP="00371237">
      <w:pPr>
        <w:rPr>
          <w:lang w:val="en-US"/>
        </w:rPr>
      </w:pPr>
      <w:bookmarkStart w:id="0" w:name="dbreak"/>
      <w:bookmarkEnd w:id="0"/>
    </w:p>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p w:rsidR="00371237" w:rsidRDefault="00371237" w:rsidP="00371237"/>
    <w:tbl>
      <w:tblPr>
        <w:tblW w:w="10089" w:type="dxa"/>
        <w:tblLook w:val="01E0" w:firstRow="1" w:lastRow="1" w:firstColumn="1" w:lastColumn="1" w:noHBand="0" w:noVBand="0"/>
      </w:tblPr>
      <w:tblGrid>
        <w:gridCol w:w="10089"/>
      </w:tblGrid>
      <w:tr w:rsidR="00371237" w:rsidRPr="00371237" w:rsidTr="009A5133">
        <w:tc>
          <w:tcPr>
            <w:tcW w:w="10089" w:type="dxa"/>
          </w:tcPr>
          <w:p w:rsidR="00371237" w:rsidRPr="0010336F" w:rsidRDefault="00371237" w:rsidP="009A5133">
            <w:pPr>
              <w:spacing w:before="380" w:line="280" w:lineRule="exact"/>
              <w:jc w:val="right"/>
              <w:rPr>
                <w:rFonts w:ascii="Tahoma" w:hAnsi="Tahoma" w:cs="Tahoma"/>
                <w:b/>
                <w:bCs/>
                <w:iCs/>
                <w:color w:val="243285"/>
                <w:sz w:val="32"/>
                <w:szCs w:val="32"/>
                <w:lang w:val="en-US"/>
              </w:rPr>
            </w:pPr>
          </w:p>
          <w:p w:rsidR="00371237" w:rsidRPr="0010336F" w:rsidRDefault="00371237" w:rsidP="0037123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RS</w:t>
            </w:r>
            <w:r w:rsidRPr="0010336F">
              <w:rPr>
                <w:rFonts w:ascii="Tahoma" w:hAnsi="Tahoma" w:cs="Tahoma"/>
                <w:b/>
                <w:bCs/>
                <w:iCs/>
                <w:color w:val="243285"/>
                <w:sz w:val="36"/>
                <w:szCs w:val="36"/>
                <w:lang w:val="es-ES_tradnl"/>
              </w:rPr>
              <w:t>.</w:t>
            </w:r>
            <w:r w:rsidRPr="00292BA7">
              <w:rPr>
                <w:rFonts w:ascii="Tahoma" w:hAnsi="Tahoma" w:cs="Tahoma"/>
                <w:b/>
                <w:bCs/>
                <w:iCs/>
                <w:color w:val="243285"/>
                <w:sz w:val="36"/>
                <w:szCs w:val="36"/>
                <w:lang w:val="es-ES_tradnl"/>
              </w:rPr>
              <w:t>1260-2</w:t>
            </w:r>
          </w:p>
          <w:p w:rsidR="00371237" w:rsidRPr="0010336F" w:rsidRDefault="00371237" w:rsidP="0037123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371237" w:rsidRPr="001F3485" w:rsidTr="009A5133">
        <w:tc>
          <w:tcPr>
            <w:tcW w:w="10089" w:type="dxa"/>
          </w:tcPr>
          <w:p w:rsidR="00371237" w:rsidRPr="0010336F" w:rsidRDefault="00371237" w:rsidP="009A5133">
            <w:pPr>
              <w:spacing w:before="80" w:line="500" w:lineRule="exact"/>
              <w:jc w:val="right"/>
              <w:rPr>
                <w:rFonts w:ascii="Tahoma" w:hAnsi="Tahoma" w:cs="Tahoma"/>
                <w:b/>
                <w:bCs/>
                <w:iCs/>
                <w:color w:val="243285"/>
                <w:sz w:val="44"/>
                <w:szCs w:val="44"/>
                <w:lang w:val="es-ES_tradnl"/>
              </w:rPr>
            </w:pPr>
          </w:p>
          <w:p w:rsidR="00371237" w:rsidRDefault="00371237" w:rsidP="00371237">
            <w:pPr>
              <w:spacing w:before="80" w:line="500" w:lineRule="exact"/>
              <w:jc w:val="right"/>
              <w:rPr>
                <w:rFonts w:ascii="Tahoma" w:hAnsi="Tahoma" w:cs="Tahoma"/>
                <w:b/>
                <w:bCs/>
                <w:color w:val="243285"/>
                <w:sz w:val="44"/>
                <w:szCs w:val="44"/>
                <w:lang w:val="es-ES_tradnl"/>
              </w:rPr>
            </w:pPr>
            <w:r w:rsidRPr="00292BA7">
              <w:rPr>
                <w:rFonts w:ascii="Tahoma" w:hAnsi="Tahoma" w:cs="Tahoma"/>
                <w:b/>
                <w:bCs/>
                <w:color w:val="243285"/>
                <w:sz w:val="44"/>
                <w:szCs w:val="44"/>
                <w:lang w:val="es-ES_tradnl"/>
              </w:rPr>
              <w:t>Posibilidad de compartición entre sensores activos a bordo de vehículos espaciales y otros servicios en la gama 420-470 MHz</w:t>
            </w:r>
          </w:p>
          <w:p w:rsidR="00371237" w:rsidRPr="0010336F" w:rsidRDefault="00371237" w:rsidP="009A5133">
            <w:pPr>
              <w:spacing w:before="80" w:line="500" w:lineRule="exact"/>
              <w:jc w:val="right"/>
              <w:rPr>
                <w:rFonts w:ascii="Tahoma" w:hAnsi="Tahoma" w:cs="Tahoma"/>
                <w:b/>
                <w:bCs/>
                <w:iCs/>
                <w:color w:val="243285"/>
                <w:sz w:val="44"/>
                <w:szCs w:val="44"/>
                <w:lang w:val="es-ES_tradnl"/>
              </w:rPr>
            </w:pPr>
          </w:p>
        </w:tc>
      </w:tr>
      <w:tr w:rsidR="00371237" w:rsidRPr="001F3485" w:rsidTr="009A5133">
        <w:tc>
          <w:tcPr>
            <w:tcW w:w="10089" w:type="dxa"/>
          </w:tcPr>
          <w:p w:rsidR="00371237" w:rsidRPr="0010336F" w:rsidRDefault="00371237" w:rsidP="009A5133">
            <w:pPr>
              <w:spacing w:before="80" w:line="280" w:lineRule="exact"/>
              <w:ind w:right="640"/>
              <w:rPr>
                <w:rFonts w:ascii="Tahoma" w:hAnsi="Tahoma" w:cs="Tahoma"/>
                <w:b/>
                <w:bCs/>
                <w:iCs/>
                <w:color w:val="243285"/>
                <w:sz w:val="32"/>
                <w:szCs w:val="32"/>
                <w:lang w:val="es-ES_tradnl"/>
              </w:rPr>
            </w:pPr>
          </w:p>
          <w:p w:rsidR="00371237" w:rsidRPr="0010336F" w:rsidRDefault="00371237" w:rsidP="009A5133">
            <w:pPr>
              <w:spacing w:before="80" w:line="280" w:lineRule="exact"/>
              <w:ind w:right="640"/>
              <w:rPr>
                <w:rFonts w:ascii="Tahoma" w:hAnsi="Tahoma" w:cs="Tahoma"/>
                <w:b/>
                <w:bCs/>
                <w:iCs/>
                <w:color w:val="243285"/>
                <w:sz w:val="32"/>
                <w:szCs w:val="32"/>
                <w:lang w:val="es-ES_tradnl"/>
              </w:rPr>
            </w:pPr>
          </w:p>
          <w:p w:rsidR="00371237" w:rsidRDefault="00371237" w:rsidP="009A5133">
            <w:pPr>
              <w:spacing w:before="80" w:after="180" w:line="360" w:lineRule="exact"/>
              <w:ind w:right="720"/>
              <w:rPr>
                <w:rFonts w:ascii="Tahoma" w:hAnsi="Tahoma" w:cs="Tahoma"/>
                <w:b/>
                <w:bCs/>
                <w:iCs/>
                <w:color w:val="243285"/>
                <w:sz w:val="36"/>
                <w:szCs w:val="36"/>
                <w:lang w:val="es-ES_tradnl"/>
              </w:rPr>
            </w:pPr>
          </w:p>
          <w:p w:rsidR="00371237" w:rsidRPr="0010336F" w:rsidRDefault="00371237" w:rsidP="009A5133">
            <w:pPr>
              <w:spacing w:before="80" w:after="180" w:line="360" w:lineRule="exact"/>
              <w:ind w:right="720"/>
              <w:rPr>
                <w:rFonts w:ascii="Tahoma" w:hAnsi="Tahoma" w:cs="Tahoma"/>
                <w:b/>
                <w:bCs/>
                <w:iCs/>
                <w:color w:val="243285"/>
                <w:sz w:val="36"/>
                <w:szCs w:val="36"/>
                <w:lang w:val="es-ES_tradnl"/>
              </w:rPr>
            </w:pPr>
          </w:p>
          <w:p w:rsidR="00371237" w:rsidRPr="0010336F" w:rsidRDefault="00371237" w:rsidP="009A513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RS</w:t>
            </w:r>
          </w:p>
          <w:p w:rsidR="00371237" w:rsidRPr="0010336F" w:rsidRDefault="00371237" w:rsidP="009A513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371237" w:rsidRPr="0026666F" w:rsidRDefault="00371237" w:rsidP="00371237">
      <w:pPr>
        <w:spacing w:before="80"/>
        <w:rPr>
          <w:i/>
          <w:sz w:val="22"/>
          <w:lang w:val="es-ES_tradnl"/>
        </w:rPr>
      </w:pPr>
    </w:p>
    <w:p w:rsidR="00371237" w:rsidRPr="0026666F" w:rsidRDefault="00371237" w:rsidP="00371237">
      <w:pPr>
        <w:spacing w:before="80"/>
        <w:rPr>
          <w:i/>
          <w:sz w:val="22"/>
          <w:lang w:val="es-ES_tradnl"/>
        </w:rPr>
      </w:pPr>
    </w:p>
    <w:p w:rsidR="00371237" w:rsidRPr="0026666F" w:rsidRDefault="00371237" w:rsidP="00371237">
      <w:pPr>
        <w:spacing w:before="80"/>
        <w:rPr>
          <w:i/>
          <w:sz w:val="22"/>
          <w:lang w:val="es-ES_tradnl"/>
        </w:rPr>
      </w:pPr>
    </w:p>
    <w:p w:rsidR="00371237" w:rsidRPr="0026666F" w:rsidRDefault="00371237" w:rsidP="00371237">
      <w:pPr>
        <w:spacing w:before="80"/>
        <w:rPr>
          <w:i/>
          <w:sz w:val="22"/>
          <w:lang w:val="es-ES_tradnl"/>
        </w:rPr>
      </w:pPr>
    </w:p>
    <w:p w:rsidR="00371237" w:rsidRPr="0026666F" w:rsidRDefault="00371237" w:rsidP="00371237">
      <w:pPr>
        <w:spacing w:before="80"/>
        <w:rPr>
          <w:i/>
          <w:sz w:val="22"/>
          <w:lang w:val="es-ES_tradnl"/>
        </w:rPr>
      </w:pPr>
    </w:p>
    <w:p w:rsidR="00371237" w:rsidRPr="0026666F" w:rsidRDefault="00371237" w:rsidP="00371237">
      <w:pPr>
        <w:spacing w:before="80"/>
        <w:rPr>
          <w:i/>
          <w:sz w:val="22"/>
          <w:lang w:val="es-ES_tradnl"/>
        </w:rPr>
      </w:pPr>
    </w:p>
    <w:p w:rsidR="00371237" w:rsidRPr="0026666F" w:rsidRDefault="00371237" w:rsidP="00371237">
      <w:pPr>
        <w:pStyle w:val="Equation"/>
        <w:tabs>
          <w:tab w:val="clear" w:pos="4820"/>
          <w:tab w:val="clear" w:pos="9639"/>
          <w:tab w:val="left" w:pos="1191"/>
          <w:tab w:val="left" w:pos="1588"/>
          <w:tab w:val="left" w:pos="1985"/>
        </w:tabs>
        <w:rPr>
          <w:rFonts w:ascii="Palatino Linotype" w:hAnsi="Palatino Linotype"/>
          <w:lang w:val="es-ES_tradnl"/>
        </w:rPr>
        <w:sectPr w:rsidR="00371237" w:rsidRPr="0026666F">
          <w:headerReference w:type="even" r:id="rId7"/>
          <w:headerReference w:type="default" r:id="rId8"/>
          <w:pgSz w:w="11907" w:h="16840" w:code="9"/>
          <w:pgMar w:top="1089" w:right="1089" w:bottom="284" w:left="1089" w:header="567" w:footer="284" w:gutter="0"/>
          <w:pgNumType w:start="1"/>
          <w:cols w:space="720"/>
        </w:sectPr>
      </w:pPr>
    </w:p>
    <w:p w:rsidR="00371237" w:rsidRPr="006C718C" w:rsidRDefault="00371237" w:rsidP="003712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371237" w:rsidRPr="006C718C" w:rsidRDefault="00371237" w:rsidP="0037123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71237" w:rsidRPr="006C718C" w:rsidRDefault="00371237" w:rsidP="0037123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71237" w:rsidRPr="00021E8A" w:rsidRDefault="00371237" w:rsidP="0037123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71237" w:rsidRPr="00021E8A" w:rsidRDefault="00371237" w:rsidP="0037123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71237" w:rsidRPr="007C36CA" w:rsidRDefault="00371237" w:rsidP="00371237">
      <w:pPr>
        <w:spacing w:before="0"/>
        <w:jc w:val="center"/>
        <w:rPr>
          <w:sz w:val="22"/>
          <w:lang w:val="es-ES_tradnl"/>
        </w:rPr>
      </w:pPr>
    </w:p>
    <w:p w:rsidR="00371237" w:rsidRPr="007C36CA" w:rsidRDefault="00371237" w:rsidP="0037123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71237" w:rsidRPr="001F3485" w:rsidTr="009A5133">
        <w:tc>
          <w:tcPr>
            <w:tcW w:w="9360" w:type="dxa"/>
            <w:gridSpan w:val="2"/>
          </w:tcPr>
          <w:p w:rsidR="00371237" w:rsidRPr="00021E8A" w:rsidRDefault="00371237" w:rsidP="009A513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71237" w:rsidRPr="00763D08"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71237" w:rsidRPr="00036EE3" w:rsidTr="00371237">
        <w:tc>
          <w:tcPr>
            <w:tcW w:w="1140" w:type="dxa"/>
            <w:tcBorders>
              <w:bottom w:val="nil"/>
            </w:tcBorders>
            <w:vAlign w:val="center"/>
          </w:tcPr>
          <w:p w:rsidR="00371237" w:rsidRPr="00036EE3" w:rsidRDefault="00371237" w:rsidP="00371237">
            <w:pPr>
              <w:spacing w:before="180" w:after="100"/>
              <w:ind w:left="57"/>
              <w:jc w:val="left"/>
              <w:rPr>
                <w:b/>
                <w:bCs/>
                <w:sz w:val="20"/>
                <w:lang w:val="en-US"/>
              </w:rPr>
            </w:pPr>
            <w:r w:rsidRPr="00036EE3">
              <w:rPr>
                <w:b/>
                <w:bCs/>
                <w:sz w:val="20"/>
                <w:lang w:val="en-US"/>
              </w:rPr>
              <w:t>Series</w:t>
            </w:r>
          </w:p>
        </w:tc>
        <w:tc>
          <w:tcPr>
            <w:tcW w:w="8220" w:type="dxa"/>
            <w:tcBorders>
              <w:bottom w:val="nil"/>
            </w:tcBorders>
            <w:vAlign w:val="center"/>
          </w:tcPr>
          <w:p w:rsidR="00371237" w:rsidRPr="00036EE3" w:rsidRDefault="00371237" w:rsidP="003712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71237" w:rsidRPr="004532F7" w:rsidTr="009A5133">
        <w:tc>
          <w:tcPr>
            <w:tcW w:w="1140" w:type="dxa"/>
            <w:tcBorders>
              <w:top w:val="nil"/>
              <w:bottom w:val="nil"/>
            </w:tcBorders>
            <w:shd w:val="clear" w:color="auto" w:fill="auto"/>
          </w:tcPr>
          <w:p w:rsidR="00371237" w:rsidRPr="004532F7" w:rsidRDefault="00371237" w:rsidP="009A5133">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71237" w:rsidRPr="004532F7"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71237" w:rsidRPr="001F3485" w:rsidTr="009A5133">
        <w:tc>
          <w:tcPr>
            <w:tcW w:w="1140" w:type="dxa"/>
            <w:tcBorders>
              <w:top w:val="nil"/>
              <w:bottom w:val="nil"/>
            </w:tcBorders>
            <w:shd w:val="clear" w:color="auto" w:fill="auto"/>
          </w:tcPr>
          <w:p w:rsidR="00371237" w:rsidRPr="006B22C3" w:rsidRDefault="00371237" w:rsidP="009A5133">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71237" w:rsidRPr="006B22C3"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71237" w:rsidRPr="00847DD5" w:rsidTr="009A5133">
        <w:tc>
          <w:tcPr>
            <w:tcW w:w="1140" w:type="dxa"/>
            <w:tcBorders>
              <w:top w:val="nil"/>
              <w:bottom w:val="nil"/>
            </w:tcBorders>
            <w:shd w:val="clear" w:color="auto" w:fill="auto"/>
          </w:tcPr>
          <w:p w:rsidR="00371237" w:rsidRPr="00847DD5" w:rsidRDefault="00371237" w:rsidP="009A5133">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71237" w:rsidRPr="00847DD5"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71237" w:rsidRPr="00ED2695" w:rsidTr="009A5133">
        <w:tc>
          <w:tcPr>
            <w:tcW w:w="1140" w:type="dxa"/>
            <w:tcBorders>
              <w:top w:val="nil"/>
              <w:bottom w:val="nil"/>
            </w:tcBorders>
            <w:shd w:val="clear" w:color="auto" w:fill="auto"/>
          </w:tcPr>
          <w:p w:rsidR="00371237" w:rsidRPr="00ED2695" w:rsidRDefault="00371237" w:rsidP="009A513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71237" w:rsidRPr="00021E8A"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71237" w:rsidRPr="00366CEE" w:rsidTr="009A5133">
        <w:tc>
          <w:tcPr>
            <w:tcW w:w="1140" w:type="dxa"/>
            <w:tcBorders>
              <w:top w:val="nil"/>
              <w:bottom w:val="nil"/>
            </w:tcBorders>
            <w:shd w:val="clear" w:color="auto" w:fill="auto"/>
          </w:tcPr>
          <w:p w:rsidR="00371237" w:rsidRPr="00366CEE" w:rsidRDefault="00371237" w:rsidP="009A5133">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71237" w:rsidRPr="00366CEE" w:rsidRDefault="00371237" w:rsidP="009A51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71237" w:rsidRPr="001F3485" w:rsidTr="009A5133">
        <w:tc>
          <w:tcPr>
            <w:tcW w:w="1140" w:type="dxa"/>
            <w:tcBorders>
              <w:top w:val="nil"/>
              <w:bottom w:val="nil"/>
            </w:tcBorders>
            <w:shd w:val="clear" w:color="auto" w:fill="auto"/>
          </w:tcPr>
          <w:p w:rsidR="00371237" w:rsidRPr="0010336F" w:rsidRDefault="00371237" w:rsidP="009A513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71237" w:rsidRPr="0010336F" w:rsidRDefault="00371237" w:rsidP="009A51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71237" w:rsidRPr="001F3485" w:rsidTr="009A5133">
        <w:tc>
          <w:tcPr>
            <w:tcW w:w="1140" w:type="dxa"/>
            <w:tcBorders>
              <w:top w:val="nil"/>
              <w:bottom w:val="nil"/>
            </w:tcBorders>
            <w:shd w:val="clear" w:color="auto" w:fill="auto"/>
          </w:tcPr>
          <w:p w:rsidR="00371237" w:rsidRPr="00F95576" w:rsidRDefault="00371237" w:rsidP="009A5133">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71237" w:rsidRPr="00F95576" w:rsidRDefault="00371237" w:rsidP="009A5133">
            <w:pPr>
              <w:spacing w:before="30" w:after="30"/>
              <w:jc w:val="left"/>
              <w:rPr>
                <w:sz w:val="20"/>
                <w:lang w:val="es-ES_tradnl"/>
              </w:rPr>
            </w:pPr>
            <w:r w:rsidRPr="00F95576">
              <w:rPr>
                <w:sz w:val="20"/>
                <w:lang w:val="es-ES_tradnl"/>
              </w:rPr>
              <w:t>Propagación de las ondas radioeléctricas</w:t>
            </w:r>
          </w:p>
        </w:tc>
      </w:tr>
      <w:tr w:rsidR="00371237" w:rsidRPr="00DE71F7" w:rsidTr="009A5133">
        <w:tc>
          <w:tcPr>
            <w:tcW w:w="1140" w:type="dxa"/>
            <w:tcBorders>
              <w:top w:val="nil"/>
              <w:bottom w:val="nil"/>
            </w:tcBorders>
            <w:shd w:val="clear" w:color="auto" w:fill="auto"/>
          </w:tcPr>
          <w:p w:rsidR="00371237" w:rsidRPr="00DE71F7" w:rsidRDefault="00371237" w:rsidP="009A5133">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71237" w:rsidRPr="00DE71F7" w:rsidRDefault="00371237" w:rsidP="009A51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371237" w:rsidRPr="001F3485" w:rsidTr="009A5133">
        <w:tc>
          <w:tcPr>
            <w:tcW w:w="1140" w:type="dxa"/>
            <w:tcBorders>
              <w:top w:val="nil"/>
              <w:bottom w:val="nil"/>
            </w:tcBorders>
            <w:shd w:val="clear" w:color="auto" w:fill="F3F3F3"/>
          </w:tcPr>
          <w:p w:rsidR="00371237" w:rsidRPr="00DE71F7" w:rsidRDefault="00371237" w:rsidP="009A5133">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371237" w:rsidRPr="00DE71F7" w:rsidRDefault="00371237" w:rsidP="009A51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371237" w:rsidRPr="00036EE3" w:rsidTr="009A5133">
        <w:tc>
          <w:tcPr>
            <w:tcW w:w="1140" w:type="dxa"/>
            <w:tcBorders>
              <w:top w:val="nil"/>
            </w:tcBorders>
          </w:tcPr>
          <w:p w:rsidR="00371237" w:rsidRPr="00036EE3" w:rsidRDefault="00371237" w:rsidP="009A5133">
            <w:pPr>
              <w:spacing w:before="30" w:after="30"/>
              <w:ind w:left="57"/>
              <w:jc w:val="left"/>
              <w:rPr>
                <w:b/>
                <w:bCs/>
                <w:sz w:val="20"/>
                <w:lang w:val="en-US"/>
              </w:rPr>
            </w:pPr>
            <w:r w:rsidRPr="00036EE3">
              <w:rPr>
                <w:b/>
                <w:bCs/>
                <w:sz w:val="20"/>
                <w:lang w:val="en-US"/>
              </w:rPr>
              <w:t>S</w:t>
            </w:r>
          </w:p>
        </w:tc>
        <w:tc>
          <w:tcPr>
            <w:tcW w:w="8220" w:type="dxa"/>
            <w:tcBorders>
              <w:top w:val="nil"/>
            </w:tcBorders>
          </w:tcPr>
          <w:p w:rsidR="00371237" w:rsidRPr="00021E8A" w:rsidRDefault="00371237" w:rsidP="009A5133">
            <w:pPr>
              <w:spacing w:before="30" w:after="30"/>
              <w:jc w:val="left"/>
              <w:rPr>
                <w:bCs/>
                <w:sz w:val="20"/>
                <w:lang w:val="en-US"/>
              </w:rPr>
            </w:pPr>
            <w:r w:rsidRPr="00021E8A">
              <w:rPr>
                <w:bCs/>
                <w:sz w:val="20"/>
              </w:rPr>
              <w:t>Servicio fijo por satélite</w:t>
            </w:r>
          </w:p>
        </w:tc>
      </w:tr>
      <w:tr w:rsidR="00371237" w:rsidRPr="00036EE3" w:rsidTr="009A5133">
        <w:tc>
          <w:tcPr>
            <w:tcW w:w="1140" w:type="dxa"/>
          </w:tcPr>
          <w:p w:rsidR="00371237" w:rsidRPr="00036EE3" w:rsidRDefault="00371237" w:rsidP="009A5133">
            <w:pPr>
              <w:spacing w:before="30" w:after="30"/>
              <w:ind w:left="57"/>
              <w:jc w:val="left"/>
              <w:rPr>
                <w:b/>
                <w:bCs/>
                <w:sz w:val="20"/>
                <w:lang w:val="en-US"/>
              </w:rPr>
            </w:pPr>
            <w:r w:rsidRPr="00036EE3">
              <w:rPr>
                <w:b/>
                <w:bCs/>
                <w:sz w:val="20"/>
                <w:lang w:val="en-US"/>
              </w:rPr>
              <w:t>SA</w:t>
            </w:r>
          </w:p>
        </w:tc>
        <w:tc>
          <w:tcPr>
            <w:tcW w:w="8220" w:type="dxa"/>
          </w:tcPr>
          <w:p w:rsidR="00371237" w:rsidRPr="00021E8A" w:rsidRDefault="00371237" w:rsidP="009A5133">
            <w:pPr>
              <w:spacing w:before="30" w:after="30"/>
              <w:jc w:val="left"/>
              <w:rPr>
                <w:bCs/>
                <w:sz w:val="20"/>
                <w:lang w:val="en-US"/>
              </w:rPr>
            </w:pPr>
            <w:r w:rsidRPr="00021E8A">
              <w:rPr>
                <w:bCs/>
                <w:sz w:val="20"/>
              </w:rPr>
              <w:t>Aplicaciones espaciales y meteorología</w:t>
            </w:r>
          </w:p>
        </w:tc>
      </w:tr>
      <w:tr w:rsidR="00371237" w:rsidRPr="001F3485" w:rsidTr="009A5133">
        <w:tc>
          <w:tcPr>
            <w:tcW w:w="1140" w:type="dxa"/>
          </w:tcPr>
          <w:p w:rsidR="00371237" w:rsidRPr="00036EE3" w:rsidRDefault="00371237" w:rsidP="009A5133">
            <w:pPr>
              <w:spacing w:before="30" w:after="30"/>
              <w:ind w:left="57"/>
              <w:jc w:val="left"/>
              <w:rPr>
                <w:b/>
                <w:bCs/>
                <w:sz w:val="20"/>
                <w:lang w:val="en-US"/>
              </w:rPr>
            </w:pPr>
            <w:r w:rsidRPr="00036EE3">
              <w:rPr>
                <w:b/>
                <w:bCs/>
                <w:sz w:val="20"/>
                <w:lang w:val="en-US"/>
              </w:rPr>
              <w:t>SF</w:t>
            </w:r>
          </w:p>
        </w:tc>
        <w:tc>
          <w:tcPr>
            <w:tcW w:w="8220" w:type="dxa"/>
          </w:tcPr>
          <w:p w:rsidR="00371237" w:rsidRPr="00021E8A" w:rsidRDefault="00371237" w:rsidP="009A513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71237" w:rsidRPr="00036EE3" w:rsidTr="009A5133">
        <w:tc>
          <w:tcPr>
            <w:tcW w:w="1140" w:type="dxa"/>
            <w:shd w:val="clear" w:color="auto" w:fill="auto"/>
          </w:tcPr>
          <w:p w:rsidR="00371237" w:rsidRPr="001240BC" w:rsidRDefault="00371237" w:rsidP="009A5133">
            <w:pPr>
              <w:spacing w:before="30" w:after="30"/>
              <w:ind w:left="57"/>
              <w:jc w:val="left"/>
              <w:rPr>
                <w:b/>
                <w:bCs/>
                <w:sz w:val="20"/>
                <w:lang w:val="en-US"/>
              </w:rPr>
            </w:pPr>
            <w:r w:rsidRPr="001240BC">
              <w:rPr>
                <w:b/>
                <w:bCs/>
                <w:sz w:val="20"/>
                <w:lang w:val="en-US"/>
              </w:rPr>
              <w:t>SM</w:t>
            </w:r>
          </w:p>
        </w:tc>
        <w:tc>
          <w:tcPr>
            <w:tcW w:w="8220" w:type="dxa"/>
            <w:shd w:val="clear" w:color="auto" w:fill="auto"/>
          </w:tcPr>
          <w:p w:rsidR="00371237" w:rsidRPr="001240BC" w:rsidRDefault="00371237" w:rsidP="009A5133">
            <w:pPr>
              <w:spacing w:before="30" w:after="30"/>
              <w:jc w:val="left"/>
              <w:rPr>
                <w:sz w:val="20"/>
                <w:lang w:val="en-US"/>
              </w:rPr>
            </w:pPr>
            <w:r w:rsidRPr="001240BC">
              <w:rPr>
                <w:sz w:val="20"/>
              </w:rPr>
              <w:t>Gestión del espectro</w:t>
            </w:r>
          </w:p>
        </w:tc>
      </w:tr>
      <w:tr w:rsidR="00371237" w:rsidRPr="00036EE3" w:rsidTr="009A5133">
        <w:tc>
          <w:tcPr>
            <w:tcW w:w="1140" w:type="dxa"/>
          </w:tcPr>
          <w:p w:rsidR="00371237" w:rsidRPr="00036EE3" w:rsidRDefault="00371237" w:rsidP="009A5133">
            <w:pPr>
              <w:spacing w:before="30" w:after="30"/>
              <w:ind w:left="57"/>
              <w:jc w:val="left"/>
              <w:rPr>
                <w:b/>
                <w:bCs/>
                <w:sz w:val="20"/>
                <w:lang w:val="en-US"/>
              </w:rPr>
            </w:pPr>
            <w:r w:rsidRPr="00036EE3">
              <w:rPr>
                <w:b/>
                <w:bCs/>
                <w:sz w:val="20"/>
                <w:lang w:val="en-US"/>
              </w:rPr>
              <w:t>SNG</w:t>
            </w:r>
          </w:p>
        </w:tc>
        <w:tc>
          <w:tcPr>
            <w:tcW w:w="8220" w:type="dxa"/>
          </w:tcPr>
          <w:p w:rsidR="00371237" w:rsidRPr="00021E8A" w:rsidRDefault="00371237" w:rsidP="009A5133">
            <w:pPr>
              <w:spacing w:before="30" w:after="30"/>
              <w:jc w:val="left"/>
              <w:rPr>
                <w:bCs/>
                <w:sz w:val="20"/>
                <w:lang w:val="en-US"/>
              </w:rPr>
            </w:pPr>
            <w:r w:rsidRPr="00021E8A">
              <w:rPr>
                <w:bCs/>
                <w:sz w:val="20"/>
              </w:rPr>
              <w:t>Periodismo electrónico por satélite</w:t>
            </w:r>
          </w:p>
        </w:tc>
      </w:tr>
      <w:tr w:rsidR="00371237" w:rsidRPr="001F3485" w:rsidTr="009A5133">
        <w:tc>
          <w:tcPr>
            <w:tcW w:w="1140" w:type="dxa"/>
          </w:tcPr>
          <w:p w:rsidR="00371237" w:rsidRPr="00036EE3" w:rsidRDefault="00371237" w:rsidP="009A5133">
            <w:pPr>
              <w:spacing w:before="30" w:after="30"/>
              <w:ind w:left="57"/>
              <w:jc w:val="left"/>
              <w:rPr>
                <w:b/>
                <w:bCs/>
                <w:sz w:val="20"/>
                <w:lang w:val="en-US"/>
              </w:rPr>
            </w:pPr>
            <w:r w:rsidRPr="00036EE3">
              <w:rPr>
                <w:b/>
                <w:bCs/>
                <w:sz w:val="20"/>
                <w:lang w:val="en-US"/>
              </w:rPr>
              <w:t>TF</w:t>
            </w:r>
          </w:p>
        </w:tc>
        <w:tc>
          <w:tcPr>
            <w:tcW w:w="8220" w:type="dxa"/>
          </w:tcPr>
          <w:p w:rsidR="00371237" w:rsidRPr="00021E8A" w:rsidRDefault="00371237" w:rsidP="009A5133">
            <w:pPr>
              <w:spacing w:before="30" w:after="30"/>
              <w:jc w:val="left"/>
              <w:rPr>
                <w:bCs/>
                <w:sz w:val="20"/>
                <w:lang w:val="es-ES_tradnl"/>
              </w:rPr>
            </w:pPr>
            <w:r w:rsidRPr="00021E8A">
              <w:rPr>
                <w:bCs/>
                <w:sz w:val="20"/>
                <w:lang w:val="es-ES_tradnl"/>
              </w:rPr>
              <w:t>Emisiones de frecuencias patrón y señales horarias</w:t>
            </w:r>
          </w:p>
        </w:tc>
      </w:tr>
      <w:tr w:rsidR="00371237" w:rsidRPr="00036EE3" w:rsidTr="009A5133">
        <w:tc>
          <w:tcPr>
            <w:tcW w:w="1140" w:type="dxa"/>
          </w:tcPr>
          <w:p w:rsidR="00371237" w:rsidRPr="00036EE3" w:rsidRDefault="00371237" w:rsidP="009A5133">
            <w:pPr>
              <w:spacing w:before="30" w:after="30"/>
              <w:ind w:left="57"/>
              <w:jc w:val="left"/>
              <w:rPr>
                <w:b/>
                <w:bCs/>
                <w:sz w:val="20"/>
                <w:lang w:val="en-US"/>
              </w:rPr>
            </w:pPr>
            <w:r w:rsidRPr="00036EE3">
              <w:rPr>
                <w:b/>
                <w:bCs/>
                <w:sz w:val="20"/>
                <w:lang w:val="en-US"/>
              </w:rPr>
              <w:t>V</w:t>
            </w:r>
          </w:p>
        </w:tc>
        <w:tc>
          <w:tcPr>
            <w:tcW w:w="8220" w:type="dxa"/>
          </w:tcPr>
          <w:p w:rsidR="00371237" w:rsidRPr="00021E8A" w:rsidRDefault="00371237" w:rsidP="009A5133">
            <w:pPr>
              <w:spacing w:before="30" w:after="140"/>
              <w:jc w:val="left"/>
              <w:rPr>
                <w:bCs/>
                <w:sz w:val="20"/>
                <w:lang w:val="en-US"/>
              </w:rPr>
            </w:pPr>
            <w:r w:rsidRPr="00021E8A">
              <w:rPr>
                <w:bCs/>
                <w:sz w:val="20"/>
              </w:rPr>
              <w:t>Vocabulario y cuestiones afines</w:t>
            </w:r>
          </w:p>
        </w:tc>
      </w:tr>
    </w:tbl>
    <w:p w:rsidR="00371237" w:rsidRPr="00036EE3" w:rsidRDefault="00371237" w:rsidP="0037123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71237" w:rsidTr="009A5133">
        <w:tc>
          <w:tcPr>
            <w:tcW w:w="720" w:type="dxa"/>
          </w:tcPr>
          <w:p w:rsidR="00371237" w:rsidRDefault="00371237" w:rsidP="009A513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71237" w:rsidRPr="001F3485" w:rsidTr="009A5133">
        <w:tc>
          <w:tcPr>
            <w:tcW w:w="9360" w:type="dxa"/>
          </w:tcPr>
          <w:p w:rsidR="00371237" w:rsidRPr="00763D08" w:rsidRDefault="00371237" w:rsidP="00371237">
            <w:pPr>
              <w:spacing w:before="92" w:after="92"/>
              <w:ind w:left="170" w:right="170"/>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371237" w:rsidRPr="00763D08" w:rsidRDefault="00371237" w:rsidP="00371237">
      <w:pPr>
        <w:spacing w:before="0"/>
        <w:jc w:val="center"/>
        <w:rPr>
          <w:sz w:val="22"/>
          <w:lang w:val="es-ES_tradnl"/>
        </w:rPr>
      </w:pPr>
    </w:p>
    <w:p w:rsidR="00371237" w:rsidRPr="00763D08" w:rsidRDefault="00371237" w:rsidP="00371237">
      <w:pPr>
        <w:spacing w:before="60"/>
        <w:jc w:val="right"/>
        <w:rPr>
          <w:i/>
          <w:iCs/>
          <w:sz w:val="20"/>
          <w:lang w:val="es-ES_tradnl"/>
        </w:rPr>
      </w:pPr>
      <w:r w:rsidRPr="00763D08">
        <w:rPr>
          <w:i/>
          <w:iCs/>
          <w:sz w:val="20"/>
          <w:lang w:val="es-ES_tradnl"/>
        </w:rPr>
        <w:t>Publicación electrónica</w:t>
      </w:r>
    </w:p>
    <w:p w:rsidR="00371237" w:rsidRPr="00763D08" w:rsidRDefault="00371237" w:rsidP="00371237">
      <w:pPr>
        <w:spacing w:before="0" w:after="40"/>
        <w:jc w:val="right"/>
        <w:rPr>
          <w:sz w:val="20"/>
          <w:lang w:val="es-ES_tradnl"/>
        </w:rPr>
      </w:pPr>
      <w:r w:rsidRPr="00763D08">
        <w:rPr>
          <w:sz w:val="20"/>
          <w:lang w:val="es-ES_tradnl"/>
        </w:rPr>
        <w:t>Ginebra, 20</w:t>
      </w:r>
      <w:r>
        <w:rPr>
          <w:sz w:val="20"/>
          <w:lang w:val="es-ES_tradnl"/>
        </w:rPr>
        <w:t>18</w:t>
      </w:r>
    </w:p>
    <w:p w:rsidR="00371237" w:rsidRPr="00763D08" w:rsidRDefault="00371237" w:rsidP="00371237">
      <w:pPr>
        <w:spacing w:before="0"/>
        <w:jc w:val="center"/>
        <w:rPr>
          <w:sz w:val="22"/>
          <w:lang w:val="es-ES_tradnl"/>
        </w:rPr>
      </w:pPr>
    </w:p>
    <w:p w:rsidR="00371237" w:rsidRPr="00763D08" w:rsidRDefault="00371237" w:rsidP="0037123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371237" w:rsidRPr="006C718C" w:rsidRDefault="00371237" w:rsidP="0037123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71237" w:rsidRPr="006C718C" w:rsidRDefault="00371237" w:rsidP="00371237">
      <w:pPr>
        <w:spacing w:before="160"/>
        <w:rPr>
          <w:i/>
          <w:sz w:val="20"/>
          <w:highlight w:val="yellow"/>
          <w:lang w:val="es-ES_tradnl"/>
        </w:rPr>
        <w:sectPr w:rsidR="00371237" w:rsidRPr="006C718C" w:rsidSect="009A5133">
          <w:headerReference w:type="even" r:id="rId11"/>
          <w:headerReference w:type="default" r:id="rId12"/>
          <w:pgSz w:w="11907" w:h="16834" w:code="9"/>
          <w:pgMar w:top="1418" w:right="1134" w:bottom="1134" w:left="1134" w:header="720" w:footer="482" w:gutter="0"/>
          <w:pgNumType w:fmt="lowerRoman" w:start="2"/>
          <w:cols w:space="720"/>
        </w:sectPr>
      </w:pPr>
    </w:p>
    <w:p w:rsidR="00371237" w:rsidRPr="0010336F" w:rsidRDefault="00371237" w:rsidP="00371237">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RS</w:t>
      </w:r>
      <w:r w:rsidRPr="0010336F">
        <w:rPr>
          <w:rStyle w:val="href"/>
          <w:lang w:val="es-ES_tradnl"/>
        </w:rPr>
        <w:t>.1</w:t>
      </w:r>
      <w:r>
        <w:rPr>
          <w:rStyle w:val="href"/>
          <w:lang w:val="es-ES_tradnl"/>
        </w:rPr>
        <w:t>260-2</w:t>
      </w:r>
    </w:p>
    <w:p w:rsidR="00371237" w:rsidRDefault="00371237" w:rsidP="00B70EA7">
      <w:pPr>
        <w:pStyle w:val="Rectitle"/>
        <w:rPr>
          <w:lang w:val="es-ES_tradnl"/>
        </w:rPr>
      </w:pPr>
      <w:r w:rsidRPr="00292BA7">
        <w:rPr>
          <w:lang w:val="es-ES_tradnl"/>
        </w:rPr>
        <w:t>Posibilidad de compartición entre sensores activos</w:t>
      </w:r>
      <w:r w:rsidR="00B70EA7">
        <w:rPr>
          <w:lang w:val="es-ES_tradnl"/>
        </w:rPr>
        <w:br/>
      </w:r>
      <w:r w:rsidRPr="00292BA7">
        <w:rPr>
          <w:lang w:val="es-ES_tradnl"/>
        </w:rPr>
        <w:t>a bordo</w:t>
      </w:r>
      <w:r w:rsidR="00B70EA7">
        <w:rPr>
          <w:lang w:val="es-ES_tradnl"/>
        </w:rPr>
        <w:t xml:space="preserve"> </w:t>
      </w:r>
      <w:r w:rsidRPr="00292BA7">
        <w:rPr>
          <w:lang w:val="es-ES_tradnl"/>
        </w:rPr>
        <w:t>de vehículos espaciales y otros servicios</w:t>
      </w:r>
      <w:r w:rsidR="009A5133">
        <w:rPr>
          <w:lang w:val="es-ES_tradnl"/>
        </w:rPr>
        <w:br/>
      </w:r>
      <w:r w:rsidRPr="00292BA7">
        <w:rPr>
          <w:lang w:val="es-ES_tradnl"/>
        </w:rPr>
        <w:t>en la gama 420-470 MHz</w:t>
      </w:r>
    </w:p>
    <w:p w:rsidR="00371237" w:rsidRPr="00292BA7" w:rsidRDefault="00371237" w:rsidP="00371237">
      <w:pPr>
        <w:pStyle w:val="Recref"/>
        <w:rPr>
          <w:lang w:val="es-ES_tradnl"/>
        </w:rPr>
      </w:pPr>
      <w:r w:rsidRPr="00292BA7">
        <w:rPr>
          <w:lang w:val="es-ES_tradnl"/>
        </w:rPr>
        <w:t>(Cuestión UIT-R 218/7)</w:t>
      </w:r>
    </w:p>
    <w:p w:rsidR="009B6D73" w:rsidRPr="00995AB5" w:rsidRDefault="009B6D73" w:rsidP="009B6D73">
      <w:pPr>
        <w:pStyle w:val="Blanc"/>
        <w:rPr>
          <w:lang w:val="es-ES_tradnl"/>
        </w:rPr>
      </w:pPr>
    </w:p>
    <w:p w:rsidR="00371237" w:rsidRPr="00292BA7" w:rsidRDefault="00371237" w:rsidP="009B6D73">
      <w:pPr>
        <w:pStyle w:val="Recdate"/>
        <w:rPr>
          <w:lang w:val="es-ES_tradnl"/>
        </w:rPr>
      </w:pPr>
      <w:r w:rsidRPr="00292BA7">
        <w:rPr>
          <w:lang w:val="es-ES_tradnl"/>
        </w:rPr>
        <w:t>(1997-2003-2017)</w:t>
      </w:r>
    </w:p>
    <w:p w:rsidR="009B6D73" w:rsidRPr="00995AB5" w:rsidRDefault="009B6D73" w:rsidP="009B6D73">
      <w:pPr>
        <w:pStyle w:val="Blanc"/>
        <w:rPr>
          <w:lang w:val="es-ES_tradnl"/>
        </w:rPr>
      </w:pPr>
    </w:p>
    <w:p w:rsidR="00371237" w:rsidRPr="001F3485" w:rsidRDefault="00371237" w:rsidP="001F3485">
      <w:pPr>
        <w:pStyle w:val="HeadingSum"/>
      </w:pPr>
      <w:r w:rsidRPr="001F3485">
        <w:t>Cometido</w:t>
      </w:r>
    </w:p>
    <w:p w:rsidR="00371237" w:rsidRPr="00292BA7" w:rsidRDefault="00371237" w:rsidP="00B70EA7">
      <w:pPr>
        <w:pStyle w:val="Summary"/>
        <w:rPr>
          <w:szCs w:val="22"/>
        </w:rPr>
      </w:pPr>
      <w:r w:rsidRPr="00292BA7">
        <w:rPr>
          <w:szCs w:val="22"/>
        </w:rPr>
        <w:t>En esta Recomendación se facilitan las características técnicas y operativas que han de cumplir los sensores del SETS (activo) que funcionan en la banda 432-438</w:t>
      </w:r>
      <w:r w:rsidR="00B70EA7">
        <w:rPr>
          <w:szCs w:val="22"/>
        </w:rPr>
        <w:t> </w:t>
      </w:r>
      <w:r w:rsidRPr="00292BA7">
        <w:rPr>
          <w:szCs w:val="22"/>
        </w:rPr>
        <w:t>MHz a fin de garantizar la protección de otros servicios primarios que funcionan en esta banda.</w:t>
      </w:r>
    </w:p>
    <w:p w:rsidR="00371237" w:rsidRPr="00292BA7" w:rsidRDefault="00371237" w:rsidP="00371237">
      <w:pPr>
        <w:pStyle w:val="Headingb"/>
        <w:rPr>
          <w:lang w:val="es-ES_tradnl"/>
        </w:rPr>
      </w:pPr>
      <w:r w:rsidRPr="00292BA7">
        <w:rPr>
          <w:lang w:val="es-ES_tradnl"/>
        </w:rPr>
        <w:t>Palabras clave</w:t>
      </w:r>
    </w:p>
    <w:p w:rsidR="00371237" w:rsidRPr="00292BA7" w:rsidRDefault="009B6D73" w:rsidP="009B6D73">
      <w:pPr>
        <w:rPr>
          <w:lang w:val="es-ES_tradnl"/>
        </w:rPr>
      </w:pPr>
      <w:r w:rsidRPr="00292BA7">
        <w:rPr>
          <w:lang w:val="es-ES_tradnl"/>
        </w:rPr>
        <w:t xml:space="preserve">radar de abertura sintética (SAR), radar de seguimiento de objetos espaciales, sensores activos, </w:t>
      </w:r>
      <w:r w:rsidR="00371237" w:rsidRPr="00292BA7">
        <w:rPr>
          <w:lang w:val="es-ES_tradnl"/>
        </w:rPr>
        <w:t>SETS, zona de exclusión</w:t>
      </w:r>
    </w:p>
    <w:p w:rsidR="00371237" w:rsidRPr="00292BA7" w:rsidRDefault="00371237" w:rsidP="00371237">
      <w:pPr>
        <w:pStyle w:val="Headingb"/>
        <w:rPr>
          <w:lang w:val="es-ES_tradnl"/>
        </w:rPr>
      </w:pPr>
      <w:r w:rsidRPr="00292BA7">
        <w:rPr>
          <w:lang w:val="es-ES_tradnl"/>
        </w:rPr>
        <w:t>Recomendaciones e Informes relacionados</w:t>
      </w:r>
    </w:p>
    <w:p w:rsidR="00371237" w:rsidRPr="00292BA7" w:rsidRDefault="00371237" w:rsidP="009B6D73">
      <w:pPr>
        <w:spacing w:after="480"/>
        <w:rPr>
          <w:lang w:val="es-ES_tradnl"/>
        </w:rPr>
      </w:pPr>
      <w:r w:rsidRPr="00292BA7">
        <w:rPr>
          <w:lang w:val="es-ES_tradnl"/>
        </w:rPr>
        <w:t>Recomendaciones UIT-R F.758, UIT-R F.1108, UIT-R M.1462</w:t>
      </w:r>
      <w:r w:rsidR="009B6D73">
        <w:rPr>
          <w:lang w:val="es-ES_tradnl"/>
        </w:rPr>
        <w:t>.</w:t>
      </w:r>
    </w:p>
    <w:p w:rsidR="009B6D73" w:rsidRPr="009B6D73" w:rsidRDefault="009B6D73" w:rsidP="009B6D73">
      <w:pPr>
        <w:pStyle w:val="Blanc"/>
        <w:rPr>
          <w:lang w:val="es-ES_tradnl"/>
        </w:rPr>
      </w:pPr>
    </w:p>
    <w:p w:rsidR="00371237" w:rsidRPr="00292BA7" w:rsidRDefault="00371237" w:rsidP="00371237">
      <w:pPr>
        <w:pStyle w:val="Normalaftertitle"/>
        <w:rPr>
          <w:lang w:val="es-ES_tradnl"/>
        </w:rPr>
      </w:pPr>
      <w:r w:rsidRPr="00292BA7">
        <w:rPr>
          <w:lang w:val="es-ES_tradnl"/>
        </w:rPr>
        <w:t>La Asamblea de Radiocomunicaciones de la UIT,</w:t>
      </w:r>
    </w:p>
    <w:p w:rsidR="00371237" w:rsidRPr="00292BA7" w:rsidRDefault="00371237" w:rsidP="00371237">
      <w:pPr>
        <w:pStyle w:val="Call"/>
        <w:rPr>
          <w:lang w:val="es-ES_tradnl"/>
        </w:rPr>
      </w:pPr>
      <w:r w:rsidRPr="00292BA7">
        <w:rPr>
          <w:lang w:val="es-ES_tradnl"/>
        </w:rPr>
        <w:t>considerando</w:t>
      </w:r>
    </w:p>
    <w:p w:rsidR="00371237" w:rsidRPr="00292BA7" w:rsidRDefault="00371237" w:rsidP="00371237">
      <w:pPr>
        <w:rPr>
          <w:lang w:val="es-ES_tradnl"/>
        </w:rPr>
      </w:pPr>
      <w:r w:rsidRPr="00292BA7">
        <w:rPr>
          <w:i/>
          <w:iCs/>
          <w:lang w:val="es-ES_tradnl"/>
        </w:rPr>
        <w:t>a)</w:t>
      </w:r>
      <w:r w:rsidRPr="00292BA7">
        <w:rPr>
          <w:lang w:val="es-ES_tradnl"/>
        </w:rPr>
        <w:tab/>
        <w:t>que los radares de abertura sintética (SAR) pueden medir la humedad del suelo y la biomasa forestal, pueden detectar estructuras geológicas enterradas, tales como fallas, fracturas, sinclinales y anticlinales, pueden realizar mapas y medir la profundidad del hielo antártico y pueden determinar las propiedades hidrogeológicas de las regiones áridas y semiáridas;</w:t>
      </w:r>
    </w:p>
    <w:p w:rsidR="00371237" w:rsidRPr="00292BA7" w:rsidRDefault="00371237" w:rsidP="00371237">
      <w:pPr>
        <w:rPr>
          <w:lang w:val="es-ES_tradnl"/>
        </w:rPr>
      </w:pPr>
      <w:r w:rsidRPr="00292BA7">
        <w:rPr>
          <w:i/>
          <w:iCs/>
          <w:lang w:val="es-ES_tradnl"/>
        </w:rPr>
        <w:t>b)</w:t>
      </w:r>
      <w:r w:rsidRPr="00292BA7">
        <w:rPr>
          <w:lang w:val="es-ES_tradnl"/>
        </w:rPr>
        <w:tab/>
        <w:t>que los SAR experimentales a bordo de aeronaves han demostrado su capacidad para realizar estas mediciones;</w:t>
      </w:r>
    </w:p>
    <w:p w:rsidR="00371237" w:rsidRPr="00292BA7" w:rsidRDefault="00371237" w:rsidP="00371237">
      <w:pPr>
        <w:rPr>
          <w:lang w:val="es-ES_tradnl"/>
        </w:rPr>
      </w:pPr>
      <w:r w:rsidRPr="00292BA7">
        <w:rPr>
          <w:i/>
          <w:iCs/>
          <w:lang w:val="es-ES_tradnl"/>
        </w:rPr>
        <w:t>c)</w:t>
      </w:r>
      <w:r w:rsidRPr="00292BA7">
        <w:rPr>
          <w:lang w:val="es-ES_tradnl"/>
        </w:rPr>
        <w:tab/>
        <w:t>que estos SAR a bordo de vehículos espaciales pueden funcionar en frecuencias por debajo de 500 MHz a fin de penetrar en la densa vegetación de la superficie de la Tierra de forma repetitiva en todo el mundo;</w:t>
      </w:r>
    </w:p>
    <w:p w:rsidR="00371237" w:rsidRPr="00292BA7" w:rsidRDefault="00371237" w:rsidP="00371237">
      <w:pPr>
        <w:rPr>
          <w:lang w:val="es-ES_tradnl"/>
        </w:rPr>
      </w:pPr>
      <w:r w:rsidRPr="00292BA7">
        <w:rPr>
          <w:i/>
          <w:iCs/>
          <w:lang w:val="es-ES_tradnl"/>
        </w:rPr>
        <w:t>d)</w:t>
      </w:r>
      <w:r w:rsidRPr="00292BA7">
        <w:rPr>
          <w:lang w:val="es-ES_tradnl"/>
        </w:rPr>
        <w:tab/>
        <w:t>que, actualmente, las bandas de frecuencias entre 420 y 470 MHz están atribuidas a los servicios de radiolocalización, fijo, de aficionados, de operaciones espaciales y móvil;</w:t>
      </w:r>
    </w:p>
    <w:p w:rsidR="00371237" w:rsidRPr="00292BA7" w:rsidRDefault="00371237" w:rsidP="00371237">
      <w:pPr>
        <w:rPr>
          <w:lang w:val="es-ES_tradnl"/>
        </w:rPr>
      </w:pPr>
      <w:r w:rsidRPr="00292BA7">
        <w:rPr>
          <w:i/>
          <w:iCs/>
          <w:lang w:val="es-ES_tradnl"/>
        </w:rPr>
        <w:t>e)</w:t>
      </w:r>
      <w:r w:rsidRPr="00292BA7">
        <w:rPr>
          <w:lang w:val="es-ES_tradnl"/>
        </w:rPr>
        <w:tab/>
        <w:t>que en el servicio de aficionados, el funcionamiento con señales de baja intensidad (incluidos los trayectos Tierra</w:t>
      </w:r>
      <w:r w:rsidRPr="00292BA7">
        <w:rPr>
          <w:lang w:val="es-ES_tradnl"/>
        </w:rPr>
        <w:noBreakHyphen/>
        <w:t>Luna</w:t>
      </w:r>
      <w:r w:rsidRPr="00292BA7">
        <w:rPr>
          <w:lang w:val="es-ES_tradnl"/>
        </w:rPr>
        <w:noBreakHyphen/>
        <w:t>Tierra) se llevan a cabo centrados en torno a 432 MHz y el funcionamiento del servicio de aficionados por satélite (tanto los enlaces ascendentes como los enlaces descendentes) se realiza en la banda 435</w:t>
      </w:r>
      <w:r w:rsidRPr="00292BA7">
        <w:rPr>
          <w:lang w:val="es-ES_tradnl"/>
        </w:rPr>
        <w:noBreakHyphen/>
        <w:t>438 MHz;</w:t>
      </w:r>
    </w:p>
    <w:p w:rsidR="00371237" w:rsidRPr="00292BA7" w:rsidRDefault="00371237" w:rsidP="009A5133">
      <w:pPr>
        <w:keepNext/>
        <w:keepLines/>
        <w:rPr>
          <w:lang w:val="es-ES_tradnl"/>
        </w:rPr>
      </w:pPr>
      <w:r w:rsidRPr="00292BA7">
        <w:rPr>
          <w:i/>
          <w:iCs/>
          <w:lang w:val="es-ES_tradnl"/>
        </w:rPr>
        <w:t>f)</w:t>
      </w:r>
      <w:r w:rsidRPr="00292BA7">
        <w:rPr>
          <w:lang w:val="es-ES_tradnl"/>
        </w:rPr>
        <w:tab/>
        <w:t>que se hacen otros usos de partes de estas bandas incluyendo:</w:t>
      </w:r>
    </w:p>
    <w:p w:rsidR="00371237" w:rsidRPr="00292BA7" w:rsidRDefault="00371237" w:rsidP="00371237">
      <w:pPr>
        <w:pStyle w:val="enumlev1"/>
        <w:rPr>
          <w:lang w:val="es-ES_tradnl"/>
        </w:rPr>
      </w:pPr>
      <w:r w:rsidRPr="00292BA7">
        <w:rPr>
          <w:lang w:val="es-ES_tradnl"/>
        </w:rPr>
        <w:t>–</w:t>
      </w:r>
      <w:r w:rsidRPr="00292BA7">
        <w:rPr>
          <w:lang w:val="es-ES_tradnl"/>
        </w:rPr>
        <w:tab/>
        <w:t>radares de perfil del viento en la gama 440</w:t>
      </w:r>
      <w:r w:rsidRPr="00292BA7">
        <w:rPr>
          <w:lang w:val="es-ES_tradnl"/>
        </w:rPr>
        <w:noBreakHyphen/>
        <w:t>450 MHz y, en caso de incompatibilidad entre radares de perfil del viento y otras aplicaciones, en las bandas 420</w:t>
      </w:r>
      <w:r w:rsidRPr="00292BA7">
        <w:rPr>
          <w:lang w:val="es-ES_tradnl"/>
        </w:rPr>
        <w:noBreakHyphen/>
        <w:t>435 MHz y 438</w:t>
      </w:r>
      <w:r w:rsidRPr="00292BA7">
        <w:rPr>
          <w:lang w:val="es-ES_tradnl"/>
        </w:rPr>
        <w:noBreakHyphen/>
        <w:t>440 MHz (Resolución </w:t>
      </w:r>
      <w:r w:rsidRPr="00292BA7">
        <w:rPr>
          <w:b/>
          <w:bCs/>
          <w:lang w:val="es-ES_tradnl"/>
        </w:rPr>
        <w:t>217 (CMR</w:t>
      </w:r>
      <w:r w:rsidRPr="00292BA7">
        <w:rPr>
          <w:b/>
          <w:bCs/>
          <w:lang w:val="es-ES_tradnl"/>
        </w:rPr>
        <w:noBreakHyphen/>
        <w:t>97)</w:t>
      </w:r>
      <w:r w:rsidRPr="00292BA7">
        <w:rPr>
          <w:lang w:val="es-ES_tradnl"/>
        </w:rPr>
        <w:t>);</w:t>
      </w:r>
    </w:p>
    <w:p w:rsidR="00371237" w:rsidRPr="00292BA7" w:rsidRDefault="00371237" w:rsidP="00B70EA7">
      <w:pPr>
        <w:pStyle w:val="enumlev1"/>
        <w:rPr>
          <w:lang w:val="es-ES_tradnl"/>
        </w:rPr>
      </w:pPr>
      <w:r w:rsidRPr="00292BA7">
        <w:rPr>
          <w:lang w:val="es-ES_tradnl"/>
        </w:rPr>
        <w:t>–</w:t>
      </w:r>
      <w:r w:rsidRPr="00292BA7">
        <w:rPr>
          <w:lang w:val="es-ES_tradnl"/>
        </w:rPr>
        <w:tab/>
        <w:t>receptores de la orden de autodestrucción de vehículos de lanzamiento por razones de seguridad en la banda</w:t>
      </w:r>
      <w:r w:rsidR="00B70EA7">
        <w:rPr>
          <w:lang w:val="es-ES_tradnl"/>
        </w:rPr>
        <w:t xml:space="preserve"> </w:t>
      </w:r>
      <w:r w:rsidRPr="00292BA7">
        <w:rPr>
          <w:lang w:val="es-ES_tradnl"/>
        </w:rPr>
        <w:t>449,75</w:t>
      </w:r>
      <w:r w:rsidRPr="00292BA7">
        <w:rPr>
          <w:lang w:val="es-ES_tradnl"/>
        </w:rPr>
        <w:noBreakHyphen/>
        <w:t>450,25 MHz (número </w:t>
      </w:r>
      <w:r w:rsidRPr="00292BA7">
        <w:rPr>
          <w:b/>
          <w:bCs/>
          <w:lang w:val="es-ES_tradnl"/>
        </w:rPr>
        <w:t>5.286</w:t>
      </w:r>
      <w:r w:rsidRPr="00292BA7">
        <w:rPr>
          <w:lang w:val="es-ES_tradnl"/>
        </w:rPr>
        <w:t xml:space="preserve"> del Reglamento de Radiocomunicaciones (RR)) así como en torno a 421,0, 425,0, 427,0, 44</w:t>
      </w:r>
      <w:r w:rsidR="00B70EA7">
        <w:rPr>
          <w:lang w:val="es-ES_tradnl"/>
        </w:rPr>
        <w:t xml:space="preserve">0,0 y </w:t>
      </w:r>
      <w:r w:rsidRPr="00292BA7">
        <w:rPr>
          <w:lang w:val="es-ES_tradnl"/>
        </w:rPr>
        <w:t>445,0 MHz en Estados</w:t>
      </w:r>
      <w:r w:rsidR="00B70EA7">
        <w:rPr>
          <w:lang w:val="es-ES_tradnl"/>
        </w:rPr>
        <w:t xml:space="preserve"> </w:t>
      </w:r>
      <w:r w:rsidRPr="00292BA7">
        <w:rPr>
          <w:lang w:val="es-ES_tradnl"/>
        </w:rPr>
        <w:t>Unidos de América y Brasil y, en los Departamentos franceses de Ultramar en la R</w:t>
      </w:r>
      <w:r w:rsidR="00B70EA7">
        <w:rPr>
          <w:lang w:val="es-ES_tradnl"/>
        </w:rPr>
        <w:t xml:space="preserve">egión 2 y la India, en la banda </w:t>
      </w:r>
      <w:r w:rsidRPr="00292BA7">
        <w:rPr>
          <w:lang w:val="es-ES_tradnl"/>
        </w:rPr>
        <w:t>433,75</w:t>
      </w:r>
      <w:r w:rsidRPr="00292BA7">
        <w:rPr>
          <w:lang w:val="es-ES_tradnl"/>
        </w:rPr>
        <w:noBreakHyphen/>
        <w:t>434,25 MHz (número </w:t>
      </w:r>
      <w:r w:rsidRPr="00292BA7">
        <w:rPr>
          <w:b/>
          <w:bCs/>
          <w:lang w:val="es-ES_tradnl"/>
        </w:rPr>
        <w:t>5.281</w:t>
      </w:r>
      <w:r w:rsidRPr="00292BA7">
        <w:rPr>
          <w:lang w:val="es-ES_tradnl"/>
        </w:rPr>
        <w:t xml:space="preserve"> del RR);</w:t>
      </w:r>
    </w:p>
    <w:p w:rsidR="00371237" w:rsidRPr="00292BA7" w:rsidRDefault="00371237" w:rsidP="00371237">
      <w:pPr>
        <w:rPr>
          <w:lang w:val="es-ES_tradnl"/>
        </w:rPr>
      </w:pPr>
      <w:r w:rsidRPr="00292BA7">
        <w:rPr>
          <w:i/>
          <w:iCs/>
          <w:lang w:val="es-ES_tradnl"/>
        </w:rPr>
        <w:t>g)</w:t>
      </w:r>
      <w:r w:rsidRPr="00292BA7">
        <w:rPr>
          <w:lang w:val="es-ES_tradnl"/>
        </w:rPr>
        <w:tab/>
        <w:t>que algunos SAR a bordo de vehículos espaciales podrían producir dfp en la superficie terrestre superiores a los niveles de dfp que pueden ser necesarios para proteger el servicio fijo y el servicio móvil terrestre con atribuciones en esta gama de frecuencias;</w:t>
      </w:r>
    </w:p>
    <w:p w:rsidR="00371237" w:rsidRPr="00292BA7" w:rsidRDefault="00371237" w:rsidP="00371237">
      <w:pPr>
        <w:rPr>
          <w:lang w:val="es-ES_tradnl"/>
        </w:rPr>
      </w:pPr>
      <w:r w:rsidRPr="00292BA7">
        <w:rPr>
          <w:i/>
          <w:iCs/>
          <w:lang w:val="es-ES_tradnl"/>
        </w:rPr>
        <w:t>h)</w:t>
      </w:r>
      <w:r w:rsidRPr="00292BA7">
        <w:rPr>
          <w:lang w:val="es-ES_tradnl"/>
        </w:rPr>
        <w:tab/>
        <w:t>que es probable que la compartición de la misma frecuencia con perfiladores del viento no sea viable debido a la interferencia con el sensor activo a bordo de un vehículo espacial;</w:t>
      </w:r>
    </w:p>
    <w:p w:rsidR="00371237" w:rsidRPr="00292BA7" w:rsidRDefault="00371237" w:rsidP="00B70EA7">
      <w:pPr>
        <w:rPr>
          <w:lang w:val="es-ES_tradnl"/>
        </w:rPr>
      </w:pPr>
      <w:r w:rsidRPr="00292BA7">
        <w:rPr>
          <w:i/>
          <w:iCs/>
          <w:lang w:val="es-ES_tradnl"/>
        </w:rPr>
        <w:t>i)</w:t>
      </w:r>
      <w:r w:rsidRPr="00292BA7">
        <w:rPr>
          <w:lang w:val="es-ES_tradnl"/>
        </w:rPr>
        <w:tab/>
        <w:t>que los SAR y el servicio de aficionados (con atribuciones a título primario en la Región</w:t>
      </w:r>
      <w:r w:rsidR="00B70EA7">
        <w:rPr>
          <w:lang w:val="es-ES_tradnl"/>
        </w:rPr>
        <w:t> </w:t>
      </w:r>
      <w:r w:rsidRPr="00292BA7">
        <w:rPr>
          <w:lang w:val="es-ES_tradnl"/>
        </w:rPr>
        <w:t>1 y a título secundario en las Regiones 2 y 3 salvo lo dispuesto en el número 5.278 del</w:t>
      </w:r>
      <w:r w:rsidR="00B70EA7">
        <w:rPr>
          <w:lang w:val="es-ES_tradnl"/>
        </w:rPr>
        <w:t xml:space="preserve"> </w:t>
      </w:r>
      <w:r w:rsidRPr="00292BA7">
        <w:rPr>
          <w:lang w:val="es-ES_tradnl"/>
        </w:rPr>
        <w:t>RR) pueden coexistir en la banda 430-440 MHz adoptando las medidas técnicas y de explotación apropiadas definidas en el Anexo 1 a esta Recomendación;</w:t>
      </w:r>
    </w:p>
    <w:p w:rsidR="00371237" w:rsidRPr="00292BA7" w:rsidRDefault="00371237" w:rsidP="00B70EA7">
      <w:pPr>
        <w:rPr>
          <w:lang w:val="es-ES_tradnl"/>
        </w:rPr>
      </w:pPr>
      <w:r w:rsidRPr="00292BA7">
        <w:rPr>
          <w:i/>
          <w:iCs/>
          <w:lang w:val="es-ES_tradnl"/>
        </w:rPr>
        <w:t>j)</w:t>
      </w:r>
      <w:r w:rsidRPr="00292BA7">
        <w:rPr>
          <w:lang w:val="es-ES_tradnl"/>
        </w:rPr>
        <w:tab/>
        <w:t>que, además, las disposiciones de los números </w:t>
      </w:r>
      <w:r w:rsidRPr="00B70EA7">
        <w:rPr>
          <w:b/>
          <w:bCs/>
          <w:lang w:val="es-ES_tradnl"/>
        </w:rPr>
        <w:t xml:space="preserve">5.274, 5.275, 5.276, 5.277, 5.278, 5.281 </w:t>
      </w:r>
      <w:r w:rsidRPr="00B70EA7">
        <w:rPr>
          <w:lang w:val="es-ES_tradnl"/>
        </w:rPr>
        <w:t>y</w:t>
      </w:r>
      <w:r w:rsidR="00B70EA7">
        <w:rPr>
          <w:lang w:val="es-ES_tradnl"/>
        </w:rPr>
        <w:t> </w:t>
      </w:r>
      <w:r w:rsidRPr="00B70EA7">
        <w:rPr>
          <w:b/>
          <w:bCs/>
          <w:lang w:val="es-ES_tradnl"/>
        </w:rPr>
        <w:t>5.283</w:t>
      </w:r>
      <w:r w:rsidRPr="00292BA7">
        <w:rPr>
          <w:lang w:val="es-ES_tradnl"/>
        </w:rPr>
        <w:t xml:space="preserve"> del</w:t>
      </w:r>
      <w:r w:rsidR="00B70EA7">
        <w:rPr>
          <w:lang w:val="es-ES_tradnl"/>
        </w:rPr>
        <w:t xml:space="preserve"> </w:t>
      </w:r>
      <w:r w:rsidRPr="00292BA7">
        <w:rPr>
          <w:lang w:val="es-ES_tradnl"/>
        </w:rPr>
        <w:t>RR indican países que han atribuido partes de la banda entre 430</w:t>
      </w:r>
      <w:r w:rsidR="00B70EA7">
        <w:rPr>
          <w:lang w:val="es-ES_tradnl"/>
        </w:rPr>
        <w:t xml:space="preserve"> </w:t>
      </w:r>
      <w:r w:rsidRPr="00292BA7">
        <w:rPr>
          <w:lang w:val="es-ES_tradnl"/>
        </w:rPr>
        <w:t>y</w:t>
      </w:r>
      <w:r w:rsidR="00B70EA7">
        <w:rPr>
          <w:lang w:val="es-ES_tradnl"/>
        </w:rPr>
        <w:t xml:space="preserve"> </w:t>
      </w:r>
      <w:r w:rsidRPr="00292BA7">
        <w:rPr>
          <w:lang w:val="es-ES_tradnl"/>
        </w:rPr>
        <w:t>440 MHz a los servicios fijo, móvil, de operaciones espaciales y/o de aficionados con categoría primaria;</w:t>
      </w:r>
    </w:p>
    <w:p w:rsidR="00371237" w:rsidRPr="00292BA7" w:rsidRDefault="00371237" w:rsidP="00371237">
      <w:pPr>
        <w:rPr>
          <w:lang w:val="es-ES_tradnl"/>
        </w:rPr>
      </w:pPr>
      <w:r w:rsidRPr="00292BA7">
        <w:rPr>
          <w:i/>
          <w:iCs/>
          <w:lang w:val="es-ES_tradnl"/>
        </w:rPr>
        <w:t>k)</w:t>
      </w:r>
      <w:r w:rsidRPr="00292BA7">
        <w:rPr>
          <w:lang w:val="es-ES_tradnl"/>
        </w:rPr>
        <w:tab/>
        <w:t>que diversos estudios de compartición han indicado que la compartición de la misma frecuencia entre los servicios de radioaficionados y algunos SAR propuestos del servicio de exploración de la Tierra por satélite (SETS) es posible para ciertos modos de transmisión del servicio de aficionados tales como MF y acceso múltiple por división en el tiempo, pero sería difícil en los modos de funcionamiento en onda continua y banda lateral única;</w:t>
      </w:r>
    </w:p>
    <w:p w:rsidR="00371237" w:rsidRPr="00292BA7" w:rsidRDefault="00371237" w:rsidP="00B70EA7">
      <w:pPr>
        <w:rPr>
          <w:lang w:val="es-ES_tradnl"/>
        </w:rPr>
      </w:pPr>
      <w:r w:rsidRPr="00292BA7">
        <w:rPr>
          <w:i/>
          <w:iCs/>
          <w:lang w:val="es-ES_tradnl"/>
        </w:rPr>
        <w:t>l)</w:t>
      </w:r>
      <w:r w:rsidRPr="00292BA7">
        <w:rPr>
          <w:lang w:val="es-ES_tradnl"/>
        </w:rPr>
        <w:tab/>
        <w:t>que la Recomendación</w:t>
      </w:r>
      <w:r w:rsidR="00B70EA7">
        <w:rPr>
          <w:lang w:val="es-ES_tradnl"/>
        </w:rPr>
        <w:t xml:space="preserve"> </w:t>
      </w:r>
      <w:r w:rsidRPr="00292BA7">
        <w:rPr>
          <w:lang w:val="es-ES_tradnl"/>
        </w:rPr>
        <w:t>UIT</w:t>
      </w:r>
      <w:r w:rsidRPr="00292BA7">
        <w:rPr>
          <w:lang w:val="es-ES_tradnl"/>
        </w:rPr>
        <w:noBreakHyphen/>
        <w:t>R M.1462 contiene las características técnicas y de funcionamiento así como los criterios de protección para los radares (a bordo de aeronaves, a bordo de barcos y de seguimiento de objetos espaciales) que funcionan en el servicio de radiolocalización en la banda 420</w:t>
      </w:r>
      <w:r w:rsidRPr="00292BA7">
        <w:rPr>
          <w:lang w:val="es-ES_tradnl"/>
        </w:rPr>
        <w:noBreakHyphen/>
        <w:t>450 MHz;</w:t>
      </w:r>
    </w:p>
    <w:p w:rsidR="00371237" w:rsidRPr="00292BA7" w:rsidRDefault="00371237" w:rsidP="00371237">
      <w:pPr>
        <w:rPr>
          <w:lang w:val="es-ES_tradnl"/>
        </w:rPr>
      </w:pPr>
      <w:r w:rsidRPr="00292BA7">
        <w:rPr>
          <w:i/>
          <w:iCs/>
          <w:lang w:val="es-ES_tradnl"/>
        </w:rPr>
        <w:t>m)</w:t>
      </w:r>
      <w:r w:rsidRPr="00292BA7">
        <w:rPr>
          <w:lang w:val="es-ES_tradnl"/>
        </w:rPr>
        <w:tab/>
        <w:t>que es posible que aparezca interferencia inaceptable causada por algunos SAR a bordo de vehículos espaciales a los radares terrenales de seguimiento de objetos espaciales que funcionan en la banda a 420</w:t>
      </w:r>
      <w:r w:rsidRPr="00292BA7">
        <w:rPr>
          <w:lang w:val="es-ES_tradnl"/>
        </w:rPr>
        <w:noBreakHyphen/>
        <w:t>450 MHz si el SAR a bordo del vehículo espacial se encuentra dentro del campo de visibilidad de los radares terrenales (es decir, por encima del horizonte visible del radar);</w:t>
      </w:r>
    </w:p>
    <w:p w:rsidR="00371237" w:rsidRPr="00292BA7" w:rsidRDefault="00371237" w:rsidP="00371237">
      <w:pPr>
        <w:rPr>
          <w:lang w:val="es-ES_tradnl"/>
        </w:rPr>
      </w:pPr>
      <w:r w:rsidRPr="00292BA7">
        <w:rPr>
          <w:i/>
          <w:iCs/>
          <w:lang w:val="es-ES_tradnl"/>
        </w:rPr>
        <w:t>n)</w:t>
      </w:r>
      <w:r w:rsidRPr="00292BA7">
        <w:rPr>
          <w:lang w:val="es-ES_tradnl"/>
        </w:rPr>
        <w:tab/>
        <w:t>que algunos SAR a bordo de vehículos espaciales tendrán un seguimiento por parte de los radares terrenales de seguimiento de objetos espaciales y que el nivel de potencia recibida no deseada resultante en el SAR a bordo del vehículo espacial puede aproximarse a su máxima capacidad de potencia;</w:t>
      </w:r>
    </w:p>
    <w:p w:rsidR="00371237" w:rsidRPr="00292BA7" w:rsidRDefault="00371237" w:rsidP="00B70EA7">
      <w:pPr>
        <w:rPr>
          <w:lang w:val="es-ES_tradnl"/>
        </w:rPr>
      </w:pPr>
      <w:r w:rsidRPr="00292BA7">
        <w:rPr>
          <w:i/>
          <w:iCs/>
          <w:lang w:val="es-ES_tradnl"/>
        </w:rPr>
        <w:t>o)</w:t>
      </w:r>
      <w:r w:rsidRPr="00292BA7">
        <w:rPr>
          <w:lang w:val="es-ES_tradnl"/>
        </w:rPr>
        <w:tab/>
        <w:t>que es posible que aparezca interferencia inaceptable causada por algunos SAR a bordo de vehículos espaciales a los radares a bordo de aeronaves y a bordo de barcos que funcionan en la banda</w:t>
      </w:r>
      <w:r w:rsidR="00B70EA7">
        <w:rPr>
          <w:lang w:val="es-ES_tradnl"/>
        </w:rPr>
        <w:t xml:space="preserve"> </w:t>
      </w:r>
      <w:r w:rsidRPr="00292BA7">
        <w:rPr>
          <w:lang w:val="es-ES_tradnl"/>
        </w:rPr>
        <w:t>420</w:t>
      </w:r>
      <w:r w:rsidRPr="00292BA7">
        <w:rPr>
          <w:lang w:val="es-ES_tradnl"/>
        </w:rPr>
        <w:noBreakHyphen/>
        <w:t>450 MHz, cuya probabilidad e intensidad dependen en gran medida de las características de los SAR;</w:t>
      </w:r>
    </w:p>
    <w:p w:rsidR="00371237" w:rsidRPr="00292BA7" w:rsidRDefault="00371237" w:rsidP="00371237">
      <w:pPr>
        <w:rPr>
          <w:lang w:val="es-ES_tradnl"/>
        </w:rPr>
      </w:pPr>
      <w:r w:rsidRPr="00292BA7">
        <w:rPr>
          <w:i/>
          <w:iCs/>
          <w:lang w:val="es-ES_tradnl"/>
        </w:rPr>
        <w:t>p)</w:t>
      </w:r>
      <w:r w:rsidRPr="00292BA7">
        <w:rPr>
          <w:lang w:val="es-ES_tradnl"/>
        </w:rPr>
        <w:tab/>
        <w:t>que toda interferencia perjudicial, incluso durante periodos muy breves, provocada por los SAR a los receptores de la orden de autodestrucción de vehículos de lanzamiento por razones de seguridad puede obstaculizar las funciones de seguridad de la vida humana y protección de las pertenencias;</w:t>
      </w:r>
    </w:p>
    <w:p w:rsidR="00371237" w:rsidRPr="00292BA7" w:rsidRDefault="00371237" w:rsidP="00371237">
      <w:pPr>
        <w:rPr>
          <w:lang w:val="es-ES_tradnl"/>
        </w:rPr>
      </w:pPr>
      <w:r w:rsidRPr="00292BA7">
        <w:rPr>
          <w:i/>
          <w:iCs/>
          <w:lang w:val="es-ES_tradnl"/>
        </w:rPr>
        <w:t>q)</w:t>
      </w:r>
      <w:r w:rsidRPr="00292BA7">
        <w:rPr>
          <w:lang w:val="es-ES_tradnl"/>
        </w:rPr>
        <w:tab/>
        <w:t>que dada la complejidad de los instrumentos del SETS (activo) en estas frecuencias bajas, se espera que estén en órbita al mismo tiempo muy pocas plataformas de ese tipo,</w:t>
      </w:r>
    </w:p>
    <w:p w:rsidR="00371237" w:rsidRPr="00292BA7" w:rsidRDefault="00371237" w:rsidP="00371237">
      <w:pPr>
        <w:pStyle w:val="Call"/>
        <w:rPr>
          <w:lang w:val="es-ES_tradnl"/>
        </w:rPr>
      </w:pPr>
      <w:r w:rsidRPr="00292BA7">
        <w:rPr>
          <w:lang w:val="es-ES_tradnl"/>
        </w:rPr>
        <w:t>recomienda</w:t>
      </w:r>
    </w:p>
    <w:p w:rsidR="00371237" w:rsidRPr="00292BA7" w:rsidRDefault="00371237" w:rsidP="00371237">
      <w:pPr>
        <w:rPr>
          <w:lang w:val="es-ES_tradnl"/>
        </w:rPr>
      </w:pPr>
      <w:r w:rsidRPr="00292BA7">
        <w:rPr>
          <w:b/>
          <w:lang w:val="es-ES_tradnl"/>
        </w:rPr>
        <w:t>1</w:t>
      </w:r>
      <w:r w:rsidRPr="00292BA7">
        <w:rPr>
          <w:lang w:val="es-ES_tradnl"/>
        </w:rPr>
        <w:tab/>
        <w:t>que los sensores activos a bordo de vehículos espaciales que funcionan en las bandas utilizadas por los servicios de aficionados, de aficionados por satélite, fijo, de radiolocalización, de operaciones espaciales, móvil y SMS en la gama 420</w:t>
      </w:r>
      <w:r w:rsidRPr="00292BA7">
        <w:rPr>
          <w:lang w:val="es-ES_tradnl"/>
        </w:rPr>
        <w:noBreakHyphen/>
        <w:t>470 MHz, respeten las limitaciones técnicas y de explotación indicadas en el Anexo 1 a la presente Recomendación;</w:t>
      </w:r>
    </w:p>
    <w:p w:rsidR="00371237" w:rsidRPr="00292BA7" w:rsidRDefault="00371237" w:rsidP="00B70EA7">
      <w:pPr>
        <w:rPr>
          <w:lang w:val="es-ES_tradnl"/>
        </w:rPr>
      </w:pPr>
      <w:r w:rsidRPr="00292BA7">
        <w:rPr>
          <w:b/>
          <w:bCs/>
          <w:lang w:val="es-ES_tradnl"/>
        </w:rPr>
        <w:t>2</w:t>
      </w:r>
      <w:r w:rsidRPr="00292BA7">
        <w:rPr>
          <w:lang w:val="es-ES_tradnl"/>
        </w:rPr>
        <w:tab/>
        <w:t>que los sensores activos a bordo de vehículos espaciales que funcionan en la gama</w:t>
      </w:r>
      <w:r w:rsidR="00B70EA7">
        <w:rPr>
          <w:lang w:val="es-ES_tradnl"/>
        </w:rPr>
        <w:t xml:space="preserve"> </w:t>
      </w:r>
      <w:r w:rsidRPr="00292BA7">
        <w:rPr>
          <w:lang w:val="es-ES_tradnl"/>
        </w:rPr>
        <w:t>420</w:t>
      </w:r>
      <w:r w:rsidRPr="00292BA7">
        <w:rPr>
          <w:lang w:val="es-ES_tradnl"/>
        </w:rPr>
        <w:noBreakHyphen/>
        <w:t>450 MHz no entren en funcionamiento cuando están a la vista de los radares terrenales de seguimiento de objetos espaciales indicados en el Cuadro 2, a menos que se realice un análisis detallado, caso por caso, para incluir la consideración de los efectos del procesamiento realizado por el receptor de los radares sobre las señales no deseadas del SAR y se realicen pruebas prácticas para confirmar la compatibilidad con el acuerdo mutuo de las administraciones afectadas;</w:t>
      </w:r>
    </w:p>
    <w:p w:rsidR="00371237" w:rsidRPr="00292BA7" w:rsidRDefault="00371237" w:rsidP="00B70EA7">
      <w:pPr>
        <w:rPr>
          <w:lang w:val="es-ES_tradnl"/>
        </w:rPr>
      </w:pPr>
      <w:r w:rsidRPr="00292BA7">
        <w:rPr>
          <w:b/>
          <w:bCs/>
          <w:lang w:val="es-ES_tradnl"/>
        </w:rPr>
        <w:t>3</w:t>
      </w:r>
      <w:r w:rsidRPr="00292BA7">
        <w:rPr>
          <w:lang w:val="es-ES_tradnl"/>
        </w:rPr>
        <w:tab/>
        <w:t>que se diseñe un SAR a bordo de un vehículo espacial para funcionar en la banda</w:t>
      </w:r>
      <w:r w:rsidR="00B70EA7">
        <w:rPr>
          <w:lang w:val="es-ES_tradnl"/>
        </w:rPr>
        <w:t xml:space="preserve"> </w:t>
      </w:r>
      <w:r w:rsidRPr="00292BA7">
        <w:rPr>
          <w:lang w:val="es-ES_tradnl"/>
        </w:rPr>
        <w:t>420</w:t>
      </w:r>
      <w:r w:rsidRPr="00292BA7">
        <w:rPr>
          <w:lang w:val="es-ES_tradnl"/>
        </w:rPr>
        <w:noBreakHyphen/>
        <w:t>450 MHz que tolere los niveles de potencia de señal no deseada que se producirán por el seguimiento realizado por los radares terrenales de seguimiento de objetos espaciales;</w:t>
      </w:r>
    </w:p>
    <w:p w:rsidR="00371237" w:rsidRPr="00292BA7" w:rsidRDefault="00371237" w:rsidP="00371237">
      <w:pPr>
        <w:rPr>
          <w:lang w:val="es-ES_tradnl"/>
        </w:rPr>
      </w:pPr>
      <w:r w:rsidRPr="00292BA7">
        <w:rPr>
          <w:b/>
          <w:bCs/>
          <w:lang w:val="es-ES_tradnl"/>
        </w:rPr>
        <w:t>4</w:t>
      </w:r>
      <w:r w:rsidRPr="00292BA7">
        <w:rPr>
          <w:lang w:val="es-ES_tradnl"/>
        </w:rPr>
        <w:tab/>
        <w:t xml:space="preserve">que se establezca la suficiente separación de frecuencias y geográfica entre los SAR a bordo de vehículos espaciales y los radares de perfil del </w:t>
      </w:r>
      <w:r w:rsidR="00B70EA7">
        <w:rPr>
          <w:lang w:val="es-ES_tradnl"/>
        </w:rPr>
        <w:t xml:space="preserve">viento que funcionan en la gama </w:t>
      </w:r>
      <w:r w:rsidRPr="00292BA7">
        <w:rPr>
          <w:lang w:val="es-ES_tradnl"/>
        </w:rPr>
        <w:t>420</w:t>
      </w:r>
      <w:r w:rsidRPr="00292BA7">
        <w:rPr>
          <w:lang w:val="es-ES_tradnl"/>
        </w:rPr>
        <w:noBreakHyphen/>
        <w:t>432 MHz y 438</w:t>
      </w:r>
      <w:r w:rsidRPr="00292BA7">
        <w:rPr>
          <w:lang w:val="es-ES_tradnl"/>
        </w:rPr>
        <w:noBreakHyphen/>
        <w:t>450 MHz;</w:t>
      </w:r>
    </w:p>
    <w:p w:rsidR="00371237" w:rsidRPr="00292BA7" w:rsidRDefault="00371237" w:rsidP="00B70EA7">
      <w:pPr>
        <w:rPr>
          <w:lang w:val="es-ES_tradnl"/>
        </w:rPr>
      </w:pPr>
      <w:r w:rsidRPr="00292BA7">
        <w:rPr>
          <w:b/>
          <w:bCs/>
          <w:lang w:val="es-ES_tradnl"/>
        </w:rPr>
        <w:t>5</w:t>
      </w:r>
      <w:r w:rsidRPr="00292BA7">
        <w:rPr>
          <w:lang w:val="es-ES_tradnl"/>
        </w:rPr>
        <w:tab/>
        <w:t xml:space="preserve">que las bandas de frecuencias para los sensores activos a bordo de vehículos espaciales se elijan de manera que no se superpongan a las bandas de frecuencias para los receptores de la orden de autodestrucción de vehículos de lanzamiento por razones de seguridad enumeradas en el </w:t>
      </w:r>
      <w:r w:rsidRPr="00292BA7">
        <w:rPr>
          <w:i/>
          <w:iCs/>
          <w:lang w:val="es-ES_tradnl"/>
        </w:rPr>
        <w:t>considerando </w:t>
      </w:r>
      <w:r w:rsidR="00B70EA7" w:rsidRPr="00B70EA7">
        <w:rPr>
          <w:i/>
          <w:iCs/>
          <w:lang w:val="es-ES_tradnl"/>
        </w:rPr>
        <w:t>f</w:t>
      </w:r>
      <w:r w:rsidRPr="00B70EA7">
        <w:rPr>
          <w:i/>
          <w:iCs/>
          <w:lang w:val="es-ES_tradnl"/>
        </w:rPr>
        <w:t>)</w:t>
      </w:r>
      <w:r w:rsidRPr="00292BA7">
        <w:rPr>
          <w:lang w:val="es-ES_tradnl"/>
        </w:rPr>
        <w:t>;</w:t>
      </w:r>
    </w:p>
    <w:p w:rsidR="00371237" w:rsidRDefault="00371237" w:rsidP="00371237">
      <w:pPr>
        <w:rPr>
          <w:lang w:val="es-ES_tradnl"/>
        </w:rPr>
      </w:pPr>
      <w:r w:rsidRPr="00292BA7">
        <w:rPr>
          <w:b/>
          <w:bCs/>
          <w:lang w:val="es-ES_tradnl"/>
        </w:rPr>
        <w:t>6</w:t>
      </w:r>
      <w:r w:rsidRPr="00292BA7">
        <w:rPr>
          <w:lang w:val="es-ES_tradnl"/>
        </w:rPr>
        <w:tab/>
        <w:t xml:space="preserve">que, si lo estipulado en el </w:t>
      </w:r>
      <w:r w:rsidRPr="00292BA7">
        <w:rPr>
          <w:i/>
          <w:iCs/>
          <w:lang w:val="es-ES_tradnl"/>
        </w:rPr>
        <w:t>recomienda</w:t>
      </w:r>
      <w:r w:rsidRPr="00292BA7">
        <w:rPr>
          <w:lang w:val="es-ES_tradnl"/>
        </w:rPr>
        <w:t xml:space="preserve"> 5 resulta de difícil implementación, no se haga funcionar sensores activos a bordo de vehículos que operen en las gamas de frecuencias atribuidas a los receptores de la orden de destrucción de vehículos de lanzamiento por razones de seguridad dentro de la distancia específica con respecto al lugar en que se usan los mandos del vehículo de lanzamiento, para que los sensores no causen interferencia a los receptores.</w:t>
      </w:r>
    </w:p>
    <w:p w:rsidR="009A5133" w:rsidRDefault="009A5133" w:rsidP="00371237">
      <w:pPr>
        <w:rPr>
          <w:lang w:val="es-ES_tradnl"/>
        </w:rPr>
      </w:pPr>
    </w:p>
    <w:p w:rsidR="009A5133" w:rsidRDefault="009A5133" w:rsidP="00371237">
      <w:pPr>
        <w:rPr>
          <w:lang w:val="es-ES_tradnl"/>
        </w:rPr>
      </w:pPr>
    </w:p>
    <w:p w:rsidR="009A5133" w:rsidRDefault="009A5133" w:rsidP="00371237">
      <w:pPr>
        <w:rPr>
          <w:lang w:val="es-ES_tradnl"/>
        </w:rPr>
      </w:pPr>
    </w:p>
    <w:p w:rsidR="009A5133" w:rsidRPr="00292BA7" w:rsidRDefault="009A5133" w:rsidP="00371237">
      <w:pPr>
        <w:rPr>
          <w:lang w:val="es-ES_tradnl"/>
        </w:rPr>
      </w:pPr>
    </w:p>
    <w:p w:rsidR="00371237" w:rsidRPr="00292BA7" w:rsidRDefault="00371237" w:rsidP="00371237">
      <w:pPr>
        <w:pStyle w:val="AnnexNoTitle"/>
        <w:rPr>
          <w:lang w:val="es-ES_tradnl"/>
        </w:rPr>
      </w:pPr>
      <w:r w:rsidRPr="00292BA7">
        <w:rPr>
          <w:lang w:val="es-ES_tradnl"/>
        </w:rPr>
        <w:t>Anexo 1</w:t>
      </w:r>
      <w:r w:rsidRPr="00292BA7">
        <w:rPr>
          <w:lang w:val="es-ES_tradnl"/>
        </w:rPr>
        <w:br/>
      </w:r>
      <w:r w:rsidRPr="00292BA7">
        <w:rPr>
          <w:lang w:val="es-ES_tradnl"/>
        </w:rPr>
        <w:br/>
        <w:t>Limitaciones técnicas y de explotación para el SETS (activo)</w:t>
      </w:r>
      <w:r w:rsidRPr="00292BA7">
        <w:rPr>
          <w:lang w:val="es-ES_tradnl"/>
        </w:rPr>
        <w:br/>
        <w:t>que funciona en la gama 420-470 MHz</w:t>
      </w:r>
    </w:p>
    <w:p w:rsidR="00371237" w:rsidRPr="00292BA7" w:rsidRDefault="00371237" w:rsidP="00371237">
      <w:pPr>
        <w:rPr>
          <w:lang w:val="es-ES_tradnl"/>
        </w:rPr>
      </w:pPr>
      <w:r w:rsidRPr="00292BA7">
        <w:rPr>
          <w:lang w:val="es-ES_tradnl"/>
        </w:rPr>
        <w:t>Para proteger a las estaciones que funcionan en los servicios existentes, las transmisiones de los SAR procedentes de estaciones del SETS (activo) que funcionan en la gama de frecuencias 420</w:t>
      </w:r>
      <w:r w:rsidRPr="00292BA7">
        <w:rPr>
          <w:lang w:val="es-ES_tradnl"/>
        </w:rPr>
        <w:noBreakHyphen/>
        <w:t>470 MHz están sujetas a las limitaciones técnicas y de explotación especificadas en este Anexo.</w:t>
      </w:r>
    </w:p>
    <w:p w:rsidR="00371237" w:rsidRPr="00292BA7" w:rsidRDefault="00371237" w:rsidP="00283BF4">
      <w:pPr>
        <w:rPr>
          <w:lang w:val="es-ES_tradnl"/>
        </w:rPr>
      </w:pPr>
      <w:r w:rsidRPr="00292BA7">
        <w:rPr>
          <w:lang w:val="es-ES_tradnl"/>
        </w:rPr>
        <w:t>Las siguientes limitaciones se basan en estudios realizados por el UIT</w:t>
      </w:r>
      <w:r w:rsidRPr="00292BA7">
        <w:rPr>
          <w:lang w:val="es-ES_tradnl"/>
        </w:rPr>
        <w:noBreakHyphen/>
        <w:t>R. El Anexo 2 proporciona información sobre la posibilidad de compartición de la gama</w:t>
      </w:r>
      <w:r w:rsidR="00283BF4">
        <w:rPr>
          <w:lang w:val="es-ES_tradnl"/>
        </w:rPr>
        <w:t xml:space="preserve"> </w:t>
      </w:r>
      <w:r w:rsidRPr="00292BA7">
        <w:rPr>
          <w:lang w:val="es-ES_tradnl"/>
        </w:rPr>
        <w:t>420</w:t>
      </w:r>
      <w:r w:rsidRPr="00292BA7">
        <w:rPr>
          <w:lang w:val="es-ES_tradnl"/>
        </w:rPr>
        <w:noBreakHyphen/>
        <w:t>470 MHz entre sensores activos a bordo de vehículos espaciales y otros servicios.</w:t>
      </w:r>
    </w:p>
    <w:p w:rsidR="00371237" w:rsidRPr="00292BA7" w:rsidRDefault="00371237" w:rsidP="00371237">
      <w:pPr>
        <w:pStyle w:val="Heading1"/>
        <w:rPr>
          <w:lang w:val="es-ES_tradnl"/>
        </w:rPr>
      </w:pPr>
      <w:r w:rsidRPr="00292BA7">
        <w:rPr>
          <w:lang w:val="es-ES_tradnl"/>
        </w:rPr>
        <w:t>1</w:t>
      </w:r>
      <w:r w:rsidRPr="00292BA7">
        <w:rPr>
          <w:lang w:val="es-ES_tradnl"/>
        </w:rPr>
        <w:tab/>
        <w:t>Limitaciones técnicas</w:t>
      </w:r>
    </w:p>
    <w:p w:rsidR="00371237" w:rsidRPr="00292BA7" w:rsidRDefault="00371237" w:rsidP="001E0A3A">
      <w:pPr>
        <w:pStyle w:val="TableNo"/>
        <w:rPr>
          <w:lang w:val="es-ES_tradnl"/>
        </w:rPr>
      </w:pPr>
      <w:r w:rsidRPr="00292BA7">
        <w:rPr>
          <w:lang w:val="es-ES_tradnl"/>
        </w:rPr>
        <w:t>CUADRO 1</w:t>
      </w:r>
    </w:p>
    <w:p w:rsidR="00371237" w:rsidRPr="00292BA7" w:rsidRDefault="00371237" w:rsidP="001E0A3A">
      <w:pPr>
        <w:pStyle w:val="Tabletitle"/>
        <w:rPr>
          <w:lang w:val="es-ES_tradnl"/>
        </w:rPr>
      </w:pPr>
      <w:r w:rsidRPr="00292BA7">
        <w:rPr>
          <w:lang w:val="es-ES_tradnl"/>
        </w:rPr>
        <w:t>Limitaciones técnicas para instrumentos del SETS (activo)</w:t>
      </w:r>
      <w:r w:rsidR="001E0A3A">
        <w:rPr>
          <w:lang w:val="es-ES_tradnl"/>
        </w:rPr>
        <w:br/>
      </w:r>
      <w:r w:rsidRPr="00292BA7">
        <w:rPr>
          <w:lang w:val="es-ES_tradnl"/>
        </w:rPr>
        <w:t>en la gama 420</w:t>
      </w:r>
      <w:r w:rsidRPr="00292BA7">
        <w:rPr>
          <w:lang w:val="es-ES_tradnl"/>
        </w:rPr>
        <w:noBreakHyphen/>
        <w:t>470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268"/>
      </w:tblGrid>
      <w:tr w:rsidR="00371237" w:rsidRPr="00292BA7" w:rsidTr="009B6D73">
        <w:trPr>
          <w:trHeight w:val="270"/>
          <w:jc w:val="center"/>
        </w:trPr>
        <w:tc>
          <w:tcPr>
            <w:tcW w:w="6237" w:type="dxa"/>
            <w:noWrap/>
            <w:tcMar>
              <w:top w:w="20" w:type="dxa"/>
              <w:left w:w="20" w:type="dxa"/>
              <w:bottom w:w="0" w:type="dxa"/>
              <w:right w:w="20" w:type="dxa"/>
            </w:tcMar>
            <w:vAlign w:val="bottom"/>
          </w:tcPr>
          <w:p w:rsidR="00371237" w:rsidRPr="00292BA7" w:rsidRDefault="00371237" w:rsidP="009B6D73">
            <w:pPr>
              <w:pStyle w:val="Tablehead"/>
              <w:rPr>
                <w:lang w:val="es-ES_tradnl"/>
              </w:rPr>
            </w:pPr>
            <w:r w:rsidRPr="00292BA7">
              <w:rPr>
                <w:lang w:val="es-ES_tradnl"/>
              </w:rPr>
              <w:t>Parámetro</w:t>
            </w:r>
          </w:p>
        </w:tc>
        <w:tc>
          <w:tcPr>
            <w:tcW w:w="2268" w:type="dxa"/>
            <w:noWrap/>
            <w:tcMar>
              <w:top w:w="20" w:type="dxa"/>
              <w:left w:w="20" w:type="dxa"/>
              <w:bottom w:w="0" w:type="dxa"/>
              <w:right w:w="20" w:type="dxa"/>
            </w:tcMar>
            <w:vAlign w:val="bottom"/>
          </w:tcPr>
          <w:p w:rsidR="00371237" w:rsidRPr="00292BA7" w:rsidRDefault="00371237" w:rsidP="009B6D73">
            <w:pPr>
              <w:pStyle w:val="Tablehead"/>
              <w:rPr>
                <w:lang w:val="es-ES_tradnl"/>
              </w:rPr>
            </w:pPr>
            <w:r w:rsidRPr="00292BA7">
              <w:rPr>
                <w:lang w:val="es-ES_tradnl"/>
              </w:rPr>
              <w:t>Valor</w:t>
            </w:r>
          </w:p>
        </w:tc>
      </w:tr>
      <w:tr w:rsidR="00371237" w:rsidRPr="00292BA7" w:rsidTr="009A5133">
        <w:trPr>
          <w:trHeight w:val="270"/>
          <w:jc w:val="center"/>
        </w:trPr>
        <w:tc>
          <w:tcPr>
            <w:tcW w:w="6237" w:type="dxa"/>
            <w:noWrap/>
            <w:tcMar>
              <w:top w:w="0" w:type="dxa"/>
              <w:left w:w="108" w:type="dxa"/>
              <w:bottom w:w="0" w:type="dxa"/>
              <w:right w:w="108" w:type="dxa"/>
            </w:tcMar>
            <w:vAlign w:val="bottom"/>
          </w:tcPr>
          <w:p w:rsidR="00371237" w:rsidRPr="00995AB5" w:rsidRDefault="00371237" w:rsidP="009A5133">
            <w:pPr>
              <w:pStyle w:val="Tabletext"/>
              <w:jc w:val="left"/>
              <w:rPr>
                <w:lang w:val="es-ES_tradnl"/>
              </w:rPr>
            </w:pPr>
            <w:r w:rsidRPr="00995AB5">
              <w:rPr>
                <w:lang w:val="es-ES_tradnl"/>
              </w:rPr>
              <w:t>dfp de cresta en la superficie de la Tierra producida por el lóbulo principal de la antena</w:t>
            </w:r>
          </w:p>
        </w:tc>
        <w:tc>
          <w:tcPr>
            <w:tcW w:w="2268" w:type="dxa"/>
            <w:noWrap/>
            <w:tcMar>
              <w:top w:w="0" w:type="dxa"/>
              <w:left w:w="108" w:type="dxa"/>
              <w:bottom w:w="0" w:type="dxa"/>
              <w:right w:w="108" w:type="dxa"/>
            </w:tcMar>
          </w:tcPr>
          <w:p w:rsidR="00371237" w:rsidRPr="00292BA7" w:rsidRDefault="00371237" w:rsidP="009A5133">
            <w:pPr>
              <w:pStyle w:val="Tabletext"/>
              <w:jc w:val="center"/>
            </w:pPr>
            <w:r w:rsidRPr="00292BA7">
              <w:sym w:font="Symbol" w:char="F02D"/>
            </w:r>
            <w:r w:rsidRPr="00292BA7">
              <w:t>140 dB(W/(m</w:t>
            </w:r>
            <w:r w:rsidRPr="00292BA7">
              <w:rPr>
                <w:vertAlign w:val="superscript"/>
              </w:rPr>
              <w:t>2</w:t>
            </w:r>
            <w:r w:rsidRPr="00292BA7">
              <w:t xml:space="preserve"> · Hz))</w:t>
            </w:r>
          </w:p>
        </w:tc>
      </w:tr>
      <w:tr w:rsidR="00371237" w:rsidRPr="00292BA7" w:rsidTr="009A5133">
        <w:trPr>
          <w:trHeight w:val="255"/>
          <w:jc w:val="center"/>
        </w:trPr>
        <w:tc>
          <w:tcPr>
            <w:tcW w:w="6237" w:type="dxa"/>
            <w:noWrap/>
            <w:tcMar>
              <w:top w:w="0" w:type="dxa"/>
              <w:left w:w="108" w:type="dxa"/>
              <w:bottom w:w="0" w:type="dxa"/>
              <w:right w:w="108" w:type="dxa"/>
            </w:tcMar>
            <w:vAlign w:val="bottom"/>
          </w:tcPr>
          <w:p w:rsidR="00371237" w:rsidRPr="00995AB5" w:rsidRDefault="00371237" w:rsidP="009A5133">
            <w:pPr>
              <w:pStyle w:val="Tabletext"/>
              <w:jc w:val="left"/>
              <w:rPr>
                <w:lang w:val="es-ES_tradnl"/>
              </w:rPr>
            </w:pPr>
            <w:r w:rsidRPr="00995AB5">
              <w:rPr>
                <w:lang w:val="es-ES_tradnl"/>
              </w:rPr>
              <w:t>Máximo valor medio de la dfp en la superficie de la Tierra producida por el lóbulo principal de la antena</w:t>
            </w:r>
          </w:p>
        </w:tc>
        <w:tc>
          <w:tcPr>
            <w:tcW w:w="2268" w:type="dxa"/>
            <w:noWrap/>
            <w:tcMar>
              <w:top w:w="0" w:type="dxa"/>
              <w:left w:w="108" w:type="dxa"/>
              <w:bottom w:w="0" w:type="dxa"/>
              <w:right w:w="108" w:type="dxa"/>
            </w:tcMar>
          </w:tcPr>
          <w:p w:rsidR="00371237" w:rsidRPr="00292BA7" w:rsidRDefault="00371237" w:rsidP="009A5133">
            <w:pPr>
              <w:pStyle w:val="Tabletext"/>
              <w:jc w:val="center"/>
            </w:pPr>
            <w:r w:rsidRPr="00292BA7">
              <w:sym w:font="Symbol" w:char="F02D"/>
            </w:r>
            <w:r w:rsidRPr="00292BA7">
              <w:t>150 dB(W/(m</w:t>
            </w:r>
            <w:r w:rsidRPr="00292BA7">
              <w:rPr>
                <w:vertAlign w:val="superscript"/>
              </w:rPr>
              <w:t>2</w:t>
            </w:r>
            <w:r w:rsidRPr="00292BA7">
              <w:t xml:space="preserve"> · Hz))</w:t>
            </w:r>
          </w:p>
        </w:tc>
      </w:tr>
      <w:tr w:rsidR="00371237" w:rsidRPr="00292BA7" w:rsidTr="009A5133">
        <w:trPr>
          <w:trHeight w:val="270"/>
          <w:jc w:val="center"/>
        </w:trPr>
        <w:tc>
          <w:tcPr>
            <w:tcW w:w="6237" w:type="dxa"/>
            <w:noWrap/>
            <w:tcMar>
              <w:top w:w="0" w:type="dxa"/>
              <w:left w:w="108" w:type="dxa"/>
              <w:bottom w:w="0" w:type="dxa"/>
              <w:right w:w="108" w:type="dxa"/>
            </w:tcMar>
            <w:vAlign w:val="bottom"/>
          </w:tcPr>
          <w:p w:rsidR="00371237" w:rsidRPr="00995AB5" w:rsidRDefault="00371237" w:rsidP="009A5133">
            <w:pPr>
              <w:pStyle w:val="Tabletext"/>
              <w:jc w:val="left"/>
              <w:rPr>
                <w:lang w:val="es-ES_tradnl"/>
              </w:rPr>
            </w:pPr>
            <w:r w:rsidRPr="00995AB5">
              <w:rPr>
                <w:lang w:val="es-ES_tradnl"/>
              </w:rPr>
              <w:t>Máximo valor medio de la dfp en la superficie de la Tierra producida por el primer lóbulo lateral de la antena</w:t>
            </w:r>
          </w:p>
        </w:tc>
        <w:tc>
          <w:tcPr>
            <w:tcW w:w="2268" w:type="dxa"/>
            <w:noWrap/>
            <w:tcMar>
              <w:top w:w="0" w:type="dxa"/>
              <w:left w:w="108" w:type="dxa"/>
              <w:bottom w:w="0" w:type="dxa"/>
              <w:right w:w="108" w:type="dxa"/>
            </w:tcMar>
          </w:tcPr>
          <w:p w:rsidR="00371237" w:rsidRPr="00292BA7" w:rsidRDefault="00371237" w:rsidP="009A5133">
            <w:pPr>
              <w:pStyle w:val="Tabletext"/>
              <w:jc w:val="center"/>
            </w:pPr>
            <w:r w:rsidRPr="00292BA7">
              <w:sym w:font="Symbol" w:char="F02D"/>
            </w:r>
            <w:r w:rsidRPr="00292BA7">
              <w:t>170 dB(W/(m</w:t>
            </w:r>
            <w:r w:rsidRPr="00292BA7">
              <w:rPr>
                <w:vertAlign w:val="superscript"/>
              </w:rPr>
              <w:t>2</w:t>
            </w:r>
            <w:r w:rsidRPr="00292BA7">
              <w:t xml:space="preserve"> · Hz))</w:t>
            </w:r>
          </w:p>
        </w:tc>
      </w:tr>
    </w:tbl>
    <w:p w:rsidR="00371237" w:rsidRPr="00292BA7" w:rsidRDefault="00371237" w:rsidP="009A5133">
      <w:pPr>
        <w:pStyle w:val="Tablefin"/>
      </w:pPr>
    </w:p>
    <w:p w:rsidR="00371237" w:rsidRPr="00292BA7" w:rsidRDefault="00371237" w:rsidP="00371237">
      <w:pPr>
        <w:pStyle w:val="Heading1"/>
        <w:rPr>
          <w:lang w:val="es-ES_tradnl"/>
        </w:rPr>
      </w:pPr>
      <w:r w:rsidRPr="00292BA7">
        <w:rPr>
          <w:lang w:val="es-ES_tradnl"/>
        </w:rPr>
        <w:t>2</w:t>
      </w:r>
      <w:r w:rsidRPr="00292BA7">
        <w:rPr>
          <w:lang w:val="es-ES_tradnl"/>
        </w:rPr>
        <w:tab/>
        <w:t>Limitaciones de explotación</w:t>
      </w:r>
    </w:p>
    <w:p w:rsidR="00371237" w:rsidRPr="00292BA7" w:rsidRDefault="00371237" w:rsidP="009A5133">
      <w:pPr>
        <w:rPr>
          <w:lang w:val="es-ES_tradnl"/>
        </w:rPr>
      </w:pPr>
      <w:r w:rsidRPr="00292BA7">
        <w:rPr>
          <w:lang w:val="es-ES_tradnl"/>
        </w:rPr>
        <w:t>El SETS (activo) que funciona en la banda</w:t>
      </w:r>
      <w:r w:rsidR="009A5133">
        <w:rPr>
          <w:lang w:val="es-ES_tradnl"/>
        </w:rPr>
        <w:t xml:space="preserve"> </w:t>
      </w:r>
      <w:r w:rsidRPr="00292BA7">
        <w:rPr>
          <w:lang w:val="es-ES_tradnl"/>
        </w:rPr>
        <w:t>420</w:t>
      </w:r>
      <w:r w:rsidRPr="00292BA7">
        <w:rPr>
          <w:lang w:val="es-ES_tradnl"/>
        </w:rPr>
        <w:noBreakHyphen/>
        <w:t>450 MHz no deberá transmitir dentro del campo de visión de los radares terrenales de seguimiento de objetos espaciales indicados en el Cuadro 2 a menos que para confirmar la compatibilidad se haya llevado a cabo un análisis detallado a fin de considerar los efectos del procesamiento realizado por el receptor del radar sobre las señales no deseadas del SAR y posiblemente se efectúen pruebas de funcionamiento práctico para confirmar la compatibilidad.</w:t>
      </w:r>
    </w:p>
    <w:p w:rsidR="00371237" w:rsidRPr="00292BA7" w:rsidRDefault="00371237" w:rsidP="00371237">
      <w:pPr>
        <w:rPr>
          <w:lang w:val="es-ES_tradnl"/>
        </w:rPr>
      </w:pPr>
      <w:r w:rsidRPr="00292BA7">
        <w:rPr>
          <w:lang w:val="es-ES_tradnl"/>
        </w:rPr>
        <w:t>Como consecuencia de las anteriores limitaciones, los instrumentos del SETS (activo) deberán diseñarse de tal forma que permitan una desconexión programable de todas las emisiones de RF sobre las zonas geográficas o países donde la reglamentación de la UIT o las reglamentaciones nacionales no permitan su funcionamiento.</w:t>
      </w:r>
    </w:p>
    <w:p w:rsidR="00371237" w:rsidRPr="00292BA7" w:rsidRDefault="00371237" w:rsidP="00371237">
      <w:pPr>
        <w:rPr>
          <w:lang w:val="es-ES_tradnl"/>
        </w:rPr>
      </w:pPr>
      <w:r w:rsidRPr="00292BA7">
        <w:rPr>
          <w:lang w:val="es-ES_tradnl"/>
        </w:rPr>
        <w:t>Los instrumentos del SETS (activo) deberán funcionar únicamente para la realización de campañas de medidas, dirigidos a zonas geográficas específicas y limitando el tiempo de actividad del instrumento al mínimo necesario para lograr los objetivos de las citadas campañas. Por consiguiente, las mediciones realizadas por el instrumento no exigen el funcionamiento continuo del mismo y pueden transcurrir periodos de varios meses entre mediciones sucesivas en la misma zona.</w:t>
      </w:r>
    </w:p>
    <w:p w:rsidR="00371237" w:rsidRPr="00292BA7" w:rsidRDefault="00371237" w:rsidP="00371237">
      <w:pPr>
        <w:rPr>
          <w:lang w:val="es-ES_tradnl"/>
        </w:rPr>
      </w:pPr>
      <w:r w:rsidRPr="00292BA7">
        <w:rPr>
          <w:lang w:val="es-ES_tradnl"/>
        </w:rPr>
        <w:t>El ciclo de funcionamiento en modo de campaña será del 15% como máximo (normalmente el 10%). Cuando no se estén realizando campañas de medidas el instrumento deberá permanecer desconectado.</w:t>
      </w:r>
    </w:p>
    <w:p w:rsidR="00371237" w:rsidRPr="00292BA7" w:rsidRDefault="00371237" w:rsidP="00371237">
      <w:pPr>
        <w:rPr>
          <w:lang w:val="es-ES_tradnl"/>
        </w:rPr>
      </w:pPr>
    </w:p>
    <w:p w:rsidR="00371237" w:rsidRPr="00292BA7" w:rsidRDefault="00371237" w:rsidP="00371237">
      <w:pPr>
        <w:pStyle w:val="FigureNo"/>
        <w:rPr>
          <w:lang w:val="es-ES_tradnl"/>
        </w:rPr>
      </w:pPr>
      <w:r w:rsidRPr="00292BA7">
        <w:rPr>
          <w:lang w:val="es-ES_tradnl"/>
        </w:rPr>
        <w:t>FIGURA 1</w:t>
      </w:r>
    </w:p>
    <w:p w:rsidR="00371237" w:rsidRPr="00292BA7" w:rsidRDefault="00371237" w:rsidP="00283BF4">
      <w:pPr>
        <w:pStyle w:val="Figuretitle"/>
        <w:rPr>
          <w:lang w:val="es-ES_tradnl"/>
        </w:rPr>
      </w:pPr>
      <w:r w:rsidRPr="00292BA7">
        <w:rPr>
          <w:lang w:val="es-ES_tradnl"/>
        </w:rPr>
        <w:t>Ejemplo de exclusión en torno a los radares de seguimiento de objetos espaciales para un SAR</w:t>
      </w:r>
      <w:r w:rsidR="00283BF4">
        <w:rPr>
          <w:lang w:val="es-ES_tradnl"/>
        </w:rPr>
        <w:br/>
      </w:r>
      <w:r w:rsidRPr="00292BA7">
        <w:rPr>
          <w:lang w:val="es-ES_tradnl"/>
        </w:rPr>
        <w:t>en una órbita de 665 km (</w:t>
      </w:r>
      <w:r w:rsidR="00283BF4" w:rsidRPr="00292BA7">
        <w:rPr>
          <w:lang w:val="es-ES_tradnl"/>
        </w:rPr>
        <w:t xml:space="preserve">las </w:t>
      </w:r>
      <w:r w:rsidRPr="00292BA7">
        <w:rPr>
          <w:lang w:val="es-ES_tradnl"/>
        </w:rPr>
        <w:t>masas terrestres fuera de la zona</w:t>
      </w:r>
      <w:r w:rsidR="00283BF4">
        <w:rPr>
          <w:lang w:val="es-ES_tradnl"/>
        </w:rPr>
        <w:br/>
      </w:r>
      <w:r w:rsidRPr="00292BA7">
        <w:rPr>
          <w:lang w:val="es-ES_tradnl"/>
        </w:rPr>
        <w:t>de exclusión se muestran en color rojo)</w:t>
      </w:r>
    </w:p>
    <w:p w:rsidR="00371237" w:rsidRPr="00292BA7" w:rsidRDefault="004B339C" w:rsidP="009A5133">
      <w:pPr>
        <w:pStyle w:val="Figure"/>
        <w:rPr>
          <w:lang w:val="es-ES_tradnl"/>
        </w:rPr>
      </w:pPr>
      <w:r>
        <w:rPr>
          <w:lang w:val="es-ES_tradnl"/>
        </w:rPr>
        <w:object w:dxaOrig="5486" w:dyaOrig="2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30pt" o:ole="">
            <v:imagedata r:id="rId13" o:title=""/>
          </v:shape>
          <o:OLEObject Type="Embed" ProgID="CorelDraw.Graphic.16" ShapeID="_x0000_i1025" DrawAspect="Content" ObjectID="_1586854486" r:id="rId14"/>
        </w:object>
      </w:r>
    </w:p>
    <w:p w:rsidR="00371237" w:rsidRPr="00292BA7" w:rsidRDefault="00371237" w:rsidP="00371237">
      <w:pPr>
        <w:pStyle w:val="TableNo"/>
        <w:rPr>
          <w:lang w:val="es-ES_tradnl"/>
        </w:rPr>
      </w:pPr>
      <w:r w:rsidRPr="00292BA7">
        <w:rPr>
          <w:lang w:val="es-ES_tradnl"/>
        </w:rPr>
        <w:t>CUADRO  2</w:t>
      </w:r>
    </w:p>
    <w:p w:rsidR="00371237" w:rsidRPr="00292BA7" w:rsidRDefault="00371237" w:rsidP="004B339C">
      <w:pPr>
        <w:pStyle w:val="Tabletitle"/>
        <w:rPr>
          <w:lang w:val="es-ES_tradnl"/>
        </w:rPr>
      </w:pPr>
      <w:r w:rsidRPr="00292BA7">
        <w:rPr>
          <w:lang w:val="es-ES_tradnl"/>
        </w:rPr>
        <w:t>Radares de seguimiento de objetos espaciales que funcionan</w:t>
      </w:r>
      <w:r w:rsidR="004B339C">
        <w:rPr>
          <w:lang w:val="es-ES_tradnl"/>
        </w:rPr>
        <w:t xml:space="preserve"> </w:t>
      </w:r>
      <w:r w:rsidRPr="00292BA7">
        <w:rPr>
          <w:lang w:val="es-ES_tradnl"/>
        </w:rPr>
        <w:t>en la banda 430-440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2"/>
        <w:gridCol w:w="1984"/>
        <w:gridCol w:w="1984"/>
      </w:tblGrid>
      <w:tr w:rsidR="00371237" w:rsidRPr="00292BA7" w:rsidTr="009A5133">
        <w:trPr>
          <w:jc w:val="center"/>
        </w:trPr>
        <w:tc>
          <w:tcPr>
            <w:tcW w:w="5102" w:type="dxa"/>
          </w:tcPr>
          <w:p w:rsidR="00371237" w:rsidRPr="00292BA7" w:rsidRDefault="00371237" w:rsidP="009A5133">
            <w:pPr>
              <w:pStyle w:val="Tablehead"/>
              <w:rPr>
                <w:lang w:val="es-ES_tradnl"/>
              </w:rPr>
            </w:pPr>
            <w:r w:rsidRPr="00292BA7">
              <w:rPr>
                <w:lang w:val="es-ES_tradnl"/>
              </w:rPr>
              <w:t>Ubicación del radar</w:t>
            </w:r>
          </w:p>
        </w:tc>
        <w:tc>
          <w:tcPr>
            <w:tcW w:w="1984" w:type="dxa"/>
          </w:tcPr>
          <w:p w:rsidR="00371237" w:rsidRPr="00292BA7" w:rsidRDefault="00371237" w:rsidP="009A5133">
            <w:pPr>
              <w:pStyle w:val="Tablehead"/>
              <w:rPr>
                <w:lang w:val="es-ES_tradnl"/>
              </w:rPr>
            </w:pPr>
            <w:r w:rsidRPr="00292BA7">
              <w:rPr>
                <w:lang w:val="es-ES_tradnl"/>
              </w:rPr>
              <w:t>Latitud</w:t>
            </w:r>
          </w:p>
        </w:tc>
        <w:tc>
          <w:tcPr>
            <w:tcW w:w="1984" w:type="dxa"/>
          </w:tcPr>
          <w:p w:rsidR="00371237" w:rsidRPr="00292BA7" w:rsidRDefault="00371237" w:rsidP="009A5133">
            <w:pPr>
              <w:pStyle w:val="Tablehead"/>
              <w:rPr>
                <w:lang w:val="es-ES_tradnl"/>
              </w:rPr>
            </w:pPr>
            <w:r w:rsidRPr="00292BA7">
              <w:rPr>
                <w:lang w:val="es-ES_tradnl"/>
              </w:rPr>
              <w:t>Longitud</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Massachusetts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lang w:val="es-ES_tradnl"/>
              </w:rPr>
            </w:pPr>
            <w:r w:rsidRPr="00292BA7">
              <w:rPr>
                <w:sz w:val="22"/>
                <w:lang w:val="es-ES_tradnl"/>
              </w:rPr>
              <w:t>41,8</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20"/>
              <w:rPr>
                <w:sz w:val="22"/>
                <w:lang w:val="es-ES_tradnl"/>
              </w:rPr>
            </w:pPr>
            <w:r w:rsidRPr="00292BA7">
              <w:rPr>
                <w:sz w:val="22"/>
                <w:lang w:val="es-ES_tradnl"/>
              </w:rPr>
              <w:t>70,5</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Texas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lang w:val="es-ES_tradnl"/>
              </w:rPr>
            </w:pPr>
            <w:r w:rsidRPr="00292BA7">
              <w:rPr>
                <w:sz w:val="22"/>
                <w:lang w:val="es-ES_tradnl"/>
              </w:rPr>
              <w:t>31,0</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20"/>
              <w:rPr>
                <w:sz w:val="22"/>
                <w:lang w:val="es-ES_tradnl"/>
              </w:rPr>
            </w:pPr>
            <w:r w:rsidRPr="00292BA7">
              <w:rPr>
                <w:sz w:val="22"/>
                <w:lang w:val="es-ES_tradnl"/>
              </w:rPr>
              <w:t>100,6</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California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lang w:val="es-ES_tradnl"/>
              </w:rPr>
            </w:pPr>
            <w:r w:rsidRPr="00292BA7">
              <w:rPr>
                <w:sz w:val="22"/>
                <w:lang w:val="es-ES_tradnl"/>
              </w:rPr>
              <w:t>39,1</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20"/>
              <w:rPr>
                <w:sz w:val="22"/>
                <w:lang w:val="es-ES_tradnl"/>
              </w:rPr>
            </w:pPr>
            <w:r w:rsidRPr="00292BA7">
              <w:rPr>
                <w:sz w:val="22"/>
                <w:lang w:val="es-ES_tradnl"/>
              </w:rPr>
              <w:t>121,5</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Georgia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lang w:val="es-ES_tradnl"/>
              </w:rPr>
            </w:pPr>
            <w:r w:rsidRPr="00292BA7">
              <w:rPr>
                <w:sz w:val="22"/>
                <w:lang w:val="es-ES_tradnl"/>
              </w:rPr>
              <w:t>32,6</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20"/>
              <w:rPr>
                <w:sz w:val="22"/>
                <w:lang w:val="es-ES_tradnl"/>
              </w:rPr>
            </w:pPr>
            <w:r w:rsidRPr="00292BA7">
              <w:rPr>
                <w:sz w:val="22"/>
                <w:lang w:val="es-ES_tradnl"/>
              </w:rPr>
              <w:t>83,6</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Florida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20"/>
              <w:jc w:val="center"/>
              <w:rPr>
                <w:sz w:val="22"/>
                <w:lang w:val="es-ES_tradnl"/>
              </w:rPr>
            </w:pPr>
            <w:r w:rsidRPr="00292BA7">
              <w:rPr>
                <w:sz w:val="22"/>
                <w:lang w:val="es-ES_tradnl"/>
              </w:rPr>
              <w:t>30,6</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20"/>
              <w:rPr>
                <w:sz w:val="22"/>
                <w:lang w:val="es-ES_tradnl"/>
              </w:rPr>
            </w:pPr>
            <w:r w:rsidRPr="00292BA7">
              <w:rPr>
                <w:sz w:val="22"/>
                <w:lang w:val="es-ES_tradnl"/>
              </w:rPr>
              <w:t>86,2</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Dakota del Norte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92BA7">
              <w:rPr>
                <w:sz w:val="22"/>
                <w:lang w:val="es-ES_tradnl"/>
              </w:rPr>
              <w:t>48,7</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40"/>
              <w:rPr>
                <w:sz w:val="22"/>
                <w:lang w:val="es-ES_tradnl"/>
              </w:rPr>
            </w:pPr>
            <w:r w:rsidRPr="00292BA7">
              <w:rPr>
                <w:sz w:val="22"/>
                <w:lang w:val="es-ES_tradnl"/>
              </w:rPr>
              <w:t>97,9</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Alaska (Estados Unidos de América)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92BA7">
              <w:rPr>
                <w:sz w:val="22"/>
                <w:lang w:val="es-ES_tradnl"/>
              </w:rPr>
              <w:t>64,3</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40"/>
              <w:rPr>
                <w:sz w:val="22"/>
                <w:lang w:val="es-ES_tradnl"/>
              </w:rPr>
            </w:pPr>
            <w:r w:rsidRPr="00292BA7">
              <w:rPr>
                <w:sz w:val="22"/>
                <w:lang w:val="es-ES_tradnl"/>
              </w:rPr>
              <w:t>149,2</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Thule (Groenlandia)</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92BA7">
              <w:rPr>
                <w:sz w:val="22"/>
                <w:lang w:val="es-ES_tradnl"/>
              </w:rPr>
              <w:t>76,6</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40"/>
              <w:rPr>
                <w:sz w:val="22"/>
                <w:lang w:val="es-ES_tradnl"/>
              </w:rPr>
            </w:pPr>
            <w:r w:rsidRPr="00292BA7">
              <w:rPr>
                <w:sz w:val="22"/>
                <w:lang w:val="es-ES_tradnl"/>
              </w:rPr>
              <w:t>68,3</w:t>
            </w:r>
            <w:r w:rsidR="009A5133">
              <w:rPr>
                <w:sz w:val="22"/>
                <w:lang w:val="es-ES_tradnl"/>
              </w:rPr>
              <w:t>°</w:t>
            </w:r>
            <w:r w:rsidRPr="00292BA7">
              <w:rPr>
                <w:sz w:val="22"/>
                <w:lang w:val="es-ES_tradnl"/>
              </w:rPr>
              <w:t xml:space="preserve"> W</w:t>
            </w:r>
          </w:p>
        </w:tc>
      </w:tr>
      <w:tr w:rsidR="00371237" w:rsidRPr="00292BA7" w:rsidTr="009A5133">
        <w:trPr>
          <w:jc w:val="center"/>
        </w:trPr>
        <w:tc>
          <w:tcPr>
            <w:tcW w:w="5102" w:type="dxa"/>
          </w:tcPr>
          <w:p w:rsidR="00371237" w:rsidRPr="00292BA7" w:rsidRDefault="00371237" w:rsidP="009A5133">
            <w:pPr>
              <w:pStyle w:val="Tabletext"/>
              <w:spacing w:before="80" w:after="80"/>
              <w:rPr>
                <w:lang w:val="es-ES_tradnl"/>
              </w:rPr>
            </w:pPr>
            <w:r w:rsidRPr="00292BA7">
              <w:rPr>
                <w:lang w:val="es-ES_tradnl"/>
              </w:rPr>
              <w:t>Fylingdales Moor (Reino Unido)</w:t>
            </w:r>
          </w:p>
        </w:tc>
        <w:tc>
          <w:tcPr>
            <w:tcW w:w="1984" w:type="dxa"/>
          </w:tcPr>
          <w:p w:rsidR="00371237" w:rsidRPr="00292BA7" w:rsidRDefault="00371237" w:rsidP="009A51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92BA7">
              <w:rPr>
                <w:sz w:val="22"/>
                <w:lang w:val="es-ES_tradnl"/>
              </w:rPr>
              <w:t>54,5</w:t>
            </w:r>
            <w:r w:rsidR="009A5133">
              <w:rPr>
                <w:sz w:val="22"/>
                <w:lang w:val="es-ES_tradnl"/>
              </w:rPr>
              <w:t>°</w:t>
            </w:r>
            <w:r w:rsidRPr="00292BA7">
              <w:rPr>
                <w:sz w:val="22"/>
                <w:lang w:val="es-ES_tradnl"/>
              </w:rPr>
              <w:t xml:space="preserve"> N</w:t>
            </w:r>
          </w:p>
        </w:tc>
        <w:tc>
          <w:tcPr>
            <w:tcW w:w="1984" w:type="dxa"/>
          </w:tcPr>
          <w:p w:rsidR="00371237" w:rsidRPr="00292BA7" w:rsidRDefault="00371237" w:rsidP="009A5133">
            <w:pPr>
              <w:tabs>
                <w:tab w:val="clear" w:pos="794"/>
                <w:tab w:val="clear" w:pos="1191"/>
                <w:tab w:val="clear" w:pos="1588"/>
                <w:tab w:val="clear" w:pos="1985"/>
                <w:tab w:val="decimal" w:pos="828"/>
              </w:tabs>
              <w:spacing w:before="40" w:after="40"/>
              <w:rPr>
                <w:sz w:val="22"/>
                <w:lang w:val="es-ES_tradnl"/>
              </w:rPr>
            </w:pPr>
            <w:r w:rsidRPr="00292BA7">
              <w:rPr>
                <w:sz w:val="22"/>
                <w:lang w:val="es-ES_tradnl"/>
              </w:rPr>
              <w:t>0,4</w:t>
            </w:r>
            <w:r w:rsidR="009A5133">
              <w:rPr>
                <w:sz w:val="22"/>
                <w:lang w:val="es-ES_tradnl"/>
              </w:rPr>
              <w:t>°</w:t>
            </w:r>
            <w:r w:rsidRPr="00292BA7">
              <w:rPr>
                <w:sz w:val="22"/>
                <w:lang w:val="es-ES_tradnl"/>
              </w:rPr>
              <w:t xml:space="preserve"> W</w:t>
            </w:r>
          </w:p>
        </w:tc>
      </w:tr>
    </w:tbl>
    <w:p w:rsidR="00371237" w:rsidRDefault="00371237" w:rsidP="009A5133">
      <w:pPr>
        <w:pStyle w:val="Heading1"/>
        <w:rPr>
          <w:lang w:val="es-ES_tradnl"/>
        </w:rPr>
      </w:pPr>
      <w:r w:rsidRPr="00292BA7">
        <w:rPr>
          <w:lang w:val="es-ES_tradnl"/>
        </w:rPr>
        <w:t>3</w:t>
      </w:r>
      <w:r w:rsidRPr="00292BA7">
        <w:rPr>
          <w:lang w:val="es-ES_tradnl"/>
        </w:rPr>
        <w:tab/>
        <w:t>Criterios de protección para los servicios existentes en la gama de frecuencias</w:t>
      </w:r>
      <w:r w:rsidR="009A5133">
        <w:rPr>
          <w:lang w:val="es-ES_tradnl"/>
        </w:rPr>
        <w:t xml:space="preserve"> </w:t>
      </w:r>
      <w:r w:rsidRPr="00292BA7">
        <w:rPr>
          <w:lang w:val="es-ES_tradnl"/>
        </w:rPr>
        <w:t>420</w:t>
      </w:r>
      <w:r w:rsidRPr="00292BA7">
        <w:rPr>
          <w:lang w:val="es-ES_tradnl"/>
        </w:rPr>
        <w:noBreakHyphen/>
        <w:t>470 MHz</w:t>
      </w:r>
    </w:p>
    <w:p w:rsidR="00371237" w:rsidRPr="00292BA7" w:rsidRDefault="00371237" w:rsidP="00371237">
      <w:pPr>
        <w:rPr>
          <w:lang w:val="es-ES_tradnl"/>
        </w:rPr>
      </w:pPr>
      <w:bookmarkStart w:id="4" w:name="_GoBack"/>
      <w:bookmarkEnd w:id="4"/>
      <w:r w:rsidRPr="00292BA7">
        <w:rPr>
          <w:lang w:val="es-ES_tradnl"/>
        </w:rPr>
        <w:t>No todos los criterios de protección mencionados en este punto aparecen en las Recomendaciones UIT</w:t>
      </w:r>
      <w:r w:rsidRPr="00292BA7">
        <w:rPr>
          <w:lang w:val="es-ES_tradnl"/>
        </w:rPr>
        <w:noBreakHyphen/>
        <w:t>R. Por lo tanto, algunos de estos criterios de protección se han obtenido a partir de la información extraída de los estudios realizados por el UIT</w:t>
      </w:r>
      <w:r w:rsidRPr="00292BA7">
        <w:rPr>
          <w:lang w:val="es-ES_tradnl"/>
        </w:rPr>
        <w:noBreakHyphen/>
        <w:t>R. El Cuadro 3 refleja la información disponible en el instante de elaborar la presente Recomendación.</w:t>
      </w:r>
    </w:p>
    <w:p w:rsidR="00371237" w:rsidRPr="00292BA7" w:rsidRDefault="00371237" w:rsidP="00371237">
      <w:pPr>
        <w:rPr>
          <w:lang w:val="es-ES_tradnl"/>
        </w:rPr>
      </w:pPr>
      <w:r w:rsidRPr="00292BA7">
        <w:rPr>
          <w:lang w:val="es-ES_tradnl"/>
        </w:rPr>
        <w:t>Cabe señalar que cualquier futura Recomendación que describa los criterios de protección para cualquier servicio tiene preferencia sobre los valores indicados en el cuadro obtenido de los estudios del UIT</w:t>
      </w:r>
      <w:r w:rsidRPr="00292BA7">
        <w:rPr>
          <w:lang w:val="es-ES_tradnl"/>
        </w:rPr>
        <w:noBreakHyphen/>
        <w:t>R.</w:t>
      </w:r>
    </w:p>
    <w:p w:rsidR="00371237" w:rsidRPr="00292BA7" w:rsidRDefault="00371237" w:rsidP="00371237">
      <w:pPr>
        <w:pStyle w:val="TableNo"/>
        <w:rPr>
          <w:lang w:val="es-ES_tradnl"/>
        </w:rPr>
      </w:pPr>
      <w:r w:rsidRPr="00292BA7">
        <w:rPr>
          <w:lang w:val="es-ES_tradnl"/>
        </w:rPr>
        <w:t>CUADRO  3</w:t>
      </w:r>
    </w:p>
    <w:p w:rsidR="00371237" w:rsidRPr="00292BA7" w:rsidRDefault="00371237" w:rsidP="00371237">
      <w:pPr>
        <w:pStyle w:val="Tabletitle"/>
        <w:rPr>
          <w:lang w:val="es-ES_tradnl"/>
        </w:rPr>
      </w:pPr>
      <w:r w:rsidRPr="00292BA7">
        <w:rPr>
          <w:lang w:val="es-ES_tradnl"/>
        </w:rPr>
        <w:t>Criterios de protección para los servicios en la gama 420-470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134"/>
        <w:gridCol w:w="2245"/>
        <w:gridCol w:w="1219"/>
        <w:gridCol w:w="2269"/>
        <w:gridCol w:w="1538"/>
      </w:tblGrid>
      <w:tr w:rsidR="00371237" w:rsidRPr="00292BA7" w:rsidTr="008513E4">
        <w:trPr>
          <w:jc w:val="center"/>
        </w:trPr>
        <w:tc>
          <w:tcPr>
            <w:tcW w:w="1247"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Gama de frecuencias (MHz)</w:t>
            </w:r>
          </w:p>
        </w:tc>
        <w:tc>
          <w:tcPr>
            <w:tcW w:w="1134"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Servicios del RR</w:t>
            </w:r>
          </w:p>
        </w:tc>
        <w:tc>
          <w:tcPr>
            <w:tcW w:w="2245"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Los porcentajes de tiempo y los criterios de las columnas 4 y 5 sólo se aplican en las siguientes zonas geográficas</w:t>
            </w:r>
          </w:p>
        </w:tc>
        <w:tc>
          <w:tcPr>
            <w:tcW w:w="1219"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Máximo porcentaje de tiempo durante el que puede rebasarse el criterio</w:t>
            </w:r>
            <w:r w:rsidRPr="00292BA7">
              <w:rPr>
                <w:sz w:val="18"/>
                <w:vertAlign w:val="superscript"/>
                <w:lang w:val="es-ES_tradnl"/>
              </w:rPr>
              <w:t>(1)</w:t>
            </w:r>
          </w:p>
        </w:tc>
        <w:tc>
          <w:tcPr>
            <w:tcW w:w="2269"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Criterios de interferencia en las estaciones receptoras</w:t>
            </w:r>
          </w:p>
        </w:tc>
        <w:tc>
          <w:tcPr>
            <w:tcW w:w="1538" w:type="dxa"/>
            <w:vAlign w:val="center"/>
          </w:tcPr>
          <w:p w:rsidR="00371237" w:rsidRPr="00292BA7" w:rsidRDefault="00371237" w:rsidP="00294740">
            <w:pPr>
              <w:pStyle w:val="Tablehead"/>
              <w:tabs>
                <w:tab w:val="clear" w:pos="1134"/>
                <w:tab w:val="clear" w:pos="2268"/>
              </w:tabs>
              <w:spacing w:before="60" w:after="60"/>
              <w:rPr>
                <w:sz w:val="18"/>
                <w:lang w:val="es-ES_tradnl"/>
              </w:rPr>
            </w:pPr>
            <w:r w:rsidRPr="00292BA7">
              <w:rPr>
                <w:sz w:val="18"/>
                <w:lang w:val="es-ES_tradnl"/>
              </w:rPr>
              <w:t>Fuentes</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430-440</w:t>
            </w:r>
          </w:p>
        </w:tc>
        <w:tc>
          <w:tcPr>
            <w:tcW w:w="1134" w:type="dxa"/>
          </w:tcPr>
          <w:p w:rsidR="00371237" w:rsidRPr="00E614F6" w:rsidRDefault="00371237" w:rsidP="00E614F6">
            <w:pPr>
              <w:pStyle w:val="Tabletext"/>
              <w:jc w:val="left"/>
              <w:rPr>
                <w:sz w:val="18"/>
                <w:szCs w:val="18"/>
                <w:lang w:val="es-ES_tradnl"/>
              </w:rPr>
            </w:pPr>
            <w:r w:rsidRPr="00E614F6">
              <w:rPr>
                <w:sz w:val="18"/>
                <w:szCs w:val="18"/>
                <w:lang w:val="es-ES_tradnl"/>
              </w:rPr>
              <w:t>Aficionados</w:t>
            </w:r>
          </w:p>
        </w:tc>
        <w:tc>
          <w:tcPr>
            <w:tcW w:w="2245" w:type="dxa"/>
          </w:tcPr>
          <w:p w:rsidR="00371237" w:rsidRPr="00E614F6" w:rsidRDefault="00371237" w:rsidP="00E614F6">
            <w:pPr>
              <w:pStyle w:val="Tabletext"/>
              <w:jc w:val="left"/>
              <w:rPr>
                <w:sz w:val="18"/>
                <w:szCs w:val="18"/>
                <w:lang w:val="es-ES_tradnl"/>
              </w:rPr>
            </w:pPr>
            <w:r w:rsidRPr="00E614F6">
              <w:rPr>
                <w:sz w:val="18"/>
                <w:szCs w:val="18"/>
                <w:lang w:val="es-ES_tradnl"/>
              </w:rPr>
              <w:t>Dentro de la visibilidad directa de las estaciones de</w:t>
            </w:r>
            <w:r w:rsidR="00C50A6B" w:rsidRPr="00E614F6">
              <w:rPr>
                <w:sz w:val="18"/>
                <w:szCs w:val="18"/>
                <w:lang w:val="es-ES_tradnl"/>
              </w:rPr>
              <w:t> </w:t>
            </w:r>
            <w:r w:rsidRPr="00E614F6">
              <w:rPr>
                <w:sz w:val="18"/>
                <w:szCs w:val="18"/>
                <w:lang w:val="es-ES_tradnl"/>
              </w:rPr>
              <w:t xml:space="preserve">aficionados terrenales situadas en las regiones definidas en el </w:t>
            </w:r>
            <w:r w:rsidRPr="00E614F6">
              <w:rPr>
                <w:i/>
                <w:iCs/>
                <w:sz w:val="18"/>
                <w:szCs w:val="18"/>
                <w:lang w:val="es-ES_tradnl"/>
              </w:rPr>
              <w:t>considerando</w:t>
            </w:r>
            <w:r w:rsidRPr="00E614F6">
              <w:rPr>
                <w:sz w:val="18"/>
                <w:szCs w:val="18"/>
                <w:lang w:val="es-ES_tradnl"/>
              </w:rPr>
              <w:t> </w:t>
            </w:r>
            <w:r w:rsidRPr="00E614F6">
              <w:rPr>
                <w:i/>
                <w:iCs/>
                <w:sz w:val="18"/>
                <w:szCs w:val="18"/>
                <w:lang w:val="es-ES_tradnl"/>
              </w:rPr>
              <w:t>i</w:t>
            </w:r>
            <w:r w:rsidRPr="00E614F6">
              <w:rPr>
                <w:sz w:val="18"/>
                <w:szCs w:val="18"/>
                <w:lang w:val="es-ES_tradnl"/>
              </w:rPr>
              <w:t>)</w:t>
            </w:r>
          </w:p>
        </w:tc>
        <w:tc>
          <w:tcPr>
            <w:tcW w:w="1219" w:type="dxa"/>
          </w:tcPr>
          <w:p w:rsidR="00371237" w:rsidRPr="00E614F6" w:rsidRDefault="00371237" w:rsidP="00766D63">
            <w:pPr>
              <w:pStyle w:val="Tabletext"/>
              <w:jc w:val="center"/>
              <w:rPr>
                <w:sz w:val="18"/>
                <w:szCs w:val="18"/>
                <w:lang w:val="es-ES_tradnl"/>
              </w:rPr>
            </w:pPr>
            <w:r w:rsidRPr="00E614F6">
              <w:rPr>
                <w:sz w:val="18"/>
                <w:szCs w:val="18"/>
                <w:lang w:val="es-ES_tradnl"/>
              </w:rPr>
              <w:t>1%</w:t>
            </w:r>
          </w:p>
        </w:tc>
        <w:tc>
          <w:tcPr>
            <w:tcW w:w="2269" w:type="dxa"/>
          </w:tcPr>
          <w:p w:rsidR="00371237" w:rsidRPr="00E614F6" w:rsidRDefault="00371237" w:rsidP="00E614F6">
            <w:pPr>
              <w:pStyle w:val="Tabletext"/>
              <w:jc w:val="left"/>
              <w:rPr>
                <w:sz w:val="18"/>
                <w:szCs w:val="18"/>
                <w:lang w:val="es-ES_tradnl"/>
              </w:rPr>
            </w:pPr>
            <w:r w:rsidRPr="00E614F6">
              <w:rPr>
                <w:sz w:val="18"/>
                <w:szCs w:val="18"/>
                <w:lang w:val="es-ES_tradnl"/>
              </w:rPr>
              <w:t xml:space="preserve">dfp </w:t>
            </w:r>
            <w:r w:rsidR="00E614F6"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204 dB</w:t>
            </w:r>
            <w:r w:rsidR="00283BF4" w:rsidRPr="00E614F6">
              <w:rPr>
                <w:sz w:val="18"/>
                <w:szCs w:val="18"/>
                <w:lang w:val="es-ES_tradnl"/>
              </w:rPr>
              <w:br/>
            </w:r>
            <w:r w:rsidRPr="00E614F6">
              <w:rPr>
                <w:sz w:val="18"/>
                <w:szCs w:val="18"/>
                <w:lang w:val="es-ES_tradnl"/>
              </w:rPr>
              <w:t>(W/(m</w:t>
            </w:r>
            <w:r w:rsidRPr="00E614F6">
              <w:rPr>
                <w:sz w:val="18"/>
                <w:szCs w:val="18"/>
                <w:vertAlign w:val="superscript"/>
                <w:lang w:val="es-ES_tradnl"/>
              </w:rPr>
              <w:t>2</w:t>
            </w:r>
            <w:r w:rsidRPr="00E614F6">
              <w:rPr>
                <w:sz w:val="18"/>
                <w:szCs w:val="18"/>
              </w:rPr>
              <w:t xml:space="preserve"> </w:t>
            </w:r>
            <w:r w:rsidRPr="00E614F6">
              <w:rPr>
                <w:sz w:val="18"/>
                <w:szCs w:val="18"/>
                <w:lang w:val="es-ES_tradnl"/>
              </w:rPr>
              <w:t>· Hz))</w:t>
            </w:r>
            <w:r w:rsidRPr="00E614F6">
              <w:rPr>
                <w:sz w:val="18"/>
                <w:szCs w:val="18"/>
                <w:vertAlign w:val="superscript"/>
                <w:lang w:val="es-ES_tradnl"/>
              </w:rPr>
              <w:t>(2)</w:t>
            </w:r>
          </w:p>
        </w:tc>
        <w:tc>
          <w:tcPr>
            <w:tcW w:w="1538" w:type="dxa"/>
          </w:tcPr>
          <w:p w:rsidR="00371237" w:rsidRPr="00E614F6" w:rsidRDefault="00371237" w:rsidP="00E614F6">
            <w:pPr>
              <w:pStyle w:val="Tabletext"/>
              <w:jc w:val="left"/>
              <w:rPr>
                <w:sz w:val="18"/>
                <w:szCs w:val="18"/>
                <w:lang w:val="es-ES_tradnl"/>
              </w:rPr>
            </w:pPr>
            <w:r w:rsidRPr="00E614F6">
              <w:rPr>
                <w:sz w:val="18"/>
                <w:szCs w:val="18"/>
                <w:lang w:val="es-ES_tradnl"/>
              </w:rPr>
              <w:t>Estudios del UIT</w:t>
            </w:r>
            <w:r w:rsidRPr="00E614F6">
              <w:rPr>
                <w:sz w:val="18"/>
                <w:szCs w:val="18"/>
                <w:lang w:val="es-ES_tradnl"/>
              </w:rPr>
              <w:noBreakHyphen/>
              <w:t>R</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435-438</w:t>
            </w:r>
          </w:p>
        </w:tc>
        <w:tc>
          <w:tcPr>
            <w:tcW w:w="1134" w:type="dxa"/>
          </w:tcPr>
          <w:p w:rsidR="00371237" w:rsidRPr="00E614F6" w:rsidRDefault="00371237" w:rsidP="00E614F6">
            <w:pPr>
              <w:pStyle w:val="Tabletext"/>
              <w:jc w:val="left"/>
              <w:rPr>
                <w:sz w:val="18"/>
                <w:szCs w:val="18"/>
                <w:lang w:val="es-ES_tradnl"/>
              </w:rPr>
            </w:pPr>
            <w:r w:rsidRPr="00E614F6">
              <w:rPr>
                <w:sz w:val="18"/>
                <w:szCs w:val="18"/>
                <w:lang w:val="es-ES_tradnl"/>
              </w:rPr>
              <w:t>Aficionados por satélite</w:t>
            </w:r>
          </w:p>
        </w:tc>
        <w:tc>
          <w:tcPr>
            <w:tcW w:w="2245" w:type="dxa"/>
          </w:tcPr>
          <w:p w:rsidR="00371237" w:rsidRPr="00E614F6" w:rsidRDefault="00371237" w:rsidP="00E614F6">
            <w:pPr>
              <w:pStyle w:val="Tabletext"/>
              <w:jc w:val="left"/>
              <w:rPr>
                <w:sz w:val="18"/>
                <w:szCs w:val="18"/>
                <w:lang w:val="es-ES_tradnl"/>
              </w:rPr>
            </w:pPr>
            <w:r w:rsidRPr="00E614F6">
              <w:rPr>
                <w:sz w:val="18"/>
                <w:szCs w:val="18"/>
                <w:lang w:val="es-ES_tradnl"/>
              </w:rPr>
              <w:t xml:space="preserve">Dentro de la visibilidad directa de las estaciones terrenas del servicio de aficionados por satélites situadas en las regiones definidas en el </w:t>
            </w:r>
            <w:r w:rsidRPr="00E614F6">
              <w:rPr>
                <w:i/>
                <w:iCs/>
                <w:sz w:val="18"/>
                <w:szCs w:val="18"/>
                <w:lang w:val="es-ES_tradnl"/>
              </w:rPr>
              <w:t>considerando i</w:t>
            </w:r>
            <w:r w:rsidRPr="00E614F6">
              <w:rPr>
                <w:sz w:val="18"/>
                <w:szCs w:val="18"/>
                <w:lang w:val="es-ES_tradnl"/>
              </w:rPr>
              <w:t>)</w:t>
            </w:r>
          </w:p>
        </w:tc>
        <w:tc>
          <w:tcPr>
            <w:tcW w:w="1219" w:type="dxa"/>
          </w:tcPr>
          <w:p w:rsidR="00371237" w:rsidRPr="00E614F6" w:rsidRDefault="00371237" w:rsidP="00766D63">
            <w:pPr>
              <w:pStyle w:val="Tabletext"/>
              <w:jc w:val="center"/>
              <w:rPr>
                <w:sz w:val="18"/>
                <w:szCs w:val="18"/>
                <w:lang w:val="es-ES_tradnl"/>
              </w:rPr>
            </w:pPr>
            <w:r w:rsidRPr="00E614F6">
              <w:rPr>
                <w:sz w:val="18"/>
                <w:szCs w:val="18"/>
                <w:lang w:val="es-ES_tradnl"/>
              </w:rPr>
              <w:t>1%</w:t>
            </w:r>
          </w:p>
        </w:tc>
        <w:tc>
          <w:tcPr>
            <w:tcW w:w="2269" w:type="dxa"/>
          </w:tcPr>
          <w:p w:rsidR="00371237" w:rsidRPr="00E614F6" w:rsidRDefault="00371237" w:rsidP="00E614F6">
            <w:pPr>
              <w:pStyle w:val="Tabletext"/>
              <w:jc w:val="left"/>
              <w:rPr>
                <w:sz w:val="18"/>
                <w:szCs w:val="18"/>
                <w:lang w:val="es-ES_tradnl"/>
              </w:rPr>
            </w:pPr>
            <w:r w:rsidRPr="00E614F6">
              <w:rPr>
                <w:sz w:val="18"/>
                <w:szCs w:val="18"/>
                <w:lang w:val="es-ES_tradnl"/>
              </w:rPr>
              <w:t xml:space="preserve">dfp </w:t>
            </w:r>
            <w:r w:rsidR="00E614F6"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197 dB</w:t>
            </w:r>
            <w:r w:rsidR="00283BF4" w:rsidRPr="00E614F6">
              <w:rPr>
                <w:sz w:val="18"/>
                <w:szCs w:val="18"/>
                <w:lang w:val="es-ES_tradnl"/>
              </w:rPr>
              <w:br/>
            </w:r>
            <w:r w:rsidRPr="00E614F6">
              <w:rPr>
                <w:sz w:val="18"/>
                <w:szCs w:val="18"/>
                <w:lang w:val="es-ES_tradnl"/>
              </w:rPr>
              <w:t>(W/(m</w:t>
            </w:r>
            <w:r w:rsidRPr="00E614F6">
              <w:rPr>
                <w:sz w:val="18"/>
                <w:szCs w:val="18"/>
                <w:vertAlign w:val="superscript"/>
                <w:lang w:val="es-ES_tradnl"/>
              </w:rPr>
              <w:t xml:space="preserve">2 </w:t>
            </w:r>
            <w:r w:rsidRPr="00E614F6">
              <w:rPr>
                <w:sz w:val="18"/>
                <w:szCs w:val="18"/>
                <w:lang w:val="es-ES_tradnl"/>
              </w:rPr>
              <w:t>· Hz))</w:t>
            </w:r>
          </w:p>
        </w:tc>
        <w:tc>
          <w:tcPr>
            <w:tcW w:w="1538" w:type="dxa"/>
          </w:tcPr>
          <w:p w:rsidR="00371237" w:rsidRPr="00E614F6" w:rsidRDefault="00371237" w:rsidP="00E614F6">
            <w:pPr>
              <w:pStyle w:val="Tabletext"/>
              <w:jc w:val="left"/>
              <w:rPr>
                <w:sz w:val="18"/>
                <w:szCs w:val="18"/>
                <w:lang w:val="es-ES_tradnl"/>
              </w:rPr>
            </w:pPr>
            <w:r w:rsidRPr="00E614F6">
              <w:rPr>
                <w:sz w:val="18"/>
                <w:szCs w:val="18"/>
                <w:lang w:val="es-ES_tradnl"/>
              </w:rPr>
              <w:t>Estudios del UIT</w:t>
            </w:r>
            <w:r w:rsidRPr="00E614F6">
              <w:rPr>
                <w:sz w:val="18"/>
                <w:szCs w:val="18"/>
                <w:lang w:val="es-ES_tradnl"/>
              </w:rPr>
              <w:noBreakHyphen/>
              <w:t>R</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435-438</w:t>
            </w:r>
          </w:p>
        </w:tc>
        <w:tc>
          <w:tcPr>
            <w:tcW w:w="1134" w:type="dxa"/>
          </w:tcPr>
          <w:p w:rsidR="00371237" w:rsidRPr="00E614F6" w:rsidRDefault="00371237" w:rsidP="00E614F6">
            <w:pPr>
              <w:pStyle w:val="Tabletext"/>
              <w:jc w:val="left"/>
              <w:rPr>
                <w:sz w:val="18"/>
                <w:szCs w:val="18"/>
                <w:lang w:val="es-ES_tradnl"/>
              </w:rPr>
            </w:pPr>
            <w:r w:rsidRPr="00E614F6">
              <w:rPr>
                <w:sz w:val="18"/>
                <w:szCs w:val="18"/>
                <w:lang w:val="es-ES_tradnl"/>
              </w:rPr>
              <w:t>Aficionados por satélite</w:t>
            </w:r>
          </w:p>
        </w:tc>
        <w:tc>
          <w:tcPr>
            <w:tcW w:w="2245" w:type="dxa"/>
          </w:tcPr>
          <w:p w:rsidR="00371237" w:rsidRPr="00E614F6" w:rsidRDefault="00371237" w:rsidP="00E614F6">
            <w:pPr>
              <w:pStyle w:val="Tabletext"/>
              <w:jc w:val="left"/>
              <w:rPr>
                <w:sz w:val="18"/>
                <w:szCs w:val="18"/>
                <w:lang w:val="es-ES_tradnl"/>
              </w:rPr>
            </w:pPr>
            <w:r w:rsidRPr="00E614F6">
              <w:rPr>
                <w:sz w:val="18"/>
                <w:szCs w:val="18"/>
                <w:lang w:val="es-ES_tradnl"/>
              </w:rPr>
              <w:t>Dentro de la visibilidad directa de los receptores de las estaciones espaciales del servicio de aficionados</w:t>
            </w:r>
          </w:p>
        </w:tc>
        <w:tc>
          <w:tcPr>
            <w:tcW w:w="1219" w:type="dxa"/>
          </w:tcPr>
          <w:p w:rsidR="00371237" w:rsidRPr="00E614F6" w:rsidRDefault="00371237" w:rsidP="00766D63">
            <w:pPr>
              <w:pStyle w:val="Tabletext"/>
              <w:jc w:val="center"/>
              <w:rPr>
                <w:sz w:val="18"/>
                <w:szCs w:val="18"/>
                <w:lang w:val="es-ES_tradnl"/>
              </w:rPr>
            </w:pPr>
            <w:r w:rsidRPr="00E614F6">
              <w:rPr>
                <w:sz w:val="18"/>
                <w:szCs w:val="18"/>
                <w:lang w:val="es-ES_tradnl"/>
              </w:rPr>
              <w:t>1%</w:t>
            </w:r>
          </w:p>
        </w:tc>
        <w:tc>
          <w:tcPr>
            <w:tcW w:w="2269" w:type="dxa"/>
          </w:tcPr>
          <w:p w:rsidR="00371237" w:rsidRPr="00E614F6" w:rsidRDefault="00371237" w:rsidP="00965657">
            <w:pPr>
              <w:pStyle w:val="Tabletext"/>
              <w:jc w:val="left"/>
              <w:rPr>
                <w:sz w:val="18"/>
                <w:szCs w:val="18"/>
                <w:lang w:val="es-ES_tradnl"/>
              </w:rPr>
            </w:pPr>
            <w:r w:rsidRPr="00E614F6">
              <w:rPr>
                <w:sz w:val="18"/>
                <w:szCs w:val="18"/>
                <w:lang w:val="es-ES_tradnl"/>
              </w:rPr>
              <w:t xml:space="preserve">dfp </w:t>
            </w:r>
            <w:r w:rsidR="00965657" w:rsidRPr="00965657">
              <w:rPr>
                <w:sz w:val="18"/>
                <w:szCs w:val="18"/>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187 dB</w:t>
            </w:r>
            <w:r w:rsidR="00283BF4" w:rsidRPr="00E614F6">
              <w:rPr>
                <w:sz w:val="18"/>
                <w:szCs w:val="18"/>
                <w:lang w:val="es-ES_tradnl"/>
              </w:rPr>
              <w:br/>
            </w:r>
            <w:r w:rsidRPr="00E614F6">
              <w:rPr>
                <w:sz w:val="18"/>
                <w:szCs w:val="18"/>
                <w:lang w:val="es-ES_tradnl"/>
              </w:rPr>
              <w:t>(W/(m</w:t>
            </w:r>
            <w:r w:rsidRPr="00E614F6">
              <w:rPr>
                <w:sz w:val="18"/>
                <w:szCs w:val="18"/>
                <w:vertAlign w:val="superscript"/>
                <w:lang w:val="es-ES_tradnl"/>
              </w:rPr>
              <w:t xml:space="preserve">2 </w:t>
            </w:r>
            <w:r w:rsidRPr="00E614F6">
              <w:rPr>
                <w:sz w:val="18"/>
                <w:szCs w:val="18"/>
                <w:lang w:val="es-ES_tradnl"/>
              </w:rPr>
              <w:t>· Hz))</w:t>
            </w:r>
          </w:p>
        </w:tc>
        <w:tc>
          <w:tcPr>
            <w:tcW w:w="1538" w:type="dxa"/>
          </w:tcPr>
          <w:p w:rsidR="00371237" w:rsidRPr="00E614F6" w:rsidRDefault="00371237" w:rsidP="00E614F6">
            <w:pPr>
              <w:pStyle w:val="Tabletext"/>
              <w:jc w:val="left"/>
              <w:rPr>
                <w:sz w:val="18"/>
                <w:szCs w:val="18"/>
                <w:lang w:val="es-ES_tradnl"/>
              </w:rPr>
            </w:pPr>
            <w:r w:rsidRPr="00E614F6">
              <w:rPr>
                <w:sz w:val="18"/>
                <w:szCs w:val="18"/>
                <w:lang w:val="es-ES_tradnl"/>
              </w:rPr>
              <w:t>Estudios del UIT</w:t>
            </w:r>
            <w:r w:rsidRPr="00E614F6">
              <w:rPr>
                <w:sz w:val="18"/>
                <w:szCs w:val="18"/>
                <w:lang w:val="es-ES_tradnl"/>
              </w:rPr>
              <w:noBreakHyphen/>
              <w:t>R</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420-470</w:t>
            </w:r>
            <w:r w:rsidRPr="00E614F6">
              <w:rPr>
                <w:sz w:val="18"/>
                <w:szCs w:val="18"/>
                <w:vertAlign w:val="superscript"/>
                <w:lang w:val="es-ES_tradnl"/>
              </w:rPr>
              <w:t>(3)</w:t>
            </w:r>
          </w:p>
        </w:tc>
        <w:tc>
          <w:tcPr>
            <w:tcW w:w="1134" w:type="dxa"/>
          </w:tcPr>
          <w:p w:rsidR="00371237" w:rsidRPr="00E614F6" w:rsidRDefault="00371237" w:rsidP="00E614F6">
            <w:pPr>
              <w:pStyle w:val="Tabletext"/>
              <w:jc w:val="left"/>
              <w:rPr>
                <w:sz w:val="18"/>
                <w:szCs w:val="18"/>
                <w:lang w:val="es-ES_tradnl"/>
              </w:rPr>
            </w:pPr>
            <w:r w:rsidRPr="00E614F6">
              <w:rPr>
                <w:sz w:val="18"/>
                <w:szCs w:val="18"/>
                <w:lang w:val="es-ES_tradnl"/>
              </w:rPr>
              <w:t>Fijo</w:t>
            </w:r>
          </w:p>
        </w:tc>
        <w:tc>
          <w:tcPr>
            <w:tcW w:w="2245" w:type="dxa"/>
          </w:tcPr>
          <w:p w:rsidR="00371237" w:rsidRPr="00E614F6" w:rsidRDefault="00371237" w:rsidP="00E614F6">
            <w:pPr>
              <w:pStyle w:val="Tabletext"/>
              <w:jc w:val="left"/>
              <w:rPr>
                <w:sz w:val="18"/>
                <w:szCs w:val="18"/>
                <w:lang w:val="es-ES_tradnl"/>
              </w:rPr>
            </w:pPr>
            <w:r w:rsidRPr="00E614F6">
              <w:rPr>
                <w:sz w:val="18"/>
                <w:szCs w:val="18"/>
                <w:lang w:val="es-ES_tradnl"/>
              </w:rPr>
              <w:t xml:space="preserve">Dentro de la visibilidad directa de las estaciones del servicio fijo incluidas las estaciones situadas en las regiones definidas en el </w:t>
            </w:r>
            <w:r w:rsidRPr="00E614F6">
              <w:rPr>
                <w:i/>
                <w:iCs/>
                <w:sz w:val="18"/>
                <w:szCs w:val="18"/>
                <w:lang w:val="es-ES_tradnl"/>
              </w:rPr>
              <w:t>considerando j</w:t>
            </w:r>
            <w:r w:rsidRPr="00E614F6">
              <w:rPr>
                <w:sz w:val="18"/>
                <w:szCs w:val="18"/>
                <w:lang w:val="es-ES_tradnl"/>
              </w:rPr>
              <w:t>)</w:t>
            </w:r>
          </w:p>
        </w:tc>
        <w:tc>
          <w:tcPr>
            <w:tcW w:w="1219" w:type="dxa"/>
          </w:tcPr>
          <w:p w:rsidR="00371237" w:rsidRPr="00E614F6" w:rsidRDefault="00371237" w:rsidP="00766D63">
            <w:pPr>
              <w:pStyle w:val="Tabletext"/>
              <w:jc w:val="center"/>
              <w:rPr>
                <w:sz w:val="18"/>
                <w:szCs w:val="18"/>
                <w:lang w:val="es-ES_tradnl"/>
              </w:rPr>
            </w:pPr>
            <w:r w:rsidRPr="00E614F6">
              <w:rPr>
                <w:sz w:val="18"/>
                <w:szCs w:val="18"/>
                <w:lang w:val="es-ES_tradnl"/>
              </w:rPr>
              <w:t>No aplicable</w:t>
            </w:r>
          </w:p>
        </w:tc>
        <w:tc>
          <w:tcPr>
            <w:tcW w:w="2269" w:type="dxa"/>
          </w:tcPr>
          <w:p w:rsidR="00371237" w:rsidRPr="00E614F6" w:rsidRDefault="00371237" w:rsidP="00E14554">
            <w:pPr>
              <w:pStyle w:val="Tabletext"/>
              <w:jc w:val="left"/>
              <w:rPr>
                <w:sz w:val="18"/>
                <w:szCs w:val="18"/>
                <w:lang w:val="es-ES_tradnl"/>
              </w:rPr>
            </w:pPr>
            <w:r w:rsidRPr="00E614F6">
              <w:rPr>
                <w:sz w:val="18"/>
                <w:szCs w:val="18"/>
                <w:lang w:val="es-ES_tradnl"/>
              </w:rPr>
              <w:t>(</w:t>
            </w:r>
            <w:r w:rsidRPr="00E614F6">
              <w:rPr>
                <w:i/>
                <w:iCs/>
                <w:sz w:val="18"/>
                <w:szCs w:val="18"/>
                <w:lang w:val="es-ES_tradnl"/>
              </w:rPr>
              <w:t>I</w:t>
            </w:r>
            <w:r w:rsidRPr="00E614F6">
              <w:rPr>
                <w:sz w:val="18"/>
                <w:szCs w:val="18"/>
                <w:lang w:val="es-ES_tradnl"/>
              </w:rPr>
              <w:t>/</w:t>
            </w:r>
            <w:r w:rsidRPr="00E614F6">
              <w:rPr>
                <w:i/>
                <w:iCs/>
                <w:sz w:val="18"/>
                <w:szCs w:val="18"/>
                <w:lang w:val="es-ES_tradnl"/>
              </w:rPr>
              <w:t>N</w:t>
            </w:r>
            <w:r w:rsidRPr="00E614F6">
              <w:rPr>
                <w:sz w:val="18"/>
                <w:szCs w:val="18"/>
                <w:lang w:val="es-ES_tradnl"/>
              </w:rPr>
              <w:t>)</w:t>
            </w:r>
            <w:r w:rsidRPr="00E614F6">
              <w:rPr>
                <w:i/>
                <w:iCs/>
                <w:sz w:val="18"/>
                <w:szCs w:val="18"/>
                <w:vertAlign w:val="subscript"/>
                <w:lang w:val="es-ES_tradnl"/>
              </w:rPr>
              <w:t>MEDIA</w:t>
            </w:r>
            <w:r w:rsidRPr="00E614F6">
              <w:rPr>
                <w:sz w:val="18"/>
                <w:szCs w:val="18"/>
                <w:lang w:val="es-ES_tradnl"/>
              </w:rPr>
              <w:t xml:space="preserve"> </w:t>
            </w:r>
            <w:r w:rsidR="00E614F6" w:rsidRPr="00E614F6">
              <w:rPr>
                <w:sz w:val="18"/>
                <w:szCs w:val="18"/>
                <w:lang w:val="es-ES_tradnl"/>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20 dB (equivalente a una degradación fraccionaria de</w:t>
            </w:r>
            <w:r w:rsidR="00E14554">
              <w:rPr>
                <w:sz w:val="18"/>
                <w:szCs w:val="18"/>
                <w:lang w:val="es-ES_tradnl"/>
              </w:rPr>
              <w:t> </w:t>
            </w:r>
            <w:r w:rsidRPr="00E614F6">
              <w:rPr>
                <w:sz w:val="18"/>
                <w:szCs w:val="18"/>
                <w:lang w:val="es-ES_tradnl"/>
              </w:rPr>
              <w:t>la calidad de funcionamiento de 1%)</w:t>
            </w:r>
          </w:p>
        </w:tc>
        <w:tc>
          <w:tcPr>
            <w:tcW w:w="1538" w:type="dxa"/>
          </w:tcPr>
          <w:p w:rsidR="00371237" w:rsidRPr="00E614F6" w:rsidRDefault="00766D63" w:rsidP="00766D63">
            <w:pPr>
              <w:pStyle w:val="Tabletext"/>
              <w:jc w:val="left"/>
              <w:rPr>
                <w:sz w:val="18"/>
                <w:szCs w:val="18"/>
                <w:lang w:val="fr-CH"/>
              </w:rPr>
            </w:pPr>
            <w:r>
              <w:rPr>
                <w:sz w:val="18"/>
                <w:szCs w:val="18"/>
                <w:lang w:val="fr-CH"/>
              </w:rPr>
              <w:t xml:space="preserve">Recs. </w:t>
            </w:r>
            <w:r w:rsidR="00371237" w:rsidRPr="00E614F6">
              <w:rPr>
                <w:sz w:val="18"/>
                <w:szCs w:val="18"/>
                <w:lang w:val="fr-CH"/>
              </w:rPr>
              <w:t xml:space="preserve">UIT-R F.758 </w:t>
            </w:r>
            <w:r>
              <w:rPr>
                <w:sz w:val="18"/>
                <w:szCs w:val="18"/>
                <w:lang w:val="fr-CH"/>
              </w:rPr>
              <w:t xml:space="preserve"> </w:t>
            </w:r>
            <w:r w:rsidR="00371237" w:rsidRPr="00E614F6">
              <w:rPr>
                <w:sz w:val="18"/>
                <w:szCs w:val="18"/>
                <w:lang w:val="fr-CH"/>
              </w:rPr>
              <w:t xml:space="preserve">y </w:t>
            </w:r>
            <w:r w:rsidR="00371237" w:rsidRPr="00E614F6">
              <w:rPr>
                <w:sz w:val="18"/>
                <w:szCs w:val="18"/>
                <w:lang w:val="fr-CH"/>
              </w:rPr>
              <w:br/>
              <w:t>UIT-R F.1108</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 xml:space="preserve">420-432 y </w:t>
            </w:r>
            <w:r w:rsidRPr="00E614F6">
              <w:rPr>
                <w:sz w:val="18"/>
                <w:szCs w:val="18"/>
                <w:lang w:val="es-ES_tradnl"/>
              </w:rPr>
              <w:br/>
              <w:t>438-450</w:t>
            </w:r>
          </w:p>
        </w:tc>
        <w:tc>
          <w:tcPr>
            <w:tcW w:w="1134" w:type="dxa"/>
          </w:tcPr>
          <w:p w:rsidR="00371237" w:rsidRPr="00E614F6" w:rsidRDefault="00371237" w:rsidP="009B0CB7">
            <w:pPr>
              <w:pStyle w:val="Tabletext"/>
              <w:jc w:val="left"/>
              <w:rPr>
                <w:sz w:val="18"/>
                <w:szCs w:val="18"/>
                <w:lang w:val="es-ES_tradnl"/>
              </w:rPr>
            </w:pPr>
            <w:r w:rsidRPr="00E614F6">
              <w:rPr>
                <w:sz w:val="18"/>
                <w:szCs w:val="18"/>
                <w:lang w:val="es-ES_tradnl"/>
              </w:rPr>
              <w:t>Radio</w:t>
            </w:r>
            <w:r w:rsidR="00C50A6B" w:rsidRPr="00E614F6">
              <w:rPr>
                <w:sz w:val="18"/>
                <w:szCs w:val="18"/>
                <w:lang w:val="es-ES_tradnl"/>
              </w:rPr>
              <w:t>lo</w:t>
            </w:r>
            <w:r w:rsidRPr="00E614F6">
              <w:rPr>
                <w:sz w:val="18"/>
                <w:szCs w:val="18"/>
                <w:lang w:val="es-ES_tradnl"/>
              </w:rPr>
              <w:t>cali</w:t>
            </w:r>
            <w:r w:rsidR="009B0CB7">
              <w:rPr>
                <w:sz w:val="18"/>
                <w:szCs w:val="18"/>
                <w:lang w:val="es-ES_tradnl"/>
              </w:rPr>
              <w:t>-</w:t>
            </w:r>
            <w:r w:rsidR="009B0CB7">
              <w:rPr>
                <w:sz w:val="18"/>
                <w:szCs w:val="18"/>
                <w:lang w:val="es-ES_tradnl"/>
              </w:rPr>
              <w:br/>
            </w:r>
            <w:r w:rsidRPr="00E614F6">
              <w:rPr>
                <w:sz w:val="18"/>
                <w:szCs w:val="18"/>
                <w:lang w:val="es-ES_tradnl"/>
              </w:rPr>
              <w:t>zación</w:t>
            </w:r>
          </w:p>
        </w:tc>
        <w:tc>
          <w:tcPr>
            <w:tcW w:w="2245" w:type="dxa"/>
          </w:tcPr>
          <w:p w:rsidR="00371237" w:rsidRPr="00E614F6" w:rsidRDefault="00371237" w:rsidP="00E614F6">
            <w:pPr>
              <w:pStyle w:val="Tabletext"/>
              <w:jc w:val="left"/>
              <w:rPr>
                <w:sz w:val="18"/>
                <w:szCs w:val="18"/>
                <w:lang w:val="es-ES_tradnl"/>
              </w:rPr>
            </w:pPr>
            <w:r w:rsidRPr="00E614F6">
              <w:rPr>
                <w:sz w:val="18"/>
                <w:szCs w:val="18"/>
                <w:lang w:val="es-ES_tradnl"/>
              </w:rPr>
              <w:t>Dentro de la visibilidad directa de los radares de perfil del viento</w:t>
            </w:r>
          </w:p>
        </w:tc>
        <w:tc>
          <w:tcPr>
            <w:tcW w:w="1219" w:type="dxa"/>
          </w:tcPr>
          <w:p w:rsidR="00371237" w:rsidRPr="00E614F6" w:rsidRDefault="00371237" w:rsidP="00766D63">
            <w:pPr>
              <w:pStyle w:val="Tabletext"/>
              <w:jc w:val="center"/>
              <w:rPr>
                <w:sz w:val="18"/>
                <w:szCs w:val="18"/>
                <w:vertAlign w:val="superscript"/>
                <w:lang w:val="es-ES_tradnl"/>
              </w:rPr>
            </w:pPr>
            <w:r w:rsidRPr="00E614F6">
              <w:rPr>
                <w:sz w:val="18"/>
                <w:szCs w:val="18"/>
                <w:vertAlign w:val="superscript"/>
                <w:lang w:val="es-ES_tradnl"/>
              </w:rPr>
              <w:t>(4)</w:t>
            </w:r>
          </w:p>
        </w:tc>
        <w:tc>
          <w:tcPr>
            <w:tcW w:w="2269" w:type="dxa"/>
          </w:tcPr>
          <w:p w:rsidR="00371237" w:rsidRPr="00E614F6" w:rsidRDefault="00371237" w:rsidP="00965657">
            <w:pPr>
              <w:pStyle w:val="Tabletext"/>
              <w:jc w:val="left"/>
              <w:rPr>
                <w:sz w:val="18"/>
                <w:szCs w:val="18"/>
                <w:lang w:val="es-ES_tradnl"/>
              </w:rPr>
            </w:pPr>
            <w:r w:rsidRPr="00E614F6">
              <w:rPr>
                <w:sz w:val="18"/>
                <w:szCs w:val="18"/>
                <w:lang w:val="es-ES_tradnl"/>
              </w:rPr>
              <w:t>(</w:t>
            </w:r>
            <w:r w:rsidRPr="00E614F6">
              <w:rPr>
                <w:i/>
                <w:iCs/>
                <w:sz w:val="18"/>
                <w:szCs w:val="18"/>
                <w:lang w:val="es-ES_tradnl"/>
              </w:rPr>
              <w:t>I</w:t>
            </w:r>
            <w:r w:rsidRPr="00E614F6">
              <w:rPr>
                <w:sz w:val="18"/>
                <w:szCs w:val="18"/>
                <w:lang w:val="es-ES_tradnl"/>
              </w:rPr>
              <w:t>/</w:t>
            </w:r>
            <w:r w:rsidRPr="00E614F6">
              <w:rPr>
                <w:i/>
                <w:iCs/>
                <w:sz w:val="18"/>
                <w:szCs w:val="18"/>
                <w:lang w:val="es-ES_tradnl"/>
              </w:rPr>
              <w:t>N</w:t>
            </w:r>
            <w:r w:rsidRPr="00E614F6">
              <w:rPr>
                <w:sz w:val="18"/>
                <w:szCs w:val="18"/>
                <w:lang w:val="es-ES_tradnl"/>
              </w:rPr>
              <w:t>)</w:t>
            </w:r>
            <w:r w:rsidRPr="00E614F6">
              <w:rPr>
                <w:i/>
                <w:iCs/>
                <w:sz w:val="18"/>
                <w:szCs w:val="18"/>
                <w:vertAlign w:val="subscript"/>
                <w:lang w:val="es-ES_tradnl"/>
              </w:rPr>
              <w:t>CRESTA</w:t>
            </w:r>
            <w:r w:rsidRPr="00E614F6">
              <w:rPr>
                <w:sz w:val="18"/>
                <w:szCs w:val="18"/>
                <w:lang w:val="es-ES_tradnl"/>
              </w:rPr>
              <w:t xml:space="preserve"> </w:t>
            </w:r>
            <w:r w:rsidR="00965657" w:rsidRPr="00965657">
              <w:rPr>
                <w:sz w:val="18"/>
                <w:szCs w:val="18"/>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6 dB</w:t>
            </w:r>
          </w:p>
        </w:tc>
        <w:tc>
          <w:tcPr>
            <w:tcW w:w="1538" w:type="dxa"/>
          </w:tcPr>
          <w:p w:rsidR="00371237" w:rsidRPr="00E614F6" w:rsidRDefault="00371237" w:rsidP="00766D63">
            <w:pPr>
              <w:pStyle w:val="Tabletext"/>
              <w:jc w:val="left"/>
              <w:rPr>
                <w:sz w:val="18"/>
                <w:szCs w:val="18"/>
                <w:lang w:val="es-ES_tradnl"/>
              </w:rPr>
            </w:pPr>
            <w:r w:rsidRPr="00E614F6">
              <w:rPr>
                <w:sz w:val="18"/>
                <w:szCs w:val="18"/>
                <w:lang w:val="es-ES_tradnl"/>
              </w:rPr>
              <w:t>Rec.</w:t>
            </w:r>
            <w:r w:rsidR="00766D63">
              <w:rPr>
                <w:sz w:val="18"/>
                <w:szCs w:val="18"/>
                <w:lang w:val="es-ES_tradnl"/>
              </w:rPr>
              <w:t xml:space="preserve"> </w:t>
            </w:r>
            <w:r w:rsidRPr="00E614F6">
              <w:rPr>
                <w:sz w:val="18"/>
                <w:szCs w:val="18"/>
                <w:lang w:val="es-ES_tradnl"/>
              </w:rPr>
              <w:t>UIT-R M.1462</w:t>
            </w:r>
          </w:p>
        </w:tc>
      </w:tr>
      <w:tr w:rsidR="00371237" w:rsidRPr="00E614F6" w:rsidTr="008513E4">
        <w:trPr>
          <w:jc w:val="center"/>
        </w:trPr>
        <w:tc>
          <w:tcPr>
            <w:tcW w:w="1247" w:type="dxa"/>
          </w:tcPr>
          <w:p w:rsidR="00371237" w:rsidRPr="00E614F6" w:rsidRDefault="00371237" w:rsidP="00E614F6">
            <w:pPr>
              <w:pStyle w:val="Tabletext"/>
              <w:jc w:val="left"/>
              <w:rPr>
                <w:sz w:val="18"/>
                <w:szCs w:val="18"/>
                <w:lang w:val="es-ES_tradnl"/>
              </w:rPr>
            </w:pPr>
            <w:r w:rsidRPr="00E614F6">
              <w:rPr>
                <w:sz w:val="18"/>
                <w:szCs w:val="18"/>
                <w:lang w:val="es-ES_tradnl"/>
              </w:rPr>
              <w:t>420-450</w:t>
            </w:r>
          </w:p>
        </w:tc>
        <w:tc>
          <w:tcPr>
            <w:tcW w:w="1134" w:type="dxa"/>
          </w:tcPr>
          <w:p w:rsidR="00371237" w:rsidRPr="00E614F6" w:rsidRDefault="00371237" w:rsidP="00E614F6">
            <w:pPr>
              <w:pStyle w:val="Tabletext"/>
              <w:jc w:val="left"/>
              <w:rPr>
                <w:sz w:val="18"/>
                <w:szCs w:val="18"/>
                <w:lang w:val="es-ES_tradnl"/>
              </w:rPr>
            </w:pPr>
            <w:r w:rsidRPr="00E614F6">
              <w:rPr>
                <w:sz w:val="18"/>
                <w:szCs w:val="18"/>
                <w:lang w:val="es-ES_tradnl"/>
              </w:rPr>
              <w:t>Operaciones espaciales</w:t>
            </w:r>
          </w:p>
        </w:tc>
        <w:tc>
          <w:tcPr>
            <w:tcW w:w="2245" w:type="dxa"/>
          </w:tcPr>
          <w:p w:rsidR="00371237" w:rsidRPr="00E614F6" w:rsidRDefault="00371237" w:rsidP="009B0CB7">
            <w:pPr>
              <w:pStyle w:val="Tabletext"/>
              <w:jc w:val="left"/>
              <w:rPr>
                <w:sz w:val="18"/>
                <w:szCs w:val="18"/>
                <w:lang w:val="es-ES_tradnl"/>
              </w:rPr>
            </w:pPr>
            <w:r w:rsidRPr="00E614F6">
              <w:rPr>
                <w:sz w:val="18"/>
                <w:szCs w:val="18"/>
                <w:lang w:val="es-ES_tradnl"/>
              </w:rPr>
              <w:t>Dentro de la visibilidad directa de los receptores de la orden de autodestrucción de vehículos de lanzamiento por razones de</w:t>
            </w:r>
            <w:r w:rsidR="009B0CB7">
              <w:rPr>
                <w:sz w:val="18"/>
                <w:szCs w:val="18"/>
                <w:lang w:val="es-ES_tradnl"/>
              </w:rPr>
              <w:t xml:space="preserve"> </w:t>
            </w:r>
            <w:r w:rsidRPr="00E614F6">
              <w:rPr>
                <w:sz w:val="18"/>
                <w:szCs w:val="18"/>
                <w:lang w:val="es-ES_tradnl"/>
              </w:rPr>
              <w:t xml:space="preserve">seguridad en las regiones definidas en el </w:t>
            </w:r>
            <w:r w:rsidRPr="00E614F6">
              <w:rPr>
                <w:i/>
                <w:iCs/>
                <w:sz w:val="18"/>
                <w:szCs w:val="18"/>
                <w:lang w:val="es-ES_tradnl"/>
              </w:rPr>
              <w:t>considerando j</w:t>
            </w:r>
            <w:r w:rsidRPr="00E614F6">
              <w:rPr>
                <w:sz w:val="18"/>
                <w:szCs w:val="18"/>
                <w:lang w:val="es-ES_tradnl"/>
              </w:rPr>
              <w:t>)</w:t>
            </w:r>
          </w:p>
        </w:tc>
        <w:tc>
          <w:tcPr>
            <w:tcW w:w="3488" w:type="dxa"/>
            <w:gridSpan w:val="2"/>
          </w:tcPr>
          <w:p w:rsidR="00371237" w:rsidRPr="00E614F6" w:rsidRDefault="00371237" w:rsidP="00766D63">
            <w:pPr>
              <w:pStyle w:val="Tabletext"/>
              <w:jc w:val="center"/>
              <w:rPr>
                <w:sz w:val="18"/>
                <w:szCs w:val="18"/>
                <w:lang w:val="es-ES_tradnl"/>
              </w:rPr>
            </w:pPr>
            <w:r w:rsidRPr="00E614F6">
              <w:rPr>
                <w:sz w:val="18"/>
                <w:szCs w:val="18"/>
                <w:lang w:val="es-ES_tradnl"/>
              </w:rPr>
              <w:t>Separación en frecuencias</w:t>
            </w:r>
            <w:r w:rsidR="00D6227E" w:rsidRPr="00E614F6">
              <w:rPr>
                <w:sz w:val="18"/>
                <w:szCs w:val="18"/>
                <w:lang w:val="es-ES_tradnl"/>
              </w:rPr>
              <w:br/>
            </w:r>
            <w:r w:rsidRPr="00E614F6">
              <w:rPr>
                <w:sz w:val="18"/>
                <w:szCs w:val="18"/>
                <w:lang w:val="es-ES_tradnl"/>
              </w:rPr>
              <w:t>o geográfica necesaria</w:t>
            </w:r>
          </w:p>
        </w:tc>
        <w:tc>
          <w:tcPr>
            <w:tcW w:w="1538" w:type="dxa"/>
          </w:tcPr>
          <w:p w:rsidR="00371237" w:rsidRPr="00E614F6" w:rsidRDefault="00371237" w:rsidP="00E614F6">
            <w:pPr>
              <w:pStyle w:val="Tabletext"/>
              <w:jc w:val="left"/>
              <w:rPr>
                <w:sz w:val="18"/>
                <w:szCs w:val="18"/>
                <w:lang w:val="es-ES_tradnl"/>
              </w:rPr>
            </w:pPr>
            <w:r w:rsidRPr="00E614F6">
              <w:rPr>
                <w:sz w:val="18"/>
                <w:szCs w:val="18"/>
                <w:lang w:val="es-ES_tradnl"/>
              </w:rPr>
              <w:t>Estudios del UIT</w:t>
            </w:r>
            <w:r w:rsidRPr="00E614F6">
              <w:rPr>
                <w:sz w:val="18"/>
                <w:szCs w:val="18"/>
                <w:lang w:val="es-ES_tradnl"/>
              </w:rPr>
              <w:noBreakHyphen/>
              <w:t>R</w:t>
            </w:r>
          </w:p>
        </w:tc>
      </w:tr>
      <w:tr w:rsidR="008513E4" w:rsidRPr="00766D63" w:rsidTr="00B70EA7">
        <w:trPr>
          <w:jc w:val="center"/>
        </w:trPr>
        <w:tc>
          <w:tcPr>
            <w:tcW w:w="1247" w:type="dxa"/>
          </w:tcPr>
          <w:p w:rsidR="008513E4" w:rsidRPr="00E614F6" w:rsidRDefault="008513E4" w:rsidP="00E614F6">
            <w:pPr>
              <w:pStyle w:val="Tabletext"/>
              <w:jc w:val="left"/>
              <w:rPr>
                <w:sz w:val="18"/>
                <w:szCs w:val="18"/>
                <w:lang w:val="es-ES_tradnl"/>
              </w:rPr>
            </w:pPr>
            <w:r w:rsidRPr="00E614F6">
              <w:rPr>
                <w:sz w:val="18"/>
                <w:szCs w:val="18"/>
                <w:lang w:val="es-ES_tradnl"/>
              </w:rPr>
              <w:t>420-450</w:t>
            </w:r>
          </w:p>
        </w:tc>
        <w:tc>
          <w:tcPr>
            <w:tcW w:w="1134" w:type="dxa"/>
          </w:tcPr>
          <w:p w:rsidR="008513E4" w:rsidRPr="00E614F6" w:rsidRDefault="009B0CB7" w:rsidP="00E614F6">
            <w:pPr>
              <w:pStyle w:val="Tabletext"/>
              <w:jc w:val="left"/>
              <w:rPr>
                <w:sz w:val="18"/>
                <w:szCs w:val="18"/>
                <w:lang w:val="es-ES_tradnl"/>
              </w:rPr>
            </w:pPr>
            <w:r w:rsidRPr="00E614F6">
              <w:rPr>
                <w:sz w:val="18"/>
                <w:szCs w:val="18"/>
                <w:lang w:val="es-ES_tradnl"/>
              </w:rPr>
              <w:t>Radiolocali</w:t>
            </w:r>
            <w:r>
              <w:rPr>
                <w:sz w:val="18"/>
                <w:szCs w:val="18"/>
                <w:lang w:val="es-ES_tradnl"/>
              </w:rPr>
              <w:t>-</w:t>
            </w:r>
            <w:r>
              <w:rPr>
                <w:sz w:val="18"/>
                <w:szCs w:val="18"/>
                <w:lang w:val="es-ES_tradnl"/>
              </w:rPr>
              <w:br/>
            </w:r>
            <w:r w:rsidRPr="00E614F6">
              <w:rPr>
                <w:sz w:val="18"/>
                <w:szCs w:val="18"/>
                <w:lang w:val="es-ES_tradnl"/>
              </w:rPr>
              <w:t>zación</w:t>
            </w:r>
          </w:p>
        </w:tc>
        <w:tc>
          <w:tcPr>
            <w:tcW w:w="2245" w:type="dxa"/>
          </w:tcPr>
          <w:p w:rsidR="008513E4" w:rsidRPr="00E614F6" w:rsidRDefault="008513E4" w:rsidP="00E614F6">
            <w:pPr>
              <w:pStyle w:val="Tabletext"/>
              <w:jc w:val="left"/>
              <w:rPr>
                <w:sz w:val="18"/>
                <w:szCs w:val="18"/>
                <w:lang w:val="es-ES_tradnl"/>
              </w:rPr>
            </w:pPr>
            <w:r w:rsidRPr="00E614F6">
              <w:rPr>
                <w:sz w:val="18"/>
                <w:szCs w:val="18"/>
                <w:lang w:val="es-ES_tradnl"/>
              </w:rPr>
              <w:t>Dentro de la visibilidad directa de los radares terrenales de seguimiento de objetos espaciales</w:t>
            </w:r>
            <w:r w:rsidRPr="00E614F6">
              <w:rPr>
                <w:sz w:val="18"/>
                <w:szCs w:val="18"/>
                <w:vertAlign w:val="superscript"/>
                <w:lang w:val="es-ES_tradnl"/>
              </w:rPr>
              <w:t>(5)</w:t>
            </w:r>
          </w:p>
        </w:tc>
        <w:tc>
          <w:tcPr>
            <w:tcW w:w="1219" w:type="dxa"/>
          </w:tcPr>
          <w:p w:rsidR="008513E4" w:rsidRPr="00E614F6" w:rsidRDefault="008513E4" w:rsidP="00766D63">
            <w:pPr>
              <w:pStyle w:val="Tabletext"/>
              <w:jc w:val="center"/>
              <w:rPr>
                <w:sz w:val="18"/>
                <w:szCs w:val="18"/>
                <w:vertAlign w:val="superscript"/>
                <w:lang w:val="es-ES_tradnl"/>
              </w:rPr>
            </w:pPr>
            <w:r w:rsidRPr="00E614F6">
              <w:rPr>
                <w:sz w:val="18"/>
                <w:szCs w:val="18"/>
                <w:vertAlign w:val="superscript"/>
                <w:lang w:val="es-ES_tradnl"/>
              </w:rPr>
              <w:t>(4)</w:t>
            </w:r>
          </w:p>
        </w:tc>
        <w:tc>
          <w:tcPr>
            <w:tcW w:w="2269" w:type="dxa"/>
          </w:tcPr>
          <w:p w:rsidR="008513E4" w:rsidRPr="00E614F6" w:rsidRDefault="008513E4" w:rsidP="00965657">
            <w:pPr>
              <w:pStyle w:val="Tabletext"/>
              <w:jc w:val="center"/>
              <w:rPr>
                <w:sz w:val="18"/>
                <w:szCs w:val="18"/>
                <w:lang w:val="es-ES_tradnl"/>
              </w:rPr>
            </w:pPr>
            <w:r w:rsidRPr="00E614F6">
              <w:rPr>
                <w:sz w:val="18"/>
                <w:szCs w:val="18"/>
                <w:lang w:val="es-ES_tradnl"/>
              </w:rPr>
              <w:t>(</w:t>
            </w:r>
            <w:r w:rsidRPr="00E614F6">
              <w:rPr>
                <w:i/>
                <w:iCs/>
                <w:sz w:val="18"/>
                <w:szCs w:val="18"/>
                <w:lang w:val="es-ES_tradnl"/>
              </w:rPr>
              <w:t>I</w:t>
            </w:r>
            <w:r w:rsidRPr="00E614F6">
              <w:rPr>
                <w:sz w:val="18"/>
                <w:szCs w:val="18"/>
                <w:lang w:val="es-ES_tradnl"/>
              </w:rPr>
              <w:t>/</w:t>
            </w:r>
            <w:r w:rsidRPr="00E614F6">
              <w:rPr>
                <w:i/>
                <w:iCs/>
                <w:sz w:val="18"/>
                <w:szCs w:val="18"/>
                <w:lang w:val="es-ES_tradnl"/>
              </w:rPr>
              <w:t>N</w:t>
            </w:r>
            <w:r w:rsidRPr="00E614F6">
              <w:rPr>
                <w:sz w:val="18"/>
                <w:szCs w:val="18"/>
                <w:lang w:val="es-ES_tradnl"/>
              </w:rPr>
              <w:t>)</w:t>
            </w:r>
            <w:r w:rsidRPr="00E614F6">
              <w:rPr>
                <w:i/>
                <w:iCs/>
                <w:sz w:val="18"/>
                <w:szCs w:val="18"/>
                <w:vertAlign w:val="subscript"/>
                <w:lang w:val="es-ES_tradnl"/>
              </w:rPr>
              <w:t>CRESTA</w:t>
            </w:r>
            <w:r w:rsidRPr="00E614F6">
              <w:rPr>
                <w:sz w:val="18"/>
                <w:szCs w:val="18"/>
                <w:lang w:val="es-ES_tradnl"/>
              </w:rPr>
              <w:t xml:space="preserve"> </w:t>
            </w:r>
            <w:r w:rsidR="00965657" w:rsidRPr="00965657">
              <w:rPr>
                <w:sz w:val="18"/>
                <w:szCs w:val="18"/>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6 dB</w:t>
            </w:r>
          </w:p>
        </w:tc>
        <w:tc>
          <w:tcPr>
            <w:tcW w:w="1538" w:type="dxa"/>
          </w:tcPr>
          <w:p w:rsidR="008513E4" w:rsidRPr="00E614F6" w:rsidRDefault="008513E4" w:rsidP="00766D63">
            <w:pPr>
              <w:pStyle w:val="Tabletext"/>
              <w:jc w:val="left"/>
              <w:rPr>
                <w:sz w:val="18"/>
                <w:szCs w:val="18"/>
                <w:lang w:val="es-ES_tradnl"/>
              </w:rPr>
            </w:pPr>
            <w:r w:rsidRPr="00E614F6">
              <w:rPr>
                <w:sz w:val="18"/>
                <w:szCs w:val="18"/>
                <w:lang w:val="es-ES_tradnl"/>
              </w:rPr>
              <w:t>Rec.</w:t>
            </w:r>
            <w:r w:rsidR="00766D63">
              <w:rPr>
                <w:sz w:val="18"/>
                <w:szCs w:val="18"/>
                <w:lang w:val="es-ES_tradnl"/>
              </w:rPr>
              <w:t xml:space="preserve"> </w:t>
            </w:r>
            <w:r w:rsidRPr="00E614F6">
              <w:rPr>
                <w:sz w:val="18"/>
                <w:szCs w:val="18"/>
                <w:lang w:val="es-ES_tradnl"/>
              </w:rPr>
              <w:t>UIT-R M.1462</w:t>
            </w:r>
          </w:p>
        </w:tc>
      </w:tr>
      <w:tr w:rsidR="008513E4" w:rsidRPr="00766D63" w:rsidTr="00B70EA7">
        <w:trPr>
          <w:jc w:val="center"/>
        </w:trPr>
        <w:tc>
          <w:tcPr>
            <w:tcW w:w="1247" w:type="dxa"/>
          </w:tcPr>
          <w:p w:rsidR="008513E4" w:rsidRPr="00E614F6" w:rsidRDefault="008513E4" w:rsidP="00E614F6">
            <w:pPr>
              <w:pStyle w:val="Tabletext"/>
              <w:jc w:val="left"/>
              <w:rPr>
                <w:sz w:val="18"/>
                <w:szCs w:val="18"/>
                <w:lang w:val="es-ES_tradnl"/>
              </w:rPr>
            </w:pPr>
            <w:r w:rsidRPr="00E614F6">
              <w:rPr>
                <w:sz w:val="18"/>
                <w:szCs w:val="18"/>
                <w:lang w:val="es-ES_tradnl"/>
              </w:rPr>
              <w:t>420-450</w:t>
            </w:r>
          </w:p>
        </w:tc>
        <w:tc>
          <w:tcPr>
            <w:tcW w:w="1134" w:type="dxa"/>
          </w:tcPr>
          <w:p w:rsidR="008513E4" w:rsidRPr="00E614F6" w:rsidRDefault="009B0CB7" w:rsidP="00E614F6">
            <w:pPr>
              <w:pStyle w:val="Tabletext"/>
              <w:jc w:val="left"/>
              <w:rPr>
                <w:sz w:val="18"/>
                <w:szCs w:val="18"/>
                <w:lang w:val="es-ES_tradnl"/>
              </w:rPr>
            </w:pPr>
            <w:r w:rsidRPr="00E614F6">
              <w:rPr>
                <w:sz w:val="18"/>
                <w:szCs w:val="18"/>
                <w:lang w:val="es-ES_tradnl"/>
              </w:rPr>
              <w:t>Radiolocali</w:t>
            </w:r>
            <w:r>
              <w:rPr>
                <w:sz w:val="18"/>
                <w:szCs w:val="18"/>
                <w:lang w:val="es-ES_tradnl"/>
              </w:rPr>
              <w:t>-</w:t>
            </w:r>
            <w:r>
              <w:rPr>
                <w:sz w:val="18"/>
                <w:szCs w:val="18"/>
                <w:lang w:val="es-ES_tradnl"/>
              </w:rPr>
              <w:br/>
            </w:r>
            <w:r w:rsidRPr="00E614F6">
              <w:rPr>
                <w:sz w:val="18"/>
                <w:szCs w:val="18"/>
                <w:lang w:val="es-ES_tradnl"/>
              </w:rPr>
              <w:t>zación</w:t>
            </w:r>
          </w:p>
        </w:tc>
        <w:tc>
          <w:tcPr>
            <w:tcW w:w="2245" w:type="dxa"/>
          </w:tcPr>
          <w:p w:rsidR="008513E4" w:rsidRPr="00E614F6" w:rsidRDefault="008513E4" w:rsidP="00E614F6">
            <w:pPr>
              <w:pStyle w:val="Tabletext"/>
              <w:jc w:val="left"/>
              <w:rPr>
                <w:spacing w:val="-2"/>
                <w:sz w:val="18"/>
                <w:szCs w:val="18"/>
                <w:lang w:val="es-ES_tradnl"/>
              </w:rPr>
            </w:pPr>
            <w:r w:rsidRPr="00E614F6">
              <w:rPr>
                <w:spacing w:val="-2"/>
                <w:sz w:val="18"/>
                <w:szCs w:val="18"/>
                <w:lang w:val="es-ES_tradnl"/>
              </w:rPr>
              <w:t>Dentro de la visibilidad directa de los radares a bordo de barcos</w:t>
            </w:r>
          </w:p>
        </w:tc>
        <w:tc>
          <w:tcPr>
            <w:tcW w:w="1219" w:type="dxa"/>
          </w:tcPr>
          <w:p w:rsidR="008513E4" w:rsidRPr="00E614F6" w:rsidRDefault="008513E4" w:rsidP="00766D63">
            <w:pPr>
              <w:pStyle w:val="Tabletext"/>
              <w:jc w:val="center"/>
              <w:rPr>
                <w:sz w:val="18"/>
                <w:szCs w:val="18"/>
                <w:vertAlign w:val="superscript"/>
                <w:lang w:val="es-ES_tradnl"/>
              </w:rPr>
            </w:pPr>
            <w:r w:rsidRPr="00E614F6">
              <w:rPr>
                <w:sz w:val="18"/>
                <w:szCs w:val="18"/>
                <w:vertAlign w:val="superscript"/>
                <w:lang w:val="es-ES_tradnl"/>
              </w:rPr>
              <w:t>(4)</w:t>
            </w:r>
          </w:p>
        </w:tc>
        <w:tc>
          <w:tcPr>
            <w:tcW w:w="2269" w:type="dxa"/>
          </w:tcPr>
          <w:p w:rsidR="008513E4" w:rsidRPr="00E614F6" w:rsidRDefault="008513E4" w:rsidP="00965657">
            <w:pPr>
              <w:pStyle w:val="Tabletext"/>
              <w:jc w:val="center"/>
              <w:rPr>
                <w:sz w:val="18"/>
                <w:szCs w:val="18"/>
                <w:lang w:val="es-ES_tradnl"/>
              </w:rPr>
            </w:pPr>
            <w:r w:rsidRPr="00E614F6">
              <w:rPr>
                <w:sz w:val="18"/>
                <w:szCs w:val="18"/>
                <w:lang w:val="es-ES_tradnl"/>
              </w:rPr>
              <w:t>(</w:t>
            </w:r>
            <w:r w:rsidRPr="00E614F6">
              <w:rPr>
                <w:i/>
                <w:iCs/>
                <w:sz w:val="18"/>
                <w:szCs w:val="18"/>
                <w:lang w:val="es-ES_tradnl"/>
              </w:rPr>
              <w:t>I</w:t>
            </w:r>
            <w:r w:rsidRPr="00E614F6">
              <w:rPr>
                <w:sz w:val="18"/>
                <w:szCs w:val="18"/>
                <w:lang w:val="es-ES_tradnl"/>
              </w:rPr>
              <w:t>/</w:t>
            </w:r>
            <w:r w:rsidRPr="00E614F6">
              <w:rPr>
                <w:i/>
                <w:iCs/>
                <w:sz w:val="18"/>
                <w:szCs w:val="18"/>
                <w:lang w:val="es-ES_tradnl"/>
              </w:rPr>
              <w:t>N</w:t>
            </w:r>
            <w:r w:rsidRPr="00E614F6">
              <w:rPr>
                <w:sz w:val="18"/>
                <w:szCs w:val="18"/>
                <w:lang w:val="es-ES_tradnl"/>
              </w:rPr>
              <w:t>)</w:t>
            </w:r>
            <w:r w:rsidRPr="00E614F6">
              <w:rPr>
                <w:i/>
                <w:iCs/>
                <w:sz w:val="18"/>
                <w:szCs w:val="18"/>
                <w:vertAlign w:val="subscript"/>
                <w:lang w:val="es-ES_tradnl"/>
              </w:rPr>
              <w:t>CRESTA</w:t>
            </w:r>
            <w:r w:rsidRPr="00E614F6">
              <w:rPr>
                <w:sz w:val="18"/>
                <w:szCs w:val="18"/>
                <w:lang w:val="es-ES_tradnl"/>
              </w:rPr>
              <w:t xml:space="preserve"> </w:t>
            </w:r>
            <w:r w:rsidR="00965657" w:rsidRPr="00965657">
              <w:rPr>
                <w:sz w:val="18"/>
                <w:szCs w:val="18"/>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6 dB</w:t>
            </w:r>
          </w:p>
        </w:tc>
        <w:tc>
          <w:tcPr>
            <w:tcW w:w="1538" w:type="dxa"/>
          </w:tcPr>
          <w:p w:rsidR="008513E4" w:rsidRPr="00E614F6" w:rsidRDefault="008513E4" w:rsidP="00766D63">
            <w:pPr>
              <w:pStyle w:val="Tabletext"/>
              <w:jc w:val="left"/>
              <w:rPr>
                <w:sz w:val="18"/>
                <w:szCs w:val="18"/>
                <w:lang w:val="es-ES_tradnl"/>
              </w:rPr>
            </w:pPr>
            <w:r w:rsidRPr="00E614F6">
              <w:rPr>
                <w:sz w:val="18"/>
                <w:szCs w:val="18"/>
                <w:lang w:val="es-ES_tradnl"/>
              </w:rPr>
              <w:t>Rec.</w:t>
            </w:r>
            <w:r w:rsidR="00766D63">
              <w:rPr>
                <w:sz w:val="18"/>
                <w:szCs w:val="18"/>
                <w:lang w:val="es-ES_tradnl"/>
              </w:rPr>
              <w:t xml:space="preserve"> </w:t>
            </w:r>
            <w:r w:rsidRPr="00E614F6">
              <w:rPr>
                <w:sz w:val="18"/>
                <w:szCs w:val="18"/>
                <w:lang w:val="es-ES_tradnl"/>
              </w:rPr>
              <w:t>UIT-R M.1462</w:t>
            </w:r>
          </w:p>
        </w:tc>
      </w:tr>
      <w:tr w:rsidR="008513E4" w:rsidRPr="00766D63" w:rsidTr="00B70EA7">
        <w:trPr>
          <w:jc w:val="center"/>
        </w:trPr>
        <w:tc>
          <w:tcPr>
            <w:tcW w:w="1247" w:type="dxa"/>
          </w:tcPr>
          <w:p w:rsidR="008513E4" w:rsidRPr="00E614F6" w:rsidRDefault="008513E4" w:rsidP="00E614F6">
            <w:pPr>
              <w:pStyle w:val="Tabletext"/>
              <w:jc w:val="left"/>
              <w:rPr>
                <w:sz w:val="18"/>
                <w:szCs w:val="18"/>
                <w:lang w:val="es-ES_tradnl"/>
              </w:rPr>
            </w:pPr>
            <w:r w:rsidRPr="00E614F6">
              <w:rPr>
                <w:sz w:val="18"/>
                <w:szCs w:val="18"/>
                <w:lang w:val="es-ES_tradnl"/>
              </w:rPr>
              <w:t>420-450</w:t>
            </w:r>
          </w:p>
        </w:tc>
        <w:tc>
          <w:tcPr>
            <w:tcW w:w="1134" w:type="dxa"/>
          </w:tcPr>
          <w:p w:rsidR="008513E4" w:rsidRPr="00E614F6" w:rsidRDefault="009B0CB7" w:rsidP="00E614F6">
            <w:pPr>
              <w:pStyle w:val="Tabletext"/>
              <w:jc w:val="left"/>
              <w:rPr>
                <w:sz w:val="18"/>
                <w:szCs w:val="18"/>
                <w:lang w:val="es-ES_tradnl"/>
              </w:rPr>
            </w:pPr>
            <w:r w:rsidRPr="00E614F6">
              <w:rPr>
                <w:sz w:val="18"/>
                <w:szCs w:val="18"/>
                <w:lang w:val="es-ES_tradnl"/>
              </w:rPr>
              <w:t>Radiolocali</w:t>
            </w:r>
            <w:r>
              <w:rPr>
                <w:sz w:val="18"/>
                <w:szCs w:val="18"/>
                <w:lang w:val="es-ES_tradnl"/>
              </w:rPr>
              <w:t>-</w:t>
            </w:r>
            <w:r>
              <w:rPr>
                <w:sz w:val="18"/>
                <w:szCs w:val="18"/>
                <w:lang w:val="es-ES_tradnl"/>
              </w:rPr>
              <w:br/>
            </w:r>
            <w:r w:rsidRPr="00E614F6">
              <w:rPr>
                <w:sz w:val="18"/>
                <w:szCs w:val="18"/>
                <w:lang w:val="es-ES_tradnl"/>
              </w:rPr>
              <w:t>zación</w:t>
            </w:r>
          </w:p>
        </w:tc>
        <w:tc>
          <w:tcPr>
            <w:tcW w:w="2245" w:type="dxa"/>
          </w:tcPr>
          <w:p w:rsidR="008513E4" w:rsidRPr="00E614F6" w:rsidRDefault="008513E4" w:rsidP="00E614F6">
            <w:pPr>
              <w:pStyle w:val="Tabletext"/>
              <w:jc w:val="left"/>
              <w:rPr>
                <w:sz w:val="18"/>
                <w:szCs w:val="18"/>
                <w:lang w:val="es-ES_tradnl"/>
              </w:rPr>
            </w:pPr>
            <w:r w:rsidRPr="00E614F6">
              <w:rPr>
                <w:sz w:val="18"/>
                <w:szCs w:val="18"/>
                <w:lang w:val="es-ES_tradnl"/>
              </w:rPr>
              <w:t>Dentro de la visibilidad directa de los radares a bordo de aeronaves</w:t>
            </w:r>
          </w:p>
        </w:tc>
        <w:tc>
          <w:tcPr>
            <w:tcW w:w="1219" w:type="dxa"/>
          </w:tcPr>
          <w:p w:rsidR="008513E4" w:rsidRPr="00E614F6" w:rsidRDefault="008513E4" w:rsidP="00766D63">
            <w:pPr>
              <w:pStyle w:val="Tabletext"/>
              <w:jc w:val="center"/>
              <w:rPr>
                <w:sz w:val="18"/>
                <w:szCs w:val="18"/>
                <w:vertAlign w:val="superscript"/>
                <w:lang w:val="es-ES_tradnl"/>
              </w:rPr>
            </w:pPr>
            <w:r w:rsidRPr="00E614F6">
              <w:rPr>
                <w:sz w:val="18"/>
                <w:szCs w:val="18"/>
                <w:vertAlign w:val="superscript"/>
                <w:lang w:val="es-ES_tradnl"/>
              </w:rPr>
              <w:t>(4)</w:t>
            </w:r>
          </w:p>
        </w:tc>
        <w:tc>
          <w:tcPr>
            <w:tcW w:w="2269" w:type="dxa"/>
          </w:tcPr>
          <w:p w:rsidR="008513E4" w:rsidRPr="00E614F6" w:rsidRDefault="008513E4" w:rsidP="00965657">
            <w:pPr>
              <w:pStyle w:val="Tabletext"/>
              <w:jc w:val="center"/>
              <w:rPr>
                <w:sz w:val="18"/>
                <w:szCs w:val="18"/>
                <w:lang w:val="es-ES_tradnl"/>
              </w:rPr>
            </w:pPr>
            <w:r w:rsidRPr="00E614F6">
              <w:rPr>
                <w:sz w:val="18"/>
                <w:szCs w:val="18"/>
                <w:lang w:val="es-ES_tradnl"/>
              </w:rPr>
              <w:t>(</w:t>
            </w:r>
            <w:r w:rsidRPr="00E614F6">
              <w:rPr>
                <w:i/>
                <w:iCs/>
                <w:sz w:val="18"/>
                <w:szCs w:val="18"/>
                <w:lang w:val="es-ES_tradnl"/>
              </w:rPr>
              <w:t>I</w:t>
            </w:r>
            <w:r w:rsidRPr="00E614F6">
              <w:rPr>
                <w:sz w:val="18"/>
                <w:szCs w:val="18"/>
                <w:lang w:val="es-ES_tradnl"/>
              </w:rPr>
              <w:t>/</w:t>
            </w:r>
            <w:r w:rsidRPr="00E614F6">
              <w:rPr>
                <w:i/>
                <w:iCs/>
                <w:sz w:val="18"/>
                <w:szCs w:val="18"/>
                <w:lang w:val="es-ES_tradnl"/>
              </w:rPr>
              <w:t>N</w:t>
            </w:r>
            <w:r w:rsidRPr="00E614F6">
              <w:rPr>
                <w:sz w:val="18"/>
                <w:szCs w:val="18"/>
                <w:lang w:val="es-ES_tradnl"/>
              </w:rPr>
              <w:t>)</w:t>
            </w:r>
            <w:r w:rsidRPr="00E614F6">
              <w:rPr>
                <w:i/>
                <w:iCs/>
                <w:sz w:val="18"/>
                <w:szCs w:val="18"/>
                <w:vertAlign w:val="subscript"/>
                <w:lang w:val="es-ES_tradnl"/>
              </w:rPr>
              <w:t>CRESTA</w:t>
            </w:r>
            <w:r w:rsidRPr="00E614F6">
              <w:rPr>
                <w:sz w:val="18"/>
                <w:szCs w:val="18"/>
                <w:lang w:val="es-ES_tradnl"/>
              </w:rPr>
              <w:t xml:space="preserve"> </w:t>
            </w:r>
            <w:r w:rsidR="00965657" w:rsidRPr="00965657">
              <w:rPr>
                <w:sz w:val="18"/>
                <w:szCs w:val="18"/>
              </w:rPr>
              <w:t>=</w:t>
            </w:r>
            <w:r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6 dB</w:t>
            </w:r>
          </w:p>
        </w:tc>
        <w:tc>
          <w:tcPr>
            <w:tcW w:w="1538" w:type="dxa"/>
          </w:tcPr>
          <w:p w:rsidR="008513E4" w:rsidRPr="00E614F6" w:rsidRDefault="008513E4" w:rsidP="00766D63">
            <w:pPr>
              <w:pStyle w:val="Tabletext"/>
              <w:jc w:val="left"/>
              <w:rPr>
                <w:sz w:val="18"/>
                <w:szCs w:val="18"/>
                <w:lang w:val="es-ES_tradnl"/>
              </w:rPr>
            </w:pPr>
            <w:r w:rsidRPr="00E614F6">
              <w:rPr>
                <w:sz w:val="18"/>
                <w:szCs w:val="18"/>
                <w:lang w:val="es-ES_tradnl"/>
              </w:rPr>
              <w:t>Rec.</w:t>
            </w:r>
            <w:r w:rsidR="00766D63">
              <w:rPr>
                <w:sz w:val="18"/>
                <w:szCs w:val="18"/>
                <w:lang w:val="es-ES_tradnl"/>
              </w:rPr>
              <w:t xml:space="preserve"> </w:t>
            </w:r>
            <w:r w:rsidRPr="00E614F6">
              <w:rPr>
                <w:sz w:val="18"/>
                <w:szCs w:val="18"/>
                <w:lang w:val="es-ES_tradnl"/>
              </w:rPr>
              <w:t>UIT-R M.1462</w:t>
            </w:r>
          </w:p>
        </w:tc>
      </w:tr>
      <w:tr w:rsidR="008513E4" w:rsidRPr="00E614F6" w:rsidTr="00B70EA7">
        <w:trPr>
          <w:jc w:val="center"/>
        </w:trPr>
        <w:tc>
          <w:tcPr>
            <w:tcW w:w="1247" w:type="dxa"/>
          </w:tcPr>
          <w:p w:rsidR="008513E4" w:rsidRPr="00E614F6" w:rsidRDefault="008513E4" w:rsidP="00E614F6">
            <w:pPr>
              <w:pStyle w:val="Tabletext"/>
              <w:jc w:val="left"/>
              <w:rPr>
                <w:sz w:val="18"/>
                <w:szCs w:val="18"/>
                <w:lang w:val="es-ES_tradnl"/>
              </w:rPr>
            </w:pPr>
            <w:r w:rsidRPr="00E614F6">
              <w:rPr>
                <w:sz w:val="18"/>
                <w:szCs w:val="18"/>
                <w:lang w:val="es-ES_tradnl"/>
              </w:rPr>
              <w:t>420-470</w:t>
            </w:r>
            <w:r w:rsidRPr="00E614F6">
              <w:rPr>
                <w:sz w:val="18"/>
                <w:szCs w:val="18"/>
                <w:vertAlign w:val="superscript"/>
                <w:lang w:val="es-ES_tradnl"/>
              </w:rPr>
              <w:t>(3)</w:t>
            </w:r>
          </w:p>
        </w:tc>
        <w:tc>
          <w:tcPr>
            <w:tcW w:w="1134" w:type="dxa"/>
          </w:tcPr>
          <w:p w:rsidR="008513E4" w:rsidRPr="00E614F6" w:rsidRDefault="008513E4" w:rsidP="00E614F6">
            <w:pPr>
              <w:pStyle w:val="Tabletext"/>
              <w:jc w:val="left"/>
              <w:rPr>
                <w:sz w:val="18"/>
                <w:szCs w:val="18"/>
                <w:lang w:val="es-ES_tradnl"/>
              </w:rPr>
            </w:pPr>
            <w:r w:rsidRPr="00E614F6">
              <w:rPr>
                <w:sz w:val="18"/>
                <w:szCs w:val="18"/>
                <w:lang w:val="es-ES_tradnl"/>
              </w:rPr>
              <w:t>Móvil</w:t>
            </w:r>
          </w:p>
        </w:tc>
        <w:tc>
          <w:tcPr>
            <w:tcW w:w="2245" w:type="dxa"/>
          </w:tcPr>
          <w:p w:rsidR="008513E4" w:rsidRPr="00E614F6" w:rsidRDefault="008513E4" w:rsidP="00E614F6">
            <w:pPr>
              <w:pStyle w:val="Tabletext"/>
              <w:jc w:val="left"/>
              <w:rPr>
                <w:sz w:val="18"/>
                <w:szCs w:val="18"/>
                <w:lang w:val="es-ES_tradnl"/>
              </w:rPr>
            </w:pPr>
            <w:r w:rsidRPr="00E614F6">
              <w:rPr>
                <w:sz w:val="18"/>
                <w:szCs w:val="18"/>
                <w:lang w:val="es-ES_tradnl"/>
              </w:rPr>
              <w:t xml:space="preserve">Dentro de la visibilidad directa de las estaciones del servicio móvil incluidas las estaciones situadas en las Regiones definidas en el </w:t>
            </w:r>
            <w:r w:rsidRPr="00E614F6">
              <w:rPr>
                <w:i/>
                <w:iCs/>
                <w:sz w:val="18"/>
                <w:szCs w:val="18"/>
                <w:lang w:val="es-ES_tradnl"/>
              </w:rPr>
              <w:t>considerando j</w:t>
            </w:r>
            <w:r w:rsidRPr="00E614F6">
              <w:rPr>
                <w:sz w:val="18"/>
                <w:szCs w:val="18"/>
                <w:lang w:val="es-ES_tradnl"/>
              </w:rPr>
              <w:t>)</w:t>
            </w:r>
          </w:p>
        </w:tc>
        <w:tc>
          <w:tcPr>
            <w:tcW w:w="1219" w:type="dxa"/>
          </w:tcPr>
          <w:p w:rsidR="008513E4" w:rsidRPr="00E614F6" w:rsidRDefault="008513E4" w:rsidP="00766D63">
            <w:pPr>
              <w:pStyle w:val="Tabletext"/>
              <w:jc w:val="center"/>
              <w:rPr>
                <w:sz w:val="18"/>
                <w:szCs w:val="18"/>
                <w:vertAlign w:val="superscript"/>
                <w:lang w:val="es-ES_tradnl"/>
              </w:rPr>
            </w:pPr>
            <w:r w:rsidRPr="00E614F6">
              <w:rPr>
                <w:sz w:val="18"/>
                <w:szCs w:val="18"/>
                <w:lang w:val="es-ES_tradnl"/>
              </w:rPr>
              <w:t>0,1%</w:t>
            </w:r>
          </w:p>
        </w:tc>
        <w:tc>
          <w:tcPr>
            <w:tcW w:w="2269" w:type="dxa"/>
          </w:tcPr>
          <w:p w:rsidR="008513E4" w:rsidRPr="00E614F6" w:rsidRDefault="008513E4" w:rsidP="00965657">
            <w:pPr>
              <w:pStyle w:val="Tabletext"/>
              <w:jc w:val="center"/>
              <w:rPr>
                <w:sz w:val="18"/>
                <w:szCs w:val="18"/>
                <w:lang w:val="es-ES_tradnl"/>
              </w:rPr>
            </w:pPr>
            <w:r w:rsidRPr="00E614F6">
              <w:rPr>
                <w:sz w:val="18"/>
                <w:szCs w:val="18"/>
                <w:lang w:val="es-ES_tradnl"/>
              </w:rPr>
              <w:t xml:space="preserve">dfp </w:t>
            </w:r>
            <w:r w:rsidR="00965657" w:rsidRPr="00965657">
              <w:rPr>
                <w:sz w:val="18"/>
                <w:szCs w:val="18"/>
              </w:rPr>
              <w:t>=</w:t>
            </w:r>
            <w:r w:rsidR="00D6227E" w:rsidRPr="00E614F6">
              <w:rPr>
                <w:sz w:val="18"/>
                <w:szCs w:val="18"/>
                <w:lang w:val="es-ES_tradnl"/>
              </w:rPr>
              <w:t xml:space="preserve"> </w:t>
            </w:r>
            <w:r w:rsidRPr="00E614F6">
              <w:rPr>
                <w:sz w:val="18"/>
                <w:szCs w:val="18"/>
                <w:lang w:val="es-ES_tradnl"/>
              </w:rPr>
              <w:sym w:font="Symbol" w:char="F02D"/>
            </w:r>
            <w:r w:rsidRPr="00E614F6">
              <w:rPr>
                <w:sz w:val="18"/>
                <w:szCs w:val="18"/>
                <w:lang w:val="es-ES_tradnl"/>
              </w:rPr>
              <w:t>204 dB</w:t>
            </w:r>
            <w:r w:rsidR="00D6227E" w:rsidRPr="00E614F6">
              <w:rPr>
                <w:sz w:val="18"/>
                <w:szCs w:val="18"/>
                <w:lang w:val="es-ES_tradnl"/>
              </w:rPr>
              <w:br/>
            </w:r>
            <w:r w:rsidRPr="00E614F6">
              <w:rPr>
                <w:sz w:val="18"/>
                <w:szCs w:val="18"/>
                <w:lang w:val="es-ES_tradnl"/>
              </w:rPr>
              <w:t>(W/(m</w:t>
            </w:r>
            <w:r w:rsidRPr="00E614F6">
              <w:rPr>
                <w:sz w:val="18"/>
                <w:szCs w:val="18"/>
                <w:vertAlign w:val="superscript"/>
                <w:lang w:val="es-ES_tradnl"/>
              </w:rPr>
              <w:t xml:space="preserve">2 </w:t>
            </w:r>
            <w:r w:rsidRPr="00E614F6">
              <w:rPr>
                <w:sz w:val="18"/>
                <w:szCs w:val="18"/>
                <w:lang w:val="es-ES_tradnl"/>
              </w:rPr>
              <w:t>· Hz))</w:t>
            </w:r>
            <w:r w:rsidRPr="00E614F6">
              <w:rPr>
                <w:sz w:val="18"/>
                <w:szCs w:val="18"/>
                <w:vertAlign w:val="superscript"/>
                <w:lang w:val="es-ES_tradnl"/>
              </w:rPr>
              <w:t>(2)</w:t>
            </w:r>
          </w:p>
        </w:tc>
        <w:tc>
          <w:tcPr>
            <w:tcW w:w="1538" w:type="dxa"/>
          </w:tcPr>
          <w:p w:rsidR="008513E4" w:rsidRPr="00E614F6" w:rsidRDefault="008513E4" w:rsidP="00E614F6">
            <w:pPr>
              <w:pStyle w:val="Tabletext"/>
              <w:jc w:val="left"/>
              <w:rPr>
                <w:sz w:val="18"/>
                <w:szCs w:val="18"/>
                <w:lang w:val="es-ES_tradnl"/>
              </w:rPr>
            </w:pPr>
            <w:r w:rsidRPr="00E614F6">
              <w:rPr>
                <w:sz w:val="18"/>
                <w:szCs w:val="18"/>
                <w:lang w:val="es-ES_tradnl"/>
              </w:rPr>
              <w:t>Estudios del UIT</w:t>
            </w:r>
            <w:r w:rsidRPr="00E614F6">
              <w:rPr>
                <w:sz w:val="18"/>
                <w:szCs w:val="18"/>
                <w:lang w:val="es-ES_tradnl"/>
              </w:rPr>
              <w:noBreakHyphen/>
              <w:t>R</w:t>
            </w:r>
          </w:p>
        </w:tc>
      </w:tr>
    </w:tbl>
    <w:p w:rsidR="008513E4" w:rsidRPr="00D6227E" w:rsidRDefault="008513E4" w:rsidP="008513E4">
      <w:pPr>
        <w:pStyle w:val="Tablefin"/>
        <w:rPr>
          <w:lang w:val="es-ES_tradnl"/>
        </w:rPr>
      </w:pPr>
    </w:p>
    <w:tbl>
      <w:tblPr>
        <w:tblW w:w="0" w:type="auto"/>
        <w:jc w:val="center"/>
        <w:tblLayout w:type="fixed"/>
        <w:tblLook w:val="0000" w:firstRow="0" w:lastRow="0" w:firstColumn="0" w:lastColumn="0" w:noHBand="0" w:noVBand="0"/>
      </w:tblPr>
      <w:tblGrid>
        <w:gridCol w:w="9645"/>
      </w:tblGrid>
      <w:tr w:rsidR="00371237" w:rsidRPr="001F3485" w:rsidTr="00C50A6B">
        <w:trPr>
          <w:jc w:val="center"/>
        </w:trPr>
        <w:tc>
          <w:tcPr>
            <w:tcW w:w="9645" w:type="dxa"/>
          </w:tcPr>
          <w:p w:rsidR="00371237" w:rsidRPr="00C50A6B" w:rsidRDefault="00371237" w:rsidP="008513E4">
            <w:pPr>
              <w:pStyle w:val="Tablelegend"/>
              <w:keepNext/>
              <w:keepLines/>
              <w:rPr>
                <w:i/>
                <w:iCs/>
                <w:sz w:val="18"/>
                <w:szCs w:val="18"/>
                <w:lang w:val="es-ES_tradnl"/>
              </w:rPr>
            </w:pPr>
            <w:r w:rsidRPr="00C50A6B">
              <w:rPr>
                <w:i/>
                <w:iCs/>
                <w:sz w:val="18"/>
                <w:szCs w:val="18"/>
                <w:lang w:val="es-ES_tradnl"/>
              </w:rPr>
              <w:br w:type="page"/>
              <w:t xml:space="preserve">Notas </w:t>
            </w:r>
            <w:r w:rsidR="008513E4" w:rsidRPr="00C50A6B">
              <w:rPr>
                <w:i/>
                <w:iCs/>
                <w:sz w:val="18"/>
                <w:szCs w:val="18"/>
                <w:lang w:val="es-ES_tradnl"/>
              </w:rPr>
              <w:t xml:space="preserve">relativas </w:t>
            </w:r>
            <w:r w:rsidRPr="00C50A6B">
              <w:rPr>
                <w:i/>
                <w:iCs/>
                <w:sz w:val="18"/>
                <w:szCs w:val="18"/>
                <w:lang w:val="es-ES_tradnl"/>
              </w:rPr>
              <w:t>al Cuadro 3:</w:t>
            </w:r>
          </w:p>
          <w:p w:rsidR="00371237" w:rsidRPr="008513E4" w:rsidRDefault="00371237" w:rsidP="008513E4">
            <w:pPr>
              <w:pStyle w:val="Tablelegend"/>
              <w:rPr>
                <w:sz w:val="18"/>
                <w:szCs w:val="18"/>
                <w:lang w:val="es-ES_tradnl"/>
              </w:rPr>
            </w:pPr>
            <w:r w:rsidRPr="008513E4">
              <w:rPr>
                <w:sz w:val="18"/>
                <w:szCs w:val="18"/>
                <w:vertAlign w:val="superscript"/>
                <w:lang w:val="es-ES_tradnl"/>
              </w:rPr>
              <w:t>(1)</w:t>
            </w:r>
            <w:r w:rsidRPr="008513E4">
              <w:rPr>
                <w:sz w:val="18"/>
                <w:szCs w:val="18"/>
                <w:lang w:val="es-ES_tradnl"/>
              </w:rPr>
              <w:tab/>
              <w:t>Considerando todos los SAR activos en esta gama de frecuencias.</w:t>
            </w:r>
          </w:p>
          <w:p w:rsidR="00371237" w:rsidRPr="008513E4" w:rsidRDefault="00371237" w:rsidP="008513E4">
            <w:pPr>
              <w:pStyle w:val="Tablelegend"/>
              <w:rPr>
                <w:sz w:val="18"/>
                <w:szCs w:val="18"/>
                <w:lang w:val="es-ES_tradnl"/>
              </w:rPr>
            </w:pPr>
            <w:r w:rsidRPr="008513E4">
              <w:rPr>
                <w:sz w:val="18"/>
                <w:szCs w:val="18"/>
                <w:vertAlign w:val="superscript"/>
                <w:lang w:val="es-ES_tradnl"/>
              </w:rPr>
              <w:t>(2)</w:t>
            </w:r>
            <w:r w:rsidRPr="008513E4">
              <w:rPr>
                <w:sz w:val="18"/>
                <w:szCs w:val="18"/>
                <w:lang w:val="es-ES_tradnl"/>
              </w:rPr>
              <w:tab/>
              <w:t>La máxima dfp combinada especificada para la banda 430-440 MHz se ha basado en el máximo nivel de interferencia aceptable recibida por el lóbulo lateral medio de una antena receptora del servicio de aficionados.</w:t>
            </w:r>
          </w:p>
          <w:p w:rsidR="00371237" w:rsidRPr="008513E4" w:rsidRDefault="00371237" w:rsidP="008513E4">
            <w:pPr>
              <w:pStyle w:val="Tablelegend"/>
              <w:rPr>
                <w:sz w:val="18"/>
                <w:szCs w:val="18"/>
                <w:lang w:val="es-ES_tradnl"/>
              </w:rPr>
            </w:pPr>
            <w:r w:rsidRPr="008513E4">
              <w:rPr>
                <w:sz w:val="18"/>
                <w:szCs w:val="18"/>
                <w:vertAlign w:val="superscript"/>
                <w:lang w:val="es-ES_tradnl"/>
              </w:rPr>
              <w:t>(3)</w:t>
            </w:r>
            <w:r w:rsidRPr="008513E4">
              <w:rPr>
                <w:rFonts w:ascii="Times" w:hAnsi="Times"/>
                <w:sz w:val="18"/>
                <w:szCs w:val="18"/>
                <w:vertAlign w:val="superscript"/>
                <w:lang w:val="es-ES_tradnl"/>
              </w:rPr>
              <w:tab/>
            </w:r>
            <w:r w:rsidRPr="008513E4">
              <w:rPr>
                <w:sz w:val="18"/>
                <w:szCs w:val="18"/>
                <w:lang w:val="es-ES_tradnl"/>
              </w:rPr>
              <w:t>En la gama de frecuencias 430-440 MHz, los servicios fijo y móvil sólo tienen atribuciones en algunos países mediante nota.</w:t>
            </w:r>
          </w:p>
          <w:p w:rsidR="00371237" w:rsidRPr="008513E4" w:rsidRDefault="00371237" w:rsidP="00E14554">
            <w:pPr>
              <w:pStyle w:val="Tablelegend"/>
              <w:rPr>
                <w:sz w:val="18"/>
                <w:szCs w:val="18"/>
                <w:lang w:val="es-ES_tradnl"/>
              </w:rPr>
            </w:pPr>
            <w:r w:rsidRPr="008513E4">
              <w:rPr>
                <w:sz w:val="18"/>
                <w:szCs w:val="18"/>
                <w:vertAlign w:val="superscript"/>
                <w:lang w:val="es-ES_tradnl"/>
              </w:rPr>
              <w:t>(4)</w:t>
            </w:r>
            <w:r w:rsidRPr="008513E4">
              <w:rPr>
                <w:rFonts w:ascii="Times" w:hAnsi="Times"/>
                <w:sz w:val="18"/>
                <w:szCs w:val="18"/>
                <w:vertAlign w:val="superscript"/>
                <w:lang w:val="es-ES_tradnl"/>
              </w:rPr>
              <w:tab/>
            </w:r>
            <w:r w:rsidRPr="008513E4">
              <w:rPr>
                <w:sz w:val="18"/>
                <w:szCs w:val="18"/>
                <w:lang w:val="es-ES_tradnl"/>
              </w:rPr>
              <w:t>El criterio indicado en la Recomendación UIT-R M.1462 se basa en la protección de los sistemas de radiolocalización contra la interferencia similar al ruido. Puede ser posible la compartición entre sistemas de radiolocalización y sensores activos a bordo de vehículos espaciales con niveles de interferencia superior a los que aparecen en la citada Recomendación</w:t>
            </w:r>
            <w:r w:rsidR="00E14554">
              <w:rPr>
                <w:sz w:val="18"/>
                <w:szCs w:val="18"/>
                <w:lang w:val="es-ES_tradnl"/>
              </w:rPr>
              <w:t xml:space="preserve"> </w:t>
            </w:r>
            <w:r w:rsidRPr="008513E4">
              <w:rPr>
                <w:sz w:val="18"/>
                <w:szCs w:val="18"/>
                <w:lang w:val="es-ES_tradnl"/>
              </w:rPr>
              <w:t>UIT</w:t>
            </w:r>
            <w:r w:rsidRPr="008513E4">
              <w:rPr>
                <w:sz w:val="18"/>
                <w:szCs w:val="18"/>
                <w:lang w:val="es-ES_tradnl"/>
              </w:rPr>
              <w:noBreakHyphen/>
              <w:t>R M.1462 si se utilizan técnicas de procesamiento de la señal para filtrar las emisiones impulsivas no deseadas. En la Recomendación</w:t>
            </w:r>
            <w:r w:rsidR="00E14554">
              <w:rPr>
                <w:sz w:val="18"/>
                <w:szCs w:val="18"/>
                <w:lang w:val="es-ES_tradnl"/>
              </w:rPr>
              <w:t xml:space="preserve"> </w:t>
            </w:r>
            <w:r w:rsidRPr="008513E4">
              <w:rPr>
                <w:sz w:val="18"/>
                <w:szCs w:val="18"/>
                <w:lang w:val="es-ES_tradnl"/>
              </w:rPr>
              <w:t>UIT</w:t>
            </w:r>
            <w:r w:rsidRPr="008513E4">
              <w:rPr>
                <w:sz w:val="18"/>
                <w:szCs w:val="18"/>
                <w:lang w:val="es-ES_tradnl"/>
              </w:rPr>
              <w:noBreakHyphen/>
              <w:t>R M.1372 aparece una descripción de algunas de estas técnicas de supresión de la interferencia.</w:t>
            </w:r>
          </w:p>
          <w:p w:rsidR="00371237" w:rsidRPr="008513E4" w:rsidRDefault="00371237" w:rsidP="008513E4">
            <w:pPr>
              <w:pStyle w:val="Tablelegend"/>
              <w:rPr>
                <w:sz w:val="18"/>
                <w:szCs w:val="18"/>
                <w:lang w:val="es-ES_tradnl"/>
              </w:rPr>
            </w:pPr>
            <w:r w:rsidRPr="008513E4">
              <w:rPr>
                <w:sz w:val="18"/>
                <w:szCs w:val="18"/>
                <w:vertAlign w:val="superscript"/>
                <w:lang w:val="es-ES_tradnl"/>
              </w:rPr>
              <w:t>(5)</w:t>
            </w:r>
            <w:r w:rsidRPr="008513E4">
              <w:rPr>
                <w:sz w:val="18"/>
                <w:szCs w:val="18"/>
                <w:lang w:val="es-ES_tradnl"/>
              </w:rPr>
              <w:tab/>
              <w:t>El SETS (activo) que funciona en la banda 420-450 MHz no deberá transmitir a la vista de los radares terrenales de seguimiento de objetos espaciales indicados en el Cuadro 2, a menos que para confirmar la compatibilidad con el acuerdo mutuo de las administraciones afectadas se haya realizado un análisis detallado, caso por caso, a fin de considerar los efectos del procesamiento del receptor del radar sobre las señales de los SAR no deseadas y posiblemente pruebas de funcionamiento práctico.</w:t>
            </w:r>
          </w:p>
        </w:tc>
      </w:tr>
    </w:tbl>
    <w:p w:rsidR="00371237" w:rsidRPr="00995AB5" w:rsidRDefault="00371237" w:rsidP="008513E4">
      <w:pPr>
        <w:pStyle w:val="Tablefin"/>
        <w:rPr>
          <w:lang w:val="es-ES_tradnl"/>
        </w:rPr>
      </w:pPr>
    </w:p>
    <w:p w:rsidR="00371237" w:rsidRPr="00292BA7" w:rsidRDefault="00371237" w:rsidP="00371237">
      <w:pPr>
        <w:pStyle w:val="AnnexNoTitle"/>
        <w:rPr>
          <w:lang w:val="es-ES_tradnl"/>
        </w:rPr>
      </w:pPr>
      <w:r w:rsidRPr="00292BA7">
        <w:rPr>
          <w:lang w:val="es-ES_tradnl"/>
        </w:rPr>
        <w:t xml:space="preserve">Anexo 2 </w:t>
      </w:r>
      <w:r w:rsidRPr="00292BA7">
        <w:rPr>
          <w:lang w:val="es-ES_tradnl"/>
        </w:rPr>
        <w:br/>
      </w:r>
      <w:r w:rsidRPr="00292BA7">
        <w:rPr>
          <w:lang w:val="es-ES_tradnl"/>
        </w:rPr>
        <w:br/>
        <w:t xml:space="preserve">Metodología para evaluar la interferencia y las técnicas </w:t>
      </w:r>
      <w:r w:rsidRPr="00292BA7">
        <w:rPr>
          <w:lang w:val="es-ES_tradnl"/>
        </w:rPr>
        <w:br/>
        <w:t>de reducción de la interferencia</w:t>
      </w:r>
    </w:p>
    <w:p w:rsidR="00371237" w:rsidRPr="00292BA7" w:rsidRDefault="00371237" w:rsidP="00371237">
      <w:pPr>
        <w:pStyle w:val="Heading1"/>
        <w:rPr>
          <w:lang w:val="es-ES_tradnl"/>
        </w:rPr>
      </w:pPr>
      <w:r w:rsidRPr="00292BA7">
        <w:rPr>
          <w:lang w:val="es-ES_tradnl"/>
        </w:rPr>
        <w:t>1</w:t>
      </w:r>
      <w:r w:rsidRPr="00292BA7">
        <w:rPr>
          <w:lang w:val="es-ES_tradnl"/>
        </w:rPr>
        <w:tab/>
        <w:t>Introducción</w:t>
      </w:r>
    </w:p>
    <w:p w:rsidR="00371237" w:rsidRPr="00292BA7" w:rsidRDefault="00371237" w:rsidP="00371237">
      <w:pPr>
        <w:rPr>
          <w:lang w:val="es-ES_tradnl"/>
        </w:rPr>
      </w:pPr>
      <w:r w:rsidRPr="00292BA7">
        <w:rPr>
          <w:lang w:val="es-ES_tradnl"/>
        </w:rPr>
        <w:t>Se presenta una metodología que permite realizar una estimación sobre si la señal recibida por otros servicios en la banda 420-470 MHz procedente de un sensor activo a bordo de un vehículo espacial puede causar o no dificultades si el sensor funciona en bandas de frecuencias comunes. La mayoría del contenido de este Anexo es extraído del Anexo 1 de la Recomendación UIT-R RS.1280 – Selección de las características de emisión de los sensores activos a bordo de vehículos espaciales para reducir la posible interferencia causada a radares terrenales que funcionan en las bandas de frecuencias 1</w:t>
      </w:r>
      <w:r w:rsidRPr="00292BA7">
        <w:rPr>
          <w:lang w:val="es-ES_tradnl"/>
        </w:rPr>
        <w:noBreakHyphen/>
        <w:t>10 GHz. Los cálculos destacan un cierto número de parámetros del sensor que pueden elegirse de forma que se mejore la situación de compartición.</w:t>
      </w:r>
    </w:p>
    <w:p w:rsidR="00371237" w:rsidRPr="00292BA7" w:rsidRDefault="00371237" w:rsidP="00371237">
      <w:pPr>
        <w:pStyle w:val="Heading1"/>
        <w:rPr>
          <w:lang w:val="es-ES_tradnl"/>
        </w:rPr>
      </w:pPr>
      <w:r w:rsidRPr="00292BA7">
        <w:rPr>
          <w:lang w:val="es-ES_tradnl"/>
        </w:rPr>
        <w:t>2</w:t>
      </w:r>
      <w:r w:rsidRPr="00292BA7">
        <w:rPr>
          <w:lang w:val="es-ES_tradnl"/>
        </w:rPr>
        <w:tab/>
        <w:t>Cálculo de la interferencia causada a otros servicios</w:t>
      </w:r>
    </w:p>
    <w:p w:rsidR="00371237" w:rsidRPr="00292BA7" w:rsidRDefault="00371237" w:rsidP="00371237">
      <w:pPr>
        <w:rPr>
          <w:lang w:val="es-ES_tradnl"/>
        </w:rPr>
      </w:pPr>
      <w:r w:rsidRPr="00292BA7">
        <w:rPr>
          <w:lang w:val="es-ES_tradnl"/>
        </w:rPr>
        <w:t xml:space="preserve">El valor medio de la dfp de la señal interferente, </w:t>
      </w:r>
      <w:r w:rsidRPr="00292BA7">
        <w:rPr>
          <w:i/>
          <w:iCs/>
          <w:lang w:val="es-ES_tradnl"/>
        </w:rPr>
        <w:t>I</w:t>
      </w:r>
      <w:r w:rsidRPr="00292BA7">
        <w:rPr>
          <w:i/>
          <w:iCs/>
          <w:vertAlign w:val="subscript"/>
          <w:lang w:val="es-ES_tradnl"/>
        </w:rPr>
        <w:t>dfp</w:t>
      </w:r>
      <w:r w:rsidRPr="00292BA7">
        <w:rPr>
          <w:lang w:val="es-ES_tradnl"/>
        </w:rPr>
        <w:t xml:space="preserve"> (dB(W/(m</w:t>
      </w:r>
      <w:r w:rsidRPr="00292BA7">
        <w:rPr>
          <w:vertAlign w:val="superscript"/>
          <w:lang w:val="es-ES_tradnl"/>
        </w:rPr>
        <w:t>2</w:t>
      </w:r>
      <w:r w:rsidRPr="00292BA7">
        <w:rPr>
          <w:lang w:val="es-ES_tradnl"/>
        </w:rPr>
        <w:t xml:space="preserve"> · Hz))) y el valor medio del nivel de potencia de la señal interferente, </w:t>
      </w:r>
      <w:r w:rsidRPr="00292BA7">
        <w:rPr>
          <w:i/>
          <w:lang w:val="es-ES_tradnl"/>
        </w:rPr>
        <w:t>I</w:t>
      </w:r>
      <w:r w:rsidRPr="00292BA7">
        <w:rPr>
          <w:lang w:val="es-ES_tradnl"/>
        </w:rPr>
        <w:t xml:space="preserve"> (dBW), recibida por los otros servicios procedente de los sensores activos a bordo de vehículos espaciales se calculan mediante las siguientes fórmulas:</w:t>
      </w:r>
    </w:p>
    <w:p w:rsidR="00371237" w:rsidRPr="00292BA7" w:rsidRDefault="00371237" w:rsidP="00965657">
      <w:pPr>
        <w:tabs>
          <w:tab w:val="clear" w:pos="1191"/>
          <w:tab w:val="clear" w:pos="1588"/>
          <w:tab w:val="clear" w:pos="1985"/>
          <w:tab w:val="center" w:pos="4820"/>
          <w:tab w:val="right" w:pos="9639"/>
        </w:tabs>
        <w:rPr>
          <w:lang w:val="es-ES_tradnl"/>
        </w:rPr>
      </w:pPr>
      <w:r w:rsidRPr="00292BA7">
        <w:rPr>
          <w:i/>
          <w:lang w:val="es-ES_tradnl"/>
        </w:rPr>
        <w:tab/>
      </w:r>
      <w:r w:rsidRPr="00292BA7">
        <w:rPr>
          <w:i/>
          <w:iCs/>
          <w:lang w:val="es-ES_tradnl"/>
        </w:rPr>
        <w:t>I</w:t>
      </w:r>
      <w:r w:rsidRPr="00292BA7">
        <w:rPr>
          <w:i/>
          <w:iCs/>
          <w:vertAlign w:val="subscript"/>
          <w:lang w:val="es-ES_tradnl"/>
        </w:rPr>
        <w:t>dfp</w:t>
      </w:r>
      <w:r w:rsidRPr="00292BA7">
        <w:rPr>
          <w:lang w:val="es-ES_tradnl"/>
        </w:rPr>
        <w:t xml:space="preserve"> </w:t>
      </w:r>
      <w:r w:rsidR="00965657">
        <w:rPr>
          <w:lang w:val="es-ES_tradnl"/>
        </w:rPr>
        <w:t>=</w:t>
      </w:r>
      <w:r w:rsidRPr="00292BA7">
        <w:rPr>
          <w:lang w:val="es-ES_tradnl"/>
        </w:rPr>
        <w:t xml:space="preserve"> 10 log </w:t>
      </w:r>
      <w:r w:rsidRPr="00292BA7">
        <w:rPr>
          <w:i/>
          <w:lang w:val="es-ES_tradnl"/>
        </w:rPr>
        <w:t>P</w:t>
      </w:r>
      <w:r w:rsidRPr="00292BA7">
        <w:rPr>
          <w:i/>
          <w:vertAlign w:val="subscript"/>
          <w:lang w:val="es-ES_tradnl"/>
        </w:rPr>
        <w:t>t</w:t>
      </w:r>
      <w:r w:rsidRPr="00292BA7">
        <w:rPr>
          <w:lang w:val="es-ES_tradnl"/>
        </w:rPr>
        <w:t xml:space="preserve"> </w:t>
      </w:r>
      <w:r w:rsidR="00965657">
        <w:rPr>
          <w:lang w:val="es-ES_tradnl"/>
        </w:rPr>
        <w:t>+</w:t>
      </w:r>
      <w:r w:rsidRPr="00292BA7">
        <w:rPr>
          <w:lang w:val="es-ES_tradnl"/>
        </w:rPr>
        <w:t xml:space="preserve"> 10 log (</w:t>
      </w:r>
      <w:r w:rsidR="00965657">
        <w:sym w:font="Symbol" w:char="F074"/>
      </w:r>
      <w:r w:rsidRPr="00292BA7">
        <w:rPr>
          <w:i/>
          <w:lang w:val="es-ES_tradnl"/>
        </w:rPr>
        <w:t>PRF</w:t>
      </w:r>
      <w:r w:rsidRPr="00292BA7">
        <w:rPr>
          <w:rFonts w:ascii="Tms Rmn" w:hAnsi="Tms Rmn"/>
          <w:sz w:val="12"/>
          <w:lang w:val="es-ES_tradnl"/>
        </w:rPr>
        <w:t> </w:t>
      </w:r>
      <w:r w:rsidRPr="00292BA7">
        <w:rPr>
          <w:lang w:val="es-ES_tradnl"/>
        </w:rPr>
        <w:t xml:space="preserve">) </w:t>
      </w:r>
      <w:r w:rsidR="00965657">
        <w:rPr>
          <w:lang w:val="es-ES_tradnl"/>
        </w:rPr>
        <w:t xml:space="preserve">+ </w:t>
      </w:r>
      <w:r w:rsidRPr="00292BA7">
        <w:rPr>
          <w:i/>
          <w:lang w:val="es-ES_tradnl"/>
        </w:rPr>
        <w:t>G</w:t>
      </w:r>
      <w:r w:rsidRPr="00292BA7">
        <w:rPr>
          <w:i/>
          <w:vertAlign w:val="subscript"/>
          <w:lang w:val="es-ES_tradnl"/>
        </w:rPr>
        <w:t>t</w:t>
      </w:r>
      <w:r w:rsidRPr="00292BA7">
        <w:rPr>
          <w:lang w:val="es-ES_tradnl"/>
        </w:rPr>
        <w:t xml:space="preserve"> – (130,99 </w:t>
      </w:r>
      <w:r w:rsidR="00965657">
        <w:rPr>
          <w:lang w:val="es-ES_tradnl"/>
        </w:rPr>
        <w:t>+</w:t>
      </w:r>
      <w:r w:rsidRPr="00292BA7">
        <w:rPr>
          <w:lang w:val="es-ES_tradnl"/>
        </w:rPr>
        <w:t xml:space="preserve"> 20 log </w:t>
      </w:r>
      <w:r w:rsidRPr="00292BA7">
        <w:rPr>
          <w:i/>
          <w:lang w:val="es-ES_tradnl"/>
        </w:rPr>
        <w:t>R</w:t>
      </w:r>
      <w:r w:rsidRPr="00292BA7">
        <w:rPr>
          <w:lang w:val="es-ES_tradnl"/>
        </w:rPr>
        <w:t xml:space="preserve"> + 10 log </w:t>
      </w:r>
      <w:r w:rsidRPr="00292BA7">
        <w:rPr>
          <w:i/>
          <w:iCs/>
          <w:lang w:val="es-ES_tradnl"/>
        </w:rPr>
        <w:t>B</w:t>
      </w:r>
      <w:r w:rsidRPr="00292BA7">
        <w:rPr>
          <w:lang w:val="es-ES_tradnl"/>
        </w:rPr>
        <w:t xml:space="preserve">) </w:t>
      </w:r>
      <w:r w:rsidR="00965657">
        <w:rPr>
          <w:lang w:val="es-ES_tradnl"/>
        </w:rPr>
        <w:t xml:space="preserve">+ </w:t>
      </w:r>
      <w:r w:rsidRPr="00292BA7">
        <w:rPr>
          <w:i/>
          <w:lang w:val="es-ES_tradnl"/>
        </w:rPr>
        <w:t>OTR</w:t>
      </w:r>
      <w:r w:rsidRPr="00292BA7">
        <w:rPr>
          <w:lang w:val="es-ES_tradnl"/>
        </w:rPr>
        <w:t xml:space="preserve"> – </w:t>
      </w:r>
      <w:r w:rsidRPr="00292BA7">
        <w:rPr>
          <w:i/>
          <w:lang w:val="es-ES_tradnl"/>
        </w:rPr>
        <w:t>PG</w:t>
      </w:r>
      <w:r w:rsidRPr="00292BA7">
        <w:rPr>
          <w:lang w:val="es-ES_tradnl"/>
        </w:rPr>
        <w:tab/>
        <w:t>(1a)</w:t>
      </w:r>
    </w:p>
    <w:p w:rsidR="00371237" w:rsidRPr="00292BA7" w:rsidRDefault="00371237" w:rsidP="00371237">
      <w:pPr>
        <w:rPr>
          <w:lang w:val="es-ES_tradnl"/>
        </w:rPr>
      </w:pPr>
      <w:r w:rsidRPr="00292BA7">
        <w:rPr>
          <w:lang w:val="es-ES_tradnl"/>
        </w:rPr>
        <w:t>e</w:t>
      </w:r>
    </w:p>
    <w:p w:rsidR="00371237" w:rsidRPr="001F3485" w:rsidRDefault="00371237" w:rsidP="00965657">
      <w:pPr>
        <w:tabs>
          <w:tab w:val="clear" w:pos="1191"/>
          <w:tab w:val="clear" w:pos="1588"/>
          <w:tab w:val="clear" w:pos="1985"/>
          <w:tab w:val="center" w:pos="4820"/>
          <w:tab w:val="right" w:pos="9639"/>
        </w:tabs>
        <w:rPr>
          <w:lang w:val="es-ES_tradnl"/>
        </w:rPr>
      </w:pPr>
      <w:r w:rsidRPr="00292BA7">
        <w:rPr>
          <w:i/>
          <w:lang w:val="es-ES_tradnl"/>
        </w:rPr>
        <w:tab/>
      </w:r>
      <w:r w:rsidRPr="001F3485">
        <w:rPr>
          <w:i/>
          <w:lang w:val="es-ES_tradnl"/>
        </w:rPr>
        <w:t>I</w:t>
      </w:r>
      <w:r w:rsidRPr="001F3485">
        <w:rPr>
          <w:lang w:val="es-ES_tradnl"/>
        </w:rPr>
        <w:t xml:space="preserve"> </w:t>
      </w:r>
      <w:r w:rsidR="00965657" w:rsidRPr="001F3485">
        <w:rPr>
          <w:lang w:val="es-ES_tradnl"/>
        </w:rPr>
        <w:t>=</w:t>
      </w:r>
      <w:r w:rsidRPr="001F3485">
        <w:rPr>
          <w:lang w:val="es-ES_tradnl"/>
        </w:rPr>
        <w:t xml:space="preserve"> 10 log </w:t>
      </w:r>
      <w:r w:rsidRPr="001F3485">
        <w:rPr>
          <w:i/>
          <w:lang w:val="es-ES_tradnl"/>
        </w:rPr>
        <w:t>P</w:t>
      </w:r>
      <w:r w:rsidRPr="001F3485">
        <w:rPr>
          <w:i/>
          <w:vertAlign w:val="subscript"/>
          <w:lang w:val="es-ES_tradnl"/>
        </w:rPr>
        <w:t>t</w:t>
      </w:r>
      <w:r w:rsidRPr="001F3485">
        <w:rPr>
          <w:lang w:val="es-ES_tradnl"/>
        </w:rPr>
        <w:t xml:space="preserve"> </w:t>
      </w:r>
      <w:r w:rsidR="00965657" w:rsidRPr="001F3485">
        <w:rPr>
          <w:lang w:val="es-ES_tradnl"/>
        </w:rPr>
        <w:t>+</w:t>
      </w:r>
      <w:r w:rsidRPr="001F3485">
        <w:rPr>
          <w:lang w:val="es-ES_tradnl"/>
        </w:rPr>
        <w:t xml:space="preserve"> 10 log (</w:t>
      </w:r>
      <w:r w:rsidR="009A52AD">
        <w:rPr>
          <w:lang w:val="es-ES_tradnl"/>
        </w:rPr>
        <w:sym w:font="Symbol" w:char="F074"/>
      </w:r>
      <w:r w:rsidRPr="001F3485">
        <w:rPr>
          <w:i/>
          <w:lang w:val="es-ES_tradnl"/>
        </w:rPr>
        <w:t>PRF</w:t>
      </w:r>
      <w:r w:rsidRPr="001F3485">
        <w:rPr>
          <w:rFonts w:ascii="Tms Rmn" w:hAnsi="Tms Rmn"/>
          <w:sz w:val="12"/>
          <w:lang w:val="es-ES_tradnl"/>
        </w:rPr>
        <w:t> </w:t>
      </w:r>
      <w:r w:rsidRPr="001F3485">
        <w:rPr>
          <w:lang w:val="es-ES_tradnl"/>
        </w:rPr>
        <w:t xml:space="preserve">) </w:t>
      </w:r>
      <w:r w:rsidR="009A52AD" w:rsidRPr="001F3485">
        <w:rPr>
          <w:lang w:val="es-ES_tradnl"/>
        </w:rPr>
        <w:t xml:space="preserve">+ </w:t>
      </w:r>
      <w:r w:rsidRPr="001F3485">
        <w:rPr>
          <w:i/>
          <w:lang w:val="es-ES_tradnl"/>
        </w:rPr>
        <w:t>G</w:t>
      </w:r>
      <w:r w:rsidRPr="001F3485">
        <w:rPr>
          <w:i/>
          <w:vertAlign w:val="subscript"/>
          <w:lang w:val="es-ES_tradnl"/>
        </w:rPr>
        <w:t>t</w:t>
      </w:r>
      <w:r w:rsidRPr="001F3485">
        <w:rPr>
          <w:lang w:val="es-ES_tradnl"/>
        </w:rPr>
        <w:t xml:space="preserve"> </w:t>
      </w:r>
      <w:r w:rsidR="009A52AD" w:rsidRPr="001F3485">
        <w:rPr>
          <w:lang w:val="es-ES_tradnl"/>
        </w:rPr>
        <w:t>+</w:t>
      </w:r>
      <w:r w:rsidRPr="001F3485">
        <w:rPr>
          <w:lang w:val="es-ES_tradnl"/>
        </w:rPr>
        <w:t xml:space="preserve"> </w:t>
      </w:r>
      <w:r w:rsidRPr="001F3485">
        <w:rPr>
          <w:i/>
          <w:lang w:val="es-ES_tradnl"/>
        </w:rPr>
        <w:t>G</w:t>
      </w:r>
      <w:r w:rsidRPr="001F3485">
        <w:rPr>
          <w:i/>
          <w:vertAlign w:val="subscript"/>
          <w:lang w:val="es-ES_tradnl"/>
        </w:rPr>
        <w:t>r</w:t>
      </w:r>
      <w:r w:rsidRPr="001F3485">
        <w:rPr>
          <w:lang w:val="es-ES_tradnl"/>
        </w:rPr>
        <w:t xml:space="preserve"> – (32,44 </w:t>
      </w:r>
      <w:r w:rsidR="009A52AD" w:rsidRPr="001F3485">
        <w:rPr>
          <w:lang w:val="es-ES_tradnl"/>
        </w:rPr>
        <w:t>+</w:t>
      </w:r>
      <w:r w:rsidRPr="001F3485">
        <w:rPr>
          <w:lang w:val="es-ES_tradnl"/>
        </w:rPr>
        <w:t xml:space="preserve"> 20 log (</w:t>
      </w:r>
      <w:r w:rsidRPr="001F3485">
        <w:rPr>
          <w:rFonts w:ascii="Tms Rmn" w:hAnsi="Tms Rmn"/>
          <w:sz w:val="12"/>
          <w:lang w:val="es-ES_tradnl"/>
        </w:rPr>
        <w:t> </w:t>
      </w:r>
      <w:r w:rsidRPr="001F3485">
        <w:rPr>
          <w:i/>
          <w:lang w:val="es-ES_tradnl"/>
        </w:rPr>
        <w:t>f R</w:t>
      </w:r>
      <w:r w:rsidRPr="001F3485">
        <w:rPr>
          <w:sz w:val="8"/>
          <w:lang w:val="es-ES_tradnl"/>
        </w:rPr>
        <w:t> </w:t>
      </w:r>
      <w:r w:rsidRPr="001F3485">
        <w:rPr>
          <w:lang w:val="es-ES_tradnl"/>
        </w:rPr>
        <w:t xml:space="preserve">)) </w:t>
      </w:r>
      <w:r w:rsidR="009A52AD" w:rsidRPr="001F3485">
        <w:rPr>
          <w:lang w:val="es-ES_tradnl"/>
        </w:rPr>
        <w:t xml:space="preserve">+ </w:t>
      </w:r>
      <w:r w:rsidRPr="001F3485">
        <w:rPr>
          <w:i/>
          <w:lang w:val="es-ES_tradnl"/>
        </w:rPr>
        <w:t>OTR</w:t>
      </w:r>
      <w:r w:rsidRPr="001F3485">
        <w:rPr>
          <w:lang w:val="es-ES_tradnl"/>
        </w:rPr>
        <w:t xml:space="preserve"> – </w:t>
      </w:r>
      <w:r w:rsidRPr="001F3485">
        <w:rPr>
          <w:i/>
          <w:lang w:val="es-ES_tradnl"/>
        </w:rPr>
        <w:t>PG</w:t>
      </w:r>
      <w:r w:rsidRPr="001F3485">
        <w:rPr>
          <w:lang w:val="es-ES_tradnl"/>
        </w:rPr>
        <w:tab/>
        <w:t>(1b)</w:t>
      </w:r>
    </w:p>
    <w:p w:rsidR="00371237" w:rsidRPr="00292BA7" w:rsidRDefault="00371237" w:rsidP="00371237">
      <w:pPr>
        <w:rPr>
          <w:lang w:val="es-ES_tradnl"/>
        </w:rPr>
      </w:pPr>
      <w:r w:rsidRPr="00292BA7">
        <w:rPr>
          <w:lang w:val="es-ES_tradnl"/>
        </w:rPr>
        <w:t>donde:</w:t>
      </w:r>
    </w:p>
    <w:p w:rsidR="00371237" w:rsidRPr="00292BA7" w:rsidRDefault="00371237" w:rsidP="008513E4">
      <w:pPr>
        <w:tabs>
          <w:tab w:val="clear" w:pos="794"/>
          <w:tab w:val="clear" w:pos="1191"/>
          <w:tab w:val="clear" w:pos="1588"/>
          <w:tab w:val="right" w:pos="1701"/>
        </w:tabs>
        <w:spacing w:before="80"/>
        <w:ind w:left="1985" w:hanging="1985"/>
        <w:rPr>
          <w:lang w:val="es-ES_tradnl"/>
        </w:rPr>
      </w:pPr>
      <w:r w:rsidRPr="00292BA7">
        <w:rPr>
          <w:i/>
          <w:lang w:val="es-ES_tradnl"/>
        </w:rPr>
        <w:tab/>
        <w:t>P</w:t>
      </w:r>
      <w:r w:rsidRPr="00292BA7">
        <w:rPr>
          <w:i/>
          <w:position w:val="-4"/>
          <w:lang w:val="es-ES_tradnl"/>
        </w:rPr>
        <w:t>t</w:t>
      </w:r>
      <w:r w:rsidRPr="00292BA7">
        <w:rPr>
          <w:rFonts w:ascii="Tms Rmn" w:hAnsi="Tms Rmn"/>
          <w:lang w:val="es-ES_tradnl"/>
        </w:rPr>
        <w:t>:</w:t>
      </w:r>
      <w:r w:rsidRPr="00292BA7">
        <w:rPr>
          <w:rFonts w:ascii="Tms Rmn" w:hAnsi="Tms Rmn"/>
          <w:lang w:val="es-ES_tradnl"/>
        </w:rPr>
        <w:tab/>
        <w:t xml:space="preserve">potencia de cresta del transmisor del sensor a bordo del vehículo espacial </w:t>
      </w:r>
      <w:r w:rsidRPr="00292BA7">
        <w:rPr>
          <w:lang w:val="es-ES_tradnl"/>
        </w:rPr>
        <w:t>(W)</w:t>
      </w:r>
    </w:p>
    <w:p w:rsidR="00371237" w:rsidRPr="00292BA7" w:rsidRDefault="00371237" w:rsidP="009A52AD">
      <w:pPr>
        <w:tabs>
          <w:tab w:val="clear" w:pos="794"/>
          <w:tab w:val="clear" w:pos="1191"/>
          <w:tab w:val="clear" w:pos="1588"/>
          <w:tab w:val="right" w:pos="1701"/>
        </w:tabs>
        <w:spacing w:before="80"/>
        <w:ind w:left="1985" w:hanging="1985"/>
        <w:rPr>
          <w:lang w:val="es-ES_tradnl"/>
        </w:rPr>
      </w:pPr>
      <w:r w:rsidRPr="00292BA7">
        <w:rPr>
          <w:lang w:val="es-ES_tradnl"/>
        </w:rPr>
        <w:tab/>
      </w:r>
      <w:r w:rsidR="009A52AD">
        <w:rPr>
          <w:lang w:val="es-ES_tradnl"/>
        </w:rPr>
        <w:sym w:font="Symbol" w:char="F074"/>
      </w:r>
      <w:r w:rsidRPr="00292BA7">
        <w:rPr>
          <w:rFonts w:ascii="Tms Rmn" w:hAnsi="Tms Rmn"/>
          <w:lang w:val="es-ES_tradnl"/>
        </w:rPr>
        <w:t>:</w:t>
      </w:r>
      <w:r w:rsidRPr="00292BA7">
        <w:rPr>
          <w:i/>
          <w:lang w:val="es-ES_tradnl"/>
        </w:rPr>
        <w:tab/>
      </w:r>
      <w:r w:rsidRPr="00292BA7">
        <w:rPr>
          <w:iCs/>
          <w:lang w:val="es-ES_tradnl"/>
        </w:rPr>
        <w:t xml:space="preserve">anchura del impulso del sensor a bordo del vehículo espacial </w:t>
      </w:r>
      <w:r w:rsidRPr="00292BA7">
        <w:rPr>
          <w:lang w:val="es-ES_tradnl"/>
        </w:rPr>
        <w:t>(s)</w:t>
      </w:r>
    </w:p>
    <w:p w:rsidR="00371237" w:rsidRPr="00292BA7" w:rsidRDefault="00371237" w:rsidP="008513E4">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PRF</w:t>
      </w:r>
      <w:r w:rsidRPr="00292BA7">
        <w:rPr>
          <w:rFonts w:ascii="Tms Rmn" w:hAnsi="Tms Rmn"/>
          <w:lang w:val="es-ES_tradnl"/>
        </w:rPr>
        <w:t>:</w:t>
      </w:r>
      <w:r w:rsidRPr="00292BA7">
        <w:rPr>
          <w:lang w:val="es-ES_tradnl"/>
        </w:rPr>
        <w:tab/>
        <w:t>frecuencia de repetición de impulsos del sensor a bordo del vehículo espacial (Hz)</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G</w:t>
      </w:r>
      <w:r w:rsidRPr="001F3485">
        <w:rPr>
          <w:i/>
          <w:iCs/>
          <w:vertAlign w:val="subscript"/>
          <w:lang w:val="es-ES_tradnl"/>
        </w:rPr>
        <w:t>t</w:t>
      </w:r>
      <w:r w:rsidRPr="00292BA7">
        <w:rPr>
          <w:rFonts w:ascii="Tms Rmn" w:hAnsi="Tms Rmn"/>
          <w:lang w:val="es-ES_tradnl"/>
        </w:rPr>
        <w:t>:</w:t>
      </w:r>
      <w:r w:rsidRPr="00292BA7">
        <w:rPr>
          <w:lang w:val="es-ES_tradnl"/>
        </w:rPr>
        <w:tab/>
        <w:t>ganancia de antena del sensor a bordo del vehículo espacial hacia el otro servicio (dBi)</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R</w:t>
      </w:r>
      <w:r w:rsidRPr="00292BA7">
        <w:rPr>
          <w:rFonts w:ascii="Tms Rmn" w:hAnsi="Tms Rmn"/>
          <w:lang w:val="es-ES_tradnl"/>
        </w:rPr>
        <w:t>:</w:t>
      </w:r>
      <w:r w:rsidRPr="00292BA7">
        <w:rPr>
          <w:lang w:val="es-ES_tradnl"/>
        </w:rPr>
        <w:tab/>
        <w:t>distancia oblicua entre el sensor y el radar (km)</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iCs/>
          <w:lang w:val="es-ES_tradnl"/>
        </w:rPr>
        <w:t>B</w:t>
      </w:r>
      <w:r w:rsidRPr="00292BA7">
        <w:rPr>
          <w:rFonts w:ascii="Tms Rmn" w:hAnsi="Tms Rmn"/>
          <w:lang w:val="es-ES_tradnl"/>
        </w:rPr>
        <w:t>:</w:t>
      </w:r>
      <w:r w:rsidRPr="00292BA7">
        <w:rPr>
          <w:lang w:val="es-ES_tradnl"/>
        </w:rPr>
        <w:tab/>
        <w:t>anchura de banda del sensor (MHz)</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OTR</w:t>
      </w:r>
      <w:r w:rsidRPr="00292BA7">
        <w:rPr>
          <w:rFonts w:ascii="Tms Rmn" w:hAnsi="Tms Rmn"/>
          <w:lang w:val="es-ES_tradnl"/>
        </w:rPr>
        <w:t>:</w:t>
      </w:r>
      <w:r w:rsidRPr="00292BA7">
        <w:rPr>
          <w:lang w:val="es-ES_tradnl"/>
        </w:rPr>
        <w:tab/>
        <w:t>rechazo en sintonía del receptor (dB)</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PG</w:t>
      </w:r>
      <w:r w:rsidRPr="00292BA7">
        <w:rPr>
          <w:rFonts w:ascii="Tms Rmn" w:hAnsi="Tms Rmn"/>
          <w:lang w:val="es-ES_tradnl"/>
        </w:rPr>
        <w:t>:</w:t>
      </w:r>
      <w:r w:rsidRPr="00292BA7">
        <w:rPr>
          <w:lang w:val="es-ES_tradnl"/>
        </w:rPr>
        <w:tab/>
        <w:t>ganancia de procesamiento (dB), rechazo de señales no deseadas debido al procesamiento de la señal del receptor (si no se conoce, se supone que su valor es cero)</w:t>
      </w:r>
    </w:p>
    <w:p w:rsidR="00371237" w:rsidRPr="00292BA7" w:rsidRDefault="00371237" w:rsidP="00C50A6B">
      <w:pPr>
        <w:tabs>
          <w:tab w:val="clear" w:pos="794"/>
          <w:tab w:val="clear" w:pos="1191"/>
          <w:tab w:val="clear" w:pos="1588"/>
          <w:tab w:val="right" w:pos="1701"/>
        </w:tabs>
        <w:spacing w:before="80"/>
        <w:ind w:left="1985" w:hanging="1985"/>
        <w:rPr>
          <w:lang w:val="es-ES_tradnl"/>
        </w:rPr>
      </w:pPr>
      <w:r w:rsidRPr="00292BA7">
        <w:rPr>
          <w:i/>
          <w:lang w:val="es-ES_tradnl"/>
        </w:rPr>
        <w:tab/>
        <w:t>f</w:t>
      </w:r>
      <w:r w:rsidRPr="00C50A6B">
        <w:rPr>
          <w:i/>
          <w:sz w:val="8"/>
          <w:szCs w:val="8"/>
          <w:lang w:val="es-ES_tradnl"/>
        </w:rPr>
        <w:t> </w:t>
      </w:r>
      <w:r w:rsidRPr="00292BA7">
        <w:rPr>
          <w:rFonts w:ascii="Tms Rmn" w:hAnsi="Tms Rmn"/>
          <w:lang w:val="es-ES_tradnl"/>
        </w:rPr>
        <w:t>:</w:t>
      </w:r>
      <w:r w:rsidRPr="00292BA7">
        <w:rPr>
          <w:lang w:val="es-ES_tradnl"/>
        </w:rPr>
        <w:tab/>
        <w:t>frecuencia (MHz).</w:t>
      </w:r>
    </w:p>
    <w:p w:rsidR="00371237" w:rsidRPr="00292BA7" w:rsidRDefault="00371237" w:rsidP="00371237">
      <w:pPr>
        <w:rPr>
          <w:lang w:val="es-ES_tradnl"/>
        </w:rPr>
      </w:pPr>
      <w:r w:rsidRPr="00292BA7">
        <w:rPr>
          <w:lang w:val="es-ES_tradnl"/>
        </w:rPr>
        <w:t>La ecuación (1a) proporciona el valor medio del nivel de dfp de la señal interferente y la ecuación (1b) proporciona el valor medio del nivel de potencia de la señal interferente. Éste se utiliza cuando puede determinarse que su empleo es adecuado. Por ejemplo, un radar que produce una transformada rápida de Fourier (TRF) en la señal recibida provocará la «borrosidad» de la señal pulsante disímil a través de un cierto número de impulsos, dando como resultado un nivel medio de la señal interferente. El término rechazo en sintonía se calcula del modo siguiente:</w:t>
      </w:r>
    </w:p>
    <w:p w:rsidR="00371237" w:rsidRPr="00292BA7" w:rsidRDefault="00371237" w:rsidP="009A52AD">
      <w:pPr>
        <w:tabs>
          <w:tab w:val="clear" w:pos="1191"/>
          <w:tab w:val="clear" w:pos="1588"/>
          <w:tab w:val="clear" w:pos="1985"/>
          <w:tab w:val="left" w:pos="2694"/>
          <w:tab w:val="left" w:pos="3289"/>
          <w:tab w:val="center" w:pos="4820"/>
          <w:tab w:val="left" w:pos="5670"/>
          <w:tab w:val="right" w:pos="9639"/>
        </w:tabs>
        <w:rPr>
          <w:lang w:val="es-ES_tradnl"/>
        </w:rPr>
      </w:pPr>
      <w:r w:rsidRPr="00292BA7">
        <w:rPr>
          <w:lang w:val="es-ES_tradnl"/>
        </w:rPr>
        <w:tab/>
      </w:r>
      <w:r w:rsidRPr="00292BA7">
        <w:rPr>
          <w:lang w:val="es-ES_tradnl"/>
        </w:rPr>
        <w:tab/>
      </w:r>
      <w:r w:rsidRPr="00292BA7">
        <w:rPr>
          <w:i/>
          <w:lang w:val="es-ES_tradnl"/>
        </w:rPr>
        <w:t>OTR</w:t>
      </w:r>
      <w:r w:rsidRPr="00292BA7">
        <w:rPr>
          <w:lang w:val="es-ES_tradnl"/>
        </w:rPr>
        <w:tab/>
      </w:r>
      <w:r w:rsidR="009A52AD">
        <w:rPr>
          <w:lang w:val="es-ES_tradnl"/>
        </w:rPr>
        <w:t xml:space="preserve">= </w:t>
      </w:r>
      <w:r w:rsidRPr="00292BA7">
        <w:rPr>
          <w:lang w:val="es-ES_tradnl"/>
        </w:rPr>
        <w:t>10 log (</w:t>
      </w:r>
      <w:r w:rsidRPr="00292BA7">
        <w:rPr>
          <w:rFonts w:ascii="Tms Rmn" w:hAnsi="Tms Rmn"/>
          <w:position w:val="-4"/>
          <w:sz w:val="8"/>
          <w:lang w:val="es-ES_tradnl"/>
        </w:rPr>
        <w:t> </w:t>
      </w:r>
      <w:r w:rsidRPr="00292BA7">
        <w:rPr>
          <w:i/>
          <w:lang w:val="es-ES_tradnl"/>
        </w:rPr>
        <w:t>B</w:t>
      </w:r>
      <w:r w:rsidRPr="00292BA7">
        <w:rPr>
          <w:i/>
          <w:vertAlign w:val="subscript"/>
          <w:lang w:val="es-ES_tradnl"/>
        </w:rPr>
        <w:t>r</w:t>
      </w:r>
      <w:r w:rsidRPr="00292BA7">
        <w:rPr>
          <w:lang w:val="es-ES_tradnl"/>
        </w:rPr>
        <w:t>/</w:t>
      </w:r>
      <w:r w:rsidRPr="00292BA7">
        <w:rPr>
          <w:rFonts w:ascii="Tms Rmn" w:hAnsi="Tms Rmn"/>
          <w:position w:val="-4"/>
          <w:sz w:val="8"/>
          <w:lang w:val="es-ES_tradnl"/>
        </w:rPr>
        <w:t> </w:t>
      </w:r>
      <w:r w:rsidRPr="00292BA7">
        <w:rPr>
          <w:i/>
          <w:lang w:val="es-ES_tradnl"/>
        </w:rPr>
        <w:t>B</w:t>
      </w:r>
      <w:r w:rsidRPr="00292BA7">
        <w:rPr>
          <w:i/>
          <w:vertAlign w:val="subscript"/>
          <w:lang w:val="es-ES_tradnl"/>
        </w:rPr>
        <w:t>t</w:t>
      </w:r>
      <w:r w:rsidRPr="00292BA7">
        <w:rPr>
          <w:rFonts w:ascii="Tms Rmn" w:hAnsi="Tms Rmn"/>
          <w:position w:val="-4"/>
          <w:sz w:val="8"/>
          <w:lang w:val="es-ES_tradnl"/>
        </w:rPr>
        <w:t> </w:t>
      </w:r>
      <w:r w:rsidRPr="00292BA7">
        <w:rPr>
          <w:lang w:val="es-ES_tradnl"/>
        </w:rPr>
        <w:t>)</w:t>
      </w:r>
      <w:r w:rsidRPr="00292BA7">
        <w:rPr>
          <w:lang w:val="es-ES_tradnl"/>
        </w:rPr>
        <w:tab/>
        <w:t xml:space="preserve">para </w:t>
      </w:r>
      <w:r w:rsidRPr="00292BA7">
        <w:rPr>
          <w:i/>
          <w:lang w:val="es-ES_tradnl"/>
        </w:rPr>
        <w:t>B</w:t>
      </w:r>
      <w:r w:rsidRPr="00292BA7">
        <w:rPr>
          <w:i/>
          <w:vertAlign w:val="subscript"/>
          <w:lang w:val="es-ES_tradnl"/>
        </w:rPr>
        <w:t>r</w:t>
      </w:r>
      <w:r w:rsidRPr="00292BA7">
        <w:rPr>
          <w:lang w:val="es-ES_tradnl"/>
        </w:rPr>
        <w:t xml:space="preserve"> </w:t>
      </w:r>
      <w:r w:rsidR="009A52AD">
        <w:rPr>
          <w:lang w:val="es-ES_tradnl"/>
        </w:rPr>
        <w:t>≤</w:t>
      </w:r>
      <w:r w:rsidRPr="00292BA7">
        <w:rPr>
          <w:lang w:val="es-ES_tradnl"/>
        </w:rPr>
        <w:t xml:space="preserve"> </w:t>
      </w:r>
      <w:r w:rsidRPr="00292BA7">
        <w:rPr>
          <w:i/>
          <w:lang w:val="es-ES_tradnl"/>
        </w:rPr>
        <w:t>B</w:t>
      </w:r>
      <w:r w:rsidRPr="00292BA7">
        <w:rPr>
          <w:i/>
          <w:vertAlign w:val="subscript"/>
          <w:lang w:val="es-ES_tradnl"/>
        </w:rPr>
        <w:t>t</w:t>
      </w:r>
      <w:r w:rsidRPr="00292BA7">
        <w:rPr>
          <w:lang w:val="es-ES_tradnl"/>
        </w:rPr>
        <w:tab/>
        <w:t>(2a)</w:t>
      </w:r>
    </w:p>
    <w:p w:rsidR="00371237" w:rsidRPr="00292BA7" w:rsidRDefault="00371237" w:rsidP="009A52AD">
      <w:pPr>
        <w:tabs>
          <w:tab w:val="clear" w:pos="1191"/>
          <w:tab w:val="clear" w:pos="1588"/>
          <w:tab w:val="clear" w:pos="1985"/>
          <w:tab w:val="left" w:pos="2694"/>
          <w:tab w:val="left" w:pos="3289"/>
          <w:tab w:val="center" w:pos="4820"/>
          <w:tab w:val="left" w:pos="5670"/>
          <w:tab w:val="right" w:pos="9639"/>
        </w:tabs>
        <w:rPr>
          <w:lang w:val="es-ES_tradnl"/>
        </w:rPr>
      </w:pPr>
      <w:r w:rsidRPr="00292BA7">
        <w:rPr>
          <w:lang w:val="es-ES_tradnl"/>
        </w:rPr>
        <w:tab/>
      </w:r>
      <w:r w:rsidRPr="00292BA7">
        <w:rPr>
          <w:lang w:val="es-ES_tradnl"/>
        </w:rPr>
        <w:tab/>
      </w:r>
      <w:r w:rsidRPr="00292BA7">
        <w:rPr>
          <w:lang w:val="es-ES_tradnl"/>
        </w:rPr>
        <w:tab/>
      </w:r>
      <w:r w:rsidR="009A52AD" w:rsidRPr="001F3485">
        <w:rPr>
          <w:lang w:val="es-ES_tradnl"/>
        </w:rPr>
        <w:t xml:space="preserve">= </w:t>
      </w:r>
      <w:r w:rsidRPr="00292BA7">
        <w:rPr>
          <w:lang w:val="es-ES_tradnl"/>
        </w:rPr>
        <w:t>0</w:t>
      </w:r>
      <w:r w:rsidRPr="00292BA7">
        <w:rPr>
          <w:lang w:val="es-ES_tradnl"/>
        </w:rPr>
        <w:tab/>
      </w:r>
      <w:r w:rsidRPr="00292BA7">
        <w:rPr>
          <w:lang w:val="es-ES_tradnl"/>
        </w:rPr>
        <w:tab/>
        <w:t xml:space="preserve">para </w:t>
      </w:r>
      <w:r w:rsidRPr="00292BA7">
        <w:rPr>
          <w:i/>
          <w:lang w:val="es-ES_tradnl"/>
        </w:rPr>
        <w:t>B</w:t>
      </w:r>
      <w:r w:rsidRPr="00292BA7">
        <w:rPr>
          <w:i/>
          <w:vertAlign w:val="subscript"/>
          <w:lang w:val="es-ES_tradnl"/>
        </w:rPr>
        <w:t>r</w:t>
      </w:r>
      <w:r w:rsidRPr="00292BA7">
        <w:rPr>
          <w:lang w:val="es-ES_tradnl"/>
        </w:rPr>
        <w:t xml:space="preserve"> </w:t>
      </w:r>
      <w:r w:rsidR="009A52AD">
        <w:rPr>
          <w:lang w:val="es-ES_tradnl"/>
        </w:rPr>
        <w:t>&gt;</w:t>
      </w:r>
      <w:r w:rsidRPr="00292BA7">
        <w:rPr>
          <w:lang w:val="es-ES_tradnl"/>
        </w:rPr>
        <w:t xml:space="preserve"> </w:t>
      </w:r>
      <w:r w:rsidRPr="00292BA7">
        <w:rPr>
          <w:i/>
          <w:lang w:val="es-ES_tradnl"/>
        </w:rPr>
        <w:t>B</w:t>
      </w:r>
      <w:r w:rsidRPr="00292BA7">
        <w:rPr>
          <w:i/>
          <w:vertAlign w:val="subscript"/>
          <w:lang w:val="es-ES_tradnl"/>
        </w:rPr>
        <w:t>t</w:t>
      </w:r>
      <w:r w:rsidRPr="00292BA7">
        <w:rPr>
          <w:i/>
          <w:vertAlign w:val="subscript"/>
          <w:lang w:val="es-ES_tradnl"/>
        </w:rPr>
        <w:tab/>
      </w:r>
      <w:r w:rsidRPr="00292BA7">
        <w:rPr>
          <w:lang w:val="es-ES_tradnl"/>
        </w:rPr>
        <w:t>(2b)</w:t>
      </w:r>
    </w:p>
    <w:p w:rsidR="00371237" w:rsidRPr="00292BA7" w:rsidRDefault="00371237" w:rsidP="00371237">
      <w:pPr>
        <w:rPr>
          <w:lang w:val="es-ES_tradnl"/>
        </w:rPr>
      </w:pPr>
      <w:r w:rsidRPr="00292BA7">
        <w:rPr>
          <w:lang w:val="es-ES_tradnl"/>
        </w:rPr>
        <w:t>donde:</w:t>
      </w:r>
    </w:p>
    <w:p w:rsidR="00371237" w:rsidRPr="00292BA7" w:rsidRDefault="00371237" w:rsidP="00E14554">
      <w:pPr>
        <w:tabs>
          <w:tab w:val="clear" w:pos="794"/>
          <w:tab w:val="clear" w:pos="1191"/>
          <w:tab w:val="clear" w:pos="1588"/>
          <w:tab w:val="right" w:pos="1701"/>
        </w:tabs>
        <w:spacing w:before="80"/>
        <w:ind w:left="1985" w:hanging="1985"/>
        <w:rPr>
          <w:lang w:val="es-ES_tradnl"/>
        </w:rPr>
      </w:pPr>
      <w:r w:rsidRPr="00292BA7">
        <w:rPr>
          <w:i/>
          <w:lang w:val="es-ES_tradnl"/>
        </w:rPr>
        <w:tab/>
        <w:t>B</w:t>
      </w:r>
      <w:r w:rsidRPr="00292BA7">
        <w:rPr>
          <w:i/>
          <w:position w:val="-4"/>
          <w:lang w:val="es-ES_tradnl"/>
        </w:rPr>
        <w:t>r</w:t>
      </w:r>
      <w:r w:rsidRPr="00292BA7">
        <w:rPr>
          <w:rFonts w:ascii="Tms Rmn" w:hAnsi="Tms Rmn"/>
          <w:lang w:val="es-ES_tradnl"/>
        </w:rPr>
        <w:t>:</w:t>
      </w:r>
      <w:r w:rsidRPr="00292BA7">
        <w:rPr>
          <w:rFonts w:ascii="Tms Rmn" w:hAnsi="Tms Rmn"/>
          <w:lang w:val="es-ES_tradnl"/>
        </w:rPr>
        <w:tab/>
        <w:t>anchura de banda del receptor</w:t>
      </w:r>
    </w:p>
    <w:p w:rsidR="00371237" w:rsidRPr="00292BA7" w:rsidRDefault="00371237" w:rsidP="00E14554">
      <w:pPr>
        <w:tabs>
          <w:tab w:val="clear" w:pos="794"/>
          <w:tab w:val="clear" w:pos="1191"/>
          <w:tab w:val="clear" w:pos="1588"/>
          <w:tab w:val="right" w:pos="1701"/>
        </w:tabs>
        <w:spacing w:before="80"/>
        <w:ind w:left="1985" w:hanging="1985"/>
        <w:rPr>
          <w:lang w:val="es-ES_tradnl"/>
        </w:rPr>
      </w:pPr>
      <w:r w:rsidRPr="00292BA7">
        <w:rPr>
          <w:i/>
          <w:lang w:val="es-ES_tradnl"/>
        </w:rPr>
        <w:tab/>
        <w:t>B</w:t>
      </w:r>
      <w:r w:rsidRPr="00292BA7">
        <w:rPr>
          <w:i/>
          <w:position w:val="-4"/>
          <w:lang w:val="es-ES_tradnl"/>
        </w:rPr>
        <w:t>t</w:t>
      </w:r>
      <w:r w:rsidRPr="00292BA7">
        <w:rPr>
          <w:rFonts w:ascii="Tms Rmn" w:hAnsi="Tms Rmn"/>
          <w:lang w:val="es-ES_tradnl"/>
        </w:rPr>
        <w:t>:</w:t>
      </w:r>
      <w:r w:rsidRPr="00292BA7">
        <w:rPr>
          <w:rFonts w:ascii="Tms Rmn" w:hAnsi="Tms Rmn"/>
          <w:lang w:val="es-ES_tradnl"/>
        </w:rPr>
        <w:tab/>
        <w:t>anchura de banda de la señal interferente transmitida</w:t>
      </w:r>
      <w:r w:rsidRPr="00292BA7">
        <w:rPr>
          <w:lang w:val="es-ES_tradnl"/>
        </w:rPr>
        <w:t>.</w:t>
      </w:r>
    </w:p>
    <w:p w:rsidR="00371237" w:rsidRPr="00292BA7" w:rsidRDefault="00371237" w:rsidP="00371237">
      <w:pPr>
        <w:rPr>
          <w:lang w:val="es-ES_tradnl"/>
        </w:rPr>
      </w:pPr>
      <w:r w:rsidRPr="00292BA7">
        <w:rPr>
          <w:lang w:val="es-ES_tradnl"/>
        </w:rPr>
        <w:t>Si el valor de cresta de la señal interferente es importante, se debe omitir el segundo término de la ecuación (1), y el rechazo en sintonía se calcula como sigue:</w:t>
      </w:r>
    </w:p>
    <w:p w:rsidR="00371237" w:rsidRPr="00292BA7" w:rsidRDefault="00371237" w:rsidP="00371237">
      <w:pPr>
        <w:keepNext/>
        <w:keepLines/>
        <w:spacing w:before="160"/>
        <w:outlineLvl w:val="2"/>
        <w:rPr>
          <w:i/>
          <w:lang w:val="es-ES_tradnl"/>
        </w:rPr>
      </w:pPr>
      <w:r w:rsidRPr="00292BA7">
        <w:rPr>
          <w:i/>
          <w:lang w:val="es-ES_tradnl"/>
        </w:rPr>
        <w:t>Impulso de la señal de entrada sin modulación de frecuencia:</w:t>
      </w:r>
    </w:p>
    <w:p w:rsidR="00371237" w:rsidRPr="00292BA7" w:rsidRDefault="00371237" w:rsidP="009A52AD">
      <w:pPr>
        <w:tabs>
          <w:tab w:val="clear" w:pos="1191"/>
          <w:tab w:val="clear" w:pos="1588"/>
          <w:tab w:val="clear" w:pos="1985"/>
          <w:tab w:val="left" w:pos="2778"/>
          <w:tab w:val="left" w:pos="3289"/>
          <w:tab w:val="center" w:pos="4820"/>
          <w:tab w:val="left" w:pos="5670"/>
          <w:tab w:val="right" w:pos="9639"/>
        </w:tabs>
        <w:rPr>
          <w:lang w:val="es-ES_tradnl"/>
        </w:rPr>
      </w:pPr>
      <w:r w:rsidRPr="00292BA7">
        <w:rPr>
          <w:lang w:val="es-ES_tradnl"/>
        </w:rPr>
        <w:tab/>
      </w:r>
      <w:r w:rsidRPr="00292BA7">
        <w:rPr>
          <w:lang w:val="es-ES_tradnl"/>
        </w:rPr>
        <w:tab/>
      </w:r>
      <w:r w:rsidRPr="00292BA7">
        <w:rPr>
          <w:i/>
          <w:lang w:val="es-ES_tradnl"/>
        </w:rPr>
        <w:t>OTR</w:t>
      </w:r>
      <w:r w:rsidRPr="00292BA7">
        <w:rPr>
          <w:lang w:val="es-ES_tradnl"/>
        </w:rPr>
        <w:t xml:space="preserve"> </w:t>
      </w:r>
      <w:r w:rsidR="009A52AD">
        <w:rPr>
          <w:lang w:val="es-ES_tradnl"/>
        </w:rPr>
        <w:t>=</w:t>
      </w:r>
      <w:r w:rsidRPr="00292BA7">
        <w:rPr>
          <w:lang w:val="es-ES_tradnl"/>
        </w:rPr>
        <w:t xml:space="preserve"> 20 log (</w:t>
      </w:r>
      <w:r w:rsidRPr="00292BA7">
        <w:rPr>
          <w:rFonts w:ascii="Tms Rmn" w:hAnsi="Tms Rmn"/>
          <w:sz w:val="8"/>
          <w:lang w:val="es-ES_tradnl"/>
        </w:rPr>
        <w:t> </w:t>
      </w:r>
      <w:r w:rsidRPr="00292BA7">
        <w:rPr>
          <w:i/>
          <w:lang w:val="es-ES_tradnl"/>
        </w:rPr>
        <w:t>B</w:t>
      </w:r>
      <w:r w:rsidRPr="00292BA7">
        <w:rPr>
          <w:i/>
          <w:vertAlign w:val="subscript"/>
          <w:lang w:val="es-ES_tradnl"/>
        </w:rPr>
        <w:t>r</w:t>
      </w:r>
      <w:r w:rsidRPr="00292BA7">
        <w:rPr>
          <w:position w:val="-4"/>
          <w:sz w:val="18"/>
          <w:lang w:val="es-ES_tradnl"/>
        </w:rPr>
        <w:t> </w:t>
      </w:r>
      <w:r w:rsidR="009A52AD">
        <w:rPr>
          <w:lang w:val="es-ES_tradnl"/>
        </w:rPr>
        <w:sym w:font="Symbol" w:char="F074"/>
      </w:r>
      <w:r w:rsidRPr="00292BA7">
        <w:rPr>
          <w:rFonts w:ascii="Tms Rmn" w:hAnsi="Tms Rmn"/>
          <w:sz w:val="8"/>
          <w:lang w:val="es-ES_tradnl"/>
        </w:rPr>
        <w:t> </w:t>
      </w:r>
      <w:r w:rsidRPr="00292BA7">
        <w:rPr>
          <w:lang w:val="es-ES_tradnl"/>
        </w:rPr>
        <w:t>)</w:t>
      </w:r>
      <w:r w:rsidRPr="00292BA7">
        <w:rPr>
          <w:lang w:val="es-ES_tradnl"/>
        </w:rPr>
        <w:tab/>
        <w:t xml:space="preserve"> </w:t>
      </w:r>
      <w:r w:rsidRPr="00292BA7">
        <w:rPr>
          <w:lang w:val="es-ES_tradnl"/>
        </w:rPr>
        <w:tab/>
        <w:t xml:space="preserve">para </w:t>
      </w:r>
      <w:r w:rsidRPr="00292BA7">
        <w:rPr>
          <w:i/>
          <w:lang w:val="es-ES_tradnl"/>
        </w:rPr>
        <w:t>B</w:t>
      </w:r>
      <w:r w:rsidRPr="00292BA7">
        <w:rPr>
          <w:i/>
          <w:vertAlign w:val="subscript"/>
          <w:lang w:val="es-ES_tradnl"/>
        </w:rPr>
        <w:t>r</w:t>
      </w:r>
      <w:r w:rsidRPr="00292BA7">
        <w:rPr>
          <w:position w:val="-4"/>
          <w:sz w:val="18"/>
          <w:lang w:val="es-ES_tradnl"/>
        </w:rPr>
        <w:t> </w:t>
      </w:r>
      <w:r w:rsidR="009A52AD">
        <w:rPr>
          <w:lang w:val="es-ES_tradnl"/>
        </w:rPr>
        <w:sym w:font="Symbol" w:char="F074"/>
      </w:r>
      <w:r w:rsidRPr="00292BA7">
        <w:rPr>
          <w:lang w:val="es-ES_tradnl"/>
        </w:rPr>
        <w:t xml:space="preserve"> </w:t>
      </w:r>
      <w:r w:rsidR="009A52AD">
        <w:rPr>
          <w:lang w:val="es-ES_tradnl"/>
        </w:rPr>
        <w:t>&lt;</w:t>
      </w:r>
      <w:r w:rsidRPr="00292BA7">
        <w:rPr>
          <w:lang w:val="es-ES_tradnl"/>
        </w:rPr>
        <w:t xml:space="preserve"> 1</w:t>
      </w:r>
      <w:r w:rsidRPr="00292BA7">
        <w:rPr>
          <w:lang w:val="es-ES_tradnl"/>
        </w:rPr>
        <w:tab/>
        <w:t>(3a)</w:t>
      </w:r>
    </w:p>
    <w:p w:rsidR="00371237" w:rsidRPr="00292BA7" w:rsidRDefault="00371237" w:rsidP="009A52AD">
      <w:pPr>
        <w:tabs>
          <w:tab w:val="clear" w:pos="1191"/>
          <w:tab w:val="clear" w:pos="1588"/>
          <w:tab w:val="clear" w:pos="1985"/>
          <w:tab w:val="left" w:pos="2778"/>
          <w:tab w:val="left" w:pos="3289"/>
          <w:tab w:val="center" w:pos="4820"/>
          <w:tab w:val="left" w:pos="5670"/>
          <w:tab w:val="right" w:pos="9639"/>
        </w:tabs>
        <w:rPr>
          <w:lang w:val="es-ES_tradnl"/>
        </w:rPr>
      </w:pPr>
      <w:r w:rsidRPr="00292BA7">
        <w:rPr>
          <w:lang w:val="es-ES_tradnl"/>
        </w:rPr>
        <w:tab/>
      </w:r>
      <w:r w:rsidRPr="00292BA7">
        <w:rPr>
          <w:lang w:val="es-ES_tradnl"/>
        </w:rPr>
        <w:tab/>
      </w:r>
      <w:r w:rsidRPr="00292BA7">
        <w:rPr>
          <w:lang w:val="es-ES_tradnl"/>
        </w:rPr>
        <w:tab/>
      </w:r>
      <w:r w:rsidR="009A52AD">
        <w:rPr>
          <w:lang w:val="es-ES_tradnl"/>
        </w:rPr>
        <w:t xml:space="preserve">= </w:t>
      </w:r>
      <w:r w:rsidRPr="00292BA7">
        <w:rPr>
          <w:lang w:val="es-ES_tradnl"/>
        </w:rPr>
        <w:t xml:space="preserve">0 </w:t>
      </w:r>
      <w:r w:rsidRPr="00292BA7">
        <w:rPr>
          <w:lang w:val="es-ES_tradnl"/>
        </w:rPr>
        <w:tab/>
      </w:r>
      <w:r w:rsidRPr="00292BA7">
        <w:rPr>
          <w:lang w:val="es-ES_tradnl"/>
        </w:rPr>
        <w:tab/>
        <w:t xml:space="preserve">para </w:t>
      </w:r>
      <w:r w:rsidRPr="00292BA7">
        <w:rPr>
          <w:i/>
          <w:lang w:val="es-ES_tradnl"/>
        </w:rPr>
        <w:t>B</w:t>
      </w:r>
      <w:r w:rsidRPr="00292BA7">
        <w:rPr>
          <w:i/>
          <w:vertAlign w:val="subscript"/>
          <w:lang w:val="es-ES_tradnl"/>
        </w:rPr>
        <w:t>r</w:t>
      </w:r>
      <w:r w:rsidRPr="00292BA7">
        <w:rPr>
          <w:position w:val="-4"/>
          <w:sz w:val="18"/>
          <w:lang w:val="es-ES_tradnl"/>
        </w:rPr>
        <w:t> </w:t>
      </w:r>
      <w:r w:rsidR="009A52AD">
        <w:rPr>
          <w:lang w:val="es-ES_tradnl"/>
        </w:rPr>
        <w:sym w:font="Symbol" w:char="F074"/>
      </w:r>
      <w:r w:rsidRPr="00292BA7">
        <w:rPr>
          <w:lang w:val="es-ES_tradnl"/>
        </w:rPr>
        <w:t xml:space="preserve"> </w:t>
      </w:r>
      <w:r w:rsidR="009A52AD">
        <w:rPr>
          <w:lang w:val="es-ES_tradnl"/>
        </w:rPr>
        <w:t>&gt;</w:t>
      </w:r>
      <w:r w:rsidRPr="00292BA7">
        <w:rPr>
          <w:lang w:val="es-ES_tradnl"/>
        </w:rPr>
        <w:t xml:space="preserve"> 1</w:t>
      </w:r>
      <w:r w:rsidRPr="00292BA7">
        <w:rPr>
          <w:lang w:val="es-ES_tradnl"/>
        </w:rPr>
        <w:tab/>
        <w:t>(3b)</w:t>
      </w:r>
    </w:p>
    <w:p w:rsidR="00371237" w:rsidRPr="00292BA7" w:rsidRDefault="00371237" w:rsidP="00371237">
      <w:pPr>
        <w:keepNext/>
        <w:keepLines/>
        <w:spacing w:before="160"/>
        <w:outlineLvl w:val="2"/>
        <w:rPr>
          <w:i/>
          <w:lang w:val="es-ES_tradnl"/>
        </w:rPr>
      </w:pPr>
      <w:r w:rsidRPr="00292BA7">
        <w:rPr>
          <w:i/>
          <w:lang w:val="es-ES_tradnl"/>
        </w:rPr>
        <w:t>Impulso de la señal de entrada con modulación de frecuencia:</w:t>
      </w:r>
    </w:p>
    <w:p w:rsidR="00371237" w:rsidRPr="00292BA7" w:rsidRDefault="00371237" w:rsidP="009A52AD">
      <w:pPr>
        <w:tabs>
          <w:tab w:val="clear" w:pos="1191"/>
          <w:tab w:val="clear" w:pos="1588"/>
          <w:tab w:val="clear" w:pos="1985"/>
          <w:tab w:val="left" w:pos="2835"/>
          <w:tab w:val="center" w:pos="4820"/>
          <w:tab w:val="left" w:pos="5670"/>
          <w:tab w:val="right" w:pos="9639"/>
        </w:tabs>
        <w:rPr>
          <w:lang w:val="es-ES_tradnl"/>
        </w:rPr>
      </w:pPr>
      <w:r w:rsidRPr="002B79D8">
        <w:rPr>
          <w:lang w:val="es-ES_tradnl"/>
        </w:rPr>
        <w:tab/>
      </w:r>
      <w:r w:rsidRPr="002B79D8">
        <w:rPr>
          <w:lang w:val="es-ES_tradnl"/>
        </w:rPr>
        <w:tab/>
      </w:r>
      <w:r w:rsidRPr="00292BA7">
        <w:rPr>
          <w:i/>
          <w:lang w:val="es-ES_tradnl"/>
        </w:rPr>
        <w:t>OTR</w:t>
      </w:r>
      <w:r w:rsidRPr="00292BA7">
        <w:rPr>
          <w:lang w:val="es-ES_tradnl"/>
        </w:rPr>
        <w:t xml:space="preserve"> </w:t>
      </w:r>
      <w:r w:rsidR="009A52AD">
        <w:rPr>
          <w:lang w:val="es-ES_tradnl"/>
        </w:rPr>
        <w:t>=</w:t>
      </w:r>
      <w:r w:rsidRPr="00292BA7">
        <w:rPr>
          <w:lang w:val="es-ES_tradnl"/>
        </w:rPr>
        <w:t xml:space="preserve"> 10 log</w:t>
      </w:r>
      <w:r w:rsidRPr="00292BA7">
        <w:rPr>
          <w:position w:val="-36"/>
          <w:lang w:val="es-ES_tradnl"/>
        </w:rPr>
        <w:object w:dxaOrig="720" w:dyaOrig="840">
          <v:shape id="_x0000_i1026" type="#_x0000_t75" style="width:36pt;height:42pt" o:ole="">
            <v:imagedata r:id="rId15" o:title=""/>
          </v:shape>
          <o:OLEObject Type="Embed" ProgID="Equation.3" ShapeID="_x0000_i1026" DrawAspect="Content" ObjectID="_1586854487" r:id="rId16"/>
        </w:object>
      </w:r>
      <w:r w:rsidRPr="00292BA7">
        <w:rPr>
          <w:lang w:val="es-ES_tradnl"/>
        </w:rPr>
        <w:tab/>
        <w:t xml:space="preserve">para </w:t>
      </w:r>
      <w:r w:rsidRPr="00292BA7">
        <w:rPr>
          <w:position w:val="-30"/>
          <w:lang w:val="es-ES_tradnl"/>
        </w:rPr>
        <w:object w:dxaOrig="499" w:dyaOrig="760">
          <v:shape id="_x0000_i1027" type="#_x0000_t75" style="width:25pt;height:39pt" o:ole="">
            <v:imagedata r:id="rId17" o:title=""/>
          </v:shape>
          <o:OLEObject Type="Embed" ProgID="Equation.3" ShapeID="_x0000_i1027" DrawAspect="Content" ObjectID="_1586854488" r:id="rId18"/>
        </w:object>
      </w:r>
      <w:r w:rsidRPr="00292BA7">
        <w:rPr>
          <w:lang w:val="es-ES_tradnl"/>
        </w:rPr>
        <w:t xml:space="preserve"> &lt; 1</w:t>
      </w:r>
      <w:r w:rsidRPr="00292BA7">
        <w:rPr>
          <w:lang w:val="es-ES_tradnl"/>
        </w:rPr>
        <w:tab/>
        <w:t>(4a)</w:t>
      </w:r>
    </w:p>
    <w:p w:rsidR="00371237" w:rsidRPr="00292BA7" w:rsidRDefault="00371237" w:rsidP="00371237">
      <w:pPr>
        <w:tabs>
          <w:tab w:val="clear" w:pos="1191"/>
          <w:tab w:val="clear" w:pos="1588"/>
          <w:tab w:val="clear" w:pos="1985"/>
          <w:tab w:val="left" w:pos="2694"/>
          <w:tab w:val="left" w:pos="3261"/>
          <w:tab w:val="center" w:pos="4820"/>
          <w:tab w:val="left" w:pos="5670"/>
          <w:tab w:val="right" w:pos="9639"/>
        </w:tabs>
        <w:rPr>
          <w:lang w:val="es-ES_tradnl"/>
        </w:rPr>
      </w:pPr>
      <w:r w:rsidRPr="00292BA7">
        <w:rPr>
          <w:lang w:val="es-ES_tradnl"/>
        </w:rPr>
        <w:tab/>
      </w:r>
      <w:r w:rsidRPr="00292BA7">
        <w:rPr>
          <w:lang w:val="es-ES_tradnl"/>
        </w:rPr>
        <w:tab/>
      </w:r>
      <w:r w:rsidRPr="00292BA7">
        <w:rPr>
          <w:lang w:val="es-ES_tradnl"/>
        </w:rPr>
        <w:tab/>
        <w:t xml:space="preserve"> = 0 </w:t>
      </w:r>
      <w:r w:rsidRPr="00292BA7">
        <w:rPr>
          <w:lang w:val="es-ES_tradnl"/>
        </w:rPr>
        <w:tab/>
      </w:r>
      <w:r w:rsidRPr="00292BA7">
        <w:rPr>
          <w:lang w:val="es-ES_tradnl"/>
        </w:rPr>
        <w:tab/>
        <w:t xml:space="preserve">para </w:t>
      </w:r>
      <w:r w:rsidRPr="00292BA7">
        <w:rPr>
          <w:position w:val="-30"/>
          <w:lang w:val="es-ES_tradnl"/>
        </w:rPr>
        <w:object w:dxaOrig="499" w:dyaOrig="760">
          <v:shape id="_x0000_i1028" type="#_x0000_t75" style="width:25pt;height:38.5pt" o:ole="">
            <v:imagedata r:id="rId19" o:title=""/>
          </v:shape>
          <o:OLEObject Type="Embed" ProgID="Equation.3" ShapeID="_x0000_i1028" DrawAspect="Content" ObjectID="_1586854489" r:id="rId20"/>
        </w:object>
      </w:r>
      <w:r w:rsidRPr="00292BA7">
        <w:rPr>
          <w:lang w:val="es-ES_tradnl"/>
        </w:rPr>
        <w:t xml:space="preserve"> &gt; 1</w:t>
      </w:r>
      <w:r w:rsidRPr="00292BA7">
        <w:rPr>
          <w:lang w:val="es-ES_tradnl"/>
        </w:rPr>
        <w:tab/>
        <w:t>(4b)</w:t>
      </w:r>
    </w:p>
    <w:p w:rsidR="00371237" w:rsidRPr="00292BA7" w:rsidRDefault="00371237" w:rsidP="00371237">
      <w:pPr>
        <w:rPr>
          <w:lang w:val="es-ES_tradnl"/>
        </w:rPr>
      </w:pPr>
      <w:r w:rsidRPr="00292BA7">
        <w:rPr>
          <w:lang w:val="es-ES_tradnl"/>
        </w:rPr>
        <w:t>donde:</w:t>
      </w:r>
    </w:p>
    <w:p w:rsidR="00371237" w:rsidRPr="00292BA7" w:rsidRDefault="00371237" w:rsidP="009A52AD">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B</w:t>
      </w:r>
      <w:r w:rsidRPr="001F3485">
        <w:rPr>
          <w:i/>
          <w:iCs/>
          <w:vertAlign w:val="subscript"/>
          <w:lang w:val="es-ES_tradnl"/>
        </w:rPr>
        <w:t>r</w:t>
      </w:r>
      <w:r w:rsidRPr="00292BA7">
        <w:rPr>
          <w:rFonts w:ascii="Tms Rmn" w:hAnsi="Tms Rmn"/>
          <w:lang w:val="es-ES_tradnl"/>
        </w:rPr>
        <w:t>:</w:t>
      </w:r>
      <w:r w:rsidRPr="00292BA7">
        <w:rPr>
          <w:rFonts w:ascii="Tms Rmn" w:hAnsi="Tms Rmn"/>
          <w:lang w:val="es-ES_tradnl"/>
        </w:rPr>
        <w:tab/>
        <w:t>anchura de banda de la FI del receptor de otro servicio</w:t>
      </w:r>
    </w:p>
    <w:p w:rsidR="00371237" w:rsidRPr="00292BA7" w:rsidRDefault="00371237" w:rsidP="009A52AD">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B</w:t>
      </w:r>
      <w:r w:rsidRPr="001F3485">
        <w:rPr>
          <w:i/>
          <w:iCs/>
          <w:vertAlign w:val="subscript"/>
          <w:lang w:val="es-ES_tradnl"/>
        </w:rPr>
        <w:t>c</w:t>
      </w:r>
      <w:r w:rsidRPr="00292BA7">
        <w:rPr>
          <w:rFonts w:ascii="Tms Rmn" w:hAnsi="Tms Rmn"/>
          <w:lang w:val="es-ES_tradnl"/>
        </w:rPr>
        <w:t>:</w:t>
      </w:r>
      <w:r w:rsidRPr="00292BA7">
        <w:rPr>
          <w:rFonts w:ascii="Tms Rmn" w:hAnsi="Tms Rmn"/>
          <w:lang w:val="es-ES_tradnl"/>
        </w:rPr>
        <w:tab/>
        <w:t>anchura de banda de la señal de chirrido del sensor a bordo del vehículo espacial</w:t>
      </w:r>
    </w:p>
    <w:p w:rsidR="00371237" w:rsidRPr="00292BA7" w:rsidRDefault="00371237" w:rsidP="009A52AD">
      <w:pPr>
        <w:tabs>
          <w:tab w:val="clear" w:pos="794"/>
          <w:tab w:val="clear" w:pos="1191"/>
          <w:tab w:val="clear" w:pos="1588"/>
          <w:tab w:val="right" w:pos="1701"/>
        </w:tabs>
        <w:spacing w:before="80"/>
        <w:ind w:left="1985" w:hanging="1985"/>
        <w:rPr>
          <w:lang w:val="es-ES_tradnl"/>
        </w:rPr>
      </w:pPr>
      <w:r w:rsidRPr="00292BA7">
        <w:rPr>
          <w:lang w:val="es-ES_tradnl"/>
        </w:rPr>
        <w:tab/>
      </w:r>
      <w:r w:rsidR="009A52AD">
        <w:rPr>
          <w:lang w:val="es-ES_tradnl"/>
        </w:rPr>
        <w:sym w:font="Symbol" w:char="F074"/>
      </w:r>
      <w:r w:rsidRPr="00292BA7">
        <w:rPr>
          <w:rFonts w:ascii="Tms Rmn" w:hAnsi="Tms Rmn"/>
          <w:lang w:val="es-ES_tradnl"/>
        </w:rPr>
        <w:t>:</w:t>
      </w:r>
      <w:r w:rsidRPr="00292BA7">
        <w:rPr>
          <w:rFonts w:ascii="Tms Rmn" w:hAnsi="Tms Rmn"/>
          <w:lang w:val="es-ES_tradnl"/>
        </w:rPr>
        <w:tab/>
        <w:t>anchura del impulso del sensor</w:t>
      </w:r>
      <w:r w:rsidRPr="00292BA7">
        <w:rPr>
          <w:lang w:val="es-ES_tradnl"/>
        </w:rPr>
        <w:t>.</w:t>
      </w:r>
    </w:p>
    <w:p w:rsidR="00371237" w:rsidRPr="00292BA7" w:rsidRDefault="00371237" w:rsidP="00371237">
      <w:pPr>
        <w:pStyle w:val="Heading1"/>
        <w:rPr>
          <w:lang w:val="es-ES_tradnl"/>
        </w:rPr>
      </w:pPr>
      <w:r w:rsidRPr="00292BA7">
        <w:rPr>
          <w:lang w:val="es-ES_tradnl"/>
        </w:rPr>
        <w:t>3</w:t>
      </w:r>
      <w:r w:rsidRPr="00292BA7">
        <w:rPr>
          <w:lang w:val="es-ES_tradnl"/>
        </w:rPr>
        <w:tab/>
        <w:t>Criterios de interferencia aplicables a otros servicios</w:t>
      </w:r>
    </w:p>
    <w:p w:rsidR="00371237" w:rsidRPr="00292BA7" w:rsidRDefault="00371237" w:rsidP="009A52AD">
      <w:pPr>
        <w:rPr>
          <w:lang w:val="es-ES_tradnl"/>
        </w:rPr>
      </w:pPr>
      <w:r w:rsidRPr="00292BA7">
        <w:rPr>
          <w:lang w:val="es-ES_tradnl"/>
        </w:rPr>
        <w:t>Los criterios específicos para sistemas concretos en otros servicios aparecen en el Cuadro</w:t>
      </w:r>
      <w:r w:rsidR="009A52AD">
        <w:rPr>
          <w:lang w:val="es-ES_tradnl"/>
        </w:rPr>
        <w:t xml:space="preserve"> </w:t>
      </w:r>
      <w:r w:rsidRPr="00292BA7">
        <w:rPr>
          <w:lang w:val="es-ES_tradnl"/>
        </w:rPr>
        <w:t xml:space="preserve">1 en términos de máximos valores de los límites de dfp combinada en las estaciones receptoras </w:t>
      </w:r>
      <w:r w:rsidRPr="00292BA7">
        <w:rPr>
          <w:lang w:val="es-ES_tradnl"/>
        </w:rPr>
        <w:br/>
        <w:t>(dB(W/(m</w:t>
      </w:r>
      <w:r w:rsidRPr="00292BA7">
        <w:rPr>
          <w:vertAlign w:val="superscript"/>
          <w:lang w:val="es-ES_tradnl"/>
        </w:rPr>
        <w:t>2</w:t>
      </w:r>
      <w:r w:rsidRPr="00292BA7">
        <w:rPr>
          <w:lang w:val="es-ES_tradnl"/>
        </w:rPr>
        <w:t xml:space="preserve"> · Hz))) y también el máximo porcentaje de tiempo en que pueden rebasarse los límites de dfp. Hay varios casos en los que se utiliza un criterio distinto, que se indican a continuación.</w:t>
      </w:r>
    </w:p>
    <w:p w:rsidR="00371237" w:rsidRPr="00292BA7" w:rsidRDefault="00371237" w:rsidP="00371237">
      <w:pPr>
        <w:pStyle w:val="Heading2"/>
        <w:rPr>
          <w:lang w:val="es-ES_tradnl"/>
        </w:rPr>
      </w:pPr>
      <w:r w:rsidRPr="00292BA7">
        <w:rPr>
          <w:lang w:val="es-ES_tradnl"/>
        </w:rPr>
        <w:t>3.1</w:t>
      </w:r>
      <w:r w:rsidRPr="00292BA7">
        <w:rPr>
          <w:lang w:val="es-ES_tradnl"/>
        </w:rPr>
        <w:tab/>
        <w:t>Radares de vigilancia</w:t>
      </w:r>
    </w:p>
    <w:p w:rsidR="00371237" w:rsidRPr="00292BA7" w:rsidRDefault="00371237" w:rsidP="005F694C">
      <w:pPr>
        <w:rPr>
          <w:lang w:val="es-ES_tradnl"/>
        </w:rPr>
      </w:pPr>
      <w:r w:rsidRPr="00292BA7">
        <w:rPr>
          <w:lang w:val="es-ES_tradnl"/>
        </w:rPr>
        <w:t xml:space="preserve">Se supone que la relación </w:t>
      </w:r>
      <w:r w:rsidRPr="00292BA7">
        <w:rPr>
          <w:i/>
          <w:iCs/>
          <w:lang w:val="es-ES_tradnl"/>
        </w:rPr>
        <w:t>S</w:t>
      </w:r>
      <w:r w:rsidRPr="00292BA7">
        <w:rPr>
          <w:lang w:val="es-ES_tradnl"/>
        </w:rPr>
        <w:t>/</w:t>
      </w:r>
      <w:r w:rsidRPr="00292BA7">
        <w:rPr>
          <w:i/>
          <w:iCs/>
          <w:lang w:val="es-ES_tradnl"/>
        </w:rPr>
        <w:t>N</w:t>
      </w:r>
      <w:r w:rsidRPr="00292BA7">
        <w:rPr>
          <w:lang w:val="es-ES_tradnl"/>
        </w:rPr>
        <w:t xml:space="preserve"> recibida de los radares de vigilancia no puede estar degradada en más de 0,5 dB en un tiempo mayor al tiempo de exploración, tomado en 10</w:t>
      </w:r>
      <w:r w:rsidR="005F694C">
        <w:rPr>
          <w:lang w:val="es-ES_tradnl"/>
        </w:rPr>
        <w:t> </w:t>
      </w:r>
      <w:r w:rsidRPr="00292BA7">
        <w:rPr>
          <w:lang w:val="es-ES_tradnl"/>
        </w:rPr>
        <w:t xml:space="preserve">s. Esto equivale a una relación de potencia </w:t>
      </w:r>
      <w:r w:rsidRPr="00292BA7">
        <w:rPr>
          <w:i/>
          <w:iCs/>
          <w:lang w:val="es-ES_tradnl"/>
        </w:rPr>
        <w:t>I</w:t>
      </w:r>
      <w:r w:rsidRPr="00292BA7">
        <w:rPr>
          <w:lang w:val="es-ES_tradnl"/>
        </w:rPr>
        <w:t>/</w:t>
      </w:r>
      <w:r w:rsidRPr="00292BA7">
        <w:rPr>
          <w:i/>
          <w:iCs/>
          <w:lang w:val="es-ES_tradnl"/>
        </w:rPr>
        <w:t>N</w:t>
      </w:r>
      <w:r w:rsidRPr="00292BA7">
        <w:rPr>
          <w:lang w:val="es-ES_tradnl"/>
        </w:rPr>
        <w:t xml:space="preserve"> de –9 dB en la etapa de FI del receptor. En el caso de los radares de vigilancia, el nivel de potencia medio de la señal interferente se considera importante.</w:t>
      </w:r>
    </w:p>
    <w:p w:rsidR="00371237" w:rsidRPr="00292BA7" w:rsidRDefault="00371237" w:rsidP="00371237">
      <w:pPr>
        <w:pStyle w:val="Heading2"/>
        <w:rPr>
          <w:lang w:val="es-ES_tradnl"/>
        </w:rPr>
      </w:pPr>
      <w:r w:rsidRPr="00292BA7">
        <w:rPr>
          <w:lang w:val="es-ES_tradnl"/>
        </w:rPr>
        <w:t>3.2</w:t>
      </w:r>
      <w:r w:rsidRPr="00292BA7">
        <w:rPr>
          <w:lang w:val="es-ES_tradnl"/>
        </w:rPr>
        <w:tab/>
        <w:t>Radares de seguimiento en el servicio de radiolocalización</w:t>
      </w:r>
    </w:p>
    <w:p w:rsidR="00371237" w:rsidRPr="00292BA7" w:rsidRDefault="00371237" w:rsidP="00371237">
      <w:pPr>
        <w:rPr>
          <w:lang w:val="es-ES_tradnl"/>
        </w:rPr>
      </w:pPr>
      <w:r w:rsidRPr="00292BA7">
        <w:rPr>
          <w:lang w:val="es-ES_tradnl"/>
        </w:rPr>
        <w:t xml:space="preserve">Los radares de seguimiento suelen utilizar «ventanas de distancia» para excluir todos los retornos distintos a los de determinadas distancias de interés. Una consideración importante al determinar la susceptibilidad de un radar de seguimiento a un tren de impulsos interferentes es la fracción de impulsos interferentes que coinciden con las ventanas de distancia. La coincidencia de los impulsos interferentes con las ventanas de distancia dependerá de que las frecuencias de repetición de impulsos deseadas y no deseadas estén relacionadas (Caso I) o no (Caso II) con múltiplos enteros. La fracción de impulsos coincidentes, </w:t>
      </w:r>
      <w:r w:rsidRPr="00292BA7">
        <w:rPr>
          <w:i/>
          <w:lang w:val="es-ES_tradnl"/>
        </w:rPr>
        <w:t>f</w:t>
      </w:r>
      <w:r w:rsidRPr="00292BA7">
        <w:rPr>
          <w:i/>
          <w:vertAlign w:val="subscript"/>
          <w:lang w:val="es-ES_tradnl"/>
        </w:rPr>
        <w:t>c</w:t>
      </w:r>
      <w:r w:rsidRPr="00292BA7">
        <w:rPr>
          <w:lang w:val="es-ES_tradnl"/>
        </w:rPr>
        <w:t>, se calcula como sigue:</w:t>
      </w:r>
    </w:p>
    <w:p w:rsidR="00371237" w:rsidRPr="00292BA7" w:rsidRDefault="00371237" w:rsidP="00371237">
      <w:pPr>
        <w:tabs>
          <w:tab w:val="clear" w:pos="1191"/>
          <w:tab w:val="clear" w:pos="1588"/>
          <w:tab w:val="clear" w:pos="1985"/>
          <w:tab w:val="center" w:pos="4395"/>
          <w:tab w:val="left" w:pos="6521"/>
          <w:tab w:val="right" w:pos="9639"/>
        </w:tabs>
        <w:rPr>
          <w:lang w:val="es-ES_tradnl"/>
        </w:rPr>
      </w:pPr>
      <w:r w:rsidRPr="00292BA7">
        <w:rPr>
          <w:lang w:val="es-ES_tradnl"/>
        </w:rPr>
        <w:tab/>
      </w:r>
      <w:r w:rsidRPr="00292BA7">
        <w:rPr>
          <w:lang w:val="es-ES_tradnl"/>
        </w:rPr>
        <w:tab/>
      </w:r>
      <w:r w:rsidRPr="00292BA7">
        <w:rPr>
          <w:position w:val="-34"/>
          <w:lang w:val="es-ES_tradnl"/>
        </w:rPr>
        <w:object w:dxaOrig="2420" w:dyaOrig="760">
          <v:shape id="_x0000_i1029" type="#_x0000_t75" style="width:120.5pt;height:38.5pt" o:ole="">
            <v:imagedata r:id="rId21" o:title=""/>
          </v:shape>
          <o:OLEObject Type="Embed" ProgID="Equation.3" ShapeID="_x0000_i1029" DrawAspect="Content" ObjectID="_1586854490" r:id="rId22"/>
        </w:object>
      </w:r>
      <w:r w:rsidRPr="00292BA7">
        <w:rPr>
          <w:lang w:val="es-ES_tradnl"/>
        </w:rPr>
        <w:tab/>
        <w:t>para el Caso I</w:t>
      </w:r>
      <w:r w:rsidRPr="00292BA7">
        <w:rPr>
          <w:lang w:val="es-ES_tradnl"/>
        </w:rPr>
        <w:tab/>
        <w:t>(5a)</w:t>
      </w:r>
    </w:p>
    <w:p w:rsidR="00371237" w:rsidRPr="00292BA7" w:rsidRDefault="00371237" w:rsidP="00371237">
      <w:pPr>
        <w:tabs>
          <w:tab w:val="clear" w:pos="1191"/>
          <w:tab w:val="clear" w:pos="1588"/>
          <w:tab w:val="clear" w:pos="1985"/>
          <w:tab w:val="center" w:pos="4395"/>
          <w:tab w:val="left" w:pos="6521"/>
          <w:tab w:val="right" w:pos="9639"/>
        </w:tabs>
        <w:rPr>
          <w:lang w:val="es-ES_tradnl"/>
        </w:rPr>
      </w:pPr>
      <w:r w:rsidRPr="00292BA7">
        <w:rPr>
          <w:lang w:val="es-ES_tradnl"/>
        </w:rPr>
        <w:tab/>
      </w:r>
      <w:r w:rsidRPr="00292BA7">
        <w:rPr>
          <w:lang w:val="es-ES_tradnl"/>
        </w:rPr>
        <w:tab/>
      </w:r>
      <w:r w:rsidRPr="00292BA7">
        <w:rPr>
          <w:position w:val="-16"/>
          <w:lang w:val="es-ES_tradnl"/>
        </w:rPr>
        <w:object w:dxaOrig="1980" w:dyaOrig="400">
          <v:shape id="_x0000_i1030" type="#_x0000_t75" style="width:99pt;height:20.5pt" o:ole="">
            <v:imagedata r:id="rId23" o:title=""/>
          </v:shape>
          <o:OLEObject Type="Embed" ProgID="Equation.3" ShapeID="_x0000_i1030" DrawAspect="Content" ObjectID="_1586854491" r:id="rId24"/>
        </w:object>
      </w:r>
      <w:r w:rsidRPr="00292BA7">
        <w:rPr>
          <w:lang w:val="es-ES_tradnl"/>
        </w:rPr>
        <w:tab/>
        <w:t>para el Caso II</w:t>
      </w:r>
      <w:r w:rsidRPr="00292BA7">
        <w:rPr>
          <w:lang w:val="es-ES_tradnl"/>
        </w:rPr>
        <w:tab/>
        <w:t>(5b)</w:t>
      </w:r>
    </w:p>
    <w:p w:rsidR="00371237" w:rsidRPr="00292BA7" w:rsidRDefault="00371237" w:rsidP="00371237">
      <w:pPr>
        <w:rPr>
          <w:lang w:val="es-ES_tradnl"/>
        </w:rPr>
      </w:pPr>
      <w:r w:rsidRPr="00292BA7">
        <w:rPr>
          <w:lang w:val="es-ES_tradnl"/>
        </w:rPr>
        <w:t>donde:</w:t>
      </w:r>
    </w:p>
    <w:p w:rsidR="00371237" w:rsidRPr="00292BA7" w:rsidRDefault="00371237" w:rsidP="009A52AD">
      <w:pPr>
        <w:tabs>
          <w:tab w:val="clear" w:pos="794"/>
          <w:tab w:val="clear" w:pos="1191"/>
          <w:tab w:val="clear" w:pos="1588"/>
          <w:tab w:val="clear" w:pos="1985"/>
          <w:tab w:val="right" w:pos="2160"/>
          <w:tab w:val="right" w:pos="2520"/>
        </w:tabs>
        <w:spacing w:before="80"/>
        <w:ind w:left="2340" w:hanging="2340"/>
        <w:rPr>
          <w:lang w:val="es-ES_tradnl"/>
        </w:rPr>
      </w:pPr>
      <w:r w:rsidRPr="00292BA7">
        <w:rPr>
          <w:lang w:val="es-ES_tradnl"/>
        </w:rPr>
        <w:tab/>
      </w:r>
      <w:r w:rsidRPr="00292BA7">
        <w:rPr>
          <w:i/>
          <w:lang w:val="es-ES_tradnl"/>
        </w:rPr>
        <w:t>PRF</w:t>
      </w:r>
      <w:r w:rsidRPr="00292BA7">
        <w:rPr>
          <w:i/>
          <w:vertAlign w:val="subscript"/>
          <w:lang w:val="es-ES_tradnl"/>
        </w:rPr>
        <w:t>i</w:t>
      </w:r>
      <w:r w:rsidRPr="00292BA7">
        <w:rPr>
          <w:rFonts w:ascii="Tms Rmn" w:hAnsi="Tms Rmn"/>
          <w:lang w:val="es-ES_tradnl"/>
        </w:rPr>
        <w:t>:</w:t>
      </w:r>
      <w:r w:rsidRPr="00292BA7">
        <w:rPr>
          <w:rFonts w:ascii="Tms Rmn" w:hAnsi="Tms Rmn"/>
          <w:lang w:val="es-ES_tradnl"/>
        </w:rPr>
        <w:tab/>
      </w:r>
      <w:r w:rsidRPr="00292BA7">
        <w:rPr>
          <w:lang w:val="es-ES_tradnl"/>
        </w:rPr>
        <w:t>frecuencia de repetición del impulso interferente</w:t>
      </w:r>
    </w:p>
    <w:p w:rsidR="00371237" w:rsidRPr="00292BA7" w:rsidRDefault="00371237" w:rsidP="009A52AD">
      <w:pPr>
        <w:tabs>
          <w:tab w:val="clear" w:pos="794"/>
          <w:tab w:val="clear" w:pos="1191"/>
          <w:tab w:val="clear" w:pos="1588"/>
          <w:tab w:val="clear" w:pos="1985"/>
          <w:tab w:val="right" w:pos="2160"/>
          <w:tab w:val="right" w:pos="2520"/>
        </w:tabs>
        <w:spacing w:before="80"/>
        <w:ind w:left="2340" w:hanging="2340"/>
        <w:rPr>
          <w:lang w:val="es-ES_tradnl"/>
        </w:rPr>
      </w:pPr>
      <w:r w:rsidRPr="00292BA7">
        <w:rPr>
          <w:lang w:val="es-ES_tradnl"/>
        </w:rPr>
        <w:tab/>
      </w:r>
      <w:r w:rsidRPr="00292BA7">
        <w:rPr>
          <w:i/>
          <w:lang w:val="es-ES_tradnl"/>
        </w:rPr>
        <w:t>PRF</w:t>
      </w:r>
      <w:r w:rsidRPr="00292BA7">
        <w:rPr>
          <w:i/>
          <w:vertAlign w:val="subscript"/>
          <w:lang w:val="es-ES_tradnl"/>
        </w:rPr>
        <w:t>g</w:t>
      </w:r>
      <w:r w:rsidRPr="00292BA7">
        <w:rPr>
          <w:lang w:val="es-ES_tradnl"/>
        </w:rPr>
        <w:t>:</w:t>
      </w:r>
      <w:r w:rsidRPr="00292BA7">
        <w:rPr>
          <w:lang w:val="es-ES_tradnl"/>
        </w:rPr>
        <w:tab/>
        <w:t>frecuencia de repetición de la ventana</w:t>
      </w:r>
    </w:p>
    <w:p w:rsidR="00371237" w:rsidRPr="00292BA7" w:rsidRDefault="00371237" w:rsidP="002B79D8">
      <w:pPr>
        <w:tabs>
          <w:tab w:val="clear" w:pos="794"/>
          <w:tab w:val="clear" w:pos="1191"/>
          <w:tab w:val="clear" w:pos="1588"/>
          <w:tab w:val="clear" w:pos="1985"/>
          <w:tab w:val="right" w:pos="2160"/>
          <w:tab w:val="right" w:pos="2520"/>
        </w:tabs>
        <w:spacing w:before="80"/>
        <w:ind w:left="2340" w:hanging="2340"/>
        <w:rPr>
          <w:lang w:val="es-ES_tradnl"/>
        </w:rPr>
      </w:pPr>
      <w:r w:rsidRPr="00292BA7">
        <w:rPr>
          <w:lang w:val="es-ES_tradnl"/>
        </w:rPr>
        <w:tab/>
      </w:r>
      <w:r w:rsidRPr="00292BA7">
        <w:rPr>
          <w:i/>
          <w:lang w:val="es-ES_tradnl"/>
        </w:rPr>
        <w:t>GCF</w:t>
      </w:r>
      <w:r w:rsidRPr="00292BA7">
        <w:rPr>
          <w:lang w:val="es-ES_tradnl"/>
        </w:rPr>
        <w:t xml:space="preserve"> (</w:t>
      </w:r>
      <w:r w:rsidRPr="00292BA7">
        <w:rPr>
          <w:i/>
          <w:lang w:val="es-ES_tradnl"/>
        </w:rPr>
        <w:t>PRF</w:t>
      </w:r>
      <w:r w:rsidRPr="00292BA7">
        <w:rPr>
          <w:i/>
          <w:vertAlign w:val="subscript"/>
          <w:lang w:val="es-ES_tradnl"/>
        </w:rPr>
        <w:t>i</w:t>
      </w:r>
      <w:r w:rsidRPr="00292BA7">
        <w:rPr>
          <w:lang w:val="es-ES_tradnl"/>
        </w:rPr>
        <w:t xml:space="preserve">, </w:t>
      </w:r>
      <w:r w:rsidRPr="00292BA7">
        <w:rPr>
          <w:i/>
          <w:lang w:val="es-ES_tradnl"/>
        </w:rPr>
        <w:t>PRF</w:t>
      </w:r>
      <w:r w:rsidRPr="00292BA7">
        <w:rPr>
          <w:i/>
          <w:vertAlign w:val="subscript"/>
          <w:lang w:val="es-ES_tradnl"/>
        </w:rPr>
        <w:t>g</w:t>
      </w:r>
      <w:r w:rsidRPr="00292BA7">
        <w:rPr>
          <w:rFonts w:ascii="Tms Rmn" w:hAnsi="Tms Rmn"/>
          <w:sz w:val="8"/>
          <w:lang w:val="es-ES_tradnl"/>
        </w:rPr>
        <w:t> </w:t>
      </w:r>
      <w:r w:rsidRPr="00292BA7">
        <w:rPr>
          <w:lang w:val="es-ES_tradnl"/>
        </w:rPr>
        <w:t>)</w:t>
      </w:r>
      <w:r w:rsidRPr="00292BA7">
        <w:rPr>
          <w:rFonts w:ascii="Tms Rmn" w:hAnsi="Tms Rmn"/>
          <w:lang w:val="es-ES_tradnl"/>
        </w:rPr>
        <w:t>:</w:t>
      </w:r>
      <w:r w:rsidRPr="00292BA7">
        <w:rPr>
          <w:rFonts w:ascii="Tms Rmn" w:hAnsi="Tms Rmn"/>
          <w:lang w:val="es-ES_tradnl"/>
        </w:rPr>
        <w:tab/>
        <w:t xml:space="preserve">máximo </w:t>
      </w:r>
      <w:r w:rsidRPr="00292BA7">
        <w:rPr>
          <w:lang w:val="es-ES_tradnl"/>
        </w:rPr>
        <w:t xml:space="preserve">factor común de </w:t>
      </w:r>
      <w:r w:rsidRPr="00292BA7">
        <w:rPr>
          <w:i/>
          <w:lang w:val="es-ES_tradnl"/>
        </w:rPr>
        <w:t>PRF</w:t>
      </w:r>
      <w:r w:rsidRPr="00292BA7">
        <w:rPr>
          <w:i/>
          <w:vertAlign w:val="subscript"/>
          <w:lang w:val="es-ES_tradnl"/>
        </w:rPr>
        <w:t>i</w:t>
      </w:r>
      <w:r w:rsidRPr="00292BA7">
        <w:rPr>
          <w:lang w:val="es-ES_tradnl"/>
        </w:rPr>
        <w:t xml:space="preserve"> y </w:t>
      </w:r>
      <w:r w:rsidRPr="00292BA7">
        <w:rPr>
          <w:i/>
          <w:lang w:val="es-ES_tradnl"/>
        </w:rPr>
        <w:t>PRF</w:t>
      </w:r>
      <w:r w:rsidRPr="00292BA7">
        <w:rPr>
          <w:i/>
          <w:vertAlign w:val="subscript"/>
          <w:lang w:val="es-ES_tradnl"/>
        </w:rPr>
        <w:t>g</w:t>
      </w:r>
    </w:p>
    <w:p w:rsidR="00371237" w:rsidRPr="00292BA7" w:rsidRDefault="00371237" w:rsidP="009A52AD">
      <w:pPr>
        <w:tabs>
          <w:tab w:val="clear" w:pos="794"/>
          <w:tab w:val="clear" w:pos="1191"/>
          <w:tab w:val="clear" w:pos="1588"/>
          <w:tab w:val="clear" w:pos="1985"/>
          <w:tab w:val="right" w:pos="2160"/>
          <w:tab w:val="right" w:pos="2520"/>
        </w:tabs>
        <w:spacing w:before="80"/>
        <w:ind w:left="2340" w:hanging="2340"/>
        <w:rPr>
          <w:lang w:val="es-ES_tradnl"/>
        </w:rPr>
      </w:pPr>
      <w:r w:rsidRPr="00292BA7">
        <w:rPr>
          <w:lang w:val="es-ES_tradnl"/>
        </w:rPr>
        <w:tab/>
      </w:r>
      <w:r w:rsidR="009A52AD">
        <w:rPr>
          <w:lang w:val="es-ES_tradnl"/>
        </w:rPr>
        <w:sym w:font="Symbol" w:char="F074"/>
      </w:r>
      <w:r w:rsidRPr="00292BA7">
        <w:rPr>
          <w:i/>
          <w:vertAlign w:val="subscript"/>
          <w:lang w:val="es-ES_tradnl"/>
        </w:rPr>
        <w:t>i</w:t>
      </w:r>
      <w:r w:rsidRPr="00292BA7">
        <w:rPr>
          <w:rFonts w:ascii="Tms Rmn" w:hAnsi="Tms Rmn"/>
          <w:lang w:val="es-ES_tradnl"/>
        </w:rPr>
        <w:t>:</w:t>
      </w:r>
      <w:r w:rsidRPr="00292BA7">
        <w:rPr>
          <w:rFonts w:ascii="Tms Rmn" w:hAnsi="Tms Rmn"/>
          <w:lang w:val="es-ES_tradnl"/>
        </w:rPr>
        <w:tab/>
      </w:r>
      <w:r w:rsidRPr="00292BA7">
        <w:rPr>
          <w:lang w:val="es-ES_tradnl"/>
        </w:rPr>
        <w:t>anchura del impulso interferente</w:t>
      </w:r>
    </w:p>
    <w:p w:rsidR="00371237" w:rsidRPr="00292BA7" w:rsidRDefault="00371237" w:rsidP="009A52AD">
      <w:pPr>
        <w:tabs>
          <w:tab w:val="clear" w:pos="794"/>
          <w:tab w:val="clear" w:pos="1191"/>
          <w:tab w:val="clear" w:pos="1588"/>
          <w:tab w:val="clear" w:pos="1985"/>
          <w:tab w:val="right" w:pos="2160"/>
          <w:tab w:val="right" w:pos="2520"/>
        </w:tabs>
        <w:spacing w:before="80"/>
        <w:ind w:left="2340" w:hanging="2340"/>
        <w:rPr>
          <w:lang w:val="es-ES_tradnl"/>
        </w:rPr>
      </w:pPr>
      <w:r w:rsidRPr="00292BA7">
        <w:rPr>
          <w:lang w:val="es-ES_tradnl"/>
        </w:rPr>
        <w:tab/>
      </w:r>
      <w:r w:rsidR="009A52AD">
        <w:rPr>
          <w:lang w:val="es-ES_tradnl"/>
        </w:rPr>
        <w:sym w:font="Symbol" w:char="F074"/>
      </w:r>
      <w:r w:rsidRPr="00292BA7">
        <w:rPr>
          <w:i/>
          <w:vertAlign w:val="subscript"/>
          <w:lang w:val="es-ES_tradnl"/>
        </w:rPr>
        <w:t>g</w:t>
      </w:r>
      <w:r w:rsidRPr="00292BA7">
        <w:rPr>
          <w:rFonts w:ascii="Tms Rmn" w:hAnsi="Tms Rmn"/>
          <w:lang w:val="es-ES_tradnl"/>
        </w:rPr>
        <w:t>:</w:t>
      </w:r>
      <w:r w:rsidRPr="00292BA7">
        <w:rPr>
          <w:rFonts w:ascii="Tms Rmn" w:hAnsi="Tms Rmn"/>
          <w:lang w:val="es-ES_tradnl"/>
        </w:rPr>
        <w:tab/>
      </w:r>
      <w:r w:rsidRPr="00292BA7">
        <w:rPr>
          <w:lang w:val="es-ES_tradnl"/>
        </w:rPr>
        <w:t>anchura de la ventana.</w:t>
      </w:r>
    </w:p>
    <w:p w:rsidR="00371237" w:rsidRPr="00292BA7" w:rsidRDefault="00371237" w:rsidP="009A52AD">
      <w:pPr>
        <w:rPr>
          <w:lang w:val="es-ES_tradnl"/>
        </w:rPr>
      </w:pPr>
      <w:r w:rsidRPr="00292BA7">
        <w:rPr>
          <w:lang w:val="es-ES_tradnl"/>
        </w:rPr>
        <w:t xml:space="preserve">Obsérvese que cuando </w:t>
      </w:r>
      <w:r w:rsidR="009A52AD">
        <w:rPr>
          <w:lang w:val="es-ES_tradnl"/>
        </w:rPr>
        <w:sym w:font="Symbol" w:char="F074"/>
      </w:r>
      <w:r w:rsidRPr="00292BA7">
        <w:rPr>
          <w:i/>
          <w:vertAlign w:val="subscript"/>
          <w:lang w:val="es-ES_tradnl"/>
        </w:rPr>
        <w:t>i</w:t>
      </w:r>
      <w:r w:rsidR="009A52AD">
        <w:rPr>
          <w:lang w:val="es-ES_tradnl"/>
        </w:rPr>
        <w:t> &gt; </w:t>
      </w:r>
      <w:r w:rsidR="009A52AD">
        <w:rPr>
          <w:lang w:val="es-ES_tradnl"/>
        </w:rPr>
        <w:sym w:font="Symbol" w:char="F074"/>
      </w:r>
      <w:r w:rsidRPr="00292BA7">
        <w:rPr>
          <w:i/>
          <w:vertAlign w:val="subscript"/>
          <w:lang w:val="es-ES_tradnl"/>
        </w:rPr>
        <w:t>g</w:t>
      </w:r>
      <w:r w:rsidR="009A52AD">
        <w:rPr>
          <w:lang w:val="es-ES_tradnl"/>
        </w:rPr>
        <w:t xml:space="preserve"> y las </w:t>
      </w:r>
      <w:r w:rsidRPr="00292BA7">
        <w:rPr>
          <w:lang w:val="es-ES_tradnl"/>
        </w:rPr>
        <w:t xml:space="preserve">PRF deseadas y no deseadas no están relacionadas con múltiplos enteros (Caso II), </w:t>
      </w:r>
      <w:r w:rsidRPr="00292BA7">
        <w:rPr>
          <w:i/>
          <w:lang w:val="es-ES_tradnl"/>
        </w:rPr>
        <w:t>f</w:t>
      </w:r>
      <w:r w:rsidRPr="00292BA7">
        <w:rPr>
          <w:i/>
          <w:vertAlign w:val="subscript"/>
          <w:lang w:val="es-ES_tradnl"/>
        </w:rPr>
        <w:t>c</w:t>
      </w:r>
      <w:r w:rsidR="009A52AD">
        <w:rPr>
          <w:lang w:val="es-ES_tradnl"/>
        </w:rPr>
        <w:t xml:space="preserve"> </w:t>
      </w:r>
      <w:r w:rsidRPr="00292BA7">
        <w:rPr>
          <w:lang w:val="es-ES_tradnl"/>
        </w:rPr>
        <w:t>es aproximadamente el ciclo de trabajo de los impulsos interferentes. Se considera que esta situación corresponde al caso típico, y se utiliza en la siguiente determinación del umbral de degradación para un radar de seguimiento.</w:t>
      </w:r>
    </w:p>
    <w:p w:rsidR="00371237" w:rsidRPr="00292BA7" w:rsidRDefault="00371237" w:rsidP="00371237">
      <w:pPr>
        <w:rPr>
          <w:lang w:val="es-ES_tradnl"/>
        </w:rPr>
      </w:pPr>
      <w:r w:rsidRPr="00292BA7">
        <w:rPr>
          <w:lang w:val="es-ES_tradnl"/>
        </w:rPr>
        <w:t>Para obtener datos de posición sumamente precisos sobre objetos de interés, los radares de seguimiento utilizan antenas de ganancia alta con haces principales estrechos y bien definidos. Un servomecanismo intenta mantener el eje de puntería del haz principal de antena en el blanco; el servomecanismo es activado por una señal de error generada por el error de ángulo entre el blanco y el eje de puntería de la antena. Las señales no deseadas que entran en el radar pueden aumentar este error sistemático.</w:t>
      </w:r>
    </w:p>
    <w:p w:rsidR="00371237" w:rsidRPr="00292BA7" w:rsidRDefault="00371237" w:rsidP="00207A69">
      <w:pPr>
        <w:rPr>
          <w:lang w:val="es-ES_tradnl"/>
        </w:rPr>
      </w:pPr>
      <w:r w:rsidRPr="00292BA7">
        <w:rPr>
          <w:lang w:val="es-ES_tradnl"/>
        </w:rPr>
        <w:t xml:space="preserve">Un umbral de degradación para un radar de seguimiento, expresado como una fracción permitida de impulsos interferentes coincidentes, </w:t>
      </w:r>
      <w:r w:rsidRPr="00292BA7">
        <w:rPr>
          <w:i/>
          <w:lang w:val="es-ES_tradnl"/>
        </w:rPr>
        <w:t>f</w:t>
      </w:r>
      <w:r w:rsidRPr="00292BA7">
        <w:rPr>
          <w:i/>
          <w:position w:val="-4"/>
          <w:sz w:val="16"/>
          <w:lang w:val="es-ES_tradnl"/>
        </w:rPr>
        <w:t>c</w:t>
      </w:r>
      <w:r w:rsidRPr="00292BA7">
        <w:rPr>
          <w:lang w:val="es-ES_tradnl"/>
        </w:rPr>
        <w:t xml:space="preserve">, en función de la relación </w:t>
      </w:r>
      <w:r w:rsidRPr="00292BA7">
        <w:rPr>
          <w:i/>
          <w:iCs/>
          <w:lang w:val="es-ES_tradnl"/>
        </w:rPr>
        <w:t>S</w:t>
      </w:r>
      <w:r w:rsidRPr="00292BA7">
        <w:rPr>
          <w:lang w:val="es-ES_tradnl"/>
        </w:rPr>
        <w:t>/</w:t>
      </w:r>
      <w:r w:rsidRPr="00292BA7">
        <w:rPr>
          <w:i/>
          <w:iCs/>
          <w:lang w:val="es-ES_tradnl"/>
        </w:rPr>
        <w:t>I</w:t>
      </w:r>
      <w:r w:rsidRPr="00292BA7">
        <w:rPr>
          <w:lang w:val="es-ES_tradnl"/>
        </w:rPr>
        <w:t xml:space="preserve"> en la señal de salida</w:t>
      </w:r>
      <w:r w:rsidR="009A52AD">
        <w:rPr>
          <w:lang w:val="es-ES_tradnl"/>
        </w:rPr>
        <w:t xml:space="preserve"> </w:t>
      </w:r>
      <w:r w:rsidRPr="00292BA7">
        <w:rPr>
          <w:lang w:val="es-ES_tradnl"/>
        </w:rPr>
        <w:t>FI, se expresa como:</w:t>
      </w:r>
    </w:p>
    <w:p w:rsidR="00371237" w:rsidRPr="00E82BE2" w:rsidRDefault="00371237" w:rsidP="00371237">
      <w:pPr>
        <w:tabs>
          <w:tab w:val="clear" w:pos="1191"/>
          <w:tab w:val="clear" w:pos="1588"/>
          <w:tab w:val="clear" w:pos="1985"/>
          <w:tab w:val="center" w:pos="4395"/>
          <w:tab w:val="left" w:pos="6521"/>
          <w:tab w:val="right" w:pos="9639"/>
        </w:tabs>
        <w:rPr>
          <w:lang w:val="en-US"/>
        </w:rPr>
      </w:pPr>
      <w:r w:rsidRPr="00292BA7">
        <w:rPr>
          <w:lang w:val="es-ES_tradnl"/>
        </w:rPr>
        <w:tab/>
      </w:r>
      <w:r w:rsidRPr="00292BA7">
        <w:rPr>
          <w:lang w:val="es-ES_tradnl"/>
        </w:rPr>
        <w:tab/>
      </w:r>
      <w:r w:rsidRPr="00292BA7">
        <w:rPr>
          <w:position w:val="-58"/>
          <w:lang w:val="es-ES_tradnl"/>
        </w:rPr>
        <w:object w:dxaOrig="1680" w:dyaOrig="1040">
          <v:shape id="_x0000_i1031" type="#_x0000_t75" style="width:84pt;height:51.5pt" o:ole="">
            <v:imagedata r:id="rId25" o:title=""/>
          </v:shape>
          <o:OLEObject Type="Embed" ProgID="Equation.3" ShapeID="_x0000_i1031" DrawAspect="Content" ObjectID="_1586854492" r:id="rId26"/>
        </w:object>
      </w:r>
      <w:r w:rsidRPr="00E82BE2">
        <w:rPr>
          <w:lang w:val="en-US"/>
        </w:rPr>
        <w:tab/>
        <w:t xml:space="preserve">para </w:t>
      </w:r>
      <w:r w:rsidRPr="00E82BE2">
        <w:rPr>
          <w:i/>
          <w:iCs/>
          <w:lang w:val="en-US"/>
        </w:rPr>
        <w:t>S</w:t>
      </w:r>
      <w:r w:rsidRPr="00E82BE2">
        <w:rPr>
          <w:lang w:val="en-US"/>
        </w:rPr>
        <w:t>/</w:t>
      </w:r>
      <w:r w:rsidRPr="00E82BE2">
        <w:rPr>
          <w:i/>
          <w:iCs/>
          <w:lang w:val="en-US"/>
        </w:rPr>
        <w:t>I</w:t>
      </w:r>
      <w:r w:rsidRPr="00E82BE2">
        <w:rPr>
          <w:lang w:val="en-US"/>
        </w:rPr>
        <w:t xml:space="preserve"> &gt; 1</w:t>
      </w:r>
      <w:r w:rsidRPr="00E82BE2">
        <w:rPr>
          <w:lang w:val="en-US"/>
        </w:rPr>
        <w:tab/>
        <w:t>(6a)</w:t>
      </w:r>
    </w:p>
    <w:p w:rsidR="00371237" w:rsidRPr="00E82BE2" w:rsidRDefault="00371237" w:rsidP="00371237">
      <w:pPr>
        <w:tabs>
          <w:tab w:val="clear" w:pos="1191"/>
          <w:tab w:val="clear" w:pos="1588"/>
          <w:tab w:val="clear" w:pos="1985"/>
          <w:tab w:val="center" w:pos="4395"/>
          <w:tab w:val="left" w:pos="6521"/>
          <w:tab w:val="right" w:pos="9639"/>
        </w:tabs>
        <w:rPr>
          <w:lang w:val="en-US"/>
        </w:rPr>
      </w:pPr>
      <w:r w:rsidRPr="00E82BE2">
        <w:rPr>
          <w:lang w:val="en-US"/>
        </w:rPr>
        <w:tab/>
      </w:r>
      <w:r w:rsidRPr="00E82BE2">
        <w:rPr>
          <w:lang w:val="en-US"/>
        </w:rPr>
        <w:tab/>
      </w:r>
      <w:r w:rsidRPr="00292BA7">
        <w:rPr>
          <w:position w:val="-58"/>
          <w:lang w:val="es-ES_tradnl"/>
        </w:rPr>
        <w:object w:dxaOrig="1680" w:dyaOrig="1040">
          <v:shape id="_x0000_i1032" type="#_x0000_t75" style="width:84pt;height:51.5pt" o:ole="">
            <v:imagedata r:id="rId27" o:title=""/>
          </v:shape>
          <o:OLEObject Type="Embed" ProgID="Equation.3" ShapeID="_x0000_i1032" DrawAspect="Content" ObjectID="_1586854493" r:id="rId28"/>
        </w:object>
      </w:r>
      <w:r w:rsidRPr="00E82BE2">
        <w:rPr>
          <w:lang w:val="en-US"/>
        </w:rPr>
        <w:tab/>
        <w:t xml:space="preserve">para </w:t>
      </w:r>
      <w:r w:rsidRPr="00E82BE2">
        <w:rPr>
          <w:i/>
          <w:iCs/>
          <w:lang w:val="en-US"/>
        </w:rPr>
        <w:t>S</w:t>
      </w:r>
      <w:r w:rsidRPr="00E82BE2">
        <w:rPr>
          <w:lang w:val="en-US"/>
        </w:rPr>
        <w:t>/</w:t>
      </w:r>
      <w:r w:rsidRPr="00E82BE2">
        <w:rPr>
          <w:i/>
          <w:iCs/>
          <w:lang w:val="en-US"/>
        </w:rPr>
        <w:t xml:space="preserve">I </w:t>
      </w:r>
      <w:r w:rsidRPr="00E82BE2">
        <w:rPr>
          <w:lang w:val="en-US"/>
        </w:rPr>
        <w:t>&lt; 1</w:t>
      </w:r>
      <w:r w:rsidRPr="00E82BE2">
        <w:rPr>
          <w:lang w:val="en-US"/>
        </w:rPr>
        <w:tab/>
        <w:t>(6b)</w:t>
      </w:r>
    </w:p>
    <w:p w:rsidR="00371237" w:rsidRPr="00292BA7" w:rsidRDefault="00371237" w:rsidP="00207A69">
      <w:pPr>
        <w:keepNext/>
        <w:keepLines/>
        <w:rPr>
          <w:lang w:val="es-ES_tradnl"/>
        </w:rPr>
      </w:pPr>
      <w:r w:rsidRPr="00292BA7">
        <w:rPr>
          <w:lang w:val="es-ES_tradnl"/>
        </w:rPr>
        <w:t>donde:</w:t>
      </w:r>
    </w:p>
    <w:p w:rsidR="00371237" w:rsidRDefault="00371237" w:rsidP="009A52AD">
      <w:pPr>
        <w:tabs>
          <w:tab w:val="clear" w:pos="794"/>
          <w:tab w:val="clear" w:pos="1191"/>
          <w:tab w:val="clear" w:pos="1588"/>
          <w:tab w:val="right" w:pos="1701"/>
        </w:tabs>
        <w:spacing w:before="80"/>
        <w:ind w:left="1985" w:hanging="1985"/>
        <w:rPr>
          <w:position w:val="3"/>
          <w:lang w:val="es-ES_tradnl"/>
        </w:rPr>
      </w:pPr>
      <w:r w:rsidRPr="00292BA7">
        <w:rPr>
          <w:lang w:val="es-ES_tradnl"/>
        </w:rPr>
        <w:tab/>
      </w:r>
      <w:r w:rsidRPr="00292BA7">
        <w:rPr>
          <w:i/>
          <w:lang w:val="es-ES_tradnl"/>
        </w:rPr>
        <w:t>a</w:t>
      </w:r>
      <w:r w:rsidRPr="00292BA7">
        <w:rPr>
          <w:rFonts w:ascii="Tms Rmn" w:hAnsi="Tms Rmn"/>
          <w:lang w:val="es-ES_tradnl"/>
        </w:rPr>
        <w:t>:</w:t>
      </w:r>
      <w:r w:rsidRPr="00292BA7">
        <w:rPr>
          <w:rFonts w:ascii="Tms Rmn" w:hAnsi="Tms Rmn"/>
          <w:lang w:val="es-ES_tradnl"/>
        </w:rPr>
        <w:tab/>
      </w:r>
      <w:r w:rsidRPr="00292BA7">
        <w:rPr>
          <w:lang w:val="es-ES_tradnl"/>
        </w:rPr>
        <w:t xml:space="preserve">factor asociado con el error de seguimiento total, incluida la degradación </w:t>
      </w:r>
      <w:r w:rsidRPr="00292BA7">
        <w:rPr>
          <w:position w:val="3"/>
          <w:lang w:val="es-ES_tradnl"/>
        </w:rPr>
        <w:t xml:space="preserve">debida a la interferencia (por ejemplo, </w:t>
      </w:r>
      <w:r w:rsidRPr="00292BA7">
        <w:rPr>
          <w:i/>
          <w:position w:val="3"/>
          <w:lang w:val="es-ES_tradnl"/>
        </w:rPr>
        <w:t>a</w:t>
      </w:r>
      <w:r w:rsidRPr="00292BA7">
        <w:rPr>
          <w:position w:val="3"/>
          <w:lang w:val="es-ES_tradnl"/>
        </w:rPr>
        <w:t> </w:t>
      </w:r>
      <w:r w:rsidR="009A52AD">
        <w:rPr>
          <w:position w:val="3"/>
          <w:lang w:val="es-ES_tradnl"/>
        </w:rPr>
        <w:t>=</w:t>
      </w:r>
      <w:r w:rsidRPr="00292BA7">
        <w:rPr>
          <w:position w:val="3"/>
          <w:lang w:val="es-ES_tradnl"/>
        </w:rPr>
        <w:t> 1,1 permite un incremento del 0,1% o del</w:t>
      </w:r>
      <w:r w:rsidR="005D6878">
        <w:rPr>
          <w:position w:val="3"/>
          <w:lang w:val="es-ES_tradnl"/>
        </w:rPr>
        <w:t xml:space="preserve"> </w:t>
      </w:r>
      <w:r w:rsidRPr="00292BA7">
        <w:rPr>
          <w:position w:val="3"/>
          <w:lang w:val="es-ES_tradnl"/>
        </w:rPr>
        <w:t>10% debido a la interferencia)</w:t>
      </w:r>
    </w:p>
    <w:p w:rsidR="00371237" w:rsidRPr="00292BA7" w:rsidRDefault="00371237" w:rsidP="005F694C">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B</w:t>
      </w:r>
      <w:r w:rsidRPr="00292BA7">
        <w:rPr>
          <w:i/>
          <w:vertAlign w:val="subscript"/>
          <w:lang w:val="es-ES_tradnl"/>
        </w:rPr>
        <w:t>r</w:t>
      </w:r>
      <w:r w:rsidRPr="00292BA7">
        <w:rPr>
          <w:rFonts w:ascii="Tms Rmn" w:hAnsi="Tms Rmn"/>
          <w:lang w:val="es-ES_tradnl"/>
        </w:rPr>
        <w:t>:</w:t>
      </w:r>
      <w:r w:rsidRPr="00292BA7">
        <w:rPr>
          <w:rFonts w:ascii="Tms Rmn" w:hAnsi="Tms Rmn"/>
          <w:lang w:val="es-ES_tradnl"/>
        </w:rPr>
        <w:tab/>
      </w:r>
      <w:r w:rsidRPr="00292BA7">
        <w:rPr>
          <w:lang w:val="es-ES_tradnl"/>
        </w:rPr>
        <w:t>anchura de banda a 3</w:t>
      </w:r>
      <w:r w:rsidR="005F694C">
        <w:rPr>
          <w:lang w:val="es-ES_tradnl"/>
        </w:rPr>
        <w:t> </w:t>
      </w:r>
      <w:r w:rsidRPr="00292BA7">
        <w:rPr>
          <w:lang w:val="es-ES_tradnl"/>
        </w:rPr>
        <w:t>dB del filtro de FI del radar</w:t>
      </w:r>
    </w:p>
    <w:p w:rsidR="00371237" w:rsidRPr="00292BA7" w:rsidRDefault="00371237" w:rsidP="009A52AD">
      <w:pPr>
        <w:tabs>
          <w:tab w:val="clear" w:pos="794"/>
          <w:tab w:val="clear" w:pos="1191"/>
          <w:tab w:val="clear" w:pos="1588"/>
          <w:tab w:val="right" w:pos="1701"/>
        </w:tabs>
        <w:spacing w:before="80"/>
        <w:ind w:left="1985" w:hanging="1985"/>
        <w:rPr>
          <w:rFonts w:ascii="Tms Rmn" w:hAnsi="Tms Rmn"/>
          <w:lang w:val="es-ES_tradnl"/>
        </w:rPr>
      </w:pPr>
      <w:r w:rsidRPr="00292BA7">
        <w:rPr>
          <w:lang w:val="es-ES_tradnl"/>
        </w:rPr>
        <w:tab/>
      </w:r>
      <w:r w:rsidR="009A52AD">
        <w:rPr>
          <w:lang w:val="es-ES_tradnl"/>
        </w:rPr>
        <w:sym w:font="Symbol" w:char="F074"/>
      </w:r>
      <w:r w:rsidRPr="00292BA7">
        <w:rPr>
          <w:rFonts w:ascii="Tms Rmn" w:hAnsi="Tms Rmn"/>
          <w:lang w:val="es-ES_tradnl"/>
        </w:rPr>
        <w:t>:</w:t>
      </w:r>
      <w:r w:rsidRPr="00292BA7">
        <w:rPr>
          <w:rFonts w:ascii="Tms Rmn" w:hAnsi="Tms Rmn"/>
          <w:lang w:val="es-ES_tradnl"/>
        </w:rPr>
        <w:tab/>
      </w:r>
      <w:r w:rsidRPr="00292BA7">
        <w:rPr>
          <w:lang w:val="es-ES_tradnl"/>
        </w:rPr>
        <w:t xml:space="preserve">longitud de los impulsos del blanco (obsérvese que </w:t>
      </w:r>
      <w:r w:rsidRPr="00292BA7">
        <w:rPr>
          <w:i/>
          <w:lang w:val="es-ES_tradnl"/>
        </w:rPr>
        <w:t>B</w:t>
      </w:r>
      <w:r w:rsidRPr="00292BA7">
        <w:rPr>
          <w:i/>
          <w:vertAlign w:val="subscript"/>
          <w:lang w:val="es-ES_tradnl"/>
        </w:rPr>
        <w:t>r</w:t>
      </w:r>
      <w:r w:rsidRPr="00292BA7">
        <w:rPr>
          <w:position w:val="-4"/>
          <w:sz w:val="18"/>
          <w:lang w:val="es-ES_tradnl"/>
        </w:rPr>
        <w:t> </w:t>
      </w:r>
      <w:r w:rsidR="009A52AD">
        <w:rPr>
          <w:lang w:val="es-ES_tradnl"/>
        </w:rPr>
        <w:sym w:font="Symbol" w:char="F074"/>
      </w:r>
      <w:r w:rsidRPr="00292BA7">
        <w:rPr>
          <w:lang w:val="es-ES_tradnl"/>
        </w:rPr>
        <w:t> </w:t>
      </w:r>
      <w:r w:rsidR="009A52AD">
        <w:rPr>
          <w:lang w:val="es-ES_tradnl"/>
        </w:rPr>
        <w:sym w:font="Symbol" w:char="F040"/>
      </w:r>
      <w:r w:rsidRPr="00292BA7">
        <w:rPr>
          <w:lang w:val="es-ES_tradnl"/>
        </w:rPr>
        <w:t> 1 para un radar de seguimiento)</w:t>
      </w:r>
    </w:p>
    <w:p w:rsidR="00371237" w:rsidRPr="00292BA7" w:rsidRDefault="00371237" w:rsidP="009A52AD">
      <w:pPr>
        <w:tabs>
          <w:tab w:val="clear" w:pos="794"/>
          <w:tab w:val="clear" w:pos="1191"/>
          <w:tab w:val="clear" w:pos="1588"/>
          <w:tab w:val="right" w:pos="1701"/>
        </w:tabs>
        <w:spacing w:before="80"/>
        <w:ind w:left="1985" w:hanging="1985"/>
        <w:rPr>
          <w:lang w:val="es-ES_tradnl"/>
        </w:rPr>
      </w:pPr>
      <w:r w:rsidRPr="00292BA7">
        <w:rPr>
          <w:lang w:val="es-ES_tradnl"/>
        </w:rPr>
        <w:tab/>
      </w:r>
      <w:r w:rsidRPr="00292BA7">
        <w:rPr>
          <w:i/>
          <w:lang w:val="es-ES_tradnl"/>
        </w:rPr>
        <w:t>S</w:t>
      </w:r>
      <w:r w:rsidRPr="00292BA7">
        <w:rPr>
          <w:lang w:val="es-ES_tradnl"/>
        </w:rPr>
        <w:t>/</w:t>
      </w:r>
      <w:r w:rsidRPr="00292BA7">
        <w:rPr>
          <w:i/>
          <w:lang w:val="es-ES_tradnl"/>
        </w:rPr>
        <w:t>I</w:t>
      </w:r>
      <w:r w:rsidRPr="00292BA7">
        <w:rPr>
          <w:rFonts w:ascii="Tms Rmn" w:hAnsi="Tms Rmn"/>
          <w:lang w:val="es-ES_tradnl"/>
        </w:rPr>
        <w:t>:</w:t>
      </w:r>
      <w:r w:rsidRPr="00292BA7">
        <w:rPr>
          <w:rFonts w:ascii="Tms Rmn" w:hAnsi="Tms Rmn"/>
          <w:lang w:val="es-ES_tradnl"/>
        </w:rPr>
        <w:tab/>
      </w:r>
      <w:r w:rsidRPr="00292BA7">
        <w:rPr>
          <w:lang w:val="es-ES_tradnl"/>
        </w:rPr>
        <w:t>relación de potencia señal/interfe</w:t>
      </w:r>
      <w:r w:rsidR="009A52AD">
        <w:rPr>
          <w:lang w:val="es-ES_tradnl"/>
        </w:rPr>
        <w:t xml:space="preserve">rencia en la señal de salida de </w:t>
      </w:r>
      <w:r w:rsidRPr="00292BA7">
        <w:rPr>
          <w:lang w:val="es-ES_tradnl"/>
        </w:rPr>
        <w:t>FI del radar (no</w:t>
      </w:r>
      <w:r w:rsidR="009A52AD">
        <w:rPr>
          <w:lang w:val="es-ES_tradnl"/>
        </w:rPr>
        <w:t> </w:t>
      </w:r>
      <w:r w:rsidRPr="00292BA7">
        <w:rPr>
          <w:lang w:val="es-ES_tradnl"/>
        </w:rPr>
        <w:t>en dB).</w:t>
      </w:r>
    </w:p>
    <w:p w:rsidR="00371237" w:rsidRDefault="00371237" w:rsidP="005F694C">
      <w:pPr>
        <w:rPr>
          <w:lang w:val="es-ES_tradnl"/>
        </w:rPr>
      </w:pPr>
      <w:r w:rsidRPr="00292BA7">
        <w:rPr>
          <w:lang w:val="es-ES_tradnl"/>
        </w:rPr>
        <w:t>La Fig.</w:t>
      </w:r>
      <w:r w:rsidR="005F694C">
        <w:rPr>
          <w:lang w:val="es-ES_tradnl"/>
        </w:rPr>
        <w:t> </w:t>
      </w:r>
      <w:r w:rsidRPr="00292BA7">
        <w:rPr>
          <w:lang w:val="es-ES_tradnl"/>
        </w:rPr>
        <w:t xml:space="preserve">2 es una representación de la fracción de impulsos coincidentes en función de la relación </w:t>
      </w:r>
      <w:r w:rsidRPr="00292BA7">
        <w:rPr>
          <w:i/>
          <w:lang w:val="es-ES_tradnl"/>
        </w:rPr>
        <w:t>S</w:t>
      </w:r>
      <w:r w:rsidRPr="00292BA7">
        <w:rPr>
          <w:lang w:val="es-ES_tradnl"/>
        </w:rPr>
        <w:t>/</w:t>
      </w:r>
      <w:r w:rsidRPr="00292BA7">
        <w:rPr>
          <w:i/>
          <w:lang w:val="es-ES_tradnl"/>
        </w:rPr>
        <w:t>I</w:t>
      </w:r>
      <w:r w:rsidRPr="00292BA7">
        <w:rPr>
          <w:lang w:val="es-ES_tradnl"/>
        </w:rPr>
        <w:t xml:space="preserve"> de la señal de salida de FI del radar, que permite un aumento del 10% en el error de seguimiento del radar debido a la interferencia. La fracción de impulsos coincidentes es aproximadamente el ciclo de trabajo del sensor (6%), de modo que una relación </w:t>
      </w:r>
      <w:r w:rsidRPr="00292BA7">
        <w:rPr>
          <w:i/>
          <w:lang w:val="es-ES_tradnl"/>
        </w:rPr>
        <w:t>S</w:t>
      </w:r>
      <w:r w:rsidRPr="00292BA7">
        <w:rPr>
          <w:lang w:val="es-ES_tradnl"/>
        </w:rPr>
        <w:t>/</w:t>
      </w:r>
      <w:r w:rsidRPr="00292BA7">
        <w:rPr>
          <w:i/>
          <w:lang w:val="es-ES_tradnl"/>
        </w:rPr>
        <w:t>I</w:t>
      </w:r>
      <w:r w:rsidRPr="00292BA7">
        <w:rPr>
          <w:lang w:val="es-ES_tradnl"/>
        </w:rPr>
        <w:t xml:space="preserve"> de 13</w:t>
      </w:r>
      <w:r w:rsidR="005F694C">
        <w:rPr>
          <w:lang w:val="es-ES_tradnl"/>
        </w:rPr>
        <w:t> </w:t>
      </w:r>
      <w:r w:rsidRPr="00292BA7">
        <w:rPr>
          <w:lang w:val="es-ES_tradnl"/>
        </w:rPr>
        <w:t xml:space="preserve">dB corresponde a un error de seguimiento del 10%. Se supone que la relación </w:t>
      </w:r>
      <w:r w:rsidRPr="00292BA7">
        <w:rPr>
          <w:i/>
          <w:lang w:val="es-ES_tradnl"/>
        </w:rPr>
        <w:t>S</w:t>
      </w:r>
      <w:r w:rsidRPr="00292BA7">
        <w:rPr>
          <w:lang w:val="es-ES_tradnl"/>
        </w:rPr>
        <w:t>/</w:t>
      </w:r>
      <w:r w:rsidRPr="00292BA7">
        <w:rPr>
          <w:i/>
          <w:lang w:val="es-ES_tradnl"/>
        </w:rPr>
        <w:t>I</w:t>
      </w:r>
      <w:r w:rsidRPr="00292BA7">
        <w:rPr>
          <w:lang w:val="es-ES_tradnl"/>
        </w:rPr>
        <w:t xml:space="preserve"> debe ser </w:t>
      </w:r>
      <w:r w:rsidR="00D81B69">
        <w:rPr>
          <w:lang w:val="es-ES_tradnl"/>
        </w:rPr>
        <w:sym w:font="Symbol" w:char="F0B3"/>
      </w:r>
      <w:r w:rsidRPr="00292BA7">
        <w:rPr>
          <w:lang w:val="es-ES_tradnl"/>
        </w:rPr>
        <w:t>13 dB para periodos de tiempo mayores de 3</w:t>
      </w:r>
      <w:r w:rsidR="00D81B69">
        <w:rPr>
          <w:lang w:val="es-ES_tradnl"/>
        </w:rPr>
        <w:t> </w:t>
      </w:r>
      <w:r w:rsidRPr="00292BA7">
        <w:rPr>
          <w:lang w:val="es-ES_tradnl"/>
        </w:rPr>
        <w:t>s. (Dado que se han elaborado criterios de interferencia basados en un impulso interferente que coincide con la ventana de distancia del radar, debe utilizarse la potencia de cresta de la señal interferente.)</w:t>
      </w:r>
    </w:p>
    <w:p w:rsidR="00F641E5" w:rsidRDefault="00F641E5" w:rsidP="00F641E5">
      <w:pPr>
        <w:pStyle w:val="FigureNo"/>
        <w:rPr>
          <w:lang w:val="es-ES_tradnl"/>
        </w:rPr>
      </w:pPr>
      <w:r>
        <w:rPr>
          <w:lang w:val="es-ES_tradnl"/>
        </w:rPr>
        <w:t>FIGURA 2</w:t>
      </w:r>
    </w:p>
    <w:p w:rsidR="00F641E5" w:rsidRPr="00F641E5" w:rsidRDefault="00F641E5" w:rsidP="00F641E5">
      <w:pPr>
        <w:pStyle w:val="Figuretitle"/>
        <w:rPr>
          <w:lang w:val="es-ES_tradnl"/>
        </w:rPr>
      </w:pPr>
      <w:r>
        <w:rPr>
          <w:lang w:val="es-ES_tradnl"/>
        </w:rPr>
        <w:t xml:space="preserve">Relación </w:t>
      </w:r>
      <w:r w:rsidRPr="00F641E5">
        <w:rPr>
          <w:i/>
          <w:iCs/>
          <w:lang w:val="es-ES_tradnl"/>
        </w:rPr>
        <w:t>S/I</w:t>
      </w:r>
      <w:r>
        <w:rPr>
          <w:lang w:val="es-ES_tradnl"/>
        </w:rPr>
        <w:t xml:space="preserve"> del radar en función de la fracción de impulsos interferentes coincidentes</w:t>
      </w:r>
      <w:r>
        <w:rPr>
          <w:lang w:val="es-ES_tradnl"/>
        </w:rPr>
        <w:br/>
        <w:t>(aumento del 10% en el error de seguimento)</w:t>
      </w:r>
    </w:p>
    <w:p w:rsidR="00F641E5" w:rsidRDefault="000F09D2" w:rsidP="00F641E5">
      <w:pPr>
        <w:pStyle w:val="Figure"/>
        <w:rPr>
          <w:lang w:val="es-ES_tradnl"/>
        </w:rPr>
      </w:pPr>
      <w:r>
        <w:rPr>
          <w:lang w:val="es-ES_tradnl"/>
        </w:rPr>
        <w:object w:dxaOrig="4369" w:dyaOrig="2924">
          <v:shape id="_x0000_i1033" type="#_x0000_t75" style="width:361pt;height:241pt" o:ole="">
            <v:imagedata r:id="rId29" o:title=""/>
          </v:shape>
          <o:OLEObject Type="Embed" ProgID="CorelDraw.Graphic.16" ShapeID="_x0000_i1033" DrawAspect="Content" ObjectID="_1586854494" r:id="rId30"/>
        </w:object>
      </w:r>
    </w:p>
    <w:p w:rsidR="00371237" w:rsidRPr="00292BA7" w:rsidRDefault="00371237" w:rsidP="00371237">
      <w:pPr>
        <w:pStyle w:val="Heading1"/>
        <w:rPr>
          <w:lang w:val="es-ES_tradnl"/>
        </w:rPr>
      </w:pPr>
      <w:r w:rsidRPr="00292BA7">
        <w:rPr>
          <w:lang w:val="es-ES_tradnl"/>
        </w:rPr>
        <w:t>4</w:t>
      </w:r>
      <w:r w:rsidRPr="00292BA7">
        <w:rPr>
          <w:lang w:val="es-ES_tradnl"/>
        </w:rPr>
        <w:tab/>
        <w:t>Análisis de un ejemplo de señal no deseada desde un sensor a bordo de un vehículo espacial a otros servicios</w:t>
      </w:r>
    </w:p>
    <w:p w:rsidR="00371237" w:rsidRPr="00292BA7" w:rsidRDefault="00371237" w:rsidP="00371237">
      <w:pPr>
        <w:pStyle w:val="Heading2"/>
        <w:rPr>
          <w:lang w:val="es-ES_tradnl"/>
        </w:rPr>
      </w:pPr>
      <w:r w:rsidRPr="00292BA7">
        <w:rPr>
          <w:lang w:val="es-ES_tradnl"/>
        </w:rPr>
        <w:t>4.1</w:t>
      </w:r>
      <w:r w:rsidRPr="00292BA7">
        <w:rPr>
          <w:lang w:val="es-ES_tradnl"/>
        </w:rPr>
        <w:tab/>
        <w:t>Características técnicas</w:t>
      </w:r>
    </w:p>
    <w:p w:rsidR="00371237" w:rsidRPr="00292BA7" w:rsidRDefault="00371237" w:rsidP="00371237">
      <w:pPr>
        <w:pStyle w:val="Heading3"/>
        <w:rPr>
          <w:lang w:val="es-ES_tradnl"/>
        </w:rPr>
      </w:pPr>
      <w:r w:rsidRPr="00292BA7">
        <w:rPr>
          <w:lang w:val="es-ES_tradnl"/>
        </w:rPr>
        <w:t>4.1.1</w:t>
      </w:r>
      <w:r w:rsidRPr="00292BA7">
        <w:rPr>
          <w:lang w:val="es-ES_tradnl"/>
        </w:rPr>
        <w:tab/>
        <w:t>Sensor a bordo del vehículo espacial</w:t>
      </w:r>
    </w:p>
    <w:p w:rsidR="00371237" w:rsidRPr="00292BA7" w:rsidRDefault="00371237" w:rsidP="00371237">
      <w:pPr>
        <w:rPr>
          <w:lang w:val="es-ES_tradnl"/>
        </w:rPr>
      </w:pPr>
      <w:r w:rsidRPr="00292BA7">
        <w:rPr>
          <w:lang w:val="es-ES_tradnl"/>
        </w:rPr>
        <w:t>En el Cuadro 4 aparecen las características técnicas del sensor a bordo de un vehículo espacial representativo utilizado en el siguiente análisis.</w:t>
      </w:r>
    </w:p>
    <w:p w:rsidR="00371237" w:rsidRPr="00292BA7" w:rsidRDefault="00371237" w:rsidP="00371237">
      <w:pPr>
        <w:pStyle w:val="TableNo"/>
        <w:rPr>
          <w:lang w:val="es-ES_tradnl"/>
        </w:rPr>
      </w:pPr>
      <w:r w:rsidRPr="00292BA7">
        <w:rPr>
          <w:lang w:val="es-ES_tradnl"/>
        </w:rPr>
        <w:t>CUADRO  4</w:t>
      </w:r>
    </w:p>
    <w:p w:rsidR="00371237" w:rsidRPr="00292BA7" w:rsidRDefault="00371237" w:rsidP="00207A69">
      <w:pPr>
        <w:pStyle w:val="Tabletitle"/>
        <w:keepLines/>
        <w:rPr>
          <w:lang w:val="es-ES_tradnl"/>
        </w:rPr>
      </w:pPr>
      <w:r w:rsidRPr="00292BA7">
        <w:rPr>
          <w:lang w:val="es-ES_tradnl"/>
        </w:rPr>
        <w:t>Características del SAR de tipo 1 (SAR1)</w:t>
      </w:r>
      <w:r w:rsidR="00207A69">
        <w:rPr>
          <w:lang w:val="es-ES_tradnl"/>
        </w:rPr>
        <w:br/>
      </w:r>
      <w:r w:rsidRPr="00292BA7">
        <w:rPr>
          <w:lang w:val="es-ES_tradnl"/>
        </w:rPr>
        <w:t xml:space="preserve">a bordo del vehículo espacial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3969"/>
      </w:tblGrid>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head"/>
              <w:rPr>
                <w:lang w:val="es-ES_tradnl"/>
              </w:rPr>
            </w:pPr>
            <w:r w:rsidRPr="00292BA7">
              <w:rPr>
                <w:lang w:val="es-ES_tradnl"/>
              </w:rPr>
              <w:t>Parámetro</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head"/>
              <w:rPr>
                <w:lang w:val="es-ES_tradnl"/>
              </w:rPr>
            </w:pPr>
            <w:r w:rsidRPr="00292BA7">
              <w:rPr>
                <w:lang w:val="es-ES_tradnl"/>
              </w:rPr>
              <w:t>Valor</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Altura de la órbita (km)</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750</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Inclinación de la órbita (grados)</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98,4</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Potencia de cresta de RF radiada (W)</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400</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Potencia media de RF radiada (W)</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4,4</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Anchura del impulso (</w:t>
            </w:r>
            <w:r w:rsidRPr="00292BA7">
              <w:rPr>
                <w:lang w:val="es-ES_tradnl"/>
              </w:rPr>
              <w:sym w:font="Symbol" w:char="F06D"/>
            </w:r>
            <w:r w:rsidRPr="00292BA7">
              <w:rPr>
                <w:lang w:val="es-ES_tradnl"/>
              </w:rPr>
              <w:t>s)</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50</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PRF (Hz)</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2 200</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Modulación del impulso</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MF lineal</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Anchura de banda del impulso (MHz)</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4,8</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Ganancia de cresta de la antena (dB)</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27,9</w:t>
            </w:r>
          </w:p>
        </w:tc>
      </w:tr>
      <w:tr w:rsidR="00371237" w:rsidRPr="00292BA7"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Orientación de la antena (grados)</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37 desde el nadir</w:t>
            </w:r>
          </w:p>
        </w:tc>
      </w:tr>
      <w:tr w:rsidR="00371237" w:rsidRPr="001F3485"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Primer lóbulo lateral de la antena (dB)</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–17,6 con respecto al valor de cresta</w:t>
            </w:r>
          </w:p>
        </w:tc>
      </w:tr>
      <w:tr w:rsidR="00371237" w:rsidRPr="001F3485" w:rsidTr="009A5133">
        <w:trPr>
          <w:jc w:val="center"/>
        </w:trPr>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Quinto lóbulo lateral de la antena (dB)</w:t>
            </w:r>
          </w:p>
        </w:tc>
        <w:tc>
          <w:tcPr>
            <w:tcW w:w="3969" w:type="dxa"/>
            <w:tcBorders>
              <w:top w:val="single" w:sz="6" w:space="0" w:color="auto"/>
              <w:left w:val="single" w:sz="6" w:space="0" w:color="auto"/>
              <w:bottom w:val="single" w:sz="6" w:space="0" w:color="auto"/>
              <w:right w:val="single" w:sz="6" w:space="0" w:color="auto"/>
            </w:tcBorders>
          </w:tcPr>
          <w:p w:rsidR="00371237" w:rsidRPr="00292BA7" w:rsidRDefault="00371237" w:rsidP="009A5133">
            <w:pPr>
              <w:pStyle w:val="Tabletext"/>
              <w:rPr>
                <w:lang w:val="es-ES_tradnl"/>
              </w:rPr>
            </w:pPr>
            <w:r w:rsidRPr="00292BA7">
              <w:rPr>
                <w:lang w:val="es-ES_tradnl"/>
              </w:rPr>
              <w:t>–34 con respecto al valor de cresta</w:t>
            </w:r>
          </w:p>
        </w:tc>
      </w:tr>
    </w:tbl>
    <w:p w:rsidR="00207A69" w:rsidRPr="001F3485" w:rsidRDefault="00207A69" w:rsidP="00207A69">
      <w:pPr>
        <w:pStyle w:val="Tablefin"/>
        <w:rPr>
          <w:lang w:val="es-ES_tradnl"/>
        </w:rPr>
      </w:pPr>
    </w:p>
    <w:p w:rsidR="00371237" w:rsidRPr="00292BA7" w:rsidRDefault="00371237" w:rsidP="009A5133">
      <w:pPr>
        <w:pStyle w:val="Heading3"/>
        <w:rPr>
          <w:lang w:val="es-ES_tradnl"/>
        </w:rPr>
      </w:pPr>
      <w:r w:rsidRPr="00292BA7">
        <w:rPr>
          <w:lang w:val="es-ES_tradnl"/>
        </w:rPr>
        <w:t>4.1.2</w:t>
      </w:r>
      <w:r w:rsidRPr="00292BA7">
        <w:rPr>
          <w:lang w:val="es-ES_tradnl"/>
        </w:rPr>
        <w:tab/>
        <w:t>Radares a bordo de aeronaves</w:t>
      </w:r>
    </w:p>
    <w:p w:rsidR="00371237" w:rsidRPr="00292BA7" w:rsidRDefault="00371237" w:rsidP="009A5133">
      <w:pPr>
        <w:rPr>
          <w:lang w:val="es-ES_tradnl"/>
        </w:rPr>
      </w:pPr>
      <w:r w:rsidRPr="00292BA7">
        <w:rPr>
          <w:lang w:val="es-ES_tradnl"/>
        </w:rPr>
        <w:t>En la Recomendación</w:t>
      </w:r>
      <w:r w:rsidR="009A5133">
        <w:rPr>
          <w:lang w:val="es-ES_tradnl"/>
        </w:rPr>
        <w:t xml:space="preserve"> </w:t>
      </w:r>
      <w:r w:rsidRPr="00292BA7">
        <w:rPr>
          <w:lang w:val="es-ES_tradnl"/>
        </w:rPr>
        <w:t>UIT-R M.1462 aparecen las características y los criterios de protección para los radares que funcionan en la banda de frecuencias 420-450</w:t>
      </w:r>
      <w:r w:rsidR="009A5133">
        <w:rPr>
          <w:lang w:val="es-ES_tradnl"/>
        </w:rPr>
        <w:t> </w:t>
      </w:r>
      <w:r w:rsidRPr="00292BA7">
        <w:rPr>
          <w:lang w:val="es-ES_tradnl"/>
        </w:rPr>
        <w:t>MHz. En análisis anteriores se ha llegado a la conclusión de que los sensores activos a bordo de vehículos espaciales no son técnicamente compatibles con los radares de seguimiento de objetos espaciales situados en tierra con un alto grado de sensibilidad.</w:t>
      </w:r>
    </w:p>
    <w:p w:rsidR="00371237" w:rsidRPr="00292BA7" w:rsidRDefault="00371237" w:rsidP="009670BA">
      <w:pPr>
        <w:rPr>
          <w:lang w:val="es-ES_tradnl"/>
        </w:rPr>
      </w:pPr>
      <w:r w:rsidRPr="00292BA7">
        <w:rPr>
          <w:lang w:val="es-ES_tradnl"/>
        </w:rPr>
        <w:t>En el análisis realizado mediante simulación informática se consideró la compatibilidad de los SAR a bordo de vehículos espaciales con los radares a bordo de aeronaves en esta banda de frecuencias. Los resultados a los que se llegó para los radares a bordo de barcos son similares a los obtenidos con los radares a bordo de aeronaves. En la Recomendación se señala una anchura de banda del rec</w:t>
      </w:r>
      <w:r w:rsidR="009670BA">
        <w:rPr>
          <w:lang w:val="es-ES_tradnl"/>
        </w:rPr>
        <w:t xml:space="preserve">eptor a bordo de la aeronave de </w:t>
      </w:r>
      <w:r w:rsidRPr="00292BA7">
        <w:rPr>
          <w:lang w:val="es-ES_tradnl"/>
        </w:rPr>
        <w:t>1 MHz y la antena del radar es una red de elementos radiantes coplanares de 22 dBi de ganancia. En el análisis se supuso que la antena realizaba una exploración en acimut con un ángulo de elevación de</w:t>
      </w:r>
      <w:r w:rsidR="009670BA">
        <w:rPr>
          <w:lang w:val="es-ES_tradnl"/>
        </w:rPr>
        <w:t xml:space="preserve"> </w:t>
      </w:r>
      <w:r w:rsidRPr="00292BA7">
        <w:rPr>
          <w:lang w:val="es-ES_tradnl"/>
        </w:rPr>
        <w:t>0</w:t>
      </w:r>
      <w:r w:rsidR="009A5133">
        <w:rPr>
          <w:lang w:val="es-ES_tradnl"/>
        </w:rPr>
        <w:t>°</w:t>
      </w:r>
      <w:r w:rsidRPr="00292BA7">
        <w:rPr>
          <w:lang w:val="es-ES_tradnl"/>
        </w:rPr>
        <w:t xml:space="preserve">. El criterio de protección para los radares es una relación </w:t>
      </w:r>
      <w:r w:rsidRPr="00292BA7">
        <w:rPr>
          <w:i/>
          <w:iCs/>
          <w:lang w:val="es-ES_tradnl"/>
        </w:rPr>
        <w:t>I</w:t>
      </w:r>
      <w:r w:rsidRPr="00292BA7">
        <w:rPr>
          <w:lang w:val="es-ES_tradnl"/>
        </w:rPr>
        <w:t>/</w:t>
      </w:r>
      <w:r w:rsidRPr="00292BA7">
        <w:rPr>
          <w:i/>
          <w:iCs/>
          <w:lang w:val="es-ES_tradnl"/>
        </w:rPr>
        <w:t>N</w:t>
      </w:r>
      <w:r w:rsidRPr="00292BA7">
        <w:rPr>
          <w:lang w:val="es-ES_tradnl"/>
        </w:rPr>
        <w:t xml:space="preserve"> de –6 dB.</w:t>
      </w:r>
    </w:p>
    <w:p w:rsidR="00371237" w:rsidRPr="00292BA7" w:rsidRDefault="00371237" w:rsidP="00371237">
      <w:pPr>
        <w:pStyle w:val="Heading2"/>
        <w:rPr>
          <w:lang w:val="es-ES_tradnl"/>
        </w:rPr>
      </w:pPr>
      <w:r w:rsidRPr="00292BA7">
        <w:rPr>
          <w:lang w:val="es-ES_tradnl"/>
        </w:rPr>
        <w:t>4.2</w:t>
      </w:r>
      <w:r w:rsidRPr="00292BA7">
        <w:rPr>
          <w:lang w:val="es-ES_tradnl"/>
        </w:rPr>
        <w:tab/>
        <w:t>Método de análisis y resultados</w:t>
      </w:r>
    </w:p>
    <w:p w:rsidR="00371237" w:rsidRPr="00292BA7" w:rsidRDefault="00371237" w:rsidP="00371237">
      <w:pPr>
        <w:pStyle w:val="Heading3"/>
        <w:rPr>
          <w:lang w:val="es-ES_tradnl"/>
        </w:rPr>
      </w:pPr>
      <w:r w:rsidRPr="00292BA7">
        <w:rPr>
          <w:lang w:val="es-ES_tradnl"/>
        </w:rPr>
        <w:t>4.2.1</w:t>
      </w:r>
      <w:r w:rsidRPr="00292BA7">
        <w:rPr>
          <w:lang w:val="es-ES_tradnl"/>
        </w:rPr>
        <w:tab/>
        <w:t>Simulaciones informáticas</w:t>
      </w:r>
    </w:p>
    <w:p w:rsidR="00371237" w:rsidRPr="00292BA7" w:rsidRDefault="00371237" w:rsidP="00371237">
      <w:pPr>
        <w:pStyle w:val="Heading4"/>
        <w:rPr>
          <w:lang w:val="es-ES_tradnl"/>
        </w:rPr>
      </w:pPr>
      <w:r w:rsidRPr="00292BA7">
        <w:rPr>
          <w:lang w:val="es-ES_tradnl"/>
        </w:rPr>
        <w:t>4.2.1.1</w:t>
      </w:r>
      <w:r w:rsidRPr="00292BA7">
        <w:rPr>
          <w:lang w:val="es-ES_tradnl"/>
        </w:rPr>
        <w:tab/>
        <w:t>Ganancia de procesamiento</w:t>
      </w:r>
    </w:p>
    <w:p w:rsidR="00371237" w:rsidRPr="00292BA7" w:rsidRDefault="00371237" w:rsidP="00371237">
      <w:pPr>
        <w:rPr>
          <w:lang w:val="es-ES_tradnl"/>
        </w:rPr>
      </w:pPr>
      <w:r w:rsidRPr="00292BA7">
        <w:rPr>
          <w:lang w:val="es-ES_tradnl"/>
        </w:rPr>
        <w:t>En el análisis de la posible interferencia causada por los SAR a bordo de vehículos espaciales a los receptores del servicio de radiolocalización no se supuso ninguna ganancia de procesamiento (es decir, la capacidad de rechazar la interferencia debida al procesamiento de la señal en el receptor). Para los sistemas de radiolocalización puede ser conveniente examinar la posible respuesta del receptor a las señales interferentes impulsivas tales como las procedentes de los SAR.</w:t>
      </w:r>
    </w:p>
    <w:p w:rsidR="00371237" w:rsidRPr="00292BA7" w:rsidRDefault="00371237" w:rsidP="00207A69">
      <w:pPr>
        <w:keepNext/>
        <w:keepLines/>
        <w:rPr>
          <w:lang w:val="es-ES_tradnl"/>
        </w:rPr>
      </w:pPr>
      <w:r w:rsidRPr="00292BA7">
        <w:rPr>
          <w:lang w:val="es-ES_tradnl"/>
        </w:rPr>
        <w:t>Generalmente no se publican los detalles de la resistencia de un radar a la interferencia de señales impulsivas. Sin embargo, muchos receptores de radar modernos, especialmente los que deben realizar una función de vigilancia en presencia de un eco significativo, efectuarán un procesamiento Doppler digital para detectar los blancos diferenciándolos de los ecos parásitos de fondo. El efecto de la TRF sobre la interferencia impulsiva entrante consistirá en esparcir la potencia de cresta de los impulsos a través de los intervalos de distancia Doppler próximos, lo que dará como resultado una promediación en potencia del efecto interferente.</w:t>
      </w:r>
    </w:p>
    <w:p w:rsidR="00371237" w:rsidRPr="00292BA7" w:rsidRDefault="00371237" w:rsidP="00371237">
      <w:pPr>
        <w:pStyle w:val="Heading4"/>
        <w:rPr>
          <w:lang w:val="es-ES_tradnl"/>
        </w:rPr>
      </w:pPr>
      <w:r w:rsidRPr="00292BA7">
        <w:rPr>
          <w:lang w:val="es-ES_tradnl"/>
        </w:rPr>
        <w:t>4.2.1.2</w:t>
      </w:r>
      <w:r w:rsidRPr="00292BA7">
        <w:rPr>
          <w:lang w:val="es-ES_tradnl"/>
        </w:rPr>
        <w:tab/>
        <w:t>Criterio de interferencia del radar</w:t>
      </w:r>
    </w:p>
    <w:p w:rsidR="00371237" w:rsidRPr="00292BA7" w:rsidRDefault="00371237" w:rsidP="009670BA">
      <w:pPr>
        <w:rPr>
          <w:lang w:val="es-ES_tradnl"/>
        </w:rPr>
      </w:pPr>
      <w:r w:rsidRPr="00292BA7">
        <w:rPr>
          <w:lang w:val="es-ES_tradnl"/>
        </w:rPr>
        <w:t>En la Recomendación UIT</w:t>
      </w:r>
      <w:r w:rsidRPr="00292BA7">
        <w:rPr>
          <w:lang w:val="es-ES_tradnl"/>
        </w:rPr>
        <w:noBreakHyphen/>
        <w:t xml:space="preserve">R M.1462 se considera que el criterio de protección para los radares a bordo de aeronaves es una relación </w:t>
      </w:r>
      <w:r w:rsidRPr="00292BA7">
        <w:rPr>
          <w:i/>
          <w:iCs/>
          <w:lang w:val="es-ES_tradnl"/>
        </w:rPr>
        <w:t>I</w:t>
      </w:r>
      <w:r w:rsidRPr="00292BA7">
        <w:rPr>
          <w:lang w:val="es-ES_tradnl"/>
        </w:rPr>
        <w:t>/</w:t>
      </w:r>
      <w:r w:rsidRPr="00292BA7">
        <w:rPr>
          <w:i/>
          <w:iCs/>
          <w:lang w:val="es-ES_tradnl"/>
        </w:rPr>
        <w:t>N</w:t>
      </w:r>
      <w:r w:rsidR="00D81B69">
        <w:rPr>
          <w:lang w:val="es-ES_tradnl"/>
        </w:rPr>
        <w:t> = </w:t>
      </w:r>
      <w:r w:rsidRPr="00292BA7">
        <w:rPr>
          <w:lang w:val="es-ES_tradnl"/>
        </w:rPr>
        <w:sym w:font="Symbol" w:char="F02D"/>
      </w:r>
      <w:r w:rsidRPr="00292BA7">
        <w:rPr>
          <w:lang w:val="es-ES_tradnl"/>
        </w:rPr>
        <w:t>6</w:t>
      </w:r>
      <w:r w:rsidR="009670BA">
        <w:rPr>
          <w:lang w:val="es-ES_tradnl"/>
        </w:rPr>
        <w:t> </w:t>
      </w:r>
      <w:r w:rsidRPr="00292BA7">
        <w:rPr>
          <w:lang w:val="es-ES_tradnl"/>
        </w:rPr>
        <w:t>dB. No se indica ningún porcentaje de tiempo o duración del periodo durante el cual sea admisible que la interferencia rebase este valor. No es conveniente aplicar a los radares el concepto de un porcentaje de tiempo durante el cual se permite que la interferencia pueda superar este valor, y especialmente a los radares de vigilancia tales como los radares a bordo de aeronaves considerados en este análisis. El concepto de pérdida de datos o «interrupción» permitida puede aplicarse a enlaces de comunicaciones o sistemas de sensores pero la detección de blancos, que es una función básica y crítica de los sistemas de radar, ocurre en un instante de tiempo y, por consiguiente, no son pertinentes las interrupciones de larga duración.</w:t>
      </w:r>
    </w:p>
    <w:p w:rsidR="00371237" w:rsidRPr="00292BA7" w:rsidRDefault="00371237" w:rsidP="009670BA">
      <w:pPr>
        <w:rPr>
          <w:lang w:val="es-ES_tradnl"/>
        </w:rPr>
      </w:pPr>
      <w:r w:rsidRPr="00292BA7">
        <w:rPr>
          <w:lang w:val="es-ES_tradnl"/>
        </w:rPr>
        <w:t xml:space="preserve">Un método utilizado en un cierto número de análisis similares efectuados por el UIT-R consiste en examinar los resultados de la simulación bajo la hipótesis de que un radar de vigilancia no puede degradarse durante un periodo de tiempo que rebase un solo periodo de exploración de la antena. Ello significa que un blanco puede quedar sin detectar durante el primer periodo de exploración en el que la detección podría haberse realizado con éxito. Los radares a bordo de aeronaves en este análisis tienen unos periodos de rotación de la antena del orden de 10 s. Por consiguiente, la interferencia no debe rebasar el valor de </w:t>
      </w:r>
      <w:r w:rsidRPr="00292BA7">
        <w:rPr>
          <w:i/>
          <w:iCs/>
          <w:lang w:val="es-ES_tradnl"/>
        </w:rPr>
        <w:t>I</w:t>
      </w:r>
      <w:r w:rsidRPr="00292BA7">
        <w:rPr>
          <w:lang w:val="es-ES_tradnl"/>
        </w:rPr>
        <w:t>/</w:t>
      </w:r>
      <w:r w:rsidRPr="00292BA7">
        <w:rPr>
          <w:i/>
          <w:iCs/>
          <w:lang w:val="es-ES_tradnl"/>
        </w:rPr>
        <w:t>N</w:t>
      </w:r>
      <w:r w:rsidRPr="00292BA7">
        <w:rPr>
          <w:lang w:val="es-ES_tradnl"/>
        </w:rPr>
        <w:t> </w:t>
      </w:r>
      <w:r w:rsidR="00D81B69">
        <w:rPr>
          <w:lang w:val="es-ES_tradnl"/>
        </w:rPr>
        <w:t>=</w:t>
      </w:r>
      <w:r w:rsidRPr="00292BA7">
        <w:rPr>
          <w:lang w:val="es-ES_tradnl"/>
        </w:rPr>
        <w:t> </w:t>
      </w:r>
      <w:r w:rsidRPr="00292BA7">
        <w:rPr>
          <w:lang w:val="es-ES_tradnl"/>
        </w:rPr>
        <w:sym w:font="Symbol" w:char="F02D"/>
      </w:r>
      <w:r w:rsidRPr="00292BA7">
        <w:rPr>
          <w:lang w:val="es-ES_tradnl"/>
        </w:rPr>
        <w:t>6 dB durante más de 10 s. (Bajo esta hipótesis, un blanco desplazándose a una velocidad de 800 km/h se aproxima a otro aproximadamente 2</w:t>
      </w:r>
      <w:r w:rsidR="009670BA">
        <w:rPr>
          <w:lang w:val="es-ES_tradnl"/>
        </w:rPr>
        <w:t> </w:t>
      </w:r>
      <w:r w:rsidRPr="00292BA7">
        <w:rPr>
          <w:lang w:val="es-ES_tradnl"/>
        </w:rPr>
        <w:t>km después de que la detección haya tenido lugar en ausencia de interferencia. Esto puede ser o no aceptable dependiendo de la situación.) Tras examinar los resultados de las simulaciones (utilizando la potencia interferente de cresta y media en los radares), resulta evidente la dificultad que puede presentar la compartición de frecuencias entre los SAR a bordo de vehículos espaciales y los radares.</w:t>
      </w:r>
    </w:p>
    <w:p w:rsidR="00371237" w:rsidRPr="00292BA7" w:rsidRDefault="00371237" w:rsidP="00371237">
      <w:pPr>
        <w:pStyle w:val="Heading4"/>
        <w:rPr>
          <w:lang w:val="es-ES_tradnl"/>
        </w:rPr>
      </w:pPr>
      <w:r w:rsidRPr="00292BA7">
        <w:rPr>
          <w:lang w:val="es-ES_tradnl"/>
        </w:rPr>
        <w:t>4.2.1.3</w:t>
      </w:r>
      <w:r w:rsidRPr="00292BA7">
        <w:rPr>
          <w:lang w:val="es-ES_tradnl"/>
        </w:rPr>
        <w:tab/>
        <w:t>Resultados de la simulación informática</w:t>
      </w:r>
    </w:p>
    <w:p w:rsidR="00371237" w:rsidRPr="00292BA7" w:rsidRDefault="00371237" w:rsidP="009670BA">
      <w:pPr>
        <w:rPr>
          <w:lang w:val="es-ES_tradnl"/>
        </w:rPr>
      </w:pPr>
      <w:r w:rsidRPr="00292BA7">
        <w:rPr>
          <w:lang w:val="es-ES_tradnl"/>
        </w:rPr>
        <w:t>Las simulaciones se realizaron utilizando SAR1 (véase el Cuadro 5). En el</w:t>
      </w:r>
      <w:r w:rsidR="009670BA">
        <w:rPr>
          <w:lang w:val="es-ES_tradnl"/>
        </w:rPr>
        <w:t> </w:t>
      </w:r>
      <w:r w:rsidRPr="00292BA7">
        <w:rPr>
          <w:lang w:val="es-ES_tradnl"/>
        </w:rPr>
        <w:t>Cuadro 6 aparecen los resultados de simulaciones informáticas del entorno de interferencia esperado causado por un SAR1 a bordo de un vehículo espacial a los sistemas del servicio de radiolocalización. Todas las simulaciones se realizaron con incrementos de tiempos de</w:t>
      </w:r>
      <w:r w:rsidR="009670BA">
        <w:rPr>
          <w:lang w:val="es-ES_tradnl"/>
        </w:rPr>
        <w:t xml:space="preserve"> </w:t>
      </w:r>
      <w:r w:rsidRPr="00292BA7">
        <w:rPr>
          <w:lang w:val="es-ES_tradnl"/>
        </w:rPr>
        <w:t>2 s y durante un periodo de 60</w:t>
      </w:r>
      <w:r w:rsidR="009670BA">
        <w:rPr>
          <w:lang w:val="es-ES_tradnl"/>
        </w:rPr>
        <w:t> </w:t>
      </w:r>
      <w:r w:rsidRPr="00292BA7">
        <w:rPr>
          <w:lang w:val="es-ES_tradnl"/>
        </w:rPr>
        <w:t>días. Obsérvese que dos resultados con respecto al porcentaje de tiempo en que aparece la interferencia también figuran en el Cuadro 6.</w:t>
      </w:r>
    </w:p>
    <w:p w:rsidR="00371237" w:rsidRPr="00292BA7" w:rsidRDefault="00371237" w:rsidP="00371237">
      <w:pPr>
        <w:rPr>
          <w:lang w:val="es-ES_tradnl"/>
        </w:rPr>
      </w:pPr>
      <w:r w:rsidRPr="00292BA7">
        <w:rPr>
          <w:lang w:val="es-ES_tradnl"/>
        </w:rPr>
        <w:t>El primero es el porcentaje de tiempo durante el cual se rebasa el criterio de interferencia cuando uno o más de los SAR son visibles (es decir, se encuentran por encima del horizonte) a las estaciones terrenas; el segundo es el porcentaje de tiempo durante el cual se rebasa el criterio de interferencia en todo el periodo de simulación (es decir, incluidos los instantes cuando no hay visible ningún SAR en algunas partes de la Tierra).</w:t>
      </w:r>
    </w:p>
    <w:p w:rsidR="00371237" w:rsidRPr="00292BA7" w:rsidRDefault="00371237" w:rsidP="00371237">
      <w:pPr>
        <w:pStyle w:val="TableNo"/>
        <w:rPr>
          <w:lang w:val="es-ES_tradnl"/>
        </w:rPr>
      </w:pPr>
      <w:r w:rsidRPr="00292BA7">
        <w:rPr>
          <w:lang w:val="es-ES_tradnl"/>
        </w:rPr>
        <w:t>CUADRO  5</w:t>
      </w:r>
    </w:p>
    <w:p w:rsidR="00371237" w:rsidRPr="00292BA7" w:rsidRDefault="00371237" w:rsidP="00207A69">
      <w:pPr>
        <w:pStyle w:val="Tabletitle"/>
        <w:rPr>
          <w:lang w:val="es-ES_tradnl"/>
        </w:rPr>
      </w:pPr>
      <w:r w:rsidRPr="00292BA7">
        <w:rPr>
          <w:lang w:val="es-ES_tradnl"/>
        </w:rPr>
        <w:t>Valor de cresta/media de la dfp interferente producida por los lóbulos</w:t>
      </w:r>
      <w:r w:rsidR="00207A69">
        <w:rPr>
          <w:lang w:val="es-ES_tradnl"/>
        </w:rPr>
        <w:t xml:space="preserve"> </w:t>
      </w:r>
      <w:r w:rsidRPr="00292BA7">
        <w:rPr>
          <w:lang w:val="es-ES_tradnl"/>
        </w:rPr>
        <w:t>principales</w:t>
      </w:r>
      <w:r w:rsidR="00207A69">
        <w:rPr>
          <w:lang w:val="es-ES_tradnl"/>
        </w:rPr>
        <w:br/>
      </w:r>
      <w:r w:rsidRPr="00292BA7">
        <w:rPr>
          <w:lang w:val="es-ES_tradnl"/>
        </w:rPr>
        <w:t>y los lóbulos laterales del SAR1 en la banda P</w:t>
      </w:r>
      <w:r w:rsidR="00207A69">
        <w:rPr>
          <w:lang w:val="es-ES_tradnl"/>
        </w:rPr>
        <w:t xml:space="preserve"> </w:t>
      </w:r>
      <w:r w:rsidRPr="00292BA7">
        <w:rPr>
          <w:lang w:val="es-ES_tradnl"/>
        </w:rPr>
        <w:t>sobre la superficie de la Tierra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1418"/>
        <w:gridCol w:w="1418"/>
      </w:tblGrid>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head"/>
              <w:rPr>
                <w:lang w:val="es-ES_tradnl"/>
              </w:rPr>
            </w:pPr>
            <w:r w:rsidRPr="00292BA7">
              <w:rPr>
                <w:lang w:val="es-ES_tradnl"/>
              </w:rPr>
              <w:t>Parámetros</w:t>
            </w:r>
          </w:p>
        </w:tc>
        <w:tc>
          <w:tcPr>
            <w:tcW w:w="1418"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head"/>
              <w:rPr>
                <w:lang w:val="es-ES_tradnl"/>
              </w:rPr>
            </w:pPr>
            <w:r w:rsidRPr="00292BA7">
              <w:rPr>
                <w:lang w:val="es-ES_tradnl"/>
              </w:rPr>
              <w:t>Valor</w:t>
            </w:r>
          </w:p>
        </w:tc>
        <w:tc>
          <w:tcPr>
            <w:tcW w:w="1418"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head"/>
              <w:rPr>
                <w:lang w:val="es-ES_tradnl"/>
              </w:rPr>
            </w:pPr>
            <w:r w:rsidRPr="00292BA7">
              <w:rPr>
                <w:lang w:val="es-ES_tradnl"/>
              </w:rPr>
              <w:t>dB</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Potencia trasmitida (W)</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400,00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26,02</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Ganancia de cresta del lóbulo principal de la antena (dBi)</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27,90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27,90</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Nivel de los lóbulos laterales de la antena (dBi)</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6,10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6,10</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D81B69">
            <w:pPr>
              <w:pStyle w:val="Tabletext"/>
              <w:rPr>
                <w:lang w:val="es-ES_tradnl"/>
              </w:rPr>
            </w:pPr>
            <w:r w:rsidRPr="00292BA7">
              <w:rPr>
                <w:lang w:val="es-ES_tradnl"/>
              </w:rPr>
              <w:t>1/(4</w:t>
            </w:r>
            <w:r w:rsidR="00D81B69">
              <w:rPr>
                <w:lang w:val="es-ES_tradnl"/>
              </w:rPr>
              <w:sym w:font="Symbol" w:char="F070"/>
            </w:r>
            <w:r w:rsidRPr="00292BA7">
              <w:rPr>
                <w:lang w:val="es-ES_tradnl"/>
              </w:rPr>
              <w:t>)</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D81B69">
            <w:pPr>
              <w:pStyle w:val="Tabletext"/>
              <w:rPr>
                <w:rFonts w:eastAsia="Arial Unicode MS"/>
                <w:lang w:val="es-ES_tradnl"/>
              </w:rPr>
            </w:pPr>
            <w:r w:rsidRPr="00292BA7">
              <w:rPr>
                <w:lang w:val="es-ES_tradnl"/>
              </w:rPr>
              <w:t xml:space="preserve">7,96 </w:t>
            </w:r>
            <w:r w:rsidR="00D81B69">
              <w:rPr>
                <w:lang w:val="es-ES_tradnl"/>
              </w:rPr>
              <w:sym w:font="Symbol" w:char="F0B4"/>
            </w:r>
            <w:r w:rsidRPr="00292BA7">
              <w:rPr>
                <w:lang w:val="es-ES_tradnl"/>
              </w:rPr>
              <w:t xml:space="preserve"> 10</w:t>
            </w:r>
            <w:r w:rsidRPr="00292BA7">
              <w:rPr>
                <w:vertAlign w:val="superscript"/>
                <w:lang w:val="es-ES_tradnl"/>
              </w:rPr>
              <w:t>–2</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10,99</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1/(distancia)</w:t>
            </w:r>
            <w:r w:rsidRPr="00292BA7">
              <w:rPr>
                <w:vertAlign w:val="superscript"/>
                <w:lang w:val="es-ES_tradnl"/>
              </w:rPr>
              <w:t>2</w:t>
            </w:r>
            <w:r w:rsidRPr="00292BA7">
              <w:rPr>
                <w:lang w:val="es-ES_tradnl"/>
              </w:rPr>
              <w:t xml:space="preserve"> (km)</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972,80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119,76</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1/anchura de banda (MHz)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1/4,80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66,81</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D81B69">
            <w:pPr>
              <w:pStyle w:val="Tabletext"/>
              <w:rPr>
                <w:lang w:val="es-ES_tradnl"/>
              </w:rPr>
            </w:pPr>
            <w:r w:rsidRPr="00292BA7">
              <w:rPr>
                <w:lang w:val="es-ES_tradnl"/>
              </w:rPr>
              <w:t>Anchura del impulso (</w:t>
            </w:r>
            <w:r w:rsidR="00D81B69">
              <w:rPr>
                <w:lang w:val="es-ES_tradnl"/>
              </w:rPr>
              <w:sym w:font="Symbol" w:char="F06D"/>
            </w:r>
            <w:r w:rsidRPr="00292BA7">
              <w:rPr>
                <w:lang w:val="es-ES_tradnl"/>
              </w:rPr>
              <w:t>s)</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50,00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PRF (Hz)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t>2 200,00</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Densidad de potencia de cresta en el lóbulo principal (dBW)</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75,86</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Densidad de potencia de cresta en el lóbulo lateral (dBW)</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109,86</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dfp de cresta en el lóbulo principal  (dB(W/(m</w:t>
            </w:r>
            <w:r w:rsidRPr="00292BA7">
              <w:rPr>
                <w:vertAlign w:val="superscript"/>
                <w:lang w:val="es-ES_tradnl"/>
              </w:rPr>
              <w:t>2</w:t>
            </w:r>
            <w:r w:rsidRPr="00292BA7">
              <w:rPr>
                <w:lang w:val="es-ES_tradnl"/>
              </w:rPr>
              <w:t xml:space="preserve"> · 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143,6</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dfp media en el lóbulo principal (dB(W/(m</w:t>
            </w:r>
            <w:r w:rsidRPr="00292BA7">
              <w:rPr>
                <w:vertAlign w:val="superscript"/>
                <w:lang w:val="es-ES_tradnl"/>
              </w:rPr>
              <w:t>2</w:t>
            </w:r>
            <w:r w:rsidRPr="00292BA7">
              <w:rPr>
                <w:lang w:val="es-ES_tradnl"/>
              </w:rPr>
              <w:t xml:space="preserve"> · 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153,2</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dfp de cresta en los lóbulos laterales (dB(W/(m</w:t>
            </w:r>
            <w:r w:rsidRPr="00292BA7">
              <w:rPr>
                <w:vertAlign w:val="superscript"/>
                <w:lang w:val="es-ES_tradnl"/>
              </w:rPr>
              <w:t>2</w:t>
            </w:r>
            <w:r w:rsidRPr="00292BA7">
              <w:rPr>
                <w:lang w:val="es-ES_tradnl"/>
              </w:rPr>
              <w:t xml:space="preserve"> · 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177,6</w:t>
            </w:r>
          </w:p>
        </w:tc>
      </w:tr>
      <w:tr w:rsidR="00371237" w:rsidRPr="00292BA7" w:rsidTr="008513E4">
        <w:trPr>
          <w:jc w:val="center"/>
        </w:trPr>
        <w:tc>
          <w:tcPr>
            <w:tcW w:w="5670" w:type="dxa"/>
            <w:tcBorders>
              <w:top w:val="single" w:sz="6" w:space="0" w:color="auto"/>
              <w:left w:val="single" w:sz="6" w:space="0" w:color="auto"/>
              <w:bottom w:val="single" w:sz="6" w:space="0" w:color="auto"/>
              <w:right w:val="single" w:sz="6" w:space="0" w:color="auto"/>
            </w:tcBorders>
          </w:tcPr>
          <w:p w:rsidR="00371237" w:rsidRPr="00292BA7" w:rsidRDefault="00371237" w:rsidP="008513E4">
            <w:pPr>
              <w:pStyle w:val="Tabletext"/>
              <w:rPr>
                <w:lang w:val="es-ES_tradnl"/>
              </w:rPr>
            </w:pPr>
            <w:r w:rsidRPr="00292BA7">
              <w:rPr>
                <w:lang w:val="es-ES_tradnl"/>
              </w:rPr>
              <w:t>dfp media en los lóbulos laterales (dB(W/(m</w:t>
            </w:r>
            <w:r w:rsidRPr="00292BA7">
              <w:rPr>
                <w:vertAlign w:val="superscript"/>
                <w:lang w:val="es-ES_tradnl"/>
              </w:rPr>
              <w:t>2</w:t>
            </w:r>
            <w:r w:rsidRPr="00292BA7">
              <w:rPr>
                <w:lang w:val="es-ES_tradnl"/>
              </w:rPr>
              <w:t xml:space="preserve"> · Hz)))</w:t>
            </w: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p>
        </w:tc>
        <w:tc>
          <w:tcPr>
            <w:tcW w:w="1418" w:type="dxa"/>
            <w:tcBorders>
              <w:top w:val="single" w:sz="6" w:space="0" w:color="auto"/>
              <w:left w:val="single" w:sz="6" w:space="0" w:color="auto"/>
              <w:bottom w:val="single" w:sz="6" w:space="0" w:color="auto"/>
              <w:right w:val="single" w:sz="6" w:space="0" w:color="auto"/>
            </w:tcBorders>
            <w:vAlign w:val="bottom"/>
          </w:tcPr>
          <w:p w:rsidR="00371237" w:rsidRPr="00292BA7" w:rsidRDefault="00371237" w:rsidP="008513E4">
            <w:pPr>
              <w:pStyle w:val="Tabletext"/>
              <w:rPr>
                <w:rFonts w:eastAsia="Arial Unicode MS"/>
                <w:lang w:val="es-ES_tradnl"/>
              </w:rPr>
            </w:pPr>
            <w:r w:rsidRPr="00292BA7">
              <w:rPr>
                <w:lang w:val="es-ES_tradnl"/>
              </w:rPr>
              <w:sym w:font="Symbol" w:char="F02D"/>
            </w:r>
            <w:r w:rsidRPr="00292BA7">
              <w:rPr>
                <w:lang w:val="es-ES_tradnl"/>
              </w:rPr>
              <w:t>187,2</w:t>
            </w:r>
          </w:p>
        </w:tc>
      </w:tr>
    </w:tbl>
    <w:p w:rsidR="00371237" w:rsidRPr="00292BA7" w:rsidRDefault="00371237" w:rsidP="008513E4">
      <w:pPr>
        <w:pStyle w:val="Tablefin"/>
      </w:pPr>
    </w:p>
    <w:p w:rsidR="00371237" w:rsidRPr="00292BA7" w:rsidRDefault="00371237" w:rsidP="00371237">
      <w:pPr>
        <w:pStyle w:val="TableNo"/>
        <w:rPr>
          <w:lang w:val="es-ES_tradnl"/>
        </w:rPr>
      </w:pPr>
      <w:r w:rsidRPr="00292BA7">
        <w:rPr>
          <w:lang w:val="es-ES_tradnl"/>
        </w:rPr>
        <w:t>CUADRO  6</w:t>
      </w:r>
    </w:p>
    <w:p w:rsidR="00371237" w:rsidRPr="00292BA7" w:rsidRDefault="00371237" w:rsidP="00371237">
      <w:pPr>
        <w:pStyle w:val="Tabletitle"/>
        <w:rPr>
          <w:lang w:val="es-ES_tradnl"/>
        </w:rPr>
      </w:pPr>
      <w:r w:rsidRPr="00292BA7">
        <w:rPr>
          <w:lang w:val="es-ES_tradnl"/>
        </w:rPr>
        <w:t>Resultados de la simulación por ordenador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6236"/>
        <w:gridCol w:w="1134"/>
      </w:tblGrid>
      <w:tr w:rsidR="00371237" w:rsidRPr="00292BA7" w:rsidTr="008513E4">
        <w:trPr>
          <w:jc w:val="center"/>
        </w:trPr>
        <w:tc>
          <w:tcPr>
            <w:tcW w:w="181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pStyle w:val="Tablehead"/>
              <w:rPr>
                <w:lang w:val="es-ES_tradnl"/>
              </w:rPr>
            </w:pPr>
            <w:r w:rsidRPr="00292BA7">
              <w:rPr>
                <w:lang w:val="es-ES_tradnl"/>
              </w:rPr>
              <w:t>Receptor</w:t>
            </w: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pStyle w:val="Tablehead"/>
              <w:rPr>
                <w:lang w:val="es-ES_tradnl"/>
              </w:rPr>
            </w:pPr>
            <w:r w:rsidRPr="00292BA7">
              <w:rPr>
                <w:lang w:val="es-ES_tradnl"/>
              </w:rPr>
              <w:t>Criterio</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pStyle w:val="Tablehead"/>
              <w:rPr>
                <w:lang w:val="es-ES_tradnl"/>
              </w:rPr>
            </w:pPr>
            <w:r w:rsidRPr="00292BA7">
              <w:rPr>
                <w:lang w:val="es-ES_tradnl"/>
              </w:rPr>
              <w:t>SAR1</w:t>
            </w:r>
          </w:p>
        </w:tc>
      </w:tr>
      <w:tr w:rsidR="00371237" w:rsidRPr="00292BA7" w:rsidTr="008513E4">
        <w:trPr>
          <w:jc w:val="center"/>
        </w:trPr>
        <w:tc>
          <w:tcPr>
            <w:tcW w:w="1814" w:type="dxa"/>
            <w:vMerge w:val="restart"/>
            <w:tcBorders>
              <w:top w:val="single" w:sz="4" w:space="0" w:color="auto"/>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Cs/>
                <w:sz w:val="22"/>
                <w:lang w:val="es-ES_tradnl"/>
              </w:rPr>
            </w:pPr>
            <w:r w:rsidRPr="00292BA7">
              <w:rPr>
                <w:bCs/>
                <w:sz w:val="22"/>
                <w:lang w:val="es-ES_tradnl"/>
              </w:rPr>
              <w:t>Radar a bordo</w:t>
            </w:r>
            <w:r w:rsidR="008513E4">
              <w:rPr>
                <w:bCs/>
                <w:sz w:val="22"/>
                <w:lang w:val="es-ES_tradnl"/>
              </w:rPr>
              <w:t xml:space="preserve"> </w:t>
            </w:r>
            <w:r w:rsidRPr="00292BA7">
              <w:rPr>
                <w:bCs/>
                <w:sz w:val="22"/>
                <w:lang w:val="es-ES_tradnl"/>
              </w:rPr>
              <w:t>de aeronave</w:t>
            </w: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de caso más desfavorable (dB)</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36,2</w:t>
            </w:r>
          </w:p>
        </w:tc>
      </w:tr>
      <w:tr w:rsidR="00371237" w:rsidRPr="00292BA7" w:rsidTr="008513E4">
        <w:trPr>
          <w:jc w:val="center"/>
        </w:trPr>
        <w:tc>
          <w:tcPr>
            <w:tcW w:w="1814" w:type="dxa"/>
            <w:vMerge/>
            <w:tcBorders>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media (dB)</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sym w:font="Symbol" w:char="F02D"/>
            </w:r>
            <w:r w:rsidRPr="00292BA7">
              <w:rPr>
                <w:sz w:val="22"/>
                <w:lang w:val="es-ES_tradnl"/>
              </w:rPr>
              <w:t>4,4</w:t>
            </w:r>
          </w:p>
        </w:tc>
      </w:tr>
      <w:tr w:rsidR="00371237" w:rsidRPr="00292BA7" w:rsidTr="008513E4">
        <w:trPr>
          <w:jc w:val="center"/>
        </w:trPr>
        <w:tc>
          <w:tcPr>
            <w:tcW w:w="1814" w:type="dxa"/>
            <w:vMerge/>
            <w:tcBorders>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D81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sz w:val="22"/>
                <w:lang w:val="es-ES_tradnl"/>
              </w:rPr>
              <w:t xml:space="preserve">Porcentaje de tiempo en que </w:t>
            </w: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xml:space="preserve"> </w:t>
            </w:r>
            <w:r w:rsidR="00D81B69">
              <w:rPr>
                <w:sz w:val="22"/>
                <w:lang w:val="es-ES_tradnl"/>
              </w:rPr>
              <w:t>&gt;</w:t>
            </w:r>
            <w:r w:rsidRPr="00292BA7">
              <w:rPr>
                <w:sz w:val="22"/>
                <w:lang w:val="es-ES_tradnl"/>
              </w:rPr>
              <w:t xml:space="preserve"> </w:t>
            </w:r>
            <w:r w:rsidRPr="00292BA7">
              <w:rPr>
                <w:sz w:val="22"/>
                <w:lang w:val="es-ES_tradnl"/>
              </w:rPr>
              <w:sym w:font="Symbol" w:char="F02D"/>
            </w:r>
            <w:r w:rsidRPr="00292BA7">
              <w:rPr>
                <w:sz w:val="22"/>
                <w:lang w:val="es-ES_tradnl"/>
              </w:rPr>
              <w:t>6 dB</w:t>
            </w:r>
            <w:r w:rsidR="008513E4">
              <w:rPr>
                <w:sz w:val="22"/>
                <w:lang w:val="es-ES_tradnl"/>
              </w:rPr>
              <w:t xml:space="preserve"> </w:t>
            </w:r>
            <w:r w:rsidRPr="00292BA7">
              <w:rPr>
                <w:sz w:val="22"/>
                <w:lang w:val="es-ES_tradnl"/>
              </w:rPr>
              <w:t>(SAR visible) (%)</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12,0</w:t>
            </w:r>
          </w:p>
        </w:tc>
      </w:tr>
      <w:tr w:rsidR="00371237" w:rsidRPr="00292BA7" w:rsidTr="008513E4">
        <w:trPr>
          <w:jc w:val="center"/>
        </w:trPr>
        <w:tc>
          <w:tcPr>
            <w:tcW w:w="1814" w:type="dxa"/>
            <w:vMerge/>
            <w:tcBorders>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D81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sz w:val="22"/>
                <w:lang w:val="es-ES_tradnl"/>
              </w:rPr>
              <w:t xml:space="preserve">Porcentaje de tiempo en que </w:t>
            </w: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xml:space="preserve"> </w:t>
            </w:r>
            <w:r w:rsidR="00D81B69">
              <w:rPr>
                <w:sz w:val="22"/>
                <w:lang w:val="es-ES_tradnl"/>
              </w:rPr>
              <w:t>&gt;</w:t>
            </w:r>
            <w:r w:rsidRPr="00292BA7">
              <w:rPr>
                <w:sz w:val="22"/>
                <w:lang w:val="es-ES_tradnl"/>
              </w:rPr>
              <w:t xml:space="preserve"> </w:t>
            </w:r>
            <w:r w:rsidRPr="00292BA7">
              <w:rPr>
                <w:sz w:val="22"/>
                <w:lang w:val="es-ES_tradnl"/>
              </w:rPr>
              <w:sym w:font="Symbol" w:char="F02D"/>
            </w:r>
            <w:r w:rsidRPr="00292BA7">
              <w:rPr>
                <w:sz w:val="22"/>
                <w:lang w:val="es-ES_tradnl"/>
              </w:rPr>
              <w:t>6 dB</w:t>
            </w:r>
            <w:r w:rsidR="008513E4">
              <w:rPr>
                <w:sz w:val="22"/>
                <w:lang w:val="es-ES_tradnl"/>
              </w:rPr>
              <w:t xml:space="preserve"> </w:t>
            </w:r>
            <w:r w:rsidRPr="00292BA7">
              <w:rPr>
                <w:sz w:val="22"/>
                <w:lang w:val="es-ES_tradnl"/>
              </w:rPr>
              <w:t>(En todo instante) (%)</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0,6</w:t>
            </w:r>
          </w:p>
        </w:tc>
      </w:tr>
      <w:tr w:rsidR="00371237" w:rsidRPr="00292BA7" w:rsidTr="008513E4">
        <w:trPr>
          <w:jc w:val="center"/>
        </w:trPr>
        <w:tc>
          <w:tcPr>
            <w:tcW w:w="1814" w:type="dxa"/>
            <w:vMerge/>
            <w:tcBorders>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E6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sz w:val="22"/>
                <w:lang w:val="es-ES_tradnl"/>
              </w:rPr>
              <w:t xml:space="preserve">Máximo periodo durante el cual </w:t>
            </w: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xml:space="preserve"> </w:t>
            </w:r>
            <w:r w:rsidR="00E614F6">
              <w:rPr>
                <w:sz w:val="22"/>
                <w:lang w:val="es-ES_tradnl"/>
              </w:rPr>
              <w:t>&gt;</w:t>
            </w:r>
            <w:r w:rsidRPr="00292BA7">
              <w:rPr>
                <w:sz w:val="22"/>
                <w:lang w:val="es-ES_tradnl"/>
              </w:rPr>
              <w:t xml:space="preserve"> </w:t>
            </w:r>
            <w:r w:rsidRPr="00292BA7">
              <w:rPr>
                <w:sz w:val="22"/>
                <w:lang w:val="es-ES_tradnl"/>
              </w:rPr>
              <w:sym w:font="Symbol" w:char="F02D"/>
            </w:r>
            <w:r w:rsidRPr="00292BA7">
              <w:rPr>
                <w:sz w:val="22"/>
                <w:lang w:val="es-ES_tradnl"/>
              </w:rPr>
              <w:t>6 dB (min)</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4,8</w:t>
            </w:r>
          </w:p>
        </w:tc>
      </w:tr>
      <w:tr w:rsidR="00371237" w:rsidRPr="00292BA7" w:rsidTr="008513E4">
        <w:trPr>
          <w:jc w:val="center"/>
        </w:trPr>
        <w:tc>
          <w:tcPr>
            <w:tcW w:w="1814" w:type="dxa"/>
            <w:vMerge/>
            <w:tcBorders>
              <w:left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E6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sz w:val="22"/>
                <w:lang w:val="es-ES_tradnl"/>
              </w:rPr>
              <w:t xml:space="preserve">Tiempo medio en que </w:t>
            </w: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xml:space="preserve"> </w:t>
            </w:r>
            <w:r w:rsidR="00E614F6">
              <w:rPr>
                <w:sz w:val="22"/>
                <w:lang w:val="es-ES_tradnl"/>
              </w:rPr>
              <w:t>&gt;</w:t>
            </w:r>
            <w:r w:rsidRPr="00292BA7">
              <w:rPr>
                <w:sz w:val="22"/>
                <w:lang w:val="es-ES_tradnl"/>
              </w:rPr>
              <w:t xml:space="preserve"> </w:t>
            </w:r>
            <w:r w:rsidRPr="00292BA7">
              <w:rPr>
                <w:sz w:val="22"/>
                <w:lang w:val="es-ES_tradnl"/>
              </w:rPr>
              <w:sym w:font="Symbol" w:char="F02D"/>
            </w:r>
            <w:r w:rsidRPr="00292BA7">
              <w:rPr>
                <w:sz w:val="22"/>
                <w:lang w:val="es-ES_tradnl"/>
              </w:rPr>
              <w:t>6 dB (s)</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7,3</w:t>
            </w:r>
          </w:p>
        </w:tc>
      </w:tr>
      <w:tr w:rsidR="00371237" w:rsidRPr="00292BA7" w:rsidTr="008513E4">
        <w:trPr>
          <w:jc w:val="center"/>
        </w:trPr>
        <w:tc>
          <w:tcPr>
            <w:tcW w:w="1814" w:type="dxa"/>
            <w:vMerge/>
            <w:tcBorders>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6236" w:type="dxa"/>
            <w:tcBorders>
              <w:top w:val="single" w:sz="4" w:space="0" w:color="auto"/>
              <w:left w:val="single" w:sz="4" w:space="0" w:color="auto"/>
              <w:bottom w:val="single" w:sz="4" w:space="0" w:color="auto"/>
              <w:right w:val="single" w:sz="4" w:space="0" w:color="auto"/>
            </w:tcBorders>
          </w:tcPr>
          <w:p w:rsidR="00371237" w:rsidRPr="00292BA7" w:rsidRDefault="00371237" w:rsidP="00E614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22"/>
                <w:lang w:val="es-ES_tradnl"/>
              </w:rPr>
            </w:pPr>
            <w:r w:rsidRPr="00292BA7">
              <w:rPr>
                <w:sz w:val="22"/>
                <w:lang w:val="es-ES_tradnl"/>
              </w:rPr>
              <w:t xml:space="preserve">Número de veces en que </w:t>
            </w:r>
            <w:r w:rsidRPr="00292BA7">
              <w:rPr>
                <w:i/>
                <w:iCs/>
                <w:sz w:val="22"/>
                <w:lang w:val="es-ES_tradnl"/>
              </w:rPr>
              <w:t>I</w:t>
            </w:r>
            <w:r w:rsidRPr="00292BA7">
              <w:rPr>
                <w:sz w:val="22"/>
                <w:lang w:val="es-ES_tradnl"/>
              </w:rPr>
              <w:t>/</w:t>
            </w:r>
            <w:r w:rsidRPr="00292BA7">
              <w:rPr>
                <w:i/>
                <w:iCs/>
                <w:sz w:val="22"/>
                <w:lang w:val="es-ES_tradnl"/>
              </w:rPr>
              <w:t>N</w:t>
            </w:r>
            <w:r w:rsidRPr="00292BA7">
              <w:rPr>
                <w:sz w:val="22"/>
                <w:lang w:val="es-ES_tradnl"/>
              </w:rPr>
              <w:t xml:space="preserve"> </w:t>
            </w:r>
            <w:r w:rsidR="00E614F6">
              <w:rPr>
                <w:sz w:val="22"/>
                <w:lang w:val="es-ES_tradnl"/>
              </w:rPr>
              <w:t>&gt;</w:t>
            </w:r>
            <w:r w:rsidRPr="00292BA7">
              <w:rPr>
                <w:sz w:val="22"/>
                <w:lang w:val="es-ES_tradnl"/>
              </w:rPr>
              <w:t xml:space="preserve"> </w:t>
            </w:r>
            <w:r w:rsidRPr="00292BA7">
              <w:rPr>
                <w:sz w:val="22"/>
                <w:lang w:val="es-ES_tradnl"/>
              </w:rPr>
              <w:sym w:font="Symbol" w:char="F02D"/>
            </w:r>
            <w:r w:rsidRPr="00292BA7">
              <w:rPr>
                <w:sz w:val="22"/>
                <w:lang w:val="es-ES_tradnl"/>
              </w:rPr>
              <w:t>6 dB (sucesos)</w:t>
            </w:r>
          </w:p>
        </w:tc>
        <w:tc>
          <w:tcPr>
            <w:tcW w:w="1134" w:type="dxa"/>
            <w:tcBorders>
              <w:top w:val="single" w:sz="4" w:space="0" w:color="auto"/>
              <w:left w:val="single" w:sz="4" w:space="0" w:color="auto"/>
              <w:bottom w:val="single" w:sz="4" w:space="0" w:color="auto"/>
              <w:right w:val="single" w:sz="4" w:space="0" w:color="auto"/>
            </w:tcBorders>
          </w:tcPr>
          <w:p w:rsidR="00371237" w:rsidRPr="00292BA7" w:rsidRDefault="00371237" w:rsidP="008513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lang w:val="es-ES_tradnl"/>
              </w:rPr>
            </w:pPr>
            <w:r w:rsidRPr="00292BA7">
              <w:rPr>
                <w:sz w:val="22"/>
                <w:lang w:val="es-ES_tradnl"/>
              </w:rPr>
              <w:t>3</w:t>
            </w:r>
            <w:r w:rsidRPr="00292BA7">
              <w:rPr>
                <w:rFonts w:ascii="Tms Rmn" w:hAnsi="Tms Rmn"/>
                <w:sz w:val="12"/>
                <w:lang w:val="es-ES_tradnl"/>
              </w:rPr>
              <w:t> </w:t>
            </w:r>
            <w:r w:rsidRPr="00292BA7">
              <w:rPr>
                <w:sz w:val="22"/>
                <w:lang w:val="es-ES_tradnl"/>
              </w:rPr>
              <w:t>823</w:t>
            </w:r>
          </w:p>
        </w:tc>
      </w:tr>
    </w:tbl>
    <w:p w:rsidR="005C3384" w:rsidRPr="00292BA7" w:rsidRDefault="005C3384" w:rsidP="005C3384">
      <w:pPr>
        <w:pStyle w:val="Tablefin"/>
      </w:pPr>
    </w:p>
    <w:p w:rsidR="00371237" w:rsidRPr="00292BA7" w:rsidRDefault="00371237" w:rsidP="00371237">
      <w:pPr>
        <w:pStyle w:val="Heading1"/>
        <w:rPr>
          <w:lang w:val="es-ES_tradnl"/>
        </w:rPr>
      </w:pPr>
      <w:r w:rsidRPr="00292BA7">
        <w:rPr>
          <w:lang w:val="es-ES_tradnl"/>
        </w:rPr>
        <w:t>5</w:t>
      </w:r>
      <w:r w:rsidRPr="00292BA7">
        <w:rPr>
          <w:lang w:val="es-ES_tradnl"/>
        </w:rPr>
        <w:tab/>
        <w:t>Procedimiento para usar la metodología</w:t>
      </w:r>
    </w:p>
    <w:p w:rsidR="00371237" w:rsidRPr="00292BA7" w:rsidRDefault="00371237" w:rsidP="00371237">
      <w:pPr>
        <w:rPr>
          <w:lang w:val="es-ES_tradnl"/>
        </w:rPr>
      </w:pPr>
      <w:r w:rsidRPr="00292BA7">
        <w:rPr>
          <w:lang w:val="es-ES_tradnl"/>
        </w:rPr>
        <w:t>La dfp media de un sensor activo a bordo de un vehículo espacial debe examinarse durante las etapas de diseño. Pueden examinarse las ecuaciones (1) a (4) para determinar los parámetros que pueden ajustarse potencialmente durante el diseño del sensor a bordo del vehículo espacial a fin de mejorar la compartición con los otros servicios. La potencia del transmisor, la ganancia de antena (en particular, los niveles del lóbulo lateral), la anchura del impulso y la frecuencia de repetición, así como la anchura de banda de la señal de chirrido, son parámetros cuyo ajuste es posible.</w:t>
      </w:r>
    </w:p>
    <w:p w:rsidR="00371237" w:rsidRPr="00292BA7" w:rsidRDefault="00371237" w:rsidP="00371237">
      <w:pPr>
        <w:rPr>
          <w:lang w:val="es-ES_tradnl"/>
        </w:rPr>
      </w:pPr>
      <w:r w:rsidRPr="00292BA7">
        <w:rPr>
          <w:lang w:val="es-ES_tradnl"/>
        </w:rPr>
        <w:t>Cuando se analiza la compatibilidad entre un sensor a bordo de un vehículo espacial y un sistema de un servicio determinado, debe considerarse, si existe, la ganancia de procesamiento del sistema receptor ya que el análisis supone que no había ninguna. Esta hipótesis es válida para el caso general ya que no todas las estaciones receptoras tienen ganancia de procesamiento.</w:t>
      </w:r>
    </w:p>
    <w:p w:rsidR="00371237" w:rsidRPr="00292BA7" w:rsidRDefault="00371237" w:rsidP="00371237">
      <w:pPr>
        <w:rPr>
          <w:lang w:val="es-ES_tradnl"/>
        </w:rPr>
      </w:pPr>
      <w:r w:rsidRPr="00292BA7">
        <w:rPr>
          <w:lang w:val="es-ES_tradnl"/>
        </w:rPr>
        <w:t>Considérense, por ejemplo, dos radares que funcionan en la banda 420-450 MHz:</w:t>
      </w:r>
    </w:p>
    <w:p w:rsidR="00371237" w:rsidRPr="00292BA7" w:rsidRDefault="00371237" w:rsidP="00371237">
      <w:pPr>
        <w:pStyle w:val="enumlev1"/>
        <w:rPr>
          <w:lang w:val="es-ES_tradnl"/>
        </w:rPr>
      </w:pPr>
      <w:r w:rsidRPr="00292BA7">
        <w:rPr>
          <w:lang w:val="es-ES_tradnl"/>
        </w:rPr>
        <w:sym w:font="Symbol" w:char="F02D"/>
      </w:r>
      <w:r w:rsidRPr="00292BA7">
        <w:rPr>
          <w:lang w:val="es-ES_tradnl"/>
        </w:rPr>
        <w:tab/>
        <w:t>un radar de seguimiento con una anchura de banda de FI de 0,1 MHz (radar 1);</w:t>
      </w:r>
    </w:p>
    <w:p w:rsidR="00371237" w:rsidRPr="00292BA7" w:rsidRDefault="00371237" w:rsidP="00371237">
      <w:pPr>
        <w:pStyle w:val="enumlev1"/>
        <w:rPr>
          <w:lang w:val="es-ES_tradnl"/>
        </w:rPr>
      </w:pPr>
      <w:r w:rsidRPr="00292BA7">
        <w:rPr>
          <w:lang w:val="es-ES_tradnl"/>
        </w:rPr>
        <w:sym w:font="Symbol" w:char="F02D"/>
      </w:r>
      <w:r w:rsidRPr="00292BA7">
        <w:rPr>
          <w:lang w:val="es-ES_tradnl"/>
        </w:rPr>
        <w:tab/>
        <w:t>un radar de avión para interceptación con una anchura de banda de FI de 1 MHz (radar 2).</w:t>
      </w:r>
    </w:p>
    <w:p w:rsidR="00371237" w:rsidRPr="00292BA7" w:rsidRDefault="00371237" w:rsidP="00414413">
      <w:pPr>
        <w:rPr>
          <w:lang w:val="es-ES_tradnl"/>
        </w:rPr>
      </w:pPr>
      <w:r w:rsidRPr="00292BA7">
        <w:rPr>
          <w:lang w:val="es-ES_tradnl"/>
        </w:rPr>
        <w:t>Si el sensor a bordo del vehículo espacial del Cuadro</w:t>
      </w:r>
      <w:r w:rsidR="00414413">
        <w:rPr>
          <w:lang w:val="es-ES_tradnl"/>
        </w:rPr>
        <w:t> </w:t>
      </w:r>
      <w:r w:rsidRPr="00292BA7">
        <w:rPr>
          <w:lang w:val="es-ES_tradnl"/>
        </w:rPr>
        <w:t>4 puede funcionar con una anchura de impulso y una anchura de banda de la señal de chirrido distintas, como en el Cuadro</w:t>
      </w:r>
      <w:r w:rsidR="00414413">
        <w:rPr>
          <w:lang w:val="es-ES_tradnl"/>
        </w:rPr>
        <w:t> </w:t>
      </w:r>
      <w:r w:rsidRPr="00292BA7">
        <w:rPr>
          <w:lang w:val="es-ES_tradnl"/>
        </w:rPr>
        <w:t>7, puede lograrse una reducción significativa del nivel de la potencia de la señal no deseada.</w:t>
      </w:r>
    </w:p>
    <w:p w:rsidR="00371237" w:rsidRPr="00292BA7" w:rsidRDefault="00371237" w:rsidP="00371237">
      <w:pPr>
        <w:pStyle w:val="TableNo"/>
        <w:rPr>
          <w:lang w:val="es-ES_tradnl"/>
        </w:rPr>
      </w:pPr>
      <w:r w:rsidRPr="00292BA7">
        <w:rPr>
          <w:lang w:val="es-ES_tradnl"/>
        </w:rPr>
        <w:t>CUADRO  7</w:t>
      </w:r>
    </w:p>
    <w:p w:rsidR="00371237" w:rsidRPr="00292BA7" w:rsidRDefault="00371237" w:rsidP="00414413">
      <w:pPr>
        <w:pStyle w:val="Tabletitle"/>
        <w:rPr>
          <w:lang w:val="es-ES_tradnl"/>
        </w:rPr>
      </w:pPr>
      <w:r w:rsidRPr="00292BA7">
        <w:rPr>
          <w:lang w:val="es-ES_tradnl"/>
        </w:rPr>
        <w:t>Ejemplo de reducción de la potencia del sensor de la señal no deseada recibida</w:t>
      </w:r>
      <w:r w:rsidRPr="00292BA7">
        <w:rPr>
          <w:lang w:val="es-ES_tradnl"/>
        </w:rPr>
        <w:br/>
        <w:t>a través de cambios en la anchura del impulso del sensor</w:t>
      </w:r>
      <w:r w:rsidR="00414413">
        <w:rPr>
          <w:lang w:val="es-ES_tradnl"/>
        </w:rPr>
        <w:br/>
      </w:r>
      <w:r w:rsidRPr="00292BA7">
        <w:rPr>
          <w:lang w:val="es-ES_tradnl"/>
        </w:rPr>
        <w:t>y la</w:t>
      </w:r>
      <w:r w:rsidR="00414413">
        <w:rPr>
          <w:lang w:val="es-ES_tradnl"/>
        </w:rPr>
        <w:t xml:space="preserve"> </w:t>
      </w:r>
      <w:r w:rsidRPr="00292BA7">
        <w:rPr>
          <w:lang w:val="es-ES_tradnl"/>
        </w:rPr>
        <w:t>anchura de banda de la señal de chirrido</w:t>
      </w:r>
    </w:p>
    <w:tbl>
      <w:tblPr>
        <w:tblW w:w="0" w:type="auto"/>
        <w:jc w:val="center"/>
        <w:tblLayout w:type="fixed"/>
        <w:tblCellMar>
          <w:left w:w="107" w:type="dxa"/>
          <w:right w:w="107" w:type="dxa"/>
        </w:tblCellMar>
        <w:tblLook w:val="0000" w:firstRow="0" w:lastRow="0" w:firstColumn="0" w:lastColumn="0" w:noHBand="0" w:noVBand="0"/>
      </w:tblPr>
      <w:tblGrid>
        <w:gridCol w:w="1417"/>
        <w:gridCol w:w="1417"/>
        <w:gridCol w:w="1418"/>
        <w:gridCol w:w="1418"/>
        <w:gridCol w:w="1701"/>
        <w:gridCol w:w="1418"/>
      </w:tblGrid>
      <w:tr w:rsidR="000F09D2" w:rsidRPr="00292BA7" w:rsidTr="00414413">
        <w:trPr>
          <w:jc w:val="center"/>
        </w:trPr>
        <w:tc>
          <w:tcPr>
            <w:tcW w:w="1417" w:type="dxa"/>
            <w:vMerge w:val="restart"/>
            <w:tcBorders>
              <w:right w:val="nil"/>
            </w:tcBorders>
          </w:tcPr>
          <w:p w:rsidR="000F09D2" w:rsidRPr="00292BA7" w:rsidRDefault="000F09D2" w:rsidP="008D135C">
            <w:pPr>
              <w:pStyle w:val="Tablehead"/>
              <w:rPr>
                <w:lang w:val="es-ES_tradnl"/>
              </w:rPr>
            </w:pPr>
          </w:p>
        </w:tc>
        <w:tc>
          <w:tcPr>
            <w:tcW w:w="2835" w:type="dxa"/>
            <w:gridSpan w:val="2"/>
            <w:tcBorders>
              <w:top w:val="single" w:sz="6" w:space="0" w:color="auto"/>
              <w:left w:val="single" w:sz="6" w:space="0" w:color="auto"/>
              <w:bottom w:val="nil"/>
              <w:right w:val="nil"/>
            </w:tcBorders>
          </w:tcPr>
          <w:p w:rsidR="000F09D2" w:rsidRPr="00292BA7" w:rsidRDefault="000F09D2" w:rsidP="00414413">
            <w:pPr>
              <w:pStyle w:val="Tablehead"/>
              <w:rPr>
                <w:lang w:val="es-ES_tradnl"/>
              </w:rPr>
            </w:pPr>
            <w:r w:rsidRPr="00292BA7">
              <w:rPr>
                <w:lang w:val="es-ES_tradnl"/>
              </w:rPr>
              <w:t>Nuevos valores de los parámetros para</w:t>
            </w:r>
            <w:r>
              <w:rPr>
                <w:lang w:val="es-ES_tradnl"/>
              </w:rPr>
              <w:br/>
            </w:r>
            <w:r w:rsidRPr="00292BA7">
              <w:rPr>
                <w:lang w:val="es-ES_tradnl"/>
              </w:rPr>
              <w:t>el SAR1</w:t>
            </w:r>
          </w:p>
        </w:tc>
        <w:tc>
          <w:tcPr>
            <w:tcW w:w="1418" w:type="dxa"/>
            <w:vMerge w:val="restart"/>
            <w:tcBorders>
              <w:top w:val="single" w:sz="6" w:space="0" w:color="auto"/>
              <w:left w:val="single" w:sz="6" w:space="0" w:color="auto"/>
              <w:right w:val="single" w:sz="6" w:space="0" w:color="auto"/>
            </w:tcBorders>
            <w:vAlign w:val="center"/>
          </w:tcPr>
          <w:p w:rsidR="000F09D2" w:rsidRPr="00292BA7" w:rsidRDefault="000F09D2" w:rsidP="00C519A8">
            <w:pPr>
              <w:pStyle w:val="Tablehead"/>
              <w:rPr>
                <w:lang w:val="es-ES_tradnl"/>
              </w:rPr>
            </w:pPr>
            <w:r w:rsidRPr="00C519A8">
              <w:sym w:font="Symbol" w:char="F044"/>
            </w:r>
            <w:r w:rsidRPr="00292BA7">
              <w:rPr>
                <w:rFonts w:ascii="Tms Rmn" w:hAnsi="Tms Rmn"/>
                <w:sz w:val="4"/>
                <w:lang w:val="es-ES_tradnl"/>
              </w:rPr>
              <w:t> </w:t>
            </w:r>
            <w:r w:rsidRPr="00292BA7">
              <w:rPr>
                <w:lang w:val="es-ES_tradnl"/>
              </w:rPr>
              <w:t>OTR</w:t>
            </w:r>
            <w:r w:rsidRPr="00292BA7">
              <w:rPr>
                <w:lang w:val="es-ES_tradnl"/>
              </w:rPr>
              <w:br/>
              <w:t>(dB)</w:t>
            </w:r>
          </w:p>
        </w:tc>
        <w:tc>
          <w:tcPr>
            <w:tcW w:w="1701" w:type="dxa"/>
            <w:vMerge w:val="restart"/>
            <w:tcBorders>
              <w:top w:val="single" w:sz="6" w:space="0" w:color="auto"/>
              <w:left w:val="nil"/>
              <w:right w:val="single" w:sz="6" w:space="0" w:color="auto"/>
            </w:tcBorders>
            <w:vAlign w:val="center"/>
          </w:tcPr>
          <w:p w:rsidR="000F09D2" w:rsidRPr="00292BA7" w:rsidRDefault="000F09D2" w:rsidP="00E614F6">
            <w:pPr>
              <w:pStyle w:val="Tablehead"/>
              <w:rPr>
                <w:lang w:val="es-ES_tradnl"/>
              </w:rPr>
            </w:pPr>
            <w:r w:rsidRPr="00C519A8">
              <w:sym w:font="Symbol" w:char="F044"/>
            </w:r>
            <w:r w:rsidRPr="00292BA7">
              <w:rPr>
                <w:i/>
                <w:iCs/>
                <w:lang w:val="es-ES_tradnl"/>
              </w:rPr>
              <w:t>P</w:t>
            </w:r>
            <w:r w:rsidRPr="00292BA7">
              <w:rPr>
                <w:i/>
                <w:iCs/>
                <w:vertAlign w:val="subscript"/>
                <w:lang w:val="es-ES_tradnl"/>
              </w:rPr>
              <w:t>media</w:t>
            </w:r>
            <w:r w:rsidRPr="00292BA7">
              <w:rPr>
                <w:lang w:val="es-ES_tradnl"/>
              </w:rPr>
              <w:br/>
              <w:t>(dB)</w:t>
            </w:r>
          </w:p>
        </w:tc>
        <w:tc>
          <w:tcPr>
            <w:tcW w:w="1418" w:type="dxa"/>
            <w:vMerge w:val="restart"/>
            <w:tcBorders>
              <w:top w:val="single" w:sz="6" w:space="0" w:color="auto"/>
              <w:left w:val="nil"/>
              <w:right w:val="single" w:sz="6" w:space="0" w:color="auto"/>
            </w:tcBorders>
            <w:vAlign w:val="center"/>
          </w:tcPr>
          <w:p w:rsidR="000F09D2" w:rsidRPr="00292BA7" w:rsidRDefault="000F09D2" w:rsidP="004E278F">
            <w:pPr>
              <w:pStyle w:val="Tablehead"/>
              <w:rPr>
                <w:lang w:val="es-ES_tradnl"/>
              </w:rPr>
            </w:pPr>
            <w:r w:rsidRPr="00C519A8">
              <w:sym w:font="Symbol" w:char="F044"/>
            </w:r>
            <w:r w:rsidRPr="00292BA7">
              <w:rPr>
                <w:i/>
                <w:iCs/>
                <w:lang w:val="es-ES_tradnl"/>
              </w:rPr>
              <w:t>I</w:t>
            </w:r>
            <w:r w:rsidRPr="00292BA7">
              <w:rPr>
                <w:lang w:val="es-ES_tradnl"/>
              </w:rPr>
              <w:br/>
              <w:t>(dB)</w:t>
            </w:r>
          </w:p>
        </w:tc>
      </w:tr>
      <w:tr w:rsidR="000F09D2" w:rsidRPr="00292BA7" w:rsidTr="00414413">
        <w:trPr>
          <w:jc w:val="center"/>
        </w:trPr>
        <w:tc>
          <w:tcPr>
            <w:tcW w:w="1417" w:type="dxa"/>
            <w:vMerge/>
            <w:tcBorders>
              <w:bottom w:val="single" w:sz="6" w:space="0" w:color="auto"/>
              <w:right w:val="nil"/>
            </w:tcBorders>
          </w:tcPr>
          <w:p w:rsidR="000F09D2" w:rsidRPr="00292BA7" w:rsidRDefault="000F09D2" w:rsidP="008D135C">
            <w:pPr>
              <w:pStyle w:val="Tablehead"/>
              <w:rPr>
                <w:lang w:val="es-ES_tradnl"/>
              </w:rPr>
            </w:pPr>
          </w:p>
        </w:tc>
        <w:tc>
          <w:tcPr>
            <w:tcW w:w="1417" w:type="dxa"/>
            <w:tcBorders>
              <w:top w:val="single" w:sz="6" w:space="0" w:color="auto"/>
              <w:left w:val="single" w:sz="6" w:space="0" w:color="auto"/>
              <w:bottom w:val="single" w:sz="6" w:space="0" w:color="auto"/>
              <w:right w:val="single" w:sz="6" w:space="0" w:color="auto"/>
            </w:tcBorders>
          </w:tcPr>
          <w:p w:rsidR="000F09D2" w:rsidRPr="00292BA7" w:rsidRDefault="000F09D2" w:rsidP="00965657">
            <w:pPr>
              <w:pStyle w:val="Tablehead"/>
              <w:rPr>
                <w:bCs/>
                <w:lang w:val="es-ES_tradnl"/>
              </w:rPr>
            </w:pPr>
            <w:r>
              <w:sym w:font="Symbol" w:char="F074"/>
            </w:r>
            <w:r w:rsidRPr="00E614F6">
              <w:br/>
            </w:r>
            <w:r w:rsidRPr="00292BA7">
              <w:rPr>
                <w:bCs/>
                <w:lang w:val="es-ES_tradnl"/>
              </w:rPr>
              <w:t>(</w:t>
            </w:r>
            <w:r>
              <w:rPr>
                <w:bCs/>
                <w:lang w:val="es-ES_tradnl"/>
              </w:rPr>
              <w:sym w:font="Symbol" w:char="F06D"/>
            </w:r>
            <w:r w:rsidRPr="00292BA7">
              <w:rPr>
                <w:bCs/>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0F09D2" w:rsidRPr="00292BA7" w:rsidRDefault="000F09D2" w:rsidP="008D135C">
            <w:pPr>
              <w:pStyle w:val="Tablehead"/>
              <w:rPr>
                <w:bCs/>
                <w:lang w:val="es-ES_tradnl"/>
              </w:rPr>
            </w:pPr>
            <w:r w:rsidRPr="00292BA7">
              <w:rPr>
                <w:bCs/>
                <w:i/>
                <w:lang w:val="es-ES_tradnl"/>
              </w:rPr>
              <w:t>B</w:t>
            </w:r>
            <w:r w:rsidRPr="00292BA7">
              <w:rPr>
                <w:bCs/>
                <w:i/>
                <w:vertAlign w:val="subscript"/>
                <w:lang w:val="es-ES_tradnl"/>
              </w:rPr>
              <w:t>c</w:t>
            </w:r>
            <w:r w:rsidRPr="00292BA7">
              <w:rPr>
                <w:bCs/>
                <w:lang w:val="es-ES_tradnl"/>
              </w:rPr>
              <w:br/>
              <w:t>(MHz)</w:t>
            </w:r>
          </w:p>
        </w:tc>
        <w:tc>
          <w:tcPr>
            <w:tcW w:w="1418" w:type="dxa"/>
            <w:vMerge/>
            <w:tcBorders>
              <w:left w:val="single" w:sz="6" w:space="0" w:color="auto"/>
              <w:bottom w:val="single" w:sz="6" w:space="0" w:color="auto"/>
              <w:right w:val="single" w:sz="6" w:space="0" w:color="auto"/>
            </w:tcBorders>
          </w:tcPr>
          <w:p w:rsidR="000F09D2" w:rsidRPr="00292BA7" w:rsidRDefault="000F09D2" w:rsidP="008D13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701" w:type="dxa"/>
            <w:vMerge/>
            <w:tcBorders>
              <w:left w:val="nil"/>
              <w:bottom w:val="single" w:sz="6" w:space="0" w:color="auto"/>
              <w:right w:val="single" w:sz="6" w:space="0" w:color="auto"/>
            </w:tcBorders>
          </w:tcPr>
          <w:p w:rsidR="000F09D2" w:rsidRPr="00292BA7" w:rsidRDefault="000F09D2" w:rsidP="008D13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c>
          <w:tcPr>
            <w:tcW w:w="1418" w:type="dxa"/>
            <w:vMerge/>
            <w:tcBorders>
              <w:left w:val="nil"/>
              <w:bottom w:val="single" w:sz="6" w:space="0" w:color="auto"/>
              <w:right w:val="single" w:sz="6" w:space="0" w:color="auto"/>
            </w:tcBorders>
          </w:tcPr>
          <w:p w:rsidR="000F09D2" w:rsidRPr="00292BA7" w:rsidRDefault="000F09D2" w:rsidP="008D13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r w:rsidR="00371237" w:rsidRPr="00292BA7" w:rsidTr="00414413">
        <w:trPr>
          <w:jc w:val="center"/>
        </w:trPr>
        <w:tc>
          <w:tcPr>
            <w:tcW w:w="1417" w:type="dxa"/>
            <w:tcBorders>
              <w:top w:val="nil"/>
              <w:left w:val="single" w:sz="6" w:space="0" w:color="auto"/>
              <w:bottom w:val="single" w:sz="6" w:space="0" w:color="auto"/>
              <w:right w:val="single" w:sz="6" w:space="0" w:color="auto"/>
            </w:tcBorders>
          </w:tcPr>
          <w:p w:rsidR="00371237" w:rsidRPr="00292BA7" w:rsidRDefault="00371237" w:rsidP="00414413">
            <w:pPr>
              <w:pStyle w:val="Tabletext"/>
              <w:rPr>
                <w:lang w:val="es-ES_tradnl"/>
              </w:rPr>
            </w:pPr>
            <w:r w:rsidRPr="00292BA7">
              <w:rPr>
                <w:sz w:val="20"/>
                <w:lang w:val="es-ES_tradnl"/>
              </w:rPr>
              <w:br w:type="page"/>
            </w:r>
            <w:r w:rsidRPr="00292BA7">
              <w:rPr>
                <w:lang w:val="es-ES_tradnl"/>
              </w:rPr>
              <w:t>Radar 1</w:t>
            </w:r>
          </w:p>
        </w:tc>
        <w:tc>
          <w:tcPr>
            <w:tcW w:w="1417" w:type="dxa"/>
            <w:tcBorders>
              <w:top w:val="nil"/>
              <w:left w:val="single" w:sz="6" w:space="0" w:color="auto"/>
              <w:bottom w:val="single" w:sz="6"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25</w:t>
            </w:r>
          </w:p>
        </w:tc>
        <w:tc>
          <w:tcPr>
            <w:tcW w:w="1418" w:type="dxa"/>
            <w:tcBorders>
              <w:top w:val="nil"/>
              <w:left w:val="single" w:sz="6" w:space="0" w:color="auto"/>
              <w:bottom w:val="single" w:sz="6"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6</w:t>
            </w:r>
          </w:p>
        </w:tc>
        <w:tc>
          <w:tcPr>
            <w:tcW w:w="1418" w:type="dxa"/>
            <w:tcBorders>
              <w:top w:val="nil"/>
              <w:left w:val="single" w:sz="6" w:space="0" w:color="auto"/>
              <w:bottom w:val="single" w:sz="6"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–4,0</w:t>
            </w:r>
          </w:p>
        </w:tc>
        <w:tc>
          <w:tcPr>
            <w:tcW w:w="1701" w:type="dxa"/>
            <w:tcBorders>
              <w:top w:val="nil"/>
              <w:left w:val="single" w:sz="6" w:space="0" w:color="auto"/>
              <w:bottom w:val="single" w:sz="6"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No disponible</w:t>
            </w:r>
            <w:r w:rsidRPr="00292BA7">
              <w:rPr>
                <w:vertAlign w:val="superscript"/>
                <w:lang w:val="es-ES_tradnl"/>
              </w:rPr>
              <w:t>(1)</w:t>
            </w:r>
          </w:p>
        </w:tc>
        <w:tc>
          <w:tcPr>
            <w:tcW w:w="1418" w:type="dxa"/>
            <w:tcBorders>
              <w:top w:val="nil"/>
              <w:left w:val="single" w:sz="6" w:space="0" w:color="auto"/>
              <w:bottom w:val="single" w:sz="6"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–4,0</w:t>
            </w:r>
          </w:p>
        </w:tc>
      </w:tr>
      <w:tr w:rsidR="00371237" w:rsidRPr="00292BA7" w:rsidTr="00414413">
        <w:trPr>
          <w:jc w:val="center"/>
        </w:trPr>
        <w:tc>
          <w:tcPr>
            <w:tcW w:w="1417"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rPr>
                <w:lang w:val="es-ES_tradnl"/>
              </w:rPr>
            </w:pPr>
            <w:r w:rsidRPr="00292BA7">
              <w:rPr>
                <w:lang w:val="es-ES_tradnl"/>
              </w:rPr>
              <w:t>Radar 2</w:t>
            </w:r>
          </w:p>
        </w:tc>
        <w:tc>
          <w:tcPr>
            <w:tcW w:w="1417"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25</w:t>
            </w:r>
          </w:p>
        </w:tc>
        <w:tc>
          <w:tcPr>
            <w:tcW w:w="1418"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6</w:t>
            </w:r>
          </w:p>
        </w:tc>
        <w:tc>
          <w:tcPr>
            <w:tcW w:w="1418"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–0,0</w:t>
            </w:r>
          </w:p>
        </w:tc>
        <w:tc>
          <w:tcPr>
            <w:tcW w:w="1701"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–3,0</w:t>
            </w:r>
          </w:p>
        </w:tc>
        <w:tc>
          <w:tcPr>
            <w:tcW w:w="1418" w:type="dxa"/>
            <w:tcBorders>
              <w:top w:val="single" w:sz="6" w:space="0" w:color="auto"/>
              <w:left w:val="single" w:sz="6" w:space="0" w:color="auto"/>
              <w:bottom w:val="single" w:sz="4" w:space="0" w:color="auto"/>
              <w:right w:val="single" w:sz="6" w:space="0" w:color="auto"/>
            </w:tcBorders>
          </w:tcPr>
          <w:p w:rsidR="00371237" w:rsidRPr="00292BA7" w:rsidRDefault="00371237" w:rsidP="00414413">
            <w:pPr>
              <w:pStyle w:val="Tabletext"/>
              <w:jc w:val="center"/>
              <w:rPr>
                <w:lang w:val="es-ES_tradnl"/>
              </w:rPr>
            </w:pPr>
            <w:r w:rsidRPr="00292BA7">
              <w:rPr>
                <w:lang w:val="es-ES_tradnl"/>
              </w:rPr>
              <w:t>–3,0</w:t>
            </w:r>
          </w:p>
        </w:tc>
      </w:tr>
      <w:tr w:rsidR="00371237" w:rsidRPr="001F3485" w:rsidTr="000F09D2">
        <w:trPr>
          <w:jc w:val="center"/>
        </w:trPr>
        <w:tc>
          <w:tcPr>
            <w:tcW w:w="8789" w:type="dxa"/>
            <w:gridSpan w:val="6"/>
            <w:tcBorders>
              <w:top w:val="single" w:sz="4" w:space="0" w:color="auto"/>
            </w:tcBorders>
          </w:tcPr>
          <w:p w:rsidR="00371237" w:rsidRPr="00292BA7" w:rsidRDefault="00371237" w:rsidP="00414413">
            <w:pPr>
              <w:pStyle w:val="Tablelegend"/>
              <w:rPr>
                <w:lang w:val="es-ES_tradnl"/>
              </w:rPr>
            </w:pPr>
            <w:r w:rsidRPr="00292BA7">
              <w:rPr>
                <w:vertAlign w:val="superscript"/>
                <w:lang w:val="es-ES_tradnl"/>
              </w:rPr>
              <w:t>(1)</w:t>
            </w:r>
            <w:r w:rsidRPr="00292BA7">
              <w:rPr>
                <w:lang w:val="es-ES_tradnl"/>
              </w:rPr>
              <w:tab/>
              <w:t>Se ha estimado conveniente utilizar la potencia media de la señal interferente para el radar a bordo de aeronave y la potencia de cresta de la señal interferente para el radar de seguimiento.</w:t>
            </w:r>
          </w:p>
        </w:tc>
      </w:tr>
    </w:tbl>
    <w:p w:rsidR="00371237" w:rsidRPr="00292BA7" w:rsidRDefault="00371237" w:rsidP="00371237">
      <w:pPr>
        <w:pStyle w:val="Heading1"/>
        <w:rPr>
          <w:lang w:val="es-ES_tradnl"/>
        </w:rPr>
      </w:pPr>
      <w:r w:rsidRPr="00292BA7">
        <w:rPr>
          <w:lang w:val="es-ES_tradnl"/>
        </w:rPr>
        <w:t>6</w:t>
      </w:r>
      <w:r w:rsidRPr="00292BA7">
        <w:rPr>
          <w:lang w:val="es-ES_tradnl"/>
        </w:rPr>
        <w:tab/>
        <w:t>Conclusión</w:t>
      </w:r>
    </w:p>
    <w:p w:rsidR="00371237" w:rsidRPr="00292BA7" w:rsidRDefault="00371237" w:rsidP="00371237">
      <w:pPr>
        <w:rPr>
          <w:lang w:val="es-ES_tradnl"/>
        </w:rPr>
      </w:pPr>
      <w:r w:rsidRPr="00292BA7">
        <w:rPr>
          <w:lang w:val="es-ES_tradnl"/>
        </w:rPr>
        <w:t>Se ha demostrado que debe ser posible reducir la dfp para mejorar las características de emisión de un sensor activo a bordo de un vehículo espacial a fin de mejorar la compatibilidad con otros servicios. La potencia del transmisor del sensor, el diagrama de ganancia de antena, la anchura de los impulsos, la PRF y la anchura de banda de la señal de chirrido (si se utiliza modulación de frecuencia) constituyen posibles características que pueden ajustarse para mejorar la compatibilidad.</w:t>
      </w:r>
    </w:p>
    <w:p w:rsidR="00371237" w:rsidRDefault="00371237" w:rsidP="00371237">
      <w:pPr>
        <w:rPr>
          <w:lang w:val="es-ES_tradnl"/>
        </w:rPr>
      </w:pPr>
    </w:p>
    <w:p w:rsidR="00207A69" w:rsidRDefault="00207A69" w:rsidP="00371237">
      <w:pPr>
        <w:rPr>
          <w:lang w:val="es-ES_tradnl"/>
        </w:rPr>
      </w:pPr>
    </w:p>
    <w:p w:rsidR="00371237" w:rsidRDefault="00371237">
      <w:pPr>
        <w:jc w:val="center"/>
      </w:pPr>
      <w:r>
        <w:t>______________</w:t>
      </w:r>
    </w:p>
    <w:p w:rsidR="00371237" w:rsidRPr="00371237" w:rsidRDefault="00371237" w:rsidP="00371237">
      <w:pPr>
        <w:rPr>
          <w:lang w:val="es-ES_tradnl"/>
        </w:rPr>
      </w:pPr>
    </w:p>
    <w:sectPr w:rsidR="00371237" w:rsidRPr="00371237" w:rsidSect="00371237">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28E" w:rsidRDefault="008A628E">
      <w:r>
        <w:separator/>
      </w:r>
    </w:p>
  </w:endnote>
  <w:endnote w:type="continuationSeparator" w:id="0">
    <w:p w:rsidR="008A628E" w:rsidRDefault="008A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28E" w:rsidRDefault="008A628E">
      <w:r>
        <w:separator/>
      </w:r>
    </w:p>
  </w:footnote>
  <w:footnote w:type="continuationSeparator" w:id="0">
    <w:p w:rsidR="008A628E" w:rsidRDefault="008A6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8E" w:rsidRDefault="008A628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8E" w:rsidRDefault="008A628E" w:rsidP="009A5133">
    <w:pPr>
      <w:ind w:right="360" w:firstLine="360"/>
    </w:pPr>
    <w:r>
      <w:rPr>
        <w:noProof/>
        <w:lang w:val="es-ES_tradnl" w:eastAsia="zh-CN"/>
      </w:rPr>
      <w:drawing>
        <wp:anchor distT="0" distB="0" distL="114300" distR="114300" simplePos="0" relativeHeight="251665920" behindDoc="1" locked="0" layoutInCell="1" allowOverlap="1" wp14:anchorId="2A436F4D" wp14:editId="7811A58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9D3" w:rsidRPr="00FC42AF" w:rsidRDefault="003259D3" w:rsidP="00D9374B">
    <w:pPr>
      <w:pStyle w:val="Header"/>
      <w:tabs>
        <w:tab w:val="clear" w:pos="4513"/>
        <w:tab w:val="center" w:pos="484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5BB0">
      <w:rPr>
        <w:rStyle w:val="PageNumber"/>
        <w:b/>
        <w:bCs/>
        <w:noProof/>
      </w:rPr>
      <w:t>ii</w:t>
    </w:r>
    <w:r>
      <w:rPr>
        <w:rStyle w:val="PageNumber"/>
        <w:b/>
        <w:bCs/>
      </w:rPr>
      <w:fldChar w:fldCharType="end"/>
    </w:r>
    <w:r w:rsidRPr="00FC42AF">
      <w:tab/>
    </w:r>
    <w:r>
      <w:fldChar w:fldCharType="begin"/>
    </w:r>
    <w:r>
      <w:instrText xml:space="preserve"> DOCPROPERTY "Header" \* MERGEFORMAT </w:instrText>
    </w:r>
    <w:r>
      <w:fldChar w:fldCharType="separate"/>
    </w:r>
    <w:r w:rsidRPr="004E2C1D">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F5BB0">
      <w:rPr>
        <w:b/>
        <w:bCs/>
        <w:noProof/>
      </w:rPr>
      <w:t>UIT-R  RS.1260-2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28E" w:rsidRDefault="008A628E">
    <w:r>
      <w:tab/>
    </w:r>
    <w:fldSimple w:instr=" DOCPROPERTY &quot;Header&quot; \* MERGEFORMAT ">
      <w:r w:rsidRPr="008A628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RS.1260-2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9D3" w:rsidRPr="00FC42AF" w:rsidRDefault="003259D3" w:rsidP="00D9374B">
    <w:pPr>
      <w:pStyle w:val="Header"/>
      <w:tabs>
        <w:tab w:val="clear" w:pos="4513"/>
        <w:tab w:val="center" w:pos="484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83BA4">
      <w:rPr>
        <w:rStyle w:val="PageNumber"/>
        <w:b/>
        <w:bCs/>
        <w:noProof/>
      </w:rPr>
      <w:t>6</w:t>
    </w:r>
    <w:r>
      <w:rPr>
        <w:rStyle w:val="PageNumber"/>
        <w:b/>
        <w:bCs/>
      </w:rPr>
      <w:fldChar w:fldCharType="end"/>
    </w:r>
    <w:r w:rsidRPr="00FC42AF">
      <w:tab/>
    </w:r>
    <w:r>
      <w:fldChar w:fldCharType="begin"/>
    </w:r>
    <w:r>
      <w:instrText xml:space="preserve"> DOCPROPERTY "Header" \* MERGEFORMAT </w:instrText>
    </w:r>
    <w:r>
      <w:fldChar w:fldCharType="separate"/>
    </w:r>
    <w:r w:rsidRPr="004E2C1D">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83BA4">
      <w:rPr>
        <w:b/>
        <w:bCs/>
        <w:noProof/>
      </w:rPr>
      <w:t>UIT-R  RS.1260-2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9D3" w:rsidRDefault="003259D3" w:rsidP="00D9374B">
    <w:pPr>
      <w:pStyle w:val="Header"/>
      <w:tabs>
        <w:tab w:val="clear" w:pos="4513"/>
        <w:tab w:val="center" w:pos="4848"/>
      </w:tabs>
    </w:pPr>
    <w:r>
      <w:tab/>
    </w:r>
    <w:r>
      <w:fldChar w:fldCharType="begin"/>
    </w:r>
    <w:r>
      <w:instrText xml:space="preserve"> DOCPROPERTY "Header" \* MERGEFORMAT </w:instrText>
    </w:r>
    <w:r>
      <w:fldChar w:fldCharType="separate"/>
    </w:r>
    <w:r w:rsidRPr="004E2C1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83BA4">
      <w:rPr>
        <w:b/>
        <w:bCs/>
        <w:noProof/>
      </w:rPr>
      <w:t>UIT-R  RS.1260-2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3BA4">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46EA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44C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2E3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B48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1C88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E6AA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C4C6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12B9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B493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EC3B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47F11"/>
    <w:multiLevelType w:val="hybridMultilevel"/>
    <w:tmpl w:val="072A15FE"/>
    <w:lvl w:ilvl="0" w:tplc="F9D89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40FBD"/>
    <w:multiLevelType w:val="hybridMultilevel"/>
    <w:tmpl w:val="8EE44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26C05"/>
    <w:multiLevelType w:val="hybridMultilevel"/>
    <w:tmpl w:val="8A426DF8"/>
    <w:lvl w:ilvl="0" w:tplc="9CC0E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411DB"/>
    <w:multiLevelType w:val="hybridMultilevel"/>
    <w:tmpl w:val="BFBAC318"/>
    <w:lvl w:ilvl="0" w:tplc="605E8BD4">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82E87"/>
    <w:multiLevelType w:val="hybridMultilevel"/>
    <w:tmpl w:val="5B623E10"/>
    <w:lvl w:ilvl="0" w:tplc="DD2C9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A0483"/>
    <w:multiLevelType w:val="hybridMultilevel"/>
    <w:tmpl w:val="1A72FD90"/>
    <w:lvl w:ilvl="0" w:tplc="D456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41D99"/>
    <w:multiLevelType w:val="hybridMultilevel"/>
    <w:tmpl w:val="25E09010"/>
    <w:lvl w:ilvl="0" w:tplc="4144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1"/>
  </w:num>
  <w:num w:numId="4">
    <w:abstractNumId w:val="16"/>
  </w:num>
  <w:num w:numId="5">
    <w:abstractNumId w:val="15"/>
  </w:num>
  <w:num w:numId="6">
    <w:abstractNumId w:val="12"/>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237"/>
    <w:rsid w:val="000F09D2"/>
    <w:rsid w:val="001169C9"/>
    <w:rsid w:val="00183BA4"/>
    <w:rsid w:val="001E0A3A"/>
    <w:rsid w:val="001F3485"/>
    <w:rsid w:val="00207A69"/>
    <w:rsid w:val="00217EBF"/>
    <w:rsid w:val="00242AEE"/>
    <w:rsid w:val="00283BF4"/>
    <w:rsid w:val="00294740"/>
    <w:rsid w:val="002B79D8"/>
    <w:rsid w:val="002D76C4"/>
    <w:rsid w:val="003259D3"/>
    <w:rsid w:val="00371237"/>
    <w:rsid w:val="00414413"/>
    <w:rsid w:val="004B339C"/>
    <w:rsid w:val="004E278F"/>
    <w:rsid w:val="004F5BB0"/>
    <w:rsid w:val="0052529D"/>
    <w:rsid w:val="005C3384"/>
    <w:rsid w:val="005D6878"/>
    <w:rsid w:val="005F694C"/>
    <w:rsid w:val="00607D68"/>
    <w:rsid w:val="007468DA"/>
    <w:rsid w:val="00766D63"/>
    <w:rsid w:val="008513E4"/>
    <w:rsid w:val="00886683"/>
    <w:rsid w:val="008A628E"/>
    <w:rsid w:val="008D135C"/>
    <w:rsid w:val="008D311A"/>
    <w:rsid w:val="00965657"/>
    <w:rsid w:val="009670BA"/>
    <w:rsid w:val="00995AB5"/>
    <w:rsid w:val="009A5133"/>
    <w:rsid w:val="009A52AD"/>
    <w:rsid w:val="009B0CB7"/>
    <w:rsid w:val="009B6D73"/>
    <w:rsid w:val="009E00A8"/>
    <w:rsid w:val="00A6617B"/>
    <w:rsid w:val="00AB0DC8"/>
    <w:rsid w:val="00B44E24"/>
    <w:rsid w:val="00B70EA7"/>
    <w:rsid w:val="00BE75CC"/>
    <w:rsid w:val="00C50A6B"/>
    <w:rsid w:val="00C519A8"/>
    <w:rsid w:val="00D41375"/>
    <w:rsid w:val="00D6227E"/>
    <w:rsid w:val="00D80FAF"/>
    <w:rsid w:val="00D81B69"/>
    <w:rsid w:val="00D9374B"/>
    <w:rsid w:val="00DF4176"/>
    <w:rsid w:val="00E14554"/>
    <w:rsid w:val="00E614F6"/>
    <w:rsid w:val="00EF1A64"/>
    <w:rsid w:val="00F641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BF268B67-48EB-4D2F-BFF2-0F1CA60F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2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59D3"/>
    <w:pPr>
      <w:tabs>
        <w:tab w:val="clear" w:pos="794"/>
        <w:tab w:val="clear" w:pos="1191"/>
        <w:tab w:val="clear" w:pos="1588"/>
        <w:tab w:val="clear" w:pos="1985"/>
        <w:tab w:val="center" w:pos="4513"/>
        <w:tab w:val="right" w:pos="9026"/>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3485"/>
    <w:pPr>
      <w:spacing w:before="240"/>
    </w:pPr>
    <w:rPr>
      <w:sz w:val="22"/>
      <w:szCs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71237"/>
    <w:rPr>
      <w:color w:val="0000FF"/>
      <w:u w:val="single"/>
    </w:rPr>
  </w:style>
  <w:style w:type="character" w:customStyle="1" w:styleId="HeaderChar">
    <w:name w:val="Header Char"/>
    <w:basedOn w:val="DefaultParagraphFont"/>
    <w:link w:val="Header"/>
    <w:rsid w:val="003259D3"/>
    <w:rPr>
      <w:sz w:val="24"/>
      <w:lang w:val="fr-FR" w:eastAsia="en-US"/>
    </w:rPr>
  </w:style>
  <w:style w:type="character" w:customStyle="1" w:styleId="Heading1Char">
    <w:name w:val="Heading 1 Char"/>
    <w:basedOn w:val="DefaultParagraphFont"/>
    <w:link w:val="Heading1"/>
    <w:rsid w:val="00371237"/>
    <w:rPr>
      <w:b/>
      <w:sz w:val="24"/>
      <w:lang w:val="fr-FR" w:eastAsia="en-US"/>
    </w:rPr>
  </w:style>
  <w:style w:type="character" w:customStyle="1" w:styleId="Heading2Char">
    <w:name w:val="Heading 2 Char"/>
    <w:basedOn w:val="DefaultParagraphFont"/>
    <w:link w:val="Heading2"/>
    <w:rsid w:val="00371237"/>
    <w:rPr>
      <w:b/>
      <w:sz w:val="24"/>
      <w:lang w:val="fr-FR" w:eastAsia="en-US"/>
    </w:rPr>
  </w:style>
  <w:style w:type="character" w:customStyle="1" w:styleId="FootnoteTextChar">
    <w:name w:val="Footnote Text Char"/>
    <w:basedOn w:val="DefaultParagraphFont"/>
    <w:link w:val="FootnoteText"/>
    <w:semiHidden/>
    <w:rsid w:val="00371237"/>
    <w:rPr>
      <w:sz w:val="22"/>
      <w:lang w:val="fr-FR" w:eastAsia="en-US"/>
    </w:rPr>
  </w:style>
  <w:style w:type="character" w:customStyle="1" w:styleId="FooterChar">
    <w:name w:val="Footer Char"/>
    <w:basedOn w:val="DefaultParagraphFont"/>
    <w:link w:val="Footer"/>
    <w:rsid w:val="00371237"/>
    <w:rPr>
      <w:noProof/>
      <w:sz w:val="18"/>
      <w:lang w:val="fr-FR" w:eastAsia="en-US"/>
    </w:rPr>
  </w:style>
  <w:style w:type="character" w:customStyle="1" w:styleId="TableNoChar">
    <w:name w:val="Table_No Char"/>
    <w:basedOn w:val="DefaultParagraphFont"/>
    <w:link w:val="TableNo"/>
    <w:rsid w:val="00371237"/>
    <w:rPr>
      <w:sz w:val="24"/>
      <w:lang w:val="fr-FR" w:eastAsia="en-US"/>
    </w:rPr>
  </w:style>
  <w:style w:type="character" w:customStyle="1" w:styleId="TabletitleChar">
    <w:name w:val="Table_title Char"/>
    <w:basedOn w:val="DefaultParagraphFont"/>
    <w:link w:val="Tabletitle"/>
    <w:rsid w:val="0037123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243</TotalTime>
  <Pages>16</Pages>
  <Words>5622</Words>
  <Characters>31597</Characters>
  <Application>Microsoft Office Word</Application>
  <DocSecurity>0</DocSecurity>
  <Lines>1089</Lines>
  <Paragraphs>1005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Template BR_Rec_2005.dot</vt:lpstr>
      <vt:lpstr>Política sobre Derechos de Propiedad Intelectual (IPR)</vt:lpstr>
      <vt:lpstr>1	Limitaciones técnicas</vt:lpstr>
      <vt:lpstr>2	Limitaciones de explotación</vt:lpstr>
      <vt:lpstr>3	Criterios de protección para los servicios existentes en la gama de frecuencia</vt:lpstr>
      <vt:lpstr>1	Introducción</vt:lpstr>
      <vt:lpstr>2	Cálculo de la interferencia causada a otros servicios</vt:lpstr>
      <vt:lpstr>        Impulso de la señal de entrada sin modulación de frecuencia:</vt:lpstr>
      <vt:lpstr>        Impulso de la señal de entrada con modulación de frecuencia:</vt:lpstr>
      <vt:lpstr>3	Criterios de interferencia aplicables a otros servicios</vt:lpstr>
      <vt:lpstr>    3.1	Radares de vigilancia</vt:lpstr>
      <vt:lpstr>    3.2	Radares de seguimiento en el servicio de radiolocalización</vt:lpstr>
      <vt:lpstr>4	Análisis de un ejemplo de señal no deseada desde un sensor a bordo de un vehíc</vt:lpstr>
      <vt:lpstr>    4.1	Características técnicas</vt:lpstr>
      <vt:lpstr>        4.1.1	Sensor a bordo del vehículo espacial</vt:lpstr>
      <vt:lpstr>        4.1.2	Radares a bordo de aeronaves</vt:lpstr>
      <vt:lpstr>    4.2	Método de análisis y resultados</vt:lpstr>
      <vt:lpstr>        4.2.1	Simulaciones informáticas</vt:lpstr>
      <vt:lpstr>5	Procedimiento para usar la metodología</vt:lpstr>
      <vt:lpstr>6	Conclusión</vt:lpstr>
    </vt:vector>
  </TitlesOfParts>
  <Manager/>
  <Company>ITU</Company>
  <LinksUpToDate>false</LinksUpToDate>
  <CharactersWithSpaces>36214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31</cp:revision>
  <cp:lastPrinted>2018-05-03T09:36:00Z</cp:lastPrinted>
  <dcterms:created xsi:type="dcterms:W3CDTF">2018-05-02T14:07:00Z</dcterms:created>
  <dcterms:modified xsi:type="dcterms:W3CDTF">2018-05-03T10:03:00Z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