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E5BA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6B4274">
              <w:rPr>
                <w:rFonts w:ascii="Tahoma" w:hAnsi="Tahoma" w:cs="Tahoma"/>
                <w:b/>
                <w:bCs/>
                <w:iCs/>
                <w:color w:val="243285"/>
                <w:sz w:val="36"/>
                <w:szCs w:val="36"/>
              </w:rPr>
              <w:t>RS</w:t>
            </w:r>
            <w:r w:rsidRPr="004F65E4">
              <w:rPr>
                <w:rFonts w:ascii="Tahoma" w:hAnsi="Tahoma" w:cs="Tahoma"/>
                <w:b/>
                <w:bCs/>
                <w:iCs/>
                <w:color w:val="243285"/>
                <w:sz w:val="36"/>
                <w:szCs w:val="36"/>
              </w:rPr>
              <w:t>.</w:t>
            </w:r>
            <w:r w:rsidR="00EE5BA7">
              <w:rPr>
                <w:rFonts w:ascii="Tahoma" w:hAnsi="Tahoma" w:cs="Tahoma"/>
                <w:b/>
                <w:bCs/>
                <w:iCs/>
                <w:color w:val="243285"/>
                <w:sz w:val="36"/>
                <w:szCs w:val="36"/>
              </w:rPr>
              <w:t>1260-2</w:t>
            </w:r>
          </w:p>
          <w:p w:rsidR="00FE79FE" w:rsidRPr="004F65E4" w:rsidRDefault="00FE79FE" w:rsidP="0054061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D0B9D">
              <w:rPr>
                <w:rFonts w:ascii="Tahoma" w:hAnsi="Tahoma" w:cs="Tahoma"/>
                <w:b/>
                <w:bCs/>
                <w:iCs/>
                <w:color w:val="243285"/>
                <w:szCs w:val="24"/>
              </w:rPr>
              <w:t>0</w:t>
            </w:r>
            <w:r w:rsidR="00540612">
              <w:rPr>
                <w:rFonts w:ascii="Tahoma" w:hAnsi="Tahoma" w:cs="Tahoma"/>
                <w:b/>
                <w:bCs/>
                <w:iCs/>
                <w:color w:val="243285"/>
                <w:szCs w:val="24"/>
              </w:rPr>
              <w:t>9</w:t>
            </w:r>
            <w:r w:rsidRPr="004F65E4">
              <w:rPr>
                <w:rFonts w:ascii="Tahoma" w:hAnsi="Tahoma" w:cs="Tahoma"/>
                <w:b/>
                <w:bCs/>
                <w:iCs/>
                <w:color w:val="243285"/>
                <w:szCs w:val="24"/>
              </w:rPr>
              <w:t>/</w:t>
            </w:r>
            <w:r w:rsidR="005D0B9D">
              <w:rPr>
                <w:rFonts w:ascii="Tahoma" w:hAnsi="Tahoma" w:cs="Tahoma"/>
                <w:b/>
                <w:bCs/>
                <w:iCs/>
                <w:color w:val="243285"/>
                <w:szCs w:val="24"/>
              </w:rPr>
              <w:t>2017</w:t>
            </w:r>
            <w:r w:rsidRPr="004F65E4">
              <w:rPr>
                <w:rFonts w:ascii="Tahoma" w:hAnsi="Tahoma" w:cs="Tahoma"/>
                <w:b/>
                <w:bCs/>
                <w:iCs/>
                <w:color w:val="243285"/>
                <w:szCs w:val="24"/>
              </w:rPr>
              <w:t>)</w:t>
            </w:r>
          </w:p>
        </w:tc>
      </w:tr>
      <w:tr w:rsidR="00FE79FE" w:rsidRPr="00540612">
        <w:tc>
          <w:tcPr>
            <w:tcW w:w="10089" w:type="dxa"/>
          </w:tcPr>
          <w:p w:rsidR="00013002" w:rsidRPr="005D0B9D"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5D0B9D" w:rsidP="005D0B9D">
            <w:pPr>
              <w:spacing w:before="80" w:line="500" w:lineRule="exact"/>
              <w:jc w:val="right"/>
              <w:rPr>
                <w:rFonts w:ascii="Tahoma" w:hAnsi="Tahoma" w:cs="Tahoma"/>
                <w:b/>
                <w:bCs/>
                <w:iCs/>
                <w:color w:val="243285"/>
                <w:sz w:val="44"/>
                <w:szCs w:val="44"/>
                <w:lang w:val="en-US"/>
              </w:rPr>
            </w:pPr>
            <w:r w:rsidRPr="005D0B9D">
              <w:rPr>
                <w:rFonts w:ascii="Tahoma" w:hAnsi="Tahoma" w:cs="Tahoma"/>
                <w:b/>
                <w:bCs/>
                <w:iCs/>
                <w:color w:val="243285"/>
                <w:sz w:val="44"/>
                <w:szCs w:val="44"/>
                <w:lang w:val="en-GB"/>
              </w:rPr>
              <w:t>Feasibility of sharing between active spaceborne sensors and other services in the range 420-470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540612">
        <w:tc>
          <w:tcPr>
            <w:tcW w:w="10089" w:type="dxa"/>
          </w:tcPr>
          <w:p w:rsidR="003E346A" w:rsidRPr="00917D42" w:rsidRDefault="003E346A" w:rsidP="003E346A">
            <w:pPr>
              <w:spacing w:before="80" w:line="280" w:lineRule="exact"/>
              <w:ind w:right="640"/>
              <w:rPr>
                <w:rFonts w:ascii="Tahoma" w:hAnsi="Tahoma" w:cs="Tahoma"/>
                <w:b/>
                <w:bCs/>
                <w:iCs/>
                <w:color w:val="243285"/>
                <w:sz w:val="32"/>
                <w:szCs w:val="32"/>
                <w:lang w:val="en-US"/>
              </w:rPr>
            </w:pPr>
          </w:p>
          <w:p w:rsidR="003E346A" w:rsidRPr="00917D42" w:rsidRDefault="003E346A" w:rsidP="003E346A">
            <w:pPr>
              <w:spacing w:before="80" w:line="280" w:lineRule="exact"/>
              <w:ind w:right="640"/>
              <w:rPr>
                <w:rFonts w:ascii="Tahoma" w:hAnsi="Tahoma" w:cs="Tahoma"/>
                <w:b/>
                <w:bCs/>
                <w:iCs/>
                <w:color w:val="243285"/>
                <w:sz w:val="32"/>
                <w:szCs w:val="32"/>
                <w:lang w:val="en-US"/>
              </w:rPr>
            </w:pPr>
          </w:p>
          <w:p w:rsidR="003E346A" w:rsidRPr="00917D42" w:rsidRDefault="003E346A" w:rsidP="003E346A">
            <w:pPr>
              <w:spacing w:before="80" w:after="180" w:line="360" w:lineRule="exact"/>
              <w:ind w:right="720"/>
              <w:rPr>
                <w:rFonts w:ascii="Tahoma" w:hAnsi="Tahoma" w:cs="Tahoma"/>
                <w:b/>
                <w:bCs/>
                <w:iCs/>
                <w:color w:val="243285"/>
                <w:sz w:val="36"/>
                <w:szCs w:val="36"/>
                <w:lang w:val="en-US"/>
              </w:rPr>
            </w:pPr>
          </w:p>
          <w:p w:rsidR="00013002" w:rsidRPr="001511A6" w:rsidRDefault="00761EC0" w:rsidP="006B427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6B4274">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 xml:space="preserve"> Series</w:t>
            </w:r>
          </w:p>
          <w:p w:rsidR="00FE79FE" w:rsidRPr="006B4274" w:rsidRDefault="006B4274" w:rsidP="00FE79FE">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0B130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0B1300">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540612">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9A3B35">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540612"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761EC0">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A31928" w:rsidRPr="00761EC0" w:rsidRDefault="00A31928" w:rsidP="006B1D2B">
            <w:pPr>
              <w:spacing w:before="30" w:after="30"/>
              <w:jc w:val="left"/>
              <w:rPr>
                <w:rFonts w:hAnsi="Times New Roman Bold"/>
                <w:sz w:val="20"/>
                <w:lang w:val="fr-CH"/>
              </w:rPr>
            </w:pPr>
            <w:r w:rsidRPr="00761EC0">
              <w:rPr>
                <w:rFonts w:hAnsi="Times New Roman Bold"/>
                <w:sz w:val="20"/>
                <w:lang w:val="fr-CH"/>
              </w:rPr>
              <w:t>Radiowave propagation</w:t>
            </w:r>
          </w:p>
        </w:tc>
      </w:tr>
      <w:tr w:rsidR="00A31928" w:rsidRPr="00761EC0" w:rsidTr="006B4274">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A31928" w:rsidRPr="00036EE3" w:rsidTr="006B4274">
        <w:tc>
          <w:tcPr>
            <w:tcW w:w="1140" w:type="dxa"/>
            <w:tcBorders>
              <w:top w:val="nil"/>
              <w:bottom w:val="nil"/>
            </w:tcBorders>
            <w:shd w:val="clear" w:color="auto" w:fill="F3F3F3"/>
          </w:tcPr>
          <w:p w:rsidR="00A31928" w:rsidRPr="006B4274" w:rsidRDefault="00A31928" w:rsidP="006B1D2B">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A31928" w:rsidRPr="00036EE3" w:rsidTr="006B4274">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40612"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40612">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85" w:type="dxa"/>
          <w:right w:w="85" w:type="dxa"/>
        </w:tblCellMar>
        <w:tblLook w:val="01E0" w:firstRow="1" w:lastRow="1" w:firstColumn="1" w:lastColumn="1" w:noHBand="0" w:noVBand="0"/>
      </w:tblPr>
      <w:tblGrid>
        <w:gridCol w:w="9321"/>
      </w:tblGrid>
      <w:tr w:rsidR="00036EE3" w:rsidRPr="00540612" w:rsidTr="00967962">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2050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E24164">
        <w:rPr>
          <w:sz w:val="20"/>
          <w:lang w:val="en-US"/>
        </w:rPr>
        <w:t>1</w:t>
      </w:r>
      <w:r w:rsidR="00EE5BA7">
        <w:rPr>
          <w:sz w:val="20"/>
          <w:lang w:val="en-US"/>
        </w:rPr>
        <w:t>7</w:t>
      </w:r>
    </w:p>
    <w:p w:rsidR="00470E28" w:rsidRDefault="00470E28" w:rsidP="00906589">
      <w:pPr>
        <w:jc w:val="center"/>
        <w:rPr>
          <w:sz w:val="22"/>
          <w:lang w:val="en-US"/>
        </w:rPr>
      </w:pPr>
    </w:p>
    <w:p w:rsidR="00586EF8" w:rsidRPr="00470E28" w:rsidRDefault="00586EF8" w:rsidP="00706D1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E24164">
        <w:rPr>
          <w:sz w:val="20"/>
          <w:lang w:val="en-US"/>
        </w:rPr>
        <w:t>1</w:t>
      </w:r>
      <w:r w:rsidR="00EE5BA7">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2C3B74" w:rsidRDefault="00934ED7" w:rsidP="00871EA0">
      <w:pPr>
        <w:pStyle w:val="RecNo"/>
        <w:spacing w:before="0"/>
        <w:rPr>
          <w:lang w:val="en-GB"/>
        </w:rPr>
      </w:pPr>
      <w:bookmarkStart w:id="3" w:name="irecnoe"/>
      <w:bookmarkEnd w:id="3"/>
      <w:r w:rsidRPr="00BF487A">
        <w:rPr>
          <w:lang w:val="en-US"/>
        </w:rPr>
        <w:lastRenderedPageBreak/>
        <w:t xml:space="preserve">RECOMMENDATION  </w:t>
      </w:r>
      <w:r w:rsidRPr="00BF487A">
        <w:rPr>
          <w:rStyle w:val="href"/>
          <w:lang w:val="en-US"/>
        </w:rPr>
        <w:t xml:space="preserve">ITU-R  </w:t>
      </w:r>
      <w:r w:rsidR="00761EC0">
        <w:rPr>
          <w:rStyle w:val="href"/>
          <w:lang w:val="en-US"/>
        </w:rPr>
        <w:t>R</w:t>
      </w:r>
      <w:r w:rsidR="006B4274">
        <w:rPr>
          <w:rStyle w:val="href"/>
          <w:lang w:val="en-US"/>
        </w:rPr>
        <w:t>S</w:t>
      </w:r>
      <w:r w:rsidRPr="00BF487A">
        <w:rPr>
          <w:rStyle w:val="href"/>
          <w:lang w:val="en-US"/>
        </w:rPr>
        <w:t>.</w:t>
      </w:r>
      <w:r w:rsidR="00871EA0">
        <w:rPr>
          <w:rStyle w:val="href"/>
          <w:lang w:val="en-US"/>
        </w:rPr>
        <w:t>1260-2</w:t>
      </w:r>
    </w:p>
    <w:p w:rsidR="002C3B74" w:rsidRPr="002C3B74" w:rsidRDefault="002C3B74" w:rsidP="002C3B74">
      <w:pPr>
        <w:pStyle w:val="Rectitle"/>
        <w:rPr>
          <w:lang w:val="en-GB"/>
        </w:rPr>
      </w:pPr>
      <w:r w:rsidRPr="002C3B74">
        <w:rPr>
          <w:lang w:val="en-GB"/>
        </w:rPr>
        <w:t>Feasibility of sharing between active spaceborne sensors and</w:t>
      </w:r>
      <w:r w:rsidRPr="002C3B74">
        <w:rPr>
          <w:lang w:val="en-GB"/>
        </w:rPr>
        <w:br/>
        <w:t>other services in the range 420-470 MHz</w:t>
      </w:r>
    </w:p>
    <w:p w:rsidR="002C3B74" w:rsidRPr="002C3B74" w:rsidRDefault="002C3B74" w:rsidP="002C3B74">
      <w:pPr>
        <w:pStyle w:val="Recref"/>
        <w:rPr>
          <w:lang w:val="en-GB"/>
        </w:rPr>
      </w:pPr>
      <w:r w:rsidRPr="002C3B74">
        <w:rPr>
          <w:lang w:val="en-GB"/>
        </w:rPr>
        <w:t>(Question ITU-R 218/7)</w:t>
      </w:r>
    </w:p>
    <w:p w:rsidR="002C3B74" w:rsidRPr="002C3B74" w:rsidRDefault="002C3B74" w:rsidP="002C3B74">
      <w:pPr>
        <w:pStyle w:val="Recdate"/>
        <w:rPr>
          <w:lang w:val="en-GB"/>
        </w:rPr>
      </w:pPr>
      <w:r w:rsidRPr="002C3B74">
        <w:rPr>
          <w:lang w:val="en-GB"/>
        </w:rPr>
        <w:t>(1997-2003-2017)</w:t>
      </w:r>
    </w:p>
    <w:p w:rsidR="002C3B74" w:rsidRPr="001678C5" w:rsidRDefault="002C3B74" w:rsidP="001678C5">
      <w:pPr>
        <w:pStyle w:val="HeadingSum"/>
        <w:rPr>
          <w:sz w:val="22"/>
          <w:szCs w:val="22"/>
          <w:lang w:val="en-GB"/>
        </w:rPr>
      </w:pPr>
      <w:r w:rsidRPr="00532A05">
        <w:rPr>
          <w:sz w:val="22"/>
          <w:szCs w:val="22"/>
          <w:lang w:val="en-GB"/>
        </w:rPr>
        <w:t>Scope</w:t>
      </w:r>
    </w:p>
    <w:p w:rsidR="002C3B74" w:rsidRPr="00532A05" w:rsidRDefault="002C3B74" w:rsidP="001678C5">
      <w:pPr>
        <w:pStyle w:val="Summary"/>
        <w:rPr>
          <w:sz w:val="22"/>
          <w:szCs w:val="22"/>
          <w:lang w:val="en-GB"/>
        </w:rPr>
      </w:pPr>
      <w:r w:rsidRPr="00532A05">
        <w:rPr>
          <w:sz w:val="22"/>
          <w:szCs w:val="22"/>
          <w:lang w:val="en-GB"/>
        </w:rPr>
        <w:t>This Recommendation provides the technical and operational characteristics to be respected by EESS (active) sensors operating in the band 432-438 MHz in order to ensure protection of the other primary services operating in the band.</w:t>
      </w:r>
    </w:p>
    <w:p w:rsidR="002C3B74" w:rsidRPr="00EC2F6D" w:rsidRDefault="002C3B74" w:rsidP="002C3B74">
      <w:pPr>
        <w:pStyle w:val="Headingb"/>
        <w:rPr>
          <w:lang w:val="en-GB"/>
        </w:rPr>
      </w:pPr>
      <w:r w:rsidRPr="00EC2F6D">
        <w:rPr>
          <w:lang w:val="en-GB"/>
        </w:rPr>
        <w:t>Keywords</w:t>
      </w:r>
    </w:p>
    <w:p w:rsidR="002C3B74" w:rsidRPr="002C3B74" w:rsidRDefault="002C3B74" w:rsidP="002C3B74">
      <w:pPr>
        <w:rPr>
          <w:lang w:val="en-GB"/>
        </w:rPr>
      </w:pPr>
      <w:r w:rsidRPr="002C3B74">
        <w:rPr>
          <w:lang w:val="en-GB"/>
        </w:rPr>
        <w:t>EESS, active sensors, Synthetic Aperture Radar (SAR), space object tracking radar, exclusion zone</w:t>
      </w:r>
    </w:p>
    <w:p w:rsidR="002C3B74" w:rsidRPr="00EC2F6D" w:rsidRDefault="002C3B74" w:rsidP="002C3B74">
      <w:pPr>
        <w:pStyle w:val="Headingb"/>
        <w:rPr>
          <w:lang w:val="en-GB"/>
        </w:rPr>
      </w:pPr>
      <w:r w:rsidRPr="00EC2F6D">
        <w:rPr>
          <w:lang w:val="en-GB"/>
        </w:rPr>
        <w:t>Related Recommendations and Reports</w:t>
      </w:r>
    </w:p>
    <w:p w:rsidR="002C3B74" w:rsidRPr="00F91A12" w:rsidRDefault="002C3B74" w:rsidP="002C3B74">
      <w:pPr>
        <w:rPr>
          <w:lang w:val="en-GB"/>
        </w:rPr>
      </w:pPr>
      <w:r w:rsidRPr="00F91A12">
        <w:rPr>
          <w:lang w:val="en-GB"/>
        </w:rPr>
        <w:t>Recommendations ITU-R F.758, ITU-R F.1108 ITU-R M.1462, ITU-R M.1462.</w:t>
      </w:r>
    </w:p>
    <w:p w:rsidR="002C3B74" w:rsidRPr="002C3B74" w:rsidRDefault="002C3B74" w:rsidP="002C3B74">
      <w:pPr>
        <w:pStyle w:val="Normalaftertitle"/>
        <w:rPr>
          <w:lang w:val="en-GB"/>
        </w:rPr>
      </w:pPr>
      <w:r w:rsidRPr="002C3B74">
        <w:rPr>
          <w:lang w:val="en-GB"/>
        </w:rPr>
        <w:t>The ITU Radiocommunication Assembly,</w:t>
      </w:r>
    </w:p>
    <w:p w:rsidR="002C3B74" w:rsidRPr="002C3B74" w:rsidRDefault="002C3B74" w:rsidP="002C3B74">
      <w:pPr>
        <w:pStyle w:val="Call"/>
        <w:rPr>
          <w:lang w:val="en-GB"/>
        </w:rPr>
      </w:pPr>
      <w:r w:rsidRPr="002C3B74">
        <w:rPr>
          <w:lang w:val="en-GB"/>
        </w:rPr>
        <w:t>considering</w:t>
      </w:r>
    </w:p>
    <w:p w:rsidR="002C3B74" w:rsidRPr="002C3B74" w:rsidRDefault="002C3B74" w:rsidP="002C3B74">
      <w:pPr>
        <w:spacing w:after="80"/>
        <w:rPr>
          <w:lang w:val="en-GB"/>
        </w:rPr>
      </w:pPr>
      <w:r w:rsidRPr="002C3B74">
        <w:rPr>
          <w:i/>
          <w:iCs/>
          <w:lang w:val="en-GB"/>
        </w:rPr>
        <w:t>a)</w:t>
      </w:r>
      <w:r w:rsidRPr="002C3B74">
        <w:rPr>
          <w:lang w:val="en-GB"/>
        </w:rPr>
        <w:tab/>
        <w:t>that synthetic aperture radars (SARs) can measure soil moisture, forest biomass, can detect buried geologic structures such as faults, fractures, synclines and anticlines, and can map and measure the depth of Antarctic ice, and hydrogeological properties of arid and semiarid regions;</w:t>
      </w:r>
    </w:p>
    <w:p w:rsidR="002C3B74" w:rsidRPr="002C3B74" w:rsidRDefault="002C3B74" w:rsidP="002C3B74">
      <w:pPr>
        <w:spacing w:after="80"/>
        <w:rPr>
          <w:lang w:val="en-GB"/>
        </w:rPr>
      </w:pPr>
      <w:r w:rsidRPr="002C3B74">
        <w:rPr>
          <w:i/>
          <w:iCs/>
          <w:lang w:val="en-GB"/>
        </w:rPr>
        <w:t>b)</w:t>
      </w:r>
      <w:r w:rsidRPr="002C3B74">
        <w:rPr>
          <w:lang w:val="en-GB"/>
        </w:rPr>
        <w:tab/>
        <w:t>that experimental SARs mounted on aircraft have demonstrated the potential for making these measurements;</w:t>
      </w:r>
    </w:p>
    <w:p w:rsidR="002C3B74" w:rsidRPr="002C3B74" w:rsidRDefault="002C3B74" w:rsidP="002C3B74">
      <w:pPr>
        <w:spacing w:after="80"/>
        <w:rPr>
          <w:lang w:val="en-GB"/>
        </w:rPr>
      </w:pPr>
      <w:r w:rsidRPr="002C3B74">
        <w:rPr>
          <w:i/>
          <w:iCs/>
          <w:lang w:val="en-GB"/>
        </w:rPr>
        <w:t>c)</w:t>
      </w:r>
      <w:r w:rsidRPr="002C3B74">
        <w:rPr>
          <w:lang w:val="en-GB"/>
        </w:rPr>
        <w:tab/>
        <w:t>that these spaceborne SARs must operate at frequencies below 500 MHz in order to penetrate dense vegetation and the Earth’s surface on a worldwide repetitive basis;</w:t>
      </w:r>
    </w:p>
    <w:p w:rsidR="002C3B74" w:rsidRPr="002C3B74" w:rsidRDefault="002C3B74" w:rsidP="002C3B74">
      <w:pPr>
        <w:spacing w:after="80"/>
        <w:rPr>
          <w:lang w:val="en-GB"/>
        </w:rPr>
      </w:pPr>
      <w:r w:rsidRPr="002C3B74">
        <w:rPr>
          <w:i/>
          <w:iCs/>
          <w:lang w:val="en-GB"/>
        </w:rPr>
        <w:t>d)</w:t>
      </w:r>
      <w:r w:rsidRPr="002C3B74">
        <w:rPr>
          <w:lang w:val="en-GB"/>
        </w:rPr>
        <w:tab/>
        <w:t>that frequency bands between 420-470 MHz are currently allocated to the radiolocation, fixed, amateur, space operations and mobile services;</w:t>
      </w:r>
    </w:p>
    <w:p w:rsidR="002C3B74" w:rsidRPr="002C3B74" w:rsidRDefault="002C3B74" w:rsidP="002C3B74">
      <w:pPr>
        <w:spacing w:after="80"/>
        <w:rPr>
          <w:lang w:val="en-GB"/>
        </w:rPr>
      </w:pPr>
      <w:r w:rsidRPr="002C3B74">
        <w:rPr>
          <w:i/>
          <w:iCs/>
          <w:lang w:val="en-GB"/>
        </w:rPr>
        <w:t>e)</w:t>
      </w:r>
      <w:r w:rsidRPr="002C3B74">
        <w:rPr>
          <w:lang w:val="en-GB"/>
        </w:rPr>
        <w:tab/>
        <w:t>that within the amateur service weak-signal operations (including Earth-Moon-Earth) are conducted centred around 432 MHz, and amateur-satellite operations (both uplink and downlink) are conducted in the band 435-438 MHz;</w:t>
      </w:r>
    </w:p>
    <w:p w:rsidR="002C3B74" w:rsidRPr="002C3B74" w:rsidRDefault="002C3B74" w:rsidP="002C3B74">
      <w:pPr>
        <w:rPr>
          <w:lang w:val="en-GB"/>
        </w:rPr>
      </w:pPr>
      <w:r w:rsidRPr="002C3B74">
        <w:rPr>
          <w:i/>
          <w:iCs/>
          <w:lang w:val="en-GB"/>
        </w:rPr>
        <w:t>f)</w:t>
      </w:r>
      <w:r w:rsidRPr="002C3B74">
        <w:rPr>
          <w:lang w:val="en-GB"/>
        </w:rPr>
        <w:tab/>
        <w:t>that other uses are made of portions of these bands including:</w:t>
      </w:r>
    </w:p>
    <w:p w:rsidR="002C3B74" w:rsidRPr="002C3B74" w:rsidRDefault="002C3B74" w:rsidP="002C3B74">
      <w:pPr>
        <w:pStyle w:val="enumlev1"/>
        <w:rPr>
          <w:lang w:val="en-GB"/>
        </w:rPr>
      </w:pPr>
      <w:r w:rsidRPr="002C3B74">
        <w:rPr>
          <w:lang w:val="en-GB"/>
        </w:rPr>
        <w:t>–</w:t>
      </w:r>
      <w:r w:rsidRPr="002C3B74">
        <w:rPr>
          <w:lang w:val="en-GB"/>
        </w:rPr>
        <w:tab/>
        <w:t xml:space="preserve">wind profilers in the range 440-450 MHz, and in case of incompatibility between wind profiler radars and other applications, in the bands 420-435 MHz and 438-440 MHz (Resolution </w:t>
      </w:r>
      <w:r w:rsidRPr="002C3B74">
        <w:rPr>
          <w:b/>
          <w:bCs/>
          <w:lang w:val="en-GB"/>
        </w:rPr>
        <w:t>217 (WRC-97)</w:t>
      </w:r>
      <w:r w:rsidRPr="002C3B74">
        <w:rPr>
          <w:lang w:val="en-GB"/>
        </w:rPr>
        <w:t>);</w:t>
      </w:r>
    </w:p>
    <w:p w:rsidR="002C3B74" w:rsidRPr="002C3B74" w:rsidRDefault="002C3B74" w:rsidP="002C3B74">
      <w:pPr>
        <w:pStyle w:val="enumlev1"/>
        <w:rPr>
          <w:lang w:val="en-GB"/>
        </w:rPr>
      </w:pPr>
      <w:r w:rsidRPr="002C3B74">
        <w:rPr>
          <w:lang w:val="en-GB"/>
        </w:rPr>
        <w:t>–</w:t>
      </w:r>
      <w:r w:rsidRPr="002C3B74">
        <w:rPr>
          <w:lang w:val="en-GB"/>
        </w:rPr>
        <w:tab/>
        <w:t>launch vehicle range safety command destruct receivers in the band 449.75</w:t>
      </w:r>
      <w:r w:rsidRPr="002C3B74">
        <w:rPr>
          <w:lang w:val="en-GB"/>
        </w:rPr>
        <w:noBreakHyphen/>
        <w:t>450.25 MHz (No. </w:t>
      </w:r>
      <w:r w:rsidRPr="002C3B74">
        <w:rPr>
          <w:b/>
          <w:bCs/>
          <w:lang w:val="en-GB"/>
        </w:rPr>
        <w:t>5.286</w:t>
      </w:r>
      <w:r w:rsidRPr="002C3B74">
        <w:rPr>
          <w:lang w:val="en-GB"/>
        </w:rPr>
        <w:t xml:space="preserve"> of the Radio Regulations (RR)), as well as around 421.0, 425.0, 427.0, 440.0 and 445.0 MHz in the United States of America and Brazil and,</w:t>
      </w:r>
      <w:r w:rsidRPr="002C3B74">
        <w:rPr>
          <w:i/>
          <w:lang w:val="en-GB"/>
        </w:rPr>
        <w:t xml:space="preserve"> </w:t>
      </w:r>
      <w:r w:rsidRPr="002C3B74">
        <w:rPr>
          <w:lang w:val="en-GB"/>
        </w:rPr>
        <w:t>in the French Overseas Departments in Region 2 and India, the band 433.75</w:t>
      </w:r>
      <w:r w:rsidRPr="002C3B74">
        <w:rPr>
          <w:lang w:val="en-GB"/>
        </w:rPr>
        <w:noBreakHyphen/>
        <w:t>434.25 MHz (RR No. </w:t>
      </w:r>
      <w:r w:rsidRPr="002C3B74">
        <w:rPr>
          <w:b/>
          <w:bCs/>
          <w:lang w:val="en-GB"/>
        </w:rPr>
        <w:t>5.281</w:t>
      </w:r>
      <w:r w:rsidRPr="002C3B74">
        <w:rPr>
          <w:lang w:val="en-GB"/>
        </w:rPr>
        <w:t>);</w:t>
      </w:r>
    </w:p>
    <w:p w:rsidR="002C3B74" w:rsidRPr="002C3B74" w:rsidRDefault="002C3B74" w:rsidP="002C3B74">
      <w:pPr>
        <w:rPr>
          <w:lang w:val="en-GB"/>
        </w:rPr>
      </w:pPr>
      <w:r w:rsidRPr="002C3B74">
        <w:rPr>
          <w:i/>
          <w:iCs/>
          <w:lang w:val="en-GB"/>
        </w:rPr>
        <w:t>g)</w:t>
      </w:r>
      <w:r w:rsidRPr="002C3B74">
        <w:rPr>
          <w:lang w:val="en-GB"/>
        </w:rPr>
        <w:tab/>
        <w:t>that certain spaceborne SARs could produce pfd’s at the Earth’s surface in excess of the pfd levels that may be required to protect the fixed service and the land mobile service allocated in this frequency range;</w:t>
      </w:r>
    </w:p>
    <w:p w:rsidR="002C3B74" w:rsidRPr="002C3B74" w:rsidRDefault="002C3B74" w:rsidP="002C3B74">
      <w:pPr>
        <w:rPr>
          <w:lang w:val="en-GB"/>
        </w:rPr>
      </w:pPr>
      <w:r w:rsidRPr="002C3B74">
        <w:rPr>
          <w:i/>
          <w:iCs/>
          <w:lang w:val="en-GB"/>
        </w:rPr>
        <w:lastRenderedPageBreak/>
        <w:t>h)</w:t>
      </w:r>
      <w:r w:rsidRPr="002C3B74">
        <w:rPr>
          <w:lang w:val="en-GB"/>
        </w:rPr>
        <w:tab/>
        <w:t>that co-frequency sharing with wind profilers is likely to be unfeasible due to interference to the spaceborne active sensor;</w:t>
      </w:r>
    </w:p>
    <w:p w:rsidR="002C3B74" w:rsidRPr="002C3B74" w:rsidRDefault="002C3B74" w:rsidP="002C3B74">
      <w:pPr>
        <w:rPr>
          <w:lang w:val="en-GB"/>
        </w:rPr>
      </w:pPr>
      <w:r w:rsidRPr="002C3B74">
        <w:rPr>
          <w:i/>
          <w:iCs/>
          <w:lang w:val="en-GB"/>
        </w:rPr>
        <w:t>i)</w:t>
      </w:r>
      <w:r w:rsidRPr="002C3B74">
        <w:rPr>
          <w:lang w:val="en-GB"/>
        </w:rPr>
        <w:tab/>
        <w:t>that SARs and the amateur service (primary in Region 1 and secondary in Regions 2 and 3, except as in RR No. </w:t>
      </w:r>
      <w:r w:rsidRPr="002C3B74">
        <w:rPr>
          <w:b/>
          <w:bCs/>
          <w:lang w:val="en-GB"/>
        </w:rPr>
        <w:t>5.278</w:t>
      </w:r>
      <w:r w:rsidRPr="002C3B74">
        <w:rPr>
          <w:lang w:val="en-GB"/>
        </w:rPr>
        <w:t>) can coexist in the band 430-440 MHz, by taking appropriate technical and operational measures defined in Annex 1 to this Recommendation;</w:t>
      </w:r>
    </w:p>
    <w:p w:rsidR="002C3B74" w:rsidRPr="002C3B74" w:rsidRDefault="002C3B74" w:rsidP="002C3B74">
      <w:pPr>
        <w:rPr>
          <w:lang w:val="en-GB"/>
        </w:rPr>
      </w:pPr>
      <w:r w:rsidRPr="002C3B74">
        <w:rPr>
          <w:i/>
          <w:iCs/>
          <w:lang w:val="en-GB"/>
        </w:rPr>
        <w:t>j)</w:t>
      </w:r>
      <w:r w:rsidRPr="002C3B74">
        <w:rPr>
          <w:lang w:val="en-GB"/>
        </w:rPr>
        <w:tab/>
        <w:t xml:space="preserve">that in addition, the provisions of RR Nos </w:t>
      </w:r>
      <w:r w:rsidRPr="002C3B74">
        <w:rPr>
          <w:b/>
          <w:bCs/>
          <w:lang w:val="en-GB"/>
        </w:rPr>
        <w:t>5.274</w:t>
      </w:r>
      <w:r w:rsidRPr="002C3B74">
        <w:rPr>
          <w:lang w:val="en-GB"/>
        </w:rPr>
        <w:t xml:space="preserve">, </w:t>
      </w:r>
      <w:r w:rsidRPr="002C3B74">
        <w:rPr>
          <w:b/>
          <w:bCs/>
          <w:lang w:val="en-GB"/>
        </w:rPr>
        <w:t>5.275</w:t>
      </w:r>
      <w:r w:rsidRPr="002C3B74">
        <w:rPr>
          <w:lang w:val="en-GB"/>
        </w:rPr>
        <w:t xml:space="preserve">, </w:t>
      </w:r>
      <w:r w:rsidRPr="002C3B74">
        <w:rPr>
          <w:b/>
          <w:bCs/>
          <w:lang w:val="en-GB"/>
        </w:rPr>
        <w:t>5.276</w:t>
      </w:r>
      <w:r w:rsidRPr="002C3B74">
        <w:rPr>
          <w:lang w:val="en-GB"/>
        </w:rPr>
        <w:t xml:space="preserve">, </w:t>
      </w:r>
      <w:r w:rsidRPr="002C3B74">
        <w:rPr>
          <w:b/>
          <w:bCs/>
          <w:lang w:val="en-GB"/>
        </w:rPr>
        <w:t>5.277</w:t>
      </w:r>
      <w:r w:rsidRPr="002C3B74">
        <w:rPr>
          <w:lang w:val="en-GB"/>
        </w:rPr>
        <w:t xml:space="preserve">, </w:t>
      </w:r>
      <w:r w:rsidRPr="002C3B74">
        <w:rPr>
          <w:b/>
          <w:bCs/>
          <w:lang w:val="en-GB"/>
        </w:rPr>
        <w:t>5.278</w:t>
      </w:r>
      <w:r w:rsidRPr="002C3B74">
        <w:rPr>
          <w:lang w:val="en-GB"/>
        </w:rPr>
        <w:t xml:space="preserve">, </w:t>
      </w:r>
      <w:r w:rsidRPr="002C3B74">
        <w:rPr>
          <w:b/>
          <w:bCs/>
          <w:lang w:val="en-GB"/>
        </w:rPr>
        <w:t>5.281</w:t>
      </w:r>
      <w:r w:rsidRPr="002C3B74">
        <w:rPr>
          <w:lang w:val="en-GB"/>
        </w:rPr>
        <w:t xml:space="preserve"> and </w:t>
      </w:r>
      <w:r w:rsidRPr="002C3B74">
        <w:rPr>
          <w:b/>
          <w:bCs/>
          <w:lang w:val="en-GB"/>
        </w:rPr>
        <w:t>5.283</w:t>
      </w:r>
      <w:r w:rsidRPr="002C3B74">
        <w:rPr>
          <w:lang w:val="en-GB"/>
        </w:rPr>
        <w:t xml:space="preserve"> list countries that have defined portions of the band between 430 and 440 MHz as having primary status for the fixed, mobile, space operation and/or the amateur services;</w:t>
      </w:r>
    </w:p>
    <w:p w:rsidR="002C3B74" w:rsidRPr="002C3B74" w:rsidRDefault="002C3B74" w:rsidP="002C3B74">
      <w:pPr>
        <w:rPr>
          <w:lang w:val="en-GB"/>
        </w:rPr>
      </w:pPr>
      <w:r w:rsidRPr="002C3B74">
        <w:rPr>
          <w:i/>
          <w:iCs/>
          <w:lang w:val="en-GB"/>
        </w:rPr>
        <w:t>k)</w:t>
      </w:r>
      <w:r w:rsidRPr="002C3B74">
        <w:rPr>
          <w:lang w:val="en-GB"/>
        </w:rPr>
        <w:tab/>
        <w:t>that some sharing studies have indicated that co-frequency sharing between the amateur services and some proposed SARs in the Earth exploration-satellite service (EESS) is possible for some amateur modes of transmission such as FM and time division multiple access (TDMA), but would be difficult with continuous wave and single sideband modes of operation;</w:t>
      </w:r>
    </w:p>
    <w:p w:rsidR="002C3B74" w:rsidRPr="002C3B74" w:rsidRDefault="002C3B74" w:rsidP="002C3B74">
      <w:pPr>
        <w:rPr>
          <w:lang w:val="en-GB"/>
        </w:rPr>
      </w:pPr>
      <w:r w:rsidRPr="002C3B74">
        <w:rPr>
          <w:i/>
          <w:iCs/>
          <w:lang w:val="en-GB"/>
        </w:rPr>
        <w:t>l)</w:t>
      </w:r>
      <w:r w:rsidRPr="002C3B74">
        <w:rPr>
          <w:lang w:val="en-GB"/>
        </w:rPr>
        <w:tab/>
        <w:t>that Recommendation ITU-R M.1462 contains the technical and operational characteristics of, and protection criteria for, radars (airborne, shipborne, and space object tracking) operating in the radiolocation service operating in the band 420-450 MHz;</w:t>
      </w:r>
    </w:p>
    <w:p w:rsidR="002C3B74" w:rsidRPr="002C3B74" w:rsidRDefault="002C3B74" w:rsidP="002C3B74">
      <w:pPr>
        <w:rPr>
          <w:lang w:val="en-GB"/>
        </w:rPr>
      </w:pPr>
      <w:r w:rsidRPr="002C3B74">
        <w:rPr>
          <w:i/>
          <w:iCs/>
          <w:lang w:val="en-GB"/>
        </w:rPr>
        <w:t>m)</w:t>
      </w:r>
      <w:r w:rsidRPr="002C3B74">
        <w:rPr>
          <w:lang w:val="en-GB"/>
        </w:rPr>
        <w:tab/>
        <w:t>that there is a potential for unacceptable interference from some spaceborne SARs to terrestrial space object tracking radars operating in the band 420-450 MHz if the spaceborne SAR radar is within the view of the terrestrial radars (i.e. above the radars’ visible horizon);</w:t>
      </w:r>
    </w:p>
    <w:p w:rsidR="002C3B74" w:rsidRPr="002C3B74" w:rsidRDefault="002C3B74" w:rsidP="002C3B74">
      <w:pPr>
        <w:rPr>
          <w:lang w:val="en-GB"/>
        </w:rPr>
      </w:pPr>
      <w:r w:rsidRPr="002C3B74">
        <w:rPr>
          <w:i/>
          <w:iCs/>
          <w:lang w:val="en-GB"/>
        </w:rPr>
        <w:t>n)</w:t>
      </w:r>
      <w:r w:rsidRPr="002C3B74">
        <w:rPr>
          <w:lang w:val="en-GB"/>
        </w:rPr>
        <w:tab/>
        <w:t>that some spaceborne SARs will be tracked by terrestrial space object tracking radars, and that the resultant unwanted received power level at a spaceborne SAR can approach its maximum power-handling capability;</w:t>
      </w:r>
    </w:p>
    <w:p w:rsidR="002C3B74" w:rsidRPr="002C3B74" w:rsidRDefault="002C3B74" w:rsidP="002C3B74">
      <w:pPr>
        <w:rPr>
          <w:lang w:val="en-GB"/>
        </w:rPr>
      </w:pPr>
      <w:r w:rsidRPr="002C3B74">
        <w:rPr>
          <w:i/>
          <w:iCs/>
          <w:lang w:val="en-GB"/>
        </w:rPr>
        <w:t>o)</w:t>
      </w:r>
      <w:r w:rsidRPr="002C3B74">
        <w:rPr>
          <w:lang w:val="en-GB"/>
        </w:rPr>
        <w:tab/>
        <w:t>that there is a potential for unacceptable interference from some spaceborne SARs to airborne and shipborne radars operating in 420-450 MHz, the probability and severity of which is highly dependent upon the characteristics of the SARs;</w:t>
      </w:r>
    </w:p>
    <w:p w:rsidR="002C3B74" w:rsidRPr="002C3B74" w:rsidRDefault="002C3B74" w:rsidP="002C3B74">
      <w:pPr>
        <w:rPr>
          <w:lang w:val="en-GB"/>
        </w:rPr>
      </w:pPr>
      <w:r w:rsidRPr="002C3B74">
        <w:rPr>
          <w:i/>
          <w:iCs/>
          <w:lang w:val="en-GB"/>
        </w:rPr>
        <w:t>p)</w:t>
      </w:r>
      <w:r w:rsidRPr="002C3B74">
        <w:rPr>
          <w:lang w:val="en-GB"/>
        </w:rPr>
        <w:tab/>
        <w:t>that any harmful interference, even for very short periods, by SARs into launch vehicle command destruct receivers could impede the safety of life and property;</w:t>
      </w:r>
    </w:p>
    <w:p w:rsidR="002C3B74" w:rsidRPr="002C3B74" w:rsidRDefault="002C3B74" w:rsidP="002C3B74">
      <w:pPr>
        <w:rPr>
          <w:lang w:val="en-GB"/>
        </w:rPr>
      </w:pPr>
      <w:r w:rsidRPr="002C3B74">
        <w:rPr>
          <w:i/>
          <w:iCs/>
          <w:lang w:val="en-GB"/>
        </w:rPr>
        <w:t>q)</w:t>
      </w:r>
      <w:r w:rsidRPr="002C3B74">
        <w:rPr>
          <w:lang w:val="en-GB"/>
        </w:rPr>
        <w:tab/>
        <w:t>that given the complexity of the EESS (active) instruments implementation in these low frequencies, very few such platforms are expected to be in orbit at the same time,</w:t>
      </w:r>
    </w:p>
    <w:p w:rsidR="002C3B74" w:rsidRPr="002C3B74" w:rsidRDefault="002C3B74" w:rsidP="002C3B74">
      <w:pPr>
        <w:pStyle w:val="Call"/>
        <w:rPr>
          <w:lang w:val="en-GB"/>
        </w:rPr>
      </w:pPr>
      <w:r w:rsidRPr="002C3B74">
        <w:rPr>
          <w:lang w:val="en-GB"/>
        </w:rPr>
        <w:t>recommends</w:t>
      </w:r>
    </w:p>
    <w:p w:rsidR="002C3B74" w:rsidRPr="002C3B74" w:rsidRDefault="002C3B74" w:rsidP="002C3B74">
      <w:pPr>
        <w:rPr>
          <w:lang w:val="en-GB"/>
        </w:rPr>
      </w:pPr>
      <w:r w:rsidRPr="00D95B39">
        <w:rPr>
          <w:b/>
          <w:lang w:val="en-GB"/>
        </w:rPr>
        <w:t>1</w:t>
      </w:r>
      <w:r w:rsidRPr="002C3B74">
        <w:rPr>
          <w:b/>
          <w:lang w:val="en-GB"/>
        </w:rPr>
        <w:tab/>
      </w:r>
      <w:r w:rsidRPr="002C3B74">
        <w:rPr>
          <w:lang w:val="en-GB"/>
        </w:rPr>
        <w:t>that active spaceborne sensors operating in the bands used by the amateur service, the amateur satellite service, the fixed, radiolocation, space operation, mobile services and the MSS in the range 420-470 MHz, respect the technical and operational constraints provided in Annex 1 to this Recommendation;</w:t>
      </w:r>
    </w:p>
    <w:p w:rsidR="002C3B74" w:rsidRPr="002C3B74" w:rsidRDefault="002C3B74" w:rsidP="002C3B74">
      <w:pPr>
        <w:rPr>
          <w:lang w:val="en-GB"/>
        </w:rPr>
      </w:pPr>
      <w:r w:rsidRPr="00D95B39">
        <w:rPr>
          <w:b/>
          <w:bCs/>
          <w:lang w:val="en-GB"/>
        </w:rPr>
        <w:t>2</w:t>
      </w:r>
      <w:r w:rsidRPr="002C3B74">
        <w:rPr>
          <w:b/>
          <w:bCs/>
          <w:lang w:val="en-GB"/>
        </w:rPr>
        <w:tab/>
      </w:r>
      <w:r w:rsidRPr="002C3B74">
        <w:rPr>
          <w:lang w:val="en-GB"/>
        </w:rPr>
        <w:t>that spaceborne active sensors operating in the range 420-450 MHz not be put into operation within view of the terrestrial space object tracking radars listed in Table 2, unless detailed analysis, on a case-by-case basis, to include consideration of the effects of the radars’ receiver processing upon unwanted SAR signals, and possibly field testing have been performed to confirm compatibility with the mutual agreement of the affected administrations;</w:t>
      </w:r>
    </w:p>
    <w:p w:rsidR="002C3B74" w:rsidRPr="002C3B74" w:rsidRDefault="002C3B74" w:rsidP="002C3B74">
      <w:pPr>
        <w:rPr>
          <w:lang w:val="en-GB"/>
        </w:rPr>
      </w:pPr>
      <w:r w:rsidRPr="00D95B39">
        <w:rPr>
          <w:b/>
          <w:lang w:val="en-GB"/>
        </w:rPr>
        <w:t>3</w:t>
      </w:r>
      <w:r w:rsidRPr="002C3B74">
        <w:rPr>
          <w:b/>
          <w:lang w:val="en-GB"/>
        </w:rPr>
        <w:tab/>
      </w:r>
      <w:r w:rsidRPr="002C3B74">
        <w:rPr>
          <w:lang w:val="en-GB"/>
        </w:rPr>
        <w:t>that a spaceborne SAR intended for operation in the 420-450 MHz band be designed to tolerate the unwanted signal power levels that will result from being tracked by terrestrial space object tracking radars;</w:t>
      </w:r>
    </w:p>
    <w:p w:rsidR="002C3B74" w:rsidRPr="002C3B74" w:rsidRDefault="002C3B74" w:rsidP="002C3B74">
      <w:pPr>
        <w:rPr>
          <w:lang w:val="en-GB"/>
        </w:rPr>
      </w:pPr>
      <w:r w:rsidRPr="00D95B39">
        <w:rPr>
          <w:b/>
          <w:bCs/>
          <w:lang w:val="en-GB"/>
        </w:rPr>
        <w:t>4</w:t>
      </w:r>
      <w:r w:rsidRPr="002C3B74">
        <w:rPr>
          <w:lang w:val="en-GB"/>
        </w:rPr>
        <w:tab/>
        <w:t>that sufficient frequency and geographical separation between spaceborne SARs and wind profilers operating in the ranges 420-432 MHz and 438-450 MHz may need to be provided;</w:t>
      </w:r>
    </w:p>
    <w:p w:rsidR="002C3B74" w:rsidRPr="002C3B74" w:rsidRDefault="002C3B74" w:rsidP="002C3B74">
      <w:pPr>
        <w:rPr>
          <w:lang w:val="en-GB"/>
        </w:rPr>
      </w:pPr>
      <w:r w:rsidRPr="00D95B39">
        <w:rPr>
          <w:b/>
          <w:bCs/>
          <w:lang w:val="en-GB"/>
        </w:rPr>
        <w:t>5</w:t>
      </w:r>
      <w:r w:rsidRPr="002C3B74">
        <w:rPr>
          <w:b/>
          <w:bCs/>
          <w:lang w:val="en-GB"/>
        </w:rPr>
        <w:tab/>
      </w:r>
      <w:r w:rsidRPr="002C3B74">
        <w:rPr>
          <w:lang w:val="en-GB"/>
        </w:rPr>
        <w:t xml:space="preserve">that spaceborne active sensor frequency bands be selected in such a way as not to overlap with launch vehicle range safety command destruct receive frequency bands listed in </w:t>
      </w:r>
      <w:r w:rsidRPr="002C3B74">
        <w:rPr>
          <w:i/>
          <w:iCs/>
          <w:lang w:val="en-GB"/>
        </w:rPr>
        <w:t>considering</w:t>
      </w:r>
      <w:r w:rsidRPr="002C3B74">
        <w:rPr>
          <w:lang w:val="en-GB"/>
        </w:rPr>
        <w:t> </w:t>
      </w:r>
      <w:r w:rsidRPr="002C3B74">
        <w:rPr>
          <w:i/>
          <w:iCs/>
          <w:lang w:val="en-GB"/>
        </w:rPr>
        <w:t>f)</w:t>
      </w:r>
      <w:r w:rsidRPr="002C3B74">
        <w:rPr>
          <w:lang w:val="en-GB"/>
        </w:rPr>
        <w:t>;</w:t>
      </w:r>
    </w:p>
    <w:p w:rsidR="002C3B74" w:rsidRPr="002C3B74" w:rsidRDefault="002C3B74" w:rsidP="002C3B74">
      <w:pPr>
        <w:rPr>
          <w:lang w:val="en-GB"/>
        </w:rPr>
      </w:pPr>
      <w:r w:rsidRPr="00D95B39">
        <w:rPr>
          <w:b/>
          <w:bCs/>
          <w:lang w:val="en-GB"/>
        </w:rPr>
        <w:lastRenderedPageBreak/>
        <w:t>6</w:t>
      </w:r>
      <w:r w:rsidRPr="002C3B74">
        <w:rPr>
          <w:lang w:val="en-GB"/>
        </w:rPr>
        <w:tab/>
        <w:t xml:space="preserve">that in cases where </w:t>
      </w:r>
      <w:r w:rsidRPr="002C3B74">
        <w:rPr>
          <w:i/>
          <w:iCs/>
          <w:lang w:val="en-GB"/>
        </w:rPr>
        <w:t>recommends</w:t>
      </w:r>
      <w:r w:rsidRPr="002C3B74">
        <w:rPr>
          <w:lang w:val="en-GB"/>
        </w:rPr>
        <w:t xml:space="preserve"> 5 becomes difficult to implement, spaceborne active sensors operating in the frequency ranges allocated for launch vehicle range safety command destruct receive frequency bands should not be put into operation within the specific distance of locations where launch vehicle commands are used, in order to avoid interference from spaceborne active sensors into launch vehicle receivers.</w:t>
      </w:r>
    </w:p>
    <w:p w:rsidR="002C3B74" w:rsidRPr="002C3B74" w:rsidRDefault="002C3B74" w:rsidP="002C3B74">
      <w:pPr>
        <w:rPr>
          <w:lang w:val="en-GB"/>
        </w:rPr>
      </w:pPr>
    </w:p>
    <w:p w:rsidR="002C3B74" w:rsidRPr="002C3B74" w:rsidRDefault="002C3B74" w:rsidP="002C3B74">
      <w:pPr>
        <w:overflowPunct/>
        <w:autoSpaceDE/>
        <w:autoSpaceDN/>
        <w:adjustRightInd/>
        <w:spacing w:before="0"/>
        <w:textAlignment w:val="auto"/>
        <w:rPr>
          <w:lang w:val="en-GB"/>
        </w:rPr>
      </w:pPr>
    </w:p>
    <w:p w:rsidR="002C3B74" w:rsidRDefault="002C3B74" w:rsidP="002C3B74">
      <w:pPr>
        <w:pStyle w:val="AnnexNoTitle"/>
        <w:rPr>
          <w:lang w:val="en-GB"/>
        </w:rPr>
      </w:pPr>
      <w:r>
        <w:rPr>
          <w:lang w:val="en-GB"/>
        </w:rPr>
        <w:t xml:space="preserve">Annex </w:t>
      </w:r>
      <w:r>
        <w:rPr>
          <w:bCs/>
          <w:lang w:val="en-GB"/>
        </w:rPr>
        <w:t>1</w:t>
      </w:r>
      <w:r>
        <w:rPr>
          <w:lang w:val="en-GB"/>
        </w:rPr>
        <w:br/>
      </w:r>
      <w:r>
        <w:rPr>
          <w:lang w:val="en-GB"/>
        </w:rPr>
        <w:br/>
        <w:t>Technical and operational constraints for EESS (active)</w:t>
      </w:r>
      <w:r>
        <w:rPr>
          <w:lang w:val="en-GB"/>
        </w:rPr>
        <w:br/>
        <w:t xml:space="preserve">operating in the range </w:t>
      </w:r>
      <w:r>
        <w:rPr>
          <w:bCs/>
          <w:lang w:val="en-GB"/>
        </w:rPr>
        <w:t>420-470 MHz</w:t>
      </w:r>
    </w:p>
    <w:p w:rsidR="002C3B74" w:rsidRPr="002C3B74" w:rsidRDefault="002C3B74" w:rsidP="002C3B74">
      <w:pPr>
        <w:pStyle w:val="Normalaftertitle"/>
        <w:rPr>
          <w:lang w:val="en-GB"/>
        </w:rPr>
      </w:pPr>
      <w:r w:rsidRPr="002C3B74">
        <w:rPr>
          <w:lang w:val="en-GB"/>
        </w:rPr>
        <w:t>For the purposes of protecting stations operating in the existing services, SAR transmissions from stations in the EESS (active) operating in the frequency range 420</w:t>
      </w:r>
      <w:r w:rsidRPr="002C3B74">
        <w:rPr>
          <w:lang w:val="en-GB"/>
        </w:rPr>
        <w:noBreakHyphen/>
        <w:t>470 MHz are subject to the technical and operational constraints specified in this Annex.</w:t>
      </w:r>
    </w:p>
    <w:p w:rsidR="002C3B74" w:rsidRPr="002C3B74" w:rsidRDefault="002C3B74" w:rsidP="002C3B74">
      <w:pPr>
        <w:rPr>
          <w:lang w:val="en-GB"/>
        </w:rPr>
      </w:pPr>
      <w:r w:rsidRPr="002C3B74">
        <w:rPr>
          <w:lang w:val="en-GB"/>
        </w:rPr>
        <w:t xml:space="preserve">The following constraints are based on ITU-R studies. Annex 2 provides information on the </w:t>
      </w:r>
      <w:r w:rsidRPr="002C3B74">
        <w:rPr>
          <w:bCs/>
          <w:lang w:val="en-GB"/>
        </w:rPr>
        <w:t>feasibility of sharing between active spaceborne sensors and other services in the range of 420</w:t>
      </w:r>
      <w:r w:rsidRPr="002C3B74">
        <w:rPr>
          <w:bCs/>
          <w:lang w:val="en-GB"/>
        </w:rPr>
        <w:noBreakHyphen/>
        <w:t>470 MHz.</w:t>
      </w:r>
    </w:p>
    <w:p w:rsidR="002C3B74" w:rsidRPr="002C3B74" w:rsidRDefault="002C3B74" w:rsidP="002C3B74">
      <w:pPr>
        <w:pStyle w:val="Heading1"/>
        <w:rPr>
          <w:lang w:val="en-GB"/>
        </w:rPr>
      </w:pPr>
      <w:r w:rsidRPr="002C3B74">
        <w:rPr>
          <w:lang w:val="en-GB"/>
        </w:rPr>
        <w:t>1</w:t>
      </w:r>
      <w:r w:rsidRPr="002C3B74">
        <w:rPr>
          <w:lang w:val="en-GB"/>
        </w:rPr>
        <w:tab/>
        <w:t>Technical constraints</w:t>
      </w:r>
    </w:p>
    <w:p w:rsidR="002C3B74" w:rsidRPr="002C3B74" w:rsidRDefault="002C3B74" w:rsidP="002C3B74">
      <w:pPr>
        <w:pStyle w:val="TableNo"/>
        <w:rPr>
          <w:lang w:val="en-GB"/>
        </w:rPr>
      </w:pPr>
      <w:r w:rsidRPr="002C3B74">
        <w:rPr>
          <w:lang w:val="en-GB"/>
        </w:rPr>
        <w:t>TABLE 1</w:t>
      </w:r>
    </w:p>
    <w:p w:rsidR="002C3B74" w:rsidRPr="002C3B74" w:rsidRDefault="002C3B74" w:rsidP="002C3B74">
      <w:pPr>
        <w:pStyle w:val="Tabletitle"/>
        <w:rPr>
          <w:lang w:val="en-GB"/>
        </w:rPr>
      </w:pPr>
      <w:r w:rsidRPr="002C3B74">
        <w:rPr>
          <w:lang w:val="en-GB"/>
        </w:rPr>
        <w:t>Technical constraints for EESS (active) instruments</w:t>
      </w:r>
      <w:r w:rsidRPr="002C3B74">
        <w:rPr>
          <w:lang w:val="en-GB"/>
        </w:rPr>
        <w:br/>
        <w:t>in the range 420-470 MHz</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2268"/>
      </w:tblGrid>
      <w:tr w:rsidR="002C3B74" w:rsidTr="005A6A60">
        <w:tc>
          <w:tcPr>
            <w:tcW w:w="6237" w:type="dxa"/>
          </w:tcPr>
          <w:p w:rsidR="002C3B74" w:rsidRDefault="002C3B74" w:rsidP="005A6A60">
            <w:pPr>
              <w:pStyle w:val="Tablehead"/>
              <w:framePr w:hSpace="181" w:wrap="notBeside" w:vAnchor="text" w:hAnchor="text" w:xAlign="center" w:y="1"/>
            </w:pPr>
            <w:r>
              <w:t>Parameter</w:t>
            </w:r>
          </w:p>
        </w:tc>
        <w:tc>
          <w:tcPr>
            <w:tcW w:w="2268" w:type="dxa"/>
          </w:tcPr>
          <w:p w:rsidR="002C3B74" w:rsidRDefault="002C3B74" w:rsidP="005A6A60">
            <w:pPr>
              <w:pStyle w:val="Tablehead"/>
              <w:framePr w:hSpace="181" w:wrap="notBeside" w:vAnchor="text" w:hAnchor="text" w:xAlign="center" w:y="1"/>
            </w:pPr>
            <w:r>
              <w:t>Value</w:t>
            </w:r>
          </w:p>
        </w:tc>
      </w:tr>
      <w:tr w:rsidR="002C3B74" w:rsidTr="005A6A60">
        <w:tc>
          <w:tcPr>
            <w:tcW w:w="6237" w:type="dxa"/>
          </w:tcPr>
          <w:p w:rsidR="002C3B74" w:rsidRPr="002C3B74" w:rsidRDefault="002C3B74" w:rsidP="005A6A60">
            <w:pPr>
              <w:pStyle w:val="Tabletext"/>
              <w:framePr w:hSpace="181" w:wrap="notBeside" w:vAnchor="text" w:hAnchor="text" w:xAlign="center" w:y="1"/>
              <w:rPr>
                <w:lang w:val="en-GB"/>
              </w:rPr>
            </w:pPr>
            <w:r w:rsidRPr="002C3B74">
              <w:rPr>
                <w:lang w:val="en-GB"/>
              </w:rPr>
              <w:t>Peak pfd on Earth’s surface from antenna main lobe</w:t>
            </w:r>
          </w:p>
        </w:tc>
        <w:tc>
          <w:tcPr>
            <w:tcW w:w="2268" w:type="dxa"/>
          </w:tcPr>
          <w:p w:rsidR="002C3B74" w:rsidRDefault="002C3B74" w:rsidP="005A6A60">
            <w:pPr>
              <w:pStyle w:val="Tabletext"/>
              <w:framePr w:hSpace="181" w:wrap="notBeside" w:vAnchor="text" w:hAnchor="text" w:xAlign="center" w:y="1"/>
            </w:pPr>
            <w:r>
              <w:sym w:font="Symbol" w:char="F02D"/>
            </w:r>
            <w:r>
              <w:t>140 dB(W/(m</w:t>
            </w:r>
            <w:r>
              <w:rPr>
                <w:vertAlign w:val="superscript"/>
              </w:rPr>
              <w:t>2</w:t>
            </w:r>
            <w:r>
              <w:t xml:space="preserve"> · Hz))</w:t>
            </w:r>
          </w:p>
        </w:tc>
      </w:tr>
      <w:tr w:rsidR="002C3B74" w:rsidTr="005A6A60">
        <w:tc>
          <w:tcPr>
            <w:tcW w:w="6237" w:type="dxa"/>
          </w:tcPr>
          <w:p w:rsidR="002C3B74" w:rsidRPr="002C3B74" w:rsidRDefault="002C3B74" w:rsidP="005A6A60">
            <w:pPr>
              <w:pStyle w:val="Tabletext"/>
              <w:framePr w:hSpace="181" w:wrap="notBeside" w:vAnchor="text" w:hAnchor="text" w:xAlign="center" w:y="1"/>
              <w:rPr>
                <w:lang w:val="en-GB"/>
              </w:rPr>
            </w:pPr>
            <w:r w:rsidRPr="002C3B74">
              <w:rPr>
                <w:lang w:val="en-GB"/>
              </w:rPr>
              <w:t>Maximum mean pfd on Earth’s surface from antenna main lobe</w:t>
            </w:r>
          </w:p>
        </w:tc>
        <w:tc>
          <w:tcPr>
            <w:tcW w:w="2268" w:type="dxa"/>
          </w:tcPr>
          <w:p w:rsidR="002C3B74" w:rsidRDefault="002C3B74" w:rsidP="005A6A60">
            <w:pPr>
              <w:pStyle w:val="Tabletext"/>
              <w:framePr w:hSpace="181" w:wrap="notBeside" w:vAnchor="text" w:hAnchor="text" w:xAlign="center" w:y="1"/>
            </w:pPr>
            <w:r>
              <w:sym w:font="Symbol" w:char="F02D"/>
            </w:r>
            <w:r>
              <w:t>150 dB(W/(m</w:t>
            </w:r>
            <w:r>
              <w:rPr>
                <w:vertAlign w:val="superscript"/>
              </w:rPr>
              <w:t>2</w:t>
            </w:r>
            <w:r>
              <w:t xml:space="preserve"> · Hz))</w:t>
            </w:r>
          </w:p>
        </w:tc>
      </w:tr>
      <w:tr w:rsidR="002C3B74" w:rsidTr="005A6A60">
        <w:tc>
          <w:tcPr>
            <w:tcW w:w="6237" w:type="dxa"/>
          </w:tcPr>
          <w:p w:rsidR="002C3B74" w:rsidRPr="002C3B74" w:rsidRDefault="002C3B74" w:rsidP="005A6A60">
            <w:pPr>
              <w:pStyle w:val="Tabletext"/>
              <w:framePr w:hSpace="181" w:wrap="notBeside" w:vAnchor="text" w:hAnchor="text" w:xAlign="center" w:y="1"/>
              <w:rPr>
                <w:lang w:val="en-GB"/>
              </w:rPr>
            </w:pPr>
            <w:r w:rsidRPr="002C3B74">
              <w:rPr>
                <w:lang w:val="en-GB"/>
              </w:rPr>
              <w:t>Maximum mean pfd on Earth’s surface from 1st antenna side lobe</w:t>
            </w:r>
          </w:p>
        </w:tc>
        <w:tc>
          <w:tcPr>
            <w:tcW w:w="2268" w:type="dxa"/>
          </w:tcPr>
          <w:p w:rsidR="002C3B74" w:rsidRDefault="002C3B74" w:rsidP="005A6A60">
            <w:pPr>
              <w:pStyle w:val="Tabletext"/>
              <w:framePr w:hSpace="181" w:wrap="notBeside" w:vAnchor="text" w:hAnchor="text" w:xAlign="center" w:y="1"/>
            </w:pPr>
            <w:r>
              <w:sym w:font="Symbol" w:char="F02D"/>
            </w:r>
            <w:r>
              <w:t>170 dB(W/(m</w:t>
            </w:r>
            <w:r>
              <w:rPr>
                <w:vertAlign w:val="superscript"/>
              </w:rPr>
              <w:t>2</w:t>
            </w:r>
            <w:r>
              <w:t xml:space="preserve"> · Hz))</w:t>
            </w:r>
          </w:p>
        </w:tc>
      </w:tr>
    </w:tbl>
    <w:p w:rsidR="002C3B74" w:rsidRPr="00E12D7F" w:rsidRDefault="002C3B74" w:rsidP="002C3B74">
      <w:pPr>
        <w:pStyle w:val="Tablefin"/>
      </w:pPr>
    </w:p>
    <w:p w:rsidR="002C3B74" w:rsidRDefault="002C3B74" w:rsidP="002C3B74">
      <w:pPr>
        <w:pStyle w:val="Heading1"/>
      </w:pPr>
      <w:r>
        <w:t>2</w:t>
      </w:r>
      <w:r>
        <w:tab/>
        <w:t>Operational constraints</w:t>
      </w:r>
    </w:p>
    <w:p w:rsidR="002C3B74" w:rsidRPr="002C3B74" w:rsidRDefault="002C3B74" w:rsidP="002C3B74">
      <w:pPr>
        <w:rPr>
          <w:lang w:val="en-GB"/>
        </w:rPr>
      </w:pPr>
      <w:r w:rsidRPr="002C3B74">
        <w:rPr>
          <w:lang w:val="en-GB"/>
        </w:rPr>
        <w:t xml:space="preserve">EESS (active) operating in the band 420-450 MHz shall not transmit within view of the terrestrial space object tracking radars listed in Table 2, unless detailed analysis, to include consideration of the effects of the radars’ receiver processing upon unwanted SAR signals, and possibly field testing, have been performed to confirm compatibility. </w:t>
      </w:r>
    </w:p>
    <w:p w:rsidR="002C3B74" w:rsidRPr="002C3B74" w:rsidRDefault="002C3B74" w:rsidP="002C3B74">
      <w:pPr>
        <w:rPr>
          <w:lang w:val="en-GB"/>
        </w:rPr>
      </w:pPr>
      <w:r w:rsidRPr="002C3B74">
        <w:rPr>
          <w:lang w:val="en-GB"/>
        </w:rPr>
        <w:t>As a consequence of the above constraints, EESS (active) instruments shall be designed in such a way as to allow programmable turning off of all RF emissions over geographical areas or countries where ITU regulations or national regulations do not allow their operations.</w:t>
      </w:r>
    </w:p>
    <w:p w:rsidR="002C3B74" w:rsidRPr="002C3B74" w:rsidRDefault="002C3B74" w:rsidP="002C3B74">
      <w:pPr>
        <w:rPr>
          <w:lang w:val="en-GB"/>
        </w:rPr>
      </w:pPr>
      <w:r w:rsidRPr="002C3B74">
        <w:rPr>
          <w:lang w:val="en-GB"/>
        </w:rPr>
        <w:t>The EESS (active) instruments operation profile shall be campaign-oriented, targeted to specific geographical areas and shall limit the instrument active time to the minimum required to achieve the campaign objectives. Thus, the measurements carried out by the instrument do not require continuous operation of the instrument, and intervals of months between successive measurements on the same area can be expected.</w:t>
      </w:r>
    </w:p>
    <w:p w:rsidR="002C3B74" w:rsidRPr="002C3B74" w:rsidRDefault="002C3B74" w:rsidP="002C3B74">
      <w:pPr>
        <w:rPr>
          <w:lang w:val="en-GB"/>
        </w:rPr>
      </w:pPr>
      <w:r w:rsidRPr="002C3B74">
        <w:rPr>
          <w:lang w:val="en-GB"/>
        </w:rPr>
        <w:lastRenderedPageBreak/>
        <w:t>The operational duty cycle in campaign-mode will be 15% maximum (typically 10%). While not in campaign-mode, the instrument will be switched off.</w:t>
      </w:r>
    </w:p>
    <w:p w:rsidR="002C3B74" w:rsidRPr="002C3B74" w:rsidRDefault="002C3B74" w:rsidP="002C3B74">
      <w:pPr>
        <w:pStyle w:val="FigureNo"/>
        <w:rPr>
          <w:lang w:val="en-GB"/>
        </w:rPr>
      </w:pPr>
      <w:r w:rsidRPr="002C3B74">
        <w:rPr>
          <w:lang w:val="en-GB"/>
        </w:rPr>
        <w:t>FIGURE 1</w:t>
      </w:r>
    </w:p>
    <w:p w:rsidR="002C3B74" w:rsidRPr="002C3B74" w:rsidRDefault="002C3B74" w:rsidP="002C3B74">
      <w:pPr>
        <w:pStyle w:val="Figuretitle"/>
        <w:rPr>
          <w:lang w:val="en-GB"/>
        </w:rPr>
      </w:pPr>
      <w:r w:rsidRPr="002C3B74">
        <w:rPr>
          <w:lang w:val="en-GB"/>
        </w:rPr>
        <w:t xml:space="preserve">Example of exclusion zone around space object tracking radars for a SAR in a 665 km orbit </w:t>
      </w:r>
      <w:r w:rsidRPr="002C3B74">
        <w:rPr>
          <w:lang w:val="en-GB"/>
        </w:rPr>
        <w:br/>
        <w:t>(Land masses outside of exclusion zone are shown in “red”)</w:t>
      </w:r>
    </w:p>
    <w:p w:rsidR="002C3B74" w:rsidRPr="00E02F78" w:rsidRDefault="00880962" w:rsidP="002C3B74">
      <w:pPr>
        <w:pStyle w:val="Figure"/>
      </w:pPr>
      <w:r>
        <w:object w:dxaOrig="6858" w:dyaOrig="3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8pt;height:171.95pt" o:ole="">
            <v:imagedata r:id="rId13" o:title=""/>
          </v:shape>
          <o:OLEObject Type="Embed" ProgID="CorelDraw.Graphic.17" ShapeID="_x0000_i1025" DrawAspect="Content" ObjectID="_1571550629" r:id="rId14"/>
        </w:object>
      </w:r>
    </w:p>
    <w:p w:rsidR="002C3B74" w:rsidRPr="002C3B74" w:rsidRDefault="002C3B74" w:rsidP="002C3B74">
      <w:pPr>
        <w:pStyle w:val="TableNo"/>
        <w:rPr>
          <w:lang w:val="en-GB"/>
        </w:rPr>
      </w:pPr>
      <w:r w:rsidRPr="002C3B74">
        <w:rPr>
          <w:lang w:val="en-GB"/>
        </w:rPr>
        <w:t>TABLE 2</w:t>
      </w:r>
    </w:p>
    <w:p w:rsidR="002C3B74" w:rsidRPr="002C3B74" w:rsidRDefault="002C3B74" w:rsidP="002C3B74">
      <w:pPr>
        <w:pStyle w:val="Tabletitle"/>
        <w:rPr>
          <w:lang w:val="en-GB"/>
        </w:rPr>
      </w:pPr>
      <w:r w:rsidRPr="002C3B74">
        <w:rPr>
          <w:lang w:val="en-GB"/>
        </w:rPr>
        <w:t>Space object tracking radars operating in 430-440 MHz</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1984"/>
        <w:gridCol w:w="1984"/>
      </w:tblGrid>
      <w:tr w:rsidR="002C3B74" w:rsidTr="005A6A60">
        <w:trPr>
          <w:jc w:val="center"/>
        </w:trPr>
        <w:tc>
          <w:tcPr>
            <w:tcW w:w="4254" w:type="dxa"/>
          </w:tcPr>
          <w:p w:rsidR="002C3B74" w:rsidRDefault="002C3B74" w:rsidP="005A6A60">
            <w:pPr>
              <w:pStyle w:val="Tablehead"/>
            </w:pPr>
            <w:r>
              <w:t>Radar location</w:t>
            </w:r>
          </w:p>
        </w:tc>
        <w:tc>
          <w:tcPr>
            <w:tcW w:w="1984" w:type="dxa"/>
          </w:tcPr>
          <w:p w:rsidR="002C3B74" w:rsidRDefault="002C3B74" w:rsidP="005A6A60">
            <w:pPr>
              <w:pStyle w:val="Tablehead"/>
            </w:pPr>
            <w:r>
              <w:t>Latitude</w:t>
            </w:r>
          </w:p>
        </w:tc>
        <w:tc>
          <w:tcPr>
            <w:tcW w:w="1984" w:type="dxa"/>
          </w:tcPr>
          <w:p w:rsidR="002C3B74" w:rsidRDefault="002C3B74" w:rsidP="005A6A60">
            <w:pPr>
              <w:pStyle w:val="Tablehead"/>
            </w:pPr>
            <w:r>
              <w:t>Longitude</w:t>
            </w:r>
          </w:p>
        </w:tc>
      </w:tr>
      <w:tr w:rsidR="002C3B74" w:rsidTr="005A6A60">
        <w:trPr>
          <w:jc w:val="center"/>
        </w:trPr>
        <w:tc>
          <w:tcPr>
            <w:tcW w:w="4254" w:type="dxa"/>
          </w:tcPr>
          <w:p w:rsidR="002C3B74" w:rsidRPr="002C3B74" w:rsidRDefault="002C3B74" w:rsidP="005A6A60">
            <w:pPr>
              <w:pStyle w:val="Tabletext"/>
              <w:spacing w:before="80" w:after="80"/>
              <w:rPr>
                <w:lang w:val="en-GB"/>
              </w:rPr>
            </w:pPr>
            <w:r w:rsidRPr="002C3B74">
              <w:rPr>
                <w:lang w:val="en-GB"/>
              </w:rPr>
              <w:t>Massachusetts (United States of America)</w:t>
            </w:r>
          </w:p>
        </w:tc>
        <w:tc>
          <w:tcPr>
            <w:tcW w:w="1984" w:type="dxa"/>
          </w:tcPr>
          <w:p w:rsidR="002C3B74" w:rsidRDefault="002C3B74" w:rsidP="005A6A60">
            <w:pPr>
              <w:pStyle w:val="Tabletext"/>
              <w:spacing w:before="80" w:after="80"/>
              <w:jc w:val="center"/>
            </w:pPr>
            <w:r>
              <w:t>41.8º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70.5º W</w:t>
            </w:r>
          </w:p>
        </w:tc>
      </w:tr>
      <w:tr w:rsidR="002C3B74" w:rsidTr="005A6A60">
        <w:trPr>
          <w:jc w:val="center"/>
        </w:trPr>
        <w:tc>
          <w:tcPr>
            <w:tcW w:w="4254" w:type="dxa"/>
          </w:tcPr>
          <w:p w:rsidR="002C3B74" w:rsidRPr="002C3B74" w:rsidRDefault="002C3B74" w:rsidP="005A6A60">
            <w:pPr>
              <w:pStyle w:val="Tabletext"/>
              <w:spacing w:before="80" w:after="80"/>
              <w:rPr>
                <w:lang w:val="en-GB"/>
              </w:rPr>
            </w:pPr>
            <w:r w:rsidRPr="002C3B74">
              <w:rPr>
                <w:lang w:val="en-GB"/>
              </w:rPr>
              <w:t>Texas (United States of America)</w:t>
            </w:r>
          </w:p>
        </w:tc>
        <w:tc>
          <w:tcPr>
            <w:tcW w:w="1984" w:type="dxa"/>
          </w:tcPr>
          <w:p w:rsidR="002C3B74" w:rsidRDefault="002C3B74" w:rsidP="005A6A60">
            <w:pPr>
              <w:pStyle w:val="Tabletext"/>
              <w:spacing w:before="80" w:after="80"/>
              <w:jc w:val="center"/>
            </w:pPr>
            <w:r>
              <w:t>31.0º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100.6º W</w:t>
            </w:r>
          </w:p>
        </w:tc>
      </w:tr>
      <w:tr w:rsidR="002C3B74" w:rsidTr="005A6A60">
        <w:trPr>
          <w:jc w:val="center"/>
        </w:trPr>
        <w:tc>
          <w:tcPr>
            <w:tcW w:w="4254" w:type="dxa"/>
          </w:tcPr>
          <w:p w:rsidR="002C3B74" w:rsidRPr="002C3B74" w:rsidRDefault="002C3B74" w:rsidP="005A6A60">
            <w:pPr>
              <w:pStyle w:val="Tabletext"/>
              <w:spacing w:before="80" w:after="80"/>
              <w:rPr>
                <w:lang w:val="en-GB"/>
              </w:rPr>
            </w:pPr>
            <w:r w:rsidRPr="002C3B74">
              <w:rPr>
                <w:lang w:val="en-GB"/>
              </w:rPr>
              <w:t>California (United States of America)</w:t>
            </w:r>
          </w:p>
        </w:tc>
        <w:tc>
          <w:tcPr>
            <w:tcW w:w="1984" w:type="dxa"/>
          </w:tcPr>
          <w:p w:rsidR="002C3B74" w:rsidRDefault="002C3B74" w:rsidP="005A6A60">
            <w:pPr>
              <w:pStyle w:val="Tabletext"/>
              <w:spacing w:before="80" w:after="80"/>
              <w:jc w:val="center"/>
            </w:pPr>
            <w:r>
              <w:t>39.1º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121.5º W</w:t>
            </w:r>
          </w:p>
        </w:tc>
      </w:tr>
      <w:tr w:rsidR="002C3B74" w:rsidTr="005A6A60">
        <w:trPr>
          <w:jc w:val="center"/>
        </w:trPr>
        <w:tc>
          <w:tcPr>
            <w:tcW w:w="4254" w:type="dxa"/>
          </w:tcPr>
          <w:p w:rsidR="002C3B74" w:rsidRPr="00EE2914" w:rsidRDefault="002C3B74" w:rsidP="005A6A60">
            <w:pPr>
              <w:pStyle w:val="Tabletext"/>
              <w:spacing w:before="80" w:after="80"/>
              <w:rPr>
                <w:lang w:val="en-GB"/>
              </w:rPr>
            </w:pPr>
            <w:r w:rsidRPr="00EE2914">
              <w:rPr>
                <w:lang w:val="en-GB"/>
              </w:rPr>
              <w:t>Georgia (United States of America)</w:t>
            </w:r>
          </w:p>
        </w:tc>
        <w:tc>
          <w:tcPr>
            <w:tcW w:w="1984" w:type="dxa"/>
          </w:tcPr>
          <w:p w:rsidR="002C3B74" w:rsidRDefault="002C3B74" w:rsidP="005A6A60">
            <w:pPr>
              <w:pStyle w:val="Tabletext"/>
              <w:spacing w:before="80" w:after="80"/>
              <w:jc w:val="center"/>
            </w:pPr>
            <w:r>
              <w:t>32.6º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83.6º W</w:t>
            </w:r>
          </w:p>
        </w:tc>
      </w:tr>
      <w:tr w:rsidR="002C3B74" w:rsidTr="005A6A60">
        <w:trPr>
          <w:jc w:val="center"/>
        </w:trPr>
        <w:tc>
          <w:tcPr>
            <w:tcW w:w="4254" w:type="dxa"/>
          </w:tcPr>
          <w:p w:rsidR="002C3B74" w:rsidRPr="00EE2914" w:rsidRDefault="002C3B74" w:rsidP="005A6A60">
            <w:pPr>
              <w:pStyle w:val="Tabletext"/>
              <w:spacing w:before="80" w:after="80"/>
              <w:rPr>
                <w:lang w:val="en-GB"/>
              </w:rPr>
            </w:pPr>
            <w:r w:rsidRPr="00EE2914">
              <w:rPr>
                <w:lang w:val="en-GB"/>
              </w:rPr>
              <w:t>Florida (United States of America)</w:t>
            </w:r>
          </w:p>
        </w:tc>
        <w:tc>
          <w:tcPr>
            <w:tcW w:w="1984" w:type="dxa"/>
          </w:tcPr>
          <w:p w:rsidR="002C3B74" w:rsidRDefault="002C3B74" w:rsidP="005A6A60">
            <w:pPr>
              <w:pStyle w:val="Tabletext"/>
              <w:spacing w:before="80" w:after="80"/>
              <w:jc w:val="center"/>
            </w:pPr>
            <w:r>
              <w:t>30.6º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86.2º W</w:t>
            </w:r>
          </w:p>
        </w:tc>
      </w:tr>
      <w:tr w:rsidR="002C3B74" w:rsidTr="005A6A60">
        <w:trPr>
          <w:jc w:val="center"/>
        </w:trPr>
        <w:tc>
          <w:tcPr>
            <w:tcW w:w="4254" w:type="dxa"/>
          </w:tcPr>
          <w:p w:rsidR="002C3B74" w:rsidRPr="00EE2914" w:rsidRDefault="002C3B74" w:rsidP="005A6A60">
            <w:pPr>
              <w:pStyle w:val="Tabletext"/>
              <w:spacing w:before="80" w:after="80"/>
              <w:rPr>
                <w:lang w:val="en-GB"/>
              </w:rPr>
            </w:pPr>
            <w:r w:rsidRPr="00EE2914">
              <w:rPr>
                <w:lang w:val="en-GB"/>
              </w:rPr>
              <w:t>North Dakota (United States of America)</w:t>
            </w:r>
          </w:p>
        </w:tc>
        <w:tc>
          <w:tcPr>
            <w:tcW w:w="1984" w:type="dxa"/>
          </w:tcPr>
          <w:p w:rsidR="002C3B74" w:rsidRDefault="002C3B74" w:rsidP="005A6A60">
            <w:pPr>
              <w:pStyle w:val="Tabletext"/>
              <w:spacing w:before="80" w:after="80"/>
              <w:jc w:val="center"/>
            </w:pPr>
            <w:r>
              <w:t>48.7º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97.9º W</w:t>
            </w:r>
          </w:p>
        </w:tc>
      </w:tr>
      <w:tr w:rsidR="002C3B74" w:rsidTr="005A6A60">
        <w:trPr>
          <w:jc w:val="center"/>
        </w:trPr>
        <w:tc>
          <w:tcPr>
            <w:tcW w:w="4254" w:type="dxa"/>
          </w:tcPr>
          <w:p w:rsidR="002C3B74" w:rsidRPr="00EE2914" w:rsidRDefault="002C3B74" w:rsidP="005A6A60">
            <w:pPr>
              <w:pStyle w:val="Tabletext"/>
              <w:spacing w:before="80" w:after="80"/>
              <w:rPr>
                <w:lang w:val="en-GB"/>
              </w:rPr>
            </w:pPr>
            <w:r w:rsidRPr="00EE2914">
              <w:rPr>
                <w:lang w:val="en-GB"/>
              </w:rPr>
              <w:t>Alaska (United States of America)</w:t>
            </w:r>
          </w:p>
        </w:tc>
        <w:tc>
          <w:tcPr>
            <w:tcW w:w="1984" w:type="dxa"/>
          </w:tcPr>
          <w:p w:rsidR="002C3B74" w:rsidRDefault="002C3B74" w:rsidP="005A6A60">
            <w:pPr>
              <w:pStyle w:val="Tabletext"/>
              <w:spacing w:before="80" w:after="80"/>
              <w:jc w:val="center"/>
            </w:pPr>
            <w:r>
              <w:t>64.3º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149.2º W</w:t>
            </w:r>
          </w:p>
        </w:tc>
      </w:tr>
      <w:tr w:rsidR="002C3B74" w:rsidTr="005A6A60">
        <w:trPr>
          <w:jc w:val="center"/>
        </w:trPr>
        <w:tc>
          <w:tcPr>
            <w:tcW w:w="4254" w:type="dxa"/>
          </w:tcPr>
          <w:p w:rsidR="002C3B74" w:rsidRDefault="002C3B74" w:rsidP="005A6A60">
            <w:pPr>
              <w:pStyle w:val="Tabletext"/>
              <w:spacing w:before="80" w:after="80"/>
            </w:pPr>
            <w:r>
              <w:t>Thule (Greenland)</w:t>
            </w:r>
          </w:p>
        </w:tc>
        <w:tc>
          <w:tcPr>
            <w:tcW w:w="1984" w:type="dxa"/>
          </w:tcPr>
          <w:p w:rsidR="002C3B74" w:rsidRDefault="002C3B74" w:rsidP="005A6A60">
            <w:pPr>
              <w:pStyle w:val="Tabletext"/>
              <w:spacing w:before="80" w:after="80"/>
              <w:jc w:val="center"/>
            </w:pPr>
            <w:r>
              <w:t>76.6º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68.3º W</w:t>
            </w:r>
          </w:p>
        </w:tc>
      </w:tr>
      <w:tr w:rsidR="002C3B74" w:rsidTr="005A6A60">
        <w:trPr>
          <w:jc w:val="center"/>
        </w:trPr>
        <w:tc>
          <w:tcPr>
            <w:tcW w:w="4254" w:type="dxa"/>
          </w:tcPr>
          <w:p w:rsidR="002C3B74" w:rsidRDefault="002C3B74" w:rsidP="005A6A60">
            <w:pPr>
              <w:pStyle w:val="Tabletext"/>
              <w:spacing w:before="80" w:after="80"/>
            </w:pPr>
            <w:r>
              <w:t>Fylingdales Moor (United Kingdom)</w:t>
            </w:r>
          </w:p>
        </w:tc>
        <w:tc>
          <w:tcPr>
            <w:tcW w:w="1984" w:type="dxa"/>
          </w:tcPr>
          <w:p w:rsidR="002C3B74" w:rsidRDefault="002C3B74" w:rsidP="005A6A60">
            <w:pPr>
              <w:pStyle w:val="Tabletext"/>
              <w:spacing w:before="80" w:after="80"/>
              <w:jc w:val="center"/>
            </w:pPr>
            <w:r>
              <w:t>54.5º N</w:t>
            </w:r>
          </w:p>
        </w:tc>
        <w:tc>
          <w:tcPr>
            <w:tcW w:w="1984"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9"/>
              </w:tabs>
              <w:spacing w:before="80" w:after="80"/>
              <w:jc w:val="center"/>
            </w:pPr>
            <w:r>
              <w:t>0.4º W</w:t>
            </w:r>
          </w:p>
        </w:tc>
      </w:tr>
    </w:tbl>
    <w:p w:rsidR="002C3B74" w:rsidRPr="006E2B8B" w:rsidRDefault="002C3B74" w:rsidP="002C3B74">
      <w:pPr>
        <w:pStyle w:val="Tablefin"/>
      </w:pPr>
    </w:p>
    <w:p w:rsidR="002C3B74" w:rsidRPr="00EE2914" w:rsidRDefault="002C3B74" w:rsidP="002C3B74">
      <w:pPr>
        <w:pStyle w:val="Heading1"/>
        <w:rPr>
          <w:lang w:val="en-GB"/>
        </w:rPr>
      </w:pPr>
      <w:r w:rsidRPr="00EE2914">
        <w:rPr>
          <w:lang w:val="en-GB"/>
        </w:rPr>
        <w:t>3</w:t>
      </w:r>
      <w:r w:rsidRPr="00EE2914">
        <w:rPr>
          <w:lang w:val="en-GB"/>
        </w:rPr>
        <w:tab/>
        <w:t>Protection criteria for existing services in the frequency range 420</w:t>
      </w:r>
      <w:r w:rsidRPr="00EE2914">
        <w:rPr>
          <w:lang w:val="en-GB"/>
        </w:rPr>
        <w:noBreakHyphen/>
        <w:t>470 MHz</w:t>
      </w:r>
    </w:p>
    <w:p w:rsidR="002C3B74" w:rsidRPr="00EE2914" w:rsidRDefault="002C3B74" w:rsidP="002C3B74">
      <w:pPr>
        <w:rPr>
          <w:lang w:val="en-GB"/>
        </w:rPr>
      </w:pPr>
      <w:r w:rsidRPr="00EE2914">
        <w:rPr>
          <w:lang w:val="en-GB"/>
        </w:rPr>
        <w:t xml:space="preserve">Not all protection criteria mentioned in this section are contained in ITU-R Recommendations. Therefore, some of these protection criteria have been derived from information provided in ITU-R studies. Table 3 reflects the information available at the time of the development of this Recommendation. </w:t>
      </w:r>
    </w:p>
    <w:p w:rsidR="002C3B74" w:rsidRPr="00EE2914" w:rsidRDefault="002C3B74" w:rsidP="002C3B74">
      <w:pPr>
        <w:rPr>
          <w:lang w:val="en-GB"/>
        </w:rPr>
      </w:pPr>
      <w:r w:rsidRPr="00EE2914">
        <w:rPr>
          <w:lang w:val="en-GB"/>
        </w:rPr>
        <w:t>It should be noted that any future Recommendation describing the protection criteria for any given service, has preference above the value listed in the table as derived from ITU-R studies.</w:t>
      </w:r>
    </w:p>
    <w:p w:rsidR="002C3B74" w:rsidRDefault="002C3B74" w:rsidP="003405F3">
      <w:pPr>
        <w:pStyle w:val="TableNo"/>
        <w:rPr>
          <w:lang w:val="en-CA"/>
        </w:rPr>
      </w:pPr>
      <w:r>
        <w:rPr>
          <w:lang w:val="en-CA"/>
        </w:rPr>
        <w:lastRenderedPageBreak/>
        <w:t>TABLE 3</w:t>
      </w:r>
    </w:p>
    <w:p w:rsidR="002C3B74" w:rsidRDefault="002C3B74" w:rsidP="002C3B74">
      <w:pPr>
        <w:pStyle w:val="Tabletitle"/>
        <w:rPr>
          <w:lang w:val="en-CA"/>
        </w:rPr>
      </w:pPr>
      <w:r>
        <w:rPr>
          <w:lang w:val="en-CA"/>
        </w:rPr>
        <w:t>Protection criteria for services in the range 420-470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29"/>
        <w:gridCol w:w="1129"/>
        <w:gridCol w:w="2133"/>
        <w:gridCol w:w="1247"/>
        <w:gridCol w:w="29"/>
        <w:gridCol w:w="2240"/>
        <w:gridCol w:w="27"/>
        <w:gridCol w:w="1563"/>
      </w:tblGrid>
      <w:tr w:rsidR="002C3B74" w:rsidTr="003405F3">
        <w:trPr>
          <w:jc w:val="center"/>
        </w:trPr>
        <w:tc>
          <w:tcPr>
            <w:tcW w:w="1247" w:type="dxa"/>
            <w:vAlign w:val="center"/>
          </w:tcPr>
          <w:p w:rsidR="002C3B74" w:rsidRDefault="002C3B74" w:rsidP="005A6A60">
            <w:pPr>
              <w:pStyle w:val="Tablehead"/>
              <w:tabs>
                <w:tab w:val="clear" w:pos="1134"/>
                <w:tab w:val="clear" w:pos="2268"/>
              </w:tabs>
              <w:spacing w:before="60" w:after="60"/>
              <w:rPr>
                <w:sz w:val="18"/>
                <w:lang w:val="en-CA"/>
              </w:rPr>
            </w:pPr>
            <w:r>
              <w:rPr>
                <w:sz w:val="18"/>
                <w:lang w:val="en-CA"/>
              </w:rPr>
              <w:t xml:space="preserve">Frequency range </w:t>
            </w:r>
            <w:r>
              <w:rPr>
                <w:sz w:val="18"/>
                <w:lang w:val="en-CA"/>
              </w:rPr>
              <w:br/>
              <w:t>(MHz)</w:t>
            </w:r>
          </w:p>
        </w:tc>
        <w:tc>
          <w:tcPr>
            <w:tcW w:w="1158" w:type="dxa"/>
            <w:gridSpan w:val="2"/>
            <w:vAlign w:val="center"/>
          </w:tcPr>
          <w:p w:rsidR="002C3B74" w:rsidRDefault="002C3B74" w:rsidP="005A6A60">
            <w:pPr>
              <w:pStyle w:val="Tablehead"/>
              <w:tabs>
                <w:tab w:val="clear" w:pos="1134"/>
                <w:tab w:val="clear" w:pos="2268"/>
              </w:tabs>
              <w:spacing w:before="60" w:after="60"/>
              <w:rPr>
                <w:sz w:val="18"/>
              </w:rPr>
            </w:pPr>
            <w:r>
              <w:rPr>
                <w:sz w:val="18"/>
              </w:rPr>
              <w:t>RR services</w:t>
            </w:r>
          </w:p>
        </w:tc>
        <w:tc>
          <w:tcPr>
            <w:tcW w:w="2133" w:type="dxa"/>
            <w:vAlign w:val="center"/>
          </w:tcPr>
          <w:p w:rsidR="002C3B74" w:rsidRDefault="002C3B74" w:rsidP="005A6A60">
            <w:pPr>
              <w:pStyle w:val="Tablehead"/>
              <w:tabs>
                <w:tab w:val="clear" w:pos="1134"/>
                <w:tab w:val="clear" w:pos="2268"/>
              </w:tabs>
              <w:spacing w:before="60" w:after="60"/>
              <w:rPr>
                <w:sz w:val="18"/>
                <w:lang w:val="en-US"/>
              </w:rPr>
            </w:pPr>
            <w:r>
              <w:rPr>
                <w:sz w:val="18"/>
                <w:lang w:val="en-US"/>
              </w:rPr>
              <w:t>The time percentages and criteria in columns 4 and 5 are to be applied only in the following geographical areas</w:t>
            </w:r>
          </w:p>
        </w:tc>
        <w:tc>
          <w:tcPr>
            <w:tcW w:w="1247" w:type="dxa"/>
            <w:vAlign w:val="center"/>
          </w:tcPr>
          <w:p w:rsidR="002C3B74" w:rsidRDefault="002C3B74" w:rsidP="005A6A60">
            <w:pPr>
              <w:pStyle w:val="Tablehead"/>
              <w:tabs>
                <w:tab w:val="clear" w:pos="1134"/>
                <w:tab w:val="clear" w:pos="2268"/>
              </w:tabs>
              <w:spacing w:before="60" w:after="60"/>
              <w:rPr>
                <w:sz w:val="18"/>
                <w:lang w:val="en-US"/>
              </w:rPr>
            </w:pPr>
            <w:r>
              <w:rPr>
                <w:sz w:val="18"/>
                <w:lang w:val="en-US"/>
              </w:rPr>
              <w:t>Maximum percentage of time that the criteria may be exceeded</w:t>
            </w:r>
            <w:r>
              <w:rPr>
                <w:sz w:val="18"/>
                <w:vertAlign w:val="superscript"/>
                <w:lang w:val="en-US"/>
              </w:rPr>
              <w:t>(1)</w:t>
            </w:r>
          </w:p>
        </w:tc>
        <w:tc>
          <w:tcPr>
            <w:tcW w:w="2269" w:type="dxa"/>
            <w:gridSpan w:val="2"/>
            <w:vAlign w:val="center"/>
          </w:tcPr>
          <w:p w:rsidR="002C3B74" w:rsidRDefault="002C3B74" w:rsidP="005A6A60">
            <w:pPr>
              <w:pStyle w:val="Tablehead"/>
              <w:tabs>
                <w:tab w:val="clear" w:pos="1134"/>
                <w:tab w:val="clear" w:pos="2268"/>
              </w:tabs>
              <w:spacing w:before="60" w:after="60"/>
              <w:rPr>
                <w:sz w:val="18"/>
                <w:lang w:val="en-US"/>
              </w:rPr>
            </w:pPr>
            <w:r>
              <w:rPr>
                <w:sz w:val="18"/>
                <w:lang w:val="en-US"/>
              </w:rPr>
              <w:t xml:space="preserve">Interference criteria </w:t>
            </w:r>
            <w:r>
              <w:rPr>
                <w:sz w:val="18"/>
                <w:lang w:val="en-US"/>
              </w:rPr>
              <w:br/>
              <w:t>at receiving stations</w:t>
            </w:r>
          </w:p>
        </w:tc>
        <w:tc>
          <w:tcPr>
            <w:tcW w:w="1590" w:type="dxa"/>
            <w:gridSpan w:val="2"/>
            <w:vAlign w:val="center"/>
          </w:tcPr>
          <w:p w:rsidR="002C3B74" w:rsidRDefault="002C3B74" w:rsidP="005A6A60">
            <w:pPr>
              <w:pStyle w:val="Tablehead"/>
              <w:tabs>
                <w:tab w:val="clear" w:pos="1134"/>
                <w:tab w:val="clear" w:pos="2268"/>
              </w:tabs>
              <w:spacing w:before="60" w:after="60"/>
              <w:rPr>
                <w:sz w:val="18"/>
                <w:lang w:val="en-US"/>
              </w:rPr>
            </w:pPr>
            <w:r>
              <w:rPr>
                <w:sz w:val="18"/>
                <w:lang w:val="en-US"/>
              </w:rPr>
              <w:t>Sources</w:t>
            </w:r>
          </w:p>
        </w:tc>
      </w:tr>
      <w:tr w:rsidR="002C3B74" w:rsidTr="003405F3">
        <w:trPr>
          <w:jc w:val="center"/>
        </w:trPr>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430-440</w:t>
            </w:r>
          </w:p>
        </w:tc>
        <w:tc>
          <w:tcPr>
            <w:tcW w:w="1158"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Amateur</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 xml:space="preserve">Within line-of-sight (LoS) of terrestrial amateur stations located in regions defined in </w:t>
            </w:r>
            <w:r>
              <w:rPr>
                <w:i/>
                <w:sz w:val="18"/>
                <w:lang w:val="en-US"/>
              </w:rPr>
              <w:t xml:space="preserve">considering </w:t>
            </w:r>
            <w:r w:rsidRPr="000D0B3B">
              <w:rPr>
                <w:i/>
                <w:sz w:val="18"/>
                <w:lang w:val="en-US"/>
              </w:rPr>
              <w:t>i)</w:t>
            </w:r>
          </w:p>
        </w:tc>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1%</w:t>
            </w:r>
          </w:p>
        </w:tc>
        <w:tc>
          <w:tcPr>
            <w:tcW w:w="2269"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 xml:space="preserve">pfd </w:t>
            </w:r>
            <w:r>
              <w:rPr>
                <w:rFonts w:ascii="Symbol" w:hAnsi="Symbol"/>
                <w:sz w:val="18"/>
                <w:lang w:val="de-DE"/>
              </w:rPr>
              <w:t></w:t>
            </w:r>
            <w:r>
              <w:rPr>
                <w:sz w:val="18"/>
                <w:lang w:val="de-DE"/>
              </w:rPr>
              <w:br/>
            </w:r>
            <w:r>
              <w:rPr>
                <w:sz w:val="18"/>
              </w:rPr>
              <w:sym w:font="Symbol" w:char="F02D"/>
            </w:r>
            <w:r>
              <w:rPr>
                <w:sz w:val="18"/>
                <w:lang w:val="de-DE"/>
              </w:rPr>
              <w:t>204 dB(W/(m</w:t>
            </w:r>
            <w:r>
              <w:rPr>
                <w:sz w:val="18"/>
                <w:vertAlign w:val="superscript"/>
                <w:lang w:val="de-DE"/>
              </w:rPr>
              <w:t xml:space="preserve">2 </w:t>
            </w:r>
            <w:r>
              <w:rPr>
                <w:sz w:val="18"/>
                <w:lang w:val="de-DE"/>
              </w:rPr>
              <w:t>· Hz))</w:t>
            </w:r>
            <w:r>
              <w:rPr>
                <w:sz w:val="18"/>
                <w:vertAlign w:val="superscript"/>
                <w:lang w:val="de-DE"/>
              </w:rPr>
              <w:t>(2)</w:t>
            </w:r>
          </w:p>
        </w:tc>
        <w:tc>
          <w:tcPr>
            <w:tcW w:w="1590"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ITU-R studies</w:t>
            </w:r>
          </w:p>
        </w:tc>
      </w:tr>
      <w:tr w:rsidR="002C3B74" w:rsidTr="003405F3">
        <w:trPr>
          <w:jc w:val="center"/>
        </w:trPr>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435-438</w:t>
            </w:r>
          </w:p>
        </w:tc>
        <w:tc>
          <w:tcPr>
            <w:tcW w:w="1158"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Amateur satellite</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 xml:space="preserve">Within LoS of satellite amateur earth stations located in regions defined in </w:t>
            </w:r>
            <w:r>
              <w:rPr>
                <w:i/>
                <w:sz w:val="18"/>
                <w:lang w:val="en-US"/>
              </w:rPr>
              <w:t>considering</w:t>
            </w:r>
            <w:r>
              <w:rPr>
                <w:sz w:val="18"/>
                <w:lang w:val="en-US"/>
              </w:rPr>
              <w:t xml:space="preserve"> </w:t>
            </w:r>
            <w:r w:rsidRPr="000D0B3B">
              <w:rPr>
                <w:i/>
                <w:sz w:val="18"/>
                <w:lang w:val="en-US"/>
              </w:rPr>
              <w:t>i)</w:t>
            </w:r>
          </w:p>
        </w:tc>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1%</w:t>
            </w:r>
          </w:p>
        </w:tc>
        <w:tc>
          <w:tcPr>
            <w:tcW w:w="2269"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 xml:space="preserve">pfd </w:t>
            </w:r>
            <w:r>
              <w:rPr>
                <w:rFonts w:ascii="Symbol" w:hAnsi="Symbol"/>
                <w:sz w:val="18"/>
                <w:lang w:val="de-DE"/>
              </w:rPr>
              <w:t></w:t>
            </w:r>
            <w:r>
              <w:rPr>
                <w:sz w:val="18"/>
                <w:lang w:val="de-DE"/>
              </w:rPr>
              <w:br/>
            </w:r>
            <w:r>
              <w:rPr>
                <w:sz w:val="18"/>
              </w:rPr>
              <w:sym w:font="Symbol" w:char="F02D"/>
            </w:r>
            <w:r>
              <w:rPr>
                <w:sz w:val="18"/>
                <w:lang w:val="de-DE"/>
              </w:rPr>
              <w:t>197 dB(W/(m</w:t>
            </w:r>
            <w:r>
              <w:rPr>
                <w:sz w:val="18"/>
                <w:vertAlign w:val="superscript"/>
                <w:lang w:val="de-DE"/>
              </w:rPr>
              <w:t xml:space="preserve">2 </w:t>
            </w:r>
            <w:r>
              <w:rPr>
                <w:sz w:val="18"/>
                <w:lang w:val="de-DE"/>
              </w:rPr>
              <w:t>· Hz))</w:t>
            </w:r>
            <w:r>
              <w:rPr>
                <w:sz w:val="18"/>
                <w:vertAlign w:val="superscript"/>
                <w:lang w:val="de-DE"/>
              </w:rPr>
              <w:t xml:space="preserve"> </w:t>
            </w:r>
          </w:p>
        </w:tc>
        <w:tc>
          <w:tcPr>
            <w:tcW w:w="1590"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ITU-R studies</w:t>
            </w:r>
          </w:p>
        </w:tc>
      </w:tr>
      <w:tr w:rsidR="002C3B74" w:rsidTr="003405F3">
        <w:trPr>
          <w:jc w:val="center"/>
        </w:trPr>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435-438</w:t>
            </w:r>
          </w:p>
        </w:tc>
        <w:tc>
          <w:tcPr>
            <w:tcW w:w="1158"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Amateur satellite</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Within LoS of receivers of amateur space stations</w:t>
            </w:r>
          </w:p>
        </w:tc>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1%</w:t>
            </w:r>
          </w:p>
        </w:tc>
        <w:tc>
          <w:tcPr>
            <w:tcW w:w="2269"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 xml:space="preserve">pfd </w:t>
            </w:r>
            <w:r>
              <w:rPr>
                <w:rFonts w:ascii="Symbol" w:hAnsi="Symbol"/>
                <w:sz w:val="18"/>
                <w:lang w:val="de-DE"/>
              </w:rPr>
              <w:t></w:t>
            </w:r>
            <w:r>
              <w:rPr>
                <w:sz w:val="18"/>
                <w:lang w:val="de-DE"/>
              </w:rPr>
              <w:br/>
            </w:r>
            <w:r>
              <w:rPr>
                <w:sz w:val="18"/>
              </w:rPr>
              <w:sym w:font="Symbol" w:char="F02D"/>
            </w:r>
            <w:r>
              <w:rPr>
                <w:sz w:val="18"/>
                <w:lang w:val="de-DE"/>
              </w:rPr>
              <w:t>187 dB(W/(m</w:t>
            </w:r>
            <w:r>
              <w:rPr>
                <w:sz w:val="18"/>
                <w:vertAlign w:val="superscript"/>
                <w:lang w:val="de-DE"/>
              </w:rPr>
              <w:t xml:space="preserve">2 </w:t>
            </w:r>
            <w:r>
              <w:rPr>
                <w:sz w:val="18"/>
                <w:lang w:val="de-DE"/>
              </w:rPr>
              <w:t>· Hz))</w:t>
            </w:r>
          </w:p>
        </w:tc>
        <w:tc>
          <w:tcPr>
            <w:tcW w:w="1590"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ITU-R studies</w:t>
            </w:r>
          </w:p>
        </w:tc>
      </w:tr>
      <w:tr w:rsidR="002C3B74" w:rsidRPr="00540612" w:rsidTr="003405F3">
        <w:trPr>
          <w:jc w:val="center"/>
        </w:trPr>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420-470</w:t>
            </w:r>
            <w:r>
              <w:rPr>
                <w:sz w:val="18"/>
                <w:vertAlign w:val="superscript"/>
                <w:lang w:val="en-US"/>
              </w:rPr>
              <w:t>(3)</w:t>
            </w:r>
          </w:p>
        </w:tc>
        <w:tc>
          <w:tcPr>
            <w:tcW w:w="1158"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Fixed</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 xml:space="preserve">Within LoS of stations of the fixed service including stations located in regions defined in </w:t>
            </w:r>
            <w:r>
              <w:rPr>
                <w:i/>
                <w:sz w:val="18"/>
                <w:lang w:val="en-US"/>
              </w:rPr>
              <w:t>considering</w:t>
            </w:r>
            <w:r>
              <w:rPr>
                <w:sz w:val="18"/>
                <w:lang w:val="en-US"/>
              </w:rPr>
              <w:t xml:space="preserve"> </w:t>
            </w:r>
            <w:r w:rsidRPr="000D0B3B">
              <w:rPr>
                <w:i/>
                <w:iCs/>
                <w:sz w:val="18"/>
                <w:lang w:val="en-US"/>
              </w:rPr>
              <w:t>j)</w:t>
            </w:r>
          </w:p>
        </w:tc>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Not applicable</w:t>
            </w:r>
          </w:p>
        </w:tc>
        <w:tc>
          <w:tcPr>
            <w:tcW w:w="2269"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w:t>
            </w:r>
            <w:r>
              <w:rPr>
                <w:i/>
                <w:iCs/>
                <w:sz w:val="18"/>
                <w:lang w:val="en-US"/>
              </w:rPr>
              <w:t>I</w:t>
            </w:r>
            <w:r>
              <w:rPr>
                <w:sz w:val="18"/>
                <w:lang w:val="en-US"/>
              </w:rPr>
              <w:t>/</w:t>
            </w:r>
            <w:r>
              <w:rPr>
                <w:i/>
                <w:iCs/>
                <w:sz w:val="18"/>
                <w:lang w:val="en-US"/>
              </w:rPr>
              <w:t>N</w:t>
            </w:r>
            <w:r>
              <w:rPr>
                <w:sz w:val="18"/>
                <w:lang w:val="en-US"/>
              </w:rPr>
              <w:t>)</w:t>
            </w:r>
            <w:r>
              <w:rPr>
                <w:i/>
                <w:iCs/>
                <w:sz w:val="18"/>
                <w:vertAlign w:val="subscript"/>
                <w:lang w:val="en-US"/>
              </w:rPr>
              <w:t>MEAN</w:t>
            </w:r>
            <w:r>
              <w:rPr>
                <w:sz w:val="18"/>
                <w:lang w:val="en-US"/>
              </w:rPr>
              <w:t xml:space="preserve"> </w:t>
            </w:r>
            <w:r>
              <w:rPr>
                <w:rFonts w:ascii="Symbol" w:hAnsi="Symbol"/>
                <w:sz w:val="18"/>
                <w:lang w:val="en-US"/>
              </w:rPr>
              <w:t></w:t>
            </w:r>
            <w:r>
              <w:rPr>
                <w:sz w:val="18"/>
                <w:lang w:val="en-US"/>
              </w:rPr>
              <w:t> –20 dB (equivalent to 1% fractional degradation in performance)</w:t>
            </w:r>
          </w:p>
        </w:tc>
        <w:tc>
          <w:tcPr>
            <w:tcW w:w="1590"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 xml:space="preserve">Recs. </w:t>
            </w:r>
            <w:r>
              <w:rPr>
                <w:sz w:val="18"/>
                <w:lang w:val="en-US"/>
              </w:rPr>
              <w:br/>
              <w:t xml:space="preserve">ITU-R F.758 and </w:t>
            </w:r>
            <w:r>
              <w:rPr>
                <w:sz w:val="18"/>
                <w:lang w:val="en-US"/>
              </w:rPr>
              <w:br/>
              <w:t>ITU-R F.1108</w:t>
            </w:r>
          </w:p>
        </w:tc>
      </w:tr>
      <w:tr w:rsidR="002C3B74" w:rsidTr="003405F3">
        <w:trPr>
          <w:jc w:val="center"/>
        </w:trPr>
        <w:tc>
          <w:tcPr>
            <w:tcW w:w="1247"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 xml:space="preserve">420-432 and </w:t>
            </w:r>
            <w:r>
              <w:rPr>
                <w:sz w:val="18"/>
                <w:lang w:val="en-US"/>
              </w:rPr>
              <w:br/>
              <w:t>438-450</w:t>
            </w:r>
          </w:p>
        </w:tc>
        <w:tc>
          <w:tcPr>
            <w:tcW w:w="1158"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Radio</w:t>
            </w:r>
            <w:r>
              <w:rPr>
                <w:sz w:val="18"/>
                <w:lang w:val="en-US"/>
              </w:rPr>
              <w:softHyphen/>
              <w:t>location</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Within LoS of wind profiler radars</w:t>
            </w:r>
          </w:p>
        </w:tc>
        <w:tc>
          <w:tcPr>
            <w:tcW w:w="1247" w:type="dxa"/>
          </w:tcPr>
          <w:p w:rsidR="002C3B74" w:rsidRDefault="002C3B74" w:rsidP="005A6A60">
            <w:pPr>
              <w:pStyle w:val="Tabletext"/>
              <w:jc w:val="center"/>
              <w:rPr>
                <w:sz w:val="18"/>
                <w:lang w:val="en-US"/>
              </w:rPr>
            </w:pPr>
            <w:r>
              <w:rPr>
                <w:sz w:val="18"/>
                <w:vertAlign w:val="superscript"/>
                <w:lang w:val="en-US"/>
              </w:rPr>
              <w:t>(4)</w:t>
            </w:r>
          </w:p>
        </w:tc>
        <w:tc>
          <w:tcPr>
            <w:tcW w:w="2269"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w:t>
            </w:r>
            <w:r>
              <w:rPr>
                <w:i/>
                <w:iCs/>
                <w:sz w:val="18"/>
                <w:lang w:val="en-US"/>
              </w:rPr>
              <w:t>I</w:t>
            </w:r>
            <w:r>
              <w:rPr>
                <w:sz w:val="18"/>
                <w:lang w:val="en-US"/>
              </w:rPr>
              <w:t>/</w:t>
            </w:r>
            <w:r>
              <w:rPr>
                <w:i/>
                <w:iCs/>
                <w:sz w:val="18"/>
                <w:lang w:val="en-US"/>
              </w:rPr>
              <w:t>N</w:t>
            </w:r>
            <w:r>
              <w:rPr>
                <w:sz w:val="18"/>
                <w:lang w:val="en-US"/>
              </w:rPr>
              <w:t>)</w:t>
            </w:r>
            <w:r>
              <w:rPr>
                <w:i/>
                <w:iCs/>
                <w:sz w:val="18"/>
                <w:vertAlign w:val="subscript"/>
                <w:lang w:val="en-US"/>
              </w:rPr>
              <w:t>PEAK</w:t>
            </w:r>
            <w:r>
              <w:rPr>
                <w:sz w:val="18"/>
                <w:lang w:val="en-US"/>
              </w:rPr>
              <w:t xml:space="preserve"> </w:t>
            </w:r>
            <w:r>
              <w:rPr>
                <w:rFonts w:ascii="Symbol" w:hAnsi="Symbol"/>
                <w:sz w:val="18"/>
                <w:lang w:val="en-US"/>
              </w:rPr>
              <w:t></w:t>
            </w:r>
            <w:r>
              <w:rPr>
                <w:sz w:val="18"/>
                <w:lang w:val="en-US"/>
              </w:rPr>
              <w:t xml:space="preserve"> </w:t>
            </w:r>
            <w:r>
              <w:rPr>
                <w:sz w:val="18"/>
              </w:rPr>
              <w:sym w:font="Symbol" w:char="F02D"/>
            </w:r>
            <w:r>
              <w:rPr>
                <w:sz w:val="18"/>
                <w:lang w:val="en-US"/>
              </w:rPr>
              <w:t>6 dB</w:t>
            </w:r>
          </w:p>
        </w:tc>
        <w:tc>
          <w:tcPr>
            <w:tcW w:w="1590"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Rec.</w:t>
            </w:r>
            <w:r>
              <w:rPr>
                <w:sz w:val="18"/>
              </w:rPr>
              <w:br/>
              <w:t>ITU-R M.1462</w:t>
            </w:r>
          </w:p>
        </w:tc>
      </w:tr>
      <w:tr w:rsidR="002C3B74" w:rsidTr="003405F3">
        <w:trPr>
          <w:jc w:val="center"/>
        </w:trPr>
        <w:tc>
          <w:tcPr>
            <w:tcW w:w="1276"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420-450</w:t>
            </w:r>
          </w:p>
        </w:tc>
        <w:tc>
          <w:tcPr>
            <w:tcW w:w="1129"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Space operation</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 xml:space="preserve">Within LoS of launch vehicle command destruct receivers located in regions defined in </w:t>
            </w:r>
            <w:r>
              <w:rPr>
                <w:i/>
                <w:sz w:val="18"/>
                <w:lang w:val="en-US"/>
              </w:rPr>
              <w:t>considering</w:t>
            </w:r>
            <w:r>
              <w:rPr>
                <w:sz w:val="18"/>
                <w:lang w:val="en-US"/>
              </w:rPr>
              <w:t xml:space="preserve"> </w:t>
            </w:r>
            <w:r w:rsidRPr="000D0B3B">
              <w:rPr>
                <w:i/>
                <w:iCs/>
                <w:sz w:val="18"/>
                <w:lang w:val="en-US"/>
              </w:rPr>
              <w:t>j)</w:t>
            </w:r>
          </w:p>
        </w:tc>
        <w:tc>
          <w:tcPr>
            <w:tcW w:w="3543" w:type="dxa"/>
            <w:gridSpan w:val="4"/>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Frequency or geographical separation required</w:t>
            </w:r>
          </w:p>
        </w:tc>
        <w:tc>
          <w:tcPr>
            <w:tcW w:w="1563"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ITU-R studies</w:t>
            </w:r>
          </w:p>
        </w:tc>
      </w:tr>
      <w:tr w:rsidR="002C3B74" w:rsidTr="003405F3">
        <w:tblPrEx>
          <w:jc w:val="left"/>
        </w:tblPrEx>
        <w:tc>
          <w:tcPr>
            <w:tcW w:w="1276"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420-450</w:t>
            </w:r>
          </w:p>
        </w:tc>
        <w:tc>
          <w:tcPr>
            <w:tcW w:w="1129"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Radio</w:t>
            </w:r>
            <w:r>
              <w:rPr>
                <w:sz w:val="18"/>
                <w:lang w:val="en-US"/>
              </w:rPr>
              <w:softHyphen/>
              <w:t>location</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Within LoS of terrestrial space object tracking radars</w:t>
            </w:r>
            <w:r>
              <w:rPr>
                <w:sz w:val="18"/>
                <w:vertAlign w:val="superscript"/>
                <w:lang w:val="en-US"/>
              </w:rPr>
              <w:t>(5)</w:t>
            </w:r>
          </w:p>
        </w:tc>
        <w:tc>
          <w:tcPr>
            <w:tcW w:w="1276" w:type="dxa"/>
            <w:gridSpan w:val="2"/>
          </w:tcPr>
          <w:p w:rsidR="002C3B74" w:rsidRDefault="002C3B74" w:rsidP="005A6A60">
            <w:pPr>
              <w:pStyle w:val="Tabletext"/>
              <w:jc w:val="center"/>
              <w:rPr>
                <w:sz w:val="18"/>
                <w:lang w:val="en-US"/>
              </w:rPr>
            </w:pPr>
            <w:r>
              <w:rPr>
                <w:sz w:val="18"/>
                <w:vertAlign w:val="superscript"/>
                <w:lang w:val="en-US"/>
              </w:rPr>
              <w:t>(4)</w:t>
            </w:r>
          </w:p>
        </w:tc>
        <w:tc>
          <w:tcPr>
            <w:tcW w:w="2267"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w:t>
            </w:r>
            <w:r>
              <w:rPr>
                <w:i/>
                <w:iCs/>
                <w:sz w:val="18"/>
                <w:lang w:val="en-US"/>
              </w:rPr>
              <w:t>I</w:t>
            </w:r>
            <w:r>
              <w:rPr>
                <w:sz w:val="18"/>
                <w:lang w:val="en-US"/>
              </w:rPr>
              <w:t>/</w:t>
            </w:r>
            <w:r>
              <w:rPr>
                <w:i/>
                <w:iCs/>
                <w:sz w:val="18"/>
                <w:lang w:val="en-US"/>
              </w:rPr>
              <w:t>N</w:t>
            </w:r>
            <w:r>
              <w:rPr>
                <w:sz w:val="18"/>
                <w:lang w:val="en-US"/>
              </w:rPr>
              <w:t>)</w:t>
            </w:r>
            <w:r>
              <w:rPr>
                <w:i/>
                <w:iCs/>
                <w:sz w:val="18"/>
                <w:vertAlign w:val="subscript"/>
                <w:lang w:val="en-US"/>
              </w:rPr>
              <w:t xml:space="preserve">PEAK </w:t>
            </w:r>
            <w:r>
              <w:rPr>
                <w:sz w:val="18"/>
                <w:lang w:val="en-US"/>
              </w:rPr>
              <w:t xml:space="preserve"> </w:t>
            </w:r>
            <w:r>
              <w:rPr>
                <w:rFonts w:ascii="Symbol" w:hAnsi="Symbol"/>
                <w:sz w:val="18"/>
                <w:lang w:val="en-US"/>
              </w:rPr>
              <w:t></w:t>
            </w:r>
            <w:r>
              <w:rPr>
                <w:sz w:val="18"/>
                <w:lang w:val="en-US"/>
              </w:rPr>
              <w:t xml:space="preserve"> </w:t>
            </w:r>
            <w:r>
              <w:rPr>
                <w:sz w:val="18"/>
              </w:rPr>
              <w:sym w:font="Symbol" w:char="F02D"/>
            </w:r>
            <w:r>
              <w:rPr>
                <w:sz w:val="18"/>
                <w:lang w:val="en-US"/>
              </w:rPr>
              <w:t>6 dB</w:t>
            </w:r>
          </w:p>
        </w:tc>
        <w:tc>
          <w:tcPr>
            <w:tcW w:w="1563"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xml:space="preserve">Rec. </w:t>
            </w:r>
            <w:r>
              <w:rPr>
                <w:sz w:val="18"/>
              </w:rPr>
              <w:br/>
              <w:t>ITU-R M.1462</w:t>
            </w:r>
          </w:p>
        </w:tc>
      </w:tr>
      <w:tr w:rsidR="002C3B74" w:rsidTr="003405F3">
        <w:tblPrEx>
          <w:jc w:val="left"/>
        </w:tblPrEx>
        <w:tc>
          <w:tcPr>
            <w:tcW w:w="1276"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420-450</w:t>
            </w:r>
          </w:p>
        </w:tc>
        <w:tc>
          <w:tcPr>
            <w:tcW w:w="1129"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Radio</w:t>
            </w:r>
            <w:r>
              <w:rPr>
                <w:sz w:val="18"/>
                <w:lang w:val="en-US"/>
              </w:rPr>
              <w:softHyphen/>
              <w:t>location</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Within LoS of shipborne radars</w:t>
            </w:r>
          </w:p>
        </w:tc>
        <w:tc>
          <w:tcPr>
            <w:tcW w:w="1276" w:type="dxa"/>
            <w:gridSpan w:val="2"/>
          </w:tcPr>
          <w:p w:rsidR="002C3B74" w:rsidRDefault="002C3B74" w:rsidP="005A6A60">
            <w:pPr>
              <w:pStyle w:val="Tabletext"/>
              <w:jc w:val="center"/>
              <w:rPr>
                <w:sz w:val="18"/>
                <w:lang w:val="en-US"/>
              </w:rPr>
            </w:pPr>
            <w:r>
              <w:rPr>
                <w:sz w:val="18"/>
                <w:vertAlign w:val="superscript"/>
                <w:lang w:val="en-US"/>
              </w:rPr>
              <w:t>(4)</w:t>
            </w:r>
          </w:p>
        </w:tc>
        <w:tc>
          <w:tcPr>
            <w:tcW w:w="2267"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w:t>
            </w:r>
            <w:r>
              <w:rPr>
                <w:i/>
                <w:iCs/>
                <w:sz w:val="18"/>
                <w:lang w:val="en-US"/>
              </w:rPr>
              <w:t>I</w:t>
            </w:r>
            <w:r>
              <w:rPr>
                <w:sz w:val="18"/>
                <w:lang w:val="en-US"/>
              </w:rPr>
              <w:t>/</w:t>
            </w:r>
            <w:r>
              <w:rPr>
                <w:i/>
                <w:iCs/>
                <w:sz w:val="18"/>
                <w:lang w:val="en-US"/>
              </w:rPr>
              <w:t>N</w:t>
            </w:r>
            <w:r>
              <w:rPr>
                <w:sz w:val="18"/>
                <w:lang w:val="en-US"/>
              </w:rPr>
              <w:t>)</w:t>
            </w:r>
            <w:r>
              <w:rPr>
                <w:i/>
                <w:iCs/>
                <w:sz w:val="18"/>
                <w:vertAlign w:val="subscript"/>
                <w:lang w:val="en-US"/>
              </w:rPr>
              <w:t>PEAK</w:t>
            </w:r>
            <w:r>
              <w:rPr>
                <w:sz w:val="18"/>
                <w:lang w:val="en-US"/>
              </w:rPr>
              <w:t xml:space="preserve"> </w:t>
            </w:r>
            <w:r>
              <w:rPr>
                <w:rFonts w:ascii="Symbol" w:hAnsi="Symbol"/>
                <w:sz w:val="18"/>
                <w:lang w:val="en-US"/>
              </w:rPr>
              <w:t></w:t>
            </w:r>
            <w:r>
              <w:rPr>
                <w:sz w:val="18"/>
                <w:lang w:val="en-US"/>
              </w:rPr>
              <w:t xml:space="preserve"> </w:t>
            </w:r>
            <w:r>
              <w:rPr>
                <w:sz w:val="18"/>
              </w:rPr>
              <w:sym w:font="Symbol" w:char="F02D"/>
            </w:r>
            <w:r>
              <w:rPr>
                <w:sz w:val="18"/>
                <w:lang w:val="en-US"/>
              </w:rPr>
              <w:t>6 dB</w:t>
            </w:r>
          </w:p>
        </w:tc>
        <w:tc>
          <w:tcPr>
            <w:tcW w:w="1563"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Rec.</w:t>
            </w:r>
            <w:r>
              <w:rPr>
                <w:sz w:val="18"/>
              </w:rPr>
              <w:br/>
              <w:t>ITU-R M.1462</w:t>
            </w:r>
          </w:p>
        </w:tc>
      </w:tr>
      <w:tr w:rsidR="002C3B74" w:rsidTr="003405F3">
        <w:tblPrEx>
          <w:jc w:val="left"/>
        </w:tblPrEx>
        <w:tc>
          <w:tcPr>
            <w:tcW w:w="1276"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420-450</w:t>
            </w:r>
          </w:p>
        </w:tc>
        <w:tc>
          <w:tcPr>
            <w:tcW w:w="1129"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Radio</w:t>
            </w:r>
            <w:r>
              <w:rPr>
                <w:sz w:val="18"/>
                <w:lang w:val="en-US"/>
              </w:rPr>
              <w:softHyphen/>
              <w:t>location</w:t>
            </w:r>
          </w:p>
        </w:tc>
        <w:tc>
          <w:tcPr>
            <w:tcW w:w="2133" w:type="dxa"/>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Within LoS of airborne radars</w:t>
            </w:r>
          </w:p>
        </w:tc>
        <w:tc>
          <w:tcPr>
            <w:tcW w:w="1276" w:type="dxa"/>
            <w:gridSpan w:val="2"/>
          </w:tcPr>
          <w:p w:rsidR="002C3B74" w:rsidRDefault="002C3B74" w:rsidP="005A6A60">
            <w:pPr>
              <w:pStyle w:val="Tabletext"/>
              <w:jc w:val="center"/>
              <w:rPr>
                <w:sz w:val="18"/>
                <w:lang w:val="en-US"/>
              </w:rPr>
            </w:pPr>
            <w:r>
              <w:rPr>
                <w:sz w:val="18"/>
                <w:vertAlign w:val="superscript"/>
                <w:lang w:val="en-US"/>
              </w:rPr>
              <w:t>(4)</w:t>
            </w:r>
          </w:p>
        </w:tc>
        <w:tc>
          <w:tcPr>
            <w:tcW w:w="2267" w:type="dxa"/>
            <w:gridSpan w:val="2"/>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w:t>
            </w:r>
            <w:r>
              <w:rPr>
                <w:i/>
                <w:iCs/>
                <w:sz w:val="18"/>
                <w:lang w:val="en-US"/>
              </w:rPr>
              <w:t>I</w:t>
            </w:r>
            <w:r>
              <w:rPr>
                <w:sz w:val="18"/>
                <w:lang w:val="en-US"/>
              </w:rPr>
              <w:t>/</w:t>
            </w:r>
            <w:r>
              <w:rPr>
                <w:i/>
                <w:iCs/>
                <w:sz w:val="18"/>
                <w:lang w:val="en-US"/>
              </w:rPr>
              <w:t>N</w:t>
            </w:r>
            <w:r>
              <w:rPr>
                <w:sz w:val="18"/>
                <w:lang w:val="en-US"/>
              </w:rPr>
              <w:t>)</w:t>
            </w:r>
            <w:r>
              <w:rPr>
                <w:i/>
                <w:iCs/>
                <w:sz w:val="18"/>
                <w:vertAlign w:val="subscript"/>
                <w:lang w:val="en-US"/>
              </w:rPr>
              <w:t>PEAK</w:t>
            </w:r>
            <w:r>
              <w:rPr>
                <w:sz w:val="18"/>
                <w:lang w:val="en-US"/>
              </w:rPr>
              <w:t xml:space="preserve"> </w:t>
            </w:r>
            <w:r>
              <w:rPr>
                <w:rFonts w:ascii="Symbol" w:hAnsi="Symbol"/>
                <w:sz w:val="18"/>
                <w:lang w:val="en-US"/>
              </w:rPr>
              <w:t></w:t>
            </w:r>
            <w:r>
              <w:rPr>
                <w:sz w:val="18"/>
                <w:lang w:val="en-US"/>
              </w:rPr>
              <w:t xml:space="preserve"> </w:t>
            </w:r>
            <w:r>
              <w:rPr>
                <w:sz w:val="18"/>
              </w:rPr>
              <w:sym w:font="Symbol" w:char="F02D"/>
            </w:r>
            <w:r>
              <w:rPr>
                <w:sz w:val="18"/>
                <w:lang w:val="en-US"/>
              </w:rPr>
              <w:t>6 dB</w:t>
            </w:r>
          </w:p>
        </w:tc>
        <w:tc>
          <w:tcPr>
            <w:tcW w:w="1563" w:type="dxa"/>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Rec.</w:t>
            </w:r>
            <w:r>
              <w:rPr>
                <w:sz w:val="18"/>
              </w:rPr>
              <w:br/>
              <w:t>ITU-R M.1462</w:t>
            </w:r>
          </w:p>
        </w:tc>
      </w:tr>
      <w:tr w:rsidR="002C3B74" w:rsidTr="003405F3">
        <w:tblPrEx>
          <w:jc w:val="left"/>
        </w:tblPrEx>
        <w:tc>
          <w:tcPr>
            <w:tcW w:w="1276" w:type="dxa"/>
            <w:gridSpan w:val="2"/>
            <w:tcBorders>
              <w:bottom w:val="single" w:sz="4" w:space="0" w:color="auto"/>
            </w:tcBorders>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420-470</w:t>
            </w:r>
            <w:r>
              <w:rPr>
                <w:sz w:val="18"/>
                <w:vertAlign w:val="superscript"/>
                <w:lang w:val="en-US"/>
              </w:rPr>
              <w:t>(3)</w:t>
            </w:r>
          </w:p>
        </w:tc>
        <w:tc>
          <w:tcPr>
            <w:tcW w:w="1129" w:type="dxa"/>
            <w:tcBorders>
              <w:bottom w:val="single" w:sz="4" w:space="0" w:color="auto"/>
            </w:tcBorders>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Mobile</w:t>
            </w:r>
          </w:p>
        </w:tc>
        <w:tc>
          <w:tcPr>
            <w:tcW w:w="2133" w:type="dxa"/>
            <w:tcBorders>
              <w:bottom w:val="single" w:sz="4" w:space="0" w:color="auto"/>
            </w:tcBorders>
          </w:tcPr>
          <w:p w:rsidR="002C3B74"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lang w:val="en-US"/>
              </w:rPr>
            </w:pPr>
            <w:r>
              <w:rPr>
                <w:sz w:val="18"/>
                <w:lang w:val="en-US"/>
              </w:rPr>
              <w:t xml:space="preserve">Within LoS of mobile stations including stations located in Regions defined in </w:t>
            </w:r>
            <w:r>
              <w:rPr>
                <w:i/>
                <w:sz w:val="18"/>
                <w:lang w:val="en-US"/>
              </w:rPr>
              <w:t>considering</w:t>
            </w:r>
            <w:r>
              <w:rPr>
                <w:sz w:val="18"/>
                <w:lang w:val="en-US"/>
              </w:rPr>
              <w:t xml:space="preserve"> </w:t>
            </w:r>
            <w:r w:rsidRPr="000D0B3B">
              <w:rPr>
                <w:i/>
                <w:iCs/>
                <w:sz w:val="18"/>
                <w:lang w:val="en-US"/>
              </w:rPr>
              <w:t>j)</w:t>
            </w:r>
          </w:p>
        </w:tc>
        <w:tc>
          <w:tcPr>
            <w:tcW w:w="1276" w:type="dxa"/>
            <w:gridSpan w:val="2"/>
            <w:tcBorders>
              <w:bottom w:val="single" w:sz="4" w:space="0" w:color="auto"/>
            </w:tcBorders>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0.1%</w:t>
            </w:r>
          </w:p>
        </w:tc>
        <w:tc>
          <w:tcPr>
            <w:tcW w:w="2267" w:type="dxa"/>
            <w:gridSpan w:val="2"/>
            <w:tcBorders>
              <w:bottom w:val="single" w:sz="4" w:space="0" w:color="auto"/>
            </w:tcBorders>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de-DE"/>
              </w:rPr>
            </w:pPr>
            <w:r>
              <w:rPr>
                <w:sz w:val="18"/>
                <w:lang w:val="de-DE"/>
              </w:rPr>
              <w:t xml:space="preserve">pfd </w:t>
            </w:r>
            <w:r>
              <w:rPr>
                <w:rFonts w:ascii="Symbol" w:hAnsi="Symbol"/>
                <w:sz w:val="18"/>
                <w:lang w:val="de-DE"/>
              </w:rPr>
              <w:t></w:t>
            </w:r>
            <w:r>
              <w:rPr>
                <w:sz w:val="18"/>
                <w:lang w:val="de-DE"/>
              </w:rPr>
              <w:br/>
            </w:r>
            <w:r>
              <w:rPr>
                <w:sz w:val="18"/>
              </w:rPr>
              <w:sym w:font="Symbol" w:char="F02D"/>
            </w:r>
            <w:r>
              <w:rPr>
                <w:sz w:val="18"/>
                <w:lang w:val="de-DE"/>
              </w:rPr>
              <w:t>204 dB(W/(m</w:t>
            </w:r>
            <w:r>
              <w:rPr>
                <w:sz w:val="18"/>
                <w:vertAlign w:val="superscript"/>
                <w:lang w:val="de-DE"/>
              </w:rPr>
              <w:t xml:space="preserve">2 </w:t>
            </w:r>
            <w:r>
              <w:rPr>
                <w:sz w:val="18"/>
                <w:lang w:val="de-DE"/>
              </w:rPr>
              <w:t>· Hz))</w:t>
            </w:r>
            <w:r>
              <w:rPr>
                <w:sz w:val="18"/>
                <w:vertAlign w:val="superscript"/>
                <w:lang w:val="de-DE"/>
              </w:rPr>
              <w:t>(2)</w:t>
            </w:r>
          </w:p>
        </w:tc>
        <w:tc>
          <w:tcPr>
            <w:tcW w:w="1563" w:type="dxa"/>
            <w:tcBorders>
              <w:bottom w:val="single" w:sz="4" w:space="0" w:color="auto"/>
            </w:tcBorders>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 xml:space="preserve">ITU-R studies </w:t>
            </w:r>
          </w:p>
        </w:tc>
      </w:tr>
    </w:tbl>
    <w:p w:rsidR="00532A05" w:rsidRDefault="00532A05">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3405F3" w:rsidRDefault="003405F3" w:rsidP="00532A05"/>
    <w:tbl>
      <w:tblPr>
        <w:tblW w:w="9644" w:type="dxa"/>
        <w:tblLayout w:type="fixed"/>
        <w:tblLook w:val="0000" w:firstRow="0" w:lastRow="0" w:firstColumn="0" w:lastColumn="0" w:noHBand="0" w:noVBand="0"/>
      </w:tblPr>
      <w:tblGrid>
        <w:gridCol w:w="9644"/>
      </w:tblGrid>
      <w:tr w:rsidR="002C3B74" w:rsidRPr="00540612" w:rsidTr="00532A05">
        <w:trPr>
          <w:cantSplit/>
        </w:trPr>
        <w:tc>
          <w:tcPr>
            <w:tcW w:w="9644" w:type="dxa"/>
          </w:tcPr>
          <w:p w:rsidR="00532A05" w:rsidRPr="00532A05" w:rsidRDefault="002C3B74" w:rsidP="00532A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i/>
                <w:iCs/>
                <w:lang w:val="en-US"/>
              </w:rPr>
            </w:pPr>
            <w:r>
              <w:rPr>
                <w:lang w:val="en-US"/>
              </w:rPr>
              <w:br w:type="page"/>
            </w:r>
            <w:r w:rsidR="00532A05" w:rsidRPr="00532A05">
              <w:rPr>
                <w:i/>
                <w:iCs/>
                <w:lang w:val="en-US"/>
              </w:rPr>
              <w:t xml:space="preserve">Notes to </w:t>
            </w:r>
            <w:r w:rsidR="00532A05" w:rsidRPr="00532A05">
              <w:rPr>
                <w:i/>
                <w:iCs/>
                <w:sz w:val="18"/>
                <w:lang w:val="en-US"/>
              </w:rPr>
              <w:t>Table</w:t>
            </w:r>
            <w:r w:rsidR="00532A05" w:rsidRPr="00532A05">
              <w:rPr>
                <w:i/>
                <w:iCs/>
                <w:lang w:val="en-US"/>
              </w:rPr>
              <w:t xml:space="preserve"> 3:</w:t>
            </w:r>
          </w:p>
          <w:p w:rsidR="002C3B74" w:rsidRDefault="002C3B74" w:rsidP="00532A05">
            <w:pPr>
              <w:pStyle w:val="Tabletext"/>
              <w:ind w:left="284" w:hanging="284"/>
              <w:rPr>
                <w:lang w:val="en-US"/>
              </w:rPr>
            </w:pPr>
            <w:r>
              <w:rPr>
                <w:vertAlign w:val="superscript"/>
                <w:lang w:val="en-US"/>
              </w:rPr>
              <w:t>(1)</w:t>
            </w:r>
            <w:r>
              <w:rPr>
                <w:lang w:val="en-US"/>
              </w:rPr>
              <w:tab/>
              <w:t>Considering all active SARs in this frequency range.</w:t>
            </w:r>
          </w:p>
          <w:p w:rsidR="002C3B74" w:rsidRDefault="002C3B74" w:rsidP="00532A05">
            <w:pPr>
              <w:pStyle w:val="Tabletext"/>
              <w:ind w:left="284" w:hanging="284"/>
              <w:rPr>
                <w:lang w:val="en-US"/>
              </w:rPr>
            </w:pPr>
            <w:r>
              <w:rPr>
                <w:vertAlign w:val="superscript"/>
                <w:lang w:val="en-US"/>
              </w:rPr>
              <w:t>(2)</w:t>
            </w:r>
            <w:r>
              <w:rPr>
                <w:lang w:val="en-US"/>
              </w:rPr>
              <w:tab/>
              <w:t>The maximum aggregate pfd specified for the band 430-440 MHz has been based on the maximum acceptable interference level received by the average side lobe of an amateur receiving antenna.</w:t>
            </w:r>
          </w:p>
          <w:p w:rsidR="002C3B74" w:rsidRDefault="002C3B74" w:rsidP="00532A05">
            <w:pPr>
              <w:pStyle w:val="Tabletext"/>
              <w:ind w:left="284" w:hanging="284"/>
              <w:rPr>
                <w:lang w:val="en-US"/>
              </w:rPr>
            </w:pPr>
            <w:r>
              <w:rPr>
                <w:vertAlign w:val="superscript"/>
                <w:lang w:val="en-US"/>
              </w:rPr>
              <w:t>(3)</w:t>
            </w:r>
            <w:r>
              <w:rPr>
                <w:lang w:val="en-US"/>
              </w:rPr>
              <w:tab/>
              <w:t xml:space="preserve">In the frequency range 430-440 MHz, the fixed and mobile services are allocated only in some countries by footnote. </w:t>
            </w:r>
          </w:p>
          <w:p w:rsidR="002C3B74" w:rsidRDefault="002C3B74" w:rsidP="00532A05">
            <w:pPr>
              <w:pStyle w:val="Tabletext"/>
              <w:ind w:left="284" w:hanging="284"/>
              <w:rPr>
                <w:lang w:val="en-CA"/>
              </w:rPr>
            </w:pPr>
            <w:r>
              <w:rPr>
                <w:vertAlign w:val="superscript"/>
                <w:lang w:val="en-US"/>
              </w:rPr>
              <w:t>(4)</w:t>
            </w:r>
            <w:r>
              <w:rPr>
                <w:lang w:val="en-US"/>
              </w:rPr>
              <w:tab/>
              <w:t>The criterion given in Recommendation ITU-R M.1462 is based on the protection of radiolocation systems from noise-like interference. Sharing may be possible between radiolocation systems and spaceborne active sensors at interference levels greater than those given in Recommendation ITU</w:t>
            </w:r>
            <w:r>
              <w:rPr>
                <w:lang w:val="en-US"/>
              </w:rPr>
              <w:noBreakHyphen/>
              <w:t xml:space="preserve">R M.1462 through the use of signal processing techniques to filter out unwanted pulsed emissions. </w:t>
            </w:r>
            <w:r>
              <w:rPr>
                <w:lang w:val="en-CA"/>
              </w:rPr>
              <w:t>Recommendation ITU-R M.1372 provides a description of some of these interference suppression techniques.</w:t>
            </w:r>
          </w:p>
          <w:p w:rsidR="002C3B74" w:rsidRDefault="002C3B74" w:rsidP="00532A05">
            <w:pPr>
              <w:pStyle w:val="Tabletext"/>
              <w:ind w:left="284" w:hanging="284"/>
              <w:rPr>
                <w:lang w:val="en-CA"/>
              </w:rPr>
            </w:pPr>
            <w:r w:rsidRPr="00EE2914">
              <w:rPr>
                <w:vertAlign w:val="superscript"/>
                <w:lang w:val="en-GB"/>
              </w:rPr>
              <w:t>(5)</w:t>
            </w:r>
            <w:r w:rsidRPr="00EE2914">
              <w:rPr>
                <w:lang w:val="en-GB"/>
              </w:rPr>
              <w:tab/>
              <w:t>The EESS (active) operating in the band 420-450 MHz shall not transmit within view of the terrestrial space object tracking radars listed in Table 2, unless detailed analysis, on a case-by-case basis, to include consideration of the effects of the radars’ receiver processing upon unwanted SAR signals, and possibly field testing, have been performed to confirm compatibility with the mutual agreement of the affected administrations.</w:t>
            </w:r>
          </w:p>
        </w:tc>
      </w:tr>
    </w:tbl>
    <w:p w:rsidR="002C3B74" w:rsidRDefault="002C3B74" w:rsidP="002C3B74">
      <w:pPr>
        <w:pStyle w:val="Tablefin"/>
      </w:pPr>
    </w:p>
    <w:p w:rsidR="002C3B74" w:rsidRPr="00EE2914" w:rsidRDefault="002C3B74" w:rsidP="002C3B74">
      <w:pPr>
        <w:overflowPunct/>
        <w:autoSpaceDE/>
        <w:autoSpaceDN/>
        <w:adjustRightInd/>
        <w:spacing w:before="0"/>
        <w:textAlignment w:val="auto"/>
        <w:rPr>
          <w:lang w:val="en-GB"/>
        </w:rPr>
      </w:pPr>
    </w:p>
    <w:p w:rsidR="002C3B74" w:rsidRDefault="002C3B74" w:rsidP="002C3B74">
      <w:pPr>
        <w:pStyle w:val="AnnexNoTitle"/>
        <w:rPr>
          <w:lang w:val="en-GB"/>
        </w:rPr>
      </w:pPr>
      <w:r>
        <w:rPr>
          <w:lang w:val="en-GB"/>
        </w:rPr>
        <w:t xml:space="preserve">Annex 2 </w:t>
      </w:r>
      <w:r>
        <w:rPr>
          <w:lang w:val="en-GB"/>
        </w:rPr>
        <w:br/>
      </w:r>
      <w:r>
        <w:rPr>
          <w:lang w:val="en-GB"/>
        </w:rPr>
        <w:br/>
        <w:t>Methodology for interference assessment and mitigation</w:t>
      </w:r>
    </w:p>
    <w:p w:rsidR="002C3B74" w:rsidRPr="00EE2914" w:rsidRDefault="002C3B74" w:rsidP="002C3B74">
      <w:pPr>
        <w:pStyle w:val="Heading1"/>
        <w:rPr>
          <w:lang w:val="en-GB"/>
        </w:rPr>
      </w:pPr>
      <w:r w:rsidRPr="00EE2914">
        <w:rPr>
          <w:lang w:val="en-GB"/>
        </w:rPr>
        <w:t>1</w:t>
      </w:r>
      <w:r w:rsidRPr="00EE2914">
        <w:rPr>
          <w:lang w:val="en-GB"/>
        </w:rPr>
        <w:tab/>
        <w:t>Introduction</w:t>
      </w:r>
    </w:p>
    <w:p w:rsidR="002C3B74" w:rsidRPr="00EE2914" w:rsidRDefault="002C3B74" w:rsidP="002C3B74">
      <w:pPr>
        <w:rPr>
          <w:lang w:val="en-GB"/>
        </w:rPr>
      </w:pPr>
      <w:r w:rsidRPr="00EE2914">
        <w:rPr>
          <w:lang w:val="en-GB"/>
        </w:rPr>
        <w:t xml:space="preserve">A methodology is presented that allows an estimate to be made as to whether or not the unwanted signal received by other services in the band 420-470 MHz from an active spaceborne sensor may cause difficulties if operated in common frequency bands. Much of the content of this Annex has been extracted from Annex 1 of Recommendation ITU-R RS.1280 – Selection of active spaceborne sensor emission characteristics to mitigate the potential for interference to terrestrial radars operating in the frequency bands 1-10 GHz. The calculations highlight a number of parameters of the sensor that can be chosen such that the sharing situation is improved. </w:t>
      </w:r>
    </w:p>
    <w:p w:rsidR="002C3B74" w:rsidRPr="00EE2914" w:rsidRDefault="002C3B74" w:rsidP="002C3B74">
      <w:pPr>
        <w:pStyle w:val="Heading1"/>
        <w:rPr>
          <w:lang w:val="en-GB"/>
        </w:rPr>
      </w:pPr>
      <w:r w:rsidRPr="00EE2914">
        <w:rPr>
          <w:lang w:val="en-GB"/>
        </w:rPr>
        <w:t>2</w:t>
      </w:r>
      <w:r w:rsidRPr="00EE2914">
        <w:rPr>
          <w:lang w:val="en-GB"/>
        </w:rPr>
        <w:tab/>
        <w:t>Calculation of interference to other services</w:t>
      </w:r>
    </w:p>
    <w:p w:rsidR="002C3B74" w:rsidRPr="00EE2914" w:rsidRDefault="002C3B74" w:rsidP="002C3B74">
      <w:pPr>
        <w:rPr>
          <w:lang w:val="en-GB"/>
        </w:rPr>
      </w:pPr>
      <w:r w:rsidRPr="00EE2914">
        <w:rPr>
          <w:lang w:val="en-GB"/>
        </w:rPr>
        <w:t xml:space="preserve">The average interfering signal pfd, </w:t>
      </w:r>
      <w:r w:rsidRPr="00EE2914">
        <w:rPr>
          <w:i/>
          <w:iCs/>
          <w:lang w:val="en-GB"/>
        </w:rPr>
        <w:t>I</w:t>
      </w:r>
      <w:r w:rsidRPr="00EE2914">
        <w:rPr>
          <w:i/>
          <w:iCs/>
          <w:vertAlign w:val="subscript"/>
          <w:lang w:val="en-GB"/>
        </w:rPr>
        <w:t>pfd</w:t>
      </w:r>
      <w:r w:rsidRPr="00EE2914">
        <w:rPr>
          <w:lang w:val="en-GB"/>
        </w:rPr>
        <w:t xml:space="preserve"> (dB(W/(m</w:t>
      </w:r>
      <w:r w:rsidRPr="00EE2914">
        <w:rPr>
          <w:vertAlign w:val="superscript"/>
          <w:lang w:val="en-GB"/>
        </w:rPr>
        <w:t>2</w:t>
      </w:r>
      <w:r w:rsidRPr="00EE2914">
        <w:rPr>
          <w:lang w:val="en-GB"/>
        </w:rPr>
        <w:t xml:space="preserve"> · Hz))) and average interfering signal power level, </w:t>
      </w:r>
      <w:r w:rsidRPr="00EE2914">
        <w:rPr>
          <w:i/>
          <w:lang w:val="en-GB"/>
        </w:rPr>
        <w:t>I</w:t>
      </w:r>
      <w:r w:rsidRPr="00EE2914">
        <w:rPr>
          <w:lang w:val="en-GB"/>
        </w:rPr>
        <w:t> (dBW), received by the other services from spaceborne active sensors is calculated from the following:</w:t>
      </w:r>
    </w:p>
    <w:p w:rsidR="002C3B74" w:rsidRPr="00EE2914" w:rsidRDefault="002C3B74" w:rsidP="002C3B74">
      <w:pPr>
        <w:pStyle w:val="Equation"/>
        <w:spacing w:line="240" w:lineRule="atLeast"/>
        <w:rPr>
          <w:lang w:val="en-GB"/>
        </w:rPr>
      </w:pPr>
      <w:r w:rsidRPr="00EE2914">
        <w:rPr>
          <w:i/>
          <w:lang w:val="en-GB"/>
        </w:rPr>
        <w:tab/>
      </w:r>
      <w:r w:rsidRPr="00EE2914">
        <w:rPr>
          <w:i/>
          <w:iCs/>
          <w:lang w:val="en-GB"/>
        </w:rPr>
        <w:t>I</w:t>
      </w:r>
      <w:r w:rsidRPr="00EE2914">
        <w:rPr>
          <w:i/>
          <w:iCs/>
          <w:vertAlign w:val="subscript"/>
          <w:lang w:val="en-GB"/>
        </w:rPr>
        <w:t>pfd</w:t>
      </w:r>
      <w:r>
        <w:rPr>
          <w:rFonts w:ascii="Symbol" w:hAnsi="Symbol"/>
        </w:rPr>
        <w:t></w:t>
      </w:r>
      <w:r>
        <w:rPr>
          <w:rFonts w:ascii="Symbol" w:hAnsi="Symbol"/>
        </w:rPr>
        <w:t></w:t>
      </w:r>
      <w:r w:rsidRPr="00EE2914">
        <w:rPr>
          <w:lang w:val="en-GB"/>
        </w:rPr>
        <w:t xml:space="preserve"> 10 log </w:t>
      </w:r>
      <w:r w:rsidRPr="00EE2914">
        <w:rPr>
          <w:i/>
          <w:lang w:val="en-GB"/>
        </w:rPr>
        <w:t>P</w:t>
      </w:r>
      <w:r w:rsidRPr="00EE2914">
        <w:rPr>
          <w:i/>
          <w:vertAlign w:val="subscript"/>
          <w:lang w:val="en-GB"/>
        </w:rPr>
        <w:t>t</w:t>
      </w:r>
      <w:r w:rsidRPr="00EE2914">
        <w:rPr>
          <w:lang w:val="en-GB"/>
        </w:rPr>
        <w:t xml:space="preserve"> </w:t>
      </w:r>
      <w:r>
        <w:rPr>
          <w:rFonts w:ascii="Symbol" w:hAnsi="Symbol"/>
        </w:rPr>
        <w:t></w:t>
      </w:r>
      <w:r w:rsidRPr="00EE2914">
        <w:rPr>
          <w:lang w:val="en-GB"/>
        </w:rPr>
        <w:t xml:space="preserve"> 10 log (</w:t>
      </w:r>
      <w:r>
        <w:rPr>
          <w:rFonts w:ascii="Symbol" w:hAnsi="Symbol"/>
        </w:rPr>
        <w:t></w:t>
      </w:r>
      <w:r w:rsidRPr="00EE2914">
        <w:rPr>
          <w:i/>
          <w:lang w:val="en-GB"/>
        </w:rPr>
        <w:t xml:space="preserve"> PRF</w:t>
      </w:r>
      <w:r w:rsidRPr="00EE2914">
        <w:rPr>
          <w:rFonts w:ascii="Tms Rmn" w:hAnsi="Tms Rmn"/>
          <w:sz w:val="12"/>
          <w:lang w:val="en-GB"/>
        </w:rPr>
        <w:t> </w:t>
      </w:r>
      <w:r w:rsidRPr="00EE2914">
        <w:rPr>
          <w:lang w:val="en-GB"/>
        </w:rPr>
        <w:t xml:space="preserve">) </w:t>
      </w:r>
      <w:r>
        <w:rPr>
          <w:rFonts w:ascii="Symbol" w:hAnsi="Symbol"/>
        </w:rPr>
        <w:t></w:t>
      </w:r>
      <w:r w:rsidRPr="00EE2914">
        <w:rPr>
          <w:lang w:val="en-GB"/>
        </w:rPr>
        <w:t xml:space="preserve"> </w:t>
      </w:r>
      <w:r w:rsidRPr="00EE2914">
        <w:rPr>
          <w:i/>
          <w:lang w:val="en-GB"/>
        </w:rPr>
        <w:t>G</w:t>
      </w:r>
      <w:r w:rsidRPr="00EE2914">
        <w:rPr>
          <w:i/>
          <w:vertAlign w:val="subscript"/>
          <w:lang w:val="en-GB"/>
        </w:rPr>
        <w:t>t</w:t>
      </w:r>
      <w:r w:rsidRPr="00EE2914">
        <w:rPr>
          <w:lang w:val="en-GB"/>
        </w:rPr>
        <w:t xml:space="preserve"> – (130.99 </w:t>
      </w:r>
      <w:r>
        <w:rPr>
          <w:rFonts w:ascii="Symbol" w:hAnsi="Symbol"/>
        </w:rPr>
        <w:t></w:t>
      </w:r>
      <w:r w:rsidRPr="00EE2914">
        <w:rPr>
          <w:lang w:val="en-GB"/>
        </w:rPr>
        <w:t xml:space="preserve"> 20 log </w:t>
      </w:r>
      <w:r w:rsidRPr="00EE2914">
        <w:rPr>
          <w:i/>
          <w:lang w:val="en-GB"/>
        </w:rPr>
        <w:t>R</w:t>
      </w:r>
      <w:r w:rsidRPr="00EE2914">
        <w:rPr>
          <w:lang w:val="en-GB"/>
        </w:rPr>
        <w:t xml:space="preserve"> </w:t>
      </w:r>
      <w:r>
        <w:rPr>
          <w:rFonts w:ascii="Symbol" w:hAnsi="Symbol"/>
        </w:rPr>
        <w:t></w:t>
      </w:r>
      <w:r w:rsidRPr="00EE2914">
        <w:rPr>
          <w:lang w:val="en-GB"/>
        </w:rPr>
        <w:t xml:space="preserve"> 10 log </w:t>
      </w:r>
      <w:r w:rsidRPr="00EE2914">
        <w:rPr>
          <w:i/>
          <w:iCs/>
          <w:lang w:val="en-GB"/>
        </w:rPr>
        <w:t>B</w:t>
      </w:r>
      <w:r w:rsidRPr="00EE2914">
        <w:rPr>
          <w:lang w:val="en-GB"/>
        </w:rPr>
        <w:t xml:space="preserve">) </w:t>
      </w:r>
      <w:r>
        <w:rPr>
          <w:rFonts w:ascii="Symbol" w:hAnsi="Symbol"/>
        </w:rPr>
        <w:t></w:t>
      </w:r>
      <w:r w:rsidRPr="00EE2914">
        <w:rPr>
          <w:lang w:val="en-GB"/>
        </w:rPr>
        <w:t xml:space="preserve"> </w:t>
      </w:r>
      <w:r w:rsidRPr="00EE2914">
        <w:rPr>
          <w:i/>
          <w:lang w:val="en-GB"/>
        </w:rPr>
        <w:t>OTR</w:t>
      </w:r>
      <w:r w:rsidRPr="00EE2914">
        <w:rPr>
          <w:lang w:val="en-GB"/>
        </w:rPr>
        <w:t xml:space="preserve"> – </w:t>
      </w:r>
      <w:r w:rsidRPr="00EE2914">
        <w:rPr>
          <w:i/>
          <w:lang w:val="en-GB"/>
        </w:rPr>
        <w:t>PG</w:t>
      </w:r>
      <w:r w:rsidRPr="00EE2914">
        <w:rPr>
          <w:lang w:val="en-GB"/>
        </w:rPr>
        <w:tab/>
        <w:t>(1a)</w:t>
      </w:r>
    </w:p>
    <w:p w:rsidR="002C3B74" w:rsidRPr="00EE2914" w:rsidRDefault="002C3B74" w:rsidP="002C3B74">
      <w:pPr>
        <w:rPr>
          <w:lang w:val="en-GB"/>
        </w:rPr>
      </w:pPr>
      <w:r w:rsidRPr="00EE2914">
        <w:rPr>
          <w:lang w:val="en-GB"/>
        </w:rPr>
        <w:t>and</w:t>
      </w:r>
    </w:p>
    <w:p w:rsidR="002C3B74" w:rsidRPr="00EE2914" w:rsidRDefault="002C3B74" w:rsidP="002C3B74">
      <w:pPr>
        <w:pStyle w:val="Equation"/>
        <w:spacing w:line="240" w:lineRule="atLeast"/>
        <w:rPr>
          <w:lang w:val="en-GB"/>
        </w:rPr>
      </w:pPr>
      <w:r w:rsidRPr="00EE2914">
        <w:rPr>
          <w:i/>
          <w:lang w:val="en-GB"/>
        </w:rPr>
        <w:tab/>
        <w:t>I</w:t>
      </w:r>
      <w:r w:rsidRPr="00EE2914">
        <w:rPr>
          <w:lang w:val="en-GB"/>
        </w:rPr>
        <w:t xml:space="preserve"> </w:t>
      </w:r>
      <w:r>
        <w:rPr>
          <w:rFonts w:ascii="Symbol" w:hAnsi="Symbol"/>
        </w:rPr>
        <w:t></w:t>
      </w:r>
      <w:r w:rsidRPr="00EE2914">
        <w:rPr>
          <w:lang w:val="en-GB"/>
        </w:rPr>
        <w:t xml:space="preserve"> 10 log </w:t>
      </w:r>
      <w:r w:rsidRPr="00EE2914">
        <w:rPr>
          <w:i/>
          <w:lang w:val="en-GB"/>
        </w:rPr>
        <w:t>P</w:t>
      </w:r>
      <w:r w:rsidRPr="00EE2914">
        <w:rPr>
          <w:i/>
          <w:vertAlign w:val="subscript"/>
          <w:lang w:val="en-GB"/>
        </w:rPr>
        <w:t>t</w:t>
      </w:r>
      <w:r>
        <w:rPr>
          <w:rFonts w:ascii="Symbol" w:hAnsi="Symbol"/>
        </w:rPr>
        <w:t></w:t>
      </w:r>
      <w:r>
        <w:rPr>
          <w:rFonts w:ascii="Symbol" w:hAnsi="Symbol"/>
        </w:rPr>
        <w:t></w:t>
      </w:r>
      <w:r w:rsidRPr="00EE2914">
        <w:rPr>
          <w:lang w:val="en-GB"/>
        </w:rPr>
        <w:t xml:space="preserve"> 10 log (</w:t>
      </w:r>
      <w:r>
        <w:rPr>
          <w:rFonts w:ascii="Symbol" w:hAnsi="Symbol"/>
        </w:rPr>
        <w:t></w:t>
      </w:r>
      <w:r w:rsidRPr="00EE2914">
        <w:rPr>
          <w:i/>
          <w:lang w:val="en-GB"/>
        </w:rPr>
        <w:t xml:space="preserve"> PRF</w:t>
      </w:r>
      <w:r w:rsidRPr="00EE2914">
        <w:rPr>
          <w:rFonts w:ascii="Tms Rmn" w:hAnsi="Tms Rmn"/>
          <w:sz w:val="12"/>
          <w:lang w:val="en-GB"/>
        </w:rPr>
        <w:t> </w:t>
      </w:r>
      <w:r w:rsidRPr="00EE2914">
        <w:rPr>
          <w:lang w:val="en-GB"/>
        </w:rPr>
        <w:t xml:space="preserve">) </w:t>
      </w:r>
      <w:r>
        <w:rPr>
          <w:rFonts w:ascii="Symbol" w:hAnsi="Symbol"/>
        </w:rPr>
        <w:t></w:t>
      </w:r>
      <w:r w:rsidRPr="00EE2914">
        <w:rPr>
          <w:lang w:val="en-GB"/>
        </w:rPr>
        <w:t xml:space="preserve"> </w:t>
      </w:r>
      <w:r w:rsidRPr="00EE2914">
        <w:rPr>
          <w:i/>
          <w:lang w:val="en-GB"/>
        </w:rPr>
        <w:t>G</w:t>
      </w:r>
      <w:r w:rsidRPr="00EE2914">
        <w:rPr>
          <w:i/>
          <w:vertAlign w:val="subscript"/>
          <w:lang w:val="en-GB"/>
        </w:rPr>
        <w:t>t</w:t>
      </w:r>
      <w:r w:rsidRPr="00EE2914">
        <w:rPr>
          <w:lang w:val="en-GB"/>
        </w:rPr>
        <w:t xml:space="preserve"> </w:t>
      </w:r>
      <w:r>
        <w:rPr>
          <w:rFonts w:ascii="Symbol" w:hAnsi="Symbol"/>
        </w:rPr>
        <w:t></w:t>
      </w:r>
      <w:r w:rsidRPr="00EE2914">
        <w:rPr>
          <w:lang w:val="en-GB"/>
        </w:rPr>
        <w:t xml:space="preserve"> </w:t>
      </w:r>
      <w:r w:rsidRPr="00EE2914">
        <w:rPr>
          <w:i/>
          <w:lang w:val="en-GB"/>
        </w:rPr>
        <w:t>G</w:t>
      </w:r>
      <w:r w:rsidRPr="00EE2914">
        <w:rPr>
          <w:i/>
          <w:vertAlign w:val="subscript"/>
          <w:lang w:val="en-GB"/>
        </w:rPr>
        <w:t>r</w:t>
      </w:r>
      <w:r w:rsidRPr="00EE2914">
        <w:rPr>
          <w:lang w:val="en-GB"/>
        </w:rPr>
        <w:t xml:space="preserve"> – (32.44 </w:t>
      </w:r>
      <w:r>
        <w:rPr>
          <w:rFonts w:ascii="Symbol" w:hAnsi="Symbol"/>
        </w:rPr>
        <w:t></w:t>
      </w:r>
      <w:r w:rsidRPr="00EE2914">
        <w:rPr>
          <w:lang w:val="en-GB"/>
        </w:rPr>
        <w:t xml:space="preserve"> 20 log (</w:t>
      </w:r>
      <w:r w:rsidRPr="00EE2914">
        <w:rPr>
          <w:rFonts w:ascii="Tms Rmn" w:hAnsi="Tms Rmn"/>
          <w:sz w:val="12"/>
          <w:lang w:val="en-GB"/>
        </w:rPr>
        <w:t> </w:t>
      </w:r>
      <w:r w:rsidRPr="00EE2914">
        <w:rPr>
          <w:i/>
          <w:lang w:val="en-GB"/>
        </w:rPr>
        <w:t>f R</w:t>
      </w:r>
      <w:r w:rsidRPr="00EE2914">
        <w:rPr>
          <w:sz w:val="8"/>
          <w:lang w:val="en-GB"/>
        </w:rPr>
        <w:t> </w:t>
      </w:r>
      <w:r w:rsidRPr="00EE2914">
        <w:rPr>
          <w:lang w:val="en-GB"/>
        </w:rPr>
        <w:t xml:space="preserve">)) </w:t>
      </w:r>
      <w:r>
        <w:rPr>
          <w:rFonts w:ascii="Symbol" w:hAnsi="Symbol"/>
        </w:rPr>
        <w:t></w:t>
      </w:r>
      <w:r w:rsidRPr="00EE2914">
        <w:rPr>
          <w:lang w:val="en-GB"/>
        </w:rPr>
        <w:t xml:space="preserve"> </w:t>
      </w:r>
      <w:r w:rsidRPr="00EE2914">
        <w:rPr>
          <w:i/>
          <w:lang w:val="en-GB"/>
        </w:rPr>
        <w:t>OTR</w:t>
      </w:r>
      <w:r w:rsidRPr="00EE2914">
        <w:rPr>
          <w:lang w:val="en-GB"/>
        </w:rPr>
        <w:t xml:space="preserve"> – </w:t>
      </w:r>
      <w:r w:rsidRPr="00EE2914">
        <w:rPr>
          <w:i/>
          <w:lang w:val="en-GB"/>
        </w:rPr>
        <w:t>PG</w:t>
      </w:r>
      <w:r w:rsidRPr="00EE2914">
        <w:rPr>
          <w:lang w:val="en-GB"/>
        </w:rPr>
        <w:tab/>
        <w:t>(1b)</w:t>
      </w:r>
    </w:p>
    <w:p w:rsidR="002C3B74" w:rsidRPr="00EE2914" w:rsidRDefault="002C3B74" w:rsidP="002C3B74">
      <w:pPr>
        <w:rPr>
          <w:lang w:val="en-GB"/>
        </w:rPr>
      </w:pPr>
      <w:r w:rsidRPr="00EE2914">
        <w:rPr>
          <w:lang w:val="en-GB"/>
        </w:rPr>
        <w:t>where:</w:t>
      </w:r>
    </w:p>
    <w:p w:rsidR="002C3B74" w:rsidRDefault="002C3B74" w:rsidP="002C3B74">
      <w:pPr>
        <w:pStyle w:val="Equationlegend"/>
      </w:pPr>
      <w:r>
        <w:rPr>
          <w:i/>
        </w:rPr>
        <w:tab/>
        <w:t>P</w:t>
      </w:r>
      <w:r>
        <w:rPr>
          <w:i/>
          <w:vertAlign w:val="subscript"/>
        </w:rPr>
        <w:t xml:space="preserve">t </w:t>
      </w:r>
      <w:r>
        <w:rPr>
          <w:rFonts w:ascii="Tms Rmn" w:hAnsi="Tms Rmn"/>
        </w:rPr>
        <w:t>:</w:t>
      </w:r>
      <w:r>
        <w:rPr>
          <w:rFonts w:ascii="Tms Rmn" w:hAnsi="Tms Rmn"/>
        </w:rPr>
        <w:tab/>
      </w:r>
      <w:r>
        <w:t>peak space borne sensor transmitter power (W)</w:t>
      </w:r>
    </w:p>
    <w:p w:rsidR="002C3B74" w:rsidRDefault="002C3B74" w:rsidP="002C3B74">
      <w:pPr>
        <w:pStyle w:val="Equationlegend"/>
      </w:pPr>
      <w:r>
        <w:tab/>
      </w:r>
      <w:r>
        <w:rPr>
          <w:rFonts w:ascii="Symbol" w:hAnsi="Symbol"/>
        </w:rPr>
        <w:t></w:t>
      </w:r>
      <w:r>
        <w:rPr>
          <w:rFonts w:ascii="Tms Rmn" w:hAnsi="Tms Rmn"/>
          <w:sz w:val="12"/>
        </w:rPr>
        <w:t> </w:t>
      </w:r>
      <w:r>
        <w:rPr>
          <w:rFonts w:ascii="Tms Rmn" w:hAnsi="Tms Rmn"/>
        </w:rPr>
        <w:t>:</w:t>
      </w:r>
      <w:r>
        <w:rPr>
          <w:i/>
        </w:rPr>
        <w:tab/>
      </w:r>
      <w:r>
        <w:t>spaceborne sensor pulse width (s)</w:t>
      </w:r>
    </w:p>
    <w:p w:rsidR="002C3B74" w:rsidRDefault="002C3B74" w:rsidP="002C3B74">
      <w:pPr>
        <w:pStyle w:val="Equationlegend"/>
      </w:pPr>
      <w:r>
        <w:tab/>
      </w:r>
      <w:r>
        <w:rPr>
          <w:i/>
        </w:rPr>
        <w:t>PRF</w:t>
      </w:r>
      <w:r>
        <w:rPr>
          <w:rFonts w:ascii="Tms Rmn" w:hAnsi="Tms Rmn"/>
          <w:i/>
          <w:sz w:val="12"/>
        </w:rPr>
        <w:t> </w:t>
      </w:r>
      <w:r>
        <w:rPr>
          <w:rFonts w:ascii="Tms Rmn" w:hAnsi="Tms Rmn"/>
        </w:rPr>
        <w:t>:</w:t>
      </w:r>
      <w:r>
        <w:tab/>
        <w:t>spaceborne sensor pulse repetition frequency (Hz)</w:t>
      </w:r>
    </w:p>
    <w:p w:rsidR="002C3B74" w:rsidRDefault="002C3B74" w:rsidP="002C3B74">
      <w:pPr>
        <w:pStyle w:val="Equationlegend"/>
      </w:pPr>
      <w:r>
        <w:lastRenderedPageBreak/>
        <w:tab/>
      </w:r>
      <w:r>
        <w:rPr>
          <w:i/>
        </w:rPr>
        <w:t>G</w:t>
      </w:r>
      <w:r>
        <w:rPr>
          <w:i/>
          <w:vertAlign w:val="subscript"/>
        </w:rPr>
        <w:t>t</w:t>
      </w:r>
      <w:r>
        <w:rPr>
          <w:rFonts w:ascii="Tms Rmn" w:hAnsi="Tms Rmn"/>
          <w:i/>
          <w:iCs/>
          <w:sz w:val="12"/>
          <w:vertAlign w:val="subscript"/>
        </w:rPr>
        <w:t> </w:t>
      </w:r>
      <w:r>
        <w:rPr>
          <w:rFonts w:ascii="Tms Rmn" w:hAnsi="Tms Rmn"/>
        </w:rPr>
        <w:t>:</w:t>
      </w:r>
      <w:r>
        <w:tab/>
        <w:t>spaceborne sensor antenna gain towards other service (dBi)</w:t>
      </w:r>
    </w:p>
    <w:p w:rsidR="002C3B74" w:rsidRDefault="002C3B74" w:rsidP="002C3B74">
      <w:pPr>
        <w:pStyle w:val="Equationlegend"/>
      </w:pPr>
      <w:r>
        <w:tab/>
      </w:r>
      <w:r>
        <w:rPr>
          <w:i/>
        </w:rPr>
        <w:t>R</w:t>
      </w:r>
      <w:r>
        <w:rPr>
          <w:rFonts w:ascii="Tms Rmn" w:hAnsi="Tms Rmn"/>
          <w:i/>
          <w:sz w:val="12"/>
        </w:rPr>
        <w:t> </w:t>
      </w:r>
      <w:r>
        <w:rPr>
          <w:rFonts w:ascii="Tms Rmn" w:hAnsi="Tms Rmn"/>
        </w:rPr>
        <w:t>:</w:t>
      </w:r>
      <w:r>
        <w:tab/>
        <w:t>slant range between sensor and radar (km)</w:t>
      </w:r>
    </w:p>
    <w:p w:rsidR="002C3B74" w:rsidRDefault="002C3B74" w:rsidP="002C3B74">
      <w:pPr>
        <w:pStyle w:val="Equationlegend"/>
      </w:pPr>
      <w:r>
        <w:tab/>
      </w:r>
      <w:r>
        <w:rPr>
          <w:i/>
          <w:iCs/>
        </w:rPr>
        <w:t>B</w:t>
      </w:r>
      <w:r>
        <w:rPr>
          <w:rFonts w:ascii="Tms Rmn" w:hAnsi="Tms Rmn"/>
          <w:i/>
          <w:iCs/>
          <w:sz w:val="12"/>
        </w:rPr>
        <w:t> </w:t>
      </w:r>
      <w:r>
        <w:rPr>
          <w:rFonts w:ascii="Tms Rmn" w:hAnsi="Tms Rmn"/>
        </w:rPr>
        <w:t>:</w:t>
      </w:r>
      <w:r>
        <w:tab/>
        <w:t>bandwidth of sensor (MHz)</w:t>
      </w:r>
    </w:p>
    <w:p w:rsidR="002C3B74" w:rsidRDefault="002C3B74" w:rsidP="002C3B74">
      <w:pPr>
        <w:pStyle w:val="Equationlegend"/>
      </w:pPr>
      <w:r>
        <w:tab/>
      </w:r>
      <w:r>
        <w:rPr>
          <w:i/>
        </w:rPr>
        <w:t>OTR</w:t>
      </w:r>
      <w:r>
        <w:rPr>
          <w:rFonts w:ascii="Tms Rmn" w:hAnsi="Tms Rmn"/>
          <w:i/>
          <w:sz w:val="12"/>
        </w:rPr>
        <w:t> </w:t>
      </w:r>
      <w:r>
        <w:rPr>
          <w:rFonts w:ascii="Tms Rmn" w:hAnsi="Tms Rmn"/>
        </w:rPr>
        <w:t>:</w:t>
      </w:r>
      <w:r>
        <w:tab/>
        <w:t>receiver on-tune rejection (dB)</w:t>
      </w:r>
    </w:p>
    <w:p w:rsidR="002C3B74" w:rsidRDefault="002C3B74" w:rsidP="002C3B74">
      <w:pPr>
        <w:pStyle w:val="Equationlegend"/>
      </w:pPr>
      <w:r>
        <w:tab/>
      </w:r>
      <w:r>
        <w:rPr>
          <w:i/>
        </w:rPr>
        <w:t>PG</w:t>
      </w:r>
      <w:r>
        <w:rPr>
          <w:rFonts w:ascii="Tms Rmn" w:hAnsi="Tms Rmn"/>
          <w:i/>
          <w:sz w:val="12"/>
        </w:rPr>
        <w:t> </w:t>
      </w:r>
      <w:r>
        <w:rPr>
          <w:rFonts w:ascii="Tms Rmn" w:hAnsi="Tms Rmn"/>
        </w:rPr>
        <w:t>:</w:t>
      </w:r>
      <w:r>
        <w:tab/>
        <w:t>processing gain (dB), rejection of unwanted signals due to receiver signal processing (assumed to be zero if not known)</w:t>
      </w:r>
    </w:p>
    <w:p w:rsidR="002C3B74" w:rsidRDefault="002C3B74" w:rsidP="002C3B74">
      <w:pPr>
        <w:pStyle w:val="Equationlegend"/>
      </w:pPr>
      <w:r>
        <w:rPr>
          <w:i/>
        </w:rPr>
        <w:tab/>
        <w:t>f</w:t>
      </w:r>
      <w:r>
        <w:rPr>
          <w:rFonts w:ascii="Tms Rmn" w:hAnsi="Tms Rmn"/>
          <w:i/>
          <w:sz w:val="12"/>
        </w:rPr>
        <w:t> </w:t>
      </w:r>
      <w:r>
        <w:rPr>
          <w:rFonts w:ascii="Tms Rmn" w:hAnsi="Tms Rmn"/>
        </w:rPr>
        <w:t>:</w:t>
      </w:r>
      <w:r>
        <w:tab/>
        <w:t>frequency (MHz).</w:t>
      </w:r>
    </w:p>
    <w:p w:rsidR="002C3B74" w:rsidRPr="00EE2914" w:rsidRDefault="002C3B74" w:rsidP="002C3B74">
      <w:pPr>
        <w:rPr>
          <w:lang w:val="en-GB"/>
        </w:rPr>
      </w:pPr>
      <w:r w:rsidRPr="00EE2914">
        <w:rPr>
          <w:lang w:val="en-GB"/>
        </w:rPr>
        <w:t>Equation (1a) gives the average interference signal pfd level and equation (1b) gives the average interference signal power level. The average interference power level is used when it can be determined that such use is appropriate. For example, a radar that performs a fast Fourier transform (FFT) on the received signal will “smear” the dissimilar pulsed signal across a number of bins, resulting in an averaged interfering signal level. The on-tune rejection term is calculated from:</w:t>
      </w:r>
    </w:p>
    <w:p w:rsidR="002C3B74" w:rsidRPr="00EE2914" w:rsidRDefault="002C3B74" w:rsidP="002C3B74">
      <w:pPr>
        <w:pStyle w:val="Equation"/>
        <w:tabs>
          <w:tab w:val="left" w:pos="2778"/>
          <w:tab w:val="left" w:pos="3289"/>
          <w:tab w:val="left" w:pos="5670"/>
        </w:tabs>
        <w:rPr>
          <w:lang w:val="en-GB"/>
        </w:rPr>
      </w:pPr>
      <w:r w:rsidRPr="00EE2914">
        <w:rPr>
          <w:lang w:val="en-GB"/>
        </w:rPr>
        <w:tab/>
      </w:r>
      <w:r w:rsidRPr="00EE2914">
        <w:rPr>
          <w:lang w:val="en-GB"/>
        </w:rPr>
        <w:tab/>
      </w:r>
      <w:r w:rsidRPr="00EE2914">
        <w:rPr>
          <w:i/>
          <w:lang w:val="en-GB"/>
        </w:rPr>
        <w:t>OTR</w:t>
      </w:r>
      <w:r w:rsidRPr="00EE2914">
        <w:rPr>
          <w:lang w:val="en-GB"/>
        </w:rPr>
        <w:tab/>
      </w:r>
      <w:r>
        <w:rPr>
          <w:rFonts w:ascii="Symbol" w:hAnsi="Symbol"/>
        </w:rPr>
        <w:t></w:t>
      </w:r>
      <w:r w:rsidRPr="00EE2914">
        <w:rPr>
          <w:lang w:val="en-GB"/>
        </w:rPr>
        <w:t xml:space="preserve"> 10 log (</w:t>
      </w:r>
      <w:r w:rsidRPr="00EE2914">
        <w:rPr>
          <w:rFonts w:ascii="Tms Rmn" w:hAnsi="Tms Rmn"/>
          <w:position w:val="-4"/>
          <w:sz w:val="8"/>
          <w:lang w:val="en-GB"/>
        </w:rPr>
        <w:t> </w:t>
      </w:r>
      <w:r w:rsidRPr="00EE2914">
        <w:rPr>
          <w:i/>
          <w:lang w:val="en-GB"/>
        </w:rPr>
        <w:t>B</w:t>
      </w:r>
      <w:r w:rsidRPr="00EE2914">
        <w:rPr>
          <w:i/>
          <w:vertAlign w:val="subscript"/>
          <w:lang w:val="en-GB"/>
        </w:rPr>
        <w:t>r</w:t>
      </w:r>
      <w:r w:rsidRPr="00EE2914">
        <w:rPr>
          <w:lang w:val="en-GB"/>
        </w:rPr>
        <w:t>/</w:t>
      </w:r>
      <w:r w:rsidRPr="00EE2914">
        <w:rPr>
          <w:rFonts w:ascii="Tms Rmn" w:hAnsi="Tms Rmn"/>
          <w:position w:val="-4"/>
          <w:sz w:val="8"/>
          <w:lang w:val="en-GB"/>
        </w:rPr>
        <w:t> </w:t>
      </w:r>
      <w:r w:rsidRPr="00EE2914">
        <w:rPr>
          <w:i/>
          <w:lang w:val="en-GB"/>
        </w:rPr>
        <w:t>B</w:t>
      </w:r>
      <w:r w:rsidRPr="00EE2914">
        <w:rPr>
          <w:i/>
          <w:vertAlign w:val="subscript"/>
          <w:lang w:val="en-GB"/>
        </w:rPr>
        <w:t>t</w:t>
      </w:r>
      <w:r w:rsidRPr="00EE2914">
        <w:rPr>
          <w:rFonts w:ascii="Tms Rmn" w:hAnsi="Tms Rmn"/>
          <w:position w:val="-4"/>
          <w:sz w:val="8"/>
          <w:lang w:val="en-GB"/>
        </w:rPr>
        <w:t> </w:t>
      </w:r>
      <w:r w:rsidRPr="00EE2914">
        <w:rPr>
          <w:lang w:val="en-GB"/>
        </w:rPr>
        <w:t>)</w:t>
      </w:r>
      <w:r w:rsidRPr="00EE2914">
        <w:rPr>
          <w:lang w:val="en-GB"/>
        </w:rPr>
        <w:tab/>
        <w:t xml:space="preserve">for </w:t>
      </w:r>
      <w:r w:rsidRPr="00EE2914">
        <w:rPr>
          <w:i/>
          <w:lang w:val="en-GB"/>
        </w:rPr>
        <w:t>B</w:t>
      </w:r>
      <w:r w:rsidRPr="00EE2914">
        <w:rPr>
          <w:i/>
          <w:vertAlign w:val="subscript"/>
          <w:lang w:val="en-GB"/>
        </w:rPr>
        <w:t>r</w:t>
      </w:r>
      <w:r w:rsidRPr="00EE2914">
        <w:rPr>
          <w:lang w:val="en-GB"/>
        </w:rPr>
        <w:t xml:space="preserve"> </w:t>
      </w:r>
      <w:r>
        <w:rPr>
          <w:rFonts w:ascii="Symbol" w:hAnsi="Symbol"/>
        </w:rPr>
        <w:t></w:t>
      </w:r>
      <w:r w:rsidRPr="00EE2914">
        <w:rPr>
          <w:lang w:val="en-GB"/>
        </w:rPr>
        <w:t xml:space="preserve"> </w:t>
      </w:r>
      <w:r w:rsidRPr="00EE2914">
        <w:rPr>
          <w:i/>
          <w:lang w:val="en-GB"/>
        </w:rPr>
        <w:t>B</w:t>
      </w:r>
      <w:r w:rsidRPr="00EE2914">
        <w:rPr>
          <w:i/>
          <w:vertAlign w:val="subscript"/>
          <w:lang w:val="en-GB"/>
        </w:rPr>
        <w:t>t</w:t>
      </w:r>
      <w:r w:rsidRPr="00EE2914">
        <w:rPr>
          <w:lang w:val="en-GB"/>
        </w:rPr>
        <w:tab/>
        <w:t>(2a)</w:t>
      </w:r>
    </w:p>
    <w:p w:rsidR="002C3B74" w:rsidRPr="00EE2914" w:rsidRDefault="002C3B74" w:rsidP="002C3B74">
      <w:pPr>
        <w:pStyle w:val="Equation"/>
        <w:tabs>
          <w:tab w:val="left" w:pos="2778"/>
          <w:tab w:val="left" w:pos="3289"/>
          <w:tab w:val="left" w:pos="5670"/>
        </w:tabs>
        <w:rPr>
          <w:lang w:val="en-GB"/>
        </w:rPr>
      </w:pPr>
      <w:r w:rsidRPr="00EE2914">
        <w:rPr>
          <w:lang w:val="en-GB"/>
        </w:rPr>
        <w:tab/>
      </w:r>
      <w:r w:rsidRPr="00EE2914">
        <w:rPr>
          <w:lang w:val="en-GB"/>
        </w:rPr>
        <w:tab/>
      </w:r>
      <w:r w:rsidRPr="00EE2914">
        <w:rPr>
          <w:lang w:val="en-GB"/>
        </w:rPr>
        <w:tab/>
      </w:r>
      <w:r>
        <w:rPr>
          <w:rFonts w:ascii="Symbol" w:hAnsi="Symbol"/>
        </w:rPr>
        <w:t></w:t>
      </w:r>
      <w:r w:rsidRPr="00EE2914">
        <w:rPr>
          <w:lang w:val="en-GB"/>
        </w:rPr>
        <w:t xml:space="preserve"> 0</w:t>
      </w:r>
      <w:r w:rsidRPr="00EE2914">
        <w:rPr>
          <w:lang w:val="en-GB"/>
        </w:rPr>
        <w:tab/>
      </w:r>
      <w:r w:rsidRPr="00EE2914">
        <w:rPr>
          <w:lang w:val="en-GB"/>
        </w:rPr>
        <w:tab/>
        <w:t xml:space="preserve">for </w:t>
      </w:r>
      <w:r w:rsidRPr="00EE2914">
        <w:rPr>
          <w:i/>
          <w:lang w:val="en-GB"/>
        </w:rPr>
        <w:t>B</w:t>
      </w:r>
      <w:r w:rsidRPr="00EE2914">
        <w:rPr>
          <w:i/>
          <w:vertAlign w:val="subscript"/>
          <w:lang w:val="en-GB"/>
        </w:rPr>
        <w:t>r</w:t>
      </w:r>
      <w:r w:rsidRPr="00EE2914">
        <w:rPr>
          <w:lang w:val="en-GB"/>
        </w:rPr>
        <w:t xml:space="preserve"> </w:t>
      </w:r>
      <w:r>
        <w:rPr>
          <w:rFonts w:ascii="Symbol" w:hAnsi="Symbol"/>
        </w:rPr>
        <w:t></w:t>
      </w:r>
      <w:r w:rsidRPr="00EE2914">
        <w:rPr>
          <w:lang w:val="en-GB"/>
        </w:rPr>
        <w:t xml:space="preserve"> </w:t>
      </w:r>
      <w:r w:rsidRPr="00EE2914">
        <w:rPr>
          <w:i/>
          <w:lang w:val="en-GB"/>
        </w:rPr>
        <w:t>B</w:t>
      </w:r>
      <w:r w:rsidRPr="00EE2914">
        <w:rPr>
          <w:i/>
          <w:vertAlign w:val="subscript"/>
          <w:lang w:val="en-GB"/>
        </w:rPr>
        <w:t>t</w:t>
      </w:r>
      <w:r w:rsidRPr="00EE2914">
        <w:rPr>
          <w:i/>
          <w:vertAlign w:val="subscript"/>
          <w:lang w:val="en-GB"/>
        </w:rPr>
        <w:tab/>
      </w:r>
      <w:r w:rsidRPr="00EE2914">
        <w:rPr>
          <w:lang w:val="en-GB"/>
        </w:rPr>
        <w:t>(2b)</w:t>
      </w:r>
    </w:p>
    <w:p w:rsidR="002C3B74" w:rsidRPr="00EE2914" w:rsidRDefault="002C3B74" w:rsidP="002C3B74">
      <w:pPr>
        <w:rPr>
          <w:lang w:val="en-GB"/>
        </w:rPr>
      </w:pPr>
      <w:r w:rsidRPr="00EE2914">
        <w:rPr>
          <w:lang w:val="en-GB"/>
        </w:rPr>
        <w:t>where:</w:t>
      </w:r>
    </w:p>
    <w:p w:rsidR="002C3B74" w:rsidRDefault="002C3B74" w:rsidP="002C3B74">
      <w:pPr>
        <w:pStyle w:val="Equationlegend"/>
      </w:pPr>
      <w:r>
        <w:rPr>
          <w:i/>
        </w:rPr>
        <w:tab/>
        <w:t>B</w:t>
      </w:r>
      <w:r>
        <w:rPr>
          <w:i/>
          <w:vertAlign w:val="subscript"/>
        </w:rPr>
        <w:t>r</w:t>
      </w:r>
      <w:r>
        <w:rPr>
          <w:rFonts w:ascii="Tms Rmn" w:hAnsi="Tms Rmn"/>
        </w:rPr>
        <w:t>:</w:t>
      </w:r>
      <w:r>
        <w:rPr>
          <w:rFonts w:ascii="Tms Rmn" w:hAnsi="Tms Rmn"/>
        </w:rPr>
        <w:tab/>
      </w:r>
      <w:r>
        <w:t>receiver bandwidth</w:t>
      </w:r>
    </w:p>
    <w:p w:rsidR="002C3B74" w:rsidRDefault="002C3B74" w:rsidP="002C3B74">
      <w:pPr>
        <w:pStyle w:val="Equationlegend"/>
      </w:pPr>
      <w:r>
        <w:rPr>
          <w:i/>
        </w:rPr>
        <w:tab/>
        <w:t>B</w:t>
      </w:r>
      <w:r>
        <w:rPr>
          <w:i/>
          <w:vertAlign w:val="subscript"/>
        </w:rPr>
        <w:t>t</w:t>
      </w:r>
      <w:r>
        <w:rPr>
          <w:rFonts w:ascii="Tms Rmn" w:hAnsi="Tms Rmn"/>
        </w:rPr>
        <w:t>:</w:t>
      </w:r>
      <w:r>
        <w:rPr>
          <w:rFonts w:ascii="Tms Rmn" w:hAnsi="Tms Rmn"/>
        </w:rPr>
        <w:tab/>
      </w:r>
      <w:r>
        <w:t>bandwidth of the transmitted interfering signal.</w:t>
      </w:r>
    </w:p>
    <w:p w:rsidR="002C3B74" w:rsidRPr="00EE2914" w:rsidRDefault="002C3B74" w:rsidP="002C3B74">
      <w:pPr>
        <w:rPr>
          <w:i/>
          <w:iCs/>
          <w:sz w:val="28"/>
          <w:vertAlign w:val="subscript"/>
          <w:lang w:val="en-GB"/>
        </w:rPr>
      </w:pPr>
      <w:r w:rsidRPr="00EE2914">
        <w:rPr>
          <w:lang w:val="en-GB"/>
        </w:rPr>
        <w:t>If the peak interfering signal is of interest, then the second term of equation (1) should be left out, and on-tune rejection is calculated from the following:</w:t>
      </w:r>
    </w:p>
    <w:p w:rsidR="002C3B74" w:rsidRPr="00EE2914" w:rsidRDefault="002C3B74" w:rsidP="002C3B74">
      <w:pPr>
        <w:pStyle w:val="Headingi"/>
        <w:rPr>
          <w:lang w:val="en-GB"/>
        </w:rPr>
      </w:pPr>
      <w:r w:rsidRPr="00EE2914">
        <w:rPr>
          <w:lang w:val="en-GB"/>
        </w:rPr>
        <w:t>Input pulse with no frequency modulation:</w:t>
      </w:r>
    </w:p>
    <w:p w:rsidR="002C3B74" w:rsidRPr="00EE2914" w:rsidRDefault="002C3B74" w:rsidP="002C3B74">
      <w:pPr>
        <w:pStyle w:val="Equation"/>
        <w:tabs>
          <w:tab w:val="left" w:pos="2778"/>
          <w:tab w:val="left" w:pos="3289"/>
          <w:tab w:val="left" w:pos="5670"/>
        </w:tabs>
        <w:rPr>
          <w:lang w:val="en-GB"/>
        </w:rPr>
      </w:pPr>
      <w:r w:rsidRPr="00EE2914">
        <w:rPr>
          <w:lang w:val="en-GB"/>
        </w:rPr>
        <w:tab/>
      </w:r>
      <w:r w:rsidRPr="00EE2914">
        <w:rPr>
          <w:lang w:val="en-GB"/>
        </w:rPr>
        <w:tab/>
      </w:r>
      <w:r w:rsidRPr="00EE2914">
        <w:rPr>
          <w:i/>
          <w:lang w:val="en-GB"/>
        </w:rPr>
        <w:t>OTR</w:t>
      </w:r>
      <w:r w:rsidRPr="00EE2914">
        <w:rPr>
          <w:lang w:val="en-GB"/>
        </w:rPr>
        <w:t xml:space="preserve"> </w:t>
      </w:r>
      <w:r>
        <w:rPr>
          <w:rFonts w:ascii="Symbol" w:hAnsi="Symbol"/>
        </w:rPr>
        <w:t></w:t>
      </w:r>
      <w:r w:rsidRPr="00EE2914">
        <w:rPr>
          <w:lang w:val="en-GB"/>
        </w:rPr>
        <w:t xml:space="preserve"> 20 log (</w:t>
      </w:r>
      <w:r w:rsidRPr="00EE2914">
        <w:rPr>
          <w:rFonts w:ascii="Tms Rmn" w:hAnsi="Tms Rmn"/>
          <w:sz w:val="8"/>
          <w:lang w:val="en-GB"/>
        </w:rPr>
        <w:t> </w:t>
      </w:r>
      <w:r w:rsidRPr="00EE2914">
        <w:rPr>
          <w:i/>
          <w:lang w:val="en-GB"/>
        </w:rPr>
        <w:t>B</w:t>
      </w:r>
      <w:r w:rsidRPr="00EE2914">
        <w:rPr>
          <w:i/>
          <w:vertAlign w:val="subscript"/>
          <w:lang w:val="en-GB"/>
        </w:rPr>
        <w:t>r</w:t>
      </w:r>
      <w:r w:rsidRPr="00EE2914">
        <w:rPr>
          <w:position w:val="-4"/>
          <w:sz w:val="18"/>
          <w:lang w:val="en-GB"/>
        </w:rPr>
        <w:t> </w:t>
      </w:r>
      <w:r>
        <w:rPr>
          <w:rFonts w:ascii="Symbol" w:hAnsi="Symbol"/>
        </w:rPr>
        <w:t></w:t>
      </w:r>
      <w:r w:rsidRPr="00EE2914">
        <w:rPr>
          <w:rFonts w:ascii="Tms Rmn" w:hAnsi="Tms Rmn"/>
          <w:sz w:val="8"/>
          <w:lang w:val="en-GB"/>
        </w:rPr>
        <w:t> </w:t>
      </w:r>
      <w:r w:rsidRPr="00EE2914">
        <w:rPr>
          <w:lang w:val="en-GB"/>
        </w:rPr>
        <w:t>)</w:t>
      </w:r>
      <w:r w:rsidRPr="00EE2914">
        <w:rPr>
          <w:lang w:val="en-GB"/>
        </w:rPr>
        <w:tab/>
        <w:t xml:space="preserve"> </w:t>
      </w:r>
      <w:r w:rsidRPr="00EE2914">
        <w:rPr>
          <w:lang w:val="en-GB"/>
        </w:rPr>
        <w:tab/>
        <w:t xml:space="preserve">for </w:t>
      </w:r>
      <w:r w:rsidRPr="00EE2914">
        <w:rPr>
          <w:i/>
          <w:lang w:val="en-GB"/>
        </w:rPr>
        <w:t>B</w:t>
      </w:r>
      <w:r w:rsidRPr="00EE2914">
        <w:rPr>
          <w:i/>
          <w:vertAlign w:val="subscript"/>
          <w:lang w:val="en-GB"/>
        </w:rPr>
        <w:t>r</w:t>
      </w:r>
      <w:r w:rsidRPr="00EE2914">
        <w:rPr>
          <w:position w:val="-4"/>
          <w:sz w:val="18"/>
          <w:lang w:val="en-GB"/>
        </w:rPr>
        <w:t> </w:t>
      </w:r>
      <w:r>
        <w:rPr>
          <w:rFonts w:ascii="Symbol" w:hAnsi="Symbol"/>
        </w:rPr>
        <w:t></w:t>
      </w:r>
      <w:r w:rsidRPr="00EE2914">
        <w:rPr>
          <w:lang w:val="en-GB"/>
        </w:rPr>
        <w:t xml:space="preserve"> </w:t>
      </w:r>
      <w:r>
        <w:rPr>
          <w:rFonts w:ascii="Symbol" w:hAnsi="Symbol"/>
        </w:rPr>
        <w:t></w:t>
      </w:r>
      <w:r w:rsidRPr="00EE2914">
        <w:rPr>
          <w:lang w:val="en-GB"/>
        </w:rPr>
        <w:t xml:space="preserve"> 1</w:t>
      </w:r>
      <w:r w:rsidRPr="00EE2914">
        <w:rPr>
          <w:lang w:val="en-GB"/>
        </w:rPr>
        <w:tab/>
        <w:t>(3a)</w:t>
      </w:r>
    </w:p>
    <w:p w:rsidR="002C3B74" w:rsidRPr="00EE2914" w:rsidRDefault="002C3B74" w:rsidP="002C3B74">
      <w:pPr>
        <w:pStyle w:val="Equation"/>
        <w:tabs>
          <w:tab w:val="left" w:pos="2778"/>
          <w:tab w:val="left" w:pos="3289"/>
          <w:tab w:val="left" w:pos="5670"/>
        </w:tabs>
        <w:rPr>
          <w:lang w:val="en-GB"/>
        </w:rPr>
      </w:pPr>
      <w:r w:rsidRPr="00EE2914">
        <w:rPr>
          <w:lang w:val="en-GB"/>
        </w:rPr>
        <w:tab/>
      </w:r>
      <w:r w:rsidRPr="00EE2914">
        <w:rPr>
          <w:lang w:val="en-GB"/>
        </w:rPr>
        <w:tab/>
      </w:r>
      <w:r w:rsidRPr="00EE2914">
        <w:rPr>
          <w:lang w:val="en-GB"/>
        </w:rPr>
        <w:tab/>
      </w:r>
      <w:r>
        <w:rPr>
          <w:rFonts w:ascii="Symbol" w:hAnsi="Symbol"/>
        </w:rPr>
        <w:t></w:t>
      </w:r>
      <w:r w:rsidRPr="00EE2914">
        <w:rPr>
          <w:lang w:val="en-GB"/>
        </w:rPr>
        <w:t xml:space="preserve"> 0 </w:t>
      </w:r>
      <w:r w:rsidRPr="00EE2914">
        <w:rPr>
          <w:lang w:val="en-GB"/>
        </w:rPr>
        <w:tab/>
      </w:r>
      <w:r w:rsidRPr="00EE2914">
        <w:rPr>
          <w:lang w:val="en-GB"/>
        </w:rPr>
        <w:tab/>
        <w:t xml:space="preserve">for </w:t>
      </w:r>
      <w:r w:rsidRPr="00EE2914">
        <w:rPr>
          <w:i/>
          <w:lang w:val="en-GB"/>
        </w:rPr>
        <w:t>B</w:t>
      </w:r>
      <w:r w:rsidRPr="00EE2914">
        <w:rPr>
          <w:i/>
          <w:vertAlign w:val="subscript"/>
          <w:lang w:val="en-GB"/>
        </w:rPr>
        <w:t>r</w:t>
      </w:r>
      <w:r w:rsidRPr="00EE2914">
        <w:rPr>
          <w:position w:val="-4"/>
          <w:sz w:val="18"/>
          <w:lang w:val="en-GB"/>
        </w:rPr>
        <w:t> </w:t>
      </w:r>
      <w:r>
        <w:rPr>
          <w:rFonts w:ascii="Symbol" w:hAnsi="Symbol"/>
        </w:rPr>
        <w:t></w:t>
      </w:r>
      <w:r w:rsidRPr="00EE2914">
        <w:rPr>
          <w:lang w:val="en-GB"/>
        </w:rPr>
        <w:t xml:space="preserve"> </w:t>
      </w:r>
      <w:r>
        <w:rPr>
          <w:rFonts w:ascii="Symbol" w:hAnsi="Symbol"/>
        </w:rPr>
        <w:t></w:t>
      </w:r>
      <w:r w:rsidRPr="00EE2914">
        <w:rPr>
          <w:lang w:val="en-GB"/>
        </w:rPr>
        <w:t xml:space="preserve"> 1</w:t>
      </w:r>
      <w:r w:rsidRPr="00EE2914">
        <w:rPr>
          <w:lang w:val="en-GB"/>
        </w:rPr>
        <w:tab/>
        <w:t>(3b)</w:t>
      </w:r>
    </w:p>
    <w:p w:rsidR="002C3B74" w:rsidRPr="00EE2914" w:rsidRDefault="002C3B74" w:rsidP="002C3B74">
      <w:pPr>
        <w:pStyle w:val="Headingi"/>
        <w:rPr>
          <w:lang w:val="en-GB"/>
        </w:rPr>
      </w:pPr>
      <w:r w:rsidRPr="00EE2914">
        <w:rPr>
          <w:lang w:val="en-GB"/>
        </w:rPr>
        <w:t>Input pulse with frequency modulation:</w:t>
      </w:r>
    </w:p>
    <w:p w:rsidR="002C3B74" w:rsidRPr="00EE2914" w:rsidRDefault="002C3B74" w:rsidP="002C3B74">
      <w:pPr>
        <w:pStyle w:val="Equation"/>
        <w:tabs>
          <w:tab w:val="left" w:pos="2835"/>
          <w:tab w:val="left" w:pos="5670"/>
        </w:tabs>
        <w:rPr>
          <w:lang w:val="en-GB"/>
        </w:rPr>
      </w:pPr>
      <w:r w:rsidRPr="00EE2914">
        <w:rPr>
          <w:i/>
          <w:lang w:val="en-GB"/>
        </w:rPr>
        <w:tab/>
      </w:r>
      <w:r w:rsidRPr="00EE2914">
        <w:rPr>
          <w:i/>
          <w:lang w:val="en-GB"/>
        </w:rPr>
        <w:tab/>
        <w:t>OTR</w:t>
      </w:r>
      <w:r w:rsidRPr="00EE2914">
        <w:rPr>
          <w:lang w:val="en-GB"/>
        </w:rPr>
        <w:t xml:space="preserve"> </w:t>
      </w:r>
      <w:r>
        <w:rPr>
          <w:rFonts w:ascii="Symbol" w:hAnsi="Symbol"/>
        </w:rPr>
        <w:t></w:t>
      </w:r>
      <w:r w:rsidRPr="00EE2914">
        <w:rPr>
          <w:lang w:val="en-GB"/>
        </w:rPr>
        <w:t xml:space="preserve"> 10 log</w:t>
      </w:r>
      <w:r w:rsidRPr="00D009DF">
        <w:rPr>
          <w:position w:val="-36"/>
        </w:rPr>
        <w:object w:dxaOrig="720" w:dyaOrig="840">
          <v:shape id="_x0000_i1026" type="#_x0000_t75" style="width:37.05pt;height:42.45pt" o:ole="">
            <v:imagedata r:id="rId15" o:title=""/>
          </v:shape>
          <o:OLEObject Type="Embed" ProgID="Equation.3" ShapeID="_x0000_i1026" DrawAspect="Content" ObjectID="_1571550630" r:id="rId16"/>
        </w:object>
      </w:r>
      <w:r w:rsidRPr="00EE2914">
        <w:rPr>
          <w:lang w:val="en-GB"/>
        </w:rPr>
        <w:tab/>
        <w:t xml:space="preserve">for </w:t>
      </w:r>
      <w:r w:rsidRPr="00D009DF">
        <w:rPr>
          <w:position w:val="-30"/>
        </w:rPr>
        <w:object w:dxaOrig="499" w:dyaOrig="760">
          <v:shape id="_x0000_i1027" type="#_x0000_t75" style="width:24.7pt;height:39.75pt" o:ole="">
            <v:imagedata r:id="rId17" o:title=""/>
          </v:shape>
          <o:OLEObject Type="Embed" ProgID="Equation.3" ShapeID="_x0000_i1027" DrawAspect="Content" ObjectID="_1571550631" r:id="rId18"/>
        </w:object>
      </w:r>
      <w:r w:rsidRPr="00EE2914">
        <w:rPr>
          <w:lang w:val="en-GB"/>
        </w:rPr>
        <w:t xml:space="preserve"> &lt; 1</w:t>
      </w:r>
      <w:r w:rsidRPr="00EE2914">
        <w:rPr>
          <w:lang w:val="en-GB"/>
        </w:rPr>
        <w:tab/>
        <w:t>(4a)</w:t>
      </w:r>
    </w:p>
    <w:p w:rsidR="002C3B74" w:rsidRPr="00EE2914" w:rsidRDefault="002C3B74" w:rsidP="002C3B74">
      <w:pPr>
        <w:pStyle w:val="Equation"/>
        <w:tabs>
          <w:tab w:val="left" w:pos="2694"/>
          <w:tab w:val="left" w:pos="3261"/>
          <w:tab w:val="left" w:pos="5670"/>
        </w:tabs>
        <w:rPr>
          <w:lang w:val="en-GB"/>
        </w:rPr>
      </w:pPr>
      <w:r w:rsidRPr="00EE2914">
        <w:rPr>
          <w:lang w:val="en-GB"/>
        </w:rPr>
        <w:tab/>
      </w:r>
      <w:r w:rsidRPr="00EE2914">
        <w:rPr>
          <w:lang w:val="en-GB"/>
        </w:rPr>
        <w:tab/>
      </w:r>
      <w:r w:rsidRPr="00EE2914">
        <w:rPr>
          <w:lang w:val="en-GB"/>
        </w:rPr>
        <w:tab/>
        <w:t xml:space="preserve"> </w:t>
      </w:r>
      <w:r>
        <w:rPr>
          <w:rFonts w:ascii="Symbol" w:hAnsi="Symbol"/>
        </w:rPr>
        <w:t></w:t>
      </w:r>
      <w:r w:rsidRPr="00EE2914">
        <w:rPr>
          <w:lang w:val="en-GB"/>
        </w:rPr>
        <w:t xml:space="preserve"> 0 </w:t>
      </w:r>
      <w:r w:rsidRPr="00EE2914">
        <w:rPr>
          <w:lang w:val="en-GB"/>
        </w:rPr>
        <w:tab/>
      </w:r>
      <w:r w:rsidRPr="00EE2914">
        <w:rPr>
          <w:lang w:val="en-GB"/>
        </w:rPr>
        <w:tab/>
        <w:t xml:space="preserve">for </w:t>
      </w:r>
      <w:r w:rsidRPr="00D009DF">
        <w:rPr>
          <w:position w:val="-30"/>
        </w:rPr>
        <w:object w:dxaOrig="499" w:dyaOrig="760">
          <v:shape id="_x0000_i1028" type="#_x0000_t75" style="width:24.7pt;height:37.6pt" o:ole="">
            <v:imagedata r:id="rId17" o:title=""/>
          </v:shape>
          <o:OLEObject Type="Embed" ProgID="Equation.3" ShapeID="_x0000_i1028" DrawAspect="Content" ObjectID="_1571550632" r:id="rId19"/>
        </w:object>
      </w:r>
      <w:r w:rsidRPr="00EE2914">
        <w:rPr>
          <w:lang w:val="en-GB"/>
        </w:rPr>
        <w:t xml:space="preserve"> &gt; 1</w:t>
      </w:r>
      <w:r w:rsidRPr="00EE2914">
        <w:rPr>
          <w:lang w:val="en-GB"/>
        </w:rPr>
        <w:tab/>
        <w:t>(4b)</w:t>
      </w:r>
    </w:p>
    <w:p w:rsidR="002C3B74" w:rsidRPr="00EE2914" w:rsidRDefault="002C3B74" w:rsidP="002C3B74">
      <w:pPr>
        <w:rPr>
          <w:lang w:val="en-GB"/>
        </w:rPr>
      </w:pPr>
      <w:r w:rsidRPr="00EE2914">
        <w:rPr>
          <w:lang w:val="en-GB"/>
        </w:rPr>
        <w:t>where:</w:t>
      </w:r>
    </w:p>
    <w:p w:rsidR="002C3B74" w:rsidRDefault="002C3B74" w:rsidP="002C3B74">
      <w:pPr>
        <w:pStyle w:val="Equationlegend"/>
      </w:pPr>
      <w:r>
        <w:tab/>
      </w:r>
      <w:r>
        <w:rPr>
          <w:i/>
        </w:rPr>
        <w:t>B</w:t>
      </w:r>
      <w:r>
        <w:rPr>
          <w:i/>
          <w:vertAlign w:val="subscript"/>
        </w:rPr>
        <w:t>r</w:t>
      </w:r>
      <w:r>
        <w:rPr>
          <w:rFonts w:ascii="Tms Rmn" w:hAnsi="Tms Rmn"/>
          <w:i/>
          <w:sz w:val="12"/>
          <w:vertAlign w:val="subscript"/>
        </w:rPr>
        <w:t> </w:t>
      </w:r>
      <w:r>
        <w:rPr>
          <w:rFonts w:ascii="Tms Rmn" w:hAnsi="Tms Rmn"/>
        </w:rPr>
        <w:t>:</w:t>
      </w:r>
      <w:r>
        <w:rPr>
          <w:rFonts w:ascii="Tms Rmn" w:hAnsi="Tms Rmn"/>
        </w:rPr>
        <w:tab/>
      </w:r>
      <w:r>
        <w:t>other service receiver IF bandwidth</w:t>
      </w:r>
    </w:p>
    <w:p w:rsidR="002C3B74" w:rsidRDefault="002C3B74" w:rsidP="002C3B74">
      <w:pPr>
        <w:pStyle w:val="Equationlegend"/>
      </w:pPr>
      <w:r>
        <w:tab/>
      </w:r>
      <w:r>
        <w:rPr>
          <w:i/>
        </w:rPr>
        <w:t>B</w:t>
      </w:r>
      <w:r>
        <w:rPr>
          <w:i/>
          <w:vertAlign w:val="subscript"/>
        </w:rPr>
        <w:t>c</w:t>
      </w:r>
      <w:r>
        <w:rPr>
          <w:rFonts w:ascii="Tms Rmn" w:hAnsi="Tms Rmn"/>
          <w:i/>
          <w:sz w:val="12"/>
          <w:vertAlign w:val="subscript"/>
        </w:rPr>
        <w:t> </w:t>
      </w:r>
      <w:r>
        <w:rPr>
          <w:rFonts w:ascii="Tms Rmn" w:hAnsi="Tms Rmn"/>
        </w:rPr>
        <w:t>:</w:t>
      </w:r>
      <w:r>
        <w:rPr>
          <w:rFonts w:ascii="Tms Rmn" w:hAnsi="Tms Rmn"/>
        </w:rPr>
        <w:tab/>
      </w:r>
      <w:r>
        <w:t>chirp bandwidth of spaceborne sensor</w:t>
      </w:r>
    </w:p>
    <w:p w:rsidR="002C3B74" w:rsidRDefault="002C3B74" w:rsidP="002C3B74">
      <w:pPr>
        <w:pStyle w:val="Equationlegend"/>
      </w:pPr>
      <w:r>
        <w:tab/>
      </w:r>
      <w:r>
        <w:rPr>
          <w:rFonts w:ascii="Symbol" w:hAnsi="Symbol"/>
        </w:rPr>
        <w:t></w:t>
      </w:r>
      <w:r>
        <w:rPr>
          <w:rFonts w:ascii="Tms Rmn" w:hAnsi="Tms Rmn"/>
          <w:sz w:val="12"/>
        </w:rPr>
        <w:t> </w:t>
      </w:r>
      <w:r>
        <w:rPr>
          <w:rFonts w:ascii="Tms Rmn" w:hAnsi="Tms Rmn"/>
        </w:rPr>
        <w:t>:</w:t>
      </w:r>
      <w:r>
        <w:rPr>
          <w:rFonts w:ascii="Tms Rmn" w:hAnsi="Tms Rmn"/>
        </w:rPr>
        <w:tab/>
      </w:r>
      <w:r>
        <w:t>sensor pulse width.</w:t>
      </w:r>
    </w:p>
    <w:p w:rsidR="002C3B74" w:rsidRPr="00EE2914" w:rsidRDefault="002C3B74" w:rsidP="002C3B74">
      <w:pPr>
        <w:pStyle w:val="Heading1"/>
        <w:rPr>
          <w:lang w:val="en-GB"/>
        </w:rPr>
      </w:pPr>
      <w:r w:rsidRPr="00EE2914">
        <w:rPr>
          <w:lang w:val="en-GB"/>
        </w:rPr>
        <w:t>3</w:t>
      </w:r>
      <w:r w:rsidRPr="00EE2914">
        <w:rPr>
          <w:lang w:val="en-GB"/>
        </w:rPr>
        <w:tab/>
        <w:t>Interference criteria for other services</w:t>
      </w:r>
    </w:p>
    <w:p w:rsidR="002C3B74" w:rsidRPr="00EE2914" w:rsidRDefault="002C3B74" w:rsidP="002C3B74">
      <w:pPr>
        <w:rPr>
          <w:lang w:val="en-GB"/>
        </w:rPr>
      </w:pPr>
      <w:r w:rsidRPr="00EE2914">
        <w:rPr>
          <w:lang w:val="en-GB"/>
        </w:rPr>
        <w:t>Specific criteria for specific systems in the other services are given in Table 1 in terms of the maximum aggregate pfd limits at the receiving stations (dB(W/(m</w:t>
      </w:r>
      <w:r w:rsidRPr="00EE2914">
        <w:rPr>
          <w:vertAlign w:val="superscript"/>
          <w:lang w:val="en-GB"/>
        </w:rPr>
        <w:t>2</w:t>
      </w:r>
      <w:r w:rsidRPr="00EE2914">
        <w:rPr>
          <w:lang w:val="en-GB"/>
        </w:rPr>
        <w:t xml:space="preserve"> · Hz))) and also the maximum percentage of time that the pfd limits may be exceeded. There are several instances where a different criteria is used as follows.</w:t>
      </w:r>
    </w:p>
    <w:p w:rsidR="002C3B74" w:rsidRPr="00EE2914" w:rsidRDefault="002C3B74" w:rsidP="002C3B74">
      <w:pPr>
        <w:pStyle w:val="Heading2"/>
        <w:rPr>
          <w:lang w:val="en-GB"/>
        </w:rPr>
      </w:pPr>
      <w:r w:rsidRPr="00EE2914">
        <w:rPr>
          <w:lang w:val="en-GB"/>
        </w:rPr>
        <w:lastRenderedPageBreak/>
        <w:t>3.1</w:t>
      </w:r>
      <w:r w:rsidRPr="00EE2914">
        <w:rPr>
          <w:lang w:val="en-GB"/>
        </w:rPr>
        <w:tab/>
        <w:t>Surveillance radars in radiolocation service</w:t>
      </w:r>
    </w:p>
    <w:p w:rsidR="002C3B74" w:rsidRPr="00EE2914" w:rsidRDefault="002C3B74" w:rsidP="002C3B74">
      <w:pPr>
        <w:rPr>
          <w:lang w:val="en-GB"/>
        </w:rPr>
      </w:pPr>
      <w:r w:rsidRPr="00EE2914">
        <w:rPr>
          <w:lang w:val="en-GB"/>
        </w:rPr>
        <w:t xml:space="preserve">It will be assumed that the received </w:t>
      </w:r>
      <w:r w:rsidRPr="00EE2914">
        <w:rPr>
          <w:i/>
          <w:iCs/>
          <w:lang w:val="en-GB"/>
        </w:rPr>
        <w:t>S</w:t>
      </w:r>
      <w:r w:rsidRPr="00EE2914">
        <w:rPr>
          <w:lang w:val="en-GB"/>
        </w:rPr>
        <w:t>/</w:t>
      </w:r>
      <w:r w:rsidRPr="00EE2914">
        <w:rPr>
          <w:i/>
          <w:iCs/>
          <w:lang w:val="en-GB"/>
        </w:rPr>
        <w:t xml:space="preserve">N </w:t>
      </w:r>
      <w:r w:rsidRPr="00EE2914">
        <w:rPr>
          <w:lang w:val="en-GB"/>
        </w:rPr>
        <w:t xml:space="preserve">of the surveillance radars may not be degraded by more than 0.5 dB longer than a single scan time, taken to be 10 s. This equates to an </w:t>
      </w:r>
      <w:r w:rsidRPr="00EE2914">
        <w:rPr>
          <w:i/>
          <w:iCs/>
          <w:lang w:val="en-GB"/>
        </w:rPr>
        <w:t>I</w:t>
      </w:r>
      <w:r w:rsidRPr="00EE2914">
        <w:rPr>
          <w:lang w:val="en-GB"/>
        </w:rPr>
        <w:t>/</w:t>
      </w:r>
      <w:r w:rsidRPr="00EE2914">
        <w:rPr>
          <w:i/>
          <w:iCs/>
          <w:lang w:val="en-GB"/>
        </w:rPr>
        <w:t>N</w:t>
      </w:r>
      <w:r w:rsidRPr="00EE2914">
        <w:rPr>
          <w:lang w:val="en-GB"/>
        </w:rPr>
        <w:t xml:space="preserve"> power ratio of </w:t>
      </w:r>
      <w:r w:rsidRPr="00EE2914">
        <w:rPr>
          <w:position w:val="11"/>
          <w:lang w:val="en-GB"/>
        </w:rPr>
        <w:t>_</w:t>
      </w:r>
      <w:r w:rsidRPr="00EE2914">
        <w:rPr>
          <w:lang w:val="en-GB"/>
        </w:rPr>
        <w:t>9 dB at the receiver IF stage. The average interfering signal power level is considered to be of interest in the case of the surveillance radars.</w:t>
      </w:r>
    </w:p>
    <w:p w:rsidR="002C3B74" w:rsidRPr="00EE2914" w:rsidRDefault="002C3B74" w:rsidP="002C3B74">
      <w:pPr>
        <w:pStyle w:val="Heading2"/>
        <w:rPr>
          <w:lang w:val="en-GB"/>
        </w:rPr>
      </w:pPr>
      <w:r w:rsidRPr="00EE2914">
        <w:rPr>
          <w:lang w:val="en-GB"/>
        </w:rPr>
        <w:t>3.2</w:t>
      </w:r>
      <w:r w:rsidRPr="00EE2914">
        <w:rPr>
          <w:lang w:val="en-GB"/>
        </w:rPr>
        <w:tab/>
        <w:t>Tracking radars in radiolocation service</w:t>
      </w:r>
    </w:p>
    <w:p w:rsidR="002C3B74" w:rsidRPr="00EE2914" w:rsidRDefault="002C3B74" w:rsidP="002C3B74">
      <w:pPr>
        <w:rPr>
          <w:i/>
          <w:iCs/>
          <w:sz w:val="28"/>
          <w:vertAlign w:val="subscript"/>
          <w:lang w:val="en-GB"/>
        </w:rPr>
      </w:pPr>
      <w:r w:rsidRPr="00EE2914">
        <w:rPr>
          <w:lang w:val="en-GB"/>
        </w:rPr>
        <w:t xml:space="preserve">Tracking radars often use “range gates” to exclude all returns other than those at specific ranges of interest. An important consideration in determining the susceptibility of a tracking radar to an interfering pulse train is the fraction of interfering pulses that are coincident with the range gate. The coincidence of interfering pulses with the range gate will depend upon whether the desired and undesired PRFs are related by integer multiples (Case I) or not (Case II). The fraction of coinciding pulses, </w:t>
      </w:r>
      <w:r w:rsidRPr="00EE2914">
        <w:rPr>
          <w:i/>
          <w:lang w:val="en-GB"/>
        </w:rPr>
        <w:t>f</w:t>
      </w:r>
      <w:r w:rsidRPr="00EE2914">
        <w:rPr>
          <w:i/>
          <w:vertAlign w:val="subscript"/>
          <w:lang w:val="en-GB"/>
        </w:rPr>
        <w:t>c</w:t>
      </w:r>
      <w:r w:rsidRPr="00EE2914">
        <w:rPr>
          <w:lang w:val="en-GB"/>
        </w:rPr>
        <w:t>, is found from:</w:t>
      </w:r>
    </w:p>
    <w:p w:rsidR="002C3B74" w:rsidRPr="00EE2914" w:rsidRDefault="002C3B74" w:rsidP="002C3B74">
      <w:pPr>
        <w:pStyle w:val="Equation"/>
        <w:tabs>
          <w:tab w:val="left" w:pos="6480"/>
        </w:tabs>
        <w:rPr>
          <w:lang w:val="en-GB"/>
        </w:rPr>
      </w:pPr>
      <w:r w:rsidRPr="00EE2914">
        <w:rPr>
          <w:lang w:val="en-GB"/>
        </w:rPr>
        <w:tab/>
      </w:r>
      <w:r w:rsidRPr="00EE2914">
        <w:rPr>
          <w:lang w:val="en-GB"/>
        </w:rPr>
        <w:tab/>
      </w:r>
      <w:r w:rsidRPr="00D009DF">
        <w:rPr>
          <w:position w:val="-34"/>
        </w:rPr>
        <w:object w:dxaOrig="2420" w:dyaOrig="760">
          <v:shape id="_x0000_i1029" type="#_x0000_t75" style="width:119.8pt;height:37.6pt" o:ole="">
            <v:imagedata r:id="rId20" o:title=""/>
          </v:shape>
          <o:OLEObject Type="Embed" ProgID="Equation.3" ShapeID="_x0000_i1029" DrawAspect="Content" ObjectID="_1571550633" r:id="rId21"/>
        </w:object>
      </w:r>
      <w:r w:rsidRPr="00EE2914">
        <w:rPr>
          <w:lang w:val="en-GB"/>
        </w:rPr>
        <w:tab/>
        <w:t>for Case I</w:t>
      </w:r>
      <w:r w:rsidRPr="00EE2914">
        <w:rPr>
          <w:lang w:val="en-GB"/>
        </w:rPr>
        <w:tab/>
        <w:t>(5a)</w:t>
      </w:r>
    </w:p>
    <w:p w:rsidR="002C3B74" w:rsidRPr="00EE2914" w:rsidRDefault="002C3B74" w:rsidP="002C3B74">
      <w:pPr>
        <w:pStyle w:val="Equation"/>
        <w:tabs>
          <w:tab w:val="left" w:pos="6480"/>
        </w:tabs>
        <w:rPr>
          <w:lang w:val="en-GB"/>
        </w:rPr>
      </w:pPr>
      <w:r w:rsidRPr="00EE2914">
        <w:rPr>
          <w:lang w:val="en-GB"/>
        </w:rPr>
        <w:tab/>
      </w:r>
      <w:r w:rsidRPr="00EE2914">
        <w:rPr>
          <w:lang w:val="en-GB"/>
        </w:rPr>
        <w:tab/>
      </w:r>
      <w:r w:rsidRPr="00D009DF">
        <w:rPr>
          <w:position w:val="-16"/>
        </w:rPr>
        <w:object w:dxaOrig="1900" w:dyaOrig="400">
          <v:shape id="_x0000_i1030" type="#_x0000_t75" style="width:95.65pt;height:20.4pt" o:ole="">
            <v:imagedata r:id="rId22" o:title=""/>
          </v:shape>
          <o:OLEObject Type="Embed" ProgID="Equation.3" ShapeID="_x0000_i1030" DrawAspect="Content" ObjectID="_1571550634" r:id="rId23"/>
        </w:object>
      </w:r>
      <w:r w:rsidRPr="00EE2914">
        <w:rPr>
          <w:lang w:val="en-GB"/>
        </w:rPr>
        <w:tab/>
        <w:t>for Case II</w:t>
      </w:r>
      <w:r w:rsidRPr="00EE2914">
        <w:rPr>
          <w:lang w:val="en-GB"/>
        </w:rPr>
        <w:tab/>
        <w:t>(5b)</w:t>
      </w:r>
    </w:p>
    <w:p w:rsidR="002C3B74" w:rsidRPr="00EE2914" w:rsidRDefault="002C3B74" w:rsidP="002C3B74">
      <w:pPr>
        <w:rPr>
          <w:lang w:val="en-GB"/>
        </w:rPr>
      </w:pPr>
      <w:r w:rsidRPr="00EE2914">
        <w:rPr>
          <w:lang w:val="en-GB"/>
        </w:rPr>
        <w:t>where:</w:t>
      </w:r>
    </w:p>
    <w:p w:rsidR="002C3B74" w:rsidRDefault="002C3B74" w:rsidP="002C3B74">
      <w:pPr>
        <w:pStyle w:val="Equationlegend"/>
        <w:tabs>
          <w:tab w:val="clear" w:pos="1985"/>
          <w:tab w:val="right" w:pos="1980"/>
          <w:tab w:val="left" w:pos="2160"/>
        </w:tabs>
        <w:ind w:left="2340" w:hanging="2340"/>
      </w:pPr>
      <w:r>
        <w:tab/>
      </w:r>
      <w:r>
        <w:rPr>
          <w:i/>
        </w:rPr>
        <w:t>PRF</w:t>
      </w:r>
      <w:r>
        <w:rPr>
          <w:i/>
          <w:vertAlign w:val="subscript"/>
        </w:rPr>
        <w:t>i</w:t>
      </w:r>
      <w:r>
        <w:rPr>
          <w:rFonts w:ascii="Tms Rmn" w:hAnsi="Tms Rmn"/>
          <w:i/>
          <w:sz w:val="12"/>
          <w:vertAlign w:val="subscript"/>
        </w:rPr>
        <w:t> </w:t>
      </w:r>
      <w:r>
        <w:rPr>
          <w:rFonts w:ascii="Tms Rmn" w:hAnsi="Tms Rmn"/>
        </w:rPr>
        <w:t>:</w:t>
      </w:r>
      <w:r>
        <w:rPr>
          <w:rFonts w:ascii="Tms Rmn" w:hAnsi="Tms Rmn"/>
        </w:rPr>
        <w:tab/>
      </w:r>
      <w:r>
        <w:t>interfering PRF</w:t>
      </w:r>
    </w:p>
    <w:p w:rsidR="002C3B74" w:rsidRDefault="002C3B74" w:rsidP="002C3B74">
      <w:pPr>
        <w:pStyle w:val="Equationlegend"/>
        <w:tabs>
          <w:tab w:val="clear" w:pos="1985"/>
          <w:tab w:val="right" w:pos="1980"/>
          <w:tab w:val="left" w:pos="2160"/>
        </w:tabs>
        <w:ind w:left="2340" w:hanging="2340"/>
      </w:pPr>
      <w:r>
        <w:tab/>
      </w:r>
      <w:r>
        <w:rPr>
          <w:i/>
        </w:rPr>
        <w:t>PRF</w:t>
      </w:r>
      <w:r>
        <w:rPr>
          <w:i/>
          <w:vertAlign w:val="subscript"/>
        </w:rPr>
        <w:t>g</w:t>
      </w:r>
      <w:r>
        <w:rPr>
          <w:rFonts w:ascii="Tms Rmn" w:hAnsi="Tms Rmn"/>
          <w:i/>
          <w:sz w:val="12"/>
          <w:vertAlign w:val="subscript"/>
        </w:rPr>
        <w:t> </w:t>
      </w:r>
      <w:r>
        <w:rPr>
          <w:rFonts w:ascii="Tms Rmn" w:hAnsi="Tms Rmn"/>
        </w:rPr>
        <w:t>:</w:t>
      </w:r>
      <w:r>
        <w:tab/>
        <w:t>gate PRF</w:t>
      </w:r>
    </w:p>
    <w:p w:rsidR="002C3B74" w:rsidRDefault="002C3B74" w:rsidP="002C3B74">
      <w:pPr>
        <w:pStyle w:val="Equationlegend"/>
        <w:tabs>
          <w:tab w:val="clear" w:pos="1985"/>
          <w:tab w:val="right" w:pos="1980"/>
          <w:tab w:val="left" w:pos="2160"/>
        </w:tabs>
        <w:ind w:left="2340" w:hanging="2340"/>
      </w:pPr>
      <w:r>
        <w:tab/>
      </w:r>
      <w:r>
        <w:rPr>
          <w:i/>
        </w:rPr>
        <w:t>GCF</w:t>
      </w:r>
      <w:r>
        <w:t xml:space="preserve"> (</w:t>
      </w:r>
      <w:r>
        <w:rPr>
          <w:i/>
        </w:rPr>
        <w:t>PRF</w:t>
      </w:r>
      <w:r>
        <w:rPr>
          <w:i/>
          <w:vertAlign w:val="subscript"/>
        </w:rPr>
        <w:t>i</w:t>
      </w:r>
      <w:r>
        <w:t xml:space="preserve">, </w:t>
      </w:r>
      <w:r>
        <w:rPr>
          <w:i/>
        </w:rPr>
        <w:t>PRF</w:t>
      </w:r>
      <w:r>
        <w:t>)</w:t>
      </w:r>
      <w:r>
        <w:rPr>
          <w:i/>
          <w:iCs/>
          <w:vertAlign w:val="subscript"/>
        </w:rPr>
        <w:t>g</w:t>
      </w:r>
      <w:r>
        <w:rPr>
          <w:rFonts w:ascii="Tms Rmn" w:hAnsi="Tms Rmn"/>
          <w:sz w:val="12"/>
          <w:vertAlign w:val="subscript"/>
        </w:rPr>
        <w:t> </w:t>
      </w:r>
      <w:r>
        <w:rPr>
          <w:rFonts w:ascii="Tms Rmn" w:hAnsi="Tms Rmn"/>
        </w:rPr>
        <w:t>:</w:t>
      </w:r>
      <w:r>
        <w:rPr>
          <w:rFonts w:ascii="Tms Rmn" w:hAnsi="Tms Rmn"/>
        </w:rPr>
        <w:tab/>
      </w:r>
      <w:r>
        <w:t xml:space="preserve">greatest common factor of </w:t>
      </w:r>
      <w:r>
        <w:rPr>
          <w:i/>
        </w:rPr>
        <w:t>PRF</w:t>
      </w:r>
      <w:r>
        <w:rPr>
          <w:i/>
          <w:vertAlign w:val="subscript"/>
        </w:rPr>
        <w:t xml:space="preserve">i </w:t>
      </w:r>
      <w:r>
        <w:t xml:space="preserve">and </w:t>
      </w:r>
      <w:r>
        <w:rPr>
          <w:i/>
        </w:rPr>
        <w:t>PRF</w:t>
      </w:r>
      <w:r>
        <w:rPr>
          <w:i/>
          <w:vertAlign w:val="subscript"/>
        </w:rPr>
        <w:t>g</w:t>
      </w:r>
    </w:p>
    <w:p w:rsidR="002C3B74" w:rsidRDefault="002C3B74" w:rsidP="002C3B74">
      <w:pPr>
        <w:pStyle w:val="Equationlegend"/>
        <w:tabs>
          <w:tab w:val="clear" w:pos="1985"/>
          <w:tab w:val="right" w:pos="1980"/>
          <w:tab w:val="left" w:pos="2160"/>
        </w:tabs>
        <w:ind w:left="2340" w:hanging="2340"/>
      </w:pPr>
      <w:r>
        <w:tab/>
      </w:r>
      <w:r>
        <w:rPr>
          <w:rFonts w:ascii="Symbol" w:hAnsi="Symbol"/>
        </w:rPr>
        <w:t></w:t>
      </w:r>
      <w:r>
        <w:rPr>
          <w:i/>
          <w:iCs/>
          <w:vertAlign w:val="subscript"/>
        </w:rPr>
        <w:t>i</w:t>
      </w:r>
      <w:r>
        <w:rPr>
          <w:rFonts w:ascii="Tms Rmn" w:hAnsi="Tms Rmn"/>
          <w:i/>
          <w:iCs/>
          <w:sz w:val="12"/>
          <w:vertAlign w:val="subscript"/>
        </w:rPr>
        <w:t> </w:t>
      </w:r>
      <w:r>
        <w:rPr>
          <w:rFonts w:ascii="Tms Rmn" w:hAnsi="Tms Rmn"/>
        </w:rPr>
        <w:t>:</w:t>
      </w:r>
      <w:r>
        <w:rPr>
          <w:rFonts w:ascii="Tms Rmn" w:hAnsi="Tms Rmn"/>
        </w:rPr>
        <w:tab/>
      </w:r>
      <w:r>
        <w:t>interfering pulse width</w:t>
      </w:r>
    </w:p>
    <w:p w:rsidR="002C3B74" w:rsidRDefault="002C3B74" w:rsidP="002C3B74">
      <w:pPr>
        <w:pStyle w:val="Equationlegend"/>
        <w:tabs>
          <w:tab w:val="clear" w:pos="1985"/>
          <w:tab w:val="right" w:pos="1980"/>
          <w:tab w:val="left" w:pos="2160"/>
        </w:tabs>
        <w:ind w:left="2340" w:hanging="2340"/>
      </w:pPr>
      <w:r>
        <w:tab/>
      </w:r>
      <w:r>
        <w:rPr>
          <w:rFonts w:ascii="Symbol" w:hAnsi="Symbol"/>
        </w:rPr>
        <w:t></w:t>
      </w:r>
      <w:r>
        <w:rPr>
          <w:i/>
          <w:iCs/>
          <w:vertAlign w:val="subscript"/>
        </w:rPr>
        <w:t>g</w:t>
      </w:r>
      <w:r>
        <w:rPr>
          <w:rFonts w:ascii="Tms Rmn" w:hAnsi="Tms Rmn"/>
          <w:i/>
          <w:iCs/>
          <w:sz w:val="12"/>
          <w:vertAlign w:val="subscript"/>
        </w:rPr>
        <w:t> </w:t>
      </w:r>
      <w:r>
        <w:rPr>
          <w:rFonts w:ascii="Tms Rmn" w:hAnsi="Tms Rmn"/>
        </w:rPr>
        <w:t>:</w:t>
      </w:r>
      <w:r>
        <w:rPr>
          <w:rFonts w:ascii="Tms Rmn" w:hAnsi="Tms Rmn"/>
        </w:rPr>
        <w:tab/>
      </w:r>
      <w:r>
        <w:t>gate width.</w:t>
      </w:r>
    </w:p>
    <w:p w:rsidR="002C3B74" w:rsidRPr="00EE2914" w:rsidRDefault="002C3B74" w:rsidP="002C3B74">
      <w:pPr>
        <w:rPr>
          <w:lang w:val="en-GB"/>
        </w:rPr>
      </w:pPr>
      <w:r w:rsidRPr="00EE2914">
        <w:rPr>
          <w:lang w:val="en-GB"/>
        </w:rPr>
        <w:t xml:space="preserve">Note that when </w:t>
      </w:r>
      <w:r>
        <w:rPr>
          <w:rFonts w:ascii="Symbol" w:hAnsi="Symbol"/>
        </w:rPr>
        <w:t></w:t>
      </w:r>
      <w:r w:rsidRPr="00EE2914">
        <w:rPr>
          <w:i/>
          <w:iCs/>
          <w:vertAlign w:val="subscript"/>
          <w:lang w:val="en-GB"/>
        </w:rPr>
        <w:t>i</w:t>
      </w:r>
      <w:r w:rsidRPr="00EE2914">
        <w:rPr>
          <w:lang w:val="en-GB"/>
        </w:rPr>
        <w:t xml:space="preserve"> </w:t>
      </w:r>
      <w:r>
        <w:rPr>
          <w:rFonts w:ascii="Symbol" w:hAnsi="Symbol"/>
        </w:rPr>
        <w:sym w:font="Symbol" w:char="F03E"/>
      </w:r>
      <w:r w:rsidRPr="00EE2914">
        <w:rPr>
          <w:lang w:val="en-GB"/>
        </w:rPr>
        <w:t xml:space="preserve"> </w:t>
      </w:r>
      <w:r>
        <w:rPr>
          <w:rFonts w:ascii="Symbol" w:hAnsi="Symbol"/>
        </w:rPr>
        <w:t></w:t>
      </w:r>
      <w:r w:rsidRPr="00EE2914">
        <w:rPr>
          <w:i/>
          <w:iCs/>
          <w:vertAlign w:val="subscript"/>
          <w:lang w:val="en-GB"/>
        </w:rPr>
        <w:t>g</w:t>
      </w:r>
      <w:r w:rsidRPr="00EE2914">
        <w:rPr>
          <w:lang w:val="en-GB"/>
        </w:rPr>
        <w:t xml:space="preserve"> and the desired and undesired PRFs are not related by integer multiples (Case II), </w:t>
      </w:r>
      <w:r w:rsidRPr="00EE2914">
        <w:rPr>
          <w:i/>
          <w:lang w:val="en-GB"/>
        </w:rPr>
        <w:t>f</w:t>
      </w:r>
      <w:r w:rsidRPr="00EE2914">
        <w:rPr>
          <w:i/>
          <w:vertAlign w:val="subscript"/>
          <w:lang w:val="en-GB"/>
        </w:rPr>
        <w:t>c</w:t>
      </w:r>
      <w:r w:rsidRPr="00EE2914">
        <w:rPr>
          <w:lang w:val="en-GB"/>
        </w:rPr>
        <w:t xml:space="preserve"> is approximately the duty cycle of the interfering pulses. This situation is considered to be the typical case, and is used in the following determination of degradation threshold for a tracking radar.</w:t>
      </w:r>
    </w:p>
    <w:p w:rsidR="002C3B74" w:rsidRPr="00EE2914" w:rsidRDefault="002C3B74" w:rsidP="002C3B74">
      <w:pPr>
        <w:rPr>
          <w:lang w:val="en-GB"/>
        </w:rPr>
      </w:pPr>
      <w:r w:rsidRPr="00EE2914">
        <w:rPr>
          <w:lang w:val="en-GB"/>
        </w:rPr>
        <w:t>To obtain highly accurate position data on objects of interest, tracking radars use high gain antennas with well-defined, narrow mainbeams. A servo mechanism attempts to keep the boresight of the antenna mainbeam on the target; the servo mechanism is driven by an error signal generated by the angle error between the target and the antenna boresight. Undesired signals entering the radar can increase this bias error.</w:t>
      </w:r>
    </w:p>
    <w:p w:rsidR="002C3B74" w:rsidRPr="00EE2914" w:rsidRDefault="002C3B74" w:rsidP="002C3B74">
      <w:pPr>
        <w:rPr>
          <w:lang w:val="en-GB"/>
        </w:rPr>
      </w:pPr>
      <w:r w:rsidRPr="00EE2914">
        <w:rPr>
          <w:lang w:val="en-GB"/>
        </w:rPr>
        <w:t xml:space="preserve">A degradation threshold for a tracking radar, expressed as an allowed fraction of coincident interfering pulses, </w:t>
      </w:r>
      <w:r w:rsidRPr="00EE2914">
        <w:rPr>
          <w:i/>
          <w:lang w:val="en-GB"/>
        </w:rPr>
        <w:t>f</w:t>
      </w:r>
      <w:r w:rsidRPr="00EE2914">
        <w:rPr>
          <w:i/>
          <w:iCs/>
          <w:sz w:val="28"/>
          <w:vertAlign w:val="subscript"/>
          <w:lang w:val="en-GB"/>
        </w:rPr>
        <w:t>c</w:t>
      </w:r>
      <w:r w:rsidRPr="00EE2914">
        <w:rPr>
          <w:lang w:val="en-GB"/>
        </w:rPr>
        <w:t xml:space="preserve">, as a function of the </w:t>
      </w:r>
      <w:r w:rsidRPr="00EE2914">
        <w:rPr>
          <w:i/>
          <w:iCs/>
          <w:lang w:val="en-GB"/>
        </w:rPr>
        <w:t>S</w:t>
      </w:r>
      <w:r w:rsidRPr="00EE2914">
        <w:rPr>
          <w:lang w:val="en-GB"/>
        </w:rPr>
        <w:t>/</w:t>
      </w:r>
      <w:r w:rsidRPr="00EE2914">
        <w:rPr>
          <w:i/>
          <w:iCs/>
          <w:lang w:val="en-GB"/>
        </w:rPr>
        <w:t xml:space="preserve">I </w:t>
      </w:r>
      <w:r w:rsidRPr="00EE2914">
        <w:rPr>
          <w:lang w:val="en-GB"/>
        </w:rPr>
        <w:t>ratio at the IF output is given as:</w:t>
      </w:r>
    </w:p>
    <w:p w:rsidR="002C3B74" w:rsidRPr="00EE2914" w:rsidRDefault="002C3B74" w:rsidP="002C3B74">
      <w:pPr>
        <w:pStyle w:val="Equation"/>
        <w:tabs>
          <w:tab w:val="left" w:pos="6521"/>
        </w:tabs>
        <w:rPr>
          <w:lang w:val="en-GB"/>
        </w:rPr>
      </w:pPr>
      <w:r w:rsidRPr="00EE2914">
        <w:rPr>
          <w:lang w:val="en-GB"/>
        </w:rPr>
        <w:tab/>
      </w:r>
      <w:r w:rsidRPr="00EE2914">
        <w:rPr>
          <w:lang w:val="en-GB"/>
        </w:rPr>
        <w:tab/>
      </w:r>
      <w:r w:rsidRPr="00D009DF">
        <w:rPr>
          <w:position w:val="-58"/>
        </w:rPr>
        <w:object w:dxaOrig="1680" w:dyaOrig="1040">
          <v:shape id="_x0000_i1031" type="#_x0000_t75" style="width:83.8pt;height:52.65pt" o:ole="">
            <v:imagedata r:id="rId24" o:title=""/>
          </v:shape>
          <o:OLEObject Type="Embed" ProgID="Equation.3" ShapeID="_x0000_i1031" DrawAspect="Content" ObjectID="_1571550635" r:id="rId25"/>
        </w:object>
      </w:r>
      <w:r w:rsidRPr="00EE2914">
        <w:rPr>
          <w:lang w:val="en-GB"/>
        </w:rPr>
        <w:tab/>
        <w:t xml:space="preserve">when </w:t>
      </w:r>
      <w:r w:rsidRPr="00EE2914">
        <w:rPr>
          <w:i/>
          <w:iCs/>
          <w:lang w:val="en-GB"/>
        </w:rPr>
        <w:t>S</w:t>
      </w:r>
      <w:r w:rsidRPr="00EE2914">
        <w:rPr>
          <w:lang w:val="en-GB"/>
        </w:rPr>
        <w:t>/</w:t>
      </w:r>
      <w:r w:rsidRPr="00EE2914">
        <w:rPr>
          <w:i/>
          <w:iCs/>
          <w:lang w:val="en-GB"/>
        </w:rPr>
        <w:t>I</w:t>
      </w:r>
      <w:r w:rsidRPr="00EE2914">
        <w:rPr>
          <w:lang w:val="en-GB"/>
        </w:rPr>
        <w:t xml:space="preserve"> &gt; 1</w:t>
      </w:r>
      <w:r w:rsidRPr="00EE2914">
        <w:rPr>
          <w:lang w:val="en-GB"/>
        </w:rPr>
        <w:tab/>
        <w:t>(6a)</w:t>
      </w:r>
    </w:p>
    <w:p w:rsidR="002C3B74" w:rsidRPr="00EE2914" w:rsidRDefault="002C3B74" w:rsidP="002C3B74">
      <w:pPr>
        <w:pStyle w:val="Equation"/>
        <w:tabs>
          <w:tab w:val="left" w:pos="6521"/>
        </w:tabs>
        <w:rPr>
          <w:lang w:val="en-GB"/>
        </w:rPr>
      </w:pPr>
      <w:r w:rsidRPr="00EE2914">
        <w:rPr>
          <w:lang w:val="en-GB"/>
        </w:rPr>
        <w:tab/>
      </w:r>
      <w:r w:rsidRPr="00EE2914">
        <w:rPr>
          <w:lang w:val="en-GB"/>
        </w:rPr>
        <w:tab/>
      </w:r>
      <w:r w:rsidRPr="00D009DF">
        <w:rPr>
          <w:position w:val="-58"/>
        </w:rPr>
        <w:object w:dxaOrig="1680" w:dyaOrig="1040">
          <v:shape id="_x0000_i1032" type="#_x0000_t75" style="width:83.8pt;height:52.65pt" o:ole="">
            <v:imagedata r:id="rId26" o:title=""/>
          </v:shape>
          <o:OLEObject Type="Embed" ProgID="Equation.3" ShapeID="_x0000_i1032" DrawAspect="Content" ObjectID="_1571550636" r:id="rId27"/>
        </w:object>
      </w:r>
      <w:r w:rsidRPr="00EE2914">
        <w:rPr>
          <w:lang w:val="en-GB"/>
        </w:rPr>
        <w:tab/>
        <w:t xml:space="preserve">when </w:t>
      </w:r>
      <w:r w:rsidRPr="00EE2914">
        <w:rPr>
          <w:i/>
          <w:iCs/>
          <w:lang w:val="en-GB"/>
        </w:rPr>
        <w:t>S</w:t>
      </w:r>
      <w:r w:rsidRPr="00EE2914">
        <w:rPr>
          <w:lang w:val="en-GB"/>
        </w:rPr>
        <w:t>/</w:t>
      </w:r>
      <w:r w:rsidRPr="00EE2914">
        <w:rPr>
          <w:i/>
          <w:iCs/>
          <w:lang w:val="en-GB"/>
        </w:rPr>
        <w:t xml:space="preserve">I </w:t>
      </w:r>
      <w:r w:rsidRPr="00EE2914">
        <w:rPr>
          <w:lang w:val="en-GB"/>
        </w:rPr>
        <w:t>&lt; 1</w:t>
      </w:r>
      <w:r w:rsidRPr="00EE2914">
        <w:rPr>
          <w:lang w:val="en-GB"/>
        </w:rPr>
        <w:tab/>
        <w:t>(6b)</w:t>
      </w:r>
    </w:p>
    <w:p w:rsidR="002C3B74" w:rsidRPr="00EE2914" w:rsidRDefault="002C3B74" w:rsidP="0096542E">
      <w:pPr>
        <w:keepNext/>
        <w:keepLines/>
        <w:rPr>
          <w:lang w:val="en-GB"/>
        </w:rPr>
      </w:pPr>
      <w:r w:rsidRPr="00EE2914">
        <w:rPr>
          <w:lang w:val="en-GB"/>
        </w:rPr>
        <w:lastRenderedPageBreak/>
        <w:t>where:</w:t>
      </w:r>
    </w:p>
    <w:p w:rsidR="002C3B74" w:rsidRDefault="002C3B74" w:rsidP="002C3B74">
      <w:pPr>
        <w:pStyle w:val="Equationlegend"/>
        <w:spacing w:after="80"/>
      </w:pPr>
      <w:r>
        <w:tab/>
      </w:r>
      <w:r>
        <w:rPr>
          <w:i/>
        </w:rPr>
        <w:t>a</w:t>
      </w:r>
      <w:r>
        <w:rPr>
          <w:rFonts w:ascii="Tms Rmn" w:hAnsi="Tms Rmn"/>
          <w:i/>
          <w:sz w:val="12"/>
        </w:rPr>
        <w:t> </w:t>
      </w:r>
      <w:r>
        <w:rPr>
          <w:rFonts w:ascii="Tms Rmn" w:hAnsi="Tms Rmn"/>
        </w:rPr>
        <w:t>:</w:t>
      </w:r>
      <w:r>
        <w:rPr>
          <w:rFonts w:ascii="Tms Rmn" w:hAnsi="Tms Rmn"/>
        </w:rPr>
        <w:tab/>
      </w:r>
      <w:r>
        <w:t xml:space="preserve">factor associated with total tracking error, with degradation due to interference included (e.g. </w:t>
      </w:r>
      <w:r>
        <w:rPr>
          <w:i/>
        </w:rPr>
        <w:t>a</w:t>
      </w:r>
      <w:r>
        <w:t> </w:t>
      </w:r>
      <w:r>
        <w:rPr>
          <w:rFonts w:ascii="Symbol" w:hAnsi="Symbol"/>
        </w:rPr>
        <w:t></w:t>
      </w:r>
      <w:r>
        <w:t> 1.1 allows a 0.1%, or 10% increase due to interference)</w:t>
      </w:r>
    </w:p>
    <w:p w:rsidR="002C3B74" w:rsidRDefault="002C3B74" w:rsidP="002C3B74">
      <w:pPr>
        <w:pStyle w:val="Equationlegend"/>
        <w:spacing w:after="80"/>
      </w:pPr>
      <w:r>
        <w:tab/>
      </w:r>
      <w:r>
        <w:rPr>
          <w:i/>
        </w:rPr>
        <w:t>B</w:t>
      </w:r>
      <w:r>
        <w:rPr>
          <w:i/>
          <w:vertAlign w:val="subscript"/>
        </w:rPr>
        <w:t>r</w:t>
      </w:r>
      <w:r>
        <w:rPr>
          <w:rFonts w:ascii="Tms Rmn" w:hAnsi="Tms Rmn"/>
          <w:i/>
          <w:sz w:val="12"/>
          <w:vertAlign w:val="subscript"/>
        </w:rPr>
        <w:t> </w:t>
      </w:r>
      <w:r>
        <w:rPr>
          <w:rFonts w:ascii="Tms Rmn" w:hAnsi="Tms Rmn"/>
        </w:rPr>
        <w:t>:</w:t>
      </w:r>
      <w:r>
        <w:rPr>
          <w:rFonts w:ascii="Tms Rmn" w:hAnsi="Tms Rmn"/>
        </w:rPr>
        <w:tab/>
      </w:r>
      <w:r>
        <w:t>3 dB bandwidth of the radar IF filter</w:t>
      </w:r>
    </w:p>
    <w:p w:rsidR="002C3B74" w:rsidRDefault="002C3B74" w:rsidP="002C3B74">
      <w:pPr>
        <w:pStyle w:val="Equationlegend"/>
        <w:spacing w:after="80"/>
        <w:rPr>
          <w:rFonts w:ascii="Tms Rmn" w:hAnsi="Tms Rmn"/>
        </w:rPr>
      </w:pPr>
      <w:r>
        <w:tab/>
      </w:r>
      <w:r>
        <w:rPr>
          <w:rFonts w:ascii="Symbol" w:hAnsi="Symbol"/>
        </w:rPr>
        <w:t></w:t>
      </w:r>
      <w:r>
        <w:rPr>
          <w:rFonts w:ascii="Tms Rmn" w:hAnsi="Tms Rmn"/>
          <w:sz w:val="12"/>
        </w:rPr>
        <w:t> </w:t>
      </w:r>
      <w:r>
        <w:rPr>
          <w:rFonts w:ascii="Tms Rmn" w:hAnsi="Tms Rmn"/>
        </w:rPr>
        <w:t>:</w:t>
      </w:r>
      <w:r>
        <w:rPr>
          <w:rFonts w:ascii="Tms Rmn" w:hAnsi="Tms Rmn"/>
        </w:rPr>
        <w:tab/>
      </w:r>
      <w:r>
        <w:t xml:space="preserve">length of the target pulses (note </w:t>
      </w:r>
      <w:r>
        <w:rPr>
          <w:i/>
        </w:rPr>
        <w:t>B</w:t>
      </w:r>
      <w:r>
        <w:rPr>
          <w:i/>
          <w:sz w:val="28"/>
          <w:vertAlign w:val="subscript"/>
        </w:rPr>
        <w:t>r</w:t>
      </w:r>
      <w:r>
        <w:rPr>
          <w:position w:val="-4"/>
        </w:rPr>
        <w:t> </w:t>
      </w:r>
      <w:r>
        <w:rPr>
          <w:rFonts w:ascii="Symbol" w:hAnsi="Symbol"/>
        </w:rPr>
        <w:t></w:t>
      </w:r>
      <w:r>
        <w:t> </w:t>
      </w:r>
      <w:r>
        <w:rPr>
          <w:rFonts w:ascii="Symbol" w:hAnsi="Symbol"/>
        </w:rPr>
        <w:t></w:t>
      </w:r>
      <w:r>
        <w:t> 1 for a tracking radar)</w:t>
      </w:r>
    </w:p>
    <w:p w:rsidR="002C3B74" w:rsidRDefault="002C3B74" w:rsidP="002C3B74">
      <w:pPr>
        <w:pStyle w:val="Equationlegend"/>
        <w:spacing w:after="80"/>
      </w:pPr>
      <w:r>
        <w:tab/>
      </w:r>
      <w:r>
        <w:rPr>
          <w:i/>
        </w:rPr>
        <w:t>S</w:t>
      </w:r>
      <w:r>
        <w:t>/</w:t>
      </w:r>
      <w:r>
        <w:rPr>
          <w:i/>
        </w:rPr>
        <w:t>I</w:t>
      </w:r>
      <w:r>
        <w:rPr>
          <w:rFonts w:ascii="Tms Rmn" w:hAnsi="Tms Rmn"/>
          <w:i/>
          <w:sz w:val="12"/>
        </w:rPr>
        <w:t> </w:t>
      </w:r>
      <w:r>
        <w:rPr>
          <w:rFonts w:ascii="Tms Rmn" w:hAnsi="Tms Rmn"/>
        </w:rPr>
        <w:t>:</w:t>
      </w:r>
      <w:r>
        <w:rPr>
          <w:rFonts w:ascii="Tms Rmn" w:hAnsi="Tms Rmn"/>
        </w:rPr>
        <w:tab/>
      </w:r>
      <w:r>
        <w:rPr>
          <w:i/>
          <w:iCs/>
        </w:rPr>
        <w:t>S</w:t>
      </w:r>
      <w:r>
        <w:t>/</w:t>
      </w:r>
      <w:r>
        <w:rPr>
          <w:i/>
          <w:iCs/>
        </w:rPr>
        <w:t>I</w:t>
      </w:r>
      <w:r>
        <w:t xml:space="preserve"> power ratio at the radar IF output (not in dB).</w:t>
      </w:r>
    </w:p>
    <w:p w:rsidR="002C3B74" w:rsidRDefault="002C3B74" w:rsidP="002C3B74">
      <w:pPr>
        <w:rPr>
          <w:lang w:val="en-GB"/>
        </w:rPr>
      </w:pPr>
      <w:r w:rsidRPr="00EE2914">
        <w:rPr>
          <w:lang w:val="en-GB"/>
        </w:rPr>
        <w:t xml:space="preserve">Figure 2 is a plot of the fraction of coincident pulses versus </w:t>
      </w:r>
      <w:r w:rsidRPr="00EE2914">
        <w:rPr>
          <w:i/>
          <w:lang w:val="en-GB"/>
        </w:rPr>
        <w:t>S</w:t>
      </w:r>
      <w:r w:rsidRPr="00EE2914">
        <w:rPr>
          <w:lang w:val="en-GB"/>
        </w:rPr>
        <w:t>/</w:t>
      </w:r>
      <w:r w:rsidRPr="00EE2914">
        <w:rPr>
          <w:i/>
          <w:lang w:val="en-GB"/>
        </w:rPr>
        <w:t>I</w:t>
      </w:r>
      <w:r w:rsidRPr="00EE2914">
        <w:rPr>
          <w:lang w:val="en-GB"/>
        </w:rPr>
        <w:t xml:space="preserve"> at the radar IF output, allowing a 10% increase in the radar tracking error due to interference. The fraction of coincident pulses is approximately the sensor’s duty cycle (6%), so an </w:t>
      </w:r>
      <w:r w:rsidRPr="00EE2914">
        <w:rPr>
          <w:i/>
          <w:lang w:val="en-GB"/>
        </w:rPr>
        <w:t>S</w:t>
      </w:r>
      <w:r w:rsidRPr="00EE2914">
        <w:rPr>
          <w:lang w:val="en-GB"/>
        </w:rPr>
        <w:t>/</w:t>
      </w:r>
      <w:r w:rsidRPr="00EE2914">
        <w:rPr>
          <w:i/>
          <w:lang w:val="en-GB"/>
        </w:rPr>
        <w:t>I</w:t>
      </w:r>
      <w:r w:rsidRPr="00EE2914">
        <w:rPr>
          <w:lang w:val="en-GB"/>
        </w:rPr>
        <w:t xml:space="preserve"> of 13 dB corresponds to a 10% tracking error. It will be assumed that the </w:t>
      </w:r>
      <w:r w:rsidRPr="00EE2914">
        <w:rPr>
          <w:i/>
          <w:lang w:val="en-GB"/>
        </w:rPr>
        <w:t>S</w:t>
      </w:r>
      <w:r w:rsidRPr="00EE2914">
        <w:rPr>
          <w:lang w:val="en-GB"/>
        </w:rPr>
        <w:t>/</w:t>
      </w:r>
      <w:r w:rsidRPr="00EE2914">
        <w:rPr>
          <w:i/>
          <w:lang w:val="en-GB"/>
        </w:rPr>
        <w:t>I</w:t>
      </w:r>
      <w:r w:rsidRPr="00EE2914">
        <w:rPr>
          <w:lang w:val="en-GB"/>
        </w:rPr>
        <w:t xml:space="preserve"> must be </w:t>
      </w:r>
      <w:r>
        <w:rPr>
          <w:rFonts w:ascii="Symbol" w:hAnsi="Symbol"/>
        </w:rPr>
        <w:t></w:t>
      </w:r>
      <w:r w:rsidRPr="00EE2914">
        <w:rPr>
          <w:rFonts w:ascii="Tms Rmn" w:hAnsi="Tms Rmn"/>
          <w:lang w:val="en-GB"/>
        </w:rPr>
        <w:t> </w:t>
      </w:r>
      <w:r w:rsidRPr="00EE2914">
        <w:rPr>
          <w:lang w:val="en-GB"/>
        </w:rPr>
        <w:t>13 dB for periods of time longer than 3 s. (Since the interference criterion has been developed based upon an interfering pulse being coincident with the radar’s range gate, the peak interfering signal power should be used.)</w:t>
      </w:r>
    </w:p>
    <w:p w:rsidR="00880962" w:rsidRDefault="00880962" w:rsidP="00880962">
      <w:pPr>
        <w:pStyle w:val="FigureNo"/>
        <w:rPr>
          <w:lang w:val="en-GB"/>
        </w:rPr>
      </w:pPr>
      <w:r>
        <w:rPr>
          <w:lang w:val="en-GB"/>
        </w:rPr>
        <w:t>figure 2</w:t>
      </w:r>
    </w:p>
    <w:p w:rsidR="00880962" w:rsidRDefault="00880962" w:rsidP="00880962">
      <w:pPr>
        <w:pStyle w:val="Figuretitle"/>
        <w:rPr>
          <w:lang w:val="en-GB"/>
        </w:rPr>
      </w:pPr>
      <w:r>
        <w:rPr>
          <w:lang w:val="en-GB"/>
        </w:rPr>
        <w:t>Radar S/I as a function of fraction of coincident interfering pulses (10% increase in tracking error)</w:t>
      </w:r>
    </w:p>
    <w:p w:rsidR="00880962" w:rsidRPr="00EE2914" w:rsidRDefault="00880962" w:rsidP="00880962">
      <w:pPr>
        <w:pStyle w:val="Figure"/>
        <w:rPr>
          <w:lang w:val="en-GB"/>
        </w:rPr>
      </w:pPr>
      <w:r>
        <w:object w:dxaOrig="5478" w:dyaOrig="3906">
          <v:shape id="_x0000_i1033" type="#_x0000_t75" style="width:330.45pt;height:235.35pt" o:ole="">
            <v:imagedata r:id="rId28" o:title=""/>
          </v:shape>
          <o:OLEObject Type="Embed" ProgID="CorelDraw.Graphic.17" ShapeID="_x0000_i1033" DrawAspect="Content" ObjectID="_1571550637" r:id="rId29"/>
        </w:object>
      </w:r>
    </w:p>
    <w:p w:rsidR="002C3B74" w:rsidRPr="00EE2914" w:rsidRDefault="002C3B74" w:rsidP="002C3B74">
      <w:pPr>
        <w:pStyle w:val="Heading1"/>
        <w:spacing w:before="360"/>
        <w:rPr>
          <w:lang w:val="en-GB"/>
        </w:rPr>
      </w:pPr>
      <w:r w:rsidRPr="00EE2914">
        <w:rPr>
          <w:lang w:val="en-GB"/>
        </w:rPr>
        <w:t>4</w:t>
      </w:r>
      <w:r w:rsidRPr="00EE2914">
        <w:rPr>
          <w:lang w:val="en-GB"/>
        </w:rPr>
        <w:tab/>
        <w:t>Example analysis of the unwanted signal from a spaceborne sensor to other services</w:t>
      </w:r>
    </w:p>
    <w:p w:rsidR="002C3B74" w:rsidRPr="00EE2914" w:rsidRDefault="002C3B74" w:rsidP="002C3B74">
      <w:pPr>
        <w:pStyle w:val="Heading2"/>
        <w:rPr>
          <w:lang w:val="en-GB"/>
        </w:rPr>
      </w:pPr>
      <w:r w:rsidRPr="00EE2914">
        <w:rPr>
          <w:lang w:val="en-GB"/>
        </w:rPr>
        <w:t>4.1</w:t>
      </w:r>
      <w:r w:rsidRPr="00EE2914">
        <w:rPr>
          <w:lang w:val="en-GB"/>
        </w:rPr>
        <w:tab/>
        <w:t>Technical characteristics</w:t>
      </w:r>
    </w:p>
    <w:p w:rsidR="002C3B74" w:rsidRPr="00EE2914" w:rsidRDefault="002C3B74" w:rsidP="002C3B74">
      <w:pPr>
        <w:pStyle w:val="Heading3"/>
        <w:rPr>
          <w:lang w:val="en-GB"/>
        </w:rPr>
      </w:pPr>
      <w:r w:rsidRPr="00EE2914">
        <w:rPr>
          <w:lang w:val="en-GB"/>
        </w:rPr>
        <w:t>4.1.1</w:t>
      </w:r>
      <w:r w:rsidRPr="00EE2914">
        <w:rPr>
          <w:lang w:val="en-GB"/>
        </w:rPr>
        <w:tab/>
        <w:t>Spaceborne sensor</w:t>
      </w:r>
    </w:p>
    <w:p w:rsidR="002C3B74" w:rsidRPr="00EE2914" w:rsidRDefault="002C3B74" w:rsidP="002C3B74">
      <w:pPr>
        <w:rPr>
          <w:lang w:val="en-GB"/>
        </w:rPr>
      </w:pPr>
      <w:r w:rsidRPr="00EE2914">
        <w:rPr>
          <w:lang w:val="en-GB"/>
        </w:rPr>
        <w:t xml:space="preserve">Table 4 gives the technical characteristics of the representative spaceborne sensor used in the following analysis. </w:t>
      </w:r>
    </w:p>
    <w:p w:rsidR="002C3B74" w:rsidRDefault="002C3B74" w:rsidP="002C3B74">
      <w:pPr>
        <w:pStyle w:val="TableNo"/>
      </w:pPr>
      <w:r>
        <w:lastRenderedPageBreak/>
        <w:t>TABLE 4</w:t>
      </w:r>
    </w:p>
    <w:p w:rsidR="002C3B74" w:rsidRDefault="002C3B74" w:rsidP="0096542E">
      <w:pPr>
        <w:pStyle w:val="Tabletitle"/>
        <w:keepLines/>
      </w:pPr>
      <w:r>
        <w:t>Spaceborne SAR1 characteristics</w:t>
      </w:r>
    </w:p>
    <w:tbl>
      <w:tblPr>
        <w:tblW w:w="-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3969"/>
      </w:tblGrid>
      <w:tr w:rsidR="002C3B74" w:rsidTr="005A6A60">
        <w:trPr>
          <w:jc w:val="center"/>
        </w:trPr>
        <w:tc>
          <w:tcPr>
            <w:tcW w:w="3969" w:type="dxa"/>
          </w:tcPr>
          <w:p w:rsidR="002C3B74" w:rsidRDefault="002C3B74" w:rsidP="0096542E">
            <w:pPr>
              <w:pStyle w:val="Tablehead"/>
              <w:keepLines/>
            </w:pPr>
            <w:r>
              <w:t>Parameter</w:t>
            </w:r>
          </w:p>
        </w:tc>
        <w:tc>
          <w:tcPr>
            <w:tcW w:w="3969" w:type="dxa"/>
          </w:tcPr>
          <w:p w:rsidR="002C3B74" w:rsidRDefault="002C3B74" w:rsidP="0096542E">
            <w:pPr>
              <w:pStyle w:val="Tablehead"/>
              <w:keepLines/>
            </w:pPr>
            <w:r>
              <w:t>Value</w:t>
            </w:r>
          </w:p>
        </w:tc>
      </w:tr>
      <w:tr w:rsidR="002C3B74" w:rsidTr="005A6A60">
        <w:trPr>
          <w:jc w:val="center"/>
        </w:trPr>
        <w:tc>
          <w:tcPr>
            <w:tcW w:w="3969" w:type="dxa"/>
          </w:tcPr>
          <w:p w:rsidR="002C3B74" w:rsidRDefault="002C3B74" w:rsidP="0096542E">
            <w:pPr>
              <w:pStyle w:val="Tabletext"/>
              <w:keepNext/>
              <w:keepLines/>
            </w:pPr>
            <w:r>
              <w:t>Orbit height (km)</w:t>
            </w:r>
          </w:p>
        </w:tc>
        <w:tc>
          <w:tcPr>
            <w:tcW w:w="3969" w:type="dxa"/>
          </w:tcPr>
          <w:p w:rsidR="002C3B74" w:rsidRDefault="002C3B74" w:rsidP="0096542E">
            <w:pPr>
              <w:pStyle w:val="Tabletext"/>
              <w:keepNext/>
              <w:keepLines/>
              <w:jc w:val="center"/>
            </w:pPr>
            <w:r>
              <w:t>750</w:t>
            </w:r>
          </w:p>
        </w:tc>
      </w:tr>
      <w:tr w:rsidR="002C3B74" w:rsidTr="005A6A60">
        <w:trPr>
          <w:jc w:val="center"/>
        </w:trPr>
        <w:tc>
          <w:tcPr>
            <w:tcW w:w="3969" w:type="dxa"/>
          </w:tcPr>
          <w:p w:rsidR="002C3B74" w:rsidRDefault="002C3B74" w:rsidP="005A6A60">
            <w:pPr>
              <w:pStyle w:val="Tabletext"/>
            </w:pPr>
            <w:r>
              <w:t>Orbit inclination (degrees)</w:t>
            </w:r>
          </w:p>
        </w:tc>
        <w:tc>
          <w:tcPr>
            <w:tcW w:w="3969" w:type="dxa"/>
          </w:tcPr>
          <w:p w:rsidR="002C3B74" w:rsidRDefault="002C3B74" w:rsidP="005A6A60">
            <w:pPr>
              <w:pStyle w:val="Tabletext"/>
              <w:jc w:val="center"/>
            </w:pPr>
            <w:r>
              <w:t>98.4</w:t>
            </w:r>
          </w:p>
        </w:tc>
      </w:tr>
      <w:tr w:rsidR="002C3B74" w:rsidTr="005A6A60">
        <w:trPr>
          <w:jc w:val="center"/>
        </w:trPr>
        <w:tc>
          <w:tcPr>
            <w:tcW w:w="3969" w:type="dxa"/>
          </w:tcPr>
          <w:p w:rsidR="002C3B74" w:rsidRPr="00EE2914" w:rsidRDefault="002C3B74" w:rsidP="005A6A60">
            <w:pPr>
              <w:pStyle w:val="Tabletext"/>
              <w:rPr>
                <w:lang w:val="en-GB"/>
              </w:rPr>
            </w:pPr>
            <w:r w:rsidRPr="00EE2914">
              <w:rPr>
                <w:lang w:val="en-GB"/>
              </w:rPr>
              <w:t>Peak radiated RF power (W)</w:t>
            </w:r>
          </w:p>
        </w:tc>
        <w:tc>
          <w:tcPr>
            <w:tcW w:w="3969" w:type="dxa"/>
          </w:tcPr>
          <w:p w:rsidR="002C3B74" w:rsidRDefault="002C3B74" w:rsidP="005A6A60">
            <w:pPr>
              <w:pStyle w:val="Tabletext"/>
              <w:jc w:val="center"/>
            </w:pPr>
            <w:r>
              <w:t>400</w:t>
            </w:r>
          </w:p>
        </w:tc>
      </w:tr>
      <w:tr w:rsidR="002C3B74" w:rsidTr="005A6A60">
        <w:trPr>
          <w:jc w:val="center"/>
        </w:trPr>
        <w:tc>
          <w:tcPr>
            <w:tcW w:w="3969" w:type="dxa"/>
          </w:tcPr>
          <w:p w:rsidR="002C3B74" w:rsidRPr="00EE2914" w:rsidRDefault="002C3B74" w:rsidP="005A6A60">
            <w:pPr>
              <w:pStyle w:val="Tabletext"/>
              <w:rPr>
                <w:lang w:val="en-GB"/>
              </w:rPr>
            </w:pPr>
            <w:r w:rsidRPr="00EE2914">
              <w:rPr>
                <w:lang w:val="en-GB"/>
              </w:rPr>
              <w:t>Average radiated RF power (W)</w:t>
            </w:r>
          </w:p>
        </w:tc>
        <w:tc>
          <w:tcPr>
            <w:tcW w:w="3969" w:type="dxa"/>
          </w:tcPr>
          <w:p w:rsidR="002C3B74" w:rsidRDefault="002C3B74" w:rsidP="005A6A60">
            <w:pPr>
              <w:pStyle w:val="Tabletext"/>
              <w:jc w:val="center"/>
            </w:pPr>
            <w:r>
              <w:t>4.4</w:t>
            </w:r>
          </w:p>
        </w:tc>
      </w:tr>
      <w:tr w:rsidR="002C3B74" w:rsidTr="005A6A60">
        <w:trPr>
          <w:jc w:val="center"/>
        </w:trPr>
        <w:tc>
          <w:tcPr>
            <w:tcW w:w="3969" w:type="dxa"/>
          </w:tcPr>
          <w:p w:rsidR="002C3B74" w:rsidRDefault="002C3B74" w:rsidP="005A6A60">
            <w:pPr>
              <w:pStyle w:val="Tabletext"/>
            </w:pPr>
            <w:r>
              <w:t>Pulse width (</w:t>
            </w:r>
            <w:r>
              <w:sym w:font="Symbol" w:char="F06D"/>
            </w:r>
            <w:r>
              <w:t>s)</w:t>
            </w:r>
          </w:p>
        </w:tc>
        <w:tc>
          <w:tcPr>
            <w:tcW w:w="3969" w:type="dxa"/>
          </w:tcPr>
          <w:p w:rsidR="002C3B74" w:rsidRDefault="002C3B74" w:rsidP="005A6A60">
            <w:pPr>
              <w:pStyle w:val="Tabletext"/>
              <w:jc w:val="center"/>
            </w:pPr>
            <w:r>
              <w:t>50</w:t>
            </w:r>
          </w:p>
        </w:tc>
      </w:tr>
      <w:tr w:rsidR="002C3B74" w:rsidTr="005A6A60">
        <w:trPr>
          <w:jc w:val="center"/>
        </w:trPr>
        <w:tc>
          <w:tcPr>
            <w:tcW w:w="3969" w:type="dxa"/>
          </w:tcPr>
          <w:p w:rsidR="002C3B74" w:rsidRDefault="002C3B74" w:rsidP="005A6A60">
            <w:pPr>
              <w:pStyle w:val="Tabletext"/>
            </w:pPr>
            <w:r>
              <w:t>PRF (Hz)</w:t>
            </w:r>
          </w:p>
        </w:tc>
        <w:tc>
          <w:tcPr>
            <w:tcW w:w="3969" w:type="dxa"/>
          </w:tcPr>
          <w:p w:rsidR="002C3B74" w:rsidRDefault="002C3B74" w:rsidP="005A6A60">
            <w:pPr>
              <w:pStyle w:val="Tabletext"/>
              <w:jc w:val="center"/>
            </w:pPr>
            <w:r>
              <w:t>2 200</w:t>
            </w:r>
          </w:p>
        </w:tc>
      </w:tr>
      <w:tr w:rsidR="002C3B74" w:rsidTr="005A6A60">
        <w:trPr>
          <w:jc w:val="center"/>
        </w:trPr>
        <w:tc>
          <w:tcPr>
            <w:tcW w:w="3969" w:type="dxa"/>
          </w:tcPr>
          <w:p w:rsidR="002C3B74" w:rsidRDefault="002C3B74" w:rsidP="005A6A60">
            <w:pPr>
              <w:pStyle w:val="Tabletext"/>
            </w:pPr>
            <w:r>
              <w:t>Modulation of pulse</w:t>
            </w:r>
          </w:p>
        </w:tc>
        <w:tc>
          <w:tcPr>
            <w:tcW w:w="3969" w:type="dxa"/>
          </w:tcPr>
          <w:p w:rsidR="002C3B74" w:rsidRDefault="002C3B74" w:rsidP="005A6A60">
            <w:pPr>
              <w:pStyle w:val="Tabletext"/>
              <w:jc w:val="center"/>
            </w:pPr>
            <w:r>
              <w:t>Linear FM</w:t>
            </w:r>
          </w:p>
        </w:tc>
      </w:tr>
      <w:tr w:rsidR="002C3B74" w:rsidTr="005A6A60">
        <w:trPr>
          <w:jc w:val="center"/>
        </w:trPr>
        <w:tc>
          <w:tcPr>
            <w:tcW w:w="3969" w:type="dxa"/>
          </w:tcPr>
          <w:p w:rsidR="002C3B74" w:rsidRDefault="002C3B74" w:rsidP="005A6A60">
            <w:pPr>
              <w:pStyle w:val="Tabletext"/>
            </w:pPr>
            <w:r>
              <w:t>Pulse bandwidth (MHz)</w:t>
            </w:r>
          </w:p>
        </w:tc>
        <w:tc>
          <w:tcPr>
            <w:tcW w:w="3969" w:type="dxa"/>
          </w:tcPr>
          <w:p w:rsidR="002C3B74" w:rsidRDefault="002C3B74" w:rsidP="005A6A60">
            <w:pPr>
              <w:pStyle w:val="Tabletext"/>
              <w:jc w:val="center"/>
            </w:pPr>
            <w:r>
              <w:t>4.8</w:t>
            </w:r>
          </w:p>
        </w:tc>
      </w:tr>
      <w:tr w:rsidR="002C3B74" w:rsidTr="005A6A60">
        <w:trPr>
          <w:jc w:val="center"/>
        </w:trPr>
        <w:tc>
          <w:tcPr>
            <w:tcW w:w="3969" w:type="dxa"/>
          </w:tcPr>
          <w:p w:rsidR="002C3B74" w:rsidRDefault="002C3B74" w:rsidP="005A6A60">
            <w:pPr>
              <w:pStyle w:val="Tabletext"/>
            </w:pPr>
            <w:r>
              <w:t>Antenna peak gain (dB)</w:t>
            </w:r>
          </w:p>
        </w:tc>
        <w:tc>
          <w:tcPr>
            <w:tcW w:w="3969" w:type="dxa"/>
          </w:tcPr>
          <w:p w:rsidR="002C3B74" w:rsidRDefault="002C3B74" w:rsidP="005A6A60">
            <w:pPr>
              <w:pStyle w:val="Tabletext"/>
              <w:jc w:val="center"/>
            </w:pPr>
            <w:r>
              <w:t>27.9</w:t>
            </w:r>
          </w:p>
        </w:tc>
      </w:tr>
      <w:tr w:rsidR="002C3B74" w:rsidTr="005A6A60">
        <w:trPr>
          <w:jc w:val="center"/>
        </w:trPr>
        <w:tc>
          <w:tcPr>
            <w:tcW w:w="3969" w:type="dxa"/>
          </w:tcPr>
          <w:p w:rsidR="002C3B74" w:rsidRDefault="002C3B74" w:rsidP="005A6A60">
            <w:pPr>
              <w:pStyle w:val="Tabletext"/>
            </w:pPr>
            <w:r>
              <w:t>Antenna orientation (degrees)</w:t>
            </w:r>
          </w:p>
        </w:tc>
        <w:tc>
          <w:tcPr>
            <w:tcW w:w="3969" w:type="dxa"/>
          </w:tcPr>
          <w:p w:rsidR="002C3B74" w:rsidRDefault="002C3B74" w:rsidP="005A6A60">
            <w:pPr>
              <w:pStyle w:val="Tabletext"/>
              <w:jc w:val="center"/>
            </w:pPr>
            <w:r>
              <w:t>37 from nadir</w:t>
            </w:r>
          </w:p>
        </w:tc>
      </w:tr>
      <w:tr w:rsidR="002C3B74" w:rsidTr="005A6A60">
        <w:trPr>
          <w:jc w:val="center"/>
        </w:trPr>
        <w:tc>
          <w:tcPr>
            <w:tcW w:w="3969" w:type="dxa"/>
          </w:tcPr>
          <w:p w:rsidR="002C3B74" w:rsidRPr="00EE2914" w:rsidRDefault="002C3B74" w:rsidP="005A6A60">
            <w:pPr>
              <w:pStyle w:val="Tabletext"/>
              <w:rPr>
                <w:lang w:val="en-GB"/>
              </w:rPr>
            </w:pPr>
            <w:r w:rsidRPr="00EE2914">
              <w:rPr>
                <w:lang w:val="en-GB"/>
              </w:rPr>
              <w:t>Antenna 1st side lobe (dB)</w:t>
            </w:r>
          </w:p>
        </w:tc>
        <w:tc>
          <w:tcPr>
            <w:tcW w:w="3969" w:type="dxa"/>
          </w:tcPr>
          <w:p w:rsidR="002C3B74" w:rsidRDefault="002C3B74" w:rsidP="005A6A60">
            <w:pPr>
              <w:pStyle w:val="Tabletext"/>
              <w:jc w:val="center"/>
            </w:pPr>
            <w:r>
              <w:t>–17.6 from peak</w:t>
            </w:r>
          </w:p>
        </w:tc>
      </w:tr>
      <w:tr w:rsidR="002C3B74" w:rsidTr="005A6A60">
        <w:trPr>
          <w:jc w:val="center"/>
        </w:trPr>
        <w:tc>
          <w:tcPr>
            <w:tcW w:w="3969" w:type="dxa"/>
          </w:tcPr>
          <w:p w:rsidR="002C3B74" w:rsidRPr="00EE2914" w:rsidRDefault="002C3B74" w:rsidP="005A6A60">
            <w:pPr>
              <w:pStyle w:val="Tabletext"/>
              <w:rPr>
                <w:lang w:val="en-GB"/>
              </w:rPr>
            </w:pPr>
            <w:r w:rsidRPr="00EE2914">
              <w:rPr>
                <w:lang w:val="en-GB"/>
              </w:rPr>
              <w:t>Antenna 5th side lobe (dB)</w:t>
            </w:r>
          </w:p>
        </w:tc>
        <w:tc>
          <w:tcPr>
            <w:tcW w:w="3969" w:type="dxa"/>
          </w:tcPr>
          <w:p w:rsidR="002C3B74" w:rsidRDefault="002C3B74" w:rsidP="005A6A60">
            <w:pPr>
              <w:pStyle w:val="Tabletext"/>
              <w:jc w:val="center"/>
            </w:pPr>
            <w:r>
              <w:t>–34 from peak</w:t>
            </w:r>
          </w:p>
        </w:tc>
      </w:tr>
    </w:tbl>
    <w:p w:rsidR="002C3B74" w:rsidRPr="00DA20FD" w:rsidRDefault="002C3B74" w:rsidP="002C3B74">
      <w:pPr>
        <w:pStyle w:val="Tablefin"/>
      </w:pPr>
    </w:p>
    <w:p w:rsidR="002C3B74" w:rsidRDefault="002C3B74" w:rsidP="002C3B74">
      <w:pPr>
        <w:pStyle w:val="Heading3"/>
      </w:pPr>
      <w:r>
        <w:t>4.1.2</w:t>
      </w:r>
      <w:r>
        <w:tab/>
        <w:t>Airborne radars</w:t>
      </w:r>
    </w:p>
    <w:p w:rsidR="002C3B74" w:rsidRPr="00EE2914" w:rsidRDefault="002C3B74" w:rsidP="002C3B74">
      <w:pPr>
        <w:rPr>
          <w:lang w:val="en-GB"/>
        </w:rPr>
      </w:pPr>
      <w:r w:rsidRPr="00EE2914">
        <w:rPr>
          <w:lang w:val="en-GB"/>
        </w:rPr>
        <w:t>Recommendation ITU-R M.1462 provides the characteristics and protection criteria for radars operating in the frequency band 420-450 MHz. Previous analyses concluded that spaceborne active sensors are not technically compatible with highly sensitive land-based space object tracking radars.</w:t>
      </w:r>
    </w:p>
    <w:p w:rsidR="002C3B74" w:rsidRPr="00EE2914" w:rsidRDefault="002C3B74" w:rsidP="002C3B74">
      <w:pPr>
        <w:rPr>
          <w:lang w:val="en-GB"/>
        </w:rPr>
      </w:pPr>
      <w:r w:rsidRPr="00EE2914">
        <w:rPr>
          <w:lang w:val="en-GB"/>
        </w:rPr>
        <w:t xml:space="preserve">The computer simulation analysis considered the compatibility of spaceborne SARs with airborne radars in this frequency band. Shipboard radar results are similar to those of the airborne radar. The draft revision to the Recommendation lists the airborne receiver bandwidth as 1 MHz, and the radar antenna as a 22 dBi gain planar array. For the purposes of analysis, the antenna was assumed to be scanning in azimuth at a 0º elevation angle. The protection criterion for the radars is an </w:t>
      </w:r>
      <w:r w:rsidRPr="00EE2914">
        <w:rPr>
          <w:i/>
          <w:iCs/>
          <w:lang w:val="en-GB"/>
        </w:rPr>
        <w:t>I</w:t>
      </w:r>
      <w:r w:rsidRPr="00EE2914">
        <w:rPr>
          <w:lang w:val="en-GB"/>
        </w:rPr>
        <w:t>/</w:t>
      </w:r>
      <w:r w:rsidRPr="00EE2914">
        <w:rPr>
          <w:i/>
          <w:iCs/>
          <w:lang w:val="en-GB"/>
        </w:rPr>
        <w:t>N</w:t>
      </w:r>
      <w:r w:rsidRPr="00EE2914">
        <w:rPr>
          <w:lang w:val="en-GB"/>
        </w:rPr>
        <w:t xml:space="preserve"> of –6 dB.</w:t>
      </w:r>
    </w:p>
    <w:p w:rsidR="002C3B74" w:rsidRPr="00EE2914" w:rsidRDefault="002C3B74" w:rsidP="002C3B74">
      <w:pPr>
        <w:pStyle w:val="Heading2"/>
        <w:rPr>
          <w:lang w:val="en-GB"/>
        </w:rPr>
      </w:pPr>
      <w:r w:rsidRPr="00EE2914">
        <w:rPr>
          <w:lang w:val="en-GB"/>
        </w:rPr>
        <w:t>4.2</w:t>
      </w:r>
      <w:r w:rsidRPr="00EE2914">
        <w:rPr>
          <w:lang w:val="en-GB"/>
        </w:rPr>
        <w:tab/>
        <w:t>Analysis approach and results</w:t>
      </w:r>
    </w:p>
    <w:p w:rsidR="002C3B74" w:rsidRPr="00EE2914" w:rsidRDefault="002C3B74" w:rsidP="002C3B74">
      <w:pPr>
        <w:pStyle w:val="Heading3"/>
        <w:rPr>
          <w:lang w:val="en-GB"/>
        </w:rPr>
      </w:pPr>
      <w:r w:rsidRPr="00EE2914">
        <w:rPr>
          <w:lang w:val="en-GB"/>
        </w:rPr>
        <w:t>4.2.1</w:t>
      </w:r>
      <w:r w:rsidRPr="00EE2914">
        <w:rPr>
          <w:lang w:val="en-GB"/>
        </w:rPr>
        <w:tab/>
        <w:t>Computer simulations</w:t>
      </w:r>
    </w:p>
    <w:p w:rsidR="002C3B74" w:rsidRPr="00EE2914" w:rsidRDefault="002C3B74" w:rsidP="002C3B74">
      <w:pPr>
        <w:pStyle w:val="Heading4"/>
        <w:rPr>
          <w:lang w:val="en-GB"/>
        </w:rPr>
      </w:pPr>
      <w:r w:rsidRPr="00EE2914">
        <w:rPr>
          <w:lang w:val="en-GB"/>
        </w:rPr>
        <w:t>4.2.1.1</w:t>
      </w:r>
      <w:r w:rsidRPr="00EE2914">
        <w:rPr>
          <w:lang w:val="en-GB"/>
        </w:rPr>
        <w:tab/>
        <w:t>Processing gain</w:t>
      </w:r>
    </w:p>
    <w:p w:rsidR="002C3B74" w:rsidRPr="00EE2914" w:rsidRDefault="002C3B74" w:rsidP="002C3B74">
      <w:pPr>
        <w:rPr>
          <w:lang w:val="en-GB"/>
        </w:rPr>
      </w:pPr>
      <w:r w:rsidRPr="00EE2914">
        <w:rPr>
          <w:lang w:val="en-GB"/>
        </w:rPr>
        <w:t>The analysis of the potential interference from spaceborne SARs into the radiolocation service receivers assumed no processing gain (that is, ability to reject the interference due to receiver signal processing). For the radiolocation systems, it may be appropriate to examine the potential response of the receiver to pulsed interfering signals such as from the SARs.</w:t>
      </w:r>
    </w:p>
    <w:p w:rsidR="002C3B74" w:rsidRPr="00EE2914" w:rsidRDefault="002C3B74" w:rsidP="002C3B74">
      <w:pPr>
        <w:rPr>
          <w:lang w:val="en-GB"/>
        </w:rPr>
      </w:pPr>
      <w:r w:rsidRPr="00EE2914">
        <w:rPr>
          <w:lang w:val="en-GB"/>
        </w:rPr>
        <w:t>The details of a radar’s resistance to interfering pulsed signals are generally not published. However, many modern radar receivers, particularly those which need to perform a surveillance function in the presence of significant clutter, will do digital Doppler processing in order to resolve targets against the clutter background. The effect of the FFT on the incoming pulsed interference will be to “smear” the peak pulse power over the neighbouring range/Doppler bins, and result in an averaged interfering power effect.</w:t>
      </w:r>
    </w:p>
    <w:p w:rsidR="002C3B74" w:rsidRPr="00EE2914" w:rsidRDefault="002C3B74" w:rsidP="002C3B74">
      <w:pPr>
        <w:pStyle w:val="Heading4"/>
        <w:rPr>
          <w:lang w:val="en-GB"/>
        </w:rPr>
      </w:pPr>
      <w:r w:rsidRPr="00EE2914">
        <w:rPr>
          <w:lang w:val="en-GB"/>
        </w:rPr>
        <w:lastRenderedPageBreak/>
        <w:t>4.2.1.2</w:t>
      </w:r>
      <w:r w:rsidRPr="00EE2914">
        <w:rPr>
          <w:lang w:val="en-GB"/>
        </w:rPr>
        <w:tab/>
        <w:t>Radar interference criterion</w:t>
      </w:r>
    </w:p>
    <w:p w:rsidR="002C3B74" w:rsidRPr="00EE2914" w:rsidRDefault="002C3B74" w:rsidP="002C3B74">
      <w:pPr>
        <w:rPr>
          <w:lang w:val="en-GB"/>
        </w:rPr>
      </w:pPr>
      <w:r w:rsidRPr="00EE2914">
        <w:rPr>
          <w:lang w:val="en-GB"/>
        </w:rPr>
        <w:t xml:space="preserve">An </w:t>
      </w:r>
      <w:r w:rsidRPr="00EE2914">
        <w:rPr>
          <w:i/>
          <w:iCs/>
          <w:lang w:val="en-GB"/>
        </w:rPr>
        <w:t>I</w:t>
      </w:r>
      <w:r w:rsidRPr="00EE2914">
        <w:rPr>
          <w:lang w:val="en-GB"/>
        </w:rPr>
        <w:t>/</w:t>
      </w:r>
      <w:r w:rsidRPr="00EE2914">
        <w:rPr>
          <w:i/>
          <w:iCs/>
          <w:lang w:val="en-GB"/>
        </w:rPr>
        <w:t>N</w:t>
      </w:r>
      <w:r w:rsidRPr="00EE2914">
        <w:rPr>
          <w:lang w:val="en-GB"/>
        </w:rPr>
        <w:t xml:space="preserve"> equal to </w:t>
      </w:r>
      <w:r>
        <w:sym w:font="Symbol" w:char="F02D"/>
      </w:r>
      <w:r w:rsidRPr="00EE2914">
        <w:rPr>
          <w:lang w:val="en-GB"/>
        </w:rPr>
        <w:t>6 dB is given as the protection criterion for the airborne radars in Recommendation ITU</w:t>
      </w:r>
      <w:r w:rsidRPr="00EE2914">
        <w:rPr>
          <w:lang w:val="en-GB"/>
        </w:rPr>
        <w:noBreakHyphen/>
        <w:t>R M.1462. No per cent of time or duration of time is given as permissible for interference to exceed this value. It is not appropriate to apply the concept of an allowed per cent of time that interference can exceed this value to radars, and particularly to surveillance radars such as the airborne radars considered in this analysis. The concept of data loss or permitted “outage” can be applied to a communications link or sensor system, but target detection – a basic and critical radar system function – occurs at an instant in time, and thus long-term outages are not relevant.</w:t>
      </w:r>
    </w:p>
    <w:p w:rsidR="002C3B74" w:rsidRPr="00EE2914" w:rsidRDefault="002C3B74" w:rsidP="00270830">
      <w:pPr>
        <w:rPr>
          <w:lang w:val="en-GB"/>
        </w:rPr>
      </w:pPr>
      <w:r w:rsidRPr="00EE2914">
        <w:rPr>
          <w:lang w:val="en-GB"/>
        </w:rPr>
        <w:t xml:space="preserve">An approach used in a number of similar analyses in ITU-R, is to examine the simulation results with the assumption that a surveillance radar cannot be degraded for a period of time exceeding a single antenna scan. This means that a target may go undetected during the first scan period that detection may otherwise have successfully been accomplished. The airborne radars in this analysis have antenna rotation times on the order of 10 s. Thus, interference should not exceed </w:t>
      </w:r>
      <w:r w:rsidRPr="00EE2914">
        <w:rPr>
          <w:i/>
          <w:iCs/>
          <w:lang w:val="en-GB"/>
        </w:rPr>
        <w:t>I</w:t>
      </w:r>
      <w:r w:rsidRPr="00EE2914">
        <w:rPr>
          <w:lang w:val="en-GB"/>
        </w:rPr>
        <w:t>/</w:t>
      </w:r>
      <w:r w:rsidRPr="00EE2914">
        <w:rPr>
          <w:i/>
          <w:iCs/>
          <w:lang w:val="en-GB"/>
        </w:rPr>
        <w:t xml:space="preserve">N </w:t>
      </w:r>
      <w:r>
        <w:rPr>
          <w:rFonts w:ascii="Symbol" w:hAnsi="Symbol"/>
        </w:rPr>
        <w:t></w:t>
      </w:r>
      <w:r w:rsidRPr="00EE2914">
        <w:rPr>
          <w:lang w:val="en-GB"/>
        </w:rPr>
        <w:t xml:space="preserve"> </w:t>
      </w:r>
      <w:r>
        <w:sym w:font="Symbol" w:char="F02D"/>
      </w:r>
      <w:r w:rsidRPr="00EE2914">
        <w:rPr>
          <w:lang w:val="en-GB"/>
        </w:rPr>
        <w:t>6 dB for longer than 10 s. (Under this assumption, a target with an 800 km/h velocity approaches another ~2</w:t>
      </w:r>
      <w:r w:rsidR="00270830">
        <w:rPr>
          <w:lang w:val="en-GB"/>
        </w:rPr>
        <w:t> </w:t>
      </w:r>
      <w:r w:rsidRPr="00EE2914">
        <w:rPr>
          <w:lang w:val="en-GB"/>
        </w:rPr>
        <w:t>km after detection should have happened in the absence of interference. This may or may not be acceptable, depending upon the situation.) Upon examination of the results of the simulations (using both peak as well as average interfering power into the radars), it is evident that frequency sharing may be difficult between the spaceborne SARs and the radars.</w:t>
      </w:r>
    </w:p>
    <w:p w:rsidR="002C3B74" w:rsidRPr="00EE2914" w:rsidRDefault="002C3B74" w:rsidP="002C3B74">
      <w:pPr>
        <w:pStyle w:val="Heading4"/>
        <w:rPr>
          <w:lang w:val="en-GB"/>
        </w:rPr>
      </w:pPr>
      <w:r w:rsidRPr="00EE2914">
        <w:rPr>
          <w:lang w:val="en-GB"/>
        </w:rPr>
        <w:t>4.2.1.3</w:t>
      </w:r>
      <w:r w:rsidRPr="00EE2914">
        <w:rPr>
          <w:lang w:val="en-GB"/>
        </w:rPr>
        <w:tab/>
        <w:t>Computer simulation results</w:t>
      </w:r>
    </w:p>
    <w:p w:rsidR="002C3B74" w:rsidRPr="00EE2914" w:rsidRDefault="002C3B74" w:rsidP="002C3B74">
      <w:pPr>
        <w:rPr>
          <w:lang w:val="en-GB"/>
        </w:rPr>
      </w:pPr>
      <w:r w:rsidRPr="00EE2914">
        <w:rPr>
          <w:lang w:val="en-GB"/>
        </w:rPr>
        <w:t>Simulations were performed using the SAR1 type (see Table 5). Table 6 provides the results of computer simulations of the expected interference environment from spaceborne SAR1 into radiolocation service systems. All simulations were conducted in 2s time increments over a 60-day period. Note that two results with respect to the per cent of time that interference occurs are also given in Table 6.</w:t>
      </w:r>
    </w:p>
    <w:p w:rsidR="002C3B74" w:rsidRPr="00EE2914" w:rsidRDefault="002C3B74" w:rsidP="002C3B74">
      <w:pPr>
        <w:rPr>
          <w:lang w:val="en-GB"/>
        </w:rPr>
      </w:pPr>
      <w:r w:rsidRPr="00EE2914">
        <w:rPr>
          <w:lang w:val="en-GB"/>
        </w:rPr>
        <w:t>The first is the per cent of time that the interference criterion is exceeded during periods when one or more SARs are visible (i.e. above the horizon) to the earth station(s); the second is the per cent of time that the interference criterion is exceeded out of the entire period simulated (i.e. including the times when no SAR is visible on some portions of the Earth).</w:t>
      </w:r>
    </w:p>
    <w:p w:rsidR="002C3B74" w:rsidRPr="00EE2914" w:rsidRDefault="002C3B74" w:rsidP="002C3B74">
      <w:pPr>
        <w:pStyle w:val="TableNo"/>
        <w:rPr>
          <w:lang w:val="en-GB"/>
        </w:rPr>
      </w:pPr>
      <w:r w:rsidRPr="00EE2914">
        <w:rPr>
          <w:lang w:val="en-GB"/>
        </w:rPr>
        <w:t>TABLE 5</w:t>
      </w:r>
    </w:p>
    <w:p w:rsidR="002C3B74" w:rsidRPr="00EE2914" w:rsidRDefault="002C3B74" w:rsidP="002C3B74">
      <w:pPr>
        <w:pStyle w:val="Tabletitle"/>
        <w:rPr>
          <w:lang w:val="en-GB"/>
        </w:rPr>
      </w:pPr>
      <w:r w:rsidRPr="00EE2914">
        <w:rPr>
          <w:lang w:val="en-GB"/>
        </w:rPr>
        <w:t xml:space="preserve">Peak/average pfd interference from main lobes and side lobes </w:t>
      </w:r>
      <w:r w:rsidRPr="00EE2914">
        <w:rPr>
          <w:lang w:val="en-GB"/>
        </w:rPr>
        <w:br/>
        <w:t>of P-band SAR1 at Earth’s surface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69"/>
        <w:gridCol w:w="1418"/>
        <w:gridCol w:w="1418"/>
      </w:tblGrid>
      <w:tr w:rsidR="002C3B74" w:rsidTr="0096542E">
        <w:trPr>
          <w:jc w:val="center"/>
        </w:trPr>
        <w:tc>
          <w:tcPr>
            <w:tcW w:w="5669" w:type="dxa"/>
          </w:tcPr>
          <w:p w:rsidR="002C3B74" w:rsidRDefault="002C3B74" w:rsidP="005A6A60">
            <w:pPr>
              <w:pStyle w:val="Tablehead"/>
            </w:pPr>
            <w:r>
              <w:t>Parameter</w:t>
            </w:r>
          </w:p>
        </w:tc>
        <w:tc>
          <w:tcPr>
            <w:tcW w:w="1418" w:type="dxa"/>
          </w:tcPr>
          <w:p w:rsidR="002C3B74" w:rsidRDefault="002C3B74" w:rsidP="005A6A60">
            <w:pPr>
              <w:pStyle w:val="Tablehead"/>
            </w:pPr>
            <w:r>
              <w:t>Value</w:t>
            </w:r>
          </w:p>
        </w:tc>
        <w:tc>
          <w:tcPr>
            <w:tcW w:w="1418" w:type="dxa"/>
          </w:tcPr>
          <w:p w:rsidR="002C3B74" w:rsidRDefault="002C3B74" w:rsidP="005A6A60">
            <w:pPr>
              <w:pStyle w:val="Tablehead"/>
            </w:pPr>
            <w:r>
              <w:t>dB</w:t>
            </w:r>
          </w:p>
        </w:tc>
      </w:tr>
      <w:tr w:rsidR="002C3B74" w:rsidTr="0096542E">
        <w:trPr>
          <w:jc w:val="center"/>
        </w:trPr>
        <w:tc>
          <w:tcPr>
            <w:tcW w:w="5669" w:type="dxa"/>
          </w:tcPr>
          <w:p w:rsidR="002C3B74" w:rsidRDefault="002C3B74" w:rsidP="005A6A60">
            <w:pPr>
              <w:pStyle w:val="Tabletext"/>
            </w:pPr>
            <w:r>
              <w:t>Transmitted power (W)</w:t>
            </w:r>
          </w:p>
        </w:tc>
        <w:tc>
          <w:tcPr>
            <w:tcW w:w="1418" w:type="dxa"/>
            <w:vAlign w:val="bottom"/>
          </w:tcPr>
          <w:p w:rsidR="002C3B74" w:rsidRDefault="002C3B74" w:rsidP="005A6A60">
            <w:pPr>
              <w:pStyle w:val="Tabletext"/>
              <w:jc w:val="center"/>
              <w:rPr>
                <w:rFonts w:eastAsia="Arial Unicode MS"/>
              </w:rPr>
            </w:pPr>
            <w:r>
              <w:t>400.00</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t>26.02</w:t>
            </w: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Peak main lobe antenna gain (dBi)</w:t>
            </w:r>
          </w:p>
        </w:tc>
        <w:tc>
          <w:tcPr>
            <w:tcW w:w="1418" w:type="dxa"/>
            <w:vAlign w:val="bottom"/>
          </w:tcPr>
          <w:p w:rsidR="002C3B74" w:rsidRDefault="002C3B74" w:rsidP="005A6A60">
            <w:pPr>
              <w:pStyle w:val="Tabletext"/>
              <w:jc w:val="center"/>
              <w:rPr>
                <w:rFonts w:eastAsia="Arial Unicode MS"/>
              </w:rPr>
            </w:pPr>
            <w:r>
              <w:t>27.90</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t>27.90</w:t>
            </w: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Antenna side-lobes level (dBi)</w:t>
            </w:r>
          </w:p>
        </w:tc>
        <w:tc>
          <w:tcPr>
            <w:tcW w:w="1418" w:type="dxa"/>
            <w:vAlign w:val="bottom"/>
          </w:tcPr>
          <w:p w:rsidR="002C3B74" w:rsidRDefault="002C3B74" w:rsidP="005A6A60">
            <w:pPr>
              <w:pStyle w:val="Tabletext"/>
              <w:jc w:val="center"/>
              <w:rPr>
                <w:rFonts w:eastAsia="Arial Unicode MS"/>
              </w:rPr>
            </w:pPr>
            <w:r>
              <w:sym w:font="Symbol" w:char="F02D"/>
            </w:r>
            <w:r>
              <w:t>6.10</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6.10</w:t>
            </w:r>
          </w:p>
        </w:tc>
      </w:tr>
      <w:tr w:rsidR="002C3B74" w:rsidTr="0096542E">
        <w:trPr>
          <w:jc w:val="center"/>
        </w:trPr>
        <w:tc>
          <w:tcPr>
            <w:tcW w:w="5669" w:type="dxa"/>
          </w:tcPr>
          <w:p w:rsidR="002C3B74" w:rsidRDefault="002C3B74" w:rsidP="005A6A60">
            <w:pPr>
              <w:pStyle w:val="Tabletext"/>
            </w:pPr>
            <w:r>
              <w:t>1/(4</w:t>
            </w:r>
            <w:r>
              <w:rPr>
                <w:rFonts w:ascii="Symbol" w:hAnsi="Symbol"/>
              </w:rPr>
              <w:sym w:font="Symbol" w:char="F070"/>
            </w:r>
            <w:r>
              <w:t>)</w:t>
            </w:r>
          </w:p>
        </w:tc>
        <w:tc>
          <w:tcPr>
            <w:tcW w:w="1418" w:type="dxa"/>
            <w:vAlign w:val="bottom"/>
          </w:tcPr>
          <w:p w:rsidR="002C3B74" w:rsidRDefault="002C3B74" w:rsidP="005A6A60">
            <w:pPr>
              <w:pStyle w:val="Tabletext"/>
              <w:jc w:val="center"/>
              <w:rPr>
                <w:rFonts w:eastAsia="Arial Unicode MS"/>
              </w:rPr>
            </w:pPr>
            <w:r>
              <w:t xml:space="preserve">7.96 </w:t>
            </w:r>
            <w:r>
              <w:rPr>
                <w:rFonts w:ascii="Symbol" w:hAnsi="Symbol"/>
              </w:rPr>
              <w:sym w:font="Symbol" w:char="F0B4"/>
            </w:r>
            <w:r>
              <w:t xml:space="preserve"> 10</w:t>
            </w:r>
            <w:r>
              <w:rPr>
                <w:vertAlign w:val="superscript"/>
              </w:rPr>
              <w:t>–2</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10.99</w:t>
            </w:r>
          </w:p>
        </w:tc>
      </w:tr>
      <w:tr w:rsidR="002C3B74" w:rsidTr="0096542E">
        <w:trPr>
          <w:jc w:val="center"/>
        </w:trPr>
        <w:tc>
          <w:tcPr>
            <w:tcW w:w="5669" w:type="dxa"/>
          </w:tcPr>
          <w:p w:rsidR="002C3B74" w:rsidRDefault="002C3B74" w:rsidP="005A6A60">
            <w:pPr>
              <w:pStyle w:val="Tabletext"/>
            </w:pPr>
            <w:r>
              <w:t>1/(distance)</w:t>
            </w:r>
            <w:r>
              <w:rPr>
                <w:vertAlign w:val="superscript"/>
              </w:rPr>
              <w:t>2</w:t>
            </w:r>
            <w:r>
              <w:rPr>
                <w:sz w:val="26"/>
                <w:vertAlign w:val="superscript"/>
              </w:rPr>
              <w:t xml:space="preserve"> </w:t>
            </w:r>
            <w:r>
              <w:t>(km)</w:t>
            </w:r>
          </w:p>
        </w:tc>
        <w:tc>
          <w:tcPr>
            <w:tcW w:w="1418" w:type="dxa"/>
            <w:vAlign w:val="bottom"/>
          </w:tcPr>
          <w:p w:rsidR="002C3B74" w:rsidRDefault="002C3B74" w:rsidP="005A6A60">
            <w:pPr>
              <w:pStyle w:val="Tabletext"/>
              <w:jc w:val="center"/>
              <w:rPr>
                <w:rFonts w:eastAsia="Arial Unicode MS"/>
              </w:rPr>
            </w:pPr>
            <w:r>
              <w:t>972.80</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119.76</w:t>
            </w:r>
          </w:p>
        </w:tc>
      </w:tr>
      <w:tr w:rsidR="002C3B74" w:rsidTr="0096542E">
        <w:trPr>
          <w:jc w:val="center"/>
        </w:trPr>
        <w:tc>
          <w:tcPr>
            <w:tcW w:w="5669" w:type="dxa"/>
          </w:tcPr>
          <w:p w:rsidR="002C3B74" w:rsidRDefault="002C3B74" w:rsidP="005A6A60">
            <w:pPr>
              <w:pStyle w:val="Tabletext"/>
            </w:pPr>
            <w:r>
              <w:t>1/Bandwidth (MHz)</w:t>
            </w:r>
          </w:p>
        </w:tc>
        <w:tc>
          <w:tcPr>
            <w:tcW w:w="1418" w:type="dxa"/>
            <w:vAlign w:val="bottom"/>
          </w:tcPr>
          <w:p w:rsidR="002C3B74" w:rsidRDefault="002C3B74" w:rsidP="005A6A60">
            <w:pPr>
              <w:pStyle w:val="Tabletext"/>
              <w:jc w:val="center"/>
              <w:rPr>
                <w:rFonts w:eastAsia="Arial Unicode MS"/>
              </w:rPr>
            </w:pPr>
            <w:r>
              <w:t>1/4.80</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66.81</w:t>
            </w:r>
          </w:p>
        </w:tc>
      </w:tr>
      <w:tr w:rsidR="002C3B74" w:rsidTr="0096542E">
        <w:trPr>
          <w:jc w:val="center"/>
        </w:trPr>
        <w:tc>
          <w:tcPr>
            <w:tcW w:w="5669" w:type="dxa"/>
          </w:tcPr>
          <w:p w:rsidR="002C3B74" w:rsidRDefault="002C3B74" w:rsidP="005A6A60">
            <w:pPr>
              <w:pStyle w:val="Tabletext"/>
            </w:pPr>
            <w:r>
              <w:t>Pulse width (</w:t>
            </w:r>
            <w:r>
              <w:rPr>
                <w:rFonts w:ascii="Symbol" w:hAnsi="Symbol"/>
              </w:rPr>
              <w:sym w:font="Symbol" w:char="F06D"/>
            </w:r>
            <w:r>
              <w:t>s)</w:t>
            </w:r>
          </w:p>
        </w:tc>
        <w:tc>
          <w:tcPr>
            <w:tcW w:w="1418" w:type="dxa"/>
            <w:vAlign w:val="bottom"/>
          </w:tcPr>
          <w:p w:rsidR="002C3B74" w:rsidRDefault="002C3B74" w:rsidP="005A6A60">
            <w:pPr>
              <w:pStyle w:val="Tabletext"/>
              <w:jc w:val="center"/>
              <w:rPr>
                <w:rFonts w:eastAsia="Arial Unicode MS"/>
              </w:rPr>
            </w:pPr>
            <w:r>
              <w:t>50</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p>
        </w:tc>
      </w:tr>
      <w:tr w:rsidR="002C3B74" w:rsidTr="0096542E">
        <w:trPr>
          <w:jc w:val="center"/>
        </w:trPr>
        <w:tc>
          <w:tcPr>
            <w:tcW w:w="5669" w:type="dxa"/>
          </w:tcPr>
          <w:p w:rsidR="002C3B74" w:rsidRDefault="002C3B74" w:rsidP="005A6A60">
            <w:pPr>
              <w:pStyle w:val="Tabletext"/>
            </w:pPr>
            <w:r>
              <w:t>PRF (Hz)</w:t>
            </w:r>
          </w:p>
        </w:tc>
        <w:tc>
          <w:tcPr>
            <w:tcW w:w="1418" w:type="dxa"/>
            <w:vAlign w:val="bottom"/>
          </w:tcPr>
          <w:p w:rsidR="002C3B74" w:rsidRDefault="002C3B74" w:rsidP="005A6A60">
            <w:pPr>
              <w:pStyle w:val="Tabletext"/>
              <w:jc w:val="center"/>
              <w:rPr>
                <w:rFonts w:eastAsia="Arial Unicode MS"/>
              </w:rPr>
            </w:pPr>
            <w:r>
              <w:t>2</w:t>
            </w:r>
            <w:r>
              <w:rPr>
                <w:rFonts w:ascii="Tms Rmn" w:hAnsi="Tms Rmn"/>
                <w:sz w:val="12"/>
              </w:rPr>
              <w:t> </w:t>
            </w:r>
            <w:r>
              <w:t>200</w:t>
            </w: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Peak power density in main lobe (dBW)</w:t>
            </w:r>
          </w:p>
        </w:tc>
        <w:tc>
          <w:tcPr>
            <w:tcW w:w="1418" w:type="dxa"/>
            <w:vAlign w:val="bottom"/>
          </w:tcPr>
          <w:p w:rsidR="002C3B74" w:rsidRPr="00EE2914" w:rsidRDefault="002C3B74" w:rsidP="005A6A60">
            <w:pPr>
              <w:pStyle w:val="Tabletext"/>
              <w:jc w:val="center"/>
              <w:rPr>
                <w:rFonts w:eastAsia="Arial Unicode MS"/>
                <w:lang w:val="en-GB"/>
              </w:rPr>
            </w:pP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75.86</w:t>
            </w: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Peak power density in side lobe (dBW)</w:t>
            </w:r>
          </w:p>
        </w:tc>
        <w:tc>
          <w:tcPr>
            <w:tcW w:w="1418" w:type="dxa"/>
            <w:vAlign w:val="bottom"/>
          </w:tcPr>
          <w:p w:rsidR="002C3B74" w:rsidRPr="00EE2914" w:rsidRDefault="002C3B74" w:rsidP="005A6A60">
            <w:pPr>
              <w:pStyle w:val="Tabletext"/>
              <w:jc w:val="center"/>
              <w:rPr>
                <w:rFonts w:eastAsia="Arial Unicode MS"/>
                <w:lang w:val="en-GB"/>
              </w:rPr>
            </w:pP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109.86</w:t>
            </w: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Peak pfd in main lobe (dB(W/(m</w:t>
            </w:r>
            <w:r w:rsidRPr="00EE2914">
              <w:rPr>
                <w:vertAlign w:val="superscript"/>
                <w:lang w:val="en-GB"/>
              </w:rPr>
              <w:t>2</w:t>
            </w:r>
            <w:r w:rsidRPr="00EE2914">
              <w:rPr>
                <w:lang w:val="en-GB"/>
              </w:rPr>
              <w:t xml:space="preserve"> · Hz)))</w:t>
            </w:r>
          </w:p>
        </w:tc>
        <w:tc>
          <w:tcPr>
            <w:tcW w:w="1418" w:type="dxa"/>
            <w:vAlign w:val="bottom"/>
          </w:tcPr>
          <w:p w:rsidR="002C3B74" w:rsidRPr="00EE2914" w:rsidRDefault="002C3B74" w:rsidP="005A6A60">
            <w:pPr>
              <w:pStyle w:val="Tabletext"/>
              <w:jc w:val="center"/>
              <w:rPr>
                <w:rFonts w:eastAsia="Arial Unicode MS"/>
                <w:lang w:val="en-GB"/>
              </w:rPr>
            </w:pP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143.6</w:t>
            </w:r>
          </w:p>
        </w:tc>
      </w:tr>
    </w:tbl>
    <w:p w:rsidR="0096542E" w:rsidRPr="00EE2914" w:rsidRDefault="0096542E" w:rsidP="0096542E">
      <w:pPr>
        <w:pStyle w:val="TableNo"/>
        <w:rPr>
          <w:lang w:val="en-GB"/>
        </w:rPr>
      </w:pPr>
      <w:r w:rsidRPr="00EE2914">
        <w:rPr>
          <w:lang w:val="en-GB"/>
        </w:rPr>
        <w:lastRenderedPageBreak/>
        <w:t>TABLE 5</w:t>
      </w:r>
      <w:r>
        <w:rPr>
          <w:lang w:val="en-GB"/>
        </w:rPr>
        <w:t xml:space="preserve"> (</w:t>
      </w:r>
      <w:r w:rsidRPr="0096542E">
        <w:rPr>
          <w:i/>
          <w:iCs/>
          <w:lang w:val="en-GB"/>
        </w:rPr>
        <w:t>end</w:t>
      </w:r>
      <w:r>
        <w:rPr>
          <w:lang w:val="en-GB"/>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69"/>
        <w:gridCol w:w="1418"/>
        <w:gridCol w:w="1418"/>
      </w:tblGrid>
      <w:tr w:rsidR="0096542E" w:rsidTr="0096542E">
        <w:trPr>
          <w:jc w:val="center"/>
        </w:trPr>
        <w:tc>
          <w:tcPr>
            <w:tcW w:w="5669" w:type="dxa"/>
            <w:tcBorders>
              <w:top w:val="single" w:sz="4" w:space="0" w:color="auto"/>
              <w:left w:val="single" w:sz="4" w:space="0" w:color="auto"/>
              <w:bottom w:val="single" w:sz="4" w:space="0" w:color="auto"/>
              <w:right w:val="single" w:sz="4" w:space="0" w:color="auto"/>
            </w:tcBorders>
          </w:tcPr>
          <w:p w:rsidR="0096542E" w:rsidRPr="0096542E" w:rsidRDefault="0096542E" w:rsidP="0096542E">
            <w:pPr>
              <w:pStyle w:val="Tablehead"/>
              <w:rPr>
                <w:lang w:val="en-GB"/>
              </w:rPr>
            </w:pPr>
            <w:r w:rsidRPr="0096542E">
              <w:rPr>
                <w:lang w:val="en-GB"/>
              </w:rPr>
              <w:t>Parameter</w:t>
            </w:r>
          </w:p>
        </w:tc>
        <w:tc>
          <w:tcPr>
            <w:tcW w:w="1418" w:type="dxa"/>
            <w:tcBorders>
              <w:top w:val="single" w:sz="4" w:space="0" w:color="auto"/>
              <w:left w:val="single" w:sz="4" w:space="0" w:color="auto"/>
              <w:bottom w:val="single" w:sz="4" w:space="0" w:color="auto"/>
              <w:right w:val="single" w:sz="4" w:space="0" w:color="auto"/>
            </w:tcBorders>
            <w:vAlign w:val="bottom"/>
          </w:tcPr>
          <w:p w:rsidR="0096542E" w:rsidRPr="0096542E" w:rsidRDefault="0096542E" w:rsidP="0096542E">
            <w:pPr>
              <w:pStyle w:val="Tablehead"/>
              <w:rPr>
                <w:rFonts w:eastAsia="Arial Unicode MS"/>
                <w:lang w:val="en-GB"/>
              </w:rPr>
            </w:pPr>
            <w:r w:rsidRPr="0096542E">
              <w:rPr>
                <w:rFonts w:eastAsia="Arial Unicode MS"/>
                <w:lang w:val="en-GB"/>
              </w:rPr>
              <w:t>Value</w:t>
            </w:r>
          </w:p>
        </w:tc>
        <w:tc>
          <w:tcPr>
            <w:tcW w:w="1418" w:type="dxa"/>
            <w:tcBorders>
              <w:top w:val="single" w:sz="4" w:space="0" w:color="auto"/>
              <w:left w:val="single" w:sz="4" w:space="0" w:color="auto"/>
              <w:bottom w:val="single" w:sz="4" w:space="0" w:color="auto"/>
              <w:right w:val="single" w:sz="4" w:space="0" w:color="auto"/>
            </w:tcBorders>
            <w:vAlign w:val="bottom"/>
          </w:tcPr>
          <w:p w:rsidR="0096542E" w:rsidRDefault="0096542E" w:rsidP="0096542E">
            <w:pPr>
              <w:pStyle w:val="Tablehead"/>
            </w:pPr>
            <w:r>
              <w:t>dB</w:t>
            </w: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Average pfd in main lobe (dB(W/(m</w:t>
            </w:r>
            <w:r w:rsidRPr="00EE2914">
              <w:rPr>
                <w:vertAlign w:val="superscript"/>
                <w:lang w:val="en-GB"/>
              </w:rPr>
              <w:t>2</w:t>
            </w:r>
            <w:r w:rsidRPr="00EE2914">
              <w:rPr>
                <w:lang w:val="en-GB"/>
              </w:rPr>
              <w:t xml:space="preserve"> · Hz)))</w:t>
            </w:r>
          </w:p>
        </w:tc>
        <w:tc>
          <w:tcPr>
            <w:tcW w:w="1418" w:type="dxa"/>
            <w:vAlign w:val="bottom"/>
          </w:tcPr>
          <w:p w:rsidR="002C3B74" w:rsidRPr="00EE2914" w:rsidRDefault="002C3B74" w:rsidP="005A6A60">
            <w:pPr>
              <w:pStyle w:val="Tabletext"/>
              <w:jc w:val="center"/>
              <w:rPr>
                <w:rFonts w:eastAsia="Arial Unicode MS"/>
                <w:lang w:val="en-GB"/>
              </w:rPr>
            </w:pP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153.2</w:t>
            </w: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Peak pfd in side lobes (dB(W/(m</w:t>
            </w:r>
            <w:r w:rsidRPr="00EE2914">
              <w:rPr>
                <w:vertAlign w:val="superscript"/>
                <w:lang w:val="en-GB"/>
              </w:rPr>
              <w:t>2</w:t>
            </w:r>
            <w:r w:rsidRPr="00EE2914">
              <w:rPr>
                <w:lang w:val="en-GB"/>
              </w:rPr>
              <w:t xml:space="preserve"> · Hz)))</w:t>
            </w:r>
          </w:p>
        </w:tc>
        <w:tc>
          <w:tcPr>
            <w:tcW w:w="1418" w:type="dxa"/>
            <w:vAlign w:val="bottom"/>
          </w:tcPr>
          <w:p w:rsidR="002C3B74" w:rsidRPr="00EE2914" w:rsidRDefault="002C3B74" w:rsidP="005A6A60">
            <w:pPr>
              <w:pStyle w:val="Tabletext"/>
              <w:jc w:val="center"/>
              <w:rPr>
                <w:rFonts w:eastAsia="Arial Unicode MS"/>
                <w:lang w:val="en-GB"/>
              </w:rPr>
            </w:pP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177.6</w:t>
            </w:r>
          </w:p>
        </w:tc>
      </w:tr>
      <w:tr w:rsidR="002C3B74" w:rsidTr="0096542E">
        <w:trPr>
          <w:jc w:val="center"/>
        </w:trPr>
        <w:tc>
          <w:tcPr>
            <w:tcW w:w="5669" w:type="dxa"/>
          </w:tcPr>
          <w:p w:rsidR="002C3B74" w:rsidRPr="00EE2914" w:rsidRDefault="002C3B74" w:rsidP="005A6A60">
            <w:pPr>
              <w:pStyle w:val="Tabletext"/>
              <w:rPr>
                <w:lang w:val="en-GB"/>
              </w:rPr>
            </w:pPr>
            <w:r w:rsidRPr="00EE2914">
              <w:rPr>
                <w:lang w:val="en-GB"/>
              </w:rPr>
              <w:t>Average pfd in side lobes (dB(W/(m</w:t>
            </w:r>
            <w:r w:rsidRPr="00EE2914">
              <w:rPr>
                <w:vertAlign w:val="superscript"/>
                <w:lang w:val="en-GB"/>
              </w:rPr>
              <w:t>2</w:t>
            </w:r>
            <w:r w:rsidRPr="00EE2914">
              <w:rPr>
                <w:lang w:val="en-GB"/>
              </w:rPr>
              <w:t xml:space="preserve"> · Hz)))</w:t>
            </w:r>
          </w:p>
        </w:tc>
        <w:tc>
          <w:tcPr>
            <w:tcW w:w="1418" w:type="dxa"/>
            <w:vAlign w:val="bottom"/>
          </w:tcPr>
          <w:p w:rsidR="002C3B74" w:rsidRPr="00EE2914" w:rsidRDefault="002C3B74" w:rsidP="005A6A60">
            <w:pPr>
              <w:pStyle w:val="Tabletext"/>
              <w:jc w:val="center"/>
              <w:rPr>
                <w:rFonts w:eastAsia="Arial Unicode MS"/>
                <w:lang w:val="en-GB"/>
              </w:rPr>
            </w:pPr>
          </w:p>
        </w:tc>
        <w:tc>
          <w:tcPr>
            <w:tcW w:w="1418" w:type="dxa"/>
            <w:vAlign w:val="bottom"/>
          </w:tcPr>
          <w:p w:rsidR="002C3B74" w:rsidRDefault="002C3B74" w:rsidP="005A6A6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52"/>
              </w:tabs>
              <w:jc w:val="center"/>
              <w:rPr>
                <w:rFonts w:eastAsia="Arial Unicode MS"/>
              </w:rPr>
            </w:pPr>
            <w:r>
              <w:sym w:font="Symbol" w:char="F02D"/>
            </w:r>
            <w:r>
              <w:t>187.2</w:t>
            </w:r>
          </w:p>
        </w:tc>
      </w:tr>
    </w:tbl>
    <w:p w:rsidR="00FE2893" w:rsidRDefault="00FE2893" w:rsidP="00FE2893">
      <w:pPr>
        <w:pStyle w:val="Tablefin"/>
      </w:pPr>
    </w:p>
    <w:p w:rsidR="002C3B74" w:rsidRDefault="002C3B74" w:rsidP="002C3B74">
      <w:pPr>
        <w:pStyle w:val="TableNo"/>
      </w:pPr>
      <w:r>
        <w:t>TABLE 6</w:t>
      </w:r>
    </w:p>
    <w:p w:rsidR="002C3B74" w:rsidRDefault="002C3B74" w:rsidP="002C3B74">
      <w:pPr>
        <w:pStyle w:val="Tabletitle"/>
      </w:pPr>
      <w:r>
        <w:t>Computer simulation results</w:t>
      </w:r>
    </w:p>
    <w:tbl>
      <w:tblPr>
        <w:tblW w:w="85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3"/>
        <w:gridCol w:w="4978"/>
        <w:gridCol w:w="1564"/>
      </w:tblGrid>
      <w:tr w:rsidR="002C3B74" w:rsidTr="00BC2548">
        <w:trPr>
          <w:jc w:val="center"/>
        </w:trPr>
        <w:tc>
          <w:tcPr>
            <w:tcW w:w="1963"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head"/>
            </w:pPr>
            <w:r>
              <w:t>Receiver</w:t>
            </w:r>
          </w:p>
        </w:tc>
        <w:tc>
          <w:tcPr>
            <w:tcW w:w="497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head"/>
            </w:pPr>
            <w:r>
              <w:t>Criterion</w:t>
            </w:r>
          </w:p>
        </w:tc>
        <w:tc>
          <w:tcPr>
            <w:tcW w:w="156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head"/>
            </w:pPr>
            <w:r>
              <w:t>SAR1</w:t>
            </w:r>
          </w:p>
        </w:tc>
      </w:tr>
      <w:tr w:rsidR="002C3B74" w:rsidTr="00BC2548">
        <w:trPr>
          <w:jc w:val="center"/>
        </w:trPr>
        <w:tc>
          <w:tcPr>
            <w:tcW w:w="1963" w:type="dxa"/>
            <w:vMerge w:val="restart"/>
            <w:tcBorders>
              <w:top w:val="single" w:sz="4" w:space="0" w:color="auto"/>
              <w:left w:val="single" w:sz="4" w:space="0" w:color="auto"/>
              <w:bottom w:val="double" w:sz="4" w:space="0" w:color="auto"/>
              <w:right w:val="single" w:sz="4" w:space="0" w:color="auto"/>
            </w:tcBorders>
          </w:tcPr>
          <w:p w:rsidR="002C3B74" w:rsidRDefault="002C3B74" w:rsidP="005A6A60">
            <w:pPr>
              <w:pStyle w:val="Tabletext"/>
            </w:pPr>
            <w:r>
              <w:t>Airborne radar</w:t>
            </w:r>
          </w:p>
        </w:tc>
        <w:tc>
          <w:tcPr>
            <w:tcW w:w="497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pPr>
            <w:r>
              <w:rPr>
                <w:i/>
                <w:iCs/>
              </w:rPr>
              <w:t>I</w:t>
            </w:r>
            <w:r>
              <w:t>/</w:t>
            </w:r>
            <w:r>
              <w:rPr>
                <w:i/>
                <w:iCs/>
              </w:rPr>
              <w:t>N</w:t>
            </w:r>
            <w:r>
              <w:t>, worst (dB)</w:t>
            </w:r>
          </w:p>
        </w:tc>
        <w:tc>
          <w:tcPr>
            <w:tcW w:w="156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36.2</w:t>
            </w:r>
          </w:p>
        </w:tc>
      </w:tr>
      <w:tr w:rsidR="002C3B74" w:rsidTr="00BC2548">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2C3B74" w:rsidRDefault="002C3B74" w:rsidP="005A6A60">
            <w:pPr>
              <w:pStyle w:val="Tabletext"/>
            </w:pPr>
          </w:p>
        </w:tc>
        <w:tc>
          <w:tcPr>
            <w:tcW w:w="497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pPr>
            <w:r>
              <w:rPr>
                <w:i/>
                <w:iCs/>
              </w:rPr>
              <w:t>I</w:t>
            </w:r>
            <w:r>
              <w:t>/</w:t>
            </w:r>
            <w:r>
              <w:rPr>
                <w:i/>
                <w:iCs/>
              </w:rPr>
              <w:t>N</w:t>
            </w:r>
            <w:r>
              <w:t>, average (dB)</w:t>
            </w:r>
          </w:p>
        </w:tc>
        <w:tc>
          <w:tcPr>
            <w:tcW w:w="156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sym w:font="Symbol" w:char="F02D"/>
            </w:r>
            <w:r>
              <w:t>4.4</w:t>
            </w:r>
          </w:p>
        </w:tc>
      </w:tr>
      <w:tr w:rsidR="002C3B74" w:rsidTr="00BC2548">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2C3B74" w:rsidRDefault="002C3B74" w:rsidP="005A6A60">
            <w:pPr>
              <w:pStyle w:val="Tabletext"/>
            </w:pPr>
          </w:p>
        </w:tc>
        <w:tc>
          <w:tcPr>
            <w:tcW w:w="4978" w:type="dxa"/>
            <w:tcBorders>
              <w:top w:val="single" w:sz="4" w:space="0" w:color="auto"/>
              <w:left w:val="single" w:sz="4" w:space="0" w:color="auto"/>
              <w:bottom w:val="single" w:sz="4" w:space="0" w:color="auto"/>
              <w:right w:val="single" w:sz="4" w:space="0" w:color="auto"/>
            </w:tcBorders>
          </w:tcPr>
          <w:p w:rsidR="002C3B74" w:rsidRPr="00EE2914" w:rsidRDefault="002C3B74" w:rsidP="00162E66">
            <w:pPr>
              <w:pStyle w:val="Tabletext"/>
              <w:rPr>
                <w:lang w:val="en-GB"/>
              </w:rPr>
            </w:pPr>
            <w:r w:rsidRPr="00EE2914">
              <w:rPr>
                <w:lang w:val="en-GB"/>
              </w:rPr>
              <w:t xml:space="preserve">Per cent of time </w:t>
            </w:r>
            <w:r w:rsidRPr="00EE2914">
              <w:rPr>
                <w:i/>
                <w:iCs/>
                <w:lang w:val="en-GB"/>
              </w:rPr>
              <w:t>I</w:t>
            </w:r>
            <w:r w:rsidRPr="00EE2914">
              <w:rPr>
                <w:lang w:val="en-GB"/>
              </w:rPr>
              <w:t>/</w:t>
            </w:r>
            <w:r w:rsidRPr="00EE2914">
              <w:rPr>
                <w:i/>
                <w:iCs/>
                <w:lang w:val="en-GB"/>
              </w:rPr>
              <w:t>N</w:t>
            </w:r>
            <w:r w:rsidRPr="00EE2914">
              <w:rPr>
                <w:lang w:val="en-GB"/>
              </w:rPr>
              <w:t xml:space="preserve"> </w:t>
            </w:r>
            <w:r>
              <w:rPr>
                <w:rFonts w:ascii="Symbol" w:hAnsi="Symbol"/>
              </w:rPr>
              <w:t></w:t>
            </w:r>
            <w:r w:rsidRPr="00EE2914">
              <w:rPr>
                <w:lang w:val="en-GB"/>
              </w:rPr>
              <w:t xml:space="preserve"> </w:t>
            </w:r>
            <w:r>
              <w:sym w:font="Symbol" w:char="F02D"/>
            </w:r>
            <w:r w:rsidRPr="00EE2914">
              <w:rPr>
                <w:lang w:val="en-GB"/>
              </w:rPr>
              <w:t>6 dB</w:t>
            </w:r>
            <w:r w:rsidR="00162E66">
              <w:rPr>
                <w:lang w:val="en-GB"/>
              </w:rPr>
              <w:t xml:space="preserve"> </w:t>
            </w:r>
            <w:r w:rsidRPr="00EE2914">
              <w:rPr>
                <w:lang w:val="en-GB"/>
              </w:rPr>
              <w:t>(SAR visible) (%)</w:t>
            </w:r>
          </w:p>
        </w:tc>
        <w:tc>
          <w:tcPr>
            <w:tcW w:w="156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12.0</w:t>
            </w:r>
          </w:p>
        </w:tc>
      </w:tr>
      <w:tr w:rsidR="002C3B74" w:rsidTr="00BC2548">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2C3B74" w:rsidRDefault="002C3B74" w:rsidP="005A6A60">
            <w:pPr>
              <w:pStyle w:val="Tabletext"/>
            </w:pPr>
          </w:p>
        </w:tc>
        <w:tc>
          <w:tcPr>
            <w:tcW w:w="4978" w:type="dxa"/>
            <w:tcBorders>
              <w:top w:val="single" w:sz="4" w:space="0" w:color="auto"/>
              <w:left w:val="single" w:sz="4" w:space="0" w:color="auto"/>
              <w:bottom w:val="single" w:sz="4" w:space="0" w:color="auto"/>
              <w:right w:val="single" w:sz="4" w:space="0" w:color="auto"/>
            </w:tcBorders>
          </w:tcPr>
          <w:p w:rsidR="002C3B74" w:rsidRPr="00EE2914" w:rsidRDefault="002C3B74" w:rsidP="00162E66">
            <w:pPr>
              <w:pStyle w:val="Tabletext"/>
              <w:rPr>
                <w:lang w:val="en-GB"/>
              </w:rPr>
            </w:pPr>
            <w:r w:rsidRPr="00EE2914">
              <w:rPr>
                <w:lang w:val="en-GB"/>
              </w:rPr>
              <w:t xml:space="preserve">Per cent of time </w:t>
            </w:r>
            <w:r w:rsidRPr="00EE2914">
              <w:rPr>
                <w:i/>
                <w:iCs/>
                <w:lang w:val="en-GB"/>
              </w:rPr>
              <w:t>I</w:t>
            </w:r>
            <w:r w:rsidRPr="00EE2914">
              <w:rPr>
                <w:lang w:val="en-GB"/>
              </w:rPr>
              <w:t>/</w:t>
            </w:r>
            <w:r w:rsidRPr="00EE2914">
              <w:rPr>
                <w:i/>
                <w:iCs/>
                <w:lang w:val="en-GB"/>
              </w:rPr>
              <w:t>N</w:t>
            </w:r>
            <w:r w:rsidRPr="00EE2914">
              <w:rPr>
                <w:lang w:val="en-GB"/>
              </w:rPr>
              <w:t xml:space="preserve"> </w:t>
            </w:r>
            <w:r>
              <w:rPr>
                <w:rFonts w:ascii="Symbol" w:hAnsi="Symbol"/>
              </w:rPr>
              <w:t></w:t>
            </w:r>
            <w:r w:rsidRPr="00EE2914">
              <w:rPr>
                <w:lang w:val="en-GB"/>
              </w:rPr>
              <w:t xml:space="preserve"> </w:t>
            </w:r>
            <w:r>
              <w:sym w:font="Symbol" w:char="F02D"/>
            </w:r>
            <w:r w:rsidRPr="00EE2914">
              <w:rPr>
                <w:lang w:val="en-GB"/>
              </w:rPr>
              <w:t>6 dB</w:t>
            </w:r>
            <w:r w:rsidR="00162E66">
              <w:rPr>
                <w:lang w:val="en-GB"/>
              </w:rPr>
              <w:t xml:space="preserve"> </w:t>
            </w:r>
            <w:r w:rsidRPr="00EE2914">
              <w:rPr>
                <w:lang w:val="en-GB"/>
              </w:rPr>
              <w:t>(All times) (%)</w:t>
            </w:r>
          </w:p>
        </w:tc>
        <w:tc>
          <w:tcPr>
            <w:tcW w:w="156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0.6</w:t>
            </w:r>
          </w:p>
        </w:tc>
      </w:tr>
      <w:tr w:rsidR="002C3B74" w:rsidTr="00BC2548">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2C3B74" w:rsidRDefault="002C3B74" w:rsidP="005A6A60">
            <w:pPr>
              <w:pStyle w:val="Tabletext"/>
            </w:pPr>
          </w:p>
        </w:tc>
        <w:tc>
          <w:tcPr>
            <w:tcW w:w="4978" w:type="dxa"/>
            <w:tcBorders>
              <w:top w:val="single" w:sz="4" w:space="0" w:color="auto"/>
              <w:left w:val="single" w:sz="4" w:space="0" w:color="auto"/>
              <w:bottom w:val="single" w:sz="4" w:space="0" w:color="auto"/>
              <w:right w:val="single" w:sz="4" w:space="0" w:color="auto"/>
            </w:tcBorders>
          </w:tcPr>
          <w:p w:rsidR="002C3B74" w:rsidRPr="00EE2914" w:rsidRDefault="002C3B74" w:rsidP="005A6A60">
            <w:pPr>
              <w:pStyle w:val="Tabletext"/>
              <w:rPr>
                <w:lang w:val="en-GB"/>
              </w:rPr>
            </w:pPr>
            <w:r w:rsidRPr="00EE2914">
              <w:rPr>
                <w:lang w:val="en-GB"/>
              </w:rPr>
              <w:t xml:space="preserve">Maximum time </w:t>
            </w:r>
            <w:r w:rsidRPr="00EE2914">
              <w:rPr>
                <w:i/>
                <w:iCs/>
                <w:lang w:val="en-GB"/>
              </w:rPr>
              <w:t>I</w:t>
            </w:r>
            <w:r w:rsidRPr="00EE2914">
              <w:rPr>
                <w:lang w:val="en-GB"/>
              </w:rPr>
              <w:t>/</w:t>
            </w:r>
            <w:r w:rsidRPr="00EE2914">
              <w:rPr>
                <w:i/>
                <w:iCs/>
                <w:lang w:val="en-GB"/>
              </w:rPr>
              <w:t xml:space="preserve">N </w:t>
            </w:r>
            <w:r>
              <w:rPr>
                <w:rFonts w:ascii="Symbol" w:hAnsi="Symbol"/>
              </w:rPr>
              <w:t></w:t>
            </w:r>
            <w:r w:rsidRPr="00EE2914">
              <w:rPr>
                <w:lang w:val="en-GB"/>
              </w:rPr>
              <w:t xml:space="preserve"> </w:t>
            </w:r>
            <w:r>
              <w:sym w:font="Symbol" w:char="F02D"/>
            </w:r>
            <w:r w:rsidRPr="00EE2914">
              <w:rPr>
                <w:lang w:val="en-GB"/>
              </w:rPr>
              <w:t>6 dB (min)</w:t>
            </w:r>
          </w:p>
        </w:tc>
        <w:tc>
          <w:tcPr>
            <w:tcW w:w="156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4.8</w:t>
            </w:r>
          </w:p>
        </w:tc>
      </w:tr>
      <w:tr w:rsidR="002C3B74" w:rsidTr="00BC2548">
        <w:trPr>
          <w:jc w:val="center"/>
        </w:trPr>
        <w:tc>
          <w:tcPr>
            <w:tcW w:w="1963" w:type="dxa"/>
            <w:vMerge/>
            <w:tcBorders>
              <w:top w:val="double" w:sz="4" w:space="0" w:color="auto"/>
              <w:left w:val="single" w:sz="4" w:space="0" w:color="auto"/>
              <w:bottom w:val="double" w:sz="4" w:space="0" w:color="auto"/>
              <w:right w:val="single" w:sz="4" w:space="0" w:color="auto"/>
            </w:tcBorders>
            <w:vAlign w:val="center"/>
          </w:tcPr>
          <w:p w:rsidR="002C3B74" w:rsidRDefault="002C3B74" w:rsidP="005A6A60">
            <w:pPr>
              <w:pStyle w:val="Tabletext"/>
            </w:pPr>
          </w:p>
        </w:tc>
        <w:tc>
          <w:tcPr>
            <w:tcW w:w="4978" w:type="dxa"/>
            <w:tcBorders>
              <w:top w:val="single" w:sz="4" w:space="0" w:color="auto"/>
              <w:left w:val="single" w:sz="4" w:space="0" w:color="auto"/>
              <w:bottom w:val="nil"/>
              <w:right w:val="single" w:sz="4" w:space="0" w:color="auto"/>
            </w:tcBorders>
          </w:tcPr>
          <w:p w:rsidR="002C3B74" w:rsidRPr="00EE2914" w:rsidRDefault="002C3B74" w:rsidP="005A6A60">
            <w:pPr>
              <w:pStyle w:val="Tabletext"/>
              <w:rPr>
                <w:lang w:val="en-GB"/>
              </w:rPr>
            </w:pPr>
            <w:r w:rsidRPr="00EE2914">
              <w:rPr>
                <w:lang w:val="en-GB"/>
              </w:rPr>
              <w:t xml:space="preserve">Average time </w:t>
            </w:r>
            <w:r w:rsidRPr="00EE2914">
              <w:rPr>
                <w:i/>
                <w:iCs/>
                <w:lang w:val="en-GB"/>
              </w:rPr>
              <w:t>I</w:t>
            </w:r>
            <w:r w:rsidRPr="00EE2914">
              <w:rPr>
                <w:lang w:val="en-GB"/>
              </w:rPr>
              <w:t>/</w:t>
            </w:r>
            <w:r w:rsidRPr="00EE2914">
              <w:rPr>
                <w:i/>
                <w:iCs/>
                <w:lang w:val="en-GB"/>
              </w:rPr>
              <w:t xml:space="preserve">N </w:t>
            </w:r>
            <w:r>
              <w:rPr>
                <w:rFonts w:ascii="Symbol" w:hAnsi="Symbol"/>
              </w:rPr>
              <w:t></w:t>
            </w:r>
            <w:r w:rsidRPr="00EE2914">
              <w:rPr>
                <w:lang w:val="en-GB"/>
              </w:rPr>
              <w:t xml:space="preserve"> </w:t>
            </w:r>
            <w:r>
              <w:sym w:font="Symbol" w:char="F02D"/>
            </w:r>
            <w:r w:rsidRPr="00EE2914">
              <w:rPr>
                <w:lang w:val="en-GB"/>
              </w:rPr>
              <w:t>6 dB (s)</w:t>
            </w:r>
          </w:p>
        </w:tc>
        <w:tc>
          <w:tcPr>
            <w:tcW w:w="1564" w:type="dxa"/>
            <w:tcBorders>
              <w:top w:val="single" w:sz="4" w:space="0" w:color="auto"/>
              <w:left w:val="single" w:sz="4" w:space="0" w:color="auto"/>
              <w:bottom w:val="nil"/>
              <w:right w:val="single" w:sz="4" w:space="0" w:color="auto"/>
            </w:tcBorders>
          </w:tcPr>
          <w:p w:rsidR="002C3B74" w:rsidRDefault="002C3B74" w:rsidP="005A6A60">
            <w:pPr>
              <w:pStyle w:val="Tabletext"/>
              <w:jc w:val="center"/>
            </w:pPr>
            <w:r>
              <w:t>7.3</w:t>
            </w:r>
          </w:p>
        </w:tc>
      </w:tr>
      <w:tr w:rsidR="002C3B74" w:rsidTr="00BC2548">
        <w:trPr>
          <w:jc w:val="center"/>
        </w:trPr>
        <w:tc>
          <w:tcPr>
            <w:tcW w:w="1963" w:type="dxa"/>
            <w:vMerge/>
            <w:tcBorders>
              <w:top w:val="double" w:sz="4" w:space="0" w:color="auto"/>
              <w:left w:val="single" w:sz="4" w:space="0" w:color="auto"/>
              <w:bottom w:val="single" w:sz="4" w:space="0" w:color="auto"/>
              <w:right w:val="single" w:sz="4" w:space="0" w:color="auto"/>
            </w:tcBorders>
            <w:vAlign w:val="center"/>
          </w:tcPr>
          <w:p w:rsidR="002C3B74" w:rsidRDefault="002C3B74" w:rsidP="005A6A60">
            <w:pPr>
              <w:pStyle w:val="Tabletext"/>
            </w:pPr>
          </w:p>
        </w:tc>
        <w:tc>
          <w:tcPr>
            <w:tcW w:w="4978" w:type="dxa"/>
            <w:tcBorders>
              <w:top w:val="single" w:sz="4" w:space="0" w:color="auto"/>
              <w:left w:val="single" w:sz="4" w:space="0" w:color="auto"/>
              <w:bottom w:val="single" w:sz="4" w:space="0" w:color="auto"/>
              <w:right w:val="single" w:sz="4" w:space="0" w:color="auto"/>
            </w:tcBorders>
          </w:tcPr>
          <w:p w:rsidR="002C3B74" w:rsidRPr="00EE2914" w:rsidRDefault="002C3B74" w:rsidP="005A6A60">
            <w:pPr>
              <w:pStyle w:val="Tabletext"/>
              <w:rPr>
                <w:lang w:val="en-GB"/>
              </w:rPr>
            </w:pPr>
            <w:r w:rsidRPr="00EE2914">
              <w:rPr>
                <w:lang w:val="en-GB"/>
              </w:rPr>
              <w:t xml:space="preserve">Number of times </w:t>
            </w:r>
            <w:r w:rsidRPr="00EE2914">
              <w:rPr>
                <w:i/>
                <w:iCs/>
                <w:lang w:val="en-GB"/>
              </w:rPr>
              <w:t>I</w:t>
            </w:r>
            <w:r w:rsidRPr="00EE2914">
              <w:rPr>
                <w:lang w:val="en-GB"/>
              </w:rPr>
              <w:t>/</w:t>
            </w:r>
            <w:r w:rsidRPr="00EE2914">
              <w:rPr>
                <w:i/>
                <w:iCs/>
                <w:lang w:val="en-GB"/>
              </w:rPr>
              <w:t>N</w:t>
            </w:r>
            <w:r w:rsidRPr="00EE2914">
              <w:rPr>
                <w:lang w:val="en-GB"/>
              </w:rPr>
              <w:t xml:space="preserve"> </w:t>
            </w:r>
            <w:r>
              <w:rPr>
                <w:rFonts w:ascii="Symbol" w:hAnsi="Symbol"/>
              </w:rPr>
              <w:t></w:t>
            </w:r>
            <w:r w:rsidRPr="00EE2914">
              <w:rPr>
                <w:lang w:val="en-GB"/>
              </w:rPr>
              <w:t xml:space="preserve"> </w:t>
            </w:r>
            <w:r>
              <w:sym w:font="Symbol" w:char="F02D"/>
            </w:r>
            <w:r w:rsidRPr="00EE2914">
              <w:rPr>
                <w:lang w:val="en-GB"/>
              </w:rPr>
              <w:t>6 dB (events)</w:t>
            </w:r>
          </w:p>
        </w:tc>
        <w:tc>
          <w:tcPr>
            <w:tcW w:w="156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3 823</w:t>
            </w:r>
          </w:p>
        </w:tc>
      </w:tr>
    </w:tbl>
    <w:p w:rsidR="00FE2893" w:rsidRDefault="00FE2893" w:rsidP="00FE2893">
      <w:pPr>
        <w:pStyle w:val="Tablefin"/>
      </w:pPr>
    </w:p>
    <w:p w:rsidR="002C3B74" w:rsidRDefault="002C3B74" w:rsidP="002C3B74">
      <w:pPr>
        <w:pStyle w:val="Heading1"/>
      </w:pPr>
      <w:r>
        <w:t>5</w:t>
      </w:r>
      <w:r>
        <w:tab/>
        <w:t>Procedure to use methodology</w:t>
      </w:r>
    </w:p>
    <w:p w:rsidR="002C3B74" w:rsidRPr="00EE2914" w:rsidRDefault="002C3B74" w:rsidP="002C3B74">
      <w:pPr>
        <w:rPr>
          <w:lang w:val="en-GB"/>
        </w:rPr>
      </w:pPr>
      <w:r w:rsidRPr="00EE2914">
        <w:rPr>
          <w:lang w:val="en-GB"/>
        </w:rPr>
        <w:t>The average pfd of an active spaceborne sensor should be examined during the design stages. Equations (1) to (4) can be examined to determine parameters that can potentially be adjusted during the design of the spaceborne sensor, in order to improve sharing with the other services. Transmitter power, antenna gain (particularly side-lobe levels), pulse width and repetition rate, and chirp bandwidth are all likely candidates for adjustment.</w:t>
      </w:r>
    </w:p>
    <w:p w:rsidR="002C3B74" w:rsidRPr="00EE2914" w:rsidRDefault="002C3B74" w:rsidP="002C3B74">
      <w:pPr>
        <w:rPr>
          <w:lang w:val="en-GB"/>
        </w:rPr>
      </w:pPr>
      <w:r w:rsidRPr="00EE2914">
        <w:rPr>
          <w:lang w:val="en-GB"/>
        </w:rPr>
        <w:t>When compatibility between a spaceborne sensor and a particular service system is analysed, the processing gain, if any, of the receiving system should be considered since the analysis assumed that there was none. This assumption is valid for the general case since not all receiving stations have processing gain.</w:t>
      </w:r>
    </w:p>
    <w:p w:rsidR="002C3B74" w:rsidRPr="00EE2914" w:rsidRDefault="002C3B74" w:rsidP="002C3B74">
      <w:pPr>
        <w:rPr>
          <w:lang w:val="en-GB"/>
        </w:rPr>
      </w:pPr>
      <w:r w:rsidRPr="00EE2914">
        <w:rPr>
          <w:lang w:val="en-GB"/>
        </w:rPr>
        <w:t>For example, consider two radars operating in 420-450 MHz:</w:t>
      </w:r>
    </w:p>
    <w:p w:rsidR="002C3B74" w:rsidRPr="00EE2914" w:rsidRDefault="002C3B74" w:rsidP="002C3B74">
      <w:pPr>
        <w:pStyle w:val="enumlev1"/>
        <w:rPr>
          <w:lang w:val="en-GB"/>
        </w:rPr>
      </w:pPr>
      <w:r w:rsidRPr="00EE2914">
        <w:rPr>
          <w:lang w:val="en-GB"/>
        </w:rPr>
        <w:t>–</w:t>
      </w:r>
      <w:r w:rsidRPr="00EE2914">
        <w:rPr>
          <w:lang w:val="en-GB"/>
        </w:rPr>
        <w:tab/>
        <w:t>a tracking radar with a 0.1 MHz IF bandwidth (radar 1)</w:t>
      </w:r>
    </w:p>
    <w:p w:rsidR="002C3B74" w:rsidRPr="00EE2914" w:rsidRDefault="002C3B74" w:rsidP="002C3B74">
      <w:pPr>
        <w:pStyle w:val="enumlev1"/>
        <w:rPr>
          <w:lang w:val="en-GB"/>
        </w:rPr>
      </w:pPr>
      <w:r w:rsidRPr="00EE2914">
        <w:rPr>
          <w:lang w:val="en-GB"/>
        </w:rPr>
        <w:t>–</w:t>
      </w:r>
      <w:r w:rsidRPr="00EE2914">
        <w:rPr>
          <w:lang w:val="en-GB"/>
        </w:rPr>
        <w:tab/>
        <w:t>an airborne intercept radar with a 1 MHz IF bandwidth (radar 2).</w:t>
      </w:r>
    </w:p>
    <w:p w:rsidR="002C3B74" w:rsidRPr="00EE2914" w:rsidRDefault="002C3B74" w:rsidP="002C3B74">
      <w:pPr>
        <w:rPr>
          <w:lang w:val="en-GB"/>
        </w:rPr>
      </w:pPr>
      <w:r w:rsidRPr="00EE2914">
        <w:rPr>
          <w:lang w:val="en-GB"/>
        </w:rPr>
        <w:t xml:space="preserve">If the spaceborne sensor of Table 4 can be operated with a different pulse width and chirp bandwidth such as in Table 7, then a significant reduction in the unwanted signal power level can be achieved. </w:t>
      </w:r>
    </w:p>
    <w:p w:rsidR="002C3B74" w:rsidRPr="002C3B74" w:rsidRDefault="002C3B74" w:rsidP="002C3B74">
      <w:pPr>
        <w:pStyle w:val="TableNo"/>
        <w:rPr>
          <w:lang w:val="en-GB"/>
        </w:rPr>
      </w:pPr>
      <w:r w:rsidRPr="002C3B74">
        <w:rPr>
          <w:lang w:val="en-GB"/>
        </w:rPr>
        <w:lastRenderedPageBreak/>
        <w:t>TABLE 7</w:t>
      </w:r>
    </w:p>
    <w:p w:rsidR="002C3B74" w:rsidRPr="002C3B74" w:rsidRDefault="002C3B74" w:rsidP="002C3B74">
      <w:pPr>
        <w:pStyle w:val="Tabletitle"/>
        <w:rPr>
          <w:lang w:val="en-GB"/>
        </w:rPr>
      </w:pPr>
      <w:r w:rsidRPr="002C3B74">
        <w:rPr>
          <w:lang w:val="en-GB"/>
        </w:rPr>
        <w:t>Example of reduction in received unwanted sensor power,</w:t>
      </w:r>
      <w:r w:rsidRPr="002C3B74">
        <w:rPr>
          <w:lang w:val="en-GB"/>
        </w:rPr>
        <w:br/>
        <w:t xml:space="preserve">via changes in sensor pulse width and chirp bandwidth </w:t>
      </w:r>
    </w:p>
    <w:tbl>
      <w:tblPr>
        <w:tblW w:w="7938" w:type="dxa"/>
        <w:jc w:val="center"/>
        <w:tblLayout w:type="fixed"/>
        <w:tblCellMar>
          <w:left w:w="107" w:type="dxa"/>
          <w:right w:w="107" w:type="dxa"/>
        </w:tblCellMar>
        <w:tblLook w:val="0000" w:firstRow="0" w:lastRow="0" w:firstColumn="0" w:lastColumn="0" w:noHBand="0" w:noVBand="0"/>
      </w:tblPr>
      <w:tblGrid>
        <w:gridCol w:w="1417"/>
        <w:gridCol w:w="1133"/>
        <w:gridCol w:w="1134"/>
        <w:gridCol w:w="1418"/>
        <w:gridCol w:w="1418"/>
        <w:gridCol w:w="1418"/>
      </w:tblGrid>
      <w:tr w:rsidR="002C3B74" w:rsidTr="005A6A60">
        <w:trPr>
          <w:jc w:val="center"/>
        </w:trPr>
        <w:tc>
          <w:tcPr>
            <w:tcW w:w="1418" w:type="dxa"/>
            <w:vMerge w:val="restart"/>
            <w:tcBorders>
              <w:right w:val="single" w:sz="4" w:space="0" w:color="auto"/>
            </w:tcBorders>
          </w:tcPr>
          <w:p w:rsidR="002C3B74" w:rsidRPr="002C3B74" w:rsidRDefault="002C3B74" w:rsidP="005A6A60">
            <w:pPr>
              <w:pStyle w:val="Tablehead"/>
              <w:rPr>
                <w:lang w:val="en-GB"/>
              </w:rPr>
            </w:pPr>
          </w:p>
        </w:tc>
        <w:tc>
          <w:tcPr>
            <w:tcW w:w="2268" w:type="dxa"/>
            <w:gridSpan w:val="2"/>
            <w:tcBorders>
              <w:top w:val="single" w:sz="4" w:space="0" w:color="auto"/>
              <w:left w:val="single" w:sz="4" w:space="0" w:color="auto"/>
              <w:bottom w:val="single" w:sz="4" w:space="0" w:color="auto"/>
              <w:right w:val="single" w:sz="4" w:space="0" w:color="auto"/>
            </w:tcBorders>
          </w:tcPr>
          <w:p w:rsidR="002C3B74" w:rsidRPr="002C3B74" w:rsidRDefault="002C3B74" w:rsidP="005A6A60">
            <w:pPr>
              <w:pStyle w:val="Tablehead"/>
              <w:spacing w:before="60" w:after="60"/>
              <w:rPr>
                <w:lang w:val="en-GB"/>
              </w:rPr>
            </w:pPr>
            <w:r w:rsidRPr="002C3B74">
              <w:rPr>
                <w:lang w:val="en-GB"/>
              </w:rPr>
              <w:t>New parameter values for SAR1</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C3B74" w:rsidRDefault="002C3B74" w:rsidP="005A6A60">
            <w:pPr>
              <w:pStyle w:val="Tablehead"/>
              <w:spacing w:before="60" w:after="60"/>
            </w:pPr>
            <w:r>
              <w:rPr>
                <w:rFonts w:ascii="Symbol" w:hAnsi="Symbol"/>
              </w:rPr>
              <w:t></w:t>
            </w:r>
            <w:r>
              <w:rPr>
                <w:rFonts w:ascii="Tms Rmn" w:hAnsi="Tms Rmn"/>
                <w:sz w:val="4"/>
              </w:rPr>
              <w:t> </w:t>
            </w:r>
            <w:r>
              <w:t>OTR</w:t>
            </w:r>
            <w:r>
              <w:br/>
              <w:t>(dB)</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C3B74" w:rsidRDefault="002C3B74" w:rsidP="005A6A60">
            <w:pPr>
              <w:pStyle w:val="Tablehead"/>
              <w:spacing w:before="60" w:after="60"/>
            </w:pPr>
            <w:r>
              <w:rPr>
                <w:rFonts w:ascii="Symbol" w:hAnsi="Symbol"/>
              </w:rPr>
              <w:t></w:t>
            </w:r>
            <w:r>
              <w:rPr>
                <w:rFonts w:ascii="Tms Rmn" w:hAnsi="Tms Rmn"/>
                <w:sz w:val="4"/>
              </w:rPr>
              <w:t> </w:t>
            </w:r>
            <w:r>
              <w:rPr>
                <w:i/>
                <w:iCs/>
              </w:rPr>
              <w:t>P</w:t>
            </w:r>
            <w:r>
              <w:rPr>
                <w:i/>
                <w:iCs/>
                <w:sz w:val="26"/>
                <w:vertAlign w:val="subscript"/>
              </w:rPr>
              <w:t>avg</w:t>
            </w:r>
            <w:r>
              <w:br/>
              <w:t>(dB)</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2C3B74" w:rsidRDefault="002C3B74" w:rsidP="005A6A60">
            <w:pPr>
              <w:pStyle w:val="Tablehead"/>
              <w:spacing w:before="60" w:after="60"/>
            </w:pPr>
            <w:r>
              <w:rPr>
                <w:rFonts w:ascii="Symbol" w:hAnsi="Symbol"/>
              </w:rPr>
              <w:t></w:t>
            </w:r>
            <w:r>
              <w:rPr>
                <w:rFonts w:ascii="Tms Rmn" w:hAnsi="Tms Rmn"/>
                <w:sz w:val="4"/>
              </w:rPr>
              <w:t> </w:t>
            </w:r>
            <w:r>
              <w:rPr>
                <w:i/>
                <w:iCs/>
              </w:rPr>
              <w:t>I</w:t>
            </w:r>
            <w:r>
              <w:br/>
              <w:t>(dB)</w:t>
            </w:r>
          </w:p>
        </w:tc>
      </w:tr>
      <w:tr w:rsidR="002C3B74" w:rsidTr="005A6A60">
        <w:trPr>
          <w:jc w:val="center"/>
        </w:trPr>
        <w:tc>
          <w:tcPr>
            <w:tcW w:w="1418" w:type="dxa"/>
            <w:vMerge/>
            <w:tcBorders>
              <w:bottom w:val="single" w:sz="4" w:space="0" w:color="auto"/>
              <w:right w:val="single" w:sz="4" w:space="0" w:color="auto"/>
            </w:tcBorders>
          </w:tcPr>
          <w:p w:rsidR="002C3B74" w:rsidRDefault="002C3B74" w:rsidP="005A6A60">
            <w:pPr>
              <w:pStyle w:val="Tabletext"/>
            </w:pPr>
          </w:p>
        </w:tc>
        <w:tc>
          <w:tcPr>
            <w:tcW w:w="113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spacing w:before="60" w:after="60" w:line="240" w:lineRule="exact"/>
              <w:jc w:val="center"/>
              <w:rPr>
                <w:b/>
                <w:bCs/>
              </w:rPr>
            </w:pPr>
            <w:r>
              <w:rPr>
                <w:rFonts w:ascii="Symbol" w:hAnsi="Symbol"/>
                <w:b/>
                <w:bCs/>
              </w:rPr>
              <w:t></w:t>
            </w:r>
            <w:r>
              <w:rPr>
                <w:rFonts w:ascii="Symbol" w:hAnsi="Symbol"/>
                <w:b/>
                <w:bCs/>
              </w:rPr>
              <w:br/>
            </w:r>
            <w:r>
              <w:rPr>
                <w:b/>
                <w:bCs/>
              </w:rPr>
              <w:t>(</w:t>
            </w:r>
            <w:r>
              <w:rPr>
                <w:rFonts w:ascii="Symbol" w:hAnsi="Symbol"/>
                <w:b/>
                <w:bCs/>
              </w:rPr>
              <w:t></w:t>
            </w:r>
            <w:r>
              <w:rPr>
                <w:b/>
                <w:bCs/>
              </w:rPr>
              <w:t>s)</w:t>
            </w:r>
          </w:p>
        </w:tc>
        <w:tc>
          <w:tcPr>
            <w:tcW w:w="113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spacing w:before="60" w:after="60"/>
              <w:jc w:val="center"/>
              <w:rPr>
                <w:b/>
                <w:bCs/>
                <w:lang w:val="es-ES"/>
              </w:rPr>
            </w:pPr>
            <w:r>
              <w:rPr>
                <w:b/>
                <w:bCs/>
                <w:i/>
                <w:lang w:val="es-ES"/>
              </w:rPr>
              <w:t>B</w:t>
            </w:r>
            <w:r>
              <w:rPr>
                <w:b/>
                <w:bCs/>
                <w:i/>
                <w:iCs/>
                <w:sz w:val="26"/>
                <w:vertAlign w:val="subscript"/>
                <w:lang w:val="es-ES"/>
              </w:rPr>
              <w:t>c</w:t>
            </w:r>
            <w:r>
              <w:rPr>
                <w:b/>
                <w:bCs/>
                <w:lang w:val="es-ES"/>
              </w:rPr>
              <w:br/>
              <w:t>(MHz)</w:t>
            </w:r>
          </w:p>
        </w:tc>
        <w:tc>
          <w:tcPr>
            <w:tcW w:w="1418" w:type="dxa"/>
            <w:vMerge/>
            <w:tcBorders>
              <w:top w:val="single" w:sz="4" w:space="0" w:color="auto"/>
              <w:left w:val="single" w:sz="4" w:space="0" w:color="auto"/>
              <w:bottom w:val="single" w:sz="4" w:space="0" w:color="auto"/>
              <w:right w:val="single" w:sz="6" w:space="0" w:color="auto"/>
            </w:tcBorders>
          </w:tcPr>
          <w:p w:rsidR="002C3B74" w:rsidRDefault="002C3B74" w:rsidP="005A6A60">
            <w:pPr>
              <w:pStyle w:val="Tabletext"/>
              <w:jc w:val="center"/>
              <w:rPr>
                <w:lang w:val="es-ES"/>
              </w:rPr>
            </w:pPr>
          </w:p>
        </w:tc>
        <w:tc>
          <w:tcPr>
            <w:tcW w:w="1418" w:type="dxa"/>
            <w:vMerge/>
            <w:tcBorders>
              <w:top w:val="single" w:sz="4" w:space="0" w:color="auto"/>
              <w:left w:val="nil"/>
              <w:bottom w:val="single" w:sz="4" w:space="0" w:color="auto"/>
              <w:right w:val="single" w:sz="6" w:space="0" w:color="auto"/>
            </w:tcBorders>
          </w:tcPr>
          <w:p w:rsidR="002C3B74" w:rsidRDefault="002C3B74" w:rsidP="005A6A60">
            <w:pPr>
              <w:pStyle w:val="Tabletext"/>
              <w:jc w:val="center"/>
              <w:rPr>
                <w:lang w:val="es-ES"/>
              </w:rPr>
            </w:pPr>
          </w:p>
        </w:tc>
        <w:tc>
          <w:tcPr>
            <w:tcW w:w="1418" w:type="dxa"/>
            <w:vMerge/>
            <w:tcBorders>
              <w:top w:val="single" w:sz="4" w:space="0" w:color="auto"/>
              <w:left w:val="nil"/>
              <w:bottom w:val="single" w:sz="4" w:space="0" w:color="auto"/>
              <w:right w:val="single" w:sz="6" w:space="0" w:color="auto"/>
            </w:tcBorders>
          </w:tcPr>
          <w:p w:rsidR="002C3B74" w:rsidRDefault="002C3B74" w:rsidP="005A6A60">
            <w:pPr>
              <w:pStyle w:val="Tabletext"/>
              <w:jc w:val="center"/>
              <w:rPr>
                <w:lang w:val="es-ES"/>
              </w:rPr>
            </w:pPr>
          </w:p>
        </w:tc>
      </w:tr>
      <w:tr w:rsidR="002C3B74" w:rsidTr="005A6A60">
        <w:trPr>
          <w:jc w:val="center"/>
        </w:trPr>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rPr>
                <w:lang w:val="es-ES"/>
              </w:rPr>
            </w:pPr>
            <w:r>
              <w:rPr>
                <w:lang w:val="es-ES"/>
              </w:rPr>
              <w:t>Radar 1</w:t>
            </w:r>
          </w:p>
        </w:tc>
        <w:tc>
          <w:tcPr>
            <w:tcW w:w="113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25</w:t>
            </w:r>
          </w:p>
        </w:tc>
        <w:tc>
          <w:tcPr>
            <w:tcW w:w="113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6</w:t>
            </w:r>
          </w:p>
        </w:tc>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–4.0</w:t>
            </w:r>
          </w:p>
        </w:tc>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Not available</w:t>
            </w:r>
            <w:r>
              <w:rPr>
                <w:vertAlign w:val="superscript"/>
              </w:rPr>
              <w:t>(1)</w:t>
            </w:r>
          </w:p>
        </w:tc>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–4.0</w:t>
            </w:r>
          </w:p>
        </w:tc>
      </w:tr>
      <w:tr w:rsidR="002C3B74" w:rsidTr="005A6A60">
        <w:trPr>
          <w:jc w:val="center"/>
        </w:trPr>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pPr>
            <w:r>
              <w:t>Radar 2</w:t>
            </w:r>
          </w:p>
        </w:tc>
        <w:tc>
          <w:tcPr>
            <w:tcW w:w="113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25</w:t>
            </w:r>
          </w:p>
        </w:tc>
        <w:tc>
          <w:tcPr>
            <w:tcW w:w="1134"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6</w:t>
            </w:r>
          </w:p>
        </w:tc>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–0.0</w:t>
            </w:r>
          </w:p>
        </w:tc>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–3.0</w:t>
            </w:r>
          </w:p>
        </w:tc>
        <w:tc>
          <w:tcPr>
            <w:tcW w:w="1418" w:type="dxa"/>
            <w:tcBorders>
              <w:top w:val="single" w:sz="4" w:space="0" w:color="auto"/>
              <w:left w:val="single" w:sz="4" w:space="0" w:color="auto"/>
              <w:bottom w:val="single" w:sz="4" w:space="0" w:color="auto"/>
              <w:right w:val="single" w:sz="4" w:space="0" w:color="auto"/>
            </w:tcBorders>
          </w:tcPr>
          <w:p w:rsidR="002C3B74" w:rsidRDefault="002C3B74" w:rsidP="005A6A60">
            <w:pPr>
              <w:pStyle w:val="Tabletext"/>
              <w:jc w:val="center"/>
            </w:pPr>
            <w:r>
              <w:t>–3.0</w:t>
            </w:r>
          </w:p>
        </w:tc>
      </w:tr>
      <w:tr w:rsidR="002C3B74" w:rsidRPr="00540612" w:rsidTr="005A6A60">
        <w:trPr>
          <w:jc w:val="center"/>
        </w:trPr>
        <w:tc>
          <w:tcPr>
            <w:tcW w:w="7940" w:type="dxa"/>
            <w:gridSpan w:val="6"/>
            <w:tcBorders>
              <w:top w:val="single" w:sz="4" w:space="0" w:color="auto"/>
            </w:tcBorders>
          </w:tcPr>
          <w:p w:rsidR="002C3B74" w:rsidRPr="002C3B74" w:rsidRDefault="002C3B74" w:rsidP="005A6A60">
            <w:pPr>
              <w:pStyle w:val="Tablelegend"/>
              <w:tabs>
                <w:tab w:val="clear" w:pos="1134"/>
                <w:tab w:val="left" w:pos="425"/>
              </w:tabs>
              <w:rPr>
                <w:lang w:val="en-GB"/>
              </w:rPr>
            </w:pPr>
            <w:r w:rsidRPr="002C3B74">
              <w:rPr>
                <w:vertAlign w:val="superscript"/>
                <w:lang w:val="en-GB"/>
              </w:rPr>
              <w:t>(1)</w:t>
            </w:r>
            <w:r w:rsidRPr="002C3B74">
              <w:rPr>
                <w:lang w:val="en-GB"/>
              </w:rPr>
              <w:tab/>
              <w:t>It has been deemed appropriate to use average interference signal power for the airborne radar, and peak interference signal power for the tracking radar.</w:t>
            </w:r>
          </w:p>
        </w:tc>
      </w:tr>
    </w:tbl>
    <w:p w:rsidR="002C3B74" w:rsidRPr="00EE0449" w:rsidRDefault="002C3B74" w:rsidP="002C3B74">
      <w:pPr>
        <w:pStyle w:val="Tablefin"/>
      </w:pPr>
    </w:p>
    <w:p w:rsidR="002C3B74" w:rsidRPr="002C3B74" w:rsidRDefault="002C3B74" w:rsidP="002C3B74">
      <w:pPr>
        <w:pStyle w:val="Heading1"/>
        <w:rPr>
          <w:lang w:val="en-GB"/>
        </w:rPr>
      </w:pPr>
      <w:r w:rsidRPr="002C3B74">
        <w:rPr>
          <w:lang w:val="en-GB"/>
        </w:rPr>
        <w:t>6</w:t>
      </w:r>
      <w:r w:rsidRPr="002C3B74">
        <w:rPr>
          <w:lang w:val="en-GB"/>
        </w:rPr>
        <w:tab/>
        <w:t>Conclusion</w:t>
      </w:r>
    </w:p>
    <w:p w:rsidR="002C3B74" w:rsidRPr="002C3B74" w:rsidRDefault="002C3B74" w:rsidP="002C3B74">
      <w:pPr>
        <w:rPr>
          <w:lang w:val="en-GB"/>
        </w:rPr>
      </w:pPr>
      <w:r w:rsidRPr="002C3B74">
        <w:rPr>
          <w:lang w:val="en-GB"/>
        </w:rPr>
        <w:t>It has been demonstrated that it should be possible to reduce the pfd to improve the emission characteristics of active spaceborne sensor in order to enhance the compatibility with other services. Sensor transmitter power, antenna gain pattern, pulse width, PRF, and chirp bandwidth (if frequency modulation is used) are all possible characteristics that can be adjusted to improve compatibility.</w:t>
      </w:r>
    </w:p>
    <w:p w:rsidR="002C3B74" w:rsidRDefault="002C3B74" w:rsidP="002C3B74">
      <w:pPr>
        <w:tabs>
          <w:tab w:val="left" w:pos="3281"/>
        </w:tabs>
        <w:overflowPunct/>
        <w:autoSpaceDE/>
        <w:autoSpaceDN/>
        <w:adjustRightInd/>
        <w:spacing w:before="0"/>
        <w:textAlignment w:val="auto"/>
        <w:rPr>
          <w:lang w:val="en-US" w:eastAsia="zh-CN"/>
        </w:rPr>
      </w:pPr>
    </w:p>
    <w:p w:rsidR="00BC2548" w:rsidRDefault="00BC2548" w:rsidP="002C3B74">
      <w:pPr>
        <w:tabs>
          <w:tab w:val="left" w:pos="3281"/>
        </w:tabs>
        <w:overflowPunct/>
        <w:autoSpaceDE/>
        <w:autoSpaceDN/>
        <w:adjustRightInd/>
        <w:spacing w:before="0"/>
        <w:textAlignment w:val="auto"/>
        <w:rPr>
          <w:lang w:val="en-US" w:eastAsia="zh-CN"/>
        </w:rPr>
      </w:pPr>
    </w:p>
    <w:p w:rsidR="00BC2548" w:rsidRDefault="00BC2548" w:rsidP="002C3B74">
      <w:pPr>
        <w:tabs>
          <w:tab w:val="left" w:pos="3281"/>
        </w:tabs>
        <w:overflowPunct/>
        <w:autoSpaceDE/>
        <w:autoSpaceDN/>
        <w:adjustRightInd/>
        <w:spacing w:before="0"/>
        <w:textAlignment w:val="auto"/>
        <w:rPr>
          <w:lang w:val="en-US" w:eastAsia="zh-CN"/>
        </w:rPr>
      </w:pPr>
    </w:p>
    <w:p w:rsidR="00BC2548" w:rsidRDefault="00BC2548" w:rsidP="00BC2548">
      <w:pPr>
        <w:pStyle w:val="Line"/>
        <w:rPr>
          <w:lang w:eastAsia="zh-CN"/>
        </w:rPr>
      </w:pPr>
    </w:p>
    <w:sectPr w:rsidR="00BC254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DB9" w:rsidRDefault="001F1DB9">
      <w:r>
        <w:separator/>
      </w:r>
    </w:p>
  </w:endnote>
  <w:endnote w:type="continuationSeparator" w:id="0">
    <w:p w:rsidR="001F1DB9" w:rsidRDefault="001F1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DB9" w:rsidRDefault="001F1DB9">
      <w:r>
        <w:separator/>
      </w:r>
    </w:p>
  </w:footnote>
  <w:footnote w:type="continuationSeparator" w:id="0">
    <w:p w:rsidR="001F1DB9" w:rsidRDefault="001F1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198" w:rsidRDefault="00C5419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198" w:rsidRDefault="005B3E23" w:rsidP="00B033C8">
    <w:pPr>
      <w:pStyle w:val="Header"/>
      <w:ind w:right="360" w:firstLine="360"/>
    </w:pPr>
    <w:r>
      <w:rPr>
        <w:noProof/>
        <w:lang w:val="en-GB" w:eastAsia="en-GB"/>
      </w:rPr>
      <w:drawing>
        <wp:anchor distT="0" distB="0" distL="114300" distR="114300" simplePos="0" relativeHeight="251656704" behindDoc="1" locked="0" layoutInCell="1" allowOverlap="1" wp14:anchorId="3FA29ADC" wp14:editId="5C1BB4A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198" w:rsidRPr="00FC42AF" w:rsidRDefault="00FC6E20">
    <w:pPr>
      <w:pStyle w:val="Header"/>
      <w:jc w:val="left"/>
    </w:pPr>
    <w:r>
      <w:rPr>
        <w:rStyle w:val="PageNumber"/>
        <w:b/>
        <w:bCs/>
      </w:rPr>
      <w:fldChar w:fldCharType="begin"/>
    </w:r>
    <w:r w:rsidR="00C54198" w:rsidRPr="00FC42AF">
      <w:rPr>
        <w:rStyle w:val="PageNumber"/>
        <w:b/>
        <w:bCs/>
      </w:rPr>
      <w:instrText xml:space="preserve"> PAGE </w:instrText>
    </w:r>
    <w:r>
      <w:rPr>
        <w:rStyle w:val="PageNumber"/>
        <w:b/>
        <w:bCs/>
      </w:rPr>
      <w:fldChar w:fldCharType="separate"/>
    </w:r>
    <w:r w:rsidR="004E2C1D">
      <w:rPr>
        <w:rStyle w:val="PageNumber"/>
        <w:b/>
        <w:bCs/>
        <w:noProof/>
      </w:rPr>
      <w:t>12</w:t>
    </w:r>
    <w:r>
      <w:rPr>
        <w:rStyle w:val="PageNumber"/>
        <w:b/>
        <w:bCs/>
      </w:rPr>
      <w:fldChar w:fldCharType="end"/>
    </w:r>
    <w:r w:rsidR="00C54198" w:rsidRPr="00FC42AF">
      <w:tab/>
    </w:r>
    <w:fldSimple w:instr=" DOCPROPERTY &quot;Header&quot; \* MERGEFORMAT ">
      <w:r w:rsidR="004E2C1D" w:rsidRPr="004E2C1D">
        <w:rPr>
          <w:b/>
          <w:bCs/>
        </w:rPr>
        <w:t xml:space="preserve">Rec. </w:t>
      </w:r>
    </w:fldSimple>
    <w:r w:rsidR="00C54198">
      <w:rPr>
        <w:b/>
        <w:bCs/>
      </w:rPr>
      <w:t xml:space="preserve"> </w:t>
    </w:r>
    <w:r>
      <w:rPr>
        <w:b/>
        <w:bCs/>
      </w:rPr>
      <w:fldChar w:fldCharType="begin"/>
    </w:r>
    <w:r w:rsidR="00C54198" w:rsidRPr="00FC42AF">
      <w:rPr>
        <w:b/>
        <w:bCs/>
      </w:rPr>
      <w:instrText>styleref href</w:instrText>
    </w:r>
    <w:r>
      <w:rPr>
        <w:b/>
        <w:bCs/>
      </w:rPr>
      <w:fldChar w:fldCharType="separate"/>
    </w:r>
    <w:r w:rsidR="004E2C1D">
      <w:rPr>
        <w:b/>
        <w:bCs/>
        <w:noProof/>
      </w:rPr>
      <w:t>ITU-R  RS.1260-2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198" w:rsidRDefault="00C54198">
    <w:pPr>
      <w:pStyle w:val="Header"/>
    </w:pPr>
    <w:r>
      <w:tab/>
    </w:r>
    <w:fldSimple w:instr=" DOCPROPERTY &quot;Header&quot; \* MERGEFORMAT ">
      <w:r w:rsidR="004E2C1D" w:rsidRPr="004E2C1D">
        <w:rPr>
          <w:b/>
          <w:bCs/>
        </w:rPr>
        <w:t xml:space="preserve">Rec. </w:t>
      </w:r>
    </w:fldSimple>
    <w:r>
      <w:rPr>
        <w:b/>
        <w:bCs/>
      </w:rPr>
      <w:t xml:space="preserve"> </w:t>
    </w:r>
    <w:r w:rsidR="00FC6E20">
      <w:rPr>
        <w:b/>
        <w:bCs/>
      </w:rPr>
      <w:fldChar w:fldCharType="begin"/>
    </w:r>
    <w:r>
      <w:rPr>
        <w:b/>
        <w:bCs/>
      </w:rPr>
      <w:instrText>styleref href</w:instrText>
    </w:r>
    <w:r w:rsidR="00FC6E20">
      <w:rPr>
        <w:b/>
        <w:bCs/>
      </w:rPr>
      <w:fldChar w:fldCharType="separate"/>
    </w:r>
    <w:r w:rsidR="004E2C1D">
      <w:rPr>
        <w:b/>
        <w:bCs/>
        <w:noProof/>
      </w:rPr>
      <w:t>ITU-R  RS.1260-2</w:t>
    </w:r>
    <w:r w:rsidR="00FC6E20">
      <w:rPr>
        <w:b/>
        <w:bCs/>
      </w:rPr>
      <w:fldChar w:fldCharType="end"/>
    </w:r>
    <w:r>
      <w:tab/>
    </w:r>
    <w:r w:rsidR="00FC6E20">
      <w:rPr>
        <w:rStyle w:val="PageNumber"/>
        <w:b/>
        <w:bCs/>
      </w:rPr>
      <w:fldChar w:fldCharType="begin"/>
    </w:r>
    <w:r>
      <w:rPr>
        <w:rStyle w:val="PageNumber"/>
        <w:b/>
        <w:bCs/>
      </w:rPr>
      <w:instrText xml:space="preserve"> PAGE </w:instrText>
    </w:r>
    <w:r w:rsidR="00FC6E20">
      <w:rPr>
        <w:rStyle w:val="PageNumber"/>
        <w:b/>
        <w:bCs/>
      </w:rPr>
      <w:fldChar w:fldCharType="separate"/>
    </w:r>
    <w:r w:rsidR="004E2C1D">
      <w:rPr>
        <w:rStyle w:val="PageNumber"/>
        <w:b/>
        <w:bCs/>
        <w:noProof/>
      </w:rPr>
      <w:t>13</w:t>
    </w:r>
    <w:r w:rsidR="00FC6E20">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4091"/>
    <w:rsid w:val="00036EE3"/>
    <w:rsid w:val="00045252"/>
    <w:rsid w:val="00072484"/>
    <w:rsid w:val="00096612"/>
    <w:rsid w:val="000A4386"/>
    <w:rsid w:val="000B1300"/>
    <w:rsid w:val="000B7683"/>
    <w:rsid w:val="000D0677"/>
    <w:rsid w:val="000E6A6E"/>
    <w:rsid w:val="00102934"/>
    <w:rsid w:val="00147110"/>
    <w:rsid w:val="001511A6"/>
    <w:rsid w:val="00162E66"/>
    <w:rsid w:val="001678C5"/>
    <w:rsid w:val="001836A4"/>
    <w:rsid w:val="001A7DC3"/>
    <w:rsid w:val="001F1DB9"/>
    <w:rsid w:val="002058CE"/>
    <w:rsid w:val="002165F1"/>
    <w:rsid w:val="00270830"/>
    <w:rsid w:val="00276D21"/>
    <w:rsid w:val="00296D7F"/>
    <w:rsid w:val="002B3CF6"/>
    <w:rsid w:val="002C3B74"/>
    <w:rsid w:val="002C768A"/>
    <w:rsid w:val="002D76C4"/>
    <w:rsid w:val="002F5199"/>
    <w:rsid w:val="003405F3"/>
    <w:rsid w:val="00356B5D"/>
    <w:rsid w:val="003E346A"/>
    <w:rsid w:val="0041667C"/>
    <w:rsid w:val="00420DFD"/>
    <w:rsid w:val="00437A76"/>
    <w:rsid w:val="00470E28"/>
    <w:rsid w:val="00470FEC"/>
    <w:rsid w:val="004934C5"/>
    <w:rsid w:val="004E2C1D"/>
    <w:rsid w:val="004F65E4"/>
    <w:rsid w:val="00532A05"/>
    <w:rsid w:val="00540612"/>
    <w:rsid w:val="00556548"/>
    <w:rsid w:val="00560C59"/>
    <w:rsid w:val="00567417"/>
    <w:rsid w:val="00586EF8"/>
    <w:rsid w:val="005B3E23"/>
    <w:rsid w:val="005B49AB"/>
    <w:rsid w:val="005B50E7"/>
    <w:rsid w:val="005D0B9D"/>
    <w:rsid w:val="005E7B4F"/>
    <w:rsid w:val="00601882"/>
    <w:rsid w:val="00607D68"/>
    <w:rsid w:val="00613212"/>
    <w:rsid w:val="006149B1"/>
    <w:rsid w:val="00680D2B"/>
    <w:rsid w:val="00681B32"/>
    <w:rsid w:val="006B1D2B"/>
    <w:rsid w:val="006B4274"/>
    <w:rsid w:val="006E1131"/>
    <w:rsid w:val="006E2037"/>
    <w:rsid w:val="006E6199"/>
    <w:rsid w:val="00706D15"/>
    <w:rsid w:val="00712870"/>
    <w:rsid w:val="0072050E"/>
    <w:rsid w:val="00743D85"/>
    <w:rsid w:val="00753CF4"/>
    <w:rsid w:val="007565CC"/>
    <w:rsid w:val="00761EC0"/>
    <w:rsid w:val="00763B9A"/>
    <w:rsid w:val="00794726"/>
    <w:rsid w:val="007A6AA8"/>
    <w:rsid w:val="007D224F"/>
    <w:rsid w:val="0080588F"/>
    <w:rsid w:val="008310C9"/>
    <w:rsid w:val="00853CC5"/>
    <w:rsid w:val="00871EA0"/>
    <w:rsid w:val="00880962"/>
    <w:rsid w:val="008C7848"/>
    <w:rsid w:val="00906589"/>
    <w:rsid w:val="00906AD6"/>
    <w:rsid w:val="00917AF2"/>
    <w:rsid w:val="00917D42"/>
    <w:rsid w:val="0092418A"/>
    <w:rsid w:val="00934ED7"/>
    <w:rsid w:val="009543C3"/>
    <w:rsid w:val="0096542E"/>
    <w:rsid w:val="00966E1B"/>
    <w:rsid w:val="00967962"/>
    <w:rsid w:val="009947C0"/>
    <w:rsid w:val="009A29B3"/>
    <w:rsid w:val="009A3B35"/>
    <w:rsid w:val="009E534C"/>
    <w:rsid w:val="009F2D2C"/>
    <w:rsid w:val="00A31928"/>
    <w:rsid w:val="00A62A14"/>
    <w:rsid w:val="00A6617B"/>
    <w:rsid w:val="00A71FE5"/>
    <w:rsid w:val="00A971A1"/>
    <w:rsid w:val="00AA3AD8"/>
    <w:rsid w:val="00AB0DC8"/>
    <w:rsid w:val="00B033C8"/>
    <w:rsid w:val="00B33425"/>
    <w:rsid w:val="00B44E24"/>
    <w:rsid w:val="00B54ECC"/>
    <w:rsid w:val="00B714F3"/>
    <w:rsid w:val="00B87B6B"/>
    <w:rsid w:val="00BC2548"/>
    <w:rsid w:val="00BC5D77"/>
    <w:rsid w:val="00BF487A"/>
    <w:rsid w:val="00C00B3B"/>
    <w:rsid w:val="00C30FF3"/>
    <w:rsid w:val="00C46BD9"/>
    <w:rsid w:val="00C54198"/>
    <w:rsid w:val="00C55258"/>
    <w:rsid w:val="00C66207"/>
    <w:rsid w:val="00C73560"/>
    <w:rsid w:val="00CB0F14"/>
    <w:rsid w:val="00CD659B"/>
    <w:rsid w:val="00CE0A43"/>
    <w:rsid w:val="00D703EF"/>
    <w:rsid w:val="00D83556"/>
    <w:rsid w:val="00D95B39"/>
    <w:rsid w:val="00DF4176"/>
    <w:rsid w:val="00E17240"/>
    <w:rsid w:val="00E24164"/>
    <w:rsid w:val="00E406BD"/>
    <w:rsid w:val="00E4304E"/>
    <w:rsid w:val="00E74595"/>
    <w:rsid w:val="00EB7C57"/>
    <w:rsid w:val="00ED2695"/>
    <w:rsid w:val="00ED48C2"/>
    <w:rsid w:val="00EE2914"/>
    <w:rsid w:val="00EE5BA7"/>
    <w:rsid w:val="00F30C9B"/>
    <w:rsid w:val="00F354B1"/>
    <w:rsid w:val="00FB0E4E"/>
    <w:rsid w:val="00FC33E6"/>
    <w:rsid w:val="00FC42AF"/>
    <w:rsid w:val="00FC6E20"/>
    <w:rsid w:val="00FD05C5"/>
    <w:rsid w:val="00FE289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9697">
      <o:colormru v:ext="edit" colors="#d62a47"/>
      <o:colormenu v:ext="edit" strokecolor="#d62a47"/>
    </o:shapedefaults>
    <o:shapelayout v:ext="edit">
      <o:idmap v:ext="edit" data="1"/>
    </o:shapelayout>
  </w:shapeDefaults>
  <w:decimalSymbol w:val="."/>
  <w:listSeparator w:val=","/>
  <w15:docId w15:val="{CC6C3922-3AC5-4424-8492-87B0C0D1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C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60C59"/>
    <w:pPr>
      <w:keepNext/>
      <w:keepLines/>
      <w:spacing w:before="480"/>
      <w:ind w:left="794" w:hanging="794"/>
      <w:outlineLvl w:val="0"/>
    </w:pPr>
    <w:rPr>
      <w:b/>
    </w:rPr>
  </w:style>
  <w:style w:type="paragraph" w:styleId="Heading2">
    <w:name w:val="heading 2"/>
    <w:basedOn w:val="Heading1"/>
    <w:next w:val="Normal"/>
    <w:qFormat/>
    <w:rsid w:val="00560C59"/>
    <w:pPr>
      <w:spacing w:before="320"/>
      <w:outlineLvl w:val="1"/>
    </w:pPr>
  </w:style>
  <w:style w:type="paragraph" w:styleId="Heading3">
    <w:name w:val="heading 3"/>
    <w:basedOn w:val="Heading1"/>
    <w:next w:val="Normal"/>
    <w:qFormat/>
    <w:rsid w:val="00560C59"/>
    <w:pPr>
      <w:spacing w:before="200"/>
      <w:outlineLvl w:val="2"/>
    </w:pPr>
  </w:style>
  <w:style w:type="paragraph" w:styleId="Heading4">
    <w:name w:val="heading 4"/>
    <w:basedOn w:val="Heading3"/>
    <w:next w:val="Normal"/>
    <w:qFormat/>
    <w:rsid w:val="00560C59"/>
    <w:pPr>
      <w:tabs>
        <w:tab w:val="clear" w:pos="794"/>
        <w:tab w:val="left" w:pos="992"/>
      </w:tabs>
      <w:ind w:left="992" w:hanging="992"/>
      <w:outlineLvl w:val="3"/>
    </w:pPr>
  </w:style>
  <w:style w:type="paragraph" w:styleId="Heading5">
    <w:name w:val="heading 5"/>
    <w:basedOn w:val="Heading4"/>
    <w:next w:val="Normal"/>
    <w:qFormat/>
    <w:rsid w:val="00560C59"/>
    <w:pPr>
      <w:outlineLvl w:val="4"/>
    </w:pPr>
  </w:style>
  <w:style w:type="paragraph" w:styleId="Heading6">
    <w:name w:val="heading 6"/>
    <w:basedOn w:val="Heading4"/>
    <w:next w:val="Normal"/>
    <w:qFormat/>
    <w:rsid w:val="00560C59"/>
    <w:pPr>
      <w:tabs>
        <w:tab w:val="clear" w:pos="992"/>
        <w:tab w:val="clear" w:pos="1191"/>
      </w:tabs>
      <w:ind w:left="1588" w:hanging="1588"/>
      <w:outlineLvl w:val="5"/>
    </w:pPr>
  </w:style>
  <w:style w:type="paragraph" w:styleId="Heading7">
    <w:name w:val="heading 7"/>
    <w:basedOn w:val="Heading6"/>
    <w:next w:val="Normal"/>
    <w:qFormat/>
    <w:rsid w:val="00560C59"/>
    <w:pPr>
      <w:outlineLvl w:val="6"/>
    </w:pPr>
  </w:style>
  <w:style w:type="paragraph" w:styleId="Heading8">
    <w:name w:val="heading 8"/>
    <w:basedOn w:val="Heading6"/>
    <w:next w:val="Normal"/>
    <w:qFormat/>
    <w:rsid w:val="00560C59"/>
    <w:pPr>
      <w:outlineLvl w:val="7"/>
    </w:pPr>
  </w:style>
  <w:style w:type="paragraph" w:styleId="Heading9">
    <w:name w:val="heading 9"/>
    <w:basedOn w:val="Heading6"/>
    <w:next w:val="Normal"/>
    <w:qFormat/>
    <w:rsid w:val="00560C5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60C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60C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60C59"/>
  </w:style>
  <w:style w:type="paragraph" w:customStyle="1" w:styleId="Headingb">
    <w:name w:val="Heading_b"/>
    <w:basedOn w:val="Heading3"/>
    <w:next w:val="Normal"/>
    <w:qFormat/>
    <w:rsid w:val="00560C59"/>
    <w:pPr>
      <w:spacing w:before="160"/>
      <w:ind w:left="0" w:firstLine="0"/>
      <w:outlineLvl w:val="9"/>
    </w:pPr>
  </w:style>
  <w:style w:type="paragraph" w:customStyle="1" w:styleId="Headingi">
    <w:name w:val="Heading_i"/>
    <w:basedOn w:val="Heading3"/>
    <w:next w:val="Normal"/>
    <w:qFormat/>
    <w:rsid w:val="00560C59"/>
    <w:pPr>
      <w:spacing w:before="160"/>
      <w:ind w:left="0" w:firstLine="0"/>
    </w:pPr>
    <w:rPr>
      <w:b w:val="0"/>
      <w:i/>
    </w:rPr>
  </w:style>
  <w:style w:type="character" w:customStyle="1" w:styleId="href">
    <w:name w:val="href"/>
    <w:basedOn w:val="DefaultParagraphFont"/>
    <w:rsid w:val="00560C59"/>
  </w:style>
  <w:style w:type="paragraph" w:customStyle="1" w:styleId="AnnexNoTitle">
    <w:name w:val="Annex_NoTitle"/>
    <w:basedOn w:val="Normal"/>
    <w:next w:val="Normalaftertitle"/>
    <w:rsid w:val="00560C59"/>
    <w:pPr>
      <w:keepNext/>
      <w:keepLines/>
      <w:spacing w:before="480" w:after="80"/>
      <w:jc w:val="center"/>
    </w:pPr>
    <w:rPr>
      <w:b/>
      <w:sz w:val="28"/>
    </w:rPr>
  </w:style>
  <w:style w:type="paragraph" w:customStyle="1" w:styleId="Normalaftertitle">
    <w:name w:val="Normal_after_title"/>
    <w:basedOn w:val="Normal"/>
    <w:next w:val="Normal"/>
    <w:rsid w:val="00560C59"/>
    <w:pPr>
      <w:spacing w:before="320"/>
    </w:pPr>
  </w:style>
  <w:style w:type="paragraph" w:customStyle="1" w:styleId="enumlev2">
    <w:name w:val="enumlev2"/>
    <w:basedOn w:val="enumlev1"/>
    <w:rsid w:val="00560C59"/>
    <w:pPr>
      <w:ind w:left="1191" w:hanging="397"/>
    </w:pPr>
  </w:style>
  <w:style w:type="paragraph" w:customStyle="1" w:styleId="enumlev1">
    <w:name w:val="enumlev1"/>
    <w:basedOn w:val="Normal"/>
    <w:rsid w:val="00560C59"/>
    <w:pPr>
      <w:spacing w:before="80"/>
      <w:ind w:left="794" w:hanging="794"/>
    </w:pPr>
  </w:style>
  <w:style w:type="paragraph" w:customStyle="1" w:styleId="enumlev3">
    <w:name w:val="enumlev3"/>
    <w:basedOn w:val="enumlev2"/>
    <w:rsid w:val="00560C59"/>
    <w:pPr>
      <w:ind w:left="1588"/>
    </w:pPr>
  </w:style>
  <w:style w:type="paragraph" w:customStyle="1" w:styleId="Note">
    <w:name w:val="Note"/>
    <w:basedOn w:val="Normal"/>
    <w:rsid w:val="00560C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60C5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60C59"/>
    <w:pPr>
      <w:keepNext/>
      <w:keepLines/>
      <w:spacing w:before="240"/>
      <w:jc w:val="center"/>
    </w:pPr>
    <w:rPr>
      <w:b/>
      <w:sz w:val="28"/>
    </w:rPr>
  </w:style>
  <w:style w:type="paragraph" w:customStyle="1" w:styleId="Recref">
    <w:name w:val="Rec_ref"/>
    <w:basedOn w:val="Normal"/>
    <w:next w:val="Recdate"/>
    <w:rsid w:val="00560C59"/>
    <w:pPr>
      <w:jc w:val="center"/>
    </w:pPr>
  </w:style>
  <w:style w:type="paragraph" w:customStyle="1" w:styleId="Recdate">
    <w:name w:val="Rec_date"/>
    <w:basedOn w:val="Recref"/>
    <w:next w:val="Normalaftertitle"/>
    <w:rsid w:val="00560C59"/>
    <w:pPr>
      <w:jc w:val="right"/>
    </w:pPr>
  </w:style>
  <w:style w:type="paragraph" w:customStyle="1" w:styleId="HeadingSum">
    <w:name w:val="Heading_Sum"/>
    <w:basedOn w:val="Headingb"/>
    <w:next w:val="Normal"/>
    <w:autoRedefine/>
    <w:rsid w:val="00560C59"/>
    <w:pPr>
      <w:spacing w:before="240"/>
    </w:pPr>
    <w:rPr>
      <w:lang w:val="es-ES_tradnl"/>
    </w:rPr>
  </w:style>
  <w:style w:type="paragraph" w:customStyle="1" w:styleId="AppendixNoTitle">
    <w:name w:val="Appendix_NoTitle"/>
    <w:basedOn w:val="AnnexNoTitle"/>
    <w:next w:val="Normal"/>
    <w:rsid w:val="00560C59"/>
  </w:style>
  <w:style w:type="paragraph" w:customStyle="1" w:styleId="Tablefin">
    <w:name w:val="Table_fin"/>
    <w:basedOn w:val="Normal"/>
    <w:next w:val="Normal"/>
    <w:rsid w:val="00560C59"/>
    <w:pPr>
      <w:spacing w:before="0"/>
    </w:pPr>
    <w:rPr>
      <w:sz w:val="20"/>
      <w:lang w:val="en-GB"/>
    </w:rPr>
  </w:style>
  <w:style w:type="paragraph" w:customStyle="1" w:styleId="Tablehead">
    <w:name w:val="Table_head"/>
    <w:basedOn w:val="Normal"/>
    <w:next w:val="Normal"/>
    <w:rsid w:val="00560C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60C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60C59"/>
    <w:pPr>
      <w:keepNext/>
      <w:spacing w:before="360" w:after="120"/>
      <w:jc w:val="center"/>
    </w:pPr>
  </w:style>
  <w:style w:type="paragraph" w:customStyle="1" w:styleId="Tabletext">
    <w:name w:val="Table_text"/>
    <w:basedOn w:val="Normal"/>
    <w:rsid w:val="00560C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60C59"/>
    <w:pPr>
      <w:tabs>
        <w:tab w:val="clear" w:pos="1191"/>
        <w:tab w:val="clear" w:pos="1588"/>
        <w:tab w:val="clear" w:pos="1985"/>
        <w:tab w:val="center" w:pos="4820"/>
        <w:tab w:val="right" w:pos="9639"/>
      </w:tabs>
    </w:pPr>
  </w:style>
  <w:style w:type="paragraph" w:customStyle="1" w:styleId="Equationlegend">
    <w:name w:val="Equation_legend"/>
    <w:basedOn w:val="NormalIndent"/>
    <w:rsid w:val="00560C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60C59"/>
    <w:pPr>
      <w:ind w:left="794"/>
    </w:pPr>
  </w:style>
  <w:style w:type="paragraph" w:customStyle="1" w:styleId="Figurelegend">
    <w:name w:val="Figure_legend"/>
    <w:basedOn w:val="Normal"/>
    <w:rsid w:val="00560C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60C59"/>
    <w:pPr>
      <w:keepNext/>
      <w:keepLines/>
      <w:spacing w:before="480" w:after="80"/>
      <w:jc w:val="center"/>
    </w:pPr>
    <w:rPr>
      <w:caps/>
      <w:sz w:val="18"/>
    </w:rPr>
  </w:style>
  <w:style w:type="paragraph" w:customStyle="1" w:styleId="Figuretitle">
    <w:name w:val="Figure_title"/>
    <w:basedOn w:val="Normal"/>
    <w:next w:val="Figure"/>
    <w:rsid w:val="00560C59"/>
    <w:pPr>
      <w:keepNext/>
      <w:spacing w:before="0" w:after="120"/>
      <w:jc w:val="center"/>
    </w:pPr>
    <w:rPr>
      <w:rFonts w:ascii="Times New Roman Bold" w:hAnsi="Times New Roman Bold"/>
      <w:b/>
      <w:sz w:val="18"/>
    </w:rPr>
  </w:style>
  <w:style w:type="paragraph" w:customStyle="1" w:styleId="Figure">
    <w:name w:val="Figure"/>
    <w:basedOn w:val="FigureNo"/>
    <w:next w:val="Normal"/>
    <w:rsid w:val="00560C59"/>
    <w:pPr>
      <w:keepNext w:val="0"/>
      <w:spacing w:before="0" w:after="240"/>
    </w:pPr>
  </w:style>
  <w:style w:type="paragraph" w:customStyle="1" w:styleId="tocpart">
    <w:name w:val="tocpart"/>
    <w:basedOn w:val="Normal"/>
    <w:rsid w:val="00560C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60C59"/>
    <w:pPr>
      <w:keepNext/>
      <w:keepLines/>
      <w:spacing w:before="480"/>
      <w:jc w:val="center"/>
    </w:pPr>
    <w:rPr>
      <w:sz w:val="28"/>
    </w:rPr>
  </w:style>
  <w:style w:type="paragraph" w:customStyle="1" w:styleId="Arttitle">
    <w:name w:val="Art_title"/>
    <w:basedOn w:val="Normal"/>
    <w:next w:val="Normalaftertitle"/>
    <w:rsid w:val="00560C59"/>
    <w:pPr>
      <w:keepNext/>
      <w:keepLines/>
      <w:spacing w:before="240"/>
      <w:jc w:val="center"/>
    </w:pPr>
    <w:rPr>
      <w:b/>
      <w:sz w:val="28"/>
    </w:rPr>
  </w:style>
  <w:style w:type="paragraph" w:customStyle="1" w:styleId="Blanc">
    <w:name w:val="Blanc"/>
    <w:basedOn w:val="Normal"/>
    <w:next w:val="Tabletext"/>
    <w:rsid w:val="00560C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60C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60C59"/>
    <w:pPr>
      <w:keepNext/>
      <w:keepLines/>
      <w:spacing w:before="160"/>
      <w:ind w:left="794"/>
    </w:pPr>
    <w:rPr>
      <w:i/>
    </w:rPr>
  </w:style>
  <w:style w:type="paragraph" w:customStyle="1" w:styleId="ChapNo">
    <w:name w:val="Chap_No"/>
    <w:basedOn w:val="ArtNo"/>
    <w:next w:val="Chaptitle"/>
    <w:rsid w:val="00560C59"/>
    <w:rPr>
      <w:b/>
    </w:rPr>
  </w:style>
  <w:style w:type="paragraph" w:customStyle="1" w:styleId="Chaptitle">
    <w:name w:val="Chap_title"/>
    <w:basedOn w:val="Arttitle"/>
    <w:next w:val="Normalaftertitle"/>
    <w:rsid w:val="00560C59"/>
  </w:style>
  <w:style w:type="character" w:styleId="FootnoteReference">
    <w:name w:val="footnote reference"/>
    <w:basedOn w:val="DefaultParagraphFont"/>
    <w:rsid w:val="00560C59"/>
    <w:rPr>
      <w:position w:val="6"/>
      <w:sz w:val="18"/>
    </w:rPr>
  </w:style>
  <w:style w:type="paragraph" w:styleId="FootnoteText">
    <w:name w:val="footnote text"/>
    <w:basedOn w:val="Normal"/>
    <w:link w:val="FootnoteTextChar"/>
    <w:rsid w:val="00560C59"/>
    <w:pPr>
      <w:keepLines/>
      <w:tabs>
        <w:tab w:val="left" w:pos="255"/>
      </w:tabs>
      <w:ind w:left="255" w:hanging="255"/>
    </w:pPr>
    <w:rPr>
      <w:sz w:val="22"/>
    </w:rPr>
  </w:style>
  <w:style w:type="paragraph" w:styleId="Index1">
    <w:name w:val="index 1"/>
    <w:basedOn w:val="Normal"/>
    <w:next w:val="Normal"/>
    <w:semiHidden/>
    <w:rsid w:val="00560C59"/>
  </w:style>
  <w:style w:type="paragraph" w:styleId="Index2">
    <w:name w:val="index 2"/>
    <w:basedOn w:val="Normal"/>
    <w:next w:val="Normal"/>
    <w:semiHidden/>
    <w:rsid w:val="00560C59"/>
    <w:pPr>
      <w:ind w:left="283"/>
    </w:pPr>
  </w:style>
  <w:style w:type="paragraph" w:styleId="Index3">
    <w:name w:val="index 3"/>
    <w:basedOn w:val="Normal"/>
    <w:next w:val="Normal"/>
    <w:semiHidden/>
    <w:rsid w:val="00560C59"/>
    <w:pPr>
      <w:ind w:left="566"/>
    </w:pPr>
  </w:style>
  <w:style w:type="paragraph" w:styleId="IndexHeading">
    <w:name w:val="index heading"/>
    <w:basedOn w:val="Normal"/>
    <w:next w:val="Index1"/>
    <w:rsid w:val="00560C59"/>
  </w:style>
  <w:style w:type="paragraph" w:customStyle="1" w:styleId="Line">
    <w:name w:val="Line"/>
    <w:basedOn w:val="Normal"/>
    <w:next w:val="Normal"/>
    <w:rsid w:val="00560C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60C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60C59"/>
  </w:style>
  <w:style w:type="paragraph" w:customStyle="1" w:styleId="Partref">
    <w:name w:val="Part_ref"/>
    <w:basedOn w:val="Normal"/>
    <w:next w:val="Normal"/>
    <w:rsid w:val="00560C59"/>
    <w:pPr>
      <w:keepNext/>
      <w:keepLines/>
      <w:spacing w:after="280"/>
      <w:jc w:val="center"/>
    </w:pPr>
  </w:style>
  <w:style w:type="paragraph" w:customStyle="1" w:styleId="Parttitle">
    <w:name w:val="Part_title"/>
    <w:basedOn w:val="Normal"/>
    <w:next w:val="Normalaftertitle"/>
    <w:rsid w:val="00560C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60C59"/>
  </w:style>
  <w:style w:type="paragraph" w:customStyle="1" w:styleId="QuestionNo">
    <w:name w:val="Question_No"/>
    <w:basedOn w:val="RecNo"/>
    <w:next w:val="Normal"/>
    <w:rsid w:val="00560C59"/>
  </w:style>
  <w:style w:type="paragraph" w:customStyle="1" w:styleId="Questionref">
    <w:name w:val="Question_ref"/>
    <w:basedOn w:val="Recref"/>
    <w:next w:val="Questiondate"/>
    <w:rsid w:val="00560C59"/>
  </w:style>
  <w:style w:type="paragraph" w:customStyle="1" w:styleId="Questiontitle">
    <w:name w:val="Question_title"/>
    <w:basedOn w:val="Normal"/>
    <w:next w:val="Questionref"/>
    <w:rsid w:val="00560C59"/>
  </w:style>
  <w:style w:type="paragraph" w:customStyle="1" w:styleId="Reftext">
    <w:name w:val="Ref_text"/>
    <w:basedOn w:val="Normal"/>
    <w:rsid w:val="00560C59"/>
    <w:pPr>
      <w:ind w:left="794" w:hanging="794"/>
    </w:pPr>
    <w:rPr>
      <w:sz w:val="22"/>
    </w:rPr>
  </w:style>
  <w:style w:type="paragraph" w:customStyle="1" w:styleId="Reftitle">
    <w:name w:val="Ref_title"/>
    <w:basedOn w:val="Normal"/>
    <w:next w:val="Reftext"/>
    <w:rsid w:val="00560C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60C59"/>
  </w:style>
  <w:style w:type="paragraph" w:customStyle="1" w:styleId="RepNo">
    <w:name w:val="Rep_No"/>
    <w:basedOn w:val="RecNo"/>
    <w:next w:val="Reptitle"/>
    <w:rsid w:val="00560C59"/>
  </w:style>
  <w:style w:type="paragraph" w:customStyle="1" w:styleId="Reptitle">
    <w:name w:val="Rep_title"/>
    <w:basedOn w:val="Rectitle"/>
    <w:next w:val="Repref"/>
    <w:rsid w:val="00560C59"/>
  </w:style>
  <w:style w:type="paragraph" w:customStyle="1" w:styleId="Repref">
    <w:name w:val="Rep_ref"/>
    <w:basedOn w:val="Recref"/>
    <w:next w:val="Repdate"/>
    <w:rsid w:val="00560C59"/>
  </w:style>
  <w:style w:type="paragraph" w:customStyle="1" w:styleId="Resdate">
    <w:name w:val="Res_date"/>
    <w:basedOn w:val="Recdate"/>
    <w:next w:val="Normalaftertitle"/>
    <w:rsid w:val="00560C59"/>
  </w:style>
  <w:style w:type="paragraph" w:customStyle="1" w:styleId="ResNo">
    <w:name w:val="Res_No"/>
    <w:basedOn w:val="RecNo"/>
    <w:next w:val="Restitle"/>
    <w:rsid w:val="00560C59"/>
  </w:style>
  <w:style w:type="paragraph" w:customStyle="1" w:styleId="Restitle">
    <w:name w:val="Res_title"/>
    <w:basedOn w:val="Normal"/>
    <w:next w:val="Resref"/>
    <w:rsid w:val="00560C59"/>
    <w:pPr>
      <w:spacing w:before="240"/>
      <w:jc w:val="center"/>
    </w:pPr>
    <w:rPr>
      <w:b/>
      <w:sz w:val="28"/>
    </w:rPr>
  </w:style>
  <w:style w:type="paragraph" w:customStyle="1" w:styleId="Resref">
    <w:name w:val="Res_ref"/>
    <w:basedOn w:val="Recref"/>
    <w:next w:val="Resdate"/>
    <w:rsid w:val="00560C59"/>
  </w:style>
  <w:style w:type="paragraph" w:customStyle="1" w:styleId="SectionNo">
    <w:name w:val="Section_No"/>
    <w:basedOn w:val="Normal"/>
    <w:next w:val="Normal"/>
    <w:rsid w:val="00560C59"/>
  </w:style>
  <w:style w:type="paragraph" w:customStyle="1" w:styleId="Sectiontitle">
    <w:name w:val="Section_title"/>
    <w:basedOn w:val="Normal"/>
    <w:next w:val="Normalaftertitle"/>
    <w:rsid w:val="00560C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60C59"/>
    <w:pPr>
      <w:tabs>
        <w:tab w:val="clear" w:pos="794"/>
        <w:tab w:val="clear" w:pos="1191"/>
        <w:tab w:val="clear" w:pos="1588"/>
        <w:tab w:val="clear" w:pos="1985"/>
        <w:tab w:val="right" w:pos="9611"/>
      </w:tabs>
    </w:pPr>
    <w:rPr>
      <w:i/>
    </w:rPr>
  </w:style>
  <w:style w:type="paragraph" w:styleId="TOC1">
    <w:name w:val="toc 1"/>
    <w:basedOn w:val="Normal"/>
    <w:rsid w:val="00560C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60C59"/>
    <w:pPr>
      <w:tabs>
        <w:tab w:val="clear" w:pos="567"/>
        <w:tab w:val="left" w:pos="1276"/>
      </w:tabs>
      <w:spacing w:before="160"/>
      <w:ind w:left="1276" w:hanging="709"/>
    </w:pPr>
  </w:style>
  <w:style w:type="paragraph" w:styleId="TOC3">
    <w:name w:val="toc 3"/>
    <w:basedOn w:val="TOC2"/>
    <w:rsid w:val="00560C59"/>
    <w:pPr>
      <w:tabs>
        <w:tab w:val="clear" w:pos="1276"/>
        <w:tab w:val="left" w:pos="2155"/>
      </w:tabs>
      <w:ind w:left="2155" w:hanging="879"/>
    </w:pPr>
  </w:style>
  <w:style w:type="paragraph" w:styleId="TOC4">
    <w:name w:val="toc 4"/>
    <w:basedOn w:val="TOC3"/>
    <w:rsid w:val="00560C59"/>
    <w:pPr>
      <w:tabs>
        <w:tab w:val="left" w:pos="3261"/>
      </w:tabs>
      <w:spacing w:before="80"/>
      <w:ind w:left="3261" w:hanging="993"/>
    </w:pPr>
  </w:style>
  <w:style w:type="paragraph" w:styleId="TOC5">
    <w:name w:val="toc 5"/>
    <w:basedOn w:val="TOC4"/>
    <w:rsid w:val="00560C59"/>
  </w:style>
  <w:style w:type="paragraph" w:styleId="TOC6">
    <w:name w:val="toc 6"/>
    <w:basedOn w:val="TOC4"/>
    <w:rsid w:val="00560C59"/>
  </w:style>
  <w:style w:type="paragraph" w:styleId="TOC7">
    <w:name w:val="toc 7"/>
    <w:basedOn w:val="TOC4"/>
    <w:rsid w:val="00560C59"/>
  </w:style>
  <w:style w:type="paragraph" w:styleId="TOC8">
    <w:name w:val="toc 8"/>
    <w:basedOn w:val="TOC4"/>
    <w:rsid w:val="00560C59"/>
  </w:style>
  <w:style w:type="paragraph" w:customStyle="1" w:styleId="Annexref">
    <w:name w:val="Annex_ref"/>
    <w:basedOn w:val="Normal"/>
    <w:next w:val="Normalaftertitle"/>
    <w:rsid w:val="00560C59"/>
    <w:pPr>
      <w:keepNext/>
      <w:keepLines/>
      <w:spacing w:after="280"/>
      <w:jc w:val="center"/>
    </w:pPr>
  </w:style>
  <w:style w:type="paragraph" w:customStyle="1" w:styleId="Appendixref">
    <w:name w:val="Appendix_ref"/>
    <w:basedOn w:val="Annexref"/>
    <w:next w:val="Normalaftertitle"/>
    <w:rsid w:val="00560C59"/>
  </w:style>
  <w:style w:type="paragraph" w:customStyle="1" w:styleId="Tabletitle">
    <w:name w:val="Table_title"/>
    <w:basedOn w:val="Normal"/>
    <w:next w:val="Tablehead"/>
    <w:rsid w:val="00560C59"/>
    <w:pPr>
      <w:keepNext/>
      <w:spacing w:before="0" w:after="120"/>
      <w:jc w:val="center"/>
    </w:pPr>
    <w:rPr>
      <w:b/>
    </w:rPr>
  </w:style>
  <w:style w:type="paragraph" w:customStyle="1" w:styleId="Summary">
    <w:name w:val="Summary"/>
    <w:basedOn w:val="Normal"/>
    <w:next w:val="Normalaftertitle"/>
    <w:autoRedefine/>
    <w:rsid w:val="00560C59"/>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60C59"/>
    <w:pPr>
      <w:ind w:left="-85" w:firstLine="0"/>
    </w:pPr>
    <w:rPr>
      <w:lang w:val="en-US"/>
    </w:rPr>
  </w:style>
  <w:style w:type="paragraph" w:customStyle="1" w:styleId="Artheading">
    <w:name w:val="Art_heading"/>
    <w:basedOn w:val="Normal"/>
    <w:next w:val="Normal"/>
    <w:rsid w:val="002C3B74"/>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C3B74"/>
    <w:rPr>
      <w:vertAlign w:val="superscript"/>
    </w:rPr>
  </w:style>
  <w:style w:type="paragraph" w:customStyle="1" w:styleId="Figurewithouttitle">
    <w:name w:val="Figure_without_title"/>
    <w:basedOn w:val="FigureNo"/>
    <w:next w:val="Normal"/>
    <w:rsid w:val="002C3B7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C3B7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C3B7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C3B7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C3B7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C3B74"/>
    <w:pPr>
      <w:tabs>
        <w:tab w:val="left" w:pos="567"/>
        <w:tab w:val="left" w:pos="1701"/>
        <w:tab w:val="left" w:pos="2835"/>
      </w:tabs>
      <w:spacing w:before="240"/>
    </w:pPr>
    <w:rPr>
      <w:b w:val="0"/>
      <w:caps/>
    </w:rPr>
  </w:style>
  <w:style w:type="paragraph" w:customStyle="1" w:styleId="Title2">
    <w:name w:val="Title 2"/>
    <w:basedOn w:val="Source"/>
    <w:next w:val="Normal"/>
    <w:rsid w:val="002C3B74"/>
    <w:pPr>
      <w:overflowPunct/>
      <w:autoSpaceDE/>
      <w:autoSpaceDN/>
      <w:adjustRightInd/>
      <w:spacing w:before="480"/>
      <w:textAlignment w:val="auto"/>
    </w:pPr>
    <w:rPr>
      <w:b w:val="0"/>
      <w:caps/>
    </w:rPr>
  </w:style>
  <w:style w:type="paragraph" w:customStyle="1" w:styleId="Title3">
    <w:name w:val="Title 3"/>
    <w:basedOn w:val="Title2"/>
    <w:next w:val="Normal"/>
    <w:rsid w:val="002C3B74"/>
    <w:pPr>
      <w:spacing w:before="240"/>
    </w:pPr>
    <w:rPr>
      <w:caps w:val="0"/>
    </w:rPr>
  </w:style>
  <w:style w:type="paragraph" w:customStyle="1" w:styleId="Title4">
    <w:name w:val="Title 4"/>
    <w:basedOn w:val="Title3"/>
    <w:next w:val="Heading1"/>
    <w:rsid w:val="002C3B74"/>
    <w:rPr>
      <w:b/>
    </w:rPr>
  </w:style>
  <w:style w:type="character" w:customStyle="1" w:styleId="Appdef">
    <w:name w:val="App_def"/>
    <w:basedOn w:val="DefaultParagraphFont"/>
    <w:rsid w:val="002C3B74"/>
    <w:rPr>
      <w:rFonts w:ascii="Times New Roman" w:hAnsi="Times New Roman"/>
      <w:b/>
    </w:rPr>
  </w:style>
  <w:style w:type="character" w:customStyle="1" w:styleId="Appref">
    <w:name w:val="App_ref"/>
    <w:basedOn w:val="DefaultParagraphFont"/>
    <w:rsid w:val="002C3B74"/>
  </w:style>
  <w:style w:type="character" w:customStyle="1" w:styleId="Artdef">
    <w:name w:val="Art_def"/>
    <w:basedOn w:val="DefaultParagraphFont"/>
    <w:rsid w:val="002C3B74"/>
    <w:rPr>
      <w:rFonts w:ascii="Times New Roman" w:hAnsi="Times New Roman"/>
      <w:b/>
    </w:rPr>
  </w:style>
  <w:style w:type="character" w:customStyle="1" w:styleId="Artref">
    <w:name w:val="Art_ref"/>
    <w:basedOn w:val="DefaultParagraphFont"/>
    <w:rsid w:val="002C3B74"/>
  </w:style>
  <w:style w:type="character" w:customStyle="1" w:styleId="Recdef">
    <w:name w:val="Rec_def"/>
    <w:basedOn w:val="DefaultParagraphFont"/>
    <w:rsid w:val="002C3B74"/>
    <w:rPr>
      <w:b/>
    </w:rPr>
  </w:style>
  <w:style w:type="character" w:customStyle="1" w:styleId="Resdef">
    <w:name w:val="Res_def"/>
    <w:basedOn w:val="DefaultParagraphFont"/>
    <w:rsid w:val="002C3B74"/>
    <w:rPr>
      <w:rFonts w:ascii="Times New Roman" w:hAnsi="Times New Roman"/>
      <w:b/>
    </w:rPr>
  </w:style>
  <w:style w:type="character" w:customStyle="1" w:styleId="Tablefreq">
    <w:name w:val="Table_freq"/>
    <w:basedOn w:val="DefaultParagraphFont"/>
    <w:rsid w:val="002C3B74"/>
    <w:rPr>
      <w:b/>
      <w:color w:val="auto"/>
      <w:sz w:val="20"/>
    </w:rPr>
  </w:style>
  <w:style w:type="paragraph" w:customStyle="1" w:styleId="Formal">
    <w:name w:val="Formal"/>
    <w:basedOn w:val="ASN1"/>
    <w:rsid w:val="002C3B74"/>
    <w:pPr>
      <w:tabs>
        <w:tab w:val="left" w:pos="1871"/>
      </w:tabs>
      <w:jc w:val="left"/>
    </w:pPr>
    <w:rPr>
      <w:rFonts w:ascii="Times New Roman Bold" w:hAnsi="Times New Roman Bold"/>
      <w:b w:val="0"/>
      <w:lang w:val="en-GB"/>
    </w:rPr>
  </w:style>
  <w:style w:type="paragraph" w:customStyle="1" w:styleId="Section1">
    <w:name w:val="Section_1"/>
    <w:basedOn w:val="Normal"/>
    <w:rsid w:val="002C3B7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C3B74"/>
    <w:rPr>
      <w:b w:val="0"/>
      <w:i/>
    </w:rPr>
  </w:style>
  <w:style w:type="paragraph" w:customStyle="1" w:styleId="AnnexNo">
    <w:name w:val="Annex_No"/>
    <w:basedOn w:val="Normal"/>
    <w:next w:val="Normal"/>
    <w:rsid w:val="002C3B7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C3B7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C3B74"/>
  </w:style>
  <w:style w:type="paragraph" w:customStyle="1" w:styleId="Appendixtitle">
    <w:name w:val="Appendix_title"/>
    <w:basedOn w:val="Annextitle"/>
    <w:next w:val="Normal"/>
    <w:rsid w:val="002C3B74"/>
  </w:style>
  <w:style w:type="paragraph" w:customStyle="1" w:styleId="Border">
    <w:name w:val="Border"/>
    <w:basedOn w:val="Normal"/>
    <w:rsid w:val="002C3B7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C3B7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C3B7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C3B7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C3B7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C3B74"/>
  </w:style>
  <w:style w:type="paragraph" w:customStyle="1" w:styleId="Normalaftertitle0">
    <w:name w:val="Normal after title"/>
    <w:basedOn w:val="Normal"/>
    <w:next w:val="Normal"/>
    <w:rsid w:val="002C3B7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C3B7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C3B74"/>
    <w:pPr>
      <w:tabs>
        <w:tab w:val="clear" w:pos="794"/>
        <w:tab w:val="clear" w:pos="1191"/>
        <w:tab w:val="left" w:pos="1134"/>
      </w:tabs>
      <w:jc w:val="left"/>
    </w:pPr>
    <w:rPr>
      <w:lang w:val="en-GB"/>
    </w:rPr>
  </w:style>
  <w:style w:type="paragraph" w:customStyle="1" w:styleId="Section3">
    <w:name w:val="Section_3"/>
    <w:basedOn w:val="Section1"/>
    <w:rsid w:val="002C3B74"/>
    <w:rPr>
      <w:b w:val="0"/>
    </w:rPr>
  </w:style>
  <w:style w:type="paragraph" w:customStyle="1" w:styleId="TableTextS5">
    <w:name w:val="Table_TextS5"/>
    <w:basedOn w:val="Normal"/>
    <w:rsid w:val="002C3B74"/>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C3B7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C3B7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C3B7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C3B74"/>
  </w:style>
  <w:style w:type="paragraph" w:customStyle="1" w:styleId="Committee">
    <w:name w:val="Committee"/>
    <w:basedOn w:val="Normal"/>
    <w:qFormat/>
    <w:rsid w:val="002C3B7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C3B74"/>
    <w:rPr>
      <w:noProof/>
      <w:sz w:val="18"/>
      <w:lang w:val="fr-FR" w:eastAsia="en-US"/>
    </w:rPr>
  </w:style>
  <w:style w:type="character" w:customStyle="1" w:styleId="FootnoteTextChar">
    <w:name w:val="Footnote Text Char"/>
    <w:basedOn w:val="DefaultParagraphFont"/>
    <w:link w:val="FootnoteText"/>
    <w:rsid w:val="002C3B74"/>
    <w:rPr>
      <w:sz w:val="22"/>
      <w:lang w:val="fr-FR" w:eastAsia="en-US"/>
    </w:rPr>
  </w:style>
  <w:style w:type="character" w:customStyle="1" w:styleId="HeaderChar">
    <w:name w:val="Header Char"/>
    <w:basedOn w:val="DefaultParagraphFont"/>
    <w:link w:val="Header"/>
    <w:rsid w:val="002C3B74"/>
    <w:rPr>
      <w:sz w:val="24"/>
      <w:lang w:val="fr-FR" w:eastAsia="en-US"/>
    </w:rPr>
  </w:style>
  <w:style w:type="paragraph" w:customStyle="1" w:styleId="Normalend">
    <w:name w:val="Normal_end"/>
    <w:basedOn w:val="Normal"/>
    <w:next w:val="Normal"/>
    <w:qFormat/>
    <w:rsid w:val="002C3B7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C3B74"/>
  </w:style>
  <w:style w:type="paragraph" w:customStyle="1" w:styleId="Subsection1">
    <w:name w:val="Subsection_1"/>
    <w:basedOn w:val="Section1"/>
    <w:next w:val="Normalaftertitle0"/>
    <w:qFormat/>
    <w:rsid w:val="002C3B74"/>
  </w:style>
  <w:style w:type="paragraph" w:customStyle="1" w:styleId="Volumetitle">
    <w:name w:val="Volume_title"/>
    <w:basedOn w:val="Normal"/>
    <w:qFormat/>
    <w:rsid w:val="002C3B7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C3B74"/>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C3B7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C3B74"/>
    <w:rPr>
      <w:rFonts w:ascii="Times New Roman" w:hAnsi="Times New Roman"/>
      <w:b w:val="0"/>
    </w:rPr>
  </w:style>
  <w:style w:type="paragraph" w:customStyle="1" w:styleId="Tablesplit">
    <w:name w:val="Table_split"/>
    <w:basedOn w:val="Tabletext"/>
    <w:qFormat/>
    <w:rsid w:val="002C3B7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styleId="BalloonText">
    <w:name w:val="Balloon Text"/>
    <w:basedOn w:val="Normal"/>
    <w:link w:val="BalloonTextChar"/>
    <w:semiHidden/>
    <w:unhideWhenUsed/>
    <w:rsid w:val="002C3B7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2C3B74"/>
    <w:rPr>
      <w:rFonts w:ascii="Segoe UI" w:hAnsi="Segoe UI" w:cs="Segoe UI"/>
      <w:sz w:val="18"/>
      <w:szCs w:val="18"/>
      <w:lang w:val="en-GB" w:eastAsia="en-US"/>
    </w:rPr>
  </w:style>
  <w:style w:type="character" w:styleId="CommentReference">
    <w:name w:val="annotation reference"/>
    <w:basedOn w:val="DefaultParagraphFont"/>
    <w:semiHidden/>
    <w:unhideWhenUsed/>
    <w:rsid w:val="002C3B74"/>
    <w:rPr>
      <w:sz w:val="16"/>
      <w:szCs w:val="16"/>
    </w:rPr>
  </w:style>
  <w:style w:type="paragraph" w:styleId="CommentText">
    <w:name w:val="annotation text"/>
    <w:basedOn w:val="Normal"/>
    <w:link w:val="CommentTextChar"/>
    <w:semiHidden/>
    <w:unhideWhenUsed/>
    <w:rsid w:val="002C3B74"/>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2C3B74"/>
    <w:rPr>
      <w:lang w:val="en-GB" w:eastAsia="en-US"/>
    </w:rPr>
  </w:style>
  <w:style w:type="paragraph" w:styleId="CommentSubject">
    <w:name w:val="annotation subject"/>
    <w:basedOn w:val="CommentText"/>
    <w:next w:val="CommentText"/>
    <w:link w:val="CommentSubjectChar"/>
    <w:semiHidden/>
    <w:unhideWhenUsed/>
    <w:rsid w:val="002C3B74"/>
    <w:rPr>
      <w:b/>
      <w:bCs/>
    </w:rPr>
  </w:style>
  <w:style w:type="character" w:customStyle="1" w:styleId="CommentSubjectChar">
    <w:name w:val="Comment Subject Char"/>
    <w:basedOn w:val="CommentTextChar"/>
    <w:link w:val="CommentSubject"/>
    <w:semiHidden/>
    <w:rsid w:val="002C3B74"/>
    <w:rPr>
      <w:b/>
      <w:bCs/>
      <w:lang w:val="en-GB" w:eastAsia="en-US"/>
    </w:rPr>
  </w:style>
  <w:style w:type="paragraph" w:styleId="Revision">
    <w:name w:val="Revision"/>
    <w:hidden/>
    <w:uiPriority w:val="99"/>
    <w:semiHidden/>
    <w:rsid w:val="002C3B74"/>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9.emf"/><Relationship Id="rId10" Type="http://schemas.openxmlformats.org/officeDocument/2006/relationships/hyperlink" Target="http://www.itu.int/publ/R-REC/en" TargetMode="Externa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1</Pages>
  <Words>4688</Words>
  <Characters>25286</Characters>
  <Application>Microsoft Office Word</Application>
  <DocSecurity>0</DocSecurity>
  <Lines>936</Lines>
  <Paragraphs>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29879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26</cp:revision>
  <cp:lastPrinted>2017-11-07T07:58:00Z</cp:lastPrinted>
  <dcterms:created xsi:type="dcterms:W3CDTF">2017-06-16T06:06:00Z</dcterms:created>
  <dcterms:modified xsi:type="dcterms:W3CDTF">2017-11-07T08:00:00Z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