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90AD0" w14:textId="77777777" w:rsidR="00FE79FE" w:rsidRDefault="00FE79FE"/>
    <w:p w14:paraId="25D09040" w14:textId="77777777" w:rsidR="00013002" w:rsidRDefault="00013002" w:rsidP="00DE5556">
      <w:pPr>
        <w:tabs>
          <w:tab w:val="clear" w:pos="794"/>
          <w:tab w:val="clear" w:pos="1191"/>
          <w:tab w:val="clear" w:pos="1588"/>
          <w:tab w:val="clear" w:pos="1985"/>
        </w:tabs>
      </w:pPr>
    </w:p>
    <w:p w14:paraId="4D3AB40D" w14:textId="6E7C4318" w:rsidR="00D5024B" w:rsidRPr="00F111D6" w:rsidRDefault="00D5024B" w:rsidP="00D5024B">
      <w:pPr>
        <w:pStyle w:val="CoverNumber"/>
        <w:rPr>
          <w:lang w:val="es-ES"/>
        </w:rPr>
      </w:pPr>
      <w:bookmarkStart w:id="0" w:name="_Toc181636848"/>
      <w:bookmarkStart w:id="1" w:name="_Toc181637053"/>
      <w:bookmarkStart w:id="2" w:name="_Toc181637168"/>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C64844">
        <w:rPr>
          <w:lang w:val="es-ES"/>
        </w:rPr>
        <w:t>RS</w:t>
      </w:r>
      <w:r w:rsidRPr="00F111D6">
        <w:rPr>
          <w:lang w:val="es-ES"/>
        </w:rPr>
        <w:t>.</w:t>
      </w:r>
      <w:r w:rsidR="003510BF" w:rsidRPr="005270E0">
        <w:rPr>
          <w:rStyle w:val="href"/>
          <w:lang w:val="es-ES"/>
        </w:rPr>
        <w:t>1166-5</w:t>
      </w:r>
      <w:bookmarkEnd w:id="0"/>
      <w:bookmarkEnd w:id="1"/>
      <w:bookmarkEnd w:id="2"/>
    </w:p>
    <w:p w14:paraId="601A3787" w14:textId="2F8F288F" w:rsidR="00D5024B" w:rsidRPr="00F111D6" w:rsidRDefault="00D5024B" w:rsidP="00D5024B">
      <w:pPr>
        <w:pStyle w:val="CoverDate"/>
        <w:rPr>
          <w:lang w:val="es-ES"/>
        </w:rPr>
      </w:pPr>
      <w:r w:rsidRPr="00F111D6">
        <w:rPr>
          <w:lang w:val="es-ES"/>
        </w:rPr>
        <w:t>(</w:t>
      </w:r>
      <w:r w:rsidR="00321368">
        <w:rPr>
          <w:lang w:val="es-ES"/>
        </w:rPr>
        <w:t>12/2023</w:t>
      </w:r>
      <w:r w:rsidRPr="00F111D6">
        <w:rPr>
          <w:lang w:val="es-ES"/>
        </w:rPr>
        <w:t>)</w:t>
      </w:r>
    </w:p>
    <w:p w14:paraId="68D129F4"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C64844">
        <w:rPr>
          <w:lang w:val="es-ES"/>
        </w:rPr>
        <w:t>RS</w:t>
      </w:r>
      <w:r w:rsidR="00D5024B" w:rsidRPr="00F111D6">
        <w:rPr>
          <w:lang w:val="es-ES"/>
        </w:rPr>
        <w:t xml:space="preserve">: </w:t>
      </w:r>
      <w:r w:rsidR="00C64844" w:rsidRPr="00C64844">
        <w:rPr>
          <w:lang w:val="es-ES"/>
        </w:rPr>
        <w:t>Sistemas de detección a distancia</w:t>
      </w:r>
    </w:p>
    <w:p w14:paraId="3B4375C5" w14:textId="1129BC74" w:rsidR="00D5024B" w:rsidRPr="00F111D6" w:rsidRDefault="003510BF" w:rsidP="00D5024B">
      <w:pPr>
        <w:pStyle w:val="CoverTitle"/>
        <w:rPr>
          <w:lang w:val="es-ES"/>
        </w:rPr>
      </w:pPr>
      <w:r>
        <w:rPr>
          <w:lang w:val="es-ES"/>
        </w:rPr>
        <w:t>Criterios de calidad de funcionamiento y de interferencia para sensores activos a bordo de vehículos espaciales</w:t>
      </w:r>
    </w:p>
    <w:p w14:paraId="2609D146" w14:textId="77777777" w:rsidR="00FE79FE" w:rsidRPr="00F111D6" w:rsidRDefault="00FE79FE" w:rsidP="005373E0"/>
    <w:p w14:paraId="61AE2193" w14:textId="77777777" w:rsidR="00A71FE5" w:rsidRPr="00F111D6" w:rsidRDefault="00A71FE5" w:rsidP="005373E0"/>
    <w:p w14:paraId="704AF89D"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73094AD"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3" w:name="c2tope"/>
      <w:bookmarkEnd w:id="3"/>
      <w:r w:rsidRPr="006C718C">
        <w:rPr>
          <w:bCs/>
          <w:sz w:val="24"/>
          <w:szCs w:val="24"/>
          <w:lang w:val="es-ES_tradnl"/>
        </w:rPr>
        <w:lastRenderedPageBreak/>
        <w:t>Prólogo</w:t>
      </w:r>
    </w:p>
    <w:p w14:paraId="6DC46B37"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235209EE"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1D53A723" w14:textId="77777777" w:rsidR="0069322D" w:rsidRPr="00021E8A" w:rsidRDefault="0069322D" w:rsidP="0069322D">
      <w:pPr>
        <w:pStyle w:val="Heading1"/>
        <w:spacing w:before="340"/>
        <w:jc w:val="center"/>
        <w:rPr>
          <w:szCs w:val="24"/>
          <w:lang w:val="es-ES_tradnl"/>
        </w:rPr>
      </w:pPr>
      <w:bookmarkStart w:id="4" w:name="_Toc181636849"/>
      <w:bookmarkStart w:id="5" w:name="_Toc181637054"/>
      <w:bookmarkStart w:id="6" w:name="_Toc181637169"/>
      <w:bookmarkStart w:id="7" w:name="_Toc181796498"/>
      <w:r w:rsidRPr="007C36CA">
        <w:rPr>
          <w:lang w:val="es-ES_tradnl"/>
        </w:rPr>
        <w:t>Política sobre Derechos de Propiedad Intelectual</w:t>
      </w:r>
      <w:r w:rsidRPr="00021E8A">
        <w:rPr>
          <w:szCs w:val="24"/>
          <w:lang w:val="es-ES_tradnl"/>
        </w:rPr>
        <w:t xml:space="preserve"> (IPR)</w:t>
      </w:r>
      <w:bookmarkEnd w:id="4"/>
      <w:bookmarkEnd w:id="5"/>
      <w:bookmarkEnd w:id="6"/>
      <w:bookmarkEnd w:id="7"/>
    </w:p>
    <w:p w14:paraId="2D3F9B9E"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 xml:space="preserve">R/ISO/CEI y la base de datos sobre información de patentes del </w:t>
      </w:r>
      <w:r w:rsidRPr="00D6632A">
        <w:rPr>
          <w:rStyle w:val="href"/>
        </w:rPr>
        <w:t>UIT</w:t>
      </w:r>
      <w:r w:rsidRPr="00D6632A">
        <w:rPr>
          <w:rStyle w:val="href"/>
        </w:rPr>
        <w:noBreakHyphen/>
        <w:t>R</w:t>
      </w:r>
      <w:r w:rsidRPr="00021E8A">
        <w:rPr>
          <w:sz w:val="20"/>
          <w:lang w:val="es-ES_tradnl"/>
        </w:rPr>
        <w:t xml:space="preserve"> sobre este asunto.</w:t>
      </w:r>
    </w:p>
    <w:p w14:paraId="7C41D52F" w14:textId="77777777" w:rsidR="0069322D" w:rsidRPr="007C36CA" w:rsidRDefault="0069322D" w:rsidP="0069322D">
      <w:pPr>
        <w:spacing w:before="0"/>
        <w:jc w:val="center"/>
        <w:rPr>
          <w:sz w:val="22"/>
          <w:lang w:val="es-ES_tradnl"/>
        </w:rPr>
      </w:pPr>
    </w:p>
    <w:p w14:paraId="049C75A6"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C64844" w14:paraId="509AFA55" w14:textId="77777777" w:rsidTr="0069322D">
        <w:tc>
          <w:tcPr>
            <w:tcW w:w="9360" w:type="dxa"/>
            <w:gridSpan w:val="2"/>
          </w:tcPr>
          <w:p w14:paraId="015A014E"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74F0AFF3"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69BA3B89" w14:textId="77777777" w:rsidTr="00B96572">
        <w:tc>
          <w:tcPr>
            <w:tcW w:w="1140" w:type="dxa"/>
            <w:tcBorders>
              <w:bottom w:val="nil"/>
            </w:tcBorders>
            <w:vAlign w:val="bottom"/>
          </w:tcPr>
          <w:p w14:paraId="64827A66"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7C9E8DFE"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409A1F29" w14:textId="77777777" w:rsidTr="0069322D">
        <w:tc>
          <w:tcPr>
            <w:tcW w:w="1140" w:type="dxa"/>
            <w:tcBorders>
              <w:top w:val="nil"/>
              <w:bottom w:val="nil"/>
            </w:tcBorders>
            <w:shd w:val="clear" w:color="auto" w:fill="auto"/>
          </w:tcPr>
          <w:p w14:paraId="288AF720"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76373FDE"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C64844" w14:paraId="08B26562" w14:textId="77777777" w:rsidTr="0069322D">
        <w:tc>
          <w:tcPr>
            <w:tcW w:w="1140" w:type="dxa"/>
            <w:tcBorders>
              <w:top w:val="nil"/>
              <w:bottom w:val="nil"/>
            </w:tcBorders>
            <w:shd w:val="clear" w:color="auto" w:fill="auto"/>
          </w:tcPr>
          <w:p w14:paraId="73AA36F1"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640AAD97"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311BDDEE" w14:textId="77777777" w:rsidTr="0069322D">
        <w:tc>
          <w:tcPr>
            <w:tcW w:w="1140" w:type="dxa"/>
            <w:tcBorders>
              <w:top w:val="nil"/>
              <w:bottom w:val="nil"/>
            </w:tcBorders>
            <w:shd w:val="clear" w:color="auto" w:fill="auto"/>
          </w:tcPr>
          <w:p w14:paraId="3EE806D1"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665A4BD3"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33D8F915" w14:textId="77777777" w:rsidTr="008B56B2">
        <w:tc>
          <w:tcPr>
            <w:tcW w:w="1140" w:type="dxa"/>
            <w:tcBorders>
              <w:top w:val="nil"/>
              <w:bottom w:val="nil"/>
            </w:tcBorders>
            <w:shd w:val="clear" w:color="auto" w:fill="auto"/>
          </w:tcPr>
          <w:p w14:paraId="151DCC1B"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332BD6B7"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5DA962C9" w14:textId="77777777" w:rsidTr="008B56B2">
        <w:tc>
          <w:tcPr>
            <w:tcW w:w="1140" w:type="dxa"/>
            <w:tcBorders>
              <w:top w:val="nil"/>
              <w:bottom w:val="nil"/>
            </w:tcBorders>
            <w:shd w:val="clear" w:color="auto" w:fill="FFFFFF" w:themeFill="background1"/>
          </w:tcPr>
          <w:p w14:paraId="25D862DD"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79556FA7"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C64844" w14:paraId="648550DD" w14:textId="77777777" w:rsidTr="008B56B2">
        <w:tc>
          <w:tcPr>
            <w:tcW w:w="1140" w:type="dxa"/>
            <w:tcBorders>
              <w:top w:val="nil"/>
              <w:bottom w:val="nil"/>
            </w:tcBorders>
            <w:shd w:val="clear" w:color="auto" w:fill="auto"/>
          </w:tcPr>
          <w:p w14:paraId="463FA272"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1247B8B2"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C64844" w14:paraId="16AED738" w14:textId="77777777" w:rsidTr="0069322D">
        <w:tc>
          <w:tcPr>
            <w:tcW w:w="1140" w:type="dxa"/>
            <w:tcBorders>
              <w:top w:val="nil"/>
              <w:bottom w:val="nil"/>
            </w:tcBorders>
            <w:shd w:val="clear" w:color="auto" w:fill="auto"/>
          </w:tcPr>
          <w:p w14:paraId="697C2412"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5A80B50F"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3DE676BC" w14:textId="77777777" w:rsidTr="00C64844">
        <w:tc>
          <w:tcPr>
            <w:tcW w:w="1140" w:type="dxa"/>
            <w:tcBorders>
              <w:top w:val="nil"/>
              <w:bottom w:val="nil"/>
            </w:tcBorders>
            <w:shd w:val="clear" w:color="auto" w:fill="auto"/>
          </w:tcPr>
          <w:p w14:paraId="4C833FDB"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62359D75"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C64844" w14:paraId="1E61B324" w14:textId="77777777" w:rsidTr="00C64844">
        <w:tc>
          <w:tcPr>
            <w:tcW w:w="1140" w:type="dxa"/>
            <w:tcBorders>
              <w:top w:val="nil"/>
              <w:bottom w:val="nil"/>
            </w:tcBorders>
            <w:shd w:val="clear" w:color="auto" w:fill="F2F2F2" w:themeFill="background1" w:themeFillShade="F2"/>
          </w:tcPr>
          <w:p w14:paraId="4D65CCFC" w14:textId="77777777" w:rsidR="0069322D" w:rsidRPr="00C64844" w:rsidRDefault="0069322D" w:rsidP="000B4BD9">
            <w:pPr>
              <w:spacing w:before="30" w:after="30"/>
              <w:ind w:left="57"/>
              <w:jc w:val="left"/>
              <w:rPr>
                <w:b/>
                <w:bCs/>
                <w:color w:val="000080"/>
                <w:sz w:val="20"/>
                <w:lang w:val="en-US"/>
              </w:rPr>
            </w:pPr>
            <w:r w:rsidRPr="00C64844">
              <w:rPr>
                <w:b/>
                <w:bCs/>
                <w:color w:val="000080"/>
                <w:sz w:val="20"/>
                <w:lang w:val="en-US"/>
              </w:rPr>
              <w:t>RS</w:t>
            </w:r>
          </w:p>
        </w:tc>
        <w:tc>
          <w:tcPr>
            <w:tcW w:w="8220" w:type="dxa"/>
            <w:tcBorders>
              <w:top w:val="nil"/>
              <w:bottom w:val="nil"/>
            </w:tcBorders>
            <w:shd w:val="clear" w:color="auto" w:fill="F2F2F2" w:themeFill="background1" w:themeFillShade="F2"/>
          </w:tcPr>
          <w:p w14:paraId="5575AC59" w14:textId="77777777" w:rsidR="0069322D" w:rsidRPr="00C64844"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s-ES_tradnl"/>
              </w:rPr>
            </w:pPr>
            <w:r w:rsidRPr="00C64844">
              <w:rPr>
                <w:b/>
                <w:bCs/>
                <w:color w:val="000080"/>
                <w:sz w:val="20"/>
                <w:lang w:val="es-ES_tradnl"/>
              </w:rPr>
              <w:t>Sistemas de detección a distancia</w:t>
            </w:r>
          </w:p>
        </w:tc>
      </w:tr>
      <w:tr w:rsidR="0069322D" w:rsidRPr="00025336" w14:paraId="67951B51" w14:textId="77777777" w:rsidTr="00C64844">
        <w:tc>
          <w:tcPr>
            <w:tcW w:w="1140" w:type="dxa"/>
            <w:tcBorders>
              <w:top w:val="nil"/>
              <w:bottom w:val="nil"/>
            </w:tcBorders>
            <w:shd w:val="clear" w:color="auto" w:fill="auto"/>
          </w:tcPr>
          <w:p w14:paraId="252239A2"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2D09AF41" w14:textId="77777777" w:rsidR="0069322D" w:rsidRPr="00025336" w:rsidRDefault="0069322D" w:rsidP="000B4BD9">
            <w:pPr>
              <w:spacing w:before="30" w:after="30"/>
              <w:jc w:val="left"/>
              <w:rPr>
                <w:sz w:val="20"/>
                <w:lang w:val="en-US"/>
              </w:rPr>
            </w:pPr>
            <w:r w:rsidRPr="00025336">
              <w:rPr>
                <w:sz w:val="20"/>
              </w:rPr>
              <w:t>Servicio fijo por satélite</w:t>
            </w:r>
          </w:p>
        </w:tc>
      </w:tr>
      <w:tr w:rsidR="00C64844" w:rsidRPr="00C64844" w14:paraId="38A666E8" w14:textId="77777777" w:rsidTr="00C64844">
        <w:tc>
          <w:tcPr>
            <w:tcW w:w="1140" w:type="dxa"/>
            <w:tcBorders>
              <w:top w:val="nil"/>
              <w:bottom w:val="nil"/>
            </w:tcBorders>
            <w:shd w:val="clear" w:color="auto" w:fill="FFFFFF" w:themeFill="background1"/>
          </w:tcPr>
          <w:p w14:paraId="5E45CFEF" w14:textId="77777777" w:rsidR="0069322D" w:rsidRPr="00C64844" w:rsidRDefault="0069322D" w:rsidP="000B4BD9">
            <w:pPr>
              <w:spacing w:before="30" w:after="30"/>
              <w:ind w:left="57"/>
              <w:jc w:val="left"/>
              <w:rPr>
                <w:b/>
                <w:bCs/>
                <w:sz w:val="20"/>
                <w:lang w:val="en-US"/>
              </w:rPr>
            </w:pPr>
            <w:r w:rsidRPr="00C64844">
              <w:rPr>
                <w:b/>
                <w:bCs/>
                <w:sz w:val="20"/>
                <w:lang w:val="en-US"/>
              </w:rPr>
              <w:t>SA</w:t>
            </w:r>
          </w:p>
        </w:tc>
        <w:tc>
          <w:tcPr>
            <w:tcW w:w="8220" w:type="dxa"/>
            <w:tcBorders>
              <w:top w:val="nil"/>
              <w:bottom w:val="nil"/>
            </w:tcBorders>
            <w:shd w:val="clear" w:color="auto" w:fill="FFFFFF" w:themeFill="background1"/>
          </w:tcPr>
          <w:p w14:paraId="3746F80A" w14:textId="77777777" w:rsidR="0069322D" w:rsidRPr="00C64844" w:rsidRDefault="0069322D" w:rsidP="000B4BD9">
            <w:pPr>
              <w:spacing w:before="30" w:after="30"/>
              <w:jc w:val="left"/>
              <w:rPr>
                <w:sz w:val="20"/>
                <w:lang w:val="en-US"/>
              </w:rPr>
            </w:pPr>
            <w:r w:rsidRPr="00C64844">
              <w:rPr>
                <w:sz w:val="20"/>
              </w:rPr>
              <w:t>Aplicaciones espaciales y meteorología</w:t>
            </w:r>
          </w:p>
        </w:tc>
      </w:tr>
      <w:tr w:rsidR="0069322D" w:rsidRPr="00C64844" w14:paraId="5BC6CE5F" w14:textId="77777777" w:rsidTr="0069322D">
        <w:tc>
          <w:tcPr>
            <w:tcW w:w="1140" w:type="dxa"/>
            <w:tcBorders>
              <w:top w:val="nil"/>
            </w:tcBorders>
          </w:tcPr>
          <w:p w14:paraId="62C6B2DD"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7BC8A74A"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73FC0152" w14:textId="77777777" w:rsidTr="0069322D">
        <w:tc>
          <w:tcPr>
            <w:tcW w:w="1140" w:type="dxa"/>
            <w:shd w:val="clear" w:color="auto" w:fill="auto"/>
          </w:tcPr>
          <w:p w14:paraId="74E80287"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03B5E417"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25AB98C8" w14:textId="77777777" w:rsidTr="0069322D">
        <w:tc>
          <w:tcPr>
            <w:tcW w:w="1140" w:type="dxa"/>
          </w:tcPr>
          <w:p w14:paraId="25CBA51F"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108A5355"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C64844" w14:paraId="63713C3A" w14:textId="77777777" w:rsidTr="0069322D">
        <w:tc>
          <w:tcPr>
            <w:tcW w:w="1140" w:type="dxa"/>
          </w:tcPr>
          <w:p w14:paraId="4310ED46"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7B6B6E3E"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7BA66CF4" w14:textId="77777777" w:rsidTr="0069322D">
        <w:tc>
          <w:tcPr>
            <w:tcW w:w="1140" w:type="dxa"/>
          </w:tcPr>
          <w:p w14:paraId="0A207915"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1AD1BF59"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3AAED29D"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2EA4B40D" w14:textId="77777777" w:rsidTr="000B4BD9">
        <w:tc>
          <w:tcPr>
            <w:tcW w:w="720" w:type="dxa"/>
          </w:tcPr>
          <w:p w14:paraId="5FD2A22E"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C64844" w14:paraId="22D53A75" w14:textId="77777777" w:rsidTr="00B96572">
        <w:tc>
          <w:tcPr>
            <w:tcW w:w="9360" w:type="dxa"/>
          </w:tcPr>
          <w:p w14:paraId="7F9C1B6E"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693058C4" w14:textId="77777777" w:rsidR="0069322D" w:rsidRPr="00763D08" w:rsidRDefault="0069322D" w:rsidP="0069322D">
      <w:pPr>
        <w:spacing w:before="0"/>
        <w:jc w:val="center"/>
        <w:rPr>
          <w:sz w:val="22"/>
          <w:lang w:val="es-ES_tradnl"/>
        </w:rPr>
      </w:pPr>
    </w:p>
    <w:p w14:paraId="7ECA553B"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3334A634" w14:textId="773A3F62"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321368">
        <w:rPr>
          <w:sz w:val="20"/>
          <w:lang w:val="es-ES_tradnl"/>
        </w:rPr>
        <w:t>4</w:t>
      </w:r>
    </w:p>
    <w:p w14:paraId="05D8F6C8" w14:textId="77777777" w:rsidR="0069322D" w:rsidRPr="00763D08" w:rsidRDefault="0069322D" w:rsidP="0069322D">
      <w:pPr>
        <w:spacing w:before="0" w:after="120"/>
        <w:jc w:val="center"/>
        <w:rPr>
          <w:sz w:val="22"/>
          <w:lang w:val="es-ES_tradnl"/>
        </w:rPr>
      </w:pPr>
    </w:p>
    <w:p w14:paraId="6F7FFA9F" w14:textId="025B7634"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8" w:name="iiannee"/>
      <w:bookmarkEnd w:id="8"/>
      <w:r w:rsidRPr="00763D08">
        <w:rPr>
          <w:sz w:val="20"/>
          <w:lang w:val="es-ES_tradnl"/>
        </w:rPr>
        <w:t>20</w:t>
      </w:r>
      <w:r w:rsidR="00B96572">
        <w:rPr>
          <w:sz w:val="20"/>
          <w:lang w:val="es-ES_tradnl"/>
        </w:rPr>
        <w:t>2</w:t>
      </w:r>
      <w:r w:rsidR="00321368">
        <w:rPr>
          <w:sz w:val="20"/>
          <w:lang w:val="es-ES_tradnl"/>
        </w:rPr>
        <w:t>4</w:t>
      </w:r>
    </w:p>
    <w:p w14:paraId="1BBE86CC"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7745FC46"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52EC0429" w14:textId="7D145D0E" w:rsidR="00B874C6" w:rsidRPr="00F17CED" w:rsidRDefault="00F17CED" w:rsidP="00A936CB">
      <w:pPr>
        <w:pStyle w:val="RecNo"/>
        <w:spacing w:before="0"/>
      </w:pPr>
      <w:bookmarkStart w:id="9" w:name="irecnoe"/>
      <w:bookmarkEnd w:id="9"/>
      <w:r w:rsidRPr="00F17CED">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247071" w:rsidRPr="00D6632A">
        <w:rPr>
          <w:rStyle w:val="href"/>
        </w:rPr>
        <w:t>R</w:t>
      </w:r>
      <w:r w:rsidR="00D5024B" w:rsidRPr="00D6632A">
        <w:rPr>
          <w:rStyle w:val="href"/>
        </w:rPr>
        <w:t>S</w:t>
      </w:r>
      <w:r w:rsidR="00B874C6" w:rsidRPr="00D6632A">
        <w:rPr>
          <w:rStyle w:val="href"/>
        </w:rPr>
        <w:t>.</w:t>
      </w:r>
      <w:r w:rsidR="00DD1DE0" w:rsidRPr="00D6632A">
        <w:rPr>
          <w:rStyle w:val="href"/>
        </w:rPr>
        <w:t>1166-5</w:t>
      </w:r>
    </w:p>
    <w:p w14:paraId="4DA8B11D" w14:textId="77777777" w:rsidR="003510BF" w:rsidRPr="005270E0" w:rsidRDefault="003510BF" w:rsidP="003510BF">
      <w:pPr>
        <w:pStyle w:val="Rectitle"/>
      </w:pPr>
      <w:r w:rsidRPr="005270E0">
        <w:t>Criterios de calidad de funcionamiento y de interferencia</w:t>
      </w:r>
      <w:r w:rsidRPr="005270E0">
        <w:rPr>
          <w:rStyle w:val="FootnoteReference"/>
        </w:rPr>
        <w:footnoteReference w:customMarkFollows="1" w:id="1"/>
        <w:t>*</w:t>
      </w:r>
      <w:r w:rsidRPr="005270E0">
        <w:br/>
        <w:t>para sensores activos a bordo de vehículos espaciales</w:t>
      </w:r>
    </w:p>
    <w:p w14:paraId="100BE161" w14:textId="77777777" w:rsidR="003510BF" w:rsidRPr="005270E0" w:rsidRDefault="003510BF" w:rsidP="003510BF">
      <w:pPr>
        <w:pStyle w:val="Repdate"/>
      </w:pPr>
      <w:r w:rsidRPr="005270E0">
        <w:t>(1995-1998-1999-2006-2009-2023)</w:t>
      </w:r>
    </w:p>
    <w:p w14:paraId="3D45E911" w14:textId="77777777" w:rsidR="003510BF" w:rsidRPr="00D7105B" w:rsidRDefault="003510BF" w:rsidP="00D7105B">
      <w:pPr>
        <w:pStyle w:val="HeadingSum"/>
      </w:pPr>
      <w:bookmarkStart w:id="10" w:name="_Toc181636850"/>
      <w:r w:rsidRPr="00D7105B">
        <w:t>Cometido</w:t>
      </w:r>
      <w:bookmarkEnd w:id="10"/>
    </w:p>
    <w:p w14:paraId="3E0AFC08" w14:textId="77777777" w:rsidR="003510BF" w:rsidRPr="00D7105B" w:rsidRDefault="003510BF" w:rsidP="00D7105B">
      <w:pPr>
        <w:pStyle w:val="Summary"/>
      </w:pPr>
      <w:r w:rsidRPr="00D7105B">
        <w:t>En la presente Recomendación se proporcionan los criterios de calidad de funcionamiento y de interferencia para los sensores activos a bordo de vehículos espaciales en las bandas atribuidas al SETS (activo). El Anexo contiene los fundamentos técnicos para la definición de estos criterios aplicables a los diversos tipos de sensores activos a bordo de vehículos espaciales. Los tipos de sensores incluyen altímetros, dispersímetros, radares de precipitación, rádares de apertura sintética y rádares de perfil de nube.</w:t>
      </w:r>
    </w:p>
    <w:p w14:paraId="467383FD" w14:textId="77777777" w:rsidR="003510BF" w:rsidRPr="005270E0" w:rsidRDefault="003510BF" w:rsidP="003510BF">
      <w:pPr>
        <w:pStyle w:val="Headingb"/>
      </w:pPr>
      <w:r w:rsidRPr="005270E0">
        <w:t>Palabras clave</w:t>
      </w:r>
    </w:p>
    <w:p w14:paraId="589B6CE1" w14:textId="77777777" w:rsidR="003510BF" w:rsidRPr="005270E0" w:rsidRDefault="003510BF" w:rsidP="003510BF">
      <w:r w:rsidRPr="005270E0">
        <w:t>Servicio de exploración de la Tierra por satélite (activo), teledetección, sensores activos, radar de precipitación, radar de apertura sintética (SAR), altímetro, dispersímetro, radar de perfil de nubes</w:t>
      </w:r>
    </w:p>
    <w:p w14:paraId="5DACEA20" w14:textId="77777777" w:rsidR="003510BF" w:rsidRPr="005270E0" w:rsidRDefault="003510BF" w:rsidP="003510BF">
      <w:pPr>
        <w:pStyle w:val="Headingb"/>
        <w:rPr>
          <w:rFonts w:eastAsia="MS Mincho"/>
        </w:rPr>
      </w:pPr>
      <w:r w:rsidRPr="005270E0">
        <w:rPr>
          <w:rFonts w:eastAsia="MS Mincho"/>
        </w:rPr>
        <w:t>Abreviaturas y glosario</w:t>
      </w:r>
    </w:p>
    <w:p w14:paraId="09FE3548" w14:textId="77777777" w:rsidR="004400D0" w:rsidRPr="005270E0" w:rsidRDefault="004400D0" w:rsidP="003510BF">
      <w:pPr>
        <w:tabs>
          <w:tab w:val="clear" w:pos="794"/>
          <w:tab w:val="left" w:pos="1134"/>
        </w:tabs>
      </w:pPr>
      <w:r w:rsidRPr="005270E0">
        <w:t>DPR</w:t>
      </w:r>
      <w:r w:rsidRPr="005270E0">
        <w:tab/>
        <w:t>Radar de precipitación dual</w:t>
      </w:r>
    </w:p>
    <w:p w14:paraId="784ED15C" w14:textId="77777777" w:rsidR="004400D0" w:rsidRPr="005270E0" w:rsidRDefault="004400D0" w:rsidP="003510BF">
      <w:pPr>
        <w:tabs>
          <w:tab w:val="clear" w:pos="794"/>
          <w:tab w:val="left" w:pos="1134"/>
        </w:tabs>
      </w:pPr>
      <w:r w:rsidRPr="005270E0">
        <w:t>DSD</w:t>
      </w:r>
      <w:r w:rsidRPr="005270E0">
        <w:tab/>
        <w:t>Distribución del tamaño de las gotas</w:t>
      </w:r>
    </w:p>
    <w:p w14:paraId="02C2BE32" w14:textId="77777777" w:rsidR="004400D0" w:rsidRPr="005270E0" w:rsidRDefault="004400D0" w:rsidP="003510BF">
      <w:pPr>
        <w:tabs>
          <w:tab w:val="clear" w:pos="794"/>
          <w:tab w:val="left" w:pos="1134"/>
        </w:tabs>
      </w:pPr>
      <w:r w:rsidRPr="005270E0">
        <w:t>GPM</w:t>
      </w:r>
      <w:r w:rsidRPr="005270E0">
        <w:tab/>
        <w:t>Medición de precipitaciones a escala mundial</w:t>
      </w:r>
    </w:p>
    <w:p w14:paraId="04073CBD" w14:textId="77777777" w:rsidR="004400D0" w:rsidRPr="005270E0" w:rsidRDefault="004400D0" w:rsidP="003510BF">
      <w:pPr>
        <w:tabs>
          <w:tab w:val="clear" w:pos="794"/>
          <w:tab w:val="left" w:pos="1134"/>
        </w:tabs>
      </w:pPr>
      <w:r w:rsidRPr="005270E0">
        <w:t>IFOV</w:t>
      </w:r>
      <w:r w:rsidRPr="005270E0">
        <w:tab/>
        <w:t>Campo de visión instantánea</w:t>
      </w:r>
    </w:p>
    <w:p w14:paraId="24B1D776" w14:textId="77777777" w:rsidR="004400D0" w:rsidRPr="005270E0" w:rsidRDefault="004400D0" w:rsidP="003510BF">
      <w:pPr>
        <w:tabs>
          <w:tab w:val="clear" w:pos="794"/>
          <w:tab w:val="left" w:pos="1134"/>
        </w:tabs>
      </w:pPr>
      <w:r w:rsidRPr="005270E0">
        <w:t>ITCZ</w:t>
      </w:r>
      <w:r w:rsidRPr="005270E0">
        <w:tab/>
        <w:t>Zona de convergencia intertropical</w:t>
      </w:r>
    </w:p>
    <w:p w14:paraId="55A38832" w14:textId="77777777" w:rsidR="004400D0" w:rsidRPr="005270E0" w:rsidRDefault="004400D0" w:rsidP="003510BF">
      <w:pPr>
        <w:tabs>
          <w:tab w:val="clear" w:pos="794"/>
          <w:tab w:val="left" w:pos="1134"/>
        </w:tabs>
      </w:pPr>
      <w:r w:rsidRPr="005270E0">
        <w:t>PR</w:t>
      </w:r>
      <w:r w:rsidRPr="005270E0">
        <w:tab/>
        <w:t>Radar de precipitación</w:t>
      </w:r>
    </w:p>
    <w:p w14:paraId="7DACDBE9" w14:textId="77777777" w:rsidR="004400D0" w:rsidRPr="005270E0" w:rsidRDefault="004400D0" w:rsidP="003510BF">
      <w:pPr>
        <w:tabs>
          <w:tab w:val="clear" w:pos="794"/>
          <w:tab w:val="left" w:pos="1134"/>
        </w:tabs>
      </w:pPr>
      <w:r w:rsidRPr="005270E0">
        <w:t>TRMM</w:t>
      </w:r>
      <w:r w:rsidRPr="005270E0">
        <w:tab/>
        <w:t>Misión de medición de la precipitación tropical</w:t>
      </w:r>
    </w:p>
    <w:p w14:paraId="6B7D77D2" w14:textId="77777777" w:rsidR="004400D0" w:rsidRPr="005270E0" w:rsidRDefault="004400D0" w:rsidP="003510BF">
      <w:pPr>
        <w:tabs>
          <w:tab w:val="clear" w:pos="794"/>
          <w:tab w:val="left" w:pos="1134"/>
        </w:tabs>
      </w:pPr>
      <w:r w:rsidRPr="005270E0">
        <w:t>VPRF</w:t>
      </w:r>
      <w:r w:rsidRPr="005270E0">
        <w:tab/>
        <w:t>Frecuencia de repetición de impulsos variable</w:t>
      </w:r>
    </w:p>
    <w:p w14:paraId="02F28FE2" w14:textId="77777777" w:rsidR="003510BF" w:rsidRPr="005270E0" w:rsidRDefault="003510BF" w:rsidP="003510BF">
      <w:pPr>
        <w:spacing w:before="360"/>
        <w:rPr>
          <w:szCs w:val="24"/>
        </w:rPr>
      </w:pPr>
      <w:r w:rsidRPr="005270E0">
        <w:rPr>
          <w:szCs w:val="24"/>
        </w:rPr>
        <w:t>La Asamblea de Radiocomunicaciones de la UIT,</w:t>
      </w:r>
    </w:p>
    <w:p w14:paraId="2E868B9F" w14:textId="77777777" w:rsidR="003510BF" w:rsidRPr="005270E0" w:rsidRDefault="003510BF" w:rsidP="003510BF">
      <w:pPr>
        <w:pStyle w:val="Call"/>
      </w:pPr>
      <w:r w:rsidRPr="005270E0">
        <w:t>considerando</w:t>
      </w:r>
    </w:p>
    <w:p w14:paraId="7AA72748" w14:textId="77777777" w:rsidR="003510BF" w:rsidRPr="005270E0" w:rsidRDefault="003510BF" w:rsidP="003510BF">
      <w:r w:rsidRPr="002D5379">
        <w:rPr>
          <w:i/>
          <w:iCs/>
        </w:rPr>
        <w:t>a)</w:t>
      </w:r>
      <w:r w:rsidRPr="005270E0">
        <w:tab/>
        <w:t>que los sistemas de teledetección activos por microondas a bordo de vehículos espaciales requieren la bandas de frecuencia específicas que dependen de los fenómenos que se han de observar;</w:t>
      </w:r>
    </w:p>
    <w:p w14:paraId="799AE1CD" w14:textId="77777777" w:rsidR="003510BF" w:rsidRPr="005270E0" w:rsidRDefault="003510BF" w:rsidP="003510BF">
      <w:r w:rsidRPr="002D5379">
        <w:rPr>
          <w:i/>
          <w:iCs/>
        </w:rPr>
        <w:t>b)</w:t>
      </w:r>
      <w:r w:rsidRPr="005270E0">
        <w:tab/>
        <w:t>que se han atribuido algunas bandas de frecuencias a los sistemas de teledetección activos por microondas a bordo de vehículos espaciales;</w:t>
      </w:r>
    </w:p>
    <w:p w14:paraId="45D55DFF" w14:textId="77777777" w:rsidR="003510BF" w:rsidRPr="005270E0" w:rsidRDefault="003510BF" w:rsidP="003510BF">
      <w:r w:rsidRPr="002D5379">
        <w:rPr>
          <w:i/>
          <w:iCs/>
        </w:rPr>
        <w:t>c)</w:t>
      </w:r>
      <w:r w:rsidRPr="005270E0">
        <w:tab/>
        <w:t>que estas bandas también están atribuidas a otros servicios radioeléctricos;</w:t>
      </w:r>
    </w:p>
    <w:p w14:paraId="2583E877" w14:textId="77777777" w:rsidR="003510BF" w:rsidRPr="005270E0" w:rsidRDefault="003510BF" w:rsidP="003510BF">
      <w:r w:rsidRPr="002D5379">
        <w:rPr>
          <w:i/>
          <w:iCs/>
        </w:rPr>
        <w:t>d)</w:t>
      </w:r>
      <w:r w:rsidRPr="005270E0">
        <w:tab/>
        <w:t>que mediante estudios se han elaborado los requisitos de sensibilidad de las mediciones;</w:t>
      </w:r>
    </w:p>
    <w:p w14:paraId="5079D520" w14:textId="77777777" w:rsidR="003510BF" w:rsidRPr="005270E0" w:rsidRDefault="003510BF" w:rsidP="003510BF">
      <w:r w:rsidRPr="002D5379">
        <w:rPr>
          <w:i/>
          <w:iCs/>
        </w:rPr>
        <w:t>e)</w:t>
      </w:r>
      <w:r w:rsidRPr="005270E0">
        <w:tab/>
        <w:t>que los requisitos de calidad de funcionamiento de los sensores activos pueden establecerse en términos de precisión de la medición de los parámetros físicos y de disponibilidad, medida en el satélite, suponiendo que la degradación causada por otros elementos del sistema sea insignificante;</w:t>
      </w:r>
    </w:p>
    <w:p w14:paraId="6CF219CB" w14:textId="77777777" w:rsidR="003510BF" w:rsidRPr="005270E0" w:rsidRDefault="003510BF" w:rsidP="003510BF">
      <w:r w:rsidRPr="002D5379">
        <w:rPr>
          <w:i/>
          <w:iCs/>
        </w:rPr>
        <w:lastRenderedPageBreak/>
        <w:t>f)</w:t>
      </w:r>
      <w:r w:rsidRPr="005270E0">
        <w:tab/>
        <w:t>que el establecimiento de los objetivos de calidad de funcionamiento para los sensores activos de microondas a bordo de vehículos espaciales constituyen un requisito previo al establecimiento de los criterios de interferencia asociados;</w:t>
      </w:r>
    </w:p>
    <w:p w14:paraId="1ED4738A" w14:textId="77777777" w:rsidR="003510BF" w:rsidRPr="005270E0" w:rsidRDefault="003510BF" w:rsidP="003510BF">
      <w:r w:rsidRPr="002D5379">
        <w:rPr>
          <w:i/>
          <w:iCs/>
        </w:rPr>
        <w:t>g)</w:t>
      </w:r>
      <w:r w:rsidRPr="005270E0">
        <w:tab/>
        <w:t>que es preciso contar con criterios de interferencia a fin de asegurar que los sistemas puedan diseñarse para lograr la adecuada calidad de funcionamiento en presencia de interferencia, evaluar la compatibilidad con los sistemas de otros servicios y, si es necesario, ayudar a desarrollar criterios para la compartición de bandas de frecuencias entre los servicios;</w:t>
      </w:r>
    </w:p>
    <w:p w14:paraId="57613319" w14:textId="77777777" w:rsidR="003510BF" w:rsidRPr="005270E0" w:rsidRDefault="003510BF" w:rsidP="003510BF">
      <w:r w:rsidRPr="002D5379">
        <w:rPr>
          <w:i/>
          <w:iCs/>
        </w:rPr>
        <w:t>h)</w:t>
      </w:r>
      <w:r w:rsidRPr="005270E0">
        <w:tab/>
        <w:t>que en el Anexo 1 figuran las bases técnicas para los criterios de calidad de funcionamiento y de interferencia basadas en los datos obtenidos de los sensores activos representativos,</w:t>
      </w:r>
    </w:p>
    <w:p w14:paraId="46F2283D" w14:textId="77777777" w:rsidR="003510BF" w:rsidRPr="005270E0" w:rsidRDefault="003510BF" w:rsidP="003510BF">
      <w:pPr>
        <w:pStyle w:val="Call"/>
      </w:pPr>
      <w:r w:rsidRPr="005270E0">
        <w:t>recomienda</w:t>
      </w:r>
    </w:p>
    <w:p w14:paraId="52FE840D" w14:textId="77777777" w:rsidR="003510BF" w:rsidRPr="005270E0" w:rsidRDefault="003510BF" w:rsidP="003510BF">
      <w:r w:rsidRPr="007C0251">
        <w:rPr>
          <w:bCs/>
        </w:rPr>
        <w:t>1</w:t>
      </w:r>
      <w:r w:rsidRPr="005270E0">
        <w:tab/>
        <w:t>que se apliquen los criterios de calidad de funcionamiento consignados en el Cuadro 1 a los instrumentos utilizados para los sistemas activos de adquisición de datos en la atmósfera, los océanos y la superficie de la Tierra:</w:t>
      </w:r>
    </w:p>
    <w:p w14:paraId="091CC30A" w14:textId="77777777" w:rsidR="003510BF" w:rsidRPr="005270E0" w:rsidRDefault="003510BF" w:rsidP="003510BF">
      <w:pPr>
        <w:pStyle w:val="TableNo"/>
      </w:pPr>
      <w:r w:rsidRPr="005270E0">
        <w:t>CUADRO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1338"/>
        <w:gridCol w:w="1800"/>
        <w:gridCol w:w="1635"/>
        <w:gridCol w:w="1605"/>
        <w:gridCol w:w="1539"/>
      </w:tblGrid>
      <w:tr w:rsidR="003510BF" w:rsidRPr="005270E0" w14:paraId="5DB3D51A" w14:textId="77777777" w:rsidTr="00D35E63">
        <w:trPr>
          <w:tblHeader/>
          <w:jc w:val="center"/>
        </w:trPr>
        <w:tc>
          <w:tcPr>
            <w:tcW w:w="1722" w:type="dxa"/>
            <w:vMerge w:val="restart"/>
            <w:vAlign w:val="center"/>
          </w:tcPr>
          <w:p w14:paraId="2F7301B8" w14:textId="77777777" w:rsidR="003510BF" w:rsidRPr="005270E0" w:rsidRDefault="003510BF" w:rsidP="00D35E63">
            <w:pPr>
              <w:pStyle w:val="Tablehead"/>
              <w:rPr>
                <w:sz w:val="18"/>
                <w:szCs w:val="18"/>
              </w:rPr>
            </w:pPr>
            <w:r w:rsidRPr="005270E0">
              <w:rPr>
                <w:sz w:val="18"/>
                <w:szCs w:val="18"/>
              </w:rPr>
              <w:t>Banda de frecuencias</w:t>
            </w:r>
          </w:p>
        </w:tc>
        <w:tc>
          <w:tcPr>
            <w:tcW w:w="7917" w:type="dxa"/>
            <w:gridSpan w:val="5"/>
          </w:tcPr>
          <w:p w14:paraId="6A15B453" w14:textId="77777777" w:rsidR="003510BF" w:rsidRPr="005270E0" w:rsidRDefault="003510BF" w:rsidP="00D35E63">
            <w:pPr>
              <w:pStyle w:val="Tablehead"/>
              <w:rPr>
                <w:sz w:val="18"/>
                <w:szCs w:val="18"/>
              </w:rPr>
            </w:pPr>
            <w:r w:rsidRPr="005270E0">
              <w:rPr>
                <w:sz w:val="18"/>
                <w:szCs w:val="18"/>
              </w:rPr>
              <w:t>Criterios de calidad de funcionamiento</w:t>
            </w:r>
          </w:p>
        </w:tc>
      </w:tr>
      <w:tr w:rsidR="003510BF" w:rsidRPr="005270E0" w14:paraId="37556F2D" w14:textId="77777777" w:rsidTr="00D35E63">
        <w:trPr>
          <w:tblHeader/>
          <w:jc w:val="center"/>
        </w:trPr>
        <w:tc>
          <w:tcPr>
            <w:tcW w:w="1722" w:type="dxa"/>
            <w:vMerge/>
          </w:tcPr>
          <w:p w14:paraId="57033770" w14:textId="77777777" w:rsidR="003510BF" w:rsidRPr="005270E0" w:rsidRDefault="003510BF" w:rsidP="00D35E63">
            <w:pPr>
              <w:pStyle w:val="Tablehead"/>
              <w:rPr>
                <w:sz w:val="18"/>
                <w:szCs w:val="18"/>
              </w:rPr>
            </w:pPr>
          </w:p>
        </w:tc>
        <w:tc>
          <w:tcPr>
            <w:tcW w:w="1338" w:type="dxa"/>
          </w:tcPr>
          <w:p w14:paraId="31729A3B" w14:textId="77777777" w:rsidR="003510BF" w:rsidRPr="005270E0" w:rsidRDefault="003510BF" w:rsidP="00D35E63">
            <w:pPr>
              <w:pStyle w:val="Tablehead"/>
              <w:rPr>
                <w:sz w:val="18"/>
                <w:szCs w:val="18"/>
              </w:rPr>
            </w:pPr>
            <w:r w:rsidRPr="005270E0">
              <w:rPr>
                <w:sz w:val="18"/>
                <w:szCs w:val="18"/>
              </w:rPr>
              <w:t xml:space="preserve">Dispersímetro </w:t>
            </w:r>
          </w:p>
        </w:tc>
        <w:tc>
          <w:tcPr>
            <w:tcW w:w="1800" w:type="dxa"/>
          </w:tcPr>
          <w:p w14:paraId="14939B68" w14:textId="77777777" w:rsidR="003510BF" w:rsidRPr="005270E0" w:rsidRDefault="003510BF" w:rsidP="00D35E63">
            <w:pPr>
              <w:pStyle w:val="Tablehead"/>
              <w:rPr>
                <w:sz w:val="18"/>
                <w:szCs w:val="18"/>
              </w:rPr>
            </w:pPr>
            <w:r w:rsidRPr="005270E0">
              <w:rPr>
                <w:sz w:val="18"/>
                <w:szCs w:val="18"/>
              </w:rPr>
              <w:t>Altímetro</w:t>
            </w:r>
          </w:p>
        </w:tc>
        <w:tc>
          <w:tcPr>
            <w:tcW w:w="1635" w:type="dxa"/>
          </w:tcPr>
          <w:p w14:paraId="7DBDB3AD" w14:textId="77777777" w:rsidR="003510BF" w:rsidRPr="005270E0" w:rsidRDefault="003510BF" w:rsidP="00D35E63">
            <w:pPr>
              <w:pStyle w:val="Tablehead"/>
              <w:rPr>
                <w:sz w:val="18"/>
                <w:szCs w:val="18"/>
              </w:rPr>
            </w:pPr>
            <w:r w:rsidRPr="005270E0">
              <w:rPr>
                <w:sz w:val="18"/>
                <w:szCs w:val="18"/>
              </w:rPr>
              <w:t>Reproductor de imágenes SAR</w:t>
            </w:r>
          </w:p>
        </w:tc>
        <w:tc>
          <w:tcPr>
            <w:tcW w:w="1605" w:type="dxa"/>
          </w:tcPr>
          <w:p w14:paraId="71A2FE50" w14:textId="77777777" w:rsidR="003510BF" w:rsidRPr="005270E0" w:rsidRDefault="003510BF" w:rsidP="00D35E63">
            <w:pPr>
              <w:pStyle w:val="Tablehead"/>
              <w:rPr>
                <w:sz w:val="18"/>
                <w:szCs w:val="18"/>
              </w:rPr>
            </w:pPr>
            <w:r w:rsidRPr="005270E0">
              <w:rPr>
                <w:sz w:val="18"/>
                <w:szCs w:val="18"/>
              </w:rPr>
              <w:t xml:space="preserve">Radar de medición de las precipitaciones </w:t>
            </w:r>
          </w:p>
        </w:tc>
        <w:tc>
          <w:tcPr>
            <w:tcW w:w="1539" w:type="dxa"/>
          </w:tcPr>
          <w:p w14:paraId="150336AE" w14:textId="77777777" w:rsidR="003510BF" w:rsidRPr="005270E0" w:rsidRDefault="003510BF" w:rsidP="00D35E63">
            <w:pPr>
              <w:pStyle w:val="Tablehead"/>
              <w:rPr>
                <w:sz w:val="18"/>
                <w:szCs w:val="18"/>
              </w:rPr>
            </w:pPr>
            <w:r w:rsidRPr="005270E0">
              <w:rPr>
                <w:sz w:val="18"/>
                <w:szCs w:val="18"/>
              </w:rPr>
              <w:t>Radar de perfil de nubes</w:t>
            </w:r>
          </w:p>
        </w:tc>
      </w:tr>
      <w:tr w:rsidR="003510BF" w:rsidRPr="005270E0" w14:paraId="52965114" w14:textId="77777777" w:rsidTr="00D35E63">
        <w:trPr>
          <w:jc w:val="center"/>
        </w:trPr>
        <w:tc>
          <w:tcPr>
            <w:tcW w:w="1722" w:type="dxa"/>
          </w:tcPr>
          <w:p w14:paraId="6396F380" w14:textId="77777777" w:rsidR="003510BF" w:rsidRPr="005270E0" w:rsidRDefault="003510BF" w:rsidP="00D35E63">
            <w:pPr>
              <w:pStyle w:val="Tabletext"/>
              <w:rPr>
                <w:sz w:val="18"/>
                <w:szCs w:val="18"/>
              </w:rPr>
            </w:pPr>
            <w:r w:rsidRPr="005270E0">
              <w:rPr>
                <w:sz w:val="18"/>
                <w:szCs w:val="18"/>
              </w:rPr>
              <w:t>432-438 MHz</w:t>
            </w:r>
          </w:p>
        </w:tc>
        <w:tc>
          <w:tcPr>
            <w:tcW w:w="1338" w:type="dxa"/>
          </w:tcPr>
          <w:p w14:paraId="310873C1" w14:textId="77777777" w:rsidR="003510BF" w:rsidRPr="005270E0" w:rsidRDefault="003510BF" w:rsidP="00D35E63">
            <w:pPr>
              <w:pStyle w:val="Tabletext"/>
              <w:jc w:val="left"/>
              <w:rPr>
                <w:sz w:val="18"/>
                <w:szCs w:val="18"/>
              </w:rPr>
            </w:pPr>
          </w:p>
        </w:tc>
        <w:tc>
          <w:tcPr>
            <w:tcW w:w="1800" w:type="dxa"/>
          </w:tcPr>
          <w:p w14:paraId="2C4D8F6D" w14:textId="77777777" w:rsidR="003510BF" w:rsidRPr="005270E0" w:rsidRDefault="003510BF" w:rsidP="00D35E63">
            <w:pPr>
              <w:pStyle w:val="Tabletext"/>
              <w:jc w:val="left"/>
              <w:rPr>
                <w:sz w:val="18"/>
                <w:szCs w:val="18"/>
              </w:rPr>
            </w:pPr>
          </w:p>
        </w:tc>
        <w:tc>
          <w:tcPr>
            <w:tcW w:w="1635" w:type="dxa"/>
          </w:tcPr>
          <w:p w14:paraId="36841A0C" w14:textId="77777777" w:rsidR="003510BF" w:rsidRPr="005270E0" w:rsidRDefault="003510BF" w:rsidP="00D35E63">
            <w:pPr>
              <w:pStyle w:val="Tabletext"/>
              <w:jc w:val="left"/>
              <w:rPr>
                <w:sz w:val="18"/>
                <w:szCs w:val="18"/>
              </w:rPr>
            </w:pPr>
            <w:r w:rsidRPr="005270E0">
              <w:rPr>
                <w:sz w:val="18"/>
                <w:szCs w:val="18"/>
              </w:rPr>
              <w:t xml:space="preserve">Reflectividad mínima de </w:t>
            </w:r>
            <w:r w:rsidRPr="005270E0">
              <w:rPr>
                <w:rFonts w:ascii="Arial" w:hAnsi="Arial" w:cs="Arial"/>
                <w:sz w:val="18"/>
                <w:szCs w:val="18"/>
              </w:rPr>
              <w:sym w:font="Symbol" w:char="F02D"/>
            </w:r>
            <w:r w:rsidRPr="004400D0">
              <w:rPr>
                <w:sz w:val="18"/>
                <w:szCs w:val="18"/>
              </w:rPr>
              <w:t>36 dB</w:t>
            </w:r>
          </w:p>
        </w:tc>
        <w:tc>
          <w:tcPr>
            <w:tcW w:w="1605" w:type="dxa"/>
          </w:tcPr>
          <w:p w14:paraId="04E802D9" w14:textId="77777777" w:rsidR="003510BF" w:rsidRPr="005270E0" w:rsidRDefault="003510BF" w:rsidP="00D35E63">
            <w:pPr>
              <w:pStyle w:val="Tabletext"/>
              <w:jc w:val="left"/>
              <w:rPr>
                <w:sz w:val="18"/>
                <w:szCs w:val="18"/>
              </w:rPr>
            </w:pPr>
          </w:p>
        </w:tc>
        <w:tc>
          <w:tcPr>
            <w:tcW w:w="1539" w:type="dxa"/>
          </w:tcPr>
          <w:p w14:paraId="53C1F30E" w14:textId="77777777" w:rsidR="003510BF" w:rsidRPr="005270E0" w:rsidRDefault="003510BF" w:rsidP="00D35E63">
            <w:pPr>
              <w:pStyle w:val="Tabletext"/>
              <w:jc w:val="left"/>
              <w:rPr>
                <w:sz w:val="18"/>
                <w:szCs w:val="18"/>
              </w:rPr>
            </w:pPr>
          </w:p>
        </w:tc>
      </w:tr>
      <w:tr w:rsidR="003510BF" w:rsidRPr="005270E0" w14:paraId="0ED078D4" w14:textId="77777777" w:rsidTr="00D35E63">
        <w:trPr>
          <w:jc w:val="center"/>
        </w:trPr>
        <w:tc>
          <w:tcPr>
            <w:tcW w:w="1722" w:type="dxa"/>
          </w:tcPr>
          <w:p w14:paraId="6BB142CE" w14:textId="77777777" w:rsidR="003510BF" w:rsidRPr="005270E0" w:rsidRDefault="003510BF" w:rsidP="00D35E63">
            <w:pPr>
              <w:pStyle w:val="Tabletext"/>
              <w:ind w:right="-57"/>
              <w:rPr>
                <w:sz w:val="18"/>
                <w:szCs w:val="18"/>
              </w:rPr>
            </w:pPr>
            <w:r w:rsidRPr="005270E0">
              <w:rPr>
                <w:sz w:val="18"/>
                <w:szCs w:val="18"/>
              </w:rPr>
              <w:t>1 215-1 300 MHz</w:t>
            </w:r>
          </w:p>
        </w:tc>
        <w:tc>
          <w:tcPr>
            <w:tcW w:w="1338" w:type="dxa"/>
          </w:tcPr>
          <w:p w14:paraId="0A5CD12D" w14:textId="4E43F905" w:rsidR="003510BF" w:rsidRPr="005270E0" w:rsidRDefault="003510BF" w:rsidP="00D35E63">
            <w:pPr>
              <w:pStyle w:val="Tabletext"/>
              <w:jc w:val="left"/>
              <w:rPr>
                <w:sz w:val="18"/>
                <w:szCs w:val="18"/>
              </w:rPr>
            </w:pPr>
            <w:r w:rsidRPr="005270E0">
              <w:rPr>
                <w:sz w:val="18"/>
                <w:szCs w:val="18"/>
              </w:rPr>
              <w:t>Reflectividad mínima de −32</w:t>
            </w:r>
            <w:r w:rsidR="004400D0">
              <w:rPr>
                <w:sz w:val="18"/>
                <w:szCs w:val="18"/>
              </w:rPr>
              <w:t> </w:t>
            </w:r>
            <w:r w:rsidRPr="005270E0">
              <w:rPr>
                <w:sz w:val="18"/>
                <w:szCs w:val="18"/>
              </w:rPr>
              <w:t>dB</w:t>
            </w:r>
          </w:p>
        </w:tc>
        <w:tc>
          <w:tcPr>
            <w:tcW w:w="1800" w:type="dxa"/>
          </w:tcPr>
          <w:p w14:paraId="25D15409" w14:textId="77777777" w:rsidR="003510BF" w:rsidRPr="005270E0" w:rsidRDefault="003510BF" w:rsidP="00D35E63">
            <w:pPr>
              <w:pStyle w:val="Tabletext"/>
              <w:jc w:val="left"/>
              <w:rPr>
                <w:sz w:val="18"/>
                <w:szCs w:val="18"/>
              </w:rPr>
            </w:pPr>
          </w:p>
        </w:tc>
        <w:tc>
          <w:tcPr>
            <w:tcW w:w="1635" w:type="dxa"/>
          </w:tcPr>
          <w:p w14:paraId="6A91A8F2" w14:textId="77777777" w:rsidR="003510BF" w:rsidRPr="005270E0" w:rsidRDefault="003510BF" w:rsidP="00D35E63">
            <w:pPr>
              <w:pStyle w:val="Tabletext"/>
              <w:jc w:val="left"/>
              <w:rPr>
                <w:sz w:val="18"/>
                <w:szCs w:val="18"/>
              </w:rPr>
            </w:pPr>
            <w:r w:rsidRPr="005270E0">
              <w:rPr>
                <w:sz w:val="18"/>
                <w:szCs w:val="18"/>
              </w:rPr>
              <w:t xml:space="preserve">Reflectividad mínima de </w:t>
            </w:r>
            <w:r w:rsidRPr="005270E0">
              <w:rPr>
                <w:rFonts w:ascii="Arial" w:hAnsi="Arial" w:cs="Arial"/>
                <w:sz w:val="18"/>
                <w:szCs w:val="18"/>
              </w:rPr>
              <w:sym w:font="Symbol" w:char="F02D"/>
            </w:r>
            <w:r w:rsidRPr="005270E0">
              <w:rPr>
                <w:sz w:val="18"/>
                <w:szCs w:val="18"/>
              </w:rPr>
              <w:t>36 dB</w:t>
            </w:r>
          </w:p>
        </w:tc>
        <w:tc>
          <w:tcPr>
            <w:tcW w:w="1605" w:type="dxa"/>
          </w:tcPr>
          <w:p w14:paraId="710B3749" w14:textId="77777777" w:rsidR="003510BF" w:rsidRPr="005270E0" w:rsidRDefault="003510BF" w:rsidP="00D35E63">
            <w:pPr>
              <w:pStyle w:val="Tabletext"/>
              <w:jc w:val="left"/>
              <w:rPr>
                <w:sz w:val="18"/>
                <w:szCs w:val="18"/>
              </w:rPr>
            </w:pPr>
          </w:p>
        </w:tc>
        <w:tc>
          <w:tcPr>
            <w:tcW w:w="1539" w:type="dxa"/>
          </w:tcPr>
          <w:p w14:paraId="5654D086" w14:textId="77777777" w:rsidR="003510BF" w:rsidRPr="005270E0" w:rsidRDefault="003510BF" w:rsidP="00D35E63">
            <w:pPr>
              <w:pStyle w:val="Tabletext"/>
              <w:jc w:val="left"/>
              <w:rPr>
                <w:sz w:val="18"/>
                <w:szCs w:val="18"/>
              </w:rPr>
            </w:pPr>
          </w:p>
        </w:tc>
      </w:tr>
      <w:tr w:rsidR="003510BF" w:rsidRPr="005270E0" w14:paraId="358F1A88" w14:textId="77777777" w:rsidTr="00D35E63">
        <w:trPr>
          <w:jc w:val="center"/>
        </w:trPr>
        <w:tc>
          <w:tcPr>
            <w:tcW w:w="1722" w:type="dxa"/>
          </w:tcPr>
          <w:p w14:paraId="6EB80FD1" w14:textId="77777777" w:rsidR="003510BF" w:rsidRPr="005270E0" w:rsidRDefault="003510BF" w:rsidP="00D35E63">
            <w:pPr>
              <w:pStyle w:val="Tabletext"/>
              <w:ind w:right="-57"/>
              <w:rPr>
                <w:sz w:val="18"/>
                <w:szCs w:val="18"/>
              </w:rPr>
            </w:pPr>
            <w:r w:rsidRPr="005270E0">
              <w:rPr>
                <w:sz w:val="18"/>
                <w:szCs w:val="18"/>
              </w:rPr>
              <w:t>3 100-3 300 MHz</w:t>
            </w:r>
          </w:p>
        </w:tc>
        <w:tc>
          <w:tcPr>
            <w:tcW w:w="1338" w:type="dxa"/>
          </w:tcPr>
          <w:p w14:paraId="2643A49C" w14:textId="77777777" w:rsidR="003510BF" w:rsidRPr="005270E0" w:rsidRDefault="003510BF" w:rsidP="00D35E63">
            <w:pPr>
              <w:pStyle w:val="Tabletext"/>
              <w:jc w:val="left"/>
              <w:rPr>
                <w:sz w:val="18"/>
                <w:szCs w:val="18"/>
              </w:rPr>
            </w:pPr>
          </w:p>
        </w:tc>
        <w:tc>
          <w:tcPr>
            <w:tcW w:w="1800" w:type="dxa"/>
          </w:tcPr>
          <w:p w14:paraId="0C0ECCDE" w14:textId="77777777" w:rsidR="003510BF" w:rsidRPr="005270E0" w:rsidRDefault="003510BF" w:rsidP="00D35E63">
            <w:pPr>
              <w:pStyle w:val="Tabletext"/>
              <w:jc w:val="left"/>
              <w:rPr>
                <w:sz w:val="18"/>
                <w:szCs w:val="18"/>
              </w:rPr>
            </w:pPr>
            <w:r w:rsidRPr="005270E0">
              <w:rPr>
                <w:sz w:val="18"/>
                <w:szCs w:val="18"/>
              </w:rPr>
              <w:t xml:space="preserve">Precisión de nivel del mar </w:t>
            </w:r>
            <w:r w:rsidRPr="005270E0">
              <w:rPr>
                <w:sz w:val="18"/>
                <w:szCs w:val="18"/>
              </w:rPr>
              <w:sym w:font="Symbol" w:char="F0A3"/>
            </w:r>
            <w:r w:rsidRPr="005270E0">
              <w:rPr>
                <w:sz w:val="18"/>
                <w:szCs w:val="18"/>
              </w:rPr>
              <w:t xml:space="preserve"> 3 cm</w:t>
            </w:r>
          </w:p>
        </w:tc>
        <w:tc>
          <w:tcPr>
            <w:tcW w:w="1635" w:type="dxa"/>
          </w:tcPr>
          <w:p w14:paraId="2ED60C1C" w14:textId="77777777" w:rsidR="003510BF" w:rsidRPr="005270E0" w:rsidRDefault="003510BF" w:rsidP="00D35E63">
            <w:pPr>
              <w:pStyle w:val="Tabletext"/>
              <w:jc w:val="left"/>
              <w:rPr>
                <w:sz w:val="18"/>
                <w:szCs w:val="18"/>
              </w:rPr>
            </w:pPr>
            <w:r w:rsidRPr="005270E0">
              <w:rPr>
                <w:sz w:val="18"/>
                <w:szCs w:val="18"/>
              </w:rPr>
              <w:t xml:space="preserve">Reflectividad mínima de </w:t>
            </w:r>
            <w:r w:rsidRPr="005270E0">
              <w:rPr>
                <w:rFonts w:ascii="Arial" w:hAnsi="Arial" w:cs="Arial"/>
                <w:sz w:val="18"/>
                <w:szCs w:val="18"/>
              </w:rPr>
              <w:sym w:font="Symbol" w:char="F02D"/>
            </w:r>
            <w:r w:rsidRPr="005270E0">
              <w:rPr>
                <w:sz w:val="18"/>
                <w:szCs w:val="18"/>
              </w:rPr>
              <w:t>26 dB</w:t>
            </w:r>
          </w:p>
        </w:tc>
        <w:tc>
          <w:tcPr>
            <w:tcW w:w="1605" w:type="dxa"/>
          </w:tcPr>
          <w:p w14:paraId="649B4F22" w14:textId="77777777" w:rsidR="003510BF" w:rsidRPr="005270E0" w:rsidRDefault="003510BF" w:rsidP="00D35E63">
            <w:pPr>
              <w:pStyle w:val="Tabletext"/>
              <w:jc w:val="left"/>
              <w:rPr>
                <w:sz w:val="18"/>
                <w:szCs w:val="18"/>
              </w:rPr>
            </w:pPr>
          </w:p>
        </w:tc>
        <w:tc>
          <w:tcPr>
            <w:tcW w:w="1539" w:type="dxa"/>
          </w:tcPr>
          <w:p w14:paraId="3537B7B3" w14:textId="77777777" w:rsidR="003510BF" w:rsidRPr="005270E0" w:rsidRDefault="003510BF" w:rsidP="00D35E63">
            <w:pPr>
              <w:pStyle w:val="Tabletext"/>
              <w:jc w:val="left"/>
              <w:rPr>
                <w:sz w:val="18"/>
                <w:szCs w:val="18"/>
              </w:rPr>
            </w:pPr>
          </w:p>
        </w:tc>
      </w:tr>
      <w:tr w:rsidR="003510BF" w:rsidRPr="005270E0" w14:paraId="3EAE58B6" w14:textId="77777777" w:rsidTr="00D35E63">
        <w:trPr>
          <w:jc w:val="center"/>
        </w:trPr>
        <w:tc>
          <w:tcPr>
            <w:tcW w:w="1722" w:type="dxa"/>
          </w:tcPr>
          <w:p w14:paraId="4DF99857" w14:textId="77777777" w:rsidR="003510BF" w:rsidRPr="005270E0" w:rsidRDefault="003510BF" w:rsidP="00D35E63">
            <w:pPr>
              <w:pStyle w:val="Tabletext"/>
              <w:ind w:right="-57"/>
              <w:rPr>
                <w:sz w:val="18"/>
                <w:szCs w:val="18"/>
              </w:rPr>
            </w:pPr>
            <w:r w:rsidRPr="005270E0">
              <w:rPr>
                <w:sz w:val="18"/>
                <w:szCs w:val="18"/>
              </w:rPr>
              <w:t>5 250-5 570 MHz</w:t>
            </w:r>
          </w:p>
        </w:tc>
        <w:tc>
          <w:tcPr>
            <w:tcW w:w="1338" w:type="dxa"/>
          </w:tcPr>
          <w:p w14:paraId="7B561FA3" w14:textId="77777777" w:rsidR="003510BF" w:rsidRPr="005270E0" w:rsidRDefault="003510BF" w:rsidP="00D35E63">
            <w:pPr>
              <w:pStyle w:val="Tabletext"/>
              <w:jc w:val="left"/>
              <w:rPr>
                <w:sz w:val="18"/>
                <w:szCs w:val="18"/>
              </w:rPr>
            </w:pPr>
            <w:r w:rsidRPr="005270E0">
              <w:rPr>
                <w:sz w:val="18"/>
                <w:szCs w:val="18"/>
              </w:rPr>
              <w:t xml:space="preserve">Velocidad del viento </w:t>
            </w:r>
            <w:r w:rsidRPr="005270E0">
              <w:rPr>
                <w:sz w:val="18"/>
                <w:szCs w:val="18"/>
              </w:rPr>
              <w:sym w:font="Symbol" w:char="F0B3"/>
            </w:r>
            <w:r w:rsidRPr="005270E0">
              <w:rPr>
                <w:sz w:val="18"/>
                <w:szCs w:val="18"/>
              </w:rPr>
              <w:t xml:space="preserve"> 2 m/s</w:t>
            </w:r>
          </w:p>
        </w:tc>
        <w:tc>
          <w:tcPr>
            <w:tcW w:w="1800" w:type="dxa"/>
          </w:tcPr>
          <w:p w14:paraId="3208AED8" w14:textId="77777777" w:rsidR="003510BF" w:rsidRPr="005270E0" w:rsidRDefault="003510BF" w:rsidP="00D35E63">
            <w:pPr>
              <w:pStyle w:val="Tabletext"/>
              <w:jc w:val="left"/>
              <w:rPr>
                <w:sz w:val="18"/>
                <w:szCs w:val="18"/>
              </w:rPr>
            </w:pPr>
            <w:r w:rsidRPr="005270E0">
              <w:rPr>
                <w:sz w:val="18"/>
                <w:szCs w:val="18"/>
              </w:rPr>
              <w:t xml:space="preserve">Precisión de nivel del mar </w:t>
            </w:r>
            <w:r w:rsidRPr="005270E0">
              <w:rPr>
                <w:sz w:val="18"/>
                <w:szCs w:val="18"/>
              </w:rPr>
              <w:sym w:font="Symbol" w:char="F0A3"/>
            </w:r>
            <w:r w:rsidRPr="005270E0">
              <w:rPr>
                <w:sz w:val="18"/>
                <w:szCs w:val="18"/>
              </w:rPr>
              <w:t xml:space="preserve"> 2 cm</w:t>
            </w:r>
          </w:p>
        </w:tc>
        <w:tc>
          <w:tcPr>
            <w:tcW w:w="1635" w:type="dxa"/>
          </w:tcPr>
          <w:p w14:paraId="12286D69" w14:textId="77777777" w:rsidR="003510BF" w:rsidRPr="005270E0" w:rsidRDefault="003510BF" w:rsidP="00D35E63">
            <w:pPr>
              <w:pStyle w:val="Tabletext"/>
              <w:jc w:val="left"/>
              <w:rPr>
                <w:sz w:val="18"/>
                <w:szCs w:val="18"/>
              </w:rPr>
            </w:pPr>
            <w:r w:rsidRPr="005270E0">
              <w:rPr>
                <w:sz w:val="18"/>
                <w:szCs w:val="18"/>
              </w:rPr>
              <w:t xml:space="preserve">Reflectividad mínima de </w:t>
            </w:r>
            <w:r w:rsidRPr="005270E0">
              <w:rPr>
                <w:rFonts w:ascii="Arial" w:hAnsi="Arial" w:cs="Arial"/>
                <w:sz w:val="18"/>
                <w:szCs w:val="18"/>
              </w:rPr>
              <w:sym w:font="Symbol" w:char="F02D"/>
            </w:r>
            <w:r w:rsidRPr="005270E0">
              <w:rPr>
                <w:sz w:val="18"/>
                <w:szCs w:val="18"/>
              </w:rPr>
              <w:t xml:space="preserve">30 dB sobre tierra y de </w:t>
            </w:r>
            <w:r w:rsidRPr="005270E0">
              <w:rPr>
                <w:rFonts w:ascii="Arial" w:hAnsi="Arial" w:cs="Arial"/>
                <w:sz w:val="18"/>
                <w:szCs w:val="18"/>
              </w:rPr>
              <w:sym w:font="Symbol" w:char="F02D"/>
            </w:r>
            <w:r w:rsidRPr="005270E0">
              <w:rPr>
                <w:sz w:val="18"/>
                <w:szCs w:val="18"/>
              </w:rPr>
              <w:t>33 dB sobre el océano</w:t>
            </w:r>
          </w:p>
        </w:tc>
        <w:tc>
          <w:tcPr>
            <w:tcW w:w="1605" w:type="dxa"/>
          </w:tcPr>
          <w:p w14:paraId="33FA1FED" w14:textId="77777777" w:rsidR="003510BF" w:rsidRPr="005270E0" w:rsidRDefault="003510BF" w:rsidP="00D35E63">
            <w:pPr>
              <w:pStyle w:val="Tabletext"/>
              <w:jc w:val="left"/>
              <w:rPr>
                <w:sz w:val="18"/>
                <w:szCs w:val="18"/>
              </w:rPr>
            </w:pPr>
          </w:p>
        </w:tc>
        <w:tc>
          <w:tcPr>
            <w:tcW w:w="1539" w:type="dxa"/>
          </w:tcPr>
          <w:p w14:paraId="1DA78537" w14:textId="77777777" w:rsidR="003510BF" w:rsidRPr="005270E0" w:rsidRDefault="003510BF" w:rsidP="00D35E63">
            <w:pPr>
              <w:pStyle w:val="Tabletext"/>
              <w:jc w:val="left"/>
              <w:rPr>
                <w:sz w:val="18"/>
                <w:szCs w:val="18"/>
              </w:rPr>
            </w:pPr>
          </w:p>
        </w:tc>
      </w:tr>
      <w:tr w:rsidR="003510BF" w:rsidRPr="005270E0" w14:paraId="0FDE569A" w14:textId="77777777" w:rsidTr="00D35E63">
        <w:trPr>
          <w:jc w:val="center"/>
        </w:trPr>
        <w:tc>
          <w:tcPr>
            <w:tcW w:w="1722" w:type="dxa"/>
          </w:tcPr>
          <w:p w14:paraId="418E0DC4" w14:textId="429F74C0" w:rsidR="003510BF" w:rsidRPr="005270E0" w:rsidRDefault="003510BF" w:rsidP="00D35E63">
            <w:pPr>
              <w:pStyle w:val="Tabletext"/>
              <w:ind w:right="-57"/>
              <w:rPr>
                <w:sz w:val="18"/>
                <w:szCs w:val="18"/>
              </w:rPr>
            </w:pPr>
            <w:r w:rsidRPr="005270E0">
              <w:rPr>
                <w:sz w:val="18"/>
                <w:szCs w:val="18"/>
              </w:rPr>
              <w:t>8</w:t>
            </w:r>
            <w:r w:rsidR="00F605D3">
              <w:rPr>
                <w:sz w:val="18"/>
                <w:szCs w:val="18"/>
              </w:rPr>
              <w:t> </w:t>
            </w:r>
            <w:r w:rsidRPr="005270E0">
              <w:rPr>
                <w:sz w:val="18"/>
                <w:szCs w:val="18"/>
              </w:rPr>
              <w:t>550-8</w:t>
            </w:r>
            <w:r w:rsidR="00F605D3">
              <w:rPr>
                <w:sz w:val="18"/>
                <w:szCs w:val="18"/>
              </w:rPr>
              <w:t> </w:t>
            </w:r>
            <w:r w:rsidRPr="005270E0">
              <w:rPr>
                <w:sz w:val="18"/>
                <w:szCs w:val="18"/>
              </w:rPr>
              <w:t>650 MHz</w:t>
            </w:r>
          </w:p>
        </w:tc>
        <w:tc>
          <w:tcPr>
            <w:tcW w:w="1338" w:type="dxa"/>
          </w:tcPr>
          <w:p w14:paraId="01B2F545" w14:textId="77777777" w:rsidR="003510BF" w:rsidRPr="005270E0" w:rsidRDefault="003510BF" w:rsidP="00D35E63">
            <w:pPr>
              <w:pStyle w:val="Tabletext"/>
              <w:jc w:val="left"/>
              <w:rPr>
                <w:sz w:val="18"/>
                <w:szCs w:val="18"/>
              </w:rPr>
            </w:pPr>
            <w:r w:rsidRPr="005270E0">
              <w:rPr>
                <w:sz w:val="18"/>
                <w:szCs w:val="18"/>
              </w:rPr>
              <w:t xml:space="preserve">Velocidad del viento </w:t>
            </w:r>
            <w:r w:rsidRPr="005270E0">
              <w:rPr>
                <w:sz w:val="18"/>
                <w:szCs w:val="18"/>
              </w:rPr>
              <w:sym w:font="Symbol" w:char="F0B3"/>
            </w:r>
            <w:r w:rsidRPr="005270E0">
              <w:rPr>
                <w:sz w:val="18"/>
                <w:szCs w:val="18"/>
              </w:rPr>
              <w:t xml:space="preserve"> 3 m/s</w:t>
            </w:r>
          </w:p>
        </w:tc>
        <w:tc>
          <w:tcPr>
            <w:tcW w:w="1800" w:type="dxa"/>
          </w:tcPr>
          <w:p w14:paraId="4977FC1B" w14:textId="77777777" w:rsidR="003510BF" w:rsidRPr="005270E0" w:rsidRDefault="003510BF" w:rsidP="00D35E63">
            <w:pPr>
              <w:pStyle w:val="Tabletext"/>
              <w:jc w:val="left"/>
              <w:rPr>
                <w:sz w:val="18"/>
                <w:szCs w:val="18"/>
              </w:rPr>
            </w:pPr>
            <w:r w:rsidRPr="005270E0">
              <w:rPr>
                <w:sz w:val="18"/>
                <w:szCs w:val="18"/>
              </w:rPr>
              <w:t xml:space="preserve">Precisión de nivel del mar </w:t>
            </w:r>
            <w:r w:rsidRPr="005270E0">
              <w:rPr>
                <w:sz w:val="18"/>
                <w:szCs w:val="18"/>
              </w:rPr>
              <w:sym w:font="Symbol" w:char="F0A3"/>
            </w:r>
            <w:r w:rsidRPr="005270E0">
              <w:rPr>
                <w:sz w:val="18"/>
                <w:szCs w:val="18"/>
              </w:rPr>
              <w:t xml:space="preserve"> 3 cm</w:t>
            </w:r>
          </w:p>
        </w:tc>
        <w:tc>
          <w:tcPr>
            <w:tcW w:w="1635" w:type="dxa"/>
          </w:tcPr>
          <w:p w14:paraId="1B0F7FD0" w14:textId="77777777" w:rsidR="003510BF" w:rsidRPr="005270E0" w:rsidRDefault="003510BF" w:rsidP="00D35E63">
            <w:pPr>
              <w:pStyle w:val="Tabletext"/>
              <w:jc w:val="left"/>
              <w:rPr>
                <w:sz w:val="18"/>
                <w:szCs w:val="18"/>
              </w:rPr>
            </w:pPr>
            <w:r w:rsidRPr="005270E0">
              <w:rPr>
                <w:sz w:val="18"/>
                <w:szCs w:val="18"/>
              </w:rPr>
              <w:t xml:space="preserve">Reflectividad mínima de </w:t>
            </w:r>
            <w:r w:rsidRPr="005270E0">
              <w:rPr>
                <w:rFonts w:ascii="Arial" w:hAnsi="Arial" w:cs="Arial"/>
                <w:sz w:val="18"/>
                <w:szCs w:val="18"/>
              </w:rPr>
              <w:sym w:font="Symbol" w:char="F02D"/>
            </w:r>
            <w:r w:rsidRPr="005270E0">
              <w:rPr>
                <w:sz w:val="18"/>
                <w:szCs w:val="18"/>
              </w:rPr>
              <w:t>21 dB</w:t>
            </w:r>
          </w:p>
        </w:tc>
        <w:tc>
          <w:tcPr>
            <w:tcW w:w="1605" w:type="dxa"/>
          </w:tcPr>
          <w:p w14:paraId="3CA71D8A" w14:textId="77777777" w:rsidR="003510BF" w:rsidRPr="005270E0" w:rsidRDefault="003510BF" w:rsidP="00D35E63">
            <w:pPr>
              <w:pStyle w:val="Tabletext"/>
              <w:jc w:val="left"/>
              <w:rPr>
                <w:sz w:val="18"/>
                <w:szCs w:val="18"/>
              </w:rPr>
            </w:pPr>
          </w:p>
        </w:tc>
        <w:tc>
          <w:tcPr>
            <w:tcW w:w="1539" w:type="dxa"/>
          </w:tcPr>
          <w:p w14:paraId="7224FBD7" w14:textId="77777777" w:rsidR="003510BF" w:rsidRPr="005270E0" w:rsidRDefault="003510BF" w:rsidP="00D35E63">
            <w:pPr>
              <w:pStyle w:val="Tabletext"/>
              <w:jc w:val="left"/>
              <w:rPr>
                <w:sz w:val="18"/>
                <w:szCs w:val="18"/>
              </w:rPr>
            </w:pPr>
          </w:p>
        </w:tc>
      </w:tr>
      <w:tr w:rsidR="003510BF" w:rsidRPr="005270E0" w14:paraId="34E86609" w14:textId="77777777" w:rsidTr="00D35E63">
        <w:trPr>
          <w:jc w:val="center"/>
        </w:trPr>
        <w:tc>
          <w:tcPr>
            <w:tcW w:w="1722" w:type="dxa"/>
          </w:tcPr>
          <w:p w14:paraId="5FAD1036" w14:textId="102F760B" w:rsidR="003510BF" w:rsidRPr="005270E0" w:rsidRDefault="003510BF" w:rsidP="00D35E63">
            <w:pPr>
              <w:pStyle w:val="Tabletext"/>
              <w:ind w:left="252" w:right="-57" w:hanging="252"/>
              <w:rPr>
                <w:sz w:val="18"/>
                <w:szCs w:val="18"/>
              </w:rPr>
            </w:pPr>
            <w:r w:rsidRPr="005270E0">
              <w:rPr>
                <w:sz w:val="18"/>
                <w:szCs w:val="18"/>
              </w:rPr>
              <w:t>9</w:t>
            </w:r>
            <w:r w:rsidR="00F605D3">
              <w:rPr>
                <w:sz w:val="18"/>
                <w:szCs w:val="18"/>
              </w:rPr>
              <w:t> </w:t>
            </w:r>
            <w:r w:rsidRPr="005270E0">
              <w:rPr>
                <w:sz w:val="18"/>
                <w:szCs w:val="18"/>
              </w:rPr>
              <w:t>200-10</w:t>
            </w:r>
            <w:r w:rsidR="00F605D3">
              <w:rPr>
                <w:sz w:val="18"/>
                <w:szCs w:val="18"/>
              </w:rPr>
              <w:t> </w:t>
            </w:r>
            <w:r w:rsidRPr="005270E0">
              <w:rPr>
                <w:sz w:val="18"/>
                <w:szCs w:val="18"/>
              </w:rPr>
              <w:t>400 MHz</w:t>
            </w:r>
          </w:p>
        </w:tc>
        <w:tc>
          <w:tcPr>
            <w:tcW w:w="1338" w:type="dxa"/>
          </w:tcPr>
          <w:p w14:paraId="0D53BF49" w14:textId="77777777" w:rsidR="003510BF" w:rsidRPr="005270E0" w:rsidRDefault="003510BF" w:rsidP="00D35E63">
            <w:pPr>
              <w:pStyle w:val="Tabletext"/>
              <w:jc w:val="left"/>
              <w:rPr>
                <w:sz w:val="18"/>
                <w:szCs w:val="18"/>
              </w:rPr>
            </w:pPr>
            <w:r w:rsidRPr="005270E0">
              <w:rPr>
                <w:sz w:val="18"/>
                <w:szCs w:val="18"/>
              </w:rPr>
              <w:t xml:space="preserve">Velocidad del viento </w:t>
            </w:r>
            <w:r w:rsidRPr="005270E0">
              <w:rPr>
                <w:sz w:val="18"/>
                <w:szCs w:val="18"/>
              </w:rPr>
              <w:sym w:font="Symbol" w:char="F0B3"/>
            </w:r>
            <w:r w:rsidRPr="005270E0">
              <w:rPr>
                <w:sz w:val="18"/>
                <w:szCs w:val="18"/>
              </w:rPr>
              <w:t xml:space="preserve"> 3 m/s</w:t>
            </w:r>
          </w:p>
        </w:tc>
        <w:tc>
          <w:tcPr>
            <w:tcW w:w="1800" w:type="dxa"/>
          </w:tcPr>
          <w:p w14:paraId="60DE1AED" w14:textId="77777777" w:rsidR="003510BF" w:rsidRPr="005270E0" w:rsidRDefault="003510BF" w:rsidP="00D35E63">
            <w:pPr>
              <w:pStyle w:val="Tabletext"/>
              <w:jc w:val="left"/>
              <w:rPr>
                <w:sz w:val="18"/>
                <w:szCs w:val="18"/>
              </w:rPr>
            </w:pPr>
            <w:r w:rsidRPr="005270E0">
              <w:rPr>
                <w:sz w:val="18"/>
                <w:szCs w:val="18"/>
              </w:rPr>
              <w:t xml:space="preserve">Precisión de nivel del mar </w:t>
            </w:r>
            <w:r w:rsidRPr="005270E0">
              <w:rPr>
                <w:sz w:val="18"/>
                <w:szCs w:val="18"/>
              </w:rPr>
              <w:sym w:font="Symbol" w:char="F0A3"/>
            </w:r>
            <w:r w:rsidRPr="005270E0">
              <w:rPr>
                <w:sz w:val="18"/>
                <w:szCs w:val="18"/>
              </w:rPr>
              <w:t xml:space="preserve"> 3 cm</w:t>
            </w:r>
          </w:p>
        </w:tc>
        <w:tc>
          <w:tcPr>
            <w:tcW w:w="1635" w:type="dxa"/>
          </w:tcPr>
          <w:p w14:paraId="43BBD3E8" w14:textId="77777777" w:rsidR="003510BF" w:rsidRPr="005270E0" w:rsidRDefault="003510BF" w:rsidP="00D35E63">
            <w:pPr>
              <w:pStyle w:val="Tabletext"/>
              <w:jc w:val="left"/>
              <w:rPr>
                <w:sz w:val="18"/>
                <w:szCs w:val="18"/>
              </w:rPr>
            </w:pPr>
            <w:r w:rsidRPr="005270E0">
              <w:rPr>
                <w:sz w:val="18"/>
                <w:szCs w:val="18"/>
              </w:rPr>
              <w:t xml:space="preserve">Reflectividad mínima de </w:t>
            </w:r>
            <w:r w:rsidRPr="005270E0">
              <w:rPr>
                <w:rFonts w:ascii="Arial" w:hAnsi="Arial" w:cs="Arial"/>
                <w:sz w:val="18"/>
                <w:szCs w:val="18"/>
              </w:rPr>
              <w:sym w:font="Symbol" w:char="F02D"/>
            </w:r>
            <w:r w:rsidRPr="005270E0">
              <w:rPr>
                <w:sz w:val="18"/>
                <w:szCs w:val="18"/>
              </w:rPr>
              <w:t>18 dB</w:t>
            </w:r>
          </w:p>
        </w:tc>
        <w:tc>
          <w:tcPr>
            <w:tcW w:w="1605" w:type="dxa"/>
          </w:tcPr>
          <w:p w14:paraId="17BD5502" w14:textId="77777777" w:rsidR="003510BF" w:rsidRPr="005270E0" w:rsidRDefault="003510BF" w:rsidP="00D35E63">
            <w:pPr>
              <w:pStyle w:val="Tabletext"/>
              <w:jc w:val="left"/>
              <w:rPr>
                <w:sz w:val="18"/>
                <w:szCs w:val="18"/>
              </w:rPr>
            </w:pPr>
          </w:p>
        </w:tc>
        <w:tc>
          <w:tcPr>
            <w:tcW w:w="1539" w:type="dxa"/>
          </w:tcPr>
          <w:p w14:paraId="5572EC84" w14:textId="77777777" w:rsidR="003510BF" w:rsidRPr="005270E0" w:rsidRDefault="003510BF" w:rsidP="00D35E63">
            <w:pPr>
              <w:pStyle w:val="Tabletext"/>
              <w:jc w:val="left"/>
              <w:rPr>
                <w:sz w:val="18"/>
                <w:szCs w:val="18"/>
              </w:rPr>
            </w:pPr>
          </w:p>
        </w:tc>
      </w:tr>
      <w:tr w:rsidR="003510BF" w:rsidRPr="005270E0" w14:paraId="0F2DD19A" w14:textId="77777777" w:rsidTr="00D35E63">
        <w:trPr>
          <w:jc w:val="center"/>
        </w:trPr>
        <w:tc>
          <w:tcPr>
            <w:tcW w:w="1722" w:type="dxa"/>
          </w:tcPr>
          <w:p w14:paraId="529F3831" w14:textId="77777777" w:rsidR="003510BF" w:rsidRPr="005270E0" w:rsidRDefault="003510BF" w:rsidP="00D35E63">
            <w:pPr>
              <w:pStyle w:val="Tabletext"/>
              <w:rPr>
                <w:sz w:val="18"/>
                <w:szCs w:val="18"/>
              </w:rPr>
            </w:pPr>
            <w:r w:rsidRPr="005270E0">
              <w:rPr>
                <w:sz w:val="18"/>
                <w:szCs w:val="18"/>
              </w:rPr>
              <w:t>13,25-13,75 GHz</w:t>
            </w:r>
          </w:p>
        </w:tc>
        <w:tc>
          <w:tcPr>
            <w:tcW w:w="1338" w:type="dxa"/>
          </w:tcPr>
          <w:p w14:paraId="413B903C" w14:textId="77777777" w:rsidR="003510BF" w:rsidRPr="005270E0" w:rsidRDefault="003510BF" w:rsidP="00D35E63">
            <w:pPr>
              <w:pStyle w:val="Tabletext"/>
              <w:jc w:val="left"/>
              <w:rPr>
                <w:sz w:val="18"/>
                <w:szCs w:val="18"/>
              </w:rPr>
            </w:pPr>
            <w:r w:rsidRPr="005270E0">
              <w:rPr>
                <w:sz w:val="18"/>
                <w:szCs w:val="18"/>
              </w:rPr>
              <w:t xml:space="preserve">Velocidad del viento </w:t>
            </w:r>
            <w:r w:rsidRPr="005270E0">
              <w:rPr>
                <w:sz w:val="18"/>
                <w:szCs w:val="18"/>
              </w:rPr>
              <w:sym w:font="Symbol" w:char="F0B3"/>
            </w:r>
            <w:r w:rsidRPr="005270E0">
              <w:rPr>
                <w:sz w:val="18"/>
                <w:szCs w:val="18"/>
              </w:rPr>
              <w:t xml:space="preserve"> 3 m/s</w:t>
            </w:r>
          </w:p>
        </w:tc>
        <w:tc>
          <w:tcPr>
            <w:tcW w:w="1800" w:type="dxa"/>
          </w:tcPr>
          <w:p w14:paraId="25191EDF" w14:textId="77777777" w:rsidR="003510BF" w:rsidRPr="005270E0" w:rsidRDefault="003510BF" w:rsidP="00D35E63">
            <w:pPr>
              <w:pStyle w:val="Tabletext"/>
              <w:jc w:val="left"/>
              <w:rPr>
                <w:sz w:val="18"/>
                <w:szCs w:val="18"/>
              </w:rPr>
            </w:pPr>
            <w:r w:rsidRPr="005270E0">
              <w:rPr>
                <w:sz w:val="18"/>
                <w:szCs w:val="18"/>
              </w:rPr>
              <w:t xml:space="preserve">Precisión de nivel del mar </w:t>
            </w:r>
            <w:r w:rsidRPr="005270E0">
              <w:rPr>
                <w:sz w:val="18"/>
                <w:szCs w:val="18"/>
              </w:rPr>
              <w:sym w:font="Symbol" w:char="F0A3"/>
            </w:r>
            <w:r w:rsidRPr="005270E0">
              <w:rPr>
                <w:sz w:val="18"/>
                <w:szCs w:val="18"/>
              </w:rPr>
              <w:t xml:space="preserve"> 2 cm</w:t>
            </w:r>
          </w:p>
        </w:tc>
        <w:tc>
          <w:tcPr>
            <w:tcW w:w="1635" w:type="dxa"/>
          </w:tcPr>
          <w:p w14:paraId="4FC21904" w14:textId="77777777" w:rsidR="003510BF" w:rsidRPr="005270E0" w:rsidRDefault="003510BF" w:rsidP="00D35E63">
            <w:pPr>
              <w:pStyle w:val="Tabletext"/>
              <w:jc w:val="left"/>
              <w:rPr>
                <w:sz w:val="18"/>
                <w:szCs w:val="18"/>
              </w:rPr>
            </w:pPr>
            <w:r w:rsidRPr="005270E0">
              <w:rPr>
                <w:sz w:val="18"/>
                <w:szCs w:val="18"/>
              </w:rPr>
              <w:t xml:space="preserve">Reflectividad mínima </w:t>
            </w:r>
            <w:r w:rsidRPr="004400D0">
              <w:rPr>
                <w:sz w:val="18"/>
                <w:szCs w:val="18"/>
              </w:rPr>
              <w:t xml:space="preserve">de </w:t>
            </w:r>
            <w:r w:rsidRPr="004400D0">
              <w:rPr>
                <w:sz w:val="18"/>
                <w:szCs w:val="18"/>
              </w:rPr>
              <w:sym w:font="Symbol" w:char="F02D"/>
            </w:r>
            <w:r w:rsidRPr="004400D0">
              <w:rPr>
                <w:sz w:val="18"/>
                <w:szCs w:val="18"/>
              </w:rPr>
              <w:t>27</w:t>
            </w:r>
            <w:r w:rsidRPr="005270E0">
              <w:rPr>
                <w:sz w:val="18"/>
                <w:szCs w:val="18"/>
              </w:rPr>
              <w:t> dB</w:t>
            </w:r>
          </w:p>
        </w:tc>
        <w:tc>
          <w:tcPr>
            <w:tcW w:w="1605" w:type="dxa"/>
          </w:tcPr>
          <w:p w14:paraId="64469DA5" w14:textId="77777777" w:rsidR="003510BF" w:rsidRPr="005270E0" w:rsidRDefault="003510BF" w:rsidP="00D35E63">
            <w:pPr>
              <w:pStyle w:val="Tabletext"/>
              <w:jc w:val="left"/>
              <w:rPr>
                <w:sz w:val="18"/>
                <w:szCs w:val="18"/>
              </w:rPr>
            </w:pPr>
            <w:r w:rsidRPr="005270E0">
              <w:rPr>
                <w:sz w:val="18"/>
                <w:szCs w:val="18"/>
              </w:rPr>
              <w:t>Índices mínimos de pluviosidad de 0,7</w:t>
            </w:r>
            <w:r w:rsidRPr="005270E0">
              <w:rPr>
                <w:sz w:val="18"/>
                <w:szCs w:val="18"/>
              </w:rPr>
              <w:noBreakHyphen/>
              <w:t>0,75 mm/h</w:t>
            </w:r>
          </w:p>
        </w:tc>
        <w:tc>
          <w:tcPr>
            <w:tcW w:w="1539" w:type="dxa"/>
          </w:tcPr>
          <w:p w14:paraId="041AB210" w14:textId="77777777" w:rsidR="003510BF" w:rsidRPr="005270E0" w:rsidRDefault="003510BF" w:rsidP="00D35E63">
            <w:pPr>
              <w:pStyle w:val="Tabletext"/>
              <w:jc w:val="left"/>
              <w:rPr>
                <w:sz w:val="18"/>
                <w:szCs w:val="18"/>
              </w:rPr>
            </w:pPr>
          </w:p>
        </w:tc>
      </w:tr>
      <w:tr w:rsidR="003510BF" w:rsidRPr="005270E0" w14:paraId="3AF35CFE" w14:textId="77777777" w:rsidTr="00D35E63">
        <w:trPr>
          <w:jc w:val="center"/>
        </w:trPr>
        <w:tc>
          <w:tcPr>
            <w:tcW w:w="1722" w:type="dxa"/>
          </w:tcPr>
          <w:p w14:paraId="6BCEC6DA" w14:textId="77777777" w:rsidR="003510BF" w:rsidRPr="005270E0" w:rsidRDefault="003510BF" w:rsidP="00D35E63">
            <w:pPr>
              <w:pStyle w:val="Tabletext"/>
              <w:rPr>
                <w:sz w:val="18"/>
                <w:szCs w:val="18"/>
              </w:rPr>
            </w:pPr>
            <w:r w:rsidRPr="005270E0">
              <w:rPr>
                <w:sz w:val="18"/>
                <w:szCs w:val="18"/>
              </w:rPr>
              <w:t>17,2-17,3 GHz</w:t>
            </w:r>
          </w:p>
        </w:tc>
        <w:tc>
          <w:tcPr>
            <w:tcW w:w="1338" w:type="dxa"/>
          </w:tcPr>
          <w:p w14:paraId="76AF8517" w14:textId="77777777" w:rsidR="003510BF" w:rsidRPr="005270E0" w:rsidRDefault="003510BF" w:rsidP="00D35E63">
            <w:pPr>
              <w:pStyle w:val="Tabletext"/>
              <w:jc w:val="left"/>
              <w:rPr>
                <w:sz w:val="18"/>
                <w:szCs w:val="18"/>
              </w:rPr>
            </w:pPr>
            <w:r w:rsidRPr="005270E0">
              <w:rPr>
                <w:sz w:val="18"/>
                <w:szCs w:val="18"/>
              </w:rPr>
              <w:t xml:space="preserve">Velocidad del viento </w:t>
            </w:r>
            <w:r w:rsidRPr="005270E0">
              <w:rPr>
                <w:sz w:val="18"/>
                <w:szCs w:val="18"/>
              </w:rPr>
              <w:sym w:font="Symbol" w:char="F0B3"/>
            </w:r>
            <w:r w:rsidRPr="005270E0">
              <w:rPr>
                <w:sz w:val="18"/>
                <w:szCs w:val="18"/>
              </w:rPr>
              <w:t xml:space="preserve"> 3 m/s</w:t>
            </w:r>
          </w:p>
        </w:tc>
        <w:tc>
          <w:tcPr>
            <w:tcW w:w="1800" w:type="dxa"/>
          </w:tcPr>
          <w:p w14:paraId="4691B2C6" w14:textId="77777777" w:rsidR="003510BF" w:rsidRPr="005270E0" w:rsidRDefault="003510BF" w:rsidP="00D35E63">
            <w:pPr>
              <w:pStyle w:val="Tabletext"/>
              <w:jc w:val="left"/>
              <w:rPr>
                <w:sz w:val="18"/>
                <w:szCs w:val="18"/>
              </w:rPr>
            </w:pPr>
          </w:p>
        </w:tc>
        <w:tc>
          <w:tcPr>
            <w:tcW w:w="1635" w:type="dxa"/>
          </w:tcPr>
          <w:p w14:paraId="5E8433AA" w14:textId="77777777" w:rsidR="003510BF" w:rsidRPr="005270E0" w:rsidRDefault="003510BF" w:rsidP="00D35E63">
            <w:pPr>
              <w:pStyle w:val="Tabletext"/>
              <w:jc w:val="left"/>
              <w:rPr>
                <w:sz w:val="18"/>
                <w:szCs w:val="18"/>
              </w:rPr>
            </w:pPr>
            <w:r w:rsidRPr="005270E0">
              <w:rPr>
                <w:sz w:val="18"/>
                <w:szCs w:val="18"/>
              </w:rPr>
              <w:t xml:space="preserve">Reflectividad </w:t>
            </w:r>
            <w:r w:rsidRPr="004400D0">
              <w:rPr>
                <w:sz w:val="18"/>
                <w:szCs w:val="18"/>
              </w:rPr>
              <w:t xml:space="preserve">mínima de </w:t>
            </w:r>
            <w:r w:rsidRPr="004400D0">
              <w:rPr>
                <w:sz w:val="18"/>
                <w:szCs w:val="18"/>
              </w:rPr>
              <w:sym w:font="Symbol" w:char="F02D"/>
            </w:r>
            <w:r w:rsidRPr="004400D0">
              <w:rPr>
                <w:sz w:val="18"/>
                <w:szCs w:val="18"/>
              </w:rPr>
              <w:t>25</w:t>
            </w:r>
            <w:r w:rsidRPr="005270E0">
              <w:rPr>
                <w:sz w:val="18"/>
                <w:szCs w:val="18"/>
              </w:rPr>
              <w:t> dB</w:t>
            </w:r>
          </w:p>
        </w:tc>
        <w:tc>
          <w:tcPr>
            <w:tcW w:w="1605" w:type="dxa"/>
          </w:tcPr>
          <w:p w14:paraId="10BEE384" w14:textId="77777777" w:rsidR="003510BF" w:rsidRPr="005270E0" w:rsidRDefault="003510BF" w:rsidP="00D35E63">
            <w:pPr>
              <w:pStyle w:val="Tabletext"/>
              <w:jc w:val="left"/>
              <w:rPr>
                <w:sz w:val="18"/>
                <w:szCs w:val="18"/>
              </w:rPr>
            </w:pPr>
            <w:r w:rsidRPr="005270E0">
              <w:rPr>
                <w:sz w:val="18"/>
                <w:szCs w:val="18"/>
              </w:rPr>
              <w:t>Índices mínimos de pluviosidad de 0,7</w:t>
            </w:r>
            <w:r w:rsidRPr="005270E0">
              <w:rPr>
                <w:sz w:val="18"/>
                <w:szCs w:val="18"/>
              </w:rPr>
              <w:noBreakHyphen/>
              <w:t>0,75 mm/h</w:t>
            </w:r>
          </w:p>
        </w:tc>
        <w:tc>
          <w:tcPr>
            <w:tcW w:w="1539" w:type="dxa"/>
          </w:tcPr>
          <w:p w14:paraId="062B01DE" w14:textId="77777777" w:rsidR="003510BF" w:rsidRPr="005270E0" w:rsidRDefault="003510BF" w:rsidP="00D35E63">
            <w:pPr>
              <w:pStyle w:val="Tabletext"/>
              <w:jc w:val="left"/>
              <w:rPr>
                <w:sz w:val="18"/>
                <w:szCs w:val="18"/>
              </w:rPr>
            </w:pPr>
          </w:p>
        </w:tc>
      </w:tr>
      <w:tr w:rsidR="003510BF" w:rsidRPr="005270E0" w14:paraId="4098F5F5" w14:textId="77777777" w:rsidTr="00D35E63">
        <w:trPr>
          <w:jc w:val="center"/>
        </w:trPr>
        <w:tc>
          <w:tcPr>
            <w:tcW w:w="1722" w:type="dxa"/>
          </w:tcPr>
          <w:p w14:paraId="254350B8" w14:textId="77777777" w:rsidR="003510BF" w:rsidRPr="005270E0" w:rsidRDefault="003510BF" w:rsidP="00D35E63">
            <w:pPr>
              <w:pStyle w:val="Tabletext"/>
              <w:rPr>
                <w:sz w:val="18"/>
                <w:szCs w:val="18"/>
              </w:rPr>
            </w:pPr>
            <w:r w:rsidRPr="005270E0">
              <w:rPr>
                <w:sz w:val="18"/>
                <w:szCs w:val="18"/>
              </w:rPr>
              <w:t>24,05-24,25 GHz</w:t>
            </w:r>
          </w:p>
        </w:tc>
        <w:tc>
          <w:tcPr>
            <w:tcW w:w="1338" w:type="dxa"/>
          </w:tcPr>
          <w:p w14:paraId="227C7185" w14:textId="77777777" w:rsidR="003510BF" w:rsidRPr="005270E0" w:rsidRDefault="003510BF" w:rsidP="00D35E63">
            <w:pPr>
              <w:pStyle w:val="Tabletext"/>
              <w:jc w:val="left"/>
              <w:rPr>
                <w:sz w:val="18"/>
                <w:szCs w:val="18"/>
              </w:rPr>
            </w:pPr>
          </w:p>
        </w:tc>
        <w:tc>
          <w:tcPr>
            <w:tcW w:w="1800" w:type="dxa"/>
          </w:tcPr>
          <w:p w14:paraId="1B1BCA85" w14:textId="77777777" w:rsidR="003510BF" w:rsidRPr="005270E0" w:rsidRDefault="003510BF" w:rsidP="00D35E63">
            <w:pPr>
              <w:pStyle w:val="Tabletext"/>
              <w:jc w:val="left"/>
              <w:rPr>
                <w:sz w:val="18"/>
                <w:szCs w:val="18"/>
              </w:rPr>
            </w:pPr>
          </w:p>
        </w:tc>
        <w:tc>
          <w:tcPr>
            <w:tcW w:w="1635" w:type="dxa"/>
          </w:tcPr>
          <w:p w14:paraId="14350392" w14:textId="77777777" w:rsidR="003510BF" w:rsidRPr="005270E0" w:rsidRDefault="003510BF" w:rsidP="00D35E63">
            <w:pPr>
              <w:pStyle w:val="Tabletext"/>
              <w:jc w:val="left"/>
              <w:rPr>
                <w:sz w:val="18"/>
                <w:szCs w:val="18"/>
              </w:rPr>
            </w:pPr>
          </w:p>
        </w:tc>
        <w:tc>
          <w:tcPr>
            <w:tcW w:w="1605" w:type="dxa"/>
          </w:tcPr>
          <w:p w14:paraId="50D6B4CE" w14:textId="77777777" w:rsidR="003510BF" w:rsidRPr="005270E0" w:rsidRDefault="003510BF" w:rsidP="00D35E63">
            <w:pPr>
              <w:pStyle w:val="Tabletext"/>
              <w:jc w:val="left"/>
              <w:rPr>
                <w:sz w:val="18"/>
                <w:szCs w:val="18"/>
              </w:rPr>
            </w:pPr>
            <w:r w:rsidRPr="005270E0">
              <w:rPr>
                <w:sz w:val="18"/>
                <w:szCs w:val="18"/>
              </w:rPr>
              <w:t>Índices mínimos de pluviosidad de 0,7</w:t>
            </w:r>
            <w:r w:rsidRPr="005270E0">
              <w:rPr>
                <w:sz w:val="18"/>
                <w:szCs w:val="18"/>
              </w:rPr>
              <w:noBreakHyphen/>
              <w:t>0,75 mm/h</w:t>
            </w:r>
          </w:p>
        </w:tc>
        <w:tc>
          <w:tcPr>
            <w:tcW w:w="1539" w:type="dxa"/>
          </w:tcPr>
          <w:p w14:paraId="57E32896" w14:textId="77777777" w:rsidR="003510BF" w:rsidRPr="005270E0" w:rsidRDefault="003510BF" w:rsidP="00D35E63">
            <w:pPr>
              <w:pStyle w:val="Tabletext"/>
              <w:jc w:val="left"/>
              <w:rPr>
                <w:sz w:val="18"/>
                <w:szCs w:val="18"/>
              </w:rPr>
            </w:pPr>
          </w:p>
        </w:tc>
      </w:tr>
      <w:tr w:rsidR="003510BF" w:rsidRPr="005270E0" w14:paraId="645BF786" w14:textId="77777777" w:rsidTr="00D35E63">
        <w:trPr>
          <w:jc w:val="center"/>
        </w:trPr>
        <w:tc>
          <w:tcPr>
            <w:tcW w:w="1722" w:type="dxa"/>
          </w:tcPr>
          <w:p w14:paraId="47208E52" w14:textId="77777777" w:rsidR="003510BF" w:rsidRPr="005270E0" w:rsidRDefault="003510BF" w:rsidP="00D35E63">
            <w:pPr>
              <w:pStyle w:val="Tabletext"/>
              <w:rPr>
                <w:sz w:val="18"/>
                <w:szCs w:val="18"/>
              </w:rPr>
            </w:pPr>
            <w:r w:rsidRPr="005270E0">
              <w:rPr>
                <w:sz w:val="18"/>
                <w:szCs w:val="18"/>
              </w:rPr>
              <w:t>35,5-36 GHz</w:t>
            </w:r>
          </w:p>
        </w:tc>
        <w:tc>
          <w:tcPr>
            <w:tcW w:w="1338" w:type="dxa"/>
          </w:tcPr>
          <w:p w14:paraId="4700C338" w14:textId="77777777" w:rsidR="003510BF" w:rsidRPr="005270E0" w:rsidRDefault="003510BF" w:rsidP="00D35E63">
            <w:pPr>
              <w:pStyle w:val="Tabletext"/>
              <w:jc w:val="left"/>
              <w:rPr>
                <w:sz w:val="18"/>
                <w:szCs w:val="18"/>
              </w:rPr>
            </w:pPr>
            <w:r w:rsidRPr="005270E0">
              <w:rPr>
                <w:sz w:val="18"/>
                <w:szCs w:val="18"/>
              </w:rPr>
              <w:t xml:space="preserve">Velocidad del viento </w:t>
            </w:r>
            <w:r w:rsidRPr="005270E0">
              <w:rPr>
                <w:sz w:val="18"/>
                <w:szCs w:val="18"/>
              </w:rPr>
              <w:sym w:font="Symbol" w:char="F0B3"/>
            </w:r>
            <w:r w:rsidRPr="005270E0">
              <w:rPr>
                <w:sz w:val="18"/>
                <w:szCs w:val="18"/>
              </w:rPr>
              <w:t xml:space="preserve"> 3 m/s</w:t>
            </w:r>
          </w:p>
        </w:tc>
        <w:tc>
          <w:tcPr>
            <w:tcW w:w="1800" w:type="dxa"/>
          </w:tcPr>
          <w:p w14:paraId="034E169C" w14:textId="7ADF573D" w:rsidR="003510BF" w:rsidRPr="005270E0" w:rsidRDefault="003510BF" w:rsidP="00D35E63">
            <w:pPr>
              <w:pStyle w:val="Tabletext"/>
              <w:jc w:val="left"/>
              <w:rPr>
                <w:sz w:val="18"/>
                <w:szCs w:val="18"/>
              </w:rPr>
            </w:pPr>
            <w:r w:rsidRPr="005270E0">
              <w:rPr>
                <w:sz w:val="18"/>
                <w:szCs w:val="18"/>
              </w:rPr>
              <w:t xml:space="preserve">Precisión de nivel del mar </w:t>
            </w:r>
            <w:r w:rsidRPr="005270E0">
              <w:rPr>
                <w:sz w:val="18"/>
                <w:szCs w:val="18"/>
              </w:rPr>
              <w:sym w:font="Symbol" w:char="F0A3"/>
            </w:r>
            <w:r w:rsidRPr="005270E0">
              <w:rPr>
                <w:sz w:val="18"/>
                <w:szCs w:val="18"/>
              </w:rPr>
              <w:t xml:space="preserve"> </w:t>
            </w:r>
            <w:r w:rsidR="004400D0">
              <w:rPr>
                <w:sz w:val="18"/>
                <w:szCs w:val="18"/>
              </w:rPr>
              <w:t>2</w:t>
            </w:r>
            <w:r w:rsidRPr="005270E0">
              <w:rPr>
                <w:sz w:val="18"/>
                <w:szCs w:val="18"/>
              </w:rPr>
              <w:t xml:space="preserve"> cm</w:t>
            </w:r>
          </w:p>
        </w:tc>
        <w:tc>
          <w:tcPr>
            <w:tcW w:w="1635" w:type="dxa"/>
          </w:tcPr>
          <w:p w14:paraId="65C61B49" w14:textId="77777777" w:rsidR="003510BF" w:rsidRPr="005270E0" w:rsidRDefault="003510BF" w:rsidP="00D35E63">
            <w:pPr>
              <w:pStyle w:val="Tabletext"/>
              <w:jc w:val="left"/>
              <w:rPr>
                <w:sz w:val="18"/>
                <w:szCs w:val="18"/>
              </w:rPr>
            </w:pPr>
            <w:r w:rsidRPr="005270E0">
              <w:rPr>
                <w:sz w:val="18"/>
                <w:szCs w:val="18"/>
              </w:rPr>
              <w:t xml:space="preserve">Reflectividad mínima de </w:t>
            </w:r>
            <w:r w:rsidRPr="004400D0">
              <w:rPr>
                <w:sz w:val="18"/>
                <w:szCs w:val="18"/>
              </w:rPr>
              <w:sym w:font="Symbol" w:char="F02D"/>
            </w:r>
            <w:r w:rsidRPr="004400D0">
              <w:rPr>
                <w:sz w:val="18"/>
                <w:szCs w:val="18"/>
              </w:rPr>
              <w:t>22</w:t>
            </w:r>
            <w:r w:rsidRPr="005270E0">
              <w:rPr>
                <w:sz w:val="18"/>
                <w:szCs w:val="18"/>
              </w:rPr>
              <w:t> dB</w:t>
            </w:r>
          </w:p>
        </w:tc>
        <w:tc>
          <w:tcPr>
            <w:tcW w:w="1605" w:type="dxa"/>
          </w:tcPr>
          <w:p w14:paraId="7C11BDB3" w14:textId="77777777" w:rsidR="003510BF" w:rsidRPr="005270E0" w:rsidRDefault="003510BF" w:rsidP="00D35E63">
            <w:pPr>
              <w:pStyle w:val="Tabletext"/>
              <w:jc w:val="left"/>
              <w:rPr>
                <w:sz w:val="18"/>
                <w:szCs w:val="18"/>
              </w:rPr>
            </w:pPr>
            <w:r w:rsidRPr="005270E0">
              <w:rPr>
                <w:sz w:val="18"/>
                <w:szCs w:val="18"/>
              </w:rPr>
              <w:t>Índices mínimos de pluviosidad de 0,05</w:t>
            </w:r>
            <w:r w:rsidRPr="005270E0">
              <w:rPr>
                <w:sz w:val="18"/>
                <w:szCs w:val="18"/>
              </w:rPr>
              <w:noBreakHyphen/>
              <w:t>0,2 mm/h</w:t>
            </w:r>
          </w:p>
        </w:tc>
        <w:tc>
          <w:tcPr>
            <w:tcW w:w="1539" w:type="dxa"/>
          </w:tcPr>
          <w:p w14:paraId="4FA7685F" w14:textId="77777777" w:rsidR="003510BF" w:rsidRPr="005270E0" w:rsidRDefault="003510BF" w:rsidP="00D35E63">
            <w:pPr>
              <w:pStyle w:val="Tabletext"/>
              <w:jc w:val="left"/>
              <w:rPr>
                <w:sz w:val="18"/>
                <w:szCs w:val="18"/>
              </w:rPr>
            </w:pPr>
            <w:r w:rsidRPr="005270E0">
              <w:rPr>
                <w:sz w:val="18"/>
                <w:szCs w:val="18"/>
              </w:rPr>
              <w:t xml:space="preserve">–24 dBZ </w:t>
            </w:r>
            <w:r w:rsidRPr="005270E0">
              <w:rPr>
                <w:sz w:val="18"/>
                <w:szCs w:val="18"/>
              </w:rPr>
              <w:sym w:font="Symbol" w:char="F0B1"/>
            </w:r>
            <w:r w:rsidRPr="005270E0">
              <w:rPr>
                <w:sz w:val="18"/>
                <w:szCs w:val="18"/>
              </w:rPr>
              <w:t>10%</w:t>
            </w:r>
          </w:p>
        </w:tc>
      </w:tr>
      <w:tr w:rsidR="003510BF" w:rsidRPr="005270E0" w14:paraId="0AAA26F4" w14:textId="77777777" w:rsidTr="00D35E63">
        <w:trPr>
          <w:jc w:val="center"/>
        </w:trPr>
        <w:tc>
          <w:tcPr>
            <w:tcW w:w="1722" w:type="dxa"/>
          </w:tcPr>
          <w:p w14:paraId="3733C8EA" w14:textId="77777777" w:rsidR="003510BF" w:rsidRPr="005270E0" w:rsidRDefault="003510BF" w:rsidP="00D35E63">
            <w:pPr>
              <w:pStyle w:val="Tabletext"/>
              <w:rPr>
                <w:sz w:val="18"/>
                <w:szCs w:val="18"/>
              </w:rPr>
            </w:pPr>
            <w:r w:rsidRPr="005270E0">
              <w:rPr>
                <w:sz w:val="18"/>
                <w:szCs w:val="18"/>
              </w:rPr>
              <w:t>78-79 GHz</w:t>
            </w:r>
          </w:p>
        </w:tc>
        <w:tc>
          <w:tcPr>
            <w:tcW w:w="1338" w:type="dxa"/>
          </w:tcPr>
          <w:p w14:paraId="58AF8ECD" w14:textId="77777777" w:rsidR="003510BF" w:rsidRPr="005270E0" w:rsidRDefault="003510BF" w:rsidP="00D35E63">
            <w:pPr>
              <w:pStyle w:val="Tabletext"/>
              <w:jc w:val="left"/>
              <w:rPr>
                <w:sz w:val="18"/>
                <w:szCs w:val="18"/>
              </w:rPr>
            </w:pPr>
          </w:p>
        </w:tc>
        <w:tc>
          <w:tcPr>
            <w:tcW w:w="1800" w:type="dxa"/>
          </w:tcPr>
          <w:p w14:paraId="6206277C" w14:textId="77777777" w:rsidR="003510BF" w:rsidRPr="005270E0" w:rsidRDefault="003510BF" w:rsidP="00D35E63">
            <w:pPr>
              <w:pStyle w:val="Tabletext"/>
              <w:jc w:val="left"/>
              <w:rPr>
                <w:sz w:val="18"/>
                <w:szCs w:val="18"/>
              </w:rPr>
            </w:pPr>
          </w:p>
        </w:tc>
        <w:tc>
          <w:tcPr>
            <w:tcW w:w="1635" w:type="dxa"/>
          </w:tcPr>
          <w:p w14:paraId="2125B829" w14:textId="77777777" w:rsidR="003510BF" w:rsidRPr="005270E0" w:rsidRDefault="003510BF" w:rsidP="00D35E63">
            <w:pPr>
              <w:pStyle w:val="Tabletext"/>
              <w:jc w:val="left"/>
              <w:rPr>
                <w:sz w:val="18"/>
                <w:szCs w:val="18"/>
              </w:rPr>
            </w:pPr>
          </w:p>
        </w:tc>
        <w:tc>
          <w:tcPr>
            <w:tcW w:w="1605" w:type="dxa"/>
          </w:tcPr>
          <w:p w14:paraId="3F16B6E4" w14:textId="77777777" w:rsidR="003510BF" w:rsidRPr="005270E0" w:rsidRDefault="003510BF" w:rsidP="00D35E63">
            <w:pPr>
              <w:pStyle w:val="Tabletext"/>
              <w:jc w:val="left"/>
              <w:rPr>
                <w:sz w:val="18"/>
                <w:szCs w:val="18"/>
              </w:rPr>
            </w:pPr>
          </w:p>
        </w:tc>
        <w:tc>
          <w:tcPr>
            <w:tcW w:w="1539" w:type="dxa"/>
          </w:tcPr>
          <w:p w14:paraId="657312EE" w14:textId="77777777" w:rsidR="003510BF" w:rsidRPr="005270E0" w:rsidRDefault="003510BF" w:rsidP="00D35E63">
            <w:pPr>
              <w:pStyle w:val="Tabletext"/>
              <w:jc w:val="left"/>
              <w:rPr>
                <w:sz w:val="18"/>
                <w:szCs w:val="18"/>
              </w:rPr>
            </w:pPr>
            <w:r w:rsidRPr="005270E0">
              <w:rPr>
                <w:sz w:val="18"/>
                <w:szCs w:val="18"/>
              </w:rPr>
              <w:t xml:space="preserve">–27 dBZ </w:t>
            </w:r>
            <w:r w:rsidRPr="005270E0">
              <w:rPr>
                <w:sz w:val="18"/>
                <w:szCs w:val="18"/>
              </w:rPr>
              <w:sym w:font="Symbol" w:char="F0B1"/>
            </w:r>
            <w:r w:rsidRPr="005270E0">
              <w:rPr>
                <w:sz w:val="18"/>
                <w:szCs w:val="18"/>
              </w:rPr>
              <w:t>10%</w:t>
            </w:r>
          </w:p>
        </w:tc>
      </w:tr>
      <w:tr w:rsidR="003510BF" w:rsidRPr="005270E0" w14:paraId="26F5385F" w14:textId="77777777" w:rsidTr="00D35E63">
        <w:trPr>
          <w:jc w:val="center"/>
        </w:trPr>
        <w:tc>
          <w:tcPr>
            <w:tcW w:w="1722" w:type="dxa"/>
          </w:tcPr>
          <w:p w14:paraId="3CA52719" w14:textId="77777777" w:rsidR="003510BF" w:rsidRPr="005270E0" w:rsidRDefault="003510BF" w:rsidP="00D35E63">
            <w:pPr>
              <w:pStyle w:val="Tabletext"/>
              <w:rPr>
                <w:sz w:val="18"/>
                <w:szCs w:val="18"/>
              </w:rPr>
            </w:pPr>
            <w:r w:rsidRPr="005270E0">
              <w:rPr>
                <w:sz w:val="18"/>
                <w:szCs w:val="18"/>
              </w:rPr>
              <w:t>94-94,1 GHz</w:t>
            </w:r>
          </w:p>
        </w:tc>
        <w:tc>
          <w:tcPr>
            <w:tcW w:w="1338" w:type="dxa"/>
          </w:tcPr>
          <w:p w14:paraId="26D9B65C" w14:textId="77777777" w:rsidR="003510BF" w:rsidRPr="005270E0" w:rsidRDefault="003510BF" w:rsidP="00D35E63">
            <w:pPr>
              <w:pStyle w:val="Tabletext"/>
              <w:jc w:val="left"/>
              <w:rPr>
                <w:sz w:val="18"/>
                <w:szCs w:val="18"/>
              </w:rPr>
            </w:pPr>
          </w:p>
        </w:tc>
        <w:tc>
          <w:tcPr>
            <w:tcW w:w="1800" w:type="dxa"/>
          </w:tcPr>
          <w:p w14:paraId="0935BDD1" w14:textId="77777777" w:rsidR="003510BF" w:rsidRPr="005270E0" w:rsidRDefault="003510BF" w:rsidP="00D35E63">
            <w:pPr>
              <w:pStyle w:val="Tabletext"/>
              <w:jc w:val="left"/>
              <w:rPr>
                <w:sz w:val="18"/>
                <w:szCs w:val="18"/>
              </w:rPr>
            </w:pPr>
          </w:p>
        </w:tc>
        <w:tc>
          <w:tcPr>
            <w:tcW w:w="1635" w:type="dxa"/>
          </w:tcPr>
          <w:p w14:paraId="6DBFBEF5" w14:textId="77777777" w:rsidR="003510BF" w:rsidRPr="005270E0" w:rsidRDefault="003510BF" w:rsidP="00D35E63">
            <w:pPr>
              <w:pStyle w:val="Tabletext"/>
              <w:jc w:val="left"/>
              <w:rPr>
                <w:sz w:val="18"/>
                <w:szCs w:val="18"/>
              </w:rPr>
            </w:pPr>
          </w:p>
        </w:tc>
        <w:tc>
          <w:tcPr>
            <w:tcW w:w="1605" w:type="dxa"/>
          </w:tcPr>
          <w:p w14:paraId="700DBA82" w14:textId="77777777" w:rsidR="003510BF" w:rsidRPr="005270E0" w:rsidRDefault="003510BF" w:rsidP="00D35E63">
            <w:pPr>
              <w:pStyle w:val="Tabletext"/>
              <w:jc w:val="left"/>
              <w:rPr>
                <w:sz w:val="18"/>
                <w:szCs w:val="18"/>
              </w:rPr>
            </w:pPr>
            <w:r w:rsidRPr="005270E0">
              <w:rPr>
                <w:sz w:val="18"/>
                <w:szCs w:val="18"/>
              </w:rPr>
              <w:t>Índices mínimos de pluviosidad de 0,05 mm/h</w:t>
            </w:r>
          </w:p>
        </w:tc>
        <w:tc>
          <w:tcPr>
            <w:tcW w:w="1539" w:type="dxa"/>
          </w:tcPr>
          <w:p w14:paraId="59B8F0A8" w14:textId="77777777" w:rsidR="003510BF" w:rsidRPr="005270E0" w:rsidRDefault="003510BF" w:rsidP="00D35E63">
            <w:pPr>
              <w:pStyle w:val="Tabletext"/>
              <w:jc w:val="left"/>
              <w:rPr>
                <w:sz w:val="18"/>
                <w:szCs w:val="18"/>
              </w:rPr>
            </w:pPr>
            <w:r w:rsidRPr="005270E0">
              <w:rPr>
                <w:sz w:val="18"/>
                <w:szCs w:val="18"/>
              </w:rPr>
              <w:t xml:space="preserve">–35 dBZ </w:t>
            </w:r>
            <w:r w:rsidRPr="005270E0">
              <w:rPr>
                <w:sz w:val="18"/>
                <w:szCs w:val="18"/>
              </w:rPr>
              <w:sym w:font="Symbol" w:char="F0B1"/>
            </w:r>
            <w:r w:rsidRPr="005270E0">
              <w:rPr>
                <w:sz w:val="18"/>
                <w:szCs w:val="18"/>
              </w:rPr>
              <w:t>10%</w:t>
            </w:r>
          </w:p>
        </w:tc>
      </w:tr>
    </w:tbl>
    <w:p w14:paraId="3488FAC7" w14:textId="5DEB649C" w:rsidR="00185AF1" w:rsidRPr="00185AF1" w:rsidRDefault="00185AF1" w:rsidP="00185AF1">
      <w:pPr>
        <w:pStyle w:val="TableNo"/>
      </w:pPr>
      <w:r w:rsidRPr="005270E0">
        <w:lastRenderedPageBreak/>
        <w:t>CUADRO 1</w:t>
      </w:r>
      <w:r>
        <w:t xml:space="preserve"> (</w:t>
      </w:r>
      <w:r>
        <w:rPr>
          <w:i/>
          <w:iCs/>
        </w:rPr>
        <w:t>fin</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1338"/>
        <w:gridCol w:w="1800"/>
        <w:gridCol w:w="1635"/>
        <w:gridCol w:w="1605"/>
        <w:gridCol w:w="1539"/>
      </w:tblGrid>
      <w:tr w:rsidR="00185AF1" w:rsidRPr="005270E0" w14:paraId="13A32469" w14:textId="77777777" w:rsidTr="00953B23">
        <w:trPr>
          <w:tblHeader/>
          <w:jc w:val="center"/>
        </w:trPr>
        <w:tc>
          <w:tcPr>
            <w:tcW w:w="1722" w:type="dxa"/>
            <w:vMerge w:val="restart"/>
            <w:vAlign w:val="center"/>
          </w:tcPr>
          <w:p w14:paraId="0609742C" w14:textId="77777777" w:rsidR="00185AF1" w:rsidRPr="005270E0" w:rsidRDefault="00185AF1" w:rsidP="00953B23">
            <w:pPr>
              <w:pStyle w:val="Tablehead"/>
              <w:rPr>
                <w:sz w:val="18"/>
                <w:szCs w:val="18"/>
              </w:rPr>
            </w:pPr>
            <w:r w:rsidRPr="005270E0">
              <w:rPr>
                <w:sz w:val="18"/>
                <w:szCs w:val="18"/>
              </w:rPr>
              <w:t>Banda de frecuencias</w:t>
            </w:r>
          </w:p>
        </w:tc>
        <w:tc>
          <w:tcPr>
            <w:tcW w:w="7917" w:type="dxa"/>
            <w:gridSpan w:val="5"/>
          </w:tcPr>
          <w:p w14:paraId="33BA783A" w14:textId="77777777" w:rsidR="00185AF1" w:rsidRPr="005270E0" w:rsidRDefault="00185AF1" w:rsidP="00953B23">
            <w:pPr>
              <w:pStyle w:val="Tablehead"/>
              <w:rPr>
                <w:sz w:val="18"/>
                <w:szCs w:val="18"/>
              </w:rPr>
            </w:pPr>
            <w:r w:rsidRPr="005270E0">
              <w:rPr>
                <w:sz w:val="18"/>
                <w:szCs w:val="18"/>
              </w:rPr>
              <w:t>Criterios de calidad de funcionamiento</w:t>
            </w:r>
          </w:p>
        </w:tc>
      </w:tr>
      <w:tr w:rsidR="00185AF1" w:rsidRPr="005270E0" w14:paraId="77752B38" w14:textId="77777777" w:rsidTr="00953B23">
        <w:trPr>
          <w:tblHeader/>
          <w:jc w:val="center"/>
        </w:trPr>
        <w:tc>
          <w:tcPr>
            <w:tcW w:w="1722" w:type="dxa"/>
            <w:vMerge/>
          </w:tcPr>
          <w:p w14:paraId="74B893BA" w14:textId="77777777" w:rsidR="00185AF1" w:rsidRPr="005270E0" w:rsidRDefault="00185AF1" w:rsidP="00953B23">
            <w:pPr>
              <w:pStyle w:val="Tablehead"/>
              <w:rPr>
                <w:sz w:val="18"/>
                <w:szCs w:val="18"/>
              </w:rPr>
            </w:pPr>
          </w:p>
        </w:tc>
        <w:tc>
          <w:tcPr>
            <w:tcW w:w="1338" w:type="dxa"/>
          </w:tcPr>
          <w:p w14:paraId="680840A0" w14:textId="77777777" w:rsidR="00185AF1" w:rsidRPr="005270E0" w:rsidRDefault="00185AF1" w:rsidP="00953B23">
            <w:pPr>
              <w:pStyle w:val="Tablehead"/>
              <w:rPr>
                <w:sz w:val="18"/>
                <w:szCs w:val="18"/>
              </w:rPr>
            </w:pPr>
            <w:r w:rsidRPr="005270E0">
              <w:rPr>
                <w:sz w:val="18"/>
                <w:szCs w:val="18"/>
              </w:rPr>
              <w:t xml:space="preserve">Dispersímetro </w:t>
            </w:r>
          </w:p>
        </w:tc>
        <w:tc>
          <w:tcPr>
            <w:tcW w:w="1800" w:type="dxa"/>
          </w:tcPr>
          <w:p w14:paraId="1FA43649" w14:textId="77777777" w:rsidR="00185AF1" w:rsidRPr="005270E0" w:rsidRDefault="00185AF1" w:rsidP="00953B23">
            <w:pPr>
              <w:pStyle w:val="Tablehead"/>
              <w:rPr>
                <w:sz w:val="18"/>
                <w:szCs w:val="18"/>
              </w:rPr>
            </w:pPr>
            <w:r w:rsidRPr="005270E0">
              <w:rPr>
                <w:sz w:val="18"/>
                <w:szCs w:val="18"/>
              </w:rPr>
              <w:t>Altímetro</w:t>
            </w:r>
          </w:p>
        </w:tc>
        <w:tc>
          <w:tcPr>
            <w:tcW w:w="1635" w:type="dxa"/>
          </w:tcPr>
          <w:p w14:paraId="79C3412B" w14:textId="77777777" w:rsidR="00185AF1" w:rsidRPr="005270E0" w:rsidRDefault="00185AF1" w:rsidP="00953B23">
            <w:pPr>
              <w:pStyle w:val="Tablehead"/>
              <w:rPr>
                <w:sz w:val="18"/>
                <w:szCs w:val="18"/>
              </w:rPr>
            </w:pPr>
            <w:r w:rsidRPr="005270E0">
              <w:rPr>
                <w:sz w:val="18"/>
                <w:szCs w:val="18"/>
              </w:rPr>
              <w:t>Reproductor de imágenes SAR</w:t>
            </w:r>
          </w:p>
        </w:tc>
        <w:tc>
          <w:tcPr>
            <w:tcW w:w="1605" w:type="dxa"/>
          </w:tcPr>
          <w:p w14:paraId="52A806BB" w14:textId="77777777" w:rsidR="00185AF1" w:rsidRPr="005270E0" w:rsidRDefault="00185AF1" w:rsidP="00953B23">
            <w:pPr>
              <w:pStyle w:val="Tablehead"/>
              <w:rPr>
                <w:sz w:val="18"/>
                <w:szCs w:val="18"/>
              </w:rPr>
            </w:pPr>
            <w:r w:rsidRPr="005270E0">
              <w:rPr>
                <w:sz w:val="18"/>
                <w:szCs w:val="18"/>
              </w:rPr>
              <w:t xml:space="preserve">Radar de medición de las precipitaciones </w:t>
            </w:r>
          </w:p>
        </w:tc>
        <w:tc>
          <w:tcPr>
            <w:tcW w:w="1539" w:type="dxa"/>
          </w:tcPr>
          <w:p w14:paraId="1317145F" w14:textId="77777777" w:rsidR="00185AF1" w:rsidRPr="005270E0" w:rsidRDefault="00185AF1" w:rsidP="00953B23">
            <w:pPr>
              <w:pStyle w:val="Tablehead"/>
              <w:rPr>
                <w:sz w:val="18"/>
                <w:szCs w:val="18"/>
              </w:rPr>
            </w:pPr>
            <w:r w:rsidRPr="005270E0">
              <w:rPr>
                <w:sz w:val="18"/>
                <w:szCs w:val="18"/>
              </w:rPr>
              <w:t>Radar de perfil de nubes</w:t>
            </w:r>
          </w:p>
        </w:tc>
      </w:tr>
      <w:tr w:rsidR="003510BF" w:rsidRPr="005270E0" w14:paraId="3BB60129" w14:textId="77777777" w:rsidTr="00D35E63">
        <w:trPr>
          <w:jc w:val="center"/>
        </w:trPr>
        <w:tc>
          <w:tcPr>
            <w:tcW w:w="1722" w:type="dxa"/>
          </w:tcPr>
          <w:p w14:paraId="28805819" w14:textId="77777777" w:rsidR="003510BF" w:rsidRPr="005270E0" w:rsidRDefault="003510BF" w:rsidP="00185AF1">
            <w:pPr>
              <w:pStyle w:val="Tabletext"/>
              <w:keepNext/>
              <w:keepLines/>
              <w:rPr>
                <w:sz w:val="18"/>
                <w:szCs w:val="18"/>
              </w:rPr>
            </w:pPr>
            <w:r w:rsidRPr="005270E0">
              <w:rPr>
                <w:sz w:val="18"/>
                <w:szCs w:val="18"/>
              </w:rPr>
              <w:t>133,5-134 GHz</w:t>
            </w:r>
          </w:p>
        </w:tc>
        <w:tc>
          <w:tcPr>
            <w:tcW w:w="1338" w:type="dxa"/>
          </w:tcPr>
          <w:p w14:paraId="5EC08AC6" w14:textId="77777777" w:rsidR="003510BF" w:rsidRPr="005270E0" w:rsidRDefault="003510BF" w:rsidP="00185AF1">
            <w:pPr>
              <w:pStyle w:val="Tabletext"/>
              <w:keepNext/>
              <w:keepLines/>
              <w:jc w:val="left"/>
              <w:rPr>
                <w:sz w:val="18"/>
                <w:szCs w:val="18"/>
              </w:rPr>
            </w:pPr>
          </w:p>
        </w:tc>
        <w:tc>
          <w:tcPr>
            <w:tcW w:w="1800" w:type="dxa"/>
          </w:tcPr>
          <w:p w14:paraId="1B98CA03" w14:textId="77777777" w:rsidR="003510BF" w:rsidRPr="005270E0" w:rsidRDefault="003510BF" w:rsidP="00185AF1">
            <w:pPr>
              <w:pStyle w:val="Tabletext"/>
              <w:keepNext/>
              <w:keepLines/>
              <w:jc w:val="left"/>
              <w:rPr>
                <w:sz w:val="18"/>
                <w:szCs w:val="18"/>
              </w:rPr>
            </w:pPr>
          </w:p>
        </w:tc>
        <w:tc>
          <w:tcPr>
            <w:tcW w:w="1635" w:type="dxa"/>
          </w:tcPr>
          <w:p w14:paraId="4F8AA723" w14:textId="77777777" w:rsidR="003510BF" w:rsidRPr="005270E0" w:rsidRDefault="003510BF" w:rsidP="00185AF1">
            <w:pPr>
              <w:pStyle w:val="Tabletext"/>
              <w:keepNext/>
              <w:keepLines/>
              <w:jc w:val="left"/>
              <w:rPr>
                <w:sz w:val="18"/>
                <w:szCs w:val="18"/>
              </w:rPr>
            </w:pPr>
          </w:p>
        </w:tc>
        <w:tc>
          <w:tcPr>
            <w:tcW w:w="1605" w:type="dxa"/>
          </w:tcPr>
          <w:p w14:paraId="153ABF96" w14:textId="77777777" w:rsidR="003510BF" w:rsidRPr="005270E0" w:rsidRDefault="003510BF" w:rsidP="00185AF1">
            <w:pPr>
              <w:pStyle w:val="Tabletext"/>
              <w:keepNext/>
              <w:keepLines/>
              <w:jc w:val="left"/>
              <w:rPr>
                <w:sz w:val="18"/>
                <w:szCs w:val="18"/>
              </w:rPr>
            </w:pPr>
          </w:p>
        </w:tc>
        <w:tc>
          <w:tcPr>
            <w:tcW w:w="1539" w:type="dxa"/>
          </w:tcPr>
          <w:p w14:paraId="09D4971E" w14:textId="77777777" w:rsidR="003510BF" w:rsidRPr="005270E0" w:rsidRDefault="003510BF" w:rsidP="00185AF1">
            <w:pPr>
              <w:pStyle w:val="Tabletext"/>
              <w:keepNext/>
              <w:keepLines/>
              <w:jc w:val="left"/>
              <w:rPr>
                <w:sz w:val="18"/>
                <w:szCs w:val="18"/>
              </w:rPr>
            </w:pPr>
            <w:r w:rsidRPr="005270E0">
              <w:rPr>
                <w:sz w:val="18"/>
                <w:szCs w:val="18"/>
              </w:rPr>
              <w:t xml:space="preserve">–34 dBZ </w:t>
            </w:r>
            <w:r w:rsidRPr="005270E0">
              <w:rPr>
                <w:sz w:val="18"/>
                <w:szCs w:val="18"/>
              </w:rPr>
              <w:sym w:font="Symbol" w:char="F0B1"/>
            </w:r>
            <w:r w:rsidRPr="005270E0">
              <w:rPr>
                <w:sz w:val="18"/>
                <w:szCs w:val="18"/>
              </w:rPr>
              <w:t>10%</w:t>
            </w:r>
          </w:p>
        </w:tc>
      </w:tr>
      <w:tr w:rsidR="003510BF" w:rsidRPr="005270E0" w14:paraId="3304CBD1" w14:textId="77777777" w:rsidTr="00D35E63">
        <w:trPr>
          <w:jc w:val="center"/>
        </w:trPr>
        <w:tc>
          <w:tcPr>
            <w:tcW w:w="1722" w:type="dxa"/>
            <w:tcBorders>
              <w:bottom w:val="single" w:sz="4" w:space="0" w:color="auto"/>
            </w:tcBorders>
          </w:tcPr>
          <w:p w14:paraId="505762A0" w14:textId="77777777" w:rsidR="003510BF" w:rsidRPr="005270E0" w:rsidRDefault="003510BF" w:rsidP="00D35E63">
            <w:pPr>
              <w:pStyle w:val="Tabletext"/>
              <w:rPr>
                <w:sz w:val="18"/>
                <w:szCs w:val="18"/>
              </w:rPr>
            </w:pPr>
            <w:r w:rsidRPr="005270E0">
              <w:rPr>
                <w:sz w:val="18"/>
                <w:szCs w:val="18"/>
              </w:rPr>
              <w:t>237,9-238 GHz</w:t>
            </w:r>
          </w:p>
        </w:tc>
        <w:tc>
          <w:tcPr>
            <w:tcW w:w="1338" w:type="dxa"/>
            <w:tcBorders>
              <w:bottom w:val="single" w:sz="4" w:space="0" w:color="auto"/>
            </w:tcBorders>
          </w:tcPr>
          <w:p w14:paraId="436F8112" w14:textId="77777777" w:rsidR="003510BF" w:rsidRPr="005270E0" w:rsidRDefault="003510BF" w:rsidP="00D35E63">
            <w:pPr>
              <w:pStyle w:val="Tabletext"/>
              <w:jc w:val="left"/>
              <w:rPr>
                <w:sz w:val="18"/>
                <w:szCs w:val="18"/>
              </w:rPr>
            </w:pPr>
          </w:p>
        </w:tc>
        <w:tc>
          <w:tcPr>
            <w:tcW w:w="1800" w:type="dxa"/>
            <w:tcBorders>
              <w:bottom w:val="single" w:sz="4" w:space="0" w:color="auto"/>
            </w:tcBorders>
          </w:tcPr>
          <w:p w14:paraId="27B76D6D" w14:textId="77777777" w:rsidR="003510BF" w:rsidRPr="005270E0" w:rsidRDefault="003510BF" w:rsidP="00D35E63">
            <w:pPr>
              <w:pStyle w:val="Tabletext"/>
              <w:jc w:val="left"/>
              <w:rPr>
                <w:sz w:val="18"/>
                <w:szCs w:val="18"/>
              </w:rPr>
            </w:pPr>
          </w:p>
        </w:tc>
        <w:tc>
          <w:tcPr>
            <w:tcW w:w="1635" w:type="dxa"/>
            <w:tcBorders>
              <w:bottom w:val="single" w:sz="4" w:space="0" w:color="auto"/>
            </w:tcBorders>
          </w:tcPr>
          <w:p w14:paraId="42EDB8ED" w14:textId="77777777" w:rsidR="003510BF" w:rsidRPr="005270E0" w:rsidRDefault="003510BF" w:rsidP="00D35E63">
            <w:pPr>
              <w:pStyle w:val="Tabletext"/>
              <w:jc w:val="left"/>
              <w:rPr>
                <w:sz w:val="18"/>
                <w:szCs w:val="18"/>
              </w:rPr>
            </w:pPr>
          </w:p>
        </w:tc>
        <w:tc>
          <w:tcPr>
            <w:tcW w:w="1605" w:type="dxa"/>
            <w:tcBorders>
              <w:bottom w:val="single" w:sz="4" w:space="0" w:color="auto"/>
            </w:tcBorders>
          </w:tcPr>
          <w:p w14:paraId="34DC3D21" w14:textId="77777777" w:rsidR="003510BF" w:rsidRPr="005270E0" w:rsidRDefault="003510BF" w:rsidP="00D35E63">
            <w:pPr>
              <w:pStyle w:val="Tabletext"/>
              <w:jc w:val="left"/>
              <w:rPr>
                <w:sz w:val="18"/>
                <w:szCs w:val="18"/>
              </w:rPr>
            </w:pPr>
          </w:p>
        </w:tc>
        <w:tc>
          <w:tcPr>
            <w:tcW w:w="1539" w:type="dxa"/>
            <w:tcBorders>
              <w:bottom w:val="single" w:sz="4" w:space="0" w:color="auto"/>
            </w:tcBorders>
          </w:tcPr>
          <w:p w14:paraId="0021FD73" w14:textId="77777777" w:rsidR="003510BF" w:rsidRPr="005270E0" w:rsidRDefault="003510BF" w:rsidP="00D35E63">
            <w:pPr>
              <w:pStyle w:val="Tabletext"/>
              <w:jc w:val="left"/>
              <w:rPr>
                <w:sz w:val="18"/>
                <w:szCs w:val="18"/>
              </w:rPr>
            </w:pPr>
            <w:r w:rsidRPr="005270E0">
              <w:rPr>
                <w:sz w:val="18"/>
                <w:szCs w:val="18"/>
              </w:rPr>
              <w:t xml:space="preserve">–44 dBZ </w:t>
            </w:r>
            <w:r w:rsidRPr="005270E0">
              <w:rPr>
                <w:sz w:val="18"/>
                <w:szCs w:val="18"/>
              </w:rPr>
              <w:sym w:font="Symbol" w:char="F0B1"/>
            </w:r>
            <w:r w:rsidRPr="005270E0">
              <w:rPr>
                <w:sz w:val="18"/>
                <w:szCs w:val="18"/>
              </w:rPr>
              <w:t>10%</w:t>
            </w:r>
          </w:p>
        </w:tc>
      </w:tr>
      <w:tr w:rsidR="003510BF" w:rsidRPr="005270E0" w14:paraId="636EC684" w14:textId="77777777" w:rsidTr="00D35E63">
        <w:trPr>
          <w:jc w:val="center"/>
        </w:trPr>
        <w:tc>
          <w:tcPr>
            <w:tcW w:w="9639" w:type="dxa"/>
            <w:gridSpan w:val="6"/>
            <w:tcBorders>
              <w:top w:val="single" w:sz="4" w:space="0" w:color="auto"/>
              <w:left w:val="nil"/>
              <w:bottom w:val="nil"/>
              <w:right w:val="nil"/>
            </w:tcBorders>
          </w:tcPr>
          <w:p w14:paraId="5A0BDCC1" w14:textId="77777777" w:rsidR="003510BF" w:rsidRPr="005270E0" w:rsidRDefault="003510BF" w:rsidP="00D35E63">
            <w:pPr>
              <w:pStyle w:val="Tabletext"/>
              <w:ind w:left="567" w:hanging="567"/>
              <w:rPr>
                <w:rFonts w:cs="Arial"/>
                <w:sz w:val="18"/>
                <w:szCs w:val="18"/>
              </w:rPr>
            </w:pPr>
            <w:r w:rsidRPr="005270E0">
              <w:rPr>
                <w:sz w:val="18"/>
                <w:szCs w:val="18"/>
              </w:rPr>
              <w:t>dBZ:</w:t>
            </w:r>
            <w:r w:rsidRPr="005270E0">
              <w:rPr>
                <w:sz w:val="18"/>
                <w:szCs w:val="18"/>
              </w:rPr>
              <w:tab/>
              <w:t xml:space="preserve">Reflectividad «unitaria» de radar utilizada en meteorología que representa una relación de potencia logarítmica (en decibeles, o dB) con respecto al factor de reflectividad del radar, </w:t>
            </w:r>
            <w:r w:rsidRPr="005270E0">
              <w:rPr>
                <w:i/>
                <w:iCs/>
                <w:sz w:val="18"/>
                <w:szCs w:val="18"/>
              </w:rPr>
              <w:t>Z</w:t>
            </w:r>
            <w:r w:rsidRPr="005270E0">
              <w:rPr>
                <w:sz w:val="18"/>
                <w:szCs w:val="18"/>
              </w:rPr>
              <w:t xml:space="preserve">, con referencia a un valor de </w:t>
            </w:r>
            <w:r w:rsidRPr="005270E0">
              <w:rPr>
                <w:rFonts w:cs="Arial"/>
                <w:sz w:val="18"/>
                <w:szCs w:val="18"/>
              </w:rPr>
              <w:t>1 mm</w:t>
            </w:r>
            <w:r w:rsidRPr="005270E0">
              <w:rPr>
                <w:rFonts w:cs="Arial"/>
                <w:sz w:val="18"/>
                <w:szCs w:val="18"/>
                <w:vertAlign w:val="superscript"/>
              </w:rPr>
              <w:t>6</w:t>
            </w:r>
            <w:r w:rsidRPr="005270E0">
              <w:rPr>
                <w:rFonts w:cs="Arial"/>
                <w:sz w:val="18"/>
                <w:szCs w:val="18"/>
              </w:rPr>
              <w:t>/m</w:t>
            </w:r>
            <w:r w:rsidRPr="005270E0">
              <w:rPr>
                <w:rFonts w:cs="Arial"/>
                <w:sz w:val="18"/>
                <w:szCs w:val="18"/>
                <w:vertAlign w:val="superscript"/>
              </w:rPr>
              <w:t>3</w:t>
            </w:r>
            <w:r w:rsidRPr="005270E0">
              <w:rPr>
                <w:rFonts w:cs="Arial"/>
                <w:sz w:val="18"/>
                <w:szCs w:val="18"/>
              </w:rPr>
              <w:t>.</w:t>
            </w:r>
          </w:p>
          <w:p w14:paraId="46772261" w14:textId="439141F0" w:rsidR="003510BF" w:rsidRPr="00A66889" w:rsidRDefault="003510BF" w:rsidP="00D35E63">
            <w:pPr>
              <w:pStyle w:val="Tabletext"/>
              <w:rPr>
                <w:rFonts w:cs="Arial"/>
                <w:sz w:val="18"/>
                <w:szCs w:val="18"/>
              </w:rPr>
            </w:pPr>
            <w:r w:rsidRPr="005270E0">
              <w:rPr>
                <w:rFonts w:cs="Arial"/>
                <w:sz w:val="18"/>
                <w:szCs w:val="18"/>
              </w:rPr>
              <w:t>SAR:</w:t>
            </w:r>
            <w:r w:rsidRPr="005270E0">
              <w:rPr>
                <w:rFonts w:cs="Arial"/>
                <w:sz w:val="18"/>
                <w:szCs w:val="18"/>
              </w:rPr>
              <w:tab/>
              <w:t>Radar de apertura sintética.</w:t>
            </w:r>
          </w:p>
        </w:tc>
      </w:tr>
    </w:tbl>
    <w:p w14:paraId="46DEA8EB" w14:textId="77777777" w:rsidR="00185AF1" w:rsidRDefault="00185AF1" w:rsidP="00185AF1">
      <w:pPr>
        <w:pStyle w:val="Tablefin"/>
      </w:pPr>
    </w:p>
    <w:p w14:paraId="65F2E3CC" w14:textId="4FC154CA" w:rsidR="003510BF" w:rsidRPr="005270E0" w:rsidRDefault="003510BF" w:rsidP="003510BF">
      <w:r w:rsidRPr="007C0251">
        <w:rPr>
          <w:sz w:val="22"/>
        </w:rPr>
        <w:t>2</w:t>
      </w:r>
      <w:r w:rsidRPr="005270E0">
        <w:rPr>
          <w:b/>
        </w:rPr>
        <w:tab/>
      </w:r>
      <w:r w:rsidRPr="005270E0">
        <w:t>que los criterios de disponibilidad de datos y de interferencia consignados en el Cuadro 2 se apliquen a los instrumentos utilizados para la teledetección activa de la atmósfera, los océanos y la superficie de la Tierra.</w:t>
      </w:r>
    </w:p>
    <w:p w14:paraId="321A068A" w14:textId="77777777" w:rsidR="003510BF" w:rsidRPr="005270E0" w:rsidRDefault="003510BF" w:rsidP="003510BF">
      <w:pPr>
        <w:pStyle w:val="TableNo"/>
      </w:pPr>
      <w:r w:rsidRPr="005270E0">
        <w:t>CUADRO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00"/>
        <w:gridCol w:w="900"/>
        <w:gridCol w:w="1690"/>
        <w:gridCol w:w="1397"/>
      </w:tblGrid>
      <w:tr w:rsidR="003510BF" w:rsidRPr="005270E0" w14:paraId="5E15F86E" w14:textId="77777777" w:rsidTr="00D35E63">
        <w:trPr>
          <w:cantSplit/>
          <w:trHeight w:val="185"/>
        </w:trPr>
        <w:tc>
          <w:tcPr>
            <w:tcW w:w="2268" w:type="dxa"/>
            <w:vMerge w:val="restart"/>
            <w:vAlign w:val="center"/>
          </w:tcPr>
          <w:p w14:paraId="2B79B885" w14:textId="77777777" w:rsidR="003510BF" w:rsidRPr="005270E0" w:rsidRDefault="003510BF" w:rsidP="00D35E63">
            <w:pPr>
              <w:pStyle w:val="Tablehead"/>
            </w:pPr>
            <w:r w:rsidRPr="005270E0">
              <w:t>Tipo de sensor</w:t>
            </w:r>
          </w:p>
        </w:tc>
        <w:tc>
          <w:tcPr>
            <w:tcW w:w="4500" w:type="dxa"/>
            <w:gridSpan w:val="2"/>
            <w:vAlign w:val="center"/>
          </w:tcPr>
          <w:p w14:paraId="77A89EBB" w14:textId="77777777" w:rsidR="003510BF" w:rsidRPr="005270E0" w:rsidRDefault="003510BF" w:rsidP="00D35E63">
            <w:pPr>
              <w:pStyle w:val="Tablehead"/>
            </w:pPr>
            <w:r w:rsidRPr="005270E0">
              <w:t>Criterios de interferencia</w:t>
            </w:r>
          </w:p>
        </w:tc>
        <w:tc>
          <w:tcPr>
            <w:tcW w:w="3087" w:type="dxa"/>
            <w:gridSpan w:val="2"/>
          </w:tcPr>
          <w:p w14:paraId="1ADE52AA" w14:textId="77777777" w:rsidR="003510BF" w:rsidRPr="005270E0" w:rsidRDefault="003510BF" w:rsidP="00D35E63">
            <w:pPr>
              <w:pStyle w:val="Tablehead"/>
            </w:pPr>
            <w:r w:rsidRPr="005270E0">
              <w:t>Criterios de disponibilidad</w:t>
            </w:r>
            <w:r w:rsidRPr="005270E0">
              <w:br/>
              <w:t xml:space="preserve">de datos </w:t>
            </w:r>
            <w:r w:rsidRPr="005270E0">
              <w:br/>
              <w:t>(%)</w:t>
            </w:r>
          </w:p>
        </w:tc>
      </w:tr>
      <w:tr w:rsidR="003510BF" w:rsidRPr="005270E0" w14:paraId="2850EF94" w14:textId="77777777" w:rsidTr="00D35E63">
        <w:trPr>
          <w:cantSplit/>
          <w:trHeight w:val="184"/>
        </w:trPr>
        <w:tc>
          <w:tcPr>
            <w:tcW w:w="2268" w:type="dxa"/>
            <w:vMerge/>
          </w:tcPr>
          <w:p w14:paraId="0BE88867" w14:textId="77777777" w:rsidR="003510BF" w:rsidRPr="005270E0" w:rsidRDefault="003510BF" w:rsidP="00D35E63">
            <w:pPr>
              <w:pStyle w:val="Tablehead"/>
            </w:pPr>
          </w:p>
        </w:tc>
        <w:tc>
          <w:tcPr>
            <w:tcW w:w="3600" w:type="dxa"/>
          </w:tcPr>
          <w:p w14:paraId="72C5953B" w14:textId="77777777" w:rsidR="003510BF" w:rsidRPr="005270E0" w:rsidRDefault="003510BF" w:rsidP="00D35E63">
            <w:pPr>
              <w:pStyle w:val="Tablehead"/>
            </w:pPr>
            <w:r w:rsidRPr="005270E0">
              <w:t>Degradación de la calidad</w:t>
            </w:r>
            <w:r w:rsidRPr="005270E0">
              <w:br/>
              <w:t>de funcionamiento</w:t>
            </w:r>
          </w:p>
        </w:tc>
        <w:tc>
          <w:tcPr>
            <w:tcW w:w="900" w:type="dxa"/>
          </w:tcPr>
          <w:p w14:paraId="20FAF305" w14:textId="77777777" w:rsidR="003510BF" w:rsidRPr="005270E0" w:rsidRDefault="003510BF" w:rsidP="00D35E63">
            <w:pPr>
              <w:pStyle w:val="Tablehead"/>
            </w:pPr>
            <w:r w:rsidRPr="005270E0">
              <w:rPr>
                <w:i/>
                <w:iCs/>
              </w:rPr>
              <w:t>I</w:t>
            </w:r>
            <w:r w:rsidRPr="005270E0">
              <w:t>/</w:t>
            </w:r>
            <w:r w:rsidRPr="005270E0">
              <w:rPr>
                <w:i/>
                <w:iCs/>
              </w:rPr>
              <w:t>N</w:t>
            </w:r>
            <w:r w:rsidRPr="005270E0">
              <w:t xml:space="preserve"> </w:t>
            </w:r>
            <w:r w:rsidRPr="005270E0">
              <w:br/>
              <w:t>(dB)</w:t>
            </w:r>
          </w:p>
        </w:tc>
        <w:tc>
          <w:tcPr>
            <w:tcW w:w="1690" w:type="dxa"/>
          </w:tcPr>
          <w:p w14:paraId="5649C096" w14:textId="77777777" w:rsidR="003510BF" w:rsidRPr="005270E0" w:rsidRDefault="003510BF" w:rsidP="00D35E63">
            <w:pPr>
              <w:pStyle w:val="Tablehead"/>
            </w:pPr>
            <w:r w:rsidRPr="005270E0">
              <w:t>Sistemática</w:t>
            </w:r>
          </w:p>
        </w:tc>
        <w:tc>
          <w:tcPr>
            <w:tcW w:w="1397" w:type="dxa"/>
          </w:tcPr>
          <w:p w14:paraId="666E160D" w14:textId="77777777" w:rsidR="003510BF" w:rsidRPr="005270E0" w:rsidRDefault="003510BF" w:rsidP="00D35E63">
            <w:pPr>
              <w:pStyle w:val="Tablehead"/>
            </w:pPr>
            <w:r w:rsidRPr="005270E0">
              <w:t>Aleatoria</w:t>
            </w:r>
          </w:p>
        </w:tc>
      </w:tr>
      <w:tr w:rsidR="003510BF" w:rsidRPr="005270E0" w14:paraId="3F269C9C" w14:textId="77777777" w:rsidTr="00D35E63">
        <w:tc>
          <w:tcPr>
            <w:tcW w:w="2268" w:type="dxa"/>
          </w:tcPr>
          <w:p w14:paraId="4403C819" w14:textId="77777777" w:rsidR="003510BF" w:rsidRPr="005270E0" w:rsidRDefault="003510BF" w:rsidP="00D35E63">
            <w:pPr>
              <w:pStyle w:val="Tabletext"/>
              <w:jc w:val="left"/>
            </w:pPr>
            <w:r w:rsidRPr="005270E0">
              <w:t>Radar de apertura sintética</w:t>
            </w:r>
          </w:p>
        </w:tc>
        <w:tc>
          <w:tcPr>
            <w:tcW w:w="3600" w:type="dxa"/>
          </w:tcPr>
          <w:p w14:paraId="60203DEC" w14:textId="77777777" w:rsidR="003510BF" w:rsidRPr="005270E0" w:rsidRDefault="003510BF" w:rsidP="00D35E63">
            <w:pPr>
              <w:pStyle w:val="Tabletext"/>
              <w:jc w:val="left"/>
            </w:pPr>
            <w:r w:rsidRPr="005270E0">
              <w:t>10% de degradación de la desviación típica</w:t>
            </w:r>
          </w:p>
        </w:tc>
        <w:tc>
          <w:tcPr>
            <w:tcW w:w="900" w:type="dxa"/>
          </w:tcPr>
          <w:p w14:paraId="4FF47494" w14:textId="77777777" w:rsidR="003510BF" w:rsidRPr="005270E0" w:rsidRDefault="003510BF" w:rsidP="00D35E63">
            <w:pPr>
              <w:pStyle w:val="Tabletext"/>
              <w:jc w:val="center"/>
            </w:pPr>
            <w:r w:rsidRPr="005270E0">
              <w:t>–6</w:t>
            </w:r>
          </w:p>
        </w:tc>
        <w:tc>
          <w:tcPr>
            <w:tcW w:w="1690" w:type="dxa"/>
          </w:tcPr>
          <w:p w14:paraId="7029368B" w14:textId="77777777" w:rsidR="003510BF" w:rsidRPr="005270E0" w:rsidRDefault="003510BF" w:rsidP="00D35E63">
            <w:pPr>
              <w:pStyle w:val="Tabletext"/>
              <w:jc w:val="center"/>
            </w:pPr>
            <w:r w:rsidRPr="005270E0">
              <w:t>99</w:t>
            </w:r>
          </w:p>
        </w:tc>
        <w:tc>
          <w:tcPr>
            <w:tcW w:w="1397" w:type="dxa"/>
          </w:tcPr>
          <w:p w14:paraId="781E5819" w14:textId="77777777" w:rsidR="003510BF" w:rsidRPr="005270E0" w:rsidRDefault="003510BF" w:rsidP="00D35E63">
            <w:pPr>
              <w:pStyle w:val="Tabletext"/>
              <w:jc w:val="center"/>
            </w:pPr>
            <w:r w:rsidRPr="005270E0">
              <w:t>95</w:t>
            </w:r>
          </w:p>
        </w:tc>
      </w:tr>
      <w:tr w:rsidR="003510BF" w:rsidRPr="005270E0" w14:paraId="4FFE4A5E" w14:textId="77777777" w:rsidTr="00D35E63">
        <w:tc>
          <w:tcPr>
            <w:tcW w:w="2268" w:type="dxa"/>
          </w:tcPr>
          <w:p w14:paraId="4752EB4E" w14:textId="77777777" w:rsidR="003510BF" w:rsidRPr="005270E0" w:rsidRDefault="003510BF" w:rsidP="00D35E63">
            <w:pPr>
              <w:pStyle w:val="Tabletext"/>
              <w:jc w:val="left"/>
            </w:pPr>
            <w:r w:rsidRPr="005270E0">
              <w:t>Altímetro</w:t>
            </w:r>
          </w:p>
        </w:tc>
        <w:tc>
          <w:tcPr>
            <w:tcW w:w="3600" w:type="dxa"/>
          </w:tcPr>
          <w:p w14:paraId="5319F8FC" w14:textId="77777777" w:rsidR="003510BF" w:rsidRPr="005270E0" w:rsidRDefault="003510BF" w:rsidP="00D35E63">
            <w:pPr>
              <w:pStyle w:val="Tabletext"/>
              <w:jc w:val="left"/>
            </w:pPr>
            <w:r w:rsidRPr="005270E0">
              <w:t>4% de degradación en el ruido debido a la altura</w:t>
            </w:r>
          </w:p>
        </w:tc>
        <w:tc>
          <w:tcPr>
            <w:tcW w:w="900" w:type="dxa"/>
          </w:tcPr>
          <w:p w14:paraId="2671B9BC" w14:textId="77777777" w:rsidR="003510BF" w:rsidRPr="005270E0" w:rsidRDefault="003510BF" w:rsidP="00D35E63">
            <w:pPr>
              <w:pStyle w:val="Tabletext"/>
              <w:jc w:val="center"/>
            </w:pPr>
            <w:r w:rsidRPr="005270E0">
              <w:t>–3</w:t>
            </w:r>
          </w:p>
        </w:tc>
        <w:tc>
          <w:tcPr>
            <w:tcW w:w="1690" w:type="dxa"/>
          </w:tcPr>
          <w:p w14:paraId="73EF2122" w14:textId="77777777" w:rsidR="003510BF" w:rsidRPr="005270E0" w:rsidRDefault="003510BF" w:rsidP="00D35E63">
            <w:pPr>
              <w:pStyle w:val="Tabletext"/>
              <w:jc w:val="center"/>
            </w:pPr>
            <w:r w:rsidRPr="005270E0">
              <w:t>99</w:t>
            </w:r>
          </w:p>
        </w:tc>
        <w:tc>
          <w:tcPr>
            <w:tcW w:w="1397" w:type="dxa"/>
          </w:tcPr>
          <w:p w14:paraId="37D70C43" w14:textId="77777777" w:rsidR="003510BF" w:rsidRPr="005270E0" w:rsidRDefault="003510BF" w:rsidP="00D35E63">
            <w:pPr>
              <w:pStyle w:val="Tabletext"/>
              <w:jc w:val="center"/>
            </w:pPr>
            <w:r w:rsidRPr="005270E0">
              <w:t>95</w:t>
            </w:r>
          </w:p>
        </w:tc>
      </w:tr>
      <w:tr w:rsidR="003510BF" w:rsidRPr="005270E0" w14:paraId="72B8C1BE" w14:textId="77777777" w:rsidTr="00D35E63">
        <w:tc>
          <w:tcPr>
            <w:tcW w:w="2268" w:type="dxa"/>
          </w:tcPr>
          <w:p w14:paraId="6977E4CB" w14:textId="77777777" w:rsidR="003510BF" w:rsidRPr="005270E0" w:rsidRDefault="003510BF" w:rsidP="00D35E63">
            <w:pPr>
              <w:pStyle w:val="Tabletext"/>
              <w:jc w:val="left"/>
            </w:pPr>
            <w:r w:rsidRPr="005270E0">
              <w:t>Dispersímetro</w:t>
            </w:r>
          </w:p>
        </w:tc>
        <w:tc>
          <w:tcPr>
            <w:tcW w:w="3600" w:type="dxa"/>
          </w:tcPr>
          <w:p w14:paraId="3791281F" w14:textId="77777777" w:rsidR="003510BF" w:rsidRPr="005270E0" w:rsidRDefault="003510BF" w:rsidP="00D35E63">
            <w:pPr>
              <w:pStyle w:val="Tabletext"/>
              <w:jc w:val="left"/>
            </w:pPr>
            <w:r w:rsidRPr="005270E0">
              <w:t>8% de degradación en la medición de la retrodispersión de radar típica para deducir las velocidades del viento</w:t>
            </w:r>
          </w:p>
        </w:tc>
        <w:tc>
          <w:tcPr>
            <w:tcW w:w="900" w:type="dxa"/>
          </w:tcPr>
          <w:p w14:paraId="56BD0813" w14:textId="77777777" w:rsidR="003510BF" w:rsidRPr="005270E0" w:rsidRDefault="003510BF" w:rsidP="00D35E63">
            <w:pPr>
              <w:pStyle w:val="Tabletext"/>
              <w:jc w:val="center"/>
            </w:pPr>
            <w:r w:rsidRPr="005270E0">
              <w:t>–5</w:t>
            </w:r>
          </w:p>
        </w:tc>
        <w:tc>
          <w:tcPr>
            <w:tcW w:w="1690" w:type="dxa"/>
          </w:tcPr>
          <w:p w14:paraId="2CEBA070" w14:textId="77777777" w:rsidR="003510BF" w:rsidRPr="005270E0" w:rsidRDefault="003510BF" w:rsidP="00D35E63">
            <w:pPr>
              <w:pStyle w:val="Tabletext"/>
              <w:jc w:val="center"/>
            </w:pPr>
            <w:r w:rsidRPr="005270E0">
              <w:t>99</w:t>
            </w:r>
          </w:p>
        </w:tc>
        <w:tc>
          <w:tcPr>
            <w:tcW w:w="1397" w:type="dxa"/>
          </w:tcPr>
          <w:p w14:paraId="6676B2DD" w14:textId="77777777" w:rsidR="003510BF" w:rsidRPr="005270E0" w:rsidRDefault="003510BF" w:rsidP="00D35E63">
            <w:pPr>
              <w:pStyle w:val="Tabletext"/>
              <w:jc w:val="center"/>
            </w:pPr>
            <w:r w:rsidRPr="005270E0">
              <w:t>95</w:t>
            </w:r>
          </w:p>
        </w:tc>
      </w:tr>
      <w:tr w:rsidR="003510BF" w:rsidRPr="005270E0" w14:paraId="02699E8E" w14:textId="77777777" w:rsidTr="00D35E63">
        <w:tc>
          <w:tcPr>
            <w:tcW w:w="2268" w:type="dxa"/>
          </w:tcPr>
          <w:p w14:paraId="34ED80B9" w14:textId="77777777" w:rsidR="003510BF" w:rsidRPr="005270E0" w:rsidRDefault="003510BF" w:rsidP="00D35E63">
            <w:pPr>
              <w:pStyle w:val="Tabletext"/>
              <w:jc w:val="left"/>
            </w:pPr>
            <w:r w:rsidRPr="005270E0">
              <w:t>Radar de medición de las precipitaciones</w:t>
            </w:r>
          </w:p>
        </w:tc>
        <w:tc>
          <w:tcPr>
            <w:tcW w:w="3600" w:type="dxa"/>
          </w:tcPr>
          <w:p w14:paraId="167005DD" w14:textId="77777777" w:rsidR="003510BF" w:rsidRPr="005270E0" w:rsidRDefault="003510BF" w:rsidP="00D35E63">
            <w:pPr>
              <w:pStyle w:val="Tabletext"/>
              <w:jc w:val="left"/>
            </w:pPr>
            <w:r w:rsidRPr="005270E0">
              <w:t>7% de aumento en la tasa de pluviosidad mínima</w:t>
            </w:r>
          </w:p>
        </w:tc>
        <w:tc>
          <w:tcPr>
            <w:tcW w:w="900" w:type="dxa"/>
          </w:tcPr>
          <w:p w14:paraId="629D9BCA" w14:textId="77777777" w:rsidR="003510BF" w:rsidRPr="005270E0" w:rsidRDefault="003510BF" w:rsidP="00D35E63">
            <w:pPr>
              <w:pStyle w:val="Tabletext"/>
              <w:jc w:val="center"/>
            </w:pPr>
            <w:r w:rsidRPr="005270E0">
              <w:t>–10</w:t>
            </w:r>
          </w:p>
        </w:tc>
        <w:tc>
          <w:tcPr>
            <w:tcW w:w="1690" w:type="dxa"/>
          </w:tcPr>
          <w:p w14:paraId="536E908A" w14:textId="77777777" w:rsidR="003510BF" w:rsidRPr="005270E0" w:rsidRDefault="003510BF" w:rsidP="00D35E63">
            <w:pPr>
              <w:pStyle w:val="Tabletext"/>
              <w:jc w:val="center"/>
            </w:pPr>
            <w:r w:rsidRPr="005270E0">
              <w:t>99,8</w:t>
            </w:r>
          </w:p>
        </w:tc>
        <w:tc>
          <w:tcPr>
            <w:tcW w:w="1397" w:type="dxa"/>
          </w:tcPr>
          <w:p w14:paraId="53ABD726" w14:textId="77777777" w:rsidR="003510BF" w:rsidRPr="005270E0" w:rsidRDefault="003510BF" w:rsidP="00D35E63">
            <w:pPr>
              <w:pStyle w:val="Tabletext"/>
              <w:jc w:val="center"/>
            </w:pPr>
            <w:r w:rsidRPr="005270E0">
              <w:t>99,8</w:t>
            </w:r>
          </w:p>
        </w:tc>
      </w:tr>
      <w:tr w:rsidR="003510BF" w:rsidRPr="005270E0" w14:paraId="57067C00" w14:textId="77777777" w:rsidTr="00D35E63">
        <w:tc>
          <w:tcPr>
            <w:tcW w:w="2268" w:type="dxa"/>
          </w:tcPr>
          <w:p w14:paraId="28F46795" w14:textId="77777777" w:rsidR="003510BF" w:rsidRPr="005270E0" w:rsidRDefault="003510BF" w:rsidP="00D35E63">
            <w:pPr>
              <w:pStyle w:val="Tabletext"/>
              <w:jc w:val="left"/>
            </w:pPr>
            <w:r w:rsidRPr="005270E0">
              <w:t>Radar de perfil de nube</w:t>
            </w:r>
          </w:p>
        </w:tc>
        <w:tc>
          <w:tcPr>
            <w:tcW w:w="3600" w:type="dxa"/>
          </w:tcPr>
          <w:p w14:paraId="4336893C" w14:textId="77777777" w:rsidR="003510BF" w:rsidRPr="005270E0" w:rsidRDefault="003510BF" w:rsidP="00D35E63">
            <w:pPr>
              <w:pStyle w:val="Tabletext"/>
              <w:jc w:val="left"/>
            </w:pPr>
            <w:r w:rsidRPr="005270E0">
              <w:t>10% de degradación en la reflectividad mínima debida a las nubes</w:t>
            </w:r>
          </w:p>
        </w:tc>
        <w:tc>
          <w:tcPr>
            <w:tcW w:w="900" w:type="dxa"/>
          </w:tcPr>
          <w:p w14:paraId="1E3BA5EE" w14:textId="77777777" w:rsidR="003510BF" w:rsidRPr="005270E0" w:rsidRDefault="003510BF" w:rsidP="00D35E63">
            <w:pPr>
              <w:pStyle w:val="Tabletext"/>
              <w:jc w:val="center"/>
            </w:pPr>
            <w:r w:rsidRPr="005270E0">
              <w:t>–10</w:t>
            </w:r>
          </w:p>
        </w:tc>
        <w:tc>
          <w:tcPr>
            <w:tcW w:w="1690" w:type="dxa"/>
          </w:tcPr>
          <w:p w14:paraId="71595AD9" w14:textId="77777777" w:rsidR="003510BF" w:rsidRPr="005270E0" w:rsidRDefault="003510BF" w:rsidP="00D35E63">
            <w:pPr>
              <w:pStyle w:val="Tabletext"/>
              <w:jc w:val="center"/>
            </w:pPr>
            <w:r w:rsidRPr="005270E0">
              <w:t>99</w:t>
            </w:r>
          </w:p>
        </w:tc>
        <w:tc>
          <w:tcPr>
            <w:tcW w:w="1397" w:type="dxa"/>
          </w:tcPr>
          <w:p w14:paraId="0BFF2A4D" w14:textId="77777777" w:rsidR="003510BF" w:rsidRPr="005270E0" w:rsidRDefault="003510BF" w:rsidP="00D35E63">
            <w:pPr>
              <w:pStyle w:val="Tabletext"/>
              <w:jc w:val="center"/>
            </w:pPr>
            <w:r w:rsidRPr="005270E0">
              <w:t>95</w:t>
            </w:r>
          </w:p>
        </w:tc>
      </w:tr>
    </w:tbl>
    <w:p w14:paraId="2ECFF666" w14:textId="77777777" w:rsidR="003510BF" w:rsidRPr="005270E0" w:rsidRDefault="003510BF" w:rsidP="003510BF">
      <w:pPr>
        <w:pStyle w:val="Tablefin"/>
        <w:rPr>
          <w:lang w:val="es-ES"/>
        </w:rPr>
      </w:pPr>
    </w:p>
    <w:p w14:paraId="7B2C7E31" w14:textId="77777777" w:rsidR="003510BF" w:rsidRPr="005270E0" w:rsidRDefault="003510BF" w:rsidP="003510BF">
      <w:bookmarkStart w:id="11" w:name="dsgno"/>
      <w:bookmarkEnd w:id="11"/>
      <w:r w:rsidRPr="005270E0">
        <w:t>En las bandas con una atribución secundaria, los criterios de interferencia se proporcionan con el único fin de indicar la degradación de la calidad de funcionamiento respecto a los servicios primarios.</w:t>
      </w:r>
    </w:p>
    <w:p w14:paraId="74F22784" w14:textId="2B3980B7" w:rsidR="00A66889" w:rsidRDefault="00A66889">
      <w:pPr>
        <w:tabs>
          <w:tab w:val="clear" w:pos="794"/>
          <w:tab w:val="clear" w:pos="1191"/>
          <w:tab w:val="clear" w:pos="1588"/>
          <w:tab w:val="clear" w:pos="1985"/>
        </w:tabs>
        <w:overflowPunct/>
        <w:autoSpaceDE/>
        <w:autoSpaceDN/>
        <w:adjustRightInd/>
        <w:spacing w:before="0"/>
        <w:jc w:val="left"/>
        <w:textAlignment w:val="auto"/>
      </w:pPr>
      <w:r>
        <w:br w:type="page"/>
      </w:r>
    </w:p>
    <w:p w14:paraId="08E2EDC4" w14:textId="77777777" w:rsidR="003510BF" w:rsidRPr="005270E0" w:rsidRDefault="003510BF" w:rsidP="003510BF">
      <w:pPr>
        <w:pStyle w:val="AnnexNoTitle"/>
      </w:pPr>
      <w:bookmarkStart w:id="12" w:name="_Toc181796499"/>
      <w:r w:rsidRPr="005270E0">
        <w:lastRenderedPageBreak/>
        <w:t>Anexo 1</w:t>
      </w:r>
      <w:r w:rsidRPr="005270E0">
        <w:br/>
      </w:r>
      <w:r w:rsidRPr="005270E0">
        <w:br/>
        <w:t xml:space="preserve">Criterios de calidad de funcionamiento y de interferencia para </w:t>
      </w:r>
      <w:r w:rsidRPr="005270E0">
        <w:br/>
        <w:t>los sensores activos a bordo de vehículos espaciales</w:t>
      </w:r>
      <w:bookmarkEnd w:id="12"/>
    </w:p>
    <w:p w14:paraId="04C82098" w14:textId="77777777" w:rsidR="003510BF" w:rsidRPr="005270E0" w:rsidRDefault="003510BF" w:rsidP="003510BF">
      <w:pPr>
        <w:spacing w:before="480"/>
        <w:jc w:val="center"/>
      </w:pPr>
      <w:r w:rsidRPr="005270E0">
        <w:t>ÍNDICE</w:t>
      </w:r>
    </w:p>
    <w:p w14:paraId="32D76102" w14:textId="77777777" w:rsidR="00217A11" w:rsidRPr="009F3C1C" w:rsidRDefault="00217A11" w:rsidP="00217A11">
      <w:pPr>
        <w:pStyle w:val="toc0"/>
        <w:rPr>
          <w:lang w:val="es-ES_tradnl"/>
        </w:rPr>
      </w:pPr>
      <w:r w:rsidRPr="009F3C1C">
        <w:rPr>
          <w:lang w:val="es-ES_tradnl"/>
        </w:rPr>
        <w:tab/>
        <w:t>Página</w:t>
      </w:r>
    </w:p>
    <w:p w14:paraId="65226983" w14:textId="657C2A2F" w:rsidR="00C42A56" w:rsidRDefault="00C42A56">
      <w:pPr>
        <w:pStyle w:val="TOC1"/>
        <w:rPr>
          <w:rFonts w:asciiTheme="minorHAnsi" w:eastAsiaTheme="minorEastAsia" w:hAnsiTheme="minorHAnsi" w:cstheme="minorBidi"/>
          <w:noProof/>
          <w:kern w:val="2"/>
          <w:szCs w:val="24"/>
          <w:lang w:val="en-GB" w:eastAsia="en-GB"/>
          <w14:ligatures w14:val="standardContextual"/>
        </w:rPr>
      </w:pPr>
      <w:r>
        <w:fldChar w:fldCharType="begin"/>
      </w:r>
      <w:r>
        <w:instrText xml:space="preserve"> TOC \o "2-2" \h \z \t "Heading 1;1;Annex_NoTitle;1;Appendix_NoTitle;1" </w:instrText>
      </w:r>
      <w:r>
        <w:fldChar w:fldCharType="separate"/>
      </w:r>
      <w:hyperlink w:anchor="_Toc181796500" w:history="1">
        <w:r w:rsidRPr="00CC0E4F">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_Toc181796500 \h </w:instrText>
        </w:r>
        <w:r>
          <w:rPr>
            <w:noProof/>
            <w:webHidden/>
          </w:rPr>
        </w:r>
        <w:r>
          <w:rPr>
            <w:noProof/>
            <w:webHidden/>
          </w:rPr>
          <w:fldChar w:fldCharType="separate"/>
        </w:r>
        <w:r w:rsidR="005F69AF">
          <w:rPr>
            <w:noProof/>
            <w:webHidden/>
          </w:rPr>
          <w:t>5</w:t>
        </w:r>
        <w:r>
          <w:rPr>
            <w:noProof/>
            <w:webHidden/>
          </w:rPr>
          <w:fldChar w:fldCharType="end"/>
        </w:r>
      </w:hyperlink>
    </w:p>
    <w:p w14:paraId="7436B3D5" w14:textId="3F93A85F"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01" w:history="1">
        <w:r w:rsidRPr="00CC0E4F">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Interferencia sistemática o aleatoria</w:t>
        </w:r>
        <w:r>
          <w:rPr>
            <w:noProof/>
            <w:webHidden/>
          </w:rPr>
          <w:tab/>
        </w:r>
        <w:r>
          <w:rPr>
            <w:noProof/>
            <w:webHidden/>
          </w:rPr>
          <w:tab/>
        </w:r>
        <w:r>
          <w:rPr>
            <w:noProof/>
            <w:webHidden/>
          </w:rPr>
          <w:fldChar w:fldCharType="begin"/>
        </w:r>
        <w:r>
          <w:rPr>
            <w:noProof/>
            <w:webHidden/>
          </w:rPr>
          <w:instrText xml:space="preserve"> PAGEREF _Toc181796501 \h </w:instrText>
        </w:r>
        <w:r>
          <w:rPr>
            <w:noProof/>
            <w:webHidden/>
          </w:rPr>
        </w:r>
        <w:r>
          <w:rPr>
            <w:noProof/>
            <w:webHidden/>
          </w:rPr>
          <w:fldChar w:fldCharType="separate"/>
        </w:r>
        <w:r w:rsidR="005F69AF">
          <w:rPr>
            <w:noProof/>
            <w:webHidden/>
          </w:rPr>
          <w:t>5</w:t>
        </w:r>
        <w:r>
          <w:rPr>
            <w:noProof/>
            <w:webHidden/>
          </w:rPr>
          <w:fldChar w:fldCharType="end"/>
        </w:r>
      </w:hyperlink>
    </w:p>
    <w:p w14:paraId="719DEC22" w14:textId="3C8E7280" w:rsidR="00C42A56" w:rsidRDefault="00C42A56">
      <w:pPr>
        <w:pStyle w:val="TOC1"/>
        <w:rPr>
          <w:rFonts w:asciiTheme="minorHAnsi" w:eastAsiaTheme="minorEastAsia" w:hAnsiTheme="minorHAnsi" w:cstheme="minorBidi"/>
          <w:noProof/>
          <w:kern w:val="2"/>
          <w:szCs w:val="24"/>
          <w:lang w:val="en-GB" w:eastAsia="en-GB"/>
          <w14:ligatures w14:val="standardContextual"/>
        </w:rPr>
      </w:pPr>
      <w:hyperlink w:anchor="_Toc181796502" w:history="1">
        <w:r w:rsidRPr="00CC0E4F">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Altímetros</w:t>
        </w:r>
        <w:r>
          <w:rPr>
            <w:noProof/>
            <w:webHidden/>
          </w:rPr>
          <w:tab/>
        </w:r>
        <w:r>
          <w:rPr>
            <w:noProof/>
            <w:webHidden/>
          </w:rPr>
          <w:tab/>
        </w:r>
        <w:r>
          <w:rPr>
            <w:noProof/>
            <w:webHidden/>
          </w:rPr>
          <w:fldChar w:fldCharType="begin"/>
        </w:r>
        <w:r>
          <w:rPr>
            <w:noProof/>
            <w:webHidden/>
          </w:rPr>
          <w:instrText xml:space="preserve"> PAGEREF _Toc181796502 \h </w:instrText>
        </w:r>
        <w:r>
          <w:rPr>
            <w:noProof/>
            <w:webHidden/>
          </w:rPr>
        </w:r>
        <w:r>
          <w:rPr>
            <w:noProof/>
            <w:webHidden/>
          </w:rPr>
          <w:fldChar w:fldCharType="separate"/>
        </w:r>
        <w:r w:rsidR="005F69AF">
          <w:rPr>
            <w:noProof/>
            <w:webHidden/>
          </w:rPr>
          <w:t>6</w:t>
        </w:r>
        <w:r>
          <w:rPr>
            <w:noProof/>
            <w:webHidden/>
          </w:rPr>
          <w:fldChar w:fldCharType="end"/>
        </w:r>
      </w:hyperlink>
    </w:p>
    <w:p w14:paraId="5278DAFF" w14:textId="7B08241C"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03" w:history="1">
        <w:r w:rsidRPr="00CC0E4F">
          <w:rPr>
            <w:rStyle w:val="Hyperlink"/>
            <w:noProof/>
          </w:rPr>
          <w:t>2.1</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Criterios de calidad de funcionamiento</w:t>
        </w:r>
        <w:r>
          <w:rPr>
            <w:noProof/>
            <w:webHidden/>
          </w:rPr>
          <w:tab/>
        </w:r>
        <w:r>
          <w:rPr>
            <w:noProof/>
            <w:webHidden/>
          </w:rPr>
          <w:tab/>
        </w:r>
        <w:r>
          <w:rPr>
            <w:noProof/>
            <w:webHidden/>
          </w:rPr>
          <w:fldChar w:fldCharType="begin"/>
        </w:r>
        <w:r>
          <w:rPr>
            <w:noProof/>
            <w:webHidden/>
          </w:rPr>
          <w:instrText xml:space="preserve"> PAGEREF _Toc181796503 \h </w:instrText>
        </w:r>
        <w:r>
          <w:rPr>
            <w:noProof/>
            <w:webHidden/>
          </w:rPr>
        </w:r>
        <w:r>
          <w:rPr>
            <w:noProof/>
            <w:webHidden/>
          </w:rPr>
          <w:fldChar w:fldCharType="separate"/>
        </w:r>
        <w:r w:rsidR="005F69AF">
          <w:rPr>
            <w:noProof/>
            <w:webHidden/>
          </w:rPr>
          <w:t>6</w:t>
        </w:r>
        <w:r>
          <w:rPr>
            <w:noProof/>
            <w:webHidden/>
          </w:rPr>
          <w:fldChar w:fldCharType="end"/>
        </w:r>
      </w:hyperlink>
    </w:p>
    <w:p w14:paraId="01765237" w14:textId="75DE4145"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04" w:history="1">
        <w:r w:rsidRPr="00CC0E4F">
          <w:rPr>
            <w:rStyle w:val="Hyperlink"/>
            <w:noProof/>
          </w:rPr>
          <w:t>2.2</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Criterios de interferencia</w:t>
        </w:r>
        <w:r>
          <w:rPr>
            <w:noProof/>
            <w:webHidden/>
          </w:rPr>
          <w:tab/>
        </w:r>
        <w:r>
          <w:rPr>
            <w:noProof/>
            <w:webHidden/>
          </w:rPr>
          <w:tab/>
        </w:r>
        <w:r>
          <w:rPr>
            <w:noProof/>
            <w:webHidden/>
          </w:rPr>
          <w:fldChar w:fldCharType="begin"/>
        </w:r>
        <w:r>
          <w:rPr>
            <w:noProof/>
            <w:webHidden/>
          </w:rPr>
          <w:instrText xml:space="preserve"> PAGEREF _Toc181796504 \h </w:instrText>
        </w:r>
        <w:r>
          <w:rPr>
            <w:noProof/>
            <w:webHidden/>
          </w:rPr>
        </w:r>
        <w:r>
          <w:rPr>
            <w:noProof/>
            <w:webHidden/>
          </w:rPr>
          <w:fldChar w:fldCharType="separate"/>
        </w:r>
        <w:r w:rsidR="005F69AF">
          <w:rPr>
            <w:noProof/>
            <w:webHidden/>
          </w:rPr>
          <w:t>6</w:t>
        </w:r>
        <w:r>
          <w:rPr>
            <w:noProof/>
            <w:webHidden/>
          </w:rPr>
          <w:fldChar w:fldCharType="end"/>
        </w:r>
      </w:hyperlink>
    </w:p>
    <w:p w14:paraId="333CB8D6" w14:textId="0AF3F892" w:rsidR="00C42A56" w:rsidRDefault="00C42A56">
      <w:pPr>
        <w:pStyle w:val="TOC1"/>
        <w:rPr>
          <w:rFonts w:asciiTheme="minorHAnsi" w:eastAsiaTheme="minorEastAsia" w:hAnsiTheme="minorHAnsi" w:cstheme="minorBidi"/>
          <w:noProof/>
          <w:kern w:val="2"/>
          <w:szCs w:val="24"/>
          <w:lang w:val="en-GB" w:eastAsia="en-GB"/>
          <w14:ligatures w14:val="standardContextual"/>
        </w:rPr>
      </w:pPr>
      <w:hyperlink w:anchor="_Toc181796505" w:history="1">
        <w:r w:rsidRPr="00CC0E4F">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Dispersímetros</w:t>
        </w:r>
        <w:r>
          <w:rPr>
            <w:noProof/>
            <w:webHidden/>
          </w:rPr>
          <w:tab/>
        </w:r>
        <w:r>
          <w:rPr>
            <w:noProof/>
            <w:webHidden/>
          </w:rPr>
          <w:tab/>
        </w:r>
        <w:r>
          <w:rPr>
            <w:noProof/>
            <w:webHidden/>
          </w:rPr>
          <w:fldChar w:fldCharType="begin"/>
        </w:r>
        <w:r>
          <w:rPr>
            <w:noProof/>
            <w:webHidden/>
          </w:rPr>
          <w:instrText xml:space="preserve"> PAGEREF _Toc181796505 \h </w:instrText>
        </w:r>
        <w:r>
          <w:rPr>
            <w:noProof/>
            <w:webHidden/>
          </w:rPr>
        </w:r>
        <w:r>
          <w:rPr>
            <w:noProof/>
            <w:webHidden/>
          </w:rPr>
          <w:fldChar w:fldCharType="separate"/>
        </w:r>
        <w:r w:rsidR="005F69AF">
          <w:rPr>
            <w:noProof/>
            <w:webHidden/>
          </w:rPr>
          <w:t>8</w:t>
        </w:r>
        <w:r>
          <w:rPr>
            <w:noProof/>
            <w:webHidden/>
          </w:rPr>
          <w:fldChar w:fldCharType="end"/>
        </w:r>
      </w:hyperlink>
    </w:p>
    <w:p w14:paraId="3B8BADB4" w14:textId="55EF90E9"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06" w:history="1">
        <w:r w:rsidRPr="00CC0E4F">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Criterios de calidad de funcionamiento</w:t>
        </w:r>
        <w:r>
          <w:rPr>
            <w:noProof/>
            <w:webHidden/>
          </w:rPr>
          <w:tab/>
        </w:r>
        <w:r>
          <w:rPr>
            <w:noProof/>
            <w:webHidden/>
          </w:rPr>
          <w:tab/>
        </w:r>
        <w:r>
          <w:rPr>
            <w:noProof/>
            <w:webHidden/>
          </w:rPr>
          <w:fldChar w:fldCharType="begin"/>
        </w:r>
        <w:r>
          <w:rPr>
            <w:noProof/>
            <w:webHidden/>
          </w:rPr>
          <w:instrText xml:space="preserve"> PAGEREF _Toc181796506 \h </w:instrText>
        </w:r>
        <w:r>
          <w:rPr>
            <w:noProof/>
            <w:webHidden/>
          </w:rPr>
        </w:r>
        <w:r>
          <w:rPr>
            <w:noProof/>
            <w:webHidden/>
          </w:rPr>
          <w:fldChar w:fldCharType="separate"/>
        </w:r>
        <w:r w:rsidR="005F69AF">
          <w:rPr>
            <w:noProof/>
            <w:webHidden/>
          </w:rPr>
          <w:t>8</w:t>
        </w:r>
        <w:r>
          <w:rPr>
            <w:noProof/>
            <w:webHidden/>
          </w:rPr>
          <w:fldChar w:fldCharType="end"/>
        </w:r>
      </w:hyperlink>
    </w:p>
    <w:p w14:paraId="7893AE10" w14:textId="5CBC9F65"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07" w:history="1">
        <w:r w:rsidRPr="00CC0E4F">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Criterios de interferencia</w:t>
        </w:r>
        <w:r>
          <w:rPr>
            <w:noProof/>
            <w:webHidden/>
          </w:rPr>
          <w:tab/>
        </w:r>
        <w:r>
          <w:rPr>
            <w:noProof/>
            <w:webHidden/>
          </w:rPr>
          <w:tab/>
        </w:r>
        <w:r>
          <w:rPr>
            <w:noProof/>
            <w:webHidden/>
          </w:rPr>
          <w:fldChar w:fldCharType="begin"/>
        </w:r>
        <w:r>
          <w:rPr>
            <w:noProof/>
            <w:webHidden/>
          </w:rPr>
          <w:instrText xml:space="preserve"> PAGEREF _Toc181796507 \h </w:instrText>
        </w:r>
        <w:r>
          <w:rPr>
            <w:noProof/>
            <w:webHidden/>
          </w:rPr>
        </w:r>
        <w:r>
          <w:rPr>
            <w:noProof/>
            <w:webHidden/>
          </w:rPr>
          <w:fldChar w:fldCharType="separate"/>
        </w:r>
        <w:r w:rsidR="005F69AF">
          <w:rPr>
            <w:noProof/>
            <w:webHidden/>
          </w:rPr>
          <w:t>10</w:t>
        </w:r>
        <w:r>
          <w:rPr>
            <w:noProof/>
            <w:webHidden/>
          </w:rPr>
          <w:fldChar w:fldCharType="end"/>
        </w:r>
      </w:hyperlink>
    </w:p>
    <w:p w14:paraId="548991E6" w14:textId="4E3275F3" w:rsidR="00C42A56" w:rsidRDefault="00C42A56">
      <w:pPr>
        <w:pStyle w:val="TOC1"/>
        <w:rPr>
          <w:rFonts w:asciiTheme="minorHAnsi" w:eastAsiaTheme="minorEastAsia" w:hAnsiTheme="minorHAnsi" w:cstheme="minorBidi"/>
          <w:noProof/>
          <w:kern w:val="2"/>
          <w:szCs w:val="24"/>
          <w:lang w:val="en-GB" w:eastAsia="en-GB"/>
          <w14:ligatures w14:val="standardContextual"/>
        </w:rPr>
      </w:pPr>
      <w:hyperlink w:anchor="_Toc181796508" w:history="1">
        <w:r w:rsidRPr="00CC0E4F">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Radares de medición de las precipitaciones</w:t>
        </w:r>
        <w:r>
          <w:rPr>
            <w:noProof/>
            <w:webHidden/>
          </w:rPr>
          <w:tab/>
        </w:r>
        <w:r>
          <w:rPr>
            <w:noProof/>
            <w:webHidden/>
          </w:rPr>
          <w:tab/>
        </w:r>
        <w:r>
          <w:rPr>
            <w:noProof/>
            <w:webHidden/>
          </w:rPr>
          <w:fldChar w:fldCharType="begin"/>
        </w:r>
        <w:r>
          <w:rPr>
            <w:noProof/>
            <w:webHidden/>
          </w:rPr>
          <w:instrText xml:space="preserve"> PAGEREF _Toc181796508 \h </w:instrText>
        </w:r>
        <w:r>
          <w:rPr>
            <w:noProof/>
            <w:webHidden/>
          </w:rPr>
        </w:r>
        <w:r>
          <w:rPr>
            <w:noProof/>
            <w:webHidden/>
          </w:rPr>
          <w:fldChar w:fldCharType="separate"/>
        </w:r>
        <w:r w:rsidR="005F69AF">
          <w:rPr>
            <w:noProof/>
            <w:webHidden/>
          </w:rPr>
          <w:t>11</w:t>
        </w:r>
        <w:r>
          <w:rPr>
            <w:noProof/>
            <w:webHidden/>
          </w:rPr>
          <w:fldChar w:fldCharType="end"/>
        </w:r>
      </w:hyperlink>
    </w:p>
    <w:p w14:paraId="3CAF0896" w14:textId="3C5E8976"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09" w:history="1">
        <w:r w:rsidRPr="00CC0E4F">
          <w:rPr>
            <w:rStyle w:val="Hyperlink"/>
            <w:noProof/>
          </w:rPr>
          <w:t>4.1</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Radares de precipitación basados en DPR-GPM</w:t>
        </w:r>
        <w:r>
          <w:rPr>
            <w:noProof/>
            <w:webHidden/>
          </w:rPr>
          <w:tab/>
        </w:r>
        <w:r>
          <w:rPr>
            <w:noProof/>
            <w:webHidden/>
          </w:rPr>
          <w:tab/>
        </w:r>
        <w:r>
          <w:rPr>
            <w:noProof/>
            <w:webHidden/>
          </w:rPr>
          <w:fldChar w:fldCharType="begin"/>
        </w:r>
        <w:r>
          <w:rPr>
            <w:noProof/>
            <w:webHidden/>
          </w:rPr>
          <w:instrText xml:space="preserve"> PAGEREF _Toc181796509 \h </w:instrText>
        </w:r>
        <w:r>
          <w:rPr>
            <w:noProof/>
            <w:webHidden/>
          </w:rPr>
        </w:r>
        <w:r>
          <w:rPr>
            <w:noProof/>
            <w:webHidden/>
          </w:rPr>
          <w:fldChar w:fldCharType="separate"/>
        </w:r>
        <w:r w:rsidR="005F69AF">
          <w:rPr>
            <w:noProof/>
            <w:webHidden/>
          </w:rPr>
          <w:t>12</w:t>
        </w:r>
        <w:r>
          <w:rPr>
            <w:noProof/>
            <w:webHidden/>
          </w:rPr>
          <w:fldChar w:fldCharType="end"/>
        </w:r>
      </w:hyperlink>
    </w:p>
    <w:p w14:paraId="21E928C7" w14:textId="632A7448" w:rsidR="00C42A56" w:rsidRDefault="00C42A56">
      <w:pPr>
        <w:pStyle w:val="TOC1"/>
        <w:rPr>
          <w:rFonts w:asciiTheme="minorHAnsi" w:eastAsiaTheme="minorEastAsia" w:hAnsiTheme="minorHAnsi" w:cstheme="minorBidi"/>
          <w:noProof/>
          <w:kern w:val="2"/>
          <w:szCs w:val="24"/>
          <w:lang w:val="en-GB" w:eastAsia="en-GB"/>
          <w14:ligatures w14:val="standardContextual"/>
        </w:rPr>
      </w:pPr>
      <w:hyperlink w:anchor="_Toc181796510" w:history="1">
        <w:r w:rsidRPr="00CC0E4F">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Radares de apertura sintética</w:t>
        </w:r>
        <w:r>
          <w:rPr>
            <w:noProof/>
            <w:webHidden/>
          </w:rPr>
          <w:tab/>
        </w:r>
        <w:r>
          <w:rPr>
            <w:noProof/>
            <w:webHidden/>
          </w:rPr>
          <w:tab/>
        </w:r>
        <w:r>
          <w:rPr>
            <w:noProof/>
            <w:webHidden/>
          </w:rPr>
          <w:fldChar w:fldCharType="begin"/>
        </w:r>
        <w:r>
          <w:rPr>
            <w:noProof/>
            <w:webHidden/>
          </w:rPr>
          <w:instrText xml:space="preserve"> PAGEREF _Toc181796510 \h </w:instrText>
        </w:r>
        <w:r>
          <w:rPr>
            <w:noProof/>
            <w:webHidden/>
          </w:rPr>
        </w:r>
        <w:r>
          <w:rPr>
            <w:noProof/>
            <w:webHidden/>
          </w:rPr>
          <w:fldChar w:fldCharType="separate"/>
        </w:r>
        <w:r w:rsidR="005F69AF">
          <w:rPr>
            <w:noProof/>
            <w:webHidden/>
          </w:rPr>
          <w:t>15</w:t>
        </w:r>
        <w:r>
          <w:rPr>
            <w:noProof/>
            <w:webHidden/>
          </w:rPr>
          <w:fldChar w:fldCharType="end"/>
        </w:r>
      </w:hyperlink>
    </w:p>
    <w:p w14:paraId="08CE1C4F" w14:textId="3516D1C2"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11" w:history="1">
        <w:r w:rsidRPr="00CC0E4F">
          <w:rPr>
            <w:rStyle w:val="Hyperlink"/>
            <w:noProof/>
          </w:rPr>
          <w:t>5.1</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Criterios de calidad de funcionamiento de los radares de apertura sintética (SAR)</w:t>
        </w:r>
        <w:r>
          <w:rPr>
            <w:noProof/>
            <w:webHidden/>
          </w:rPr>
          <w:tab/>
        </w:r>
        <w:r>
          <w:rPr>
            <w:noProof/>
            <w:webHidden/>
          </w:rPr>
          <w:tab/>
        </w:r>
        <w:r>
          <w:rPr>
            <w:noProof/>
            <w:webHidden/>
          </w:rPr>
          <w:fldChar w:fldCharType="begin"/>
        </w:r>
        <w:r>
          <w:rPr>
            <w:noProof/>
            <w:webHidden/>
          </w:rPr>
          <w:instrText xml:space="preserve"> PAGEREF _Toc181796511 \h </w:instrText>
        </w:r>
        <w:r>
          <w:rPr>
            <w:noProof/>
            <w:webHidden/>
          </w:rPr>
        </w:r>
        <w:r>
          <w:rPr>
            <w:noProof/>
            <w:webHidden/>
          </w:rPr>
          <w:fldChar w:fldCharType="separate"/>
        </w:r>
        <w:r w:rsidR="005F69AF">
          <w:rPr>
            <w:noProof/>
            <w:webHidden/>
          </w:rPr>
          <w:t>16</w:t>
        </w:r>
        <w:r>
          <w:rPr>
            <w:noProof/>
            <w:webHidden/>
          </w:rPr>
          <w:fldChar w:fldCharType="end"/>
        </w:r>
      </w:hyperlink>
    </w:p>
    <w:p w14:paraId="6620B726" w14:textId="26DDDDC2"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12" w:history="1">
        <w:r w:rsidRPr="00CC0E4F">
          <w:rPr>
            <w:rStyle w:val="Hyperlink"/>
            <w:noProof/>
          </w:rPr>
          <w:t>5.2</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Criterios de interferencia de los SAR</w:t>
        </w:r>
        <w:r>
          <w:rPr>
            <w:noProof/>
            <w:webHidden/>
          </w:rPr>
          <w:tab/>
        </w:r>
        <w:r>
          <w:rPr>
            <w:noProof/>
            <w:webHidden/>
          </w:rPr>
          <w:tab/>
        </w:r>
        <w:r>
          <w:rPr>
            <w:noProof/>
            <w:webHidden/>
          </w:rPr>
          <w:fldChar w:fldCharType="begin"/>
        </w:r>
        <w:r>
          <w:rPr>
            <w:noProof/>
            <w:webHidden/>
          </w:rPr>
          <w:instrText xml:space="preserve"> PAGEREF _Toc181796512 \h </w:instrText>
        </w:r>
        <w:r>
          <w:rPr>
            <w:noProof/>
            <w:webHidden/>
          </w:rPr>
        </w:r>
        <w:r>
          <w:rPr>
            <w:noProof/>
            <w:webHidden/>
          </w:rPr>
          <w:fldChar w:fldCharType="separate"/>
        </w:r>
        <w:r w:rsidR="005F69AF">
          <w:rPr>
            <w:noProof/>
            <w:webHidden/>
          </w:rPr>
          <w:t>16</w:t>
        </w:r>
        <w:r>
          <w:rPr>
            <w:noProof/>
            <w:webHidden/>
          </w:rPr>
          <w:fldChar w:fldCharType="end"/>
        </w:r>
      </w:hyperlink>
    </w:p>
    <w:p w14:paraId="101F0C57" w14:textId="61C9235C" w:rsidR="00C42A56" w:rsidRDefault="00C42A56">
      <w:pPr>
        <w:pStyle w:val="TOC1"/>
        <w:rPr>
          <w:rFonts w:asciiTheme="minorHAnsi" w:eastAsiaTheme="minorEastAsia" w:hAnsiTheme="minorHAnsi" w:cstheme="minorBidi"/>
          <w:noProof/>
          <w:kern w:val="2"/>
          <w:szCs w:val="24"/>
          <w:lang w:val="en-GB" w:eastAsia="en-GB"/>
          <w14:ligatures w14:val="standardContextual"/>
        </w:rPr>
      </w:pPr>
      <w:hyperlink w:anchor="_Toc181796513" w:history="1">
        <w:r w:rsidRPr="00CC0E4F">
          <w:rPr>
            <w:rStyle w:val="Hyperlink"/>
            <w:noProof/>
          </w:rPr>
          <w:t>6</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Radares de perfil de nube</w:t>
        </w:r>
        <w:r>
          <w:rPr>
            <w:noProof/>
            <w:webHidden/>
          </w:rPr>
          <w:tab/>
        </w:r>
        <w:r>
          <w:rPr>
            <w:noProof/>
            <w:webHidden/>
          </w:rPr>
          <w:tab/>
        </w:r>
        <w:r>
          <w:rPr>
            <w:noProof/>
            <w:webHidden/>
          </w:rPr>
          <w:fldChar w:fldCharType="begin"/>
        </w:r>
        <w:r>
          <w:rPr>
            <w:noProof/>
            <w:webHidden/>
          </w:rPr>
          <w:instrText xml:space="preserve"> PAGEREF _Toc181796513 \h </w:instrText>
        </w:r>
        <w:r>
          <w:rPr>
            <w:noProof/>
            <w:webHidden/>
          </w:rPr>
        </w:r>
        <w:r>
          <w:rPr>
            <w:noProof/>
            <w:webHidden/>
          </w:rPr>
          <w:fldChar w:fldCharType="separate"/>
        </w:r>
        <w:r w:rsidR="005F69AF">
          <w:rPr>
            <w:noProof/>
            <w:webHidden/>
          </w:rPr>
          <w:t>21</w:t>
        </w:r>
        <w:r>
          <w:rPr>
            <w:noProof/>
            <w:webHidden/>
          </w:rPr>
          <w:fldChar w:fldCharType="end"/>
        </w:r>
      </w:hyperlink>
    </w:p>
    <w:p w14:paraId="12292FCA" w14:textId="4E17E737"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14" w:history="1">
        <w:r w:rsidRPr="00CC0E4F">
          <w:rPr>
            <w:rStyle w:val="Hyperlink"/>
            <w:noProof/>
          </w:rPr>
          <w:t>6.1</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Criterios de calidad de funcionamiento de los radares de perfil de nube a 94</w:t>
        </w:r>
        <w:r>
          <w:rPr>
            <w:rStyle w:val="Hyperlink"/>
            <w:noProof/>
          </w:rPr>
          <w:t> </w:t>
        </w:r>
        <w:r w:rsidRPr="00CC0E4F">
          <w:rPr>
            <w:rStyle w:val="Hyperlink"/>
            <w:noProof/>
          </w:rPr>
          <w:t>GHz</w:t>
        </w:r>
        <w:r>
          <w:rPr>
            <w:noProof/>
            <w:webHidden/>
          </w:rPr>
          <w:tab/>
        </w:r>
        <w:r>
          <w:rPr>
            <w:noProof/>
            <w:webHidden/>
          </w:rPr>
          <w:tab/>
        </w:r>
        <w:r>
          <w:rPr>
            <w:noProof/>
            <w:webHidden/>
          </w:rPr>
          <w:fldChar w:fldCharType="begin"/>
        </w:r>
        <w:r>
          <w:rPr>
            <w:noProof/>
            <w:webHidden/>
          </w:rPr>
          <w:instrText xml:space="preserve"> PAGEREF _Toc181796514 \h </w:instrText>
        </w:r>
        <w:r>
          <w:rPr>
            <w:noProof/>
            <w:webHidden/>
          </w:rPr>
        </w:r>
        <w:r>
          <w:rPr>
            <w:noProof/>
            <w:webHidden/>
          </w:rPr>
          <w:fldChar w:fldCharType="separate"/>
        </w:r>
        <w:r w:rsidR="005F69AF">
          <w:rPr>
            <w:noProof/>
            <w:webHidden/>
          </w:rPr>
          <w:t>21</w:t>
        </w:r>
        <w:r>
          <w:rPr>
            <w:noProof/>
            <w:webHidden/>
          </w:rPr>
          <w:fldChar w:fldCharType="end"/>
        </w:r>
      </w:hyperlink>
    </w:p>
    <w:p w14:paraId="511B051D" w14:textId="6136137A"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15" w:history="1">
        <w:r w:rsidRPr="00CC0E4F">
          <w:rPr>
            <w:rStyle w:val="Hyperlink"/>
            <w:noProof/>
          </w:rPr>
          <w:t>6.2</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Criterios de interferencia de los radares de perfil de nube que funcionan a 94</w:t>
        </w:r>
        <w:r>
          <w:rPr>
            <w:rStyle w:val="Hyperlink"/>
            <w:noProof/>
          </w:rPr>
          <w:t> </w:t>
        </w:r>
        <w:r w:rsidRPr="00CC0E4F">
          <w:rPr>
            <w:rStyle w:val="Hyperlink"/>
            <w:noProof/>
          </w:rPr>
          <w:t>GHz</w:t>
        </w:r>
        <w:r>
          <w:rPr>
            <w:noProof/>
            <w:webHidden/>
          </w:rPr>
          <w:tab/>
        </w:r>
        <w:r>
          <w:rPr>
            <w:noProof/>
            <w:webHidden/>
          </w:rPr>
          <w:tab/>
        </w:r>
        <w:r>
          <w:rPr>
            <w:noProof/>
            <w:webHidden/>
          </w:rPr>
          <w:fldChar w:fldCharType="begin"/>
        </w:r>
        <w:r>
          <w:rPr>
            <w:noProof/>
            <w:webHidden/>
          </w:rPr>
          <w:instrText xml:space="preserve"> PAGEREF _Toc181796515 \h </w:instrText>
        </w:r>
        <w:r>
          <w:rPr>
            <w:noProof/>
            <w:webHidden/>
          </w:rPr>
        </w:r>
        <w:r>
          <w:rPr>
            <w:noProof/>
            <w:webHidden/>
          </w:rPr>
          <w:fldChar w:fldCharType="separate"/>
        </w:r>
        <w:r w:rsidR="005F69AF">
          <w:rPr>
            <w:noProof/>
            <w:webHidden/>
          </w:rPr>
          <w:t>21</w:t>
        </w:r>
        <w:r>
          <w:rPr>
            <w:noProof/>
            <w:webHidden/>
          </w:rPr>
          <w:fldChar w:fldCharType="end"/>
        </w:r>
      </w:hyperlink>
    </w:p>
    <w:p w14:paraId="14A0143C" w14:textId="05F7C160"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16" w:history="1">
        <w:r w:rsidRPr="00CC0E4F">
          <w:rPr>
            <w:rStyle w:val="Hyperlink"/>
            <w:noProof/>
          </w:rPr>
          <w:t>6.3</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Criterios de disponibilidad de los radares de perfil de nube</w:t>
        </w:r>
        <w:r>
          <w:rPr>
            <w:noProof/>
            <w:webHidden/>
          </w:rPr>
          <w:tab/>
        </w:r>
        <w:r>
          <w:rPr>
            <w:noProof/>
            <w:webHidden/>
          </w:rPr>
          <w:tab/>
        </w:r>
        <w:r>
          <w:rPr>
            <w:noProof/>
            <w:webHidden/>
          </w:rPr>
          <w:fldChar w:fldCharType="begin"/>
        </w:r>
        <w:r>
          <w:rPr>
            <w:noProof/>
            <w:webHidden/>
          </w:rPr>
          <w:instrText xml:space="preserve"> PAGEREF _Toc181796516 \h </w:instrText>
        </w:r>
        <w:r>
          <w:rPr>
            <w:noProof/>
            <w:webHidden/>
          </w:rPr>
        </w:r>
        <w:r>
          <w:rPr>
            <w:noProof/>
            <w:webHidden/>
          </w:rPr>
          <w:fldChar w:fldCharType="separate"/>
        </w:r>
        <w:r w:rsidR="005F69AF">
          <w:rPr>
            <w:noProof/>
            <w:webHidden/>
          </w:rPr>
          <w:t>22</w:t>
        </w:r>
        <w:r>
          <w:rPr>
            <w:noProof/>
            <w:webHidden/>
          </w:rPr>
          <w:fldChar w:fldCharType="end"/>
        </w:r>
      </w:hyperlink>
    </w:p>
    <w:p w14:paraId="5C350E72" w14:textId="0F336CA6" w:rsidR="00C42A56" w:rsidRDefault="00C42A56">
      <w:pPr>
        <w:pStyle w:val="TOC1"/>
        <w:rPr>
          <w:rFonts w:asciiTheme="minorHAnsi" w:eastAsiaTheme="minorEastAsia" w:hAnsiTheme="minorHAnsi" w:cstheme="minorBidi"/>
          <w:noProof/>
          <w:kern w:val="2"/>
          <w:szCs w:val="24"/>
          <w:lang w:val="en-GB" w:eastAsia="en-GB"/>
          <w14:ligatures w14:val="standardContextual"/>
        </w:rPr>
      </w:pPr>
      <w:hyperlink w:anchor="_Toc181796517" w:history="1">
        <w:r w:rsidRPr="00CC0E4F">
          <w:rPr>
            <w:rStyle w:val="Hyperlink"/>
            <w:noProof/>
          </w:rPr>
          <w:t>7</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Zona de medición de interés para la evaluación de la interferencia sistemática</w:t>
        </w:r>
        <w:r>
          <w:rPr>
            <w:noProof/>
            <w:webHidden/>
          </w:rPr>
          <w:tab/>
        </w:r>
        <w:r>
          <w:rPr>
            <w:noProof/>
            <w:webHidden/>
          </w:rPr>
          <w:tab/>
        </w:r>
        <w:r>
          <w:rPr>
            <w:noProof/>
            <w:webHidden/>
          </w:rPr>
          <w:fldChar w:fldCharType="begin"/>
        </w:r>
        <w:r>
          <w:rPr>
            <w:noProof/>
            <w:webHidden/>
          </w:rPr>
          <w:instrText xml:space="preserve"> PAGEREF _Toc181796517 \h </w:instrText>
        </w:r>
        <w:r>
          <w:rPr>
            <w:noProof/>
            <w:webHidden/>
          </w:rPr>
        </w:r>
        <w:r>
          <w:rPr>
            <w:noProof/>
            <w:webHidden/>
          </w:rPr>
          <w:fldChar w:fldCharType="separate"/>
        </w:r>
        <w:r w:rsidR="005F69AF">
          <w:rPr>
            <w:noProof/>
            <w:webHidden/>
          </w:rPr>
          <w:t>22</w:t>
        </w:r>
        <w:r>
          <w:rPr>
            <w:noProof/>
            <w:webHidden/>
          </w:rPr>
          <w:fldChar w:fldCharType="end"/>
        </w:r>
      </w:hyperlink>
    </w:p>
    <w:p w14:paraId="7A7824A5" w14:textId="079C27DD" w:rsidR="00C42A56" w:rsidRDefault="00C42A56">
      <w:pPr>
        <w:pStyle w:val="TOC1"/>
        <w:rPr>
          <w:rFonts w:asciiTheme="minorHAnsi" w:eastAsiaTheme="minorEastAsia" w:hAnsiTheme="minorHAnsi" w:cstheme="minorBidi"/>
          <w:noProof/>
          <w:kern w:val="2"/>
          <w:szCs w:val="24"/>
          <w:lang w:val="en-GB" w:eastAsia="en-GB"/>
          <w14:ligatures w14:val="standardContextual"/>
        </w:rPr>
      </w:pPr>
      <w:hyperlink w:anchor="_Toc181796518" w:history="1">
        <w:r w:rsidRPr="00CC0E4F">
          <w:rPr>
            <w:rStyle w:val="Hyperlink"/>
            <w:noProof/>
          </w:rPr>
          <w:t>8</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Aspectos relativos a la interferencia transitoria por impulsos</w:t>
        </w:r>
        <w:r>
          <w:rPr>
            <w:noProof/>
            <w:webHidden/>
          </w:rPr>
          <w:tab/>
        </w:r>
        <w:r>
          <w:rPr>
            <w:noProof/>
            <w:webHidden/>
          </w:rPr>
          <w:tab/>
        </w:r>
        <w:r>
          <w:rPr>
            <w:noProof/>
            <w:webHidden/>
          </w:rPr>
          <w:fldChar w:fldCharType="begin"/>
        </w:r>
        <w:r>
          <w:rPr>
            <w:noProof/>
            <w:webHidden/>
          </w:rPr>
          <w:instrText xml:space="preserve"> PAGEREF _Toc181796518 \h </w:instrText>
        </w:r>
        <w:r>
          <w:rPr>
            <w:noProof/>
            <w:webHidden/>
          </w:rPr>
        </w:r>
        <w:r>
          <w:rPr>
            <w:noProof/>
            <w:webHidden/>
          </w:rPr>
          <w:fldChar w:fldCharType="separate"/>
        </w:r>
        <w:r w:rsidR="005F69AF">
          <w:rPr>
            <w:noProof/>
            <w:webHidden/>
          </w:rPr>
          <w:t>22</w:t>
        </w:r>
        <w:r>
          <w:rPr>
            <w:noProof/>
            <w:webHidden/>
          </w:rPr>
          <w:fldChar w:fldCharType="end"/>
        </w:r>
      </w:hyperlink>
    </w:p>
    <w:p w14:paraId="6E22CA18" w14:textId="24208C2B" w:rsidR="00C42A56" w:rsidRDefault="00C42A56">
      <w:pPr>
        <w:pStyle w:val="TOC2"/>
        <w:rPr>
          <w:rFonts w:asciiTheme="minorHAnsi" w:eastAsiaTheme="minorEastAsia" w:hAnsiTheme="minorHAnsi" w:cstheme="minorBidi"/>
          <w:noProof/>
          <w:kern w:val="2"/>
          <w:szCs w:val="24"/>
          <w:lang w:val="en-GB" w:eastAsia="en-GB"/>
          <w14:ligatures w14:val="standardContextual"/>
        </w:rPr>
      </w:pPr>
      <w:hyperlink w:anchor="_Toc181796519" w:history="1">
        <w:r w:rsidRPr="00CC0E4F">
          <w:rPr>
            <w:rStyle w:val="Hyperlink"/>
            <w:noProof/>
          </w:rPr>
          <w:t>8.1</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Determinación del valor de cresta de la potencia transitoria para determinados métodos de modulación</w:t>
        </w:r>
        <w:r>
          <w:rPr>
            <w:noProof/>
            <w:webHidden/>
          </w:rPr>
          <w:tab/>
        </w:r>
        <w:r>
          <w:rPr>
            <w:noProof/>
            <w:webHidden/>
          </w:rPr>
          <w:tab/>
        </w:r>
        <w:r>
          <w:rPr>
            <w:noProof/>
            <w:webHidden/>
          </w:rPr>
          <w:fldChar w:fldCharType="begin"/>
        </w:r>
        <w:r>
          <w:rPr>
            <w:noProof/>
            <w:webHidden/>
          </w:rPr>
          <w:instrText xml:space="preserve"> PAGEREF _Toc181796519 \h </w:instrText>
        </w:r>
        <w:r>
          <w:rPr>
            <w:noProof/>
            <w:webHidden/>
          </w:rPr>
        </w:r>
        <w:r>
          <w:rPr>
            <w:noProof/>
            <w:webHidden/>
          </w:rPr>
          <w:fldChar w:fldCharType="separate"/>
        </w:r>
        <w:r w:rsidR="005F69AF">
          <w:rPr>
            <w:noProof/>
            <w:webHidden/>
          </w:rPr>
          <w:t>23</w:t>
        </w:r>
        <w:r>
          <w:rPr>
            <w:noProof/>
            <w:webHidden/>
          </w:rPr>
          <w:fldChar w:fldCharType="end"/>
        </w:r>
      </w:hyperlink>
    </w:p>
    <w:p w14:paraId="47AFFA2C" w14:textId="23B193A2" w:rsidR="00C42A56" w:rsidRDefault="00C42A56">
      <w:pPr>
        <w:pStyle w:val="TOC1"/>
        <w:rPr>
          <w:rFonts w:asciiTheme="minorHAnsi" w:eastAsiaTheme="minorEastAsia" w:hAnsiTheme="minorHAnsi" w:cstheme="minorBidi"/>
          <w:noProof/>
          <w:kern w:val="2"/>
          <w:szCs w:val="24"/>
          <w:lang w:val="en-GB" w:eastAsia="en-GB"/>
          <w14:ligatures w14:val="standardContextual"/>
        </w:rPr>
      </w:pPr>
      <w:hyperlink w:anchor="_Toc181796520" w:history="1">
        <w:r w:rsidRPr="00CC0E4F">
          <w:rPr>
            <w:rStyle w:val="Hyperlink"/>
            <w:noProof/>
          </w:rPr>
          <w:t>9</w:t>
        </w:r>
        <w:r>
          <w:rPr>
            <w:rFonts w:asciiTheme="minorHAnsi" w:eastAsiaTheme="minorEastAsia" w:hAnsiTheme="minorHAnsi" w:cstheme="minorBidi"/>
            <w:noProof/>
            <w:kern w:val="2"/>
            <w:szCs w:val="24"/>
            <w:lang w:val="en-GB" w:eastAsia="en-GB"/>
            <w14:ligatures w14:val="standardContextual"/>
          </w:rPr>
          <w:tab/>
        </w:r>
        <w:r w:rsidRPr="00CC0E4F">
          <w:rPr>
            <w:rStyle w:val="Hyperlink"/>
            <w:noProof/>
          </w:rPr>
          <w:t>Parámetros habituales de los sensores del SETS (activo) que pueden utilizarse para determinar los efectos de cada tipo de interferencia</w:t>
        </w:r>
        <w:r>
          <w:rPr>
            <w:noProof/>
            <w:webHidden/>
          </w:rPr>
          <w:tab/>
        </w:r>
        <w:r>
          <w:rPr>
            <w:noProof/>
            <w:webHidden/>
          </w:rPr>
          <w:tab/>
        </w:r>
        <w:r>
          <w:rPr>
            <w:noProof/>
            <w:webHidden/>
          </w:rPr>
          <w:fldChar w:fldCharType="begin"/>
        </w:r>
        <w:r>
          <w:rPr>
            <w:noProof/>
            <w:webHidden/>
          </w:rPr>
          <w:instrText xml:space="preserve"> PAGEREF _Toc181796520 \h </w:instrText>
        </w:r>
        <w:r>
          <w:rPr>
            <w:noProof/>
            <w:webHidden/>
          </w:rPr>
        </w:r>
        <w:r>
          <w:rPr>
            <w:noProof/>
            <w:webHidden/>
          </w:rPr>
          <w:fldChar w:fldCharType="separate"/>
        </w:r>
        <w:r w:rsidR="005F69AF">
          <w:rPr>
            <w:noProof/>
            <w:webHidden/>
          </w:rPr>
          <w:t>25</w:t>
        </w:r>
        <w:r>
          <w:rPr>
            <w:noProof/>
            <w:webHidden/>
          </w:rPr>
          <w:fldChar w:fldCharType="end"/>
        </w:r>
      </w:hyperlink>
    </w:p>
    <w:p w14:paraId="47019E64" w14:textId="451D42C6" w:rsidR="00923BC2" w:rsidRDefault="00C42A56" w:rsidP="00923BC2">
      <w:r>
        <w:fldChar w:fldCharType="end"/>
      </w:r>
    </w:p>
    <w:p w14:paraId="7CE99251" w14:textId="77777777" w:rsidR="003510BF" w:rsidRPr="005270E0" w:rsidRDefault="003510BF" w:rsidP="003510BF">
      <w:pPr>
        <w:pStyle w:val="Heading1"/>
      </w:pPr>
      <w:bookmarkStart w:id="13" w:name="_Toc393184791"/>
      <w:bookmarkStart w:id="14" w:name="_Toc181637170"/>
      <w:bookmarkStart w:id="15" w:name="_Toc181796500"/>
      <w:r w:rsidRPr="005270E0">
        <w:lastRenderedPageBreak/>
        <w:t>1</w:t>
      </w:r>
      <w:r w:rsidRPr="005270E0">
        <w:tab/>
        <w:t>Introducción</w:t>
      </w:r>
      <w:bookmarkEnd w:id="13"/>
      <w:bookmarkEnd w:id="14"/>
      <w:bookmarkEnd w:id="15"/>
    </w:p>
    <w:p w14:paraId="279F295C" w14:textId="77777777" w:rsidR="003510BF" w:rsidRPr="005270E0" w:rsidRDefault="003510BF" w:rsidP="003510BF">
      <w:r w:rsidRPr="005270E0">
        <w:t>Los criterios de calidad de funcionamiento para sensores activos a bordo de vehículos espaciales son necesarios para desarrollar los criterios de interferencia. A su vez, estos últimos pueden utilizarse para evaluar la compatibilidad de los sistemas de radionavegación y de radiolocalización con sensores activos en las bandas de frecuencias comunes.</w:t>
      </w:r>
    </w:p>
    <w:p w14:paraId="200272AF" w14:textId="77777777" w:rsidR="003510BF" w:rsidRPr="005270E0" w:rsidRDefault="003510BF" w:rsidP="003510BF">
      <w:r w:rsidRPr="005270E0">
        <w:t>En el presente Anexo aparecen las bases técnicas para desarrollar los criterios de calidad de funcionamiento y de interferencia en los diversos tipos de sensores activos a bordo de vehículos espaciales. Los tipos de sensores incluyen altímetros, dispersímetros, radares de medición de las precipitaciones, radares de apertura sintética y radares de perfil de nube.</w:t>
      </w:r>
    </w:p>
    <w:p w14:paraId="18F66943" w14:textId="77777777" w:rsidR="003510BF" w:rsidRPr="005270E0" w:rsidRDefault="003510BF" w:rsidP="003510BF">
      <w:r w:rsidRPr="005270E0">
        <w:t>Los criterios se basan en los diseños de sistemas científicos de sensores activos a bordo de vehículos espaciales actuales o planificados, así como en los requisitos de funcionamiento conexos. Los futuros sistemas científicos de sensores activos a bordo de vehículos espaciales, más allá de los que abordan en esta Recomendación, tendrían que examinarse para determinar si podrían aceptar los mismos niveles de señales interferentes y las correspondientes condiciones espaciales y temporales.</w:t>
      </w:r>
    </w:p>
    <w:p w14:paraId="4030DFF8" w14:textId="77777777" w:rsidR="003510BF" w:rsidRPr="005270E0" w:rsidRDefault="003510BF" w:rsidP="003510BF">
      <w:pPr>
        <w:pStyle w:val="Heading2"/>
      </w:pPr>
      <w:bookmarkStart w:id="16" w:name="_Toc181637171"/>
      <w:bookmarkStart w:id="17" w:name="_Toc181796501"/>
      <w:r w:rsidRPr="005270E0">
        <w:t>1.1</w:t>
      </w:r>
      <w:r w:rsidRPr="005270E0">
        <w:tab/>
        <w:t>Interferencia sistemática o aleatoria</w:t>
      </w:r>
      <w:bookmarkEnd w:id="16"/>
      <w:bookmarkEnd w:id="17"/>
    </w:p>
    <w:p w14:paraId="2E0D0283" w14:textId="77777777" w:rsidR="003510BF" w:rsidRPr="005270E0" w:rsidRDefault="003510BF" w:rsidP="003510BF">
      <w:r w:rsidRPr="005270E0">
        <w:t xml:space="preserve">En virtud de lo establecido en el </w:t>
      </w:r>
      <w:r w:rsidRPr="005270E0">
        <w:rPr>
          <w:i/>
          <w:iCs/>
        </w:rPr>
        <w:t>recomienda</w:t>
      </w:r>
      <w:r w:rsidRPr="005270E0">
        <w:t xml:space="preserve"> 2, los criterios sobre interferencia y disponibilidad de datos que figuran en el Cuadro 2 deben aplicarse a los instrumentos utilizados para la detección activa de la superficie de la Tierra, los océanos y la atmósfera. En el Cuadro 2 se proporcionan los criterios sobre disponibilidad de datos aplicables a dos tipos de interferencia, a saber, sistemática y aleatoria.</w:t>
      </w:r>
    </w:p>
    <w:p w14:paraId="44263820" w14:textId="77777777" w:rsidR="003510BF" w:rsidRPr="005270E0" w:rsidRDefault="003510BF" w:rsidP="003510BF">
      <w:r w:rsidRPr="005270E0">
        <w:t>La interferencia sistemática es la que se produce de forma repetida en el mismo lugar. Al producirse este tipo de interferencia debe aplicarse el criterio sobre disponibilidad de datos que figura en el Cuadro 2, esto es, del 99% para todos los tipos de sensores, salvo para el radar de precipitación, para el que cabe aplicar el 99,8%.</w:t>
      </w:r>
    </w:p>
    <w:p w14:paraId="094409FB" w14:textId="77777777" w:rsidR="003510BF" w:rsidRPr="005270E0" w:rsidRDefault="003510BF" w:rsidP="003510BF">
      <w:r w:rsidRPr="005270E0">
        <w:t>La aplicación de la disponibilidad sistemática de datos a los análisis de compartición y compatibilidad conlleva, en primer lugar, la determinación de la interferencia objeto de análisis en cuanto a su recurrencia para la repetición de la medición del sensor de una ubicación específica. Si se comprueba que dicha interferencia objeto de análisis se repite en las mediciones de los sensores del mismo lugar, pero posiblemente con varios tipos de señal procedentes de ese lugar (por ejemplo, radares con salto de frecuencia o de barrido), se considera que la interferencia es sistemática; en consecuencia, el criterio de disponibilidad de datos de interferencia sistemática debe aplicarse para la evaluación de los resultados del estudio.</w:t>
      </w:r>
    </w:p>
    <w:p w14:paraId="123F9A4F" w14:textId="74C3C64B" w:rsidR="003510BF" w:rsidRPr="005270E0" w:rsidRDefault="003510BF" w:rsidP="003510BF">
      <w:r w:rsidRPr="005270E0">
        <w:t>La interferencia aleatoria es la que provoca interrupciones específicas breves (de 2 segundos, o menos, en la mayor parte de los casos) y que se dispersan aleatoriamente con respecto a todo el per</w:t>
      </w:r>
      <w:r w:rsidR="00C7588C">
        <w:t>i</w:t>
      </w:r>
      <w:r w:rsidRPr="005270E0">
        <w:t>odo de tiempo y a las zonas de observación. A los efectos de los análisis de compartición y compatibilidad realizados, ello es aplicable al tiempo de observación y a la zona de medición escogidos para la evaluación de los criterios de disponibilidad de datos. Habida cuenta de que los efectos de la interferencia aleatoria son menos adversos que los de la sistemática, el criterio de disponibilidad de datos aleatorios en caso de interferencia aleatoria es del 95%, excepto para los radares de precipitación, para los que es del 99,8%.</w:t>
      </w:r>
    </w:p>
    <w:p w14:paraId="2D0F7E0D" w14:textId="77777777" w:rsidR="003510BF" w:rsidRPr="005270E0" w:rsidRDefault="003510BF" w:rsidP="003510BF">
      <w:r w:rsidRPr="005270E0">
        <w:t>La aplicación de la disponibilidad de datos sistemática a los análisis de compartición y compatibilidad conlleva, en primer lugar, determinar el tipo de interferencia que ha de evaluarse, esto es, sistemática o aleatoria. A continuación, el análisis deberá establecer el número de casos de interferencia que superan los criterios relativos al umbral de interferencia que se produce en una zona de medición de interés, y el resumen de resultados deberá facilitar una evaluación de ese resultado con respecto a los criterios de disponibilidad de datos aplicables.</w:t>
      </w:r>
    </w:p>
    <w:p w14:paraId="466378C9" w14:textId="77777777" w:rsidR="003510BF" w:rsidRPr="005270E0" w:rsidRDefault="003510BF" w:rsidP="003510BF">
      <w:pPr>
        <w:pStyle w:val="Heading1"/>
      </w:pPr>
      <w:bookmarkStart w:id="18" w:name="_Toc393184792"/>
      <w:bookmarkStart w:id="19" w:name="_Toc181637172"/>
      <w:bookmarkStart w:id="20" w:name="_Toc181796502"/>
      <w:r w:rsidRPr="005270E0">
        <w:lastRenderedPageBreak/>
        <w:t>2</w:t>
      </w:r>
      <w:r w:rsidRPr="005270E0">
        <w:tab/>
        <w:t>Altímetros</w:t>
      </w:r>
      <w:bookmarkEnd w:id="18"/>
      <w:bookmarkEnd w:id="19"/>
      <w:bookmarkEnd w:id="20"/>
    </w:p>
    <w:p w14:paraId="711D9C78" w14:textId="77777777" w:rsidR="003510BF" w:rsidRPr="005270E0" w:rsidRDefault="003510BF" w:rsidP="003510BF">
      <w:r w:rsidRPr="005270E0">
        <w:t>Este punto contiene información sobre los criterios de calidad de funcionamiento y de interferencia para los altímetros a bordo de vehículos espaciales en las bandas de frecuencias de 3,1</w:t>
      </w:r>
      <w:r w:rsidRPr="005270E0">
        <w:noBreakHyphen/>
        <w:t>3,3 GHz, 5,25-5,57 GHz, 8,55-8,65 GHz, 9,2-10,4 GHz</w:t>
      </w:r>
      <w:r w:rsidRPr="005270E0">
        <w:rPr>
          <w:rStyle w:val="FootnoteReference"/>
        </w:rPr>
        <w:footnoteReference w:id="2"/>
      </w:r>
      <w:r w:rsidRPr="005270E0">
        <w:t>, 13,25</w:t>
      </w:r>
      <w:r w:rsidRPr="005270E0">
        <w:noBreakHyphen/>
        <w:t>13,75 GHz y 35,5-36 GHz.</w:t>
      </w:r>
    </w:p>
    <w:p w14:paraId="1808A58D" w14:textId="77777777" w:rsidR="003510BF" w:rsidRPr="005270E0" w:rsidRDefault="003510BF" w:rsidP="003510BF">
      <w:pPr>
        <w:pStyle w:val="Heading2"/>
      </w:pPr>
      <w:bookmarkStart w:id="21" w:name="_Toc393184793"/>
      <w:bookmarkStart w:id="22" w:name="_Toc181637173"/>
      <w:bookmarkStart w:id="23" w:name="_Toc181796503"/>
      <w:r w:rsidRPr="005270E0">
        <w:t>2.1</w:t>
      </w:r>
      <w:r w:rsidRPr="005270E0">
        <w:tab/>
        <w:t>Criterios de calidad de funcionamiento</w:t>
      </w:r>
      <w:bookmarkEnd w:id="21"/>
      <w:bookmarkEnd w:id="22"/>
      <w:bookmarkEnd w:id="23"/>
    </w:p>
    <w:p w14:paraId="1EC3D2BD" w14:textId="77777777" w:rsidR="003510BF" w:rsidRPr="005270E0" w:rsidRDefault="003510BF" w:rsidP="003510BF">
      <w:r w:rsidRPr="005270E0">
        <w:t>Los altímetros a bordo de vehículos espaciales realizan, tras el procesamiento de los datos, mediciones del nivel del mar con una precisión mínima de 2 a 3 cm, en función de la banda de que se trate. Un aumento de 0,1 cm en el ruido en las mediciones de altura debido a la interferencia no afectaría de forma material a los datos y sería aceptable. Esto es, una degradación del 4% en dicho ruido a raíz de la interferencia podría ser aceptable, puesto que ello no impediría cumplir los objetivos de la misión.</w:t>
      </w:r>
    </w:p>
    <w:p w14:paraId="59785F32" w14:textId="77777777" w:rsidR="003510BF" w:rsidRPr="005270E0" w:rsidRDefault="003510BF" w:rsidP="003510BF">
      <w:r w:rsidRPr="005270E0">
        <w:t>Un requisito de las misiones del altímetro es la adquisición de al menos el 90% de todos los datos posibles sobre los océanos y masas de agua medibles sobre la superficie continental. El objetivo de diseño es superior a dicho requisito mínimo y se ha establecido como la adquisición del 95% de todos los datos posibles medibles. Las observaciones deben realizarse para incluir mediciones lo más próximas posibles a la interfaz tierra-mar (alrededor de 15 km de la interfaz tierra</w:t>
      </w:r>
      <w:r w:rsidRPr="005270E0">
        <w:noBreakHyphen/>
        <w:t>mar se producen distorsiones en la longitud de onda del altímetro y no se puede estimar la altura con precisión). En el balance para determinar las pérdidas de datos deben contemplarse todas las fuentes de pérdidas, incluidas las debidas a los sistemas de los vehículos espaciales, los instrumentos del altímetro, las maniobras, la interferencia, etc.</w:t>
      </w:r>
    </w:p>
    <w:p w14:paraId="79E8E664" w14:textId="0BDA72CE" w:rsidR="003510BF" w:rsidRPr="005270E0" w:rsidRDefault="003510BF" w:rsidP="003510BF">
      <w:r w:rsidRPr="005270E0">
        <w:t>El requisito de disponibilidad para los datos del altímetro es del 95%, suponiendo que las interrupciones individuales asociadas sean breves y aparezcan dispersas de manera aleatoria a lo largo de todos los instantes y zonas de observación (la mayoría de las interrupciones duran 2 s o menos). Cabe tener en cuenta que, pese a determinar si se puede cumplir el requisito de disponibilidad del 95% constituye un análisis relativamente sencillo, es difícil analizar las interrupciones por su característica de dispersión aleatoria a lo largo de todo el per</w:t>
      </w:r>
      <w:r w:rsidR="00C7588C">
        <w:t>i</w:t>
      </w:r>
      <w:r w:rsidRPr="005270E0">
        <w:t>odo de observación y en todas las zonas geográficas</w:t>
      </w:r>
    </w:p>
    <w:p w14:paraId="76DB7360" w14:textId="460F90B3" w:rsidR="003510BF" w:rsidRPr="005270E0" w:rsidRDefault="003510BF" w:rsidP="003510BF">
      <w:r w:rsidRPr="005270E0">
        <w:t>La influencia de la interferencia que siempre está presente en una zona de medición del sensor determinada es mucho más importante que la de la interferencia aleatoria, puesto que nunca pueden obtenerse mediciones válidas para esas zonas geográficas. Para subsanar esa dificultad, el requisito para los altímetros es poder obtener datos válidos para al menos el 99% del per</w:t>
      </w:r>
      <w:r w:rsidR="008A1426">
        <w:t>i</w:t>
      </w:r>
      <w:r w:rsidRPr="005270E0">
        <w:t>odo de tiempo para cada zona de medición de interés.</w:t>
      </w:r>
    </w:p>
    <w:p w14:paraId="5BE61D30" w14:textId="77777777" w:rsidR="003510BF" w:rsidRPr="005270E0" w:rsidRDefault="003510BF" w:rsidP="003510BF">
      <w:pPr>
        <w:pStyle w:val="Heading2"/>
      </w:pPr>
      <w:bookmarkStart w:id="24" w:name="_Toc393184794"/>
      <w:bookmarkStart w:id="25" w:name="_Toc181637174"/>
      <w:bookmarkStart w:id="26" w:name="_Toc181796504"/>
      <w:r w:rsidRPr="005270E0">
        <w:t>2.2</w:t>
      </w:r>
      <w:r w:rsidRPr="005270E0">
        <w:tab/>
        <w:t>Criterios de interferencia</w:t>
      </w:r>
      <w:bookmarkEnd w:id="24"/>
      <w:bookmarkEnd w:id="25"/>
      <w:bookmarkEnd w:id="26"/>
    </w:p>
    <w:p w14:paraId="25FAA942" w14:textId="77777777" w:rsidR="003510BF" w:rsidRPr="005270E0" w:rsidRDefault="003510BF" w:rsidP="003510BF">
      <w:r w:rsidRPr="005270E0">
        <w:t xml:space="preserve">Los altímetros típicos tienen balances del enlace que dan lugar a unas relaciones </w:t>
      </w:r>
      <w:r w:rsidRPr="005270E0">
        <w:rPr>
          <w:i/>
          <w:iCs/>
        </w:rPr>
        <w:t>S</w:t>
      </w:r>
      <w:r w:rsidRPr="005270E0">
        <w:rPr>
          <w:sz w:val="4"/>
        </w:rPr>
        <w:t> </w:t>
      </w:r>
      <w:r w:rsidRPr="005270E0">
        <w:t>/</w:t>
      </w:r>
      <w:r w:rsidRPr="005270E0">
        <w:rPr>
          <w:i/>
        </w:rPr>
        <w:t>N</w:t>
      </w:r>
      <w:r w:rsidRPr="005270E0">
        <w:t xml:space="preserve"> de 13 dB (salvo los altímetros de 35,5</w:t>
      </w:r>
      <w:r w:rsidRPr="005270E0">
        <w:noBreakHyphen/>
        <w:t>36 GHz) en la anchura de banda de la resolución de la gama del receptor de 39,9 dB/Hz (9 772,3 Hz). El ruido en la medición de alturas realizada por el altímetro varía según la fórmula 1 </w:t>
      </w:r>
      <w:r w:rsidRPr="005270E0">
        <w:rPr>
          <w:rFonts w:ascii="Symbol" w:hAnsi="Symbol"/>
        </w:rPr>
        <w:t></w:t>
      </w:r>
      <w:r w:rsidRPr="005270E0">
        <w:t> 2/(</w:t>
      </w:r>
      <w:r w:rsidRPr="005270E0">
        <w:rPr>
          <w:i/>
        </w:rPr>
        <w:t>S</w:t>
      </w:r>
      <w:r w:rsidRPr="005270E0">
        <w:t>/</w:t>
      </w:r>
      <w:r w:rsidRPr="005270E0">
        <w:rPr>
          <w:i/>
        </w:rPr>
        <w:t>N</w:t>
      </w:r>
      <w:r w:rsidRPr="005270E0">
        <w:t xml:space="preserve">). Para una señal de retorno con una </w:t>
      </w:r>
      <w:r w:rsidRPr="005270E0">
        <w:rPr>
          <w:i/>
        </w:rPr>
        <w:t>S</w:t>
      </w:r>
      <w:r w:rsidRPr="005270E0">
        <w:rPr>
          <w:sz w:val="4"/>
        </w:rPr>
        <w:t> </w:t>
      </w:r>
      <w:r w:rsidRPr="005270E0">
        <w:t>/</w:t>
      </w:r>
      <w:r w:rsidRPr="005270E0">
        <w:rPr>
          <w:sz w:val="4"/>
        </w:rPr>
        <w:t> </w:t>
      </w:r>
      <w:r w:rsidRPr="005270E0">
        <w:rPr>
          <w:i/>
        </w:rPr>
        <w:t>N</w:t>
      </w:r>
      <w:r w:rsidRPr="005270E0">
        <w:t xml:space="preserve"> de 13 dB antes de la interferencia, la adición de ésta provoca el siguiente aumento en el ruido de las mediciones de altura, como se señala en el Cuadro 3.</w:t>
      </w:r>
    </w:p>
    <w:p w14:paraId="1C3C1542" w14:textId="77777777" w:rsidR="003510BF" w:rsidRPr="005270E0" w:rsidRDefault="003510BF" w:rsidP="008A1426">
      <w:pPr>
        <w:pStyle w:val="TableNo"/>
      </w:pPr>
      <w:r w:rsidRPr="005270E0">
        <w:lastRenderedPageBreak/>
        <w:t>CUADRO 3</w:t>
      </w:r>
    </w:p>
    <w:p w14:paraId="48083501" w14:textId="3C217690" w:rsidR="003510BF" w:rsidRPr="005270E0" w:rsidRDefault="003510BF" w:rsidP="008A1426">
      <w:pPr>
        <w:pStyle w:val="Tabletitle"/>
        <w:rPr>
          <w:sz w:val="16"/>
          <w:szCs w:val="16"/>
        </w:rPr>
      </w:pPr>
      <w:r w:rsidRPr="005270E0">
        <w:t xml:space="preserve">Aumento en el ruido de las mediciones de altura realizadas mediante el altímetro </w:t>
      </w:r>
      <w:r w:rsidR="008D7920">
        <w:br/>
      </w:r>
      <w:r w:rsidRPr="005270E0">
        <w:t>con respecto al nivel de interferencia</w:t>
      </w:r>
      <w:r w:rsidRPr="005270E0">
        <w:rPr>
          <w:rStyle w:val="FootnoteReference"/>
        </w:rPr>
        <w:footnoteReference w:id="3"/>
      </w:r>
    </w:p>
    <w:tbl>
      <w:tblPr>
        <w:tblW w:w="9639" w:type="dxa"/>
        <w:jc w:val="center"/>
        <w:tblLayout w:type="fixed"/>
        <w:tblCellMar>
          <w:left w:w="107" w:type="dxa"/>
          <w:right w:w="107" w:type="dxa"/>
        </w:tblCellMar>
        <w:tblLook w:val="0000" w:firstRow="0" w:lastRow="0" w:firstColumn="0" w:lastColumn="0" w:noHBand="0" w:noVBand="0"/>
      </w:tblPr>
      <w:tblGrid>
        <w:gridCol w:w="2700"/>
        <w:gridCol w:w="1800"/>
        <w:gridCol w:w="1630"/>
        <w:gridCol w:w="1735"/>
        <w:gridCol w:w="1774"/>
      </w:tblGrid>
      <w:tr w:rsidR="003510BF" w:rsidRPr="005270E0" w14:paraId="355D3E4C" w14:textId="77777777" w:rsidTr="00D35E63">
        <w:trPr>
          <w:cantSplit/>
          <w:jc w:val="center"/>
        </w:trPr>
        <w:tc>
          <w:tcPr>
            <w:tcW w:w="2700" w:type="dxa"/>
            <w:vMerge w:val="restart"/>
            <w:tcBorders>
              <w:top w:val="single" w:sz="6" w:space="0" w:color="auto"/>
              <w:left w:val="single" w:sz="6" w:space="0" w:color="auto"/>
              <w:right w:val="single" w:sz="6" w:space="0" w:color="auto"/>
            </w:tcBorders>
            <w:vAlign w:val="center"/>
          </w:tcPr>
          <w:p w14:paraId="7DE651C2" w14:textId="77777777" w:rsidR="003510BF" w:rsidRPr="005270E0" w:rsidRDefault="003510BF" w:rsidP="008A1426">
            <w:pPr>
              <w:pStyle w:val="Tablehead"/>
              <w:keepLines/>
            </w:pPr>
            <w:r w:rsidRPr="005270E0">
              <w:t>Nivel de interferencia</w:t>
            </w:r>
          </w:p>
        </w:tc>
        <w:tc>
          <w:tcPr>
            <w:tcW w:w="3430" w:type="dxa"/>
            <w:gridSpan w:val="2"/>
            <w:tcBorders>
              <w:top w:val="single" w:sz="6" w:space="0" w:color="auto"/>
              <w:bottom w:val="single" w:sz="6" w:space="0" w:color="auto"/>
              <w:right w:val="single" w:sz="6" w:space="0" w:color="auto"/>
            </w:tcBorders>
          </w:tcPr>
          <w:p w14:paraId="07DB7CFC" w14:textId="77777777" w:rsidR="003510BF" w:rsidRPr="005270E0" w:rsidRDefault="003510BF" w:rsidP="008A1426">
            <w:pPr>
              <w:pStyle w:val="Tablehead"/>
              <w:keepLines/>
            </w:pPr>
            <w:r w:rsidRPr="005270E0">
              <w:rPr>
                <w:i/>
                <w:iCs/>
              </w:rPr>
              <w:t>S</w:t>
            </w:r>
            <w:r w:rsidRPr="005270E0">
              <w:t>/</w:t>
            </w:r>
            <w:r w:rsidRPr="005270E0">
              <w:rPr>
                <w:i/>
                <w:iCs/>
              </w:rPr>
              <w:t>N</w:t>
            </w:r>
            <w:r w:rsidRPr="005270E0">
              <w:br/>
              <w:t>(dB)</w:t>
            </w:r>
          </w:p>
        </w:tc>
        <w:tc>
          <w:tcPr>
            <w:tcW w:w="3509" w:type="dxa"/>
            <w:gridSpan w:val="2"/>
            <w:tcBorders>
              <w:top w:val="single" w:sz="6" w:space="0" w:color="auto"/>
              <w:bottom w:val="single" w:sz="6" w:space="0" w:color="auto"/>
              <w:right w:val="single" w:sz="6" w:space="0" w:color="auto"/>
            </w:tcBorders>
          </w:tcPr>
          <w:p w14:paraId="0A568C9E" w14:textId="77777777" w:rsidR="003510BF" w:rsidRPr="005270E0" w:rsidRDefault="003510BF" w:rsidP="008A1426">
            <w:pPr>
              <w:pStyle w:val="Tablehead"/>
              <w:keepLines/>
            </w:pPr>
            <w:r w:rsidRPr="005270E0">
              <w:t>Degradación</w:t>
            </w:r>
            <w:r w:rsidRPr="005270E0">
              <w:br/>
              <w:t>(%)</w:t>
            </w:r>
          </w:p>
        </w:tc>
      </w:tr>
      <w:tr w:rsidR="003510BF" w:rsidRPr="005270E0" w14:paraId="664E3D0E" w14:textId="77777777" w:rsidTr="00D35E63">
        <w:trPr>
          <w:cantSplit/>
          <w:jc w:val="center"/>
        </w:trPr>
        <w:tc>
          <w:tcPr>
            <w:tcW w:w="2700" w:type="dxa"/>
            <w:vMerge/>
            <w:tcBorders>
              <w:left w:val="single" w:sz="6" w:space="0" w:color="auto"/>
              <w:bottom w:val="single" w:sz="6" w:space="0" w:color="auto"/>
              <w:right w:val="single" w:sz="6" w:space="0" w:color="auto"/>
            </w:tcBorders>
          </w:tcPr>
          <w:p w14:paraId="552BCC97" w14:textId="77777777" w:rsidR="003510BF" w:rsidRPr="005270E0" w:rsidRDefault="003510BF" w:rsidP="008A1426">
            <w:pPr>
              <w:pStyle w:val="Tablehead"/>
              <w:keepLines/>
            </w:pPr>
          </w:p>
        </w:tc>
        <w:tc>
          <w:tcPr>
            <w:tcW w:w="1800" w:type="dxa"/>
            <w:tcBorders>
              <w:top w:val="single" w:sz="6" w:space="0" w:color="auto"/>
              <w:bottom w:val="single" w:sz="6" w:space="0" w:color="auto"/>
              <w:right w:val="single" w:sz="6" w:space="0" w:color="auto"/>
            </w:tcBorders>
          </w:tcPr>
          <w:p w14:paraId="0C5494AD" w14:textId="77777777" w:rsidR="003510BF" w:rsidRPr="005270E0" w:rsidRDefault="003510BF" w:rsidP="008A1426">
            <w:pPr>
              <w:pStyle w:val="Tablehead"/>
              <w:keepLines/>
            </w:pPr>
            <w:r w:rsidRPr="005270E0">
              <w:t>Interferencia</w:t>
            </w:r>
            <w:r w:rsidRPr="005270E0">
              <w:br/>
              <w:t>no blanca</w:t>
            </w:r>
          </w:p>
        </w:tc>
        <w:tc>
          <w:tcPr>
            <w:tcW w:w="1630" w:type="dxa"/>
            <w:tcBorders>
              <w:top w:val="single" w:sz="6" w:space="0" w:color="auto"/>
              <w:bottom w:val="single" w:sz="6" w:space="0" w:color="auto"/>
              <w:right w:val="single" w:sz="6" w:space="0" w:color="auto"/>
            </w:tcBorders>
          </w:tcPr>
          <w:p w14:paraId="23D85FD4" w14:textId="77777777" w:rsidR="003510BF" w:rsidRPr="005270E0" w:rsidRDefault="003510BF" w:rsidP="008A1426">
            <w:pPr>
              <w:pStyle w:val="Tablehead"/>
              <w:keepLines/>
            </w:pPr>
            <w:r w:rsidRPr="005270E0">
              <w:t xml:space="preserve">Interferencia </w:t>
            </w:r>
            <w:r w:rsidRPr="005270E0">
              <w:br/>
              <w:t>blanca</w:t>
            </w:r>
          </w:p>
        </w:tc>
        <w:tc>
          <w:tcPr>
            <w:tcW w:w="1735" w:type="dxa"/>
            <w:tcBorders>
              <w:top w:val="single" w:sz="6" w:space="0" w:color="auto"/>
              <w:bottom w:val="single" w:sz="6" w:space="0" w:color="auto"/>
              <w:right w:val="single" w:sz="6" w:space="0" w:color="auto"/>
            </w:tcBorders>
          </w:tcPr>
          <w:p w14:paraId="3EE11D96" w14:textId="77777777" w:rsidR="003510BF" w:rsidRPr="005270E0" w:rsidRDefault="003510BF" w:rsidP="008A1426">
            <w:pPr>
              <w:pStyle w:val="Tablehead"/>
              <w:keepLines/>
            </w:pPr>
            <w:r w:rsidRPr="005270E0">
              <w:t>Interferencia no blanca</w:t>
            </w:r>
          </w:p>
        </w:tc>
        <w:tc>
          <w:tcPr>
            <w:tcW w:w="1774" w:type="dxa"/>
            <w:tcBorders>
              <w:top w:val="single" w:sz="6" w:space="0" w:color="auto"/>
              <w:bottom w:val="single" w:sz="6" w:space="0" w:color="auto"/>
              <w:right w:val="single" w:sz="6" w:space="0" w:color="auto"/>
            </w:tcBorders>
          </w:tcPr>
          <w:p w14:paraId="5D38C79A" w14:textId="77777777" w:rsidR="003510BF" w:rsidRPr="005270E0" w:rsidRDefault="003510BF" w:rsidP="008A1426">
            <w:pPr>
              <w:pStyle w:val="Tablehead"/>
              <w:keepLines/>
            </w:pPr>
            <w:r w:rsidRPr="005270E0">
              <w:t>Interferencia</w:t>
            </w:r>
            <w:r w:rsidRPr="005270E0">
              <w:br/>
              <w:t>blanca</w:t>
            </w:r>
          </w:p>
        </w:tc>
      </w:tr>
      <w:tr w:rsidR="003510BF" w:rsidRPr="005270E0" w14:paraId="4BA5ACC1" w14:textId="77777777" w:rsidTr="00D35E63">
        <w:trPr>
          <w:cantSplit/>
          <w:jc w:val="center"/>
        </w:trPr>
        <w:tc>
          <w:tcPr>
            <w:tcW w:w="2700" w:type="dxa"/>
            <w:tcBorders>
              <w:left w:val="single" w:sz="6" w:space="0" w:color="auto"/>
              <w:bottom w:val="single" w:sz="6" w:space="0" w:color="auto"/>
              <w:right w:val="single" w:sz="6" w:space="0" w:color="auto"/>
            </w:tcBorders>
          </w:tcPr>
          <w:p w14:paraId="62892151" w14:textId="77777777" w:rsidR="003510BF" w:rsidRPr="005270E0" w:rsidRDefault="003510BF" w:rsidP="008A1426">
            <w:pPr>
              <w:pStyle w:val="Tabletext"/>
              <w:keepNext/>
              <w:keepLines/>
              <w:jc w:val="left"/>
            </w:pPr>
            <w:r w:rsidRPr="005270E0">
              <w:t>Ninguno</w:t>
            </w:r>
          </w:p>
        </w:tc>
        <w:tc>
          <w:tcPr>
            <w:tcW w:w="1800" w:type="dxa"/>
            <w:tcBorders>
              <w:left w:val="single" w:sz="6" w:space="0" w:color="auto"/>
              <w:bottom w:val="single" w:sz="6" w:space="0" w:color="auto"/>
              <w:right w:val="single" w:sz="6" w:space="0" w:color="auto"/>
            </w:tcBorders>
            <w:vAlign w:val="center"/>
          </w:tcPr>
          <w:p w14:paraId="41D01B75"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82"/>
            </w:pPr>
            <w:r w:rsidRPr="005270E0">
              <w:t>13</w:t>
            </w:r>
          </w:p>
        </w:tc>
        <w:tc>
          <w:tcPr>
            <w:tcW w:w="1630" w:type="dxa"/>
            <w:tcBorders>
              <w:left w:val="single" w:sz="6" w:space="0" w:color="auto"/>
              <w:bottom w:val="single" w:sz="6" w:space="0" w:color="auto"/>
              <w:right w:val="single" w:sz="6" w:space="0" w:color="auto"/>
            </w:tcBorders>
            <w:vAlign w:val="center"/>
          </w:tcPr>
          <w:p w14:paraId="67BA3B15"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82"/>
            </w:pPr>
            <w:r w:rsidRPr="005270E0">
              <w:t>13</w:t>
            </w:r>
          </w:p>
        </w:tc>
        <w:tc>
          <w:tcPr>
            <w:tcW w:w="1735" w:type="dxa"/>
            <w:tcBorders>
              <w:left w:val="single" w:sz="6" w:space="0" w:color="auto"/>
              <w:bottom w:val="single" w:sz="6" w:space="0" w:color="auto"/>
              <w:right w:val="single" w:sz="6" w:space="0" w:color="auto"/>
            </w:tcBorders>
            <w:vAlign w:val="center"/>
          </w:tcPr>
          <w:p w14:paraId="6E797DD3"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5270E0">
              <w:t>Línea de base</w:t>
            </w:r>
          </w:p>
        </w:tc>
        <w:tc>
          <w:tcPr>
            <w:tcW w:w="1774" w:type="dxa"/>
            <w:tcBorders>
              <w:left w:val="single" w:sz="6" w:space="0" w:color="auto"/>
              <w:bottom w:val="single" w:sz="6" w:space="0" w:color="auto"/>
              <w:right w:val="single" w:sz="6" w:space="0" w:color="auto"/>
            </w:tcBorders>
            <w:vAlign w:val="center"/>
          </w:tcPr>
          <w:p w14:paraId="45DD08C1"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5270E0">
              <w:t>Línea de base</w:t>
            </w:r>
          </w:p>
        </w:tc>
      </w:tr>
      <w:tr w:rsidR="003510BF" w:rsidRPr="005270E0" w14:paraId="4ACF429A" w14:textId="77777777" w:rsidTr="00D35E63">
        <w:trPr>
          <w:cantSplit/>
          <w:jc w:val="center"/>
        </w:trPr>
        <w:tc>
          <w:tcPr>
            <w:tcW w:w="2700" w:type="dxa"/>
            <w:tcBorders>
              <w:top w:val="single" w:sz="6" w:space="0" w:color="auto"/>
              <w:left w:val="single" w:sz="6" w:space="0" w:color="auto"/>
              <w:bottom w:val="single" w:sz="6" w:space="0" w:color="auto"/>
              <w:right w:val="single" w:sz="6" w:space="0" w:color="auto"/>
            </w:tcBorders>
          </w:tcPr>
          <w:p w14:paraId="2DE13D62" w14:textId="77777777" w:rsidR="003510BF" w:rsidRPr="005270E0" w:rsidRDefault="003510BF" w:rsidP="008A1426">
            <w:pPr>
              <w:pStyle w:val="Tabletext"/>
              <w:keepNext/>
              <w:keepLines/>
              <w:jc w:val="left"/>
            </w:pPr>
            <w:r w:rsidRPr="005270E0">
              <w:t>10 dB por debajo del ruido</w:t>
            </w:r>
          </w:p>
        </w:tc>
        <w:tc>
          <w:tcPr>
            <w:tcW w:w="1800" w:type="dxa"/>
            <w:tcBorders>
              <w:top w:val="single" w:sz="6" w:space="0" w:color="auto"/>
              <w:left w:val="single" w:sz="6" w:space="0" w:color="auto"/>
              <w:bottom w:val="single" w:sz="6" w:space="0" w:color="auto"/>
              <w:right w:val="single" w:sz="6" w:space="0" w:color="auto"/>
            </w:tcBorders>
            <w:vAlign w:val="center"/>
          </w:tcPr>
          <w:p w14:paraId="34FCA734"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82"/>
            </w:pPr>
            <w:r w:rsidRPr="005270E0">
              <w:t>12,6</w:t>
            </w:r>
          </w:p>
        </w:tc>
        <w:tc>
          <w:tcPr>
            <w:tcW w:w="1630" w:type="dxa"/>
            <w:tcBorders>
              <w:top w:val="single" w:sz="6" w:space="0" w:color="auto"/>
              <w:left w:val="single" w:sz="6" w:space="0" w:color="auto"/>
              <w:bottom w:val="single" w:sz="6" w:space="0" w:color="auto"/>
              <w:right w:val="single" w:sz="6" w:space="0" w:color="auto"/>
            </w:tcBorders>
            <w:vAlign w:val="center"/>
          </w:tcPr>
          <w:p w14:paraId="5BA73E1F"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82"/>
            </w:pPr>
            <w:r w:rsidRPr="005270E0">
              <w:t>12,99</w:t>
            </w:r>
          </w:p>
        </w:tc>
        <w:tc>
          <w:tcPr>
            <w:tcW w:w="1735" w:type="dxa"/>
            <w:tcBorders>
              <w:top w:val="single" w:sz="6" w:space="0" w:color="auto"/>
              <w:left w:val="single" w:sz="6" w:space="0" w:color="auto"/>
              <w:bottom w:val="single" w:sz="6" w:space="0" w:color="auto"/>
              <w:right w:val="single" w:sz="6" w:space="0" w:color="auto"/>
            </w:tcBorders>
            <w:vAlign w:val="center"/>
          </w:tcPr>
          <w:p w14:paraId="3A0708FF"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09"/>
            </w:pPr>
            <w:r w:rsidRPr="005270E0">
              <w:t>1</w:t>
            </w:r>
          </w:p>
        </w:tc>
        <w:tc>
          <w:tcPr>
            <w:tcW w:w="1774" w:type="dxa"/>
            <w:tcBorders>
              <w:top w:val="single" w:sz="6" w:space="0" w:color="auto"/>
              <w:left w:val="single" w:sz="6" w:space="0" w:color="auto"/>
              <w:bottom w:val="single" w:sz="6" w:space="0" w:color="auto"/>
              <w:right w:val="single" w:sz="6" w:space="0" w:color="auto"/>
            </w:tcBorders>
            <w:vAlign w:val="center"/>
          </w:tcPr>
          <w:p w14:paraId="3AF10165"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09"/>
            </w:pPr>
            <w:r w:rsidRPr="005270E0">
              <w:t>0,05</w:t>
            </w:r>
          </w:p>
        </w:tc>
      </w:tr>
      <w:tr w:rsidR="003510BF" w:rsidRPr="005270E0" w14:paraId="37AB9744" w14:textId="77777777" w:rsidTr="00D35E63">
        <w:trPr>
          <w:cantSplit/>
          <w:jc w:val="center"/>
        </w:trPr>
        <w:tc>
          <w:tcPr>
            <w:tcW w:w="2700" w:type="dxa"/>
            <w:tcBorders>
              <w:top w:val="single" w:sz="6" w:space="0" w:color="auto"/>
              <w:left w:val="single" w:sz="6" w:space="0" w:color="auto"/>
              <w:bottom w:val="single" w:sz="6" w:space="0" w:color="auto"/>
              <w:right w:val="single" w:sz="6" w:space="0" w:color="auto"/>
            </w:tcBorders>
          </w:tcPr>
          <w:p w14:paraId="0C3AEFA8" w14:textId="77777777" w:rsidR="003510BF" w:rsidRPr="005270E0" w:rsidRDefault="003510BF" w:rsidP="008A1426">
            <w:pPr>
              <w:pStyle w:val="Tabletext"/>
              <w:keepNext/>
              <w:keepLines/>
              <w:jc w:val="left"/>
            </w:pPr>
            <w:r w:rsidRPr="005270E0">
              <w:t>3 dB por debajo del ruido</w:t>
            </w:r>
          </w:p>
        </w:tc>
        <w:tc>
          <w:tcPr>
            <w:tcW w:w="1800" w:type="dxa"/>
            <w:tcBorders>
              <w:top w:val="single" w:sz="6" w:space="0" w:color="auto"/>
              <w:left w:val="single" w:sz="6" w:space="0" w:color="auto"/>
              <w:bottom w:val="single" w:sz="6" w:space="0" w:color="auto"/>
              <w:right w:val="single" w:sz="6" w:space="0" w:color="auto"/>
            </w:tcBorders>
            <w:vAlign w:val="center"/>
          </w:tcPr>
          <w:p w14:paraId="4C08AE1D"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82"/>
            </w:pPr>
            <w:r w:rsidRPr="005270E0">
              <w:t>11,25</w:t>
            </w:r>
          </w:p>
        </w:tc>
        <w:tc>
          <w:tcPr>
            <w:tcW w:w="1630" w:type="dxa"/>
            <w:tcBorders>
              <w:top w:val="single" w:sz="6" w:space="0" w:color="auto"/>
              <w:left w:val="single" w:sz="6" w:space="0" w:color="auto"/>
              <w:bottom w:val="single" w:sz="6" w:space="0" w:color="auto"/>
              <w:right w:val="single" w:sz="6" w:space="0" w:color="auto"/>
            </w:tcBorders>
            <w:vAlign w:val="center"/>
          </w:tcPr>
          <w:p w14:paraId="040C5D37"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82"/>
            </w:pPr>
            <w:r w:rsidRPr="005270E0">
              <w:t>12,5</w:t>
            </w:r>
          </w:p>
        </w:tc>
        <w:tc>
          <w:tcPr>
            <w:tcW w:w="1735" w:type="dxa"/>
            <w:tcBorders>
              <w:top w:val="single" w:sz="6" w:space="0" w:color="auto"/>
              <w:left w:val="single" w:sz="6" w:space="0" w:color="auto"/>
              <w:bottom w:val="single" w:sz="6" w:space="0" w:color="auto"/>
              <w:right w:val="single" w:sz="6" w:space="0" w:color="auto"/>
            </w:tcBorders>
            <w:vAlign w:val="center"/>
          </w:tcPr>
          <w:p w14:paraId="6960AFD0"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09"/>
            </w:pPr>
            <w:r w:rsidRPr="005270E0">
              <w:t>4,5</w:t>
            </w:r>
          </w:p>
        </w:tc>
        <w:tc>
          <w:tcPr>
            <w:tcW w:w="1774" w:type="dxa"/>
            <w:tcBorders>
              <w:top w:val="single" w:sz="6" w:space="0" w:color="auto"/>
              <w:left w:val="single" w:sz="6" w:space="0" w:color="auto"/>
              <w:bottom w:val="single" w:sz="6" w:space="0" w:color="auto"/>
              <w:right w:val="single" w:sz="6" w:space="0" w:color="auto"/>
            </w:tcBorders>
            <w:vAlign w:val="center"/>
          </w:tcPr>
          <w:p w14:paraId="3D45BE8A"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09"/>
            </w:pPr>
            <w:r w:rsidRPr="005270E0">
              <w:t>1</w:t>
            </w:r>
          </w:p>
        </w:tc>
      </w:tr>
      <w:tr w:rsidR="003510BF" w:rsidRPr="005270E0" w14:paraId="4B5848B7" w14:textId="77777777" w:rsidTr="00D35E63">
        <w:trPr>
          <w:cantSplit/>
          <w:jc w:val="center"/>
        </w:trPr>
        <w:tc>
          <w:tcPr>
            <w:tcW w:w="2700" w:type="dxa"/>
            <w:tcBorders>
              <w:top w:val="single" w:sz="6" w:space="0" w:color="auto"/>
              <w:left w:val="single" w:sz="6" w:space="0" w:color="auto"/>
              <w:bottom w:val="single" w:sz="6" w:space="0" w:color="auto"/>
              <w:right w:val="single" w:sz="6" w:space="0" w:color="auto"/>
            </w:tcBorders>
          </w:tcPr>
          <w:p w14:paraId="4CD6CB18" w14:textId="77777777" w:rsidR="003510BF" w:rsidRPr="005270E0" w:rsidRDefault="003510BF" w:rsidP="008A1426">
            <w:pPr>
              <w:pStyle w:val="Tabletext"/>
              <w:keepNext/>
              <w:keepLines/>
              <w:jc w:val="left"/>
            </w:pPr>
            <w:r w:rsidRPr="005270E0">
              <w:t>Igual al ruido</w:t>
            </w:r>
          </w:p>
        </w:tc>
        <w:tc>
          <w:tcPr>
            <w:tcW w:w="1800" w:type="dxa"/>
            <w:tcBorders>
              <w:top w:val="single" w:sz="6" w:space="0" w:color="auto"/>
              <w:left w:val="single" w:sz="6" w:space="0" w:color="auto"/>
              <w:bottom w:val="single" w:sz="6" w:space="0" w:color="auto"/>
              <w:right w:val="single" w:sz="6" w:space="0" w:color="auto"/>
            </w:tcBorders>
            <w:vAlign w:val="center"/>
          </w:tcPr>
          <w:p w14:paraId="673A24D1"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82"/>
            </w:pPr>
            <w:r w:rsidRPr="005270E0">
              <w:t>10</w:t>
            </w:r>
          </w:p>
        </w:tc>
        <w:tc>
          <w:tcPr>
            <w:tcW w:w="1630" w:type="dxa"/>
            <w:tcBorders>
              <w:top w:val="single" w:sz="6" w:space="0" w:color="auto"/>
              <w:left w:val="single" w:sz="6" w:space="0" w:color="auto"/>
              <w:bottom w:val="single" w:sz="6" w:space="0" w:color="auto"/>
              <w:right w:val="single" w:sz="6" w:space="0" w:color="auto"/>
            </w:tcBorders>
            <w:vAlign w:val="center"/>
          </w:tcPr>
          <w:p w14:paraId="3CA3629B"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82"/>
            </w:pPr>
            <w:r w:rsidRPr="005270E0">
              <w:t>11,5</w:t>
            </w:r>
          </w:p>
        </w:tc>
        <w:tc>
          <w:tcPr>
            <w:tcW w:w="1735" w:type="dxa"/>
            <w:tcBorders>
              <w:top w:val="single" w:sz="6" w:space="0" w:color="auto"/>
              <w:left w:val="single" w:sz="6" w:space="0" w:color="auto"/>
              <w:bottom w:val="single" w:sz="6" w:space="0" w:color="auto"/>
              <w:right w:val="single" w:sz="6" w:space="0" w:color="auto"/>
            </w:tcBorders>
            <w:vAlign w:val="center"/>
          </w:tcPr>
          <w:p w14:paraId="630AB7BD"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09"/>
            </w:pPr>
            <w:r w:rsidRPr="005270E0">
              <w:t>9</w:t>
            </w:r>
          </w:p>
        </w:tc>
        <w:tc>
          <w:tcPr>
            <w:tcW w:w="1774" w:type="dxa"/>
            <w:tcBorders>
              <w:top w:val="single" w:sz="6" w:space="0" w:color="auto"/>
              <w:left w:val="single" w:sz="6" w:space="0" w:color="auto"/>
              <w:bottom w:val="single" w:sz="6" w:space="0" w:color="auto"/>
              <w:right w:val="single" w:sz="6" w:space="0" w:color="auto"/>
            </w:tcBorders>
            <w:vAlign w:val="center"/>
          </w:tcPr>
          <w:p w14:paraId="2D37A8ED"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09"/>
            </w:pPr>
            <w:r w:rsidRPr="005270E0">
              <w:t>3,8</w:t>
            </w:r>
          </w:p>
        </w:tc>
      </w:tr>
      <w:tr w:rsidR="003510BF" w:rsidRPr="005270E0" w14:paraId="1083279E" w14:textId="77777777" w:rsidTr="00D35E63">
        <w:trPr>
          <w:cantSplit/>
          <w:jc w:val="center"/>
        </w:trPr>
        <w:tc>
          <w:tcPr>
            <w:tcW w:w="2700" w:type="dxa"/>
            <w:tcBorders>
              <w:top w:val="single" w:sz="6" w:space="0" w:color="auto"/>
              <w:left w:val="single" w:sz="6" w:space="0" w:color="auto"/>
              <w:bottom w:val="single" w:sz="6" w:space="0" w:color="auto"/>
              <w:right w:val="single" w:sz="6" w:space="0" w:color="auto"/>
            </w:tcBorders>
          </w:tcPr>
          <w:p w14:paraId="14EA6C4D" w14:textId="77777777" w:rsidR="003510BF" w:rsidRPr="005270E0" w:rsidRDefault="003510BF" w:rsidP="008A1426">
            <w:pPr>
              <w:pStyle w:val="Tabletext"/>
              <w:keepNext/>
              <w:keepLines/>
              <w:jc w:val="left"/>
            </w:pPr>
            <w:r w:rsidRPr="005270E0">
              <w:t>10 dB por encima del ruido</w:t>
            </w:r>
          </w:p>
        </w:tc>
        <w:tc>
          <w:tcPr>
            <w:tcW w:w="1800" w:type="dxa"/>
            <w:tcBorders>
              <w:top w:val="single" w:sz="6" w:space="0" w:color="auto"/>
              <w:left w:val="single" w:sz="6" w:space="0" w:color="auto"/>
              <w:bottom w:val="single" w:sz="6" w:space="0" w:color="auto"/>
              <w:right w:val="single" w:sz="6" w:space="0" w:color="auto"/>
            </w:tcBorders>
            <w:vAlign w:val="center"/>
          </w:tcPr>
          <w:p w14:paraId="004974F5"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pPr>
            <w:r w:rsidRPr="005270E0">
              <w:t>2,6</w:t>
            </w:r>
          </w:p>
        </w:tc>
        <w:tc>
          <w:tcPr>
            <w:tcW w:w="1630" w:type="dxa"/>
            <w:tcBorders>
              <w:top w:val="single" w:sz="6" w:space="0" w:color="auto"/>
              <w:left w:val="single" w:sz="6" w:space="0" w:color="auto"/>
              <w:bottom w:val="single" w:sz="6" w:space="0" w:color="auto"/>
              <w:right w:val="single" w:sz="6" w:space="0" w:color="auto"/>
            </w:tcBorders>
            <w:vAlign w:val="center"/>
          </w:tcPr>
          <w:p w14:paraId="1D188A36"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pPr>
            <w:r w:rsidRPr="005270E0">
              <w:t>3</w:t>
            </w:r>
          </w:p>
        </w:tc>
        <w:tc>
          <w:tcPr>
            <w:tcW w:w="1735" w:type="dxa"/>
            <w:tcBorders>
              <w:top w:val="single" w:sz="6" w:space="0" w:color="auto"/>
              <w:left w:val="single" w:sz="6" w:space="0" w:color="auto"/>
              <w:bottom w:val="single" w:sz="6" w:space="0" w:color="auto"/>
              <w:right w:val="single" w:sz="6" w:space="0" w:color="auto"/>
            </w:tcBorders>
            <w:vAlign w:val="center"/>
          </w:tcPr>
          <w:p w14:paraId="517AFDBA"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5270E0">
              <w:t>91</w:t>
            </w:r>
          </w:p>
        </w:tc>
        <w:tc>
          <w:tcPr>
            <w:tcW w:w="1774" w:type="dxa"/>
            <w:tcBorders>
              <w:top w:val="single" w:sz="6" w:space="0" w:color="auto"/>
              <w:left w:val="single" w:sz="6" w:space="0" w:color="auto"/>
              <w:bottom w:val="single" w:sz="6" w:space="0" w:color="auto"/>
              <w:right w:val="single" w:sz="6" w:space="0" w:color="auto"/>
            </w:tcBorders>
            <w:vAlign w:val="center"/>
          </w:tcPr>
          <w:p w14:paraId="7664B510" w14:textId="77777777" w:rsidR="003510BF" w:rsidRPr="005270E0" w:rsidRDefault="003510BF" w:rsidP="008A142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5270E0">
              <w:t>82</w:t>
            </w:r>
          </w:p>
        </w:tc>
      </w:tr>
    </w:tbl>
    <w:p w14:paraId="1293952B" w14:textId="77777777" w:rsidR="003510BF" w:rsidRPr="005270E0" w:rsidRDefault="003510BF" w:rsidP="008A1426">
      <w:pPr>
        <w:pStyle w:val="Tablefin"/>
        <w:keepNext/>
        <w:keepLines/>
        <w:rPr>
          <w:lang w:val="es-ES"/>
        </w:rPr>
      </w:pPr>
    </w:p>
    <w:p w14:paraId="42CE5203" w14:textId="77777777" w:rsidR="003510BF" w:rsidRPr="005270E0" w:rsidRDefault="003510BF" w:rsidP="008A1426">
      <w:pPr>
        <w:keepNext/>
        <w:keepLines/>
      </w:pPr>
      <w:r w:rsidRPr="005270E0">
        <w:t>En el caso de los altímetros de 35,5</w:t>
      </w:r>
      <w:r w:rsidRPr="005270E0">
        <w:noBreakHyphen/>
        <w:t xml:space="preserve">36 GHz, los efectos atmosféricos y las limitaciones tecnológicas tienen como resultado un presupuesto de enlace menos favorable (relación </w:t>
      </w:r>
      <w:r w:rsidRPr="005270E0">
        <w:rPr>
          <w:i/>
          <w:iCs/>
        </w:rPr>
        <w:t>S</w:t>
      </w:r>
      <w:r w:rsidRPr="005270E0">
        <w:t>/</w:t>
      </w:r>
      <w:r w:rsidRPr="005270E0">
        <w:rPr>
          <w:i/>
          <w:iCs/>
        </w:rPr>
        <w:t>N</w:t>
      </w:r>
      <w:r w:rsidRPr="005270E0">
        <w:t xml:space="preserve"> cercana a 10 dB) y por ende la sensibilidad frente al nivel de interferencia es mayor, por lo cual se han tenido en cuenta los siguientes valores:</w:t>
      </w:r>
    </w:p>
    <w:p w14:paraId="002D0A32" w14:textId="77777777" w:rsidR="003510BF" w:rsidRPr="005270E0" w:rsidRDefault="003510BF" w:rsidP="008A1426">
      <w:pPr>
        <w:pStyle w:val="TableNo"/>
      </w:pPr>
      <w:r w:rsidRPr="005270E0">
        <w:t>CUADRO 4</w:t>
      </w:r>
    </w:p>
    <w:p w14:paraId="5AECD01E" w14:textId="4CCF4118" w:rsidR="003510BF" w:rsidRPr="005270E0" w:rsidRDefault="003510BF" w:rsidP="008A1426">
      <w:pPr>
        <w:pStyle w:val="Tabletitle"/>
      </w:pPr>
      <w:r w:rsidRPr="005270E0">
        <w:t xml:space="preserve">Aumento en el ruido de las mediciones de altura realizadas mediante el altímetro </w:t>
      </w:r>
      <w:r w:rsidR="008D7920">
        <w:br/>
      </w:r>
      <w:r w:rsidRPr="005270E0">
        <w:t>con respecto al nivel de interferencia</w:t>
      </w:r>
      <w:r w:rsidRPr="008A1426">
        <w:rPr>
          <w:vertAlign w:val="superscript"/>
        </w:rPr>
        <w:footnoteReference w:id="4"/>
      </w:r>
    </w:p>
    <w:p w14:paraId="49F8F254" w14:textId="77777777" w:rsidR="003510BF" w:rsidRPr="005270E0" w:rsidRDefault="003510BF" w:rsidP="003510BF">
      <w:pPr>
        <w:rPr>
          <w:sz w:val="16"/>
          <w:szCs w:val="16"/>
        </w:rPr>
      </w:pPr>
    </w:p>
    <w:tbl>
      <w:tblPr>
        <w:tblW w:w="0" w:type="auto"/>
        <w:jc w:val="center"/>
        <w:tblLayout w:type="fixed"/>
        <w:tblCellMar>
          <w:left w:w="107" w:type="dxa"/>
          <w:right w:w="107" w:type="dxa"/>
        </w:tblCellMar>
        <w:tblLook w:val="0000" w:firstRow="0" w:lastRow="0" w:firstColumn="0" w:lastColumn="0" w:noHBand="0" w:noVBand="0"/>
      </w:tblPr>
      <w:tblGrid>
        <w:gridCol w:w="2127"/>
        <w:gridCol w:w="1560"/>
        <w:gridCol w:w="1559"/>
        <w:gridCol w:w="1558"/>
        <w:gridCol w:w="1560"/>
      </w:tblGrid>
      <w:tr w:rsidR="003510BF" w:rsidRPr="005270E0" w14:paraId="21F91209" w14:textId="77777777" w:rsidTr="00D35E63">
        <w:trPr>
          <w:cantSplit/>
          <w:jc w:val="center"/>
        </w:trPr>
        <w:tc>
          <w:tcPr>
            <w:tcW w:w="2127" w:type="dxa"/>
            <w:vMerge w:val="restart"/>
            <w:tcBorders>
              <w:top w:val="single" w:sz="6" w:space="0" w:color="auto"/>
              <w:left w:val="single" w:sz="6" w:space="0" w:color="auto"/>
              <w:right w:val="single" w:sz="6" w:space="0" w:color="auto"/>
            </w:tcBorders>
            <w:vAlign w:val="center"/>
          </w:tcPr>
          <w:p w14:paraId="6E756A29" w14:textId="77777777" w:rsidR="003510BF" w:rsidRPr="005270E0" w:rsidRDefault="003510BF" w:rsidP="00D35E63">
            <w:pPr>
              <w:pStyle w:val="Tablehead"/>
              <w:spacing w:before="40" w:after="40"/>
            </w:pPr>
            <w:r w:rsidRPr="005270E0">
              <w:t>Nivel de interferencia</w:t>
            </w:r>
          </w:p>
        </w:tc>
        <w:tc>
          <w:tcPr>
            <w:tcW w:w="3119" w:type="dxa"/>
            <w:gridSpan w:val="2"/>
            <w:tcBorders>
              <w:top w:val="single" w:sz="6" w:space="0" w:color="auto"/>
              <w:bottom w:val="single" w:sz="6" w:space="0" w:color="auto"/>
              <w:right w:val="single" w:sz="6" w:space="0" w:color="auto"/>
            </w:tcBorders>
          </w:tcPr>
          <w:p w14:paraId="2976AB72" w14:textId="77777777" w:rsidR="003510BF" w:rsidRPr="005270E0" w:rsidRDefault="003510BF" w:rsidP="00D35E63">
            <w:pPr>
              <w:pStyle w:val="Tablehead"/>
              <w:spacing w:before="40" w:after="40"/>
            </w:pPr>
            <w:r w:rsidRPr="005270E0">
              <w:rPr>
                <w:i/>
                <w:iCs/>
              </w:rPr>
              <w:t>S</w:t>
            </w:r>
            <w:r w:rsidRPr="005270E0">
              <w:t>/</w:t>
            </w:r>
            <w:r w:rsidRPr="005270E0">
              <w:rPr>
                <w:i/>
                <w:iCs/>
              </w:rPr>
              <w:t>N</w:t>
            </w:r>
            <w:r w:rsidRPr="005270E0">
              <w:br/>
              <w:t>(dB)</w:t>
            </w:r>
          </w:p>
        </w:tc>
        <w:tc>
          <w:tcPr>
            <w:tcW w:w="3118" w:type="dxa"/>
            <w:gridSpan w:val="2"/>
            <w:tcBorders>
              <w:top w:val="single" w:sz="6" w:space="0" w:color="auto"/>
              <w:bottom w:val="single" w:sz="6" w:space="0" w:color="auto"/>
              <w:right w:val="single" w:sz="6" w:space="0" w:color="auto"/>
            </w:tcBorders>
          </w:tcPr>
          <w:p w14:paraId="489BF454" w14:textId="77777777" w:rsidR="003510BF" w:rsidRPr="005270E0" w:rsidRDefault="003510BF" w:rsidP="00D35E63">
            <w:pPr>
              <w:pStyle w:val="Tablehead"/>
              <w:spacing w:before="40" w:after="40"/>
            </w:pPr>
            <w:r w:rsidRPr="005270E0">
              <w:t>Degradación</w:t>
            </w:r>
            <w:r w:rsidRPr="005270E0">
              <w:br/>
              <w:t>(%)</w:t>
            </w:r>
          </w:p>
        </w:tc>
      </w:tr>
      <w:tr w:rsidR="003510BF" w:rsidRPr="005270E0" w14:paraId="177EC90D" w14:textId="77777777" w:rsidTr="00D35E63">
        <w:trPr>
          <w:cantSplit/>
          <w:jc w:val="center"/>
        </w:trPr>
        <w:tc>
          <w:tcPr>
            <w:tcW w:w="2127" w:type="dxa"/>
            <w:vMerge/>
            <w:tcBorders>
              <w:left w:val="single" w:sz="6" w:space="0" w:color="auto"/>
              <w:bottom w:val="single" w:sz="6" w:space="0" w:color="auto"/>
              <w:right w:val="single" w:sz="6" w:space="0" w:color="auto"/>
            </w:tcBorders>
          </w:tcPr>
          <w:p w14:paraId="6B359CBD" w14:textId="77777777" w:rsidR="003510BF" w:rsidRPr="005270E0" w:rsidRDefault="003510BF" w:rsidP="00D35E63">
            <w:pPr>
              <w:pStyle w:val="Tablehead"/>
              <w:spacing w:before="40" w:after="40"/>
            </w:pPr>
          </w:p>
        </w:tc>
        <w:tc>
          <w:tcPr>
            <w:tcW w:w="1560" w:type="dxa"/>
            <w:tcBorders>
              <w:top w:val="single" w:sz="6" w:space="0" w:color="auto"/>
              <w:bottom w:val="single" w:sz="6" w:space="0" w:color="auto"/>
              <w:right w:val="single" w:sz="6" w:space="0" w:color="auto"/>
            </w:tcBorders>
          </w:tcPr>
          <w:p w14:paraId="02CAE4B7" w14:textId="77777777" w:rsidR="003510BF" w:rsidRPr="005270E0" w:rsidRDefault="003510BF" w:rsidP="00D35E63">
            <w:pPr>
              <w:pStyle w:val="Tablehead"/>
              <w:spacing w:before="40" w:after="40"/>
            </w:pPr>
            <w:r w:rsidRPr="005270E0">
              <w:t>Interferencia no blanca</w:t>
            </w:r>
          </w:p>
        </w:tc>
        <w:tc>
          <w:tcPr>
            <w:tcW w:w="1559" w:type="dxa"/>
            <w:tcBorders>
              <w:top w:val="single" w:sz="6" w:space="0" w:color="auto"/>
              <w:bottom w:val="single" w:sz="6" w:space="0" w:color="auto"/>
              <w:right w:val="single" w:sz="6" w:space="0" w:color="auto"/>
            </w:tcBorders>
          </w:tcPr>
          <w:p w14:paraId="3CB5033E" w14:textId="77777777" w:rsidR="003510BF" w:rsidRPr="005270E0" w:rsidRDefault="003510BF" w:rsidP="00D35E63">
            <w:pPr>
              <w:pStyle w:val="Tablehead"/>
              <w:spacing w:before="40" w:after="40"/>
            </w:pPr>
            <w:r w:rsidRPr="005270E0">
              <w:t xml:space="preserve">Interferencia </w:t>
            </w:r>
            <w:r w:rsidRPr="005270E0">
              <w:br/>
              <w:t>blanca</w:t>
            </w:r>
          </w:p>
        </w:tc>
        <w:tc>
          <w:tcPr>
            <w:tcW w:w="1558" w:type="dxa"/>
            <w:tcBorders>
              <w:top w:val="single" w:sz="6" w:space="0" w:color="auto"/>
              <w:bottom w:val="single" w:sz="6" w:space="0" w:color="auto"/>
              <w:right w:val="single" w:sz="6" w:space="0" w:color="auto"/>
            </w:tcBorders>
          </w:tcPr>
          <w:p w14:paraId="074A354D" w14:textId="77777777" w:rsidR="003510BF" w:rsidRPr="005270E0" w:rsidRDefault="003510BF" w:rsidP="00D35E63">
            <w:pPr>
              <w:pStyle w:val="Tablehead"/>
              <w:spacing w:before="40" w:after="40"/>
            </w:pPr>
            <w:r w:rsidRPr="005270E0">
              <w:t>Interferencia no blanca</w:t>
            </w:r>
          </w:p>
        </w:tc>
        <w:tc>
          <w:tcPr>
            <w:tcW w:w="1560" w:type="dxa"/>
            <w:tcBorders>
              <w:top w:val="single" w:sz="6" w:space="0" w:color="auto"/>
              <w:bottom w:val="single" w:sz="6" w:space="0" w:color="auto"/>
              <w:right w:val="single" w:sz="6" w:space="0" w:color="auto"/>
            </w:tcBorders>
          </w:tcPr>
          <w:p w14:paraId="44EB71EF" w14:textId="77777777" w:rsidR="003510BF" w:rsidRPr="005270E0" w:rsidRDefault="003510BF" w:rsidP="00D35E63">
            <w:pPr>
              <w:pStyle w:val="Tablehead"/>
              <w:spacing w:before="40" w:after="40"/>
            </w:pPr>
            <w:r w:rsidRPr="005270E0">
              <w:t xml:space="preserve">Interferencia </w:t>
            </w:r>
            <w:r w:rsidRPr="005270E0">
              <w:br/>
              <w:t>blanca</w:t>
            </w:r>
          </w:p>
        </w:tc>
      </w:tr>
      <w:tr w:rsidR="003510BF" w:rsidRPr="005270E0" w14:paraId="5DD98BE2" w14:textId="77777777" w:rsidTr="00D35E63">
        <w:trPr>
          <w:cantSplit/>
          <w:jc w:val="center"/>
        </w:trPr>
        <w:tc>
          <w:tcPr>
            <w:tcW w:w="2127" w:type="dxa"/>
            <w:tcBorders>
              <w:left w:val="single" w:sz="6" w:space="0" w:color="auto"/>
              <w:bottom w:val="single" w:sz="6" w:space="0" w:color="auto"/>
              <w:right w:val="single" w:sz="6" w:space="0" w:color="auto"/>
            </w:tcBorders>
          </w:tcPr>
          <w:p w14:paraId="75F3A86C" w14:textId="77777777" w:rsidR="003510BF" w:rsidRPr="005270E0" w:rsidRDefault="003510BF" w:rsidP="00D35E63">
            <w:pPr>
              <w:pStyle w:val="Tabletext"/>
              <w:jc w:val="left"/>
            </w:pPr>
            <w:r w:rsidRPr="005270E0">
              <w:t>Ninguno</w:t>
            </w:r>
          </w:p>
        </w:tc>
        <w:tc>
          <w:tcPr>
            <w:tcW w:w="1560" w:type="dxa"/>
            <w:tcBorders>
              <w:left w:val="single" w:sz="6" w:space="0" w:color="auto"/>
              <w:bottom w:val="single" w:sz="6" w:space="0" w:color="auto"/>
              <w:right w:val="single" w:sz="6" w:space="0" w:color="auto"/>
            </w:tcBorders>
          </w:tcPr>
          <w:p w14:paraId="1F9139FD" w14:textId="2D97D61A" w:rsidR="003510BF" w:rsidRPr="005270E0" w:rsidRDefault="003510BF" w:rsidP="00F605D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69"/>
              </w:tabs>
              <w:jc w:val="center"/>
            </w:pPr>
            <w:r w:rsidRPr="005270E0">
              <w:t>10</w:t>
            </w:r>
          </w:p>
        </w:tc>
        <w:tc>
          <w:tcPr>
            <w:tcW w:w="1559" w:type="dxa"/>
            <w:tcBorders>
              <w:left w:val="single" w:sz="6" w:space="0" w:color="auto"/>
              <w:bottom w:val="single" w:sz="6" w:space="0" w:color="auto"/>
              <w:right w:val="single" w:sz="6" w:space="0" w:color="auto"/>
            </w:tcBorders>
          </w:tcPr>
          <w:p w14:paraId="216A510A" w14:textId="6C640744" w:rsidR="003510BF" w:rsidRPr="005270E0" w:rsidRDefault="003510BF" w:rsidP="00F605D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49"/>
              </w:tabs>
              <w:jc w:val="center"/>
            </w:pPr>
            <w:r w:rsidRPr="005270E0">
              <w:t>10</w:t>
            </w:r>
          </w:p>
        </w:tc>
        <w:tc>
          <w:tcPr>
            <w:tcW w:w="1558" w:type="dxa"/>
            <w:tcBorders>
              <w:left w:val="single" w:sz="6" w:space="0" w:color="auto"/>
              <w:bottom w:val="single" w:sz="6" w:space="0" w:color="auto"/>
              <w:right w:val="single" w:sz="6" w:space="0" w:color="auto"/>
            </w:tcBorders>
          </w:tcPr>
          <w:p w14:paraId="06B3B3F8"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5270E0">
              <w:t>Línea de base</w:t>
            </w:r>
          </w:p>
        </w:tc>
        <w:tc>
          <w:tcPr>
            <w:tcW w:w="1560" w:type="dxa"/>
            <w:tcBorders>
              <w:left w:val="single" w:sz="6" w:space="0" w:color="auto"/>
              <w:bottom w:val="single" w:sz="6" w:space="0" w:color="auto"/>
              <w:right w:val="single" w:sz="6" w:space="0" w:color="auto"/>
            </w:tcBorders>
          </w:tcPr>
          <w:p w14:paraId="370BE193"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5270E0">
              <w:t>Línea de base</w:t>
            </w:r>
          </w:p>
        </w:tc>
      </w:tr>
      <w:tr w:rsidR="003510BF" w:rsidRPr="005270E0" w14:paraId="68466059" w14:textId="77777777" w:rsidTr="00D35E63">
        <w:trPr>
          <w:cantSplit/>
          <w:jc w:val="center"/>
        </w:trPr>
        <w:tc>
          <w:tcPr>
            <w:tcW w:w="2127" w:type="dxa"/>
            <w:tcBorders>
              <w:top w:val="single" w:sz="6" w:space="0" w:color="auto"/>
              <w:left w:val="single" w:sz="6" w:space="0" w:color="auto"/>
              <w:bottom w:val="single" w:sz="6" w:space="0" w:color="auto"/>
              <w:right w:val="single" w:sz="6" w:space="0" w:color="auto"/>
            </w:tcBorders>
          </w:tcPr>
          <w:p w14:paraId="7DD841E0" w14:textId="77777777" w:rsidR="003510BF" w:rsidRPr="005270E0" w:rsidRDefault="003510BF" w:rsidP="00D35E63">
            <w:pPr>
              <w:pStyle w:val="Tabletext"/>
              <w:jc w:val="left"/>
            </w:pPr>
            <w:r w:rsidRPr="005270E0">
              <w:t>10 dB por debajo del ruido</w:t>
            </w:r>
          </w:p>
        </w:tc>
        <w:tc>
          <w:tcPr>
            <w:tcW w:w="1560" w:type="dxa"/>
            <w:tcBorders>
              <w:top w:val="single" w:sz="6" w:space="0" w:color="auto"/>
              <w:left w:val="single" w:sz="6" w:space="0" w:color="auto"/>
              <w:bottom w:val="single" w:sz="6" w:space="0" w:color="auto"/>
              <w:right w:val="single" w:sz="6" w:space="0" w:color="auto"/>
            </w:tcBorders>
          </w:tcPr>
          <w:p w14:paraId="6C643A57"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624"/>
              <w:jc w:val="right"/>
            </w:pPr>
            <w:r w:rsidRPr="005270E0">
              <w:t>9,6</w:t>
            </w:r>
          </w:p>
        </w:tc>
        <w:tc>
          <w:tcPr>
            <w:tcW w:w="1559" w:type="dxa"/>
            <w:tcBorders>
              <w:top w:val="single" w:sz="6" w:space="0" w:color="auto"/>
              <w:left w:val="single" w:sz="6" w:space="0" w:color="auto"/>
              <w:bottom w:val="single" w:sz="6" w:space="0" w:color="auto"/>
              <w:right w:val="single" w:sz="6" w:space="0" w:color="auto"/>
            </w:tcBorders>
          </w:tcPr>
          <w:p w14:paraId="5C1F0122" w14:textId="3B59EB98"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5270E0">
              <w:t>9,98</w:t>
            </w:r>
          </w:p>
        </w:tc>
        <w:tc>
          <w:tcPr>
            <w:tcW w:w="1558" w:type="dxa"/>
            <w:tcBorders>
              <w:top w:val="single" w:sz="6" w:space="0" w:color="auto"/>
              <w:left w:val="single" w:sz="6" w:space="0" w:color="auto"/>
              <w:bottom w:val="single" w:sz="6" w:space="0" w:color="auto"/>
              <w:right w:val="single" w:sz="6" w:space="0" w:color="auto"/>
            </w:tcBorders>
          </w:tcPr>
          <w:p w14:paraId="2C7B53FD"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67"/>
              <w:jc w:val="right"/>
            </w:pPr>
            <w:r w:rsidRPr="005270E0">
              <w:t>1,7</w:t>
            </w:r>
          </w:p>
        </w:tc>
        <w:tc>
          <w:tcPr>
            <w:tcW w:w="1560" w:type="dxa"/>
            <w:tcBorders>
              <w:top w:val="single" w:sz="6" w:space="0" w:color="auto"/>
              <w:left w:val="single" w:sz="6" w:space="0" w:color="auto"/>
              <w:bottom w:val="single" w:sz="6" w:space="0" w:color="auto"/>
              <w:right w:val="single" w:sz="6" w:space="0" w:color="auto"/>
            </w:tcBorders>
          </w:tcPr>
          <w:p w14:paraId="1251D433"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54"/>
              <w:jc w:val="right"/>
            </w:pPr>
            <w:r w:rsidRPr="005270E0">
              <w:t>0,08</w:t>
            </w:r>
          </w:p>
        </w:tc>
      </w:tr>
      <w:tr w:rsidR="003510BF" w:rsidRPr="005270E0" w14:paraId="03FD6D40" w14:textId="77777777" w:rsidTr="00D35E63">
        <w:trPr>
          <w:cantSplit/>
          <w:jc w:val="center"/>
        </w:trPr>
        <w:tc>
          <w:tcPr>
            <w:tcW w:w="2127" w:type="dxa"/>
            <w:tcBorders>
              <w:top w:val="single" w:sz="6" w:space="0" w:color="auto"/>
              <w:left w:val="single" w:sz="6" w:space="0" w:color="auto"/>
              <w:bottom w:val="single" w:sz="6" w:space="0" w:color="auto"/>
              <w:right w:val="single" w:sz="6" w:space="0" w:color="auto"/>
            </w:tcBorders>
          </w:tcPr>
          <w:p w14:paraId="6EEB1C88" w14:textId="77777777" w:rsidR="003510BF" w:rsidRPr="005270E0" w:rsidRDefault="003510BF" w:rsidP="00D35E63">
            <w:pPr>
              <w:pStyle w:val="Tabletext"/>
              <w:jc w:val="left"/>
            </w:pPr>
            <w:r w:rsidRPr="005270E0">
              <w:t>6 dB por debajo del ruido</w:t>
            </w:r>
          </w:p>
        </w:tc>
        <w:tc>
          <w:tcPr>
            <w:tcW w:w="1560" w:type="dxa"/>
            <w:tcBorders>
              <w:top w:val="single" w:sz="6" w:space="0" w:color="auto"/>
              <w:left w:val="single" w:sz="6" w:space="0" w:color="auto"/>
              <w:bottom w:val="single" w:sz="6" w:space="0" w:color="auto"/>
              <w:right w:val="single" w:sz="6" w:space="0" w:color="auto"/>
            </w:tcBorders>
          </w:tcPr>
          <w:p w14:paraId="4CB28451"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624"/>
              <w:jc w:val="right"/>
            </w:pPr>
            <w:r w:rsidRPr="005270E0">
              <w:t>9,0</w:t>
            </w:r>
          </w:p>
        </w:tc>
        <w:tc>
          <w:tcPr>
            <w:tcW w:w="1559" w:type="dxa"/>
            <w:tcBorders>
              <w:top w:val="single" w:sz="6" w:space="0" w:color="auto"/>
              <w:left w:val="single" w:sz="6" w:space="0" w:color="auto"/>
              <w:bottom w:val="single" w:sz="6" w:space="0" w:color="auto"/>
              <w:right w:val="single" w:sz="6" w:space="0" w:color="auto"/>
            </w:tcBorders>
          </w:tcPr>
          <w:p w14:paraId="778AFB74"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pPr>
            <w:r w:rsidRPr="005270E0">
              <w:t>9,9</w:t>
            </w:r>
          </w:p>
        </w:tc>
        <w:tc>
          <w:tcPr>
            <w:tcW w:w="1558" w:type="dxa"/>
            <w:tcBorders>
              <w:top w:val="single" w:sz="6" w:space="0" w:color="auto"/>
              <w:left w:val="single" w:sz="6" w:space="0" w:color="auto"/>
              <w:bottom w:val="single" w:sz="6" w:space="0" w:color="auto"/>
              <w:right w:val="single" w:sz="6" w:space="0" w:color="auto"/>
            </w:tcBorders>
          </w:tcPr>
          <w:p w14:paraId="29DD7DCA"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67"/>
              <w:jc w:val="right"/>
              <w:rPr>
                <w:szCs w:val="22"/>
              </w:rPr>
            </w:pPr>
            <w:r w:rsidRPr="005270E0">
              <w:rPr>
                <w:szCs w:val="22"/>
              </w:rPr>
              <w:t>4,2</w:t>
            </w:r>
          </w:p>
        </w:tc>
        <w:tc>
          <w:tcPr>
            <w:tcW w:w="1560" w:type="dxa"/>
            <w:tcBorders>
              <w:top w:val="single" w:sz="6" w:space="0" w:color="auto"/>
              <w:left w:val="single" w:sz="6" w:space="0" w:color="auto"/>
              <w:bottom w:val="single" w:sz="6" w:space="0" w:color="auto"/>
              <w:right w:val="single" w:sz="6" w:space="0" w:color="auto"/>
            </w:tcBorders>
          </w:tcPr>
          <w:p w14:paraId="312F708C"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67"/>
              <w:jc w:val="right"/>
            </w:pPr>
            <w:r w:rsidRPr="005270E0">
              <w:t>0,5</w:t>
            </w:r>
          </w:p>
        </w:tc>
      </w:tr>
      <w:tr w:rsidR="003510BF" w:rsidRPr="005270E0" w14:paraId="24067D75" w14:textId="77777777" w:rsidTr="00D35E63">
        <w:trPr>
          <w:cantSplit/>
          <w:jc w:val="center"/>
        </w:trPr>
        <w:tc>
          <w:tcPr>
            <w:tcW w:w="2127" w:type="dxa"/>
            <w:tcBorders>
              <w:top w:val="single" w:sz="6" w:space="0" w:color="auto"/>
              <w:left w:val="single" w:sz="6" w:space="0" w:color="auto"/>
              <w:bottom w:val="single" w:sz="6" w:space="0" w:color="auto"/>
              <w:right w:val="single" w:sz="6" w:space="0" w:color="auto"/>
            </w:tcBorders>
          </w:tcPr>
          <w:p w14:paraId="2C54E12E" w14:textId="77777777" w:rsidR="003510BF" w:rsidRPr="005270E0" w:rsidRDefault="003510BF" w:rsidP="00D35E63">
            <w:pPr>
              <w:pStyle w:val="Tabletext"/>
              <w:jc w:val="left"/>
            </w:pPr>
            <w:r w:rsidRPr="005270E0">
              <w:t>3 dB por debajo del ruido</w:t>
            </w:r>
          </w:p>
        </w:tc>
        <w:tc>
          <w:tcPr>
            <w:tcW w:w="1560" w:type="dxa"/>
            <w:tcBorders>
              <w:top w:val="single" w:sz="6" w:space="0" w:color="auto"/>
              <w:left w:val="single" w:sz="6" w:space="0" w:color="auto"/>
              <w:bottom w:val="single" w:sz="6" w:space="0" w:color="auto"/>
              <w:right w:val="single" w:sz="6" w:space="0" w:color="auto"/>
            </w:tcBorders>
          </w:tcPr>
          <w:p w14:paraId="4F4F6CA3"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624"/>
              <w:jc w:val="right"/>
            </w:pPr>
            <w:r w:rsidRPr="005270E0">
              <w:t>8,2</w:t>
            </w:r>
          </w:p>
        </w:tc>
        <w:tc>
          <w:tcPr>
            <w:tcW w:w="1559" w:type="dxa"/>
            <w:tcBorders>
              <w:top w:val="single" w:sz="6" w:space="0" w:color="auto"/>
              <w:left w:val="single" w:sz="6" w:space="0" w:color="auto"/>
              <w:bottom w:val="single" w:sz="6" w:space="0" w:color="auto"/>
              <w:right w:val="single" w:sz="6" w:space="0" w:color="auto"/>
            </w:tcBorders>
          </w:tcPr>
          <w:p w14:paraId="35079BA2"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pPr>
            <w:r w:rsidRPr="005270E0">
              <w:t>9,5</w:t>
            </w:r>
          </w:p>
        </w:tc>
        <w:tc>
          <w:tcPr>
            <w:tcW w:w="1558" w:type="dxa"/>
            <w:tcBorders>
              <w:top w:val="single" w:sz="6" w:space="0" w:color="auto"/>
              <w:left w:val="single" w:sz="6" w:space="0" w:color="auto"/>
              <w:bottom w:val="single" w:sz="6" w:space="0" w:color="auto"/>
              <w:right w:val="single" w:sz="6" w:space="0" w:color="auto"/>
            </w:tcBorders>
          </w:tcPr>
          <w:p w14:paraId="7FEA5756"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67"/>
              <w:jc w:val="right"/>
            </w:pPr>
            <w:r w:rsidRPr="005270E0">
              <w:t>8,4</w:t>
            </w:r>
          </w:p>
        </w:tc>
        <w:tc>
          <w:tcPr>
            <w:tcW w:w="1560" w:type="dxa"/>
            <w:tcBorders>
              <w:top w:val="single" w:sz="6" w:space="0" w:color="auto"/>
              <w:left w:val="single" w:sz="6" w:space="0" w:color="auto"/>
              <w:bottom w:val="single" w:sz="6" w:space="0" w:color="auto"/>
              <w:right w:val="single" w:sz="6" w:space="0" w:color="auto"/>
            </w:tcBorders>
          </w:tcPr>
          <w:p w14:paraId="5C257501"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67"/>
              <w:jc w:val="right"/>
            </w:pPr>
            <w:r w:rsidRPr="005270E0">
              <w:t>1,2</w:t>
            </w:r>
          </w:p>
        </w:tc>
      </w:tr>
      <w:tr w:rsidR="003510BF" w:rsidRPr="005270E0" w14:paraId="7F665E99" w14:textId="77777777" w:rsidTr="00D35E63">
        <w:trPr>
          <w:cantSplit/>
          <w:jc w:val="center"/>
        </w:trPr>
        <w:tc>
          <w:tcPr>
            <w:tcW w:w="2127" w:type="dxa"/>
            <w:tcBorders>
              <w:top w:val="single" w:sz="6" w:space="0" w:color="auto"/>
              <w:left w:val="single" w:sz="6" w:space="0" w:color="auto"/>
              <w:bottom w:val="single" w:sz="6" w:space="0" w:color="auto"/>
              <w:right w:val="single" w:sz="6" w:space="0" w:color="auto"/>
            </w:tcBorders>
          </w:tcPr>
          <w:p w14:paraId="2807C008" w14:textId="77777777" w:rsidR="003510BF" w:rsidRPr="005270E0" w:rsidRDefault="003510BF" w:rsidP="00D35E63">
            <w:pPr>
              <w:pStyle w:val="Tabletext"/>
              <w:jc w:val="left"/>
            </w:pPr>
            <w:r w:rsidRPr="005270E0">
              <w:t>1,5 dB por debajo del ruido</w:t>
            </w:r>
          </w:p>
        </w:tc>
        <w:tc>
          <w:tcPr>
            <w:tcW w:w="1560" w:type="dxa"/>
            <w:tcBorders>
              <w:top w:val="single" w:sz="6" w:space="0" w:color="auto"/>
              <w:left w:val="single" w:sz="6" w:space="0" w:color="auto"/>
              <w:bottom w:val="single" w:sz="6" w:space="0" w:color="auto"/>
              <w:right w:val="single" w:sz="6" w:space="0" w:color="auto"/>
            </w:tcBorders>
          </w:tcPr>
          <w:p w14:paraId="4C5EB42B"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624"/>
              <w:jc w:val="right"/>
            </w:pPr>
            <w:r w:rsidRPr="005270E0">
              <w:t>7,7</w:t>
            </w:r>
          </w:p>
        </w:tc>
        <w:tc>
          <w:tcPr>
            <w:tcW w:w="1559" w:type="dxa"/>
            <w:tcBorders>
              <w:top w:val="single" w:sz="6" w:space="0" w:color="auto"/>
              <w:left w:val="single" w:sz="6" w:space="0" w:color="auto"/>
              <w:bottom w:val="single" w:sz="6" w:space="0" w:color="auto"/>
              <w:right w:val="single" w:sz="6" w:space="0" w:color="auto"/>
            </w:tcBorders>
          </w:tcPr>
          <w:p w14:paraId="6832B77A"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pPr>
            <w:r w:rsidRPr="005270E0">
              <w:t>9,1</w:t>
            </w:r>
          </w:p>
        </w:tc>
        <w:tc>
          <w:tcPr>
            <w:tcW w:w="1558" w:type="dxa"/>
            <w:tcBorders>
              <w:top w:val="single" w:sz="6" w:space="0" w:color="auto"/>
              <w:left w:val="single" w:sz="6" w:space="0" w:color="auto"/>
              <w:bottom w:val="single" w:sz="6" w:space="0" w:color="auto"/>
              <w:right w:val="single" w:sz="6" w:space="0" w:color="auto"/>
            </w:tcBorders>
          </w:tcPr>
          <w:p w14:paraId="7CB5A5B3"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67"/>
              <w:jc w:val="right"/>
            </w:pPr>
            <w:r w:rsidRPr="005270E0">
              <w:t>11,8</w:t>
            </w:r>
          </w:p>
        </w:tc>
        <w:tc>
          <w:tcPr>
            <w:tcW w:w="1560" w:type="dxa"/>
            <w:tcBorders>
              <w:top w:val="single" w:sz="6" w:space="0" w:color="auto"/>
              <w:left w:val="single" w:sz="6" w:space="0" w:color="auto"/>
              <w:bottom w:val="single" w:sz="6" w:space="0" w:color="auto"/>
              <w:right w:val="single" w:sz="6" w:space="0" w:color="auto"/>
            </w:tcBorders>
          </w:tcPr>
          <w:p w14:paraId="5FA2B0D2"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67"/>
              <w:jc w:val="right"/>
              <w:rPr>
                <w:szCs w:val="22"/>
              </w:rPr>
            </w:pPr>
            <w:r w:rsidRPr="005270E0">
              <w:rPr>
                <w:szCs w:val="22"/>
              </w:rPr>
              <w:t>3,8</w:t>
            </w:r>
          </w:p>
        </w:tc>
      </w:tr>
      <w:tr w:rsidR="003510BF" w:rsidRPr="005270E0" w14:paraId="19BE36E7" w14:textId="77777777" w:rsidTr="00D35E63">
        <w:trPr>
          <w:cantSplit/>
          <w:jc w:val="center"/>
        </w:trPr>
        <w:tc>
          <w:tcPr>
            <w:tcW w:w="2127" w:type="dxa"/>
            <w:tcBorders>
              <w:top w:val="single" w:sz="6" w:space="0" w:color="auto"/>
              <w:left w:val="single" w:sz="6" w:space="0" w:color="auto"/>
              <w:bottom w:val="single" w:sz="6" w:space="0" w:color="auto"/>
              <w:right w:val="single" w:sz="6" w:space="0" w:color="auto"/>
            </w:tcBorders>
          </w:tcPr>
          <w:p w14:paraId="15480C85" w14:textId="77777777" w:rsidR="003510BF" w:rsidRPr="005270E0" w:rsidRDefault="003510BF" w:rsidP="00D35E63">
            <w:pPr>
              <w:pStyle w:val="Tabletext"/>
              <w:jc w:val="left"/>
            </w:pPr>
            <w:r w:rsidRPr="005270E0">
              <w:t>Igual al ruido</w:t>
            </w:r>
          </w:p>
        </w:tc>
        <w:tc>
          <w:tcPr>
            <w:tcW w:w="1560" w:type="dxa"/>
            <w:tcBorders>
              <w:top w:val="single" w:sz="6" w:space="0" w:color="auto"/>
              <w:left w:val="single" w:sz="6" w:space="0" w:color="auto"/>
              <w:bottom w:val="single" w:sz="6" w:space="0" w:color="auto"/>
              <w:right w:val="single" w:sz="6" w:space="0" w:color="auto"/>
            </w:tcBorders>
          </w:tcPr>
          <w:p w14:paraId="08150464"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624"/>
              <w:jc w:val="right"/>
            </w:pPr>
            <w:r w:rsidRPr="005270E0">
              <w:t>7,0</w:t>
            </w:r>
          </w:p>
        </w:tc>
        <w:tc>
          <w:tcPr>
            <w:tcW w:w="1559" w:type="dxa"/>
            <w:tcBorders>
              <w:top w:val="single" w:sz="6" w:space="0" w:color="auto"/>
              <w:left w:val="single" w:sz="6" w:space="0" w:color="auto"/>
              <w:bottom w:val="single" w:sz="6" w:space="0" w:color="auto"/>
              <w:right w:val="single" w:sz="6" w:space="0" w:color="auto"/>
            </w:tcBorders>
          </w:tcPr>
          <w:p w14:paraId="29561B0A"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pPr>
            <w:r w:rsidRPr="005270E0">
              <w:t>8,5</w:t>
            </w:r>
          </w:p>
        </w:tc>
        <w:tc>
          <w:tcPr>
            <w:tcW w:w="1558" w:type="dxa"/>
            <w:tcBorders>
              <w:top w:val="single" w:sz="6" w:space="0" w:color="auto"/>
              <w:left w:val="single" w:sz="6" w:space="0" w:color="auto"/>
              <w:bottom w:val="single" w:sz="6" w:space="0" w:color="auto"/>
              <w:right w:val="single" w:sz="6" w:space="0" w:color="auto"/>
            </w:tcBorders>
          </w:tcPr>
          <w:p w14:paraId="675816A3"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709"/>
              <w:jc w:val="right"/>
            </w:pPr>
            <w:r w:rsidRPr="005270E0">
              <w:t>17</w:t>
            </w:r>
          </w:p>
        </w:tc>
        <w:tc>
          <w:tcPr>
            <w:tcW w:w="1560" w:type="dxa"/>
            <w:tcBorders>
              <w:top w:val="single" w:sz="6" w:space="0" w:color="auto"/>
              <w:left w:val="single" w:sz="6" w:space="0" w:color="auto"/>
              <w:bottom w:val="single" w:sz="6" w:space="0" w:color="auto"/>
              <w:right w:val="single" w:sz="6" w:space="0" w:color="auto"/>
            </w:tcBorders>
          </w:tcPr>
          <w:p w14:paraId="39695A69"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67"/>
              <w:jc w:val="right"/>
            </w:pPr>
            <w:r w:rsidRPr="005270E0">
              <w:t>6,9</w:t>
            </w:r>
          </w:p>
        </w:tc>
      </w:tr>
      <w:tr w:rsidR="003510BF" w:rsidRPr="005270E0" w14:paraId="6155ACA3" w14:textId="77777777" w:rsidTr="00D35E63">
        <w:trPr>
          <w:cantSplit/>
          <w:jc w:val="center"/>
        </w:trPr>
        <w:tc>
          <w:tcPr>
            <w:tcW w:w="2127" w:type="dxa"/>
            <w:tcBorders>
              <w:top w:val="single" w:sz="6" w:space="0" w:color="auto"/>
              <w:left w:val="single" w:sz="6" w:space="0" w:color="auto"/>
              <w:bottom w:val="single" w:sz="6" w:space="0" w:color="auto"/>
              <w:right w:val="single" w:sz="6" w:space="0" w:color="auto"/>
            </w:tcBorders>
          </w:tcPr>
          <w:p w14:paraId="314CFDB5" w14:textId="77777777" w:rsidR="003510BF" w:rsidRPr="005270E0" w:rsidRDefault="003510BF" w:rsidP="00D35E63">
            <w:pPr>
              <w:pStyle w:val="Tabletext"/>
              <w:jc w:val="left"/>
            </w:pPr>
            <w:r w:rsidRPr="005270E0">
              <w:t>10 dB por encima del ruido</w:t>
            </w:r>
          </w:p>
        </w:tc>
        <w:tc>
          <w:tcPr>
            <w:tcW w:w="1560" w:type="dxa"/>
            <w:tcBorders>
              <w:top w:val="single" w:sz="6" w:space="0" w:color="auto"/>
              <w:left w:val="single" w:sz="6" w:space="0" w:color="auto"/>
              <w:bottom w:val="single" w:sz="6" w:space="0" w:color="auto"/>
              <w:right w:val="single" w:sz="6" w:space="0" w:color="auto"/>
            </w:tcBorders>
          </w:tcPr>
          <w:p w14:paraId="71ADCEA9"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624"/>
              <w:jc w:val="right"/>
            </w:pPr>
            <w:r w:rsidRPr="005270E0">
              <w:t>–0,4</w:t>
            </w:r>
          </w:p>
        </w:tc>
        <w:tc>
          <w:tcPr>
            <w:tcW w:w="1559" w:type="dxa"/>
            <w:tcBorders>
              <w:top w:val="single" w:sz="6" w:space="0" w:color="auto"/>
              <w:left w:val="single" w:sz="6" w:space="0" w:color="auto"/>
              <w:bottom w:val="single" w:sz="6" w:space="0" w:color="auto"/>
              <w:right w:val="single" w:sz="6" w:space="0" w:color="auto"/>
            </w:tcBorders>
          </w:tcPr>
          <w:p w14:paraId="33DE154B"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pPr>
            <w:r w:rsidRPr="005270E0">
              <w:t>0</w:t>
            </w:r>
          </w:p>
        </w:tc>
        <w:tc>
          <w:tcPr>
            <w:tcW w:w="1558" w:type="dxa"/>
            <w:tcBorders>
              <w:top w:val="single" w:sz="6" w:space="0" w:color="auto"/>
              <w:left w:val="single" w:sz="6" w:space="0" w:color="auto"/>
              <w:bottom w:val="single" w:sz="6" w:space="0" w:color="auto"/>
              <w:right w:val="single" w:sz="6" w:space="0" w:color="auto"/>
            </w:tcBorders>
          </w:tcPr>
          <w:p w14:paraId="69E3A74D" w14:textId="77777777" w:rsidR="003510BF" w:rsidRPr="005270E0" w:rsidRDefault="003510BF" w:rsidP="00D35E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709"/>
              <w:jc w:val="right"/>
            </w:pPr>
            <w:r w:rsidRPr="005270E0">
              <w:t>167</w:t>
            </w:r>
          </w:p>
        </w:tc>
        <w:tc>
          <w:tcPr>
            <w:tcW w:w="1560" w:type="dxa"/>
            <w:tcBorders>
              <w:top w:val="single" w:sz="6" w:space="0" w:color="auto"/>
              <w:left w:val="single" w:sz="6" w:space="0" w:color="auto"/>
              <w:bottom w:val="single" w:sz="6" w:space="0" w:color="auto"/>
              <w:right w:val="single" w:sz="6" w:space="0" w:color="auto"/>
            </w:tcBorders>
          </w:tcPr>
          <w:p w14:paraId="5D9612A2" w14:textId="77777777" w:rsidR="003510BF" w:rsidRPr="005270E0" w:rsidRDefault="003510BF" w:rsidP="00C102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610"/>
              <w:jc w:val="right"/>
            </w:pPr>
            <w:r w:rsidRPr="005270E0">
              <w:t>150</w:t>
            </w:r>
          </w:p>
        </w:tc>
      </w:tr>
    </w:tbl>
    <w:p w14:paraId="2ECCD69D" w14:textId="77777777" w:rsidR="003510BF" w:rsidRPr="005270E0" w:rsidRDefault="003510BF" w:rsidP="003510BF">
      <w:pPr>
        <w:pStyle w:val="Tablefin"/>
        <w:rPr>
          <w:lang w:val="es-ES"/>
        </w:rPr>
      </w:pPr>
    </w:p>
    <w:p w14:paraId="03520002" w14:textId="77777777" w:rsidR="003510BF" w:rsidRPr="005270E0" w:rsidRDefault="003510BF" w:rsidP="003510BF">
      <w:r w:rsidRPr="005270E0">
        <w:t xml:space="preserve">Por consiguiente, el criterio de interferencia admisible para los altímetros de este ejemplo es un nivel de la potencia de señal interferente combinada de –117 dB(W/320 MHz) en la banda de 13-14 GHz </w:t>
      </w:r>
      <w:r w:rsidRPr="005270E0">
        <w:lastRenderedPageBreak/>
        <w:t>y un nivel de –119 dB(W/450 MHz) en la banda de 35,5</w:t>
      </w:r>
      <w:r w:rsidRPr="005270E0">
        <w:noBreakHyphen/>
        <w:t>36,0 GHz que provocaría un aumento inaceptable en el ruido de las mediciones de altura. Cabe señalar que el criterio de interferencia perjudicial debe calcularse en función de las características del sistema del sensor de que se trate</w:t>
      </w:r>
    </w:p>
    <w:p w14:paraId="7BD6FE53" w14:textId="77777777" w:rsidR="003510BF" w:rsidRPr="005270E0" w:rsidRDefault="003510BF" w:rsidP="003510BF">
      <w:r w:rsidRPr="005270E0">
        <w:t>En las bandas de frecuencias compartidas, la disponibilidad de los datos del altímetro debe ser superior al 95% para todos los emplazamientos de la zona de servicio del sensor en los que se producen pérdidas de manera aleatoria con dispersión para todo el periodo y todas las zonas de observación, y superior al 99% para cada zona de medición cuando las pérdidas tienen lugar sistemáticamente en los mismos emplazamientos.</w:t>
      </w:r>
    </w:p>
    <w:p w14:paraId="01E7BFCD" w14:textId="77777777" w:rsidR="003510BF" w:rsidRPr="005270E0" w:rsidRDefault="003510BF" w:rsidP="003510BF">
      <w:pPr>
        <w:pStyle w:val="Heading1"/>
      </w:pPr>
      <w:bookmarkStart w:id="27" w:name="_Toc393184795"/>
      <w:bookmarkStart w:id="28" w:name="_Toc181637175"/>
      <w:bookmarkStart w:id="29" w:name="_Toc181796505"/>
      <w:r w:rsidRPr="005270E0">
        <w:t>3</w:t>
      </w:r>
      <w:r w:rsidRPr="005270E0">
        <w:tab/>
        <w:t>Dispersímetros</w:t>
      </w:r>
      <w:bookmarkEnd w:id="27"/>
      <w:bookmarkEnd w:id="28"/>
      <w:bookmarkEnd w:id="29"/>
    </w:p>
    <w:p w14:paraId="32B5D971" w14:textId="37234B55" w:rsidR="003510BF" w:rsidRPr="005270E0" w:rsidRDefault="003510BF" w:rsidP="003510BF">
      <w:r w:rsidRPr="005270E0">
        <w:t>Este punto contiene información sobre los criterios de interferencia y de calidad de funcionamiento para los dispersímetros a bordo de vehículos espaciales en las bandas de frecuencias de 1,215</w:t>
      </w:r>
      <w:r w:rsidR="008A1426">
        <w:noBreakHyphen/>
      </w:r>
      <w:r w:rsidRPr="005270E0">
        <w:t>1,3</w:t>
      </w:r>
      <w:r w:rsidR="008A1426">
        <w:t> </w:t>
      </w:r>
      <w:r w:rsidRPr="005270E0">
        <w:t>GHz, 5,25</w:t>
      </w:r>
      <w:r w:rsidRPr="005270E0">
        <w:noBreakHyphen/>
        <w:t>5,57 GHz, 8,55-8,65 GHz, 9,2-10,4 GHz, 13,25</w:t>
      </w:r>
      <w:r w:rsidRPr="005270E0">
        <w:noBreakHyphen/>
        <w:t>13,75 GHz, 17,2-17,3 GHz y 35,5</w:t>
      </w:r>
      <w:r w:rsidRPr="005270E0">
        <w:noBreakHyphen/>
        <w:t>36,0 GHz. Se proporcionan los criterios de calidad de funcionamiento y de interferencia para los dispersímetros activos a bordo de vehículos espaciales que pueden utilizarse para analizar la compatibilidad de los dispersímetros activos a bordo de vehículos espaciales y los sistemas de radionavegación y radiolocalización en esas bandas.</w:t>
      </w:r>
    </w:p>
    <w:p w14:paraId="05637FDA" w14:textId="70C5B0D3" w:rsidR="003510BF" w:rsidRPr="005270E0" w:rsidRDefault="003510BF" w:rsidP="003510BF">
      <w:r w:rsidRPr="005270E0">
        <w:t xml:space="preserve">Las emisiones de radiofrecuencia no deseadas que </w:t>
      </w:r>
      <w:proofErr w:type="gramStart"/>
      <w:r w:rsidRPr="005270E0">
        <w:t>llegan</w:t>
      </w:r>
      <w:proofErr w:type="gramEnd"/>
      <w:r w:rsidRPr="005270E0">
        <w:t xml:space="preserve"> al receptor del dispersímetro pueden alterar la medición de </w:t>
      </w:r>
      <w:r w:rsidRPr="005270E0">
        <w:rPr>
          <w:rFonts w:ascii="Symbol" w:hAnsi="Symbol"/>
        </w:rPr>
        <w:sym w:font="Symbol" w:char="F073"/>
      </w:r>
      <w:r w:rsidRPr="005270E0">
        <w:rPr>
          <w:position w:val="-4"/>
          <w:sz w:val="16"/>
        </w:rPr>
        <w:t>0</w:t>
      </w:r>
      <w:r w:rsidRPr="005270E0">
        <w:t xml:space="preserve"> realizada por el dispersímetro del radar, siendo </w:t>
      </w:r>
      <w:r w:rsidRPr="005270E0">
        <w:rPr>
          <w:rFonts w:ascii="Symbol" w:hAnsi="Symbol"/>
        </w:rPr>
        <w:sym w:font="Symbol" w:char="F073"/>
      </w:r>
      <w:r w:rsidRPr="005270E0">
        <w:rPr>
          <w:position w:val="-4"/>
          <w:sz w:val="16"/>
        </w:rPr>
        <w:t>0</w:t>
      </w:r>
      <w:r w:rsidRPr="005270E0">
        <w:t xml:space="preserve"> el coeficiente de retrodispersión del radar normalizado. El volumen de degradación dependerá de los valores estadísticos de la interferencia externa.</w:t>
      </w:r>
    </w:p>
    <w:p w14:paraId="552C705D" w14:textId="77777777" w:rsidR="003510BF" w:rsidRPr="005270E0" w:rsidRDefault="003510BF" w:rsidP="003510BF">
      <w:pPr>
        <w:pStyle w:val="Heading2"/>
      </w:pPr>
      <w:bookmarkStart w:id="30" w:name="_Toc393184796"/>
      <w:bookmarkStart w:id="31" w:name="_Toc181637176"/>
      <w:bookmarkStart w:id="32" w:name="_Toc181796506"/>
      <w:r w:rsidRPr="005270E0">
        <w:t>3.1</w:t>
      </w:r>
      <w:r w:rsidRPr="005270E0">
        <w:tab/>
        <w:t>Criterios de calidad de funcionamiento</w:t>
      </w:r>
      <w:bookmarkEnd w:id="30"/>
      <w:bookmarkEnd w:id="31"/>
      <w:bookmarkEnd w:id="32"/>
    </w:p>
    <w:p w14:paraId="24DF7308" w14:textId="77777777" w:rsidR="003510BF" w:rsidRPr="005270E0" w:rsidRDefault="003510BF" w:rsidP="003510BF">
      <w:r w:rsidRPr="005270E0">
        <w:t>En los sistemas de dispersímetros se realiza una estimación de la potencia de la señal de retorno del eco midiendo primeramente la potencia «señal + ruido» (es decir, el retorno del eco más la contribución de ruido del sistema), y restando a continuación la potencia «ruido únicamente» (una estimación del ruido del sistema únicamente, o «ruido de fondo»). El ruido del sistema incluye las emisiones térmicas procedentes de la Tierra así como el ruido por la antena y el guiaondas y el factor de ruido del receptor. Para optimizar la calidad de funcionamiento del sistema, las mediciones de «señal </w:t>
      </w:r>
      <w:r w:rsidRPr="005270E0">
        <w:rPr>
          <w:rFonts w:ascii="Symbol" w:hAnsi="Symbol"/>
        </w:rPr>
        <w:t></w:t>
      </w:r>
      <w:r w:rsidRPr="005270E0">
        <w:t> ruido» y «ruido únicamente» se realizan para distintas anchuras de banda y/o para instantes diferentes. Esta estrategia se basa en el hecho de que la temperatura nominal del sistema es fundamentalmente blanca durante la secuencia de medición (estacionaria y con una distribución de potencia espectral plana).</w:t>
      </w:r>
    </w:p>
    <w:p w14:paraId="2B4CCC2E" w14:textId="77777777" w:rsidR="003510BF" w:rsidRPr="005270E0" w:rsidRDefault="003510BF" w:rsidP="003510BF">
      <w:r w:rsidRPr="005270E0">
        <w:t>Si aparece interferencia externa, el nuevo ruido de fondo compuesto es la suma de la interferencia y del ruido nominal del sistema. Habida cuentea de las estrechas bandas que utilizan los dispersímetros, el ruido puede considerarse blanco de forma aproximada. No obstante, dependiendo de la intensidad, la modulación, el diagrama de ganancia de la antena y la geometría de la fuente de interferencia, el ruido compuesto puede que no sea blanco a lo largo de toda la secuencia de medición. En ese caso, la medición de «ruido únicamente» no corresponderá al ruido de la medición «señal </w:t>
      </w:r>
      <w:r w:rsidRPr="005270E0">
        <w:rPr>
          <w:rFonts w:ascii="Symbol" w:hAnsi="Symbol"/>
        </w:rPr>
        <w:t></w:t>
      </w:r>
      <w:r w:rsidRPr="005270E0">
        <w:t xml:space="preserve"> ruido», lo que dará lugar a la aparición de errores en la estimación de </w:t>
      </w:r>
      <w:r w:rsidRPr="005270E0">
        <w:rPr>
          <w:rFonts w:ascii="Symbol" w:hAnsi="Symbol"/>
        </w:rPr>
        <w:sym w:font="Symbol" w:char="F073"/>
      </w:r>
      <w:r w:rsidRPr="005270E0">
        <w:rPr>
          <w:position w:val="-4"/>
          <w:sz w:val="16"/>
        </w:rPr>
        <w:t>0</w:t>
      </w:r>
      <w:r w:rsidRPr="005270E0">
        <w:t>.</w:t>
      </w:r>
    </w:p>
    <w:p w14:paraId="3C41C51F" w14:textId="77777777" w:rsidR="003510BF" w:rsidRPr="005270E0" w:rsidRDefault="003510BF" w:rsidP="003510BF">
      <w:r w:rsidRPr="005270E0">
        <w:t xml:space="preserve">El error estimado de </w:t>
      </w:r>
      <w:r w:rsidRPr="005270E0">
        <w:rPr>
          <w:rFonts w:ascii="Symbol" w:hAnsi="Symbol"/>
        </w:rPr>
        <w:sym w:font="Symbol" w:char="F073"/>
      </w:r>
      <w:r w:rsidRPr="005270E0">
        <w:rPr>
          <w:position w:val="-4"/>
          <w:sz w:val="16"/>
        </w:rPr>
        <w:t>0</w:t>
      </w:r>
      <w:r w:rsidRPr="005270E0">
        <w:t xml:space="preserve"> como consecuencia de un error en la medición «ruido únicamente» determinado puede cuantificarse mediante la siguiente ecuación:</w:t>
      </w:r>
    </w:p>
    <w:p w14:paraId="423409E2" w14:textId="77777777" w:rsidR="003510BF" w:rsidRPr="005270E0" w:rsidRDefault="003510BF" w:rsidP="003510BF">
      <w:pPr>
        <w:pStyle w:val="Equation"/>
      </w:pPr>
      <w:bookmarkStart w:id="33" w:name="F001"/>
      <w:r w:rsidRPr="005270E0">
        <w:tab/>
      </w:r>
      <w:r w:rsidRPr="005270E0">
        <w:tab/>
        <w:t xml:space="preserve">Error </w:t>
      </w:r>
      <w:r w:rsidRPr="005270E0">
        <w:rPr>
          <w:rFonts w:ascii="Symbol" w:hAnsi="Symbol"/>
        </w:rPr>
        <w:sym w:font="Symbol" w:char="F073"/>
      </w:r>
      <w:r w:rsidRPr="005270E0">
        <w:rPr>
          <w:position w:val="-4"/>
          <w:sz w:val="18"/>
        </w:rPr>
        <w:t>0</w:t>
      </w:r>
      <w:r w:rsidRPr="005270E0">
        <w:t xml:space="preserve"> (dB)  </w:t>
      </w:r>
      <w:r w:rsidRPr="005270E0">
        <w:rPr>
          <w:rFonts w:ascii="Symbol" w:hAnsi="Symbol"/>
        </w:rPr>
        <w:t></w:t>
      </w:r>
      <w:r w:rsidRPr="005270E0">
        <w:t xml:space="preserve">  10 log [1  </w:t>
      </w:r>
      <w:r w:rsidRPr="005270E0">
        <w:rPr>
          <w:rFonts w:ascii="Symbol" w:hAnsi="Symbol"/>
        </w:rPr>
        <w:t></w:t>
      </w:r>
      <w:r w:rsidRPr="005270E0">
        <w:t xml:space="preserve">  (</w:t>
      </w:r>
      <w:r w:rsidRPr="005270E0">
        <w:rPr>
          <w:rFonts w:ascii="Symbol" w:hAnsi="Symbol"/>
        </w:rPr>
        <w:sym w:font="Symbol" w:char="F061"/>
      </w:r>
      <w:r w:rsidRPr="005270E0">
        <w:t xml:space="preserve">  –  1) / </w:t>
      </w:r>
      <w:r w:rsidRPr="005270E0">
        <w:rPr>
          <w:i/>
        </w:rPr>
        <w:t>SNR</w:t>
      </w:r>
      <w:r w:rsidRPr="005270E0">
        <w:t xml:space="preserve"> </w:t>
      </w:r>
      <w:r w:rsidRPr="005270E0">
        <w:rPr>
          <w:rFonts w:ascii="Symbol" w:hAnsi="Symbol"/>
        </w:rPr>
        <w:sym w:font="Symbol" w:char="F073"/>
      </w:r>
      <w:r w:rsidRPr="005270E0">
        <w:rPr>
          <w:position w:val="-4"/>
          <w:sz w:val="18"/>
        </w:rPr>
        <w:t>0</w:t>
      </w:r>
      <w:r w:rsidRPr="005270E0">
        <w:t>]</w:t>
      </w:r>
      <w:r w:rsidRPr="005270E0">
        <w:rPr>
          <w:position w:val="-4"/>
          <w:sz w:val="18"/>
        </w:rPr>
        <w:tab/>
      </w:r>
      <w:r w:rsidRPr="005270E0">
        <w:t>(1)</w:t>
      </w:r>
    </w:p>
    <w:p w14:paraId="616BF1D9" w14:textId="77777777" w:rsidR="003510BF" w:rsidRPr="005270E0" w:rsidRDefault="003510BF" w:rsidP="003510BF">
      <w:r w:rsidRPr="005270E0">
        <w:t>siendo:</w:t>
      </w:r>
    </w:p>
    <w:bookmarkEnd w:id="33"/>
    <w:p w14:paraId="052A0E5E" w14:textId="77777777" w:rsidR="003510BF" w:rsidRPr="005270E0" w:rsidRDefault="003510BF" w:rsidP="003510BF">
      <w:pPr>
        <w:pStyle w:val="enumlev1"/>
      </w:pPr>
      <w:r w:rsidRPr="005270E0">
        <w:rPr>
          <w:i/>
        </w:rPr>
        <w:tab/>
        <w:t>SNR</w:t>
      </w:r>
      <w:r w:rsidRPr="005270E0">
        <w:t xml:space="preserve"> </w:t>
      </w:r>
      <w:r w:rsidRPr="005270E0">
        <w:rPr>
          <w:rFonts w:ascii="Symbol" w:hAnsi="Symbol"/>
        </w:rPr>
        <w:sym w:font="Symbol" w:char="F073"/>
      </w:r>
      <w:r w:rsidRPr="005270E0">
        <w:rPr>
          <w:position w:val="-4"/>
          <w:sz w:val="16"/>
        </w:rPr>
        <w:t>0</w:t>
      </w:r>
      <w:r w:rsidRPr="005270E0">
        <w:t xml:space="preserve"> (dB)  </w:t>
      </w:r>
      <w:r w:rsidRPr="005270E0">
        <w:rPr>
          <w:rFonts w:ascii="Symbol" w:hAnsi="Symbol"/>
        </w:rPr>
        <w:t></w:t>
      </w:r>
      <w:r w:rsidRPr="005270E0">
        <w:t xml:space="preserve">  10 log (</w:t>
      </w:r>
      <w:r w:rsidRPr="005270E0">
        <w:rPr>
          <w:i/>
        </w:rPr>
        <w:t>S</w:t>
      </w:r>
      <w:r w:rsidRPr="005270E0">
        <w:t>/</w:t>
      </w:r>
      <w:r w:rsidRPr="005270E0">
        <w:rPr>
          <w:i/>
        </w:rPr>
        <w:t>N</w:t>
      </w:r>
      <w:r w:rsidRPr="005270E0">
        <w:t xml:space="preserve">)  </w:t>
      </w:r>
      <w:r w:rsidRPr="005270E0">
        <w:rPr>
          <w:rFonts w:ascii="Symbol" w:hAnsi="Symbol"/>
        </w:rPr>
        <w:t></w:t>
      </w:r>
      <w:r w:rsidRPr="005270E0">
        <w:t xml:space="preserve">  relación señal/ruido del proceso de estimación </w:t>
      </w:r>
      <w:r w:rsidRPr="005270E0">
        <w:rPr>
          <w:rFonts w:ascii="Symbol" w:hAnsi="Symbol"/>
        </w:rPr>
        <w:sym w:font="Symbol" w:char="F073"/>
      </w:r>
      <w:r w:rsidRPr="005270E0">
        <w:rPr>
          <w:position w:val="-4"/>
          <w:sz w:val="16"/>
        </w:rPr>
        <w:t>0</w:t>
      </w:r>
    </w:p>
    <w:p w14:paraId="3975DB47" w14:textId="77777777" w:rsidR="003510BF" w:rsidRPr="005270E0" w:rsidRDefault="003510BF" w:rsidP="003510BF">
      <w:r w:rsidRPr="005270E0">
        <w:lastRenderedPageBreak/>
        <w:t>con:</w:t>
      </w:r>
    </w:p>
    <w:p w14:paraId="796A164B" w14:textId="77777777" w:rsidR="003510BF" w:rsidRPr="005270E0" w:rsidRDefault="003510BF" w:rsidP="003510BF">
      <w:pPr>
        <w:pStyle w:val="enumlev1"/>
      </w:pPr>
      <w:r w:rsidRPr="005270E0">
        <w:tab/>
      </w:r>
      <w:r w:rsidRPr="005270E0">
        <w:rPr>
          <w:i/>
        </w:rPr>
        <w:t>S</w:t>
      </w:r>
      <w:r w:rsidRPr="005270E0">
        <w:t>:</w:t>
      </w:r>
      <w:r w:rsidRPr="005270E0">
        <w:tab/>
        <w:t>densidad espectral de potencia de retorno del eco</w:t>
      </w:r>
    </w:p>
    <w:p w14:paraId="75E643D6" w14:textId="77777777" w:rsidR="003510BF" w:rsidRPr="005270E0" w:rsidRDefault="003510BF" w:rsidP="003510BF">
      <w:pPr>
        <w:pStyle w:val="enumlev1"/>
        <w:ind w:left="1191" w:hanging="1191"/>
      </w:pPr>
      <w:r w:rsidRPr="005270E0">
        <w:tab/>
      </w:r>
      <w:r w:rsidRPr="005270E0">
        <w:rPr>
          <w:i/>
        </w:rPr>
        <w:t>N</w:t>
      </w:r>
      <w:r w:rsidRPr="005270E0">
        <w:t>:</w:t>
      </w:r>
      <w:r w:rsidRPr="005270E0">
        <w:tab/>
        <w:t xml:space="preserve">densidad espectral de potencia nominal del ruido ambiente (aproximadamente </w:t>
      </w:r>
      <w:r w:rsidRPr="005270E0">
        <w:br/>
        <w:t>–200 dB(W/Hz) en la entrada del receptor del dispersímetro para antenas de «haz en abanico» y de «haz puntual»).</w:t>
      </w:r>
    </w:p>
    <w:p w14:paraId="1DC56E0B" w14:textId="77777777" w:rsidR="003510BF" w:rsidRPr="003510BF" w:rsidRDefault="003510BF" w:rsidP="003510BF">
      <w:pPr>
        <w:rPr>
          <w:lang w:val="en-GB"/>
        </w:rPr>
      </w:pPr>
      <w:r w:rsidRPr="003510BF">
        <w:rPr>
          <w:lang w:val="en-GB"/>
        </w:rPr>
        <w:t>y</w:t>
      </w:r>
    </w:p>
    <w:p w14:paraId="3A1B54DE" w14:textId="77777777" w:rsidR="003510BF" w:rsidRPr="003510BF" w:rsidRDefault="003510BF" w:rsidP="003510BF">
      <w:pPr>
        <w:pStyle w:val="Equation"/>
        <w:rPr>
          <w:lang w:val="en-GB"/>
        </w:rPr>
      </w:pPr>
      <w:bookmarkStart w:id="34" w:name="F002"/>
      <w:r w:rsidRPr="003510BF">
        <w:rPr>
          <w:lang w:val="en-GB"/>
        </w:rPr>
        <w:tab/>
      </w:r>
      <w:r w:rsidRPr="003510BF">
        <w:rPr>
          <w:lang w:val="en-GB"/>
        </w:rPr>
        <w:tab/>
      </w:r>
      <w:r w:rsidRPr="005270E0">
        <w:rPr>
          <w:rFonts w:ascii="Symbol" w:hAnsi="Symbol"/>
        </w:rPr>
        <w:sym w:font="Symbol" w:char="F061"/>
      </w:r>
      <w:r w:rsidRPr="003510BF">
        <w:rPr>
          <w:lang w:val="en-GB"/>
        </w:rPr>
        <w:t xml:space="preserve"> (dB)  </w:t>
      </w:r>
      <w:r w:rsidRPr="005270E0">
        <w:rPr>
          <w:rFonts w:ascii="Symbol" w:hAnsi="Symbol"/>
        </w:rPr>
        <w:t></w:t>
      </w:r>
      <w:r w:rsidRPr="003510BF">
        <w:rPr>
          <w:lang w:val="en-GB"/>
        </w:rPr>
        <w:t xml:space="preserve">  10 log </w:t>
      </w:r>
      <w:r w:rsidRPr="003510BF">
        <w:rPr>
          <w:position w:val="-1"/>
          <w:sz w:val="28"/>
          <w:lang w:val="en-GB"/>
        </w:rPr>
        <w:t>(</w:t>
      </w:r>
      <w:r w:rsidRPr="003510BF">
        <w:rPr>
          <w:lang w:val="en-GB"/>
        </w:rPr>
        <w:t>[</w:t>
      </w:r>
      <w:r w:rsidRPr="003510BF">
        <w:rPr>
          <w:i/>
          <w:lang w:val="en-GB"/>
        </w:rPr>
        <w:t>N</w:t>
      </w:r>
      <w:r w:rsidRPr="003510BF">
        <w:rPr>
          <w:lang w:val="en-GB"/>
        </w:rPr>
        <w:t xml:space="preserve">  </w:t>
      </w:r>
      <w:r w:rsidRPr="005270E0">
        <w:rPr>
          <w:rFonts w:ascii="Symbol" w:hAnsi="Symbol"/>
        </w:rPr>
        <w:t></w:t>
      </w:r>
      <w:r w:rsidRPr="003510BF">
        <w:rPr>
          <w:lang w:val="en-GB"/>
        </w:rPr>
        <w:t xml:space="preserve">  (</w:t>
      </w:r>
      <w:r w:rsidRPr="003510BF">
        <w:rPr>
          <w:i/>
          <w:lang w:val="en-GB"/>
        </w:rPr>
        <w:t>I</w:t>
      </w:r>
      <w:r w:rsidRPr="003510BF">
        <w:rPr>
          <w:i/>
          <w:position w:val="-4"/>
          <w:sz w:val="18"/>
          <w:lang w:val="en-GB"/>
        </w:rPr>
        <w:t>s</w:t>
      </w:r>
      <w:r w:rsidRPr="003510BF">
        <w:rPr>
          <w:position w:val="-4"/>
          <w:sz w:val="12"/>
          <w:lang w:val="en-GB"/>
        </w:rPr>
        <w:t> </w:t>
      </w:r>
      <w:r w:rsidRPr="005270E0">
        <w:rPr>
          <w:rFonts w:ascii="Symbol" w:hAnsi="Symbol"/>
          <w:position w:val="-4"/>
          <w:sz w:val="18"/>
        </w:rPr>
        <w:t></w:t>
      </w:r>
      <w:r w:rsidRPr="003510BF">
        <w:rPr>
          <w:position w:val="-4"/>
          <w:sz w:val="12"/>
          <w:lang w:val="en-GB"/>
        </w:rPr>
        <w:t> </w:t>
      </w:r>
      <w:r w:rsidRPr="003510BF">
        <w:rPr>
          <w:i/>
          <w:position w:val="-4"/>
          <w:sz w:val="18"/>
          <w:lang w:val="en-GB"/>
        </w:rPr>
        <w:t>n</w:t>
      </w:r>
      <w:r w:rsidRPr="003510BF">
        <w:rPr>
          <w:lang w:val="en-GB"/>
        </w:rPr>
        <w:t xml:space="preserve"> / </w:t>
      </w:r>
      <w:r w:rsidRPr="003510BF">
        <w:rPr>
          <w:i/>
          <w:lang w:val="en-GB"/>
        </w:rPr>
        <w:t>B</w:t>
      </w:r>
      <w:r w:rsidRPr="003510BF">
        <w:rPr>
          <w:i/>
          <w:position w:val="-4"/>
          <w:sz w:val="18"/>
          <w:lang w:val="en-GB"/>
        </w:rPr>
        <w:t>s</w:t>
      </w:r>
      <w:r w:rsidRPr="003510BF">
        <w:rPr>
          <w:position w:val="-4"/>
          <w:sz w:val="12"/>
          <w:lang w:val="en-GB"/>
        </w:rPr>
        <w:t> </w:t>
      </w:r>
      <w:r w:rsidRPr="005270E0">
        <w:rPr>
          <w:rFonts w:ascii="Symbol" w:hAnsi="Symbol"/>
          <w:position w:val="-4"/>
          <w:sz w:val="18"/>
        </w:rPr>
        <w:t></w:t>
      </w:r>
      <w:r w:rsidRPr="003510BF">
        <w:rPr>
          <w:position w:val="-4"/>
          <w:sz w:val="12"/>
          <w:lang w:val="en-GB"/>
        </w:rPr>
        <w:t> </w:t>
      </w:r>
      <w:r w:rsidRPr="003510BF">
        <w:rPr>
          <w:i/>
          <w:position w:val="-4"/>
          <w:sz w:val="18"/>
          <w:lang w:val="en-GB"/>
        </w:rPr>
        <w:t>n</w:t>
      </w:r>
      <w:r w:rsidRPr="003510BF">
        <w:rPr>
          <w:lang w:val="en-GB"/>
        </w:rPr>
        <w:t>)] / [</w:t>
      </w:r>
      <w:r w:rsidRPr="003510BF">
        <w:rPr>
          <w:i/>
          <w:lang w:val="en-GB"/>
        </w:rPr>
        <w:t>N</w:t>
      </w:r>
      <w:r w:rsidRPr="003510BF">
        <w:rPr>
          <w:lang w:val="en-GB"/>
        </w:rPr>
        <w:t xml:space="preserve">  </w:t>
      </w:r>
      <w:r w:rsidRPr="005270E0">
        <w:rPr>
          <w:rFonts w:ascii="Symbol" w:hAnsi="Symbol"/>
        </w:rPr>
        <w:t></w:t>
      </w:r>
      <w:r w:rsidRPr="003510BF">
        <w:rPr>
          <w:lang w:val="en-GB"/>
        </w:rPr>
        <w:t xml:space="preserve">  (</w:t>
      </w:r>
      <w:r w:rsidRPr="003510BF">
        <w:rPr>
          <w:i/>
          <w:lang w:val="en-GB"/>
        </w:rPr>
        <w:t>I</w:t>
      </w:r>
      <w:r w:rsidRPr="003510BF">
        <w:rPr>
          <w:i/>
          <w:position w:val="-4"/>
          <w:sz w:val="18"/>
          <w:lang w:val="en-GB"/>
        </w:rPr>
        <w:t>n</w:t>
      </w:r>
      <w:r w:rsidRPr="003510BF">
        <w:rPr>
          <w:lang w:val="en-GB"/>
        </w:rPr>
        <w:t xml:space="preserve"> / </w:t>
      </w:r>
      <w:r w:rsidRPr="003510BF">
        <w:rPr>
          <w:i/>
          <w:lang w:val="en-GB"/>
        </w:rPr>
        <w:t>B</w:t>
      </w:r>
      <w:r w:rsidRPr="003510BF">
        <w:rPr>
          <w:i/>
          <w:position w:val="-4"/>
          <w:sz w:val="18"/>
          <w:lang w:val="en-GB"/>
        </w:rPr>
        <w:t>n</w:t>
      </w:r>
      <w:r w:rsidRPr="003510BF">
        <w:rPr>
          <w:lang w:val="en-GB"/>
        </w:rPr>
        <w:t>)]</w:t>
      </w:r>
      <w:r w:rsidRPr="003510BF">
        <w:rPr>
          <w:position w:val="-1"/>
          <w:sz w:val="28"/>
          <w:lang w:val="en-GB"/>
        </w:rPr>
        <w:t>)</w:t>
      </w:r>
      <w:r w:rsidRPr="003510BF">
        <w:rPr>
          <w:sz w:val="20"/>
          <w:lang w:val="en-GB"/>
        </w:rPr>
        <w:tab/>
      </w:r>
      <w:r w:rsidRPr="003510BF">
        <w:rPr>
          <w:lang w:val="en-GB"/>
        </w:rPr>
        <w:t>(2)</w:t>
      </w:r>
      <w:bookmarkEnd w:id="34"/>
    </w:p>
    <w:p w14:paraId="45939D51" w14:textId="77777777" w:rsidR="003510BF" w:rsidRPr="005270E0" w:rsidRDefault="003510BF" w:rsidP="003510BF">
      <w:r w:rsidRPr="005270E0">
        <w:t>siendo:</w:t>
      </w:r>
    </w:p>
    <w:p w14:paraId="4B071001" w14:textId="77777777" w:rsidR="003510BF" w:rsidRPr="005270E0" w:rsidRDefault="003510BF" w:rsidP="003510BF">
      <w:pPr>
        <w:pStyle w:val="Equationlegend"/>
        <w:rPr>
          <w:lang w:val="es-ES"/>
        </w:rPr>
      </w:pPr>
      <w:r w:rsidRPr="005270E0">
        <w:rPr>
          <w:lang w:val="es-ES"/>
        </w:rPr>
        <w:tab/>
      </w:r>
      <w:r w:rsidRPr="005270E0">
        <w:rPr>
          <w:i/>
          <w:lang w:val="es-ES"/>
        </w:rPr>
        <w:t>I</w:t>
      </w:r>
      <w:r w:rsidRPr="005270E0">
        <w:rPr>
          <w:i/>
          <w:szCs w:val="24"/>
          <w:vertAlign w:val="subscript"/>
          <w:lang w:val="es-ES"/>
        </w:rPr>
        <w:t>s</w:t>
      </w:r>
      <w:r w:rsidRPr="005270E0">
        <w:rPr>
          <w:rFonts w:ascii="Tms Rmn" w:hAnsi="Tms Rmn"/>
          <w:i/>
          <w:szCs w:val="24"/>
          <w:vertAlign w:val="subscript"/>
          <w:lang w:val="es-ES"/>
        </w:rPr>
        <w:t> </w:t>
      </w:r>
      <w:r w:rsidRPr="005270E0">
        <w:rPr>
          <w:szCs w:val="24"/>
          <w:vertAlign w:val="subscript"/>
          <w:lang w:val="es-ES"/>
        </w:rPr>
        <w:t>+</w:t>
      </w:r>
      <w:r w:rsidRPr="005270E0">
        <w:rPr>
          <w:rFonts w:ascii="Tms Rmn" w:hAnsi="Tms Rmn"/>
          <w:szCs w:val="24"/>
          <w:vertAlign w:val="subscript"/>
          <w:lang w:val="es-ES"/>
        </w:rPr>
        <w:t> </w:t>
      </w:r>
      <w:r w:rsidRPr="005270E0">
        <w:rPr>
          <w:i/>
          <w:szCs w:val="24"/>
          <w:vertAlign w:val="subscript"/>
          <w:lang w:val="es-ES"/>
        </w:rPr>
        <w:t>n</w:t>
      </w:r>
      <w:r w:rsidRPr="005270E0">
        <w:rPr>
          <w:rFonts w:ascii="Tms Rmn" w:hAnsi="Tms Rmn"/>
          <w:iCs/>
          <w:position w:val="-4"/>
          <w:sz w:val="8"/>
          <w:lang w:val="es-ES"/>
        </w:rPr>
        <w:t> </w:t>
      </w:r>
      <w:r w:rsidRPr="005270E0">
        <w:rPr>
          <w:lang w:val="es-ES"/>
        </w:rPr>
        <w:t>:</w:t>
      </w:r>
      <w:r w:rsidRPr="005270E0">
        <w:rPr>
          <w:lang w:val="es-ES"/>
        </w:rPr>
        <w:tab/>
        <w:t xml:space="preserve">potencia media procedente de la fuente de interferencia en </w:t>
      </w:r>
      <w:r w:rsidRPr="005270E0">
        <w:rPr>
          <w:i/>
          <w:lang w:val="es-ES"/>
        </w:rPr>
        <w:t>B</w:t>
      </w:r>
      <w:r w:rsidRPr="005270E0">
        <w:rPr>
          <w:i/>
          <w:position w:val="-4"/>
          <w:sz w:val="16"/>
          <w:lang w:val="es-ES"/>
        </w:rPr>
        <w:t>s</w:t>
      </w:r>
      <w:r w:rsidRPr="005270E0">
        <w:rPr>
          <w:rFonts w:ascii="Tms Rmn" w:hAnsi="Tms Rmn"/>
          <w:i/>
          <w:position w:val="-4"/>
          <w:sz w:val="12"/>
          <w:lang w:val="es-ES"/>
        </w:rPr>
        <w:t> </w:t>
      </w:r>
      <w:r w:rsidRPr="005270E0">
        <w:rPr>
          <w:position w:val="-4"/>
          <w:sz w:val="16"/>
          <w:lang w:val="es-ES"/>
        </w:rPr>
        <w:t>+</w:t>
      </w:r>
      <w:r w:rsidRPr="005270E0">
        <w:rPr>
          <w:rFonts w:ascii="Tms Rmn" w:hAnsi="Tms Rmn"/>
          <w:position w:val="-4"/>
          <w:sz w:val="12"/>
          <w:lang w:val="es-ES"/>
        </w:rPr>
        <w:t> </w:t>
      </w:r>
      <w:r w:rsidRPr="005270E0">
        <w:rPr>
          <w:i/>
          <w:position w:val="-4"/>
          <w:sz w:val="16"/>
          <w:lang w:val="es-ES"/>
        </w:rPr>
        <w:t>n</w:t>
      </w:r>
      <w:r w:rsidRPr="005270E0">
        <w:rPr>
          <w:lang w:val="es-ES"/>
        </w:rPr>
        <w:t xml:space="preserve"> durante el periodo de medición «señal + ruido»</w:t>
      </w:r>
    </w:p>
    <w:p w14:paraId="68FDDF8F" w14:textId="77777777" w:rsidR="003510BF" w:rsidRPr="005270E0" w:rsidRDefault="003510BF" w:rsidP="003510BF">
      <w:pPr>
        <w:pStyle w:val="Equationlegend"/>
        <w:rPr>
          <w:lang w:val="es-ES"/>
        </w:rPr>
      </w:pPr>
      <w:r w:rsidRPr="005270E0">
        <w:rPr>
          <w:lang w:val="es-ES"/>
        </w:rPr>
        <w:tab/>
      </w:r>
      <w:r w:rsidRPr="005270E0">
        <w:rPr>
          <w:i/>
          <w:lang w:val="es-ES"/>
        </w:rPr>
        <w:t>B</w:t>
      </w:r>
      <w:r w:rsidRPr="005270E0">
        <w:rPr>
          <w:i/>
          <w:szCs w:val="24"/>
          <w:vertAlign w:val="subscript"/>
          <w:lang w:val="es-ES"/>
        </w:rPr>
        <w:t>s</w:t>
      </w:r>
      <w:r w:rsidRPr="005270E0">
        <w:rPr>
          <w:rFonts w:ascii="Tms Rmn" w:hAnsi="Tms Rmn"/>
          <w:i/>
          <w:szCs w:val="24"/>
          <w:vertAlign w:val="subscript"/>
          <w:lang w:val="es-ES"/>
        </w:rPr>
        <w:t> </w:t>
      </w:r>
      <w:r w:rsidRPr="005270E0">
        <w:rPr>
          <w:szCs w:val="24"/>
          <w:vertAlign w:val="subscript"/>
          <w:lang w:val="es-ES"/>
        </w:rPr>
        <w:t>+</w:t>
      </w:r>
      <w:r w:rsidRPr="005270E0">
        <w:rPr>
          <w:rFonts w:ascii="Tms Rmn" w:hAnsi="Tms Rmn"/>
          <w:szCs w:val="24"/>
          <w:vertAlign w:val="subscript"/>
          <w:lang w:val="es-ES"/>
        </w:rPr>
        <w:t> </w:t>
      </w:r>
      <w:r w:rsidRPr="005270E0">
        <w:rPr>
          <w:i/>
          <w:szCs w:val="24"/>
          <w:vertAlign w:val="subscript"/>
          <w:lang w:val="es-ES"/>
        </w:rPr>
        <w:t>n</w:t>
      </w:r>
      <w:r w:rsidRPr="005270E0">
        <w:rPr>
          <w:rFonts w:ascii="Tms Rmn" w:hAnsi="Tms Rmn"/>
          <w:iCs/>
          <w:position w:val="-4"/>
          <w:sz w:val="8"/>
          <w:lang w:val="es-ES"/>
        </w:rPr>
        <w:t> </w:t>
      </w:r>
      <w:r w:rsidRPr="005270E0">
        <w:rPr>
          <w:lang w:val="es-ES"/>
        </w:rPr>
        <w:t>:</w:t>
      </w:r>
      <w:r w:rsidRPr="005270E0">
        <w:rPr>
          <w:lang w:val="es-ES"/>
        </w:rPr>
        <w:tab/>
        <w:t>anchura de banda de la medición «señal + ruido»</w:t>
      </w:r>
    </w:p>
    <w:p w14:paraId="6E76720C" w14:textId="77777777" w:rsidR="003510BF" w:rsidRPr="005270E0" w:rsidRDefault="003510BF" w:rsidP="003510BF">
      <w:pPr>
        <w:pStyle w:val="Equationlegend"/>
        <w:rPr>
          <w:lang w:val="es-ES"/>
        </w:rPr>
      </w:pPr>
      <w:r w:rsidRPr="005270E0">
        <w:rPr>
          <w:lang w:val="es-ES"/>
        </w:rPr>
        <w:tab/>
      </w:r>
      <w:r w:rsidRPr="005270E0">
        <w:rPr>
          <w:i/>
          <w:lang w:val="es-ES"/>
        </w:rPr>
        <w:t>I</w:t>
      </w:r>
      <w:r w:rsidRPr="005270E0">
        <w:rPr>
          <w:i/>
          <w:szCs w:val="24"/>
          <w:vertAlign w:val="subscript"/>
          <w:lang w:val="es-ES"/>
        </w:rPr>
        <w:t>n</w:t>
      </w:r>
      <w:r w:rsidRPr="005270E0">
        <w:rPr>
          <w:rFonts w:ascii="Tms Rmn" w:hAnsi="Tms Rmn"/>
          <w:iCs/>
          <w:position w:val="-4"/>
          <w:sz w:val="8"/>
          <w:lang w:val="es-ES"/>
        </w:rPr>
        <w:t> </w:t>
      </w:r>
      <w:r w:rsidRPr="005270E0">
        <w:rPr>
          <w:lang w:val="es-ES"/>
        </w:rPr>
        <w:t>:</w:t>
      </w:r>
      <w:r w:rsidRPr="005270E0">
        <w:rPr>
          <w:lang w:val="es-ES"/>
        </w:rPr>
        <w:tab/>
        <w:t xml:space="preserve">potencia media procedente de la fuente de interferencia en </w:t>
      </w:r>
      <w:r w:rsidRPr="005270E0">
        <w:rPr>
          <w:i/>
          <w:lang w:val="es-ES"/>
        </w:rPr>
        <w:t>B</w:t>
      </w:r>
      <w:r w:rsidRPr="005270E0">
        <w:rPr>
          <w:i/>
          <w:position w:val="-4"/>
          <w:sz w:val="16"/>
          <w:lang w:val="es-ES"/>
        </w:rPr>
        <w:t>n</w:t>
      </w:r>
      <w:r w:rsidRPr="005270E0">
        <w:rPr>
          <w:lang w:val="es-ES"/>
        </w:rPr>
        <w:t xml:space="preserve"> durante el periodo de medición de «ruido únicamente»</w:t>
      </w:r>
    </w:p>
    <w:p w14:paraId="5102354A" w14:textId="77777777" w:rsidR="003510BF" w:rsidRPr="005270E0" w:rsidRDefault="003510BF" w:rsidP="003510BF">
      <w:pPr>
        <w:pStyle w:val="Equationlegend"/>
        <w:rPr>
          <w:lang w:val="es-ES"/>
        </w:rPr>
      </w:pPr>
      <w:r w:rsidRPr="005270E0">
        <w:rPr>
          <w:lang w:val="es-ES"/>
        </w:rPr>
        <w:tab/>
      </w:r>
      <w:r w:rsidRPr="005270E0">
        <w:rPr>
          <w:i/>
          <w:lang w:val="es-ES"/>
        </w:rPr>
        <w:t>B</w:t>
      </w:r>
      <w:r w:rsidRPr="005270E0">
        <w:rPr>
          <w:i/>
          <w:position w:val="-4"/>
          <w:sz w:val="16"/>
          <w:lang w:val="es-ES"/>
        </w:rPr>
        <w:t>n</w:t>
      </w:r>
      <w:r w:rsidRPr="005270E0">
        <w:rPr>
          <w:rFonts w:ascii="Tms Rmn" w:hAnsi="Tms Rmn"/>
          <w:iCs/>
          <w:position w:val="-4"/>
          <w:sz w:val="8"/>
          <w:lang w:val="es-ES"/>
        </w:rPr>
        <w:t> </w:t>
      </w:r>
      <w:r w:rsidRPr="005270E0">
        <w:rPr>
          <w:lang w:val="es-ES"/>
        </w:rPr>
        <w:t>:</w:t>
      </w:r>
      <w:r w:rsidRPr="005270E0">
        <w:rPr>
          <w:lang w:val="es-ES"/>
        </w:rPr>
        <w:tab/>
        <w:t>anchura de banda de la medición «ruido únicamente».</w:t>
      </w:r>
    </w:p>
    <w:p w14:paraId="5CC32655" w14:textId="7DCA490A" w:rsidR="003510BF" w:rsidRPr="005270E0" w:rsidRDefault="003510BF" w:rsidP="003510BF">
      <w:r w:rsidRPr="005270E0">
        <w:t>La influencia de la interferencia externa es más importante para vientos con velocidad baja. La velocidad del viento más reducida que pueden medir los dispersímetros a bordo de vehículos espaciales es de 2 ó 3 m/s, en función de la banda. Los resultados de simulaciones por ordenador llevadas a cabo para interferencias no estacionarias en el dispersímetro NSCAT han demostrado que el máximo valor de </w:t>
      </w:r>
      <w:r w:rsidRPr="005270E0">
        <w:rPr>
          <w:rFonts w:ascii="Symbol" w:hAnsi="Symbol"/>
        </w:rPr>
        <w:sym w:font="Symbol" w:char="F061"/>
      </w:r>
      <w:r w:rsidRPr="005270E0">
        <w:t xml:space="preserve"> (véase la ecuación (2)) que permitirá satisfacer los requisitos de calidad de funcionamiento para velocidades del viento de 3 m/s es de 0,7 dB. La interferencia será no estacionaria si se produce de forma dinámica y sus características estadísticas varían con el tiempo sin presentar pautas coherentes en materia de espectro, amplitud, fase o evolución temporal.</w:t>
      </w:r>
    </w:p>
    <w:p w14:paraId="45A26B89" w14:textId="77777777" w:rsidR="003510BF" w:rsidRPr="005270E0" w:rsidRDefault="003510BF" w:rsidP="003510BF">
      <w:r w:rsidRPr="005270E0">
        <w:t xml:space="preserve">En el futuro, los dispersímetros pueden emplear antenas de haz puntual en vez de antenas de haz en abanico como se utilizan para el NSCAT. Las principales diferencias entre los dos tipos de dispersímetros, además del diagrama de antena, son la p.i.r.e. transmitida y la ganancia de antena de recepción. Los resultados de simulaciones por ordenador llevados a cabo para interferencias no estacionarias han demostrado que para satisfacer los requisitos de calidad de funcionamiento con velocidades del viento de 3 m/s puede tolerarse un valor máximo de </w:t>
      </w:r>
      <w:r w:rsidRPr="005270E0">
        <w:rPr>
          <w:rFonts w:ascii="Symbol" w:hAnsi="Symbol"/>
        </w:rPr>
        <w:sym w:font="Symbol" w:char="F061"/>
      </w:r>
      <w:r w:rsidRPr="005270E0">
        <w:t> </w:t>
      </w:r>
      <w:r w:rsidRPr="005270E0">
        <w:rPr>
          <w:rFonts w:ascii="Symbol" w:hAnsi="Symbol"/>
        </w:rPr>
        <w:t></w:t>
      </w:r>
      <w:r w:rsidRPr="005270E0">
        <w:t> 6 dB (véase la ecuación (2)) con antenas de «haz puntual».</w:t>
      </w:r>
    </w:p>
    <w:p w14:paraId="03044CC0" w14:textId="77777777" w:rsidR="003510BF" w:rsidRPr="005270E0" w:rsidRDefault="003510BF" w:rsidP="003510BF">
      <w:r w:rsidRPr="005270E0">
        <w:t xml:space="preserve">La pérdida admisible de los datos del dispersímetro debida a la interferencia procedente de estaciones de radiofrecuencia dispersadas aleatoriamente a lo largo de los océanos es el 5% para todos los datos tomados sobre todos los océanos. </w:t>
      </w:r>
    </w:p>
    <w:p w14:paraId="57011D64" w14:textId="77777777" w:rsidR="003510BF" w:rsidRPr="005270E0" w:rsidRDefault="003510BF" w:rsidP="003510BF">
      <w:r w:rsidRPr="005270E0">
        <w:t>Cabe señalar que la determinación del cumplimiento del requisito de disponibilidad del 95% requiere un análisis relativamente sencillo; sin embargo, resulta complejo analizar las interrupciones por su característica de dispersión aleatoria para todas las horas y zonas de observación.</w:t>
      </w:r>
    </w:p>
    <w:p w14:paraId="60D175A5" w14:textId="77777777" w:rsidR="003510BF" w:rsidRPr="005270E0" w:rsidRDefault="003510BF" w:rsidP="003510BF">
      <w:r w:rsidRPr="005270E0">
        <w:t>La pérdida admisible para la interferencia sistemática es del 1%. Dicha interferencia se define como la pérdida de datos de medición, esto es, la interferencia que rebasa los criterios de protección umbral, para los mismos emplazamientos geológicos en los que se obtuvieron las mediciones de sensores. Estas máximas pérdidas admisibles se han obtenido a partir del requisito del dispersímetro científico NSCAT de medir al menos el 90% de los vectores de viento sobre los océanos y teniendo en cuenta otras pérdidas de datos aleatoriamente distribuidas que se producen fundamentalmente en zonas con gran intensidad de lluvia.</w:t>
      </w:r>
    </w:p>
    <w:p w14:paraId="5E9B367F" w14:textId="77777777" w:rsidR="003510BF" w:rsidRPr="005270E0" w:rsidRDefault="003510BF" w:rsidP="003510BF">
      <w:pPr>
        <w:pStyle w:val="Heading2"/>
      </w:pPr>
      <w:bookmarkStart w:id="35" w:name="_Toc393184797"/>
      <w:bookmarkStart w:id="36" w:name="_Toc181637177"/>
      <w:bookmarkStart w:id="37" w:name="_Toc181796507"/>
      <w:r w:rsidRPr="005270E0">
        <w:lastRenderedPageBreak/>
        <w:t>3.2</w:t>
      </w:r>
      <w:r w:rsidRPr="005270E0">
        <w:tab/>
        <w:t>Criterios de interferencia</w:t>
      </w:r>
      <w:bookmarkEnd w:id="35"/>
      <w:bookmarkEnd w:id="36"/>
      <w:bookmarkEnd w:id="37"/>
    </w:p>
    <w:p w14:paraId="03869423" w14:textId="77777777" w:rsidR="003510BF" w:rsidRPr="005270E0" w:rsidRDefault="003510BF" w:rsidP="003510BF">
      <w:r w:rsidRPr="005270E0">
        <w:t xml:space="preserve">En la Fig. 1 se representa la ecuación (2) para un dispersímetro con un ruido de fondo del receptor </w:t>
      </w:r>
      <w:r w:rsidRPr="005270E0">
        <w:rPr>
          <w:i/>
        </w:rPr>
        <w:t>N</w:t>
      </w:r>
      <w:r w:rsidRPr="005270E0">
        <w:t> </w:t>
      </w:r>
      <w:r w:rsidRPr="005270E0">
        <w:rPr>
          <w:rFonts w:ascii="Symbol" w:hAnsi="Symbol"/>
        </w:rPr>
        <w:t></w:t>
      </w:r>
      <w:r w:rsidRPr="005270E0">
        <w:t xml:space="preserve"> –200 dB(W/Hz). Se trata de un gráfico de </w:t>
      </w:r>
      <w:r w:rsidRPr="005270E0">
        <w:rPr>
          <w:rFonts w:ascii="Symbol" w:hAnsi="Symbol"/>
        </w:rPr>
        <w:sym w:font="Symbol" w:char="F061"/>
      </w:r>
      <w:r w:rsidRPr="005270E0">
        <w:t xml:space="preserve"> en función de la densidad espectral de potencia de la señal interferente (</w:t>
      </w:r>
      <w:r w:rsidRPr="005270E0">
        <w:rPr>
          <w:i/>
        </w:rPr>
        <w:t>I</w:t>
      </w:r>
      <w:r w:rsidRPr="005270E0">
        <w:rPr>
          <w:i/>
          <w:position w:val="-4"/>
          <w:sz w:val="16"/>
        </w:rPr>
        <w:t>s</w:t>
      </w:r>
      <w:r w:rsidRPr="005270E0">
        <w:rPr>
          <w:rFonts w:ascii="Tms Rmn" w:hAnsi="Tms Rmn"/>
          <w:i/>
          <w:position w:val="-4"/>
          <w:sz w:val="12"/>
        </w:rPr>
        <w:t> </w:t>
      </w:r>
      <w:r w:rsidRPr="005270E0">
        <w:rPr>
          <w:position w:val="-4"/>
          <w:sz w:val="16"/>
        </w:rPr>
        <w:t>+</w:t>
      </w:r>
      <w:r w:rsidRPr="005270E0">
        <w:rPr>
          <w:rFonts w:ascii="Tms Rmn" w:hAnsi="Tms Rmn"/>
          <w:position w:val="-4"/>
          <w:sz w:val="12"/>
        </w:rPr>
        <w:t> </w:t>
      </w:r>
      <w:r w:rsidRPr="005270E0">
        <w:rPr>
          <w:i/>
          <w:position w:val="-4"/>
          <w:sz w:val="16"/>
        </w:rPr>
        <w:t>n</w:t>
      </w:r>
      <w:r w:rsidRPr="005270E0">
        <w:rPr>
          <w:rFonts w:ascii="Tms Rmn" w:hAnsi="Tms Rmn"/>
          <w:i/>
          <w:position w:val="-4"/>
          <w:sz w:val="12"/>
        </w:rPr>
        <w:t> </w:t>
      </w:r>
      <w:r w:rsidRPr="005270E0">
        <w:rPr>
          <w:sz w:val="4"/>
        </w:rPr>
        <w:t> </w:t>
      </w:r>
      <w:r w:rsidRPr="005270E0">
        <w:t>/</w:t>
      </w:r>
      <w:r w:rsidRPr="005270E0">
        <w:rPr>
          <w:rFonts w:ascii="Tms Rmn" w:hAnsi="Tms Rmn"/>
          <w:i/>
          <w:position w:val="-4"/>
          <w:sz w:val="12"/>
        </w:rPr>
        <w:t> </w:t>
      </w:r>
      <w:r w:rsidRPr="005270E0">
        <w:rPr>
          <w:i/>
        </w:rPr>
        <w:t>B</w:t>
      </w:r>
      <w:r w:rsidRPr="005270E0">
        <w:rPr>
          <w:i/>
          <w:position w:val="-4"/>
          <w:sz w:val="16"/>
        </w:rPr>
        <w:t>s</w:t>
      </w:r>
      <w:r w:rsidRPr="005270E0">
        <w:rPr>
          <w:rFonts w:ascii="Tms Rmn" w:hAnsi="Tms Rmn"/>
          <w:i/>
          <w:position w:val="-4"/>
          <w:sz w:val="12"/>
        </w:rPr>
        <w:t> </w:t>
      </w:r>
      <w:r w:rsidRPr="005270E0">
        <w:rPr>
          <w:position w:val="-4"/>
          <w:sz w:val="16"/>
        </w:rPr>
        <w:t>+</w:t>
      </w:r>
      <w:r w:rsidRPr="005270E0">
        <w:rPr>
          <w:rFonts w:ascii="Tms Rmn" w:hAnsi="Tms Rmn"/>
          <w:position w:val="-4"/>
          <w:sz w:val="12"/>
        </w:rPr>
        <w:t> </w:t>
      </w:r>
      <w:r w:rsidRPr="005270E0">
        <w:rPr>
          <w:i/>
          <w:position w:val="-4"/>
          <w:sz w:val="16"/>
        </w:rPr>
        <w:t>n</w:t>
      </w:r>
      <w:r w:rsidRPr="005270E0">
        <w:t xml:space="preserve">). Cabe señalar que para el valor de </w:t>
      </w:r>
      <w:r w:rsidRPr="005270E0">
        <w:rPr>
          <w:rFonts w:ascii="Symbol" w:hAnsi="Symbol"/>
        </w:rPr>
        <w:sym w:font="Symbol" w:char="F061"/>
      </w:r>
      <w:r w:rsidRPr="005270E0">
        <w:t xml:space="preserve"> se obtienen distintos resultados dependiendo de la forma de variación de la interferencia en el tiempo o en la anchura de banda. La Fig. 1 contiene una familia de curvas para diversos valores del parámetro 10 log [(</w:t>
      </w:r>
      <w:r w:rsidRPr="005270E0">
        <w:rPr>
          <w:i/>
        </w:rPr>
        <w:t>I</w:t>
      </w:r>
      <w:r w:rsidRPr="005270E0">
        <w:rPr>
          <w:i/>
          <w:position w:val="-4"/>
          <w:sz w:val="16"/>
        </w:rPr>
        <w:t>s</w:t>
      </w:r>
      <w:r w:rsidRPr="005270E0">
        <w:rPr>
          <w:rFonts w:ascii="Tms Rmn" w:hAnsi="Tms Rmn"/>
          <w:i/>
          <w:position w:val="-4"/>
          <w:sz w:val="12"/>
        </w:rPr>
        <w:t> </w:t>
      </w:r>
      <w:r w:rsidRPr="005270E0">
        <w:rPr>
          <w:position w:val="-4"/>
          <w:sz w:val="16"/>
        </w:rPr>
        <w:t>+</w:t>
      </w:r>
      <w:r w:rsidRPr="005270E0">
        <w:rPr>
          <w:rFonts w:ascii="Tms Rmn" w:hAnsi="Tms Rmn"/>
          <w:position w:val="-4"/>
          <w:sz w:val="12"/>
        </w:rPr>
        <w:t> </w:t>
      </w:r>
      <w:r w:rsidRPr="005270E0">
        <w:rPr>
          <w:i/>
          <w:position w:val="-4"/>
          <w:sz w:val="16"/>
        </w:rPr>
        <w:t>n</w:t>
      </w:r>
      <w:r w:rsidRPr="005270E0">
        <w:rPr>
          <w:rFonts w:ascii="Tms Rmn" w:hAnsi="Tms Rmn"/>
          <w:i/>
          <w:position w:val="-4"/>
          <w:sz w:val="12"/>
        </w:rPr>
        <w:t> </w:t>
      </w:r>
      <w:r w:rsidRPr="005270E0">
        <w:rPr>
          <w:sz w:val="4"/>
        </w:rPr>
        <w:t> </w:t>
      </w:r>
      <w:r w:rsidRPr="005270E0">
        <w:t>/</w:t>
      </w:r>
      <w:r w:rsidRPr="005270E0">
        <w:rPr>
          <w:rFonts w:ascii="Tms Rmn" w:hAnsi="Tms Rmn"/>
          <w:i/>
          <w:position w:val="-4"/>
          <w:sz w:val="12"/>
        </w:rPr>
        <w:t> </w:t>
      </w:r>
      <w:r w:rsidRPr="005270E0">
        <w:rPr>
          <w:i/>
        </w:rPr>
        <w:t>B</w:t>
      </w:r>
      <w:r w:rsidRPr="005270E0">
        <w:rPr>
          <w:i/>
          <w:position w:val="-4"/>
          <w:sz w:val="16"/>
        </w:rPr>
        <w:t>s</w:t>
      </w:r>
      <w:r w:rsidRPr="005270E0">
        <w:rPr>
          <w:rFonts w:ascii="Tms Rmn" w:hAnsi="Tms Rmn"/>
          <w:i/>
          <w:position w:val="-4"/>
          <w:sz w:val="12"/>
        </w:rPr>
        <w:t> </w:t>
      </w:r>
      <w:r w:rsidRPr="005270E0">
        <w:rPr>
          <w:position w:val="-4"/>
          <w:sz w:val="16"/>
        </w:rPr>
        <w:t>+</w:t>
      </w:r>
      <w:r w:rsidRPr="005270E0">
        <w:rPr>
          <w:rFonts w:ascii="Tms Rmn" w:hAnsi="Tms Rmn"/>
          <w:position w:val="-4"/>
          <w:sz w:val="12"/>
        </w:rPr>
        <w:t> </w:t>
      </w:r>
      <w:r w:rsidRPr="005270E0">
        <w:rPr>
          <w:i/>
          <w:position w:val="-4"/>
          <w:sz w:val="16"/>
        </w:rPr>
        <w:t>n</w:t>
      </w:r>
      <w:r w:rsidRPr="005270E0">
        <w:t>)</w:t>
      </w:r>
      <w:r w:rsidRPr="005270E0">
        <w:rPr>
          <w:rFonts w:ascii="Tms Rmn" w:hAnsi="Tms Rmn"/>
          <w:i/>
          <w:position w:val="-4"/>
          <w:sz w:val="12"/>
        </w:rPr>
        <w:t> </w:t>
      </w:r>
      <w:r w:rsidRPr="005270E0">
        <w:t>/</w:t>
      </w:r>
      <w:r w:rsidRPr="005270E0">
        <w:rPr>
          <w:rFonts w:ascii="Tms Rmn" w:hAnsi="Tms Rmn"/>
          <w:i/>
          <w:position w:val="-4"/>
          <w:sz w:val="12"/>
        </w:rPr>
        <w:t> </w:t>
      </w:r>
      <w:r w:rsidRPr="005270E0">
        <w:t>(</w:t>
      </w:r>
      <w:r w:rsidRPr="005270E0">
        <w:rPr>
          <w:i/>
        </w:rPr>
        <w:t>I</w:t>
      </w:r>
      <w:r w:rsidRPr="005270E0">
        <w:rPr>
          <w:i/>
          <w:position w:val="-4"/>
          <w:sz w:val="16"/>
        </w:rPr>
        <w:t>n</w:t>
      </w:r>
      <w:r w:rsidRPr="005270E0">
        <w:rPr>
          <w:rFonts w:ascii="Tms Rmn" w:hAnsi="Tms Rmn"/>
          <w:i/>
          <w:position w:val="-4"/>
          <w:sz w:val="12"/>
        </w:rPr>
        <w:t> </w:t>
      </w:r>
      <w:r w:rsidRPr="005270E0">
        <w:rPr>
          <w:sz w:val="4"/>
        </w:rPr>
        <w:t> </w:t>
      </w:r>
      <w:r w:rsidRPr="005270E0">
        <w:t>/</w:t>
      </w:r>
      <w:r w:rsidRPr="005270E0">
        <w:rPr>
          <w:rFonts w:ascii="Tms Rmn" w:hAnsi="Tms Rmn"/>
          <w:i/>
          <w:position w:val="-4"/>
          <w:sz w:val="12"/>
        </w:rPr>
        <w:t> </w:t>
      </w:r>
      <w:r w:rsidRPr="005270E0">
        <w:rPr>
          <w:i/>
        </w:rPr>
        <w:t>B</w:t>
      </w:r>
      <w:r w:rsidRPr="005270E0">
        <w:rPr>
          <w:i/>
          <w:position w:val="-4"/>
          <w:sz w:val="16"/>
        </w:rPr>
        <w:t>n</w:t>
      </w:r>
      <w:r w:rsidRPr="005270E0">
        <w:t>)].</w:t>
      </w:r>
    </w:p>
    <w:p w14:paraId="26075207" w14:textId="77777777" w:rsidR="003510BF" w:rsidRPr="005270E0" w:rsidRDefault="003510BF" w:rsidP="003510BF">
      <w:pPr>
        <w:pStyle w:val="FigureNo"/>
        <w:rPr>
          <w:caps w:val="0"/>
        </w:rPr>
      </w:pPr>
      <w:r w:rsidRPr="005270E0">
        <w:t>FIGURA 1</w:t>
      </w:r>
    </w:p>
    <w:p w14:paraId="01E2AE10" w14:textId="77777777" w:rsidR="003510BF" w:rsidRDefault="003510BF" w:rsidP="003510BF">
      <w:pPr>
        <w:pStyle w:val="Figuretitle"/>
      </w:pPr>
      <w:r w:rsidRPr="005270E0">
        <w:t>Representación de varios valores del parámetro 10 log [(</w:t>
      </w:r>
      <w:r w:rsidRPr="005270E0">
        <w:rPr>
          <w:i/>
        </w:rPr>
        <w:t>I</w:t>
      </w:r>
      <w:r w:rsidRPr="005270E0">
        <w:rPr>
          <w:rFonts w:ascii="Times New Roman" w:hAnsi="Times New Roman"/>
          <w:i/>
          <w:position w:val="-4"/>
        </w:rPr>
        <w:t>s </w:t>
      </w:r>
      <w:r w:rsidRPr="005270E0">
        <w:rPr>
          <w:rFonts w:ascii="Times New Roman" w:hAnsi="Times New Roman"/>
          <w:position w:val="-4"/>
        </w:rPr>
        <w:t>+ </w:t>
      </w:r>
      <w:r w:rsidRPr="005270E0">
        <w:rPr>
          <w:rFonts w:ascii="Times New Roman" w:hAnsi="Times New Roman"/>
          <w:i/>
          <w:position w:val="-4"/>
        </w:rPr>
        <w:t>n </w:t>
      </w:r>
      <w:r w:rsidRPr="005270E0">
        <w:rPr>
          <w:rFonts w:ascii="Times New Roman" w:hAnsi="Times New Roman"/>
        </w:rPr>
        <w:t> /</w:t>
      </w:r>
      <w:r w:rsidRPr="005270E0">
        <w:rPr>
          <w:rFonts w:ascii="Times New Roman" w:hAnsi="Times New Roman"/>
          <w:i/>
          <w:position w:val="-4"/>
        </w:rPr>
        <w:t> </w:t>
      </w:r>
      <w:r w:rsidRPr="005270E0">
        <w:rPr>
          <w:i/>
        </w:rPr>
        <w:t>B</w:t>
      </w:r>
      <w:r w:rsidRPr="005270E0">
        <w:rPr>
          <w:rFonts w:ascii="Times New Roman" w:hAnsi="Times New Roman"/>
          <w:i/>
          <w:position w:val="-4"/>
        </w:rPr>
        <w:t>s </w:t>
      </w:r>
      <w:r w:rsidRPr="005270E0">
        <w:rPr>
          <w:rFonts w:ascii="Times New Roman" w:hAnsi="Times New Roman"/>
          <w:position w:val="-4"/>
        </w:rPr>
        <w:t>+ </w:t>
      </w:r>
      <w:r w:rsidRPr="005270E0">
        <w:rPr>
          <w:rFonts w:ascii="Times New Roman" w:hAnsi="Times New Roman"/>
          <w:i/>
          <w:position w:val="-4"/>
        </w:rPr>
        <w:t>n</w:t>
      </w:r>
      <w:r w:rsidRPr="005270E0">
        <w:t>)</w:t>
      </w:r>
      <w:r w:rsidRPr="005270E0">
        <w:rPr>
          <w:rFonts w:ascii="Times New Roman" w:hAnsi="Times New Roman"/>
          <w:i/>
          <w:position w:val="-4"/>
        </w:rPr>
        <w:t> </w:t>
      </w:r>
      <w:r w:rsidRPr="005270E0">
        <w:t>/</w:t>
      </w:r>
      <w:r w:rsidRPr="005270E0">
        <w:rPr>
          <w:rFonts w:ascii="Times New Roman" w:hAnsi="Times New Roman"/>
          <w:i/>
          <w:position w:val="-4"/>
        </w:rPr>
        <w:t> </w:t>
      </w:r>
      <w:r w:rsidRPr="005270E0">
        <w:t>(</w:t>
      </w:r>
      <w:r w:rsidRPr="005270E0">
        <w:rPr>
          <w:i/>
        </w:rPr>
        <w:t>I</w:t>
      </w:r>
      <w:r w:rsidRPr="005270E0">
        <w:rPr>
          <w:rFonts w:ascii="Times New Roman" w:hAnsi="Times New Roman"/>
          <w:i/>
          <w:position w:val="-4"/>
        </w:rPr>
        <w:t>n </w:t>
      </w:r>
      <w:r w:rsidRPr="005270E0">
        <w:rPr>
          <w:rFonts w:ascii="Times New Roman" w:hAnsi="Times New Roman"/>
        </w:rPr>
        <w:t> /</w:t>
      </w:r>
      <w:r w:rsidRPr="005270E0">
        <w:rPr>
          <w:rFonts w:ascii="Times New Roman" w:hAnsi="Times New Roman"/>
          <w:i/>
          <w:position w:val="-4"/>
        </w:rPr>
        <w:t> </w:t>
      </w:r>
      <w:r w:rsidRPr="005270E0">
        <w:rPr>
          <w:i/>
        </w:rPr>
        <w:t>B</w:t>
      </w:r>
      <w:r w:rsidRPr="005270E0">
        <w:rPr>
          <w:rFonts w:ascii="Times New Roman" w:hAnsi="Times New Roman"/>
          <w:i/>
          <w:position w:val="-4"/>
        </w:rPr>
        <w:t>n</w:t>
      </w:r>
      <w:r w:rsidRPr="005270E0">
        <w:t>)] (ruido blanco)</w:t>
      </w:r>
    </w:p>
    <w:p w14:paraId="6785F322" w14:textId="06A3E232" w:rsidR="004F0C57" w:rsidRPr="004F0C57" w:rsidRDefault="00862E48" w:rsidP="004F0C57">
      <w:pPr>
        <w:pStyle w:val="Figure"/>
      </w:pPr>
      <w:r>
        <w:rPr>
          <w:noProof/>
        </w:rPr>
        <w:drawing>
          <wp:inline distT="0" distB="0" distL="0" distR="0" wp14:anchorId="5829450C" wp14:editId="482550F8">
            <wp:extent cx="3377191" cy="3035814"/>
            <wp:effectExtent l="0" t="0" r="0" b="0"/>
            <wp:docPr id="2012148075"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48075" name="Picture 1" descr="A graph with lines and numbe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7191" cy="3035814"/>
                    </a:xfrm>
                    <a:prstGeom prst="rect">
                      <a:avLst/>
                    </a:prstGeom>
                  </pic:spPr>
                </pic:pic>
              </a:graphicData>
            </a:graphic>
          </wp:inline>
        </w:drawing>
      </w:r>
    </w:p>
    <w:p w14:paraId="55A09136" w14:textId="3476D534" w:rsidR="003510BF" w:rsidRPr="005270E0" w:rsidRDefault="003510BF" w:rsidP="003510BF">
      <w:pPr>
        <w:pStyle w:val="Normalaftertitle"/>
      </w:pPr>
      <w:r w:rsidRPr="005055D3">
        <w:rPr>
          <w:color w:val="000000"/>
        </w:rPr>
        <w:t>La separación en tiempo</w:t>
      </w:r>
      <w:r w:rsidRPr="005270E0">
        <w:t xml:space="preserve"> del periodo de medición «señal </w:t>
      </w:r>
      <w:r w:rsidRPr="005270E0">
        <w:rPr>
          <w:rFonts w:ascii="Symbol" w:hAnsi="Symbol"/>
        </w:rPr>
        <w:t></w:t>
      </w:r>
      <w:r w:rsidRPr="005270E0">
        <w:t xml:space="preserve"> ruido» desde el centro del periodo de medición del «ruido únicamente» es de aproximadamente 0,23 s. Durante ese tiempo el ángulo entre el dispersímetro del vehículo espacial y un punto específico en la superficie de la tierra variará aproximadamente 0,1º. Debido a la pequeña anchura de haz de la antena de haz en abanico (0,42º, anchura de haz a 3 dB), pueden producirse variaciones de varios dB en los niveles de interferencia recibida a medida que los lóbulos laterales del dispersímetro se desplacen a través de un haz del transmisor interferente. Mediante exámenes técnicos se ha llegado a la conclusión de que un valor de 6 dB es la variación máxima que cabe esperar en la expresión 10 log [(</w:t>
      </w:r>
      <w:r w:rsidRPr="005270E0">
        <w:rPr>
          <w:i/>
        </w:rPr>
        <w:t>I</w:t>
      </w:r>
      <w:r w:rsidRPr="005270E0">
        <w:rPr>
          <w:i/>
          <w:position w:val="-4"/>
          <w:sz w:val="16"/>
        </w:rPr>
        <w:t>s</w:t>
      </w:r>
      <w:r w:rsidRPr="005270E0">
        <w:rPr>
          <w:rFonts w:ascii="Tms Rmn" w:hAnsi="Tms Rmn"/>
          <w:i/>
          <w:position w:val="-4"/>
          <w:sz w:val="12"/>
        </w:rPr>
        <w:t> </w:t>
      </w:r>
      <w:r w:rsidRPr="005270E0">
        <w:rPr>
          <w:position w:val="-4"/>
          <w:sz w:val="16"/>
        </w:rPr>
        <w:t>+</w:t>
      </w:r>
      <w:r w:rsidRPr="005270E0">
        <w:rPr>
          <w:rFonts w:ascii="Tms Rmn" w:hAnsi="Tms Rmn"/>
          <w:position w:val="-4"/>
          <w:sz w:val="12"/>
        </w:rPr>
        <w:t> </w:t>
      </w:r>
      <w:r w:rsidRPr="005270E0">
        <w:rPr>
          <w:i/>
          <w:position w:val="-4"/>
          <w:sz w:val="16"/>
        </w:rPr>
        <w:t>n</w:t>
      </w:r>
      <w:r w:rsidRPr="005270E0">
        <w:rPr>
          <w:rFonts w:ascii="Tms Rmn" w:hAnsi="Tms Rmn"/>
          <w:i/>
          <w:position w:val="-4"/>
          <w:sz w:val="12"/>
        </w:rPr>
        <w:t> </w:t>
      </w:r>
      <w:r w:rsidRPr="005270E0">
        <w:rPr>
          <w:sz w:val="4"/>
        </w:rPr>
        <w:t> </w:t>
      </w:r>
      <w:r w:rsidRPr="005270E0">
        <w:t>/</w:t>
      </w:r>
      <w:r w:rsidRPr="005270E0">
        <w:rPr>
          <w:rFonts w:ascii="Tms Rmn" w:hAnsi="Tms Rmn"/>
          <w:i/>
          <w:position w:val="-4"/>
          <w:sz w:val="12"/>
        </w:rPr>
        <w:t> </w:t>
      </w:r>
      <w:r w:rsidRPr="005270E0">
        <w:rPr>
          <w:i/>
        </w:rPr>
        <w:t>B</w:t>
      </w:r>
      <w:r w:rsidRPr="005270E0">
        <w:rPr>
          <w:i/>
          <w:position w:val="-4"/>
          <w:sz w:val="16"/>
        </w:rPr>
        <w:t>s</w:t>
      </w:r>
      <w:r w:rsidRPr="005270E0">
        <w:rPr>
          <w:rFonts w:ascii="Tms Rmn" w:hAnsi="Tms Rmn"/>
          <w:i/>
          <w:position w:val="-4"/>
          <w:sz w:val="12"/>
        </w:rPr>
        <w:t> </w:t>
      </w:r>
      <w:r w:rsidRPr="005270E0">
        <w:rPr>
          <w:position w:val="-4"/>
          <w:sz w:val="16"/>
        </w:rPr>
        <w:t>+</w:t>
      </w:r>
      <w:r w:rsidRPr="005270E0">
        <w:rPr>
          <w:rFonts w:ascii="Tms Rmn" w:hAnsi="Tms Rmn"/>
          <w:position w:val="-4"/>
          <w:sz w:val="12"/>
        </w:rPr>
        <w:t> </w:t>
      </w:r>
      <w:r w:rsidRPr="005270E0">
        <w:rPr>
          <w:i/>
          <w:position w:val="-4"/>
          <w:sz w:val="16"/>
        </w:rPr>
        <w:t>n</w:t>
      </w:r>
      <w:r w:rsidRPr="005270E0">
        <w:t>)</w:t>
      </w:r>
      <w:r w:rsidRPr="005270E0">
        <w:rPr>
          <w:rFonts w:ascii="Tms Rmn" w:hAnsi="Tms Rmn"/>
          <w:i/>
          <w:position w:val="-4"/>
          <w:sz w:val="12"/>
        </w:rPr>
        <w:t> </w:t>
      </w:r>
      <w:r w:rsidRPr="005270E0">
        <w:t>/</w:t>
      </w:r>
      <w:r w:rsidRPr="005270E0">
        <w:rPr>
          <w:rFonts w:ascii="Tms Rmn" w:hAnsi="Tms Rmn"/>
          <w:i/>
          <w:position w:val="-4"/>
          <w:sz w:val="12"/>
        </w:rPr>
        <w:t> </w:t>
      </w:r>
      <w:r w:rsidRPr="005270E0">
        <w:t>(</w:t>
      </w:r>
      <w:r w:rsidRPr="005270E0">
        <w:rPr>
          <w:i/>
        </w:rPr>
        <w:t>I</w:t>
      </w:r>
      <w:r w:rsidRPr="005270E0">
        <w:rPr>
          <w:i/>
          <w:position w:val="-4"/>
          <w:sz w:val="16"/>
        </w:rPr>
        <w:t>n</w:t>
      </w:r>
      <w:r w:rsidRPr="005270E0">
        <w:rPr>
          <w:rFonts w:ascii="Tms Rmn" w:hAnsi="Tms Rmn"/>
          <w:i/>
          <w:position w:val="-4"/>
          <w:sz w:val="12"/>
        </w:rPr>
        <w:t> </w:t>
      </w:r>
      <w:r w:rsidRPr="005270E0">
        <w:rPr>
          <w:sz w:val="4"/>
        </w:rPr>
        <w:t> </w:t>
      </w:r>
      <w:r w:rsidRPr="005270E0">
        <w:t>/</w:t>
      </w:r>
      <w:r w:rsidRPr="005270E0">
        <w:rPr>
          <w:rFonts w:ascii="Tms Rmn" w:hAnsi="Tms Rmn"/>
          <w:i/>
          <w:position w:val="-4"/>
          <w:sz w:val="12"/>
        </w:rPr>
        <w:t> </w:t>
      </w:r>
      <w:r w:rsidRPr="005270E0">
        <w:rPr>
          <w:i/>
        </w:rPr>
        <w:t>B</w:t>
      </w:r>
      <w:r w:rsidRPr="005270E0">
        <w:rPr>
          <w:i/>
          <w:position w:val="-4"/>
          <w:sz w:val="16"/>
        </w:rPr>
        <w:t>n</w:t>
      </w:r>
      <w:r w:rsidRPr="005270E0">
        <w:t>)] durante el periodo de medición en los casos en que no exista interferencia. A partir de la Fig. 1 se deduce, por lo tanto, que la máxima densidad espectral de potencia de interferencia que puede soportar cualquiera de las seis antenas de haz en abanico del dispersímetro NSCAT de ejemplo sin que se degrade la precisión de la medición es de –207 dB(W/Hz)</w:t>
      </w:r>
      <w:r w:rsidR="005E12A8" w:rsidRPr="005270E0">
        <w:t xml:space="preserve"> </w:t>
      </w:r>
      <w:r w:rsidRPr="005270E0">
        <w:t>o –174 dBW en cualquier anchura de banda de 2 kHz dentro de la anchura de banda de 1 MHz del canal de procesamiento.</w:t>
      </w:r>
    </w:p>
    <w:p w14:paraId="0BEF9E4F" w14:textId="77777777" w:rsidR="003510BF" w:rsidRPr="005270E0" w:rsidRDefault="003510BF" w:rsidP="003510BF">
      <w:r w:rsidRPr="005270E0">
        <w:t>En el caso de interferencia similar al ruido blanco, el valor máximo de la densidad espectral de potencia de interferencia aceptable sería de aproximadamente –194 dB(W/Hz) a la entrada del receptor, lo que en este ejemplo se traduce en un criterio de interferencia de –161 dBW en cualquier anchura de banda de 2 kHz dentro de la anchura de banda de 1 MHz del canal de procesamiento.</w:t>
      </w:r>
    </w:p>
    <w:p w14:paraId="02990070" w14:textId="77777777" w:rsidR="003510BF" w:rsidRPr="005270E0" w:rsidRDefault="003510BF" w:rsidP="003510BF">
      <w:r w:rsidRPr="005270E0">
        <w:t>En el caso de ruido no blanco, el criterio de interferencia para un dispersímetro que utilice una antena de haz puntual puede determinarse para la hipótesis de caso más desfavorable de 10 log [(</w:t>
      </w:r>
      <w:r w:rsidRPr="005270E0">
        <w:rPr>
          <w:i/>
        </w:rPr>
        <w:t>I</w:t>
      </w:r>
      <w:r w:rsidRPr="005270E0">
        <w:rPr>
          <w:i/>
          <w:position w:val="-4"/>
          <w:sz w:val="16"/>
        </w:rPr>
        <w:t>s</w:t>
      </w:r>
      <w:r w:rsidRPr="005270E0">
        <w:rPr>
          <w:rFonts w:ascii="Tms Rmn" w:hAnsi="Tms Rmn"/>
          <w:i/>
          <w:position w:val="-4"/>
          <w:sz w:val="12"/>
        </w:rPr>
        <w:t> </w:t>
      </w:r>
      <w:r w:rsidRPr="005270E0">
        <w:rPr>
          <w:position w:val="-4"/>
          <w:sz w:val="16"/>
        </w:rPr>
        <w:t>+</w:t>
      </w:r>
      <w:r w:rsidRPr="005270E0">
        <w:rPr>
          <w:rFonts w:ascii="Tms Rmn" w:hAnsi="Tms Rmn"/>
          <w:position w:val="-4"/>
          <w:sz w:val="12"/>
        </w:rPr>
        <w:t> </w:t>
      </w:r>
      <w:r w:rsidRPr="005270E0">
        <w:rPr>
          <w:i/>
          <w:position w:val="-4"/>
          <w:sz w:val="16"/>
        </w:rPr>
        <w:t>n</w:t>
      </w:r>
      <w:r w:rsidRPr="005270E0">
        <w:rPr>
          <w:rFonts w:ascii="Tms Rmn" w:hAnsi="Tms Rmn"/>
          <w:i/>
          <w:position w:val="-4"/>
          <w:sz w:val="12"/>
        </w:rPr>
        <w:t> </w:t>
      </w:r>
      <w:r w:rsidRPr="005270E0">
        <w:rPr>
          <w:sz w:val="4"/>
        </w:rPr>
        <w:t> </w:t>
      </w:r>
      <w:r w:rsidRPr="005270E0">
        <w:t>/</w:t>
      </w:r>
      <w:r w:rsidRPr="005270E0">
        <w:rPr>
          <w:rFonts w:ascii="Tms Rmn" w:hAnsi="Tms Rmn"/>
          <w:i/>
          <w:position w:val="-4"/>
          <w:sz w:val="12"/>
        </w:rPr>
        <w:t> </w:t>
      </w:r>
      <w:r w:rsidRPr="005270E0">
        <w:rPr>
          <w:i/>
        </w:rPr>
        <w:t>B</w:t>
      </w:r>
      <w:r w:rsidRPr="005270E0">
        <w:rPr>
          <w:i/>
          <w:position w:val="-4"/>
          <w:sz w:val="16"/>
        </w:rPr>
        <w:t>s</w:t>
      </w:r>
      <w:r w:rsidRPr="005270E0">
        <w:rPr>
          <w:rFonts w:ascii="Tms Rmn" w:hAnsi="Tms Rmn"/>
          <w:i/>
          <w:position w:val="-4"/>
          <w:sz w:val="12"/>
        </w:rPr>
        <w:t> </w:t>
      </w:r>
      <w:r w:rsidRPr="005270E0">
        <w:rPr>
          <w:position w:val="-4"/>
          <w:sz w:val="16"/>
        </w:rPr>
        <w:t>+</w:t>
      </w:r>
      <w:r w:rsidRPr="005270E0">
        <w:rPr>
          <w:rFonts w:ascii="Tms Rmn" w:hAnsi="Tms Rmn"/>
          <w:position w:val="-4"/>
          <w:sz w:val="12"/>
        </w:rPr>
        <w:t> </w:t>
      </w:r>
      <w:r w:rsidRPr="005270E0">
        <w:rPr>
          <w:i/>
          <w:position w:val="-4"/>
          <w:sz w:val="16"/>
        </w:rPr>
        <w:t>n</w:t>
      </w:r>
      <w:r w:rsidRPr="005270E0">
        <w:t>)</w:t>
      </w:r>
      <w:r w:rsidRPr="005270E0">
        <w:rPr>
          <w:rFonts w:ascii="Tms Rmn" w:hAnsi="Tms Rmn"/>
          <w:i/>
          <w:position w:val="-4"/>
          <w:sz w:val="12"/>
        </w:rPr>
        <w:t> </w:t>
      </w:r>
      <w:r w:rsidRPr="005270E0">
        <w:t>/</w:t>
      </w:r>
      <w:r w:rsidRPr="005270E0">
        <w:rPr>
          <w:rFonts w:ascii="Tms Rmn" w:hAnsi="Tms Rmn"/>
          <w:i/>
          <w:position w:val="-4"/>
          <w:sz w:val="12"/>
        </w:rPr>
        <w:t> </w:t>
      </w:r>
      <w:r w:rsidRPr="005270E0">
        <w:t>(</w:t>
      </w:r>
      <w:r w:rsidRPr="005270E0">
        <w:rPr>
          <w:i/>
        </w:rPr>
        <w:t>I</w:t>
      </w:r>
      <w:r w:rsidRPr="005270E0">
        <w:rPr>
          <w:i/>
          <w:position w:val="-4"/>
          <w:sz w:val="16"/>
        </w:rPr>
        <w:t>n</w:t>
      </w:r>
      <w:r w:rsidRPr="005270E0">
        <w:rPr>
          <w:rFonts w:ascii="Tms Rmn" w:hAnsi="Tms Rmn"/>
          <w:i/>
          <w:position w:val="-4"/>
          <w:sz w:val="12"/>
        </w:rPr>
        <w:t> </w:t>
      </w:r>
      <w:r w:rsidRPr="005270E0">
        <w:rPr>
          <w:sz w:val="4"/>
        </w:rPr>
        <w:t> </w:t>
      </w:r>
      <w:r w:rsidRPr="005270E0">
        <w:t>/</w:t>
      </w:r>
      <w:r w:rsidRPr="005270E0">
        <w:rPr>
          <w:rFonts w:ascii="Tms Rmn" w:hAnsi="Tms Rmn"/>
          <w:i/>
          <w:position w:val="-4"/>
          <w:sz w:val="12"/>
        </w:rPr>
        <w:t> </w:t>
      </w:r>
      <w:r w:rsidRPr="005270E0">
        <w:rPr>
          <w:i/>
        </w:rPr>
        <w:t>B</w:t>
      </w:r>
      <w:r w:rsidRPr="005270E0">
        <w:rPr>
          <w:i/>
          <w:position w:val="-4"/>
          <w:sz w:val="16"/>
        </w:rPr>
        <w:t>n</w:t>
      </w:r>
      <w:r w:rsidRPr="005270E0">
        <w:t xml:space="preserve">)] </w:t>
      </w:r>
      <w:r w:rsidRPr="005270E0">
        <w:rPr>
          <w:rFonts w:ascii="Symbol" w:hAnsi="Symbol"/>
        </w:rPr>
        <w:t></w:t>
      </w:r>
      <w:r w:rsidRPr="005270E0">
        <w:t xml:space="preserve"> </w:t>
      </w:r>
      <w:r w:rsidRPr="005270E0">
        <w:rPr>
          <w:rFonts w:ascii="Symbol" w:hAnsi="Symbol"/>
        </w:rPr>
        <w:sym w:font="Symbol" w:char="F0B1"/>
      </w:r>
      <w:r w:rsidRPr="005270E0">
        <w:rPr>
          <w:rFonts w:ascii="Symbol" w:hAnsi="Symbol"/>
        </w:rPr>
        <w:sym w:font="Symbol" w:char="F0A5"/>
      </w:r>
      <w:r w:rsidRPr="005270E0">
        <w:t xml:space="preserve">. Esta situación representa el caso en el que la interferencia está presente </w:t>
      </w:r>
      <w:r w:rsidRPr="005270E0">
        <w:lastRenderedPageBreak/>
        <w:t xml:space="preserve">en la medición de «señal </w:t>
      </w:r>
      <w:r w:rsidRPr="005270E0">
        <w:rPr>
          <w:rFonts w:ascii="Symbol" w:hAnsi="Symbol"/>
        </w:rPr>
        <w:t></w:t>
      </w:r>
      <w:r w:rsidRPr="005270E0">
        <w:t xml:space="preserve"> ruido» o en la medición de «ruido únicamente», pero no en ambas simultáneamente.</w:t>
      </w:r>
    </w:p>
    <w:p w14:paraId="42B283F5" w14:textId="77777777" w:rsidR="003510BF" w:rsidRPr="005270E0" w:rsidRDefault="003510BF" w:rsidP="003510BF">
      <w:r w:rsidRPr="005270E0">
        <w:t>Ello pone de manifiesto que el evento de interferencia debe examinarse pormenorizadamente en relación con la temporización del muestreo del sensor. Para los límites de transición de dicho evento, la interferencia que se produce durante cada medición del «ruido de la señal» y del «ruido únicamente» puede variar, lo que aumenta los efectos adversos de la interferencia en las mediciones del sensor.</w:t>
      </w:r>
    </w:p>
    <w:p w14:paraId="557D1B7B" w14:textId="77777777" w:rsidR="003510BF" w:rsidRPr="005270E0" w:rsidRDefault="003510BF" w:rsidP="003510BF">
      <w:pPr>
        <w:tabs>
          <w:tab w:val="left" w:pos="7020"/>
        </w:tabs>
      </w:pPr>
      <w:r w:rsidRPr="005270E0">
        <w:t>De la Fig. 2 puede deducirse que el valor máximo de la densidad espectral de potencia de interferencia que puede soportar la antena de «haz puntual» de un dispersímetro similar al NSCAT sin que se degrade la medición es de –195 dB(W/Hz). Este requisito debe cumplirse para cualquier anchura de banda de 10 kHz dentro de la anchura de banda de 1 MHz del canal de procesamiento. No obstante, cabe tener en cuenta que estos resultados sólo se proporcionan como ejemplo con respecto al dispersímetro tipo NSCAT y que es necesario analizar los sistemas SETS específicos objeto de estudio.</w:t>
      </w:r>
    </w:p>
    <w:p w14:paraId="3B94277C" w14:textId="77777777" w:rsidR="003510BF" w:rsidRPr="005E12A8" w:rsidRDefault="003510BF" w:rsidP="005E12A8">
      <w:pPr>
        <w:pStyle w:val="FigureNo"/>
      </w:pPr>
      <w:r w:rsidRPr="005E12A8">
        <w:t>FIGURA 2</w:t>
      </w:r>
    </w:p>
    <w:p w14:paraId="3DBB85CE" w14:textId="77777777" w:rsidR="003510BF" w:rsidRPr="005270E0" w:rsidRDefault="003510BF" w:rsidP="005E12A8">
      <w:pPr>
        <w:pStyle w:val="Figuretitle"/>
      </w:pPr>
      <w:r w:rsidRPr="005270E0">
        <w:t xml:space="preserve">Representación de varios valores del parámetro </w:t>
      </w:r>
      <w:r w:rsidRPr="005270E0">
        <w:rPr>
          <w:lang w:eastAsia="zh-CN"/>
        </w:rPr>
        <w:t>10 log [(</w:t>
      </w:r>
      <w:r w:rsidRPr="005270E0">
        <w:rPr>
          <w:i/>
          <w:lang w:eastAsia="zh-CN"/>
        </w:rPr>
        <w:t>I</w:t>
      </w:r>
      <w:r w:rsidRPr="005270E0">
        <w:rPr>
          <w:i/>
          <w:position w:val="-4"/>
          <w:lang w:eastAsia="zh-CN"/>
        </w:rPr>
        <w:t>s </w:t>
      </w:r>
      <w:r w:rsidRPr="005270E0">
        <w:rPr>
          <w:position w:val="-4"/>
          <w:lang w:eastAsia="zh-CN"/>
        </w:rPr>
        <w:t>+ </w:t>
      </w:r>
      <w:r w:rsidRPr="005270E0">
        <w:rPr>
          <w:i/>
          <w:position w:val="-4"/>
          <w:lang w:eastAsia="zh-CN"/>
        </w:rPr>
        <w:t>n </w:t>
      </w:r>
      <w:r w:rsidRPr="005270E0">
        <w:rPr>
          <w:lang w:eastAsia="zh-CN"/>
        </w:rPr>
        <w:t> /</w:t>
      </w:r>
      <w:r w:rsidRPr="005270E0">
        <w:rPr>
          <w:i/>
          <w:position w:val="-4"/>
          <w:lang w:eastAsia="zh-CN"/>
        </w:rPr>
        <w:t> </w:t>
      </w:r>
      <w:r w:rsidRPr="005270E0">
        <w:rPr>
          <w:i/>
          <w:lang w:eastAsia="zh-CN"/>
        </w:rPr>
        <w:t>B</w:t>
      </w:r>
      <w:r w:rsidRPr="005270E0">
        <w:rPr>
          <w:i/>
          <w:position w:val="-4"/>
          <w:lang w:eastAsia="zh-CN"/>
        </w:rPr>
        <w:t>s </w:t>
      </w:r>
      <w:r w:rsidRPr="005270E0">
        <w:rPr>
          <w:position w:val="-4"/>
          <w:lang w:eastAsia="zh-CN"/>
        </w:rPr>
        <w:t>+ </w:t>
      </w:r>
      <w:r w:rsidRPr="005270E0">
        <w:rPr>
          <w:i/>
          <w:position w:val="-4"/>
          <w:lang w:eastAsia="zh-CN"/>
        </w:rPr>
        <w:t>n</w:t>
      </w:r>
      <w:r w:rsidRPr="005270E0">
        <w:rPr>
          <w:lang w:eastAsia="zh-CN"/>
        </w:rPr>
        <w:t>)</w:t>
      </w:r>
      <w:r w:rsidRPr="005270E0">
        <w:rPr>
          <w:i/>
          <w:position w:val="-4"/>
          <w:lang w:eastAsia="zh-CN"/>
        </w:rPr>
        <w:t> </w:t>
      </w:r>
      <w:r w:rsidRPr="005270E0">
        <w:rPr>
          <w:lang w:eastAsia="zh-CN"/>
        </w:rPr>
        <w:t>/</w:t>
      </w:r>
      <w:r w:rsidRPr="005270E0">
        <w:rPr>
          <w:i/>
          <w:position w:val="-4"/>
          <w:lang w:eastAsia="zh-CN"/>
        </w:rPr>
        <w:t> </w:t>
      </w:r>
      <w:r w:rsidRPr="005270E0">
        <w:rPr>
          <w:lang w:eastAsia="zh-CN"/>
        </w:rPr>
        <w:t>(</w:t>
      </w:r>
      <w:r w:rsidRPr="005270E0">
        <w:rPr>
          <w:i/>
          <w:lang w:eastAsia="zh-CN"/>
        </w:rPr>
        <w:t>I</w:t>
      </w:r>
      <w:r w:rsidRPr="005270E0">
        <w:rPr>
          <w:i/>
          <w:position w:val="-4"/>
          <w:lang w:eastAsia="zh-CN"/>
        </w:rPr>
        <w:t>n </w:t>
      </w:r>
      <w:r w:rsidRPr="005270E0">
        <w:rPr>
          <w:lang w:eastAsia="zh-CN"/>
        </w:rPr>
        <w:t> /</w:t>
      </w:r>
      <w:r w:rsidRPr="005270E0">
        <w:rPr>
          <w:i/>
          <w:position w:val="-4"/>
          <w:lang w:eastAsia="zh-CN"/>
        </w:rPr>
        <w:t> </w:t>
      </w:r>
      <w:r w:rsidRPr="005270E0">
        <w:rPr>
          <w:i/>
          <w:lang w:eastAsia="zh-CN"/>
        </w:rPr>
        <w:t>B</w:t>
      </w:r>
      <w:r w:rsidRPr="005270E0">
        <w:rPr>
          <w:i/>
          <w:position w:val="-4"/>
          <w:lang w:eastAsia="zh-CN"/>
        </w:rPr>
        <w:t>n</w:t>
      </w:r>
      <w:r w:rsidRPr="005270E0">
        <w:rPr>
          <w:lang w:eastAsia="zh-CN"/>
        </w:rPr>
        <w:t>)] (ruido no blanco)</w:t>
      </w:r>
    </w:p>
    <w:p w14:paraId="5E090DCB" w14:textId="1503D03B" w:rsidR="003510BF" w:rsidRPr="005270E0" w:rsidRDefault="00862E48" w:rsidP="003510BF">
      <w:pPr>
        <w:pStyle w:val="FigureNo"/>
      </w:pPr>
      <w:r>
        <w:rPr>
          <w:noProof/>
        </w:rPr>
        <w:drawing>
          <wp:inline distT="0" distB="0" distL="0" distR="0" wp14:anchorId="4E582267" wp14:editId="66939E1B">
            <wp:extent cx="3352807" cy="2337821"/>
            <wp:effectExtent l="0" t="0" r="0" b="5715"/>
            <wp:docPr id="1521585684"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85684" name="Picture 2" descr="A graph of a func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2807" cy="2337821"/>
                    </a:xfrm>
                    <a:prstGeom prst="rect">
                      <a:avLst/>
                    </a:prstGeom>
                  </pic:spPr>
                </pic:pic>
              </a:graphicData>
            </a:graphic>
          </wp:inline>
        </w:drawing>
      </w:r>
    </w:p>
    <w:p w14:paraId="1C631C69" w14:textId="77777777" w:rsidR="003510BF" w:rsidRPr="005270E0" w:rsidRDefault="003510BF" w:rsidP="003510BF">
      <w:pPr>
        <w:pStyle w:val="Normalaftertitle"/>
      </w:pPr>
      <w:bookmarkStart w:id="38" w:name="_Toc393184798"/>
      <w:r w:rsidRPr="005270E0">
        <w:t>En el caso de interferencia similar a ruido blanco, el valor máximo de la densidad espectral de potencia de la interferencia sería de aproximadamente –185 dB(W/Hz) a la entrada del receptor de un dispersímetro con una antena de «haz puntual».</w:t>
      </w:r>
    </w:p>
    <w:p w14:paraId="21459EB2" w14:textId="77777777" w:rsidR="003510BF" w:rsidRPr="005270E0" w:rsidRDefault="003510BF" w:rsidP="003510BF">
      <w:r w:rsidRPr="005270E0">
        <w:t>En las bandas de frecuencias compartidas, la disponibilidad de los datos del dispersímetro debe ser superior al 95% para todos los emplazamientos en la zona de servicio del sensor cuando las pérdidas se producen dispersadas de manera aleatoria y superior al 99% para cada zona de medición cuando las pérdidas se producen de forma sistemática en los mismos emplazamientos. Cabe señalar que la determinación del cumplimiento del requisito de disponibilidad del 95% requiere un análisis relativamente sencillo; sin embargo, resulta complejo analizar las interrupciones por su característica de dispersión aleatoria para todas las horas y zonas de observación.</w:t>
      </w:r>
    </w:p>
    <w:p w14:paraId="06E5CF23" w14:textId="77777777" w:rsidR="003510BF" w:rsidRPr="005270E0" w:rsidRDefault="003510BF" w:rsidP="003510BF">
      <w:pPr>
        <w:pStyle w:val="Heading1"/>
      </w:pPr>
      <w:bookmarkStart w:id="39" w:name="_Toc181637178"/>
      <w:bookmarkStart w:id="40" w:name="_Toc181796508"/>
      <w:r w:rsidRPr="005270E0">
        <w:t>4</w:t>
      </w:r>
      <w:r w:rsidRPr="005270E0">
        <w:tab/>
        <w:t xml:space="preserve">Radares de medición de las </w:t>
      </w:r>
      <w:bookmarkEnd w:id="38"/>
      <w:r w:rsidRPr="005270E0">
        <w:t>precipitaciones</w:t>
      </w:r>
      <w:bookmarkEnd w:id="39"/>
      <w:bookmarkEnd w:id="40"/>
    </w:p>
    <w:p w14:paraId="3948153B" w14:textId="77777777" w:rsidR="003510BF" w:rsidRPr="005270E0" w:rsidRDefault="003510BF" w:rsidP="003510BF">
      <w:r w:rsidRPr="005270E0">
        <w:t>Este punto contiene información sobre los criterios de calidad de funcionamiento y de interferencia para los radares de medición de las precipitaciones a bordo de vehículos espaciales en las bandas de frecuencias de 13,25-13,75 GHz, 17,2-17,3 GHz, 24,05-24,25 GHz, y 35,5</w:t>
      </w:r>
      <w:r w:rsidRPr="005270E0">
        <w:noBreakHyphen/>
        <w:t xml:space="preserve">36,0 GHz. Los criterios </w:t>
      </w:r>
      <w:r w:rsidRPr="005270E0">
        <w:lastRenderedPageBreak/>
        <w:t xml:space="preserve">de calidad de funcionamiento y de interferencia para los radares activos de medición de las precipitaciones a bordo de vehículos espaciales que se proporcionan en los </w:t>
      </w:r>
      <w:r w:rsidRPr="008A19A5">
        <w:rPr>
          <w:i/>
          <w:iCs/>
        </w:rPr>
        <w:t>recomienda</w:t>
      </w:r>
      <w:r w:rsidRPr="005270E0">
        <w:t xml:space="preserve"> 1 y 2 de esta Recomendación pueden utilizarse para analizar la compatibilidad del funcionamiento de los radares activos de medición de las precipitaciones a bordo de vehículos espaciales con sistemas de radionavegación y radiolocalización en dichas bandas. En esta sección se facilita un ejemplo de análisis basado en un radar de precipitación dual (DPR) para medición de precipitaciones a escala mundial (GPM), que funciona a 13,597/13,603 GHz y 35,547/35,553 GHz.</w:t>
      </w:r>
    </w:p>
    <w:p w14:paraId="1D635605" w14:textId="77777777" w:rsidR="003510BF" w:rsidRPr="005270E0" w:rsidRDefault="003510BF" w:rsidP="003510BF">
      <w:r w:rsidRPr="005270E0">
        <w:t>El GPM emplea un radar de frecuencia de repetición de impulsos variable (VPRF) para aumentar el número de muestras en un campo de visión instantánea (IFOV). El transmisor de 35 GHz está diseñado para detectar lluvia ligera y distinguir entre lluvia y nieve, y el radar de 13 GHz se utiliza para detectar lluvia intensa. Los rangos dinámicos de ambos radares permiten estimar la distribución del tamaño de las gotas (DSD) de la precipitación.</w:t>
      </w:r>
    </w:p>
    <w:p w14:paraId="06E7D2A4" w14:textId="77777777" w:rsidR="003510BF" w:rsidRPr="005270E0" w:rsidRDefault="003510BF" w:rsidP="003510BF">
      <w:pPr>
        <w:pStyle w:val="Heading2"/>
      </w:pPr>
      <w:bookmarkStart w:id="41" w:name="_Toc393184799"/>
      <w:bookmarkStart w:id="42" w:name="_Toc181637179"/>
      <w:bookmarkStart w:id="43" w:name="_Toc181796509"/>
      <w:r w:rsidRPr="005270E0">
        <w:t>4.1</w:t>
      </w:r>
      <w:r w:rsidRPr="005270E0">
        <w:tab/>
      </w:r>
      <w:bookmarkEnd w:id="41"/>
      <w:r w:rsidRPr="005270E0">
        <w:t>Radares de precipitación basados en DPR-GPM</w:t>
      </w:r>
      <w:bookmarkEnd w:id="42"/>
      <w:bookmarkEnd w:id="43"/>
    </w:p>
    <w:p w14:paraId="0688825F" w14:textId="77777777" w:rsidR="003510BF" w:rsidRPr="005270E0" w:rsidRDefault="003510BF" w:rsidP="003510BF">
      <w:r w:rsidRPr="005270E0">
        <w:t>El primer radar de precipitación a bordo de un vehículo espacial fue el radar de precipitación (PR) para misiones de medición de la precipitación tropical (TRMM),  cuyo lanzamiento se llevó a cabo en 1997. A raíz del éxito del TRMM, la misión GPM se lanzó en febrero de 2014. Dicha misión GPM mide actualmente las precipitaciones desde el espacio y proporciona una norma de referencia para relacionar las mediciones de precipitaciones obtenidas con respecto a otros sensores espaciales.</w:t>
      </w:r>
    </w:p>
    <w:p w14:paraId="3DFE311B" w14:textId="77777777" w:rsidR="003510BF" w:rsidRPr="005270E0" w:rsidRDefault="003510BF" w:rsidP="003510BF">
      <w:r w:rsidRPr="005270E0">
        <w:t>Se han considerado los objetivos de la misión y el diseño del DPR-GPM con objeto de elaborar los criterios de calidad de funcionamiento y de interferencia que puedan utilizarse para evaluar la compatibilidad de dicho radar. Los criterios de interferencia se indican para cuantificar el nivel de interferencia autorizado y el volumen de datos perdidos debido a la interferencia, a fin de seguir permitiendo el cumplimiento de los objetivos de la misión.</w:t>
      </w:r>
    </w:p>
    <w:p w14:paraId="5BAEB44B" w14:textId="3DEE18A3" w:rsidR="003510BF" w:rsidRPr="005270E0" w:rsidRDefault="003510BF" w:rsidP="003510BF">
      <w:pPr>
        <w:pStyle w:val="Heading3"/>
      </w:pPr>
      <w:r w:rsidRPr="005270E0">
        <w:t>4.1.1</w:t>
      </w:r>
      <w:r w:rsidRPr="005270E0">
        <w:tab/>
        <w:t>Criterios de calidad de funcionamiento para 13,597/13,603 GHz</w:t>
      </w:r>
    </w:p>
    <w:p w14:paraId="58479921" w14:textId="77777777" w:rsidR="003510BF" w:rsidRPr="005270E0" w:rsidRDefault="003510BF" w:rsidP="003510BF">
      <w:r w:rsidRPr="005270E0">
        <w:t xml:space="preserve">El requisito científico del DPR-GPM es lograr, tras el procesamiento de los datos, la medición de índices de precipitación iguales o superiores a 0,22 mm/h para13,597/13,603 GHz. </w:t>
      </w:r>
    </w:p>
    <w:p w14:paraId="4DCA78CE" w14:textId="77777777" w:rsidR="003510BF" w:rsidRPr="005270E0" w:rsidRDefault="003510BF" w:rsidP="003510BF">
      <w:r w:rsidRPr="005270E0">
        <w:t>A continuación se proporciona la dfp de los índices de precipitación de la GPM, Versión 7 (en color rojo se representa la V7, y en negro la V6) entre 40° S y 40° N. Cabe señalar que se trata de recuperaciones sólo en la banda Ku y que el índice mínimo de precipitación detectable es de alrededor de 0,2 mm/h, en lugar de 0,5 mm/h. En consecuencia, si la interferencia aumenta la precipitación mínima detectable por encima de 0,5 mm/h, tendrá un impacto sustancial.</w:t>
      </w:r>
    </w:p>
    <w:p w14:paraId="6B894D4D" w14:textId="77777777" w:rsidR="003510BF" w:rsidRPr="005270E0" w:rsidRDefault="003510BF" w:rsidP="003510BF">
      <w:pPr>
        <w:pStyle w:val="FigureNo"/>
      </w:pPr>
      <w:r w:rsidRPr="005270E0">
        <w:lastRenderedPageBreak/>
        <w:t>FIGURA 3</w:t>
      </w:r>
    </w:p>
    <w:p w14:paraId="0D677458" w14:textId="597D65A7" w:rsidR="003510BF" w:rsidRDefault="003510BF" w:rsidP="003510BF">
      <w:pPr>
        <w:pStyle w:val="Figuretitle"/>
      </w:pPr>
      <w:r w:rsidRPr="005270E0">
        <w:t xml:space="preserve">Representación de la dfp de índices de </w:t>
      </w:r>
      <w:r w:rsidRPr="00D61726">
        <w:t xml:space="preserve">pluviosidad </w:t>
      </w:r>
      <w:r w:rsidRPr="005270E0">
        <w:t xml:space="preserve">para GPM, Versión 7 (en color rojo) </w:t>
      </w:r>
      <w:r w:rsidR="00D7652F">
        <w:br/>
      </w:r>
      <w:r w:rsidRPr="005270E0">
        <w:t>y 6 (en color negro) (latitudes más bajas)</w:t>
      </w:r>
    </w:p>
    <w:p w14:paraId="7E2F47E1" w14:textId="2C05E35E" w:rsidR="004D5791" w:rsidRPr="004D5791" w:rsidRDefault="004D5791" w:rsidP="004D5791">
      <w:pPr>
        <w:pStyle w:val="Figure"/>
      </w:pPr>
      <w:r>
        <w:rPr>
          <w:noProof/>
        </w:rPr>
        <w:drawing>
          <wp:inline distT="0" distB="0" distL="0" distR="0" wp14:anchorId="787A3E8A" wp14:editId="3F956EC2">
            <wp:extent cx="3416908" cy="2392070"/>
            <wp:effectExtent l="0" t="0" r="0" b="8255"/>
            <wp:docPr id="659692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8101" cy="2399906"/>
                    </a:xfrm>
                    <a:prstGeom prst="rect">
                      <a:avLst/>
                    </a:prstGeom>
                    <a:noFill/>
                  </pic:spPr>
                </pic:pic>
              </a:graphicData>
            </a:graphic>
          </wp:inline>
        </w:drawing>
      </w:r>
    </w:p>
    <w:p w14:paraId="3D12BDBA" w14:textId="4609907A" w:rsidR="003510BF" w:rsidRPr="005270E0" w:rsidRDefault="003510BF" w:rsidP="003510BF">
      <w:pPr>
        <w:pStyle w:val="Normalaftertitle"/>
      </w:pPr>
      <w:r w:rsidRPr="005270E0">
        <w:t>El valor de cresta se produce cerca de los 0,2 mm/h</w:t>
      </w:r>
      <w:r w:rsidR="00244BC0">
        <w:t>r</w:t>
      </w:r>
      <w:r w:rsidRPr="005270E0">
        <w:t>. A continuación se muestra la distribución del volumen de lluvia (básicamente lluvia*área).</w:t>
      </w:r>
    </w:p>
    <w:p w14:paraId="1305553A" w14:textId="77777777" w:rsidR="003510BF" w:rsidRPr="005270E0" w:rsidRDefault="003510BF" w:rsidP="003510BF">
      <w:pPr>
        <w:pStyle w:val="FigureNo"/>
        <w:rPr>
          <w:color w:val="000000"/>
        </w:rPr>
      </w:pPr>
      <w:r w:rsidRPr="005270E0">
        <w:t>FIGURA</w:t>
      </w:r>
      <w:r w:rsidRPr="005270E0">
        <w:rPr>
          <w:color w:val="000000"/>
        </w:rPr>
        <w:t xml:space="preserve"> 4</w:t>
      </w:r>
    </w:p>
    <w:p w14:paraId="4EA33E94" w14:textId="4CEDF90A" w:rsidR="003510BF" w:rsidRDefault="003510BF" w:rsidP="003510BF">
      <w:pPr>
        <w:pStyle w:val="Figuretitle"/>
      </w:pPr>
      <w:r w:rsidRPr="005270E0">
        <w:t>Distribución del volumen de lluvia (latitudes más bajas)</w:t>
      </w:r>
    </w:p>
    <w:p w14:paraId="6BB657A1" w14:textId="56802C76" w:rsidR="00305B68" w:rsidRPr="00305B68" w:rsidRDefault="00305B68" w:rsidP="00305B68">
      <w:pPr>
        <w:pStyle w:val="Figure"/>
      </w:pPr>
      <w:r w:rsidRPr="00305B68">
        <w:rPr>
          <w:noProof/>
        </w:rPr>
        <w:drawing>
          <wp:inline distT="0" distB="0" distL="0" distR="0" wp14:anchorId="0E368130" wp14:editId="5C06CB81">
            <wp:extent cx="3340272" cy="2254366"/>
            <wp:effectExtent l="0" t="0" r="0" b="0"/>
            <wp:docPr id="1599385631" name="Picture 1"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85631" name="Picture 1" descr="A graph of a graph&#10;&#10;Description automatically generated"/>
                    <pic:cNvPicPr/>
                  </pic:nvPicPr>
                  <pic:blipFill>
                    <a:blip r:embed="rId18"/>
                    <a:stretch>
                      <a:fillRect/>
                    </a:stretch>
                  </pic:blipFill>
                  <pic:spPr>
                    <a:xfrm>
                      <a:off x="0" y="0"/>
                      <a:ext cx="3340272" cy="2254366"/>
                    </a:xfrm>
                    <a:prstGeom prst="rect">
                      <a:avLst/>
                    </a:prstGeom>
                  </pic:spPr>
                </pic:pic>
              </a:graphicData>
            </a:graphic>
          </wp:inline>
        </w:drawing>
      </w:r>
    </w:p>
    <w:p w14:paraId="2E3E0BF7" w14:textId="27AC9EA4" w:rsidR="003510BF" w:rsidRPr="005270E0" w:rsidRDefault="003510BF" w:rsidP="003510BF">
      <w:pPr>
        <w:pStyle w:val="Normalaftertitle"/>
      </w:pPr>
      <w:r w:rsidRPr="005270E0">
        <w:t>El valor de cresta de los volúmenes de lluvia pasa a ser de unos 4 mm/h</w:t>
      </w:r>
      <w:r w:rsidR="00244BC0">
        <w:t>r</w:t>
      </w:r>
      <w:r w:rsidRPr="005270E0">
        <w:t>, si bien el valor total a la izquierda de 0,5 mm/h</w:t>
      </w:r>
      <w:r w:rsidR="00244BC0">
        <w:t>r</w:t>
      </w:r>
      <w:r w:rsidRPr="005270E0">
        <w:t>, aunque no es muy elevado, sigue siendo notable. Estos gráficos corresponden a latitudes bajas. A continuación se muestra un gráfico similar para valores elevados de latitud sur.</w:t>
      </w:r>
    </w:p>
    <w:p w14:paraId="1D5DD47B" w14:textId="492BB9DB" w:rsidR="003510BF" w:rsidRDefault="003510BF" w:rsidP="003510BF">
      <w:pPr>
        <w:pStyle w:val="FigureNo"/>
        <w:rPr>
          <w:color w:val="000000"/>
        </w:rPr>
      </w:pPr>
      <w:r w:rsidRPr="005270E0">
        <w:lastRenderedPageBreak/>
        <w:t>FIGURA</w:t>
      </w:r>
      <w:r w:rsidRPr="005270E0">
        <w:rPr>
          <w:color w:val="000000"/>
        </w:rPr>
        <w:t xml:space="preserve"> 5</w:t>
      </w:r>
    </w:p>
    <w:p w14:paraId="33AD2CAE" w14:textId="5B86AB09" w:rsidR="003510BF" w:rsidRPr="005270E0" w:rsidRDefault="00E57010" w:rsidP="003510BF">
      <w:pPr>
        <w:pStyle w:val="Figure"/>
      </w:pPr>
      <w:r w:rsidRPr="00E57010">
        <w:rPr>
          <w:noProof/>
        </w:rPr>
        <w:drawing>
          <wp:inline distT="0" distB="0" distL="0" distR="0" wp14:anchorId="585C701B" wp14:editId="087815B8">
            <wp:extent cx="3073558" cy="2190863"/>
            <wp:effectExtent l="0" t="0" r="0" b="0"/>
            <wp:docPr id="359123753" name="Picture 1" descr="A graph of a number of numbers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23753" name="Picture 1" descr="A graph of a number of numbers and a red line&#10;&#10;Description automatically generated"/>
                    <pic:cNvPicPr/>
                  </pic:nvPicPr>
                  <pic:blipFill>
                    <a:blip r:embed="rId19"/>
                    <a:stretch>
                      <a:fillRect/>
                    </a:stretch>
                  </pic:blipFill>
                  <pic:spPr>
                    <a:xfrm>
                      <a:off x="0" y="0"/>
                      <a:ext cx="3073558" cy="2190863"/>
                    </a:xfrm>
                    <a:prstGeom prst="rect">
                      <a:avLst/>
                    </a:prstGeom>
                  </pic:spPr>
                </pic:pic>
              </a:graphicData>
            </a:graphic>
          </wp:inline>
        </w:drawing>
      </w:r>
    </w:p>
    <w:p w14:paraId="1597D951" w14:textId="77777777" w:rsidR="003510BF" w:rsidRPr="005270E0" w:rsidRDefault="003510BF" w:rsidP="00E57010">
      <w:pPr>
        <w:pStyle w:val="Normalaftertitle"/>
      </w:pPr>
      <w:r w:rsidRPr="005270E0">
        <w:t>La distribución del volumen de lluvia (latitudes elevadas meridionales) para la contribución de las precipitaciones ligeras es aún mayor. Habida cuenta de ello, saber si la interferencia desplazará hacia la derecha el valor mínimo de precipitación detectable reviste suma importancia. El desplazamiento del umbral de precipitación detectable hacia la derecha puede repercutir en gran medida en la medición de la precipitación ligera, en particular en latitudes más elevadas para la GPM y el futuro radar AOS en la banda Ku.</w:t>
      </w:r>
    </w:p>
    <w:p w14:paraId="1D19440B" w14:textId="53B54525" w:rsidR="003510BF" w:rsidRPr="005270E0" w:rsidRDefault="003510BF" w:rsidP="003510BF">
      <w:r w:rsidRPr="005270E0">
        <w:t>La disponibilidad necesaria de datos de precipitaciones viene dada por el lugar en el que se producen dichas precipitaciones. Es importante obtener todas las posibles mediciones de intensidad de lluvia; sin embargo, revisten particular interés las mediciones en la Zona de convergencia intertropical (ITCZ), que es la zona limitada por el ecuador de la Tierra y 10º de latitud norte, y en la amplia zona que se extiende desde el continente marítimo al Pacífico Sur (denominada Conducto del monzón australiano y Zona de convergencia del Pacífico Sur (SPCZ)). Estas zonas importantes vienen generalmente limitadas por latitudes de 0º</w:t>
      </w:r>
      <w:r w:rsidR="0001691A">
        <w:t>−</w:t>
      </w:r>
      <w:r w:rsidRPr="005270E0">
        <w:t>10º N</w:t>
      </w:r>
      <w:r w:rsidR="00A0256E">
        <w:t>,</w:t>
      </w:r>
      <w:r w:rsidRPr="005270E0">
        <w:t> 50º</w:t>
      </w:r>
      <w:r w:rsidR="0001691A">
        <w:t>−</w:t>
      </w:r>
      <w:r w:rsidRPr="005270E0">
        <w:t>180º E</w:t>
      </w:r>
      <w:r w:rsidR="00A0256E">
        <w:t xml:space="preserve"> y</w:t>
      </w:r>
      <w:r w:rsidRPr="005270E0">
        <w:t> 0º</w:t>
      </w:r>
      <w:r w:rsidR="0001691A">
        <w:t>−</w:t>
      </w:r>
      <w:r w:rsidRPr="005270E0">
        <w:t xml:space="preserve">10º S. En consecuencia, la zona de mayor interés se encuentra en la ITCZ. La </w:t>
      </w:r>
      <w:r w:rsidR="0001691A">
        <w:t>Fig.</w:t>
      </w:r>
      <w:r w:rsidRPr="005270E0">
        <w:t xml:space="preserve"> 6 muestra las zonas de convergencia de especial interés para las mediciones del radar de precipitación. Por otro lado, se emplean sitios de </w:t>
      </w:r>
      <w:r w:rsidR="00443E1F">
        <w:t>«</w:t>
      </w:r>
      <w:r w:rsidRPr="005270E0">
        <w:t>referencia real</w:t>
      </w:r>
      <w:r w:rsidR="00443E1F">
        <w:t>»</w:t>
      </w:r>
      <w:r w:rsidRPr="005270E0">
        <w:t xml:space="preserve"> para correlacionar los datos del radar de precipitación con las mediciones terrenales simultáneas. Un criterio sobre pérdidas de datos en la Zona de convergencia intertropical cuando aparece interferencia de forma aleatoria es el 0,2% de los datos posibles. Sin embargo, como se señala en otras partes de esta Recomendación, la interferencia aleatoria es difícil de caracterizar (</w:t>
      </w:r>
      <w:proofErr w:type="gramStart"/>
      <w:r w:rsidRPr="005270E0">
        <w:t>en caso que</w:t>
      </w:r>
      <w:proofErr w:type="gramEnd"/>
      <w:r w:rsidRPr="005270E0">
        <w:t xml:space="preserve"> ello sea posible) y de tener en cuenta en un análisis de interferencia.</w:t>
      </w:r>
    </w:p>
    <w:p w14:paraId="6D542658" w14:textId="77777777" w:rsidR="003510BF" w:rsidRPr="005270E0" w:rsidRDefault="003510BF" w:rsidP="00A0256E">
      <w:pPr>
        <w:pStyle w:val="FigureNo"/>
        <w:spacing w:before="360"/>
        <w:rPr>
          <w:color w:val="000000"/>
        </w:rPr>
      </w:pPr>
      <w:r w:rsidRPr="005270E0">
        <w:t>FIGURA</w:t>
      </w:r>
      <w:r w:rsidRPr="005270E0">
        <w:rPr>
          <w:color w:val="000000"/>
        </w:rPr>
        <w:t xml:space="preserve"> 6</w:t>
      </w:r>
    </w:p>
    <w:p w14:paraId="505001B1" w14:textId="6DF7654A" w:rsidR="003510BF" w:rsidRPr="005270E0" w:rsidRDefault="003510BF" w:rsidP="003510BF">
      <w:pPr>
        <w:pStyle w:val="Figuretitle"/>
      </w:pPr>
      <w:r w:rsidRPr="005270E0">
        <w:t>Zonas de convergencia de particular interés a los efectos de medición del radar de precipitaciones</w:t>
      </w:r>
    </w:p>
    <w:p w14:paraId="285DC9BB" w14:textId="43368F14" w:rsidR="003510BF" w:rsidRPr="005270E0" w:rsidRDefault="00A0256E" w:rsidP="003510BF">
      <w:pPr>
        <w:pStyle w:val="Figure"/>
      </w:pPr>
      <w:r w:rsidRPr="00A0256E">
        <w:rPr>
          <w:noProof/>
        </w:rPr>
        <w:drawing>
          <wp:inline distT="0" distB="0" distL="0" distR="0" wp14:anchorId="1F1BC9B6" wp14:editId="61B5DDA6">
            <wp:extent cx="4862195" cy="2275027"/>
            <wp:effectExtent l="0" t="0" r="0" b="0"/>
            <wp:docPr id="709463470"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63470" name="Picture 1" descr="A map of the world&#10;&#10;Description automatically generated"/>
                    <pic:cNvPicPr/>
                  </pic:nvPicPr>
                  <pic:blipFill>
                    <a:blip r:embed="rId20"/>
                    <a:stretch>
                      <a:fillRect/>
                    </a:stretch>
                  </pic:blipFill>
                  <pic:spPr>
                    <a:xfrm>
                      <a:off x="0" y="0"/>
                      <a:ext cx="4909054" cy="2296952"/>
                    </a:xfrm>
                    <a:prstGeom prst="rect">
                      <a:avLst/>
                    </a:prstGeom>
                  </pic:spPr>
                </pic:pic>
              </a:graphicData>
            </a:graphic>
          </wp:inline>
        </w:drawing>
      </w:r>
    </w:p>
    <w:p w14:paraId="6C231FC5" w14:textId="77777777" w:rsidR="003510BF" w:rsidRPr="005270E0" w:rsidRDefault="003510BF" w:rsidP="003510BF">
      <w:pPr>
        <w:pStyle w:val="Heading3"/>
      </w:pPr>
      <w:bookmarkStart w:id="44" w:name="_Toc393184800"/>
      <w:r w:rsidRPr="005270E0">
        <w:lastRenderedPageBreak/>
        <w:t>4.1.2</w:t>
      </w:r>
      <w:r w:rsidRPr="005270E0">
        <w:tab/>
        <w:t>Criterios de interferencia</w:t>
      </w:r>
      <w:bookmarkEnd w:id="44"/>
    </w:p>
    <w:p w14:paraId="1A86AF5F" w14:textId="77777777" w:rsidR="003510BF" w:rsidRPr="005270E0" w:rsidRDefault="003510BF" w:rsidP="003510BF">
      <w:r w:rsidRPr="005270E0">
        <w:t>La interferencia similar al ruido que provoca un aumento en la medición del índice de precipitación de 0,2 a 0,5 mm/h corresponde a una degradación del 7%. de la calidad de funcionamiento. Por consiguiente, la interferencia debe encontrarse 10 dB por debajo del nivel de ruido del sistema. Como dicho nivel en este ejemplo de PR es de –140 dBW, el nivel de ruido depende del sensor y debe calcularse para cada caso. La ecuación de cálculo del nivel de ruido es la siguiente:</w:t>
      </w:r>
    </w:p>
    <w:p w14:paraId="3C028B15" w14:textId="77777777" w:rsidR="003510BF" w:rsidRPr="005270E0" w:rsidRDefault="003510BF" w:rsidP="003510BF">
      <w:pPr>
        <w:pStyle w:val="Equation"/>
        <w:jc w:val="center"/>
      </w:pPr>
      <w:r w:rsidRPr="005270E0">
        <w:rPr>
          <w:i/>
          <w:iCs/>
        </w:rPr>
        <w:t xml:space="preserve">N </w:t>
      </w:r>
      <w:r w:rsidRPr="005270E0">
        <w:t>=10 log(</w:t>
      </w:r>
      <w:r w:rsidRPr="005270E0">
        <w:rPr>
          <w:i/>
          <w:iCs/>
        </w:rPr>
        <w:t>T</w:t>
      </w:r>
      <w:r w:rsidRPr="005270E0">
        <w:t>*</w:t>
      </w:r>
      <w:r w:rsidRPr="005270E0">
        <w:rPr>
          <w:i/>
          <w:iCs/>
        </w:rPr>
        <w:t>k</w:t>
      </w:r>
      <w:r w:rsidRPr="005270E0">
        <w:rPr>
          <w:i/>
          <w:iCs/>
          <w:vertAlign w:val="subscript"/>
        </w:rPr>
        <w:t>B</w:t>
      </w:r>
      <w:r w:rsidRPr="005270E0">
        <w:t>*</w:t>
      </w:r>
      <w:r w:rsidRPr="005270E0">
        <w:rPr>
          <w:i/>
          <w:iCs/>
        </w:rPr>
        <w:t>BW</w:t>
      </w:r>
      <w:r w:rsidRPr="005270E0">
        <w:t>) (dBW/BW)</w:t>
      </w:r>
    </w:p>
    <w:p w14:paraId="489E679D" w14:textId="77777777" w:rsidR="003510BF" w:rsidRPr="005270E0" w:rsidRDefault="003510BF" w:rsidP="003510BF">
      <w:r w:rsidRPr="005270E0">
        <w:t>siendo:</w:t>
      </w:r>
    </w:p>
    <w:p w14:paraId="7FF9DAB5" w14:textId="77777777" w:rsidR="003510BF" w:rsidRPr="005270E0" w:rsidRDefault="003510BF" w:rsidP="003510BF">
      <w:pPr>
        <w:pStyle w:val="Equationlegend"/>
        <w:rPr>
          <w:lang w:val="es-ES"/>
        </w:rPr>
      </w:pPr>
      <w:r w:rsidRPr="005270E0">
        <w:rPr>
          <w:lang w:val="es-ES"/>
        </w:rPr>
        <w:tab/>
      </w:r>
      <w:r w:rsidRPr="005270E0">
        <w:rPr>
          <w:i/>
          <w:iCs/>
          <w:lang w:val="es-ES"/>
        </w:rPr>
        <w:t>T</w:t>
      </w:r>
      <w:r w:rsidRPr="005270E0">
        <w:rPr>
          <w:lang w:val="es-ES"/>
        </w:rPr>
        <w:t xml:space="preserve"> : </w:t>
      </w:r>
      <w:r w:rsidRPr="005270E0">
        <w:rPr>
          <w:lang w:val="es-ES"/>
        </w:rPr>
        <w:tab/>
        <w:t>temperatura de ruido del sistema en grados Kelvin</w:t>
      </w:r>
    </w:p>
    <w:p w14:paraId="2F484871" w14:textId="77777777" w:rsidR="003510BF" w:rsidRPr="005270E0" w:rsidRDefault="003510BF" w:rsidP="003510BF">
      <w:pPr>
        <w:pStyle w:val="Equationlegend"/>
        <w:rPr>
          <w:lang w:val="es-ES"/>
        </w:rPr>
      </w:pPr>
      <w:r w:rsidRPr="005270E0">
        <w:rPr>
          <w:lang w:val="es-ES"/>
        </w:rPr>
        <w:tab/>
      </w:r>
      <w:r w:rsidRPr="005270E0">
        <w:rPr>
          <w:i/>
          <w:iCs/>
          <w:lang w:val="es-ES"/>
        </w:rPr>
        <w:t>k</w:t>
      </w:r>
      <w:r w:rsidRPr="005270E0">
        <w:rPr>
          <w:i/>
          <w:iCs/>
          <w:vertAlign w:val="subscript"/>
          <w:lang w:val="es-ES"/>
        </w:rPr>
        <w:t>B</w:t>
      </w:r>
      <w:r w:rsidRPr="005270E0">
        <w:rPr>
          <w:vertAlign w:val="subscript"/>
          <w:lang w:val="es-ES"/>
        </w:rPr>
        <w:t xml:space="preserve"> </w:t>
      </w:r>
      <w:r w:rsidRPr="005270E0">
        <w:rPr>
          <w:lang w:val="es-ES"/>
        </w:rPr>
        <w:t>:</w:t>
      </w:r>
      <w:r w:rsidRPr="005270E0">
        <w:rPr>
          <w:lang w:val="es-ES"/>
        </w:rPr>
        <w:tab/>
        <w:t>1,381 × 10</w:t>
      </w:r>
      <w:r w:rsidRPr="005270E0">
        <w:rPr>
          <w:vertAlign w:val="superscript"/>
          <w:lang w:val="es-ES"/>
        </w:rPr>
        <w:t>−23</w:t>
      </w:r>
      <w:r w:rsidRPr="005270E0">
        <w:rPr>
          <w:lang w:val="es-ES"/>
        </w:rPr>
        <w:t xml:space="preserve"> (constante de Boltzmann)</w:t>
      </w:r>
    </w:p>
    <w:p w14:paraId="030FE61B" w14:textId="77777777" w:rsidR="003510BF" w:rsidRPr="005270E0" w:rsidRDefault="003510BF" w:rsidP="003510BF">
      <w:pPr>
        <w:pStyle w:val="Equationlegend"/>
        <w:rPr>
          <w:lang w:val="es-ES"/>
        </w:rPr>
      </w:pPr>
      <w:r w:rsidRPr="005270E0">
        <w:rPr>
          <w:lang w:val="es-ES"/>
        </w:rPr>
        <w:tab/>
      </w:r>
      <w:r w:rsidRPr="005270E0">
        <w:rPr>
          <w:i/>
          <w:iCs/>
          <w:lang w:val="es-ES"/>
        </w:rPr>
        <w:t>BW</w:t>
      </w:r>
      <w:r w:rsidRPr="005270E0">
        <w:rPr>
          <w:lang w:val="es-ES"/>
        </w:rPr>
        <w:t xml:space="preserve"> : </w:t>
      </w:r>
      <w:r w:rsidRPr="005270E0">
        <w:rPr>
          <w:lang w:val="es-ES"/>
        </w:rPr>
        <w:tab/>
        <w:t>Anchura de banda del sistema.</w:t>
      </w:r>
    </w:p>
    <w:p w14:paraId="28B173A3" w14:textId="77777777" w:rsidR="003510BF" w:rsidRPr="005270E0" w:rsidRDefault="003510BF" w:rsidP="003510BF">
      <w:r w:rsidRPr="005270E0">
        <w:t>En las bandas de frecuencias compartidas, la disponibilidad de los datos del radar de precipitación debe ser superior al 99,8% de todos los emplazamientos situados en la zona de servicio de sensor cuando las pérdidas tienen carácter aleatorio. Cabe señalar que la determinación del cumplimiento del requisito de disponibilidad del 99,8% requiere un análisis relativamente sencillo; sin embargo, resulta complejo analizar las interrupciones por su característica de dispersión aleatoria para todas las horas y zonas de observación.</w:t>
      </w:r>
    </w:p>
    <w:p w14:paraId="3AAE09DC" w14:textId="77777777" w:rsidR="003510BF" w:rsidRPr="005270E0" w:rsidRDefault="003510BF" w:rsidP="003510BF">
      <w:pPr>
        <w:pStyle w:val="Heading3"/>
      </w:pPr>
      <w:r w:rsidRPr="005270E0">
        <w:t>4.1.3</w:t>
      </w:r>
      <w:r w:rsidRPr="005270E0">
        <w:tab/>
        <w:t xml:space="preserve">Radar de precipitación GPM en la banda 35 GHz </w:t>
      </w:r>
    </w:p>
    <w:p w14:paraId="41BD0800" w14:textId="77777777" w:rsidR="003510BF" w:rsidRPr="005270E0" w:rsidRDefault="003510BF" w:rsidP="00923BC2">
      <w:pPr>
        <w:pStyle w:val="Heading4"/>
      </w:pPr>
      <w:r w:rsidRPr="005270E0">
        <w:t>4.1.3.1</w:t>
      </w:r>
      <w:r w:rsidRPr="005270E0">
        <w:tab/>
        <w:t>Criterios de calidad de funcionamiento</w:t>
      </w:r>
    </w:p>
    <w:p w14:paraId="0BE8C1FE" w14:textId="77777777" w:rsidR="003510BF" w:rsidRPr="005270E0" w:rsidRDefault="003510BF" w:rsidP="003510BF">
      <w:r w:rsidRPr="005270E0">
        <w:t>El porcentaje de lluvia de poca intensidad que cae en la región de elevada latitud es mayor que la de la región tropical. Por tanto, es necesario medir la lluvia de poca intensidad en la mayor medida posible a fin de obtener una estimación libre de error sistemático de las estadísticas de distribución de intensidad de lluvia sobre la región de elevada latitud. La medición de una intensidad de lluvia de 0,2 mm/h es uno de los requisitos de medición de la misión DPR-GPM. Por esta razón, se especifica que la reflectividad de radar mínima detectable sea menor que 12 dBZ como criterios de calidad de funcionamiento del radar de precipitación de 35 GHz.</w:t>
      </w:r>
    </w:p>
    <w:p w14:paraId="7B66E684" w14:textId="77777777" w:rsidR="003510BF" w:rsidRPr="005270E0" w:rsidRDefault="003510BF" w:rsidP="003510BF">
      <w:pPr>
        <w:pStyle w:val="Heading4"/>
      </w:pPr>
      <w:r w:rsidRPr="005270E0">
        <w:t>4.1.3.2</w:t>
      </w:r>
      <w:r w:rsidRPr="005270E0">
        <w:tab/>
        <w:t>Criterios de interferencia</w:t>
      </w:r>
    </w:p>
    <w:p w14:paraId="35A64D77" w14:textId="77777777" w:rsidR="003510BF" w:rsidRPr="005270E0" w:rsidRDefault="003510BF" w:rsidP="003510BF">
      <w:r w:rsidRPr="005270E0">
        <w:t>La reflectividad del radar de 12 dBZ corresponde a una intensidad de lluvia de 0,2 mm/h. Este valor puede aumentar hasta 0,22 mm/h. Esta degradación de caída de funcionamiento corresponde a un incremento del 10% de la temperatura de ruido del sistema, o a un aumento de 0,5 dB aproximadamente del nivel de ruido del sistema. Este criterio es esencialmente el mismo que en el caso del radar de precipitación de 13 GHz. Con respecto al criterio de la pérdida de datos por la interferencia, los mismos criterios para el radar de precipitación en la banda de 13 GHz son aplicables al radar de precipitación de 35 GHz. La pérdida de datos admisible para el radar de precipitación GPM de 35 GHz es del 0,2%.</w:t>
      </w:r>
    </w:p>
    <w:p w14:paraId="47F69D48" w14:textId="77777777" w:rsidR="003510BF" w:rsidRPr="005270E0" w:rsidRDefault="003510BF" w:rsidP="003510BF">
      <w:r w:rsidRPr="005270E0">
        <w:t>Cabe tener en cuenta que el nivel de interferencia admisible proporcionado en este ejemplo es correcto sólo para este ejemplo. Para cada radar de precipitación, los niveles de interferencia admisibles deben calcularse con arreglo a las características del sistema de cada radar de precipitación.</w:t>
      </w:r>
    </w:p>
    <w:p w14:paraId="5AFC9ED5" w14:textId="77777777" w:rsidR="003510BF" w:rsidRPr="005270E0" w:rsidRDefault="003510BF" w:rsidP="003510BF">
      <w:pPr>
        <w:pStyle w:val="Heading1"/>
      </w:pPr>
      <w:bookmarkStart w:id="45" w:name="_Toc181637180"/>
      <w:bookmarkStart w:id="46" w:name="_Toc181796510"/>
      <w:r w:rsidRPr="005270E0">
        <w:t>5</w:t>
      </w:r>
      <w:r w:rsidRPr="005270E0">
        <w:tab/>
        <w:t>Radares de apertura sintética</w:t>
      </w:r>
      <w:bookmarkEnd w:id="45"/>
      <w:bookmarkEnd w:id="46"/>
    </w:p>
    <w:p w14:paraId="28663CC1" w14:textId="1F914480" w:rsidR="003510BF" w:rsidRPr="005270E0" w:rsidRDefault="003510BF" w:rsidP="003510BF">
      <w:r w:rsidRPr="005270E0">
        <w:t>Esta sección contiene información sobre los criterios de calidad de funcionamiento y de interferencia para los sensores activos de radar de imagen a bordo de vehículos espaciales en las bandas de frecuencias de 432</w:t>
      </w:r>
      <w:r w:rsidRPr="005270E0">
        <w:noBreakHyphen/>
        <w:t>438 MHz, 1 215</w:t>
      </w:r>
      <w:r w:rsidRPr="005270E0">
        <w:noBreakHyphen/>
        <w:t>1 300 MHz, 3 100</w:t>
      </w:r>
      <w:r w:rsidRPr="005270E0">
        <w:noBreakHyphen/>
        <w:t>3 300 MHz, 5 250</w:t>
      </w:r>
      <w:r w:rsidRPr="005270E0">
        <w:noBreakHyphen/>
        <w:t>5 570 MHz, 8 550</w:t>
      </w:r>
      <w:r w:rsidRPr="005270E0">
        <w:noBreakHyphen/>
        <w:t>8 650 MHz y 9 200</w:t>
      </w:r>
      <w:r w:rsidRPr="005270E0">
        <w:noBreakHyphen/>
        <w:t>10</w:t>
      </w:r>
      <w:r w:rsidR="00F605D3">
        <w:t> </w:t>
      </w:r>
      <w:r w:rsidRPr="005270E0">
        <w:t>400</w:t>
      </w:r>
      <w:r w:rsidR="00F605D3">
        <w:t> </w:t>
      </w:r>
      <w:r w:rsidRPr="005270E0">
        <w:t xml:space="preserve">MHz. Los criterios de calidad de funcionamiento y de interferencia </w:t>
      </w:r>
      <w:r w:rsidRPr="005270E0">
        <w:lastRenderedPageBreak/>
        <w:t>pueden utilizarse para analizar la compatibilidad del funcionamiento de los sensores activos de radar de imagen a bordo de vehículos espaciales con sistemas de radionavegación y radiolocalización, así como sistemas de otros servicios, en dichas bandas.</w:t>
      </w:r>
    </w:p>
    <w:p w14:paraId="753576C0" w14:textId="77777777" w:rsidR="003510BF" w:rsidRPr="005270E0" w:rsidRDefault="003510BF" w:rsidP="003510BF">
      <w:pPr>
        <w:pStyle w:val="Heading2"/>
      </w:pPr>
      <w:bookmarkStart w:id="47" w:name="_Toc181637181"/>
      <w:bookmarkStart w:id="48" w:name="_Toc181796511"/>
      <w:r w:rsidRPr="005270E0">
        <w:t>5.1</w:t>
      </w:r>
      <w:r w:rsidRPr="005270E0">
        <w:tab/>
        <w:t>Criterios de calidad de funcionamiento de los radares de apertura sintética (SAR)</w:t>
      </w:r>
      <w:bookmarkEnd w:id="47"/>
      <w:bookmarkEnd w:id="48"/>
    </w:p>
    <w:p w14:paraId="1F199E43" w14:textId="77777777" w:rsidR="003510BF" w:rsidRPr="005270E0" w:rsidRDefault="003510BF" w:rsidP="003510BF">
      <w:r w:rsidRPr="005270E0">
        <w:t>Por lo general, los radares de apertura sintética(SAR) a bordo de vehículos espaciales se utilizan para producir mapas de imágenes de radar del terreno que sobrevuelan mientras que el movimiento del vehículo espacial crea una apertura sintética durante un periodo de apertura típico de sólo 0,2</w:t>
      </w:r>
      <w:r w:rsidRPr="005270E0">
        <w:noBreakHyphen/>
        <w:t>10 s. Cualquier señal que interfiera durante este periodo de apertura afecta a la imagen de esa característica particular. Muchos SAR toman imágenes principalmente de la tierra y de las transiciones entre tierra y agua en los litorales. Los investigadores eligen un número finito de sitios para tomar imágenes a lo largo de una gama de ángulos de abertura a medida que las órbitas se repiten dentro de un periodo de 1</w:t>
      </w:r>
      <w:r w:rsidRPr="005270E0">
        <w:noBreakHyphen/>
        <w:t>14 días con una ligera deriva. Toda interferencia que perturbe los datos de una medición SAR obtenidos de un sitio terrenal observado durante cualquiera de las mediciones tomadas para ángulos de observación diferentes incidirá adversamente en la calidad de funcionamiento de la medición global. Los SAR se utilizan también para elaborar mapas topográficos que pueden utilizarse para modelos de elevación digital. Algunos SAR utilizan interferometría con repetición de ciclos para producir mapas topográficos en dos barridos. Cabe prever que la interferencia en cualquiera de los barridos afecte adversamente a la calidad de funcionamiento.</w:t>
      </w:r>
    </w:p>
    <w:p w14:paraId="34D92338" w14:textId="77777777" w:rsidR="003510BF" w:rsidRPr="005270E0" w:rsidRDefault="003510BF" w:rsidP="003510BF">
      <w:r w:rsidRPr="005270E0">
        <w:t>Las misiones SAR de formación de imágenes o de topografía deben adquirir al menos el 99% de los datos que se pueden obtener en los sitios seleccionados a lo largo de la superficie de la tierra o las transiciones entre tierra y océano. Este presupuesto para datos perdidos es independiente de otras fuentes de pérdida tales como las debidas a los sistemas del vehículo espacial, el instrumento SAR, etc.</w:t>
      </w:r>
    </w:p>
    <w:p w14:paraId="0928DBA3" w14:textId="63EE5BFA" w:rsidR="003510BF" w:rsidRPr="005270E0" w:rsidRDefault="003510BF" w:rsidP="003510BF">
      <w:r w:rsidRPr="005270E0">
        <w:t>El requisito de disponibilidad de los datos SAR es de 99%, suponiendo que las pérdidas sean de poca duración y aleatorias a lo largo de las zonas y durante el periodo de adquisición de datos. Sin embargo, dicho requisito de disponibilidad del 99% debe aplicarse tanto con respecto al porcentaje de la zona de interés que se ve afectada, como con respecto a los per</w:t>
      </w:r>
      <w:r w:rsidR="00C7588C">
        <w:t>i</w:t>
      </w:r>
      <w:r w:rsidRPr="005270E0">
        <w:t>odos de observación durante los que se ven afectadas las mediciones. En el caso de los instrumentos en órbita polar, transcurre un tiempo de observación sustancial sobre las regiones de latitud elevada, lo que puede dar lugar a una subestimación de la interferencia en otras zonas si sólo se tiene en cuenta el tiempo de observación como criterio de disponibilidad. Cabe señalar que la determinación del cumplimiento del requisito de disponibilidad del 99% requiere un análisis relativamente sencillo; sin embargo, resulta complejo analizar las interrupciones por su característica de dispersión aleatoria para todas las horas y zonas de observación. La interferencia en un emplazamiento geográfico dado con carácter sistemático reviste mayor gravedad, sobre todo si se produce en uno de los sitios de interés de un investigador, en el que podrían tener lugar al mismo tiempo experimentos de validación o experimentos verdaderos en tierra. La interferencia en un emplazamiento geográfico dado para la toma de imágenes SAR o misiones topográficas podría crear una brecha en el mapa de cobertura global.</w:t>
      </w:r>
    </w:p>
    <w:p w14:paraId="7F7EA9D8" w14:textId="77777777" w:rsidR="003510BF" w:rsidRPr="005270E0" w:rsidRDefault="003510BF" w:rsidP="003510BF">
      <w:pPr>
        <w:pStyle w:val="Heading2"/>
      </w:pPr>
      <w:bookmarkStart w:id="49" w:name="_Toc181637182"/>
      <w:bookmarkStart w:id="50" w:name="_Toc181796512"/>
      <w:r w:rsidRPr="005270E0">
        <w:t>5.2</w:t>
      </w:r>
      <w:r w:rsidRPr="005270E0">
        <w:tab/>
        <w:t>Criterios de interferencia de los SAR</w:t>
      </w:r>
      <w:bookmarkEnd w:id="49"/>
      <w:bookmarkEnd w:id="50"/>
    </w:p>
    <w:p w14:paraId="3946B510" w14:textId="77777777" w:rsidR="003510BF" w:rsidRPr="005270E0" w:rsidRDefault="003510BF" w:rsidP="003510BF">
      <w:r w:rsidRPr="005270E0">
        <w:t>Se han establecido criterios de interferencia para los radares de imagen a bordo de vehículos espaciales, según figuran en el Cuadro 2. En dicho Cuadro el criterio de interferencia para los radares de apertura sintética es una relación interferencia</w:t>
      </w:r>
      <w:r w:rsidRPr="005270E0">
        <w:noBreakHyphen/>
        <w:t>ruido (</w:t>
      </w:r>
      <w:r w:rsidRPr="005270E0">
        <w:rPr>
          <w:i/>
          <w:iCs/>
        </w:rPr>
        <w:t>I</w:t>
      </w:r>
      <w:r w:rsidRPr="005270E0">
        <w:t>/</w:t>
      </w:r>
      <w:r w:rsidRPr="005270E0">
        <w:rPr>
          <w:i/>
          <w:iCs/>
        </w:rPr>
        <w:t>N</w:t>
      </w:r>
      <w:r w:rsidRPr="005270E0">
        <w:t>) de –6 dB, lo que corresponde a un 10% de degradación de la medición de la desviación típica de la potencia de píxel del SAR.</w:t>
      </w:r>
    </w:p>
    <w:p w14:paraId="689CE85F" w14:textId="77777777" w:rsidR="003510BF" w:rsidRPr="005270E0" w:rsidRDefault="003510BF" w:rsidP="003510BF">
      <w:r w:rsidRPr="005270E0">
        <w:t xml:space="preserve">Este nivel de interferencia podría excederse considerando el efecto de mitigación de la interferencia de las características de modulación y de discriminación de procesamiento SAR de los sistemas que funcionan en la banda compartida. Con objeto de cumplir los objetivos de la misión, estos niveles no pueden excederse para determinados valores porcentuales de las zonas de interés para más del 1% en </w:t>
      </w:r>
      <w:r w:rsidRPr="005270E0">
        <w:lastRenderedPageBreak/>
        <w:t>el caso de ocurrencias sistemáticas de interferencia y más del 5% en el caso de interferencias aleatorias.</w:t>
      </w:r>
    </w:p>
    <w:p w14:paraId="668B823D" w14:textId="604147C5" w:rsidR="003510BF" w:rsidRPr="005270E0" w:rsidRDefault="003510BF" w:rsidP="003510BF">
      <w:r w:rsidRPr="005270E0">
        <w:t>Cabe tener en cuenta que la aplicación de los criterios de interferencia al porcentaje de imágenes afectadas puede dar lugar a una subestimación de la interferencia en las regiones no polares en el caso de instrumentos utilizados por un amplio per</w:t>
      </w:r>
      <w:r w:rsidR="00C7588C">
        <w:t>i</w:t>
      </w:r>
      <w:r w:rsidRPr="005270E0">
        <w:t>odo de tiempo sobre las regiones polares, habida cuenta de su órbita. En consecuencia, se propone aplicar los criterios tanto a los porcentajes de imágenes afectadas (tiempos de observación afectados) como a las zonas de interés afectadas.</w:t>
      </w:r>
    </w:p>
    <w:p w14:paraId="1110566C" w14:textId="77777777" w:rsidR="003510BF" w:rsidRPr="005270E0" w:rsidRDefault="003510BF" w:rsidP="003510BF">
      <w:r w:rsidRPr="005270E0">
        <w:t>Los datos brutos del SAR se procesan tanto en alcance como en acimut para generar una imagen de radar. La señal de retorno que devuelve el blanco presenta una dispersión lineal en frecuencia, tanto en alcance como en acimut. El procesador correlaciona los datos en ambas dimensiones y por lo general la ganancia de procesamiento oscila entre 20 y 40 dB para el eco de retorno. Las señales de interferencia y ruido tienen ganancias de procesamiento muy inferiores. El ruido del receptor tiene una ganancia de casi 0 dB en alcance. Las señales interferentes en el mismo nivel de entrada que el ruido tienen diferentes ganancias de procesamiento, en función del tipo de modulación de la forma de onda.</w:t>
      </w:r>
    </w:p>
    <w:p w14:paraId="3AD0352B" w14:textId="77777777" w:rsidR="003510BF" w:rsidRPr="005270E0" w:rsidRDefault="003510BF" w:rsidP="003510BF">
      <w:pPr>
        <w:pStyle w:val="Heading3"/>
      </w:pPr>
      <w:r w:rsidRPr="005270E0">
        <w:t>5.2.1</w:t>
      </w:r>
      <w:r w:rsidRPr="005270E0">
        <w:tab/>
        <w:t>Ganancia de procesamiento del ruido e interferencia similar al ruido</w:t>
      </w:r>
    </w:p>
    <w:p w14:paraId="6094747B" w14:textId="77777777" w:rsidR="003510BF" w:rsidRPr="005270E0" w:rsidRDefault="003510BF" w:rsidP="003510BF">
      <w:r w:rsidRPr="005270E0">
        <w:t xml:space="preserve">El ruido del sistema, con referencia al puerto de la antena, consiste fundamentalmente en el ruido de la antena y el ruido del receptor frontal. Este ruido puede modelarse como ruido blanco, estacionario o Gaussiano. El correlator del procesador es básicamente un filtro adaptado para los impulsos, o fluctuaciones, con modulación de frecuencia lineal. La ganancia de procesamiento en alcance para el ruido es de 0 dB. La ganancia de procesamiento en acimut es </w:t>
      </w:r>
      <w:r w:rsidRPr="005270E0">
        <w:rPr>
          <w:i/>
        </w:rPr>
        <w:t>N</w:t>
      </w:r>
      <w:r w:rsidRPr="005270E0">
        <w:rPr>
          <w:vertAlign w:val="superscript"/>
        </w:rPr>
        <w:t>2</w:t>
      </w:r>
      <w:r w:rsidRPr="005270E0">
        <w:t xml:space="preserve"> para la integración coherente de </w:t>
      </w:r>
      <w:r w:rsidRPr="005270E0">
        <w:rPr>
          <w:i/>
        </w:rPr>
        <w:t>N</w:t>
      </w:r>
      <w:r w:rsidRPr="005270E0">
        <w:t xml:space="preserve"> retornos durante una apertura sintética y </w:t>
      </w:r>
      <w:r w:rsidRPr="005270E0">
        <w:rPr>
          <w:i/>
        </w:rPr>
        <w:t>N</w:t>
      </w:r>
      <w:r w:rsidRPr="005270E0">
        <w:t xml:space="preserve"> para el ruido. El tiempo de integración de apertura sintética y una PRF adecuada son necesarios para procesar los píxeles hasta determinado tamaño de resolución en acimut ρ</w:t>
      </w:r>
      <w:r w:rsidRPr="005270E0">
        <w:rPr>
          <w:i/>
          <w:vertAlign w:val="subscript"/>
        </w:rPr>
        <w:t>AZ</w:t>
      </w:r>
      <w:r w:rsidRPr="005270E0">
        <w:rPr>
          <w:iCs/>
        </w:rPr>
        <w:t xml:space="preserve">. Ello se calcula como </w:t>
      </w:r>
      <w:r w:rsidRPr="005270E0">
        <w:t>se indica a continuación:</w:t>
      </w:r>
    </w:p>
    <w:p w14:paraId="3A4585ED" w14:textId="77777777" w:rsidR="003510BF" w:rsidRPr="005270E0" w:rsidRDefault="003510BF" w:rsidP="003510BF">
      <w:pPr>
        <w:pStyle w:val="Equation"/>
      </w:pPr>
      <w:r w:rsidRPr="005270E0">
        <w:tab/>
      </w:r>
      <w:r w:rsidRPr="005270E0">
        <w:tab/>
      </w:r>
      <w:r w:rsidRPr="005270E0">
        <w:rPr>
          <w:position w:val="-16"/>
        </w:rPr>
        <w:object w:dxaOrig="1520" w:dyaOrig="400" w14:anchorId="54546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9.5pt" o:ole="" o:allowoverlap="f">
            <v:imagedata r:id="rId21" o:title=""/>
          </v:shape>
          <o:OLEObject Type="Embed" ProgID="Equation.3" ShapeID="_x0000_i1025" DrawAspect="Content" ObjectID="_1793531256" r:id="rId22"/>
        </w:object>
      </w:r>
    </w:p>
    <w:p w14:paraId="182F9683" w14:textId="77777777" w:rsidR="003510BF" w:rsidRPr="005270E0" w:rsidRDefault="003510BF" w:rsidP="003510BF">
      <w:pPr>
        <w:pStyle w:val="Equation"/>
      </w:pPr>
      <w:r w:rsidRPr="005270E0">
        <w:tab/>
      </w:r>
      <w:r w:rsidRPr="005270E0">
        <w:tab/>
      </w:r>
      <w:r w:rsidRPr="005270E0">
        <w:rPr>
          <w:position w:val="-34"/>
        </w:rPr>
        <w:object w:dxaOrig="1040" w:dyaOrig="720" w14:anchorId="45019C60">
          <v:shape id="_x0000_i1026" type="#_x0000_t75" style="width:54.75pt;height:35.25pt" o:ole="" o:allowoverlap="f">
            <v:imagedata r:id="rId23" o:title=""/>
          </v:shape>
          <o:OLEObject Type="Embed" ProgID="Equation.3" ShapeID="_x0000_i1026" DrawAspect="Content" ObjectID="_1793531257" r:id="rId24"/>
        </w:object>
      </w:r>
    </w:p>
    <w:p w14:paraId="74ADE904" w14:textId="77777777" w:rsidR="003510BF" w:rsidRPr="005270E0" w:rsidRDefault="003510BF" w:rsidP="003510BF">
      <w:pPr>
        <w:pStyle w:val="Equation"/>
      </w:pPr>
      <w:r w:rsidRPr="005270E0">
        <w:tab/>
      </w:r>
      <w:r w:rsidRPr="005270E0">
        <w:tab/>
      </w:r>
      <w:r w:rsidRPr="005270E0">
        <w:rPr>
          <w:position w:val="-26"/>
        </w:rPr>
        <w:object w:dxaOrig="1359" w:dyaOrig="600" w14:anchorId="69D8F0CE">
          <v:shape id="_x0000_i1027" type="#_x0000_t75" style="width:71.25pt;height:30pt" o:ole="">
            <v:imagedata r:id="rId25" o:title=""/>
          </v:shape>
          <o:OLEObject Type="Embed" ProgID="Equation.3" ShapeID="_x0000_i1027" DrawAspect="Content" ObjectID="_1793531258" r:id="rId26"/>
        </w:object>
      </w:r>
      <w:r w:rsidRPr="005270E0">
        <w:t>(para modo en mapa de bandas)</w:t>
      </w:r>
    </w:p>
    <w:p w14:paraId="4ED13EF4" w14:textId="77777777" w:rsidR="003510BF" w:rsidRPr="005270E0" w:rsidRDefault="003510BF" w:rsidP="003510BF">
      <w:pPr>
        <w:keepNext/>
        <w:keepLines/>
      </w:pPr>
      <w:r w:rsidRPr="005270E0">
        <w:t>siendo:</w:t>
      </w:r>
    </w:p>
    <w:p w14:paraId="4C690443" w14:textId="77777777" w:rsidR="003510BF" w:rsidRPr="005270E0" w:rsidRDefault="003510BF" w:rsidP="003510BF">
      <w:pPr>
        <w:pStyle w:val="Equationlegend"/>
        <w:keepNext/>
        <w:keepLines/>
        <w:rPr>
          <w:lang w:val="es-ES"/>
        </w:rPr>
      </w:pPr>
      <w:r w:rsidRPr="005270E0">
        <w:rPr>
          <w:lang w:val="es-ES"/>
        </w:rPr>
        <w:tab/>
      </w:r>
      <w:r w:rsidRPr="005270E0">
        <w:rPr>
          <w:i/>
          <w:lang w:val="es-ES"/>
        </w:rPr>
        <w:t>G</w:t>
      </w:r>
      <w:r w:rsidRPr="005270E0">
        <w:rPr>
          <w:i/>
          <w:vertAlign w:val="subscript"/>
          <w:lang w:val="es-ES"/>
        </w:rPr>
        <w:t>NAZ</w:t>
      </w:r>
      <w:r w:rsidRPr="005270E0">
        <w:rPr>
          <w:lang w:val="es-ES"/>
        </w:rPr>
        <w:t>:</w:t>
      </w:r>
      <w:r w:rsidRPr="005270E0">
        <w:rPr>
          <w:lang w:val="es-ES"/>
        </w:rPr>
        <w:tab/>
        <w:t>ganancia de procesamiento en acimut del ruido</w:t>
      </w:r>
    </w:p>
    <w:p w14:paraId="73D54E36" w14:textId="77777777" w:rsidR="003510BF" w:rsidRPr="005270E0" w:rsidRDefault="003510BF" w:rsidP="003510BF">
      <w:pPr>
        <w:pStyle w:val="Equationlegend"/>
        <w:rPr>
          <w:lang w:val="es-ES"/>
        </w:rPr>
      </w:pPr>
      <w:r w:rsidRPr="005270E0">
        <w:rPr>
          <w:lang w:val="es-ES"/>
        </w:rPr>
        <w:tab/>
      </w:r>
      <w:r w:rsidRPr="005270E0">
        <w:rPr>
          <w:i/>
          <w:lang w:val="es-ES"/>
        </w:rPr>
        <w:t>T</w:t>
      </w:r>
      <w:r w:rsidRPr="005270E0">
        <w:rPr>
          <w:i/>
          <w:vertAlign w:val="subscript"/>
          <w:lang w:val="es-ES"/>
        </w:rPr>
        <w:t>I</w:t>
      </w:r>
      <w:r w:rsidRPr="005270E0">
        <w:rPr>
          <w:lang w:val="es-ES"/>
        </w:rPr>
        <w:t>:</w:t>
      </w:r>
      <w:r w:rsidRPr="005270E0">
        <w:rPr>
          <w:lang w:val="es-ES"/>
        </w:rPr>
        <w:tab/>
        <w:t>tiempo de integración en acimut SAR</w:t>
      </w:r>
    </w:p>
    <w:p w14:paraId="59265F95" w14:textId="77777777" w:rsidR="003510BF" w:rsidRPr="005270E0" w:rsidRDefault="003510BF" w:rsidP="003510BF">
      <w:pPr>
        <w:pStyle w:val="Equationlegend"/>
        <w:rPr>
          <w:lang w:val="es-ES"/>
        </w:rPr>
      </w:pPr>
      <w:r w:rsidRPr="005270E0">
        <w:rPr>
          <w:lang w:val="es-ES"/>
        </w:rPr>
        <w:tab/>
      </w:r>
      <w:r w:rsidRPr="005270E0">
        <w:rPr>
          <w:i/>
          <w:lang w:val="es-ES"/>
        </w:rPr>
        <w:t>PRF</w:t>
      </w:r>
      <w:r w:rsidRPr="005270E0">
        <w:rPr>
          <w:lang w:val="es-ES"/>
        </w:rPr>
        <w:t>:</w:t>
      </w:r>
      <w:r w:rsidRPr="005270E0">
        <w:rPr>
          <w:lang w:val="es-ES"/>
        </w:rPr>
        <w:tab/>
        <w:t>frecuencia de repetición de los impulsos</w:t>
      </w:r>
    </w:p>
    <w:p w14:paraId="302DBB9C" w14:textId="77777777" w:rsidR="003510BF" w:rsidRPr="005270E0" w:rsidRDefault="003510BF" w:rsidP="003510BF">
      <w:pPr>
        <w:pStyle w:val="Equationlegend"/>
        <w:rPr>
          <w:lang w:val="es-ES"/>
        </w:rPr>
      </w:pPr>
      <w:r w:rsidRPr="005270E0">
        <w:rPr>
          <w:lang w:val="es-ES"/>
        </w:rPr>
        <w:tab/>
        <w:t>λ:</w:t>
      </w:r>
      <w:r w:rsidRPr="005270E0">
        <w:rPr>
          <w:lang w:val="es-ES"/>
        </w:rPr>
        <w:tab/>
        <w:t>longitud de onda</w:t>
      </w:r>
    </w:p>
    <w:p w14:paraId="65831966" w14:textId="77777777" w:rsidR="003510BF" w:rsidRPr="005270E0" w:rsidRDefault="003510BF" w:rsidP="003510BF">
      <w:pPr>
        <w:pStyle w:val="Equationlegend"/>
        <w:rPr>
          <w:lang w:val="es-ES"/>
        </w:rPr>
      </w:pPr>
      <w:r w:rsidRPr="005270E0">
        <w:rPr>
          <w:lang w:val="es-ES"/>
        </w:rPr>
        <w:tab/>
      </w:r>
      <w:r w:rsidRPr="005270E0">
        <w:rPr>
          <w:i/>
          <w:lang w:val="es-ES"/>
        </w:rPr>
        <w:t>R</w:t>
      </w:r>
      <w:r w:rsidRPr="005270E0">
        <w:rPr>
          <w:i/>
          <w:vertAlign w:val="subscript"/>
          <w:lang w:val="es-ES"/>
        </w:rPr>
        <w:t>S</w:t>
      </w:r>
      <w:r w:rsidRPr="005270E0">
        <w:rPr>
          <w:lang w:val="es-ES"/>
        </w:rPr>
        <w:t>:</w:t>
      </w:r>
      <w:r w:rsidRPr="005270E0">
        <w:rPr>
          <w:lang w:val="es-ES"/>
        </w:rPr>
        <w:tab/>
        <w:t>distancia oblicua</w:t>
      </w:r>
    </w:p>
    <w:p w14:paraId="71725410" w14:textId="77777777" w:rsidR="003510BF" w:rsidRPr="005270E0" w:rsidRDefault="003510BF" w:rsidP="003510BF">
      <w:pPr>
        <w:pStyle w:val="Equationlegend"/>
        <w:rPr>
          <w:lang w:val="es-ES"/>
        </w:rPr>
      </w:pPr>
      <w:r w:rsidRPr="005270E0">
        <w:rPr>
          <w:lang w:val="es-ES"/>
        </w:rPr>
        <w:tab/>
      </w:r>
      <w:r w:rsidRPr="005270E0">
        <w:rPr>
          <w:i/>
          <w:iCs/>
          <w:lang w:val="es-ES"/>
        </w:rPr>
        <w:t>v</w:t>
      </w:r>
      <w:r w:rsidRPr="005270E0">
        <w:rPr>
          <w:lang w:val="es-ES"/>
        </w:rPr>
        <w:t>:</w:t>
      </w:r>
      <w:r w:rsidRPr="005270E0">
        <w:rPr>
          <w:lang w:val="es-ES"/>
        </w:rPr>
        <w:tab/>
        <w:t>velocidad de la plataforma de vehículo espacial</w:t>
      </w:r>
    </w:p>
    <w:p w14:paraId="4A0FED3D" w14:textId="77777777" w:rsidR="003510BF" w:rsidRPr="005270E0" w:rsidRDefault="003510BF" w:rsidP="003510BF">
      <w:pPr>
        <w:pStyle w:val="Equationlegend"/>
        <w:rPr>
          <w:lang w:val="es-ES"/>
        </w:rPr>
      </w:pPr>
      <w:r w:rsidRPr="005270E0">
        <w:rPr>
          <w:lang w:val="es-ES"/>
        </w:rPr>
        <w:tab/>
      </w:r>
      <w:r w:rsidRPr="005270E0">
        <w:rPr>
          <w:i/>
          <w:lang w:val="es-ES"/>
        </w:rPr>
        <w:t>L</w:t>
      </w:r>
      <w:r w:rsidRPr="005270E0">
        <w:rPr>
          <w:i/>
          <w:vertAlign w:val="subscript"/>
          <w:lang w:val="es-ES"/>
        </w:rPr>
        <w:t>eff</w:t>
      </w:r>
      <w:r w:rsidRPr="005270E0">
        <w:rPr>
          <w:lang w:val="es-ES"/>
        </w:rPr>
        <w:t>:</w:t>
      </w:r>
      <w:r w:rsidRPr="005270E0">
        <w:rPr>
          <w:lang w:val="es-ES"/>
        </w:rPr>
        <w:tab/>
        <w:t>longitud de la antena efectiva en acimut</w:t>
      </w:r>
    </w:p>
    <w:p w14:paraId="600D07B6" w14:textId="77777777" w:rsidR="003510BF" w:rsidRPr="005270E0" w:rsidRDefault="003510BF" w:rsidP="003510BF">
      <w:pPr>
        <w:pStyle w:val="Equationlegend"/>
        <w:rPr>
          <w:lang w:val="es-ES"/>
        </w:rPr>
      </w:pPr>
      <w:r w:rsidRPr="005270E0">
        <w:rPr>
          <w:lang w:val="es-ES"/>
        </w:rPr>
        <w:tab/>
      </w:r>
      <w:r w:rsidRPr="005270E0">
        <w:rPr>
          <w:iCs/>
          <w:lang w:val="es-ES"/>
        </w:rPr>
        <w:t>ρ</w:t>
      </w:r>
      <w:r w:rsidRPr="005270E0">
        <w:rPr>
          <w:i/>
          <w:vertAlign w:val="subscript"/>
          <w:lang w:val="es-ES"/>
        </w:rPr>
        <w:t>AZ</w:t>
      </w:r>
      <w:r w:rsidRPr="005270E0">
        <w:rPr>
          <w:lang w:val="es-ES"/>
        </w:rPr>
        <w:t>:</w:t>
      </w:r>
      <w:r w:rsidRPr="005270E0">
        <w:rPr>
          <w:lang w:val="es-ES"/>
        </w:rPr>
        <w:tab/>
        <w:t>resolución en acimut.</w:t>
      </w:r>
    </w:p>
    <w:p w14:paraId="6EEDC70D" w14:textId="77777777" w:rsidR="003510BF" w:rsidRPr="005270E0" w:rsidRDefault="003510BF" w:rsidP="003510BF">
      <w:r w:rsidRPr="005270E0">
        <w:t xml:space="preserve">A título de ejemplo, para un SAR con anchura de banda de 600 MHz y una antena de 3 m que funcione cerca de los 9,6 GHz en modo en mapa de bandas, λ = 0,031 25 m, </w:t>
      </w:r>
      <w:r w:rsidRPr="005270E0">
        <w:rPr>
          <w:i/>
        </w:rPr>
        <w:t>R</w:t>
      </w:r>
      <w:r w:rsidRPr="005270E0">
        <w:rPr>
          <w:i/>
          <w:vertAlign w:val="subscript"/>
        </w:rPr>
        <w:t>S</w:t>
      </w:r>
      <w:r w:rsidRPr="005270E0">
        <w:t xml:space="preserve"> = 535,8 km a un ángulo de incidencia de 20º, </w:t>
      </w:r>
      <w:r w:rsidRPr="005270E0">
        <w:rPr>
          <w:i/>
        </w:rPr>
        <w:t>v </w:t>
      </w:r>
      <w:r w:rsidRPr="005270E0">
        <w:t>= 7,05 km/s y</w:t>
      </w:r>
      <w:r w:rsidRPr="005270E0">
        <w:rPr>
          <w:i/>
        </w:rPr>
        <w:t xml:space="preserve"> L</w:t>
      </w:r>
      <w:r w:rsidRPr="005270E0">
        <w:rPr>
          <w:i/>
          <w:vertAlign w:val="subscript"/>
        </w:rPr>
        <w:t>ef f</w:t>
      </w:r>
      <w:r w:rsidRPr="005270E0">
        <w:t xml:space="preserve"> = 3 m, entonces </w:t>
      </w:r>
      <w:r w:rsidRPr="005270E0">
        <w:rPr>
          <w:i/>
        </w:rPr>
        <w:t>T</w:t>
      </w:r>
      <w:r w:rsidRPr="005270E0">
        <w:rPr>
          <w:i/>
          <w:vertAlign w:val="subscript"/>
        </w:rPr>
        <w:t>I</w:t>
      </w:r>
      <w:r w:rsidRPr="005270E0">
        <w:t> = 0,8 s. Para ρ</w:t>
      </w:r>
      <w:r w:rsidRPr="005270E0">
        <w:rPr>
          <w:i/>
          <w:vertAlign w:val="subscript"/>
        </w:rPr>
        <w:t>A</w:t>
      </w:r>
      <w:r w:rsidRPr="005270E0">
        <w:rPr>
          <w:vertAlign w:val="subscript"/>
        </w:rPr>
        <w:t>Z</w:t>
      </w:r>
      <w:r w:rsidRPr="005270E0">
        <w:t xml:space="preserve"> = 1 m, </w:t>
      </w:r>
      <w:r w:rsidRPr="005270E0">
        <w:rPr>
          <w:i/>
        </w:rPr>
        <w:t>PRF</w:t>
      </w:r>
      <w:r w:rsidRPr="005270E0">
        <w:t xml:space="preserve"> = 8 460 Hz y la ganancia de procesamiento en acimut para el ruido </w:t>
      </w:r>
      <w:r w:rsidRPr="005270E0">
        <w:rPr>
          <w:i/>
        </w:rPr>
        <w:t>G</w:t>
      </w:r>
      <w:r w:rsidRPr="005270E0">
        <w:rPr>
          <w:i/>
          <w:vertAlign w:val="subscript"/>
        </w:rPr>
        <w:t>NAZ</w:t>
      </w:r>
      <w:r w:rsidRPr="005270E0">
        <w:t xml:space="preserve"> </w:t>
      </w:r>
      <w:r w:rsidRPr="005270E0">
        <w:rPr>
          <w:iCs/>
        </w:rPr>
        <w:t>será de</w:t>
      </w:r>
      <w:r w:rsidRPr="005270E0">
        <w:t xml:space="preserve"> 38 dB.</w:t>
      </w:r>
    </w:p>
    <w:p w14:paraId="32FA3A2E" w14:textId="081860AC" w:rsidR="003510BF" w:rsidRPr="005270E0" w:rsidRDefault="003510BF" w:rsidP="003510BF">
      <w:r w:rsidRPr="005270E0">
        <w:lastRenderedPageBreak/>
        <w:t>Para el mismo SAR cuya anchura de banda es 1,2 GHz en modo proyector, el tiempo de integración en acimut reviste más importancia. Si el haz principal del SAR abarca la zona prevista durante 3 s y la PRF es de 6</w:t>
      </w:r>
      <w:r w:rsidR="00023A3E">
        <w:t> </w:t>
      </w:r>
      <w:r w:rsidRPr="005270E0">
        <w:t>000</w:t>
      </w:r>
      <w:r w:rsidR="00023A3E">
        <w:t> </w:t>
      </w:r>
      <w:r w:rsidRPr="005270E0">
        <w:t>Hz, la ganancia de procesamiento en acimut pasa a ser 42 dB.</w:t>
      </w:r>
    </w:p>
    <w:p w14:paraId="4496C550" w14:textId="77777777" w:rsidR="003510BF" w:rsidRPr="005270E0" w:rsidRDefault="003510BF" w:rsidP="003510BF">
      <w:pPr>
        <w:pStyle w:val="Heading3"/>
      </w:pPr>
      <w:r w:rsidRPr="005270E0">
        <w:t>5.2.2</w:t>
      </w:r>
      <w:r w:rsidRPr="005270E0">
        <w:tab/>
        <w:t>Ganancia de procesamiento de otras señales interferentes</w:t>
      </w:r>
    </w:p>
    <w:p w14:paraId="671C564B" w14:textId="77777777" w:rsidR="003510BF" w:rsidRPr="005270E0" w:rsidRDefault="003510BF" w:rsidP="003510BF">
      <w:pPr>
        <w:pStyle w:val="Heading4"/>
      </w:pPr>
      <w:r w:rsidRPr="005270E0">
        <w:t>5.2.2.1</w:t>
      </w:r>
      <w:r w:rsidRPr="005270E0">
        <w:tab/>
        <w:t xml:space="preserve">Ganancia de procesamiento en alcance para interferencia CW por impulsos </w:t>
      </w:r>
    </w:p>
    <w:p w14:paraId="452758FB" w14:textId="77777777" w:rsidR="003510BF" w:rsidRPr="005270E0" w:rsidRDefault="003510BF" w:rsidP="003510BF">
      <w:r w:rsidRPr="005270E0">
        <w:t>Cuando la frecuencia central RF de las señales interferentes CW por impulsos se encuentra dentro de la banda de frecuencias de procesamiento, la ganancia de procesamiento de la interferencia en relación con el ruido varía junto con el porcentaje de anchura superpuesta del impulso CW con respecto a la anchura del impulso FM lineal, como se indica en la Fig. 7.</w:t>
      </w:r>
    </w:p>
    <w:p w14:paraId="7B3F1B75" w14:textId="77777777" w:rsidR="003510BF" w:rsidRPr="005270E0" w:rsidRDefault="003510BF" w:rsidP="003510BF">
      <w:pPr>
        <w:pStyle w:val="FigureNo"/>
      </w:pPr>
      <w:r w:rsidRPr="005270E0">
        <w:t>Figura 7</w:t>
      </w:r>
    </w:p>
    <w:p w14:paraId="3F0D5F93" w14:textId="77777777" w:rsidR="003510BF" w:rsidRPr="005270E0" w:rsidRDefault="003510BF" w:rsidP="003510BF">
      <w:pPr>
        <w:pStyle w:val="Figuretitle"/>
      </w:pPr>
      <w:r w:rsidRPr="005270E0">
        <w:t>Características de tiempo y frecuencia de la fluctuación y el impulso</w:t>
      </w:r>
    </w:p>
    <w:p w14:paraId="7F185ED8" w14:textId="77777777" w:rsidR="003510BF" w:rsidRPr="005270E0" w:rsidRDefault="003510BF" w:rsidP="003510BF">
      <w:pPr>
        <w:pStyle w:val="Figure"/>
      </w:pPr>
      <w:r w:rsidRPr="005270E0">
        <w:object w:dxaOrig="9011" w:dyaOrig="4120" w14:anchorId="429AF82F">
          <v:shape id="_x0000_i1028" type="#_x0000_t75" style="width:450.75pt;height:205.5pt" o:ole="" o:allowoverlap="f">
            <v:imagedata r:id="rId27" o:title=""/>
          </v:shape>
          <o:OLEObject Type="Embed" ProgID="CorelDRAW.Graphic.12" ShapeID="_x0000_i1028" DrawAspect="Content" ObjectID="_1793531259" r:id="rId28"/>
        </w:object>
      </w:r>
    </w:p>
    <w:p w14:paraId="64FB7981" w14:textId="77777777" w:rsidR="003510BF" w:rsidRPr="005270E0" w:rsidRDefault="003510BF" w:rsidP="003510BF">
      <w:pPr>
        <w:pStyle w:val="Normalaftertitle"/>
      </w:pPr>
      <w:r w:rsidRPr="005270E0">
        <w:t xml:space="preserve">Suponiendo que la anchura del impulso interferente es inferior a la anchura del impulso de fluctuación y está envuelta en la fluctuación (es decir, </w:t>
      </w:r>
      <w:r w:rsidRPr="005270E0">
        <w:sym w:font="Symbol" w:char="F061"/>
      </w:r>
      <w:r w:rsidRPr="005270E0">
        <w:t xml:space="preserve"> = β), entonces la ganancia de procesamiento se indica como una función de la anchura del impulso fraccional, tal como se muestra en la Fig. 7.</w:t>
      </w:r>
    </w:p>
    <w:p w14:paraId="1E713F94" w14:textId="77777777" w:rsidR="003510BF" w:rsidRPr="005270E0" w:rsidRDefault="003510BF" w:rsidP="003510BF">
      <w:pPr>
        <w:pStyle w:val="Heading4"/>
      </w:pPr>
      <w:r w:rsidRPr="005270E0">
        <w:t>5.2.2.2</w:t>
      </w:r>
      <w:r w:rsidRPr="005270E0">
        <w:tab/>
        <w:t>Ganancia de procesamiento en alcance para señales CW interferentes sin impulsos</w:t>
      </w:r>
    </w:p>
    <w:p w14:paraId="79A0D1F3" w14:textId="77777777" w:rsidR="003510BF" w:rsidRPr="005270E0" w:rsidRDefault="003510BF" w:rsidP="003510BF">
      <w:pPr>
        <w:jc w:val="left"/>
      </w:pPr>
      <w:r w:rsidRPr="005270E0">
        <w:t>Se supone que la frecuencia central RF de la señal CW interferente sin impulsos se encuentra en la banda de frecuencias de procesamiento. Para un nivel de señal interferente igual al nivel del ruido, la ganancia de procesamiento CW es de 1,7 dB. Para cada píxel de imagen, ese valor es el mismo que para una señal interferente CW por impulsos con la misma anchura que el impulso de fluctuación, y la relación de anchura es la unidad.</w:t>
      </w:r>
    </w:p>
    <w:p w14:paraId="29A35888" w14:textId="77777777" w:rsidR="003510BF" w:rsidRPr="005270E0" w:rsidRDefault="003510BF" w:rsidP="003510BF">
      <w:pPr>
        <w:pStyle w:val="Heading4"/>
      </w:pPr>
      <w:r w:rsidRPr="005270E0">
        <w:t>5.2.2.3</w:t>
      </w:r>
      <w:r w:rsidRPr="005270E0">
        <w:tab/>
        <w:t xml:space="preserve">Ganancia de procesamiento en alcance para señales interferentes con FM lineal </w:t>
      </w:r>
    </w:p>
    <w:p w14:paraId="7A88199E" w14:textId="77777777" w:rsidR="003510BF" w:rsidRPr="005270E0" w:rsidRDefault="003510BF" w:rsidP="003510BF">
      <w:pPr>
        <w:jc w:val="left"/>
      </w:pPr>
      <w:r w:rsidRPr="005270E0">
        <w:t>Se supone que el espectro interferente de señales con modulación de frecuencia lineal cae dentro de la banda de frecuencias de procesamiento y que el impulso interferente se superpone al impulso de eco de retorno, según se indica en la Fig. 7.</w:t>
      </w:r>
    </w:p>
    <w:p w14:paraId="524BB5CA" w14:textId="77777777" w:rsidR="003510BF" w:rsidRPr="005270E0" w:rsidRDefault="003510BF" w:rsidP="003510BF">
      <w:pPr>
        <w:jc w:val="left"/>
      </w:pPr>
      <w:r w:rsidRPr="005270E0">
        <w:t xml:space="preserve">Representemos la señal fluctuante </w:t>
      </w:r>
      <w:r w:rsidRPr="005270E0">
        <w:rPr>
          <w:i/>
        </w:rPr>
        <w:t>f</w:t>
      </w:r>
      <w:r w:rsidRPr="005270E0">
        <w:t>(</w:t>
      </w:r>
      <w:r w:rsidRPr="005270E0">
        <w:rPr>
          <w:i/>
        </w:rPr>
        <w:t>t</w:t>
      </w:r>
      <w:r w:rsidRPr="005270E0">
        <w:t>) con la siguiente ecuación:</w:t>
      </w:r>
    </w:p>
    <w:p w14:paraId="3D89D5BB" w14:textId="77777777" w:rsidR="003510BF" w:rsidRPr="005270E0" w:rsidRDefault="003510BF" w:rsidP="003510BF">
      <w:pPr>
        <w:pStyle w:val="Equation"/>
      </w:pPr>
      <w:r w:rsidRPr="005270E0">
        <w:tab/>
      </w:r>
      <w:r w:rsidRPr="005270E0">
        <w:tab/>
      </w:r>
      <w:r w:rsidRPr="005270E0">
        <w:rPr>
          <w:position w:val="-10"/>
        </w:rPr>
        <w:object w:dxaOrig="2780" w:dyaOrig="440" w14:anchorId="4E300BC0">
          <v:shape id="_x0000_i1029" type="#_x0000_t75" style="width:139.5pt;height:21.75pt" o:ole="">
            <v:imagedata r:id="rId29" o:title=""/>
          </v:shape>
          <o:OLEObject Type="Embed" ProgID="Equation.3" ShapeID="_x0000_i1029" DrawAspect="Content" ObjectID="_1793531260" r:id="rId30"/>
        </w:object>
      </w:r>
      <w:r w:rsidRPr="005270E0">
        <w:t xml:space="preserve">  </w:t>
      </w:r>
      <w:r w:rsidRPr="005270E0">
        <w:tab/>
        <w:t>(1)</w:t>
      </w:r>
    </w:p>
    <w:p w14:paraId="6BD94E7B" w14:textId="7C5BD059" w:rsidR="003510BF" w:rsidRPr="005270E0" w:rsidRDefault="003510BF" w:rsidP="00641FFD">
      <w:pPr>
        <w:keepNext/>
        <w:keepLines/>
      </w:pPr>
      <w:r w:rsidRPr="005270E0">
        <w:lastRenderedPageBreak/>
        <w:t>siendo:</w:t>
      </w:r>
    </w:p>
    <w:p w14:paraId="0AA4C5F0" w14:textId="77777777" w:rsidR="003510BF" w:rsidRPr="005270E0" w:rsidRDefault="003510BF" w:rsidP="003510BF">
      <w:pPr>
        <w:pStyle w:val="Equationlegend"/>
        <w:rPr>
          <w:lang w:val="es-ES"/>
        </w:rPr>
      </w:pPr>
      <w:r w:rsidRPr="005270E0">
        <w:rPr>
          <w:i/>
          <w:lang w:val="es-ES"/>
        </w:rPr>
        <w:tab/>
      </w:r>
      <w:r w:rsidRPr="005270E0">
        <w:rPr>
          <w:iCs/>
          <w:lang w:val="es-ES"/>
        </w:rPr>
        <w:t>rect</w:t>
      </w:r>
      <w:r w:rsidRPr="005270E0">
        <w:rPr>
          <w:lang w:val="es-ES"/>
        </w:rPr>
        <w:t>(</w:t>
      </w:r>
      <w:r w:rsidRPr="005270E0">
        <w:rPr>
          <w:i/>
          <w:lang w:val="es-ES"/>
        </w:rPr>
        <w:t>t</w:t>
      </w:r>
      <w:r w:rsidRPr="005270E0">
        <w:rPr>
          <w:lang w:val="es-ES"/>
        </w:rPr>
        <w:t>):</w:t>
      </w:r>
      <w:r w:rsidRPr="005270E0">
        <w:rPr>
          <w:lang w:val="es-ES"/>
        </w:rPr>
        <w:tab/>
        <w:t>función rectangular de la anchura unitaria</w:t>
      </w:r>
    </w:p>
    <w:p w14:paraId="6E4A4866" w14:textId="77777777" w:rsidR="003510BF" w:rsidRPr="005270E0" w:rsidRDefault="003510BF" w:rsidP="003510BF">
      <w:pPr>
        <w:pStyle w:val="Equationlegend"/>
        <w:rPr>
          <w:lang w:val="es-ES"/>
        </w:rPr>
      </w:pPr>
      <w:r w:rsidRPr="005270E0">
        <w:rPr>
          <w:i/>
          <w:lang w:val="es-ES"/>
        </w:rPr>
        <w:tab/>
        <w:t>f</w:t>
      </w:r>
      <w:r w:rsidRPr="005270E0">
        <w:rPr>
          <w:vertAlign w:val="subscript"/>
          <w:lang w:val="es-ES"/>
        </w:rPr>
        <w:t>0:</w:t>
      </w:r>
      <w:r w:rsidRPr="005270E0">
        <w:rPr>
          <w:vertAlign w:val="subscript"/>
          <w:lang w:val="es-ES"/>
        </w:rPr>
        <w:tab/>
      </w:r>
      <w:r w:rsidRPr="005270E0">
        <w:rPr>
          <w:lang w:val="es-ES"/>
        </w:rPr>
        <w:t>frecuencia portadora RF</w:t>
      </w:r>
    </w:p>
    <w:p w14:paraId="32C86472" w14:textId="77777777" w:rsidR="003510BF" w:rsidRPr="005270E0" w:rsidRDefault="003510BF" w:rsidP="003510BF">
      <w:pPr>
        <w:pStyle w:val="Equationlegend"/>
        <w:rPr>
          <w:lang w:val="es-ES"/>
        </w:rPr>
      </w:pPr>
      <w:r w:rsidRPr="005270E0">
        <w:rPr>
          <w:lang w:val="es-ES"/>
        </w:rPr>
        <w:tab/>
        <w:t>μ:</w:t>
      </w:r>
      <w:r w:rsidRPr="005270E0">
        <w:rPr>
          <w:lang w:val="es-ES"/>
        </w:rPr>
        <w:tab/>
        <w:t>pendiente.</w:t>
      </w:r>
    </w:p>
    <w:p w14:paraId="4CC238C3" w14:textId="77777777" w:rsidR="003510BF" w:rsidRPr="005270E0" w:rsidRDefault="003510BF" w:rsidP="003510BF">
      <w:r w:rsidRPr="005270E0">
        <w:t>La ganancia de procesamiento del impulso interferente varía con la relación entre las pendientes |µ</w:t>
      </w:r>
      <w:r w:rsidRPr="005270E0">
        <w:sym w:font="Symbol" w:char="F0A2"/>
      </w:r>
      <w:r w:rsidRPr="005270E0">
        <w:t xml:space="preserve">/µ| en aproximadamente la misma anchura de impulso (es decir, </w:t>
      </w:r>
      <w:r w:rsidRPr="005270E0">
        <w:sym w:font="Symbol" w:char="F061"/>
      </w:r>
      <w:r w:rsidRPr="005270E0">
        <w:t xml:space="preserve"> = 1), según se indica en la Fig. 8. La pendiente del impulso interferente es μ</w:t>
      </w:r>
      <w:r w:rsidRPr="005270E0">
        <w:sym w:font="Symbol" w:char="F0A2"/>
      </w:r>
      <w:r w:rsidRPr="005270E0">
        <w:t xml:space="preserve"> y la pendiente de la fluctuación de radar es μ.</w:t>
      </w:r>
    </w:p>
    <w:p w14:paraId="52087864" w14:textId="77777777" w:rsidR="003510BF" w:rsidRPr="005270E0" w:rsidRDefault="003510BF" w:rsidP="003510BF">
      <w:pPr>
        <w:pStyle w:val="FigureNo"/>
      </w:pPr>
      <w:r w:rsidRPr="005270E0">
        <w:t>FigurA 8</w:t>
      </w:r>
    </w:p>
    <w:p w14:paraId="29FF6F38" w14:textId="77777777" w:rsidR="003510BF" w:rsidRPr="005270E0" w:rsidRDefault="003510BF" w:rsidP="003510BF">
      <w:pPr>
        <w:pStyle w:val="FigureNo"/>
      </w:pPr>
      <w:r w:rsidRPr="005270E0">
        <w:object w:dxaOrig="4310" w:dyaOrig="2569" w14:anchorId="243F9513">
          <v:shape id="_x0000_i1030" type="#_x0000_t75" style="width:215.25pt;height:127.5pt" o:ole="" o:allowoverlap="f">
            <v:imagedata r:id="rId31" o:title=""/>
          </v:shape>
          <o:OLEObject Type="Embed" ProgID="CorelDRAW.Graphic.12" ShapeID="_x0000_i1030" DrawAspect="Content" ObjectID="_1793531261" r:id="rId32"/>
        </w:object>
      </w:r>
    </w:p>
    <w:p w14:paraId="475A777B" w14:textId="77777777" w:rsidR="003510BF" w:rsidRPr="005270E0" w:rsidRDefault="003510BF" w:rsidP="003510BF">
      <w:pPr>
        <w:pStyle w:val="Heading4"/>
        <w:spacing w:before="360"/>
      </w:pPr>
      <w:r w:rsidRPr="005270E0">
        <w:t>5.2.2.4</w:t>
      </w:r>
      <w:r w:rsidRPr="005270E0">
        <w:tab/>
        <w:t xml:space="preserve">Ganancia de procesamiento en alcance para otras formas de onda o modulaciones de radar interferentes </w:t>
      </w:r>
    </w:p>
    <w:p w14:paraId="74A6961A" w14:textId="77777777" w:rsidR="003510BF" w:rsidRPr="005270E0" w:rsidRDefault="003510BF" w:rsidP="003510BF">
      <w:r w:rsidRPr="005270E0">
        <w:t xml:space="preserve">Los radares terrenales interferentes tienen diversas formas de onda/modulaciones tales como los códigos Barker, FM no lineal, etc. Cada una de éstas puede modelarse y se pueden calcular las ganancias de procesamiento en relación con el ruido. Aquí no se contemplan esas modulaciones. </w:t>
      </w:r>
      <w:r>
        <w:t>Cabe señalar</w:t>
      </w:r>
      <w:r w:rsidRPr="005270E0">
        <w:t xml:space="preserve"> que </w:t>
      </w:r>
      <w:r>
        <w:t>el valor de cresta de la</w:t>
      </w:r>
      <w:r w:rsidRPr="005270E0">
        <w:t xml:space="preserve"> ganancia </w:t>
      </w:r>
      <w:r>
        <w:t xml:space="preserve">de </w:t>
      </w:r>
      <w:r w:rsidRPr="005270E0">
        <w:t xml:space="preserve">procesamiento de otras formas de onda o modulaciones </w:t>
      </w:r>
      <w:r>
        <w:t>por impulsos</w:t>
      </w:r>
      <w:r w:rsidRPr="005270E0">
        <w:t xml:space="preserve"> no sería </w:t>
      </w:r>
      <w:r>
        <w:t xml:space="preserve">superior al de </w:t>
      </w:r>
      <w:r w:rsidRPr="005270E0">
        <w:t xml:space="preserve">la interferencia FM lineal (como se muestra en la Fig. 8) debido </w:t>
      </w:r>
      <w:r>
        <w:t xml:space="preserve">al filtrado inadecuado. </w:t>
      </w:r>
      <w:r w:rsidRPr="005270E0">
        <w:t>Sin embargo, aunque no se contemple</w:t>
      </w:r>
      <w:r>
        <w:t xml:space="preserve"> pormenorizadamente</w:t>
      </w:r>
      <w:r w:rsidRPr="005270E0">
        <w:t xml:space="preserve"> la ganancia de procesamiento en alcance, la ganancia de procesamiento en acimut sigue perteneciendo a esas formas de onda con impulsos.</w:t>
      </w:r>
    </w:p>
    <w:p w14:paraId="35D95D48" w14:textId="77777777" w:rsidR="003510BF" w:rsidRPr="005270E0" w:rsidRDefault="003510BF" w:rsidP="00AD2E0C">
      <w:pPr>
        <w:pStyle w:val="Heading4"/>
      </w:pPr>
      <w:r w:rsidRPr="005270E0">
        <w:t>5.2.</w:t>
      </w:r>
      <w:r>
        <w:t>2.5</w:t>
      </w:r>
      <w:r w:rsidRPr="005270E0">
        <w:tab/>
        <w:t>Ganancia de procesamiento en acimut de las señales interferentes con impulsos</w:t>
      </w:r>
    </w:p>
    <w:p w14:paraId="6EDC541E" w14:textId="77777777" w:rsidR="003510BF" w:rsidRPr="005270E0" w:rsidRDefault="003510BF" w:rsidP="003510BF">
      <w:r w:rsidRPr="005270E0">
        <w:t xml:space="preserve">El procesamiento en acimut del SAR se efectúa mediante la adición de los retornos del eco a medida que la iluminación del haz de la antena en tierra pasa por la zona seleccionada. En lo que respecta al ruido, la ganancia de procesamiento en acimut es </w:t>
      </w:r>
      <w:r w:rsidRPr="005270E0">
        <w:rPr>
          <w:i/>
          <w:iCs/>
        </w:rPr>
        <w:t>N</w:t>
      </w:r>
      <w:r w:rsidRPr="005270E0">
        <w:t xml:space="preserve">, para la integración de </w:t>
      </w:r>
      <w:r w:rsidRPr="005270E0">
        <w:rPr>
          <w:i/>
          <w:iCs/>
        </w:rPr>
        <w:t>N</w:t>
      </w:r>
      <w:r w:rsidRPr="005270E0">
        <w:t xml:space="preserve"> impulsos durante una apertura sintética. En lo que respecta a los impulsos interferentes, el escalonamiento de la señal interferente dentro de cada ventana de alcance es diferente de retorno a retorno puesto que </w:t>
      </w:r>
      <w:r>
        <w:t>la señal interferente por impulsos</w:t>
      </w:r>
      <w:r w:rsidRPr="005270E0">
        <w:t xml:space="preserve"> y el SAR tienen PRF diferentes. En lo tocante a la señal interferente con impulsos, los análisis efectuados previamente utilizando simulaciones para sucesivas ventanas de alcance y la adición de los retornos durante un intervalo de integración SAR han demostrado que las potencias de cresta instantáneas de los impulsos interferentes procesados en acimut varían entre 0 dB y 9,5 dB.</w:t>
      </w:r>
    </w:p>
    <w:p w14:paraId="1593EF3F" w14:textId="66AE74C6" w:rsidR="003510BF" w:rsidRPr="005270E0" w:rsidRDefault="003510BF" w:rsidP="003510BF">
      <w:pPr>
        <w:pStyle w:val="Heading3"/>
      </w:pPr>
      <w:r w:rsidRPr="005270E0">
        <w:t>5.2.</w:t>
      </w:r>
      <w:r>
        <w:t>3</w:t>
      </w:r>
      <w:r w:rsidRPr="005270E0">
        <w:tab/>
        <w:t>Cálculo de la interferencia admisible</w:t>
      </w:r>
    </w:p>
    <w:p w14:paraId="674E1089" w14:textId="77777777" w:rsidR="003510BF" w:rsidRPr="005270E0" w:rsidRDefault="003510BF" w:rsidP="003510BF">
      <w:pPr>
        <w:rPr>
          <w:iCs/>
        </w:rPr>
      </w:pPr>
      <w:r w:rsidRPr="005270E0">
        <w:t xml:space="preserve">Los niveles de interferencia admisible especificados </w:t>
      </w:r>
      <w:r w:rsidRPr="005270E0">
        <w:rPr>
          <w:i/>
          <w:iCs/>
        </w:rPr>
        <w:t>supra</w:t>
      </w:r>
      <w:r w:rsidRPr="005270E0">
        <w:t xml:space="preserve"> pueden diferir al considerar el efecto de mitigación de la interferencia de las características de modulación y discriminación de procesamiento </w:t>
      </w:r>
      <w:r w:rsidRPr="005270E0">
        <w:lastRenderedPageBreak/>
        <w:t xml:space="preserve">SAR de los sistemas que funcionan en la banda. La potencia de la señal interferente admisible </w:t>
      </w:r>
      <w:r w:rsidRPr="005270E0">
        <w:rPr>
          <w:i/>
        </w:rPr>
        <w:t>P</w:t>
      </w:r>
      <w:r w:rsidRPr="005270E0">
        <w:rPr>
          <w:i/>
          <w:vertAlign w:val="subscript"/>
        </w:rPr>
        <w:t>I</w:t>
      </w:r>
      <w:r w:rsidRPr="005270E0">
        <w:rPr>
          <w:i/>
        </w:rPr>
        <w:t xml:space="preserve"> </w:t>
      </w:r>
      <w:r>
        <w:rPr>
          <w:iCs/>
        </w:rPr>
        <w:t>puede determinarse mediante la siguiente expresión</w:t>
      </w:r>
      <w:r w:rsidRPr="005270E0">
        <w:rPr>
          <w:iCs/>
        </w:rPr>
        <w:t>:</w:t>
      </w:r>
    </w:p>
    <w:p w14:paraId="38DD5101" w14:textId="77777777" w:rsidR="003510BF" w:rsidRPr="005270E0" w:rsidRDefault="003510BF" w:rsidP="003510BF">
      <w:pPr>
        <w:pStyle w:val="Equation"/>
      </w:pPr>
      <w:r w:rsidRPr="005270E0">
        <w:tab/>
      </w:r>
      <w:r w:rsidRPr="005270E0">
        <w:tab/>
      </w:r>
      <w:r w:rsidRPr="005270E0">
        <w:rPr>
          <w:position w:val="-34"/>
        </w:rPr>
        <w:object w:dxaOrig="2900" w:dyaOrig="780" w14:anchorId="3646C8F4">
          <v:shape id="_x0000_i1031" type="#_x0000_t75" style="width:144.75pt;height:39pt" o:ole="">
            <v:imagedata r:id="rId33" o:title=""/>
          </v:shape>
          <o:OLEObject Type="Embed" ProgID="Equation.3" ShapeID="_x0000_i1031" DrawAspect="Content" ObjectID="_1793531262" r:id="rId34"/>
        </w:object>
      </w:r>
      <w:r w:rsidRPr="005270E0">
        <w:tab/>
      </w:r>
      <w:r w:rsidRPr="005270E0">
        <w:rPr>
          <w:bCs/>
        </w:rPr>
        <w:t>(2)</w:t>
      </w:r>
    </w:p>
    <w:p w14:paraId="1D796929" w14:textId="77777777" w:rsidR="003510BF" w:rsidRPr="005270E0" w:rsidRDefault="003510BF" w:rsidP="003510BF">
      <w:r w:rsidRPr="005270E0">
        <w:t xml:space="preserve">siendo: </w:t>
      </w:r>
    </w:p>
    <w:p w14:paraId="55C3FC8C" w14:textId="77777777" w:rsidR="003510BF" w:rsidRPr="005270E0" w:rsidRDefault="003510BF" w:rsidP="003510BF">
      <w:pPr>
        <w:pStyle w:val="Equationlegend"/>
        <w:rPr>
          <w:lang w:val="es-ES"/>
        </w:rPr>
      </w:pPr>
      <w:r w:rsidRPr="005270E0">
        <w:rPr>
          <w:i/>
          <w:lang w:val="es-ES"/>
        </w:rPr>
        <w:tab/>
        <w:t>I</w:t>
      </w:r>
      <w:r w:rsidRPr="005270E0">
        <w:rPr>
          <w:lang w:val="es-ES"/>
        </w:rPr>
        <w:t>/</w:t>
      </w:r>
      <w:r w:rsidRPr="005270E0">
        <w:rPr>
          <w:i/>
          <w:lang w:val="es-ES"/>
        </w:rPr>
        <w:t>N</w:t>
      </w:r>
      <w:r w:rsidRPr="005270E0">
        <w:rPr>
          <w:b/>
          <w:lang w:val="es-ES"/>
        </w:rPr>
        <w:t xml:space="preserve"> </w:t>
      </w:r>
      <w:r w:rsidRPr="005270E0">
        <w:rPr>
          <w:lang w:val="es-ES"/>
        </w:rPr>
        <w:t>:</w:t>
      </w:r>
      <w:r w:rsidRPr="005270E0">
        <w:rPr>
          <w:lang w:val="es-ES"/>
        </w:rPr>
        <w:tab/>
        <w:t>relación interferencia-ruido</w:t>
      </w:r>
      <w:r>
        <w:rPr>
          <w:lang w:val="es-ES"/>
        </w:rPr>
        <w:t xml:space="preserve"> admisible</w:t>
      </w:r>
      <w:r w:rsidRPr="005270E0">
        <w:rPr>
          <w:lang w:val="es-ES"/>
        </w:rPr>
        <w:t xml:space="preserve"> en la salida del procesador</w:t>
      </w:r>
    </w:p>
    <w:p w14:paraId="5ABC589B" w14:textId="77777777" w:rsidR="003510BF" w:rsidRPr="005270E0" w:rsidRDefault="003510BF" w:rsidP="003510BF">
      <w:pPr>
        <w:pStyle w:val="Equationlegend"/>
        <w:rPr>
          <w:lang w:val="es-ES"/>
        </w:rPr>
      </w:pPr>
      <w:r w:rsidRPr="005270E0">
        <w:rPr>
          <w:i/>
          <w:lang w:val="es-ES"/>
        </w:rPr>
        <w:tab/>
        <w:t>P</w:t>
      </w:r>
      <w:r w:rsidRPr="005270E0">
        <w:rPr>
          <w:i/>
          <w:vertAlign w:val="subscript"/>
          <w:lang w:val="es-ES"/>
        </w:rPr>
        <w:t>N</w:t>
      </w:r>
      <w:r w:rsidRPr="005270E0">
        <w:rPr>
          <w:i/>
          <w:lang w:val="es-ES"/>
        </w:rPr>
        <w:t xml:space="preserve"> </w:t>
      </w:r>
      <w:r w:rsidRPr="005270E0">
        <w:rPr>
          <w:lang w:val="es-ES"/>
        </w:rPr>
        <w:t>:</w:t>
      </w:r>
      <w:r w:rsidRPr="005270E0">
        <w:rPr>
          <w:lang w:val="es-ES"/>
        </w:rPr>
        <w:tab/>
        <w:t>potencia de ruido en el puerto de la antena</w:t>
      </w:r>
    </w:p>
    <w:p w14:paraId="06A012AC" w14:textId="77777777" w:rsidR="003510BF" w:rsidRPr="005270E0" w:rsidRDefault="003510BF" w:rsidP="003510BF">
      <w:pPr>
        <w:pStyle w:val="Equationlegend"/>
        <w:rPr>
          <w:lang w:val="es-ES"/>
        </w:rPr>
      </w:pPr>
      <w:r w:rsidRPr="005270E0">
        <w:rPr>
          <w:i/>
          <w:lang w:val="es-ES"/>
        </w:rPr>
        <w:tab/>
        <w:t>G</w:t>
      </w:r>
      <w:r w:rsidRPr="005270E0">
        <w:rPr>
          <w:i/>
          <w:vertAlign w:val="subscript"/>
          <w:lang w:val="es-ES"/>
        </w:rPr>
        <w:t>N</w:t>
      </w:r>
      <w:r w:rsidRPr="005270E0">
        <w:rPr>
          <w:i/>
          <w:smallCaps/>
          <w:sz w:val="16"/>
          <w:vertAlign w:val="subscript"/>
          <w:lang w:val="es-ES"/>
        </w:rPr>
        <w:t>AZ</w:t>
      </w:r>
      <w:r w:rsidRPr="005270E0">
        <w:rPr>
          <w:lang w:val="es-ES"/>
        </w:rPr>
        <w:t>:</w:t>
      </w:r>
      <w:r w:rsidRPr="005270E0">
        <w:rPr>
          <w:lang w:val="es-ES"/>
        </w:rPr>
        <w:tab/>
        <w:t>ganancia de procesamiento de ruido en acimut</w:t>
      </w:r>
    </w:p>
    <w:p w14:paraId="45F8F43A" w14:textId="77777777" w:rsidR="003510BF" w:rsidRPr="005270E0" w:rsidRDefault="003510BF" w:rsidP="003510BF">
      <w:pPr>
        <w:pStyle w:val="Equationlegend"/>
        <w:rPr>
          <w:i/>
          <w:lang w:val="es-ES"/>
        </w:rPr>
      </w:pPr>
      <w:r w:rsidRPr="005270E0">
        <w:rPr>
          <w:i/>
          <w:lang w:val="es-ES"/>
        </w:rPr>
        <w:tab/>
        <w:t>G</w:t>
      </w:r>
      <w:r w:rsidRPr="005270E0">
        <w:rPr>
          <w:i/>
          <w:vertAlign w:val="subscript"/>
          <w:lang w:val="es-ES"/>
        </w:rPr>
        <w:t>I</w:t>
      </w:r>
      <w:r w:rsidRPr="005270E0">
        <w:rPr>
          <w:i/>
          <w:sz w:val="16"/>
          <w:vertAlign w:val="subscript"/>
          <w:lang w:val="es-ES"/>
        </w:rPr>
        <w:t>AZ</w:t>
      </w:r>
      <w:r w:rsidRPr="005270E0">
        <w:rPr>
          <w:lang w:val="es-ES"/>
        </w:rPr>
        <w:t>:</w:t>
      </w:r>
      <w:r w:rsidRPr="005270E0">
        <w:rPr>
          <w:lang w:val="es-ES"/>
        </w:rPr>
        <w:tab/>
        <w:t>ganancia de procesamiento de la señal interferente en acimut</w:t>
      </w:r>
    </w:p>
    <w:p w14:paraId="7ABE2132" w14:textId="77777777" w:rsidR="003510BF" w:rsidRPr="005270E0" w:rsidRDefault="003510BF" w:rsidP="003510BF">
      <w:pPr>
        <w:pStyle w:val="Equationlegend"/>
        <w:rPr>
          <w:lang w:val="es-ES"/>
        </w:rPr>
      </w:pPr>
      <w:r w:rsidRPr="005270E0">
        <w:rPr>
          <w:i/>
          <w:lang w:val="es-ES"/>
        </w:rPr>
        <w:tab/>
        <w:t>G</w:t>
      </w:r>
      <w:r w:rsidRPr="005270E0">
        <w:rPr>
          <w:i/>
          <w:vertAlign w:val="subscript"/>
          <w:lang w:val="es-ES"/>
        </w:rPr>
        <w:t>N</w:t>
      </w:r>
      <w:r w:rsidRPr="005270E0">
        <w:rPr>
          <w:i/>
          <w:smallCaps/>
          <w:sz w:val="16"/>
          <w:vertAlign w:val="subscript"/>
          <w:lang w:val="es-ES"/>
        </w:rPr>
        <w:t>RNG</w:t>
      </w:r>
      <w:r w:rsidRPr="005270E0">
        <w:rPr>
          <w:lang w:val="es-ES"/>
        </w:rPr>
        <w:t>:</w:t>
      </w:r>
      <w:r w:rsidRPr="005270E0">
        <w:rPr>
          <w:lang w:val="es-ES"/>
        </w:rPr>
        <w:tab/>
        <w:t>ganancia de procesamiento de ruido en alcance</w:t>
      </w:r>
    </w:p>
    <w:p w14:paraId="6B0C69FB" w14:textId="77777777" w:rsidR="003510BF" w:rsidRPr="005270E0" w:rsidRDefault="003510BF" w:rsidP="003510BF">
      <w:pPr>
        <w:pStyle w:val="Equationlegend"/>
        <w:rPr>
          <w:lang w:val="es-ES"/>
        </w:rPr>
      </w:pPr>
      <w:r w:rsidRPr="005270E0">
        <w:rPr>
          <w:i/>
          <w:lang w:val="es-ES"/>
        </w:rPr>
        <w:tab/>
        <w:t>G</w:t>
      </w:r>
      <w:r w:rsidRPr="005270E0">
        <w:rPr>
          <w:i/>
          <w:vertAlign w:val="subscript"/>
          <w:lang w:val="es-ES"/>
        </w:rPr>
        <w:t>I</w:t>
      </w:r>
      <w:r w:rsidRPr="005270E0">
        <w:rPr>
          <w:i/>
          <w:sz w:val="16"/>
          <w:vertAlign w:val="subscript"/>
          <w:lang w:val="es-ES"/>
        </w:rPr>
        <w:t>RNG</w:t>
      </w:r>
      <w:r w:rsidRPr="005270E0">
        <w:rPr>
          <w:lang w:val="es-ES"/>
        </w:rPr>
        <w:t>:</w:t>
      </w:r>
      <w:r w:rsidRPr="005270E0">
        <w:rPr>
          <w:lang w:val="es-ES"/>
        </w:rPr>
        <w:tab/>
        <w:t>ganancia de procesamiento de la señal interferente en alcance.</w:t>
      </w:r>
    </w:p>
    <w:p w14:paraId="564AB4E6" w14:textId="77777777" w:rsidR="003510BF" w:rsidRDefault="003510BF" w:rsidP="003510BF">
      <w:r w:rsidRPr="005270E0">
        <w:t xml:space="preserve">Las ganancias de procesamiento son los productos de las ganancias de procesamiento en alcance y en acimut. Normalmente la ganancia de procesamiento en alcance para la interferencia es pequeña, es decir, inferior a 4 dB; en cambio, la ganancia de procesamiento en acimut para la interferencia, normalmente es de 20 a 40 dB menos que la correspondiente al ruido. </w:t>
      </w:r>
    </w:p>
    <w:p w14:paraId="0B0AB8FE" w14:textId="77777777" w:rsidR="003510BF" w:rsidRPr="005270E0" w:rsidRDefault="003510BF" w:rsidP="003510BF">
      <w:r w:rsidRPr="005270E0">
        <w:t xml:space="preserve">La metodología utilizada para determinar la máxima señal interferente </w:t>
      </w:r>
      <w:r>
        <w:t>admisible</w:t>
      </w:r>
      <w:r w:rsidRPr="005270E0">
        <w:t xml:space="preserve"> es la siguiente:</w:t>
      </w:r>
    </w:p>
    <w:p w14:paraId="3567AF28" w14:textId="2D98D7B5" w:rsidR="003510BF" w:rsidRPr="005270E0" w:rsidRDefault="003510BF" w:rsidP="00023A3E">
      <w:pPr>
        <w:pStyle w:val="enumlev1"/>
      </w:pPr>
      <w:r w:rsidRPr="005270E0">
        <w:t>1)</w:t>
      </w:r>
      <w:r>
        <w:tab/>
        <w:t>Cálculo de</w:t>
      </w:r>
      <w:r w:rsidRPr="005270E0">
        <w:t xml:space="preserve"> la potencia de ruido de entrada </w:t>
      </w:r>
      <w:r w:rsidRPr="005270E0">
        <w:rPr>
          <w:i/>
        </w:rPr>
        <w:t>P</w:t>
      </w:r>
      <w:r w:rsidRPr="005270E0">
        <w:rPr>
          <w:i/>
          <w:vertAlign w:val="subscript"/>
        </w:rPr>
        <w:t>N</w:t>
      </w:r>
      <w:r w:rsidRPr="005270E0">
        <w:t xml:space="preserve">  </w:t>
      </w:r>
      <w:r>
        <w:t>con arreglo a</w:t>
      </w:r>
      <w:r w:rsidRPr="005270E0">
        <w:t xml:space="preserve"> las características del receptor del sistema SAR.</w:t>
      </w:r>
    </w:p>
    <w:p w14:paraId="65B764ED" w14:textId="169EFDBC" w:rsidR="003510BF" w:rsidRPr="005270E0" w:rsidRDefault="003510BF" w:rsidP="00023A3E">
      <w:pPr>
        <w:pStyle w:val="enumlev1"/>
      </w:pPr>
      <w:r w:rsidRPr="005270E0">
        <w:t>2)</w:t>
      </w:r>
      <w:r>
        <w:tab/>
        <w:t>Cálculo de</w:t>
      </w:r>
      <w:r w:rsidRPr="005270E0">
        <w:t xml:space="preserve"> la ganancia de  procesamiento </w:t>
      </w:r>
      <w:r>
        <w:t>en</w:t>
      </w:r>
      <w:r w:rsidRPr="005270E0">
        <w:t xml:space="preserve"> alcance </w:t>
      </w:r>
      <w:bookmarkStart w:id="51" w:name="_Hlk180609984"/>
      <w:r w:rsidRPr="005270E0">
        <w:rPr>
          <w:i/>
          <w:iCs/>
        </w:rPr>
        <w:t>G</w:t>
      </w:r>
      <w:r w:rsidRPr="005270E0">
        <w:rPr>
          <w:i/>
          <w:iCs/>
          <w:vertAlign w:val="subscript"/>
        </w:rPr>
        <w:t>N</w:t>
      </w:r>
      <w:r w:rsidRPr="005270E0">
        <w:rPr>
          <w:i/>
          <w:iCs/>
          <w:sz w:val="16"/>
          <w:vertAlign w:val="subscript"/>
        </w:rPr>
        <w:t>RNG</w:t>
      </w:r>
      <w:bookmarkEnd w:id="51"/>
      <w:r w:rsidRPr="005270E0">
        <w:t xml:space="preserve"> y </w:t>
      </w:r>
      <w:r>
        <w:t xml:space="preserve">de </w:t>
      </w:r>
      <w:r w:rsidRPr="005270E0">
        <w:t xml:space="preserve">la ganancia de procesamiento </w:t>
      </w:r>
      <w:r>
        <w:t>en acimut</w:t>
      </w:r>
      <w:r w:rsidRPr="005270E0">
        <w:t xml:space="preserve"> </w:t>
      </w:r>
      <w:r w:rsidRPr="005270E0">
        <w:rPr>
          <w:i/>
          <w:iCs/>
        </w:rPr>
        <w:t>G</w:t>
      </w:r>
      <w:r w:rsidRPr="005270E0">
        <w:rPr>
          <w:i/>
          <w:iCs/>
          <w:vertAlign w:val="subscript"/>
        </w:rPr>
        <w:t>N</w:t>
      </w:r>
      <w:r w:rsidRPr="005270E0">
        <w:rPr>
          <w:i/>
          <w:iCs/>
          <w:sz w:val="16"/>
          <w:vertAlign w:val="subscript"/>
        </w:rPr>
        <w:t>AZ</w:t>
      </w:r>
      <w:r w:rsidRPr="005270E0">
        <w:t xml:space="preserve"> del ruido, </w:t>
      </w:r>
      <w:r>
        <w:t>según</w:t>
      </w:r>
      <w:r w:rsidRPr="005270E0">
        <w:t xml:space="preserve"> se describe en §</w:t>
      </w:r>
      <w:r>
        <w:t xml:space="preserve"> </w:t>
      </w:r>
      <w:r w:rsidRPr="005270E0">
        <w:t>5.2.1.</w:t>
      </w:r>
    </w:p>
    <w:p w14:paraId="47A7B84E" w14:textId="16DC23E3" w:rsidR="003510BF" w:rsidRPr="005270E0" w:rsidRDefault="003510BF" w:rsidP="00023A3E">
      <w:pPr>
        <w:pStyle w:val="enumlev1"/>
      </w:pPr>
      <w:r w:rsidRPr="005270E0">
        <w:t>3)</w:t>
      </w:r>
      <w:r>
        <w:tab/>
        <w:t>Cálculo de</w:t>
      </w:r>
      <w:r w:rsidRPr="005270E0">
        <w:t xml:space="preserve"> la ganancia de procesamiento </w:t>
      </w:r>
      <w:r>
        <w:t>en</w:t>
      </w:r>
      <w:r w:rsidRPr="005270E0">
        <w:t xml:space="preserve"> alcance </w:t>
      </w:r>
      <w:r w:rsidRPr="005270E0">
        <w:rPr>
          <w:i/>
          <w:iCs/>
        </w:rPr>
        <w:t>G</w:t>
      </w:r>
      <w:r w:rsidRPr="005270E0">
        <w:rPr>
          <w:i/>
          <w:iCs/>
          <w:vertAlign w:val="subscript"/>
        </w:rPr>
        <w:t>I</w:t>
      </w:r>
      <w:r w:rsidRPr="005270E0">
        <w:rPr>
          <w:i/>
          <w:iCs/>
          <w:sz w:val="16"/>
          <w:vertAlign w:val="subscript"/>
        </w:rPr>
        <w:t>RNG</w:t>
      </w:r>
      <w:r w:rsidRPr="005270E0">
        <w:t xml:space="preserve"> y</w:t>
      </w:r>
      <w:r>
        <w:t xml:space="preserve"> de</w:t>
      </w:r>
      <w:r w:rsidRPr="005270E0">
        <w:t xml:space="preserve"> la ganancia de procesamiento </w:t>
      </w:r>
      <w:r>
        <w:t>en acimut</w:t>
      </w:r>
      <w:r w:rsidRPr="005270E0">
        <w:t xml:space="preserve"> </w:t>
      </w:r>
      <w:r w:rsidRPr="005270E0">
        <w:rPr>
          <w:i/>
          <w:iCs/>
        </w:rPr>
        <w:t>G</w:t>
      </w:r>
      <w:r w:rsidRPr="005270E0">
        <w:rPr>
          <w:i/>
          <w:iCs/>
          <w:vertAlign w:val="subscript"/>
        </w:rPr>
        <w:t>I</w:t>
      </w:r>
      <w:r w:rsidRPr="005270E0">
        <w:rPr>
          <w:i/>
          <w:iCs/>
          <w:sz w:val="16"/>
          <w:vertAlign w:val="subscript"/>
        </w:rPr>
        <w:t>AZ</w:t>
      </w:r>
      <w:r w:rsidRPr="005270E0">
        <w:rPr>
          <w:lang w:eastAsia="zh-CN"/>
        </w:rPr>
        <w:t xml:space="preserve"> </w:t>
      </w:r>
      <w:r w:rsidRPr="005270E0">
        <w:t xml:space="preserve">de la interferencia </w:t>
      </w:r>
      <w:r>
        <w:t>con arreglo a</w:t>
      </w:r>
      <w:r w:rsidRPr="005270E0">
        <w:t xml:space="preserve"> la forma de onda de la interferencia</w:t>
      </w:r>
      <w:r>
        <w:t>, según se describe en</w:t>
      </w:r>
      <w:r w:rsidRPr="005270E0">
        <w:t xml:space="preserve"> § 5.2.2.</w:t>
      </w:r>
    </w:p>
    <w:p w14:paraId="08566ADF" w14:textId="569F1ECA" w:rsidR="003510BF" w:rsidRPr="005270E0" w:rsidRDefault="003510BF" w:rsidP="00023A3E">
      <w:pPr>
        <w:pStyle w:val="enumlev1"/>
      </w:pPr>
      <w:r w:rsidRPr="005270E0">
        <w:t>4)</w:t>
      </w:r>
      <w:r>
        <w:tab/>
      </w:r>
      <w:r w:rsidRPr="005270E0">
        <w:t xml:space="preserve">En el caso de que SNR = 0 dB, la potencia de salida del ruido es igual a la de la señal. Para los criterios de interferencia admisibles </w:t>
      </w:r>
      <w:r w:rsidRPr="005270E0">
        <w:rPr>
          <w:i/>
          <w:iCs/>
        </w:rPr>
        <w:t>I</w:t>
      </w:r>
      <w:r w:rsidRPr="005270E0">
        <w:t>/</w:t>
      </w:r>
      <w:r w:rsidRPr="005270E0">
        <w:rPr>
          <w:i/>
          <w:iCs/>
        </w:rPr>
        <w:t>N</w:t>
      </w:r>
      <w:r w:rsidRPr="005270E0">
        <w:t xml:space="preserve"> = </w:t>
      </w:r>
      <w:r w:rsidR="00023A3E">
        <w:t>–</w:t>
      </w:r>
      <w:r w:rsidRPr="005270E0">
        <w:t xml:space="preserve">6 dB, la potencia de salida de la máxima señal interferente se obtiene </w:t>
      </w:r>
      <w:r>
        <w:t>al reducir en</w:t>
      </w:r>
      <w:r w:rsidRPr="005270E0">
        <w:t xml:space="preserve"> 6 dB la potencia de salida del ruido.</w:t>
      </w:r>
    </w:p>
    <w:p w14:paraId="764E9B04" w14:textId="11BE5E24" w:rsidR="003510BF" w:rsidRDefault="003510BF" w:rsidP="00023A3E">
      <w:pPr>
        <w:pStyle w:val="enumlev1"/>
      </w:pPr>
      <w:r w:rsidRPr="005270E0">
        <w:t>5)</w:t>
      </w:r>
      <w:r>
        <w:tab/>
      </w:r>
      <w:r w:rsidRPr="005270E0">
        <w:t>La máxima potencia de entrada admisible de la señal interferente P</w:t>
      </w:r>
      <w:r w:rsidRPr="005270E0">
        <w:rPr>
          <w:vertAlign w:val="subscript"/>
        </w:rPr>
        <w:t>I</w:t>
      </w:r>
      <w:r w:rsidRPr="005270E0">
        <w:t xml:space="preserve"> puede determinarse mediante la ecuación (2)</w:t>
      </w:r>
      <w:r>
        <w:t>, sobre la base de</w:t>
      </w:r>
      <w:r w:rsidRPr="005270E0">
        <w:t xml:space="preserve"> los valores de </w:t>
      </w:r>
      <w:r w:rsidR="008E39D4" w:rsidRPr="00395920">
        <w:rPr>
          <w:i/>
          <w:iCs/>
          <w:lang w:val="en-GB" w:eastAsia="zh-CN"/>
        </w:rPr>
        <w:t>P</w:t>
      </w:r>
      <w:r w:rsidR="008E39D4" w:rsidRPr="00395920">
        <w:rPr>
          <w:i/>
          <w:iCs/>
          <w:vertAlign w:val="subscript"/>
          <w:lang w:val="en-GB" w:eastAsia="zh-CN"/>
        </w:rPr>
        <w:t>N</w:t>
      </w:r>
      <w:r w:rsidR="008E39D4" w:rsidRPr="00966F8F">
        <w:rPr>
          <w:vertAlign w:val="subscript"/>
          <w:lang w:val="en-GB" w:eastAsia="zh-CN"/>
        </w:rPr>
        <w:t>,</w:t>
      </w:r>
      <w:r w:rsidR="008E39D4" w:rsidRPr="00966F8F">
        <w:rPr>
          <w:lang w:val="en-GB" w:eastAsia="zh-CN"/>
        </w:rPr>
        <w:t xml:space="preserve"> </w:t>
      </w:r>
      <w:r w:rsidR="008E39D4" w:rsidRPr="00395920">
        <w:rPr>
          <w:i/>
          <w:iCs/>
          <w:lang w:val="en-GB" w:eastAsia="zh-CN"/>
        </w:rPr>
        <w:t>G</w:t>
      </w:r>
      <w:r w:rsidR="008E39D4">
        <w:rPr>
          <w:i/>
          <w:iCs/>
          <w:vertAlign w:val="subscript"/>
          <w:lang w:val="en-GB" w:eastAsia="zh-CN"/>
        </w:rPr>
        <w:t>N</w:t>
      </w:r>
      <w:r w:rsidR="008E39D4" w:rsidRPr="00395920">
        <w:rPr>
          <w:i/>
          <w:iCs/>
          <w:sz w:val="16"/>
          <w:vertAlign w:val="subscript"/>
          <w:lang w:val="en-GB" w:eastAsia="zh-CN"/>
        </w:rPr>
        <w:t>RNG</w:t>
      </w:r>
      <w:r w:rsidR="008E39D4" w:rsidRPr="00966F8F">
        <w:rPr>
          <w:lang w:val="en-GB" w:eastAsia="zh-CN"/>
        </w:rPr>
        <w:t xml:space="preserve">, </w:t>
      </w:r>
      <w:r w:rsidR="008E39D4" w:rsidRPr="00395920">
        <w:rPr>
          <w:i/>
          <w:iCs/>
          <w:lang w:val="en-GB" w:eastAsia="zh-CN"/>
        </w:rPr>
        <w:t>G</w:t>
      </w:r>
      <w:r w:rsidR="008E39D4">
        <w:rPr>
          <w:i/>
          <w:iCs/>
          <w:vertAlign w:val="subscript"/>
          <w:lang w:val="en-GB" w:eastAsia="zh-CN"/>
        </w:rPr>
        <w:t>N</w:t>
      </w:r>
      <w:r w:rsidR="008E39D4" w:rsidRPr="00395920">
        <w:rPr>
          <w:i/>
          <w:iCs/>
          <w:sz w:val="16"/>
          <w:vertAlign w:val="subscript"/>
          <w:lang w:val="en-GB" w:eastAsia="zh-CN"/>
        </w:rPr>
        <w:t>AZ</w:t>
      </w:r>
      <w:r w:rsidR="008E39D4" w:rsidRPr="00966F8F">
        <w:rPr>
          <w:lang w:val="en-GB"/>
        </w:rPr>
        <w:t xml:space="preserve">, </w:t>
      </w:r>
      <w:r w:rsidR="008E39D4" w:rsidRPr="00395920">
        <w:rPr>
          <w:i/>
          <w:iCs/>
          <w:lang w:val="en-GB"/>
        </w:rPr>
        <w:t>G</w:t>
      </w:r>
      <w:r w:rsidR="008E39D4" w:rsidRPr="00395920">
        <w:rPr>
          <w:i/>
          <w:iCs/>
          <w:vertAlign w:val="subscript"/>
          <w:lang w:val="en-GB"/>
        </w:rPr>
        <w:t>I</w:t>
      </w:r>
      <w:r w:rsidR="008E39D4" w:rsidRPr="00395920">
        <w:rPr>
          <w:i/>
          <w:iCs/>
          <w:sz w:val="16"/>
          <w:vertAlign w:val="subscript"/>
          <w:lang w:val="en-GB"/>
        </w:rPr>
        <w:t>RNG</w:t>
      </w:r>
      <w:r w:rsidR="008E39D4" w:rsidRPr="00966F8F">
        <w:rPr>
          <w:lang w:val="en-GB" w:eastAsia="zh-CN"/>
        </w:rPr>
        <w:t xml:space="preserve">, </w:t>
      </w:r>
      <w:r w:rsidR="008E39D4" w:rsidRPr="00395920">
        <w:rPr>
          <w:i/>
          <w:iCs/>
          <w:lang w:val="en-GB"/>
        </w:rPr>
        <w:t>G</w:t>
      </w:r>
      <w:r w:rsidR="008E39D4" w:rsidRPr="00395920">
        <w:rPr>
          <w:i/>
          <w:iCs/>
          <w:vertAlign w:val="subscript"/>
          <w:lang w:val="en-GB"/>
        </w:rPr>
        <w:t>I</w:t>
      </w:r>
      <w:r w:rsidR="008E39D4" w:rsidRPr="00395920">
        <w:rPr>
          <w:i/>
          <w:iCs/>
          <w:sz w:val="16"/>
          <w:vertAlign w:val="subscript"/>
          <w:lang w:val="en-GB"/>
        </w:rPr>
        <w:t>AZ</w:t>
      </w:r>
      <w:r w:rsidR="008E39D4" w:rsidRPr="00966F8F">
        <w:rPr>
          <w:lang w:val="en-GB" w:eastAsia="zh-CN"/>
        </w:rPr>
        <w:t xml:space="preserve"> </w:t>
      </w:r>
      <w:r w:rsidRPr="005270E0">
        <w:t xml:space="preserve">e </w:t>
      </w:r>
      <w:r w:rsidRPr="005270E0">
        <w:rPr>
          <w:i/>
          <w:iCs/>
        </w:rPr>
        <w:t>I</w:t>
      </w:r>
      <w:r w:rsidRPr="005270E0">
        <w:t>/</w:t>
      </w:r>
      <w:r w:rsidRPr="005270E0">
        <w:rPr>
          <w:i/>
          <w:iCs/>
        </w:rPr>
        <w:t>N</w:t>
      </w:r>
      <w:r w:rsidRPr="005270E0">
        <w:t xml:space="preserve"> calculados en </w:t>
      </w:r>
      <w:r>
        <w:t>las etapas</w:t>
      </w:r>
      <w:r w:rsidRPr="005270E0">
        <w:t xml:space="preserve"> 1 a 4 anteriores.</w:t>
      </w:r>
    </w:p>
    <w:p w14:paraId="409DD686" w14:textId="2597EC44" w:rsidR="003510BF" w:rsidRPr="005270E0" w:rsidRDefault="003510BF" w:rsidP="003510BF">
      <w:r w:rsidRPr="005270E0">
        <w:t xml:space="preserve">Por ejemplo, en el caso de un SAR de banda ancha </w:t>
      </w:r>
      <w:r>
        <w:t xml:space="preserve">que funcione </w:t>
      </w:r>
      <w:r w:rsidRPr="005270E0">
        <w:t xml:space="preserve">a 9,6 GHz </w:t>
      </w:r>
      <w:r>
        <w:t>y</w:t>
      </w:r>
      <w:r w:rsidRPr="005270E0">
        <w:t xml:space="preserve"> reciba interferencia de un radar a bordo de un vehículo espacial, tanto el radar como el SAR utilizan impulsos FM lineales con pendientes de fluctuación muy diferentes. La pendiente de fluctuación del SAR es de 45</w:t>
      </w:r>
      <w:r w:rsidRPr="005270E0">
        <w:noBreakHyphen/>
        <w:t>450 MHz/μs y la pendiente de fluctuación del radar a bordo del vehículo espacial es de 0,5 MHz/μs. La relación entre la pendiente de fluctuación interferente y la pendiente de fluctuación del SAR |µ</w:t>
      </w:r>
      <w:r w:rsidRPr="005270E0">
        <w:sym w:font="Symbol" w:char="F0A2"/>
      </w:r>
      <w:r w:rsidRPr="005270E0">
        <w:t>/µ| sólo es de 0,001 a 0,01 y, según se desprende de la Fig. </w:t>
      </w:r>
      <w:r>
        <w:t>8</w:t>
      </w:r>
      <w:r w:rsidRPr="005270E0">
        <w:t>, la correspondiente ganancia de procesamiento en alcance es de aproximadamente 2,3 dB. Para una relación</w:t>
      </w:r>
      <w:r>
        <w:t xml:space="preserve"> admisible</w:t>
      </w:r>
      <w:r w:rsidRPr="005270E0">
        <w:t xml:space="preserve"> </w:t>
      </w:r>
      <w:r w:rsidRPr="005270E0">
        <w:rPr>
          <w:i/>
        </w:rPr>
        <w:t>I</w:t>
      </w:r>
      <w:r w:rsidRPr="005270E0">
        <w:t>/</w:t>
      </w:r>
      <w:r w:rsidRPr="005270E0">
        <w:rPr>
          <w:i/>
        </w:rPr>
        <w:t>N</w:t>
      </w:r>
      <w:r w:rsidRPr="005270E0">
        <w:t xml:space="preserve"> = </w:t>
      </w:r>
      <w:r w:rsidR="00006458">
        <w:t>−</w:t>
      </w:r>
      <w:r w:rsidRPr="005270E0">
        <w:t>6</w:t>
      </w:r>
      <w:r w:rsidR="00006458">
        <w:t> </w:t>
      </w:r>
      <w:r w:rsidRPr="005270E0">
        <w:t xml:space="preserve">dB, </w:t>
      </w:r>
      <w:r w:rsidRPr="005270E0">
        <w:rPr>
          <w:i/>
        </w:rPr>
        <w:t>P</w:t>
      </w:r>
      <w:r w:rsidRPr="005270E0">
        <w:rPr>
          <w:i/>
          <w:vertAlign w:val="subscript"/>
        </w:rPr>
        <w:t>N</w:t>
      </w:r>
      <w:r w:rsidRPr="005270E0">
        <w:t xml:space="preserve"> = –83,7 dBm, </w:t>
      </w:r>
      <w:r w:rsidRPr="005270E0">
        <w:rPr>
          <w:i/>
        </w:rPr>
        <w:t>G</w:t>
      </w:r>
      <w:r w:rsidRPr="005270E0">
        <w:rPr>
          <w:i/>
          <w:vertAlign w:val="subscript"/>
        </w:rPr>
        <w:t>N</w:t>
      </w:r>
      <w:r w:rsidRPr="005270E0">
        <w:rPr>
          <w:i/>
          <w:sz w:val="16"/>
          <w:vertAlign w:val="subscript"/>
        </w:rPr>
        <w:t>AZ</w:t>
      </w:r>
      <w:r w:rsidRPr="005270E0">
        <w:t>/</w:t>
      </w:r>
      <w:r w:rsidRPr="005270E0">
        <w:rPr>
          <w:i/>
        </w:rPr>
        <w:t>G</w:t>
      </w:r>
      <w:r w:rsidRPr="005270E0">
        <w:rPr>
          <w:i/>
          <w:vertAlign w:val="subscript"/>
        </w:rPr>
        <w:t>I</w:t>
      </w:r>
      <w:r w:rsidRPr="005270E0">
        <w:rPr>
          <w:i/>
          <w:sz w:val="16"/>
          <w:vertAlign w:val="subscript"/>
        </w:rPr>
        <w:t>AZ</w:t>
      </w:r>
      <w:r w:rsidRPr="005270E0">
        <w:t> = </w:t>
      </w:r>
      <w:r>
        <w:t>38</w:t>
      </w:r>
      <w:r w:rsidRPr="005270E0">
        <w:t xml:space="preserve"> dB, y </w:t>
      </w:r>
      <w:r w:rsidRPr="005270E0">
        <w:rPr>
          <w:i/>
        </w:rPr>
        <w:t>G</w:t>
      </w:r>
      <w:r w:rsidRPr="005270E0">
        <w:rPr>
          <w:i/>
          <w:vertAlign w:val="subscript"/>
        </w:rPr>
        <w:t>N</w:t>
      </w:r>
      <w:r w:rsidRPr="005270E0">
        <w:rPr>
          <w:i/>
          <w:sz w:val="16"/>
          <w:vertAlign w:val="subscript"/>
        </w:rPr>
        <w:t>RNG</w:t>
      </w:r>
      <w:r w:rsidRPr="005270E0">
        <w:t>/</w:t>
      </w:r>
      <w:r w:rsidRPr="005270E0">
        <w:rPr>
          <w:i/>
        </w:rPr>
        <w:t>G</w:t>
      </w:r>
      <w:r w:rsidRPr="005270E0">
        <w:rPr>
          <w:i/>
          <w:vertAlign w:val="subscript"/>
        </w:rPr>
        <w:t>I</w:t>
      </w:r>
      <w:r w:rsidRPr="005270E0">
        <w:rPr>
          <w:i/>
          <w:sz w:val="16"/>
          <w:vertAlign w:val="subscript"/>
        </w:rPr>
        <w:t>RNG</w:t>
      </w:r>
      <w:r w:rsidRPr="005270E0">
        <w:t xml:space="preserve"> = –2,3 dB, por lo que </w:t>
      </w:r>
      <w:r w:rsidRPr="005270E0">
        <w:rPr>
          <w:i/>
          <w:iCs/>
        </w:rPr>
        <w:t>P</w:t>
      </w:r>
      <w:r w:rsidRPr="005270E0">
        <w:rPr>
          <w:i/>
          <w:iCs/>
          <w:vertAlign w:val="subscript"/>
        </w:rPr>
        <w:t>I</w:t>
      </w:r>
      <w:r w:rsidRPr="005270E0">
        <w:t xml:space="preserve"> no debería ser superior a </w:t>
      </w:r>
      <w:r w:rsidR="00006458">
        <w:t>−</w:t>
      </w:r>
      <w:r w:rsidRPr="005270E0">
        <w:t>5</w:t>
      </w:r>
      <w:r>
        <w:t>4</w:t>
      </w:r>
      <w:r w:rsidRPr="005270E0">
        <w:t xml:space="preserve"> dBm. </w:t>
      </w:r>
      <w:r>
        <w:t>Habida cuenta de</w:t>
      </w:r>
      <w:r w:rsidRPr="005270E0">
        <w:t xml:space="preserve"> que la ganancia de procesamiento </w:t>
      </w:r>
      <w:r>
        <w:t>en</w:t>
      </w:r>
      <w:r w:rsidRPr="005270E0">
        <w:t xml:space="preserve"> alcance de la señal es de 44 dB, y el valor de la ganancia de procesamiento </w:t>
      </w:r>
      <w:r>
        <w:t>en acimut</w:t>
      </w:r>
      <w:r w:rsidRPr="005270E0">
        <w:t xml:space="preserve"> es el doble que el de ruido, la potencia de entrada de la señal mínima deseada puede </w:t>
      </w:r>
      <w:r>
        <w:t xml:space="preserve">establecerse en </w:t>
      </w:r>
      <w:r w:rsidR="00006458">
        <w:t>−</w:t>
      </w:r>
      <w:r w:rsidRPr="005270E0">
        <w:t>165,7 dBm</w:t>
      </w:r>
      <w:r>
        <w:t xml:space="preserve">. </w:t>
      </w:r>
      <w:r w:rsidRPr="005270E0">
        <w:t xml:space="preserve">En el Cuadro 5 se </w:t>
      </w:r>
      <w:r>
        <w:t>detallan los resultados</w:t>
      </w:r>
      <w:r w:rsidRPr="005270E0">
        <w:t xml:space="preserve"> </w:t>
      </w:r>
      <w:r>
        <w:t>correspondientes a los valores de la</w:t>
      </w:r>
      <w:r w:rsidRPr="005270E0">
        <w:t xml:space="preserve">s ganancias del procesador para el ruido, la señal mínima deseada del eco de retorno (SNR = 0 dB), y la señal interferente </w:t>
      </w:r>
      <w:r>
        <w:t xml:space="preserve">admisible máxima </w:t>
      </w:r>
      <w:r w:rsidRPr="005270E0">
        <w:t>para el caso de un SAR a 9,6 GHz que reciba señales interferentes procedentes de un radar a bordo de un vehículo espacial.</w:t>
      </w:r>
    </w:p>
    <w:p w14:paraId="023BA614" w14:textId="77777777" w:rsidR="003510BF" w:rsidRPr="005270E0" w:rsidRDefault="003510BF" w:rsidP="003510BF">
      <w:pPr>
        <w:pStyle w:val="TableNo"/>
        <w:keepLines/>
      </w:pPr>
      <w:r w:rsidRPr="005270E0">
        <w:lastRenderedPageBreak/>
        <w:t>CUADRO 5</w:t>
      </w:r>
    </w:p>
    <w:p w14:paraId="455F071C" w14:textId="36CBDB21" w:rsidR="003510BF" w:rsidRPr="005270E0" w:rsidRDefault="003510BF" w:rsidP="003510BF">
      <w:pPr>
        <w:pStyle w:val="Tabletitle"/>
      </w:pPr>
      <w:r w:rsidRPr="005270E0">
        <w:t>Ganancias de procesamiento en alcance y en acimut para el ruido,</w:t>
      </w:r>
      <w:r w:rsidRPr="005270E0">
        <w:br/>
        <w:t>la señal y la interferencia correspondientes a un SAR a</w:t>
      </w:r>
      <w:r>
        <w:t xml:space="preserve"> 600</w:t>
      </w:r>
      <w:r w:rsidR="004F0C57">
        <w:t> </w:t>
      </w:r>
      <w:r>
        <w:t xml:space="preserve">MHz que funciona </w:t>
      </w:r>
      <w:r w:rsidR="0051697B">
        <w:br/>
      </w:r>
      <w:r>
        <w:t>en modo mapa de bandas a 9,6</w:t>
      </w:r>
      <w:r w:rsidR="004F0C57">
        <w:t> </w:t>
      </w:r>
      <w:r>
        <w:t xml:space="preserve">GHz, con impulso de </w:t>
      </w:r>
      <w:r w:rsidRPr="003510BF">
        <w:t>50 µs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51"/>
        <w:gridCol w:w="1784"/>
        <w:gridCol w:w="1893"/>
        <w:gridCol w:w="1790"/>
        <w:gridCol w:w="1521"/>
      </w:tblGrid>
      <w:tr w:rsidR="003510BF" w:rsidRPr="005270E0" w14:paraId="3E308E36" w14:textId="77777777" w:rsidTr="005B2780">
        <w:trPr>
          <w:trHeight w:val="1165"/>
          <w:jc w:val="center"/>
        </w:trPr>
        <w:tc>
          <w:tcPr>
            <w:tcW w:w="2369" w:type="dxa"/>
            <w:noWrap/>
            <w:tcMar>
              <w:top w:w="15" w:type="dxa"/>
              <w:left w:w="15" w:type="dxa"/>
              <w:bottom w:w="0" w:type="dxa"/>
              <w:right w:w="15" w:type="dxa"/>
            </w:tcMar>
            <w:vAlign w:val="center"/>
          </w:tcPr>
          <w:p w14:paraId="69A09FB4" w14:textId="77777777" w:rsidR="003510BF" w:rsidRPr="005270E0" w:rsidRDefault="003510BF" w:rsidP="00D35E63">
            <w:pPr>
              <w:pStyle w:val="Tablehead"/>
              <w:keepLines/>
              <w:rPr>
                <w:rFonts w:eastAsia="Arial Unicode MS"/>
              </w:rPr>
            </w:pPr>
            <w:r w:rsidRPr="005270E0">
              <w:rPr>
                <w:rFonts w:eastAsia="Arial Unicode MS"/>
              </w:rPr>
              <w:t>Tipo de señal</w:t>
            </w:r>
          </w:p>
        </w:tc>
        <w:tc>
          <w:tcPr>
            <w:tcW w:w="1595" w:type="dxa"/>
            <w:noWrap/>
            <w:tcMar>
              <w:top w:w="15" w:type="dxa"/>
              <w:left w:w="15" w:type="dxa"/>
              <w:bottom w:w="0" w:type="dxa"/>
              <w:right w:w="15" w:type="dxa"/>
            </w:tcMar>
            <w:vAlign w:val="center"/>
          </w:tcPr>
          <w:p w14:paraId="521BA7C3" w14:textId="77777777" w:rsidR="003510BF" w:rsidRPr="005270E0" w:rsidRDefault="003510BF" w:rsidP="00D35E63">
            <w:pPr>
              <w:pStyle w:val="Tablehead"/>
              <w:keepLines/>
              <w:rPr>
                <w:rFonts w:eastAsia="Arial Unicode MS"/>
              </w:rPr>
            </w:pPr>
            <w:r w:rsidRPr="005270E0">
              <w:t>Potencia de</w:t>
            </w:r>
            <w:r w:rsidRPr="005270E0">
              <w:br/>
              <w:t xml:space="preserve">entrada </w:t>
            </w:r>
            <w:r w:rsidRPr="005270E0">
              <w:br/>
              <w:t>(dBm)</w:t>
            </w:r>
          </w:p>
        </w:tc>
        <w:tc>
          <w:tcPr>
            <w:tcW w:w="1692" w:type="dxa"/>
            <w:noWrap/>
            <w:tcMar>
              <w:top w:w="15" w:type="dxa"/>
              <w:left w:w="15" w:type="dxa"/>
              <w:bottom w:w="0" w:type="dxa"/>
              <w:right w:w="15" w:type="dxa"/>
            </w:tcMar>
            <w:vAlign w:val="center"/>
          </w:tcPr>
          <w:p w14:paraId="09FFC8D9" w14:textId="77777777" w:rsidR="003510BF" w:rsidRPr="005270E0" w:rsidRDefault="003510BF" w:rsidP="00D35E63">
            <w:pPr>
              <w:pStyle w:val="Tablehead"/>
              <w:keepLines/>
              <w:rPr>
                <w:rFonts w:eastAsia="Arial Unicode MS"/>
              </w:rPr>
            </w:pPr>
            <w:r w:rsidRPr="005270E0">
              <w:t xml:space="preserve">Ganancia de procesamiento en alcance </w:t>
            </w:r>
            <w:r w:rsidRPr="005270E0">
              <w:br/>
              <w:t>(dB)</w:t>
            </w:r>
          </w:p>
        </w:tc>
        <w:tc>
          <w:tcPr>
            <w:tcW w:w="1600" w:type="dxa"/>
            <w:noWrap/>
            <w:tcMar>
              <w:top w:w="15" w:type="dxa"/>
              <w:left w:w="15" w:type="dxa"/>
              <w:bottom w:w="0" w:type="dxa"/>
              <w:right w:w="15" w:type="dxa"/>
            </w:tcMar>
            <w:vAlign w:val="center"/>
          </w:tcPr>
          <w:p w14:paraId="34C8DA9D" w14:textId="77777777" w:rsidR="003510BF" w:rsidRPr="005270E0" w:rsidRDefault="003510BF" w:rsidP="00D35E63">
            <w:pPr>
              <w:pStyle w:val="Tablehead"/>
              <w:keepLines/>
              <w:rPr>
                <w:rFonts w:eastAsia="Arial Unicode MS"/>
              </w:rPr>
            </w:pPr>
            <w:r w:rsidRPr="005270E0">
              <w:t xml:space="preserve">Ganancia de procesamiento en acimut </w:t>
            </w:r>
            <w:r w:rsidRPr="005270E0">
              <w:br/>
              <w:t>(dB)</w:t>
            </w:r>
          </w:p>
        </w:tc>
        <w:tc>
          <w:tcPr>
            <w:tcW w:w="1360" w:type="dxa"/>
            <w:noWrap/>
            <w:tcMar>
              <w:top w:w="15" w:type="dxa"/>
              <w:left w:w="15" w:type="dxa"/>
              <w:bottom w:w="0" w:type="dxa"/>
              <w:right w:w="15" w:type="dxa"/>
            </w:tcMar>
            <w:vAlign w:val="center"/>
          </w:tcPr>
          <w:p w14:paraId="18779234" w14:textId="77777777" w:rsidR="003510BF" w:rsidRPr="005270E0" w:rsidRDefault="003510BF" w:rsidP="00D35E63">
            <w:pPr>
              <w:pStyle w:val="Tablehead"/>
              <w:keepLines/>
              <w:rPr>
                <w:rFonts w:eastAsia="Arial Unicode MS"/>
              </w:rPr>
            </w:pPr>
            <w:r w:rsidRPr="005270E0">
              <w:t xml:space="preserve">Potencia de salida </w:t>
            </w:r>
            <w:r w:rsidRPr="005270E0">
              <w:br/>
              <w:t>(dBm) </w:t>
            </w:r>
          </w:p>
        </w:tc>
      </w:tr>
      <w:tr w:rsidR="003510BF" w:rsidRPr="005270E0" w14:paraId="6E854578" w14:textId="77777777" w:rsidTr="005B2780">
        <w:trPr>
          <w:trHeight w:val="255"/>
          <w:jc w:val="center"/>
        </w:trPr>
        <w:tc>
          <w:tcPr>
            <w:tcW w:w="2369" w:type="dxa"/>
            <w:noWrap/>
            <w:tcMar>
              <w:top w:w="15" w:type="dxa"/>
              <w:left w:w="15" w:type="dxa"/>
              <w:bottom w:w="0" w:type="dxa"/>
              <w:right w:w="15" w:type="dxa"/>
            </w:tcMar>
          </w:tcPr>
          <w:p w14:paraId="67CC85BB" w14:textId="77777777" w:rsidR="003510BF" w:rsidRPr="005270E0" w:rsidRDefault="003510BF" w:rsidP="00D35E63">
            <w:pPr>
              <w:pStyle w:val="Tabletext"/>
              <w:keepNext/>
              <w:keepLines/>
              <w:ind w:left="113"/>
              <w:jc w:val="left"/>
              <w:rPr>
                <w:rFonts w:eastAsia="Arial Unicode MS"/>
              </w:rPr>
            </w:pPr>
            <w:r w:rsidRPr="005270E0">
              <w:t>Ruido</w:t>
            </w:r>
          </w:p>
        </w:tc>
        <w:tc>
          <w:tcPr>
            <w:tcW w:w="1595" w:type="dxa"/>
            <w:noWrap/>
            <w:tcMar>
              <w:top w:w="15" w:type="dxa"/>
              <w:left w:w="15" w:type="dxa"/>
              <w:bottom w:w="0" w:type="dxa"/>
              <w:right w:w="15" w:type="dxa"/>
            </w:tcMar>
          </w:tcPr>
          <w:p w14:paraId="2C334827" w14:textId="77777777" w:rsidR="003510BF" w:rsidRPr="005270E0" w:rsidRDefault="003510BF" w:rsidP="00D35E63">
            <w:pPr>
              <w:pStyle w:val="Tabletext"/>
              <w:keepNext/>
              <w:keepLines/>
              <w:ind w:right="567"/>
              <w:jc w:val="right"/>
              <w:rPr>
                <w:rFonts w:eastAsia="Arial Unicode MS"/>
              </w:rPr>
            </w:pPr>
            <w:r>
              <w:rPr>
                <w:lang w:val="en-GB"/>
              </w:rPr>
              <w:t>−</w:t>
            </w:r>
            <w:r w:rsidRPr="005055D3">
              <w:rPr>
                <w:color w:val="000000"/>
              </w:rPr>
              <w:t>83,7</w:t>
            </w:r>
          </w:p>
        </w:tc>
        <w:tc>
          <w:tcPr>
            <w:tcW w:w="1692" w:type="dxa"/>
            <w:noWrap/>
            <w:tcMar>
              <w:top w:w="15" w:type="dxa"/>
              <w:left w:w="15" w:type="dxa"/>
              <w:bottom w:w="0" w:type="dxa"/>
              <w:right w:w="15" w:type="dxa"/>
            </w:tcMar>
          </w:tcPr>
          <w:p w14:paraId="4663C540" w14:textId="77777777" w:rsidR="003510BF" w:rsidRPr="005270E0" w:rsidRDefault="003510BF" w:rsidP="00D35E63">
            <w:pPr>
              <w:pStyle w:val="Tabletext"/>
              <w:keepNext/>
              <w:keepLines/>
              <w:ind w:right="624"/>
              <w:jc w:val="right"/>
              <w:rPr>
                <w:rFonts w:eastAsia="Arial Unicode MS"/>
              </w:rPr>
            </w:pPr>
            <w:r w:rsidRPr="005055D3">
              <w:rPr>
                <w:color w:val="000000"/>
              </w:rPr>
              <w:t>0,0</w:t>
            </w:r>
          </w:p>
        </w:tc>
        <w:tc>
          <w:tcPr>
            <w:tcW w:w="1600" w:type="dxa"/>
            <w:noWrap/>
            <w:tcMar>
              <w:top w:w="15" w:type="dxa"/>
              <w:left w:w="15" w:type="dxa"/>
              <w:bottom w:w="0" w:type="dxa"/>
              <w:right w:w="15" w:type="dxa"/>
            </w:tcMar>
          </w:tcPr>
          <w:p w14:paraId="7C931438" w14:textId="77777777" w:rsidR="003510BF" w:rsidRPr="005270E0" w:rsidRDefault="003510BF" w:rsidP="00D35E63">
            <w:pPr>
              <w:pStyle w:val="Tabletext"/>
              <w:keepNext/>
              <w:keepLines/>
              <w:jc w:val="center"/>
              <w:rPr>
                <w:rFonts w:eastAsia="Arial Unicode MS"/>
              </w:rPr>
            </w:pPr>
            <w:r w:rsidRPr="005055D3">
              <w:rPr>
                <w:color w:val="000000"/>
              </w:rPr>
              <w:t>38</w:t>
            </w:r>
          </w:p>
        </w:tc>
        <w:tc>
          <w:tcPr>
            <w:tcW w:w="1360" w:type="dxa"/>
            <w:noWrap/>
            <w:tcMar>
              <w:top w:w="15" w:type="dxa"/>
              <w:left w:w="15" w:type="dxa"/>
              <w:bottom w:w="0" w:type="dxa"/>
              <w:right w:w="15" w:type="dxa"/>
            </w:tcMar>
          </w:tcPr>
          <w:p w14:paraId="317B9EBB" w14:textId="77777777" w:rsidR="003510BF" w:rsidRPr="005270E0" w:rsidRDefault="003510BF" w:rsidP="00D35E63">
            <w:pPr>
              <w:pStyle w:val="Tabletext"/>
              <w:keepNext/>
              <w:keepLines/>
              <w:jc w:val="center"/>
              <w:rPr>
                <w:rFonts w:eastAsia="Arial Unicode MS"/>
              </w:rPr>
            </w:pPr>
            <w:r>
              <w:rPr>
                <w:lang w:val="en-GB"/>
              </w:rPr>
              <w:t>−</w:t>
            </w:r>
            <w:r w:rsidRPr="005055D3">
              <w:rPr>
                <w:color w:val="000000"/>
              </w:rPr>
              <w:t>45,7</w:t>
            </w:r>
          </w:p>
        </w:tc>
      </w:tr>
      <w:tr w:rsidR="003510BF" w:rsidRPr="005270E0" w14:paraId="685466B3" w14:textId="77777777" w:rsidTr="005B2780">
        <w:trPr>
          <w:trHeight w:val="255"/>
          <w:jc w:val="center"/>
        </w:trPr>
        <w:tc>
          <w:tcPr>
            <w:tcW w:w="2369" w:type="dxa"/>
            <w:noWrap/>
            <w:tcMar>
              <w:top w:w="15" w:type="dxa"/>
              <w:left w:w="15" w:type="dxa"/>
              <w:bottom w:w="0" w:type="dxa"/>
              <w:right w:w="15" w:type="dxa"/>
            </w:tcMar>
          </w:tcPr>
          <w:p w14:paraId="09C70F1F" w14:textId="77777777" w:rsidR="003510BF" w:rsidRPr="005270E0" w:rsidRDefault="003510BF" w:rsidP="00D35E63">
            <w:pPr>
              <w:pStyle w:val="Tabletext"/>
              <w:keepNext/>
              <w:keepLines/>
              <w:ind w:left="113"/>
              <w:jc w:val="left"/>
              <w:rPr>
                <w:rFonts w:eastAsia="Arial Unicode MS"/>
              </w:rPr>
            </w:pPr>
            <w:r w:rsidRPr="005270E0">
              <w:t>Señal mínima deseada</w:t>
            </w:r>
          </w:p>
        </w:tc>
        <w:tc>
          <w:tcPr>
            <w:tcW w:w="1595" w:type="dxa"/>
            <w:noWrap/>
            <w:tcMar>
              <w:top w:w="15" w:type="dxa"/>
              <w:left w:w="15" w:type="dxa"/>
              <w:bottom w:w="0" w:type="dxa"/>
              <w:right w:w="15" w:type="dxa"/>
            </w:tcMar>
          </w:tcPr>
          <w:p w14:paraId="349BDBEC" w14:textId="77777777" w:rsidR="003510BF" w:rsidRPr="005270E0" w:rsidRDefault="003510BF" w:rsidP="00D35E63">
            <w:pPr>
              <w:pStyle w:val="Tabletext"/>
              <w:keepNext/>
              <w:keepLines/>
              <w:ind w:right="567"/>
              <w:jc w:val="right"/>
              <w:rPr>
                <w:rFonts w:eastAsia="Arial Unicode MS"/>
              </w:rPr>
            </w:pPr>
            <w:r>
              <w:rPr>
                <w:lang w:val="en-GB"/>
              </w:rPr>
              <w:t>−</w:t>
            </w:r>
            <w:r w:rsidRPr="005055D3">
              <w:rPr>
                <w:color w:val="000000"/>
              </w:rPr>
              <w:t>165,7</w:t>
            </w:r>
          </w:p>
        </w:tc>
        <w:tc>
          <w:tcPr>
            <w:tcW w:w="1692" w:type="dxa"/>
            <w:noWrap/>
            <w:tcMar>
              <w:top w:w="15" w:type="dxa"/>
              <w:left w:w="15" w:type="dxa"/>
              <w:bottom w:w="0" w:type="dxa"/>
              <w:right w:w="15" w:type="dxa"/>
            </w:tcMar>
          </w:tcPr>
          <w:p w14:paraId="5A50C765" w14:textId="77777777" w:rsidR="003510BF" w:rsidRPr="005270E0" w:rsidRDefault="003510BF" w:rsidP="00D35E63">
            <w:pPr>
              <w:pStyle w:val="Tabletext"/>
              <w:keepNext/>
              <w:keepLines/>
              <w:ind w:right="624"/>
              <w:jc w:val="right"/>
              <w:rPr>
                <w:rFonts w:eastAsia="Arial Unicode MS"/>
              </w:rPr>
            </w:pPr>
            <w:r w:rsidRPr="005055D3">
              <w:rPr>
                <w:color w:val="000000"/>
              </w:rPr>
              <w:t>44</w:t>
            </w:r>
          </w:p>
        </w:tc>
        <w:tc>
          <w:tcPr>
            <w:tcW w:w="1600" w:type="dxa"/>
            <w:noWrap/>
            <w:tcMar>
              <w:top w:w="15" w:type="dxa"/>
              <w:left w:w="15" w:type="dxa"/>
              <w:bottom w:w="0" w:type="dxa"/>
              <w:right w:w="15" w:type="dxa"/>
            </w:tcMar>
          </w:tcPr>
          <w:p w14:paraId="67FE65A6" w14:textId="77777777" w:rsidR="003510BF" w:rsidRPr="005270E0" w:rsidRDefault="003510BF" w:rsidP="00D35E63">
            <w:pPr>
              <w:pStyle w:val="Tabletext"/>
              <w:keepNext/>
              <w:keepLines/>
              <w:jc w:val="center"/>
              <w:rPr>
                <w:rFonts w:eastAsia="Arial Unicode MS"/>
              </w:rPr>
            </w:pPr>
            <w:r w:rsidRPr="005055D3">
              <w:rPr>
                <w:color w:val="000000"/>
              </w:rPr>
              <w:t>76</w:t>
            </w:r>
          </w:p>
        </w:tc>
        <w:tc>
          <w:tcPr>
            <w:tcW w:w="1360" w:type="dxa"/>
            <w:noWrap/>
            <w:tcMar>
              <w:top w:w="15" w:type="dxa"/>
              <w:left w:w="15" w:type="dxa"/>
              <w:bottom w:w="0" w:type="dxa"/>
              <w:right w:w="15" w:type="dxa"/>
            </w:tcMar>
          </w:tcPr>
          <w:p w14:paraId="258E8A17" w14:textId="77777777" w:rsidR="003510BF" w:rsidRPr="005270E0" w:rsidRDefault="003510BF" w:rsidP="00D35E63">
            <w:pPr>
              <w:pStyle w:val="Tabletext"/>
              <w:keepNext/>
              <w:keepLines/>
              <w:jc w:val="center"/>
              <w:rPr>
                <w:rFonts w:eastAsia="Arial Unicode MS"/>
              </w:rPr>
            </w:pPr>
            <w:r>
              <w:rPr>
                <w:lang w:val="en-GB"/>
              </w:rPr>
              <w:t>−</w:t>
            </w:r>
            <w:r w:rsidRPr="005055D3">
              <w:rPr>
                <w:color w:val="000000"/>
              </w:rPr>
              <w:t>45,7</w:t>
            </w:r>
          </w:p>
        </w:tc>
      </w:tr>
      <w:tr w:rsidR="003510BF" w:rsidRPr="005270E0" w14:paraId="79795BAE" w14:textId="77777777" w:rsidTr="005B2780">
        <w:trPr>
          <w:trHeight w:val="705"/>
          <w:jc w:val="center"/>
        </w:trPr>
        <w:tc>
          <w:tcPr>
            <w:tcW w:w="2369" w:type="dxa"/>
            <w:noWrap/>
            <w:tcMar>
              <w:top w:w="15" w:type="dxa"/>
              <w:left w:w="15" w:type="dxa"/>
              <w:bottom w:w="0" w:type="dxa"/>
              <w:right w:w="15" w:type="dxa"/>
            </w:tcMar>
          </w:tcPr>
          <w:p w14:paraId="08F4D2C6" w14:textId="77777777" w:rsidR="003510BF" w:rsidRPr="005270E0" w:rsidRDefault="003510BF" w:rsidP="00D35E63">
            <w:pPr>
              <w:pStyle w:val="Tabletext"/>
              <w:keepNext/>
              <w:keepLines/>
              <w:ind w:left="113"/>
              <w:jc w:val="left"/>
              <w:rPr>
                <w:rFonts w:eastAsia="Arial Unicode MS"/>
              </w:rPr>
            </w:pPr>
            <w:r w:rsidRPr="005270E0">
              <w:rPr>
                <w:rFonts w:eastAsia="Arial Unicode MS"/>
              </w:rPr>
              <w:t xml:space="preserve">Máximo nivel aceptable de la señal </w:t>
            </w:r>
            <w:r>
              <w:rPr>
                <w:rFonts w:eastAsia="Arial Unicode MS"/>
              </w:rPr>
              <w:t xml:space="preserve">de radar </w:t>
            </w:r>
            <w:r w:rsidRPr="005270E0">
              <w:rPr>
                <w:rFonts w:eastAsia="Arial Unicode MS"/>
              </w:rPr>
              <w:t>interferente</w:t>
            </w:r>
          </w:p>
        </w:tc>
        <w:tc>
          <w:tcPr>
            <w:tcW w:w="1595" w:type="dxa"/>
            <w:noWrap/>
            <w:tcMar>
              <w:top w:w="15" w:type="dxa"/>
              <w:left w:w="15" w:type="dxa"/>
              <w:bottom w:w="0" w:type="dxa"/>
              <w:right w:w="15" w:type="dxa"/>
            </w:tcMar>
          </w:tcPr>
          <w:p w14:paraId="33469F11" w14:textId="77777777" w:rsidR="003510BF" w:rsidRPr="005270E0" w:rsidRDefault="003510BF" w:rsidP="00023A3E">
            <w:pPr>
              <w:pStyle w:val="Tabletext"/>
              <w:keepNext/>
              <w:keepLines/>
              <w:ind w:left="284" w:right="567"/>
              <w:jc w:val="center"/>
              <w:rPr>
                <w:rFonts w:eastAsia="Arial Unicode MS"/>
              </w:rPr>
            </w:pPr>
            <w:r>
              <w:rPr>
                <w:lang w:val="en-GB"/>
              </w:rPr>
              <w:t>−</w:t>
            </w:r>
            <w:r w:rsidRPr="005055D3">
              <w:rPr>
                <w:color w:val="000000"/>
              </w:rPr>
              <w:t xml:space="preserve">63,5 to </w:t>
            </w:r>
            <w:r>
              <w:rPr>
                <w:lang w:val="en-GB"/>
              </w:rPr>
              <w:t>−</w:t>
            </w:r>
            <w:r w:rsidRPr="005055D3">
              <w:rPr>
                <w:color w:val="000000"/>
              </w:rPr>
              <w:t>54</w:t>
            </w:r>
          </w:p>
        </w:tc>
        <w:tc>
          <w:tcPr>
            <w:tcW w:w="1692" w:type="dxa"/>
            <w:noWrap/>
            <w:tcMar>
              <w:top w:w="15" w:type="dxa"/>
              <w:left w:w="15" w:type="dxa"/>
              <w:bottom w:w="0" w:type="dxa"/>
              <w:right w:w="15" w:type="dxa"/>
            </w:tcMar>
          </w:tcPr>
          <w:p w14:paraId="37511E4D" w14:textId="77777777" w:rsidR="003510BF" w:rsidRPr="005270E0" w:rsidRDefault="003510BF" w:rsidP="00D35E63">
            <w:pPr>
              <w:pStyle w:val="Tabletext"/>
              <w:keepNext/>
              <w:keepLines/>
              <w:ind w:right="624"/>
              <w:jc w:val="right"/>
              <w:rPr>
                <w:rFonts w:eastAsia="Arial Unicode MS"/>
              </w:rPr>
            </w:pPr>
            <w:r w:rsidRPr="005055D3">
              <w:rPr>
                <w:color w:val="000000"/>
              </w:rPr>
              <w:t>2,3</w:t>
            </w:r>
          </w:p>
        </w:tc>
        <w:tc>
          <w:tcPr>
            <w:tcW w:w="1600" w:type="dxa"/>
            <w:noWrap/>
            <w:tcMar>
              <w:top w:w="15" w:type="dxa"/>
              <w:left w:w="15" w:type="dxa"/>
              <w:bottom w:w="0" w:type="dxa"/>
              <w:right w:w="15" w:type="dxa"/>
            </w:tcMar>
          </w:tcPr>
          <w:p w14:paraId="3E04429E" w14:textId="77777777" w:rsidR="003510BF" w:rsidRPr="005270E0" w:rsidRDefault="003510BF" w:rsidP="00D35E63">
            <w:pPr>
              <w:pStyle w:val="Tabletext"/>
              <w:keepNext/>
              <w:keepLines/>
              <w:jc w:val="center"/>
              <w:rPr>
                <w:rFonts w:eastAsia="Arial Unicode MS"/>
              </w:rPr>
            </w:pPr>
            <w:r w:rsidRPr="005055D3">
              <w:rPr>
                <w:color w:val="000000"/>
              </w:rPr>
              <w:t>0,0 to 9,5</w:t>
            </w:r>
          </w:p>
        </w:tc>
        <w:tc>
          <w:tcPr>
            <w:tcW w:w="1360" w:type="dxa"/>
            <w:noWrap/>
            <w:tcMar>
              <w:top w:w="15" w:type="dxa"/>
              <w:left w:w="15" w:type="dxa"/>
              <w:bottom w:w="0" w:type="dxa"/>
              <w:right w:w="15" w:type="dxa"/>
            </w:tcMar>
          </w:tcPr>
          <w:p w14:paraId="447C8EA6" w14:textId="77777777" w:rsidR="003510BF" w:rsidRPr="005270E0" w:rsidRDefault="003510BF" w:rsidP="00D35E63">
            <w:pPr>
              <w:pStyle w:val="Tabletext"/>
              <w:keepNext/>
              <w:keepLines/>
              <w:jc w:val="center"/>
              <w:rPr>
                <w:rFonts w:eastAsia="Arial Unicode MS"/>
              </w:rPr>
            </w:pPr>
            <w:r>
              <w:rPr>
                <w:lang w:val="en-GB"/>
              </w:rPr>
              <w:t>−</w:t>
            </w:r>
            <w:r w:rsidRPr="005055D3">
              <w:rPr>
                <w:color w:val="000000"/>
              </w:rPr>
              <w:t>51,7</w:t>
            </w:r>
          </w:p>
        </w:tc>
      </w:tr>
    </w:tbl>
    <w:p w14:paraId="50CED44C" w14:textId="77777777" w:rsidR="00547A47" w:rsidRDefault="00547A47" w:rsidP="00547A47">
      <w:pPr>
        <w:pStyle w:val="Tablefin"/>
      </w:pPr>
    </w:p>
    <w:p w14:paraId="21367E17" w14:textId="4A144A27" w:rsidR="003510BF" w:rsidRPr="00F47A44" w:rsidRDefault="003510BF" w:rsidP="003510BF">
      <w:pPr>
        <w:pStyle w:val="NormalWeb"/>
        <w:rPr>
          <w:lang w:val="es-ES"/>
        </w:rPr>
      </w:pPr>
      <w:r w:rsidRPr="00F47A44">
        <w:rPr>
          <w:lang w:val="es-ES"/>
        </w:rPr>
        <w:t xml:space="preserve">Cabe señalar que, según la ecuación (2), </w:t>
      </w:r>
      <w:r>
        <w:rPr>
          <w:lang w:val="es-ES"/>
        </w:rPr>
        <w:t>la</w:t>
      </w:r>
      <w:r w:rsidRPr="00F47A44">
        <w:rPr>
          <w:lang w:val="es-ES"/>
        </w:rPr>
        <w:t xml:space="preserve"> ganancia de procesamiento SAR </w:t>
      </w:r>
      <w:r>
        <w:rPr>
          <w:lang w:val="es-ES"/>
        </w:rPr>
        <w:t xml:space="preserve">no repercute </w:t>
      </w:r>
      <w:r w:rsidRPr="00F47A44">
        <w:rPr>
          <w:lang w:val="es-ES"/>
        </w:rPr>
        <w:t xml:space="preserve">en </w:t>
      </w:r>
      <w:r>
        <w:rPr>
          <w:lang w:val="es-ES"/>
        </w:rPr>
        <w:t xml:space="preserve">la </w:t>
      </w:r>
      <w:r w:rsidRPr="00F47A44">
        <w:rPr>
          <w:lang w:val="es-ES"/>
        </w:rPr>
        <w:t xml:space="preserve">interferencia </w:t>
      </w:r>
      <w:r>
        <w:rPr>
          <w:lang w:val="es-ES"/>
        </w:rPr>
        <w:t xml:space="preserve">similar al </w:t>
      </w:r>
      <w:r w:rsidRPr="00F47A44">
        <w:rPr>
          <w:lang w:val="es-ES"/>
        </w:rPr>
        <w:t xml:space="preserve">ruido, </w:t>
      </w:r>
      <w:r>
        <w:rPr>
          <w:lang w:val="es-ES"/>
        </w:rPr>
        <w:t>en particular</w:t>
      </w:r>
      <w:r w:rsidRPr="00F47A44">
        <w:rPr>
          <w:lang w:val="es-ES"/>
        </w:rPr>
        <w:t xml:space="preserve"> la interferencia que </w:t>
      </w:r>
      <w:r>
        <w:rPr>
          <w:lang w:val="es-ES"/>
        </w:rPr>
        <w:t>obedecería</w:t>
      </w:r>
      <w:r w:rsidRPr="00F47A44">
        <w:rPr>
          <w:lang w:val="es-ES"/>
        </w:rPr>
        <w:t xml:space="preserve"> a una </w:t>
      </w:r>
      <w:r>
        <w:rPr>
          <w:lang w:val="es-ES"/>
        </w:rPr>
        <w:t>elevada</w:t>
      </w:r>
      <w:r w:rsidRPr="00F47A44">
        <w:rPr>
          <w:lang w:val="es-ES"/>
        </w:rPr>
        <w:t xml:space="preserve"> densidad de transmisor</w:t>
      </w:r>
      <w:r>
        <w:rPr>
          <w:lang w:val="es-ES"/>
        </w:rPr>
        <w:t>es</w:t>
      </w:r>
      <w:r w:rsidRPr="00F47A44">
        <w:rPr>
          <w:lang w:val="es-ES"/>
        </w:rPr>
        <w:t xml:space="preserve"> de banda ancha en tierra. </w:t>
      </w:r>
      <w:r>
        <w:rPr>
          <w:lang w:val="es-ES"/>
        </w:rPr>
        <w:t>E</w:t>
      </w:r>
      <w:r w:rsidRPr="00F47A44">
        <w:rPr>
          <w:lang w:val="es-ES"/>
        </w:rPr>
        <w:t xml:space="preserve">n este caso </w:t>
      </w:r>
      <w:r w:rsidR="00547A47" w:rsidRPr="00547A47">
        <w:rPr>
          <w:i/>
          <w:lang w:val="es-ES"/>
        </w:rPr>
        <w:t>G</w:t>
      </w:r>
      <w:r w:rsidR="00547A47" w:rsidRPr="00547A47">
        <w:rPr>
          <w:i/>
          <w:vertAlign w:val="subscript"/>
          <w:lang w:val="es-ES"/>
        </w:rPr>
        <w:t>N</w:t>
      </w:r>
      <w:r w:rsidR="00547A47" w:rsidRPr="00547A47">
        <w:rPr>
          <w:i/>
          <w:sz w:val="16"/>
          <w:vertAlign w:val="subscript"/>
          <w:lang w:val="es-ES"/>
        </w:rPr>
        <w:t>AZ</w:t>
      </w:r>
      <w:r w:rsidR="00547A47" w:rsidRPr="00547A47">
        <w:rPr>
          <w:lang w:val="es-ES"/>
        </w:rPr>
        <w:t>/</w:t>
      </w:r>
      <w:r w:rsidR="00547A47" w:rsidRPr="00547A47">
        <w:rPr>
          <w:i/>
          <w:lang w:val="es-ES"/>
        </w:rPr>
        <w:t>G</w:t>
      </w:r>
      <w:r w:rsidR="00547A47" w:rsidRPr="00547A47">
        <w:rPr>
          <w:i/>
          <w:vertAlign w:val="subscript"/>
          <w:lang w:val="es-ES"/>
        </w:rPr>
        <w:t>I</w:t>
      </w:r>
      <w:r w:rsidR="00547A47" w:rsidRPr="00547A47">
        <w:rPr>
          <w:i/>
          <w:sz w:val="16"/>
          <w:vertAlign w:val="subscript"/>
          <w:lang w:val="es-ES"/>
        </w:rPr>
        <w:t>AZ</w:t>
      </w:r>
      <w:r w:rsidR="00547A47" w:rsidRPr="00547A47">
        <w:rPr>
          <w:lang w:val="es-ES"/>
        </w:rPr>
        <w:t xml:space="preserve"> = 0 dB </w:t>
      </w:r>
      <w:r w:rsidR="00547A47">
        <w:rPr>
          <w:lang w:val="es-ES"/>
        </w:rPr>
        <w:t>y</w:t>
      </w:r>
      <w:r w:rsidR="00547A47" w:rsidRPr="00547A47">
        <w:rPr>
          <w:lang w:val="es-ES"/>
        </w:rPr>
        <w:t xml:space="preserve"> </w:t>
      </w:r>
      <w:r w:rsidR="00547A47" w:rsidRPr="00547A47">
        <w:rPr>
          <w:i/>
          <w:lang w:val="es-ES"/>
        </w:rPr>
        <w:t>G</w:t>
      </w:r>
      <w:r w:rsidR="00547A47" w:rsidRPr="00547A47">
        <w:rPr>
          <w:i/>
          <w:vertAlign w:val="subscript"/>
          <w:lang w:val="es-ES"/>
        </w:rPr>
        <w:t>N</w:t>
      </w:r>
      <w:r w:rsidR="00547A47" w:rsidRPr="00547A47">
        <w:rPr>
          <w:i/>
          <w:sz w:val="16"/>
          <w:vertAlign w:val="subscript"/>
          <w:lang w:val="es-ES"/>
        </w:rPr>
        <w:t>RNG</w:t>
      </w:r>
      <w:r w:rsidR="00547A47" w:rsidRPr="00547A47">
        <w:rPr>
          <w:lang w:val="es-ES"/>
        </w:rPr>
        <w:t>/</w:t>
      </w:r>
      <w:r w:rsidR="00547A47" w:rsidRPr="00547A47">
        <w:rPr>
          <w:i/>
          <w:lang w:val="es-ES"/>
        </w:rPr>
        <w:t>G</w:t>
      </w:r>
      <w:r w:rsidR="00547A47" w:rsidRPr="00547A47">
        <w:rPr>
          <w:i/>
          <w:vertAlign w:val="subscript"/>
          <w:lang w:val="es-ES"/>
        </w:rPr>
        <w:t>I</w:t>
      </w:r>
      <w:r w:rsidR="00547A47" w:rsidRPr="00547A47">
        <w:rPr>
          <w:i/>
          <w:sz w:val="16"/>
          <w:vertAlign w:val="subscript"/>
          <w:lang w:val="es-ES"/>
        </w:rPr>
        <w:t>RNG</w:t>
      </w:r>
      <w:r w:rsidR="00547A47" w:rsidRPr="00547A47">
        <w:rPr>
          <w:lang w:val="es-ES"/>
        </w:rPr>
        <w:t xml:space="preserve"> </w:t>
      </w:r>
      <w:r w:rsidRPr="00F47A44">
        <w:rPr>
          <w:lang w:val="es-ES"/>
        </w:rPr>
        <w:t xml:space="preserve">= 0 dB, lo que </w:t>
      </w:r>
      <w:r>
        <w:rPr>
          <w:lang w:val="es-ES"/>
        </w:rPr>
        <w:t>da lugar a un valor de</w:t>
      </w:r>
      <w:r w:rsidRPr="00F47A44">
        <w:rPr>
          <w:i/>
          <w:iCs/>
          <w:lang w:val="es-ES"/>
        </w:rPr>
        <w:t xml:space="preserve"> P</w:t>
      </w:r>
      <w:r w:rsidRPr="00F47A44">
        <w:rPr>
          <w:i/>
          <w:iCs/>
          <w:vertAlign w:val="subscript"/>
          <w:lang w:val="es-ES"/>
        </w:rPr>
        <w:t>I</w:t>
      </w:r>
      <w:r w:rsidRPr="00F47A44">
        <w:rPr>
          <w:lang w:val="es-ES"/>
        </w:rPr>
        <w:t xml:space="preserve"> que no debería superar </w:t>
      </w:r>
      <w:r w:rsidR="00547A47">
        <w:rPr>
          <w:lang w:val="es-ES"/>
        </w:rPr>
        <w:t>−</w:t>
      </w:r>
      <w:r w:rsidRPr="00F47A44">
        <w:rPr>
          <w:lang w:val="es-ES"/>
        </w:rPr>
        <w:t>89,7 dBm.</w:t>
      </w:r>
    </w:p>
    <w:p w14:paraId="428FF38D" w14:textId="77777777" w:rsidR="003510BF" w:rsidRPr="005270E0" w:rsidRDefault="003510BF" w:rsidP="003510BF">
      <w:pPr>
        <w:pStyle w:val="Heading3"/>
        <w:spacing w:before="360"/>
      </w:pPr>
      <w:r w:rsidRPr="005270E0">
        <w:t>5.2.</w:t>
      </w:r>
      <w:r>
        <w:t>4</w:t>
      </w:r>
      <w:r w:rsidRPr="005270E0">
        <w:tab/>
        <w:t xml:space="preserve">Criterios de </w:t>
      </w:r>
      <w:r>
        <w:t>i</w:t>
      </w:r>
      <w:r w:rsidRPr="005270E0">
        <w:t>nterferencia</w:t>
      </w:r>
    </w:p>
    <w:p w14:paraId="277F2EBB" w14:textId="77777777" w:rsidR="003510BF" w:rsidRPr="005270E0" w:rsidRDefault="003510BF" w:rsidP="003510BF">
      <w:r w:rsidRPr="005270E0">
        <w:t xml:space="preserve">Los criterios para determinar una degradación inaceptable de la calidad de funcionamiento en los </w:t>
      </w:r>
      <w:r>
        <w:t>SAR</w:t>
      </w:r>
      <w:r w:rsidRPr="005270E0">
        <w:t xml:space="preserve"> de producción de imágenes o de interferometría topográfica </w:t>
      </w:r>
      <w:r>
        <w:t xml:space="preserve">pueden calcularse mediante el procedimiento que figura en </w:t>
      </w:r>
      <w:r w:rsidRPr="006E4DEE">
        <w:t>§ 5.2.3</w:t>
      </w:r>
      <w:r>
        <w:t>.</w:t>
      </w:r>
    </w:p>
    <w:p w14:paraId="553092D9" w14:textId="77777777" w:rsidR="003510BF" w:rsidRDefault="003510BF" w:rsidP="003510BF">
      <w:r w:rsidRPr="005270E0">
        <w:t>Estos criterios se aplican a fuentes de interferencia con impulsos no FM con duraciones de impulso de 2 μs o menos. Para otras duraciones de impulso los criterios varían en sólo ±0,6 dB.</w:t>
      </w:r>
    </w:p>
    <w:p w14:paraId="437E83A5" w14:textId="77777777" w:rsidR="003510BF" w:rsidRPr="005270E0" w:rsidRDefault="003510BF" w:rsidP="003510BF">
      <w:r w:rsidRPr="006E4DEE">
        <w:t xml:space="preserve">Cabe señalar que para cada SAR, </w:t>
      </w:r>
      <w:r>
        <w:t>los</w:t>
      </w:r>
      <w:r w:rsidRPr="006E4DEE">
        <w:t xml:space="preserve"> criterios de interferencia debe</w:t>
      </w:r>
      <w:r>
        <w:t>n</w:t>
      </w:r>
      <w:r w:rsidRPr="006E4DEE">
        <w:t xml:space="preserve"> </w:t>
      </w:r>
      <w:r>
        <w:t>establecerse</w:t>
      </w:r>
      <w:r w:rsidRPr="006E4DEE">
        <w:t xml:space="preserve"> </w:t>
      </w:r>
      <w:r>
        <w:t>mediante</w:t>
      </w:r>
      <w:r w:rsidRPr="006E4DEE">
        <w:t xml:space="preserve"> las características del sistema de</w:t>
      </w:r>
      <w:r>
        <w:t>l</w:t>
      </w:r>
      <w:r w:rsidRPr="006E4DEE">
        <w:t xml:space="preserve"> SAR</w:t>
      </w:r>
      <w:r>
        <w:t xml:space="preserve"> de que se trate</w:t>
      </w:r>
      <w:r w:rsidRPr="006E4DEE">
        <w:t>.</w:t>
      </w:r>
    </w:p>
    <w:p w14:paraId="678D3199" w14:textId="77777777" w:rsidR="003510BF" w:rsidRPr="005270E0" w:rsidRDefault="003510BF" w:rsidP="003510BF">
      <w:pPr>
        <w:pStyle w:val="Heading3"/>
      </w:pPr>
      <w:r w:rsidRPr="005270E0">
        <w:t>5.2.</w:t>
      </w:r>
      <w:r>
        <w:t>5</w:t>
      </w:r>
      <w:r w:rsidRPr="005270E0">
        <w:tab/>
        <w:t>Criterios de disponibilidad</w:t>
      </w:r>
    </w:p>
    <w:p w14:paraId="2EB4A090" w14:textId="77777777" w:rsidR="003510BF" w:rsidRPr="005270E0" w:rsidRDefault="003510BF" w:rsidP="003510BF">
      <w:r w:rsidRPr="005270E0">
        <w:t xml:space="preserve">En bandas de frecuencias compartidas, la disponibilidad de datos SAR </w:t>
      </w:r>
      <w:r>
        <w:t>debe rebasar el</w:t>
      </w:r>
      <w:r w:rsidRPr="005270E0">
        <w:t xml:space="preserve"> 99% </w:t>
      </w:r>
      <w:r>
        <w:t>para cada emplazamiento de zona de medición escogido</w:t>
      </w:r>
      <w:r w:rsidRPr="005270E0">
        <w:t>.</w:t>
      </w:r>
    </w:p>
    <w:p w14:paraId="62806FF4" w14:textId="77777777" w:rsidR="003510BF" w:rsidRPr="005270E0" w:rsidRDefault="003510BF" w:rsidP="00923BC2">
      <w:pPr>
        <w:pStyle w:val="Heading1"/>
      </w:pPr>
      <w:bookmarkStart w:id="52" w:name="_Toc181637183"/>
      <w:bookmarkStart w:id="53" w:name="_Toc181796513"/>
      <w:r w:rsidRPr="005270E0">
        <w:t>6</w:t>
      </w:r>
      <w:r w:rsidRPr="005270E0">
        <w:tab/>
        <w:t>Radares de perfil de nube</w:t>
      </w:r>
      <w:bookmarkEnd w:id="52"/>
      <w:bookmarkEnd w:id="53"/>
    </w:p>
    <w:p w14:paraId="7453D3F5" w14:textId="77777777" w:rsidR="003510BF" w:rsidRPr="005270E0" w:rsidRDefault="003510BF" w:rsidP="003510BF">
      <w:r w:rsidRPr="005270E0">
        <w:t>Este punto contiene información sobre los criterios de calidad de funcionamiento y de interferencia de los sensores de radar de perfil de nube a bordo de vehículos espaciales en la banda de frecuencias 94,0-94,1 GHz.</w:t>
      </w:r>
    </w:p>
    <w:p w14:paraId="4EF7428F" w14:textId="77777777" w:rsidR="003510BF" w:rsidRPr="005270E0" w:rsidRDefault="003510BF" w:rsidP="003510BF">
      <w:pPr>
        <w:pStyle w:val="Heading2"/>
      </w:pPr>
      <w:bookmarkStart w:id="54" w:name="_Toc181637184"/>
      <w:bookmarkStart w:id="55" w:name="_Toc181796514"/>
      <w:r w:rsidRPr="005270E0">
        <w:t>6.1</w:t>
      </w:r>
      <w:r w:rsidRPr="005270E0">
        <w:tab/>
        <w:t>Criterios de calidad de funcionamiento de los radares de perfil de nube a 94 GHz</w:t>
      </w:r>
      <w:bookmarkEnd w:id="54"/>
      <w:bookmarkEnd w:id="55"/>
      <w:r w:rsidRPr="005270E0">
        <w:t xml:space="preserve"> </w:t>
      </w:r>
    </w:p>
    <w:p w14:paraId="7EC138CB" w14:textId="4F3B9F43" w:rsidR="003510BF" w:rsidRPr="005270E0" w:rsidRDefault="003510BF" w:rsidP="003510BF">
      <w:r w:rsidRPr="005270E0">
        <w:t>El objetivo de una misión de perfilado de nubes a bordo de un vehículo espacial es medir el perfil de reflectividad de todas las nubes dentro del campo de visión con una reflectividad mínima</w:t>
      </w:r>
      <w:r w:rsidR="00023A3E">
        <w:t xml:space="preserve"> </w:t>
      </w:r>
      <w:r w:rsidRPr="005270E0">
        <w:t>de –3</w:t>
      </w:r>
      <w:r>
        <w:t>5</w:t>
      </w:r>
      <w:r w:rsidRPr="005270E0">
        <w:t> dBZ.</w:t>
      </w:r>
    </w:p>
    <w:p w14:paraId="55ACC393" w14:textId="77777777" w:rsidR="003510BF" w:rsidRPr="005270E0" w:rsidRDefault="003510BF" w:rsidP="003510BF">
      <w:pPr>
        <w:pStyle w:val="Heading2"/>
      </w:pPr>
      <w:bookmarkStart w:id="56" w:name="_Toc181637185"/>
      <w:bookmarkStart w:id="57" w:name="_Toc181796515"/>
      <w:r w:rsidRPr="005270E0">
        <w:t>6.2</w:t>
      </w:r>
      <w:r w:rsidRPr="005270E0">
        <w:tab/>
        <w:t>Criterios de interferencia de los radares de perfil de nube</w:t>
      </w:r>
      <w:r>
        <w:t xml:space="preserve"> que funcionan a 94 GHz</w:t>
      </w:r>
      <w:bookmarkEnd w:id="56"/>
      <w:bookmarkEnd w:id="57"/>
    </w:p>
    <w:p w14:paraId="5FD7B3BE" w14:textId="630AEFB9" w:rsidR="003510BF" w:rsidRPr="005270E0" w:rsidRDefault="003510BF" w:rsidP="003510BF">
      <w:r w:rsidRPr="005270E0">
        <w:t xml:space="preserve">La interferencia debería degradar el valor de </w:t>
      </w:r>
      <w:r w:rsidRPr="005270E0">
        <w:rPr>
          <w:i/>
          <w:iCs/>
        </w:rPr>
        <w:t>Z</w:t>
      </w:r>
      <w:r w:rsidRPr="005270E0">
        <w:rPr>
          <w:i/>
          <w:iCs/>
          <w:vertAlign w:val="subscript"/>
        </w:rPr>
        <w:t>mín</w:t>
      </w:r>
      <w:r w:rsidRPr="005270E0">
        <w:t xml:space="preserve"> en menos de un 10% en el 95% de la zona de servicio. La degradación porcentual de </w:t>
      </w:r>
      <w:r w:rsidRPr="005270E0">
        <w:rPr>
          <w:i/>
          <w:iCs/>
        </w:rPr>
        <w:t>Z</w:t>
      </w:r>
      <w:r w:rsidRPr="005270E0">
        <w:rPr>
          <w:i/>
          <w:iCs/>
          <w:vertAlign w:val="subscript"/>
        </w:rPr>
        <w:t>mín</w:t>
      </w:r>
      <w:r w:rsidRPr="005270E0">
        <w:t xml:space="preserve"> corresponde a una relación interferencia/ruido de </w:t>
      </w:r>
      <w:r>
        <w:t>-</w:t>
      </w:r>
      <w:r w:rsidRPr="005270E0">
        <w:t>10 dB. Este criterio de interferencia corresponde a un nivel de potencia interferente de –1</w:t>
      </w:r>
      <w:r>
        <w:t>60</w:t>
      </w:r>
      <w:r w:rsidRPr="005270E0">
        <w:t xml:space="preserve"> dBW por encima </w:t>
      </w:r>
      <w:r w:rsidRPr="005270E0">
        <w:lastRenderedPageBreak/>
        <w:t>de 300 kHz.</w:t>
      </w:r>
      <w:r>
        <w:t xml:space="preserve"> </w:t>
      </w:r>
      <w:r w:rsidRPr="006F6590">
        <w:t>Cabe señalar que es difícil analizar la interferencia por su</w:t>
      </w:r>
      <w:r>
        <w:t>s</w:t>
      </w:r>
      <w:r w:rsidRPr="006F6590">
        <w:t xml:space="preserve"> característica</w:t>
      </w:r>
      <w:r>
        <w:t>s</w:t>
      </w:r>
      <w:r w:rsidRPr="006F6590">
        <w:t xml:space="preserve"> de dispersión aleatoria </w:t>
      </w:r>
      <w:r>
        <w:t>para</w:t>
      </w:r>
      <w:r w:rsidRPr="006F6590">
        <w:t xml:space="preserve"> todo el </w:t>
      </w:r>
      <w:r>
        <w:t>per</w:t>
      </w:r>
      <w:r w:rsidR="00C7588C">
        <w:t>i</w:t>
      </w:r>
      <w:r>
        <w:t>odo</w:t>
      </w:r>
      <w:r w:rsidRPr="006F6590">
        <w:t xml:space="preserve"> y </w:t>
      </w:r>
      <w:r>
        <w:t>todas las</w:t>
      </w:r>
      <w:r w:rsidRPr="006F6590">
        <w:t xml:space="preserve"> zonas de observación.</w:t>
      </w:r>
    </w:p>
    <w:p w14:paraId="71177BF4" w14:textId="77777777" w:rsidR="003510BF" w:rsidRPr="005270E0" w:rsidRDefault="003510BF" w:rsidP="003510BF">
      <w:pPr>
        <w:pStyle w:val="Heading2"/>
      </w:pPr>
      <w:bookmarkStart w:id="58" w:name="_Toc181637186"/>
      <w:bookmarkStart w:id="59" w:name="_Toc181796516"/>
      <w:r w:rsidRPr="005270E0">
        <w:t>6.3</w:t>
      </w:r>
      <w:r w:rsidRPr="005270E0">
        <w:tab/>
        <w:t>Criterios de disponibilidad de los radares de perfil de nube</w:t>
      </w:r>
      <w:bookmarkEnd w:id="58"/>
      <w:bookmarkEnd w:id="59"/>
    </w:p>
    <w:p w14:paraId="2CFB2A1D" w14:textId="5D29820C" w:rsidR="003510BF" w:rsidRDefault="003510BF" w:rsidP="003510BF">
      <w:r w:rsidRPr="005270E0">
        <w:t xml:space="preserve">En el caso de las señales interferentes aleatorias, la interferencia debería degradar </w:t>
      </w:r>
      <w:r w:rsidRPr="005270E0">
        <w:rPr>
          <w:i/>
          <w:iCs/>
        </w:rPr>
        <w:t>Z</w:t>
      </w:r>
      <w:r w:rsidRPr="005270E0">
        <w:rPr>
          <w:i/>
          <w:iCs/>
          <w:vertAlign w:val="subscript"/>
        </w:rPr>
        <w:t>mín</w:t>
      </w:r>
      <w:r w:rsidRPr="005270E0">
        <w:t xml:space="preserve"> en menos de un 10% en el 95% de la zona de servicio. Si la señal interferente no es aleatoria, ésta debería degradar </w:t>
      </w:r>
      <w:r w:rsidRPr="005270E0">
        <w:rPr>
          <w:i/>
          <w:iCs/>
        </w:rPr>
        <w:t>Z</w:t>
      </w:r>
      <w:r w:rsidRPr="005270E0">
        <w:rPr>
          <w:i/>
          <w:iCs/>
          <w:vertAlign w:val="subscript"/>
        </w:rPr>
        <w:t>mín</w:t>
      </w:r>
      <w:r w:rsidRPr="005270E0">
        <w:t xml:space="preserve"> en menos de un 10% en el 99% de la zona de servicio prevista.</w:t>
      </w:r>
      <w:r w:rsidR="006D5DD3">
        <w:t xml:space="preserve"> Cabe destacar que es difícil analizar la interferencia debido a su caracteristica de dispersión aleatoria a lo largo de todo el tiempo de observación y en todas las áreas.</w:t>
      </w:r>
    </w:p>
    <w:p w14:paraId="3A8B78B8" w14:textId="77777777" w:rsidR="003510BF" w:rsidRPr="006F6590" w:rsidRDefault="003510BF" w:rsidP="004F0C57">
      <w:pPr>
        <w:pStyle w:val="Heading1"/>
      </w:pPr>
      <w:bookmarkStart w:id="60" w:name="_Toc181637187"/>
      <w:bookmarkStart w:id="61" w:name="_Toc181796517"/>
      <w:r w:rsidRPr="006F6590">
        <w:t>7</w:t>
      </w:r>
      <w:r w:rsidRPr="006F6590">
        <w:tab/>
      </w:r>
      <w:r>
        <w:t>Zona</w:t>
      </w:r>
      <w:r w:rsidRPr="006F6590">
        <w:t xml:space="preserve"> de medición de interés para la evaluación de la interferencia sistemática</w:t>
      </w:r>
      <w:bookmarkEnd w:id="60"/>
      <w:bookmarkEnd w:id="61"/>
    </w:p>
    <w:p w14:paraId="13A3110D" w14:textId="77777777" w:rsidR="003510BF" w:rsidRPr="006F6590" w:rsidRDefault="003510BF" w:rsidP="003510BF">
      <w:r>
        <w:t>Con objeto de</w:t>
      </w:r>
      <w:r w:rsidRPr="006F6590">
        <w:t xml:space="preserve"> realizar análisis que </w:t>
      </w:r>
      <w:r>
        <w:t>permitan evaluar</w:t>
      </w:r>
      <w:r w:rsidRPr="006F6590">
        <w:t xml:space="preserve"> la interferencia con respecto a su </w:t>
      </w:r>
      <w:r>
        <w:t>repercusión</w:t>
      </w:r>
      <w:r w:rsidRPr="006F6590">
        <w:t xml:space="preserve"> en los criterios de disponibilidad de datos sistemáticos del sensor activo es necesario </w:t>
      </w:r>
      <w:r>
        <w:t>determinar:</w:t>
      </w:r>
      <w:r w:rsidRPr="006F6590">
        <w:t xml:space="preserve"> 1) las dimensiones </w:t>
      </w:r>
      <w:r>
        <w:t>de la zona</w:t>
      </w:r>
      <w:r w:rsidRPr="006F6590">
        <w:t xml:space="preserve"> de medición</w:t>
      </w:r>
      <w:r>
        <w:t xml:space="preserve">; </w:t>
      </w:r>
      <w:r w:rsidRPr="006F6590">
        <w:t xml:space="preserve">2) la ubicación </w:t>
      </w:r>
      <w:r>
        <w:t>de la zona</w:t>
      </w:r>
      <w:r w:rsidRPr="006F6590">
        <w:t xml:space="preserve"> geográfica que debe tenerse en cuenta en las simulaciones</w:t>
      </w:r>
      <w:r>
        <w:t>;</w:t>
      </w:r>
      <w:r w:rsidRPr="006F6590">
        <w:t xml:space="preserve"> y 3) la forma en que se realiza la medición. </w:t>
      </w:r>
      <w:r>
        <w:t>E</w:t>
      </w:r>
      <w:r w:rsidRPr="006F6590">
        <w:t xml:space="preserve">l tamaño y la ubicación de la zona geográfica que debe tenerse en cuenta en los análisis de </w:t>
      </w:r>
      <w:r>
        <w:t>compartición</w:t>
      </w:r>
      <w:r w:rsidRPr="006F6590">
        <w:t xml:space="preserve"> se ha denominado</w:t>
      </w:r>
      <w:r>
        <w:t>, en su conjunto,</w:t>
      </w:r>
      <w:r w:rsidRPr="006F6590">
        <w:t xml:space="preserve"> «</w:t>
      </w:r>
      <w:r>
        <w:t xml:space="preserve">la </w:t>
      </w:r>
      <w:r w:rsidRPr="006F6590">
        <w:t xml:space="preserve">zona de medición de interés». La forma en que se </w:t>
      </w:r>
      <w:r>
        <w:t>realiza</w:t>
      </w:r>
      <w:r w:rsidRPr="006F6590">
        <w:t xml:space="preserve"> la medición </w:t>
      </w:r>
      <w:r>
        <w:t>viene dada por</w:t>
      </w:r>
      <w:r w:rsidRPr="006F6590">
        <w:t xml:space="preserve"> las características </w:t>
      </w:r>
      <w:r>
        <w:t>operacionales</w:t>
      </w:r>
      <w:r w:rsidRPr="006F6590">
        <w:t xml:space="preserve"> del sensor y el método </w:t>
      </w:r>
      <w:r>
        <w:t>con el que</w:t>
      </w:r>
      <w:r w:rsidRPr="006F6590">
        <w:t xml:space="preserve"> se utilizan los datos del sensor.</w:t>
      </w:r>
    </w:p>
    <w:p w14:paraId="71D1C9E8" w14:textId="77777777" w:rsidR="003510BF" w:rsidRPr="006F6590" w:rsidRDefault="003510BF" w:rsidP="003510BF">
      <w:r w:rsidRPr="006F6590">
        <w:t>En las bandas de frecuencia compartidas, la disponibilidad de</w:t>
      </w:r>
      <w:r>
        <w:t xml:space="preserve"> todos</w:t>
      </w:r>
      <w:r w:rsidRPr="006F6590">
        <w:t xml:space="preserve"> los datos de los sensores, a excepción de los radares de precipitación, debe superar el 95% de todas las ubicaciones de la zona de servicio del sensor </w:t>
      </w:r>
      <w:r>
        <w:t>si</w:t>
      </w:r>
      <w:r w:rsidRPr="006F6590">
        <w:t xml:space="preserve"> la pérdida se produ</w:t>
      </w:r>
      <w:r>
        <w:t>ce</w:t>
      </w:r>
      <w:r w:rsidRPr="006F6590">
        <w:t xml:space="preserve"> de forma aleatoria, y el 99% de todas las ubicaciones </w:t>
      </w:r>
      <w:r>
        <w:t>si</w:t>
      </w:r>
      <w:r w:rsidRPr="006F6590">
        <w:t xml:space="preserve"> la pérdida se produ</w:t>
      </w:r>
      <w:r>
        <w:t>ce</w:t>
      </w:r>
      <w:r w:rsidRPr="006F6590">
        <w:t xml:space="preserve"> de forma sistemática </w:t>
      </w:r>
      <w:r>
        <w:t>en</w:t>
      </w:r>
      <w:r w:rsidRPr="006F6590">
        <w:t xml:space="preserve"> la zona de medición de interés. En el caso de los radares de precipitación, el criterio de disponibilidad de datos</w:t>
      </w:r>
      <w:r>
        <w:t xml:space="preserve"> para los casos</w:t>
      </w:r>
      <w:r w:rsidRPr="006F6590">
        <w:t xml:space="preserve"> aleatori</w:t>
      </w:r>
      <w:r>
        <w:t>o</w:t>
      </w:r>
      <w:r w:rsidRPr="006F6590">
        <w:t xml:space="preserve"> y sistemátic</w:t>
      </w:r>
      <w:r>
        <w:t>o</w:t>
      </w:r>
      <w:r w:rsidRPr="006F6590">
        <w:t xml:space="preserve"> es del 99,8%.</w:t>
      </w:r>
    </w:p>
    <w:p w14:paraId="183BAD3D" w14:textId="77777777" w:rsidR="003510BF" w:rsidRPr="006F6590" w:rsidRDefault="003510BF" w:rsidP="003510BF">
      <w:r w:rsidRPr="006F6590">
        <w:t>En lo que respecta a</w:t>
      </w:r>
      <w:r>
        <w:t xml:space="preserve"> la zona </w:t>
      </w:r>
      <w:r w:rsidRPr="006F6590">
        <w:t xml:space="preserve">de medición de interés, </w:t>
      </w:r>
      <w:r>
        <w:t>toda</w:t>
      </w:r>
      <w:r w:rsidRPr="006F6590">
        <w:t xml:space="preserve"> interferencia sistemática que </w:t>
      </w:r>
      <w:r>
        <w:t>rebase</w:t>
      </w:r>
      <w:r w:rsidRPr="006F6590">
        <w:t xml:space="preserve"> el umbral de interferencia aplicable </w:t>
      </w:r>
      <w:r>
        <w:t>daría lugar a</w:t>
      </w:r>
      <w:r w:rsidRPr="006F6590">
        <w:t xml:space="preserve"> una pérdida de medición </w:t>
      </w:r>
      <w:r>
        <w:t>durante el</w:t>
      </w:r>
      <w:r w:rsidRPr="006F6590">
        <w:t xml:space="preserve"> 100% del tiempo para </w:t>
      </w:r>
      <w:r>
        <w:t>una zona</w:t>
      </w:r>
      <w:r w:rsidRPr="006F6590">
        <w:t xml:space="preserve"> de medición de interés específica.</w:t>
      </w:r>
    </w:p>
    <w:p w14:paraId="4471BCA0" w14:textId="77777777" w:rsidR="003510BF" w:rsidRPr="00C71F3F" w:rsidRDefault="003510BF" w:rsidP="003510BF">
      <w:pPr>
        <w:pStyle w:val="Heading1"/>
      </w:pPr>
      <w:bookmarkStart w:id="62" w:name="_Toc181637188"/>
      <w:bookmarkStart w:id="63" w:name="_Toc181796518"/>
      <w:r w:rsidRPr="00C71F3F">
        <w:t>8</w:t>
      </w:r>
      <w:r w:rsidRPr="00C71F3F">
        <w:tab/>
      </w:r>
      <w:r>
        <w:t>Aspectos relativos a</w:t>
      </w:r>
      <w:r w:rsidRPr="00C71F3F">
        <w:t xml:space="preserve"> la interferencia transitoria por impulsos</w:t>
      </w:r>
      <w:bookmarkEnd w:id="62"/>
      <w:bookmarkEnd w:id="63"/>
    </w:p>
    <w:p w14:paraId="5A5E1A31" w14:textId="77777777" w:rsidR="003510BF" w:rsidRPr="00C71F3F" w:rsidRDefault="003510BF" w:rsidP="00331E9C">
      <w:r w:rsidRPr="00C71F3F">
        <w:t xml:space="preserve">Conviene tener en cuenta que los estudios de compartición y compatibilidad del UIT-R suelen realizarse </w:t>
      </w:r>
      <w:r>
        <w:t>con arreglo a</w:t>
      </w:r>
      <w:r w:rsidRPr="00C71F3F">
        <w:t xml:space="preserve"> la potencia media (promedio) del transmisor interferente</w:t>
      </w:r>
      <w:r>
        <w:t>,</w:t>
      </w:r>
      <w:r w:rsidRPr="00C71F3F">
        <w:t xml:space="preserve"> en lugar </w:t>
      </w:r>
      <w:r>
        <w:t>del valor de cresta de la</w:t>
      </w:r>
      <w:r w:rsidRPr="00C71F3F">
        <w:t xml:space="preserve"> potencia transitoria. En el caso de un sensor activo </w:t>
      </w:r>
      <w:r>
        <w:t>a bordo de un vehículo espacial</w:t>
      </w:r>
      <w:r w:rsidRPr="00C71F3F">
        <w:t xml:space="preserve"> que detecta </w:t>
      </w:r>
      <w:r>
        <w:t>valores de cresta</w:t>
      </w:r>
      <w:r w:rsidRPr="00C71F3F">
        <w:t xml:space="preserve">, </w:t>
      </w:r>
      <w:r>
        <w:t>en particular</w:t>
      </w:r>
      <w:r w:rsidRPr="00C71F3F">
        <w:t xml:space="preserve"> un altímetro, </w:t>
      </w:r>
      <w:r>
        <w:t>la utilización</w:t>
      </w:r>
      <w:r w:rsidRPr="00C71F3F">
        <w:t xml:space="preserve"> de la potencia media del transmisor interferente en lugar d</w:t>
      </w:r>
      <w:r>
        <w:t>el valor de cresta de</w:t>
      </w:r>
      <w:r w:rsidRPr="00C71F3F">
        <w:t xml:space="preserve"> la potencia transitoria subestimará el </w:t>
      </w:r>
      <w:r>
        <w:t>grado</w:t>
      </w:r>
      <w:r w:rsidRPr="00C71F3F">
        <w:t xml:space="preserve"> de interferencia que afecta a las mediciones del sensor que detecta </w:t>
      </w:r>
      <w:r>
        <w:t>valores de cresta</w:t>
      </w:r>
      <w:r w:rsidRPr="00C71F3F">
        <w:t>.</w:t>
      </w:r>
    </w:p>
    <w:p w14:paraId="671FC25C" w14:textId="77777777" w:rsidR="003510BF" w:rsidRPr="00C71F3F" w:rsidRDefault="003510BF" w:rsidP="00AE1331">
      <w:r w:rsidRPr="00C71F3F">
        <w:t xml:space="preserve">Los sensores activos </w:t>
      </w:r>
      <w:r>
        <w:t xml:space="preserve">a bordo de vehículos </w:t>
      </w:r>
      <w:r w:rsidRPr="00C71F3F">
        <w:t xml:space="preserve">espaciales que detectan la potencia media de la señal de retorno no se ven afectados </w:t>
      </w:r>
      <w:r>
        <w:t>de forma adicional</w:t>
      </w:r>
      <w:r w:rsidRPr="00C71F3F">
        <w:t xml:space="preserve"> por las transmisiones transitorias de símbolos de modulación </w:t>
      </w:r>
      <w:r>
        <w:t>de</w:t>
      </w:r>
      <w:r w:rsidRPr="00C71F3F">
        <w:t xml:space="preserve"> potencia superior a la potencia </w:t>
      </w:r>
      <w:r>
        <w:t>promedio</w:t>
      </w:r>
      <w:r w:rsidRPr="00C71F3F">
        <w:t xml:space="preserve"> transmitida. Sin embargo, los sensores que detectan </w:t>
      </w:r>
      <w:r>
        <w:t xml:space="preserve">valores de cresta de la </w:t>
      </w:r>
      <w:r w:rsidRPr="00C71F3F">
        <w:t xml:space="preserve">potencia </w:t>
      </w:r>
      <w:r>
        <w:t>de la</w:t>
      </w:r>
      <w:r w:rsidRPr="00C71F3F">
        <w:t xml:space="preserve"> señal de retorno son sensibles a </w:t>
      </w:r>
      <w:r>
        <w:t>los valores de</w:t>
      </w:r>
      <w:r w:rsidRPr="00C71F3F">
        <w:t xml:space="preserve"> amplitud de transmision</w:t>
      </w:r>
      <w:r>
        <w:t>es</w:t>
      </w:r>
      <w:r w:rsidRPr="00C71F3F">
        <w:t xml:space="preserve"> transitorias </w:t>
      </w:r>
      <w:r>
        <w:t xml:space="preserve">superiores al valor </w:t>
      </w:r>
      <w:r w:rsidRPr="00C71F3F">
        <w:t xml:space="preserve">de la potencia </w:t>
      </w:r>
      <w:r>
        <w:t>promedio</w:t>
      </w:r>
      <w:r w:rsidRPr="00C71F3F">
        <w:t xml:space="preserve"> de una señal interferente.</w:t>
      </w:r>
    </w:p>
    <w:p w14:paraId="4870273A" w14:textId="77777777" w:rsidR="003510BF" w:rsidRPr="00C71F3F" w:rsidRDefault="003510BF" w:rsidP="00331E9C">
      <w:pPr>
        <w:pStyle w:val="Heading2"/>
      </w:pPr>
      <w:bookmarkStart w:id="64" w:name="_Toc181637189"/>
      <w:bookmarkStart w:id="65" w:name="_Toc181796519"/>
      <w:r w:rsidRPr="00C71F3F">
        <w:lastRenderedPageBreak/>
        <w:t>8.1</w:t>
      </w:r>
      <w:r w:rsidRPr="00C71F3F">
        <w:tab/>
        <w:t xml:space="preserve">Determinación del valor de cresta de la potencia transitoria para </w:t>
      </w:r>
      <w:r>
        <w:t>determinados métodos</w:t>
      </w:r>
      <w:r w:rsidRPr="00C71F3F">
        <w:t xml:space="preserve"> de </w:t>
      </w:r>
      <w:r w:rsidRPr="007B6A12">
        <w:t>modulación</w:t>
      </w:r>
      <w:bookmarkEnd w:id="64"/>
      <w:bookmarkEnd w:id="65"/>
    </w:p>
    <w:p w14:paraId="119DB3D1" w14:textId="72181353" w:rsidR="003510BF" w:rsidRPr="00C71F3F" w:rsidRDefault="003510BF" w:rsidP="00AE1331">
      <w:r w:rsidRPr="00C71F3F">
        <w:t xml:space="preserve">La </w:t>
      </w:r>
      <w:r w:rsidR="00AE1331">
        <w:t xml:space="preserve">Fig. </w:t>
      </w:r>
      <w:r w:rsidRPr="00C71F3F">
        <w:t xml:space="preserve">9 muestra los resultados de las mediciones CCDF realizadas </w:t>
      </w:r>
      <w:r>
        <w:t xml:space="preserve">para los valores de cresta de la </w:t>
      </w:r>
      <w:r w:rsidRPr="00C71F3F">
        <w:t>potencia de un transmisor DVB-S2 de portadora única</w:t>
      </w:r>
      <w:r>
        <w:rPr>
          <w:rStyle w:val="FootnoteReference"/>
        </w:rPr>
        <w:footnoteReference w:id="5"/>
      </w:r>
      <w:r>
        <w:t xml:space="preserve"> </w:t>
      </w:r>
      <w:r w:rsidRPr="00C71F3F">
        <w:t xml:space="preserve">con </w:t>
      </w:r>
      <w:r>
        <w:t xml:space="preserve">respecto a </w:t>
      </w:r>
      <w:r w:rsidRPr="00C71F3F">
        <w:t xml:space="preserve">cinco </w:t>
      </w:r>
      <w:r>
        <w:t>métodos</w:t>
      </w:r>
      <w:r w:rsidRPr="00C71F3F">
        <w:t xml:space="preserve"> de modulación </w:t>
      </w:r>
      <w:r>
        <w:t>habituales</w:t>
      </w:r>
      <w:r w:rsidRPr="00C71F3F">
        <w:t xml:space="preserve"> </w:t>
      </w:r>
      <w:r>
        <w:t>al darse</w:t>
      </w:r>
      <w:r w:rsidRPr="00C71F3F">
        <w:t xml:space="preserve"> un flujo de datos generado aleatoriamente. Se </w:t>
      </w:r>
      <w:r>
        <w:t>tuvo en cuenta a tal efecto</w:t>
      </w:r>
      <w:r w:rsidRPr="00C71F3F">
        <w:t xml:space="preserve"> funcionamiento </w:t>
      </w:r>
      <w:r>
        <w:t>con</w:t>
      </w:r>
      <w:r w:rsidRPr="00C71F3F">
        <w:t xml:space="preserve"> transmisión de portadora única.</w:t>
      </w:r>
    </w:p>
    <w:p w14:paraId="6A0800EF" w14:textId="4FA86B11" w:rsidR="003510BF" w:rsidRPr="00C71F3F" w:rsidRDefault="003510BF" w:rsidP="00AE1331">
      <w:r w:rsidRPr="00C71F3F">
        <w:t xml:space="preserve">Se utilizó un filtrado </w:t>
      </w:r>
      <w:r>
        <w:t>con forma de impulso</w:t>
      </w:r>
      <w:r w:rsidRPr="00C71F3F">
        <w:t xml:space="preserve"> </w:t>
      </w:r>
      <w:r>
        <w:t>para</w:t>
      </w:r>
      <w:r w:rsidRPr="00C71F3F">
        <w:t xml:space="preserve"> la transmisión. Los componentes no lineales y el funcionamiento </w:t>
      </w:r>
      <w:r>
        <w:t>con varias portadoras</w:t>
      </w:r>
      <w:r w:rsidRPr="00C71F3F">
        <w:t xml:space="preserve"> no se incluyeron en </w:t>
      </w:r>
      <w:r>
        <w:t>el análisis</w:t>
      </w:r>
      <w:r w:rsidRPr="00C71F3F">
        <w:t xml:space="preserve">. Como </w:t>
      </w:r>
      <w:r>
        <w:t>cabe</w:t>
      </w:r>
      <w:r w:rsidRPr="00C71F3F">
        <w:t xml:space="preserve"> esperar, </w:t>
      </w:r>
      <w:r>
        <w:t xml:space="preserve">durante </w:t>
      </w:r>
      <w:r w:rsidRPr="00C71F3F">
        <w:t>el 50% d</w:t>
      </w:r>
      <w:r>
        <w:t>el tiempo el valor de cresta de la</w:t>
      </w:r>
      <w:r w:rsidRPr="00C71F3F">
        <w:t xml:space="preserve"> potencia </w:t>
      </w:r>
      <w:r>
        <w:t>es</w:t>
      </w:r>
      <w:r w:rsidRPr="00C71F3F">
        <w:t xml:space="preserve"> 0 dB superior a la potencia </w:t>
      </w:r>
      <w:r>
        <w:t xml:space="preserve">promedio. No obstante, para </w:t>
      </w:r>
      <w:r w:rsidRPr="00C71F3F">
        <w:t xml:space="preserve">el 1% </w:t>
      </w:r>
      <w:r>
        <w:t>del tiempo</w:t>
      </w:r>
      <w:r w:rsidRPr="00C71F3F">
        <w:t xml:space="preserve">, cuatro de los cinco </w:t>
      </w:r>
      <w:r>
        <w:t>métodos</w:t>
      </w:r>
      <w:r w:rsidRPr="00C71F3F">
        <w:t xml:space="preserve"> de modulación </w:t>
      </w:r>
      <w:r>
        <w:t>presentan valores de cresta</w:t>
      </w:r>
      <w:r w:rsidRPr="00C71F3F">
        <w:t xml:space="preserve"> de potencia 4 dB superiores </w:t>
      </w:r>
      <w:r>
        <w:t>al valor promedio</w:t>
      </w:r>
      <w:r w:rsidRPr="00C71F3F">
        <w:t xml:space="preserve">. </w:t>
      </w:r>
      <w:r>
        <w:t>El valor de cresta de la</w:t>
      </w:r>
      <w:r w:rsidRPr="00C71F3F">
        <w:t xml:space="preserve"> potencia de</w:t>
      </w:r>
      <w:r>
        <w:t xml:space="preserve"> </w:t>
      </w:r>
      <w:r w:rsidRPr="00C71F3F">
        <w:t>impulso</w:t>
      </w:r>
      <w:r>
        <w:t>s</w:t>
      </w:r>
      <w:r w:rsidRPr="00C71F3F">
        <w:t xml:space="preserve"> </w:t>
      </w:r>
      <w:r>
        <w:t xml:space="preserve">es superior al valor medio en más de 5 dB </w:t>
      </w:r>
      <w:r w:rsidRPr="00C71F3F">
        <w:t xml:space="preserve">para todos los </w:t>
      </w:r>
      <w:r>
        <w:t>métodos</w:t>
      </w:r>
      <w:r w:rsidRPr="00C71F3F">
        <w:t xml:space="preserve"> de modulación </w:t>
      </w:r>
      <w:r>
        <w:t>habituales</w:t>
      </w:r>
      <w:r w:rsidRPr="00C71F3F">
        <w:t xml:space="preserve"> </w:t>
      </w:r>
      <w:r>
        <w:t>que se muestran</w:t>
      </w:r>
      <w:r w:rsidRPr="00C71F3F">
        <w:t xml:space="preserve"> en la </w:t>
      </w:r>
      <w:r w:rsidR="00AE1331">
        <w:t xml:space="preserve">Fig. </w:t>
      </w:r>
      <w:r w:rsidRPr="00C71F3F">
        <w:t xml:space="preserve">9 y </w:t>
      </w:r>
      <w:r>
        <w:t>el valor de cresta de la</w:t>
      </w:r>
      <w:r w:rsidRPr="00C71F3F">
        <w:t xml:space="preserve"> potencia de</w:t>
      </w:r>
      <w:r>
        <w:t xml:space="preserve"> </w:t>
      </w:r>
      <w:r w:rsidRPr="00C71F3F">
        <w:t>impulso</w:t>
      </w:r>
      <w:r>
        <w:t xml:space="preserve">s </w:t>
      </w:r>
      <w:r w:rsidRPr="00C71F3F">
        <w:t xml:space="preserve">es superior </w:t>
      </w:r>
      <w:r>
        <w:t>al valor de</w:t>
      </w:r>
      <w:r w:rsidRPr="00C71F3F">
        <w:t xml:space="preserve"> potencia medi</w:t>
      </w:r>
      <w:r>
        <w:t>o</w:t>
      </w:r>
      <w:r w:rsidRPr="00C71F3F">
        <w:t xml:space="preserve"> </w:t>
      </w:r>
      <w:r>
        <w:t xml:space="preserve">en más de 7 dB </w:t>
      </w:r>
      <w:r w:rsidRPr="00C71F3F">
        <w:t xml:space="preserve">para </w:t>
      </w:r>
      <w:r>
        <w:t>MDAP-</w:t>
      </w:r>
      <w:r w:rsidRPr="00C71F3F">
        <w:t xml:space="preserve">32 y </w:t>
      </w:r>
      <w:r>
        <w:t>MAQ-</w:t>
      </w:r>
      <w:r w:rsidRPr="00C71F3F">
        <w:t xml:space="preserve">16. A </w:t>
      </w:r>
      <w:r>
        <w:t>título</w:t>
      </w:r>
      <w:r w:rsidRPr="00C71F3F">
        <w:t xml:space="preserve"> de ejemplo, </w:t>
      </w:r>
      <w:r>
        <w:t xml:space="preserve">en el Cuadro </w:t>
      </w:r>
      <w:r w:rsidRPr="00C71F3F">
        <w:t xml:space="preserve">6 </w:t>
      </w:r>
      <w:r>
        <w:t xml:space="preserve">se enumeran los valores de cresta de </w:t>
      </w:r>
      <w:r w:rsidRPr="00C71F3F">
        <w:t xml:space="preserve">potencia </w:t>
      </w:r>
      <w:r>
        <w:t>para</w:t>
      </w:r>
      <w:r w:rsidRPr="00C71F3F">
        <w:t xml:space="preserve"> los </w:t>
      </w:r>
      <w:r>
        <w:t>métodos</w:t>
      </w:r>
      <w:r w:rsidRPr="00C71F3F">
        <w:t xml:space="preserve"> de modulación </w:t>
      </w:r>
      <w:r>
        <w:t>correspondientes a</w:t>
      </w:r>
      <w:r w:rsidRPr="00C71F3F">
        <w:t xml:space="preserve"> los niveles del 10</w:t>
      </w:r>
      <w:r>
        <w:t xml:space="preserve">%, </w:t>
      </w:r>
      <w:r w:rsidRPr="00C71F3F">
        <w:t xml:space="preserve">1%, 0,1% y 0,01% del tiempo </w:t>
      </w:r>
      <w:r>
        <w:t>con respecto a los valores de anchura</w:t>
      </w:r>
      <w:r w:rsidRPr="00C71F3F">
        <w:t xml:space="preserve"> de banda. </w:t>
      </w:r>
      <w:r>
        <w:t xml:space="preserve">En dicho Cuadro </w:t>
      </w:r>
      <w:r w:rsidRPr="00C71F3F">
        <w:t xml:space="preserve">también </w:t>
      </w:r>
      <w:r>
        <w:t xml:space="preserve">se </w:t>
      </w:r>
      <w:r w:rsidRPr="00C71F3F">
        <w:t xml:space="preserve">proporciona para cada </w:t>
      </w:r>
      <w:r>
        <w:t>valor de anchura</w:t>
      </w:r>
      <w:r w:rsidRPr="00C71F3F">
        <w:t xml:space="preserve"> de banda el número de símbolos por segundo que </w:t>
      </w:r>
      <w:r>
        <w:t>tendrían lugar</w:t>
      </w:r>
      <w:r w:rsidRPr="00C71F3F">
        <w:t xml:space="preserve"> </w:t>
      </w:r>
      <w:r>
        <w:t xml:space="preserve">para esos valores </w:t>
      </w:r>
      <w:r w:rsidRPr="00C71F3F">
        <w:t xml:space="preserve">de potencia </w:t>
      </w:r>
      <w:r>
        <w:t>de cresta</w:t>
      </w:r>
      <w:r w:rsidRPr="00C71F3F">
        <w:t xml:space="preserve"> </w:t>
      </w:r>
      <w:r>
        <w:t>y</w:t>
      </w:r>
      <w:r w:rsidRPr="00C71F3F">
        <w:t xml:space="preserve"> </w:t>
      </w:r>
      <w:r>
        <w:t xml:space="preserve">los </w:t>
      </w:r>
      <w:r w:rsidRPr="00C71F3F">
        <w:t>niveles de porcentaje de tiempo.</w:t>
      </w:r>
    </w:p>
    <w:p w14:paraId="5018D0E0" w14:textId="65B3F101" w:rsidR="003510BF" w:rsidRPr="00C71F3F" w:rsidRDefault="003510BF" w:rsidP="00AE1331">
      <w:r w:rsidRPr="005055D3">
        <w:rPr>
          <w:color w:val="000000"/>
        </w:rPr>
        <w:t>Considérese a título de ejemplo un altímetro que funciona en</w:t>
      </w:r>
      <w:r w:rsidRPr="00C71F3F">
        <w:t xml:space="preserve"> la banda 13,4-13,75 GHz </w:t>
      </w:r>
      <w:r>
        <w:t>con muestreo de alrededor de</w:t>
      </w:r>
      <w:r w:rsidRPr="00C71F3F">
        <w:t xml:space="preserve"> 2</w:t>
      </w:r>
      <w:r w:rsidR="00F605D3">
        <w:t> </w:t>
      </w:r>
      <w:r w:rsidRPr="00C71F3F">
        <w:t xml:space="preserve">000 ecos de radar por segundo </w:t>
      </w:r>
      <w:r>
        <w:t>sobre la base de unas</w:t>
      </w:r>
      <w:r w:rsidRPr="00C71F3F">
        <w:t xml:space="preserve"> 2</w:t>
      </w:r>
      <w:r w:rsidR="00BA487F">
        <w:t> </w:t>
      </w:r>
      <w:r w:rsidRPr="00C71F3F">
        <w:t xml:space="preserve">000 </w:t>
      </w:r>
      <w:r>
        <w:t>fluctuaciones</w:t>
      </w:r>
      <w:r w:rsidRPr="00C71F3F">
        <w:t xml:space="preserve">. El altímetro detecta la potencia </w:t>
      </w:r>
      <w:r>
        <w:t>de cresta</w:t>
      </w:r>
      <w:r w:rsidRPr="00C71F3F">
        <w:t xml:space="preserve"> devuelta. </w:t>
      </w:r>
      <w:r>
        <w:t>En el Cuadro</w:t>
      </w:r>
      <w:r w:rsidRPr="00C71F3F">
        <w:t xml:space="preserve"> 6 </w:t>
      </w:r>
      <w:r>
        <w:t xml:space="preserve">se </w:t>
      </w:r>
      <w:r w:rsidRPr="00C71F3F">
        <w:t xml:space="preserve">muestra el número de símbolos/s </w:t>
      </w:r>
      <w:r>
        <w:t>con respecto</w:t>
      </w:r>
      <w:r w:rsidRPr="00C71F3F">
        <w:t xml:space="preserve"> a la potencia </w:t>
      </w:r>
      <w:r>
        <w:t>de cresta</w:t>
      </w:r>
      <w:r w:rsidRPr="00C71F3F">
        <w:t xml:space="preserve"> por encima </w:t>
      </w:r>
      <w:r>
        <w:t>del valor medio</w:t>
      </w:r>
      <w:r w:rsidRPr="00C71F3F">
        <w:t xml:space="preserve"> esperad</w:t>
      </w:r>
      <w:r>
        <w:t>o</w:t>
      </w:r>
      <w:r w:rsidRPr="00C71F3F">
        <w:t xml:space="preserve"> para varias modulaciones y velocidades binarias de transmisión. La zona resaltada en amarillo en </w:t>
      </w:r>
      <w:r>
        <w:t xml:space="preserve">el </w:t>
      </w:r>
      <w:r w:rsidR="00AE1331">
        <w:t>C</w:t>
      </w:r>
      <w:r>
        <w:t>uadro</w:t>
      </w:r>
      <w:r w:rsidRPr="00C71F3F">
        <w:t xml:space="preserve"> 6 indica </w:t>
      </w:r>
      <w:r>
        <w:t>los casos en que el índice</w:t>
      </w:r>
      <w:r w:rsidRPr="00C71F3F">
        <w:t xml:space="preserve"> de símbolos por segundo de la modulación de transmisión supera </w:t>
      </w:r>
      <w:r>
        <w:t>el índice</w:t>
      </w:r>
      <w:r w:rsidRPr="00C71F3F">
        <w:t xml:space="preserve"> de muestreo del altímetro. </w:t>
      </w:r>
      <w:r>
        <w:t>Al examinar los datos resaltados se deduce</w:t>
      </w:r>
      <w:r w:rsidRPr="00C71F3F">
        <w:t xml:space="preserve"> que, </w:t>
      </w:r>
      <w:r>
        <w:t>si se tiene en cuenta</w:t>
      </w:r>
      <w:r w:rsidRPr="00C71F3F">
        <w:t xml:space="preserve"> el efecto de la potencia de </w:t>
      </w:r>
      <w:r>
        <w:t>cresta</w:t>
      </w:r>
      <w:r w:rsidRPr="00C71F3F">
        <w:t xml:space="preserve"> transitoria</w:t>
      </w:r>
      <w:r w:rsidRPr="007812A3">
        <w:t xml:space="preserve"> </w:t>
      </w:r>
      <w:r w:rsidRPr="00C71F3F">
        <w:t>de</w:t>
      </w:r>
      <w:r>
        <w:t xml:space="preserve"> los</w:t>
      </w:r>
      <w:r w:rsidRPr="00C71F3F">
        <w:t xml:space="preserve"> impulso</w:t>
      </w:r>
      <w:r>
        <w:t>s</w:t>
      </w:r>
      <w:r w:rsidRPr="00C71F3F">
        <w:t xml:space="preserve">, </w:t>
      </w:r>
      <w:r>
        <w:t>cabe aplicar</w:t>
      </w:r>
      <w:r w:rsidRPr="00C71F3F">
        <w:t xml:space="preserve"> un valor mínimo adicional de potencia de transmisión de interferencia por encima de</w:t>
      </w:r>
      <w:r>
        <w:t>l valor medio</w:t>
      </w:r>
      <w:r w:rsidRPr="00C71F3F">
        <w:t>.</w:t>
      </w:r>
    </w:p>
    <w:p w14:paraId="63120B79" w14:textId="0BC86D57" w:rsidR="003510BF" w:rsidRPr="00C71F3F" w:rsidRDefault="003510BF" w:rsidP="00331E9C">
      <w:r>
        <w:t>Ese</w:t>
      </w:r>
      <w:r w:rsidRPr="00C71F3F">
        <w:t xml:space="preserve"> examen </w:t>
      </w:r>
      <w:r>
        <w:t>de los efectos</w:t>
      </w:r>
      <w:r w:rsidRPr="00C71F3F">
        <w:t xml:space="preserve"> de la potencia de </w:t>
      </w:r>
      <w:r>
        <w:t>cresta</w:t>
      </w:r>
      <w:r w:rsidRPr="00C71F3F">
        <w:t xml:space="preserve"> en el sensor detector de </w:t>
      </w:r>
      <w:r>
        <w:t>valores de cresta</w:t>
      </w:r>
      <w:r w:rsidRPr="00C71F3F">
        <w:t xml:space="preserve"> del altímetro fue </w:t>
      </w:r>
      <w:r>
        <w:t>restrictivo en cuanto a la</w:t>
      </w:r>
      <w:r w:rsidRPr="00C71F3F">
        <w:t xml:space="preserve"> estimación de la potencia adicional que debe tenerse en cuenta en los estudios de interferencias. Como se </w:t>
      </w:r>
      <w:r>
        <w:t>señala</w:t>
      </w:r>
      <w:r w:rsidRPr="00C71F3F">
        <w:t xml:space="preserve"> en la </w:t>
      </w:r>
      <w:r w:rsidR="00AE1331">
        <w:t>Fig.</w:t>
      </w:r>
      <w:r w:rsidRPr="00C71F3F">
        <w:t xml:space="preserve"> 9, los </w:t>
      </w:r>
      <w:r>
        <w:t>valores de cresta</w:t>
      </w:r>
      <w:r w:rsidRPr="00C71F3F">
        <w:t xml:space="preserve"> </w:t>
      </w:r>
      <w:r>
        <w:t>relativos a los</w:t>
      </w:r>
      <w:r w:rsidRPr="00C71F3F">
        <w:t xml:space="preserve"> símbolos de mayor potencia se producen </w:t>
      </w:r>
      <w:r>
        <w:t>para índices de frecuencia</w:t>
      </w:r>
      <w:r w:rsidRPr="00C71F3F">
        <w:t xml:space="preserve"> inferiores </w:t>
      </w:r>
      <w:r>
        <w:t xml:space="preserve">al índice de impulsos </w:t>
      </w:r>
      <w:r w:rsidRPr="00C71F3F">
        <w:t>del altímetro de</w:t>
      </w:r>
      <w:r>
        <w:t>l</w:t>
      </w:r>
      <w:r w:rsidRPr="00C71F3F">
        <w:t xml:space="preserve"> ejemplo, </w:t>
      </w:r>
      <w:r>
        <w:t xml:space="preserve">a saber, </w:t>
      </w:r>
      <w:r w:rsidRPr="00C71F3F">
        <w:t>de unos 2</w:t>
      </w:r>
      <w:r w:rsidR="00BA487F">
        <w:t> </w:t>
      </w:r>
      <w:r w:rsidRPr="00C71F3F">
        <w:t>000/segundo.</w:t>
      </w:r>
    </w:p>
    <w:p w14:paraId="464F0297" w14:textId="77777777" w:rsidR="003510BF" w:rsidRPr="00C71F3F" w:rsidRDefault="003510BF" w:rsidP="00AE1331">
      <w:r w:rsidRPr="00C71F3F">
        <w:t>Esos símbolos de mayor potencia también serán detectados por el sensor del altímetro</w:t>
      </w:r>
      <w:r>
        <w:t>; no obstante, habida cuenta de que esos</w:t>
      </w:r>
      <w:r w:rsidRPr="00C71F3F">
        <w:t xml:space="preserve"> símbolos de mayor potencia </w:t>
      </w:r>
      <w:r>
        <w:t>tiene lugar para</w:t>
      </w:r>
      <w:r w:rsidRPr="00C71F3F">
        <w:t xml:space="preserve"> una frecuencia inferior a la </w:t>
      </w:r>
      <w:r>
        <w:t>velocidad</w:t>
      </w:r>
      <w:r w:rsidRPr="00C71F3F">
        <w:t xml:space="preserve"> de muestreo, no afectarán a todas las muestras del altímetro. Un estudio más detallado podría proporcionar un método para tener plenamente en cuenta </w:t>
      </w:r>
      <w:r>
        <w:t>los efectos</w:t>
      </w:r>
      <w:r w:rsidRPr="00C71F3F">
        <w:t xml:space="preserve"> de todos los símbolos de mayor potencia en la degradación de las muestras de medición tomadas por los sensores detectores de </w:t>
      </w:r>
      <w:r>
        <w:t>valores de cresta</w:t>
      </w:r>
      <w:r w:rsidRPr="00C71F3F">
        <w:t>.</w:t>
      </w:r>
    </w:p>
    <w:p w14:paraId="60232854" w14:textId="0C4B0565" w:rsidR="003510BF" w:rsidRPr="007812A3" w:rsidRDefault="003510BF" w:rsidP="00AE1331">
      <w:r>
        <w:t xml:space="preserve">En la </w:t>
      </w:r>
      <w:r w:rsidR="00AE1331">
        <w:t xml:space="preserve">Fig. </w:t>
      </w:r>
      <w:r w:rsidRPr="00C71F3F">
        <w:t xml:space="preserve">9 y </w:t>
      </w:r>
      <w:r>
        <w:t xml:space="preserve">el Cuadro </w:t>
      </w:r>
      <w:r w:rsidRPr="00C71F3F">
        <w:t>6</w:t>
      </w:r>
      <w:r>
        <w:t xml:space="preserve"> se</w:t>
      </w:r>
      <w:r w:rsidRPr="00C71F3F">
        <w:t xml:space="preserve"> proporcionan los resultados </w:t>
      </w:r>
      <w:r>
        <w:t>de</w:t>
      </w:r>
      <w:r w:rsidRPr="00C71F3F">
        <w:t xml:space="preserve"> potencia</w:t>
      </w:r>
      <w:r>
        <w:t xml:space="preserve"> de cresta y </w:t>
      </w:r>
      <w:r w:rsidRPr="00C71F3F">
        <w:t xml:space="preserve">porcentaje de tiempo de las modulaciones </w:t>
      </w:r>
      <w:r>
        <w:t>si</w:t>
      </w:r>
      <w:r w:rsidRPr="00C71F3F">
        <w:t xml:space="preserve"> se considera transmisión </w:t>
      </w:r>
      <w:r>
        <w:t>mediante</w:t>
      </w:r>
      <w:r w:rsidRPr="00C71F3F">
        <w:t xml:space="preserve"> portadora </w:t>
      </w:r>
      <w:r>
        <w:t>única</w:t>
      </w:r>
      <w:r w:rsidRPr="00C71F3F">
        <w:t xml:space="preserve"> </w:t>
      </w:r>
      <w:r>
        <w:t>con funcionamiento</w:t>
      </w:r>
      <w:r w:rsidRPr="00C71F3F">
        <w:t xml:space="preserve"> de estación terrena </w:t>
      </w:r>
      <w:r>
        <w:t xml:space="preserve">del </w:t>
      </w:r>
      <w:r w:rsidRPr="00C71F3F">
        <w:t xml:space="preserve">SFS. </w:t>
      </w:r>
      <w:r>
        <w:t>Si</w:t>
      </w:r>
      <w:r w:rsidRPr="00C71F3F">
        <w:t xml:space="preserve"> una estación transmisora emplea </w:t>
      </w:r>
      <w:r>
        <w:t>varias</w:t>
      </w:r>
      <w:r w:rsidRPr="00C71F3F">
        <w:t xml:space="preserve"> portadoras </w:t>
      </w:r>
      <w:r>
        <w:t>para transmitir</w:t>
      </w:r>
      <w:r w:rsidRPr="00C71F3F">
        <w:t xml:space="preserve"> (funcionamiento </w:t>
      </w:r>
      <w:r>
        <w:t>con varias portadoras</w:t>
      </w:r>
      <w:r w:rsidRPr="00C71F3F">
        <w:t xml:space="preserve">), la interacción entre </w:t>
      </w:r>
      <w:r>
        <w:t>esas</w:t>
      </w:r>
      <w:r w:rsidRPr="00C71F3F">
        <w:t xml:space="preserve"> portadoras </w:t>
      </w:r>
      <w:r>
        <w:t>para la</w:t>
      </w:r>
      <w:r w:rsidRPr="00C71F3F">
        <w:t xml:space="preserve"> mism</w:t>
      </w:r>
      <w:r>
        <w:t>a achura de</w:t>
      </w:r>
      <w:r w:rsidRPr="00C71F3F">
        <w:t xml:space="preserve"> banda filtrad</w:t>
      </w:r>
      <w:r>
        <w:t>a</w:t>
      </w:r>
      <w:r w:rsidRPr="00C71F3F">
        <w:t xml:space="preserve"> del transmisor aumentará la potencia </w:t>
      </w:r>
      <w:r>
        <w:t>de cresta</w:t>
      </w:r>
      <w:r w:rsidRPr="00C71F3F">
        <w:t xml:space="preserve"> de los símbolos de forma </w:t>
      </w:r>
      <w:r>
        <w:t>sustancial</w:t>
      </w:r>
      <w:r w:rsidRPr="00C71F3F">
        <w:t xml:space="preserve"> con respecto a la de un transmisor </w:t>
      </w:r>
      <w:r>
        <w:t>de una estación terrena</w:t>
      </w:r>
      <w:r w:rsidRPr="00C71F3F">
        <w:t xml:space="preserve"> de una </w:t>
      </w:r>
      <w:r>
        <w:t>única</w:t>
      </w:r>
      <w:r w:rsidRPr="00C71F3F">
        <w:t xml:space="preserve"> portadora. El examen de la transmisión </w:t>
      </w:r>
      <w:r>
        <w:t>con varias portadoras</w:t>
      </w:r>
      <w:r w:rsidRPr="00C71F3F">
        <w:t xml:space="preserve"> en lo que respecta a la potencia </w:t>
      </w:r>
      <w:r>
        <w:t>de cresta</w:t>
      </w:r>
      <w:r w:rsidRPr="00C71F3F">
        <w:t xml:space="preserve"> de los símbolos </w:t>
      </w:r>
      <w:r>
        <w:t>generados requiere la realización de</w:t>
      </w:r>
      <w:r w:rsidRPr="00C71F3F">
        <w:t xml:space="preserve"> estudios</w:t>
      </w:r>
      <w:r>
        <w:t xml:space="preserve"> suplementarios.</w:t>
      </w:r>
    </w:p>
    <w:p w14:paraId="3FCF17AD" w14:textId="77777777" w:rsidR="003510BF" w:rsidRPr="0047761D" w:rsidRDefault="003510BF" w:rsidP="003510BF">
      <w:pPr>
        <w:pStyle w:val="FigureNo"/>
      </w:pPr>
      <w:r w:rsidRPr="0047761D">
        <w:lastRenderedPageBreak/>
        <w:t>FIGURA 9</w:t>
      </w:r>
    </w:p>
    <w:p w14:paraId="06CC16AD" w14:textId="15E6DC24" w:rsidR="003510BF" w:rsidRPr="0047761D" w:rsidRDefault="003510BF" w:rsidP="003510BF">
      <w:pPr>
        <w:pStyle w:val="Figuretitle"/>
      </w:pPr>
      <w:r>
        <w:t>FDAC</w:t>
      </w:r>
      <w:r w:rsidRPr="0047761D">
        <w:t xml:space="preserve"> de la potencia de cresta </w:t>
      </w:r>
      <w:r>
        <w:t xml:space="preserve">para varios </w:t>
      </w:r>
      <w:r w:rsidRPr="0047761D">
        <w:t>método</w:t>
      </w:r>
      <w:r>
        <w:t>s</w:t>
      </w:r>
      <w:r w:rsidRPr="0047761D">
        <w:t xml:space="preserve"> de modulación habitual</w:t>
      </w:r>
      <w:r>
        <w:t xml:space="preserve">es </w:t>
      </w:r>
    </w:p>
    <w:p w14:paraId="20BA20CD" w14:textId="17B625DE" w:rsidR="00C42A56" w:rsidRDefault="00C42A56" w:rsidP="00C42A56">
      <w:pPr>
        <w:pStyle w:val="Figure"/>
      </w:pPr>
      <w:r w:rsidRPr="00C42A56">
        <w:rPr>
          <w:noProof/>
        </w:rPr>
        <w:drawing>
          <wp:inline distT="0" distB="0" distL="0" distR="0" wp14:anchorId="41D7860C" wp14:editId="284F6515">
            <wp:extent cx="4216617" cy="2959252"/>
            <wp:effectExtent l="0" t="0" r="0" b="0"/>
            <wp:docPr id="179951999" name="Picture 1" descr="A graph with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1999" name="Picture 1" descr="A graph with colored lines&#10;&#10;Description automatically generated"/>
                    <pic:cNvPicPr/>
                  </pic:nvPicPr>
                  <pic:blipFill>
                    <a:blip r:embed="rId35"/>
                    <a:stretch>
                      <a:fillRect/>
                    </a:stretch>
                  </pic:blipFill>
                  <pic:spPr>
                    <a:xfrm>
                      <a:off x="0" y="0"/>
                      <a:ext cx="4216617" cy="2959252"/>
                    </a:xfrm>
                    <a:prstGeom prst="rect">
                      <a:avLst/>
                    </a:prstGeom>
                  </pic:spPr>
                </pic:pic>
              </a:graphicData>
            </a:graphic>
          </wp:inline>
        </w:drawing>
      </w:r>
    </w:p>
    <w:p w14:paraId="0E2DF425" w14:textId="0EF9D056" w:rsidR="003510BF" w:rsidRPr="0047761D" w:rsidRDefault="003510BF" w:rsidP="003510BF">
      <w:pPr>
        <w:pStyle w:val="TableNo"/>
        <w:keepLines/>
      </w:pPr>
      <w:r w:rsidRPr="0047761D">
        <w:t>CUADRO 6</w:t>
      </w:r>
    </w:p>
    <w:p w14:paraId="13FBF9B3" w14:textId="77777777" w:rsidR="003510BF" w:rsidRPr="0047761D" w:rsidRDefault="003510BF" w:rsidP="003510BF">
      <w:pPr>
        <w:pStyle w:val="Tabletitle"/>
        <w:keepLines/>
      </w:pPr>
      <w:r>
        <w:t>Representación</w:t>
      </w:r>
      <w:r w:rsidRPr="0047761D">
        <w:t xml:space="preserve"> de </w:t>
      </w:r>
      <w:r>
        <w:t>los valores de</w:t>
      </w:r>
      <w:r w:rsidRPr="0047761D">
        <w:t xml:space="preserve"> potencia </w:t>
      </w:r>
      <w:r>
        <w:t>de cresta</w:t>
      </w:r>
      <w:r w:rsidRPr="0047761D">
        <w:t xml:space="preserve"> como porcentaje </w:t>
      </w:r>
      <w:r>
        <w:t>de</w:t>
      </w:r>
      <w:r w:rsidRPr="0047761D">
        <w:t xml:space="preserve"> tiempo y </w:t>
      </w:r>
      <w:r>
        <w:t xml:space="preserve">los </w:t>
      </w:r>
      <w:r w:rsidRPr="0047761D">
        <w:t xml:space="preserve">símbolos/seg. correspondientes para </w:t>
      </w:r>
      <w:r>
        <w:t>diversos</w:t>
      </w:r>
      <w:r w:rsidRPr="0047761D">
        <w:t xml:space="preserve"> tipos de transmisión del SFS</w:t>
      </w:r>
    </w:p>
    <w:tbl>
      <w:tblPr>
        <w:tblW w:w="9776" w:type="dxa"/>
        <w:jc w:val="center"/>
        <w:tblLayout w:type="fixed"/>
        <w:tblLook w:val="04A0" w:firstRow="1" w:lastRow="0" w:firstColumn="1" w:lastColumn="0" w:noHBand="0" w:noVBand="1"/>
      </w:tblPr>
      <w:tblGrid>
        <w:gridCol w:w="1808"/>
        <w:gridCol w:w="1252"/>
        <w:gridCol w:w="1188"/>
        <w:gridCol w:w="625"/>
        <w:gridCol w:w="1155"/>
        <w:gridCol w:w="700"/>
        <w:gridCol w:w="1162"/>
        <w:gridCol w:w="826"/>
        <w:gridCol w:w="1060"/>
      </w:tblGrid>
      <w:tr w:rsidR="003510BF" w:rsidRPr="0047761D" w14:paraId="29C4913F" w14:textId="77777777" w:rsidTr="00C42A56">
        <w:trPr>
          <w:trHeight w:val="753"/>
          <w:jc w:val="center"/>
        </w:trPr>
        <w:tc>
          <w:tcPr>
            <w:tcW w:w="1808" w:type="dxa"/>
            <w:tcBorders>
              <w:top w:val="single" w:sz="4" w:space="0" w:color="auto"/>
              <w:left w:val="single" w:sz="4" w:space="0" w:color="auto"/>
              <w:bottom w:val="nil"/>
              <w:right w:val="single" w:sz="12" w:space="0" w:color="auto"/>
            </w:tcBorders>
            <w:shd w:val="clear" w:color="auto" w:fill="auto"/>
            <w:noWrap/>
            <w:vAlign w:val="center"/>
            <w:hideMark/>
          </w:tcPr>
          <w:p w14:paraId="44A6FBBA" w14:textId="77777777" w:rsidR="003510BF" w:rsidRPr="0047761D" w:rsidRDefault="003510BF" w:rsidP="00D35E63">
            <w:pPr>
              <w:pStyle w:val="Tablehead"/>
              <w:keepLines/>
              <w:rPr>
                <w:sz w:val="20"/>
              </w:rPr>
            </w:pPr>
            <w:r w:rsidRPr="0047761D">
              <w:rPr>
                <w:sz w:val="20"/>
              </w:rPr>
              <w:t xml:space="preserve">Velocidad binaria y modulación de la transmisión </w:t>
            </w:r>
          </w:p>
        </w:tc>
        <w:tc>
          <w:tcPr>
            <w:tcW w:w="1252" w:type="dxa"/>
            <w:tcBorders>
              <w:top w:val="single" w:sz="12" w:space="0" w:color="auto"/>
              <w:left w:val="single" w:sz="12" w:space="0" w:color="auto"/>
              <w:bottom w:val="single" w:sz="8" w:space="0" w:color="auto"/>
              <w:right w:val="single" w:sz="4" w:space="0" w:color="auto"/>
            </w:tcBorders>
            <w:shd w:val="pct5" w:color="auto" w:fill="auto"/>
            <w:vAlign w:val="center"/>
            <w:hideMark/>
          </w:tcPr>
          <w:p w14:paraId="5513F525" w14:textId="77777777" w:rsidR="003510BF" w:rsidRPr="0047761D" w:rsidRDefault="003510BF" w:rsidP="00D35E63">
            <w:pPr>
              <w:pStyle w:val="Tablehead"/>
              <w:keepLines/>
              <w:rPr>
                <w:sz w:val="20"/>
              </w:rPr>
            </w:pPr>
            <w:r w:rsidRPr="0047761D">
              <w:rPr>
                <w:sz w:val="20"/>
              </w:rPr>
              <w:t xml:space="preserve">10% </w:t>
            </w:r>
            <w:r>
              <w:rPr>
                <w:sz w:val="20"/>
              </w:rPr>
              <w:t>del tiempo por encima del valor promedio</w:t>
            </w:r>
            <w:r w:rsidRPr="0047761D">
              <w:rPr>
                <w:sz w:val="20"/>
              </w:rPr>
              <w:t xml:space="preserve"> (dB)</w:t>
            </w:r>
          </w:p>
        </w:tc>
        <w:tc>
          <w:tcPr>
            <w:tcW w:w="1188" w:type="dxa"/>
            <w:tcBorders>
              <w:top w:val="single" w:sz="12" w:space="0" w:color="auto"/>
              <w:left w:val="nil"/>
              <w:bottom w:val="single" w:sz="8" w:space="0" w:color="auto"/>
              <w:right w:val="single" w:sz="12" w:space="0" w:color="auto"/>
            </w:tcBorders>
            <w:shd w:val="pct5" w:color="auto" w:fill="auto"/>
            <w:vAlign w:val="center"/>
            <w:hideMark/>
          </w:tcPr>
          <w:p w14:paraId="79B07FD4" w14:textId="7390A08B" w:rsidR="003510BF" w:rsidRPr="0047761D" w:rsidRDefault="003510BF" w:rsidP="00D35E63">
            <w:pPr>
              <w:pStyle w:val="Tablehead"/>
              <w:keepLines/>
              <w:rPr>
                <w:sz w:val="20"/>
              </w:rPr>
            </w:pPr>
            <w:r w:rsidRPr="0047761D">
              <w:rPr>
                <w:sz w:val="20"/>
              </w:rPr>
              <w:t>S</w:t>
            </w:r>
            <w:r>
              <w:rPr>
                <w:sz w:val="20"/>
              </w:rPr>
              <w:t>ímbolos</w:t>
            </w:r>
            <w:r w:rsidRPr="0047761D">
              <w:rPr>
                <w:sz w:val="20"/>
              </w:rPr>
              <w:t>/s (k)</w:t>
            </w:r>
          </w:p>
        </w:tc>
        <w:tc>
          <w:tcPr>
            <w:tcW w:w="625"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0324DDBB" w14:textId="77777777" w:rsidR="003510BF" w:rsidRPr="0047761D" w:rsidRDefault="003510BF" w:rsidP="00D35E63">
            <w:pPr>
              <w:pStyle w:val="Tablehead"/>
              <w:keepLines/>
              <w:rPr>
                <w:sz w:val="20"/>
              </w:rPr>
            </w:pPr>
            <w:r w:rsidRPr="0047761D">
              <w:rPr>
                <w:sz w:val="20"/>
              </w:rPr>
              <w:t>1% (dB)</w:t>
            </w:r>
          </w:p>
        </w:tc>
        <w:tc>
          <w:tcPr>
            <w:tcW w:w="1155" w:type="dxa"/>
            <w:tcBorders>
              <w:top w:val="single" w:sz="12" w:space="0" w:color="auto"/>
              <w:left w:val="nil"/>
              <w:bottom w:val="single" w:sz="8" w:space="0" w:color="auto"/>
              <w:right w:val="single" w:sz="12" w:space="0" w:color="auto"/>
            </w:tcBorders>
            <w:shd w:val="clear" w:color="auto" w:fill="auto"/>
            <w:vAlign w:val="center"/>
            <w:hideMark/>
          </w:tcPr>
          <w:p w14:paraId="385B1032" w14:textId="6F9FEE2C" w:rsidR="003510BF" w:rsidRPr="0047761D" w:rsidRDefault="003510BF" w:rsidP="00D35E63">
            <w:pPr>
              <w:pStyle w:val="Tablehead"/>
              <w:keepLines/>
              <w:rPr>
                <w:sz w:val="20"/>
              </w:rPr>
            </w:pPr>
            <w:r>
              <w:rPr>
                <w:sz w:val="20"/>
              </w:rPr>
              <w:t>Símbolos</w:t>
            </w:r>
            <w:r w:rsidRPr="0047761D">
              <w:rPr>
                <w:sz w:val="20"/>
              </w:rPr>
              <w:t>/s (k)</w:t>
            </w:r>
          </w:p>
        </w:tc>
        <w:tc>
          <w:tcPr>
            <w:tcW w:w="700" w:type="dxa"/>
            <w:tcBorders>
              <w:top w:val="single" w:sz="12" w:space="0" w:color="auto"/>
              <w:left w:val="single" w:sz="12" w:space="0" w:color="auto"/>
              <w:bottom w:val="single" w:sz="8" w:space="0" w:color="auto"/>
              <w:right w:val="single" w:sz="4" w:space="0" w:color="auto"/>
            </w:tcBorders>
            <w:shd w:val="pct5" w:color="auto" w:fill="auto"/>
            <w:vAlign w:val="center"/>
            <w:hideMark/>
          </w:tcPr>
          <w:p w14:paraId="18893007" w14:textId="77777777" w:rsidR="003510BF" w:rsidRPr="0047761D" w:rsidRDefault="003510BF" w:rsidP="00D35E63">
            <w:pPr>
              <w:pStyle w:val="Tablehead"/>
              <w:keepLines/>
              <w:rPr>
                <w:sz w:val="20"/>
              </w:rPr>
            </w:pPr>
            <w:r w:rsidRPr="0047761D">
              <w:rPr>
                <w:sz w:val="20"/>
              </w:rPr>
              <w:t>0</w:t>
            </w:r>
            <w:r>
              <w:rPr>
                <w:sz w:val="20"/>
              </w:rPr>
              <w:t>,</w:t>
            </w:r>
            <w:r w:rsidRPr="0047761D">
              <w:rPr>
                <w:sz w:val="20"/>
              </w:rPr>
              <w:t>1% (dB)</w:t>
            </w:r>
          </w:p>
        </w:tc>
        <w:tc>
          <w:tcPr>
            <w:tcW w:w="1162" w:type="dxa"/>
            <w:tcBorders>
              <w:top w:val="single" w:sz="12" w:space="0" w:color="auto"/>
              <w:left w:val="nil"/>
              <w:bottom w:val="single" w:sz="8" w:space="0" w:color="auto"/>
              <w:right w:val="single" w:sz="12" w:space="0" w:color="auto"/>
            </w:tcBorders>
            <w:shd w:val="pct5" w:color="auto" w:fill="auto"/>
            <w:vAlign w:val="center"/>
            <w:hideMark/>
          </w:tcPr>
          <w:p w14:paraId="62042933" w14:textId="2488A496" w:rsidR="003510BF" w:rsidRPr="0047761D" w:rsidRDefault="003510BF" w:rsidP="00D35E63">
            <w:pPr>
              <w:pStyle w:val="Tablehead"/>
              <w:keepLines/>
              <w:rPr>
                <w:sz w:val="20"/>
              </w:rPr>
            </w:pPr>
            <w:r w:rsidRPr="0047761D">
              <w:rPr>
                <w:sz w:val="20"/>
              </w:rPr>
              <w:t>S</w:t>
            </w:r>
            <w:r>
              <w:rPr>
                <w:sz w:val="20"/>
              </w:rPr>
              <w:t>ímbolos</w:t>
            </w:r>
            <w:r w:rsidRPr="0047761D">
              <w:rPr>
                <w:sz w:val="20"/>
              </w:rPr>
              <w:t>/s (k)</w:t>
            </w:r>
          </w:p>
        </w:tc>
        <w:tc>
          <w:tcPr>
            <w:tcW w:w="826"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54AD6D42" w14:textId="77777777" w:rsidR="003510BF" w:rsidRPr="0047761D" w:rsidRDefault="003510BF" w:rsidP="00D35E63">
            <w:pPr>
              <w:pStyle w:val="Tablehead"/>
              <w:keepLines/>
              <w:rPr>
                <w:sz w:val="20"/>
              </w:rPr>
            </w:pPr>
            <w:r w:rsidRPr="0047761D">
              <w:rPr>
                <w:sz w:val="20"/>
              </w:rPr>
              <w:t>0</w:t>
            </w:r>
            <w:r>
              <w:rPr>
                <w:sz w:val="20"/>
              </w:rPr>
              <w:t>,</w:t>
            </w:r>
            <w:r w:rsidRPr="0047761D">
              <w:rPr>
                <w:sz w:val="20"/>
              </w:rPr>
              <w:t>01% (dB)</w:t>
            </w:r>
          </w:p>
        </w:tc>
        <w:tc>
          <w:tcPr>
            <w:tcW w:w="1060" w:type="dxa"/>
            <w:tcBorders>
              <w:top w:val="single" w:sz="12" w:space="0" w:color="auto"/>
              <w:left w:val="nil"/>
              <w:bottom w:val="single" w:sz="8" w:space="0" w:color="auto"/>
              <w:right w:val="single" w:sz="12" w:space="0" w:color="auto"/>
            </w:tcBorders>
            <w:shd w:val="clear" w:color="auto" w:fill="auto"/>
            <w:vAlign w:val="center"/>
            <w:hideMark/>
          </w:tcPr>
          <w:p w14:paraId="1C454DC0" w14:textId="65593BD7" w:rsidR="003510BF" w:rsidRPr="0047761D" w:rsidRDefault="003510BF" w:rsidP="00C42A56">
            <w:pPr>
              <w:pStyle w:val="Tablehead"/>
              <w:keepLines/>
              <w:ind w:left="-57"/>
              <w:rPr>
                <w:sz w:val="20"/>
              </w:rPr>
            </w:pPr>
            <w:r>
              <w:rPr>
                <w:sz w:val="20"/>
              </w:rPr>
              <w:t>Símbolos</w:t>
            </w:r>
            <w:r w:rsidRPr="0047761D">
              <w:rPr>
                <w:sz w:val="20"/>
              </w:rPr>
              <w:t>/ (k)</w:t>
            </w:r>
          </w:p>
        </w:tc>
      </w:tr>
      <w:tr w:rsidR="003510BF" w:rsidRPr="0047761D" w14:paraId="5D7339FB" w14:textId="77777777" w:rsidTr="00C42A56">
        <w:trPr>
          <w:trHeight w:val="300"/>
          <w:jc w:val="center"/>
        </w:trPr>
        <w:tc>
          <w:tcPr>
            <w:tcW w:w="1808"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504F733" w14:textId="77777777" w:rsidR="003510BF" w:rsidRPr="0047761D" w:rsidRDefault="003510BF" w:rsidP="00D35E63">
            <w:pPr>
              <w:pStyle w:val="Tabletext"/>
              <w:keepNext/>
              <w:keepLines/>
              <w:rPr>
                <w:b/>
                <w:bCs/>
                <w:sz w:val="20"/>
              </w:rPr>
            </w:pPr>
            <w:r w:rsidRPr="0047761D">
              <w:rPr>
                <w:b/>
                <w:bCs/>
                <w:sz w:val="20"/>
              </w:rPr>
              <w:t>580 kHz</w:t>
            </w:r>
          </w:p>
        </w:tc>
        <w:tc>
          <w:tcPr>
            <w:tcW w:w="1252" w:type="dxa"/>
            <w:tcBorders>
              <w:top w:val="nil"/>
              <w:left w:val="single" w:sz="12" w:space="0" w:color="auto"/>
              <w:bottom w:val="single" w:sz="4" w:space="0" w:color="auto"/>
              <w:right w:val="nil"/>
            </w:tcBorders>
            <w:shd w:val="pct5" w:color="auto" w:fill="auto"/>
            <w:noWrap/>
            <w:vAlign w:val="center"/>
            <w:hideMark/>
          </w:tcPr>
          <w:p w14:paraId="5A8C4D25" w14:textId="77777777" w:rsidR="003510BF" w:rsidRPr="0047761D" w:rsidRDefault="003510BF" w:rsidP="00D35E63">
            <w:pPr>
              <w:pStyle w:val="Tabletext"/>
              <w:keepNext/>
              <w:keepLines/>
              <w:jc w:val="center"/>
              <w:rPr>
                <w:sz w:val="20"/>
              </w:rPr>
            </w:pPr>
          </w:p>
        </w:tc>
        <w:tc>
          <w:tcPr>
            <w:tcW w:w="1188" w:type="dxa"/>
            <w:tcBorders>
              <w:top w:val="nil"/>
              <w:left w:val="nil"/>
              <w:bottom w:val="single" w:sz="4" w:space="0" w:color="auto"/>
              <w:right w:val="single" w:sz="12" w:space="0" w:color="auto"/>
            </w:tcBorders>
            <w:shd w:val="pct5" w:color="auto" w:fill="auto"/>
            <w:noWrap/>
            <w:vAlign w:val="bottom"/>
            <w:hideMark/>
          </w:tcPr>
          <w:p w14:paraId="53787AC1" w14:textId="77777777" w:rsidR="003510BF" w:rsidRPr="0047761D" w:rsidRDefault="003510BF" w:rsidP="00D35E63">
            <w:pPr>
              <w:pStyle w:val="Tabletext"/>
              <w:keepNext/>
              <w:keepLines/>
              <w:jc w:val="center"/>
              <w:rPr>
                <w:sz w:val="20"/>
              </w:rPr>
            </w:pPr>
          </w:p>
        </w:tc>
        <w:tc>
          <w:tcPr>
            <w:tcW w:w="625" w:type="dxa"/>
            <w:tcBorders>
              <w:top w:val="nil"/>
              <w:left w:val="single" w:sz="12" w:space="0" w:color="auto"/>
              <w:bottom w:val="single" w:sz="4" w:space="0" w:color="auto"/>
              <w:right w:val="nil"/>
            </w:tcBorders>
            <w:shd w:val="clear" w:color="auto" w:fill="auto"/>
            <w:noWrap/>
            <w:vAlign w:val="bottom"/>
          </w:tcPr>
          <w:p w14:paraId="500A10AF" w14:textId="77777777" w:rsidR="003510BF" w:rsidRPr="0047761D" w:rsidRDefault="003510BF" w:rsidP="00D35E63">
            <w:pPr>
              <w:pStyle w:val="Tabletext"/>
              <w:keepNext/>
              <w:keepLines/>
              <w:jc w:val="center"/>
              <w:rPr>
                <w:sz w:val="20"/>
              </w:rPr>
            </w:pPr>
          </w:p>
        </w:tc>
        <w:tc>
          <w:tcPr>
            <w:tcW w:w="1155" w:type="dxa"/>
            <w:tcBorders>
              <w:top w:val="nil"/>
              <w:left w:val="nil"/>
              <w:bottom w:val="single" w:sz="4" w:space="0" w:color="auto"/>
              <w:right w:val="single" w:sz="12" w:space="0" w:color="auto"/>
            </w:tcBorders>
            <w:shd w:val="clear" w:color="auto" w:fill="auto"/>
            <w:noWrap/>
            <w:vAlign w:val="bottom"/>
          </w:tcPr>
          <w:p w14:paraId="2D2EE9DC" w14:textId="77777777" w:rsidR="003510BF" w:rsidRPr="0047761D" w:rsidRDefault="003510BF" w:rsidP="00D35E63">
            <w:pPr>
              <w:pStyle w:val="Tabletext"/>
              <w:keepNext/>
              <w:keepLines/>
              <w:jc w:val="center"/>
              <w:rPr>
                <w:sz w:val="20"/>
              </w:rPr>
            </w:pPr>
          </w:p>
        </w:tc>
        <w:tc>
          <w:tcPr>
            <w:tcW w:w="700" w:type="dxa"/>
            <w:tcBorders>
              <w:top w:val="nil"/>
              <w:left w:val="single" w:sz="12" w:space="0" w:color="auto"/>
              <w:bottom w:val="single" w:sz="4" w:space="0" w:color="auto"/>
              <w:right w:val="nil"/>
            </w:tcBorders>
            <w:shd w:val="pct5" w:color="auto" w:fill="auto"/>
            <w:noWrap/>
            <w:vAlign w:val="bottom"/>
          </w:tcPr>
          <w:p w14:paraId="7BCE600E" w14:textId="77777777" w:rsidR="003510BF" w:rsidRPr="0047761D" w:rsidRDefault="003510BF" w:rsidP="00D35E63">
            <w:pPr>
              <w:pStyle w:val="Tabletext"/>
              <w:keepNext/>
              <w:keepLines/>
              <w:jc w:val="center"/>
              <w:rPr>
                <w:sz w:val="20"/>
              </w:rPr>
            </w:pPr>
          </w:p>
        </w:tc>
        <w:tc>
          <w:tcPr>
            <w:tcW w:w="1162" w:type="dxa"/>
            <w:tcBorders>
              <w:top w:val="nil"/>
              <w:left w:val="nil"/>
              <w:bottom w:val="single" w:sz="4" w:space="0" w:color="auto"/>
              <w:right w:val="single" w:sz="12" w:space="0" w:color="auto"/>
            </w:tcBorders>
            <w:shd w:val="pct5" w:color="auto" w:fill="auto"/>
            <w:noWrap/>
            <w:vAlign w:val="bottom"/>
          </w:tcPr>
          <w:p w14:paraId="3747EFB3" w14:textId="77777777" w:rsidR="003510BF" w:rsidRPr="0047761D" w:rsidRDefault="003510BF" w:rsidP="00D35E63">
            <w:pPr>
              <w:pStyle w:val="Tabletext"/>
              <w:keepNext/>
              <w:keepLines/>
              <w:jc w:val="center"/>
              <w:rPr>
                <w:sz w:val="20"/>
              </w:rPr>
            </w:pPr>
          </w:p>
        </w:tc>
        <w:tc>
          <w:tcPr>
            <w:tcW w:w="826" w:type="dxa"/>
            <w:tcBorders>
              <w:top w:val="nil"/>
              <w:left w:val="single" w:sz="12" w:space="0" w:color="auto"/>
              <w:bottom w:val="single" w:sz="4" w:space="0" w:color="auto"/>
              <w:right w:val="nil"/>
            </w:tcBorders>
            <w:shd w:val="clear" w:color="auto" w:fill="auto"/>
            <w:noWrap/>
            <w:vAlign w:val="bottom"/>
          </w:tcPr>
          <w:p w14:paraId="5DC36E2F" w14:textId="77777777" w:rsidR="003510BF" w:rsidRPr="0047761D" w:rsidRDefault="003510BF" w:rsidP="00D35E63">
            <w:pPr>
              <w:pStyle w:val="Tabletext"/>
              <w:keepNext/>
              <w:keepLines/>
              <w:jc w:val="center"/>
              <w:rPr>
                <w:sz w:val="20"/>
              </w:rPr>
            </w:pPr>
          </w:p>
        </w:tc>
        <w:tc>
          <w:tcPr>
            <w:tcW w:w="1060" w:type="dxa"/>
            <w:tcBorders>
              <w:top w:val="nil"/>
              <w:left w:val="nil"/>
              <w:bottom w:val="single" w:sz="4" w:space="0" w:color="auto"/>
              <w:right w:val="single" w:sz="12" w:space="0" w:color="auto"/>
            </w:tcBorders>
            <w:shd w:val="clear" w:color="auto" w:fill="auto"/>
            <w:noWrap/>
            <w:vAlign w:val="bottom"/>
          </w:tcPr>
          <w:p w14:paraId="2D66D7D8" w14:textId="77777777" w:rsidR="003510BF" w:rsidRPr="0047761D" w:rsidRDefault="003510BF" w:rsidP="00D35E63">
            <w:pPr>
              <w:pStyle w:val="Tabletext"/>
              <w:keepNext/>
              <w:keepLines/>
              <w:jc w:val="center"/>
              <w:rPr>
                <w:sz w:val="20"/>
              </w:rPr>
            </w:pPr>
          </w:p>
        </w:tc>
      </w:tr>
      <w:tr w:rsidR="003510BF" w:rsidRPr="0047761D" w14:paraId="4D4A6F9F"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28843B16" w14:textId="06533451" w:rsidR="003510BF" w:rsidRPr="0047761D" w:rsidRDefault="003510BF" w:rsidP="00D35E63">
            <w:pPr>
              <w:pStyle w:val="Tabletext"/>
              <w:keepNext/>
              <w:keepLines/>
              <w:rPr>
                <w:sz w:val="20"/>
              </w:rPr>
            </w:pPr>
            <w:r w:rsidRPr="0047761D">
              <w:rPr>
                <w:sz w:val="20"/>
              </w:rPr>
              <w:t xml:space="preserve">MDAP-16 </w:t>
            </w:r>
          </w:p>
        </w:tc>
        <w:tc>
          <w:tcPr>
            <w:tcW w:w="1252" w:type="dxa"/>
            <w:tcBorders>
              <w:top w:val="single" w:sz="4" w:space="0" w:color="auto"/>
              <w:left w:val="single" w:sz="12" w:space="0" w:color="auto"/>
              <w:bottom w:val="nil"/>
              <w:right w:val="single" w:sz="4" w:space="0" w:color="auto"/>
            </w:tcBorders>
            <w:shd w:val="pct5" w:color="auto" w:fill="auto"/>
            <w:noWrap/>
            <w:vAlign w:val="center"/>
            <w:hideMark/>
          </w:tcPr>
          <w:p w14:paraId="73DB79DB" w14:textId="77777777" w:rsidR="003510BF" w:rsidRPr="0047761D" w:rsidRDefault="003510BF" w:rsidP="00D35E63">
            <w:pPr>
              <w:pStyle w:val="Tabletext"/>
              <w:keepNext/>
              <w:keepLines/>
              <w:jc w:val="center"/>
              <w:rPr>
                <w:sz w:val="20"/>
              </w:rPr>
            </w:pPr>
            <w:r w:rsidRPr="0047761D">
              <w:rPr>
                <w:sz w:val="20"/>
              </w:rPr>
              <w:t>2</w:t>
            </w:r>
            <w:r>
              <w:rPr>
                <w:sz w:val="20"/>
              </w:rPr>
              <w:t>,</w:t>
            </w:r>
            <w:r w:rsidRPr="0047761D">
              <w:rPr>
                <w:sz w:val="20"/>
              </w:rPr>
              <w:t>6</w:t>
            </w:r>
          </w:p>
        </w:tc>
        <w:tc>
          <w:tcPr>
            <w:tcW w:w="1188" w:type="dxa"/>
            <w:tcBorders>
              <w:top w:val="single" w:sz="4" w:space="0" w:color="auto"/>
              <w:left w:val="single" w:sz="4" w:space="0" w:color="auto"/>
              <w:bottom w:val="nil"/>
              <w:right w:val="single" w:sz="12" w:space="0" w:color="auto"/>
            </w:tcBorders>
            <w:shd w:val="pct5" w:color="auto" w:fill="auto"/>
            <w:noWrap/>
            <w:vAlign w:val="bottom"/>
            <w:hideMark/>
          </w:tcPr>
          <w:p w14:paraId="45DEAF9C" w14:textId="77777777" w:rsidR="003510BF" w:rsidRPr="0047761D" w:rsidRDefault="003510BF" w:rsidP="00D35E63">
            <w:pPr>
              <w:pStyle w:val="Tabletext"/>
              <w:keepNext/>
              <w:keepLines/>
              <w:jc w:val="center"/>
              <w:rPr>
                <w:sz w:val="20"/>
              </w:rPr>
            </w:pPr>
            <w:r w:rsidRPr="0047761D">
              <w:rPr>
                <w:sz w:val="20"/>
              </w:rPr>
              <w:t>232</w:t>
            </w:r>
          </w:p>
        </w:tc>
        <w:tc>
          <w:tcPr>
            <w:tcW w:w="625" w:type="dxa"/>
            <w:tcBorders>
              <w:top w:val="single" w:sz="4" w:space="0" w:color="auto"/>
              <w:left w:val="single" w:sz="12" w:space="0" w:color="auto"/>
              <w:bottom w:val="nil"/>
              <w:right w:val="single" w:sz="4" w:space="0" w:color="auto"/>
            </w:tcBorders>
            <w:shd w:val="clear" w:color="auto" w:fill="auto"/>
            <w:noWrap/>
            <w:vAlign w:val="bottom"/>
            <w:hideMark/>
          </w:tcPr>
          <w:p w14:paraId="0B03C0A0" w14:textId="77777777" w:rsidR="003510BF" w:rsidRPr="0047761D" w:rsidRDefault="003510BF" w:rsidP="00D35E63">
            <w:pPr>
              <w:pStyle w:val="Tabletext"/>
              <w:keepNext/>
              <w:keepLines/>
              <w:jc w:val="center"/>
              <w:rPr>
                <w:sz w:val="20"/>
              </w:rPr>
            </w:pPr>
            <w:r w:rsidRPr="0047761D">
              <w:rPr>
                <w:sz w:val="20"/>
              </w:rPr>
              <w:t>4</w:t>
            </w:r>
            <w:r>
              <w:rPr>
                <w:sz w:val="20"/>
              </w:rPr>
              <w:t>,</w:t>
            </w:r>
            <w:r w:rsidRPr="0047761D">
              <w:rPr>
                <w:sz w:val="20"/>
              </w:rPr>
              <w:t>0</w:t>
            </w:r>
          </w:p>
        </w:tc>
        <w:tc>
          <w:tcPr>
            <w:tcW w:w="1155" w:type="dxa"/>
            <w:tcBorders>
              <w:top w:val="single" w:sz="4" w:space="0" w:color="auto"/>
              <w:left w:val="single" w:sz="4" w:space="0" w:color="auto"/>
              <w:bottom w:val="nil"/>
              <w:right w:val="single" w:sz="12" w:space="0" w:color="auto"/>
            </w:tcBorders>
            <w:shd w:val="clear" w:color="auto" w:fill="auto"/>
            <w:noWrap/>
            <w:vAlign w:val="bottom"/>
            <w:hideMark/>
          </w:tcPr>
          <w:p w14:paraId="2A018282" w14:textId="77777777" w:rsidR="003510BF" w:rsidRPr="0047761D" w:rsidRDefault="003510BF" w:rsidP="00D35E63">
            <w:pPr>
              <w:pStyle w:val="Tabletext"/>
              <w:keepNext/>
              <w:keepLines/>
              <w:jc w:val="center"/>
              <w:rPr>
                <w:sz w:val="20"/>
              </w:rPr>
            </w:pPr>
            <w:r w:rsidRPr="0047761D">
              <w:rPr>
                <w:sz w:val="20"/>
              </w:rPr>
              <w:t>23</w:t>
            </w:r>
            <w:r>
              <w:rPr>
                <w:sz w:val="20"/>
              </w:rPr>
              <w:t>,</w:t>
            </w:r>
            <w:r w:rsidRPr="0047761D">
              <w:rPr>
                <w:sz w:val="20"/>
              </w:rPr>
              <w:t>2</w:t>
            </w:r>
          </w:p>
        </w:tc>
        <w:tc>
          <w:tcPr>
            <w:tcW w:w="700" w:type="dxa"/>
            <w:tcBorders>
              <w:top w:val="single" w:sz="4" w:space="0" w:color="auto"/>
              <w:left w:val="single" w:sz="12" w:space="0" w:color="auto"/>
              <w:bottom w:val="nil"/>
              <w:right w:val="single" w:sz="4" w:space="0" w:color="auto"/>
            </w:tcBorders>
            <w:shd w:val="pct5" w:color="auto" w:fill="auto"/>
            <w:noWrap/>
            <w:vAlign w:val="bottom"/>
            <w:hideMark/>
          </w:tcPr>
          <w:p w14:paraId="16F87A8A" w14:textId="77777777" w:rsidR="003510BF" w:rsidRPr="0047761D" w:rsidRDefault="003510BF" w:rsidP="00D35E63">
            <w:pPr>
              <w:pStyle w:val="Tabletext"/>
              <w:keepNext/>
              <w:keepLines/>
              <w:jc w:val="center"/>
              <w:rPr>
                <w:sz w:val="20"/>
              </w:rPr>
            </w:pPr>
            <w:r w:rsidRPr="0047761D">
              <w:rPr>
                <w:sz w:val="20"/>
              </w:rPr>
              <w:t>4</w:t>
            </w:r>
            <w:r>
              <w:rPr>
                <w:sz w:val="20"/>
              </w:rPr>
              <w:t>,</w:t>
            </w:r>
            <w:r w:rsidRPr="0047761D">
              <w:rPr>
                <w:sz w:val="20"/>
              </w:rPr>
              <w:t>8</w:t>
            </w:r>
          </w:p>
        </w:tc>
        <w:tc>
          <w:tcPr>
            <w:tcW w:w="1162" w:type="dxa"/>
            <w:tcBorders>
              <w:top w:val="single" w:sz="4" w:space="0" w:color="auto"/>
              <w:left w:val="single" w:sz="4" w:space="0" w:color="auto"/>
              <w:bottom w:val="nil"/>
              <w:right w:val="single" w:sz="12" w:space="0" w:color="auto"/>
            </w:tcBorders>
            <w:shd w:val="pct5" w:color="auto" w:fill="auto"/>
            <w:noWrap/>
            <w:vAlign w:val="bottom"/>
            <w:hideMark/>
          </w:tcPr>
          <w:p w14:paraId="5581B448" w14:textId="77777777" w:rsidR="003510BF" w:rsidRPr="0047761D" w:rsidRDefault="003510BF" w:rsidP="00D35E63">
            <w:pPr>
              <w:pStyle w:val="Tabletext"/>
              <w:keepNext/>
              <w:keepLines/>
              <w:jc w:val="center"/>
              <w:rPr>
                <w:sz w:val="20"/>
              </w:rPr>
            </w:pPr>
            <w:r w:rsidRPr="0047761D">
              <w:rPr>
                <w:sz w:val="20"/>
              </w:rPr>
              <w:t>2</w:t>
            </w:r>
            <w:r>
              <w:rPr>
                <w:sz w:val="20"/>
              </w:rPr>
              <w:t>,</w:t>
            </w:r>
            <w:r w:rsidRPr="0047761D">
              <w:rPr>
                <w:sz w:val="20"/>
              </w:rPr>
              <w:t>3</w:t>
            </w:r>
          </w:p>
        </w:tc>
        <w:tc>
          <w:tcPr>
            <w:tcW w:w="826" w:type="dxa"/>
            <w:tcBorders>
              <w:top w:val="single" w:sz="4" w:space="0" w:color="auto"/>
              <w:left w:val="single" w:sz="12" w:space="0" w:color="auto"/>
              <w:bottom w:val="nil"/>
              <w:right w:val="single" w:sz="4" w:space="0" w:color="auto"/>
            </w:tcBorders>
            <w:shd w:val="clear" w:color="auto" w:fill="auto"/>
            <w:noWrap/>
            <w:vAlign w:val="bottom"/>
            <w:hideMark/>
          </w:tcPr>
          <w:p w14:paraId="6BEE182D" w14:textId="77777777" w:rsidR="003510BF" w:rsidRPr="0047761D" w:rsidRDefault="003510BF" w:rsidP="00D35E63">
            <w:pPr>
              <w:pStyle w:val="Tabletext"/>
              <w:keepNext/>
              <w:keepLines/>
              <w:jc w:val="center"/>
              <w:rPr>
                <w:sz w:val="20"/>
              </w:rPr>
            </w:pPr>
            <w:r w:rsidRPr="0047761D">
              <w:rPr>
                <w:sz w:val="20"/>
              </w:rPr>
              <w:t>5</w:t>
            </w:r>
            <w:r>
              <w:rPr>
                <w:sz w:val="20"/>
              </w:rPr>
              <w:t>,</w:t>
            </w:r>
            <w:r w:rsidRPr="0047761D">
              <w:rPr>
                <w:sz w:val="20"/>
              </w:rPr>
              <w:t>3</w:t>
            </w:r>
          </w:p>
        </w:tc>
        <w:tc>
          <w:tcPr>
            <w:tcW w:w="1060" w:type="dxa"/>
            <w:tcBorders>
              <w:top w:val="single" w:sz="4" w:space="0" w:color="auto"/>
              <w:left w:val="single" w:sz="4" w:space="0" w:color="auto"/>
              <w:bottom w:val="nil"/>
              <w:right w:val="single" w:sz="12" w:space="0" w:color="auto"/>
            </w:tcBorders>
            <w:shd w:val="clear" w:color="auto" w:fill="auto"/>
            <w:noWrap/>
            <w:vAlign w:val="bottom"/>
            <w:hideMark/>
          </w:tcPr>
          <w:p w14:paraId="28227760" w14:textId="77777777" w:rsidR="003510BF" w:rsidRPr="0047761D" w:rsidRDefault="003510BF" w:rsidP="00D35E63">
            <w:pPr>
              <w:pStyle w:val="Tabletext"/>
              <w:keepNext/>
              <w:keepLines/>
              <w:jc w:val="center"/>
              <w:rPr>
                <w:sz w:val="20"/>
              </w:rPr>
            </w:pPr>
            <w:r w:rsidRPr="0047761D">
              <w:rPr>
                <w:sz w:val="20"/>
              </w:rPr>
              <w:t>0</w:t>
            </w:r>
            <w:r>
              <w:rPr>
                <w:sz w:val="20"/>
              </w:rPr>
              <w:t>,</w:t>
            </w:r>
            <w:r w:rsidRPr="0047761D">
              <w:rPr>
                <w:sz w:val="20"/>
              </w:rPr>
              <w:t>2</w:t>
            </w:r>
          </w:p>
        </w:tc>
      </w:tr>
      <w:tr w:rsidR="003510BF" w:rsidRPr="0047761D" w14:paraId="1BCF8D3C"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3BA9071F" w14:textId="64C2C827" w:rsidR="003510BF" w:rsidRPr="0047761D" w:rsidRDefault="003510BF" w:rsidP="00D35E63">
            <w:pPr>
              <w:pStyle w:val="Tabletext"/>
              <w:keepNext/>
              <w:keepLines/>
              <w:rPr>
                <w:sz w:val="20"/>
              </w:rPr>
            </w:pPr>
            <w:r w:rsidRPr="0047761D">
              <w:rPr>
                <w:sz w:val="20"/>
              </w:rPr>
              <w:t xml:space="preserve">MDAP-32 </w:t>
            </w:r>
          </w:p>
        </w:tc>
        <w:tc>
          <w:tcPr>
            <w:tcW w:w="1252" w:type="dxa"/>
            <w:tcBorders>
              <w:top w:val="nil"/>
              <w:left w:val="single" w:sz="12" w:space="0" w:color="auto"/>
              <w:bottom w:val="nil"/>
              <w:right w:val="single" w:sz="4" w:space="0" w:color="auto"/>
            </w:tcBorders>
            <w:shd w:val="pct5" w:color="auto" w:fill="auto"/>
            <w:noWrap/>
            <w:vAlign w:val="center"/>
            <w:hideMark/>
          </w:tcPr>
          <w:p w14:paraId="5E82FA5D" w14:textId="77777777" w:rsidR="003510BF" w:rsidRPr="0047761D" w:rsidRDefault="003510BF" w:rsidP="00D35E63">
            <w:pPr>
              <w:pStyle w:val="Tabletext"/>
              <w:keepNext/>
              <w:keepLines/>
              <w:jc w:val="center"/>
              <w:rPr>
                <w:sz w:val="20"/>
              </w:rPr>
            </w:pPr>
            <w:r w:rsidRPr="0047761D">
              <w:rPr>
                <w:sz w:val="20"/>
              </w:rPr>
              <w:t>3</w:t>
            </w:r>
            <w:r>
              <w:rPr>
                <w:sz w:val="20"/>
              </w:rPr>
              <w:t>,</w:t>
            </w:r>
            <w:r w:rsidRPr="0047761D">
              <w:rPr>
                <w:sz w:val="20"/>
              </w:rPr>
              <w:t>2</w:t>
            </w:r>
          </w:p>
        </w:tc>
        <w:tc>
          <w:tcPr>
            <w:tcW w:w="1188" w:type="dxa"/>
            <w:tcBorders>
              <w:top w:val="nil"/>
              <w:left w:val="single" w:sz="4" w:space="0" w:color="auto"/>
              <w:bottom w:val="nil"/>
              <w:right w:val="single" w:sz="12" w:space="0" w:color="auto"/>
            </w:tcBorders>
            <w:shd w:val="pct5" w:color="auto" w:fill="auto"/>
            <w:noWrap/>
            <w:vAlign w:val="bottom"/>
            <w:hideMark/>
          </w:tcPr>
          <w:p w14:paraId="61CBB446" w14:textId="77777777" w:rsidR="003510BF" w:rsidRPr="0047761D" w:rsidRDefault="003510BF" w:rsidP="00D35E63">
            <w:pPr>
              <w:pStyle w:val="Tabletext"/>
              <w:keepNext/>
              <w:keepLines/>
              <w:jc w:val="center"/>
              <w:rPr>
                <w:sz w:val="20"/>
              </w:rPr>
            </w:pPr>
            <w:r w:rsidRPr="0047761D">
              <w:rPr>
                <w:sz w:val="20"/>
              </w:rPr>
              <w:t>290</w:t>
            </w:r>
          </w:p>
        </w:tc>
        <w:tc>
          <w:tcPr>
            <w:tcW w:w="625" w:type="dxa"/>
            <w:tcBorders>
              <w:top w:val="nil"/>
              <w:left w:val="single" w:sz="12" w:space="0" w:color="auto"/>
              <w:bottom w:val="nil"/>
              <w:right w:val="single" w:sz="4" w:space="0" w:color="auto"/>
            </w:tcBorders>
            <w:shd w:val="clear" w:color="auto" w:fill="auto"/>
            <w:noWrap/>
            <w:vAlign w:val="bottom"/>
            <w:hideMark/>
          </w:tcPr>
          <w:p w14:paraId="5ECFD03F" w14:textId="77777777" w:rsidR="003510BF" w:rsidRPr="0047761D" w:rsidRDefault="003510BF" w:rsidP="00D35E63">
            <w:pPr>
              <w:pStyle w:val="Tabletext"/>
              <w:keepNext/>
              <w:keepLines/>
              <w:jc w:val="center"/>
              <w:rPr>
                <w:sz w:val="20"/>
              </w:rPr>
            </w:pPr>
            <w:r w:rsidRPr="0047761D">
              <w:rPr>
                <w:sz w:val="20"/>
              </w:rPr>
              <w:t>4</w:t>
            </w:r>
            <w:r>
              <w:rPr>
                <w:sz w:val="20"/>
              </w:rPr>
              <w:t>,</w:t>
            </w:r>
            <w:r w:rsidRPr="0047761D">
              <w:rPr>
                <w:sz w:val="20"/>
              </w:rPr>
              <w:t>6</w:t>
            </w:r>
          </w:p>
        </w:tc>
        <w:tc>
          <w:tcPr>
            <w:tcW w:w="1155" w:type="dxa"/>
            <w:tcBorders>
              <w:top w:val="nil"/>
              <w:left w:val="single" w:sz="4" w:space="0" w:color="auto"/>
              <w:bottom w:val="nil"/>
              <w:right w:val="single" w:sz="12" w:space="0" w:color="auto"/>
            </w:tcBorders>
            <w:shd w:val="clear" w:color="auto" w:fill="auto"/>
            <w:noWrap/>
            <w:vAlign w:val="bottom"/>
            <w:hideMark/>
          </w:tcPr>
          <w:p w14:paraId="6574F386" w14:textId="77777777" w:rsidR="003510BF" w:rsidRPr="0047761D" w:rsidRDefault="003510BF" w:rsidP="00D35E63">
            <w:pPr>
              <w:pStyle w:val="Tabletext"/>
              <w:keepNext/>
              <w:keepLines/>
              <w:jc w:val="center"/>
              <w:rPr>
                <w:sz w:val="20"/>
              </w:rPr>
            </w:pPr>
            <w:r w:rsidRPr="0047761D">
              <w:rPr>
                <w:sz w:val="20"/>
              </w:rPr>
              <w:t>29</w:t>
            </w:r>
          </w:p>
        </w:tc>
        <w:tc>
          <w:tcPr>
            <w:tcW w:w="700" w:type="dxa"/>
            <w:tcBorders>
              <w:top w:val="nil"/>
              <w:left w:val="single" w:sz="12" w:space="0" w:color="auto"/>
              <w:bottom w:val="nil"/>
              <w:right w:val="single" w:sz="4" w:space="0" w:color="auto"/>
            </w:tcBorders>
            <w:shd w:val="pct5" w:color="auto" w:fill="auto"/>
            <w:noWrap/>
            <w:vAlign w:val="bottom"/>
            <w:hideMark/>
          </w:tcPr>
          <w:p w14:paraId="52AF586F" w14:textId="77777777" w:rsidR="003510BF" w:rsidRPr="0047761D" w:rsidRDefault="003510BF" w:rsidP="00D35E63">
            <w:pPr>
              <w:pStyle w:val="Tabletext"/>
              <w:keepNext/>
              <w:keepLines/>
              <w:jc w:val="center"/>
              <w:rPr>
                <w:sz w:val="20"/>
              </w:rPr>
            </w:pPr>
            <w:r w:rsidRPr="0047761D">
              <w:rPr>
                <w:sz w:val="20"/>
              </w:rPr>
              <w:t>5</w:t>
            </w:r>
            <w:r>
              <w:rPr>
                <w:sz w:val="20"/>
              </w:rPr>
              <w:t>,</w:t>
            </w:r>
            <w:r w:rsidRPr="0047761D">
              <w:rPr>
                <w:sz w:val="20"/>
              </w:rPr>
              <w:t>5</w:t>
            </w:r>
          </w:p>
        </w:tc>
        <w:tc>
          <w:tcPr>
            <w:tcW w:w="1162" w:type="dxa"/>
            <w:tcBorders>
              <w:top w:val="nil"/>
              <w:left w:val="single" w:sz="4" w:space="0" w:color="auto"/>
              <w:bottom w:val="nil"/>
              <w:right w:val="single" w:sz="12" w:space="0" w:color="auto"/>
            </w:tcBorders>
            <w:shd w:val="pct5" w:color="auto" w:fill="auto"/>
            <w:noWrap/>
            <w:vAlign w:val="bottom"/>
            <w:hideMark/>
          </w:tcPr>
          <w:p w14:paraId="2BE084B9" w14:textId="77777777" w:rsidR="003510BF" w:rsidRPr="0047761D" w:rsidRDefault="003510BF" w:rsidP="00D35E63">
            <w:pPr>
              <w:pStyle w:val="Tabletext"/>
              <w:keepNext/>
              <w:keepLines/>
              <w:jc w:val="center"/>
              <w:rPr>
                <w:sz w:val="20"/>
              </w:rPr>
            </w:pPr>
            <w:r w:rsidRPr="0047761D">
              <w:rPr>
                <w:sz w:val="20"/>
              </w:rPr>
              <w:t>2</w:t>
            </w:r>
            <w:r>
              <w:rPr>
                <w:sz w:val="20"/>
              </w:rPr>
              <w:t>,</w:t>
            </w:r>
            <w:r w:rsidRPr="0047761D">
              <w:rPr>
                <w:sz w:val="20"/>
              </w:rPr>
              <w:t>9</w:t>
            </w:r>
          </w:p>
        </w:tc>
        <w:tc>
          <w:tcPr>
            <w:tcW w:w="826" w:type="dxa"/>
            <w:tcBorders>
              <w:top w:val="nil"/>
              <w:left w:val="single" w:sz="12" w:space="0" w:color="auto"/>
              <w:bottom w:val="nil"/>
              <w:right w:val="single" w:sz="4" w:space="0" w:color="auto"/>
            </w:tcBorders>
            <w:shd w:val="clear" w:color="auto" w:fill="auto"/>
            <w:noWrap/>
            <w:vAlign w:val="bottom"/>
            <w:hideMark/>
          </w:tcPr>
          <w:p w14:paraId="5F508459" w14:textId="77777777" w:rsidR="003510BF" w:rsidRPr="0047761D" w:rsidRDefault="003510BF" w:rsidP="00D35E63">
            <w:pPr>
              <w:pStyle w:val="Tabletext"/>
              <w:keepNext/>
              <w:keepLines/>
              <w:jc w:val="center"/>
              <w:rPr>
                <w:sz w:val="20"/>
              </w:rPr>
            </w:pPr>
            <w:r w:rsidRPr="0047761D">
              <w:rPr>
                <w:sz w:val="20"/>
              </w:rPr>
              <w:t>6</w:t>
            </w:r>
            <w:r>
              <w:rPr>
                <w:sz w:val="20"/>
              </w:rPr>
              <w:t>,</w:t>
            </w:r>
            <w:r w:rsidRPr="0047761D">
              <w:rPr>
                <w:sz w:val="20"/>
              </w:rPr>
              <w:t>1</w:t>
            </w:r>
          </w:p>
        </w:tc>
        <w:tc>
          <w:tcPr>
            <w:tcW w:w="1060" w:type="dxa"/>
            <w:tcBorders>
              <w:top w:val="nil"/>
              <w:left w:val="single" w:sz="4" w:space="0" w:color="auto"/>
              <w:bottom w:val="nil"/>
              <w:right w:val="single" w:sz="12" w:space="0" w:color="auto"/>
            </w:tcBorders>
            <w:shd w:val="clear" w:color="auto" w:fill="auto"/>
            <w:noWrap/>
            <w:vAlign w:val="bottom"/>
            <w:hideMark/>
          </w:tcPr>
          <w:p w14:paraId="2EF22DB0" w14:textId="77777777" w:rsidR="003510BF" w:rsidRPr="0047761D" w:rsidRDefault="003510BF" w:rsidP="00D35E63">
            <w:pPr>
              <w:pStyle w:val="Tabletext"/>
              <w:keepNext/>
              <w:keepLines/>
              <w:jc w:val="center"/>
              <w:rPr>
                <w:sz w:val="20"/>
              </w:rPr>
            </w:pPr>
            <w:r w:rsidRPr="0047761D">
              <w:rPr>
                <w:sz w:val="20"/>
              </w:rPr>
              <w:t>0</w:t>
            </w:r>
            <w:r>
              <w:rPr>
                <w:sz w:val="20"/>
              </w:rPr>
              <w:t>,</w:t>
            </w:r>
            <w:r w:rsidRPr="0047761D">
              <w:rPr>
                <w:sz w:val="20"/>
              </w:rPr>
              <w:t>3</w:t>
            </w:r>
          </w:p>
        </w:tc>
      </w:tr>
      <w:tr w:rsidR="003510BF" w:rsidRPr="0047761D" w14:paraId="55932950"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0469F78A" w14:textId="1E7F8DAA" w:rsidR="003510BF" w:rsidRPr="0047761D" w:rsidRDefault="003510BF" w:rsidP="00D35E63">
            <w:pPr>
              <w:pStyle w:val="Tabletext"/>
              <w:keepNext/>
              <w:keepLines/>
              <w:rPr>
                <w:sz w:val="20"/>
              </w:rPr>
            </w:pPr>
            <w:r w:rsidRPr="0047761D">
              <w:rPr>
                <w:sz w:val="20"/>
              </w:rPr>
              <w:t xml:space="preserve">MAQ-16 </w:t>
            </w:r>
          </w:p>
        </w:tc>
        <w:tc>
          <w:tcPr>
            <w:tcW w:w="1252" w:type="dxa"/>
            <w:tcBorders>
              <w:top w:val="nil"/>
              <w:left w:val="single" w:sz="12" w:space="0" w:color="auto"/>
              <w:bottom w:val="nil"/>
              <w:right w:val="single" w:sz="4" w:space="0" w:color="auto"/>
            </w:tcBorders>
            <w:shd w:val="pct5" w:color="auto" w:fill="auto"/>
            <w:noWrap/>
            <w:vAlign w:val="center"/>
            <w:hideMark/>
          </w:tcPr>
          <w:p w14:paraId="704A1A35" w14:textId="77777777" w:rsidR="003510BF" w:rsidRPr="0047761D" w:rsidRDefault="003510BF" w:rsidP="00D35E63">
            <w:pPr>
              <w:pStyle w:val="Tabletext"/>
              <w:keepNext/>
              <w:keepLines/>
              <w:jc w:val="center"/>
              <w:rPr>
                <w:sz w:val="20"/>
              </w:rPr>
            </w:pPr>
            <w:r w:rsidRPr="0047761D">
              <w:rPr>
                <w:sz w:val="20"/>
              </w:rPr>
              <w:t>3</w:t>
            </w:r>
            <w:r>
              <w:rPr>
                <w:sz w:val="20"/>
              </w:rPr>
              <w:t>,</w:t>
            </w:r>
            <w:r w:rsidRPr="0047761D">
              <w:rPr>
                <w:sz w:val="20"/>
              </w:rPr>
              <w:t>1</w:t>
            </w:r>
          </w:p>
        </w:tc>
        <w:tc>
          <w:tcPr>
            <w:tcW w:w="1188" w:type="dxa"/>
            <w:tcBorders>
              <w:top w:val="nil"/>
              <w:left w:val="single" w:sz="4" w:space="0" w:color="auto"/>
              <w:bottom w:val="nil"/>
              <w:right w:val="single" w:sz="12" w:space="0" w:color="auto"/>
            </w:tcBorders>
            <w:shd w:val="pct5" w:color="auto" w:fill="auto"/>
            <w:noWrap/>
            <w:vAlign w:val="bottom"/>
            <w:hideMark/>
          </w:tcPr>
          <w:p w14:paraId="65DC627B" w14:textId="77777777" w:rsidR="003510BF" w:rsidRPr="0047761D" w:rsidRDefault="003510BF" w:rsidP="00D35E63">
            <w:pPr>
              <w:pStyle w:val="Tabletext"/>
              <w:keepNext/>
              <w:keepLines/>
              <w:jc w:val="center"/>
              <w:rPr>
                <w:sz w:val="20"/>
              </w:rPr>
            </w:pPr>
            <w:r w:rsidRPr="0047761D">
              <w:rPr>
                <w:sz w:val="20"/>
              </w:rPr>
              <w:t>232</w:t>
            </w:r>
          </w:p>
        </w:tc>
        <w:tc>
          <w:tcPr>
            <w:tcW w:w="625" w:type="dxa"/>
            <w:tcBorders>
              <w:top w:val="nil"/>
              <w:left w:val="single" w:sz="12" w:space="0" w:color="auto"/>
              <w:bottom w:val="nil"/>
              <w:right w:val="single" w:sz="4" w:space="0" w:color="auto"/>
            </w:tcBorders>
            <w:shd w:val="clear" w:color="auto" w:fill="auto"/>
            <w:noWrap/>
            <w:vAlign w:val="bottom"/>
            <w:hideMark/>
          </w:tcPr>
          <w:p w14:paraId="52BAF302" w14:textId="77777777" w:rsidR="003510BF" w:rsidRPr="0047761D" w:rsidRDefault="003510BF" w:rsidP="00D35E63">
            <w:pPr>
              <w:pStyle w:val="Tabletext"/>
              <w:keepNext/>
              <w:keepLines/>
              <w:jc w:val="center"/>
              <w:rPr>
                <w:sz w:val="20"/>
              </w:rPr>
            </w:pPr>
            <w:r w:rsidRPr="0047761D">
              <w:rPr>
                <w:sz w:val="20"/>
              </w:rPr>
              <w:t>4</w:t>
            </w:r>
            <w:r>
              <w:rPr>
                <w:sz w:val="20"/>
              </w:rPr>
              <w:t>,</w:t>
            </w:r>
            <w:r w:rsidRPr="0047761D">
              <w:rPr>
                <w:sz w:val="20"/>
              </w:rPr>
              <w:t>5</w:t>
            </w:r>
          </w:p>
        </w:tc>
        <w:tc>
          <w:tcPr>
            <w:tcW w:w="1155" w:type="dxa"/>
            <w:tcBorders>
              <w:top w:val="nil"/>
              <w:left w:val="single" w:sz="4" w:space="0" w:color="auto"/>
              <w:bottom w:val="nil"/>
              <w:right w:val="single" w:sz="12" w:space="0" w:color="auto"/>
            </w:tcBorders>
            <w:shd w:val="clear" w:color="auto" w:fill="auto"/>
            <w:noWrap/>
            <w:vAlign w:val="bottom"/>
            <w:hideMark/>
          </w:tcPr>
          <w:p w14:paraId="690963E6" w14:textId="77777777" w:rsidR="003510BF" w:rsidRPr="0047761D" w:rsidRDefault="003510BF" w:rsidP="00D35E63">
            <w:pPr>
              <w:pStyle w:val="Tabletext"/>
              <w:keepNext/>
              <w:keepLines/>
              <w:jc w:val="center"/>
              <w:rPr>
                <w:sz w:val="20"/>
              </w:rPr>
            </w:pPr>
            <w:r w:rsidRPr="0047761D">
              <w:rPr>
                <w:sz w:val="20"/>
              </w:rPr>
              <w:t>23</w:t>
            </w:r>
            <w:r>
              <w:rPr>
                <w:sz w:val="20"/>
              </w:rPr>
              <w:t>,</w:t>
            </w:r>
            <w:r w:rsidRPr="0047761D">
              <w:rPr>
                <w:sz w:val="20"/>
              </w:rPr>
              <w:t>2</w:t>
            </w:r>
          </w:p>
        </w:tc>
        <w:tc>
          <w:tcPr>
            <w:tcW w:w="700" w:type="dxa"/>
            <w:tcBorders>
              <w:top w:val="nil"/>
              <w:left w:val="single" w:sz="12" w:space="0" w:color="auto"/>
              <w:bottom w:val="nil"/>
              <w:right w:val="single" w:sz="4" w:space="0" w:color="auto"/>
            </w:tcBorders>
            <w:shd w:val="pct5" w:color="auto" w:fill="auto"/>
            <w:noWrap/>
            <w:vAlign w:val="bottom"/>
            <w:hideMark/>
          </w:tcPr>
          <w:p w14:paraId="284A5608" w14:textId="77777777" w:rsidR="003510BF" w:rsidRPr="0047761D" w:rsidRDefault="003510BF" w:rsidP="00D35E63">
            <w:pPr>
              <w:pStyle w:val="Tabletext"/>
              <w:keepNext/>
              <w:keepLines/>
              <w:jc w:val="center"/>
              <w:rPr>
                <w:sz w:val="20"/>
              </w:rPr>
            </w:pPr>
            <w:r w:rsidRPr="0047761D">
              <w:rPr>
                <w:sz w:val="20"/>
              </w:rPr>
              <w:t>5</w:t>
            </w:r>
            <w:r>
              <w:rPr>
                <w:sz w:val="20"/>
              </w:rPr>
              <w:t>,</w:t>
            </w:r>
            <w:r w:rsidRPr="0047761D">
              <w:rPr>
                <w:sz w:val="20"/>
              </w:rPr>
              <w:t>6</w:t>
            </w:r>
          </w:p>
        </w:tc>
        <w:tc>
          <w:tcPr>
            <w:tcW w:w="1162" w:type="dxa"/>
            <w:tcBorders>
              <w:top w:val="nil"/>
              <w:left w:val="single" w:sz="4" w:space="0" w:color="auto"/>
              <w:bottom w:val="nil"/>
              <w:right w:val="single" w:sz="12" w:space="0" w:color="auto"/>
            </w:tcBorders>
            <w:shd w:val="pct5" w:color="auto" w:fill="auto"/>
            <w:noWrap/>
            <w:vAlign w:val="bottom"/>
            <w:hideMark/>
          </w:tcPr>
          <w:p w14:paraId="46D344D3" w14:textId="77777777" w:rsidR="003510BF" w:rsidRPr="0047761D" w:rsidRDefault="003510BF" w:rsidP="00D35E63">
            <w:pPr>
              <w:pStyle w:val="Tabletext"/>
              <w:keepNext/>
              <w:keepLines/>
              <w:jc w:val="center"/>
              <w:rPr>
                <w:sz w:val="20"/>
              </w:rPr>
            </w:pPr>
            <w:r w:rsidRPr="0047761D">
              <w:rPr>
                <w:sz w:val="20"/>
              </w:rPr>
              <w:t>2</w:t>
            </w:r>
            <w:r>
              <w:rPr>
                <w:sz w:val="20"/>
              </w:rPr>
              <w:t>,</w:t>
            </w:r>
            <w:r w:rsidRPr="0047761D">
              <w:rPr>
                <w:sz w:val="20"/>
              </w:rPr>
              <w:t>3</w:t>
            </w:r>
          </w:p>
        </w:tc>
        <w:tc>
          <w:tcPr>
            <w:tcW w:w="826" w:type="dxa"/>
            <w:tcBorders>
              <w:top w:val="nil"/>
              <w:left w:val="single" w:sz="12" w:space="0" w:color="auto"/>
              <w:bottom w:val="nil"/>
              <w:right w:val="single" w:sz="4" w:space="0" w:color="auto"/>
            </w:tcBorders>
            <w:shd w:val="clear" w:color="auto" w:fill="auto"/>
            <w:noWrap/>
            <w:vAlign w:val="bottom"/>
            <w:hideMark/>
          </w:tcPr>
          <w:p w14:paraId="32043D47" w14:textId="77777777" w:rsidR="003510BF" w:rsidRPr="0047761D" w:rsidRDefault="003510BF" w:rsidP="00D35E63">
            <w:pPr>
              <w:pStyle w:val="Tabletext"/>
              <w:keepNext/>
              <w:keepLines/>
              <w:jc w:val="center"/>
              <w:rPr>
                <w:sz w:val="20"/>
              </w:rPr>
            </w:pPr>
            <w:r w:rsidRPr="0047761D">
              <w:rPr>
                <w:sz w:val="20"/>
              </w:rPr>
              <w:t>6</w:t>
            </w:r>
            <w:r>
              <w:rPr>
                <w:sz w:val="20"/>
              </w:rPr>
              <w:t>,</w:t>
            </w:r>
            <w:r w:rsidRPr="0047761D">
              <w:rPr>
                <w:sz w:val="20"/>
              </w:rPr>
              <w:t>3</w:t>
            </w:r>
          </w:p>
        </w:tc>
        <w:tc>
          <w:tcPr>
            <w:tcW w:w="1060" w:type="dxa"/>
            <w:tcBorders>
              <w:top w:val="nil"/>
              <w:left w:val="single" w:sz="4" w:space="0" w:color="auto"/>
              <w:bottom w:val="nil"/>
              <w:right w:val="single" w:sz="12" w:space="0" w:color="auto"/>
            </w:tcBorders>
            <w:shd w:val="clear" w:color="auto" w:fill="auto"/>
            <w:noWrap/>
            <w:vAlign w:val="bottom"/>
            <w:hideMark/>
          </w:tcPr>
          <w:p w14:paraId="67AF9279" w14:textId="77777777" w:rsidR="003510BF" w:rsidRPr="0047761D" w:rsidRDefault="003510BF" w:rsidP="00D35E63">
            <w:pPr>
              <w:pStyle w:val="Tabletext"/>
              <w:keepNext/>
              <w:keepLines/>
              <w:jc w:val="center"/>
              <w:rPr>
                <w:sz w:val="20"/>
              </w:rPr>
            </w:pPr>
            <w:r w:rsidRPr="0047761D">
              <w:rPr>
                <w:sz w:val="20"/>
              </w:rPr>
              <w:t>0</w:t>
            </w:r>
            <w:r>
              <w:rPr>
                <w:sz w:val="20"/>
              </w:rPr>
              <w:t>,</w:t>
            </w:r>
            <w:r w:rsidRPr="0047761D">
              <w:rPr>
                <w:sz w:val="20"/>
              </w:rPr>
              <w:t>2</w:t>
            </w:r>
          </w:p>
        </w:tc>
      </w:tr>
      <w:tr w:rsidR="003510BF" w:rsidRPr="0047761D" w14:paraId="3B30F034"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09A4B77C" w14:textId="46960448" w:rsidR="003510BF" w:rsidRPr="0047761D" w:rsidRDefault="003510BF" w:rsidP="00D35E63">
            <w:pPr>
              <w:pStyle w:val="Tabletext"/>
              <w:keepNext/>
              <w:keepLines/>
              <w:rPr>
                <w:sz w:val="20"/>
              </w:rPr>
            </w:pPr>
            <w:r w:rsidRPr="0047761D">
              <w:rPr>
                <w:sz w:val="20"/>
              </w:rPr>
              <w:t xml:space="preserve">MDP-2 </w:t>
            </w:r>
          </w:p>
        </w:tc>
        <w:tc>
          <w:tcPr>
            <w:tcW w:w="1252" w:type="dxa"/>
            <w:tcBorders>
              <w:top w:val="nil"/>
              <w:left w:val="single" w:sz="12" w:space="0" w:color="auto"/>
              <w:bottom w:val="nil"/>
              <w:right w:val="single" w:sz="4" w:space="0" w:color="auto"/>
            </w:tcBorders>
            <w:shd w:val="pct5" w:color="auto" w:fill="auto"/>
            <w:noWrap/>
            <w:vAlign w:val="center"/>
            <w:hideMark/>
          </w:tcPr>
          <w:p w14:paraId="0F1FC639" w14:textId="77777777" w:rsidR="003510BF" w:rsidRPr="0047761D" w:rsidRDefault="003510BF" w:rsidP="00D35E63">
            <w:pPr>
              <w:pStyle w:val="Tabletext"/>
              <w:keepNext/>
              <w:keepLines/>
              <w:jc w:val="center"/>
              <w:rPr>
                <w:sz w:val="20"/>
              </w:rPr>
            </w:pPr>
            <w:r w:rsidRPr="0047761D">
              <w:rPr>
                <w:sz w:val="20"/>
              </w:rPr>
              <w:t>2</w:t>
            </w:r>
            <w:r>
              <w:rPr>
                <w:sz w:val="20"/>
              </w:rPr>
              <w:t>,</w:t>
            </w:r>
            <w:r w:rsidRPr="0047761D">
              <w:rPr>
                <w:sz w:val="20"/>
              </w:rPr>
              <w:t>8</w:t>
            </w:r>
          </w:p>
        </w:tc>
        <w:tc>
          <w:tcPr>
            <w:tcW w:w="1188" w:type="dxa"/>
            <w:tcBorders>
              <w:top w:val="nil"/>
              <w:left w:val="single" w:sz="4" w:space="0" w:color="auto"/>
              <w:bottom w:val="nil"/>
              <w:right w:val="single" w:sz="12" w:space="0" w:color="auto"/>
            </w:tcBorders>
            <w:shd w:val="pct5" w:color="auto" w:fill="auto"/>
            <w:noWrap/>
            <w:vAlign w:val="bottom"/>
            <w:hideMark/>
          </w:tcPr>
          <w:p w14:paraId="510438B2" w14:textId="77777777" w:rsidR="003510BF" w:rsidRPr="0047761D" w:rsidRDefault="003510BF" w:rsidP="00D35E63">
            <w:pPr>
              <w:pStyle w:val="Tabletext"/>
              <w:keepNext/>
              <w:keepLines/>
              <w:jc w:val="center"/>
              <w:rPr>
                <w:sz w:val="20"/>
              </w:rPr>
            </w:pPr>
            <w:r w:rsidRPr="0047761D">
              <w:rPr>
                <w:sz w:val="20"/>
              </w:rPr>
              <w:t>58</w:t>
            </w:r>
          </w:p>
        </w:tc>
        <w:tc>
          <w:tcPr>
            <w:tcW w:w="625" w:type="dxa"/>
            <w:tcBorders>
              <w:top w:val="nil"/>
              <w:left w:val="single" w:sz="12" w:space="0" w:color="auto"/>
              <w:bottom w:val="nil"/>
              <w:right w:val="single" w:sz="4" w:space="0" w:color="auto"/>
            </w:tcBorders>
            <w:shd w:val="clear" w:color="auto" w:fill="auto"/>
            <w:noWrap/>
            <w:vAlign w:val="bottom"/>
            <w:hideMark/>
          </w:tcPr>
          <w:p w14:paraId="29FFE326" w14:textId="77777777" w:rsidR="003510BF" w:rsidRPr="0047761D" w:rsidRDefault="003510BF" w:rsidP="00D35E63">
            <w:pPr>
              <w:pStyle w:val="Tabletext"/>
              <w:keepNext/>
              <w:keepLines/>
              <w:jc w:val="center"/>
              <w:rPr>
                <w:sz w:val="20"/>
              </w:rPr>
            </w:pPr>
            <w:r w:rsidRPr="0047761D">
              <w:rPr>
                <w:sz w:val="20"/>
              </w:rPr>
              <w:t>4</w:t>
            </w:r>
            <w:r>
              <w:rPr>
                <w:sz w:val="20"/>
              </w:rPr>
              <w:t>,</w:t>
            </w:r>
            <w:r w:rsidRPr="0047761D">
              <w:rPr>
                <w:sz w:val="20"/>
              </w:rPr>
              <w:t>4</w:t>
            </w:r>
          </w:p>
        </w:tc>
        <w:tc>
          <w:tcPr>
            <w:tcW w:w="1155" w:type="dxa"/>
            <w:tcBorders>
              <w:top w:val="nil"/>
              <w:left w:val="single" w:sz="4" w:space="0" w:color="auto"/>
              <w:bottom w:val="nil"/>
              <w:right w:val="single" w:sz="12" w:space="0" w:color="auto"/>
            </w:tcBorders>
            <w:shd w:val="clear" w:color="auto" w:fill="auto"/>
            <w:noWrap/>
            <w:vAlign w:val="bottom"/>
            <w:hideMark/>
          </w:tcPr>
          <w:p w14:paraId="58BA0484" w14:textId="77777777" w:rsidR="003510BF" w:rsidRPr="0047761D" w:rsidRDefault="003510BF" w:rsidP="00D35E63">
            <w:pPr>
              <w:pStyle w:val="Tabletext"/>
              <w:keepNext/>
              <w:keepLines/>
              <w:jc w:val="center"/>
              <w:rPr>
                <w:sz w:val="20"/>
              </w:rPr>
            </w:pPr>
            <w:r w:rsidRPr="0047761D">
              <w:rPr>
                <w:sz w:val="20"/>
              </w:rPr>
              <w:t>5</w:t>
            </w:r>
            <w:r>
              <w:rPr>
                <w:sz w:val="20"/>
              </w:rPr>
              <w:t>,</w:t>
            </w:r>
            <w:r w:rsidRPr="0047761D">
              <w:rPr>
                <w:sz w:val="20"/>
              </w:rPr>
              <w:t>8</w:t>
            </w:r>
          </w:p>
        </w:tc>
        <w:tc>
          <w:tcPr>
            <w:tcW w:w="700" w:type="dxa"/>
            <w:tcBorders>
              <w:top w:val="nil"/>
              <w:left w:val="single" w:sz="12" w:space="0" w:color="auto"/>
              <w:bottom w:val="nil"/>
              <w:right w:val="single" w:sz="4" w:space="0" w:color="auto"/>
            </w:tcBorders>
            <w:shd w:val="pct5" w:color="auto" w:fill="auto"/>
            <w:noWrap/>
            <w:vAlign w:val="bottom"/>
            <w:hideMark/>
          </w:tcPr>
          <w:p w14:paraId="734C2261" w14:textId="77777777" w:rsidR="003510BF" w:rsidRPr="0047761D" w:rsidRDefault="003510BF" w:rsidP="00D35E63">
            <w:pPr>
              <w:pStyle w:val="Tabletext"/>
              <w:keepNext/>
              <w:keepLines/>
              <w:jc w:val="center"/>
              <w:rPr>
                <w:sz w:val="20"/>
              </w:rPr>
            </w:pPr>
            <w:r w:rsidRPr="0047761D">
              <w:rPr>
                <w:sz w:val="20"/>
              </w:rPr>
              <w:t>4</w:t>
            </w:r>
            <w:r>
              <w:rPr>
                <w:sz w:val="20"/>
              </w:rPr>
              <w:t>,</w:t>
            </w:r>
            <w:r w:rsidRPr="0047761D">
              <w:rPr>
                <w:sz w:val="20"/>
              </w:rPr>
              <w:t>9</w:t>
            </w:r>
          </w:p>
        </w:tc>
        <w:tc>
          <w:tcPr>
            <w:tcW w:w="1162" w:type="dxa"/>
            <w:tcBorders>
              <w:top w:val="nil"/>
              <w:left w:val="single" w:sz="4" w:space="0" w:color="auto"/>
              <w:bottom w:val="nil"/>
              <w:right w:val="single" w:sz="12" w:space="0" w:color="auto"/>
            </w:tcBorders>
            <w:shd w:val="pct5" w:color="auto" w:fill="auto"/>
            <w:noWrap/>
            <w:vAlign w:val="bottom"/>
            <w:hideMark/>
          </w:tcPr>
          <w:p w14:paraId="4ACFC8B1" w14:textId="77777777" w:rsidR="003510BF" w:rsidRPr="0047761D" w:rsidRDefault="003510BF" w:rsidP="00D35E63">
            <w:pPr>
              <w:pStyle w:val="Tabletext"/>
              <w:keepNext/>
              <w:keepLines/>
              <w:jc w:val="center"/>
              <w:rPr>
                <w:sz w:val="20"/>
              </w:rPr>
            </w:pPr>
            <w:r w:rsidRPr="0047761D">
              <w:rPr>
                <w:sz w:val="20"/>
              </w:rPr>
              <w:t>0</w:t>
            </w:r>
            <w:r>
              <w:rPr>
                <w:sz w:val="20"/>
              </w:rPr>
              <w:t>,</w:t>
            </w:r>
            <w:r w:rsidRPr="0047761D">
              <w:rPr>
                <w:sz w:val="20"/>
              </w:rPr>
              <w:t>6</w:t>
            </w:r>
          </w:p>
        </w:tc>
        <w:tc>
          <w:tcPr>
            <w:tcW w:w="826" w:type="dxa"/>
            <w:tcBorders>
              <w:top w:val="nil"/>
              <w:left w:val="single" w:sz="12" w:space="0" w:color="auto"/>
              <w:bottom w:val="nil"/>
              <w:right w:val="single" w:sz="4" w:space="0" w:color="auto"/>
            </w:tcBorders>
            <w:shd w:val="clear" w:color="auto" w:fill="auto"/>
            <w:noWrap/>
            <w:vAlign w:val="bottom"/>
            <w:hideMark/>
          </w:tcPr>
          <w:p w14:paraId="2053060B" w14:textId="77777777" w:rsidR="003510BF" w:rsidRPr="0047761D" w:rsidRDefault="003510BF" w:rsidP="00D35E63">
            <w:pPr>
              <w:pStyle w:val="Tabletext"/>
              <w:keepNext/>
              <w:keepLines/>
              <w:jc w:val="center"/>
              <w:rPr>
                <w:sz w:val="20"/>
              </w:rPr>
            </w:pPr>
            <w:r w:rsidRPr="0047761D">
              <w:rPr>
                <w:sz w:val="20"/>
              </w:rPr>
              <w:t>5</w:t>
            </w:r>
            <w:r>
              <w:rPr>
                <w:sz w:val="20"/>
              </w:rPr>
              <w:t>,</w:t>
            </w:r>
            <w:r w:rsidRPr="0047761D">
              <w:rPr>
                <w:sz w:val="20"/>
              </w:rPr>
              <w:t>2</w:t>
            </w:r>
          </w:p>
        </w:tc>
        <w:tc>
          <w:tcPr>
            <w:tcW w:w="1060" w:type="dxa"/>
            <w:tcBorders>
              <w:top w:val="nil"/>
              <w:left w:val="single" w:sz="4" w:space="0" w:color="auto"/>
              <w:bottom w:val="nil"/>
              <w:right w:val="single" w:sz="12" w:space="0" w:color="auto"/>
            </w:tcBorders>
            <w:shd w:val="clear" w:color="auto" w:fill="auto"/>
            <w:noWrap/>
            <w:vAlign w:val="bottom"/>
            <w:hideMark/>
          </w:tcPr>
          <w:p w14:paraId="2C1BA25F" w14:textId="77777777" w:rsidR="003510BF" w:rsidRPr="0047761D" w:rsidRDefault="003510BF" w:rsidP="00D35E63">
            <w:pPr>
              <w:pStyle w:val="Tabletext"/>
              <w:keepNext/>
              <w:keepLines/>
              <w:jc w:val="center"/>
              <w:rPr>
                <w:sz w:val="20"/>
              </w:rPr>
            </w:pPr>
            <w:r w:rsidRPr="0047761D">
              <w:rPr>
                <w:sz w:val="20"/>
              </w:rPr>
              <w:t>0</w:t>
            </w:r>
            <w:r>
              <w:rPr>
                <w:sz w:val="20"/>
              </w:rPr>
              <w:t>,</w:t>
            </w:r>
            <w:r w:rsidRPr="0047761D">
              <w:rPr>
                <w:sz w:val="20"/>
              </w:rPr>
              <w:t>1</w:t>
            </w:r>
          </w:p>
        </w:tc>
      </w:tr>
      <w:tr w:rsidR="003510BF" w:rsidRPr="0047761D" w14:paraId="54E49BBD" w14:textId="77777777" w:rsidTr="00C42A56">
        <w:trPr>
          <w:trHeight w:val="300"/>
          <w:jc w:val="center"/>
        </w:trPr>
        <w:tc>
          <w:tcPr>
            <w:tcW w:w="1808" w:type="dxa"/>
            <w:tcBorders>
              <w:top w:val="nil"/>
              <w:left w:val="single" w:sz="4" w:space="0" w:color="auto"/>
              <w:bottom w:val="single" w:sz="4" w:space="0" w:color="auto"/>
              <w:right w:val="single" w:sz="12" w:space="0" w:color="auto"/>
            </w:tcBorders>
            <w:shd w:val="clear" w:color="auto" w:fill="auto"/>
            <w:noWrap/>
            <w:vAlign w:val="bottom"/>
            <w:hideMark/>
          </w:tcPr>
          <w:p w14:paraId="5F7BBEA0" w14:textId="77777777" w:rsidR="003510BF" w:rsidRPr="0047761D" w:rsidRDefault="003510BF" w:rsidP="00D35E63">
            <w:pPr>
              <w:pStyle w:val="Tabletext"/>
              <w:keepNext/>
              <w:keepLines/>
              <w:rPr>
                <w:sz w:val="20"/>
              </w:rPr>
            </w:pPr>
            <w:r w:rsidRPr="0047761D">
              <w:rPr>
                <w:sz w:val="20"/>
              </w:rPr>
              <w:t>MDP-4</w:t>
            </w:r>
          </w:p>
        </w:tc>
        <w:tc>
          <w:tcPr>
            <w:tcW w:w="1252" w:type="dxa"/>
            <w:tcBorders>
              <w:top w:val="nil"/>
              <w:left w:val="single" w:sz="12" w:space="0" w:color="auto"/>
              <w:bottom w:val="single" w:sz="4" w:space="0" w:color="auto"/>
              <w:right w:val="single" w:sz="4" w:space="0" w:color="auto"/>
            </w:tcBorders>
            <w:shd w:val="pct5" w:color="auto" w:fill="auto"/>
            <w:noWrap/>
            <w:vAlign w:val="center"/>
            <w:hideMark/>
          </w:tcPr>
          <w:p w14:paraId="294CE1C2" w14:textId="77777777" w:rsidR="003510BF" w:rsidRPr="0047761D" w:rsidRDefault="003510BF" w:rsidP="00D35E63">
            <w:pPr>
              <w:pStyle w:val="Tabletext"/>
              <w:keepNext/>
              <w:keepLines/>
              <w:jc w:val="center"/>
              <w:rPr>
                <w:sz w:val="20"/>
              </w:rPr>
            </w:pPr>
            <w:r w:rsidRPr="0047761D">
              <w:rPr>
                <w:sz w:val="20"/>
              </w:rPr>
              <w:t>2</w:t>
            </w:r>
            <w:r>
              <w:rPr>
                <w:sz w:val="20"/>
              </w:rPr>
              <w:t>,</w:t>
            </w:r>
            <w:r w:rsidRPr="0047761D">
              <w:rPr>
                <w:sz w:val="20"/>
              </w:rPr>
              <w:t>0</w:t>
            </w:r>
          </w:p>
        </w:tc>
        <w:tc>
          <w:tcPr>
            <w:tcW w:w="1188" w:type="dxa"/>
            <w:tcBorders>
              <w:top w:val="nil"/>
              <w:left w:val="single" w:sz="4" w:space="0" w:color="auto"/>
              <w:bottom w:val="single" w:sz="4" w:space="0" w:color="auto"/>
              <w:right w:val="single" w:sz="12" w:space="0" w:color="auto"/>
            </w:tcBorders>
            <w:shd w:val="pct5" w:color="auto" w:fill="auto"/>
            <w:noWrap/>
            <w:vAlign w:val="bottom"/>
            <w:hideMark/>
          </w:tcPr>
          <w:p w14:paraId="057D9CF5" w14:textId="77777777" w:rsidR="003510BF" w:rsidRPr="0047761D" w:rsidRDefault="003510BF" w:rsidP="00D35E63">
            <w:pPr>
              <w:pStyle w:val="Tabletext"/>
              <w:keepNext/>
              <w:keepLines/>
              <w:jc w:val="center"/>
              <w:rPr>
                <w:sz w:val="20"/>
              </w:rPr>
            </w:pPr>
            <w:r w:rsidRPr="0047761D">
              <w:rPr>
                <w:sz w:val="20"/>
              </w:rPr>
              <w:t>116</w:t>
            </w:r>
          </w:p>
        </w:tc>
        <w:tc>
          <w:tcPr>
            <w:tcW w:w="625" w:type="dxa"/>
            <w:tcBorders>
              <w:top w:val="nil"/>
              <w:left w:val="single" w:sz="12" w:space="0" w:color="auto"/>
              <w:bottom w:val="single" w:sz="4" w:space="0" w:color="auto"/>
              <w:right w:val="single" w:sz="4" w:space="0" w:color="auto"/>
            </w:tcBorders>
            <w:shd w:val="clear" w:color="auto" w:fill="auto"/>
            <w:noWrap/>
            <w:vAlign w:val="bottom"/>
            <w:hideMark/>
          </w:tcPr>
          <w:p w14:paraId="3EFB0F70" w14:textId="77777777" w:rsidR="003510BF" w:rsidRPr="0047761D" w:rsidRDefault="003510BF" w:rsidP="00D35E63">
            <w:pPr>
              <w:pStyle w:val="Tabletext"/>
              <w:keepNext/>
              <w:keepLines/>
              <w:jc w:val="center"/>
              <w:rPr>
                <w:sz w:val="20"/>
              </w:rPr>
            </w:pPr>
            <w:r w:rsidRPr="0047761D">
              <w:rPr>
                <w:sz w:val="20"/>
              </w:rPr>
              <w:t>3</w:t>
            </w:r>
            <w:r>
              <w:rPr>
                <w:sz w:val="20"/>
              </w:rPr>
              <w:t>,</w:t>
            </w:r>
            <w:r w:rsidRPr="0047761D">
              <w:rPr>
                <w:sz w:val="20"/>
              </w:rPr>
              <w:t>5</w:t>
            </w:r>
          </w:p>
        </w:tc>
        <w:tc>
          <w:tcPr>
            <w:tcW w:w="1155" w:type="dxa"/>
            <w:tcBorders>
              <w:top w:val="nil"/>
              <w:left w:val="single" w:sz="4" w:space="0" w:color="auto"/>
              <w:bottom w:val="single" w:sz="4" w:space="0" w:color="auto"/>
              <w:right w:val="single" w:sz="12" w:space="0" w:color="auto"/>
            </w:tcBorders>
            <w:shd w:val="clear" w:color="auto" w:fill="auto"/>
            <w:noWrap/>
            <w:vAlign w:val="bottom"/>
            <w:hideMark/>
          </w:tcPr>
          <w:p w14:paraId="408C0A83" w14:textId="77777777" w:rsidR="003510BF" w:rsidRPr="0047761D" w:rsidRDefault="003510BF" w:rsidP="00D35E63">
            <w:pPr>
              <w:pStyle w:val="Tabletext"/>
              <w:keepNext/>
              <w:keepLines/>
              <w:jc w:val="center"/>
              <w:rPr>
                <w:sz w:val="20"/>
              </w:rPr>
            </w:pPr>
            <w:r w:rsidRPr="0047761D">
              <w:rPr>
                <w:sz w:val="20"/>
              </w:rPr>
              <w:t>11</w:t>
            </w:r>
            <w:r>
              <w:rPr>
                <w:sz w:val="20"/>
              </w:rPr>
              <w:t>,</w:t>
            </w:r>
            <w:r w:rsidRPr="0047761D">
              <w:rPr>
                <w:sz w:val="20"/>
              </w:rPr>
              <w:t>6</w:t>
            </w:r>
          </w:p>
        </w:tc>
        <w:tc>
          <w:tcPr>
            <w:tcW w:w="700" w:type="dxa"/>
            <w:tcBorders>
              <w:top w:val="nil"/>
              <w:left w:val="single" w:sz="12" w:space="0" w:color="auto"/>
              <w:bottom w:val="single" w:sz="4" w:space="0" w:color="auto"/>
              <w:right w:val="single" w:sz="4" w:space="0" w:color="auto"/>
            </w:tcBorders>
            <w:shd w:val="pct5" w:color="auto" w:fill="auto"/>
            <w:noWrap/>
            <w:vAlign w:val="bottom"/>
            <w:hideMark/>
          </w:tcPr>
          <w:p w14:paraId="577C20B9" w14:textId="77777777" w:rsidR="003510BF" w:rsidRPr="0047761D" w:rsidRDefault="003510BF" w:rsidP="00D35E63">
            <w:pPr>
              <w:pStyle w:val="Tabletext"/>
              <w:keepNext/>
              <w:keepLines/>
              <w:jc w:val="center"/>
              <w:rPr>
                <w:sz w:val="20"/>
              </w:rPr>
            </w:pPr>
            <w:r w:rsidRPr="0047761D">
              <w:rPr>
                <w:sz w:val="20"/>
              </w:rPr>
              <w:t>4</w:t>
            </w:r>
            <w:r>
              <w:rPr>
                <w:sz w:val="20"/>
              </w:rPr>
              <w:t>,</w:t>
            </w:r>
            <w:r w:rsidRPr="0047761D">
              <w:rPr>
                <w:sz w:val="20"/>
              </w:rPr>
              <w:t>3</w:t>
            </w:r>
          </w:p>
        </w:tc>
        <w:tc>
          <w:tcPr>
            <w:tcW w:w="1162" w:type="dxa"/>
            <w:tcBorders>
              <w:top w:val="nil"/>
              <w:left w:val="single" w:sz="4" w:space="0" w:color="auto"/>
              <w:bottom w:val="single" w:sz="4" w:space="0" w:color="auto"/>
              <w:right w:val="single" w:sz="12" w:space="0" w:color="auto"/>
            </w:tcBorders>
            <w:shd w:val="pct5" w:color="auto" w:fill="auto"/>
            <w:noWrap/>
            <w:vAlign w:val="bottom"/>
            <w:hideMark/>
          </w:tcPr>
          <w:p w14:paraId="500050F1" w14:textId="77777777" w:rsidR="003510BF" w:rsidRPr="0047761D" w:rsidRDefault="003510BF" w:rsidP="00D35E63">
            <w:pPr>
              <w:pStyle w:val="Tabletext"/>
              <w:keepNext/>
              <w:keepLines/>
              <w:jc w:val="center"/>
              <w:rPr>
                <w:sz w:val="20"/>
              </w:rPr>
            </w:pPr>
            <w:r w:rsidRPr="0047761D">
              <w:rPr>
                <w:sz w:val="20"/>
              </w:rPr>
              <w:t>1</w:t>
            </w:r>
            <w:r>
              <w:rPr>
                <w:sz w:val="20"/>
              </w:rPr>
              <w:t>,</w:t>
            </w:r>
            <w:r w:rsidRPr="0047761D">
              <w:rPr>
                <w:sz w:val="20"/>
              </w:rPr>
              <w:t>2</w:t>
            </w:r>
          </w:p>
        </w:tc>
        <w:tc>
          <w:tcPr>
            <w:tcW w:w="826" w:type="dxa"/>
            <w:tcBorders>
              <w:top w:val="nil"/>
              <w:left w:val="single" w:sz="12" w:space="0" w:color="auto"/>
              <w:bottom w:val="single" w:sz="4" w:space="0" w:color="auto"/>
              <w:right w:val="single" w:sz="4" w:space="0" w:color="auto"/>
            </w:tcBorders>
            <w:shd w:val="clear" w:color="auto" w:fill="auto"/>
            <w:noWrap/>
            <w:vAlign w:val="bottom"/>
            <w:hideMark/>
          </w:tcPr>
          <w:p w14:paraId="372E116E" w14:textId="77777777" w:rsidR="003510BF" w:rsidRPr="0047761D" w:rsidRDefault="003510BF" w:rsidP="00D35E63">
            <w:pPr>
              <w:pStyle w:val="Tabletext"/>
              <w:keepNext/>
              <w:keepLines/>
              <w:jc w:val="center"/>
              <w:rPr>
                <w:sz w:val="20"/>
              </w:rPr>
            </w:pPr>
            <w:r w:rsidRPr="0047761D">
              <w:rPr>
                <w:sz w:val="20"/>
              </w:rPr>
              <w:t>4</w:t>
            </w:r>
            <w:r>
              <w:rPr>
                <w:sz w:val="20"/>
              </w:rPr>
              <w:t>,</w:t>
            </w:r>
            <w:r w:rsidRPr="0047761D">
              <w:rPr>
                <w:sz w:val="20"/>
              </w:rPr>
              <w:t>7</w:t>
            </w:r>
          </w:p>
        </w:tc>
        <w:tc>
          <w:tcPr>
            <w:tcW w:w="1060" w:type="dxa"/>
            <w:tcBorders>
              <w:top w:val="nil"/>
              <w:left w:val="single" w:sz="4" w:space="0" w:color="auto"/>
              <w:bottom w:val="single" w:sz="4" w:space="0" w:color="auto"/>
              <w:right w:val="single" w:sz="12" w:space="0" w:color="auto"/>
            </w:tcBorders>
            <w:shd w:val="clear" w:color="auto" w:fill="auto"/>
            <w:noWrap/>
            <w:vAlign w:val="bottom"/>
            <w:hideMark/>
          </w:tcPr>
          <w:p w14:paraId="7D5F87AB" w14:textId="77777777" w:rsidR="003510BF" w:rsidRPr="0047761D" w:rsidRDefault="003510BF" w:rsidP="00D35E63">
            <w:pPr>
              <w:pStyle w:val="Tabletext"/>
              <w:keepNext/>
              <w:keepLines/>
              <w:jc w:val="center"/>
              <w:rPr>
                <w:sz w:val="20"/>
              </w:rPr>
            </w:pPr>
            <w:r w:rsidRPr="0047761D">
              <w:rPr>
                <w:sz w:val="20"/>
              </w:rPr>
              <w:t>0</w:t>
            </w:r>
            <w:r>
              <w:rPr>
                <w:sz w:val="20"/>
              </w:rPr>
              <w:t>,</w:t>
            </w:r>
            <w:r w:rsidRPr="0047761D">
              <w:rPr>
                <w:sz w:val="20"/>
              </w:rPr>
              <w:t>1</w:t>
            </w:r>
          </w:p>
        </w:tc>
      </w:tr>
      <w:tr w:rsidR="003510BF" w:rsidRPr="0047761D" w14:paraId="1C19AB73" w14:textId="77777777" w:rsidTr="00C42A56">
        <w:trPr>
          <w:trHeight w:val="336"/>
          <w:jc w:val="center"/>
        </w:trPr>
        <w:tc>
          <w:tcPr>
            <w:tcW w:w="1808" w:type="dxa"/>
            <w:tcBorders>
              <w:top w:val="nil"/>
              <w:left w:val="single" w:sz="4" w:space="0" w:color="auto"/>
              <w:bottom w:val="nil"/>
              <w:right w:val="single" w:sz="12" w:space="0" w:color="auto"/>
            </w:tcBorders>
            <w:shd w:val="clear" w:color="auto" w:fill="auto"/>
            <w:vAlign w:val="bottom"/>
            <w:hideMark/>
          </w:tcPr>
          <w:p w14:paraId="61377BCC" w14:textId="77777777" w:rsidR="003510BF" w:rsidRPr="0047761D" w:rsidRDefault="003510BF" w:rsidP="00D35E63">
            <w:pPr>
              <w:pStyle w:val="Tabletext"/>
              <w:keepNext/>
              <w:keepLines/>
              <w:rPr>
                <w:b/>
                <w:bCs/>
                <w:sz w:val="20"/>
              </w:rPr>
            </w:pPr>
            <w:r w:rsidRPr="0047761D">
              <w:rPr>
                <w:b/>
                <w:bCs/>
                <w:sz w:val="20"/>
              </w:rPr>
              <w:t>30</w:t>
            </w:r>
            <w:r>
              <w:rPr>
                <w:b/>
                <w:bCs/>
                <w:sz w:val="20"/>
              </w:rPr>
              <w:t>,</w:t>
            </w:r>
            <w:r w:rsidRPr="0047761D">
              <w:rPr>
                <w:b/>
                <w:bCs/>
                <w:sz w:val="20"/>
              </w:rPr>
              <w:t>84 MHz</w:t>
            </w:r>
          </w:p>
        </w:tc>
        <w:tc>
          <w:tcPr>
            <w:tcW w:w="1252" w:type="dxa"/>
            <w:tcBorders>
              <w:top w:val="nil"/>
              <w:left w:val="single" w:sz="12" w:space="0" w:color="auto"/>
              <w:bottom w:val="single" w:sz="4" w:space="0" w:color="auto"/>
              <w:right w:val="nil"/>
            </w:tcBorders>
            <w:shd w:val="pct5" w:color="auto" w:fill="auto"/>
            <w:noWrap/>
            <w:vAlign w:val="center"/>
            <w:hideMark/>
          </w:tcPr>
          <w:p w14:paraId="28952EA8" w14:textId="77777777" w:rsidR="003510BF" w:rsidRPr="0047761D" w:rsidRDefault="003510BF" w:rsidP="00D35E63">
            <w:pPr>
              <w:pStyle w:val="Tabletext"/>
              <w:keepNext/>
              <w:keepLines/>
              <w:jc w:val="center"/>
              <w:rPr>
                <w:sz w:val="20"/>
              </w:rPr>
            </w:pPr>
          </w:p>
        </w:tc>
        <w:tc>
          <w:tcPr>
            <w:tcW w:w="1188" w:type="dxa"/>
            <w:tcBorders>
              <w:top w:val="nil"/>
              <w:left w:val="nil"/>
              <w:bottom w:val="single" w:sz="4" w:space="0" w:color="auto"/>
              <w:right w:val="single" w:sz="12" w:space="0" w:color="auto"/>
            </w:tcBorders>
            <w:shd w:val="pct5" w:color="auto" w:fill="auto"/>
            <w:noWrap/>
            <w:vAlign w:val="bottom"/>
            <w:hideMark/>
          </w:tcPr>
          <w:p w14:paraId="7E2BABEF" w14:textId="77777777" w:rsidR="003510BF" w:rsidRPr="0047761D" w:rsidRDefault="003510BF" w:rsidP="00D35E63">
            <w:pPr>
              <w:pStyle w:val="Tabletext"/>
              <w:keepNext/>
              <w:keepLines/>
              <w:jc w:val="center"/>
              <w:rPr>
                <w:sz w:val="20"/>
              </w:rPr>
            </w:pPr>
          </w:p>
        </w:tc>
        <w:tc>
          <w:tcPr>
            <w:tcW w:w="625" w:type="dxa"/>
            <w:tcBorders>
              <w:top w:val="nil"/>
              <w:left w:val="single" w:sz="12" w:space="0" w:color="auto"/>
              <w:bottom w:val="single" w:sz="4" w:space="0" w:color="auto"/>
              <w:right w:val="nil"/>
            </w:tcBorders>
            <w:shd w:val="clear" w:color="auto" w:fill="auto"/>
            <w:noWrap/>
            <w:vAlign w:val="bottom"/>
          </w:tcPr>
          <w:p w14:paraId="6C6FE5E9" w14:textId="77777777" w:rsidR="003510BF" w:rsidRPr="0047761D" w:rsidRDefault="003510BF" w:rsidP="00D35E63">
            <w:pPr>
              <w:pStyle w:val="Tabletext"/>
              <w:keepNext/>
              <w:keepLines/>
              <w:jc w:val="center"/>
              <w:rPr>
                <w:sz w:val="20"/>
              </w:rPr>
            </w:pPr>
          </w:p>
        </w:tc>
        <w:tc>
          <w:tcPr>
            <w:tcW w:w="1155" w:type="dxa"/>
            <w:tcBorders>
              <w:top w:val="nil"/>
              <w:left w:val="nil"/>
              <w:bottom w:val="single" w:sz="4" w:space="0" w:color="auto"/>
              <w:right w:val="single" w:sz="12" w:space="0" w:color="auto"/>
            </w:tcBorders>
            <w:shd w:val="clear" w:color="auto" w:fill="auto"/>
            <w:noWrap/>
            <w:vAlign w:val="bottom"/>
          </w:tcPr>
          <w:p w14:paraId="1BD3FFAD" w14:textId="77777777" w:rsidR="003510BF" w:rsidRPr="0047761D" w:rsidRDefault="003510BF" w:rsidP="00D35E63">
            <w:pPr>
              <w:pStyle w:val="Tabletext"/>
              <w:keepNext/>
              <w:keepLines/>
              <w:jc w:val="center"/>
              <w:rPr>
                <w:sz w:val="20"/>
              </w:rPr>
            </w:pPr>
          </w:p>
        </w:tc>
        <w:tc>
          <w:tcPr>
            <w:tcW w:w="700" w:type="dxa"/>
            <w:tcBorders>
              <w:top w:val="nil"/>
              <w:left w:val="single" w:sz="12" w:space="0" w:color="auto"/>
              <w:bottom w:val="single" w:sz="4" w:space="0" w:color="auto"/>
              <w:right w:val="nil"/>
            </w:tcBorders>
            <w:shd w:val="pct5" w:color="auto" w:fill="auto"/>
            <w:noWrap/>
            <w:vAlign w:val="bottom"/>
          </w:tcPr>
          <w:p w14:paraId="2F045635" w14:textId="77777777" w:rsidR="003510BF" w:rsidRPr="0047761D" w:rsidRDefault="003510BF" w:rsidP="00D35E63">
            <w:pPr>
              <w:pStyle w:val="Tabletext"/>
              <w:keepNext/>
              <w:keepLines/>
              <w:jc w:val="center"/>
              <w:rPr>
                <w:sz w:val="20"/>
              </w:rPr>
            </w:pPr>
          </w:p>
        </w:tc>
        <w:tc>
          <w:tcPr>
            <w:tcW w:w="1162" w:type="dxa"/>
            <w:tcBorders>
              <w:top w:val="nil"/>
              <w:left w:val="nil"/>
              <w:bottom w:val="single" w:sz="4" w:space="0" w:color="auto"/>
              <w:right w:val="single" w:sz="12" w:space="0" w:color="auto"/>
            </w:tcBorders>
            <w:shd w:val="pct5" w:color="auto" w:fill="auto"/>
            <w:noWrap/>
            <w:vAlign w:val="bottom"/>
          </w:tcPr>
          <w:p w14:paraId="546BF83C" w14:textId="77777777" w:rsidR="003510BF" w:rsidRPr="0047761D" w:rsidRDefault="003510BF" w:rsidP="00D35E63">
            <w:pPr>
              <w:pStyle w:val="Tabletext"/>
              <w:keepNext/>
              <w:keepLines/>
              <w:jc w:val="center"/>
              <w:rPr>
                <w:sz w:val="20"/>
              </w:rPr>
            </w:pPr>
          </w:p>
        </w:tc>
        <w:tc>
          <w:tcPr>
            <w:tcW w:w="826" w:type="dxa"/>
            <w:tcBorders>
              <w:top w:val="nil"/>
              <w:left w:val="single" w:sz="12" w:space="0" w:color="auto"/>
              <w:bottom w:val="single" w:sz="4" w:space="0" w:color="auto"/>
              <w:right w:val="nil"/>
            </w:tcBorders>
            <w:shd w:val="clear" w:color="auto" w:fill="auto"/>
            <w:noWrap/>
            <w:vAlign w:val="bottom"/>
          </w:tcPr>
          <w:p w14:paraId="4D1EEC7D" w14:textId="77777777" w:rsidR="003510BF" w:rsidRPr="0047761D" w:rsidRDefault="003510BF" w:rsidP="00D35E63">
            <w:pPr>
              <w:pStyle w:val="Tabletext"/>
              <w:keepNext/>
              <w:keepLines/>
              <w:jc w:val="center"/>
              <w:rPr>
                <w:sz w:val="20"/>
              </w:rPr>
            </w:pPr>
          </w:p>
        </w:tc>
        <w:tc>
          <w:tcPr>
            <w:tcW w:w="1060" w:type="dxa"/>
            <w:tcBorders>
              <w:top w:val="nil"/>
              <w:left w:val="nil"/>
              <w:bottom w:val="single" w:sz="4" w:space="0" w:color="auto"/>
              <w:right w:val="single" w:sz="12" w:space="0" w:color="auto"/>
            </w:tcBorders>
            <w:shd w:val="clear" w:color="auto" w:fill="auto"/>
            <w:noWrap/>
            <w:vAlign w:val="bottom"/>
          </w:tcPr>
          <w:p w14:paraId="36635752" w14:textId="77777777" w:rsidR="003510BF" w:rsidRPr="0047761D" w:rsidRDefault="003510BF" w:rsidP="00D35E63">
            <w:pPr>
              <w:pStyle w:val="Tabletext"/>
              <w:keepNext/>
              <w:keepLines/>
              <w:jc w:val="center"/>
              <w:rPr>
                <w:sz w:val="20"/>
              </w:rPr>
            </w:pPr>
          </w:p>
        </w:tc>
      </w:tr>
      <w:tr w:rsidR="003510BF" w:rsidRPr="0047761D" w14:paraId="2B8248FD" w14:textId="77777777" w:rsidTr="00C42A56">
        <w:trPr>
          <w:trHeight w:val="300"/>
          <w:jc w:val="center"/>
        </w:trPr>
        <w:tc>
          <w:tcPr>
            <w:tcW w:w="1808" w:type="dxa"/>
            <w:tcBorders>
              <w:top w:val="single" w:sz="4" w:space="0" w:color="auto"/>
              <w:left w:val="single" w:sz="4" w:space="0" w:color="auto"/>
              <w:bottom w:val="nil"/>
              <w:right w:val="single" w:sz="12" w:space="0" w:color="auto"/>
            </w:tcBorders>
            <w:shd w:val="clear" w:color="auto" w:fill="auto"/>
            <w:noWrap/>
            <w:vAlign w:val="bottom"/>
            <w:hideMark/>
          </w:tcPr>
          <w:p w14:paraId="1FD31945" w14:textId="413A5409" w:rsidR="003510BF" w:rsidRPr="0047761D" w:rsidRDefault="003510BF" w:rsidP="00D35E63">
            <w:pPr>
              <w:pStyle w:val="Tabletext"/>
              <w:rPr>
                <w:sz w:val="20"/>
              </w:rPr>
            </w:pPr>
            <w:r w:rsidRPr="0047761D">
              <w:rPr>
                <w:sz w:val="20"/>
              </w:rPr>
              <w:t xml:space="preserve">MDAP-16 </w:t>
            </w:r>
          </w:p>
        </w:tc>
        <w:tc>
          <w:tcPr>
            <w:tcW w:w="1252" w:type="dxa"/>
            <w:tcBorders>
              <w:top w:val="single" w:sz="4" w:space="0" w:color="auto"/>
              <w:left w:val="single" w:sz="12" w:space="0" w:color="auto"/>
              <w:bottom w:val="nil"/>
              <w:right w:val="single" w:sz="4" w:space="0" w:color="auto"/>
            </w:tcBorders>
            <w:shd w:val="pct5" w:color="auto" w:fill="auto"/>
            <w:noWrap/>
            <w:vAlign w:val="center"/>
            <w:hideMark/>
          </w:tcPr>
          <w:p w14:paraId="007D3247" w14:textId="77777777" w:rsidR="003510BF" w:rsidRPr="0047761D" w:rsidRDefault="003510BF" w:rsidP="00D35E63">
            <w:pPr>
              <w:pStyle w:val="Tabletext"/>
              <w:jc w:val="center"/>
              <w:rPr>
                <w:sz w:val="20"/>
              </w:rPr>
            </w:pPr>
            <w:r w:rsidRPr="0047761D">
              <w:rPr>
                <w:sz w:val="20"/>
              </w:rPr>
              <w:t>2</w:t>
            </w:r>
            <w:r>
              <w:rPr>
                <w:sz w:val="20"/>
              </w:rPr>
              <w:t>,</w:t>
            </w:r>
            <w:r w:rsidRPr="0047761D">
              <w:rPr>
                <w:sz w:val="20"/>
              </w:rPr>
              <w:t>6</w:t>
            </w:r>
          </w:p>
        </w:tc>
        <w:tc>
          <w:tcPr>
            <w:tcW w:w="1188" w:type="dxa"/>
            <w:tcBorders>
              <w:top w:val="single" w:sz="4" w:space="0" w:color="auto"/>
              <w:left w:val="single" w:sz="4" w:space="0" w:color="auto"/>
              <w:bottom w:val="nil"/>
              <w:right w:val="single" w:sz="12" w:space="0" w:color="auto"/>
            </w:tcBorders>
            <w:shd w:val="pct5" w:color="auto" w:fill="auto"/>
            <w:noWrap/>
            <w:vAlign w:val="bottom"/>
            <w:hideMark/>
          </w:tcPr>
          <w:p w14:paraId="5DFE88D6" w14:textId="77777777" w:rsidR="003510BF" w:rsidRPr="0047761D" w:rsidRDefault="003510BF" w:rsidP="00D35E63">
            <w:pPr>
              <w:pStyle w:val="Tabletext"/>
              <w:jc w:val="center"/>
              <w:rPr>
                <w:sz w:val="20"/>
              </w:rPr>
            </w:pPr>
            <w:r w:rsidRPr="0047761D">
              <w:rPr>
                <w:sz w:val="20"/>
              </w:rPr>
              <w:t>12 336</w:t>
            </w:r>
          </w:p>
        </w:tc>
        <w:tc>
          <w:tcPr>
            <w:tcW w:w="625" w:type="dxa"/>
            <w:tcBorders>
              <w:top w:val="single" w:sz="4" w:space="0" w:color="auto"/>
              <w:left w:val="single" w:sz="12" w:space="0" w:color="auto"/>
              <w:bottom w:val="nil"/>
              <w:right w:val="single" w:sz="4" w:space="0" w:color="auto"/>
            </w:tcBorders>
            <w:shd w:val="clear" w:color="auto" w:fill="auto"/>
            <w:noWrap/>
            <w:vAlign w:val="bottom"/>
            <w:hideMark/>
          </w:tcPr>
          <w:p w14:paraId="08D458AE"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0</w:t>
            </w:r>
          </w:p>
        </w:tc>
        <w:tc>
          <w:tcPr>
            <w:tcW w:w="1155" w:type="dxa"/>
            <w:tcBorders>
              <w:top w:val="single" w:sz="4" w:space="0" w:color="auto"/>
              <w:left w:val="single" w:sz="4" w:space="0" w:color="auto"/>
              <w:bottom w:val="nil"/>
              <w:right w:val="single" w:sz="12" w:space="0" w:color="auto"/>
            </w:tcBorders>
            <w:shd w:val="clear" w:color="auto" w:fill="auto"/>
            <w:noWrap/>
            <w:vAlign w:val="bottom"/>
            <w:hideMark/>
          </w:tcPr>
          <w:p w14:paraId="555ACF78" w14:textId="77777777" w:rsidR="003510BF" w:rsidRPr="0047761D" w:rsidRDefault="003510BF" w:rsidP="00D35E63">
            <w:pPr>
              <w:pStyle w:val="Tabletext"/>
              <w:jc w:val="center"/>
              <w:rPr>
                <w:sz w:val="20"/>
              </w:rPr>
            </w:pPr>
            <w:r w:rsidRPr="0047761D">
              <w:rPr>
                <w:sz w:val="20"/>
              </w:rPr>
              <w:t>1 232</w:t>
            </w:r>
          </w:p>
        </w:tc>
        <w:tc>
          <w:tcPr>
            <w:tcW w:w="700" w:type="dxa"/>
            <w:tcBorders>
              <w:top w:val="single" w:sz="4" w:space="0" w:color="auto"/>
              <w:left w:val="single" w:sz="12" w:space="0" w:color="auto"/>
              <w:bottom w:val="nil"/>
              <w:right w:val="single" w:sz="4" w:space="0" w:color="auto"/>
            </w:tcBorders>
            <w:shd w:val="pct5" w:color="auto" w:fill="auto"/>
            <w:noWrap/>
            <w:vAlign w:val="bottom"/>
            <w:hideMark/>
          </w:tcPr>
          <w:p w14:paraId="17D61AA5"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8</w:t>
            </w:r>
          </w:p>
        </w:tc>
        <w:tc>
          <w:tcPr>
            <w:tcW w:w="1162" w:type="dxa"/>
            <w:tcBorders>
              <w:top w:val="single" w:sz="4" w:space="0" w:color="auto"/>
              <w:left w:val="single" w:sz="4" w:space="0" w:color="auto"/>
              <w:bottom w:val="nil"/>
              <w:right w:val="single" w:sz="12" w:space="0" w:color="auto"/>
            </w:tcBorders>
            <w:shd w:val="pct5" w:color="auto" w:fill="auto"/>
            <w:noWrap/>
            <w:vAlign w:val="bottom"/>
            <w:hideMark/>
          </w:tcPr>
          <w:p w14:paraId="0BC8DC93" w14:textId="77777777" w:rsidR="003510BF" w:rsidRPr="0047761D" w:rsidRDefault="003510BF" w:rsidP="00D35E63">
            <w:pPr>
              <w:pStyle w:val="Tabletext"/>
              <w:jc w:val="center"/>
              <w:rPr>
                <w:sz w:val="20"/>
              </w:rPr>
            </w:pPr>
            <w:r w:rsidRPr="0047761D">
              <w:rPr>
                <w:sz w:val="20"/>
              </w:rPr>
              <w:t>123</w:t>
            </w:r>
            <w:r>
              <w:rPr>
                <w:sz w:val="20"/>
              </w:rPr>
              <w:t>,</w:t>
            </w:r>
            <w:r w:rsidRPr="0047761D">
              <w:rPr>
                <w:sz w:val="20"/>
              </w:rPr>
              <w:t>2</w:t>
            </w:r>
          </w:p>
        </w:tc>
        <w:tc>
          <w:tcPr>
            <w:tcW w:w="826" w:type="dxa"/>
            <w:tcBorders>
              <w:top w:val="single" w:sz="4" w:space="0" w:color="auto"/>
              <w:left w:val="single" w:sz="12" w:space="0" w:color="auto"/>
              <w:bottom w:val="nil"/>
              <w:right w:val="single" w:sz="4" w:space="0" w:color="auto"/>
            </w:tcBorders>
            <w:shd w:val="clear" w:color="auto" w:fill="auto"/>
            <w:noWrap/>
            <w:vAlign w:val="bottom"/>
            <w:hideMark/>
          </w:tcPr>
          <w:p w14:paraId="33C2A275" w14:textId="77777777" w:rsidR="003510BF" w:rsidRPr="0047761D" w:rsidRDefault="003510BF" w:rsidP="00D35E63">
            <w:pPr>
              <w:pStyle w:val="Tabletext"/>
              <w:jc w:val="center"/>
              <w:rPr>
                <w:sz w:val="20"/>
              </w:rPr>
            </w:pPr>
            <w:r w:rsidRPr="0047761D">
              <w:rPr>
                <w:sz w:val="20"/>
              </w:rPr>
              <w:t>5</w:t>
            </w:r>
            <w:r>
              <w:rPr>
                <w:sz w:val="20"/>
              </w:rPr>
              <w:t>,</w:t>
            </w:r>
            <w:r w:rsidRPr="0047761D">
              <w:rPr>
                <w:sz w:val="20"/>
              </w:rPr>
              <w:t>3</w:t>
            </w:r>
          </w:p>
        </w:tc>
        <w:tc>
          <w:tcPr>
            <w:tcW w:w="1060" w:type="dxa"/>
            <w:tcBorders>
              <w:top w:val="single" w:sz="4" w:space="0" w:color="auto"/>
              <w:left w:val="single" w:sz="4" w:space="0" w:color="auto"/>
              <w:bottom w:val="nil"/>
              <w:right w:val="single" w:sz="12" w:space="0" w:color="auto"/>
            </w:tcBorders>
            <w:shd w:val="clear" w:color="auto" w:fill="auto"/>
            <w:noWrap/>
            <w:vAlign w:val="bottom"/>
            <w:hideMark/>
          </w:tcPr>
          <w:p w14:paraId="4CDF3F0A" w14:textId="77777777" w:rsidR="003510BF" w:rsidRPr="0047761D" w:rsidRDefault="003510BF" w:rsidP="00D35E63">
            <w:pPr>
              <w:pStyle w:val="Tabletext"/>
              <w:jc w:val="center"/>
              <w:rPr>
                <w:sz w:val="20"/>
              </w:rPr>
            </w:pPr>
            <w:r w:rsidRPr="0047761D">
              <w:rPr>
                <w:sz w:val="20"/>
              </w:rPr>
              <w:t>12</w:t>
            </w:r>
            <w:r>
              <w:rPr>
                <w:sz w:val="20"/>
              </w:rPr>
              <w:t>,</w:t>
            </w:r>
            <w:r w:rsidRPr="0047761D">
              <w:rPr>
                <w:sz w:val="20"/>
              </w:rPr>
              <w:t>4</w:t>
            </w:r>
          </w:p>
        </w:tc>
      </w:tr>
      <w:tr w:rsidR="003510BF" w:rsidRPr="0047761D" w14:paraId="425031BE"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4036CA08" w14:textId="5834F4DA" w:rsidR="003510BF" w:rsidRPr="0047761D" w:rsidRDefault="003510BF" w:rsidP="00D35E63">
            <w:pPr>
              <w:pStyle w:val="Tabletext"/>
              <w:rPr>
                <w:sz w:val="20"/>
              </w:rPr>
            </w:pPr>
            <w:r w:rsidRPr="0047761D">
              <w:rPr>
                <w:sz w:val="20"/>
              </w:rPr>
              <w:t xml:space="preserve">MDAP-32 </w:t>
            </w:r>
          </w:p>
        </w:tc>
        <w:tc>
          <w:tcPr>
            <w:tcW w:w="1252" w:type="dxa"/>
            <w:tcBorders>
              <w:top w:val="nil"/>
              <w:left w:val="single" w:sz="12" w:space="0" w:color="auto"/>
              <w:bottom w:val="nil"/>
              <w:right w:val="single" w:sz="4" w:space="0" w:color="auto"/>
            </w:tcBorders>
            <w:shd w:val="pct5" w:color="auto" w:fill="auto"/>
            <w:noWrap/>
            <w:vAlign w:val="center"/>
            <w:hideMark/>
          </w:tcPr>
          <w:p w14:paraId="10F1709F" w14:textId="77777777" w:rsidR="003510BF" w:rsidRPr="0047761D" w:rsidRDefault="003510BF" w:rsidP="00D35E63">
            <w:pPr>
              <w:pStyle w:val="Tabletext"/>
              <w:jc w:val="center"/>
              <w:rPr>
                <w:sz w:val="20"/>
              </w:rPr>
            </w:pPr>
            <w:r w:rsidRPr="0047761D">
              <w:rPr>
                <w:sz w:val="20"/>
              </w:rPr>
              <w:t>3</w:t>
            </w:r>
            <w:r>
              <w:rPr>
                <w:sz w:val="20"/>
              </w:rPr>
              <w:t>,</w:t>
            </w:r>
            <w:r w:rsidRPr="0047761D">
              <w:rPr>
                <w:sz w:val="20"/>
              </w:rPr>
              <w:t>2</w:t>
            </w:r>
          </w:p>
        </w:tc>
        <w:tc>
          <w:tcPr>
            <w:tcW w:w="1188" w:type="dxa"/>
            <w:tcBorders>
              <w:top w:val="nil"/>
              <w:left w:val="single" w:sz="4" w:space="0" w:color="auto"/>
              <w:bottom w:val="nil"/>
              <w:right w:val="single" w:sz="12" w:space="0" w:color="auto"/>
            </w:tcBorders>
            <w:shd w:val="pct5" w:color="auto" w:fill="auto"/>
            <w:noWrap/>
            <w:vAlign w:val="bottom"/>
            <w:hideMark/>
          </w:tcPr>
          <w:p w14:paraId="197A43D4" w14:textId="77777777" w:rsidR="003510BF" w:rsidRPr="0047761D" w:rsidRDefault="003510BF" w:rsidP="00D35E63">
            <w:pPr>
              <w:pStyle w:val="Tabletext"/>
              <w:jc w:val="center"/>
              <w:rPr>
                <w:sz w:val="20"/>
              </w:rPr>
            </w:pPr>
            <w:r w:rsidRPr="0047761D">
              <w:rPr>
                <w:sz w:val="20"/>
              </w:rPr>
              <w:t>15 420</w:t>
            </w:r>
          </w:p>
        </w:tc>
        <w:tc>
          <w:tcPr>
            <w:tcW w:w="625" w:type="dxa"/>
            <w:tcBorders>
              <w:top w:val="nil"/>
              <w:left w:val="single" w:sz="12" w:space="0" w:color="auto"/>
              <w:bottom w:val="nil"/>
              <w:right w:val="single" w:sz="4" w:space="0" w:color="auto"/>
            </w:tcBorders>
            <w:shd w:val="clear" w:color="auto" w:fill="auto"/>
            <w:noWrap/>
            <w:vAlign w:val="bottom"/>
            <w:hideMark/>
          </w:tcPr>
          <w:p w14:paraId="0288DB1C"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6</w:t>
            </w:r>
          </w:p>
        </w:tc>
        <w:tc>
          <w:tcPr>
            <w:tcW w:w="1155" w:type="dxa"/>
            <w:tcBorders>
              <w:top w:val="nil"/>
              <w:left w:val="single" w:sz="4" w:space="0" w:color="auto"/>
              <w:bottom w:val="nil"/>
              <w:right w:val="single" w:sz="12" w:space="0" w:color="auto"/>
            </w:tcBorders>
            <w:shd w:val="clear" w:color="auto" w:fill="auto"/>
            <w:noWrap/>
            <w:vAlign w:val="bottom"/>
            <w:hideMark/>
          </w:tcPr>
          <w:p w14:paraId="574A7266" w14:textId="77777777" w:rsidR="003510BF" w:rsidRPr="0047761D" w:rsidRDefault="003510BF" w:rsidP="00D35E63">
            <w:pPr>
              <w:pStyle w:val="Tabletext"/>
              <w:jc w:val="center"/>
              <w:rPr>
                <w:sz w:val="20"/>
              </w:rPr>
            </w:pPr>
            <w:r w:rsidRPr="0047761D">
              <w:rPr>
                <w:sz w:val="20"/>
              </w:rPr>
              <w:t>1 540</w:t>
            </w:r>
          </w:p>
        </w:tc>
        <w:tc>
          <w:tcPr>
            <w:tcW w:w="700" w:type="dxa"/>
            <w:tcBorders>
              <w:top w:val="nil"/>
              <w:left w:val="single" w:sz="12" w:space="0" w:color="auto"/>
              <w:bottom w:val="nil"/>
              <w:right w:val="single" w:sz="4" w:space="0" w:color="auto"/>
            </w:tcBorders>
            <w:shd w:val="pct5" w:color="auto" w:fill="auto"/>
            <w:noWrap/>
            <w:vAlign w:val="bottom"/>
            <w:hideMark/>
          </w:tcPr>
          <w:p w14:paraId="5E1399DB" w14:textId="77777777" w:rsidR="003510BF" w:rsidRPr="0047761D" w:rsidRDefault="003510BF" w:rsidP="00D35E63">
            <w:pPr>
              <w:pStyle w:val="Tabletext"/>
              <w:jc w:val="center"/>
              <w:rPr>
                <w:sz w:val="20"/>
              </w:rPr>
            </w:pPr>
            <w:r w:rsidRPr="0047761D">
              <w:rPr>
                <w:sz w:val="20"/>
              </w:rPr>
              <w:t>5</w:t>
            </w:r>
            <w:r>
              <w:rPr>
                <w:sz w:val="20"/>
              </w:rPr>
              <w:t>,</w:t>
            </w:r>
            <w:r w:rsidRPr="0047761D">
              <w:rPr>
                <w:sz w:val="20"/>
              </w:rPr>
              <w:t>5</w:t>
            </w:r>
          </w:p>
        </w:tc>
        <w:tc>
          <w:tcPr>
            <w:tcW w:w="1162" w:type="dxa"/>
            <w:tcBorders>
              <w:top w:val="nil"/>
              <w:left w:val="single" w:sz="4" w:space="0" w:color="auto"/>
              <w:bottom w:val="nil"/>
              <w:right w:val="single" w:sz="12" w:space="0" w:color="auto"/>
            </w:tcBorders>
            <w:shd w:val="pct5" w:color="auto" w:fill="auto"/>
            <w:noWrap/>
            <w:vAlign w:val="bottom"/>
            <w:hideMark/>
          </w:tcPr>
          <w:p w14:paraId="31025F7E" w14:textId="77777777" w:rsidR="003510BF" w:rsidRPr="0047761D" w:rsidRDefault="003510BF" w:rsidP="00D35E63">
            <w:pPr>
              <w:pStyle w:val="Tabletext"/>
              <w:jc w:val="center"/>
              <w:rPr>
                <w:sz w:val="20"/>
              </w:rPr>
            </w:pPr>
            <w:r w:rsidRPr="0047761D">
              <w:rPr>
                <w:sz w:val="20"/>
              </w:rPr>
              <w:t>154</w:t>
            </w:r>
            <w:r>
              <w:rPr>
                <w:sz w:val="20"/>
              </w:rPr>
              <w:t>,</w:t>
            </w:r>
            <w:r w:rsidRPr="0047761D">
              <w:rPr>
                <w:sz w:val="20"/>
              </w:rPr>
              <w:t>0</w:t>
            </w:r>
          </w:p>
        </w:tc>
        <w:tc>
          <w:tcPr>
            <w:tcW w:w="826" w:type="dxa"/>
            <w:tcBorders>
              <w:top w:val="nil"/>
              <w:left w:val="single" w:sz="12" w:space="0" w:color="auto"/>
              <w:bottom w:val="nil"/>
              <w:right w:val="single" w:sz="4" w:space="0" w:color="auto"/>
            </w:tcBorders>
            <w:shd w:val="clear" w:color="auto" w:fill="auto"/>
            <w:noWrap/>
            <w:vAlign w:val="bottom"/>
            <w:hideMark/>
          </w:tcPr>
          <w:p w14:paraId="4316450E" w14:textId="77777777" w:rsidR="003510BF" w:rsidRPr="0047761D" w:rsidRDefault="003510BF" w:rsidP="00D35E63">
            <w:pPr>
              <w:pStyle w:val="Tabletext"/>
              <w:jc w:val="center"/>
              <w:rPr>
                <w:sz w:val="20"/>
              </w:rPr>
            </w:pPr>
            <w:r w:rsidRPr="0047761D">
              <w:rPr>
                <w:sz w:val="20"/>
              </w:rPr>
              <w:t>6</w:t>
            </w:r>
            <w:r>
              <w:rPr>
                <w:sz w:val="20"/>
              </w:rPr>
              <w:t>,</w:t>
            </w:r>
            <w:r w:rsidRPr="0047761D">
              <w:rPr>
                <w:sz w:val="20"/>
              </w:rPr>
              <w:t>1</w:t>
            </w:r>
          </w:p>
        </w:tc>
        <w:tc>
          <w:tcPr>
            <w:tcW w:w="1060" w:type="dxa"/>
            <w:tcBorders>
              <w:top w:val="nil"/>
              <w:left w:val="single" w:sz="4" w:space="0" w:color="auto"/>
              <w:bottom w:val="nil"/>
              <w:right w:val="single" w:sz="12" w:space="0" w:color="auto"/>
            </w:tcBorders>
            <w:shd w:val="clear" w:color="auto" w:fill="auto"/>
            <w:noWrap/>
            <w:vAlign w:val="bottom"/>
            <w:hideMark/>
          </w:tcPr>
          <w:p w14:paraId="48641396" w14:textId="77777777" w:rsidR="003510BF" w:rsidRPr="0047761D" w:rsidRDefault="003510BF" w:rsidP="00D35E63">
            <w:pPr>
              <w:pStyle w:val="Tabletext"/>
              <w:jc w:val="center"/>
              <w:rPr>
                <w:sz w:val="20"/>
              </w:rPr>
            </w:pPr>
            <w:r w:rsidRPr="0047761D">
              <w:rPr>
                <w:sz w:val="20"/>
              </w:rPr>
              <w:t>15</w:t>
            </w:r>
            <w:r>
              <w:rPr>
                <w:sz w:val="20"/>
              </w:rPr>
              <w:t>,</w:t>
            </w:r>
            <w:r w:rsidRPr="0047761D">
              <w:rPr>
                <w:sz w:val="20"/>
              </w:rPr>
              <w:t>5</w:t>
            </w:r>
          </w:p>
        </w:tc>
      </w:tr>
      <w:tr w:rsidR="003510BF" w:rsidRPr="0047761D" w14:paraId="1BA8CEEB"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19910E1B" w14:textId="7AE47C29" w:rsidR="003510BF" w:rsidRPr="0047761D" w:rsidRDefault="003510BF" w:rsidP="00D35E63">
            <w:pPr>
              <w:pStyle w:val="Tabletext"/>
              <w:rPr>
                <w:sz w:val="20"/>
              </w:rPr>
            </w:pPr>
            <w:r w:rsidRPr="0047761D">
              <w:rPr>
                <w:sz w:val="20"/>
              </w:rPr>
              <w:t xml:space="preserve">MAQ-16 </w:t>
            </w:r>
          </w:p>
        </w:tc>
        <w:tc>
          <w:tcPr>
            <w:tcW w:w="1252" w:type="dxa"/>
            <w:tcBorders>
              <w:top w:val="nil"/>
              <w:left w:val="single" w:sz="12" w:space="0" w:color="auto"/>
              <w:bottom w:val="nil"/>
              <w:right w:val="single" w:sz="4" w:space="0" w:color="auto"/>
            </w:tcBorders>
            <w:shd w:val="pct5" w:color="auto" w:fill="auto"/>
            <w:noWrap/>
            <w:vAlign w:val="center"/>
            <w:hideMark/>
          </w:tcPr>
          <w:p w14:paraId="6CD6F19B" w14:textId="77777777" w:rsidR="003510BF" w:rsidRPr="0047761D" w:rsidRDefault="003510BF" w:rsidP="00D35E63">
            <w:pPr>
              <w:pStyle w:val="Tabletext"/>
              <w:jc w:val="center"/>
              <w:rPr>
                <w:sz w:val="20"/>
              </w:rPr>
            </w:pPr>
            <w:r w:rsidRPr="0047761D">
              <w:rPr>
                <w:sz w:val="20"/>
              </w:rPr>
              <w:t>3</w:t>
            </w:r>
            <w:r>
              <w:rPr>
                <w:sz w:val="20"/>
              </w:rPr>
              <w:t>,</w:t>
            </w:r>
            <w:r w:rsidRPr="0047761D">
              <w:rPr>
                <w:sz w:val="20"/>
              </w:rPr>
              <w:t>1</w:t>
            </w:r>
          </w:p>
        </w:tc>
        <w:tc>
          <w:tcPr>
            <w:tcW w:w="1188" w:type="dxa"/>
            <w:tcBorders>
              <w:top w:val="nil"/>
              <w:left w:val="single" w:sz="4" w:space="0" w:color="auto"/>
              <w:bottom w:val="nil"/>
              <w:right w:val="single" w:sz="12" w:space="0" w:color="auto"/>
            </w:tcBorders>
            <w:shd w:val="pct5" w:color="auto" w:fill="auto"/>
            <w:noWrap/>
            <w:vAlign w:val="bottom"/>
            <w:hideMark/>
          </w:tcPr>
          <w:p w14:paraId="0CFFB24F" w14:textId="77777777" w:rsidR="003510BF" w:rsidRPr="0047761D" w:rsidRDefault="003510BF" w:rsidP="00D35E63">
            <w:pPr>
              <w:pStyle w:val="Tabletext"/>
              <w:jc w:val="center"/>
              <w:rPr>
                <w:sz w:val="20"/>
              </w:rPr>
            </w:pPr>
            <w:r w:rsidRPr="0047761D">
              <w:rPr>
                <w:sz w:val="20"/>
              </w:rPr>
              <w:t>12 336</w:t>
            </w:r>
          </w:p>
        </w:tc>
        <w:tc>
          <w:tcPr>
            <w:tcW w:w="625" w:type="dxa"/>
            <w:tcBorders>
              <w:top w:val="nil"/>
              <w:left w:val="single" w:sz="12" w:space="0" w:color="auto"/>
              <w:bottom w:val="nil"/>
              <w:right w:val="single" w:sz="4" w:space="0" w:color="auto"/>
            </w:tcBorders>
            <w:shd w:val="clear" w:color="auto" w:fill="auto"/>
            <w:noWrap/>
            <w:vAlign w:val="bottom"/>
            <w:hideMark/>
          </w:tcPr>
          <w:p w14:paraId="486842DC"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5</w:t>
            </w:r>
          </w:p>
        </w:tc>
        <w:tc>
          <w:tcPr>
            <w:tcW w:w="1155" w:type="dxa"/>
            <w:tcBorders>
              <w:top w:val="nil"/>
              <w:left w:val="single" w:sz="4" w:space="0" w:color="auto"/>
              <w:bottom w:val="nil"/>
              <w:right w:val="single" w:sz="12" w:space="0" w:color="auto"/>
            </w:tcBorders>
            <w:shd w:val="clear" w:color="auto" w:fill="auto"/>
            <w:noWrap/>
            <w:vAlign w:val="bottom"/>
            <w:hideMark/>
          </w:tcPr>
          <w:p w14:paraId="62D9DAAB" w14:textId="77777777" w:rsidR="003510BF" w:rsidRPr="0047761D" w:rsidRDefault="003510BF" w:rsidP="00D35E63">
            <w:pPr>
              <w:pStyle w:val="Tabletext"/>
              <w:jc w:val="center"/>
              <w:rPr>
                <w:sz w:val="20"/>
              </w:rPr>
            </w:pPr>
            <w:r w:rsidRPr="0047761D">
              <w:rPr>
                <w:sz w:val="20"/>
              </w:rPr>
              <w:t>1 232</w:t>
            </w:r>
          </w:p>
        </w:tc>
        <w:tc>
          <w:tcPr>
            <w:tcW w:w="700" w:type="dxa"/>
            <w:tcBorders>
              <w:top w:val="nil"/>
              <w:left w:val="single" w:sz="12" w:space="0" w:color="auto"/>
              <w:bottom w:val="nil"/>
              <w:right w:val="single" w:sz="4" w:space="0" w:color="auto"/>
            </w:tcBorders>
            <w:shd w:val="pct5" w:color="auto" w:fill="auto"/>
            <w:noWrap/>
            <w:vAlign w:val="bottom"/>
            <w:hideMark/>
          </w:tcPr>
          <w:p w14:paraId="5AA6CFC6" w14:textId="77777777" w:rsidR="003510BF" w:rsidRPr="0047761D" w:rsidRDefault="003510BF" w:rsidP="00D35E63">
            <w:pPr>
              <w:pStyle w:val="Tabletext"/>
              <w:jc w:val="center"/>
              <w:rPr>
                <w:sz w:val="20"/>
              </w:rPr>
            </w:pPr>
            <w:r w:rsidRPr="0047761D">
              <w:rPr>
                <w:sz w:val="20"/>
              </w:rPr>
              <w:t>5</w:t>
            </w:r>
            <w:r>
              <w:rPr>
                <w:sz w:val="20"/>
              </w:rPr>
              <w:t>,</w:t>
            </w:r>
            <w:r w:rsidRPr="0047761D">
              <w:rPr>
                <w:sz w:val="20"/>
              </w:rPr>
              <w:t>6</w:t>
            </w:r>
          </w:p>
        </w:tc>
        <w:tc>
          <w:tcPr>
            <w:tcW w:w="1162" w:type="dxa"/>
            <w:tcBorders>
              <w:top w:val="nil"/>
              <w:left w:val="single" w:sz="4" w:space="0" w:color="auto"/>
              <w:bottom w:val="nil"/>
              <w:right w:val="single" w:sz="12" w:space="0" w:color="auto"/>
            </w:tcBorders>
            <w:shd w:val="pct5" w:color="auto" w:fill="auto"/>
            <w:noWrap/>
            <w:vAlign w:val="bottom"/>
            <w:hideMark/>
          </w:tcPr>
          <w:p w14:paraId="4C7DD039" w14:textId="77777777" w:rsidR="003510BF" w:rsidRPr="0047761D" w:rsidRDefault="003510BF" w:rsidP="00D35E63">
            <w:pPr>
              <w:pStyle w:val="Tabletext"/>
              <w:jc w:val="center"/>
              <w:rPr>
                <w:sz w:val="20"/>
              </w:rPr>
            </w:pPr>
            <w:r w:rsidRPr="0047761D">
              <w:rPr>
                <w:sz w:val="20"/>
              </w:rPr>
              <w:t>123</w:t>
            </w:r>
            <w:r>
              <w:rPr>
                <w:sz w:val="20"/>
              </w:rPr>
              <w:t>,</w:t>
            </w:r>
            <w:r w:rsidRPr="0047761D">
              <w:rPr>
                <w:sz w:val="20"/>
              </w:rPr>
              <w:t>2</w:t>
            </w:r>
          </w:p>
        </w:tc>
        <w:tc>
          <w:tcPr>
            <w:tcW w:w="826" w:type="dxa"/>
            <w:tcBorders>
              <w:top w:val="nil"/>
              <w:left w:val="single" w:sz="12" w:space="0" w:color="auto"/>
              <w:bottom w:val="nil"/>
              <w:right w:val="single" w:sz="4" w:space="0" w:color="auto"/>
            </w:tcBorders>
            <w:shd w:val="clear" w:color="auto" w:fill="auto"/>
            <w:noWrap/>
            <w:vAlign w:val="bottom"/>
            <w:hideMark/>
          </w:tcPr>
          <w:p w14:paraId="11A9E6C3" w14:textId="77777777" w:rsidR="003510BF" w:rsidRPr="0047761D" w:rsidRDefault="003510BF" w:rsidP="00D35E63">
            <w:pPr>
              <w:pStyle w:val="Tabletext"/>
              <w:jc w:val="center"/>
              <w:rPr>
                <w:sz w:val="20"/>
              </w:rPr>
            </w:pPr>
            <w:r w:rsidRPr="0047761D">
              <w:rPr>
                <w:sz w:val="20"/>
              </w:rPr>
              <w:t>6</w:t>
            </w:r>
            <w:r>
              <w:rPr>
                <w:sz w:val="20"/>
              </w:rPr>
              <w:t>,</w:t>
            </w:r>
            <w:r w:rsidRPr="0047761D">
              <w:rPr>
                <w:sz w:val="20"/>
              </w:rPr>
              <w:t>3</w:t>
            </w:r>
          </w:p>
        </w:tc>
        <w:tc>
          <w:tcPr>
            <w:tcW w:w="1060" w:type="dxa"/>
            <w:tcBorders>
              <w:top w:val="nil"/>
              <w:left w:val="single" w:sz="4" w:space="0" w:color="auto"/>
              <w:bottom w:val="nil"/>
              <w:right w:val="single" w:sz="12" w:space="0" w:color="auto"/>
            </w:tcBorders>
            <w:shd w:val="clear" w:color="auto" w:fill="auto"/>
            <w:noWrap/>
            <w:vAlign w:val="bottom"/>
            <w:hideMark/>
          </w:tcPr>
          <w:p w14:paraId="3E068854" w14:textId="77777777" w:rsidR="003510BF" w:rsidRPr="0047761D" w:rsidRDefault="003510BF" w:rsidP="00D35E63">
            <w:pPr>
              <w:pStyle w:val="Tabletext"/>
              <w:jc w:val="center"/>
              <w:rPr>
                <w:sz w:val="20"/>
              </w:rPr>
            </w:pPr>
            <w:r w:rsidRPr="0047761D">
              <w:rPr>
                <w:sz w:val="20"/>
              </w:rPr>
              <w:t>12</w:t>
            </w:r>
            <w:r>
              <w:rPr>
                <w:sz w:val="20"/>
              </w:rPr>
              <w:t>,</w:t>
            </w:r>
            <w:r w:rsidRPr="0047761D">
              <w:rPr>
                <w:sz w:val="20"/>
              </w:rPr>
              <w:t>4</w:t>
            </w:r>
          </w:p>
        </w:tc>
      </w:tr>
      <w:tr w:rsidR="003510BF" w:rsidRPr="0047761D" w14:paraId="3550EA97"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3616BD07" w14:textId="06F85357" w:rsidR="003510BF" w:rsidRPr="0047761D" w:rsidRDefault="003510BF" w:rsidP="00D35E63">
            <w:pPr>
              <w:pStyle w:val="Tabletext"/>
              <w:rPr>
                <w:sz w:val="20"/>
              </w:rPr>
            </w:pPr>
            <w:r w:rsidRPr="0047761D">
              <w:rPr>
                <w:sz w:val="20"/>
              </w:rPr>
              <w:t xml:space="preserve">MDP-2 </w:t>
            </w:r>
          </w:p>
        </w:tc>
        <w:tc>
          <w:tcPr>
            <w:tcW w:w="1252" w:type="dxa"/>
            <w:tcBorders>
              <w:top w:val="nil"/>
              <w:left w:val="single" w:sz="12" w:space="0" w:color="auto"/>
              <w:bottom w:val="nil"/>
              <w:right w:val="single" w:sz="4" w:space="0" w:color="auto"/>
            </w:tcBorders>
            <w:shd w:val="pct5" w:color="auto" w:fill="auto"/>
            <w:noWrap/>
            <w:vAlign w:val="center"/>
            <w:hideMark/>
          </w:tcPr>
          <w:p w14:paraId="215E7D1A" w14:textId="77777777" w:rsidR="003510BF" w:rsidRPr="0047761D" w:rsidRDefault="003510BF" w:rsidP="00D35E63">
            <w:pPr>
              <w:pStyle w:val="Tabletext"/>
              <w:jc w:val="center"/>
              <w:rPr>
                <w:sz w:val="20"/>
              </w:rPr>
            </w:pPr>
            <w:r w:rsidRPr="0047761D">
              <w:rPr>
                <w:sz w:val="20"/>
              </w:rPr>
              <w:t>2</w:t>
            </w:r>
            <w:r>
              <w:rPr>
                <w:sz w:val="20"/>
              </w:rPr>
              <w:t>,</w:t>
            </w:r>
            <w:r w:rsidRPr="0047761D">
              <w:rPr>
                <w:sz w:val="20"/>
              </w:rPr>
              <w:t>8</w:t>
            </w:r>
          </w:p>
        </w:tc>
        <w:tc>
          <w:tcPr>
            <w:tcW w:w="1188" w:type="dxa"/>
            <w:tcBorders>
              <w:top w:val="nil"/>
              <w:left w:val="single" w:sz="4" w:space="0" w:color="auto"/>
              <w:bottom w:val="nil"/>
              <w:right w:val="single" w:sz="12" w:space="0" w:color="auto"/>
            </w:tcBorders>
            <w:shd w:val="pct5" w:color="auto" w:fill="auto"/>
            <w:noWrap/>
            <w:vAlign w:val="bottom"/>
            <w:hideMark/>
          </w:tcPr>
          <w:p w14:paraId="40F213D4" w14:textId="77777777" w:rsidR="003510BF" w:rsidRPr="0047761D" w:rsidRDefault="003510BF" w:rsidP="00D35E63">
            <w:pPr>
              <w:pStyle w:val="Tabletext"/>
              <w:jc w:val="center"/>
              <w:rPr>
                <w:sz w:val="20"/>
              </w:rPr>
            </w:pPr>
            <w:r w:rsidRPr="0047761D">
              <w:rPr>
                <w:sz w:val="20"/>
              </w:rPr>
              <w:t>3 084</w:t>
            </w:r>
          </w:p>
        </w:tc>
        <w:tc>
          <w:tcPr>
            <w:tcW w:w="625" w:type="dxa"/>
            <w:tcBorders>
              <w:top w:val="nil"/>
              <w:left w:val="single" w:sz="12" w:space="0" w:color="auto"/>
              <w:bottom w:val="nil"/>
              <w:right w:val="single" w:sz="4" w:space="0" w:color="auto"/>
            </w:tcBorders>
            <w:shd w:val="clear" w:color="auto" w:fill="auto"/>
            <w:noWrap/>
            <w:vAlign w:val="bottom"/>
            <w:hideMark/>
          </w:tcPr>
          <w:p w14:paraId="21EF8D80"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4</w:t>
            </w:r>
          </w:p>
        </w:tc>
        <w:tc>
          <w:tcPr>
            <w:tcW w:w="1155" w:type="dxa"/>
            <w:tcBorders>
              <w:top w:val="nil"/>
              <w:left w:val="single" w:sz="4" w:space="0" w:color="auto"/>
              <w:bottom w:val="nil"/>
              <w:right w:val="single" w:sz="12" w:space="0" w:color="auto"/>
            </w:tcBorders>
            <w:shd w:val="clear" w:color="auto" w:fill="auto"/>
            <w:noWrap/>
            <w:vAlign w:val="bottom"/>
            <w:hideMark/>
          </w:tcPr>
          <w:p w14:paraId="7E142709" w14:textId="77777777" w:rsidR="003510BF" w:rsidRPr="0047761D" w:rsidRDefault="003510BF" w:rsidP="00D35E63">
            <w:pPr>
              <w:pStyle w:val="Tabletext"/>
              <w:jc w:val="center"/>
              <w:rPr>
                <w:sz w:val="20"/>
              </w:rPr>
            </w:pPr>
            <w:r w:rsidRPr="0047761D">
              <w:rPr>
                <w:sz w:val="20"/>
              </w:rPr>
              <w:t>308</w:t>
            </w:r>
          </w:p>
        </w:tc>
        <w:tc>
          <w:tcPr>
            <w:tcW w:w="700" w:type="dxa"/>
            <w:tcBorders>
              <w:top w:val="nil"/>
              <w:left w:val="single" w:sz="12" w:space="0" w:color="auto"/>
              <w:bottom w:val="nil"/>
              <w:right w:val="single" w:sz="4" w:space="0" w:color="auto"/>
            </w:tcBorders>
            <w:shd w:val="pct5" w:color="auto" w:fill="auto"/>
            <w:noWrap/>
            <w:vAlign w:val="bottom"/>
            <w:hideMark/>
          </w:tcPr>
          <w:p w14:paraId="662A85AB"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9</w:t>
            </w:r>
          </w:p>
        </w:tc>
        <w:tc>
          <w:tcPr>
            <w:tcW w:w="1162" w:type="dxa"/>
            <w:tcBorders>
              <w:top w:val="nil"/>
              <w:left w:val="single" w:sz="4" w:space="0" w:color="auto"/>
              <w:bottom w:val="nil"/>
              <w:right w:val="single" w:sz="12" w:space="0" w:color="auto"/>
            </w:tcBorders>
            <w:shd w:val="pct5" w:color="auto" w:fill="auto"/>
            <w:noWrap/>
            <w:vAlign w:val="bottom"/>
            <w:hideMark/>
          </w:tcPr>
          <w:p w14:paraId="0856E5A3" w14:textId="77777777" w:rsidR="003510BF" w:rsidRPr="0047761D" w:rsidRDefault="003510BF" w:rsidP="00D35E63">
            <w:pPr>
              <w:pStyle w:val="Tabletext"/>
              <w:jc w:val="center"/>
              <w:rPr>
                <w:sz w:val="20"/>
              </w:rPr>
            </w:pPr>
            <w:r w:rsidRPr="0047761D">
              <w:rPr>
                <w:sz w:val="20"/>
              </w:rPr>
              <w:t>30</w:t>
            </w:r>
            <w:r>
              <w:rPr>
                <w:sz w:val="20"/>
              </w:rPr>
              <w:t>,</w:t>
            </w:r>
            <w:r w:rsidRPr="0047761D">
              <w:rPr>
                <w:sz w:val="20"/>
              </w:rPr>
              <w:t>8</w:t>
            </w:r>
          </w:p>
        </w:tc>
        <w:tc>
          <w:tcPr>
            <w:tcW w:w="826" w:type="dxa"/>
            <w:tcBorders>
              <w:top w:val="nil"/>
              <w:left w:val="single" w:sz="12" w:space="0" w:color="auto"/>
              <w:bottom w:val="nil"/>
              <w:right w:val="single" w:sz="4" w:space="0" w:color="auto"/>
            </w:tcBorders>
            <w:shd w:val="clear" w:color="auto" w:fill="auto"/>
            <w:noWrap/>
            <w:vAlign w:val="bottom"/>
            <w:hideMark/>
          </w:tcPr>
          <w:p w14:paraId="08B46301" w14:textId="77777777" w:rsidR="003510BF" w:rsidRPr="0047761D" w:rsidRDefault="003510BF" w:rsidP="00D35E63">
            <w:pPr>
              <w:pStyle w:val="Tabletext"/>
              <w:jc w:val="center"/>
              <w:rPr>
                <w:sz w:val="20"/>
              </w:rPr>
            </w:pPr>
            <w:r w:rsidRPr="0047761D">
              <w:rPr>
                <w:sz w:val="20"/>
              </w:rPr>
              <w:t>5</w:t>
            </w:r>
            <w:r>
              <w:rPr>
                <w:sz w:val="20"/>
              </w:rPr>
              <w:t>,</w:t>
            </w:r>
            <w:r w:rsidRPr="0047761D">
              <w:rPr>
                <w:sz w:val="20"/>
              </w:rPr>
              <w:t>2</w:t>
            </w:r>
          </w:p>
        </w:tc>
        <w:tc>
          <w:tcPr>
            <w:tcW w:w="1060" w:type="dxa"/>
            <w:tcBorders>
              <w:top w:val="nil"/>
              <w:left w:val="single" w:sz="4" w:space="0" w:color="auto"/>
              <w:bottom w:val="nil"/>
              <w:right w:val="single" w:sz="12" w:space="0" w:color="auto"/>
            </w:tcBorders>
            <w:shd w:val="clear" w:color="auto" w:fill="auto"/>
            <w:noWrap/>
            <w:vAlign w:val="bottom"/>
            <w:hideMark/>
          </w:tcPr>
          <w:p w14:paraId="0B46C71A" w14:textId="77777777" w:rsidR="003510BF" w:rsidRPr="0047761D" w:rsidRDefault="003510BF" w:rsidP="00D35E63">
            <w:pPr>
              <w:pStyle w:val="Tabletext"/>
              <w:jc w:val="center"/>
              <w:rPr>
                <w:sz w:val="20"/>
              </w:rPr>
            </w:pPr>
            <w:r w:rsidRPr="0047761D">
              <w:rPr>
                <w:sz w:val="20"/>
              </w:rPr>
              <w:t>3</w:t>
            </w:r>
            <w:r>
              <w:rPr>
                <w:sz w:val="20"/>
              </w:rPr>
              <w:t>,</w:t>
            </w:r>
            <w:r w:rsidRPr="0047761D">
              <w:rPr>
                <w:sz w:val="20"/>
              </w:rPr>
              <w:t>1</w:t>
            </w:r>
          </w:p>
        </w:tc>
      </w:tr>
      <w:tr w:rsidR="003510BF" w:rsidRPr="0047761D" w14:paraId="42431607" w14:textId="77777777" w:rsidTr="00C42A56">
        <w:trPr>
          <w:trHeight w:val="300"/>
          <w:jc w:val="center"/>
        </w:trPr>
        <w:tc>
          <w:tcPr>
            <w:tcW w:w="1808" w:type="dxa"/>
            <w:tcBorders>
              <w:top w:val="nil"/>
              <w:left w:val="single" w:sz="4" w:space="0" w:color="auto"/>
              <w:bottom w:val="single" w:sz="4" w:space="0" w:color="auto"/>
              <w:right w:val="single" w:sz="12" w:space="0" w:color="auto"/>
            </w:tcBorders>
            <w:shd w:val="clear" w:color="auto" w:fill="auto"/>
            <w:noWrap/>
            <w:vAlign w:val="bottom"/>
            <w:hideMark/>
          </w:tcPr>
          <w:p w14:paraId="7C447AE5" w14:textId="77777777" w:rsidR="003510BF" w:rsidRPr="0047761D" w:rsidRDefault="003510BF" w:rsidP="00D35E63">
            <w:pPr>
              <w:pStyle w:val="Tabletext"/>
              <w:rPr>
                <w:sz w:val="20"/>
              </w:rPr>
            </w:pPr>
            <w:r w:rsidRPr="0047761D">
              <w:rPr>
                <w:sz w:val="20"/>
              </w:rPr>
              <w:t>MDP-4</w:t>
            </w:r>
          </w:p>
        </w:tc>
        <w:tc>
          <w:tcPr>
            <w:tcW w:w="1252" w:type="dxa"/>
            <w:tcBorders>
              <w:top w:val="nil"/>
              <w:left w:val="single" w:sz="12" w:space="0" w:color="auto"/>
              <w:bottom w:val="single" w:sz="4" w:space="0" w:color="auto"/>
              <w:right w:val="single" w:sz="4" w:space="0" w:color="auto"/>
            </w:tcBorders>
            <w:shd w:val="pct5" w:color="auto" w:fill="auto"/>
            <w:noWrap/>
            <w:vAlign w:val="center"/>
            <w:hideMark/>
          </w:tcPr>
          <w:p w14:paraId="6A2B8D70" w14:textId="77777777" w:rsidR="003510BF" w:rsidRPr="0047761D" w:rsidRDefault="003510BF" w:rsidP="00D35E63">
            <w:pPr>
              <w:pStyle w:val="Tabletext"/>
              <w:jc w:val="center"/>
              <w:rPr>
                <w:sz w:val="20"/>
              </w:rPr>
            </w:pPr>
            <w:r w:rsidRPr="0047761D">
              <w:rPr>
                <w:sz w:val="20"/>
              </w:rPr>
              <w:t>2</w:t>
            </w:r>
            <w:r>
              <w:rPr>
                <w:sz w:val="20"/>
              </w:rPr>
              <w:t>,</w:t>
            </w:r>
            <w:r w:rsidRPr="0047761D">
              <w:rPr>
                <w:sz w:val="20"/>
              </w:rPr>
              <w:t>0</w:t>
            </w:r>
          </w:p>
        </w:tc>
        <w:tc>
          <w:tcPr>
            <w:tcW w:w="1188" w:type="dxa"/>
            <w:tcBorders>
              <w:top w:val="nil"/>
              <w:left w:val="single" w:sz="4" w:space="0" w:color="auto"/>
              <w:bottom w:val="single" w:sz="4" w:space="0" w:color="auto"/>
              <w:right w:val="single" w:sz="12" w:space="0" w:color="auto"/>
            </w:tcBorders>
            <w:shd w:val="pct5" w:color="auto" w:fill="auto"/>
            <w:noWrap/>
            <w:vAlign w:val="bottom"/>
            <w:hideMark/>
          </w:tcPr>
          <w:p w14:paraId="23DDF168" w14:textId="77777777" w:rsidR="003510BF" w:rsidRPr="0047761D" w:rsidRDefault="003510BF" w:rsidP="00D35E63">
            <w:pPr>
              <w:pStyle w:val="Tabletext"/>
              <w:jc w:val="center"/>
              <w:rPr>
                <w:sz w:val="20"/>
              </w:rPr>
            </w:pPr>
            <w:r w:rsidRPr="0047761D">
              <w:rPr>
                <w:sz w:val="20"/>
              </w:rPr>
              <w:t>6 168</w:t>
            </w:r>
          </w:p>
        </w:tc>
        <w:tc>
          <w:tcPr>
            <w:tcW w:w="625" w:type="dxa"/>
            <w:tcBorders>
              <w:top w:val="nil"/>
              <w:left w:val="single" w:sz="12" w:space="0" w:color="auto"/>
              <w:bottom w:val="single" w:sz="4" w:space="0" w:color="auto"/>
              <w:right w:val="single" w:sz="4" w:space="0" w:color="auto"/>
            </w:tcBorders>
            <w:shd w:val="clear" w:color="auto" w:fill="auto"/>
            <w:noWrap/>
            <w:vAlign w:val="bottom"/>
            <w:hideMark/>
          </w:tcPr>
          <w:p w14:paraId="1482F5F4" w14:textId="77777777" w:rsidR="003510BF" w:rsidRPr="0047761D" w:rsidRDefault="003510BF" w:rsidP="00D35E63">
            <w:pPr>
              <w:pStyle w:val="Tabletext"/>
              <w:jc w:val="center"/>
              <w:rPr>
                <w:sz w:val="20"/>
              </w:rPr>
            </w:pPr>
            <w:r w:rsidRPr="0047761D">
              <w:rPr>
                <w:sz w:val="20"/>
              </w:rPr>
              <w:t>3</w:t>
            </w:r>
            <w:r>
              <w:rPr>
                <w:sz w:val="20"/>
              </w:rPr>
              <w:t>,</w:t>
            </w:r>
            <w:r w:rsidRPr="0047761D">
              <w:rPr>
                <w:sz w:val="20"/>
              </w:rPr>
              <w:t>5</w:t>
            </w:r>
          </w:p>
        </w:tc>
        <w:tc>
          <w:tcPr>
            <w:tcW w:w="1155" w:type="dxa"/>
            <w:tcBorders>
              <w:top w:val="nil"/>
              <w:left w:val="single" w:sz="4" w:space="0" w:color="auto"/>
              <w:bottom w:val="single" w:sz="4" w:space="0" w:color="auto"/>
              <w:right w:val="single" w:sz="12" w:space="0" w:color="auto"/>
            </w:tcBorders>
            <w:shd w:val="clear" w:color="auto" w:fill="auto"/>
            <w:noWrap/>
            <w:vAlign w:val="bottom"/>
            <w:hideMark/>
          </w:tcPr>
          <w:p w14:paraId="7F225CF1" w14:textId="77777777" w:rsidR="003510BF" w:rsidRPr="0047761D" w:rsidRDefault="003510BF" w:rsidP="00D35E63">
            <w:pPr>
              <w:pStyle w:val="Tabletext"/>
              <w:jc w:val="center"/>
              <w:rPr>
                <w:sz w:val="20"/>
              </w:rPr>
            </w:pPr>
            <w:r w:rsidRPr="0047761D">
              <w:rPr>
                <w:sz w:val="20"/>
              </w:rPr>
              <w:t>616</w:t>
            </w:r>
          </w:p>
        </w:tc>
        <w:tc>
          <w:tcPr>
            <w:tcW w:w="700" w:type="dxa"/>
            <w:tcBorders>
              <w:top w:val="nil"/>
              <w:left w:val="single" w:sz="12" w:space="0" w:color="auto"/>
              <w:bottom w:val="single" w:sz="4" w:space="0" w:color="auto"/>
              <w:right w:val="single" w:sz="4" w:space="0" w:color="auto"/>
            </w:tcBorders>
            <w:shd w:val="pct5" w:color="auto" w:fill="auto"/>
            <w:noWrap/>
            <w:vAlign w:val="bottom"/>
            <w:hideMark/>
          </w:tcPr>
          <w:p w14:paraId="64547871"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3</w:t>
            </w:r>
          </w:p>
        </w:tc>
        <w:tc>
          <w:tcPr>
            <w:tcW w:w="1162" w:type="dxa"/>
            <w:tcBorders>
              <w:top w:val="nil"/>
              <w:left w:val="single" w:sz="4" w:space="0" w:color="auto"/>
              <w:bottom w:val="single" w:sz="4" w:space="0" w:color="auto"/>
              <w:right w:val="single" w:sz="12" w:space="0" w:color="auto"/>
            </w:tcBorders>
            <w:shd w:val="pct5" w:color="auto" w:fill="auto"/>
            <w:noWrap/>
            <w:vAlign w:val="bottom"/>
            <w:hideMark/>
          </w:tcPr>
          <w:p w14:paraId="179D80AA" w14:textId="77777777" w:rsidR="003510BF" w:rsidRPr="0047761D" w:rsidRDefault="003510BF" w:rsidP="00D35E63">
            <w:pPr>
              <w:pStyle w:val="Tabletext"/>
              <w:jc w:val="center"/>
              <w:rPr>
                <w:sz w:val="20"/>
              </w:rPr>
            </w:pPr>
            <w:r w:rsidRPr="0047761D">
              <w:rPr>
                <w:sz w:val="20"/>
              </w:rPr>
              <w:t>61</w:t>
            </w:r>
            <w:r>
              <w:rPr>
                <w:sz w:val="20"/>
              </w:rPr>
              <w:t>,</w:t>
            </w:r>
            <w:r w:rsidRPr="0047761D">
              <w:rPr>
                <w:sz w:val="20"/>
              </w:rPr>
              <w:t>6</w:t>
            </w:r>
          </w:p>
        </w:tc>
        <w:tc>
          <w:tcPr>
            <w:tcW w:w="826" w:type="dxa"/>
            <w:tcBorders>
              <w:top w:val="nil"/>
              <w:left w:val="single" w:sz="12" w:space="0" w:color="auto"/>
              <w:bottom w:val="single" w:sz="4" w:space="0" w:color="auto"/>
              <w:right w:val="single" w:sz="4" w:space="0" w:color="auto"/>
            </w:tcBorders>
            <w:shd w:val="clear" w:color="auto" w:fill="auto"/>
            <w:noWrap/>
            <w:vAlign w:val="bottom"/>
            <w:hideMark/>
          </w:tcPr>
          <w:p w14:paraId="105DA5AB"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7</w:t>
            </w:r>
          </w:p>
        </w:tc>
        <w:tc>
          <w:tcPr>
            <w:tcW w:w="1060" w:type="dxa"/>
            <w:tcBorders>
              <w:top w:val="nil"/>
              <w:left w:val="single" w:sz="4" w:space="0" w:color="auto"/>
              <w:bottom w:val="single" w:sz="4" w:space="0" w:color="auto"/>
              <w:right w:val="single" w:sz="12" w:space="0" w:color="auto"/>
            </w:tcBorders>
            <w:shd w:val="clear" w:color="auto" w:fill="auto"/>
            <w:noWrap/>
            <w:vAlign w:val="bottom"/>
            <w:hideMark/>
          </w:tcPr>
          <w:p w14:paraId="73A95587" w14:textId="77777777" w:rsidR="003510BF" w:rsidRPr="0047761D" w:rsidRDefault="003510BF" w:rsidP="00D35E63">
            <w:pPr>
              <w:pStyle w:val="Tabletext"/>
              <w:jc w:val="center"/>
              <w:rPr>
                <w:sz w:val="20"/>
              </w:rPr>
            </w:pPr>
            <w:r w:rsidRPr="0047761D">
              <w:rPr>
                <w:sz w:val="20"/>
              </w:rPr>
              <w:t>6</w:t>
            </w:r>
            <w:r>
              <w:rPr>
                <w:sz w:val="20"/>
              </w:rPr>
              <w:t>,</w:t>
            </w:r>
            <w:r w:rsidRPr="0047761D">
              <w:rPr>
                <w:sz w:val="20"/>
              </w:rPr>
              <w:t>2</w:t>
            </w:r>
          </w:p>
        </w:tc>
      </w:tr>
      <w:tr w:rsidR="003510BF" w:rsidRPr="0047761D" w14:paraId="51D09252" w14:textId="77777777" w:rsidTr="00C42A56">
        <w:trPr>
          <w:trHeight w:val="318"/>
          <w:jc w:val="center"/>
        </w:trPr>
        <w:tc>
          <w:tcPr>
            <w:tcW w:w="1808" w:type="dxa"/>
            <w:tcBorders>
              <w:top w:val="nil"/>
              <w:left w:val="single" w:sz="4" w:space="0" w:color="auto"/>
              <w:bottom w:val="nil"/>
              <w:right w:val="single" w:sz="12" w:space="0" w:color="auto"/>
            </w:tcBorders>
            <w:shd w:val="clear" w:color="auto" w:fill="auto"/>
            <w:vAlign w:val="bottom"/>
            <w:hideMark/>
          </w:tcPr>
          <w:p w14:paraId="22B0D94B" w14:textId="77777777" w:rsidR="003510BF" w:rsidRPr="0047761D" w:rsidRDefault="003510BF" w:rsidP="00D35E63">
            <w:pPr>
              <w:pStyle w:val="Tabletext"/>
              <w:rPr>
                <w:b/>
                <w:bCs/>
                <w:sz w:val="20"/>
              </w:rPr>
            </w:pPr>
            <w:r w:rsidRPr="0047761D">
              <w:rPr>
                <w:b/>
                <w:bCs/>
                <w:sz w:val="20"/>
              </w:rPr>
              <w:t>2</w:t>
            </w:r>
            <w:r>
              <w:rPr>
                <w:b/>
                <w:bCs/>
                <w:sz w:val="20"/>
              </w:rPr>
              <w:t>,</w:t>
            </w:r>
            <w:r w:rsidRPr="0047761D">
              <w:rPr>
                <w:b/>
                <w:bCs/>
                <w:sz w:val="20"/>
              </w:rPr>
              <w:t>94 MHz</w:t>
            </w:r>
          </w:p>
        </w:tc>
        <w:tc>
          <w:tcPr>
            <w:tcW w:w="1252" w:type="dxa"/>
            <w:tcBorders>
              <w:top w:val="nil"/>
              <w:left w:val="single" w:sz="12" w:space="0" w:color="auto"/>
              <w:bottom w:val="single" w:sz="4" w:space="0" w:color="auto"/>
              <w:right w:val="nil"/>
            </w:tcBorders>
            <w:shd w:val="pct5" w:color="auto" w:fill="auto"/>
            <w:noWrap/>
            <w:vAlign w:val="center"/>
            <w:hideMark/>
          </w:tcPr>
          <w:p w14:paraId="758CE869" w14:textId="77777777" w:rsidR="003510BF" w:rsidRPr="0047761D" w:rsidRDefault="003510BF" w:rsidP="00D35E63">
            <w:pPr>
              <w:pStyle w:val="Tabletext"/>
              <w:jc w:val="center"/>
              <w:rPr>
                <w:sz w:val="20"/>
              </w:rPr>
            </w:pPr>
          </w:p>
        </w:tc>
        <w:tc>
          <w:tcPr>
            <w:tcW w:w="1188" w:type="dxa"/>
            <w:tcBorders>
              <w:top w:val="nil"/>
              <w:left w:val="nil"/>
              <w:bottom w:val="single" w:sz="4" w:space="0" w:color="auto"/>
              <w:right w:val="single" w:sz="12" w:space="0" w:color="auto"/>
            </w:tcBorders>
            <w:shd w:val="pct5" w:color="auto" w:fill="auto"/>
            <w:noWrap/>
            <w:vAlign w:val="bottom"/>
            <w:hideMark/>
          </w:tcPr>
          <w:p w14:paraId="39BD0000" w14:textId="77777777" w:rsidR="003510BF" w:rsidRPr="0047761D" w:rsidRDefault="003510BF" w:rsidP="00D35E63">
            <w:pPr>
              <w:pStyle w:val="Tabletext"/>
              <w:jc w:val="center"/>
              <w:rPr>
                <w:sz w:val="20"/>
              </w:rPr>
            </w:pPr>
          </w:p>
        </w:tc>
        <w:tc>
          <w:tcPr>
            <w:tcW w:w="625" w:type="dxa"/>
            <w:tcBorders>
              <w:top w:val="nil"/>
              <w:left w:val="single" w:sz="12" w:space="0" w:color="auto"/>
              <w:bottom w:val="single" w:sz="4" w:space="0" w:color="auto"/>
              <w:right w:val="nil"/>
            </w:tcBorders>
            <w:shd w:val="clear" w:color="auto" w:fill="auto"/>
            <w:noWrap/>
            <w:vAlign w:val="bottom"/>
          </w:tcPr>
          <w:p w14:paraId="22B5E395" w14:textId="77777777" w:rsidR="003510BF" w:rsidRPr="0047761D" w:rsidRDefault="003510BF" w:rsidP="00D35E63">
            <w:pPr>
              <w:pStyle w:val="Tabletext"/>
              <w:jc w:val="center"/>
              <w:rPr>
                <w:sz w:val="20"/>
              </w:rPr>
            </w:pPr>
          </w:p>
        </w:tc>
        <w:tc>
          <w:tcPr>
            <w:tcW w:w="1155" w:type="dxa"/>
            <w:tcBorders>
              <w:top w:val="nil"/>
              <w:left w:val="nil"/>
              <w:bottom w:val="single" w:sz="4" w:space="0" w:color="auto"/>
              <w:right w:val="single" w:sz="12" w:space="0" w:color="auto"/>
            </w:tcBorders>
            <w:shd w:val="clear" w:color="auto" w:fill="auto"/>
            <w:noWrap/>
            <w:vAlign w:val="bottom"/>
          </w:tcPr>
          <w:p w14:paraId="36E88DF7" w14:textId="77777777" w:rsidR="003510BF" w:rsidRPr="0047761D" w:rsidRDefault="003510BF" w:rsidP="00D35E63">
            <w:pPr>
              <w:pStyle w:val="Tabletext"/>
              <w:jc w:val="center"/>
              <w:rPr>
                <w:sz w:val="20"/>
              </w:rPr>
            </w:pPr>
          </w:p>
        </w:tc>
        <w:tc>
          <w:tcPr>
            <w:tcW w:w="700" w:type="dxa"/>
            <w:tcBorders>
              <w:top w:val="nil"/>
              <w:left w:val="single" w:sz="12" w:space="0" w:color="auto"/>
              <w:bottom w:val="single" w:sz="4" w:space="0" w:color="auto"/>
              <w:right w:val="nil"/>
            </w:tcBorders>
            <w:shd w:val="pct5" w:color="auto" w:fill="auto"/>
            <w:noWrap/>
            <w:vAlign w:val="bottom"/>
          </w:tcPr>
          <w:p w14:paraId="129B1779" w14:textId="77777777" w:rsidR="003510BF" w:rsidRPr="0047761D" w:rsidRDefault="003510BF" w:rsidP="00D35E63">
            <w:pPr>
              <w:pStyle w:val="Tabletext"/>
              <w:jc w:val="center"/>
              <w:rPr>
                <w:sz w:val="20"/>
              </w:rPr>
            </w:pPr>
          </w:p>
        </w:tc>
        <w:tc>
          <w:tcPr>
            <w:tcW w:w="1162" w:type="dxa"/>
            <w:tcBorders>
              <w:top w:val="nil"/>
              <w:left w:val="nil"/>
              <w:bottom w:val="single" w:sz="4" w:space="0" w:color="auto"/>
              <w:right w:val="single" w:sz="12" w:space="0" w:color="auto"/>
            </w:tcBorders>
            <w:shd w:val="pct5" w:color="auto" w:fill="auto"/>
            <w:noWrap/>
            <w:vAlign w:val="bottom"/>
          </w:tcPr>
          <w:p w14:paraId="62E02F28" w14:textId="77777777" w:rsidR="003510BF" w:rsidRPr="0047761D" w:rsidRDefault="003510BF" w:rsidP="00D35E63">
            <w:pPr>
              <w:pStyle w:val="Tabletext"/>
              <w:jc w:val="center"/>
              <w:rPr>
                <w:sz w:val="20"/>
              </w:rPr>
            </w:pPr>
          </w:p>
        </w:tc>
        <w:tc>
          <w:tcPr>
            <w:tcW w:w="826" w:type="dxa"/>
            <w:tcBorders>
              <w:top w:val="nil"/>
              <w:left w:val="single" w:sz="12" w:space="0" w:color="auto"/>
              <w:bottom w:val="single" w:sz="4" w:space="0" w:color="auto"/>
              <w:right w:val="nil"/>
            </w:tcBorders>
            <w:shd w:val="clear" w:color="auto" w:fill="auto"/>
            <w:noWrap/>
            <w:vAlign w:val="bottom"/>
          </w:tcPr>
          <w:p w14:paraId="4D7E0632" w14:textId="77777777" w:rsidR="003510BF" w:rsidRPr="0047761D" w:rsidRDefault="003510BF" w:rsidP="00D35E63">
            <w:pPr>
              <w:pStyle w:val="Tabletext"/>
              <w:jc w:val="center"/>
              <w:rPr>
                <w:sz w:val="20"/>
              </w:rPr>
            </w:pPr>
          </w:p>
        </w:tc>
        <w:tc>
          <w:tcPr>
            <w:tcW w:w="1060" w:type="dxa"/>
            <w:tcBorders>
              <w:top w:val="nil"/>
              <w:left w:val="nil"/>
              <w:bottom w:val="single" w:sz="4" w:space="0" w:color="auto"/>
              <w:right w:val="single" w:sz="12" w:space="0" w:color="auto"/>
            </w:tcBorders>
            <w:shd w:val="clear" w:color="auto" w:fill="auto"/>
            <w:noWrap/>
            <w:vAlign w:val="bottom"/>
          </w:tcPr>
          <w:p w14:paraId="76C07EE2" w14:textId="77777777" w:rsidR="003510BF" w:rsidRPr="0047761D" w:rsidRDefault="003510BF" w:rsidP="00D35E63">
            <w:pPr>
              <w:pStyle w:val="Tabletext"/>
              <w:jc w:val="center"/>
              <w:rPr>
                <w:sz w:val="20"/>
              </w:rPr>
            </w:pPr>
          </w:p>
        </w:tc>
      </w:tr>
      <w:tr w:rsidR="003510BF" w:rsidRPr="0047761D" w14:paraId="31CDB450" w14:textId="77777777" w:rsidTr="00C42A56">
        <w:trPr>
          <w:trHeight w:val="300"/>
          <w:jc w:val="center"/>
        </w:trPr>
        <w:tc>
          <w:tcPr>
            <w:tcW w:w="1808" w:type="dxa"/>
            <w:tcBorders>
              <w:top w:val="single" w:sz="4" w:space="0" w:color="auto"/>
              <w:left w:val="single" w:sz="4" w:space="0" w:color="auto"/>
              <w:bottom w:val="nil"/>
              <w:right w:val="single" w:sz="12" w:space="0" w:color="auto"/>
            </w:tcBorders>
            <w:shd w:val="clear" w:color="auto" w:fill="auto"/>
            <w:noWrap/>
            <w:vAlign w:val="bottom"/>
            <w:hideMark/>
          </w:tcPr>
          <w:p w14:paraId="498A351F" w14:textId="550E5BF1" w:rsidR="003510BF" w:rsidRPr="0047761D" w:rsidRDefault="003510BF" w:rsidP="00D35E63">
            <w:pPr>
              <w:pStyle w:val="Tabletext"/>
              <w:rPr>
                <w:sz w:val="20"/>
              </w:rPr>
            </w:pPr>
            <w:r w:rsidRPr="0047761D">
              <w:rPr>
                <w:sz w:val="20"/>
              </w:rPr>
              <w:t>MDAP-16</w:t>
            </w:r>
            <w:r w:rsidR="00136C44">
              <w:rPr>
                <w:sz w:val="20"/>
              </w:rPr>
              <w:t xml:space="preserve"> </w:t>
            </w:r>
          </w:p>
        </w:tc>
        <w:tc>
          <w:tcPr>
            <w:tcW w:w="1252" w:type="dxa"/>
            <w:tcBorders>
              <w:top w:val="single" w:sz="4" w:space="0" w:color="auto"/>
              <w:left w:val="single" w:sz="12" w:space="0" w:color="auto"/>
              <w:bottom w:val="nil"/>
              <w:right w:val="single" w:sz="4" w:space="0" w:color="auto"/>
            </w:tcBorders>
            <w:shd w:val="pct5" w:color="auto" w:fill="auto"/>
            <w:noWrap/>
            <w:vAlign w:val="center"/>
            <w:hideMark/>
          </w:tcPr>
          <w:p w14:paraId="5624BE3A" w14:textId="77777777" w:rsidR="003510BF" w:rsidRPr="0047761D" w:rsidRDefault="003510BF" w:rsidP="00D35E63">
            <w:pPr>
              <w:pStyle w:val="Tabletext"/>
              <w:jc w:val="center"/>
              <w:rPr>
                <w:sz w:val="20"/>
              </w:rPr>
            </w:pPr>
            <w:r w:rsidRPr="0047761D">
              <w:rPr>
                <w:sz w:val="20"/>
              </w:rPr>
              <w:t>2</w:t>
            </w:r>
            <w:r>
              <w:rPr>
                <w:sz w:val="20"/>
              </w:rPr>
              <w:t>,</w:t>
            </w:r>
            <w:r w:rsidRPr="0047761D">
              <w:rPr>
                <w:sz w:val="20"/>
              </w:rPr>
              <w:t>6</w:t>
            </w:r>
          </w:p>
        </w:tc>
        <w:tc>
          <w:tcPr>
            <w:tcW w:w="1188" w:type="dxa"/>
            <w:tcBorders>
              <w:top w:val="single" w:sz="4" w:space="0" w:color="auto"/>
              <w:left w:val="single" w:sz="4" w:space="0" w:color="auto"/>
              <w:bottom w:val="nil"/>
              <w:right w:val="single" w:sz="12" w:space="0" w:color="auto"/>
            </w:tcBorders>
            <w:shd w:val="pct5" w:color="auto" w:fill="auto"/>
            <w:noWrap/>
            <w:vAlign w:val="bottom"/>
            <w:hideMark/>
          </w:tcPr>
          <w:p w14:paraId="5AA29A59" w14:textId="77777777" w:rsidR="003510BF" w:rsidRPr="0047761D" w:rsidRDefault="003510BF" w:rsidP="00D35E63">
            <w:pPr>
              <w:pStyle w:val="Tabletext"/>
              <w:jc w:val="center"/>
              <w:rPr>
                <w:sz w:val="20"/>
              </w:rPr>
            </w:pPr>
            <w:r w:rsidRPr="0047761D">
              <w:rPr>
                <w:sz w:val="20"/>
              </w:rPr>
              <w:t>1 176</w:t>
            </w:r>
          </w:p>
        </w:tc>
        <w:tc>
          <w:tcPr>
            <w:tcW w:w="625" w:type="dxa"/>
            <w:tcBorders>
              <w:top w:val="single" w:sz="4" w:space="0" w:color="auto"/>
              <w:left w:val="single" w:sz="12" w:space="0" w:color="auto"/>
              <w:bottom w:val="nil"/>
              <w:right w:val="single" w:sz="4" w:space="0" w:color="auto"/>
            </w:tcBorders>
            <w:shd w:val="clear" w:color="auto" w:fill="auto"/>
            <w:noWrap/>
            <w:vAlign w:val="bottom"/>
            <w:hideMark/>
          </w:tcPr>
          <w:p w14:paraId="2B083C06"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0</w:t>
            </w:r>
          </w:p>
        </w:tc>
        <w:tc>
          <w:tcPr>
            <w:tcW w:w="1155" w:type="dxa"/>
            <w:tcBorders>
              <w:top w:val="single" w:sz="4" w:space="0" w:color="auto"/>
              <w:left w:val="single" w:sz="4" w:space="0" w:color="auto"/>
              <w:bottom w:val="nil"/>
              <w:right w:val="single" w:sz="12" w:space="0" w:color="auto"/>
            </w:tcBorders>
            <w:shd w:val="clear" w:color="auto" w:fill="auto"/>
            <w:noWrap/>
            <w:vAlign w:val="bottom"/>
            <w:hideMark/>
          </w:tcPr>
          <w:p w14:paraId="75F37709" w14:textId="77777777" w:rsidR="003510BF" w:rsidRPr="0047761D" w:rsidRDefault="003510BF" w:rsidP="00D35E63">
            <w:pPr>
              <w:pStyle w:val="Tabletext"/>
              <w:jc w:val="center"/>
              <w:rPr>
                <w:sz w:val="20"/>
              </w:rPr>
            </w:pPr>
            <w:r w:rsidRPr="0047761D">
              <w:rPr>
                <w:sz w:val="20"/>
              </w:rPr>
              <w:t>117</w:t>
            </w:r>
            <w:r>
              <w:rPr>
                <w:sz w:val="20"/>
              </w:rPr>
              <w:t>,</w:t>
            </w:r>
            <w:r w:rsidRPr="0047761D">
              <w:rPr>
                <w:sz w:val="20"/>
              </w:rPr>
              <w:t>6</w:t>
            </w:r>
          </w:p>
        </w:tc>
        <w:tc>
          <w:tcPr>
            <w:tcW w:w="700" w:type="dxa"/>
            <w:tcBorders>
              <w:top w:val="single" w:sz="4" w:space="0" w:color="auto"/>
              <w:left w:val="single" w:sz="12" w:space="0" w:color="auto"/>
              <w:bottom w:val="nil"/>
              <w:right w:val="single" w:sz="4" w:space="0" w:color="auto"/>
            </w:tcBorders>
            <w:shd w:val="pct5" w:color="auto" w:fill="auto"/>
            <w:noWrap/>
            <w:vAlign w:val="bottom"/>
            <w:hideMark/>
          </w:tcPr>
          <w:p w14:paraId="182A91B4"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8</w:t>
            </w:r>
          </w:p>
        </w:tc>
        <w:tc>
          <w:tcPr>
            <w:tcW w:w="1162" w:type="dxa"/>
            <w:tcBorders>
              <w:top w:val="single" w:sz="4" w:space="0" w:color="auto"/>
              <w:left w:val="single" w:sz="4" w:space="0" w:color="auto"/>
              <w:bottom w:val="nil"/>
              <w:right w:val="single" w:sz="12" w:space="0" w:color="auto"/>
            </w:tcBorders>
            <w:shd w:val="pct5" w:color="auto" w:fill="auto"/>
            <w:noWrap/>
            <w:vAlign w:val="bottom"/>
            <w:hideMark/>
          </w:tcPr>
          <w:p w14:paraId="34245C91" w14:textId="77777777" w:rsidR="003510BF" w:rsidRPr="0047761D" w:rsidRDefault="003510BF" w:rsidP="00D35E63">
            <w:pPr>
              <w:pStyle w:val="Tabletext"/>
              <w:jc w:val="center"/>
              <w:rPr>
                <w:sz w:val="20"/>
              </w:rPr>
            </w:pPr>
            <w:r w:rsidRPr="0047761D">
              <w:rPr>
                <w:sz w:val="20"/>
              </w:rPr>
              <w:t>11</w:t>
            </w:r>
            <w:r>
              <w:rPr>
                <w:sz w:val="20"/>
              </w:rPr>
              <w:t>,</w:t>
            </w:r>
            <w:r w:rsidRPr="0047761D">
              <w:rPr>
                <w:sz w:val="20"/>
              </w:rPr>
              <w:t>8</w:t>
            </w:r>
          </w:p>
        </w:tc>
        <w:tc>
          <w:tcPr>
            <w:tcW w:w="826" w:type="dxa"/>
            <w:tcBorders>
              <w:top w:val="single" w:sz="4" w:space="0" w:color="auto"/>
              <w:left w:val="single" w:sz="12" w:space="0" w:color="auto"/>
              <w:bottom w:val="nil"/>
              <w:right w:val="single" w:sz="4" w:space="0" w:color="auto"/>
            </w:tcBorders>
            <w:shd w:val="clear" w:color="auto" w:fill="auto"/>
            <w:noWrap/>
            <w:vAlign w:val="bottom"/>
            <w:hideMark/>
          </w:tcPr>
          <w:p w14:paraId="71FFE6A9" w14:textId="77777777" w:rsidR="003510BF" w:rsidRPr="0047761D" w:rsidRDefault="003510BF" w:rsidP="00D35E63">
            <w:pPr>
              <w:pStyle w:val="Tabletext"/>
              <w:jc w:val="center"/>
              <w:rPr>
                <w:sz w:val="20"/>
              </w:rPr>
            </w:pPr>
            <w:r w:rsidRPr="0047761D">
              <w:rPr>
                <w:sz w:val="20"/>
              </w:rPr>
              <w:t>5</w:t>
            </w:r>
            <w:r>
              <w:rPr>
                <w:sz w:val="20"/>
              </w:rPr>
              <w:t>,</w:t>
            </w:r>
            <w:r w:rsidRPr="0047761D">
              <w:rPr>
                <w:sz w:val="20"/>
              </w:rPr>
              <w:t>3</w:t>
            </w:r>
          </w:p>
        </w:tc>
        <w:tc>
          <w:tcPr>
            <w:tcW w:w="1060" w:type="dxa"/>
            <w:tcBorders>
              <w:top w:val="single" w:sz="4" w:space="0" w:color="auto"/>
              <w:left w:val="single" w:sz="4" w:space="0" w:color="auto"/>
              <w:bottom w:val="nil"/>
              <w:right w:val="single" w:sz="12" w:space="0" w:color="auto"/>
            </w:tcBorders>
            <w:shd w:val="clear" w:color="auto" w:fill="auto"/>
            <w:noWrap/>
            <w:vAlign w:val="bottom"/>
            <w:hideMark/>
          </w:tcPr>
          <w:p w14:paraId="0140E63F" w14:textId="77777777" w:rsidR="003510BF" w:rsidRPr="0047761D" w:rsidRDefault="003510BF" w:rsidP="00D35E63">
            <w:pPr>
              <w:pStyle w:val="Tabletext"/>
              <w:jc w:val="center"/>
              <w:rPr>
                <w:sz w:val="20"/>
              </w:rPr>
            </w:pPr>
            <w:r w:rsidRPr="0047761D">
              <w:rPr>
                <w:sz w:val="20"/>
              </w:rPr>
              <w:t>1</w:t>
            </w:r>
            <w:r>
              <w:rPr>
                <w:sz w:val="20"/>
              </w:rPr>
              <w:t>,</w:t>
            </w:r>
            <w:r w:rsidRPr="0047761D">
              <w:rPr>
                <w:sz w:val="20"/>
              </w:rPr>
              <w:t>2</w:t>
            </w:r>
          </w:p>
        </w:tc>
      </w:tr>
      <w:tr w:rsidR="003510BF" w:rsidRPr="0047761D" w14:paraId="68FA6491"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3B8B2819" w14:textId="3FC36BB2" w:rsidR="003510BF" w:rsidRPr="0047761D" w:rsidRDefault="003510BF" w:rsidP="00D35E63">
            <w:pPr>
              <w:pStyle w:val="Tabletext"/>
              <w:rPr>
                <w:sz w:val="20"/>
              </w:rPr>
            </w:pPr>
            <w:r w:rsidRPr="0047761D">
              <w:rPr>
                <w:sz w:val="20"/>
              </w:rPr>
              <w:t xml:space="preserve">MDAP-32 </w:t>
            </w:r>
          </w:p>
        </w:tc>
        <w:tc>
          <w:tcPr>
            <w:tcW w:w="1252" w:type="dxa"/>
            <w:tcBorders>
              <w:top w:val="nil"/>
              <w:left w:val="single" w:sz="12" w:space="0" w:color="auto"/>
              <w:bottom w:val="nil"/>
              <w:right w:val="single" w:sz="4" w:space="0" w:color="auto"/>
            </w:tcBorders>
            <w:shd w:val="pct5" w:color="auto" w:fill="auto"/>
            <w:noWrap/>
            <w:vAlign w:val="center"/>
            <w:hideMark/>
          </w:tcPr>
          <w:p w14:paraId="648E0D8D" w14:textId="77777777" w:rsidR="003510BF" w:rsidRPr="0047761D" w:rsidRDefault="003510BF" w:rsidP="00D35E63">
            <w:pPr>
              <w:pStyle w:val="Tabletext"/>
              <w:jc w:val="center"/>
              <w:rPr>
                <w:sz w:val="20"/>
              </w:rPr>
            </w:pPr>
            <w:r w:rsidRPr="0047761D">
              <w:rPr>
                <w:sz w:val="20"/>
              </w:rPr>
              <w:t>3</w:t>
            </w:r>
            <w:r>
              <w:rPr>
                <w:sz w:val="20"/>
              </w:rPr>
              <w:t>,</w:t>
            </w:r>
            <w:r w:rsidRPr="0047761D">
              <w:rPr>
                <w:sz w:val="20"/>
              </w:rPr>
              <w:t>2</w:t>
            </w:r>
          </w:p>
        </w:tc>
        <w:tc>
          <w:tcPr>
            <w:tcW w:w="1188" w:type="dxa"/>
            <w:tcBorders>
              <w:top w:val="nil"/>
              <w:left w:val="single" w:sz="4" w:space="0" w:color="auto"/>
              <w:bottom w:val="nil"/>
              <w:right w:val="single" w:sz="12" w:space="0" w:color="auto"/>
            </w:tcBorders>
            <w:shd w:val="pct5" w:color="auto" w:fill="auto"/>
            <w:noWrap/>
            <w:vAlign w:val="bottom"/>
            <w:hideMark/>
          </w:tcPr>
          <w:p w14:paraId="38AAC0E0" w14:textId="77777777" w:rsidR="003510BF" w:rsidRPr="0047761D" w:rsidRDefault="003510BF" w:rsidP="00D35E63">
            <w:pPr>
              <w:pStyle w:val="Tabletext"/>
              <w:jc w:val="center"/>
              <w:rPr>
                <w:sz w:val="20"/>
              </w:rPr>
            </w:pPr>
            <w:r w:rsidRPr="0047761D">
              <w:rPr>
                <w:sz w:val="20"/>
              </w:rPr>
              <w:t>1 470</w:t>
            </w:r>
          </w:p>
        </w:tc>
        <w:tc>
          <w:tcPr>
            <w:tcW w:w="625" w:type="dxa"/>
            <w:tcBorders>
              <w:top w:val="nil"/>
              <w:left w:val="single" w:sz="12" w:space="0" w:color="auto"/>
              <w:bottom w:val="nil"/>
              <w:right w:val="single" w:sz="4" w:space="0" w:color="auto"/>
            </w:tcBorders>
            <w:shd w:val="clear" w:color="auto" w:fill="auto"/>
            <w:noWrap/>
            <w:vAlign w:val="bottom"/>
            <w:hideMark/>
          </w:tcPr>
          <w:p w14:paraId="09B62560"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6</w:t>
            </w:r>
          </w:p>
        </w:tc>
        <w:tc>
          <w:tcPr>
            <w:tcW w:w="1155" w:type="dxa"/>
            <w:tcBorders>
              <w:top w:val="nil"/>
              <w:left w:val="single" w:sz="4" w:space="0" w:color="auto"/>
              <w:bottom w:val="nil"/>
              <w:right w:val="single" w:sz="12" w:space="0" w:color="auto"/>
            </w:tcBorders>
            <w:shd w:val="clear" w:color="auto" w:fill="auto"/>
            <w:noWrap/>
            <w:vAlign w:val="bottom"/>
            <w:hideMark/>
          </w:tcPr>
          <w:p w14:paraId="2BC478BE" w14:textId="77777777" w:rsidR="003510BF" w:rsidRPr="0047761D" w:rsidRDefault="003510BF" w:rsidP="00D35E63">
            <w:pPr>
              <w:pStyle w:val="Tabletext"/>
              <w:jc w:val="center"/>
              <w:rPr>
                <w:sz w:val="20"/>
              </w:rPr>
            </w:pPr>
            <w:r w:rsidRPr="0047761D">
              <w:rPr>
                <w:sz w:val="20"/>
              </w:rPr>
              <w:t>147</w:t>
            </w:r>
          </w:p>
        </w:tc>
        <w:tc>
          <w:tcPr>
            <w:tcW w:w="700" w:type="dxa"/>
            <w:tcBorders>
              <w:top w:val="nil"/>
              <w:left w:val="single" w:sz="12" w:space="0" w:color="auto"/>
              <w:bottom w:val="nil"/>
              <w:right w:val="single" w:sz="4" w:space="0" w:color="auto"/>
            </w:tcBorders>
            <w:shd w:val="pct5" w:color="auto" w:fill="auto"/>
            <w:noWrap/>
            <w:vAlign w:val="bottom"/>
            <w:hideMark/>
          </w:tcPr>
          <w:p w14:paraId="2B58D296" w14:textId="77777777" w:rsidR="003510BF" w:rsidRPr="0047761D" w:rsidRDefault="003510BF" w:rsidP="00D35E63">
            <w:pPr>
              <w:pStyle w:val="Tabletext"/>
              <w:jc w:val="center"/>
              <w:rPr>
                <w:sz w:val="20"/>
              </w:rPr>
            </w:pPr>
            <w:r w:rsidRPr="0047761D">
              <w:rPr>
                <w:sz w:val="20"/>
              </w:rPr>
              <w:t>5</w:t>
            </w:r>
            <w:r>
              <w:rPr>
                <w:sz w:val="20"/>
              </w:rPr>
              <w:t>,</w:t>
            </w:r>
            <w:r w:rsidRPr="0047761D">
              <w:rPr>
                <w:sz w:val="20"/>
              </w:rPr>
              <w:t>5</w:t>
            </w:r>
          </w:p>
        </w:tc>
        <w:tc>
          <w:tcPr>
            <w:tcW w:w="1162" w:type="dxa"/>
            <w:tcBorders>
              <w:top w:val="nil"/>
              <w:left w:val="single" w:sz="4" w:space="0" w:color="auto"/>
              <w:bottom w:val="nil"/>
              <w:right w:val="single" w:sz="12" w:space="0" w:color="auto"/>
            </w:tcBorders>
            <w:shd w:val="pct5" w:color="auto" w:fill="auto"/>
            <w:noWrap/>
            <w:vAlign w:val="bottom"/>
            <w:hideMark/>
          </w:tcPr>
          <w:p w14:paraId="09939BDD" w14:textId="77777777" w:rsidR="003510BF" w:rsidRPr="0047761D" w:rsidRDefault="003510BF" w:rsidP="00D35E63">
            <w:pPr>
              <w:pStyle w:val="Tabletext"/>
              <w:jc w:val="center"/>
              <w:rPr>
                <w:sz w:val="20"/>
              </w:rPr>
            </w:pPr>
            <w:r w:rsidRPr="0047761D">
              <w:rPr>
                <w:sz w:val="20"/>
              </w:rPr>
              <w:t>14</w:t>
            </w:r>
            <w:r>
              <w:rPr>
                <w:sz w:val="20"/>
              </w:rPr>
              <w:t>,</w:t>
            </w:r>
            <w:r w:rsidRPr="0047761D">
              <w:rPr>
                <w:sz w:val="20"/>
              </w:rPr>
              <w:t>7</w:t>
            </w:r>
          </w:p>
        </w:tc>
        <w:tc>
          <w:tcPr>
            <w:tcW w:w="826" w:type="dxa"/>
            <w:tcBorders>
              <w:top w:val="nil"/>
              <w:left w:val="single" w:sz="12" w:space="0" w:color="auto"/>
              <w:bottom w:val="nil"/>
              <w:right w:val="single" w:sz="4" w:space="0" w:color="auto"/>
            </w:tcBorders>
            <w:shd w:val="clear" w:color="auto" w:fill="auto"/>
            <w:noWrap/>
            <w:vAlign w:val="bottom"/>
            <w:hideMark/>
          </w:tcPr>
          <w:p w14:paraId="7ECF18D1" w14:textId="77777777" w:rsidR="003510BF" w:rsidRPr="0047761D" w:rsidRDefault="003510BF" w:rsidP="00D35E63">
            <w:pPr>
              <w:pStyle w:val="Tabletext"/>
              <w:jc w:val="center"/>
              <w:rPr>
                <w:sz w:val="20"/>
              </w:rPr>
            </w:pPr>
            <w:r w:rsidRPr="0047761D">
              <w:rPr>
                <w:sz w:val="20"/>
              </w:rPr>
              <w:t>6</w:t>
            </w:r>
            <w:r>
              <w:rPr>
                <w:sz w:val="20"/>
              </w:rPr>
              <w:t>,</w:t>
            </w:r>
            <w:r w:rsidRPr="0047761D">
              <w:rPr>
                <w:sz w:val="20"/>
              </w:rPr>
              <w:t>1</w:t>
            </w:r>
          </w:p>
        </w:tc>
        <w:tc>
          <w:tcPr>
            <w:tcW w:w="1060" w:type="dxa"/>
            <w:tcBorders>
              <w:top w:val="nil"/>
              <w:left w:val="single" w:sz="4" w:space="0" w:color="auto"/>
              <w:bottom w:val="nil"/>
              <w:right w:val="single" w:sz="12" w:space="0" w:color="auto"/>
            </w:tcBorders>
            <w:shd w:val="clear" w:color="auto" w:fill="auto"/>
            <w:noWrap/>
            <w:vAlign w:val="bottom"/>
            <w:hideMark/>
          </w:tcPr>
          <w:p w14:paraId="69F7F838" w14:textId="77777777" w:rsidR="003510BF" w:rsidRPr="0047761D" w:rsidRDefault="003510BF" w:rsidP="00D35E63">
            <w:pPr>
              <w:pStyle w:val="Tabletext"/>
              <w:jc w:val="center"/>
              <w:rPr>
                <w:sz w:val="20"/>
              </w:rPr>
            </w:pPr>
            <w:r w:rsidRPr="0047761D">
              <w:rPr>
                <w:sz w:val="20"/>
              </w:rPr>
              <w:t>1</w:t>
            </w:r>
            <w:r>
              <w:rPr>
                <w:sz w:val="20"/>
              </w:rPr>
              <w:t>,</w:t>
            </w:r>
            <w:r w:rsidRPr="0047761D">
              <w:rPr>
                <w:sz w:val="20"/>
              </w:rPr>
              <w:t>5</w:t>
            </w:r>
          </w:p>
        </w:tc>
      </w:tr>
      <w:tr w:rsidR="003510BF" w:rsidRPr="0047761D" w14:paraId="1C8AB4C0"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68F101EA" w14:textId="53DF69EB" w:rsidR="003510BF" w:rsidRPr="0047761D" w:rsidRDefault="003510BF" w:rsidP="00D35E63">
            <w:pPr>
              <w:pStyle w:val="Tabletext"/>
              <w:rPr>
                <w:sz w:val="20"/>
              </w:rPr>
            </w:pPr>
            <w:r w:rsidRPr="0047761D">
              <w:rPr>
                <w:sz w:val="20"/>
              </w:rPr>
              <w:t xml:space="preserve">MAQ-16 </w:t>
            </w:r>
          </w:p>
        </w:tc>
        <w:tc>
          <w:tcPr>
            <w:tcW w:w="1252" w:type="dxa"/>
            <w:tcBorders>
              <w:top w:val="nil"/>
              <w:left w:val="single" w:sz="12" w:space="0" w:color="auto"/>
              <w:bottom w:val="nil"/>
              <w:right w:val="single" w:sz="4" w:space="0" w:color="auto"/>
            </w:tcBorders>
            <w:shd w:val="pct5" w:color="auto" w:fill="auto"/>
            <w:noWrap/>
            <w:vAlign w:val="center"/>
            <w:hideMark/>
          </w:tcPr>
          <w:p w14:paraId="00E355CA" w14:textId="77777777" w:rsidR="003510BF" w:rsidRPr="0047761D" w:rsidRDefault="003510BF" w:rsidP="00D35E63">
            <w:pPr>
              <w:pStyle w:val="Tabletext"/>
              <w:jc w:val="center"/>
              <w:rPr>
                <w:sz w:val="20"/>
              </w:rPr>
            </w:pPr>
            <w:r w:rsidRPr="0047761D">
              <w:rPr>
                <w:sz w:val="20"/>
              </w:rPr>
              <w:t>3</w:t>
            </w:r>
            <w:r>
              <w:rPr>
                <w:sz w:val="20"/>
              </w:rPr>
              <w:t>,</w:t>
            </w:r>
            <w:r w:rsidRPr="0047761D">
              <w:rPr>
                <w:sz w:val="20"/>
              </w:rPr>
              <w:t>1</w:t>
            </w:r>
          </w:p>
        </w:tc>
        <w:tc>
          <w:tcPr>
            <w:tcW w:w="1188" w:type="dxa"/>
            <w:tcBorders>
              <w:top w:val="nil"/>
              <w:left w:val="single" w:sz="4" w:space="0" w:color="auto"/>
              <w:bottom w:val="nil"/>
              <w:right w:val="single" w:sz="12" w:space="0" w:color="auto"/>
            </w:tcBorders>
            <w:shd w:val="pct5" w:color="auto" w:fill="auto"/>
            <w:noWrap/>
            <w:vAlign w:val="bottom"/>
            <w:hideMark/>
          </w:tcPr>
          <w:p w14:paraId="2C5EC973" w14:textId="77777777" w:rsidR="003510BF" w:rsidRPr="0047761D" w:rsidRDefault="003510BF" w:rsidP="00D35E63">
            <w:pPr>
              <w:pStyle w:val="Tabletext"/>
              <w:jc w:val="center"/>
              <w:rPr>
                <w:sz w:val="20"/>
              </w:rPr>
            </w:pPr>
            <w:r w:rsidRPr="0047761D">
              <w:rPr>
                <w:sz w:val="20"/>
              </w:rPr>
              <w:t>1 176</w:t>
            </w:r>
          </w:p>
        </w:tc>
        <w:tc>
          <w:tcPr>
            <w:tcW w:w="625" w:type="dxa"/>
            <w:tcBorders>
              <w:top w:val="nil"/>
              <w:left w:val="single" w:sz="12" w:space="0" w:color="auto"/>
              <w:bottom w:val="nil"/>
              <w:right w:val="single" w:sz="4" w:space="0" w:color="auto"/>
            </w:tcBorders>
            <w:shd w:val="clear" w:color="auto" w:fill="auto"/>
            <w:noWrap/>
            <w:vAlign w:val="bottom"/>
            <w:hideMark/>
          </w:tcPr>
          <w:p w14:paraId="4B631AEB"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5</w:t>
            </w:r>
          </w:p>
        </w:tc>
        <w:tc>
          <w:tcPr>
            <w:tcW w:w="1155" w:type="dxa"/>
            <w:tcBorders>
              <w:top w:val="nil"/>
              <w:left w:val="single" w:sz="4" w:space="0" w:color="auto"/>
              <w:bottom w:val="nil"/>
              <w:right w:val="single" w:sz="12" w:space="0" w:color="auto"/>
            </w:tcBorders>
            <w:shd w:val="clear" w:color="auto" w:fill="auto"/>
            <w:noWrap/>
            <w:vAlign w:val="bottom"/>
            <w:hideMark/>
          </w:tcPr>
          <w:p w14:paraId="340C7C0E" w14:textId="77777777" w:rsidR="003510BF" w:rsidRPr="0047761D" w:rsidRDefault="003510BF" w:rsidP="00D35E63">
            <w:pPr>
              <w:pStyle w:val="Tabletext"/>
              <w:jc w:val="center"/>
              <w:rPr>
                <w:sz w:val="20"/>
              </w:rPr>
            </w:pPr>
            <w:r w:rsidRPr="0047761D">
              <w:rPr>
                <w:sz w:val="20"/>
              </w:rPr>
              <w:t>117</w:t>
            </w:r>
            <w:r>
              <w:rPr>
                <w:sz w:val="20"/>
              </w:rPr>
              <w:t>,</w:t>
            </w:r>
            <w:r w:rsidRPr="0047761D">
              <w:rPr>
                <w:sz w:val="20"/>
              </w:rPr>
              <w:t>6</w:t>
            </w:r>
          </w:p>
        </w:tc>
        <w:tc>
          <w:tcPr>
            <w:tcW w:w="700" w:type="dxa"/>
            <w:tcBorders>
              <w:top w:val="nil"/>
              <w:left w:val="single" w:sz="12" w:space="0" w:color="auto"/>
              <w:bottom w:val="nil"/>
              <w:right w:val="single" w:sz="4" w:space="0" w:color="auto"/>
            </w:tcBorders>
            <w:shd w:val="pct5" w:color="auto" w:fill="auto"/>
            <w:noWrap/>
            <w:vAlign w:val="bottom"/>
            <w:hideMark/>
          </w:tcPr>
          <w:p w14:paraId="5DFFFC9A" w14:textId="77777777" w:rsidR="003510BF" w:rsidRPr="0047761D" w:rsidRDefault="003510BF" w:rsidP="00D35E63">
            <w:pPr>
              <w:pStyle w:val="Tabletext"/>
              <w:jc w:val="center"/>
              <w:rPr>
                <w:sz w:val="20"/>
              </w:rPr>
            </w:pPr>
            <w:r w:rsidRPr="0047761D">
              <w:rPr>
                <w:sz w:val="20"/>
              </w:rPr>
              <w:t>5</w:t>
            </w:r>
            <w:r>
              <w:rPr>
                <w:sz w:val="20"/>
              </w:rPr>
              <w:t>,</w:t>
            </w:r>
            <w:r w:rsidRPr="0047761D">
              <w:rPr>
                <w:sz w:val="20"/>
              </w:rPr>
              <w:t>6</w:t>
            </w:r>
          </w:p>
        </w:tc>
        <w:tc>
          <w:tcPr>
            <w:tcW w:w="1162" w:type="dxa"/>
            <w:tcBorders>
              <w:top w:val="nil"/>
              <w:left w:val="single" w:sz="4" w:space="0" w:color="auto"/>
              <w:bottom w:val="nil"/>
              <w:right w:val="single" w:sz="12" w:space="0" w:color="auto"/>
            </w:tcBorders>
            <w:shd w:val="pct5" w:color="auto" w:fill="auto"/>
            <w:noWrap/>
            <w:vAlign w:val="bottom"/>
            <w:hideMark/>
          </w:tcPr>
          <w:p w14:paraId="408A7FC7" w14:textId="77777777" w:rsidR="003510BF" w:rsidRPr="0047761D" w:rsidRDefault="003510BF" w:rsidP="00D35E63">
            <w:pPr>
              <w:pStyle w:val="Tabletext"/>
              <w:jc w:val="center"/>
              <w:rPr>
                <w:sz w:val="20"/>
              </w:rPr>
            </w:pPr>
            <w:r w:rsidRPr="0047761D">
              <w:rPr>
                <w:sz w:val="20"/>
              </w:rPr>
              <w:t>11</w:t>
            </w:r>
            <w:r>
              <w:rPr>
                <w:sz w:val="20"/>
              </w:rPr>
              <w:t>,</w:t>
            </w:r>
            <w:r w:rsidRPr="0047761D">
              <w:rPr>
                <w:sz w:val="20"/>
              </w:rPr>
              <w:t>8</w:t>
            </w:r>
          </w:p>
        </w:tc>
        <w:tc>
          <w:tcPr>
            <w:tcW w:w="826" w:type="dxa"/>
            <w:tcBorders>
              <w:top w:val="nil"/>
              <w:left w:val="single" w:sz="12" w:space="0" w:color="auto"/>
              <w:bottom w:val="nil"/>
              <w:right w:val="single" w:sz="4" w:space="0" w:color="auto"/>
            </w:tcBorders>
            <w:shd w:val="clear" w:color="auto" w:fill="auto"/>
            <w:noWrap/>
            <w:vAlign w:val="bottom"/>
            <w:hideMark/>
          </w:tcPr>
          <w:p w14:paraId="1C54DB59" w14:textId="77777777" w:rsidR="003510BF" w:rsidRPr="0047761D" w:rsidRDefault="003510BF" w:rsidP="00D35E63">
            <w:pPr>
              <w:pStyle w:val="Tabletext"/>
              <w:jc w:val="center"/>
              <w:rPr>
                <w:sz w:val="20"/>
              </w:rPr>
            </w:pPr>
            <w:r w:rsidRPr="0047761D">
              <w:rPr>
                <w:sz w:val="20"/>
              </w:rPr>
              <w:t>6</w:t>
            </w:r>
            <w:r>
              <w:rPr>
                <w:sz w:val="20"/>
              </w:rPr>
              <w:t>,</w:t>
            </w:r>
            <w:r w:rsidRPr="0047761D">
              <w:rPr>
                <w:sz w:val="20"/>
              </w:rPr>
              <w:t>3</w:t>
            </w:r>
          </w:p>
        </w:tc>
        <w:tc>
          <w:tcPr>
            <w:tcW w:w="1060" w:type="dxa"/>
            <w:tcBorders>
              <w:top w:val="nil"/>
              <w:left w:val="single" w:sz="4" w:space="0" w:color="auto"/>
              <w:bottom w:val="nil"/>
              <w:right w:val="single" w:sz="12" w:space="0" w:color="auto"/>
            </w:tcBorders>
            <w:shd w:val="clear" w:color="auto" w:fill="auto"/>
            <w:noWrap/>
            <w:vAlign w:val="bottom"/>
            <w:hideMark/>
          </w:tcPr>
          <w:p w14:paraId="7E6FA7F1" w14:textId="77777777" w:rsidR="003510BF" w:rsidRPr="0047761D" w:rsidRDefault="003510BF" w:rsidP="00D35E63">
            <w:pPr>
              <w:pStyle w:val="Tabletext"/>
              <w:jc w:val="center"/>
              <w:rPr>
                <w:sz w:val="20"/>
              </w:rPr>
            </w:pPr>
            <w:r w:rsidRPr="0047761D">
              <w:rPr>
                <w:sz w:val="20"/>
              </w:rPr>
              <w:t>1</w:t>
            </w:r>
            <w:r>
              <w:rPr>
                <w:sz w:val="20"/>
              </w:rPr>
              <w:t>,</w:t>
            </w:r>
            <w:r w:rsidRPr="0047761D">
              <w:rPr>
                <w:sz w:val="20"/>
              </w:rPr>
              <w:t>2</w:t>
            </w:r>
          </w:p>
        </w:tc>
      </w:tr>
      <w:tr w:rsidR="003510BF" w:rsidRPr="0047761D" w14:paraId="7856AB81" w14:textId="77777777" w:rsidTr="00C42A56">
        <w:trPr>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1044E852" w14:textId="442DD268" w:rsidR="003510BF" w:rsidRPr="0047761D" w:rsidRDefault="003510BF" w:rsidP="00D35E63">
            <w:pPr>
              <w:pStyle w:val="Tabletext"/>
              <w:rPr>
                <w:sz w:val="20"/>
              </w:rPr>
            </w:pPr>
            <w:r w:rsidRPr="0047761D">
              <w:rPr>
                <w:sz w:val="20"/>
              </w:rPr>
              <w:t xml:space="preserve">MDP-2 </w:t>
            </w:r>
          </w:p>
        </w:tc>
        <w:tc>
          <w:tcPr>
            <w:tcW w:w="1252" w:type="dxa"/>
            <w:tcBorders>
              <w:top w:val="nil"/>
              <w:left w:val="single" w:sz="12" w:space="0" w:color="auto"/>
              <w:bottom w:val="nil"/>
              <w:right w:val="single" w:sz="4" w:space="0" w:color="auto"/>
            </w:tcBorders>
            <w:shd w:val="pct5" w:color="auto" w:fill="auto"/>
            <w:noWrap/>
            <w:vAlign w:val="center"/>
            <w:hideMark/>
          </w:tcPr>
          <w:p w14:paraId="3E91389A" w14:textId="77777777" w:rsidR="003510BF" w:rsidRPr="0047761D" w:rsidRDefault="003510BF" w:rsidP="00D35E63">
            <w:pPr>
              <w:pStyle w:val="Tabletext"/>
              <w:jc w:val="center"/>
              <w:rPr>
                <w:sz w:val="20"/>
              </w:rPr>
            </w:pPr>
            <w:r w:rsidRPr="0047761D">
              <w:rPr>
                <w:sz w:val="20"/>
              </w:rPr>
              <w:t>2</w:t>
            </w:r>
            <w:r>
              <w:rPr>
                <w:sz w:val="20"/>
              </w:rPr>
              <w:t>,</w:t>
            </w:r>
            <w:r w:rsidRPr="0047761D">
              <w:rPr>
                <w:sz w:val="20"/>
              </w:rPr>
              <w:t>8</w:t>
            </w:r>
          </w:p>
        </w:tc>
        <w:tc>
          <w:tcPr>
            <w:tcW w:w="1188" w:type="dxa"/>
            <w:tcBorders>
              <w:top w:val="nil"/>
              <w:left w:val="single" w:sz="4" w:space="0" w:color="auto"/>
              <w:bottom w:val="nil"/>
              <w:right w:val="single" w:sz="12" w:space="0" w:color="auto"/>
            </w:tcBorders>
            <w:shd w:val="pct5" w:color="auto" w:fill="auto"/>
            <w:noWrap/>
            <w:vAlign w:val="bottom"/>
            <w:hideMark/>
          </w:tcPr>
          <w:p w14:paraId="6435493B" w14:textId="77777777" w:rsidR="003510BF" w:rsidRPr="0047761D" w:rsidRDefault="003510BF" w:rsidP="00D35E63">
            <w:pPr>
              <w:pStyle w:val="Tabletext"/>
              <w:jc w:val="center"/>
              <w:rPr>
                <w:sz w:val="20"/>
              </w:rPr>
            </w:pPr>
            <w:r w:rsidRPr="0047761D">
              <w:rPr>
                <w:sz w:val="20"/>
              </w:rPr>
              <w:t>294</w:t>
            </w:r>
          </w:p>
        </w:tc>
        <w:tc>
          <w:tcPr>
            <w:tcW w:w="625" w:type="dxa"/>
            <w:tcBorders>
              <w:top w:val="nil"/>
              <w:left w:val="single" w:sz="12" w:space="0" w:color="auto"/>
              <w:bottom w:val="nil"/>
              <w:right w:val="single" w:sz="4" w:space="0" w:color="auto"/>
            </w:tcBorders>
            <w:shd w:val="clear" w:color="auto" w:fill="auto"/>
            <w:noWrap/>
            <w:vAlign w:val="bottom"/>
            <w:hideMark/>
          </w:tcPr>
          <w:p w14:paraId="6B473BBD"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4</w:t>
            </w:r>
          </w:p>
        </w:tc>
        <w:tc>
          <w:tcPr>
            <w:tcW w:w="1155" w:type="dxa"/>
            <w:tcBorders>
              <w:top w:val="nil"/>
              <w:left w:val="single" w:sz="4" w:space="0" w:color="auto"/>
              <w:bottom w:val="nil"/>
              <w:right w:val="single" w:sz="12" w:space="0" w:color="auto"/>
            </w:tcBorders>
            <w:shd w:val="clear" w:color="auto" w:fill="auto"/>
            <w:noWrap/>
            <w:vAlign w:val="bottom"/>
            <w:hideMark/>
          </w:tcPr>
          <w:p w14:paraId="26CBC3AA" w14:textId="77777777" w:rsidR="003510BF" w:rsidRPr="0047761D" w:rsidRDefault="003510BF" w:rsidP="00D35E63">
            <w:pPr>
              <w:pStyle w:val="Tabletext"/>
              <w:jc w:val="center"/>
              <w:rPr>
                <w:sz w:val="20"/>
              </w:rPr>
            </w:pPr>
            <w:r w:rsidRPr="0047761D">
              <w:rPr>
                <w:sz w:val="20"/>
              </w:rPr>
              <w:t>29</w:t>
            </w:r>
            <w:r>
              <w:rPr>
                <w:sz w:val="20"/>
              </w:rPr>
              <w:t>,</w:t>
            </w:r>
            <w:r w:rsidRPr="0047761D">
              <w:rPr>
                <w:sz w:val="20"/>
              </w:rPr>
              <w:t>4</w:t>
            </w:r>
          </w:p>
        </w:tc>
        <w:tc>
          <w:tcPr>
            <w:tcW w:w="700" w:type="dxa"/>
            <w:tcBorders>
              <w:top w:val="nil"/>
              <w:left w:val="single" w:sz="12" w:space="0" w:color="auto"/>
              <w:bottom w:val="nil"/>
              <w:right w:val="single" w:sz="4" w:space="0" w:color="auto"/>
            </w:tcBorders>
            <w:shd w:val="pct5" w:color="auto" w:fill="auto"/>
            <w:noWrap/>
            <w:vAlign w:val="bottom"/>
            <w:hideMark/>
          </w:tcPr>
          <w:p w14:paraId="721E09ED"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9</w:t>
            </w:r>
          </w:p>
        </w:tc>
        <w:tc>
          <w:tcPr>
            <w:tcW w:w="1162" w:type="dxa"/>
            <w:tcBorders>
              <w:top w:val="nil"/>
              <w:left w:val="single" w:sz="4" w:space="0" w:color="auto"/>
              <w:bottom w:val="nil"/>
              <w:right w:val="single" w:sz="12" w:space="0" w:color="auto"/>
            </w:tcBorders>
            <w:shd w:val="pct5" w:color="auto" w:fill="auto"/>
            <w:noWrap/>
            <w:vAlign w:val="bottom"/>
            <w:hideMark/>
          </w:tcPr>
          <w:p w14:paraId="056FB9A5" w14:textId="77777777" w:rsidR="003510BF" w:rsidRPr="0047761D" w:rsidRDefault="003510BF" w:rsidP="00D35E63">
            <w:pPr>
              <w:pStyle w:val="Tabletext"/>
              <w:jc w:val="center"/>
              <w:rPr>
                <w:sz w:val="20"/>
              </w:rPr>
            </w:pPr>
            <w:r w:rsidRPr="0047761D">
              <w:rPr>
                <w:sz w:val="20"/>
              </w:rPr>
              <w:t>2</w:t>
            </w:r>
            <w:r>
              <w:rPr>
                <w:sz w:val="20"/>
              </w:rPr>
              <w:t>,</w:t>
            </w:r>
            <w:r w:rsidRPr="0047761D">
              <w:rPr>
                <w:sz w:val="20"/>
              </w:rPr>
              <w:t>9</w:t>
            </w:r>
          </w:p>
        </w:tc>
        <w:tc>
          <w:tcPr>
            <w:tcW w:w="826" w:type="dxa"/>
            <w:tcBorders>
              <w:top w:val="nil"/>
              <w:left w:val="single" w:sz="12" w:space="0" w:color="auto"/>
              <w:bottom w:val="nil"/>
              <w:right w:val="single" w:sz="4" w:space="0" w:color="auto"/>
            </w:tcBorders>
            <w:shd w:val="clear" w:color="auto" w:fill="auto"/>
            <w:noWrap/>
            <w:vAlign w:val="bottom"/>
            <w:hideMark/>
          </w:tcPr>
          <w:p w14:paraId="2A319BD3" w14:textId="77777777" w:rsidR="003510BF" w:rsidRPr="0047761D" w:rsidRDefault="003510BF" w:rsidP="00D35E63">
            <w:pPr>
              <w:pStyle w:val="Tabletext"/>
              <w:jc w:val="center"/>
              <w:rPr>
                <w:sz w:val="20"/>
              </w:rPr>
            </w:pPr>
            <w:r w:rsidRPr="0047761D">
              <w:rPr>
                <w:sz w:val="20"/>
              </w:rPr>
              <w:t>5</w:t>
            </w:r>
            <w:r>
              <w:rPr>
                <w:sz w:val="20"/>
              </w:rPr>
              <w:t>,</w:t>
            </w:r>
            <w:r w:rsidRPr="0047761D">
              <w:rPr>
                <w:sz w:val="20"/>
              </w:rPr>
              <w:t>2</w:t>
            </w:r>
          </w:p>
        </w:tc>
        <w:tc>
          <w:tcPr>
            <w:tcW w:w="1060" w:type="dxa"/>
            <w:tcBorders>
              <w:top w:val="nil"/>
              <w:left w:val="single" w:sz="4" w:space="0" w:color="auto"/>
              <w:bottom w:val="nil"/>
              <w:right w:val="single" w:sz="12" w:space="0" w:color="auto"/>
            </w:tcBorders>
            <w:shd w:val="clear" w:color="auto" w:fill="auto"/>
            <w:noWrap/>
            <w:vAlign w:val="bottom"/>
            <w:hideMark/>
          </w:tcPr>
          <w:p w14:paraId="4C33BFEC" w14:textId="77777777" w:rsidR="003510BF" w:rsidRPr="0047761D" w:rsidRDefault="003510BF" w:rsidP="00D35E63">
            <w:pPr>
              <w:pStyle w:val="Tabletext"/>
              <w:jc w:val="center"/>
              <w:rPr>
                <w:sz w:val="20"/>
              </w:rPr>
            </w:pPr>
            <w:r w:rsidRPr="0047761D">
              <w:rPr>
                <w:sz w:val="20"/>
              </w:rPr>
              <w:t>0</w:t>
            </w:r>
            <w:r>
              <w:rPr>
                <w:sz w:val="20"/>
              </w:rPr>
              <w:t>,</w:t>
            </w:r>
            <w:r w:rsidRPr="0047761D">
              <w:rPr>
                <w:sz w:val="20"/>
              </w:rPr>
              <w:t>3</w:t>
            </w:r>
          </w:p>
        </w:tc>
      </w:tr>
      <w:tr w:rsidR="003510BF" w:rsidRPr="0047761D" w14:paraId="647ECD84" w14:textId="77777777" w:rsidTr="00C42A56">
        <w:trPr>
          <w:trHeight w:val="300"/>
          <w:jc w:val="center"/>
        </w:trPr>
        <w:tc>
          <w:tcPr>
            <w:tcW w:w="1808" w:type="dxa"/>
            <w:tcBorders>
              <w:top w:val="nil"/>
              <w:left w:val="single" w:sz="4" w:space="0" w:color="auto"/>
              <w:bottom w:val="single" w:sz="4" w:space="0" w:color="auto"/>
              <w:right w:val="single" w:sz="12" w:space="0" w:color="auto"/>
            </w:tcBorders>
            <w:shd w:val="clear" w:color="auto" w:fill="auto"/>
            <w:noWrap/>
            <w:vAlign w:val="bottom"/>
            <w:hideMark/>
          </w:tcPr>
          <w:p w14:paraId="2FFE6DD9" w14:textId="77777777" w:rsidR="003510BF" w:rsidRPr="0047761D" w:rsidRDefault="003510BF" w:rsidP="00D35E63">
            <w:pPr>
              <w:pStyle w:val="Tabletext"/>
              <w:rPr>
                <w:sz w:val="20"/>
              </w:rPr>
            </w:pPr>
            <w:r w:rsidRPr="0047761D">
              <w:rPr>
                <w:sz w:val="20"/>
              </w:rPr>
              <w:t>MDP-4</w:t>
            </w:r>
          </w:p>
        </w:tc>
        <w:tc>
          <w:tcPr>
            <w:tcW w:w="1252" w:type="dxa"/>
            <w:tcBorders>
              <w:top w:val="nil"/>
              <w:left w:val="single" w:sz="12" w:space="0" w:color="auto"/>
              <w:bottom w:val="single" w:sz="12" w:space="0" w:color="auto"/>
              <w:right w:val="single" w:sz="4" w:space="0" w:color="auto"/>
            </w:tcBorders>
            <w:shd w:val="pct5" w:color="auto" w:fill="auto"/>
            <w:noWrap/>
            <w:vAlign w:val="center"/>
            <w:hideMark/>
          </w:tcPr>
          <w:p w14:paraId="4EC8EC95" w14:textId="77777777" w:rsidR="003510BF" w:rsidRPr="0047761D" w:rsidRDefault="003510BF" w:rsidP="00D35E63">
            <w:pPr>
              <w:pStyle w:val="Tabletext"/>
              <w:jc w:val="center"/>
              <w:rPr>
                <w:sz w:val="20"/>
              </w:rPr>
            </w:pPr>
            <w:r w:rsidRPr="0047761D">
              <w:rPr>
                <w:sz w:val="20"/>
              </w:rPr>
              <w:t>2</w:t>
            </w:r>
            <w:r>
              <w:rPr>
                <w:sz w:val="20"/>
              </w:rPr>
              <w:t>,</w:t>
            </w:r>
            <w:r w:rsidRPr="0047761D">
              <w:rPr>
                <w:sz w:val="20"/>
              </w:rPr>
              <w:t>0</w:t>
            </w:r>
          </w:p>
        </w:tc>
        <w:tc>
          <w:tcPr>
            <w:tcW w:w="1188" w:type="dxa"/>
            <w:tcBorders>
              <w:top w:val="nil"/>
              <w:left w:val="single" w:sz="4" w:space="0" w:color="auto"/>
              <w:bottom w:val="single" w:sz="12" w:space="0" w:color="auto"/>
              <w:right w:val="single" w:sz="12" w:space="0" w:color="auto"/>
            </w:tcBorders>
            <w:shd w:val="pct5" w:color="auto" w:fill="auto"/>
            <w:noWrap/>
            <w:vAlign w:val="bottom"/>
            <w:hideMark/>
          </w:tcPr>
          <w:p w14:paraId="0D28E64D" w14:textId="77777777" w:rsidR="003510BF" w:rsidRPr="0047761D" w:rsidRDefault="003510BF" w:rsidP="00D35E63">
            <w:pPr>
              <w:pStyle w:val="Tabletext"/>
              <w:jc w:val="center"/>
              <w:rPr>
                <w:sz w:val="20"/>
              </w:rPr>
            </w:pPr>
            <w:r w:rsidRPr="0047761D">
              <w:rPr>
                <w:sz w:val="20"/>
              </w:rPr>
              <w:t>588</w:t>
            </w:r>
          </w:p>
        </w:tc>
        <w:tc>
          <w:tcPr>
            <w:tcW w:w="625" w:type="dxa"/>
            <w:tcBorders>
              <w:top w:val="nil"/>
              <w:left w:val="single" w:sz="12" w:space="0" w:color="auto"/>
              <w:bottom w:val="single" w:sz="12" w:space="0" w:color="auto"/>
              <w:right w:val="single" w:sz="4" w:space="0" w:color="auto"/>
            </w:tcBorders>
            <w:shd w:val="clear" w:color="auto" w:fill="auto"/>
            <w:noWrap/>
            <w:vAlign w:val="bottom"/>
            <w:hideMark/>
          </w:tcPr>
          <w:p w14:paraId="7517C71A" w14:textId="77777777" w:rsidR="003510BF" w:rsidRPr="0047761D" w:rsidRDefault="003510BF" w:rsidP="00D35E63">
            <w:pPr>
              <w:pStyle w:val="Tabletext"/>
              <w:jc w:val="center"/>
              <w:rPr>
                <w:sz w:val="20"/>
              </w:rPr>
            </w:pPr>
            <w:r w:rsidRPr="0047761D">
              <w:rPr>
                <w:sz w:val="20"/>
              </w:rPr>
              <w:t>3</w:t>
            </w:r>
            <w:r>
              <w:rPr>
                <w:sz w:val="20"/>
              </w:rPr>
              <w:t>,</w:t>
            </w:r>
            <w:r w:rsidRPr="0047761D">
              <w:rPr>
                <w:sz w:val="20"/>
              </w:rPr>
              <w:t>5</w:t>
            </w:r>
          </w:p>
        </w:tc>
        <w:tc>
          <w:tcPr>
            <w:tcW w:w="1155" w:type="dxa"/>
            <w:tcBorders>
              <w:top w:val="nil"/>
              <w:left w:val="single" w:sz="4" w:space="0" w:color="auto"/>
              <w:bottom w:val="single" w:sz="12" w:space="0" w:color="auto"/>
              <w:right w:val="single" w:sz="12" w:space="0" w:color="auto"/>
            </w:tcBorders>
            <w:shd w:val="clear" w:color="auto" w:fill="auto"/>
            <w:noWrap/>
            <w:vAlign w:val="bottom"/>
            <w:hideMark/>
          </w:tcPr>
          <w:p w14:paraId="2C3E13F4" w14:textId="77777777" w:rsidR="003510BF" w:rsidRPr="0047761D" w:rsidRDefault="003510BF" w:rsidP="00D35E63">
            <w:pPr>
              <w:pStyle w:val="Tabletext"/>
              <w:jc w:val="center"/>
              <w:rPr>
                <w:sz w:val="20"/>
              </w:rPr>
            </w:pPr>
            <w:r w:rsidRPr="0047761D">
              <w:rPr>
                <w:sz w:val="20"/>
              </w:rPr>
              <w:t>58</w:t>
            </w:r>
            <w:r>
              <w:rPr>
                <w:sz w:val="20"/>
              </w:rPr>
              <w:t>,</w:t>
            </w:r>
            <w:r w:rsidRPr="0047761D">
              <w:rPr>
                <w:sz w:val="20"/>
              </w:rPr>
              <w:t>8</w:t>
            </w:r>
          </w:p>
        </w:tc>
        <w:tc>
          <w:tcPr>
            <w:tcW w:w="700" w:type="dxa"/>
            <w:tcBorders>
              <w:top w:val="nil"/>
              <w:left w:val="single" w:sz="12" w:space="0" w:color="auto"/>
              <w:bottom w:val="single" w:sz="12" w:space="0" w:color="auto"/>
              <w:right w:val="single" w:sz="4" w:space="0" w:color="auto"/>
            </w:tcBorders>
            <w:shd w:val="pct5" w:color="auto" w:fill="auto"/>
            <w:noWrap/>
            <w:vAlign w:val="bottom"/>
            <w:hideMark/>
          </w:tcPr>
          <w:p w14:paraId="64903382"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3</w:t>
            </w:r>
          </w:p>
        </w:tc>
        <w:tc>
          <w:tcPr>
            <w:tcW w:w="1162" w:type="dxa"/>
            <w:tcBorders>
              <w:top w:val="nil"/>
              <w:left w:val="single" w:sz="4" w:space="0" w:color="auto"/>
              <w:bottom w:val="single" w:sz="12" w:space="0" w:color="auto"/>
              <w:right w:val="single" w:sz="12" w:space="0" w:color="auto"/>
            </w:tcBorders>
            <w:shd w:val="pct5" w:color="auto" w:fill="auto"/>
            <w:noWrap/>
            <w:vAlign w:val="bottom"/>
            <w:hideMark/>
          </w:tcPr>
          <w:p w14:paraId="0B14E117" w14:textId="77777777" w:rsidR="003510BF" w:rsidRPr="0047761D" w:rsidRDefault="003510BF" w:rsidP="00D35E63">
            <w:pPr>
              <w:pStyle w:val="Tabletext"/>
              <w:jc w:val="center"/>
              <w:rPr>
                <w:sz w:val="20"/>
              </w:rPr>
            </w:pPr>
            <w:r w:rsidRPr="0047761D">
              <w:rPr>
                <w:sz w:val="20"/>
              </w:rPr>
              <w:t>5</w:t>
            </w:r>
            <w:r>
              <w:rPr>
                <w:sz w:val="20"/>
              </w:rPr>
              <w:t>,</w:t>
            </w:r>
            <w:r w:rsidRPr="0047761D">
              <w:rPr>
                <w:sz w:val="20"/>
              </w:rPr>
              <w:t>9</w:t>
            </w:r>
          </w:p>
        </w:tc>
        <w:tc>
          <w:tcPr>
            <w:tcW w:w="826" w:type="dxa"/>
            <w:tcBorders>
              <w:top w:val="nil"/>
              <w:left w:val="single" w:sz="12" w:space="0" w:color="auto"/>
              <w:bottom w:val="single" w:sz="12" w:space="0" w:color="auto"/>
              <w:right w:val="single" w:sz="4" w:space="0" w:color="auto"/>
            </w:tcBorders>
            <w:shd w:val="clear" w:color="auto" w:fill="auto"/>
            <w:noWrap/>
            <w:vAlign w:val="bottom"/>
            <w:hideMark/>
          </w:tcPr>
          <w:p w14:paraId="3B0BE12F" w14:textId="77777777" w:rsidR="003510BF" w:rsidRPr="0047761D" w:rsidRDefault="003510BF" w:rsidP="00D35E63">
            <w:pPr>
              <w:pStyle w:val="Tabletext"/>
              <w:jc w:val="center"/>
              <w:rPr>
                <w:sz w:val="20"/>
              </w:rPr>
            </w:pPr>
            <w:r w:rsidRPr="0047761D">
              <w:rPr>
                <w:sz w:val="20"/>
              </w:rPr>
              <w:t>4</w:t>
            </w:r>
            <w:r>
              <w:rPr>
                <w:sz w:val="20"/>
              </w:rPr>
              <w:t>,</w:t>
            </w:r>
            <w:r w:rsidRPr="0047761D">
              <w:rPr>
                <w:sz w:val="20"/>
              </w:rPr>
              <w:t>7</w:t>
            </w:r>
          </w:p>
        </w:tc>
        <w:tc>
          <w:tcPr>
            <w:tcW w:w="1060" w:type="dxa"/>
            <w:tcBorders>
              <w:top w:val="nil"/>
              <w:left w:val="single" w:sz="4" w:space="0" w:color="auto"/>
              <w:bottom w:val="single" w:sz="12" w:space="0" w:color="auto"/>
              <w:right w:val="single" w:sz="12" w:space="0" w:color="auto"/>
            </w:tcBorders>
            <w:shd w:val="clear" w:color="auto" w:fill="auto"/>
            <w:noWrap/>
            <w:vAlign w:val="bottom"/>
            <w:hideMark/>
          </w:tcPr>
          <w:p w14:paraId="51CA99E5" w14:textId="77777777" w:rsidR="003510BF" w:rsidRPr="0047761D" w:rsidRDefault="003510BF" w:rsidP="00D35E63">
            <w:pPr>
              <w:pStyle w:val="Tabletext"/>
              <w:jc w:val="center"/>
              <w:rPr>
                <w:sz w:val="20"/>
              </w:rPr>
            </w:pPr>
            <w:r w:rsidRPr="0047761D">
              <w:rPr>
                <w:sz w:val="20"/>
              </w:rPr>
              <w:t>0</w:t>
            </w:r>
            <w:r>
              <w:rPr>
                <w:sz w:val="20"/>
              </w:rPr>
              <w:t>,</w:t>
            </w:r>
            <w:r w:rsidRPr="0047761D">
              <w:rPr>
                <w:sz w:val="20"/>
              </w:rPr>
              <w:t>6</w:t>
            </w:r>
          </w:p>
        </w:tc>
      </w:tr>
    </w:tbl>
    <w:p w14:paraId="4899AF79" w14:textId="77777777" w:rsidR="003510BF" w:rsidRPr="0047761D" w:rsidRDefault="003510BF" w:rsidP="00C42A56">
      <w:r>
        <w:lastRenderedPageBreak/>
        <w:t>En relación con</w:t>
      </w:r>
      <w:r w:rsidRPr="0047761D">
        <w:t xml:space="preserve"> los estudios de compartición del UIT-R </w:t>
      </w:r>
      <w:r>
        <w:t>sobre</w:t>
      </w:r>
      <w:r w:rsidRPr="0047761D">
        <w:t xml:space="preserve"> sensores activos </w:t>
      </w:r>
      <w:r>
        <w:t>a bordo de vehículos espaciales para la</w:t>
      </w:r>
      <w:r w:rsidRPr="0047761D">
        <w:t xml:space="preserve"> detección de </w:t>
      </w:r>
      <w:r>
        <w:t>valores de cresta</w:t>
      </w:r>
      <w:r w:rsidRPr="0047761D">
        <w:t xml:space="preserve">, </w:t>
      </w:r>
      <w:r>
        <w:t>cabe</w:t>
      </w:r>
      <w:r w:rsidRPr="0047761D">
        <w:t xml:space="preserve"> examinar la frecuencia de los símbolos de mayor potencia </w:t>
      </w:r>
      <w:r>
        <w:t>con respecto a</w:t>
      </w:r>
      <w:r w:rsidRPr="0047761D">
        <w:t xml:space="preserve"> la frecuencia de detección del sensor activo </w:t>
      </w:r>
      <w:r>
        <w:t xml:space="preserve">a bordo del vehículo </w:t>
      </w:r>
      <w:r w:rsidRPr="0047761D">
        <w:t xml:space="preserve">espacial </w:t>
      </w:r>
      <w:r>
        <w:t>a fin de</w:t>
      </w:r>
      <w:r w:rsidRPr="0047761D">
        <w:t xml:space="preserve"> determinar el nivel adicional por encima de la potencia media del transmisor interferente que debe tenerse en cuenta.</w:t>
      </w:r>
    </w:p>
    <w:p w14:paraId="4AEDA054" w14:textId="77777777" w:rsidR="003510BF" w:rsidRPr="001272DB" w:rsidRDefault="003510BF" w:rsidP="003510BF">
      <w:pPr>
        <w:pStyle w:val="Heading1"/>
      </w:pPr>
      <w:bookmarkStart w:id="66" w:name="_Toc181637190"/>
      <w:bookmarkStart w:id="67" w:name="_Toc181796520"/>
      <w:r w:rsidRPr="001272DB">
        <w:t>9</w:t>
      </w:r>
      <w:r w:rsidRPr="001272DB">
        <w:tab/>
        <w:t xml:space="preserve">Parámetros habituales de los sensores del SETS (activo) que pueden utilizarse para determinar </w:t>
      </w:r>
      <w:r>
        <w:t>los efectos</w:t>
      </w:r>
      <w:r w:rsidRPr="001272DB">
        <w:t xml:space="preserve"> de </w:t>
      </w:r>
      <w:r>
        <w:t>cada tipo de</w:t>
      </w:r>
      <w:r w:rsidRPr="001272DB">
        <w:t xml:space="preserve"> interferencia</w:t>
      </w:r>
      <w:bookmarkEnd w:id="66"/>
      <w:bookmarkEnd w:id="67"/>
    </w:p>
    <w:p w14:paraId="192C9B86" w14:textId="77777777" w:rsidR="003510BF" w:rsidRPr="001272DB" w:rsidRDefault="003510BF" w:rsidP="003510BF">
      <w:r w:rsidRPr="001272DB">
        <w:t xml:space="preserve">Los parámetros de los cinco tipos de sensores activos </w:t>
      </w:r>
      <w:r>
        <w:t xml:space="preserve">a bordo de vehículos </w:t>
      </w:r>
      <w:r w:rsidRPr="001272DB">
        <w:t xml:space="preserve">espaciales enumerados en </w:t>
      </w:r>
      <w:r>
        <w:t>el Cuadro</w:t>
      </w:r>
      <w:r w:rsidRPr="001272DB">
        <w:t xml:space="preserve"> 7 pueden utilizarse para evaluar </w:t>
      </w:r>
      <w:r>
        <w:t>los efectos</w:t>
      </w:r>
      <w:r w:rsidRPr="001272DB">
        <w:t xml:space="preserve"> de </w:t>
      </w:r>
      <w:r>
        <w:t>varios</w:t>
      </w:r>
      <w:r w:rsidRPr="001272DB">
        <w:t xml:space="preserve"> tipos de interferencia en las mediciones </w:t>
      </w:r>
      <w:r>
        <w:t>que realiza cada</w:t>
      </w:r>
      <w:r w:rsidRPr="001272DB">
        <w:t xml:space="preserve"> sensor activo. Los valores que figuran en </w:t>
      </w:r>
      <w:r>
        <w:t>el Cuadro</w:t>
      </w:r>
      <w:r w:rsidRPr="001272DB">
        <w:t xml:space="preserve"> 7 son valores </w:t>
      </w:r>
      <w:r>
        <w:t>habituales</w:t>
      </w:r>
      <w:r w:rsidRPr="001272DB">
        <w:t xml:space="preserve"> que pueden utilizarse para </w:t>
      </w:r>
      <w:r>
        <w:t xml:space="preserve">llevar a cabo </w:t>
      </w:r>
      <w:r w:rsidRPr="001272DB">
        <w:t xml:space="preserve">una evaluación preliminar; </w:t>
      </w:r>
      <w:r>
        <w:t>no obstante</w:t>
      </w:r>
      <w:r w:rsidRPr="001272DB">
        <w:t xml:space="preserve">, los valores reales del sensor activo en la banda de frecuencias </w:t>
      </w:r>
      <w:r>
        <w:t>objeto de estudio</w:t>
      </w:r>
      <w:r w:rsidRPr="001272DB">
        <w:t xml:space="preserve"> deben utilizarse </w:t>
      </w:r>
      <w:r>
        <w:t>para realizar un análisis definitivo de los efectos de la</w:t>
      </w:r>
      <w:r w:rsidRPr="001272DB">
        <w:t xml:space="preserve"> interferencia.</w:t>
      </w:r>
    </w:p>
    <w:p w14:paraId="5F571176" w14:textId="77777777" w:rsidR="003510BF" w:rsidRPr="001272DB" w:rsidRDefault="003510BF" w:rsidP="003510BF">
      <w:pPr>
        <w:pStyle w:val="TableNo"/>
      </w:pPr>
      <w:r w:rsidRPr="001272DB">
        <w:t>CUADRO 7</w:t>
      </w:r>
    </w:p>
    <w:p w14:paraId="2A45B509" w14:textId="48A656A7" w:rsidR="003510BF" w:rsidRPr="001272DB" w:rsidRDefault="003510BF" w:rsidP="003510BF">
      <w:pPr>
        <w:pStyle w:val="Tabletitle"/>
      </w:pPr>
      <w:r w:rsidRPr="001272DB">
        <w:t xml:space="preserve">Parámetros </w:t>
      </w:r>
      <w:r>
        <w:t>habituales</w:t>
      </w:r>
      <w:r w:rsidRPr="001272DB">
        <w:t xml:space="preserve"> de procesamiento de los sensores del SETS </w:t>
      </w:r>
      <w:r>
        <w:t xml:space="preserve">(activo) </w:t>
      </w:r>
      <w:r w:rsidR="00C42A56">
        <w:br/>
      </w:r>
      <w:r w:rsidRPr="001272DB">
        <w:t xml:space="preserve">para la evaluación </w:t>
      </w:r>
      <w:r>
        <w:t>de los efectos de la</w:t>
      </w:r>
      <w:r w:rsidRPr="001272DB">
        <w:t xml:space="preserve"> interferencia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406"/>
        <w:gridCol w:w="1268"/>
        <w:gridCol w:w="1417"/>
        <w:gridCol w:w="992"/>
        <w:gridCol w:w="1467"/>
        <w:gridCol w:w="1373"/>
      </w:tblGrid>
      <w:tr w:rsidR="003510BF" w:rsidRPr="005055D3" w14:paraId="7F2218F7" w14:textId="77777777" w:rsidTr="00136C44">
        <w:trPr>
          <w:cantSplit/>
          <w:jc w:val="center"/>
        </w:trPr>
        <w:tc>
          <w:tcPr>
            <w:tcW w:w="1716" w:type="dxa"/>
            <w:shd w:val="clear" w:color="auto" w:fill="auto"/>
            <w:vAlign w:val="center"/>
          </w:tcPr>
          <w:p w14:paraId="4F3ED397" w14:textId="77777777" w:rsidR="003510BF" w:rsidRPr="005055D3" w:rsidRDefault="003510BF" w:rsidP="00D35E63">
            <w:pPr>
              <w:pStyle w:val="Tablehead"/>
              <w:rPr>
                <w:rFonts w:eastAsia="Calibri"/>
                <w:color w:val="000000"/>
                <w:sz w:val="20"/>
              </w:rPr>
            </w:pPr>
            <w:r w:rsidRPr="005055D3">
              <w:rPr>
                <w:rFonts w:eastAsia="Calibri"/>
                <w:color w:val="000000"/>
                <w:sz w:val="20"/>
              </w:rPr>
              <w:t>Tipo de sensor</w:t>
            </w:r>
          </w:p>
        </w:tc>
        <w:tc>
          <w:tcPr>
            <w:tcW w:w="1406" w:type="dxa"/>
            <w:shd w:val="clear" w:color="auto" w:fill="auto"/>
            <w:vAlign w:val="center"/>
          </w:tcPr>
          <w:p w14:paraId="38481FF9" w14:textId="77777777" w:rsidR="003510BF" w:rsidRPr="005055D3" w:rsidRDefault="003510BF" w:rsidP="00D35E63">
            <w:pPr>
              <w:pStyle w:val="Tablehead"/>
              <w:rPr>
                <w:rFonts w:eastAsia="Calibri"/>
                <w:color w:val="000000"/>
                <w:sz w:val="20"/>
              </w:rPr>
            </w:pPr>
            <w:r w:rsidRPr="005055D3">
              <w:rPr>
                <w:rFonts w:eastAsia="Calibri"/>
                <w:color w:val="000000"/>
                <w:sz w:val="20"/>
              </w:rPr>
              <w:t>Detección de potencia de cresta o promedio</w:t>
            </w:r>
          </w:p>
        </w:tc>
        <w:tc>
          <w:tcPr>
            <w:tcW w:w="1268" w:type="dxa"/>
            <w:shd w:val="clear" w:color="auto" w:fill="auto"/>
            <w:vAlign w:val="center"/>
          </w:tcPr>
          <w:p w14:paraId="41FF5E50" w14:textId="77777777" w:rsidR="003510BF" w:rsidRPr="005055D3" w:rsidRDefault="003510BF" w:rsidP="00D35E63">
            <w:pPr>
              <w:pStyle w:val="Tablehead"/>
              <w:rPr>
                <w:rFonts w:eastAsia="Calibri"/>
                <w:color w:val="000000"/>
                <w:sz w:val="20"/>
              </w:rPr>
            </w:pPr>
            <w:r w:rsidRPr="005055D3">
              <w:rPr>
                <w:rFonts w:eastAsia="Calibri"/>
                <w:color w:val="000000"/>
                <w:sz w:val="20"/>
              </w:rPr>
              <w:t>Tamaño de la submuestra</w:t>
            </w:r>
            <w:r w:rsidRPr="005055D3">
              <w:rPr>
                <w:rFonts w:eastAsia="Calibri"/>
                <w:color w:val="000000"/>
                <w:sz w:val="20"/>
              </w:rPr>
              <w:br/>
              <w:t>(ms)</w:t>
            </w:r>
          </w:p>
        </w:tc>
        <w:tc>
          <w:tcPr>
            <w:tcW w:w="1417" w:type="dxa"/>
            <w:shd w:val="clear" w:color="auto" w:fill="auto"/>
            <w:vAlign w:val="center"/>
          </w:tcPr>
          <w:p w14:paraId="7CD1E825" w14:textId="77777777" w:rsidR="003510BF" w:rsidRPr="005055D3" w:rsidRDefault="003510BF" w:rsidP="00D35E63">
            <w:pPr>
              <w:pStyle w:val="Tablehead"/>
              <w:rPr>
                <w:rFonts w:eastAsia="Calibri"/>
                <w:color w:val="000000"/>
                <w:sz w:val="20"/>
              </w:rPr>
            </w:pPr>
            <w:r w:rsidRPr="005055D3">
              <w:rPr>
                <w:rFonts w:eastAsia="Calibri"/>
                <w:color w:val="000000"/>
                <w:sz w:val="20"/>
              </w:rPr>
              <w:t>Número de submuestras por muestra</w:t>
            </w:r>
          </w:p>
        </w:tc>
        <w:tc>
          <w:tcPr>
            <w:tcW w:w="992" w:type="dxa"/>
            <w:shd w:val="clear" w:color="auto" w:fill="auto"/>
            <w:vAlign w:val="center"/>
          </w:tcPr>
          <w:p w14:paraId="1BC3BF6A" w14:textId="77777777" w:rsidR="003510BF" w:rsidRPr="005055D3" w:rsidRDefault="003510BF" w:rsidP="00D35E63">
            <w:pPr>
              <w:pStyle w:val="Tablehead"/>
              <w:rPr>
                <w:rFonts w:eastAsia="Calibri"/>
                <w:color w:val="000000"/>
                <w:sz w:val="20"/>
              </w:rPr>
            </w:pPr>
            <w:r w:rsidRPr="005055D3">
              <w:rPr>
                <w:rFonts w:eastAsia="Calibri"/>
                <w:color w:val="000000"/>
                <w:sz w:val="20"/>
              </w:rPr>
              <w:t xml:space="preserve">Tamaño de píxel </w:t>
            </w:r>
            <w:r w:rsidRPr="005055D3">
              <w:rPr>
                <w:rFonts w:eastAsia="Calibri"/>
                <w:color w:val="000000"/>
                <w:sz w:val="20"/>
              </w:rPr>
              <w:br/>
              <w:t>(km</w:t>
            </w:r>
            <w:r w:rsidRPr="005055D3">
              <w:rPr>
                <w:rFonts w:eastAsia="Calibri"/>
                <w:color w:val="000000"/>
                <w:sz w:val="20"/>
                <w:vertAlign w:val="superscript"/>
              </w:rPr>
              <w:t>2</w:t>
            </w:r>
            <w:r w:rsidRPr="005055D3">
              <w:rPr>
                <w:rFonts w:eastAsia="Calibri"/>
                <w:color w:val="000000"/>
                <w:sz w:val="20"/>
              </w:rPr>
              <w:t>)</w:t>
            </w:r>
          </w:p>
        </w:tc>
        <w:tc>
          <w:tcPr>
            <w:tcW w:w="1467" w:type="dxa"/>
            <w:shd w:val="clear" w:color="auto" w:fill="auto"/>
            <w:vAlign w:val="center"/>
          </w:tcPr>
          <w:p w14:paraId="3F93159B" w14:textId="77777777" w:rsidR="003510BF" w:rsidRPr="005055D3" w:rsidRDefault="003510BF" w:rsidP="00D35E63">
            <w:pPr>
              <w:pStyle w:val="Tablehead"/>
              <w:rPr>
                <w:rFonts w:eastAsia="Calibri"/>
                <w:color w:val="000000"/>
                <w:sz w:val="20"/>
              </w:rPr>
            </w:pPr>
            <w:r w:rsidRPr="005055D3">
              <w:rPr>
                <w:rFonts w:eastAsia="Calibri"/>
                <w:color w:val="000000"/>
                <w:sz w:val="20"/>
              </w:rPr>
              <w:t>Zona mínima de medición de interés</w:t>
            </w:r>
          </w:p>
        </w:tc>
        <w:tc>
          <w:tcPr>
            <w:tcW w:w="1373" w:type="dxa"/>
            <w:shd w:val="clear" w:color="auto" w:fill="auto"/>
            <w:vAlign w:val="center"/>
          </w:tcPr>
          <w:p w14:paraId="08B0BBD2" w14:textId="77777777" w:rsidR="003510BF" w:rsidRPr="005055D3" w:rsidRDefault="003510BF" w:rsidP="00D35E63">
            <w:pPr>
              <w:pStyle w:val="Tablehead"/>
              <w:rPr>
                <w:rFonts w:eastAsia="Calibri"/>
                <w:color w:val="000000"/>
                <w:sz w:val="20"/>
              </w:rPr>
            </w:pPr>
            <w:r w:rsidRPr="005055D3">
              <w:rPr>
                <w:rFonts w:eastAsia="Calibri"/>
                <w:color w:val="000000"/>
                <w:sz w:val="20"/>
              </w:rPr>
              <w:t>Medición del ruido de fondo</w:t>
            </w:r>
          </w:p>
        </w:tc>
      </w:tr>
      <w:tr w:rsidR="003510BF" w:rsidRPr="005055D3" w14:paraId="60AAEED9" w14:textId="77777777" w:rsidTr="00136C44">
        <w:trPr>
          <w:cantSplit/>
          <w:jc w:val="center"/>
        </w:trPr>
        <w:tc>
          <w:tcPr>
            <w:tcW w:w="1716" w:type="dxa"/>
            <w:shd w:val="clear" w:color="auto" w:fill="auto"/>
          </w:tcPr>
          <w:p w14:paraId="5A24A5FA" w14:textId="77777777" w:rsidR="003510BF" w:rsidRPr="005055D3" w:rsidRDefault="003510BF" w:rsidP="00D35E63">
            <w:pPr>
              <w:pStyle w:val="Tabletext"/>
              <w:jc w:val="left"/>
              <w:rPr>
                <w:rFonts w:eastAsia="Calibri"/>
                <w:color w:val="000000"/>
                <w:sz w:val="20"/>
              </w:rPr>
            </w:pPr>
            <w:r w:rsidRPr="005055D3">
              <w:rPr>
                <w:rFonts w:eastAsia="Calibri"/>
                <w:color w:val="000000"/>
                <w:sz w:val="20"/>
              </w:rPr>
              <w:t>Altímetro</w:t>
            </w:r>
          </w:p>
        </w:tc>
        <w:tc>
          <w:tcPr>
            <w:tcW w:w="1406" w:type="dxa"/>
            <w:shd w:val="clear" w:color="auto" w:fill="auto"/>
          </w:tcPr>
          <w:p w14:paraId="4B00578A"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Valor de cresta</w:t>
            </w:r>
          </w:p>
        </w:tc>
        <w:tc>
          <w:tcPr>
            <w:tcW w:w="1268" w:type="dxa"/>
            <w:shd w:val="clear" w:color="auto" w:fill="auto"/>
          </w:tcPr>
          <w:p w14:paraId="672B1C4D"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50</w:t>
            </w:r>
          </w:p>
        </w:tc>
        <w:tc>
          <w:tcPr>
            <w:tcW w:w="1417" w:type="dxa"/>
            <w:shd w:val="clear" w:color="auto" w:fill="auto"/>
          </w:tcPr>
          <w:p w14:paraId="7BE9A7A3"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100</w:t>
            </w:r>
          </w:p>
        </w:tc>
        <w:tc>
          <w:tcPr>
            <w:tcW w:w="992" w:type="dxa"/>
            <w:shd w:val="clear" w:color="auto" w:fill="auto"/>
          </w:tcPr>
          <w:p w14:paraId="4DD1071C"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1 km</w:t>
            </w:r>
            <w:r w:rsidRPr="005055D3">
              <w:rPr>
                <w:rFonts w:eastAsia="Calibri"/>
                <w:color w:val="000000"/>
                <w:sz w:val="20"/>
                <w:vertAlign w:val="superscript"/>
              </w:rPr>
              <w:t>2</w:t>
            </w:r>
          </w:p>
        </w:tc>
        <w:tc>
          <w:tcPr>
            <w:tcW w:w="1467" w:type="dxa"/>
            <w:shd w:val="clear" w:color="auto" w:fill="auto"/>
          </w:tcPr>
          <w:p w14:paraId="670A906A"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10 km</w:t>
            </w:r>
            <w:r w:rsidRPr="005055D3">
              <w:rPr>
                <w:rFonts w:eastAsia="Calibri"/>
                <w:color w:val="000000"/>
                <w:sz w:val="20"/>
                <w:vertAlign w:val="superscript"/>
              </w:rPr>
              <w:t xml:space="preserve">2 </w:t>
            </w:r>
            <w:r w:rsidRPr="005055D3">
              <w:rPr>
                <w:rFonts w:eastAsia="Calibri"/>
                <w:color w:val="000000"/>
                <w:sz w:val="20"/>
                <w:vertAlign w:val="superscript"/>
              </w:rPr>
              <w:br/>
            </w:r>
            <w:r w:rsidRPr="005055D3">
              <w:rPr>
                <w:rFonts w:eastAsia="Calibri"/>
                <w:color w:val="000000"/>
                <w:sz w:val="20"/>
              </w:rPr>
              <w:t>(píxeles consecutivos)</w:t>
            </w:r>
          </w:p>
        </w:tc>
        <w:tc>
          <w:tcPr>
            <w:tcW w:w="1373" w:type="dxa"/>
            <w:shd w:val="clear" w:color="auto" w:fill="auto"/>
          </w:tcPr>
          <w:p w14:paraId="1B532B25"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Sí</w:t>
            </w:r>
          </w:p>
        </w:tc>
      </w:tr>
      <w:tr w:rsidR="003510BF" w:rsidRPr="005055D3" w14:paraId="02747B88" w14:textId="77777777" w:rsidTr="00136C44">
        <w:trPr>
          <w:cantSplit/>
          <w:jc w:val="center"/>
        </w:trPr>
        <w:tc>
          <w:tcPr>
            <w:tcW w:w="1716" w:type="dxa"/>
            <w:shd w:val="clear" w:color="auto" w:fill="auto"/>
          </w:tcPr>
          <w:p w14:paraId="1899F4D1" w14:textId="77777777" w:rsidR="003510BF" w:rsidRPr="005055D3" w:rsidRDefault="003510BF" w:rsidP="00D35E63">
            <w:pPr>
              <w:pStyle w:val="Tabletext"/>
              <w:jc w:val="left"/>
              <w:rPr>
                <w:rFonts w:eastAsia="Calibri"/>
                <w:color w:val="000000"/>
                <w:sz w:val="20"/>
              </w:rPr>
            </w:pPr>
            <w:r w:rsidRPr="005055D3">
              <w:rPr>
                <w:rFonts w:eastAsia="Calibri"/>
                <w:color w:val="000000"/>
                <w:sz w:val="20"/>
              </w:rPr>
              <w:t>Dispersímetro</w:t>
            </w:r>
          </w:p>
        </w:tc>
        <w:tc>
          <w:tcPr>
            <w:tcW w:w="1406" w:type="dxa"/>
            <w:shd w:val="clear" w:color="auto" w:fill="auto"/>
          </w:tcPr>
          <w:p w14:paraId="6551C4AC"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Valor promedio</w:t>
            </w:r>
          </w:p>
        </w:tc>
        <w:tc>
          <w:tcPr>
            <w:tcW w:w="1268" w:type="dxa"/>
            <w:shd w:val="clear" w:color="auto" w:fill="auto"/>
          </w:tcPr>
          <w:p w14:paraId="0CF2F705" w14:textId="77777777" w:rsidR="003510BF" w:rsidRPr="005055D3" w:rsidRDefault="003510BF" w:rsidP="00D35E63">
            <w:pPr>
              <w:pStyle w:val="Tabletext"/>
              <w:jc w:val="center"/>
              <w:rPr>
                <w:rFonts w:eastAsia="Calibri"/>
                <w:color w:val="000000"/>
                <w:sz w:val="20"/>
              </w:rPr>
            </w:pPr>
          </w:p>
        </w:tc>
        <w:tc>
          <w:tcPr>
            <w:tcW w:w="1417" w:type="dxa"/>
            <w:shd w:val="clear" w:color="auto" w:fill="auto"/>
          </w:tcPr>
          <w:p w14:paraId="5FFB29F2" w14:textId="77777777" w:rsidR="003510BF" w:rsidRPr="005055D3" w:rsidRDefault="003510BF" w:rsidP="00D35E63">
            <w:pPr>
              <w:pStyle w:val="Tabletext"/>
              <w:jc w:val="center"/>
              <w:rPr>
                <w:rFonts w:eastAsia="Calibri"/>
                <w:color w:val="000000"/>
                <w:sz w:val="20"/>
              </w:rPr>
            </w:pPr>
          </w:p>
        </w:tc>
        <w:tc>
          <w:tcPr>
            <w:tcW w:w="992" w:type="dxa"/>
            <w:shd w:val="clear" w:color="auto" w:fill="auto"/>
          </w:tcPr>
          <w:p w14:paraId="41850C6B" w14:textId="77777777" w:rsidR="003510BF" w:rsidRPr="005055D3" w:rsidRDefault="003510BF" w:rsidP="00D35E63">
            <w:pPr>
              <w:pStyle w:val="Tabletext"/>
              <w:jc w:val="center"/>
              <w:rPr>
                <w:rFonts w:eastAsia="Calibri"/>
                <w:color w:val="000000"/>
                <w:sz w:val="20"/>
              </w:rPr>
            </w:pPr>
          </w:p>
        </w:tc>
        <w:tc>
          <w:tcPr>
            <w:tcW w:w="1467" w:type="dxa"/>
            <w:shd w:val="clear" w:color="auto" w:fill="auto"/>
          </w:tcPr>
          <w:p w14:paraId="283A471B" w14:textId="77777777" w:rsidR="003510BF" w:rsidRPr="005055D3" w:rsidRDefault="003510BF" w:rsidP="00D35E63">
            <w:pPr>
              <w:pStyle w:val="Tabletext"/>
              <w:jc w:val="center"/>
              <w:rPr>
                <w:rFonts w:eastAsia="Calibri"/>
                <w:color w:val="000000"/>
                <w:sz w:val="20"/>
              </w:rPr>
            </w:pPr>
          </w:p>
        </w:tc>
        <w:tc>
          <w:tcPr>
            <w:tcW w:w="1373" w:type="dxa"/>
            <w:shd w:val="clear" w:color="auto" w:fill="auto"/>
          </w:tcPr>
          <w:p w14:paraId="5EC68F4E"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Sí</w:t>
            </w:r>
          </w:p>
        </w:tc>
      </w:tr>
      <w:tr w:rsidR="003510BF" w:rsidRPr="005055D3" w14:paraId="7536F272" w14:textId="77777777" w:rsidTr="00136C44">
        <w:trPr>
          <w:cantSplit/>
          <w:jc w:val="center"/>
        </w:trPr>
        <w:tc>
          <w:tcPr>
            <w:tcW w:w="1716" w:type="dxa"/>
            <w:shd w:val="clear" w:color="auto" w:fill="auto"/>
          </w:tcPr>
          <w:p w14:paraId="49B3BBDD" w14:textId="77777777" w:rsidR="003510BF" w:rsidRPr="005055D3" w:rsidRDefault="003510BF" w:rsidP="00D35E63">
            <w:pPr>
              <w:pStyle w:val="Tabletext"/>
              <w:jc w:val="left"/>
              <w:rPr>
                <w:rFonts w:eastAsia="Calibri"/>
                <w:color w:val="000000"/>
                <w:sz w:val="20"/>
              </w:rPr>
            </w:pPr>
            <w:r w:rsidRPr="005055D3">
              <w:rPr>
                <w:rFonts w:eastAsia="Calibri"/>
                <w:color w:val="000000"/>
                <w:sz w:val="20"/>
              </w:rPr>
              <w:t xml:space="preserve">Radar de precipitación </w:t>
            </w:r>
          </w:p>
        </w:tc>
        <w:tc>
          <w:tcPr>
            <w:tcW w:w="1406" w:type="dxa"/>
            <w:shd w:val="clear" w:color="auto" w:fill="auto"/>
          </w:tcPr>
          <w:p w14:paraId="0F3AF49E"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Valor promedio</w:t>
            </w:r>
          </w:p>
        </w:tc>
        <w:tc>
          <w:tcPr>
            <w:tcW w:w="1268" w:type="dxa"/>
            <w:shd w:val="clear" w:color="auto" w:fill="auto"/>
          </w:tcPr>
          <w:p w14:paraId="63C70805" w14:textId="77777777" w:rsidR="003510BF" w:rsidRPr="005055D3" w:rsidRDefault="003510BF" w:rsidP="00D35E63">
            <w:pPr>
              <w:pStyle w:val="Tabletext"/>
              <w:jc w:val="center"/>
              <w:rPr>
                <w:rFonts w:eastAsia="Calibri"/>
                <w:b/>
                <w:color w:val="000000"/>
                <w:sz w:val="20"/>
              </w:rPr>
            </w:pPr>
          </w:p>
        </w:tc>
        <w:tc>
          <w:tcPr>
            <w:tcW w:w="1417" w:type="dxa"/>
            <w:shd w:val="clear" w:color="auto" w:fill="auto"/>
          </w:tcPr>
          <w:p w14:paraId="658B919D" w14:textId="77777777" w:rsidR="003510BF" w:rsidRPr="005055D3" w:rsidRDefault="003510BF" w:rsidP="00D35E63">
            <w:pPr>
              <w:pStyle w:val="Tabletext"/>
              <w:jc w:val="center"/>
              <w:rPr>
                <w:rFonts w:eastAsia="Calibri"/>
                <w:b/>
                <w:color w:val="000000"/>
                <w:sz w:val="20"/>
              </w:rPr>
            </w:pPr>
          </w:p>
        </w:tc>
        <w:tc>
          <w:tcPr>
            <w:tcW w:w="992" w:type="dxa"/>
            <w:shd w:val="clear" w:color="auto" w:fill="auto"/>
          </w:tcPr>
          <w:p w14:paraId="365E2028" w14:textId="77777777" w:rsidR="003510BF" w:rsidRPr="005055D3" w:rsidRDefault="003510BF" w:rsidP="00D35E63">
            <w:pPr>
              <w:pStyle w:val="Tabletext"/>
              <w:jc w:val="center"/>
              <w:rPr>
                <w:rFonts w:eastAsia="Calibri"/>
                <w:b/>
                <w:color w:val="000000"/>
                <w:sz w:val="20"/>
              </w:rPr>
            </w:pPr>
          </w:p>
        </w:tc>
        <w:tc>
          <w:tcPr>
            <w:tcW w:w="1467" w:type="dxa"/>
            <w:shd w:val="clear" w:color="auto" w:fill="auto"/>
          </w:tcPr>
          <w:p w14:paraId="54047C7E" w14:textId="77777777" w:rsidR="003510BF" w:rsidRPr="005055D3" w:rsidRDefault="003510BF" w:rsidP="00D35E63">
            <w:pPr>
              <w:pStyle w:val="Tabletext"/>
              <w:jc w:val="center"/>
              <w:rPr>
                <w:rFonts w:eastAsia="Calibri"/>
                <w:b/>
                <w:color w:val="000000"/>
                <w:sz w:val="20"/>
              </w:rPr>
            </w:pPr>
          </w:p>
        </w:tc>
        <w:tc>
          <w:tcPr>
            <w:tcW w:w="1373" w:type="dxa"/>
            <w:shd w:val="clear" w:color="auto" w:fill="auto"/>
          </w:tcPr>
          <w:p w14:paraId="4B28BF12"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Sí</w:t>
            </w:r>
          </w:p>
        </w:tc>
      </w:tr>
      <w:tr w:rsidR="003510BF" w:rsidRPr="005055D3" w14:paraId="5C8C067F" w14:textId="77777777" w:rsidTr="00136C44">
        <w:trPr>
          <w:cantSplit/>
          <w:jc w:val="center"/>
        </w:trPr>
        <w:tc>
          <w:tcPr>
            <w:tcW w:w="1716" w:type="dxa"/>
            <w:shd w:val="clear" w:color="auto" w:fill="auto"/>
          </w:tcPr>
          <w:p w14:paraId="5800089B" w14:textId="77777777" w:rsidR="003510BF" w:rsidRPr="005055D3" w:rsidRDefault="003510BF" w:rsidP="00D35E63">
            <w:pPr>
              <w:pStyle w:val="Tabletext"/>
              <w:jc w:val="left"/>
              <w:rPr>
                <w:rFonts w:eastAsia="Calibri"/>
                <w:color w:val="000000"/>
                <w:sz w:val="20"/>
              </w:rPr>
            </w:pPr>
            <w:r w:rsidRPr="005055D3">
              <w:rPr>
                <w:rFonts w:eastAsia="Calibri"/>
                <w:color w:val="000000"/>
                <w:sz w:val="20"/>
              </w:rPr>
              <w:t>Radar de apertura sintética (SAR)</w:t>
            </w:r>
          </w:p>
        </w:tc>
        <w:tc>
          <w:tcPr>
            <w:tcW w:w="1406" w:type="dxa"/>
            <w:shd w:val="clear" w:color="auto" w:fill="auto"/>
          </w:tcPr>
          <w:p w14:paraId="145712A1"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Valor promedio</w:t>
            </w:r>
          </w:p>
        </w:tc>
        <w:tc>
          <w:tcPr>
            <w:tcW w:w="1268" w:type="dxa"/>
            <w:shd w:val="clear" w:color="auto" w:fill="auto"/>
          </w:tcPr>
          <w:p w14:paraId="6B7268AD" w14:textId="77777777" w:rsidR="003510BF" w:rsidRPr="005055D3" w:rsidRDefault="003510BF" w:rsidP="00D35E63">
            <w:pPr>
              <w:pStyle w:val="Tabletext"/>
              <w:jc w:val="center"/>
              <w:rPr>
                <w:rFonts w:eastAsia="Calibri"/>
                <w:b/>
                <w:color w:val="000000"/>
                <w:sz w:val="20"/>
              </w:rPr>
            </w:pPr>
          </w:p>
        </w:tc>
        <w:tc>
          <w:tcPr>
            <w:tcW w:w="1417" w:type="dxa"/>
            <w:shd w:val="clear" w:color="auto" w:fill="auto"/>
          </w:tcPr>
          <w:p w14:paraId="1F26ABE9" w14:textId="77777777" w:rsidR="003510BF" w:rsidRPr="005055D3" w:rsidRDefault="003510BF" w:rsidP="00D35E63">
            <w:pPr>
              <w:pStyle w:val="Tabletext"/>
              <w:jc w:val="center"/>
              <w:rPr>
                <w:rFonts w:eastAsia="Calibri"/>
                <w:b/>
                <w:color w:val="000000"/>
                <w:sz w:val="20"/>
              </w:rPr>
            </w:pPr>
          </w:p>
        </w:tc>
        <w:tc>
          <w:tcPr>
            <w:tcW w:w="992" w:type="dxa"/>
            <w:shd w:val="clear" w:color="auto" w:fill="auto"/>
          </w:tcPr>
          <w:p w14:paraId="299DD540" w14:textId="77777777" w:rsidR="003510BF" w:rsidRPr="005055D3" w:rsidRDefault="003510BF" w:rsidP="00D35E63">
            <w:pPr>
              <w:pStyle w:val="Tabletext"/>
              <w:jc w:val="center"/>
              <w:rPr>
                <w:rFonts w:eastAsia="Calibri"/>
                <w:b/>
                <w:color w:val="000000"/>
                <w:sz w:val="20"/>
              </w:rPr>
            </w:pPr>
          </w:p>
        </w:tc>
        <w:tc>
          <w:tcPr>
            <w:tcW w:w="1467" w:type="dxa"/>
            <w:shd w:val="clear" w:color="auto" w:fill="auto"/>
          </w:tcPr>
          <w:p w14:paraId="270AB64B" w14:textId="77777777" w:rsidR="003510BF" w:rsidRPr="005055D3" w:rsidRDefault="003510BF" w:rsidP="00D35E63">
            <w:pPr>
              <w:pStyle w:val="Tabletext"/>
              <w:jc w:val="center"/>
              <w:rPr>
                <w:rFonts w:eastAsia="Calibri"/>
                <w:b/>
                <w:color w:val="000000"/>
                <w:sz w:val="20"/>
              </w:rPr>
            </w:pPr>
          </w:p>
        </w:tc>
        <w:tc>
          <w:tcPr>
            <w:tcW w:w="1373" w:type="dxa"/>
            <w:shd w:val="clear" w:color="auto" w:fill="auto"/>
          </w:tcPr>
          <w:p w14:paraId="61001E01"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Sí</w:t>
            </w:r>
          </w:p>
        </w:tc>
      </w:tr>
      <w:tr w:rsidR="003510BF" w:rsidRPr="005055D3" w14:paraId="779F9445" w14:textId="77777777" w:rsidTr="00136C44">
        <w:trPr>
          <w:cantSplit/>
          <w:jc w:val="center"/>
        </w:trPr>
        <w:tc>
          <w:tcPr>
            <w:tcW w:w="1716" w:type="dxa"/>
            <w:shd w:val="clear" w:color="auto" w:fill="auto"/>
          </w:tcPr>
          <w:p w14:paraId="02E212D4" w14:textId="77777777" w:rsidR="003510BF" w:rsidRPr="005055D3" w:rsidRDefault="003510BF" w:rsidP="00D35E63">
            <w:pPr>
              <w:pStyle w:val="Tabletext"/>
              <w:jc w:val="left"/>
              <w:rPr>
                <w:rFonts w:eastAsia="Calibri"/>
                <w:color w:val="000000"/>
                <w:sz w:val="20"/>
              </w:rPr>
            </w:pPr>
            <w:r w:rsidRPr="005055D3">
              <w:rPr>
                <w:rFonts w:eastAsia="Calibri"/>
                <w:color w:val="000000"/>
                <w:sz w:val="20"/>
              </w:rPr>
              <w:t xml:space="preserve">Radar de perfil de nubes </w:t>
            </w:r>
          </w:p>
        </w:tc>
        <w:tc>
          <w:tcPr>
            <w:tcW w:w="1406" w:type="dxa"/>
            <w:shd w:val="clear" w:color="auto" w:fill="auto"/>
          </w:tcPr>
          <w:p w14:paraId="35F8F694"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Valor promedio</w:t>
            </w:r>
          </w:p>
        </w:tc>
        <w:tc>
          <w:tcPr>
            <w:tcW w:w="1268" w:type="dxa"/>
            <w:shd w:val="clear" w:color="auto" w:fill="auto"/>
          </w:tcPr>
          <w:p w14:paraId="2B186203" w14:textId="77777777" w:rsidR="003510BF" w:rsidRPr="005055D3" w:rsidRDefault="003510BF" w:rsidP="00D35E63">
            <w:pPr>
              <w:pStyle w:val="Tabletext"/>
              <w:jc w:val="center"/>
              <w:rPr>
                <w:rFonts w:eastAsia="Calibri"/>
                <w:b/>
                <w:color w:val="000000"/>
                <w:sz w:val="20"/>
              </w:rPr>
            </w:pPr>
          </w:p>
        </w:tc>
        <w:tc>
          <w:tcPr>
            <w:tcW w:w="1417" w:type="dxa"/>
            <w:shd w:val="clear" w:color="auto" w:fill="auto"/>
          </w:tcPr>
          <w:p w14:paraId="6174DA30" w14:textId="77777777" w:rsidR="003510BF" w:rsidRPr="005055D3" w:rsidRDefault="003510BF" w:rsidP="00D35E63">
            <w:pPr>
              <w:pStyle w:val="Tabletext"/>
              <w:jc w:val="center"/>
              <w:rPr>
                <w:rFonts w:eastAsia="Calibri"/>
                <w:b/>
                <w:color w:val="000000"/>
                <w:sz w:val="20"/>
              </w:rPr>
            </w:pPr>
          </w:p>
        </w:tc>
        <w:tc>
          <w:tcPr>
            <w:tcW w:w="992" w:type="dxa"/>
            <w:shd w:val="clear" w:color="auto" w:fill="auto"/>
          </w:tcPr>
          <w:p w14:paraId="5AE3601E" w14:textId="77777777" w:rsidR="003510BF" w:rsidRPr="005055D3" w:rsidRDefault="003510BF" w:rsidP="00D35E63">
            <w:pPr>
              <w:pStyle w:val="Tabletext"/>
              <w:jc w:val="center"/>
              <w:rPr>
                <w:rFonts w:eastAsia="Calibri"/>
                <w:b/>
                <w:color w:val="000000"/>
                <w:sz w:val="20"/>
              </w:rPr>
            </w:pPr>
          </w:p>
        </w:tc>
        <w:tc>
          <w:tcPr>
            <w:tcW w:w="1467" w:type="dxa"/>
            <w:shd w:val="clear" w:color="auto" w:fill="auto"/>
          </w:tcPr>
          <w:p w14:paraId="5FEB4254" w14:textId="77777777" w:rsidR="003510BF" w:rsidRPr="005055D3" w:rsidRDefault="003510BF" w:rsidP="00D35E63">
            <w:pPr>
              <w:pStyle w:val="Tabletext"/>
              <w:jc w:val="center"/>
              <w:rPr>
                <w:rFonts w:eastAsia="Calibri"/>
                <w:b/>
                <w:color w:val="000000"/>
                <w:sz w:val="20"/>
              </w:rPr>
            </w:pPr>
          </w:p>
        </w:tc>
        <w:tc>
          <w:tcPr>
            <w:tcW w:w="1373" w:type="dxa"/>
            <w:shd w:val="clear" w:color="auto" w:fill="auto"/>
          </w:tcPr>
          <w:p w14:paraId="5F5C6BC7" w14:textId="77777777" w:rsidR="003510BF" w:rsidRPr="005055D3" w:rsidRDefault="003510BF" w:rsidP="00D35E63">
            <w:pPr>
              <w:pStyle w:val="Tabletext"/>
              <w:jc w:val="center"/>
              <w:rPr>
                <w:rFonts w:eastAsia="Calibri"/>
                <w:color w:val="000000"/>
                <w:sz w:val="20"/>
              </w:rPr>
            </w:pPr>
            <w:r w:rsidRPr="005055D3">
              <w:rPr>
                <w:rFonts w:eastAsia="Calibri"/>
                <w:color w:val="000000"/>
                <w:sz w:val="20"/>
              </w:rPr>
              <w:t>Sí</w:t>
            </w:r>
          </w:p>
        </w:tc>
      </w:tr>
    </w:tbl>
    <w:p w14:paraId="4008193F" w14:textId="77777777" w:rsidR="003510BF" w:rsidRPr="00636BBD" w:rsidRDefault="003510BF" w:rsidP="003510BF">
      <w:pPr>
        <w:pStyle w:val="Tablefin"/>
      </w:pPr>
    </w:p>
    <w:p w14:paraId="4FA697B2" w14:textId="77777777" w:rsidR="003510BF" w:rsidRDefault="003510BF">
      <w:pPr>
        <w:jc w:val="center"/>
      </w:pPr>
      <w:r>
        <w:t>______________</w:t>
      </w:r>
    </w:p>
    <w:sectPr w:rsidR="003510BF" w:rsidSect="007565CC">
      <w:headerReference w:type="even" r:id="rId36"/>
      <w:footerReference w:type="default" r:id="rId3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B3BCA" w14:textId="77777777" w:rsidR="003510BF" w:rsidRDefault="003510BF">
      <w:r>
        <w:separator/>
      </w:r>
    </w:p>
  </w:endnote>
  <w:endnote w:type="continuationSeparator" w:id="0">
    <w:p w14:paraId="5113C28F" w14:textId="77777777" w:rsidR="003510BF" w:rsidRDefault="0035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FC31" w14:textId="77777777" w:rsidR="00301DB3" w:rsidRDefault="00301DB3">
    <w:pPr>
      <w:pStyle w:val="Footer"/>
    </w:pPr>
    <w:r>
      <w:drawing>
        <wp:anchor distT="0" distB="0" distL="0" distR="0" simplePos="0" relativeHeight="251656192" behindDoc="0" locked="0" layoutInCell="1" allowOverlap="1" wp14:anchorId="1E23C860" wp14:editId="5DCADEF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491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F539B" w14:textId="77777777" w:rsidR="003510BF" w:rsidRDefault="003510BF">
      <w:r>
        <w:separator/>
      </w:r>
    </w:p>
  </w:footnote>
  <w:footnote w:type="continuationSeparator" w:id="0">
    <w:p w14:paraId="579155E9" w14:textId="77777777" w:rsidR="003510BF" w:rsidRDefault="003510BF">
      <w:r>
        <w:continuationSeparator/>
      </w:r>
    </w:p>
  </w:footnote>
  <w:footnote w:id="1">
    <w:p w14:paraId="7A149E10" w14:textId="64D14C1B" w:rsidR="003510BF" w:rsidRPr="007E0E7C" w:rsidRDefault="003510BF" w:rsidP="003510BF">
      <w:pPr>
        <w:pStyle w:val="FootnoteText"/>
      </w:pPr>
      <w:r w:rsidRPr="007E0E7C">
        <w:rPr>
          <w:rStyle w:val="FootnoteReference"/>
        </w:rPr>
        <w:t>*</w:t>
      </w:r>
      <w:r w:rsidR="004F0C57">
        <w:tab/>
      </w:r>
      <w:r>
        <w:t>Los criterios de interferencia no implican automáticamente criterios de compartición.</w:t>
      </w:r>
    </w:p>
  </w:footnote>
  <w:footnote w:id="2">
    <w:p w14:paraId="0400D16A" w14:textId="7DCA5D7D" w:rsidR="003510BF" w:rsidRPr="00EC4AC0" w:rsidRDefault="003510BF" w:rsidP="003510BF">
      <w:pPr>
        <w:pStyle w:val="FootnoteText"/>
      </w:pPr>
      <w:r>
        <w:rPr>
          <w:rStyle w:val="FootnoteReference"/>
        </w:rPr>
        <w:footnoteRef/>
      </w:r>
      <w:r w:rsidR="008A1426">
        <w:tab/>
      </w:r>
      <w:r w:rsidRPr="00EC4AC0">
        <w:t xml:space="preserve">Los altímetros funcionan </w:t>
      </w:r>
      <w:r>
        <w:t>para</w:t>
      </w:r>
      <w:r w:rsidRPr="00EC4AC0">
        <w:t xml:space="preserve"> cualquier </w:t>
      </w:r>
      <w:r>
        <w:t>parte</w:t>
      </w:r>
      <w:r w:rsidRPr="00EC4AC0">
        <w:t xml:space="preserve"> de la banda de frecuencias 9,2-10,4 GHz con un</w:t>
      </w:r>
      <w:r>
        <w:t xml:space="preserve">a anchura </w:t>
      </w:r>
      <w:r w:rsidRPr="00EC4AC0">
        <w:t>de banda de 300 MHz.</w:t>
      </w:r>
    </w:p>
  </w:footnote>
  <w:footnote w:id="3">
    <w:p w14:paraId="2E6E7DE4" w14:textId="4E6636E1" w:rsidR="003510BF" w:rsidRPr="006B1749" w:rsidRDefault="003510BF" w:rsidP="003510BF">
      <w:pPr>
        <w:pStyle w:val="FootnoteText"/>
      </w:pPr>
      <w:r>
        <w:rPr>
          <w:rStyle w:val="FootnoteReference"/>
        </w:rPr>
        <w:footnoteRef/>
      </w:r>
      <w:r w:rsidR="004F0C57">
        <w:tab/>
      </w:r>
      <w:r w:rsidRPr="006B1749">
        <w:t xml:space="preserve">Excepto para </w:t>
      </w:r>
      <w:r>
        <w:t xml:space="preserve">los </w:t>
      </w:r>
      <w:r w:rsidRPr="006B1749">
        <w:t>altímetros de 35,5-36 GHz.</w:t>
      </w:r>
    </w:p>
  </w:footnote>
  <w:footnote w:id="4">
    <w:p w14:paraId="5FE05803" w14:textId="19FF8F88" w:rsidR="003510BF" w:rsidRPr="006B1749" w:rsidRDefault="003510BF" w:rsidP="003510BF">
      <w:pPr>
        <w:pStyle w:val="FootnoteText"/>
      </w:pPr>
      <w:r>
        <w:rPr>
          <w:rStyle w:val="FootnoteReference"/>
        </w:rPr>
        <w:footnoteRef/>
      </w:r>
      <w:r w:rsidR="004F0C57">
        <w:tab/>
      </w:r>
      <w:r>
        <w:t>Para altímetros de 35,5-36 GHz.</w:t>
      </w:r>
    </w:p>
  </w:footnote>
  <w:footnote w:id="5">
    <w:p w14:paraId="3C9D502B" w14:textId="7E20EFA5" w:rsidR="003510BF" w:rsidRPr="003D676B" w:rsidRDefault="003510BF" w:rsidP="003510BF">
      <w:pPr>
        <w:pStyle w:val="FootnoteText"/>
      </w:pPr>
      <w:r>
        <w:rPr>
          <w:rStyle w:val="FootnoteReference"/>
        </w:rPr>
        <w:footnoteRef/>
      </w:r>
      <w:r w:rsidR="004F0C57">
        <w:tab/>
      </w:r>
      <w:r>
        <w:t>Ello conlleva</w:t>
      </w:r>
      <w:r w:rsidRPr="003D676B">
        <w:t xml:space="preserve"> </w:t>
      </w:r>
      <w:r>
        <w:t>la utilización de un</w:t>
      </w:r>
      <w:r w:rsidRPr="003D676B">
        <w:t xml:space="preserve"> filtro de transmisión de </w:t>
      </w:r>
      <w:r>
        <w:t xml:space="preserve">un </w:t>
      </w:r>
      <w:r w:rsidRPr="003D676B">
        <w:t>RRC con</w:t>
      </w:r>
      <w:r>
        <w:t xml:space="preserve"> </w:t>
      </w:r>
      <w:r w:rsidRPr="003D676B">
        <w:t>.25 alfa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4D00"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6953627F" w14:textId="77777777" w:rsidTr="0019307B">
      <w:tc>
        <w:tcPr>
          <w:tcW w:w="4634" w:type="dxa"/>
          <w:vAlign w:val="center"/>
        </w:tcPr>
        <w:p w14:paraId="11A271C9"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FF3DC33"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4914DA25" w14:textId="77777777" w:rsidTr="0019307B">
      <w:tc>
        <w:tcPr>
          <w:tcW w:w="4634" w:type="dxa"/>
          <w:vAlign w:val="center"/>
        </w:tcPr>
        <w:p w14:paraId="3EF69766"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151B0829"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4001A1B2"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846A3A4" wp14:editId="2900B02F">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1A73BA3E" wp14:editId="64BC94B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5F2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9A504DB"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31A23987" wp14:editId="3785ABFD">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F743A"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36A8" w14:textId="54D4BC8C" w:rsidR="001B164E" w:rsidRPr="00217A11" w:rsidRDefault="00217A11" w:rsidP="00217A11">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217A11">
      <w:rPr>
        <w:rStyle w:val="PageNumber"/>
        <w:b/>
        <w:bCs/>
        <w:lang w:val="en-GB"/>
      </w:rPr>
      <w:t>ii</w:t>
    </w:r>
    <w:r>
      <w:rPr>
        <w:rStyle w:val="PageNumber"/>
        <w:b/>
        <w:bCs/>
      </w:rPr>
      <w:fldChar w:fldCharType="end"/>
    </w:r>
    <w:r>
      <w:rPr>
        <w:lang w:val="en-US"/>
      </w:rPr>
      <w:tab/>
    </w:r>
    <w:r>
      <w:rPr>
        <w:b/>
        <w:bCs/>
      </w:rPr>
      <w:fldChar w:fldCharType="begin"/>
    </w:r>
    <w:r w:rsidRPr="00217A11">
      <w:rPr>
        <w:b/>
        <w:bCs/>
        <w:lang w:val="en-GB"/>
      </w:rPr>
      <w:instrText xml:space="preserve"> DOCPROPERTY "Header" \* MERGEFORMAT </w:instrText>
    </w:r>
    <w:r>
      <w:rPr>
        <w:b/>
        <w:bCs/>
      </w:rPr>
      <w:fldChar w:fldCharType="separate"/>
    </w:r>
    <w:r w:rsidR="005F69AF">
      <w:rPr>
        <w:b/>
        <w:bCs/>
        <w:lang w:val="en-GB"/>
      </w:rPr>
      <w:t xml:space="preserve">Rec. </w:t>
    </w:r>
    <w:r>
      <w:rPr>
        <w:b/>
        <w:bCs/>
      </w:rPr>
      <w:fldChar w:fldCharType="end"/>
    </w:r>
    <w:r w:rsidRPr="00217A11">
      <w:rPr>
        <w:b/>
        <w:bCs/>
        <w:lang w:val="en-GB"/>
      </w:rPr>
      <w:t xml:space="preserve"> </w:t>
    </w:r>
    <w:r>
      <w:rPr>
        <w:b/>
        <w:bCs/>
      </w:rPr>
      <w:fldChar w:fldCharType="begin"/>
    </w:r>
    <w:r w:rsidRPr="00217A11">
      <w:rPr>
        <w:b/>
        <w:bCs/>
        <w:lang w:val="en-GB"/>
      </w:rPr>
      <w:instrText>styleref href</w:instrText>
    </w:r>
    <w:r>
      <w:rPr>
        <w:b/>
        <w:bCs/>
      </w:rPr>
      <w:fldChar w:fldCharType="separate"/>
    </w:r>
    <w:r w:rsidR="005F69AF">
      <w:rPr>
        <w:b/>
        <w:bCs/>
        <w:noProof/>
        <w:lang w:val="en-GB"/>
      </w:rPr>
      <w:t>UIT-R</w:t>
    </w:r>
    <w:r>
      <w:rPr>
        <w:b/>
        <w:bCs/>
      </w:rPr>
      <w:fldChar w:fldCharType="end"/>
    </w:r>
    <w:r w:rsidRPr="00217A11">
      <w:rPr>
        <w:b/>
        <w:bCs/>
        <w:noProof/>
        <w:lang w:val="en-GB"/>
      </w:rPr>
      <w:t xml:space="preserve"> RS.1166-5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927F" w14:textId="36BF9B80"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5F69AF">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5F69AF">
      <w:rPr>
        <w:b/>
        <w:bCs/>
        <w:noProof/>
      </w:rPr>
      <w:t>UIT-R  RS.1166-5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9E26" w14:textId="1D8AABEC" w:rsidR="00260B1A" w:rsidRPr="00217A11" w:rsidRDefault="00260B1A" w:rsidP="00217A11">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217A11">
      <w:rPr>
        <w:rStyle w:val="PageNumber"/>
        <w:b/>
        <w:bCs/>
        <w:lang w:val="en-GB"/>
      </w:rPr>
      <w:t>ii</w:t>
    </w:r>
    <w:r>
      <w:rPr>
        <w:rStyle w:val="PageNumber"/>
        <w:b/>
        <w:bCs/>
      </w:rPr>
      <w:fldChar w:fldCharType="end"/>
    </w:r>
    <w:r>
      <w:rPr>
        <w:lang w:val="en-US"/>
      </w:rPr>
      <w:tab/>
    </w:r>
    <w:r>
      <w:rPr>
        <w:b/>
        <w:bCs/>
      </w:rPr>
      <w:fldChar w:fldCharType="begin"/>
    </w:r>
    <w:r w:rsidRPr="00217A11">
      <w:rPr>
        <w:b/>
        <w:bCs/>
        <w:lang w:val="en-GB"/>
      </w:rPr>
      <w:instrText xml:space="preserve"> DOCPROPERTY "Header" \* MERGEFORMAT </w:instrText>
    </w:r>
    <w:r>
      <w:rPr>
        <w:b/>
        <w:bCs/>
      </w:rPr>
      <w:fldChar w:fldCharType="separate"/>
    </w:r>
    <w:r w:rsidR="005F69AF">
      <w:rPr>
        <w:b/>
        <w:bCs/>
        <w:lang w:val="en-GB"/>
      </w:rPr>
      <w:t xml:space="preserve">Rec. </w:t>
    </w:r>
    <w:r>
      <w:rPr>
        <w:b/>
        <w:bCs/>
      </w:rPr>
      <w:fldChar w:fldCharType="end"/>
    </w:r>
    <w:r w:rsidRPr="00217A11">
      <w:rPr>
        <w:b/>
        <w:bCs/>
        <w:lang w:val="en-GB"/>
      </w:rPr>
      <w:t xml:space="preserve"> </w:t>
    </w:r>
    <w:r>
      <w:rPr>
        <w:b/>
        <w:bCs/>
      </w:rPr>
      <w:fldChar w:fldCharType="begin"/>
    </w:r>
    <w:r w:rsidRPr="00217A11">
      <w:rPr>
        <w:b/>
        <w:bCs/>
        <w:lang w:val="en-GB"/>
      </w:rPr>
      <w:instrText>styleref href</w:instrText>
    </w:r>
    <w:r>
      <w:rPr>
        <w:b/>
        <w:bCs/>
      </w:rPr>
      <w:fldChar w:fldCharType="separate"/>
    </w:r>
    <w:r w:rsidR="005F69AF">
      <w:rPr>
        <w:b/>
        <w:bCs/>
        <w:noProof/>
        <w:lang w:val="en-GB"/>
      </w:rPr>
      <w:t>UIT-R  RS.1166-5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7">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F"/>
    <w:rsid w:val="00006458"/>
    <w:rsid w:val="00013002"/>
    <w:rsid w:val="0001691A"/>
    <w:rsid w:val="00023A3E"/>
    <w:rsid w:val="000246E0"/>
    <w:rsid w:val="00036EE3"/>
    <w:rsid w:val="00063C6D"/>
    <w:rsid w:val="00072484"/>
    <w:rsid w:val="00076864"/>
    <w:rsid w:val="0008639F"/>
    <w:rsid w:val="00087C4B"/>
    <w:rsid w:val="00095530"/>
    <w:rsid w:val="00096612"/>
    <w:rsid w:val="000A0610"/>
    <w:rsid w:val="000A4A32"/>
    <w:rsid w:val="000B1B2B"/>
    <w:rsid w:val="000B7683"/>
    <w:rsid w:val="000D0677"/>
    <w:rsid w:val="000D6593"/>
    <w:rsid w:val="000E0548"/>
    <w:rsid w:val="000E53D7"/>
    <w:rsid w:val="000E6A6E"/>
    <w:rsid w:val="000F1C45"/>
    <w:rsid w:val="00102934"/>
    <w:rsid w:val="00120C75"/>
    <w:rsid w:val="00136C44"/>
    <w:rsid w:val="00147110"/>
    <w:rsid w:val="001511A6"/>
    <w:rsid w:val="001646CE"/>
    <w:rsid w:val="00171C4D"/>
    <w:rsid w:val="0017562F"/>
    <w:rsid w:val="00185AF1"/>
    <w:rsid w:val="0019307B"/>
    <w:rsid w:val="001B0927"/>
    <w:rsid w:val="001B164E"/>
    <w:rsid w:val="001B7886"/>
    <w:rsid w:val="001F38BB"/>
    <w:rsid w:val="001F6CEC"/>
    <w:rsid w:val="002058CE"/>
    <w:rsid w:val="002165F1"/>
    <w:rsid w:val="00217A11"/>
    <w:rsid w:val="00233211"/>
    <w:rsid w:val="00234055"/>
    <w:rsid w:val="002433B5"/>
    <w:rsid w:val="00244BC0"/>
    <w:rsid w:val="00247071"/>
    <w:rsid w:val="00260B1A"/>
    <w:rsid w:val="00260B24"/>
    <w:rsid w:val="0027411A"/>
    <w:rsid w:val="00276D21"/>
    <w:rsid w:val="00282DCF"/>
    <w:rsid w:val="00296D7F"/>
    <w:rsid w:val="002A5D45"/>
    <w:rsid w:val="002B3CF6"/>
    <w:rsid w:val="002B3E59"/>
    <w:rsid w:val="002C768A"/>
    <w:rsid w:val="002D0BD7"/>
    <w:rsid w:val="002D2457"/>
    <w:rsid w:val="002D5379"/>
    <w:rsid w:val="002D76C4"/>
    <w:rsid w:val="002F5199"/>
    <w:rsid w:val="00301DB3"/>
    <w:rsid w:val="00305119"/>
    <w:rsid w:val="00305B68"/>
    <w:rsid w:val="003075C2"/>
    <w:rsid w:val="003157F1"/>
    <w:rsid w:val="00321368"/>
    <w:rsid w:val="00330394"/>
    <w:rsid w:val="003314AF"/>
    <w:rsid w:val="00331E9C"/>
    <w:rsid w:val="00346EC2"/>
    <w:rsid w:val="003510BF"/>
    <w:rsid w:val="00356B5D"/>
    <w:rsid w:val="00357707"/>
    <w:rsid w:val="0036627C"/>
    <w:rsid w:val="00382E97"/>
    <w:rsid w:val="003A0D12"/>
    <w:rsid w:val="003E4034"/>
    <w:rsid w:val="003E54B3"/>
    <w:rsid w:val="003E5516"/>
    <w:rsid w:val="003F4B75"/>
    <w:rsid w:val="00410651"/>
    <w:rsid w:val="00420DFD"/>
    <w:rsid w:val="00424650"/>
    <w:rsid w:val="00425BC7"/>
    <w:rsid w:val="004275E2"/>
    <w:rsid w:val="00437A76"/>
    <w:rsid w:val="004400D0"/>
    <w:rsid w:val="00443E1F"/>
    <w:rsid w:val="004604B2"/>
    <w:rsid w:val="00470E28"/>
    <w:rsid w:val="0047379B"/>
    <w:rsid w:val="00474170"/>
    <w:rsid w:val="00477729"/>
    <w:rsid w:val="004842E2"/>
    <w:rsid w:val="00486EB3"/>
    <w:rsid w:val="004934C5"/>
    <w:rsid w:val="004A6FEB"/>
    <w:rsid w:val="004B4D6F"/>
    <w:rsid w:val="004D5791"/>
    <w:rsid w:val="004E61FF"/>
    <w:rsid w:val="004F0C57"/>
    <w:rsid w:val="005105EB"/>
    <w:rsid w:val="0051697B"/>
    <w:rsid w:val="005373E0"/>
    <w:rsid w:val="00547A47"/>
    <w:rsid w:val="00556548"/>
    <w:rsid w:val="00571B1C"/>
    <w:rsid w:val="00576D47"/>
    <w:rsid w:val="00586EF8"/>
    <w:rsid w:val="005B0371"/>
    <w:rsid w:val="005B2780"/>
    <w:rsid w:val="005B49AB"/>
    <w:rsid w:val="005B50E7"/>
    <w:rsid w:val="005C4BAB"/>
    <w:rsid w:val="005D433F"/>
    <w:rsid w:val="005E12A5"/>
    <w:rsid w:val="005E12A8"/>
    <w:rsid w:val="005E69F0"/>
    <w:rsid w:val="005E7B4F"/>
    <w:rsid w:val="005F003B"/>
    <w:rsid w:val="005F2E73"/>
    <w:rsid w:val="005F69AF"/>
    <w:rsid w:val="00601882"/>
    <w:rsid w:val="00607D68"/>
    <w:rsid w:val="00613212"/>
    <w:rsid w:val="006149B1"/>
    <w:rsid w:val="00640332"/>
    <w:rsid w:val="00641FFD"/>
    <w:rsid w:val="00680D2B"/>
    <w:rsid w:val="00681B32"/>
    <w:rsid w:val="0069322D"/>
    <w:rsid w:val="00697887"/>
    <w:rsid w:val="006A1938"/>
    <w:rsid w:val="006B1D2B"/>
    <w:rsid w:val="006B1E05"/>
    <w:rsid w:val="006C37D5"/>
    <w:rsid w:val="006D5DD3"/>
    <w:rsid w:val="006E1131"/>
    <w:rsid w:val="006E2037"/>
    <w:rsid w:val="006E6199"/>
    <w:rsid w:val="00712870"/>
    <w:rsid w:val="00714AC0"/>
    <w:rsid w:val="0074147D"/>
    <w:rsid w:val="00743D85"/>
    <w:rsid w:val="00744F8B"/>
    <w:rsid w:val="00747D6E"/>
    <w:rsid w:val="00753CF4"/>
    <w:rsid w:val="007565CC"/>
    <w:rsid w:val="007624B1"/>
    <w:rsid w:val="00763B9A"/>
    <w:rsid w:val="007A6AA8"/>
    <w:rsid w:val="007B1357"/>
    <w:rsid w:val="007B3343"/>
    <w:rsid w:val="007B6A12"/>
    <w:rsid w:val="007B7570"/>
    <w:rsid w:val="007C0251"/>
    <w:rsid w:val="008310C9"/>
    <w:rsid w:val="008335F0"/>
    <w:rsid w:val="00834306"/>
    <w:rsid w:val="00835D70"/>
    <w:rsid w:val="00841D9A"/>
    <w:rsid w:val="00853CC5"/>
    <w:rsid w:val="00862E48"/>
    <w:rsid w:val="00874D4D"/>
    <w:rsid w:val="00877E6E"/>
    <w:rsid w:val="008A1426"/>
    <w:rsid w:val="008A19A5"/>
    <w:rsid w:val="008B083A"/>
    <w:rsid w:val="008B56B2"/>
    <w:rsid w:val="008C7848"/>
    <w:rsid w:val="008D7920"/>
    <w:rsid w:val="008E39D4"/>
    <w:rsid w:val="00906589"/>
    <w:rsid w:val="00906AD6"/>
    <w:rsid w:val="00917AF2"/>
    <w:rsid w:val="00923BC2"/>
    <w:rsid w:val="0092418A"/>
    <w:rsid w:val="00934ED7"/>
    <w:rsid w:val="00940D16"/>
    <w:rsid w:val="009543C3"/>
    <w:rsid w:val="00966E1B"/>
    <w:rsid w:val="00972F51"/>
    <w:rsid w:val="00984A02"/>
    <w:rsid w:val="009947C0"/>
    <w:rsid w:val="00996C7E"/>
    <w:rsid w:val="009A4039"/>
    <w:rsid w:val="009A41F9"/>
    <w:rsid w:val="009C6F20"/>
    <w:rsid w:val="009D4BBD"/>
    <w:rsid w:val="009F2D2C"/>
    <w:rsid w:val="009F2D88"/>
    <w:rsid w:val="009F5580"/>
    <w:rsid w:val="00A0256E"/>
    <w:rsid w:val="00A03C0E"/>
    <w:rsid w:val="00A16BE1"/>
    <w:rsid w:val="00A239D1"/>
    <w:rsid w:val="00A25EE2"/>
    <w:rsid w:val="00A31928"/>
    <w:rsid w:val="00A338B7"/>
    <w:rsid w:val="00A35B27"/>
    <w:rsid w:val="00A507D4"/>
    <w:rsid w:val="00A5147A"/>
    <w:rsid w:val="00A62A14"/>
    <w:rsid w:val="00A65C18"/>
    <w:rsid w:val="00A6617B"/>
    <w:rsid w:val="00A66889"/>
    <w:rsid w:val="00A71FE5"/>
    <w:rsid w:val="00A7534B"/>
    <w:rsid w:val="00A76007"/>
    <w:rsid w:val="00A86DD2"/>
    <w:rsid w:val="00A936CB"/>
    <w:rsid w:val="00A94E9E"/>
    <w:rsid w:val="00A971A1"/>
    <w:rsid w:val="00AA3AD8"/>
    <w:rsid w:val="00AA7FB6"/>
    <w:rsid w:val="00AB0DC8"/>
    <w:rsid w:val="00AB1D39"/>
    <w:rsid w:val="00AB405C"/>
    <w:rsid w:val="00AC015D"/>
    <w:rsid w:val="00AD2E0C"/>
    <w:rsid w:val="00AE1331"/>
    <w:rsid w:val="00AE2365"/>
    <w:rsid w:val="00AE698D"/>
    <w:rsid w:val="00AF0286"/>
    <w:rsid w:val="00AF5326"/>
    <w:rsid w:val="00B019A2"/>
    <w:rsid w:val="00B0286E"/>
    <w:rsid w:val="00B033C8"/>
    <w:rsid w:val="00B111CE"/>
    <w:rsid w:val="00B33425"/>
    <w:rsid w:val="00B42334"/>
    <w:rsid w:val="00B44E24"/>
    <w:rsid w:val="00B54ECC"/>
    <w:rsid w:val="00B60AC0"/>
    <w:rsid w:val="00B714F3"/>
    <w:rsid w:val="00B75A52"/>
    <w:rsid w:val="00B874C6"/>
    <w:rsid w:val="00B87B6B"/>
    <w:rsid w:val="00B9169E"/>
    <w:rsid w:val="00B94E50"/>
    <w:rsid w:val="00B96572"/>
    <w:rsid w:val="00BA487F"/>
    <w:rsid w:val="00BB7886"/>
    <w:rsid w:val="00BC5D77"/>
    <w:rsid w:val="00BD09C3"/>
    <w:rsid w:val="00BD4283"/>
    <w:rsid w:val="00BF487A"/>
    <w:rsid w:val="00BF5544"/>
    <w:rsid w:val="00C10219"/>
    <w:rsid w:val="00C11B8E"/>
    <w:rsid w:val="00C15F3E"/>
    <w:rsid w:val="00C42A56"/>
    <w:rsid w:val="00C46BD9"/>
    <w:rsid w:val="00C513CD"/>
    <w:rsid w:val="00C55258"/>
    <w:rsid w:val="00C64844"/>
    <w:rsid w:val="00C73560"/>
    <w:rsid w:val="00C7588C"/>
    <w:rsid w:val="00C84DB7"/>
    <w:rsid w:val="00C87A35"/>
    <w:rsid w:val="00CB0F14"/>
    <w:rsid w:val="00CD659B"/>
    <w:rsid w:val="00CE0A43"/>
    <w:rsid w:val="00CE7665"/>
    <w:rsid w:val="00CF130D"/>
    <w:rsid w:val="00CF7516"/>
    <w:rsid w:val="00D00118"/>
    <w:rsid w:val="00D0483A"/>
    <w:rsid w:val="00D16749"/>
    <w:rsid w:val="00D5024B"/>
    <w:rsid w:val="00D61962"/>
    <w:rsid w:val="00D6632A"/>
    <w:rsid w:val="00D7105B"/>
    <w:rsid w:val="00D72623"/>
    <w:rsid w:val="00D7652F"/>
    <w:rsid w:val="00D83556"/>
    <w:rsid w:val="00DD1DE0"/>
    <w:rsid w:val="00DE3C8C"/>
    <w:rsid w:val="00DE5556"/>
    <w:rsid w:val="00DF4176"/>
    <w:rsid w:val="00DF43AF"/>
    <w:rsid w:val="00E0095C"/>
    <w:rsid w:val="00E043FD"/>
    <w:rsid w:val="00E11977"/>
    <w:rsid w:val="00E17240"/>
    <w:rsid w:val="00E57010"/>
    <w:rsid w:val="00E74595"/>
    <w:rsid w:val="00E77485"/>
    <w:rsid w:val="00EB1CB6"/>
    <w:rsid w:val="00EB7C57"/>
    <w:rsid w:val="00ED2695"/>
    <w:rsid w:val="00ED3CA8"/>
    <w:rsid w:val="00ED7763"/>
    <w:rsid w:val="00EE04BA"/>
    <w:rsid w:val="00EE47C4"/>
    <w:rsid w:val="00EF2D52"/>
    <w:rsid w:val="00F024FF"/>
    <w:rsid w:val="00F111D6"/>
    <w:rsid w:val="00F17CED"/>
    <w:rsid w:val="00F22483"/>
    <w:rsid w:val="00F30277"/>
    <w:rsid w:val="00F30C9B"/>
    <w:rsid w:val="00F354B1"/>
    <w:rsid w:val="00F354D7"/>
    <w:rsid w:val="00F605D3"/>
    <w:rsid w:val="00F6343F"/>
    <w:rsid w:val="00F72776"/>
    <w:rsid w:val="00F77360"/>
    <w:rsid w:val="00F91497"/>
    <w:rsid w:val="00F92A40"/>
    <w:rsid w:val="00FA3309"/>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d62a47,#f8f8f8"/>
    </o:shapedefaults>
    <o:shapelayout v:ext="edit">
      <o:idmap v:ext="edit" data="2"/>
    </o:shapelayout>
  </w:shapeDefaults>
  <w:decimalSymbol w:val=","/>
  <w:listSeparator w:val=";"/>
  <w14:docId w14:val="515861FA"/>
  <w15:docId w15:val="{2B69CC84-306C-4CCD-BF75-3C54622F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FB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E043FD"/>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D7105B"/>
    <w:pPr>
      <w:spacing w:before="240"/>
    </w:pPr>
    <w:rPr>
      <w:sz w:val="22"/>
      <w:szCs w:val="22"/>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 + 12 pt,Bol..."/>
    <w:basedOn w:val="DefaultParagraphFont"/>
    <w:qFormat/>
    <w:rsid w:val="00A936CB"/>
    <w:rPr>
      <w:position w:val="6"/>
      <w:sz w:val="18"/>
    </w:rPr>
  </w:style>
  <w:style w:type="paragraph" w:styleId="FootnoteText">
    <w:name w:val="footnote text"/>
    <w:aliases w:val="footnote text,ALTS FOOTNOTE,Footnote Text Char1,Footnote Text Char Char1,Footnote Text Char4 Char Char,Footnote Text Char1 Char1 Char1 Cha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0"/>
    <w:rsid w:val="00A936CB"/>
    <w:pPr>
      <w:keepNext/>
      <w:spacing w:before="0" w:after="120"/>
      <w:jc w:val="center"/>
    </w:pPr>
    <w:rPr>
      <w:b/>
    </w:rPr>
  </w:style>
  <w:style w:type="paragraph" w:customStyle="1" w:styleId="Summary">
    <w:name w:val="Summary"/>
    <w:basedOn w:val="Normal"/>
    <w:next w:val="Normalaftertitle"/>
    <w:autoRedefine/>
    <w:rsid w:val="00D7105B"/>
    <w:pPr>
      <w:spacing w:after="480"/>
    </w:pPr>
    <w:rPr>
      <w:sz w:val="22"/>
      <w:szCs w:val="22"/>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bChar">
    <w:name w:val="Heading_b Char"/>
    <w:link w:val="Headingb"/>
    <w:locked/>
    <w:rsid w:val="003510BF"/>
    <w:rPr>
      <w:b/>
      <w:sz w:val="24"/>
      <w:lang w:val="es-ES" w:eastAsia="en-US"/>
    </w:rPr>
  </w:style>
  <w:style w:type="character" w:customStyle="1" w:styleId="enumlev1Char">
    <w:name w:val="enumlev1 Char"/>
    <w:link w:val="enumlev1"/>
    <w:rsid w:val="003510BF"/>
    <w:rPr>
      <w:sz w:val="24"/>
      <w:lang w:val="es-ES" w:eastAsia="en-US"/>
    </w:rPr>
  </w:style>
  <w:style w:type="character" w:customStyle="1" w:styleId="FiguretitleChar">
    <w:name w:val="Figure_title Char"/>
    <w:link w:val="Figuretitle"/>
    <w:rsid w:val="003510BF"/>
    <w:rPr>
      <w:rFonts w:ascii="Times New Roman Bold" w:hAnsi="Times New Roman Bold"/>
      <w:b/>
      <w:sz w:val="18"/>
      <w:lang w:val="es-ES" w:eastAsia="en-US"/>
    </w:rPr>
  </w:style>
  <w:style w:type="character" w:customStyle="1" w:styleId="FigureNoChar">
    <w:name w:val="Figure_No Char"/>
    <w:link w:val="FigureNo"/>
    <w:locked/>
    <w:rsid w:val="003510BF"/>
    <w:rPr>
      <w:caps/>
      <w:sz w:val="18"/>
      <w:lang w:val="es-ES" w:eastAsia="en-US"/>
    </w:rPr>
  </w:style>
  <w:style w:type="character" w:customStyle="1" w:styleId="NormalaftertitleChar">
    <w:name w:val="Normal_after_title Char"/>
    <w:link w:val="Normalaftertitle"/>
    <w:locked/>
    <w:rsid w:val="003510BF"/>
    <w:rPr>
      <w:sz w:val="24"/>
      <w:lang w:val="es-ES" w:eastAsia="en-US"/>
    </w:rPr>
  </w:style>
  <w:style w:type="character" w:customStyle="1" w:styleId="EquationlegendChar">
    <w:name w:val="Equation_legend Char"/>
    <w:link w:val="Equationlegend"/>
    <w:locked/>
    <w:rsid w:val="003510BF"/>
    <w:rPr>
      <w:sz w:val="24"/>
      <w:lang w:eastAsia="en-US"/>
    </w:rPr>
  </w:style>
  <w:style w:type="paragraph" w:styleId="NormalWeb">
    <w:name w:val="Normal (Web)"/>
    <w:basedOn w:val="Normal"/>
    <w:uiPriority w:val="99"/>
    <w:unhideWhenUsed/>
    <w:rsid w:val="003510B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GB"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Footnote Text Char"/>
    <w:link w:val="FootnoteText"/>
    <w:rsid w:val="003510BF"/>
    <w:rPr>
      <w:sz w:val="22"/>
      <w:lang w:val="es-ES" w:eastAsia="en-US"/>
    </w:rPr>
  </w:style>
  <w:style w:type="character" w:customStyle="1" w:styleId="TabletextChar">
    <w:name w:val="Table_text Char"/>
    <w:link w:val="Tabletext"/>
    <w:locked/>
    <w:rsid w:val="003510BF"/>
    <w:rPr>
      <w:sz w:val="22"/>
      <w:lang w:val="es-ES" w:eastAsia="en-US"/>
    </w:rPr>
  </w:style>
  <w:style w:type="character" w:customStyle="1" w:styleId="Tabletitle0">
    <w:name w:val="Table_title Знак"/>
    <w:link w:val="Tabletitle"/>
    <w:locked/>
    <w:rsid w:val="003510BF"/>
    <w:rPr>
      <w:b/>
      <w:sz w:val="24"/>
      <w:lang w:val="es-ES" w:eastAsia="en-US"/>
    </w:rPr>
  </w:style>
  <w:style w:type="character" w:customStyle="1" w:styleId="TableheadChar">
    <w:name w:val="Table_head Char"/>
    <w:link w:val="Tablehead"/>
    <w:locked/>
    <w:rsid w:val="003510BF"/>
    <w:rPr>
      <w:b/>
      <w:sz w:val="22"/>
      <w:lang w:val="es-ES" w:eastAsia="en-US"/>
    </w:rPr>
  </w:style>
  <w:style w:type="character" w:customStyle="1" w:styleId="TableNo0">
    <w:name w:val="Table_No Знак"/>
    <w:link w:val="TableNo"/>
    <w:locked/>
    <w:rsid w:val="003510BF"/>
    <w:rPr>
      <w:sz w:val="24"/>
      <w:lang w:val="es-ES" w:eastAsia="en-US"/>
    </w:rPr>
  </w:style>
  <w:style w:type="paragraph" w:customStyle="1" w:styleId="Reasons">
    <w:name w:val="Reasons"/>
    <w:basedOn w:val="Normal"/>
    <w:qFormat/>
    <w:rsid w:val="003510BF"/>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oleObject" Target="embeddings/oleObject3.bin"/><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image" Target="media/image5.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image" Target="media/image16.png"/><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Local\Temp\2978c979-fc60-4927-8106-2ea446267254_Recomendaciones%20Nueva%20carpeta%20comprimida%20(en%20zip).zip.254\2023-ITU-R_REC_RS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C746E-7119-4B0A-B250-0ADE4ED9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2023-ITU-R_REC_RS_S.dotx</Template>
  <TotalTime>607</TotalTime>
  <Pages>27</Pages>
  <Words>11136</Words>
  <Characters>58517</Characters>
  <Application>Microsoft Office Word</Application>
  <DocSecurity>0</DocSecurity>
  <Lines>487</Lines>
  <Paragraphs>139</Paragraphs>
  <ScaleCrop>false</ScaleCrop>
  <HeadingPairs>
    <vt:vector size="2" baseType="variant">
      <vt:variant>
        <vt:lpstr>Title</vt:lpstr>
      </vt:variant>
      <vt:variant>
        <vt:i4>1</vt:i4>
      </vt:variant>
    </vt:vector>
  </HeadingPairs>
  <TitlesOfParts>
    <vt:vector size="1" baseType="lpstr">
      <vt:lpstr>RECOMENDACIÓN  UIT-R  RS.1166-5 (12/2023) – Criterios de calidad de funcionamiento y de interferencia para sensores activos a bordo de vehículos espaciales</vt:lpstr>
    </vt:vector>
  </TitlesOfParts>
  <Manager/>
  <Company>ITU</Company>
  <LinksUpToDate>false</LinksUpToDate>
  <CharactersWithSpaces>69514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RS.1166-5 (12/2023) – Criterios de calidad de funcionamiento y de interferencia para sensores activos a bordo de vehículos espaciales</dc:title>
  <dc:subject/>
  <dc:creator>Spanish</dc:creator>
  <cp:keywords/>
  <dc:description>2023-03-17 Version 1</dc:description>
  <cp:lastModifiedBy>Saez Grau, Ricardo</cp:lastModifiedBy>
  <cp:revision>58</cp:revision>
  <cp:lastPrinted>2024-11-19T13:09:00Z</cp:lastPrinted>
  <dcterms:created xsi:type="dcterms:W3CDTF">2024-11-04T13:02:00Z</dcterms:created>
  <dcterms:modified xsi:type="dcterms:W3CDTF">2024-11-19T13:09:00Z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