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7F06B" w14:textId="77777777" w:rsidR="00FE79FE" w:rsidRPr="00D015E1" w:rsidRDefault="00FE79FE"/>
    <w:p w14:paraId="5E1F0838" w14:textId="77777777" w:rsidR="00013002" w:rsidRPr="00D015E1" w:rsidRDefault="00013002" w:rsidP="00DE5556">
      <w:pPr>
        <w:tabs>
          <w:tab w:val="clear" w:pos="794"/>
          <w:tab w:val="clear" w:pos="1191"/>
          <w:tab w:val="clear" w:pos="1588"/>
          <w:tab w:val="clear" w:pos="1985"/>
        </w:tabs>
      </w:pPr>
    </w:p>
    <w:p w14:paraId="678B33E4" w14:textId="7C335B5D" w:rsidR="00D5024B" w:rsidRPr="00D015E1" w:rsidRDefault="00D5024B" w:rsidP="00D5024B">
      <w:pPr>
        <w:pStyle w:val="CoverNumber"/>
        <w:rPr>
          <w:lang w:val="es-ES"/>
        </w:rPr>
      </w:pPr>
      <w:r w:rsidRPr="00D015E1">
        <w:rPr>
          <w:lang w:val="es-ES"/>
        </w:rPr>
        <w:t>Recom</w:t>
      </w:r>
      <w:r w:rsidR="0069322D" w:rsidRPr="00D015E1">
        <w:rPr>
          <w:lang w:val="es-ES"/>
        </w:rPr>
        <w:t>e</w:t>
      </w:r>
      <w:r w:rsidRPr="00D015E1">
        <w:rPr>
          <w:lang w:val="es-ES"/>
        </w:rPr>
        <w:t>nda</w:t>
      </w:r>
      <w:r w:rsidR="0069322D" w:rsidRPr="00D015E1">
        <w:rPr>
          <w:lang w:val="es-ES"/>
        </w:rPr>
        <w:t>c</w:t>
      </w:r>
      <w:r w:rsidRPr="00D015E1">
        <w:rPr>
          <w:lang w:val="es-ES"/>
        </w:rPr>
        <w:t>i</w:t>
      </w:r>
      <w:r w:rsidR="0069322D" w:rsidRPr="00D015E1">
        <w:rPr>
          <w:lang w:val="es-ES"/>
        </w:rPr>
        <w:t>ó</w:t>
      </w:r>
      <w:r w:rsidRPr="00D015E1">
        <w:rPr>
          <w:lang w:val="es-ES"/>
        </w:rPr>
        <w:t xml:space="preserve">n </w:t>
      </w:r>
      <w:r w:rsidR="007624B1" w:rsidRPr="00D015E1">
        <w:rPr>
          <w:lang w:val="es-ES"/>
        </w:rPr>
        <w:t>U</w:t>
      </w:r>
      <w:r w:rsidRPr="00D015E1">
        <w:rPr>
          <w:lang w:val="es-ES"/>
        </w:rPr>
        <w:t xml:space="preserve">IT-R </w:t>
      </w:r>
      <w:r w:rsidR="007E5668" w:rsidRPr="00D015E1">
        <w:rPr>
          <w:lang w:val="es-ES"/>
        </w:rPr>
        <w:t>R</w:t>
      </w:r>
      <w:r w:rsidR="009F2D88" w:rsidRPr="00D015E1">
        <w:rPr>
          <w:lang w:val="es-ES"/>
        </w:rPr>
        <w:t>A</w:t>
      </w:r>
      <w:r w:rsidRPr="00D015E1">
        <w:rPr>
          <w:lang w:val="es-ES"/>
        </w:rPr>
        <w:t>.</w:t>
      </w:r>
      <w:r w:rsidR="00ED4024" w:rsidRPr="00D015E1">
        <w:rPr>
          <w:lang w:val="es-ES"/>
        </w:rPr>
        <w:t>2178-0</w:t>
      </w:r>
    </w:p>
    <w:p w14:paraId="6252B314" w14:textId="2B11F59E" w:rsidR="00D5024B" w:rsidRPr="00D015E1" w:rsidRDefault="00D5024B" w:rsidP="00D5024B">
      <w:pPr>
        <w:pStyle w:val="CoverDate"/>
        <w:rPr>
          <w:lang w:val="es-ES"/>
        </w:rPr>
      </w:pPr>
      <w:r w:rsidRPr="00D015E1">
        <w:rPr>
          <w:lang w:val="es-ES"/>
        </w:rPr>
        <w:t>(</w:t>
      </w:r>
      <w:r w:rsidR="00ED4024" w:rsidRPr="00D015E1">
        <w:rPr>
          <w:lang w:val="es-ES"/>
        </w:rPr>
        <w:t>06</w:t>
      </w:r>
      <w:r w:rsidRPr="00D015E1">
        <w:rPr>
          <w:lang w:val="es-ES"/>
        </w:rPr>
        <w:t>/</w:t>
      </w:r>
      <w:r w:rsidR="00ED4024" w:rsidRPr="00D015E1">
        <w:rPr>
          <w:lang w:val="es-ES"/>
        </w:rPr>
        <w:t>2026</w:t>
      </w:r>
      <w:r w:rsidRPr="00D015E1">
        <w:rPr>
          <w:lang w:val="es-ES"/>
        </w:rPr>
        <w:t>)</w:t>
      </w:r>
    </w:p>
    <w:p w14:paraId="19ACECC5" w14:textId="77777777" w:rsidR="00D5024B" w:rsidRPr="00D015E1" w:rsidRDefault="00A25EE2" w:rsidP="00D5024B">
      <w:pPr>
        <w:pStyle w:val="CoverSeries"/>
        <w:rPr>
          <w:lang w:val="es-ES"/>
        </w:rPr>
      </w:pPr>
      <w:r w:rsidRPr="00D015E1">
        <w:rPr>
          <w:lang w:val="es-ES"/>
        </w:rPr>
        <w:t>S</w:t>
      </w:r>
      <w:r w:rsidR="0069322D" w:rsidRPr="00D015E1">
        <w:rPr>
          <w:lang w:val="es-ES"/>
        </w:rPr>
        <w:t>e</w:t>
      </w:r>
      <w:r w:rsidRPr="00D015E1">
        <w:rPr>
          <w:lang w:val="es-ES"/>
        </w:rPr>
        <w:t xml:space="preserve">rie </w:t>
      </w:r>
      <w:r w:rsidR="007E5668" w:rsidRPr="00D015E1">
        <w:rPr>
          <w:lang w:val="es-ES"/>
        </w:rPr>
        <w:t>R</w:t>
      </w:r>
      <w:r w:rsidR="008B56B2" w:rsidRPr="00D015E1">
        <w:rPr>
          <w:lang w:val="es-ES"/>
        </w:rPr>
        <w:t>A</w:t>
      </w:r>
      <w:r w:rsidR="00D5024B" w:rsidRPr="00D015E1">
        <w:rPr>
          <w:lang w:val="es-ES"/>
        </w:rPr>
        <w:t xml:space="preserve">: </w:t>
      </w:r>
      <w:r w:rsidR="007E5668" w:rsidRPr="00D015E1">
        <w:rPr>
          <w:lang w:val="es-ES"/>
        </w:rPr>
        <w:t>Radioastronomía</w:t>
      </w:r>
    </w:p>
    <w:p w14:paraId="27A55899" w14:textId="1B4E6DF2" w:rsidR="00FE79FE" w:rsidRPr="00D015E1" w:rsidRDefault="00ED4024" w:rsidP="00ED4024">
      <w:pPr>
        <w:pStyle w:val="CoverTitle"/>
        <w:rPr>
          <w:lang w:val="es-ES"/>
        </w:rPr>
      </w:pPr>
      <w:r w:rsidRPr="00D015E1">
        <w:rPr>
          <w:lang w:val="es-ES"/>
        </w:rPr>
        <w:t>Redes mundiales de interferometría geodésica de línea de base muy larga</w:t>
      </w:r>
    </w:p>
    <w:p w14:paraId="0D44A666" w14:textId="77777777" w:rsidR="00A71FE5" w:rsidRPr="00D015E1" w:rsidRDefault="00A71FE5" w:rsidP="005373E0"/>
    <w:p w14:paraId="1DB04F1A" w14:textId="77777777" w:rsidR="00EE47C4" w:rsidRPr="00D015E1" w:rsidRDefault="00EE47C4" w:rsidP="005373E0">
      <w:pPr>
        <w:sectPr w:rsidR="00EE47C4" w:rsidRPr="00D015E1" w:rsidSect="0027411A">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0FD76D31" w14:textId="77777777" w:rsidR="0069322D" w:rsidRPr="00D015E1" w:rsidRDefault="0069322D" w:rsidP="0069322D">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0" w:after="0"/>
        <w:rPr>
          <w:bCs/>
          <w:sz w:val="24"/>
          <w:szCs w:val="24"/>
        </w:rPr>
      </w:pPr>
      <w:bookmarkStart w:id="0" w:name="c2tope"/>
      <w:bookmarkEnd w:id="0"/>
      <w:r w:rsidRPr="00D015E1">
        <w:rPr>
          <w:bCs/>
          <w:sz w:val="24"/>
          <w:szCs w:val="24"/>
        </w:rPr>
        <w:lastRenderedPageBreak/>
        <w:t>Prólogo</w:t>
      </w:r>
    </w:p>
    <w:p w14:paraId="5684B4FC" w14:textId="77777777" w:rsidR="0069322D" w:rsidRPr="00D015E1" w:rsidRDefault="0069322D" w:rsidP="0069322D">
      <w:pPr>
        <w:spacing w:before="180"/>
        <w:rPr>
          <w:sz w:val="20"/>
        </w:rPr>
      </w:pPr>
      <w:r w:rsidRPr="00D015E1">
        <w:rPr>
          <w:sz w:val="20"/>
        </w:rPr>
        <w:t>El Sector de Radiocomunicaciones tiene como cometido garantizar la utilización racional, equitativa, eficaz y económica del espectro de frecuencias radioeléctricas por todos los servicios de radiocomunicaciones, incluidos los servicios por satélite, y realizar, sin limitación de gamas de frecuencias, estudios que sirvan de base para la adopción de las Recomendaciones UIT-R.</w:t>
      </w:r>
    </w:p>
    <w:p w14:paraId="3C200CA0" w14:textId="77777777" w:rsidR="0069322D" w:rsidRPr="00D015E1" w:rsidRDefault="0069322D" w:rsidP="0069322D">
      <w:pPr>
        <w:rPr>
          <w:sz w:val="20"/>
        </w:rPr>
      </w:pPr>
      <w:r w:rsidRPr="00D015E1">
        <w:rPr>
          <w:sz w:val="20"/>
        </w:rPr>
        <w:t>Las Conferencias Mundiales y Regionales de Radiocomunicaciones y las Asambleas de Radiocomunicaciones, con la colaboración de las Comisiones de Estudio, cumplen las funciones reglamentarias y políticas del Sector de Radiocomunicaciones.</w:t>
      </w:r>
    </w:p>
    <w:p w14:paraId="3491313D" w14:textId="20B8E611" w:rsidR="0069322D" w:rsidRPr="00D015E1" w:rsidRDefault="00D67585" w:rsidP="0069322D">
      <w:pPr>
        <w:pStyle w:val="Heading1"/>
        <w:spacing w:before="340"/>
        <w:jc w:val="center"/>
        <w:rPr>
          <w:szCs w:val="24"/>
        </w:rPr>
      </w:pPr>
      <w:r w:rsidRPr="00D015E1">
        <w:t>Propiedad intelectual</w:t>
      </w:r>
    </w:p>
    <w:p w14:paraId="608C6B1F" w14:textId="77777777" w:rsidR="00802667" w:rsidRPr="00D015E1" w:rsidRDefault="00802667" w:rsidP="00802667">
      <w:pPr>
        <w:spacing w:before="100"/>
        <w:rPr>
          <w:sz w:val="20"/>
        </w:rPr>
      </w:pPr>
      <w:r w:rsidRPr="00D015E1">
        <w:rPr>
          <w:sz w:val="20"/>
        </w:rPr>
        <w:t>La UIT señala a la atención la posibilidad de que la utilización o aplicación de la presente Recomendación suponga el empleo de un derecho de propiedad intelectual reivindicado. La UIT no adopta ninguna posición en cuanto a la demostración, validez o aplicabilidad de los derechos de propiedad intelectual reivindicados, ya sea por los miembros de la UIT o por terceros ajenos al proceso de elaboración de Recomendaciones.</w:t>
      </w:r>
    </w:p>
    <w:p w14:paraId="05F66872" w14:textId="77777777" w:rsidR="00802667" w:rsidRPr="00D015E1" w:rsidRDefault="00802667" w:rsidP="00802667">
      <w:pPr>
        <w:spacing w:before="100"/>
        <w:rPr>
          <w:sz w:val="20"/>
        </w:rPr>
      </w:pPr>
      <w:r w:rsidRPr="00D015E1">
        <w:rPr>
          <w:sz w:val="20"/>
        </w:rPr>
        <w:t xml:space="preserve">En la fecha de aprobación de la presente Recomendación, la UIT ha recibido notificación de propiedad intelectual, protegida por patente, que puede ser necesaria para aplicar esta Recomendación. Sin embargo, se advierte a los implementadores que esto puede no representar la información más reciente y, por lo tanto, se les insta encarecidamente a consultar la información de patentes del UIT-R apropiada disponible en </w:t>
      </w:r>
      <w:hyperlink r:id="rId10" w:history="1">
        <w:r w:rsidRPr="00D015E1">
          <w:rPr>
            <w:color w:val="0000FF"/>
            <w:sz w:val="20"/>
            <w:u w:val="single"/>
          </w:rPr>
          <w:t>https://www.itu.int/en/ITU-R/study-groups/Pages/itu-r-patent-information.aspx</w:t>
        </w:r>
      </w:hyperlink>
      <w:r w:rsidRPr="00D015E1">
        <w:rPr>
          <w:sz w:val="20"/>
        </w:rPr>
        <w:t>.</w:t>
      </w:r>
    </w:p>
    <w:p w14:paraId="1F2276E0" w14:textId="77777777" w:rsidR="0069322D" w:rsidRPr="00D015E1" w:rsidRDefault="0069322D" w:rsidP="0069322D">
      <w:pPr>
        <w:spacing w:before="0"/>
        <w:jc w:val="center"/>
        <w:rPr>
          <w:sz w:val="22"/>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69322D" w:rsidRPr="00D015E1" w14:paraId="30AD29FE" w14:textId="77777777" w:rsidTr="00AC3FFB">
        <w:tc>
          <w:tcPr>
            <w:tcW w:w="9360" w:type="dxa"/>
            <w:gridSpan w:val="2"/>
          </w:tcPr>
          <w:p w14:paraId="083725A0" w14:textId="77777777" w:rsidR="0069322D" w:rsidRPr="00D015E1" w:rsidRDefault="0069322D" w:rsidP="000B4BD9">
            <w:pPr>
              <w:pStyle w:val="Chaptitle"/>
              <w:keepLines w:val="0"/>
              <w:tabs>
                <w:tab w:val="clear" w:pos="794"/>
                <w:tab w:val="clear" w:pos="1191"/>
                <w:tab w:val="clear" w:pos="1588"/>
                <w:tab w:val="clear" w:pos="1985"/>
              </w:tabs>
              <w:overflowPunct/>
              <w:spacing w:before="140"/>
              <w:textAlignment w:val="auto"/>
              <w:rPr>
                <w:sz w:val="22"/>
                <w:szCs w:val="22"/>
              </w:rPr>
            </w:pPr>
            <w:r w:rsidRPr="00D015E1">
              <w:rPr>
                <w:sz w:val="22"/>
                <w:szCs w:val="22"/>
              </w:rPr>
              <w:t xml:space="preserve">Series de las Recomendaciones UIT-R </w:t>
            </w:r>
          </w:p>
          <w:p w14:paraId="46AB3215" w14:textId="77777777" w:rsidR="0069322D" w:rsidRPr="00D015E1" w:rsidRDefault="0069322D" w:rsidP="000B4BD9">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rPr>
            </w:pPr>
            <w:r w:rsidRPr="00D015E1">
              <w:rPr>
                <w:b w:val="0"/>
                <w:sz w:val="18"/>
                <w:szCs w:val="18"/>
              </w:rPr>
              <w:t xml:space="preserve">(También disponible en línea en </w:t>
            </w:r>
            <w:hyperlink r:id="rId11" w:history="1">
              <w:r w:rsidR="00B96572" w:rsidRPr="00D015E1">
                <w:rPr>
                  <w:rStyle w:val="Hyperlink"/>
                  <w:b w:val="0"/>
                  <w:bCs/>
                  <w:sz w:val="18"/>
                  <w:szCs w:val="18"/>
                </w:rPr>
                <w:t>https://www.itu.int/publ/R-REC/es</w:t>
              </w:r>
            </w:hyperlink>
            <w:r w:rsidRPr="00D015E1">
              <w:rPr>
                <w:b w:val="0"/>
                <w:bCs/>
                <w:sz w:val="18"/>
                <w:szCs w:val="18"/>
              </w:rPr>
              <w:t>)</w:t>
            </w:r>
          </w:p>
        </w:tc>
      </w:tr>
      <w:tr w:rsidR="0069322D" w:rsidRPr="00D015E1" w14:paraId="76F2FC5C" w14:textId="77777777" w:rsidTr="00AC3FFB">
        <w:tc>
          <w:tcPr>
            <w:tcW w:w="1140" w:type="dxa"/>
            <w:tcBorders>
              <w:bottom w:val="nil"/>
            </w:tcBorders>
            <w:vAlign w:val="bottom"/>
          </w:tcPr>
          <w:p w14:paraId="7E30D15B" w14:textId="77777777" w:rsidR="0069322D" w:rsidRPr="00D015E1" w:rsidRDefault="0069322D" w:rsidP="00B96572">
            <w:pPr>
              <w:spacing w:before="180" w:after="100"/>
              <w:ind w:left="57"/>
              <w:jc w:val="left"/>
              <w:rPr>
                <w:b/>
                <w:bCs/>
                <w:sz w:val="20"/>
              </w:rPr>
            </w:pPr>
            <w:r w:rsidRPr="00D015E1">
              <w:rPr>
                <w:b/>
                <w:bCs/>
                <w:sz w:val="20"/>
              </w:rPr>
              <w:t>Series</w:t>
            </w:r>
          </w:p>
        </w:tc>
        <w:tc>
          <w:tcPr>
            <w:tcW w:w="8220" w:type="dxa"/>
            <w:tcBorders>
              <w:bottom w:val="nil"/>
            </w:tcBorders>
            <w:vAlign w:val="bottom"/>
          </w:tcPr>
          <w:p w14:paraId="31DC9954" w14:textId="77777777" w:rsidR="0069322D" w:rsidRPr="00D015E1" w:rsidRDefault="0069322D" w:rsidP="00B9657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100"/>
              <w:rPr>
                <w:bCs/>
                <w:sz w:val="20"/>
              </w:rPr>
            </w:pPr>
            <w:r w:rsidRPr="00D015E1">
              <w:rPr>
                <w:bCs/>
                <w:sz w:val="20"/>
              </w:rPr>
              <w:t>Título</w:t>
            </w:r>
          </w:p>
        </w:tc>
      </w:tr>
      <w:tr w:rsidR="0069322D" w:rsidRPr="00D015E1" w14:paraId="275C95CA" w14:textId="77777777" w:rsidTr="00AC3FFB">
        <w:tc>
          <w:tcPr>
            <w:tcW w:w="1140" w:type="dxa"/>
            <w:tcBorders>
              <w:top w:val="nil"/>
              <w:bottom w:val="nil"/>
            </w:tcBorders>
          </w:tcPr>
          <w:p w14:paraId="62C8553F" w14:textId="77777777" w:rsidR="0069322D" w:rsidRPr="00D015E1" w:rsidRDefault="0069322D" w:rsidP="00802667">
            <w:pPr>
              <w:spacing w:before="20" w:after="20"/>
              <w:ind w:left="57"/>
              <w:jc w:val="left"/>
              <w:rPr>
                <w:b/>
                <w:bCs/>
                <w:sz w:val="20"/>
              </w:rPr>
            </w:pPr>
            <w:r w:rsidRPr="00D015E1">
              <w:rPr>
                <w:b/>
                <w:bCs/>
                <w:sz w:val="20"/>
              </w:rPr>
              <w:t>BO</w:t>
            </w:r>
          </w:p>
        </w:tc>
        <w:tc>
          <w:tcPr>
            <w:tcW w:w="8220" w:type="dxa"/>
            <w:tcBorders>
              <w:top w:val="nil"/>
              <w:bottom w:val="nil"/>
            </w:tcBorders>
          </w:tcPr>
          <w:p w14:paraId="3A7B4D98" w14:textId="77777777" w:rsidR="0069322D" w:rsidRPr="00D015E1" w:rsidRDefault="0069322D" w:rsidP="0080266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rPr>
            </w:pPr>
            <w:r w:rsidRPr="00D015E1">
              <w:rPr>
                <w:b w:val="0"/>
                <w:sz w:val="20"/>
              </w:rPr>
              <w:t>Distribución por satélite</w:t>
            </w:r>
          </w:p>
        </w:tc>
      </w:tr>
      <w:tr w:rsidR="0069322D" w:rsidRPr="00D015E1" w14:paraId="65B71A55" w14:textId="77777777" w:rsidTr="00AC3FFB">
        <w:tc>
          <w:tcPr>
            <w:tcW w:w="1140" w:type="dxa"/>
            <w:tcBorders>
              <w:top w:val="nil"/>
              <w:bottom w:val="nil"/>
            </w:tcBorders>
          </w:tcPr>
          <w:p w14:paraId="25EB2A7F" w14:textId="77777777" w:rsidR="0069322D" w:rsidRPr="00D015E1" w:rsidRDefault="0069322D" w:rsidP="00802667">
            <w:pPr>
              <w:spacing w:before="20" w:after="20"/>
              <w:ind w:left="57"/>
              <w:jc w:val="left"/>
              <w:rPr>
                <w:b/>
                <w:bCs/>
                <w:sz w:val="20"/>
              </w:rPr>
            </w:pPr>
            <w:r w:rsidRPr="00D015E1">
              <w:rPr>
                <w:b/>
                <w:bCs/>
                <w:sz w:val="20"/>
              </w:rPr>
              <w:t>BR</w:t>
            </w:r>
          </w:p>
        </w:tc>
        <w:tc>
          <w:tcPr>
            <w:tcW w:w="8220" w:type="dxa"/>
            <w:tcBorders>
              <w:top w:val="nil"/>
              <w:bottom w:val="nil"/>
            </w:tcBorders>
          </w:tcPr>
          <w:p w14:paraId="49CA01E2" w14:textId="77777777" w:rsidR="0069322D" w:rsidRPr="00D015E1" w:rsidRDefault="0069322D" w:rsidP="0080266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rPr>
            </w:pPr>
            <w:r w:rsidRPr="00D015E1">
              <w:rPr>
                <w:b w:val="0"/>
                <w:sz w:val="20"/>
              </w:rPr>
              <w:t>Registro para producción, archivo y reproducción; películas en televisión</w:t>
            </w:r>
          </w:p>
        </w:tc>
      </w:tr>
      <w:tr w:rsidR="0069322D" w:rsidRPr="00D015E1" w14:paraId="57367AE8" w14:textId="77777777" w:rsidTr="00AC3FFB">
        <w:tc>
          <w:tcPr>
            <w:tcW w:w="1140" w:type="dxa"/>
            <w:tcBorders>
              <w:top w:val="nil"/>
              <w:bottom w:val="nil"/>
            </w:tcBorders>
          </w:tcPr>
          <w:p w14:paraId="3C7A29E9" w14:textId="77777777" w:rsidR="0069322D" w:rsidRPr="00D015E1" w:rsidRDefault="0069322D" w:rsidP="00802667">
            <w:pPr>
              <w:spacing w:before="20" w:after="20"/>
              <w:ind w:left="57"/>
              <w:jc w:val="left"/>
              <w:rPr>
                <w:b/>
                <w:bCs/>
                <w:sz w:val="20"/>
              </w:rPr>
            </w:pPr>
            <w:r w:rsidRPr="00D015E1">
              <w:rPr>
                <w:b/>
                <w:bCs/>
                <w:sz w:val="20"/>
              </w:rPr>
              <w:t>BS</w:t>
            </w:r>
          </w:p>
        </w:tc>
        <w:tc>
          <w:tcPr>
            <w:tcW w:w="8220" w:type="dxa"/>
            <w:tcBorders>
              <w:top w:val="nil"/>
              <w:bottom w:val="nil"/>
            </w:tcBorders>
          </w:tcPr>
          <w:p w14:paraId="35A6B33A" w14:textId="77777777" w:rsidR="0069322D" w:rsidRPr="00D015E1" w:rsidRDefault="0069322D" w:rsidP="0080266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rPr>
            </w:pPr>
            <w:r w:rsidRPr="00D015E1">
              <w:rPr>
                <w:b w:val="0"/>
                <w:bCs/>
                <w:sz w:val="20"/>
              </w:rPr>
              <w:t>Servicio de radiodifusión (sonora)</w:t>
            </w:r>
          </w:p>
        </w:tc>
      </w:tr>
      <w:tr w:rsidR="0069322D" w:rsidRPr="00D015E1" w14:paraId="66C2EEE6" w14:textId="77777777" w:rsidTr="00AC3FFB">
        <w:tc>
          <w:tcPr>
            <w:tcW w:w="1140" w:type="dxa"/>
            <w:tcBorders>
              <w:top w:val="nil"/>
              <w:bottom w:val="nil"/>
            </w:tcBorders>
          </w:tcPr>
          <w:p w14:paraId="6015F105" w14:textId="77777777" w:rsidR="0069322D" w:rsidRPr="00D015E1" w:rsidRDefault="0069322D" w:rsidP="00802667">
            <w:pPr>
              <w:spacing w:before="20" w:after="20"/>
              <w:ind w:left="57"/>
              <w:jc w:val="left"/>
              <w:rPr>
                <w:b/>
                <w:bCs/>
                <w:sz w:val="20"/>
              </w:rPr>
            </w:pPr>
            <w:r w:rsidRPr="00D015E1">
              <w:rPr>
                <w:b/>
                <w:bCs/>
                <w:sz w:val="20"/>
              </w:rPr>
              <w:t>BT</w:t>
            </w:r>
          </w:p>
        </w:tc>
        <w:tc>
          <w:tcPr>
            <w:tcW w:w="8220" w:type="dxa"/>
            <w:tcBorders>
              <w:top w:val="nil"/>
              <w:bottom w:val="nil"/>
            </w:tcBorders>
          </w:tcPr>
          <w:p w14:paraId="44CC2562" w14:textId="77777777" w:rsidR="0069322D" w:rsidRPr="00D015E1" w:rsidRDefault="0069322D" w:rsidP="0080266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bCs/>
                <w:sz w:val="20"/>
              </w:rPr>
            </w:pPr>
            <w:r w:rsidRPr="00D015E1">
              <w:rPr>
                <w:b w:val="0"/>
                <w:bCs/>
                <w:sz w:val="20"/>
              </w:rPr>
              <w:t>Servicio de radiodifusión (televisión)</w:t>
            </w:r>
          </w:p>
        </w:tc>
      </w:tr>
      <w:tr w:rsidR="008B56B2" w:rsidRPr="00D015E1" w14:paraId="66DF2894" w14:textId="77777777" w:rsidTr="00AC3FFB">
        <w:tc>
          <w:tcPr>
            <w:tcW w:w="1140" w:type="dxa"/>
            <w:tcBorders>
              <w:top w:val="nil"/>
              <w:bottom w:val="nil"/>
            </w:tcBorders>
            <w:shd w:val="clear" w:color="auto" w:fill="FFFFFF" w:themeFill="background1"/>
          </w:tcPr>
          <w:p w14:paraId="5F53E6A3" w14:textId="77777777" w:rsidR="0069322D" w:rsidRPr="00D015E1" w:rsidRDefault="0069322D" w:rsidP="00802667">
            <w:pPr>
              <w:spacing w:before="20" w:after="20"/>
              <w:ind w:left="57"/>
              <w:jc w:val="left"/>
              <w:rPr>
                <w:b/>
                <w:bCs/>
                <w:sz w:val="20"/>
              </w:rPr>
            </w:pPr>
            <w:r w:rsidRPr="00D015E1">
              <w:rPr>
                <w:b/>
                <w:bCs/>
                <w:sz w:val="20"/>
              </w:rPr>
              <w:t>F</w:t>
            </w:r>
          </w:p>
        </w:tc>
        <w:tc>
          <w:tcPr>
            <w:tcW w:w="8220" w:type="dxa"/>
            <w:tcBorders>
              <w:top w:val="nil"/>
              <w:bottom w:val="nil"/>
            </w:tcBorders>
            <w:shd w:val="clear" w:color="auto" w:fill="FFFFFF" w:themeFill="background1"/>
          </w:tcPr>
          <w:p w14:paraId="30C3E970" w14:textId="77777777" w:rsidR="0069322D" w:rsidRPr="00D015E1" w:rsidRDefault="0069322D" w:rsidP="00802667">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rPr>
            </w:pPr>
            <w:r w:rsidRPr="00D015E1">
              <w:rPr>
                <w:sz w:val="20"/>
              </w:rPr>
              <w:t>Servicio fijo</w:t>
            </w:r>
          </w:p>
        </w:tc>
      </w:tr>
      <w:tr w:rsidR="0069322D" w:rsidRPr="00D015E1" w14:paraId="3E92B57F" w14:textId="77777777" w:rsidTr="00AC3FFB">
        <w:tc>
          <w:tcPr>
            <w:tcW w:w="1140" w:type="dxa"/>
            <w:tcBorders>
              <w:top w:val="nil"/>
              <w:bottom w:val="nil"/>
            </w:tcBorders>
          </w:tcPr>
          <w:p w14:paraId="1A24AD21" w14:textId="77777777" w:rsidR="0069322D" w:rsidRPr="00D015E1" w:rsidRDefault="0069322D" w:rsidP="00802667">
            <w:pPr>
              <w:spacing w:before="20" w:after="20"/>
              <w:ind w:left="57"/>
              <w:jc w:val="left"/>
              <w:rPr>
                <w:rFonts w:hAnsi="Times New Roman Bold"/>
                <w:b/>
                <w:bCs/>
                <w:sz w:val="20"/>
              </w:rPr>
            </w:pPr>
            <w:r w:rsidRPr="00D015E1">
              <w:rPr>
                <w:rFonts w:hAnsi="Times New Roman Bold"/>
                <w:b/>
                <w:bCs/>
                <w:sz w:val="20"/>
              </w:rPr>
              <w:t>M</w:t>
            </w:r>
          </w:p>
        </w:tc>
        <w:tc>
          <w:tcPr>
            <w:tcW w:w="8220" w:type="dxa"/>
            <w:tcBorders>
              <w:top w:val="nil"/>
              <w:bottom w:val="nil"/>
            </w:tcBorders>
          </w:tcPr>
          <w:p w14:paraId="0C128C08" w14:textId="77777777" w:rsidR="0069322D" w:rsidRPr="00D015E1" w:rsidRDefault="0069322D" w:rsidP="0080266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rFonts w:hAnsi="Times New Roman Bold"/>
                <w:b w:val="0"/>
                <w:sz w:val="20"/>
              </w:rPr>
            </w:pPr>
            <w:r w:rsidRPr="00D015E1">
              <w:rPr>
                <w:rFonts w:hAnsi="Times New Roman Bold"/>
                <w:b w:val="0"/>
                <w:sz w:val="20"/>
              </w:rPr>
              <w:t>Servicios m</w:t>
            </w:r>
            <w:r w:rsidRPr="00D015E1">
              <w:rPr>
                <w:rFonts w:hAnsi="Times New Roman Bold"/>
                <w:b w:val="0"/>
                <w:sz w:val="20"/>
              </w:rPr>
              <w:t>ó</w:t>
            </w:r>
            <w:r w:rsidRPr="00D015E1">
              <w:rPr>
                <w:rFonts w:hAnsi="Times New Roman Bold"/>
                <w:b w:val="0"/>
                <w:sz w:val="20"/>
              </w:rPr>
              <w:t>viles, de radiodeterminaci</w:t>
            </w:r>
            <w:r w:rsidRPr="00D015E1">
              <w:rPr>
                <w:rFonts w:hAnsi="Times New Roman Bold"/>
                <w:b w:val="0"/>
                <w:sz w:val="20"/>
              </w:rPr>
              <w:t>ó</w:t>
            </w:r>
            <w:r w:rsidRPr="00D015E1">
              <w:rPr>
                <w:rFonts w:hAnsi="Times New Roman Bold"/>
                <w:b w:val="0"/>
                <w:sz w:val="20"/>
              </w:rPr>
              <w:t>n, de aficionados y otros servicios por sat</w:t>
            </w:r>
            <w:r w:rsidRPr="00D015E1">
              <w:rPr>
                <w:rFonts w:hAnsi="Times New Roman Bold"/>
                <w:b w:val="0"/>
                <w:sz w:val="20"/>
              </w:rPr>
              <w:t>é</w:t>
            </w:r>
            <w:r w:rsidRPr="00D015E1">
              <w:rPr>
                <w:rFonts w:hAnsi="Times New Roman Bold"/>
                <w:b w:val="0"/>
                <w:sz w:val="20"/>
              </w:rPr>
              <w:t>lite conexos</w:t>
            </w:r>
          </w:p>
        </w:tc>
      </w:tr>
      <w:tr w:rsidR="0069322D" w:rsidRPr="00D015E1" w14:paraId="4E67B4A3" w14:textId="77777777" w:rsidTr="00AC3FFB">
        <w:tc>
          <w:tcPr>
            <w:tcW w:w="1140" w:type="dxa"/>
            <w:tcBorders>
              <w:top w:val="nil"/>
              <w:bottom w:val="nil"/>
            </w:tcBorders>
          </w:tcPr>
          <w:p w14:paraId="1D499185" w14:textId="77777777" w:rsidR="0069322D" w:rsidRPr="00D015E1" w:rsidRDefault="0069322D" w:rsidP="00802667">
            <w:pPr>
              <w:spacing w:before="20" w:after="20"/>
              <w:ind w:left="57"/>
              <w:jc w:val="left"/>
              <w:rPr>
                <w:b/>
                <w:bCs/>
                <w:sz w:val="20"/>
              </w:rPr>
            </w:pPr>
            <w:r w:rsidRPr="00D015E1">
              <w:rPr>
                <w:b/>
                <w:bCs/>
                <w:sz w:val="20"/>
              </w:rPr>
              <w:t>P</w:t>
            </w:r>
          </w:p>
        </w:tc>
        <w:tc>
          <w:tcPr>
            <w:tcW w:w="8220" w:type="dxa"/>
            <w:tcBorders>
              <w:top w:val="nil"/>
              <w:bottom w:val="nil"/>
            </w:tcBorders>
          </w:tcPr>
          <w:p w14:paraId="2A6060A0" w14:textId="77777777" w:rsidR="0069322D" w:rsidRPr="00D015E1" w:rsidRDefault="0069322D" w:rsidP="00802667">
            <w:pPr>
              <w:spacing w:before="20" w:after="20"/>
              <w:jc w:val="left"/>
              <w:rPr>
                <w:sz w:val="20"/>
              </w:rPr>
            </w:pPr>
            <w:r w:rsidRPr="00D015E1">
              <w:rPr>
                <w:sz w:val="20"/>
              </w:rPr>
              <w:t>Propagación de las ondas radioeléctricas</w:t>
            </w:r>
          </w:p>
        </w:tc>
      </w:tr>
      <w:tr w:rsidR="0069322D" w:rsidRPr="00D015E1" w14:paraId="69108966" w14:textId="77777777" w:rsidTr="00AC3FFB">
        <w:tc>
          <w:tcPr>
            <w:tcW w:w="1140" w:type="dxa"/>
            <w:tcBorders>
              <w:top w:val="nil"/>
              <w:bottom w:val="nil"/>
            </w:tcBorders>
            <w:shd w:val="clear" w:color="auto" w:fill="F2F2F2" w:themeFill="background1" w:themeFillShade="F2"/>
          </w:tcPr>
          <w:p w14:paraId="7B89BB3C" w14:textId="77777777" w:rsidR="0069322D" w:rsidRPr="00D015E1" w:rsidRDefault="0069322D" w:rsidP="00802667">
            <w:pPr>
              <w:spacing w:before="20" w:after="20"/>
              <w:ind w:left="57"/>
              <w:jc w:val="left"/>
              <w:rPr>
                <w:b/>
                <w:bCs/>
                <w:color w:val="000080"/>
                <w:sz w:val="20"/>
              </w:rPr>
            </w:pPr>
            <w:r w:rsidRPr="00D015E1">
              <w:rPr>
                <w:b/>
                <w:bCs/>
                <w:color w:val="000080"/>
                <w:sz w:val="20"/>
              </w:rPr>
              <w:t>RA</w:t>
            </w:r>
          </w:p>
        </w:tc>
        <w:tc>
          <w:tcPr>
            <w:tcW w:w="8220" w:type="dxa"/>
            <w:tcBorders>
              <w:top w:val="nil"/>
              <w:bottom w:val="nil"/>
            </w:tcBorders>
            <w:shd w:val="clear" w:color="auto" w:fill="F2F2F2" w:themeFill="background1" w:themeFillShade="F2"/>
          </w:tcPr>
          <w:p w14:paraId="6DE0EDD2" w14:textId="77777777" w:rsidR="0069322D" w:rsidRPr="00D015E1" w:rsidRDefault="0069322D" w:rsidP="00802667">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b/>
                <w:bCs/>
                <w:color w:val="000080"/>
                <w:sz w:val="20"/>
              </w:rPr>
            </w:pPr>
            <w:r w:rsidRPr="00D015E1">
              <w:rPr>
                <w:b/>
                <w:bCs/>
                <w:color w:val="000080"/>
                <w:sz w:val="20"/>
              </w:rPr>
              <w:t>Radioastronomía</w:t>
            </w:r>
          </w:p>
        </w:tc>
      </w:tr>
      <w:tr w:rsidR="0069322D" w:rsidRPr="00D015E1" w14:paraId="3219170E" w14:textId="77777777" w:rsidTr="00AC3FFB">
        <w:tc>
          <w:tcPr>
            <w:tcW w:w="1140" w:type="dxa"/>
            <w:tcBorders>
              <w:top w:val="nil"/>
              <w:bottom w:val="nil"/>
            </w:tcBorders>
          </w:tcPr>
          <w:p w14:paraId="3A73EE7D" w14:textId="77777777" w:rsidR="0069322D" w:rsidRPr="00D015E1" w:rsidRDefault="0069322D" w:rsidP="00802667">
            <w:pPr>
              <w:spacing w:before="20" w:after="20"/>
              <w:ind w:left="57"/>
              <w:jc w:val="left"/>
              <w:rPr>
                <w:b/>
                <w:bCs/>
                <w:sz w:val="20"/>
              </w:rPr>
            </w:pPr>
            <w:r w:rsidRPr="00D015E1">
              <w:rPr>
                <w:b/>
                <w:bCs/>
                <w:sz w:val="20"/>
              </w:rPr>
              <w:t>RS</w:t>
            </w:r>
          </w:p>
        </w:tc>
        <w:tc>
          <w:tcPr>
            <w:tcW w:w="8220" w:type="dxa"/>
            <w:tcBorders>
              <w:top w:val="nil"/>
              <w:bottom w:val="nil"/>
            </w:tcBorders>
          </w:tcPr>
          <w:p w14:paraId="0C91027C" w14:textId="77777777" w:rsidR="0069322D" w:rsidRPr="00D015E1" w:rsidRDefault="0069322D" w:rsidP="00802667">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rPr>
            </w:pPr>
            <w:r w:rsidRPr="00D015E1">
              <w:rPr>
                <w:sz w:val="20"/>
              </w:rPr>
              <w:t>Sistemas de detección a distancia</w:t>
            </w:r>
          </w:p>
        </w:tc>
      </w:tr>
      <w:tr w:rsidR="0069322D" w:rsidRPr="00D015E1" w14:paraId="3EC2CFC7" w14:textId="77777777" w:rsidTr="00AC3FFB">
        <w:tc>
          <w:tcPr>
            <w:tcW w:w="1140" w:type="dxa"/>
            <w:tcBorders>
              <w:top w:val="nil"/>
              <w:bottom w:val="nil"/>
            </w:tcBorders>
          </w:tcPr>
          <w:p w14:paraId="07963CEC" w14:textId="77777777" w:rsidR="0069322D" w:rsidRPr="00D015E1" w:rsidRDefault="0069322D" w:rsidP="00802667">
            <w:pPr>
              <w:spacing w:before="20" w:after="20"/>
              <w:ind w:left="57"/>
              <w:jc w:val="left"/>
              <w:rPr>
                <w:b/>
                <w:bCs/>
                <w:sz w:val="20"/>
              </w:rPr>
            </w:pPr>
            <w:r w:rsidRPr="00D015E1">
              <w:rPr>
                <w:b/>
                <w:bCs/>
                <w:sz w:val="20"/>
              </w:rPr>
              <w:t>S</w:t>
            </w:r>
          </w:p>
        </w:tc>
        <w:tc>
          <w:tcPr>
            <w:tcW w:w="8220" w:type="dxa"/>
            <w:tcBorders>
              <w:top w:val="nil"/>
              <w:bottom w:val="nil"/>
            </w:tcBorders>
          </w:tcPr>
          <w:p w14:paraId="29ABCC21" w14:textId="77777777" w:rsidR="0069322D" w:rsidRPr="00D015E1" w:rsidRDefault="0069322D" w:rsidP="00802667">
            <w:pPr>
              <w:spacing w:before="20" w:after="20"/>
              <w:jc w:val="left"/>
              <w:rPr>
                <w:sz w:val="20"/>
              </w:rPr>
            </w:pPr>
            <w:r w:rsidRPr="00D015E1">
              <w:rPr>
                <w:sz w:val="20"/>
              </w:rPr>
              <w:t>Servicio fijo por satélite</w:t>
            </w:r>
          </w:p>
        </w:tc>
      </w:tr>
      <w:tr w:rsidR="00FB0AFC" w:rsidRPr="00D015E1" w14:paraId="3624D1A7" w14:textId="77777777" w:rsidTr="00AC3FFB">
        <w:tc>
          <w:tcPr>
            <w:tcW w:w="1140" w:type="dxa"/>
            <w:tcBorders>
              <w:top w:val="nil"/>
              <w:bottom w:val="nil"/>
            </w:tcBorders>
            <w:shd w:val="clear" w:color="auto" w:fill="FFFFFF" w:themeFill="background1"/>
          </w:tcPr>
          <w:p w14:paraId="52A9CB33" w14:textId="77777777" w:rsidR="0069322D" w:rsidRPr="00D015E1" w:rsidRDefault="0069322D" w:rsidP="00802667">
            <w:pPr>
              <w:spacing w:before="20" w:after="20"/>
              <w:ind w:left="57"/>
              <w:jc w:val="left"/>
              <w:rPr>
                <w:b/>
                <w:bCs/>
                <w:sz w:val="20"/>
              </w:rPr>
            </w:pPr>
            <w:r w:rsidRPr="00D015E1">
              <w:rPr>
                <w:b/>
                <w:bCs/>
                <w:sz w:val="20"/>
              </w:rPr>
              <w:t>SA</w:t>
            </w:r>
          </w:p>
        </w:tc>
        <w:tc>
          <w:tcPr>
            <w:tcW w:w="8220" w:type="dxa"/>
            <w:tcBorders>
              <w:top w:val="nil"/>
              <w:bottom w:val="nil"/>
            </w:tcBorders>
            <w:shd w:val="clear" w:color="auto" w:fill="FFFFFF" w:themeFill="background1"/>
          </w:tcPr>
          <w:p w14:paraId="56E54F6C" w14:textId="77777777" w:rsidR="0069322D" w:rsidRPr="00D015E1" w:rsidRDefault="0069322D" w:rsidP="00802667">
            <w:pPr>
              <w:spacing w:before="20" w:after="20"/>
              <w:jc w:val="left"/>
              <w:rPr>
                <w:sz w:val="20"/>
              </w:rPr>
            </w:pPr>
            <w:r w:rsidRPr="00D015E1">
              <w:rPr>
                <w:sz w:val="20"/>
              </w:rPr>
              <w:t>Aplicaciones espaciales y meteorología</w:t>
            </w:r>
          </w:p>
        </w:tc>
      </w:tr>
      <w:tr w:rsidR="0069322D" w:rsidRPr="00D015E1" w14:paraId="3556FA5E" w14:textId="77777777" w:rsidTr="00AC3FFB">
        <w:tc>
          <w:tcPr>
            <w:tcW w:w="1140" w:type="dxa"/>
            <w:tcBorders>
              <w:top w:val="nil"/>
            </w:tcBorders>
          </w:tcPr>
          <w:p w14:paraId="3D8BD154" w14:textId="77777777" w:rsidR="0069322D" w:rsidRPr="00D015E1" w:rsidRDefault="0069322D" w:rsidP="00802667">
            <w:pPr>
              <w:spacing w:before="20" w:after="20"/>
              <w:ind w:left="57"/>
              <w:jc w:val="left"/>
              <w:rPr>
                <w:b/>
                <w:bCs/>
                <w:sz w:val="20"/>
              </w:rPr>
            </w:pPr>
            <w:r w:rsidRPr="00D015E1">
              <w:rPr>
                <w:b/>
                <w:bCs/>
                <w:sz w:val="20"/>
              </w:rPr>
              <w:t>SF</w:t>
            </w:r>
          </w:p>
        </w:tc>
        <w:tc>
          <w:tcPr>
            <w:tcW w:w="8220" w:type="dxa"/>
            <w:tcBorders>
              <w:top w:val="nil"/>
            </w:tcBorders>
          </w:tcPr>
          <w:p w14:paraId="37EA5F4E" w14:textId="77777777" w:rsidR="0069322D" w:rsidRPr="00D015E1" w:rsidRDefault="0069322D" w:rsidP="00802667">
            <w:pPr>
              <w:spacing w:before="20" w:after="20"/>
              <w:jc w:val="left"/>
              <w:rPr>
                <w:bCs/>
                <w:sz w:val="20"/>
              </w:rPr>
            </w:pPr>
            <w:r w:rsidRPr="00D015E1">
              <w:rPr>
                <w:bCs/>
                <w:sz w:val="20"/>
              </w:rPr>
              <w:t>Compartición de frecuencias y coordinación entre los sistemas del servicio fijo por satélite y del servicio fijo</w:t>
            </w:r>
          </w:p>
        </w:tc>
      </w:tr>
      <w:tr w:rsidR="0069322D" w:rsidRPr="00D015E1" w14:paraId="1F700296" w14:textId="77777777" w:rsidTr="00AC3FFB">
        <w:tc>
          <w:tcPr>
            <w:tcW w:w="1140" w:type="dxa"/>
          </w:tcPr>
          <w:p w14:paraId="64CFC97A" w14:textId="77777777" w:rsidR="0069322D" w:rsidRPr="00D015E1" w:rsidRDefault="0069322D" w:rsidP="00802667">
            <w:pPr>
              <w:spacing w:before="20" w:after="20"/>
              <w:ind w:left="57"/>
              <w:jc w:val="left"/>
              <w:rPr>
                <w:b/>
                <w:bCs/>
                <w:sz w:val="20"/>
              </w:rPr>
            </w:pPr>
            <w:r w:rsidRPr="00D015E1">
              <w:rPr>
                <w:b/>
                <w:bCs/>
                <w:sz w:val="20"/>
              </w:rPr>
              <w:t>SM</w:t>
            </w:r>
          </w:p>
        </w:tc>
        <w:tc>
          <w:tcPr>
            <w:tcW w:w="8220" w:type="dxa"/>
          </w:tcPr>
          <w:p w14:paraId="12714BA7" w14:textId="77777777" w:rsidR="0069322D" w:rsidRPr="00D015E1" w:rsidRDefault="0069322D" w:rsidP="00802667">
            <w:pPr>
              <w:spacing w:before="20" w:after="20"/>
              <w:jc w:val="left"/>
              <w:rPr>
                <w:sz w:val="20"/>
              </w:rPr>
            </w:pPr>
            <w:r w:rsidRPr="00D015E1">
              <w:rPr>
                <w:sz w:val="20"/>
              </w:rPr>
              <w:t>Gestión del espectro</w:t>
            </w:r>
          </w:p>
        </w:tc>
      </w:tr>
      <w:tr w:rsidR="0069322D" w:rsidRPr="00D015E1" w14:paraId="23107AE0" w14:textId="77777777" w:rsidTr="00AC3FFB">
        <w:tc>
          <w:tcPr>
            <w:tcW w:w="1140" w:type="dxa"/>
          </w:tcPr>
          <w:p w14:paraId="272001D2" w14:textId="77777777" w:rsidR="0069322D" w:rsidRPr="00D015E1" w:rsidRDefault="0069322D" w:rsidP="00802667">
            <w:pPr>
              <w:spacing w:before="20" w:after="20"/>
              <w:ind w:left="57"/>
              <w:jc w:val="left"/>
              <w:rPr>
                <w:b/>
                <w:bCs/>
                <w:sz w:val="20"/>
              </w:rPr>
            </w:pPr>
            <w:r w:rsidRPr="00D015E1">
              <w:rPr>
                <w:b/>
                <w:bCs/>
                <w:sz w:val="20"/>
              </w:rPr>
              <w:t>SNG</w:t>
            </w:r>
          </w:p>
        </w:tc>
        <w:tc>
          <w:tcPr>
            <w:tcW w:w="8220" w:type="dxa"/>
          </w:tcPr>
          <w:p w14:paraId="11F29A27" w14:textId="77777777" w:rsidR="0069322D" w:rsidRPr="00D015E1" w:rsidRDefault="0069322D" w:rsidP="00802667">
            <w:pPr>
              <w:spacing w:before="20" w:after="20"/>
              <w:jc w:val="left"/>
              <w:rPr>
                <w:bCs/>
                <w:sz w:val="20"/>
              </w:rPr>
            </w:pPr>
            <w:r w:rsidRPr="00D015E1">
              <w:rPr>
                <w:bCs/>
                <w:sz w:val="20"/>
              </w:rPr>
              <w:t>Periodismo electrónico por satélite</w:t>
            </w:r>
          </w:p>
        </w:tc>
      </w:tr>
      <w:tr w:rsidR="0069322D" w:rsidRPr="00D015E1" w14:paraId="38A00052" w14:textId="77777777" w:rsidTr="00AC3FFB">
        <w:tc>
          <w:tcPr>
            <w:tcW w:w="1140" w:type="dxa"/>
          </w:tcPr>
          <w:p w14:paraId="4A469966" w14:textId="77777777" w:rsidR="0069322D" w:rsidRPr="00D015E1" w:rsidRDefault="0069322D" w:rsidP="00802667">
            <w:pPr>
              <w:spacing w:before="20" w:after="20"/>
              <w:ind w:left="57"/>
              <w:jc w:val="left"/>
              <w:rPr>
                <w:b/>
                <w:bCs/>
                <w:sz w:val="20"/>
              </w:rPr>
            </w:pPr>
            <w:r w:rsidRPr="00D015E1">
              <w:rPr>
                <w:b/>
                <w:bCs/>
                <w:sz w:val="20"/>
              </w:rPr>
              <w:t>TF</w:t>
            </w:r>
          </w:p>
        </w:tc>
        <w:tc>
          <w:tcPr>
            <w:tcW w:w="8220" w:type="dxa"/>
          </w:tcPr>
          <w:p w14:paraId="1177B679" w14:textId="77777777" w:rsidR="0069322D" w:rsidRPr="00D015E1" w:rsidRDefault="0069322D" w:rsidP="00802667">
            <w:pPr>
              <w:spacing w:before="20" w:after="20"/>
              <w:jc w:val="left"/>
              <w:rPr>
                <w:bCs/>
                <w:sz w:val="20"/>
              </w:rPr>
            </w:pPr>
            <w:r w:rsidRPr="00D015E1">
              <w:rPr>
                <w:bCs/>
                <w:sz w:val="20"/>
              </w:rPr>
              <w:t>Emisiones de frecuencias patrón y señales horarias</w:t>
            </w:r>
          </w:p>
        </w:tc>
      </w:tr>
      <w:tr w:rsidR="0069322D" w:rsidRPr="00D015E1" w14:paraId="773E97B7" w14:textId="77777777" w:rsidTr="00AC3FFB">
        <w:tc>
          <w:tcPr>
            <w:tcW w:w="1140" w:type="dxa"/>
          </w:tcPr>
          <w:p w14:paraId="6D3924C0" w14:textId="77777777" w:rsidR="0069322D" w:rsidRPr="00D015E1" w:rsidRDefault="0069322D" w:rsidP="00802667">
            <w:pPr>
              <w:spacing w:before="20" w:after="20"/>
              <w:ind w:left="57"/>
              <w:jc w:val="left"/>
              <w:rPr>
                <w:b/>
                <w:bCs/>
                <w:sz w:val="20"/>
              </w:rPr>
            </w:pPr>
            <w:r w:rsidRPr="00D015E1">
              <w:rPr>
                <w:b/>
                <w:bCs/>
                <w:sz w:val="20"/>
              </w:rPr>
              <w:t>V</w:t>
            </w:r>
          </w:p>
        </w:tc>
        <w:tc>
          <w:tcPr>
            <w:tcW w:w="8220" w:type="dxa"/>
          </w:tcPr>
          <w:p w14:paraId="4443C738" w14:textId="77777777" w:rsidR="0069322D" w:rsidRPr="00D015E1" w:rsidRDefault="0069322D" w:rsidP="00802667">
            <w:pPr>
              <w:spacing w:before="20" w:after="20"/>
              <w:jc w:val="left"/>
              <w:rPr>
                <w:bCs/>
                <w:sz w:val="20"/>
              </w:rPr>
            </w:pPr>
            <w:r w:rsidRPr="00D015E1">
              <w:rPr>
                <w:bCs/>
                <w:sz w:val="20"/>
              </w:rPr>
              <w:t>Vocabulario y cuestiones afines</w:t>
            </w:r>
          </w:p>
        </w:tc>
      </w:tr>
    </w:tbl>
    <w:p w14:paraId="374F48A8" w14:textId="77777777" w:rsidR="0069322D" w:rsidRPr="00D015E1" w:rsidRDefault="0069322D" w:rsidP="0069322D">
      <w:pPr>
        <w:spacing w:before="0" w:after="140"/>
        <w:jc w:val="center"/>
        <w:rPr>
          <w:sz w:val="20"/>
        </w:rPr>
      </w:pPr>
    </w:p>
    <w:tbl>
      <w:tblPr>
        <w:tblStyle w:val="TableGrid"/>
        <w:tblW w:w="5000" w:type="pct"/>
        <w:tblBorders>
          <w:top w:val="single" w:sz="12" w:space="0" w:color="000080"/>
          <w:left w:val="single" w:sz="12" w:space="0" w:color="000080"/>
          <w:bottom w:val="single" w:sz="12" w:space="0" w:color="000080"/>
          <w:right w:val="single" w:sz="12" w:space="0" w:color="000080"/>
          <w:insideH w:val="none" w:sz="0" w:space="0" w:color="auto"/>
          <w:insideV w:val="none" w:sz="0" w:space="0" w:color="auto"/>
        </w:tblBorders>
        <w:tblLook w:val="01E0" w:firstRow="1" w:lastRow="1" w:firstColumn="1" w:lastColumn="1" w:noHBand="0" w:noVBand="0"/>
      </w:tblPr>
      <w:tblGrid>
        <w:gridCol w:w="9609"/>
      </w:tblGrid>
      <w:tr w:rsidR="0069322D" w:rsidRPr="00D015E1" w14:paraId="3975ED1C" w14:textId="77777777" w:rsidTr="00CC1DC3">
        <w:tc>
          <w:tcPr>
            <w:tcW w:w="9609" w:type="dxa"/>
          </w:tcPr>
          <w:p w14:paraId="4ED76CCE" w14:textId="77777777" w:rsidR="0069322D" w:rsidRPr="00D015E1" w:rsidRDefault="0069322D" w:rsidP="00B96572">
            <w:pPr>
              <w:spacing w:before="92" w:after="92"/>
              <w:rPr>
                <w:rFonts w:ascii="Times New Roman" w:hAnsi="Times New Roman" w:cs="Times New Roman"/>
                <w:i/>
                <w:iCs/>
                <w:sz w:val="20"/>
              </w:rPr>
            </w:pPr>
            <w:r w:rsidRPr="00D015E1">
              <w:rPr>
                <w:rFonts w:ascii="Times New Roman" w:hAnsi="Times New Roman" w:cs="Times New Roman"/>
                <w:b/>
                <w:bCs/>
                <w:i/>
                <w:iCs/>
                <w:sz w:val="20"/>
              </w:rPr>
              <w:t>Nota</w:t>
            </w:r>
            <w:r w:rsidRPr="00D015E1">
              <w:rPr>
                <w:rFonts w:ascii="Times New Roman" w:hAnsi="Times New Roman" w:cs="Times New Roman"/>
                <w:i/>
                <w:iCs/>
                <w:sz w:val="20"/>
              </w:rPr>
              <w:t>: Esta Recomendación UIT-R fue aprobada en inglés conforme al procedimiento detallado en la Resolución UIT</w:t>
            </w:r>
            <w:r w:rsidR="00B96572" w:rsidRPr="00D015E1">
              <w:rPr>
                <w:rFonts w:ascii="Times New Roman" w:hAnsi="Times New Roman" w:cs="Times New Roman"/>
                <w:i/>
                <w:iCs/>
                <w:sz w:val="20"/>
              </w:rPr>
              <w:noBreakHyphen/>
            </w:r>
            <w:r w:rsidRPr="00D015E1">
              <w:rPr>
                <w:rFonts w:ascii="Times New Roman" w:hAnsi="Times New Roman" w:cs="Times New Roman"/>
                <w:i/>
                <w:iCs/>
                <w:sz w:val="20"/>
              </w:rPr>
              <w:t>R</w:t>
            </w:r>
            <w:r w:rsidR="00B96572" w:rsidRPr="00D015E1">
              <w:rPr>
                <w:rFonts w:ascii="Times New Roman" w:hAnsi="Times New Roman" w:cs="Times New Roman"/>
                <w:i/>
                <w:iCs/>
                <w:sz w:val="20"/>
              </w:rPr>
              <w:t> </w:t>
            </w:r>
            <w:r w:rsidRPr="00D015E1">
              <w:rPr>
                <w:rFonts w:ascii="Times New Roman" w:hAnsi="Times New Roman" w:cs="Times New Roman"/>
                <w:i/>
                <w:iCs/>
                <w:sz w:val="20"/>
              </w:rPr>
              <w:t>1.</w:t>
            </w:r>
          </w:p>
        </w:tc>
      </w:tr>
    </w:tbl>
    <w:p w14:paraId="7C160F94" w14:textId="77777777" w:rsidR="0069322D" w:rsidRPr="00D015E1" w:rsidRDefault="0069322D" w:rsidP="0069322D">
      <w:pPr>
        <w:spacing w:before="0"/>
        <w:jc w:val="center"/>
        <w:rPr>
          <w:sz w:val="22"/>
        </w:rPr>
      </w:pPr>
    </w:p>
    <w:p w14:paraId="75609ABF" w14:textId="77777777" w:rsidR="0069322D" w:rsidRPr="00D015E1" w:rsidRDefault="0069322D" w:rsidP="0069322D">
      <w:pPr>
        <w:spacing w:before="60"/>
        <w:jc w:val="right"/>
        <w:rPr>
          <w:i/>
          <w:iCs/>
          <w:sz w:val="20"/>
        </w:rPr>
      </w:pPr>
      <w:r w:rsidRPr="00D015E1">
        <w:rPr>
          <w:i/>
          <w:iCs/>
          <w:sz w:val="20"/>
        </w:rPr>
        <w:t>Publicación electrónica</w:t>
      </w:r>
    </w:p>
    <w:p w14:paraId="161D8681" w14:textId="724358A5" w:rsidR="0069322D" w:rsidRPr="00D015E1" w:rsidRDefault="0069322D" w:rsidP="0069322D">
      <w:pPr>
        <w:spacing w:before="0" w:after="40"/>
        <w:jc w:val="right"/>
        <w:rPr>
          <w:sz w:val="20"/>
        </w:rPr>
      </w:pPr>
      <w:r w:rsidRPr="00D015E1">
        <w:rPr>
          <w:sz w:val="20"/>
        </w:rPr>
        <w:t>Ginebra, 20</w:t>
      </w:r>
      <w:r w:rsidR="00B96572" w:rsidRPr="00D015E1">
        <w:rPr>
          <w:sz w:val="20"/>
        </w:rPr>
        <w:t>2</w:t>
      </w:r>
      <w:r w:rsidR="00802667" w:rsidRPr="00D015E1">
        <w:rPr>
          <w:sz w:val="20"/>
        </w:rPr>
        <w:t>6</w:t>
      </w:r>
    </w:p>
    <w:p w14:paraId="05BDB2BF" w14:textId="77777777" w:rsidR="0069322D" w:rsidRPr="00D015E1" w:rsidRDefault="0069322D" w:rsidP="0069322D">
      <w:pPr>
        <w:spacing w:before="0" w:after="120"/>
        <w:jc w:val="center"/>
        <w:rPr>
          <w:sz w:val="22"/>
        </w:rPr>
      </w:pPr>
    </w:p>
    <w:p w14:paraId="597EFF7C" w14:textId="620EF8AA" w:rsidR="0069322D" w:rsidRPr="00D015E1" w:rsidRDefault="0069322D" w:rsidP="0069322D">
      <w:pPr>
        <w:spacing w:before="0"/>
        <w:jc w:val="center"/>
        <w:rPr>
          <w:sz w:val="20"/>
        </w:rPr>
      </w:pPr>
      <w:r w:rsidRPr="00D015E1">
        <w:rPr>
          <w:sz w:val="20"/>
        </w:rPr>
        <w:sym w:font="Symbol" w:char="F0E3"/>
      </w:r>
      <w:r w:rsidRPr="00D015E1">
        <w:rPr>
          <w:sz w:val="20"/>
        </w:rPr>
        <w:t xml:space="preserve"> UIT </w:t>
      </w:r>
      <w:bookmarkStart w:id="1" w:name="iiannee"/>
      <w:bookmarkEnd w:id="1"/>
      <w:r w:rsidRPr="00D015E1">
        <w:rPr>
          <w:sz w:val="20"/>
        </w:rPr>
        <w:t>20</w:t>
      </w:r>
      <w:r w:rsidR="00B96572" w:rsidRPr="00D015E1">
        <w:rPr>
          <w:sz w:val="20"/>
        </w:rPr>
        <w:t>2</w:t>
      </w:r>
      <w:r w:rsidR="00802667" w:rsidRPr="00D015E1">
        <w:rPr>
          <w:sz w:val="20"/>
        </w:rPr>
        <w:t>6</w:t>
      </w:r>
    </w:p>
    <w:p w14:paraId="781C176D" w14:textId="77777777" w:rsidR="00D5024B" w:rsidRPr="00D015E1" w:rsidRDefault="0069322D" w:rsidP="00802667">
      <w:pPr>
        <w:spacing w:before="80"/>
        <w:rPr>
          <w:sz w:val="18"/>
          <w:szCs w:val="18"/>
        </w:rPr>
      </w:pPr>
      <w:r w:rsidRPr="00D015E1">
        <w:rPr>
          <w:sz w:val="18"/>
          <w:szCs w:val="18"/>
        </w:rPr>
        <w:t>Reservados todos los derechos. Ninguna parte de esta publicación puede reproducirse por ningún procedimiento sin previa autorización escrita por parte de la UIT.</w:t>
      </w:r>
    </w:p>
    <w:p w14:paraId="68BBB990" w14:textId="77777777" w:rsidR="007565CC" w:rsidRPr="00D015E1" w:rsidRDefault="007565CC" w:rsidP="00A971A1">
      <w:pPr>
        <w:spacing w:before="160"/>
        <w:rPr>
          <w:i/>
          <w:sz w:val="20"/>
        </w:rPr>
        <w:sectPr w:rsidR="007565CC" w:rsidRPr="00D015E1" w:rsidSect="002058CE">
          <w:headerReference w:type="even" r:id="rId12"/>
          <w:headerReference w:type="default" r:id="rId13"/>
          <w:pgSz w:w="11907" w:h="16834" w:code="9"/>
          <w:pgMar w:top="1418" w:right="1134" w:bottom="1134" w:left="1134" w:header="720" w:footer="482" w:gutter="0"/>
          <w:paperSrc w:first="15" w:other="15"/>
          <w:pgNumType w:fmt="lowerRoman" w:start="2"/>
          <w:cols w:space="720"/>
        </w:sectPr>
      </w:pPr>
    </w:p>
    <w:p w14:paraId="04CACB04" w14:textId="24EEA1E5" w:rsidR="00B874C6" w:rsidRPr="00D015E1" w:rsidRDefault="00F17CED" w:rsidP="00DD6141">
      <w:pPr>
        <w:pStyle w:val="RecNo"/>
      </w:pPr>
      <w:bookmarkStart w:id="2" w:name="irecnoe"/>
      <w:bookmarkEnd w:id="2"/>
      <w:r w:rsidRPr="00DD6141">
        <w:lastRenderedPageBreak/>
        <w:t>RECOMENDACIÓN</w:t>
      </w:r>
      <w:r w:rsidR="00B874C6" w:rsidRPr="00D015E1">
        <w:t xml:space="preserve">  </w:t>
      </w:r>
      <w:r w:rsidR="00A25EE2" w:rsidRPr="00D015E1">
        <w:rPr>
          <w:rStyle w:val="href"/>
        </w:rPr>
        <w:t>UI</w:t>
      </w:r>
      <w:r w:rsidR="00B874C6" w:rsidRPr="00D015E1">
        <w:rPr>
          <w:rStyle w:val="href"/>
        </w:rPr>
        <w:t xml:space="preserve">T-R  </w:t>
      </w:r>
      <w:r w:rsidR="00FF0E75" w:rsidRPr="00D015E1">
        <w:rPr>
          <w:rStyle w:val="href"/>
        </w:rPr>
        <w:t>R</w:t>
      </w:r>
      <w:r w:rsidR="00D5024B" w:rsidRPr="00D015E1">
        <w:rPr>
          <w:rStyle w:val="href"/>
        </w:rPr>
        <w:t>A</w:t>
      </w:r>
      <w:r w:rsidR="00B874C6" w:rsidRPr="00D015E1">
        <w:rPr>
          <w:rStyle w:val="href"/>
        </w:rPr>
        <w:t>.</w:t>
      </w:r>
      <w:r w:rsidR="00737E11" w:rsidRPr="00D015E1">
        <w:rPr>
          <w:rStyle w:val="href"/>
        </w:rPr>
        <w:t>2178-0</w:t>
      </w:r>
    </w:p>
    <w:p w14:paraId="77C1F19A" w14:textId="77777777" w:rsidR="00737E11" w:rsidRPr="00D015E1" w:rsidRDefault="00737E11" w:rsidP="00737E11">
      <w:pPr>
        <w:pStyle w:val="Rectitle"/>
      </w:pPr>
      <w:r w:rsidRPr="00D015E1">
        <w:t>Redes mundiales de interferometría geodésica de línea de base muy larga</w:t>
      </w:r>
    </w:p>
    <w:p w14:paraId="665EA6EA" w14:textId="77777777" w:rsidR="00737E11" w:rsidRPr="00D015E1" w:rsidRDefault="00737E11" w:rsidP="00737E11">
      <w:pPr>
        <w:pStyle w:val="Recdate"/>
      </w:pPr>
      <w:r w:rsidRPr="00D015E1">
        <w:t>(2026)</w:t>
      </w:r>
    </w:p>
    <w:p w14:paraId="58365684" w14:textId="35162066" w:rsidR="00737E11" w:rsidRPr="00D015E1" w:rsidRDefault="00392B77" w:rsidP="00392B77">
      <w:pPr>
        <w:pStyle w:val="HeadingSum"/>
      </w:pPr>
      <w:r>
        <w:t>Cometido</w:t>
      </w:r>
    </w:p>
    <w:p w14:paraId="37A1FB4B" w14:textId="037BEFAE" w:rsidR="00737E11" w:rsidRPr="00D015E1" w:rsidRDefault="00737E11" w:rsidP="00392B77">
      <w:pPr>
        <w:pStyle w:val="Summary"/>
      </w:pPr>
      <w:r w:rsidRPr="00D015E1">
        <w:t xml:space="preserve">En esta Recomendación se describen las observaciones de interferometría de línea de base muy larga (VLBI) geodésica necesarias para obtener datos de suma importancia para una amplia gama de fines gubernamentales, económicos, sociales y científicos, y se recomienda que las administraciones presten asistencia para evitar interferencias perjudiciales a las estaciones del </w:t>
      </w:r>
      <w:r w:rsidR="00DA76A4" w:rsidRPr="00D015E1">
        <w:t xml:space="preserve">Servicio </w:t>
      </w:r>
      <w:r w:rsidRPr="00D015E1">
        <w:t>VLBI internacional para geodesia y astrometría.</w:t>
      </w:r>
    </w:p>
    <w:p w14:paraId="5C3230F4" w14:textId="77777777" w:rsidR="00737E11" w:rsidRPr="00D015E1" w:rsidRDefault="00737E11" w:rsidP="00737E11">
      <w:pPr>
        <w:pStyle w:val="Headingb"/>
      </w:pPr>
      <w:r w:rsidRPr="00D015E1">
        <w:t>Palabras clave</w:t>
      </w:r>
    </w:p>
    <w:p w14:paraId="0C8CF023" w14:textId="77777777" w:rsidR="00737E11" w:rsidRPr="00D015E1" w:rsidRDefault="00737E11" w:rsidP="00737E11">
      <w:r w:rsidRPr="00D015E1">
        <w:t>Interferometría geodésica de línea de base muy larga, servicio de radioastronomía, sistema de observación VLBI mundial, geodesia, interferencias</w:t>
      </w:r>
    </w:p>
    <w:p w14:paraId="15E52CFC" w14:textId="77777777" w:rsidR="00737E11" w:rsidRPr="00D015E1" w:rsidRDefault="00737E11" w:rsidP="00737E11">
      <w:pPr>
        <w:pStyle w:val="Headingb"/>
      </w:pPr>
      <w:r w:rsidRPr="00D015E1">
        <w:t xml:space="preserve">Abreviaturas/Glosario </w:t>
      </w:r>
    </w:p>
    <w:p w14:paraId="13FB70DA" w14:textId="77777777" w:rsidR="00737E11" w:rsidRPr="00D015E1" w:rsidRDefault="00737E11" w:rsidP="00737E11">
      <w:r w:rsidRPr="00D015E1">
        <w:t>SRA</w:t>
      </w:r>
      <w:r w:rsidRPr="00D015E1">
        <w:tab/>
        <w:t>Servicio de radioastronomía</w:t>
      </w:r>
    </w:p>
    <w:p w14:paraId="3025229A" w14:textId="4019A884" w:rsidR="00737E11" w:rsidRPr="0040370F" w:rsidRDefault="00737E11" w:rsidP="00737E11">
      <w:pPr>
        <w:rPr>
          <w:lang w:val="es-ES"/>
        </w:rPr>
      </w:pPr>
      <w:r w:rsidRPr="0040370F">
        <w:rPr>
          <w:lang w:val="es-ES"/>
        </w:rPr>
        <w:t>VLBI</w:t>
      </w:r>
      <w:r w:rsidRPr="0040370F">
        <w:rPr>
          <w:lang w:val="es-ES"/>
        </w:rPr>
        <w:tab/>
        <w:t>Interferometría de línea de base muy larga (</w:t>
      </w:r>
      <w:r w:rsidR="0040370F" w:rsidRPr="00DE307C">
        <w:rPr>
          <w:i/>
          <w:iCs/>
          <w:lang w:val="es-ES"/>
        </w:rPr>
        <w:t>very long baseline interferometry</w:t>
      </w:r>
      <w:r w:rsidRPr="0040370F">
        <w:rPr>
          <w:lang w:val="es-ES"/>
        </w:rPr>
        <w:t>)</w:t>
      </w:r>
    </w:p>
    <w:p w14:paraId="1BAD4BC2" w14:textId="77777777" w:rsidR="00737E11" w:rsidRPr="00D015E1" w:rsidRDefault="00737E11" w:rsidP="00737E11">
      <w:pPr>
        <w:pStyle w:val="Headingb"/>
      </w:pPr>
      <w:r w:rsidRPr="00D015E1">
        <w:t>Recomendaciones e Informes UIT-R conexos</w:t>
      </w:r>
    </w:p>
    <w:p w14:paraId="624014D6" w14:textId="4AC576AF" w:rsidR="00737E11" w:rsidRPr="00351422" w:rsidRDefault="00737E11" w:rsidP="00737E11">
      <w:pPr>
        <w:pStyle w:val="Reftext"/>
      </w:pPr>
      <w:r w:rsidRPr="00351422">
        <w:t xml:space="preserve">Recomendación </w:t>
      </w:r>
      <w:hyperlink r:id="rId14" w:history="1">
        <w:r w:rsidRPr="00351422">
          <w:rPr>
            <w:rStyle w:val="Hyperlink"/>
            <w:color w:val="auto"/>
            <w:u w:val="none"/>
          </w:rPr>
          <w:t>UIT-R P.452</w:t>
        </w:r>
      </w:hyperlink>
      <w:r w:rsidRPr="00351422">
        <w:t xml:space="preserve"> – Procedimiento de predicción para evaluar la interferencia entre estaciones situadas en la superficie de la Tierra a frecuencias superiores a unos 100 MHz</w:t>
      </w:r>
    </w:p>
    <w:p w14:paraId="4F6C3AE5" w14:textId="3DCEEB6B" w:rsidR="00737E11" w:rsidRPr="00351422" w:rsidRDefault="00737E11" w:rsidP="00737E11">
      <w:pPr>
        <w:pStyle w:val="Reftext"/>
      </w:pPr>
      <w:r w:rsidRPr="00351422">
        <w:t xml:space="preserve">Recomendación </w:t>
      </w:r>
      <w:hyperlink r:id="rId15" w:history="1">
        <w:r w:rsidRPr="00351422">
          <w:rPr>
            <w:rStyle w:val="Hyperlink"/>
            <w:color w:val="auto"/>
            <w:u w:val="none"/>
          </w:rPr>
          <w:t>UIT-R TF.460</w:t>
        </w:r>
      </w:hyperlink>
      <w:r w:rsidRPr="00351422">
        <w:t xml:space="preserve"> – Emisiones de frecuencias patrón y señales horarias</w:t>
      </w:r>
    </w:p>
    <w:p w14:paraId="061C4547" w14:textId="5B344355" w:rsidR="00737E11" w:rsidRPr="00351422" w:rsidRDefault="00737E11" w:rsidP="00737E11">
      <w:pPr>
        <w:pStyle w:val="Reftext"/>
      </w:pPr>
      <w:r w:rsidRPr="00351422">
        <w:t xml:space="preserve">Recomendación </w:t>
      </w:r>
      <w:hyperlink r:id="rId16" w:history="1">
        <w:r w:rsidRPr="00351422">
          <w:rPr>
            <w:rStyle w:val="Hyperlink"/>
            <w:color w:val="auto"/>
            <w:u w:val="none"/>
          </w:rPr>
          <w:t>UIT-R RA.517</w:t>
        </w:r>
      </w:hyperlink>
      <w:r w:rsidRPr="00351422">
        <w:t xml:space="preserve"> – Protección del servicio de radioastronomía contra los transmisores que funcionan en bandas adyacentes</w:t>
      </w:r>
    </w:p>
    <w:p w14:paraId="059A5F5B" w14:textId="055A7AA4" w:rsidR="00737E11" w:rsidRPr="00351422" w:rsidRDefault="00737E11" w:rsidP="00737E11">
      <w:pPr>
        <w:pStyle w:val="Reftext"/>
      </w:pPr>
      <w:r w:rsidRPr="00351422">
        <w:t xml:space="preserve">Recomendación </w:t>
      </w:r>
      <w:hyperlink r:id="rId17" w:history="1">
        <w:r w:rsidRPr="00351422">
          <w:rPr>
            <w:rStyle w:val="Hyperlink"/>
            <w:color w:val="auto"/>
            <w:u w:val="none"/>
          </w:rPr>
          <w:t>UIT-R RA.611</w:t>
        </w:r>
      </w:hyperlink>
      <w:r w:rsidRPr="00351422">
        <w:t xml:space="preserve"> – Protección del servicio de radioastronomía contra las emisiones no esenciales</w:t>
      </w:r>
    </w:p>
    <w:p w14:paraId="0E48E022" w14:textId="55F10F92" w:rsidR="00737E11" w:rsidRPr="00351422" w:rsidRDefault="00737E11" w:rsidP="00737E11">
      <w:pPr>
        <w:pStyle w:val="Reftext"/>
      </w:pPr>
      <w:r w:rsidRPr="00351422">
        <w:t xml:space="preserve">Recomendación </w:t>
      </w:r>
      <w:hyperlink r:id="rId18" w:history="1">
        <w:r w:rsidRPr="00351422">
          <w:rPr>
            <w:rStyle w:val="Hyperlink"/>
            <w:color w:val="auto"/>
            <w:u w:val="none"/>
          </w:rPr>
          <w:t>UIT-R P.676</w:t>
        </w:r>
      </w:hyperlink>
      <w:r w:rsidRPr="00351422">
        <w:t xml:space="preserve"> – Atenuación debida a los gases atmosféricos y efectos conexos</w:t>
      </w:r>
    </w:p>
    <w:p w14:paraId="1CCB2310" w14:textId="3BB639CD" w:rsidR="00737E11" w:rsidRPr="00351422" w:rsidRDefault="00737E11" w:rsidP="00737E11">
      <w:pPr>
        <w:pStyle w:val="Reftext"/>
      </w:pPr>
      <w:r w:rsidRPr="00351422">
        <w:t xml:space="preserve">Recomendación </w:t>
      </w:r>
      <w:hyperlink r:id="rId19" w:history="1">
        <w:r w:rsidRPr="00351422">
          <w:rPr>
            <w:rStyle w:val="Hyperlink"/>
            <w:color w:val="auto"/>
            <w:u w:val="none"/>
          </w:rPr>
          <w:t>UIT-R RA.769</w:t>
        </w:r>
      </w:hyperlink>
      <w:r w:rsidRPr="00351422">
        <w:t xml:space="preserve"> – Criterios de protección para las mediciones radioastronómicas</w:t>
      </w:r>
    </w:p>
    <w:p w14:paraId="380CE4D2" w14:textId="1B2F0C88" w:rsidR="00737E11" w:rsidRPr="00351422" w:rsidRDefault="00737E11" w:rsidP="00737E11">
      <w:pPr>
        <w:pStyle w:val="Reftext"/>
      </w:pPr>
      <w:r w:rsidRPr="00351422">
        <w:t xml:space="preserve">Recomendación </w:t>
      </w:r>
      <w:hyperlink r:id="rId20" w:history="1">
        <w:r w:rsidRPr="00351422">
          <w:rPr>
            <w:rStyle w:val="Hyperlink"/>
            <w:color w:val="auto"/>
            <w:u w:val="none"/>
          </w:rPr>
          <w:t>UIT-R RA.1031</w:t>
        </w:r>
      </w:hyperlink>
      <w:r w:rsidRPr="00351422">
        <w:t xml:space="preserve"> – Protección del servicio de radioastronomía en las bandas de frecuencias compartidas con servicios activos</w:t>
      </w:r>
    </w:p>
    <w:p w14:paraId="61B3151E" w14:textId="1484E796" w:rsidR="00737E11" w:rsidRPr="00351422" w:rsidRDefault="00737E11" w:rsidP="00737E11">
      <w:pPr>
        <w:pStyle w:val="Reftext"/>
      </w:pPr>
      <w:r w:rsidRPr="00351422">
        <w:t xml:space="preserve">Recomendación </w:t>
      </w:r>
      <w:hyperlink r:id="rId21" w:history="1">
        <w:r w:rsidRPr="00351422">
          <w:rPr>
            <w:rStyle w:val="Hyperlink"/>
            <w:color w:val="auto"/>
            <w:u w:val="none"/>
          </w:rPr>
          <w:t>UIT-R RA.1513</w:t>
        </w:r>
      </w:hyperlink>
      <w:r w:rsidRPr="00351422">
        <w:t xml:space="preserve"> – Niveles de las pérdidas de datos en las observaciones de radioastronomía y criterios sobre el porcentaje de tiempo como resultado de la degradación causada por la interferencia en las bandas de frecuencias atribuidas a título primario al servicio de radioastronomía</w:t>
      </w:r>
    </w:p>
    <w:p w14:paraId="2E3E0F05" w14:textId="61DB1886" w:rsidR="00737E11" w:rsidRPr="00351422" w:rsidRDefault="00737E11" w:rsidP="00737E11">
      <w:pPr>
        <w:pStyle w:val="Reftext"/>
      </w:pPr>
      <w:r w:rsidRPr="00351422">
        <w:t xml:space="preserve">Recomendación </w:t>
      </w:r>
      <w:hyperlink r:id="rId22" w:history="1">
        <w:r w:rsidRPr="00351422">
          <w:rPr>
            <w:rStyle w:val="Hyperlink"/>
            <w:color w:val="auto"/>
            <w:u w:val="none"/>
          </w:rPr>
          <w:t>UIT-R M.1583</w:t>
        </w:r>
      </w:hyperlink>
      <w:r w:rsidRPr="00351422">
        <w:t xml:space="preserve"> – Cálculo de la interferencia entre los sistemas no geoestacionarios del servicio móvil por satélite o del servicio de radionavegación por satélite y los emplazamientos de los telescopios de radioastronomía</w:t>
      </w:r>
    </w:p>
    <w:p w14:paraId="1DD2F49B" w14:textId="24006496" w:rsidR="00737E11" w:rsidRPr="00351422" w:rsidRDefault="00737E11" w:rsidP="00737E11">
      <w:pPr>
        <w:pStyle w:val="Reftext"/>
      </w:pPr>
      <w:r w:rsidRPr="00351422">
        <w:t xml:space="preserve">Recomendación </w:t>
      </w:r>
      <w:hyperlink r:id="rId23" w:history="1">
        <w:r w:rsidRPr="00351422">
          <w:rPr>
            <w:rStyle w:val="Hyperlink"/>
            <w:color w:val="auto"/>
            <w:u w:val="none"/>
          </w:rPr>
          <w:t>UIT-R RA.1631</w:t>
        </w:r>
      </w:hyperlink>
      <w:r w:rsidRPr="00351422">
        <w:t xml:space="preserve"> – Diagrama de antena de referencia de radioastronomía para uso en el análisis de compatibilidad entre sistemas no OSG y estaciones del servicio de radioastronomía basado en el concepto de dfpe</w:t>
      </w:r>
    </w:p>
    <w:p w14:paraId="40FEA438" w14:textId="76352E42" w:rsidR="00737E11" w:rsidRPr="00351422" w:rsidRDefault="00737E11" w:rsidP="00737E11">
      <w:pPr>
        <w:pStyle w:val="Reftext"/>
      </w:pPr>
      <w:r w:rsidRPr="00351422">
        <w:t xml:space="preserve">Recomendación </w:t>
      </w:r>
      <w:hyperlink r:id="rId24" w:history="1">
        <w:r w:rsidRPr="00351422">
          <w:rPr>
            <w:rStyle w:val="Hyperlink"/>
            <w:color w:val="auto"/>
            <w:u w:val="none"/>
          </w:rPr>
          <w:t>UIT-R RS.2066</w:t>
        </w:r>
      </w:hyperlink>
      <w:r w:rsidRPr="00351422">
        <w:t xml:space="preserve"> – Protección del servicio de radioastronomía en la banda de frecuencias 10,6</w:t>
      </w:r>
      <w:r w:rsidR="00111B74" w:rsidRPr="00351422">
        <w:noBreakHyphen/>
      </w:r>
      <w:r w:rsidRPr="00351422">
        <w:t>10,7</w:t>
      </w:r>
      <w:r w:rsidR="00111B74" w:rsidRPr="00351422">
        <w:t> </w:t>
      </w:r>
      <w:r w:rsidRPr="00351422">
        <w:t>GHz contra emisiones no deseadas de radares de apertura sintética que funcionan en el servicio de exploración de la Tierra por satélite (activo) a alrededor de 9</w:t>
      </w:r>
      <w:r w:rsidR="00111B74" w:rsidRPr="00351422">
        <w:t> </w:t>
      </w:r>
      <w:r w:rsidRPr="00351422">
        <w:t>600</w:t>
      </w:r>
      <w:r w:rsidR="00111B74" w:rsidRPr="00351422">
        <w:t> </w:t>
      </w:r>
      <w:r w:rsidRPr="00351422">
        <w:t>MHz</w:t>
      </w:r>
    </w:p>
    <w:p w14:paraId="03EEBDE2" w14:textId="02DC513C" w:rsidR="00737E11" w:rsidRPr="00351422" w:rsidRDefault="00737E11" w:rsidP="00737E11">
      <w:pPr>
        <w:pStyle w:val="Reftext"/>
      </w:pPr>
      <w:r w:rsidRPr="00351422">
        <w:t xml:space="preserve">Recomendación </w:t>
      </w:r>
      <w:hyperlink r:id="rId25" w:history="1">
        <w:r w:rsidRPr="00351422">
          <w:rPr>
            <w:rStyle w:val="Hyperlink"/>
            <w:color w:val="auto"/>
            <w:u w:val="none"/>
          </w:rPr>
          <w:t>UIT-R M.2101</w:t>
        </w:r>
      </w:hyperlink>
      <w:r w:rsidRPr="00351422">
        <w:t xml:space="preserve"> – Modelización y simulación de redes y sistemas IMT con miras a su utilización en estudios de compartición y compatibilidad</w:t>
      </w:r>
    </w:p>
    <w:p w14:paraId="78F729CA" w14:textId="18D89ED0" w:rsidR="00737E11" w:rsidRPr="00351422" w:rsidRDefault="00737E11" w:rsidP="00737E11">
      <w:pPr>
        <w:pStyle w:val="Reftext"/>
      </w:pPr>
      <w:r w:rsidRPr="00351422">
        <w:lastRenderedPageBreak/>
        <w:t xml:space="preserve">Recomendación </w:t>
      </w:r>
      <w:hyperlink r:id="rId26" w:history="1">
        <w:r w:rsidRPr="00351422">
          <w:rPr>
            <w:rStyle w:val="Hyperlink"/>
            <w:color w:val="auto"/>
            <w:u w:val="none"/>
          </w:rPr>
          <w:t>UIT-R P.2108</w:t>
        </w:r>
      </w:hyperlink>
      <w:r w:rsidRPr="00351422">
        <w:t xml:space="preserve"> – Predicción de las pérdidas debidas a la ocupación del suelo</w:t>
      </w:r>
    </w:p>
    <w:p w14:paraId="3D0B2E68" w14:textId="6DE05F46" w:rsidR="00737E11" w:rsidRPr="00351422" w:rsidRDefault="00737E11" w:rsidP="00737E11">
      <w:pPr>
        <w:pStyle w:val="Reftext"/>
      </w:pPr>
      <w:r w:rsidRPr="00351422">
        <w:t xml:space="preserve">Recomendación </w:t>
      </w:r>
      <w:hyperlink r:id="rId27" w:history="1">
        <w:r w:rsidRPr="00351422">
          <w:rPr>
            <w:rStyle w:val="Hyperlink"/>
            <w:color w:val="auto"/>
            <w:u w:val="none"/>
          </w:rPr>
          <w:t>UIT-R P.2109</w:t>
        </w:r>
      </w:hyperlink>
      <w:r w:rsidRPr="00351422">
        <w:t xml:space="preserve"> – Predicción de las pérdidas debidas a la penetración en edificios</w:t>
      </w:r>
    </w:p>
    <w:p w14:paraId="710027B7" w14:textId="77777777" w:rsidR="00737E11" w:rsidRPr="00351422" w:rsidRDefault="00737E11" w:rsidP="00737E11">
      <w:pPr>
        <w:pStyle w:val="Reftext"/>
      </w:pPr>
      <w:r w:rsidRPr="00351422">
        <w:t xml:space="preserve">Informe </w:t>
      </w:r>
      <w:hyperlink r:id="rId28" w:history="1">
        <w:r w:rsidRPr="00351422">
          <w:rPr>
            <w:rStyle w:val="Hyperlink"/>
            <w:color w:val="auto"/>
            <w:u w:val="none"/>
          </w:rPr>
          <w:t>UIT-R RA.2126</w:t>
        </w:r>
      </w:hyperlink>
      <w:r w:rsidRPr="00351422">
        <w:t xml:space="preserve"> – </w:t>
      </w:r>
      <w:r w:rsidRPr="00351422">
        <w:rPr>
          <w:i/>
          <w:iCs/>
          <w:lang w:val="en-US"/>
        </w:rPr>
        <w:t>Techniques for mitigation of radio frequency interference in radio astronomy</w:t>
      </w:r>
    </w:p>
    <w:p w14:paraId="2E0092D0" w14:textId="77777777" w:rsidR="00737E11" w:rsidRPr="00351422" w:rsidRDefault="00737E11" w:rsidP="00737E11">
      <w:pPr>
        <w:pStyle w:val="Reftext"/>
        <w:rPr>
          <w:i/>
          <w:iCs/>
        </w:rPr>
      </w:pPr>
      <w:r w:rsidRPr="00351422">
        <w:t xml:space="preserve">Informe </w:t>
      </w:r>
      <w:hyperlink r:id="rId29" w:history="1">
        <w:r w:rsidRPr="00351422">
          <w:rPr>
            <w:rStyle w:val="Hyperlink"/>
            <w:color w:val="auto"/>
            <w:u w:val="none"/>
          </w:rPr>
          <w:t>UIT-R RA.2131</w:t>
        </w:r>
      </w:hyperlink>
      <w:r w:rsidRPr="00351422">
        <w:t xml:space="preserve"> – </w:t>
      </w:r>
      <w:r w:rsidRPr="00351422">
        <w:rPr>
          <w:i/>
          <w:iCs/>
          <w:lang w:val="en-US"/>
        </w:rPr>
        <w:t>Supplementary information on the detrimental threshold levels of interference to radio astronomy observations in Recommendation ITU-R RA.769</w:t>
      </w:r>
    </w:p>
    <w:p w14:paraId="670D0ECD" w14:textId="77777777" w:rsidR="00737E11" w:rsidRPr="00351422" w:rsidRDefault="00737E11" w:rsidP="00737E11">
      <w:pPr>
        <w:pStyle w:val="Reftext"/>
      </w:pPr>
      <w:r w:rsidRPr="00351422">
        <w:t xml:space="preserve">Informe </w:t>
      </w:r>
      <w:hyperlink r:id="rId30" w:history="1">
        <w:r w:rsidRPr="00351422">
          <w:rPr>
            <w:rStyle w:val="Hyperlink"/>
            <w:color w:val="auto"/>
            <w:u w:val="none"/>
          </w:rPr>
          <w:t>UIT-R RA.2188</w:t>
        </w:r>
      </w:hyperlink>
      <w:r w:rsidRPr="00351422">
        <w:t xml:space="preserve"> – </w:t>
      </w:r>
      <w:r w:rsidRPr="00351422">
        <w:rPr>
          <w:i/>
          <w:iCs/>
          <w:lang w:val="en-US"/>
        </w:rPr>
        <w:t>Power flux-density and e.i.r.p. levels potentially damaging to radio astronomy receivers</w:t>
      </w:r>
    </w:p>
    <w:p w14:paraId="7AFDB51F" w14:textId="77777777" w:rsidR="00737E11" w:rsidRPr="00351422" w:rsidRDefault="00737E11" w:rsidP="00737E11">
      <w:pPr>
        <w:pStyle w:val="Reftext"/>
      </w:pPr>
      <w:r w:rsidRPr="00351422">
        <w:t xml:space="preserve">Informe </w:t>
      </w:r>
      <w:hyperlink r:id="rId31" w:history="1">
        <w:r w:rsidRPr="00351422">
          <w:rPr>
            <w:rStyle w:val="Hyperlink"/>
            <w:color w:val="auto"/>
            <w:u w:val="none"/>
          </w:rPr>
          <w:t>UIT-R RA.2259</w:t>
        </w:r>
      </w:hyperlink>
      <w:r w:rsidRPr="00351422">
        <w:t xml:space="preserve"> – </w:t>
      </w:r>
      <w:r w:rsidRPr="00351422">
        <w:rPr>
          <w:i/>
          <w:iCs/>
          <w:lang w:val="en-US"/>
        </w:rPr>
        <w:t>Characteristics of radio quiet zones</w:t>
      </w:r>
    </w:p>
    <w:p w14:paraId="721A609E" w14:textId="77777777" w:rsidR="00737E11" w:rsidRPr="00351422" w:rsidRDefault="00737E11" w:rsidP="00737E11">
      <w:pPr>
        <w:pStyle w:val="Reftext"/>
      </w:pPr>
      <w:r w:rsidRPr="00351422">
        <w:t xml:space="preserve">Informe </w:t>
      </w:r>
      <w:hyperlink r:id="rId32" w:history="1">
        <w:r w:rsidRPr="00351422">
          <w:rPr>
            <w:rStyle w:val="Hyperlink"/>
            <w:color w:val="auto"/>
            <w:u w:val="none"/>
          </w:rPr>
          <w:t>UIT-R RA.2428</w:t>
        </w:r>
      </w:hyperlink>
      <w:r w:rsidRPr="00351422">
        <w:t xml:space="preserve"> – </w:t>
      </w:r>
      <w:r w:rsidRPr="00351422">
        <w:rPr>
          <w:i/>
          <w:iCs/>
          <w:lang w:val="en-US"/>
        </w:rPr>
        <w:t>Parameters needed for the registration of distributed radio astronomy systems</w:t>
      </w:r>
      <w:r w:rsidRPr="00351422">
        <w:t xml:space="preserve"> </w:t>
      </w:r>
    </w:p>
    <w:p w14:paraId="78F97F10" w14:textId="77777777" w:rsidR="00737E11" w:rsidRPr="00351422" w:rsidRDefault="00737E11" w:rsidP="00737E11">
      <w:pPr>
        <w:pStyle w:val="Reftext"/>
      </w:pPr>
      <w:r w:rsidRPr="00351422">
        <w:t xml:space="preserve">Informe </w:t>
      </w:r>
      <w:hyperlink r:id="rId33" w:history="1">
        <w:r w:rsidRPr="00351422">
          <w:rPr>
            <w:rStyle w:val="Hyperlink"/>
            <w:color w:val="auto"/>
            <w:u w:val="none"/>
          </w:rPr>
          <w:t>UIT-R RA.2507</w:t>
        </w:r>
      </w:hyperlink>
      <w:r w:rsidRPr="00351422">
        <w:t xml:space="preserve"> – </w:t>
      </w:r>
      <w:r w:rsidRPr="00351422">
        <w:rPr>
          <w:i/>
          <w:iCs/>
          <w:lang w:val="en-US"/>
        </w:rPr>
        <w:t>Technical and operational characteristics of the existing and planned Geodetic Very Long Baseline Interferometry</w:t>
      </w:r>
    </w:p>
    <w:p w14:paraId="168C77C9" w14:textId="77777777" w:rsidR="00737E11" w:rsidRPr="00D015E1" w:rsidRDefault="00737E11" w:rsidP="00737E11">
      <w:pPr>
        <w:pStyle w:val="Normalaftertitle"/>
      </w:pPr>
      <w:r w:rsidRPr="00D015E1">
        <w:t>La Asamblea de Radiocomunicaciones de la UIT,</w:t>
      </w:r>
    </w:p>
    <w:p w14:paraId="25DC0DF2" w14:textId="77777777" w:rsidR="00737E11" w:rsidRPr="00D015E1" w:rsidRDefault="00737E11" w:rsidP="00737E11">
      <w:pPr>
        <w:pStyle w:val="Call"/>
      </w:pPr>
      <w:r w:rsidRPr="00D015E1">
        <w:t>considerando</w:t>
      </w:r>
    </w:p>
    <w:p w14:paraId="060FD209" w14:textId="77777777" w:rsidR="00737E11" w:rsidRPr="00D015E1" w:rsidRDefault="00737E11" w:rsidP="00737E11">
      <w:r w:rsidRPr="00D015E1">
        <w:rPr>
          <w:i/>
          <w:iCs/>
        </w:rPr>
        <w:t>a)</w:t>
      </w:r>
      <w:r w:rsidRPr="00D015E1">
        <w:tab/>
        <w:t>que la interferometría de línea de base muy larga (VLBI) es la técnica de medición más precisa para determinar posiciones en el universo y en la Tierra, y que, por tanto, constituye una herramienta fundamental para la ciencia y las aplicaciones relacionadas con la radioastronomía y la geodesia;</w:t>
      </w:r>
    </w:p>
    <w:p w14:paraId="27F963EF" w14:textId="77777777" w:rsidR="00737E11" w:rsidRPr="00D015E1" w:rsidRDefault="00737E11" w:rsidP="00737E11">
      <w:r w:rsidRPr="00D015E1">
        <w:rPr>
          <w:i/>
          <w:iCs/>
        </w:rPr>
        <w:t>b)</w:t>
      </w:r>
      <w:r w:rsidRPr="00D015E1">
        <w:tab/>
        <w:t>que los productos de VLBI geodésica son el Marco de Referencia Celeste, el Marco de Referencia Terrestre y los Parámetros de Orientación de la Tierra conexos, incluidas la posición del eje de rotación y la longitud del día. Estos se utilizan para la geodesia, la vigilancia del cambio global y las aplicaciones de navegación espacial y determinación de órbitas de satélites;</w:t>
      </w:r>
    </w:p>
    <w:p w14:paraId="257B984D" w14:textId="77777777" w:rsidR="00737E11" w:rsidRPr="00D015E1" w:rsidRDefault="00737E11" w:rsidP="00737E11">
      <w:r w:rsidRPr="00D015E1">
        <w:rPr>
          <w:i/>
          <w:iCs/>
        </w:rPr>
        <w:t>c)</w:t>
      </w:r>
      <w:r w:rsidRPr="00D015E1">
        <w:tab/>
        <w:t>que, a efectos de la VLBI geodésica, se utilizan redes mundiales de radiotelescopios independientes que observan fuentes radioeléctricas cósmicas a diario de forma simultánea;</w:t>
      </w:r>
    </w:p>
    <w:p w14:paraId="118E7899" w14:textId="6DA3E7A6" w:rsidR="00737E11" w:rsidRPr="00D015E1" w:rsidRDefault="00737E11" w:rsidP="00737E11">
      <w:r w:rsidRPr="00D015E1">
        <w:rPr>
          <w:i/>
          <w:iCs/>
        </w:rPr>
        <w:t>d)</w:t>
      </w:r>
      <w:r w:rsidRPr="00D015E1">
        <w:rPr>
          <w:i/>
          <w:iCs/>
        </w:rPr>
        <w:tab/>
      </w:r>
      <w:r w:rsidRPr="00D015E1">
        <w:t>que la gama de frecuencias 2-14</w:t>
      </w:r>
      <w:r w:rsidR="00855475">
        <w:t> </w:t>
      </w:r>
      <w:r w:rsidRPr="00D015E1">
        <w:t>GHz es la más adecuada para las observaciones de VLBI geodésica debido a las propiedades físicas de la atmósfera en dicha gama, y que, para cumplir los objetivos de calidad de funcionamiento del sistema mundial de observación geodésica, se requiere un mínimo de 32 canales, dotados de un ancho de banda de 32</w:t>
      </w:r>
      <w:r w:rsidR="00855475">
        <w:t> </w:t>
      </w:r>
      <w:r w:rsidRPr="00D015E1">
        <w:t>MHz cada uno. Dentro de esa gama, el servicio de radioastronomía dispone de las siguientes atribuciones: 2</w:t>
      </w:r>
      <w:r w:rsidR="00855475">
        <w:t> </w:t>
      </w:r>
      <w:r w:rsidRPr="00D015E1">
        <w:t>655-2</w:t>
      </w:r>
      <w:r w:rsidR="00855475">
        <w:t> </w:t>
      </w:r>
      <w:r w:rsidRPr="00D015E1">
        <w:t>670</w:t>
      </w:r>
      <w:r w:rsidR="00855475">
        <w:t> </w:t>
      </w:r>
      <w:r w:rsidRPr="00D015E1">
        <w:t>MHz (a título secundario), 2</w:t>
      </w:r>
      <w:r w:rsidR="00855475">
        <w:t> </w:t>
      </w:r>
      <w:r w:rsidRPr="00D015E1">
        <w:t>670-2</w:t>
      </w:r>
      <w:r w:rsidR="00855475">
        <w:t> </w:t>
      </w:r>
      <w:r w:rsidRPr="00D015E1">
        <w:t>690</w:t>
      </w:r>
      <w:r w:rsidR="00855475">
        <w:t> </w:t>
      </w:r>
      <w:r w:rsidRPr="00D015E1">
        <w:t>MHz (a título secundario), 2</w:t>
      </w:r>
      <w:r w:rsidR="00855475">
        <w:t> </w:t>
      </w:r>
      <w:r w:rsidRPr="00D015E1">
        <w:t>690-2</w:t>
      </w:r>
      <w:r w:rsidR="00855475">
        <w:t> </w:t>
      </w:r>
      <w:r w:rsidRPr="00D015E1">
        <w:t>700</w:t>
      </w:r>
      <w:r w:rsidR="00855475">
        <w:t> </w:t>
      </w:r>
      <w:r w:rsidRPr="00D015E1">
        <w:t>MHz (a título primario), 4</w:t>
      </w:r>
      <w:r w:rsidR="00855475">
        <w:t> </w:t>
      </w:r>
      <w:r w:rsidRPr="00D015E1">
        <w:t>800</w:t>
      </w:r>
      <w:r w:rsidR="00855475">
        <w:noBreakHyphen/>
      </w:r>
      <w:r w:rsidRPr="00D015E1">
        <w:t>4</w:t>
      </w:r>
      <w:r w:rsidR="00855475">
        <w:t> </w:t>
      </w:r>
      <w:r w:rsidRPr="00D015E1">
        <w:t>990</w:t>
      </w:r>
      <w:r w:rsidR="00855475">
        <w:t> </w:t>
      </w:r>
      <w:r w:rsidRPr="00D015E1">
        <w:t>MHz (a título secundario), 4</w:t>
      </w:r>
      <w:r w:rsidR="00855475">
        <w:t> </w:t>
      </w:r>
      <w:r w:rsidRPr="00D015E1">
        <w:t>990-5</w:t>
      </w:r>
      <w:r w:rsidR="00855475">
        <w:t> </w:t>
      </w:r>
      <w:r w:rsidRPr="00D015E1">
        <w:t>000</w:t>
      </w:r>
      <w:r w:rsidR="00855475">
        <w:t> </w:t>
      </w:r>
      <w:r w:rsidRPr="00D015E1">
        <w:t>MHz (a título primario), 10</w:t>
      </w:r>
      <w:r w:rsidR="00855475">
        <w:t> </w:t>
      </w:r>
      <w:r w:rsidRPr="00D015E1">
        <w:t>600-10</w:t>
      </w:r>
      <w:r w:rsidR="00855475">
        <w:t> </w:t>
      </w:r>
      <w:r w:rsidRPr="00D015E1">
        <w:t>680</w:t>
      </w:r>
      <w:r w:rsidR="00855475">
        <w:t> </w:t>
      </w:r>
      <w:r w:rsidRPr="00D015E1">
        <w:t>MHz (a título primario/compartido) y 10</w:t>
      </w:r>
      <w:r w:rsidR="00855475">
        <w:t> </w:t>
      </w:r>
      <w:r w:rsidRPr="00D015E1">
        <w:t>680-10</w:t>
      </w:r>
      <w:r w:rsidR="00855475">
        <w:t> </w:t>
      </w:r>
      <w:r w:rsidRPr="00D015E1">
        <w:t>700</w:t>
      </w:r>
      <w:r w:rsidR="00855475">
        <w:t> </w:t>
      </w:r>
      <w:r w:rsidRPr="00D015E1">
        <w:t>MHz (a título primario), lo que podría no ser suficiente para cumplir los objetivos de calidad de funcionamiento;</w:t>
      </w:r>
    </w:p>
    <w:p w14:paraId="21B54905" w14:textId="77777777" w:rsidR="00737E11" w:rsidRPr="00D015E1" w:rsidRDefault="00737E11" w:rsidP="00737E11">
      <w:r w:rsidRPr="00D015E1">
        <w:rPr>
          <w:i/>
          <w:iCs/>
        </w:rPr>
        <w:t>e)</w:t>
      </w:r>
      <w:r w:rsidRPr="00D015E1">
        <w:tab/>
        <w:t>que, en determinadas circunstancias, el rendimiento de las observaciones y, en consecuencia, la calidad de los productos de datos geodésicos podrían verse mermados</w:t>
      </w:r>
      <w:bookmarkStart w:id="3" w:name="_Hlk193409694"/>
      <w:r w:rsidRPr="00D015E1">
        <w:t xml:space="preserve"> por las emisiones de transmisores terrenales e instalados a bordo de vehículos espaciales;</w:t>
      </w:r>
    </w:p>
    <w:bookmarkEnd w:id="3"/>
    <w:p w14:paraId="42BF0A93" w14:textId="77777777" w:rsidR="00737E11" w:rsidRPr="00D015E1" w:rsidRDefault="00737E11" w:rsidP="00737E11">
      <w:r w:rsidRPr="00D015E1">
        <w:rPr>
          <w:i/>
          <w:iCs/>
        </w:rPr>
        <w:t>f)</w:t>
      </w:r>
      <w:r w:rsidRPr="00D015E1">
        <w:tab/>
        <w:t>que las estaciones de VLBI geodésica forman parte de una infraestructura de red mundial, que solo puede funcionar si todas las estaciones que la componen realizan observaciones al mismo tiempo y en las mismas bandas de frecuencias, sin verse afectadas por interferencias perjudiciales,</w:t>
      </w:r>
    </w:p>
    <w:p w14:paraId="3605875D" w14:textId="77777777" w:rsidR="00737E11" w:rsidRPr="00D015E1" w:rsidRDefault="00737E11" w:rsidP="00737E11">
      <w:pPr>
        <w:pStyle w:val="Call"/>
      </w:pPr>
      <w:r w:rsidRPr="00D015E1">
        <w:t>considerando además</w:t>
      </w:r>
    </w:p>
    <w:p w14:paraId="0D26CC16" w14:textId="77777777" w:rsidR="00737E11" w:rsidRPr="00D015E1" w:rsidRDefault="00737E11" w:rsidP="00737E11">
      <w:r w:rsidRPr="00D015E1">
        <w:rPr>
          <w:i/>
          <w:iCs/>
        </w:rPr>
        <w:t>a)</w:t>
      </w:r>
      <w:r w:rsidRPr="00D015E1">
        <w:tab/>
        <w:t>que las estaciones de VLBI geodésica se explotan en el marco del servicio de radioastronomía (SRA);</w:t>
      </w:r>
    </w:p>
    <w:p w14:paraId="24701E8B" w14:textId="77777777" w:rsidR="00737E11" w:rsidRPr="00160F1C" w:rsidRDefault="00737E11" w:rsidP="00737E11">
      <w:r w:rsidRPr="00D015E1">
        <w:rPr>
          <w:i/>
          <w:iCs/>
        </w:rPr>
        <w:lastRenderedPageBreak/>
        <w:t>b)</w:t>
      </w:r>
      <w:r w:rsidRPr="00D015E1">
        <w:tab/>
        <w:t xml:space="preserve">que, en </w:t>
      </w:r>
      <w:r w:rsidRPr="00160F1C">
        <w:t xml:space="preserve">el Informe </w:t>
      </w:r>
      <w:hyperlink r:id="rId34" w:history="1">
        <w:r w:rsidRPr="00160F1C">
          <w:rPr>
            <w:rStyle w:val="Hyperlink"/>
            <w:color w:val="auto"/>
            <w:u w:val="none"/>
          </w:rPr>
          <w:t>UIT-R RA.2507</w:t>
        </w:r>
      </w:hyperlink>
      <w:r w:rsidRPr="00160F1C">
        <w:t xml:space="preserve">, se recogen las características técnicas y operativas de los sistemas de VLBI geodésica existentes y previstos, se aborda en líneas generales el funcionamiento de la red mundial y se describen estrategias para maximizar la calidad de funcionamiento del sistema; </w:t>
      </w:r>
    </w:p>
    <w:p w14:paraId="7C5076F6" w14:textId="48589C93" w:rsidR="00737E11" w:rsidRPr="00160F1C" w:rsidRDefault="00737E11" w:rsidP="00737E11">
      <w:r w:rsidRPr="00160F1C">
        <w:rPr>
          <w:i/>
          <w:iCs/>
        </w:rPr>
        <w:t>c)</w:t>
      </w:r>
      <w:r w:rsidRPr="00160F1C">
        <w:tab/>
        <w:t xml:space="preserve">que, en el Informe </w:t>
      </w:r>
      <w:hyperlink r:id="rId35" w:history="1">
        <w:r w:rsidRPr="00160F1C">
          <w:rPr>
            <w:rStyle w:val="Hyperlink"/>
            <w:color w:val="auto"/>
            <w:u w:val="none"/>
          </w:rPr>
          <w:t>UIT-R RA.2507</w:t>
        </w:r>
      </w:hyperlink>
      <w:r w:rsidRPr="00160F1C">
        <w:t xml:space="preserve">, se recogen los niveles umbral de interferencia que pueden afectar negativamente a los sistemas de observación de VLBI, los cuales derivan de los niveles de interferencia especificados en el Cuadro 3 de la Recomendación </w:t>
      </w:r>
      <w:hyperlink r:id="rId36" w:history="1">
        <w:r w:rsidRPr="00160F1C">
          <w:rPr>
            <w:rStyle w:val="Hyperlink"/>
            <w:color w:val="auto"/>
            <w:u w:val="none"/>
          </w:rPr>
          <w:t>UIT-R RA.769</w:t>
        </w:r>
      </w:hyperlink>
      <w:r w:rsidRPr="00160F1C">
        <w:t>;</w:t>
      </w:r>
    </w:p>
    <w:p w14:paraId="35F0AB9C" w14:textId="18893228" w:rsidR="00737E11" w:rsidRPr="00160F1C" w:rsidRDefault="00737E11" w:rsidP="00737E11">
      <w:r w:rsidRPr="00160F1C">
        <w:rPr>
          <w:i/>
          <w:iCs/>
        </w:rPr>
        <w:t>d)</w:t>
      </w:r>
      <w:r w:rsidRPr="00160F1C">
        <w:tab/>
        <w:t xml:space="preserve">que, en el Informe </w:t>
      </w:r>
      <w:hyperlink r:id="rId37" w:history="1">
        <w:r w:rsidRPr="00160F1C">
          <w:rPr>
            <w:rStyle w:val="Hyperlink"/>
            <w:color w:val="auto"/>
            <w:u w:val="none"/>
          </w:rPr>
          <w:t>UIT-R RA.2259</w:t>
        </w:r>
      </w:hyperlink>
      <w:r w:rsidRPr="00160F1C">
        <w:t xml:space="preserve">, se describen las características de las zonas de silencio radioeléctrico, con miras a garantizar la observación </w:t>
      </w:r>
      <w:r w:rsidR="00DA76A4" w:rsidRPr="00DA76A4">
        <w:t>sin perturbaciones</w:t>
      </w:r>
      <w:r w:rsidR="00DA76A4">
        <w:t xml:space="preserve"> </w:t>
      </w:r>
      <w:r w:rsidRPr="00160F1C">
        <w:t>de la radiación cósmica,</w:t>
      </w:r>
    </w:p>
    <w:p w14:paraId="6CF45D68" w14:textId="77777777" w:rsidR="00737E11" w:rsidRPr="00160F1C" w:rsidRDefault="00737E11" w:rsidP="00737E11">
      <w:pPr>
        <w:pStyle w:val="Call"/>
      </w:pPr>
      <w:r w:rsidRPr="00160F1C">
        <w:t>reconociendo</w:t>
      </w:r>
    </w:p>
    <w:p w14:paraId="75B04189" w14:textId="294442C0" w:rsidR="00737E11" w:rsidRPr="00160F1C" w:rsidRDefault="00737E11" w:rsidP="00737E11">
      <w:r w:rsidRPr="00160F1C">
        <w:t xml:space="preserve">que, en la Recomendación </w:t>
      </w:r>
      <w:hyperlink r:id="rId38" w:history="1">
        <w:r w:rsidRPr="00160F1C">
          <w:rPr>
            <w:rStyle w:val="Hyperlink"/>
            <w:color w:val="auto"/>
            <w:u w:val="none"/>
          </w:rPr>
          <w:t>UIT-R TF.460</w:t>
        </w:r>
      </w:hyperlink>
      <w:r w:rsidRPr="00160F1C">
        <w:rPr>
          <w:rStyle w:val="Hyperlink"/>
          <w:color w:val="auto"/>
          <w:u w:val="none"/>
        </w:rPr>
        <w:t xml:space="preserve">, </w:t>
      </w:r>
      <w:r w:rsidRPr="00160F1C">
        <w:t>el UT1 se describe como el UT0 con correcciones de los ligeros movimientos de la Tierra con relación al eje de rotación (variación polar), y que dichos movimientos se miden mediante VLBI geodésica,</w:t>
      </w:r>
    </w:p>
    <w:p w14:paraId="05CF0E33" w14:textId="77777777" w:rsidR="00737E11" w:rsidRPr="00160F1C" w:rsidRDefault="00737E11" w:rsidP="00737E11">
      <w:pPr>
        <w:pStyle w:val="Call"/>
      </w:pPr>
      <w:r w:rsidRPr="00160F1C">
        <w:t>observando</w:t>
      </w:r>
    </w:p>
    <w:p w14:paraId="73605D84" w14:textId="1CD13B28" w:rsidR="00737E11" w:rsidRPr="00160F1C" w:rsidRDefault="00737E11" w:rsidP="00737E11">
      <w:r w:rsidRPr="00160F1C">
        <w:rPr>
          <w:i/>
          <w:iCs/>
        </w:rPr>
        <w:t>a)</w:t>
      </w:r>
      <w:r w:rsidRPr="00160F1C">
        <w:tab/>
        <w:t>que la Resolución 69/266 de la Asamblea General de las Naciones Unidas insta al mantenimiento de un marco de referencia geodésico mundial para el desarrollo sostenible, lo que requiere productos de VLBI geodésica;</w:t>
      </w:r>
    </w:p>
    <w:p w14:paraId="52F08A7C" w14:textId="77777777" w:rsidR="00737E11" w:rsidRPr="00160F1C" w:rsidRDefault="00737E11" w:rsidP="00737E11">
      <w:r w:rsidRPr="00160F1C">
        <w:rPr>
          <w:i/>
          <w:iCs/>
        </w:rPr>
        <w:t>b)</w:t>
      </w:r>
      <w:r w:rsidRPr="00160F1C">
        <w:tab/>
        <w:t>que la Resolución B1 de la Asamblea General de la Unión Astronómica Internacional de 2021 y la Resolución 1 de la Asamblea General de la Unión Internacional de Geodesia y Geofísica de 2023 instan a adoptar medidas en favor de la protección de la VLBI geodésica;</w:t>
      </w:r>
    </w:p>
    <w:p w14:paraId="70FDA8DC" w14:textId="77777777" w:rsidR="00737E11" w:rsidRPr="00160F1C" w:rsidRDefault="00737E11" w:rsidP="00737E11">
      <w:r w:rsidRPr="00160F1C">
        <w:rPr>
          <w:i/>
          <w:iCs/>
        </w:rPr>
        <w:t>c)</w:t>
      </w:r>
      <w:r w:rsidRPr="00160F1C">
        <w:tab/>
        <w:t>que, en su informe de políticas n.º 3, el Centro de Excelencia Geodésico Mundial de las Naciones Unidas insta a salvaguardar las radiofrecuencias de VLBI;</w:t>
      </w:r>
    </w:p>
    <w:p w14:paraId="4E43FCC0" w14:textId="77777777" w:rsidR="00737E11" w:rsidRPr="00160F1C" w:rsidRDefault="00737E11" w:rsidP="00737E11">
      <w:r w:rsidRPr="00160F1C">
        <w:rPr>
          <w:i/>
          <w:iCs/>
        </w:rPr>
        <w:t>d)</w:t>
      </w:r>
      <w:r w:rsidRPr="00160F1C">
        <w:tab/>
        <w:t>que el desarrollo futuro de la VLBI se vería favorecido si las administraciones brindasen apoyo a observatorios dedicados a la investigación y el desarrollo de métodos de atenuación de las interferencias, incluida la mejora de la resiliencia de los receptores y de las técnicas de análisis de datos,</w:t>
      </w:r>
    </w:p>
    <w:p w14:paraId="21444345" w14:textId="77777777" w:rsidR="00737E11" w:rsidRPr="00160F1C" w:rsidRDefault="00737E11" w:rsidP="00737E11">
      <w:pPr>
        <w:pStyle w:val="Call"/>
      </w:pPr>
      <w:r w:rsidRPr="00160F1C">
        <w:t>recomienda</w:t>
      </w:r>
    </w:p>
    <w:p w14:paraId="52D568A9" w14:textId="77777777" w:rsidR="00737E11" w:rsidRPr="00160F1C" w:rsidRDefault="00737E11" w:rsidP="00737E11">
      <w:r w:rsidRPr="00160F1C">
        <w:t>1</w:t>
      </w:r>
      <w:r w:rsidRPr="00160F1C">
        <w:tab/>
        <w:t xml:space="preserve">que las administraciones consideren tener en cuenta que el uso de datos de VLBI geodésica reviste una importancia crucial para otros servicios de radiocomunicaciones, según se indica en el Informe </w:t>
      </w:r>
      <w:hyperlink r:id="rId39" w:history="1">
        <w:r w:rsidRPr="00160F1C">
          <w:rPr>
            <w:rStyle w:val="Hyperlink"/>
            <w:color w:val="auto"/>
            <w:u w:val="none"/>
          </w:rPr>
          <w:t>UIT-R RA.2507</w:t>
        </w:r>
      </w:hyperlink>
      <w:r w:rsidRPr="00160F1C">
        <w:t>;</w:t>
      </w:r>
    </w:p>
    <w:p w14:paraId="601CF6E1" w14:textId="53710302" w:rsidR="00737E11" w:rsidRPr="00D015E1" w:rsidRDefault="00737E11" w:rsidP="00737E11">
      <w:r w:rsidRPr="00160F1C">
        <w:t>2</w:t>
      </w:r>
      <w:r w:rsidRPr="00160F1C">
        <w:tab/>
      </w:r>
      <w:r w:rsidRPr="00160F1C">
        <w:rPr>
          <w:bCs/>
        </w:rPr>
        <w:t xml:space="preserve">que </w:t>
      </w:r>
      <w:r w:rsidRPr="00160F1C">
        <w:t xml:space="preserve">las administraciones consideren, si procede, la posibilidad de registrar sus </w:t>
      </w:r>
      <w:r w:rsidRPr="00D015E1">
        <w:t>emplazamientos de VLBI geodésica, conforme a lo estipulado en el número</w:t>
      </w:r>
      <w:r w:rsidRPr="00D015E1">
        <w:rPr>
          <w:b/>
          <w:bCs/>
        </w:rPr>
        <w:t xml:space="preserve"> 11.12</w:t>
      </w:r>
      <w:r w:rsidRPr="00D015E1">
        <w:t xml:space="preserve"> del Reglamento de Radiocomunicaciones, como estaciones SRA en las bandas atribuidas al SRA.</w:t>
      </w:r>
    </w:p>
    <w:p w14:paraId="38D9C6E6" w14:textId="77777777" w:rsidR="00D015E1" w:rsidRPr="00D015E1" w:rsidRDefault="00D015E1" w:rsidP="00DD6141">
      <w:pPr>
        <w:rPr>
          <w:lang w:val="es-ES"/>
        </w:rPr>
      </w:pPr>
    </w:p>
    <w:p w14:paraId="3CAF517F" w14:textId="77777777" w:rsidR="00DD6141" w:rsidRPr="00D015E1" w:rsidRDefault="00DD6141" w:rsidP="00DD6141">
      <w:pPr>
        <w:pStyle w:val="Line"/>
      </w:pPr>
    </w:p>
    <w:sectPr w:rsidR="00DD6141" w:rsidRPr="00D015E1" w:rsidSect="007565CC">
      <w:footerReference w:type="default" r:id="rId40"/>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8EDE2" w14:textId="77777777" w:rsidR="00A120F8" w:rsidRDefault="00A120F8">
      <w:r>
        <w:separator/>
      </w:r>
    </w:p>
  </w:endnote>
  <w:endnote w:type="continuationSeparator" w:id="0">
    <w:p w14:paraId="14053193" w14:textId="77777777" w:rsidR="00A120F8" w:rsidRDefault="00A12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panose1 w:val="020B0604020202020204"/>
    <w:charset w:val="00"/>
    <w:family w:val="swiss"/>
    <w:notTrueType/>
    <w:pitch w:val="variable"/>
    <w:sig w:usb0="800000AF" w:usb1="5000204A" w:usb2="00000000" w:usb3="00000000" w:csb0="00000093" w:csb1="00000000"/>
  </w:font>
  <w:font w:name="AvenirNext LT Pro Regular">
    <w:panose1 w:val="020B0504020202020204"/>
    <w:charset w:val="00"/>
    <w:family w:val="swiss"/>
    <w:notTrueType/>
    <w:pitch w:val="variable"/>
    <w:sig w:usb0="800000AF" w:usb1="50002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A068D" w14:textId="77777777" w:rsidR="00301DB3" w:rsidRDefault="00301DB3">
    <w:pPr>
      <w:pStyle w:val="Footer"/>
    </w:pPr>
    <w:r>
      <w:drawing>
        <wp:anchor distT="0" distB="0" distL="0" distR="0" simplePos="0" relativeHeight="251656192" behindDoc="0" locked="0" layoutInCell="1" allowOverlap="1" wp14:anchorId="783E17C0" wp14:editId="059FEB3C">
          <wp:simplePos x="0" y="0"/>
          <wp:positionH relativeFrom="page">
            <wp:posOffset>6346209</wp:posOffset>
          </wp:positionH>
          <wp:positionV relativeFrom="page">
            <wp:posOffset>9501505</wp:posOffset>
          </wp:positionV>
          <wp:extent cx="738000" cy="813600"/>
          <wp:effectExtent l="0" t="0" r="0" b="0"/>
          <wp:wrapNone/>
          <wp:docPr id="1537422153" name="image1.png" descr="logo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 UIT"/>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ADCA1"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DD34E" w14:textId="77777777" w:rsidR="00A120F8" w:rsidRDefault="00A120F8">
      <w:r>
        <w:separator/>
      </w:r>
    </w:p>
  </w:footnote>
  <w:footnote w:type="continuationSeparator" w:id="0">
    <w:p w14:paraId="62B06891" w14:textId="77777777" w:rsidR="00A120F8" w:rsidRDefault="00A12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46F2B"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5"/>
      <w:gridCol w:w="5915"/>
    </w:tblGrid>
    <w:tr w:rsidR="005B0371" w:rsidRPr="00A239D1" w14:paraId="3B8F7E3F" w14:textId="77777777" w:rsidTr="0019307B">
      <w:tc>
        <w:tcPr>
          <w:tcW w:w="4634" w:type="dxa"/>
          <w:vAlign w:val="center"/>
        </w:tcPr>
        <w:p w14:paraId="2B137FF2"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26202DF3" w14:textId="77777777" w:rsidR="00EE47C4" w:rsidRPr="00260B24" w:rsidRDefault="00EE47C4" w:rsidP="00744F8B">
          <w:pPr>
            <w:pStyle w:val="Header"/>
            <w:jc w:val="right"/>
            <w:rPr>
              <w:rFonts w:asciiTheme="minorBidi" w:hAnsiTheme="minorBidi"/>
              <w:b/>
              <w:spacing w:val="4"/>
              <w:szCs w:val="24"/>
            </w:rPr>
          </w:pPr>
          <w:r w:rsidRPr="00260B24">
            <w:rPr>
              <w:rFonts w:asciiTheme="minorBidi" w:hAnsiTheme="minorBidi"/>
              <w:b/>
              <w:spacing w:val="4"/>
              <w:szCs w:val="24"/>
            </w:rPr>
            <w:t>Uni</w:t>
          </w:r>
          <w:r w:rsidR="006B1E05">
            <w:rPr>
              <w:rFonts w:asciiTheme="minorBidi" w:hAnsiTheme="minorBidi"/>
              <w:b/>
              <w:spacing w:val="4"/>
              <w:szCs w:val="24"/>
            </w:rPr>
            <w:t>ó</w:t>
          </w:r>
          <w:r w:rsidRPr="00260B24">
            <w:rPr>
              <w:rFonts w:asciiTheme="minorBidi" w:hAnsiTheme="minorBidi"/>
              <w:b/>
              <w:spacing w:val="4"/>
              <w:szCs w:val="24"/>
            </w:rPr>
            <w:t>n</w:t>
          </w:r>
          <w:r w:rsidR="00A25EE2">
            <w:rPr>
              <w:rFonts w:asciiTheme="minorBidi" w:hAnsiTheme="minorBidi"/>
              <w:b/>
              <w:spacing w:val="4"/>
              <w:szCs w:val="24"/>
            </w:rPr>
            <w:t xml:space="preserve"> </w:t>
          </w:r>
          <w:r w:rsidR="006B1E05">
            <w:rPr>
              <w:rFonts w:asciiTheme="minorBidi" w:hAnsiTheme="minorBidi"/>
              <w:b/>
              <w:spacing w:val="4"/>
              <w:szCs w:val="24"/>
            </w:rPr>
            <w:t>I</w:t>
          </w:r>
          <w:r w:rsidR="00A25EE2" w:rsidRPr="00260B24">
            <w:rPr>
              <w:rFonts w:asciiTheme="minorBidi" w:hAnsiTheme="minorBidi"/>
              <w:b/>
              <w:spacing w:val="4"/>
              <w:szCs w:val="24"/>
            </w:rPr>
            <w:t>nterna</w:t>
          </w:r>
          <w:r w:rsidR="0069322D">
            <w:rPr>
              <w:rFonts w:asciiTheme="minorBidi" w:hAnsiTheme="minorBidi"/>
              <w:b/>
              <w:spacing w:val="4"/>
              <w:szCs w:val="24"/>
            </w:rPr>
            <w:t>c</w:t>
          </w:r>
          <w:r w:rsidR="00A25EE2" w:rsidRPr="00260B24">
            <w:rPr>
              <w:rFonts w:asciiTheme="minorBidi" w:hAnsiTheme="minorBidi"/>
              <w:b/>
              <w:spacing w:val="4"/>
              <w:szCs w:val="24"/>
            </w:rPr>
            <w:t xml:space="preserve">ional </w:t>
          </w:r>
          <w:r w:rsidR="00A25EE2">
            <w:rPr>
              <w:rFonts w:asciiTheme="minorBidi" w:hAnsiTheme="minorBidi"/>
              <w:b/>
              <w:spacing w:val="4"/>
              <w:szCs w:val="24"/>
            </w:rPr>
            <w:t xml:space="preserve">de </w:t>
          </w:r>
          <w:r w:rsidR="0069322D">
            <w:rPr>
              <w:rFonts w:asciiTheme="minorBidi" w:hAnsiTheme="minorBidi"/>
              <w:b/>
              <w:spacing w:val="4"/>
              <w:szCs w:val="24"/>
            </w:rPr>
            <w:t>Te</w:t>
          </w:r>
          <w:r w:rsidR="00A25EE2" w:rsidRPr="00260B24">
            <w:rPr>
              <w:rFonts w:asciiTheme="minorBidi" w:hAnsiTheme="minorBidi"/>
              <w:b/>
              <w:spacing w:val="4"/>
              <w:szCs w:val="24"/>
            </w:rPr>
            <w:t>l</w:t>
          </w:r>
          <w:r w:rsidR="0069322D">
            <w:rPr>
              <w:rFonts w:asciiTheme="minorBidi" w:hAnsiTheme="minorBidi"/>
              <w:b/>
              <w:spacing w:val="4"/>
              <w:szCs w:val="24"/>
            </w:rPr>
            <w:t>e</w:t>
          </w:r>
          <w:r w:rsidR="00A25EE2" w:rsidRPr="00260B24">
            <w:rPr>
              <w:rFonts w:asciiTheme="minorBidi" w:hAnsiTheme="minorBidi"/>
              <w:b/>
              <w:spacing w:val="4"/>
              <w:szCs w:val="24"/>
            </w:rPr>
            <w:t>comunica</w:t>
          </w:r>
          <w:r w:rsidR="0069322D">
            <w:rPr>
              <w:rFonts w:asciiTheme="minorBidi" w:hAnsiTheme="minorBidi"/>
              <w:b/>
              <w:spacing w:val="4"/>
              <w:szCs w:val="24"/>
            </w:rPr>
            <w:t>c</w:t>
          </w:r>
          <w:r w:rsidR="00A25EE2" w:rsidRPr="00260B24">
            <w:rPr>
              <w:rFonts w:asciiTheme="minorBidi" w:hAnsiTheme="minorBidi"/>
              <w:b/>
              <w:spacing w:val="4"/>
              <w:szCs w:val="24"/>
            </w:rPr>
            <w:t>ion</w:t>
          </w:r>
          <w:r w:rsidR="0069322D">
            <w:rPr>
              <w:rFonts w:asciiTheme="minorBidi" w:hAnsiTheme="minorBidi"/>
              <w:b/>
              <w:spacing w:val="4"/>
              <w:szCs w:val="24"/>
            </w:rPr>
            <w:t>e</w:t>
          </w:r>
          <w:r w:rsidR="00A25EE2">
            <w:rPr>
              <w:rFonts w:asciiTheme="minorBidi" w:hAnsiTheme="minorBidi"/>
              <w:b/>
              <w:spacing w:val="4"/>
              <w:szCs w:val="24"/>
            </w:rPr>
            <w:t>s</w:t>
          </w:r>
        </w:p>
      </w:tc>
    </w:tr>
    <w:tr w:rsidR="005B0371" w:rsidRPr="00A239D1" w14:paraId="4BA3A9A5" w14:textId="77777777" w:rsidTr="0019307B">
      <w:tc>
        <w:tcPr>
          <w:tcW w:w="4634" w:type="dxa"/>
          <w:vAlign w:val="center"/>
        </w:tcPr>
        <w:p w14:paraId="0AEB0EDB" w14:textId="77777777" w:rsidR="00EE47C4" w:rsidRPr="00260B24" w:rsidRDefault="00EE47C4" w:rsidP="00744F8B">
          <w:pPr>
            <w:pStyle w:val="Header"/>
            <w:jc w:val="left"/>
            <w:rPr>
              <w:rFonts w:asciiTheme="minorBidi" w:hAnsiTheme="minorBidi"/>
              <w:spacing w:val="4"/>
              <w:sz w:val="21"/>
              <w:szCs w:val="21"/>
            </w:rPr>
          </w:pPr>
          <w:r w:rsidRPr="00260B24">
            <w:rPr>
              <w:rFonts w:asciiTheme="minorBidi" w:hAnsiTheme="minorBidi"/>
              <w:spacing w:val="4"/>
              <w:szCs w:val="24"/>
            </w:rPr>
            <w:t>Recom</w:t>
          </w:r>
          <w:r w:rsidR="0069322D">
            <w:rPr>
              <w:rFonts w:asciiTheme="minorBidi" w:hAnsiTheme="minorBidi"/>
              <w:spacing w:val="4"/>
              <w:szCs w:val="24"/>
            </w:rPr>
            <w:t>e</w:t>
          </w:r>
          <w:r w:rsidRPr="00260B24">
            <w:rPr>
              <w:rFonts w:asciiTheme="minorBidi" w:hAnsiTheme="minorBidi"/>
              <w:spacing w:val="4"/>
              <w:szCs w:val="24"/>
            </w:rPr>
            <w:t>nda</w:t>
          </w:r>
          <w:r w:rsidR="0069322D">
            <w:rPr>
              <w:rFonts w:asciiTheme="minorBidi" w:hAnsiTheme="minorBidi"/>
              <w:spacing w:val="4"/>
              <w:szCs w:val="24"/>
            </w:rPr>
            <w:t>c</w:t>
          </w:r>
          <w:r w:rsidRPr="00260B24">
            <w:rPr>
              <w:rFonts w:asciiTheme="minorBidi" w:hAnsiTheme="minorBidi"/>
              <w:spacing w:val="4"/>
              <w:szCs w:val="24"/>
            </w:rPr>
            <w:t>i</w:t>
          </w:r>
          <w:r w:rsidR="0069322D">
            <w:rPr>
              <w:rFonts w:asciiTheme="minorBidi" w:hAnsiTheme="minorBidi"/>
              <w:spacing w:val="4"/>
              <w:szCs w:val="24"/>
            </w:rPr>
            <w:t>o</w:t>
          </w:r>
          <w:r w:rsidRPr="00260B24">
            <w:rPr>
              <w:rFonts w:asciiTheme="minorBidi" w:hAnsiTheme="minorBidi"/>
              <w:spacing w:val="4"/>
              <w:szCs w:val="24"/>
            </w:rPr>
            <w:t>n</w:t>
          </w:r>
          <w:r w:rsidR="0069322D">
            <w:rPr>
              <w:rFonts w:asciiTheme="minorBidi" w:hAnsiTheme="minorBidi"/>
              <w:spacing w:val="4"/>
              <w:szCs w:val="24"/>
            </w:rPr>
            <w:t>e</w:t>
          </w:r>
          <w:r w:rsidR="004A6FEB" w:rsidRPr="00260B24">
            <w:rPr>
              <w:rFonts w:asciiTheme="minorBidi" w:hAnsiTheme="minorBidi"/>
              <w:spacing w:val="4"/>
              <w:szCs w:val="24"/>
            </w:rPr>
            <w:t>s</w:t>
          </w:r>
        </w:p>
      </w:tc>
      <w:tc>
        <w:tcPr>
          <w:tcW w:w="5998" w:type="dxa"/>
          <w:vAlign w:val="center"/>
        </w:tcPr>
        <w:p w14:paraId="76A5A479" w14:textId="77777777" w:rsidR="00EE47C4" w:rsidRPr="00260B24" w:rsidRDefault="00A25EE2" w:rsidP="00744F8B">
          <w:pPr>
            <w:pStyle w:val="Header"/>
            <w:jc w:val="right"/>
            <w:rPr>
              <w:rFonts w:asciiTheme="minorBidi" w:hAnsiTheme="minorBidi"/>
              <w:spacing w:val="4"/>
              <w:szCs w:val="24"/>
            </w:rPr>
          </w:pPr>
          <w:r>
            <w:rPr>
              <w:rFonts w:asciiTheme="minorBidi" w:hAnsiTheme="minorBidi"/>
              <w:spacing w:val="4"/>
              <w:szCs w:val="24"/>
            </w:rPr>
            <w:t>Sect</w:t>
          </w:r>
          <w:r w:rsidR="0069322D">
            <w:rPr>
              <w:rFonts w:asciiTheme="minorBidi" w:hAnsiTheme="minorBidi"/>
              <w:spacing w:val="4"/>
              <w:szCs w:val="24"/>
            </w:rPr>
            <w:t>o</w:t>
          </w:r>
          <w:r>
            <w:rPr>
              <w:rFonts w:asciiTheme="minorBidi" w:hAnsiTheme="minorBidi"/>
              <w:spacing w:val="4"/>
              <w:szCs w:val="24"/>
            </w:rPr>
            <w:t xml:space="preserve">r de </w:t>
          </w:r>
          <w:r w:rsidR="00EE47C4" w:rsidRPr="00260B24">
            <w:rPr>
              <w:rFonts w:asciiTheme="minorBidi" w:hAnsiTheme="minorBidi"/>
              <w:spacing w:val="4"/>
              <w:szCs w:val="24"/>
            </w:rPr>
            <w:t>Radiocomunica</w:t>
          </w:r>
          <w:r w:rsidR="0069322D">
            <w:rPr>
              <w:rFonts w:asciiTheme="minorBidi" w:hAnsiTheme="minorBidi"/>
              <w:spacing w:val="4"/>
              <w:szCs w:val="24"/>
            </w:rPr>
            <w:t>c</w:t>
          </w:r>
          <w:r w:rsidR="00EE47C4" w:rsidRPr="00260B24">
            <w:rPr>
              <w:rFonts w:asciiTheme="minorBidi" w:hAnsiTheme="minorBidi"/>
              <w:spacing w:val="4"/>
              <w:szCs w:val="24"/>
            </w:rPr>
            <w:t>ion</w:t>
          </w:r>
          <w:r w:rsidR="0069322D">
            <w:rPr>
              <w:rFonts w:asciiTheme="minorBidi" w:hAnsiTheme="minorBidi"/>
              <w:spacing w:val="4"/>
              <w:szCs w:val="24"/>
            </w:rPr>
            <w:t>e</w:t>
          </w:r>
          <w:r>
            <w:rPr>
              <w:rFonts w:asciiTheme="minorBidi" w:hAnsiTheme="minorBidi"/>
              <w:spacing w:val="4"/>
              <w:szCs w:val="24"/>
            </w:rPr>
            <w:t>s</w:t>
          </w:r>
        </w:p>
      </w:tc>
    </w:tr>
  </w:tbl>
  <w:p w14:paraId="60B00A2A" w14:textId="77777777" w:rsidR="00EE47C4" w:rsidRDefault="0069322D" w:rsidP="004A6FEB">
    <w:pPr>
      <w:pStyle w:val="Header"/>
    </w:pPr>
    <w:r>
      <w:rPr>
        <w:rFonts w:ascii="Arial Black" w:hAnsi="Arial Black" w:cs="Arial"/>
        <w:noProof/>
        <w:sz w:val="32"/>
        <w:szCs w:val="32"/>
      </w:rPr>
      <w:drawing>
        <wp:anchor distT="0" distB="0" distL="114300" distR="114300" simplePos="0" relativeHeight="251660288" behindDoc="0" locked="0" layoutInCell="1" allowOverlap="1" wp14:anchorId="623ACB65" wp14:editId="7A79FCA2">
          <wp:simplePos x="0" y="0"/>
          <wp:positionH relativeFrom="column">
            <wp:posOffset>-252095</wp:posOffset>
          </wp:positionH>
          <wp:positionV relativeFrom="paragraph">
            <wp:posOffset>-562165</wp:posOffset>
          </wp:positionV>
          <wp:extent cx="1781299" cy="383901"/>
          <wp:effectExtent l="0" t="0" r="0" b="0"/>
          <wp:wrapNone/>
          <wp:docPr id="1317005262" name="Picture 1317005262" descr="ITUPublicacio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TUPublicacione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299" cy="3839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18A2433F" wp14:editId="34DDBE3A">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FD58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5C82C453"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5B19536E" wp14:editId="593B5D3B">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42A181"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4C875" w14:textId="2D455F6F"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Pr="00F111D6">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813749">
      <w:rPr>
        <w:b/>
        <w:bCs/>
        <w:lang w:val="en-US"/>
      </w:rPr>
      <w:t xml:space="preserve">Rec. </w:t>
    </w:r>
    <w:r>
      <w:rPr>
        <w:b/>
        <w:bCs/>
        <w:lang w:val="en-US"/>
      </w:rPr>
      <w:fldChar w:fldCharType="end"/>
    </w:r>
    <w:r w:rsidRPr="00F111D6">
      <w:rPr>
        <w:b/>
        <w:bCs/>
      </w:rPr>
      <w:t xml:space="preserve"> </w:t>
    </w:r>
    <w:r>
      <w:rPr>
        <w:b/>
        <w:bCs/>
      </w:rPr>
      <w:fldChar w:fldCharType="begin"/>
    </w:r>
    <w:r>
      <w:rPr>
        <w:b/>
        <w:bCs/>
        <w:lang w:val="en-US"/>
      </w:rPr>
      <w:instrText>styleref href</w:instrText>
    </w:r>
    <w:r>
      <w:rPr>
        <w:b/>
        <w:bCs/>
      </w:rPr>
      <w:fldChar w:fldCharType="separate"/>
    </w:r>
    <w:r w:rsidR="00DA76A4">
      <w:rPr>
        <w:b/>
        <w:bCs/>
        <w:noProof/>
        <w:lang w:val="en-US"/>
      </w:rPr>
      <w:t>UIT-R  RA.2178-0</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A03FA" w14:textId="743414D2" w:rsidR="001B164E" w:rsidRDefault="001B164E">
    <w:pPr>
      <w:pStyle w:val="Header"/>
    </w:pPr>
    <w:r>
      <w:tab/>
    </w:r>
    <w:r w:rsidR="00C84DB7">
      <w:rPr>
        <w:b/>
        <w:bCs/>
      </w:rPr>
      <w:fldChar w:fldCharType="begin"/>
    </w:r>
    <w:r w:rsidR="00C84DB7">
      <w:rPr>
        <w:b/>
        <w:bCs/>
      </w:rPr>
      <w:instrText xml:space="preserve"> DOCPROPERTY "Header" \* MERGEFORMAT </w:instrText>
    </w:r>
    <w:r w:rsidR="00C84DB7">
      <w:rPr>
        <w:b/>
        <w:bCs/>
      </w:rPr>
      <w:fldChar w:fldCharType="separate"/>
    </w:r>
    <w:r w:rsidR="00813749">
      <w:rPr>
        <w:b/>
        <w:bCs/>
      </w:rPr>
      <w:t xml:space="preserve">Rec. </w:t>
    </w:r>
    <w:r w:rsidR="00C84DB7">
      <w:rPr>
        <w:b/>
        <w:bCs/>
      </w:rPr>
      <w:fldChar w:fldCharType="end"/>
    </w:r>
    <w:r>
      <w:rPr>
        <w:b/>
        <w:bCs/>
      </w:rPr>
      <w:t xml:space="preserve"> </w:t>
    </w:r>
    <w:r w:rsidR="006C37D5">
      <w:rPr>
        <w:b/>
        <w:bCs/>
      </w:rPr>
      <w:fldChar w:fldCharType="begin"/>
    </w:r>
    <w:r>
      <w:rPr>
        <w:b/>
        <w:bCs/>
      </w:rPr>
      <w:instrText>styleref href</w:instrText>
    </w:r>
    <w:r w:rsidR="006C37D5">
      <w:rPr>
        <w:b/>
        <w:bCs/>
      </w:rPr>
      <w:fldChar w:fldCharType="separate"/>
    </w:r>
    <w:r w:rsidR="00DA76A4">
      <w:rPr>
        <w:b/>
        <w:bCs/>
        <w:noProof/>
      </w:rPr>
      <w:t>UIT-R  RA.2178-0</w:t>
    </w:r>
    <w:r w:rsidR="006C37D5">
      <w:rPr>
        <w:b/>
        <w:bCs/>
      </w:rPr>
      <w:fldChar w:fldCharType="end"/>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65624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s-ES" w:vendorID="64" w:dllVersion="0" w:nlCheck="1" w:checkStyle="0"/>
  <w:activeWritingStyle w:appName="MSWord" w:lang="en-GB" w:vendorID="64" w:dllVersion="0"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4096"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749"/>
    <w:rsid w:val="00013002"/>
    <w:rsid w:val="000246E0"/>
    <w:rsid w:val="00032E73"/>
    <w:rsid w:val="00036EE3"/>
    <w:rsid w:val="00072484"/>
    <w:rsid w:val="00093DD8"/>
    <w:rsid w:val="00095530"/>
    <w:rsid w:val="00096612"/>
    <w:rsid w:val="000A4A32"/>
    <w:rsid w:val="000B1B2B"/>
    <w:rsid w:val="000B7683"/>
    <w:rsid w:val="000D0677"/>
    <w:rsid w:val="000E0548"/>
    <w:rsid w:val="000E6A6E"/>
    <w:rsid w:val="00102934"/>
    <w:rsid w:val="00111B74"/>
    <w:rsid w:val="00120C75"/>
    <w:rsid w:val="00147110"/>
    <w:rsid w:val="001511A6"/>
    <w:rsid w:val="00160F1C"/>
    <w:rsid w:val="00171C4D"/>
    <w:rsid w:val="0017562F"/>
    <w:rsid w:val="0019307B"/>
    <w:rsid w:val="001B0927"/>
    <w:rsid w:val="001B164E"/>
    <w:rsid w:val="001B7886"/>
    <w:rsid w:val="001F38BB"/>
    <w:rsid w:val="002058CE"/>
    <w:rsid w:val="002165F1"/>
    <w:rsid w:val="00233211"/>
    <w:rsid w:val="00260B24"/>
    <w:rsid w:val="0027411A"/>
    <w:rsid w:val="00276D21"/>
    <w:rsid w:val="00282DCF"/>
    <w:rsid w:val="00296D7F"/>
    <w:rsid w:val="002A5D45"/>
    <w:rsid w:val="002B14FE"/>
    <w:rsid w:val="002B3CF6"/>
    <w:rsid w:val="002B3E59"/>
    <w:rsid w:val="002C768A"/>
    <w:rsid w:val="002D0BD7"/>
    <w:rsid w:val="002D76C4"/>
    <w:rsid w:val="002E296A"/>
    <w:rsid w:val="002F5199"/>
    <w:rsid w:val="00301DB3"/>
    <w:rsid w:val="00305119"/>
    <w:rsid w:val="003157F1"/>
    <w:rsid w:val="00346EC2"/>
    <w:rsid w:val="00351422"/>
    <w:rsid w:val="00356B5D"/>
    <w:rsid w:val="00357707"/>
    <w:rsid w:val="003622B8"/>
    <w:rsid w:val="0036231E"/>
    <w:rsid w:val="0036627C"/>
    <w:rsid w:val="00392B77"/>
    <w:rsid w:val="003D6327"/>
    <w:rsid w:val="003E5516"/>
    <w:rsid w:val="003F4B75"/>
    <w:rsid w:val="0040370F"/>
    <w:rsid w:val="00410651"/>
    <w:rsid w:val="00420DFD"/>
    <w:rsid w:val="00425BC7"/>
    <w:rsid w:val="00437A76"/>
    <w:rsid w:val="004604B2"/>
    <w:rsid w:val="00470E28"/>
    <w:rsid w:val="0047379B"/>
    <w:rsid w:val="00474170"/>
    <w:rsid w:val="00477729"/>
    <w:rsid w:val="004842E2"/>
    <w:rsid w:val="00486EB3"/>
    <w:rsid w:val="004934C5"/>
    <w:rsid w:val="00494779"/>
    <w:rsid w:val="004A6FEB"/>
    <w:rsid w:val="004A7F8F"/>
    <w:rsid w:val="004E61FF"/>
    <w:rsid w:val="004E698D"/>
    <w:rsid w:val="00512675"/>
    <w:rsid w:val="005373E0"/>
    <w:rsid w:val="00556548"/>
    <w:rsid w:val="00571B1C"/>
    <w:rsid w:val="00576D47"/>
    <w:rsid w:val="00586EF8"/>
    <w:rsid w:val="005B0371"/>
    <w:rsid w:val="005B49AB"/>
    <w:rsid w:val="005B50E7"/>
    <w:rsid w:val="005C4BAB"/>
    <w:rsid w:val="005D7FAD"/>
    <w:rsid w:val="005E12A5"/>
    <w:rsid w:val="005E69F0"/>
    <w:rsid w:val="005E7B4F"/>
    <w:rsid w:val="005F003B"/>
    <w:rsid w:val="005F2E73"/>
    <w:rsid w:val="00601882"/>
    <w:rsid w:val="00606BCB"/>
    <w:rsid w:val="00607D68"/>
    <w:rsid w:val="00613212"/>
    <w:rsid w:val="006149B1"/>
    <w:rsid w:val="00640332"/>
    <w:rsid w:val="00680D2B"/>
    <w:rsid w:val="00681B32"/>
    <w:rsid w:val="006857AE"/>
    <w:rsid w:val="0069322D"/>
    <w:rsid w:val="00697887"/>
    <w:rsid w:val="006B1D2B"/>
    <w:rsid w:val="006B1E05"/>
    <w:rsid w:val="006C37D5"/>
    <w:rsid w:val="006E1131"/>
    <w:rsid w:val="006E2037"/>
    <w:rsid w:val="006E6199"/>
    <w:rsid w:val="00712870"/>
    <w:rsid w:val="00714AC0"/>
    <w:rsid w:val="00731EE7"/>
    <w:rsid w:val="00737E11"/>
    <w:rsid w:val="0074147D"/>
    <w:rsid w:val="00743D85"/>
    <w:rsid w:val="00744F8B"/>
    <w:rsid w:val="00747D6E"/>
    <w:rsid w:val="00753CF4"/>
    <w:rsid w:val="007565CC"/>
    <w:rsid w:val="007624B1"/>
    <w:rsid w:val="00763B9A"/>
    <w:rsid w:val="007A6AA8"/>
    <w:rsid w:val="007B1357"/>
    <w:rsid w:val="007B3343"/>
    <w:rsid w:val="007E5668"/>
    <w:rsid w:val="00802667"/>
    <w:rsid w:val="00813749"/>
    <w:rsid w:val="008310C9"/>
    <w:rsid w:val="008335F0"/>
    <w:rsid w:val="00834306"/>
    <w:rsid w:val="00841A92"/>
    <w:rsid w:val="00853CC5"/>
    <w:rsid w:val="00855475"/>
    <w:rsid w:val="00877E6E"/>
    <w:rsid w:val="008B083A"/>
    <w:rsid w:val="008B56B2"/>
    <w:rsid w:val="008C7848"/>
    <w:rsid w:val="008D1704"/>
    <w:rsid w:val="00906589"/>
    <w:rsid w:val="00906AD6"/>
    <w:rsid w:val="00917AF2"/>
    <w:rsid w:val="0092418A"/>
    <w:rsid w:val="00934ED7"/>
    <w:rsid w:val="00940D16"/>
    <w:rsid w:val="00946A7A"/>
    <w:rsid w:val="009543C3"/>
    <w:rsid w:val="00966E1B"/>
    <w:rsid w:val="00972F51"/>
    <w:rsid w:val="00984A02"/>
    <w:rsid w:val="009947C0"/>
    <w:rsid w:val="009A4039"/>
    <w:rsid w:val="009A41F9"/>
    <w:rsid w:val="009D4BBD"/>
    <w:rsid w:val="009F2D2C"/>
    <w:rsid w:val="009F2D88"/>
    <w:rsid w:val="009F5580"/>
    <w:rsid w:val="00A03C0E"/>
    <w:rsid w:val="00A07B0D"/>
    <w:rsid w:val="00A120F8"/>
    <w:rsid w:val="00A16BE1"/>
    <w:rsid w:val="00A239D1"/>
    <w:rsid w:val="00A25EE2"/>
    <w:rsid w:val="00A31928"/>
    <w:rsid w:val="00A35B27"/>
    <w:rsid w:val="00A507D4"/>
    <w:rsid w:val="00A5147A"/>
    <w:rsid w:val="00A62A14"/>
    <w:rsid w:val="00A6617B"/>
    <w:rsid w:val="00A71FE5"/>
    <w:rsid w:val="00A7534B"/>
    <w:rsid w:val="00A76007"/>
    <w:rsid w:val="00A86DD2"/>
    <w:rsid w:val="00A936CB"/>
    <w:rsid w:val="00A971A1"/>
    <w:rsid w:val="00AA3AD8"/>
    <w:rsid w:val="00AB0DC8"/>
    <w:rsid w:val="00AB405C"/>
    <w:rsid w:val="00AC015D"/>
    <w:rsid w:val="00AC3FFB"/>
    <w:rsid w:val="00AE698D"/>
    <w:rsid w:val="00AF0286"/>
    <w:rsid w:val="00AF5326"/>
    <w:rsid w:val="00B019A2"/>
    <w:rsid w:val="00B0286E"/>
    <w:rsid w:val="00B033C8"/>
    <w:rsid w:val="00B111CE"/>
    <w:rsid w:val="00B33425"/>
    <w:rsid w:val="00B42334"/>
    <w:rsid w:val="00B44E24"/>
    <w:rsid w:val="00B54ECC"/>
    <w:rsid w:val="00B60AC0"/>
    <w:rsid w:val="00B714F3"/>
    <w:rsid w:val="00B75A52"/>
    <w:rsid w:val="00B84FD0"/>
    <w:rsid w:val="00B874C6"/>
    <w:rsid w:val="00B87B6B"/>
    <w:rsid w:val="00B9169E"/>
    <w:rsid w:val="00B96572"/>
    <w:rsid w:val="00BA3957"/>
    <w:rsid w:val="00BB7886"/>
    <w:rsid w:val="00BC5D77"/>
    <w:rsid w:val="00BD4283"/>
    <w:rsid w:val="00BF487A"/>
    <w:rsid w:val="00BF5544"/>
    <w:rsid w:val="00C15F3E"/>
    <w:rsid w:val="00C46BD9"/>
    <w:rsid w:val="00C55258"/>
    <w:rsid w:val="00C73560"/>
    <w:rsid w:val="00C84DB7"/>
    <w:rsid w:val="00C87A35"/>
    <w:rsid w:val="00CB0F14"/>
    <w:rsid w:val="00CC1DC3"/>
    <w:rsid w:val="00CD659B"/>
    <w:rsid w:val="00CE0A43"/>
    <w:rsid w:val="00CF130D"/>
    <w:rsid w:val="00D00118"/>
    <w:rsid w:val="00D015E1"/>
    <w:rsid w:val="00D0483A"/>
    <w:rsid w:val="00D16749"/>
    <w:rsid w:val="00D5024B"/>
    <w:rsid w:val="00D61962"/>
    <w:rsid w:val="00D67585"/>
    <w:rsid w:val="00D72623"/>
    <w:rsid w:val="00D83556"/>
    <w:rsid w:val="00DA76A4"/>
    <w:rsid w:val="00DD6141"/>
    <w:rsid w:val="00DE307C"/>
    <w:rsid w:val="00DE5556"/>
    <w:rsid w:val="00DF21F0"/>
    <w:rsid w:val="00DF4176"/>
    <w:rsid w:val="00E0095C"/>
    <w:rsid w:val="00E17240"/>
    <w:rsid w:val="00E74595"/>
    <w:rsid w:val="00E77485"/>
    <w:rsid w:val="00EB1CB6"/>
    <w:rsid w:val="00EB7C57"/>
    <w:rsid w:val="00ED2695"/>
    <w:rsid w:val="00ED3CA8"/>
    <w:rsid w:val="00ED4024"/>
    <w:rsid w:val="00EE04BA"/>
    <w:rsid w:val="00EE47C4"/>
    <w:rsid w:val="00EF2D52"/>
    <w:rsid w:val="00F111D6"/>
    <w:rsid w:val="00F17CED"/>
    <w:rsid w:val="00F23AE8"/>
    <w:rsid w:val="00F30C9B"/>
    <w:rsid w:val="00F354B1"/>
    <w:rsid w:val="00F354D7"/>
    <w:rsid w:val="00F6343F"/>
    <w:rsid w:val="00F714FC"/>
    <w:rsid w:val="00F72776"/>
    <w:rsid w:val="00F77360"/>
    <w:rsid w:val="00F92A40"/>
    <w:rsid w:val="00F93C5B"/>
    <w:rsid w:val="00FB0AFC"/>
    <w:rsid w:val="00FB0E4E"/>
    <w:rsid w:val="00FD31B7"/>
    <w:rsid w:val="00FE79FE"/>
    <w:rsid w:val="00FF0E75"/>
    <w:rsid w:val="00FF32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2a47,#f8f8f8"/>
    </o:shapedefaults>
    <o:shapelayout v:ext="edit">
      <o:idmap v:ext="edit" data="2"/>
    </o:shapelayout>
  </w:shapeDefaults>
  <w:decimalSymbol w:val="."/>
  <w:listSeparator w:val=","/>
  <w14:docId w14:val="4641AA8A"/>
  <w15:docId w15:val="{5E90E8C2-9B6C-4626-8490-E398EC1AD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307C"/>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qFormat/>
    <w:rsid w:val="00DE307C"/>
    <w:pPr>
      <w:keepNext/>
      <w:keepLines/>
      <w:spacing w:before="480"/>
      <w:ind w:left="794" w:hanging="794"/>
      <w:outlineLvl w:val="0"/>
    </w:pPr>
    <w:rPr>
      <w:b/>
    </w:rPr>
  </w:style>
  <w:style w:type="paragraph" w:styleId="Heading2">
    <w:name w:val="heading 2"/>
    <w:basedOn w:val="Heading1"/>
    <w:next w:val="Normal"/>
    <w:qFormat/>
    <w:rsid w:val="00DE307C"/>
    <w:pPr>
      <w:spacing w:before="320"/>
      <w:outlineLvl w:val="1"/>
    </w:pPr>
  </w:style>
  <w:style w:type="paragraph" w:styleId="Heading3">
    <w:name w:val="heading 3"/>
    <w:basedOn w:val="Heading1"/>
    <w:next w:val="Normal"/>
    <w:qFormat/>
    <w:rsid w:val="00DE307C"/>
    <w:pPr>
      <w:spacing w:before="200"/>
      <w:outlineLvl w:val="2"/>
    </w:pPr>
  </w:style>
  <w:style w:type="paragraph" w:styleId="Heading4">
    <w:name w:val="heading 4"/>
    <w:basedOn w:val="Heading3"/>
    <w:next w:val="Normal"/>
    <w:qFormat/>
    <w:rsid w:val="00DE307C"/>
    <w:pPr>
      <w:tabs>
        <w:tab w:val="clear" w:pos="794"/>
        <w:tab w:val="left" w:pos="992"/>
      </w:tabs>
      <w:ind w:left="992" w:hanging="992"/>
      <w:outlineLvl w:val="3"/>
    </w:pPr>
  </w:style>
  <w:style w:type="paragraph" w:styleId="Heading5">
    <w:name w:val="heading 5"/>
    <w:basedOn w:val="Heading4"/>
    <w:next w:val="Normal"/>
    <w:qFormat/>
    <w:rsid w:val="00DE307C"/>
    <w:pPr>
      <w:outlineLvl w:val="4"/>
    </w:pPr>
  </w:style>
  <w:style w:type="paragraph" w:styleId="Heading6">
    <w:name w:val="heading 6"/>
    <w:basedOn w:val="Heading4"/>
    <w:next w:val="Normal"/>
    <w:qFormat/>
    <w:rsid w:val="00DE307C"/>
    <w:pPr>
      <w:tabs>
        <w:tab w:val="clear" w:pos="992"/>
        <w:tab w:val="clear" w:pos="1191"/>
      </w:tabs>
      <w:ind w:left="1588" w:hanging="1588"/>
      <w:outlineLvl w:val="5"/>
    </w:pPr>
  </w:style>
  <w:style w:type="paragraph" w:styleId="Heading7">
    <w:name w:val="heading 7"/>
    <w:basedOn w:val="Heading6"/>
    <w:next w:val="Normal"/>
    <w:qFormat/>
    <w:rsid w:val="00DE307C"/>
    <w:pPr>
      <w:outlineLvl w:val="6"/>
    </w:pPr>
  </w:style>
  <w:style w:type="paragraph" w:styleId="Heading8">
    <w:name w:val="heading 8"/>
    <w:basedOn w:val="Heading6"/>
    <w:next w:val="Normal"/>
    <w:qFormat/>
    <w:rsid w:val="00DE307C"/>
    <w:pPr>
      <w:outlineLvl w:val="7"/>
    </w:pPr>
  </w:style>
  <w:style w:type="paragraph" w:styleId="Heading9">
    <w:name w:val="heading 9"/>
    <w:basedOn w:val="Heading6"/>
    <w:next w:val="Normal"/>
    <w:qFormat/>
    <w:rsid w:val="00DE307C"/>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E307C"/>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rsid w:val="00DE307C"/>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DE307C"/>
  </w:style>
  <w:style w:type="paragraph" w:customStyle="1" w:styleId="Headingb">
    <w:name w:val="Heading_b"/>
    <w:basedOn w:val="Heading3"/>
    <w:next w:val="Normal"/>
    <w:rsid w:val="00DE307C"/>
    <w:pPr>
      <w:spacing w:before="160"/>
      <w:ind w:left="0" w:firstLine="0"/>
      <w:outlineLvl w:val="9"/>
    </w:pPr>
  </w:style>
  <w:style w:type="paragraph" w:customStyle="1" w:styleId="Headingi">
    <w:name w:val="Heading_i"/>
    <w:basedOn w:val="Heading3"/>
    <w:next w:val="Normal"/>
    <w:rsid w:val="00DE307C"/>
    <w:pPr>
      <w:spacing w:before="160"/>
      <w:ind w:left="0" w:firstLine="0"/>
    </w:pPr>
    <w:rPr>
      <w:b w:val="0"/>
      <w:i/>
    </w:rPr>
  </w:style>
  <w:style w:type="character" w:customStyle="1" w:styleId="href">
    <w:name w:val="href"/>
    <w:basedOn w:val="DefaultParagraphFont"/>
    <w:rsid w:val="00DE307C"/>
  </w:style>
  <w:style w:type="paragraph" w:customStyle="1" w:styleId="AnnexNoTitle">
    <w:name w:val="Annex_NoTitle"/>
    <w:basedOn w:val="Normal"/>
    <w:next w:val="Normalaftertitle"/>
    <w:rsid w:val="00DE307C"/>
    <w:pPr>
      <w:keepNext/>
      <w:keepLines/>
      <w:spacing w:before="480" w:after="80"/>
      <w:jc w:val="center"/>
    </w:pPr>
    <w:rPr>
      <w:b/>
      <w:sz w:val="28"/>
    </w:rPr>
  </w:style>
  <w:style w:type="paragraph" w:customStyle="1" w:styleId="Normalaftertitle">
    <w:name w:val="Normal_after_title"/>
    <w:basedOn w:val="Normal"/>
    <w:next w:val="Normal"/>
    <w:rsid w:val="00DE307C"/>
    <w:pPr>
      <w:spacing w:before="320"/>
    </w:pPr>
  </w:style>
  <w:style w:type="paragraph" w:customStyle="1" w:styleId="enumlev2">
    <w:name w:val="enumlev2"/>
    <w:basedOn w:val="enumlev1"/>
    <w:rsid w:val="00DE307C"/>
    <w:pPr>
      <w:ind w:left="1191" w:hanging="397"/>
    </w:pPr>
  </w:style>
  <w:style w:type="paragraph" w:customStyle="1" w:styleId="enumlev1">
    <w:name w:val="enumlev1"/>
    <w:basedOn w:val="Normal"/>
    <w:rsid w:val="00DE307C"/>
    <w:pPr>
      <w:spacing w:before="80"/>
      <w:ind w:left="794" w:hanging="794"/>
    </w:pPr>
  </w:style>
  <w:style w:type="paragraph" w:customStyle="1" w:styleId="enumlev3">
    <w:name w:val="enumlev3"/>
    <w:basedOn w:val="enumlev2"/>
    <w:rsid w:val="00DE307C"/>
    <w:pPr>
      <w:ind w:left="1588"/>
    </w:pPr>
  </w:style>
  <w:style w:type="paragraph" w:customStyle="1" w:styleId="Note">
    <w:name w:val="Note"/>
    <w:basedOn w:val="Normal"/>
    <w:rsid w:val="00DE307C"/>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DE307C"/>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DE307C"/>
    <w:pPr>
      <w:keepNext/>
      <w:keepLines/>
      <w:spacing w:before="240"/>
      <w:jc w:val="center"/>
    </w:pPr>
    <w:rPr>
      <w:b/>
      <w:sz w:val="28"/>
    </w:rPr>
  </w:style>
  <w:style w:type="paragraph" w:customStyle="1" w:styleId="Recref">
    <w:name w:val="Rec_ref"/>
    <w:basedOn w:val="Normal"/>
    <w:next w:val="Recdate"/>
    <w:rsid w:val="00DE307C"/>
    <w:pPr>
      <w:jc w:val="center"/>
    </w:pPr>
  </w:style>
  <w:style w:type="paragraph" w:customStyle="1" w:styleId="Recdate">
    <w:name w:val="Rec_date"/>
    <w:basedOn w:val="Recref"/>
    <w:next w:val="Normalaftertitle"/>
    <w:rsid w:val="00DE307C"/>
    <w:pPr>
      <w:jc w:val="right"/>
    </w:pPr>
  </w:style>
  <w:style w:type="paragraph" w:customStyle="1" w:styleId="HeadingSum">
    <w:name w:val="Heading_Sum"/>
    <w:basedOn w:val="Headingb"/>
    <w:next w:val="Normal"/>
    <w:autoRedefine/>
    <w:rsid w:val="00DE307C"/>
    <w:pPr>
      <w:spacing w:before="240"/>
    </w:pPr>
    <w:rPr>
      <w:sz w:val="22"/>
      <w:lang w:val="es-ES_tradnl"/>
    </w:rPr>
  </w:style>
  <w:style w:type="paragraph" w:customStyle="1" w:styleId="AppendixNoTitle">
    <w:name w:val="Appendix_NoTitle"/>
    <w:basedOn w:val="AnnexNoTitle"/>
    <w:next w:val="Normal"/>
    <w:rsid w:val="00DE307C"/>
  </w:style>
  <w:style w:type="paragraph" w:customStyle="1" w:styleId="Tablefin">
    <w:name w:val="Table_fin"/>
    <w:basedOn w:val="Normal"/>
    <w:next w:val="Normal"/>
    <w:rsid w:val="00DE307C"/>
    <w:pPr>
      <w:spacing w:before="0"/>
    </w:pPr>
    <w:rPr>
      <w:sz w:val="20"/>
    </w:rPr>
  </w:style>
  <w:style w:type="paragraph" w:customStyle="1" w:styleId="Tablehead">
    <w:name w:val="Table_head"/>
    <w:basedOn w:val="Normal"/>
    <w:next w:val="Normal"/>
    <w:rsid w:val="00DE307C"/>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DE307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DE307C"/>
    <w:pPr>
      <w:keepNext/>
      <w:spacing w:before="360" w:after="120"/>
      <w:jc w:val="center"/>
    </w:pPr>
  </w:style>
  <w:style w:type="paragraph" w:customStyle="1" w:styleId="Tabletext">
    <w:name w:val="Table_text"/>
    <w:basedOn w:val="Normal"/>
    <w:rsid w:val="00DE307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DE307C"/>
    <w:pPr>
      <w:tabs>
        <w:tab w:val="clear" w:pos="1191"/>
        <w:tab w:val="clear" w:pos="1588"/>
        <w:tab w:val="clear" w:pos="1985"/>
        <w:tab w:val="center" w:pos="4820"/>
        <w:tab w:val="right" w:pos="9639"/>
      </w:tabs>
    </w:pPr>
  </w:style>
  <w:style w:type="paragraph" w:customStyle="1" w:styleId="Equationlegend">
    <w:name w:val="Equation_legend"/>
    <w:basedOn w:val="NormalIndent"/>
    <w:rsid w:val="00DE307C"/>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DE307C"/>
    <w:pPr>
      <w:ind w:left="794"/>
    </w:pPr>
  </w:style>
  <w:style w:type="paragraph" w:customStyle="1" w:styleId="Figurelegend">
    <w:name w:val="Figure_legend"/>
    <w:basedOn w:val="Normal"/>
    <w:rsid w:val="00DE307C"/>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DE307C"/>
    <w:pPr>
      <w:keepNext/>
      <w:keepLines/>
      <w:spacing w:before="480" w:after="80"/>
      <w:jc w:val="center"/>
    </w:pPr>
    <w:rPr>
      <w:caps/>
      <w:sz w:val="18"/>
    </w:rPr>
  </w:style>
  <w:style w:type="paragraph" w:customStyle="1" w:styleId="Figuretitle">
    <w:name w:val="Figure_title"/>
    <w:basedOn w:val="Normal"/>
    <w:next w:val="Figure"/>
    <w:rsid w:val="00DE307C"/>
    <w:pPr>
      <w:keepNext/>
      <w:spacing w:before="0" w:after="120"/>
      <w:jc w:val="center"/>
    </w:pPr>
    <w:rPr>
      <w:rFonts w:ascii="Times New Roman Bold" w:hAnsi="Times New Roman Bold"/>
      <w:b/>
      <w:sz w:val="18"/>
    </w:rPr>
  </w:style>
  <w:style w:type="paragraph" w:customStyle="1" w:styleId="Figure">
    <w:name w:val="Figure"/>
    <w:basedOn w:val="FigureNo"/>
    <w:next w:val="Normal"/>
    <w:rsid w:val="00DE307C"/>
    <w:pPr>
      <w:keepNext w:val="0"/>
      <w:spacing w:before="0" w:after="240"/>
    </w:pPr>
  </w:style>
  <w:style w:type="paragraph" w:customStyle="1" w:styleId="tocpart">
    <w:name w:val="tocpart"/>
    <w:basedOn w:val="Normal"/>
    <w:rsid w:val="00DE307C"/>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DE307C"/>
    <w:pPr>
      <w:keepNext/>
      <w:keepLines/>
      <w:spacing w:before="480"/>
      <w:jc w:val="center"/>
    </w:pPr>
    <w:rPr>
      <w:sz w:val="28"/>
    </w:rPr>
  </w:style>
  <w:style w:type="paragraph" w:customStyle="1" w:styleId="Arttitle">
    <w:name w:val="Art_title"/>
    <w:basedOn w:val="Normal"/>
    <w:next w:val="Normalaftertitle"/>
    <w:rsid w:val="00DE307C"/>
    <w:pPr>
      <w:keepNext/>
      <w:keepLines/>
      <w:spacing w:before="240"/>
      <w:jc w:val="center"/>
    </w:pPr>
    <w:rPr>
      <w:b/>
      <w:sz w:val="28"/>
    </w:rPr>
  </w:style>
  <w:style w:type="paragraph" w:customStyle="1" w:styleId="Blanc">
    <w:name w:val="Blanc"/>
    <w:basedOn w:val="Normal"/>
    <w:next w:val="Tabletext"/>
    <w:rsid w:val="00DE307C"/>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DE307C"/>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DE307C"/>
    <w:pPr>
      <w:keepNext/>
      <w:keepLines/>
      <w:spacing w:before="160"/>
      <w:ind w:left="794"/>
    </w:pPr>
    <w:rPr>
      <w:i/>
    </w:rPr>
  </w:style>
  <w:style w:type="paragraph" w:customStyle="1" w:styleId="ChapNo">
    <w:name w:val="Chap_No"/>
    <w:basedOn w:val="ArtNo"/>
    <w:next w:val="Chaptitle"/>
    <w:rsid w:val="00DE307C"/>
    <w:rPr>
      <w:b/>
    </w:rPr>
  </w:style>
  <w:style w:type="paragraph" w:customStyle="1" w:styleId="Chaptitle">
    <w:name w:val="Chap_title"/>
    <w:basedOn w:val="Arttitle"/>
    <w:next w:val="Normalaftertitle"/>
    <w:rsid w:val="00DE307C"/>
  </w:style>
  <w:style w:type="character" w:styleId="FootnoteReference">
    <w:name w:val="footnote reference"/>
    <w:basedOn w:val="DefaultParagraphFont"/>
    <w:semiHidden/>
    <w:rsid w:val="00DE307C"/>
    <w:rPr>
      <w:position w:val="6"/>
      <w:sz w:val="18"/>
    </w:rPr>
  </w:style>
  <w:style w:type="paragraph" w:styleId="FootnoteText">
    <w:name w:val="footnote text"/>
    <w:basedOn w:val="Normal"/>
    <w:semiHidden/>
    <w:rsid w:val="00DE307C"/>
    <w:pPr>
      <w:keepLines/>
      <w:tabs>
        <w:tab w:val="left" w:pos="255"/>
      </w:tabs>
      <w:ind w:left="255" w:hanging="255"/>
    </w:pPr>
    <w:rPr>
      <w:sz w:val="22"/>
    </w:rPr>
  </w:style>
  <w:style w:type="paragraph" w:styleId="Index1">
    <w:name w:val="index 1"/>
    <w:basedOn w:val="Normal"/>
    <w:next w:val="Normal"/>
    <w:semiHidden/>
    <w:rsid w:val="00DE307C"/>
  </w:style>
  <w:style w:type="paragraph" w:styleId="Index2">
    <w:name w:val="index 2"/>
    <w:basedOn w:val="Normal"/>
    <w:next w:val="Normal"/>
    <w:semiHidden/>
    <w:rsid w:val="00DE307C"/>
    <w:pPr>
      <w:ind w:left="283"/>
    </w:pPr>
  </w:style>
  <w:style w:type="paragraph" w:styleId="Index3">
    <w:name w:val="index 3"/>
    <w:basedOn w:val="Normal"/>
    <w:next w:val="Normal"/>
    <w:semiHidden/>
    <w:rsid w:val="00DE307C"/>
    <w:pPr>
      <w:ind w:left="566"/>
    </w:pPr>
  </w:style>
  <w:style w:type="paragraph" w:styleId="IndexHeading">
    <w:name w:val="index heading"/>
    <w:basedOn w:val="Normal"/>
    <w:next w:val="Index1"/>
    <w:semiHidden/>
    <w:rsid w:val="00DE307C"/>
  </w:style>
  <w:style w:type="paragraph" w:customStyle="1" w:styleId="Line">
    <w:name w:val="Line"/>
    <w:basedOn w:val="Normal"/>
    <w:next w:val="Normal"/>
    <w:rsid w:val="00DE307C"/>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DE307C"/>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DE307C"/>
  </w:style>
  <w:style w:type="paragraph" w:customStyle="1" w:styleId="Partref">
    <w:name w:val="Part_ref"/>
    <w:basedOn w:val="Normal"/>
    <w:next w:val="Normal"/>
    <w:rsid w:val="00DE307C"/>
    <w:pPr>
      <w:keepNext/>
      <w:keepLines/>
      <w:spacing w:after="280"/>
      <w:jc w:val="center"/>
    </w:pPr>
  </w:style>
  <w:style w:type="paragraph" w:customStyle="1" w:styleId="Parttitle">
    <w:name w:val="Part_title"/>
    <w:basedOn w:val="Normal"/>
    <w:next w:val="Normalaftertitle"/>
    <w:rsid w:val="00DE307C"/>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DE307C"/>
  </w:style>
  <w:style w:type="paragraph" w:customStyle="1" w:styleId="QuestionNo">
    <w:name w:val="Question_No"/>
    <w:basedOn w:val="RecNo"/>
    <w:next w:val="Normal"/>
    <w:rsid w:val="00DE307C"/>
  </w:style>
  <w:style w:type="paragraph" w:customStyle="1" w:styleId="Questionref">
    <w:name w:val="Question_ref"/>
    <w:basedOn w:val="Recref"/>
    <w:next w:val="Questiondate"/>
    <w:rsid w:val="00DE307C"/>
  </w:style>
  <w:style w:type="paragraph" w:customStyle="1" w:styleId="Questiontitle">
    <w:name w:val="Question_title"/>
    <w:basedOn w:val="Normal"/>
    <w:next w:val="Questionref"/>
    <w:rsid w:val="00DE307C"/>
  </w:style>
  <w:style w:type="paragraph" w:customStyle="1" w:styleId="Reftext">
    <w:name w:val="Ref_text"/>
    <w:basedOn w:val="Normal"/>
    <w:rsid w:val="00DE307C"/>
    <w:pPr>
      <w:ind w:left="794" w:hanging="794"/>
    </w:pPr>
    <w:rPr>
      <w:sz w:val="22"/>
    </w:rPr>
  </w:style>
  <w:style w:type="paragraph" w:customStyle="1" w:styleId="Reftitle">
    <w:name w:val="Ref_title"/>
    <w:basedOn w:val="Normal"/>
    <w:next w:val="Reftext"/>
    <w:rsid w:val="00DE307C"/>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DE307C"/>
  </w:style>
  <w:style w:type="paragraph" w:customStyle="1" w:styleId="RepNo">
    <w:name w:val="Rep_No"/>
    <w:basedOn w:val="RecNo"/>
    <w:next w:val="Reptitle"/>
    <w:rsid w:val="00DE307C"/>
  </w:style>
  <w:style w:type="paragraph" w:customStyle="1" w:styleId="Reptitle">
    <w:name w:val="Rep_title"/>
    <w:basedOn w:val="Rectitle"/>
    <w:next w:val="Repref"/>
    <w:rsid w:val="00DE307C"/>
  </w:style>
  <w:style w:type="paragraph" w:customStyle="1" w:styleId="Repref">
    <w:name w:val="Rep_ref"/>
    <w:basedOn w:val="Recref"/>
    <w:next w:val="Repdate"/>
    <w:rsid w:val="00DE307C"/>
  </w:style>
  <w:style w:type="paragraph" w:customStyle="1" w:styleId="Resdate">
    <w:name w:val="Res_date"/>
    <w:basedOn w:val="Recdate"/>
    <w:next w:val="Normalaftertitle"/>
    <w:rsid w:val="00DE307C"/>
  </w:style>
  <w:style w:type="paragraph" w:customStyle="1" w:styleId="ResNo">
    <w:name w:val="Res_No"/>
    <w:basedOn w:val="RecNo"/>
    <w:next w:val="Restitle"/>
    <w:rsid w:val="00DE307C"/>
  </w:style>
  <w:style w:type="paragraph" w:customStyle="1" w:styleId="Restitle">
    <w:name w:val="Res_title"/>
    <w:basedOn w:val="Normal"/>
    <w:next w:val="Resref"/>
    <w:rsid w:val="00DE307C"/>
    <w:pPr>
      <w:spacing w:before="240"/>
      <w:jc w:val="center"/>
    </w:pPr>
    <w:rPr>
      <w:b/>
      <w:sz w:val="28"/>
    </w:rPr>
  </w:style>
  <w:style w:type="paragraph" w:customStyle="1" w:styleId="Resref">
    <w:name w:val="Res_ref"/>
    <w:basedOn w:val="Recref"/>
    <w:next w:val="Resdate"/>
    <w:rsid w:val="00DE307C"/>
  </w:style>
  <w:style w:type="paragraph" w:customStyle="1" w:styleId="SectionNo">
    <w:name w:val="Section_No"/>
    <w:basedOn w:val="Normal"/>
    <w:next w:val="Normal"/>
    <w:rsid w:val="00DE307C"/>
  </w:style>
  <w:style w:type="paragraph" w:customStyle="1" w:styleId="Sectiontitle">
    <w:name w:val="Section_title"/>
    <w:basedOn w:val="Normal"/>
    <w:next w:val="Normalaftertitle"/>
    <w:rsid w:val="00DE307C"/>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DE307C"/>
    <w:pPr>
      <w:tabs>
        <w:tab w:val="clear" w:pos="794"/>
        <w:tab w:val="clear" w:pos="1191"/>
        <w:tab w:val="clear" w:pos="1588"/>
        <w:tab w:val="clear" w:pos="1985"/>
        <w:tab w:val="right" w:pos="9611"/>
      </w:tabs>
    </w:pPr>
    <w:rPr>
      <w:i/>
    </w:rPr>
  </w:style>
  <w:style w:type="paragraph" w:styleId="TOC1">
    <w:name w:val="toc 1"/>
    <w:basedOn w:val="Normal"/>
    <w:semiHidden/>
    <w:rsid w:val="00DE307C"/>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DE307C"/>
    <w:pPr>
      <w:tabs>
        <w:tab w:val="clear" w:pos="567"/>
        <w:tab w:val="left" w:pos="1276"/>
      </w:tabs>
      <w:spacing w:before="160"/>
      <w:ind w:left="1276" w:hanging="709"/>
    </w:pPr>
  </w:style>
  <w:style w:type="paragraph" w:styleId="TOC3">
    <w:name w:val="toc 3"/>
    <w:basedOn w:val="TOC2"/>
    <w:semiHidden/>
    <w:rsid w:val="00DE307C"/>
    <w:pPr>
      <w:tabs>
        <w:tab w:val="clear" w:pos="1276"/>
        <w:tab w:val="left" w:pos="2155"/>
      </w:tabs>
      <w:ind w:left="2155" w:hanging="879"/>
    </w:pPr>
  </w:style>
  <w:style w:type="paragraph" w:styleId="TOC4">
    <w:name w:val="toc 4"/>
    <w:basedOn w:val="TOC3"/>
    <w:semiHidden/>
    <w:rsid w:val="00DE307C"/>
    <w:pPr>
      <w:tabs>
        <w:tab w:val="left" w:pos="3261"/>
      </w:tabs>
      <w:spacing w:before="80"/>
      <w:ind w:left="3261" w:hanging="993"/>
    </w:pPr>
  </w:style>
  <w:style w:type="paragraph" w:styleId="TOC5">
    <w:name w:val="toc 5"/>
    <w:basedOn w:val="TOC4"/>
    <w:semiHidden/>
    <w:rsid w:val="00DE307C"/>
  </w:style>
  <w:style w:type="paragraph" w:styleId="TOC6">
    <w:name w:val="toc 6"/>
    <w:basedOn w:val="TOC4"/>
    <w:semiHidden/>
    <w:rsid w:val="00DE307C"/>
  </w:style>
  <w:style w:type="paragraph" w:styleId="TOC7">
    <w:name w:val="toc 7"/>
    <w:basedOn w:val="TOC4"/>
    <w:semiHidden/>
    <w:rsid w:val="00DE307C"/>
  </w:style>
  <w:style w:type="paragraph" w:styleId="TOC8">
    <w:name w:val="toc 8"/>
    <w:basedOn w:val="TOC4"/>
    <w:semiHidden/>
    <w:rsid w:val="00DE307C"/>
  </w:style>
  <w:style w:type="paragraph" w:customStyle="1" w:styleId="Annexref">
    <w:name w:val="Annex_ref"/>
    <w:basedOn w:val="Normal"/>
    <w:next w:val="Normalaftertitle"/>
    <w:rsid w:val="00DE307C"/>
    <w:pPr>
      <w:keepNext/>
      <w:keepLines/>
      <w:spacing w:after="280"/>
      <w:jc w:val="center"/>
    </w:pPr>
  </w:style>
  <w:style w:type="paragraph" w:customStyle="1" w:styleId="Appendixref">
    <w:name w:val="Appendix_ref"/>
    <w:basedOn w:val="Annexref"/>
    <w:next w:val="Normalaftertitle"/>
    <w:rsid w:val="00DE307C"/>
  </w:style>
  <w:style w:type="paragraph" w:customStyle="1" w:styleId="Tabletitle">
    <w:name w:val="Table_title"/>
    <w:basedOn w:val="Normal"/>
    <w:next w:val="Tablehead"/>
    <w:rsid w:val="00DE307C"/>
    <w:pPr>
      <w:keepNext/>
      <w:spacing w:before="0" w:after="120"/>
      <w:jc w:val="center"/>
    </w:pPr>
    <w:rPr>
      <w:b/>
    </w:rPr>
  </w:style>
  <w:style w:type="paragraph" w:customStyle="1" w:styleId="Summary">
    <w:name w:val="Summary"/>
    <w:basedOn w:val="Normal"/>
    <w:next w:val="Normalaftertitle"/>
    <w:autoRedefine/>
    <w:rsid w:val="00DE307C"/>
    <w:pPr>
      <w:spacing w:after="480"/>
    </w:pPr>
    <w:rPr>
      <w:sz w:val="22"/>
      <w:lang w:val="es-ES_tradnl"/>
    </w:rPr>
  </w:style>
  <w:style w:type="character" w:styleId="Hyperlink">
    <w:name w:val="Hyperlink"/>
    <w:basedOn w:val="DefaultParagraphFont"/>
    <w:rsid w:val="00934ED7"/>
    <w:rPr>
      <w:color w:val="0000FF"/>
      <w:u w:val="single"/>
    </w:rPr>
  </w:style>
  <w:style w:type="paragraph" w:customStyle="1" w:styleId="TableLegendNote">
    <w:name w:val="Table_Legend_Note"/>
    <w:basedOn w:val="Tablelegend"/>
    <w:next w:val="Tablelegend"/>
    <w:rsid w:val="00DE307C"/>
    <w:pPr>
      <w:ind w:left="-85" w:firstLine="0"/>
    </w:pPr>
    <w:rPr>
      <w:lang w:val="en-US"/>
    </w:rPr>
  </w:style>
  <w:style w:type="character" w:customStyle="1" w:styleId="HeaderChar">
    <w:name w:val="Header Char"/>
    <w:basedOn w:val="DefaultParagraphFont"/>
    <w:link w:val="Header"/>
    <w:rsid w:val="00EE47C4"/>
    <w:rPr>
      <w:sz w:val="24"/>
      <w:lang w:val="en-GB" w:eastAsia="en-US"/>
    </w:rPr>
  </w:style>
  <w:style w:type="table" w:styleId="TableGrid">
    <w:name w:val="Table Grid"/>
    <w:basedOn w:val="TableNormal"/>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paragraph" w:customStyle="1" w:styleId="Reasons">
    <w:name w:val="Reasons"/>
    <w:basedOn w:val="Normal"/>
    <w:qFormat/>
    <w:rsid w:val="00D015E1"/>
    <w:pPr>
      <w:tabs>
        <w:tab w:val="clear" w:pos="794"/>
        <w:tab w:val="clear" w:pos="1191"/>
        <w:tab w:val="clear" w:pos="1588"/>
        <w:tab w:val="clear" w:pos="1985"/>
      </w:tabs>
      <w:overflowPunct/>
      <w:autoSpaceDE/>
      <w:autoSpaceDN/>
      <w:adjustRightInd/>
      <w:spacing w:before="0"/>
      <w:jc w:val="left"/>
      <w:textAlignment w:val="auto"/>
    </w:pPr>
    <w:rPr>
      <w:lang w:val="en-US"/>
    </w:rPr>
  </w:style>
  <w:style w:type="character" w:styleId="FollowedHyperlink">
    <w:name w:val="FollowedHyperlink"/>
    <w:basedOn w:val="DefaultParagraphFont"/>
    <w:semiHidden/>
    <w:unhideWhenUsed/>
    <w:rsid w:val="00F93C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www.itu.int/rec/R-REC-P.676/es" TargetMode="External"/><Relationship Id="rId26" Type="http://schemas.openxmlformats.org/officeDocument/2006/relationships/hyperlink" Target="https://www.itu.int/rec/R-REC-P.2108/es" TargetMode="External"/><Relationship Id="rId39" Type="http://schemas.openxmlformats.org/officeDocument/2006/relationships/hyperlink" Target="https://www.itu.int/pub/R-REP-RA.2507" TargetMode="External"/><Relationship Id="rId21" Type="http://schemas.openxmlformats.org/officeDocument/2006/relationships/hyperlink" Target="https://www.itu.int/rec/R-REC-RA.1513/es" TargetMode="External"/><Relationship Id="rId34" Type="http://schemas.openxmlformats.org/officeDocument/2006/relationships/hyperlink" Target="https://www.itu.int/pub/R-REP-RA.2507" TargetMode="External"/><Relationship Id="rId42"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itu.int/rec/R-REC-RA.517/es" TargetMode="External"/><Relationship Id="rId20" Type="http://schemas.openxmlformats.org/officeDocument/2006/relationships/hyperlink" Target="https://www.itu.int/rec/R-REC-RA.1031/es" TargetMode="External"/><Relationship Id="rId29" Type="http://schemas.openxmlformats.org/officeDocument/2006/relationships/hyperlink" Target="https://www.itu.int/pub/R-REP-RA.2131"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publ/R-REC/es" TargetMode="External"/><Relationship Id="rId24" Type="http://schemas.openxmlformats.org/officeDocument/2006/relationships/hyperlink" Target="https://www.itu.int/rec/R-REC-RS.2066/es" TargetMode="External"/><Relationship Id="rId32" Type="http://schemas.openxmlformats.org/officeDocument/2006/relationships/hyperlink" Target="https://www.itu.int/pub/R-REP-RA.2428" TargetMode="External"/><Relationship Id="rId37" Type="http://schemas.openxmlformats.org/officeDocument/2006/relationships/hyperlink" Target="https://www.itu.int/pub/R-REP-RA.2259" TargetMode="Externa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itu.int/rec/R-REC-TF.460/es" TargetMode="External"/><Relationship Id="rId23" Type="http://schemas.openxmlformats.org/officeDocument/2006/relationships/hyperlink" Target="https://www.itu.int/rec/R-REC-RA.1631/es" TargetMode="External"/><Relationship Id="rId28" Type="http://schemas.openxmlformats.org/officeDocument/2006/relationships/hyperlink" Target="https://www.itu.int/dms_pub/itu-r/opb/rep/R-REP-RA.2126-1-2013-PDF-E.pdf" TargetMode="External"/><Relationship Id="rId36" Type="http://schemas.openxmlformats.org/officeDocument/2006/relationships/hyperlink" Target="https://www.itu.int/rec/R-REC-RA.769/es" TargetMode="External"/><Relationship Id="rId10" Type="http://schemas.openxmlformats.org/officeDocument/2006/relationships/hyperlink" Target="https://www.itu.int/en/ITU-R/study-groups/Pages/itu-r-patent-information.aspx" TargetMode="External"/><Relationship Id="rId19" Type="http://schemas.openxmlformats.org/officeDocument/2006/relationships/hyperlink" Target="https://www.itu.int/rec/R-REC-RA.769/es" TargetMode="External"/><Relationship Id="rId31" Type="http://schemas.openxmlformats.org/officeDocument/2006/relationships/hyperlink" Target="https://www.itu.int/pub/R-REP-RA.2259"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itu.int/rec/R-REC-P.452/es" TargetMode="External"/><Relationship Id="rId22" Type="http://schemas.openxmlformats.org/officeDocument/2006/relationships/hyperlink" Target="https://www.itu.int/rec/R-REC-M.1583/es" TargetMode="External"/><Relationship Id="rId27" Type="http://schemas.openxmlformats.org/officeDocument/2006/relationships/hyperlink" Target="https://www.itu.int/rec/R-REC-P.2109/es" TargetMode="External"/><Relationship Id="rId30" Type="http://schemas.openxmlformats.org/officeDocument/2006/relationships/hyperlink" Target="https://www.itu.int/pub/R-REP-RA.2188" TargetMode="External"/><Relationship Id="rId35" Type="http://schemas.openxmlformats.org/officeDocument/2006/relationships/hyperlink" Target="https://www.itu.int/pub/R-REP-RA.2507" TargetMode="Externa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s://www.itu.int/rec/R-REC-RA.611/es" TargetMode="External"/><Relationship Id="rId25" Type="http://schemas.openxmlformats.org/officeDocument/2006/relationships/hyperlink" Target="https://www.itu.int/rec/R-REC-M.2101/es" TargetMode="External"/><Relationship Id="rId33" Type="http://schemas.openxmlformats.org/officeDocument/2006/relationships/hyperlink" Target="https://www.itu.int/pub/R-REP-RA.2507" TargetMode="External"/><Relationship Id="rId38" Type="http://schemas.openxmlformats.org/officeDocument/2006/relationships/hyperlink" Target="https://www.itu.int/rec/R-REC-TF.460/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QPUB\BR\COUVERTURES\RecS\2026-ITU-R_REC_RA_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2026-ITU-R_REC_RA_S.docx</Template>
  <TotalTime>64</TotalTime>
  <Pages>5</Pages>
  <Words>1799</Words>
  <Characters>11302</Characters>
  <Application>Microsoft Office Word</Application>
  <DocSecurity>0</DocSecurity>
  <Lines>230</Lines>
  <Paragraphs>161</Paragraphs>
  <ScaleCrop>false</ScaleCrop>
  <HeadingPairs>
    <vt:vector size="2" baseType="variant">
      <vt:variant>
        <vt:lpstr>Title</vt:lpstr>
      </vt:variant>
      <vt:variant>
        <vt:i4>1</vt:i4>
      </vt:variant>
    </vt:vector>
  </HeadingPairs>
  <TitlesOfParts>
    <vt:vector size="1" baseType="lpstr">
      <vt:lpstr>RECOMENDACIÓN  UIT-R  RA.2178-0 - Redes mundiales de interferometría geodésica de línea de base muy larga</vt:lpstr>
    </vt:vector>
  </TitlesOfParts>
  <Manager/>
  <Company>UIT</Company>
  <LinksUpToDate>false</LinksUpToDate>
  <CharactersWithSpaces>12940</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UIT-R RA.2178-0 (06/2026) - Redes mundiales de interferometría geodésica de línea de base muy larga</dc:title>
  <dc:subject>Serie RA: Radioastronomía</dc:subject>
  <dc:creator>Oficina de Radiocomunicaciones del UIT (BR)</dc:creator>
  <cp:keywords>Interferometría geodésica de línea de base muy larga, servicio de radioastronomía, sistema de observación VLBI mundial, geodesia, interferencias</cp:keywords>
  <dc:description/>
  <cp:lastModifiedBy>Saez Grau, Ricardo</cp:lastModifiedBy>
  <cp:revision>24</cp:revision>
  <cp:lastPrinted>2026-09-08T07:54:00Z</cp:lastPrinted>
  <dcterms:created xsi:type="dcterms:W3CDTF">2026-09-07T13:15:00Z</dcterms:created>
  <dcterms:modified xsi:type="dcterms:W3CDTF">2026-09-08T09:00:00Z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Spanish</vt:lpwstr>
  </property>
  <property fmtid="{D5CDD505-2E9C-101B-9397-08002B2CF9AE}" pid="10" name="Typist">
    <vt:lpwstr>Saez</vt:lpwstr>
  </property>
  <property fmtid="{D5CDD505-2E9C-101B-9397-08002B2CF9AE}" pid="11" name="Date completed">
    <vt:lpwstr>08 September 2026</vt:lpwstr>
  </property>
</Properties>
</file>