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F60" w:rsidRDefault="00DB4F60">
      <w:pPr>
        <w:pStyle w:val="RecNo"/>
        <w:spacing w:before="0"/>
        <w:rPr>
          <w:lang w:val="es-ES"/>
        </w:rPr>
      </w:pPr>
      <w:bookmarkStart w:id="0" w:name="_GoBack"/>
      <w:bookmarkEnd w:id="0"/>
      <w:r>
        <w:rPr>
          <w:lang w:val="es-ES"/>
        </w:rPr>
        <w:t xml:space="preserve">RECOMENDACIÓN  </w:t>
      </w:r>
      <w:r>
        <w:rPr>
          <w:rStyle w:val="href"/>
          <w:lang w:val="es-ES"/>
        </w:rPr>
        <w:t>UIT-R  RA.1630</w:t>
      </w:r>
      <w:r w:rsidR="00D82594">
        <w:rPr>
          <w:rStyle w:val="href"/>
          <w:lang w:val="es-ES"/>
        </w:rPr>
        <w:t>-0</w:t>
      </w:r>
      <w:r>
        <w:rPr>
          <w:rStyle w:val="FootnoteReference"/>
          <w:lang w:val="es-ES"/>
        </w:rPr>
        <w:footnoteReference w:customMarkFollows="1" w:id="1"/>
        <w:t>*</w:t>
      </w:r>
      <w:r w:rsidR="00D82594" w:rsidRPr="00C3406E">
        <w:rPr>
          <w:vertAlign w:val="superscript"/>
          <w:lang w:val="es-ES_tradnl"/>
        </w:rPr>
        <w:t>,</w:t>
      </w:r>
      <w:r w:rsidR="00D82594">
        <w:rPr>
          <w:lang w:val="es-ES_tradnl"/>
        </w:rPr>
        <w:t xml:space="preserve"> </w:t>
      </w:r>
      <w:r w:rsidR="00D82594">
        <w:rPr>
          <w:rStyle w:val="FootnoteReference"/>
          <w:lang w:val="es-ES_tradnl"/>
        </w:rPr>
        <w:footnoteReference w:customMarkFollows="1" w:id="2"/>
        <w:t>**</w:t>
      </w:r>
    </w:p>
    <w:p w:rsidR="00DB4F60" w:rsidRDefault="00DB4F60" w:rsidP="00D82594">
      <w:pPr>
        <w:pStyle w:val="Rectitle"/>
        <w:rPr>
          <w:lang w:val="es-ES"/>
        </w:rPr>
      </w:pPr>
      <w:r>
        <w:rPr>
          <w:lang w:val="es-ES"/>
        </w:rPr>
        <w:t>Características técnicas y operacionales de los sistemas astronómicos</w:t>
      </w:r>
      <w:r>
        <w:rPr>
          <w:lang w:val="es-ES"/>
        </w:rPr>
        <w:br/>
        <w:t>situados en tierra para ser utilizadas en los estudios de compartición</w:t>
      </w:r>
      <w:r>
        <w:rPr>
          <w:lang w:val="es-ES"/>
        </w:rPr>
        <w:br/>
        <w:t>con servicios activos entre 10 THz y 1</w:t>
      </w:r>
      <w:r>
        <w:rPr>
          <w:rFonts w:ascii="Tms Rmn" w:hAnsi="Tms Rmn"/>
          <w:sz w:val="12"/>
          <w:lang w:val="es-ES"/>
        </w:rPr>
        <w:t> </w:t>
      </w:r>
      <w:r>
        <w:rPr>
          <w:lang w:val="es-ES"/>
        </w:rPr>
        <w:t>000 THz</w:t>
      </w:r>
      <w:r w:rsidR="00D82594">
        <w:rPr>
          <w:rStyle w:val="FootnoteReference"/>
          <w:lang w:val="es-ES"/>
        </w:rPr>
        <w:footnoteReference w:customMarkFollows="1" w:id="3"/>
        <w:t>***</w:t>
      </w:r>
    </w:p>
    <w:p w:rsidR="00DB4F60" w:rsidRDefault="00D82594">
      <w:pPr>
        <w:pStyle w:val="Recdate"/>
        <w:rPr>
          <w:lang w:val="es-ES"/>
        </w:rPr>
      </w:pPr>
      <w:r>
        <w:rPr>
          <w:lang w:val="es-ES"/>
        </w:rPr>
        <w:t xml:space="preserve"> </w:t>
      </w:r>
      <w:r w:rsidR="00DB4F60">
        <w:rPr>
          <w:lang w:val="es-ES"/>
        </w:rPr>
        <w:t>(2003)</w:t>
      </w:r>
    </w:p>
    <w:p w:rsidR="00DB4F60" w:rsidRDefault="00DB4F60">
      <w:pPr>
        <w:pStyle w:val="Normalaftertitle"/>
        <w:rPr>
          <w:lang w:val="es-ES"/>
        </w:rPr>
      </w:pPr>
      <w:r>
        <w:rPr>
          <w:lang w:val="es-ES"/>
        </w:rPr>
        <w:t>La Asamblea de Radiocomunicaciones de la UIT,</w:t>
      </w:r>
    </w:p>
    <w:p w:rsidR="00DB4F60" w:rsidRDefault="00DB4F60">
      <w:pPr>
        <w:pStyle w:val="Call"/>
        <w:rPr>
          <w:lang w:val="es-ES"/>
        </w:rPr>
      </w:pPr>
      <w:r>
        <w:rPr>
          <w:lang w:val="es-ES"/>
        </w:rPr>
        <w:t>considerando</w:t>
      </w:r>
    </w:p>
    <w:p w:rsidR="00DB4F60" w:rsidRDefault="00DB4F60">
      <w:pPr>
        <w:rPr>
          <w:lang w:val="es-ES"/>
        </w:rPr>
      </w:pPr>
      <w:r>
        <w:rPr>
          <w:lang w:val="es-ES"/>
        </w:rPr>
        <w:t>a)</w:t>
      </w:r>
      <w:r>
        <w:rPr>
          <w:lang w:val="es-ES"/>
        </w:rPr>
        <w:tab/>
        <w:t>que durante siglos se ha utilizado el espectro entre 400 THz y 750 THz para efectuar observaciones astronómicas y que sólo en los últimos 30 años ha sido posible explorar exhaustivamente todo el espectro entre 10 THz y 1</w:t>
      </w:r>
      <w:r>
        <w:rPr>
          <w:rFonts w:ascii="Tms Rmn" w:hAnsi="Tms Rmn"/>
          <w:sz w:val="12"/>
          <w:lang w:val="es-ES"/>
        </w:rPr>
        <w:t> </w:t>
      </w:r>
      <w:r>
        <w:rPr>
          <w:lang w:val="es-ES"/>
        </w:rPr>
        <w:t>000 THz, gracias a los avances tecnológicos;</w:t>
      </w:r>
    </w:p>
    <w:p w:rsidR="00DB4F60" w:rsidRDefault="00DB4F60">
      <w:pPr>
        <w:rPr>
          <w:lang w:val="es-ES"/>
        </w:rPr>
      </w:pPr>
      <w:r>
        <w:rPr>
          <w:lang w:val="es-ES"/>
        </w:rPr>
        <w:t>b)</w:t>
      </w:r>
      <w:r>
        <w:rPr>
          <w:lang w:val="es-ES"/>
        </w:rPr>
        <w:tab/>
        <w:t>que las observaciones entre 10 THz y 1</w:t>
      </w:r>
      <w:r>
        <w:rPr>
          <w:rFonts w:ascii="Tms Rmn" w:hAnsi="Tms Rmn"/>
          <w:sz w:val="12"/>
          <w:lang w:val="es-ES"/>
        </w:rPr>
        <w:t> </w:t>
      </w:r>
      <w:r>
        <w:rPr>
          <w:lang w:val="es-ES"/>
        </w:rPr>
        <w:t>000 THz proporcionan datos indispensables para dar respuesta a cuestiones fundamentales de la astronomía que quedarían sin resolver si sólo se pudiese realizar observaciones astronómicas por debajo de 275 GHz;</w:t>
      </w:r>
    </w:p>
    <w:p w:rsidR="00DB4F60" w:rsidRDefault="00DB4F60">
      <w:pPr>
        <w:rPr>
          <w:lang w:val="es-ES"/>
        </w:rPr>
      </w:pPr>
      <w:r>
        <w:rPr>
          <w:lang w:val="es-ES"/>
        </w:rPr>
        <w:t>c)</w:t>
      </w:r>
      <w:r>
        <w:rPr>
          <w:lang w:val="es-ES"/>
        </w:rPr>
        <w:tab/>
        <w:t>que el espectro entre 10 THz y 1</w:t>
      </w:r>
      <w:r>
        <w:rPr>
          <w:rFonts w:ascii="Tms Rmn" w:hAnsi="Tms Rmn"/>
          <w:sz w:val="12"/>
          <w:lang w:val="es-ES"/>
        </w:rPr>
        <w:t> </w:t>
      </w:r>
      <w:r>
        <w:rPr>
          <w:lang w:val="es-ES"/>
        </w:rPr>
        <w:t>000 THz se utiliza tanto en la investigación astronómica como en muchas otras aplicaciones;</w:t>
      </w:r>
    </w:p>
    <w:p w:rsidR="00DB4F60" w:rsidRDefault="00DB4F60">
      <w:pPr>
        <w:rPr>
          <w:lang w:val="es-ES"/>
        </w:rPr>
      </w:pPr>
      <w:r>
        <w:rPr>
          <w:lang w:val="es-ES"/>
        </w:rPr>
        <w:t>d)</w:t>
      </w:r>
      <w:r>
        <w:rPr>
          <w:lang w:val="es-ES"/>
        </w:rPr>
        <w:tab/>
        <w:t>que la tecnología de la observación astronómica, en el espectro comprendido entre 10 THz y 1</w:t>
      </w:r>
      <w:r>
        <w:rPr>
          <w:rFonts w:ascii="Tms Rmn" w:hAnsi="Tms Rmn"/>
          <w:sz w:val="12"/>
          <w:lang w:val="es-ES"/>
        </w:rPr>
        <w:t> </w:t>
      </w:r>
      <w:r>
        <w:rPr>
          <w:lang w:val="es-ES"/>
        </w:rPr>
        <w:t>000 THz, se encuentra en permanente evolución;</w:t>
      </w:r>
    </w:p>
    <w:p w:rsidR="00DB4F60" w:rsidRDefault="00DB4F60">
      <w:pPr>
        <w:rPr>
          <w:lang w:val="es-ES"/>
        </w:rPr>
      </w:pPr>
      <w:r>
        <w:rPr>
          <w:lang w:val="es-ES"/>
        </w:rPr>
        <w:t>e)</w:t>
      </w:r>
      <w:r>
        <w:rPr>
          <w:lang w:val="es-ES"/>
        </w:rPr>
        <w:tab/>
        <w:t>que las observaciones astronómicas desde tierra en el espectro visible, entre 400 THz y 750 THz, también las realizan rutinariamente los astrónomos aficionados;</w:t>
      </w:r>
    </w:p>
    <w:p w:rsidR="00DB4F60" w:rsidRDefault="00DB4F60" w:rsidP="00DB4F60">
      <w:pPr>
        <w:numPr>
          <w:ilvl w:val="0"/>
          <w:numId w:val="1"/>
        </w:numPr>
        <w:ind w:left="0" w:firstLine="0"/>
        <w:rPr>
          <w:lang w:val="es-ES"/>
        </w:rPr>
      </w:pPr>
      <w:r>
        <w:rPr>
          <w:lang w:val="es-ES"/>
        </w:rPr>
        <w:t>que las frecuencias entre 10 THz y 1</w:t>
      </w:r>
      <w:r>
        <w:rPr>
          <w:rFonts w:ascii="Tms Rmn" w:hAnsi="Tms Rmn"/>
          <w:sz w:val="12"/>
          <w:lang w:val="es-ES"/>
        </w:rPr>
        <w:t> </w:t>
      </w:r>
      <w:r>
        <w:rPr>
          <w:lang w:val="es-ES"/>
        </w:rPr>
        <w:t>000 THz se utilizan hoy en día en los enlaces de datos, dispositivos de medición de distancia y otros sistemas activos situados en plataformas terrestres y espaciales, y que con la rapidez de expansión y proliferación de estos sistemas aumenta la probabilidad de interferencia entre los sistemas activos y pasivos;</w:t>
      </w:r>
    </w:p>
    <w:p w:rsidR="00DB4F60" w:rsidRDefault="00DB4F60">
      <w:pPr>
        <w:rPr>
          <w:lang w:val="es-ES"/>
        </w:rPr>
      </w:pPr>
      <w:r>
        <w:rPr>
          <w:lang w:val="es-ES"/>
        </w:rPr>
        <w:t>g)</w:t>
      </w:r>
      <w:r>
        <w:rPr>
          <w:lang w:val="es-ES"/>
        </w:rPr>
        <w:tab/>
        <w:t>que muchas aplicaciones de los sistemas activos y pasivos que funcionan entre 10 THz y 1</w:t>
      </w:r>
      <w:r>
        <w:rPr>
          <w:rFonts w:ascii="Tms Rmn" w:hAnsi="Tms Rmn"/>
          <w:sz w:val="12"/>
          <w:lang w:val="es-ES"/>
        </w:rPr>
        <w:t> </w:t>
      </w:r>
      <w:r>
        <w:rPr>
          <w:lang w:val="es-ES"/>
        </w:rPr>
        <w:t>000 THz son muy semejantes a las utilizadas en frecuencias inferiores del espectro electromagnético;</w:t>
      </w:r>
    </w:p>
    <w:p w:rsidR="00DB4F60" w:rsidRDefault="00DB4F60">
      <w:pPr>
        <w:rPr>
          <w:lang w:val="es-ES"/>
        </w:rPr>
      </w:pPr>
      <w:r>
        <w:rPr>
          <w:lang w:val="es-ES"/>
        </w:rPr>
        <w:t>h)</w:t>
      </w:r>
      <w:r>
        <w:rPr>
          <w:lang w:val="es-ES"/>
        </w:rPr>
        <w:tab/>
        <w:t>que si bien hay diferencias notables entre las tecnologías utilizadas en esta parte del espectro y las que se utilizan en frecuencias inferiores (por ejemplo, recuento de fotones frente a integración de potencia en el tiempo), no es menos cierto que hay muchas semejanzas (por ejemplo, ambas se utilizan en las observaciones del continuum y de las líneas espectrales);</w:t>
      </w:r>
    </w:p>
    <w:p w:rsidR="00DB4F60" w:rsidRDefault="00DB4F60">
      <w:pPr>
        <w:rPr>
          <w:lang w:val="es-ES"/>
        </w:rPr>
      </w:pPr>
      <w:r>
        <w:rPr>
          <w:lang w:val="es-ES"/>
        </w:rPr>
        <w:t>j)</w:t>
      </w:r>
      <w:r>
        <w:rPr>
          <w:lang w:val="es-ES"/>
        </w:rPr>
        <w:tab/>
        <w:t>que es oportuno estudiar el tipo de medidas de protección y las consideraciones de compartición necesarias para que los telescopios astronómicos situados en tierra puedan continuar funcionando sin interferencia,</w:t>
      </w:r>
    </w:p>
    <w:p w:rsidR="00DB4F60" w:rsidRDefault="00DB4F60">
      <w:pPr>
        <w:pStyle w:val="Call"/>
        <w:rPr>
          <w:lang w:val="es-ES"/>
        </w:rPr>
      </w:pPr>
      <w:r>
        <w:rPr>
          <w:lang w:val="es-ES"/>
        </w:rPr>
        <w:br w:type="page"/>
      </w:r>
      <w:r>
        <w:rPr>
          <w:lang w:val="es-ES"/>
        </w:rPr>
        <w:lastRenderedPageBreak/>
        <w:t>reconociendo</w:t>
      </w:r>
    </w:p>
    <w:p w:rsidR="00DB4F60" w:rsidRDefault="00DB4F60">
      <w:pPr>
        <w:rPr>
          <w:lang w:val="es-ES"/>
        </w:rPr>
      </w:pPr>
      <w:r>
        <w:rPr>
          <w:lang w:val="es-ES"/>
        </w:rPr>
        <w:t>a)</w:t>
      </w:r>
      <w:r>
        <w:rPr>
          <w:lang w:val="es-ES"/>
        </w:rPr>
        <w:tab/>
        <w:t>que en el UIT-R no se ha estudiado la utilización del espectro ni su compartición entre 10 THz y 1</w:t>
      </w:r>
      <w:r>
        <w:rPr>
          <w:rFonts w:ascii="Tms Rmn" w:hAnsi="Tms Rmn"/>
          <w:sz w:val="12"/>
          <w:lang w:val="es-ES"/>
        </w:rPr>
        <w:t> </w:t>
      </w:r>
      <w:r>
        <w:rPr>
          <w:lang w:val="es-ES"/>
        </w:rPr>
        <w:t>000 THz,</w:t>
      </w:r>
    </w:p>
    <w:p w:rsidR="00DB4F60" w:rsidRDefault="00DB4F60">
      <w:pPr>
        <w:pStyle w:val="Call"/>
        <w:rPr>
          <w:lang w:val="es-ES"/>
        </w:rPr>
      </w:pPr>
      <w:r>
        <w:rPr>
          <w:lang w:val="es-ES"/>
        </w:rPr>
        <w:t>recomienda</w:t>
      </w:r>
    </w:p>
    <w:p w:rsidR="00DB4F60" w:rsidRDefault="00DB4F60">
      <w:pPr>
        <w:rPr>
          <w:lang w:val="es-ES"/>
        </w:rPr>
      </w:pPr>
      <w:r>
        <w:rPr>
          <w:b/>
          <w:bCs/>
          <w:lang w:val="es-ES"/>
        </w:rPr>
        <w:t>1</w:t>
      </w:r>
      <w:r>
        <w:rPr>
          <w:lang w:val="es-ES"/>
        </w:rPr>
        <w:tab/>
        <w:t>que los astrónomos tengan en cuenta la posibilidad de interferencia procedente de los transmisores que funcionan entre 10 THz y 1</w:t>
      </w:r>
      <w:r>
        <w:rPr>
          <w:rFonts w:ascii="Tms Rmn" w:hAnsi="Tms Rmn"/>
          <w:sz w:val="12"/>
          <w:lang w:val="es-ES"/>
        </w:rPr>
        <w:t> </w:t>
      </w:r>
      <w:r>
        <w:rPr>
          <w:lang w:val="es-ES"/>
        </w:rPr>
        <w:t>000 THz para la elección de los emplazamientos de los observatorios y el diseño de la instrumentación;</w:t>
      </w:r>
    </w:p>
    <w:p w:rsidR="00DB4F60" w:rsidRDefault="00DB4F60">
      <w:pPr>
        <w:rPr>
          <w:lang w:val="es-ES"/>
        </w:rPr>
      </w:pPr>
      <w:r>
        <w:rPr>
          <w:b/>
          <w:bCs/>
          <w:lang w:val="es-ES"/>
        </w:rPr>
        <w:t>2</w:t>
      </w:r>
      <w:r>
        <w:rPr>
          <w:lang w:val="es-ES"/>
        </w:rPr>
        <w:tab/>
        <w:t>que los astrónomos faciliten a las Comisiones de Estudio de Radiocomunicaciones la oportuna información sobre los últimos avances tecnológicos relativos a las observaciones astronómicas desde tierra en las frecuencias comprendidas entre 10 THz y 1</w:t>
      </w:r>
      <w:r>
        <w:rPr>
          <w:rFonts w:ascii="Tms Rmn" w:hAnsi="Tms Rmn"/>
          <w:sz w:val="12"/>
          <w:lang w:val="es-ES"/>
        </w:rPr>
        <w:t> </w:t>
      </w:r>
      <w:r>
        <w:rPr>
          <w:lang w:val="es-ES"/>
        </w:rPr>
        <w:t>000 THz;</w:t>
      </w:r>
    </w:p>
    <w:p w:rsidR="00DB4F60" w:rsidRDefault="00DB4F60">
      <w:pPr>
        <w:rPr>
          <w:lang w:val="es-ES"/>
        </w:rPr>
      </w:pPr>
      <w:r>
        <w:rPr>
          <w:b/>
          <w:bCs/>
          <w:lang w:val="es-ES"/>
        </w:rPr>
        <w:t>3</w:t>
      </w:r>
      <w:r>
        <w:rPr>
          <w:lang w:val="es-ES"/>
        </w:rPr>
        <w:tab/>
        <w:t>que los estudios de la interferencia en los sistemas astronómicos que funcionan a frecuencias comprendidas entre 10 THz y 1</w:t>
      </w:r>
      <w:r>
        <w:rPr>
          <w:rFonts w:ascii="Tms Rmn" w:hAnsi="Tms Rmn"/>
          <w:sz w:val="12"/>
          <w:lang w:val="es-ES"/>
        </w:rPr>
        <w:t> </w:t>
      </w:r>
      <w:r>
        <w:rPr>
          <w:lang w:val="es-ES"/>
        </w:rPr>
        <w:t>000 THz tengan en cuenta los parámetros técnicos y operacionales contemplados en los Anexos 1 y 2.</w:t>
      </w:r>
    </w:p>
    <w:p w:rsidR="00DB4F60" w:rsidRDefault="00DB4F60">
      <w:pPr>
        <w:pStyle w:val="AnnexNoTitle"/>
        <w:rPr>
          <w:lang w:val="es-ES"/>
        </w:rPr>
      </w:pPr>
      <w:r>
        <w:rPr>
          <w:lang w:val="es-ES"/>
        </w:rPr>
        <w:t>Anexo 1</w:t>
      </w:r>
    </w:p>
    <w:p w:rsidR="00DB4F60" w:rsidRDefault="00DB4F60">
      <w:pPr>
        <w:pStyle w:val="Heading1"/>
        <w:rPr>
          <w:lang w:val="es-ES"/>
        </w:rPr>
      </w:pPr>
      <w:r>
        <w:rPr>
          <w:lang w:val="es-ES"/>
        </w:rPr>
        <w:t>1</w:t>
      </w:r>
      <w:r>
        <w:rPr>
          <w:lang w:val="es-ES"/>
        </w:rPr>
        <w:tab/>
        <w:t>Introducción</w:t>
      </w:r>
    </w:p>
    <w:p w:rsidR="00DB4F60" w:rsidRDefault="00DB4F60">
      <w:pPr>
        <w:rPr>
          <w:lang w:val="es-ES"/>
        </w:rPr>
      </w:pPr>
      <w:r>
        <w:rPr>
          <w:lang w:val="es-ES"/>
        </w:rPr>
        <w:t>Los telescopios situados en tierra pueden observar una gran diversidad de objetos del Universo a frecuencias inferiores a 275 GHz así como en el espectro comprendido entre 10 THz y 1</w:t>
      </w:r>
      <w:r>
        <w:rPr>
          <w:rFonts w:ascii="Tms Rmn" w:hAnsi="Tms Rmn"/>
          <w:sz w:val="12"/>
          <w:lang w:val="es-ES"/>
        </w:rPr>
        <w:t> </w:t>
      </w:r>
      <w:r>
        <w:rPr>
          <w:lang w:val="es-ES"/>
        </w:rPr>
        <w:t>000 THz (30 </w:t>
      </w:r>
      <w:r>
        <w:rPr>
          <w:lang w:val="es-ES"/>
        </w:rPr>
        <w:sym w:font="Symbol" w:char="F06D"/>
      </w:r>
      <w:r>
        <w:rPr>
          <w:lang w:val="es-ES"/>
        </w:rPr>
        <w:t>m a 0,3 </w:t>
      </w:r>
      <w:r>
        <w:rPr>
          <w:lang w:val="es-ES"/>
        </w:rPr>
        <w:sym w:font="Symbol" w:char="F06D"/>
      </w:r>
      <w:r>
        <w:rPr>
          <w:lang w:val="es-ES"/>
        </w:rPr>
        <w:t>m). Las mediciones efectuadas en distintos dominios de la frecuencia suelen proporcionar información sobre las propiedades físicas (tales como la temperatura, la densidad y la distribución espacial) de diversos estados de los distintos componentes (como estrellas, gas y polvo) que integran los objetos observados, así como sobre los campos magnéticos locales. En general, cuanto mayor es el intervalo de frecuencias cubierto por las observaciones, mayor es el detalle de la información sobre las condiciones físicas locales que puede obtenerse. Por otra parte, determinados tipos de objetos cósmicos pueden estudiarse únicamente, o más adecuadamente, a frecuencias inferiores a 275 GHz o bien en el espectro entre 10 THz y 1</w:t>
      </w:r>
      <w:r>
        <w:rPr>
          <w:rFonts w:ascii="Tms Rmn" w:hAnsi="Tms Rmn"/>
          <w:sz w:val="12"/>
          <w:lang w:val="es-ES"/>
        </w:rPr>
        <w:t> </w:t>
      </w:r>
      <w:r>
        <w:rPr>
          <w:lang w:val="es-ES"/>
        </w:rPr>
        <w:t>000 THz (30 </w:t>
      </w:r>
      <w:r>
        <w:rPr>
          <w:lang w:val="es-ES"/>
        </w:rPr>
        <w:sym w:font="Symbol" w:char="F06D"/>
      </w:r>
      <w:r>
        <w:rPr>
          <w:lang w:val="es-ES"/>
        </w:rPr>
        <w:t>m a 0,3 </w:t>
      </w:r>
      <w:r>
        <w:rPr>
          <w:lang w:val="es-ES"/>
        </w:rPr>
        <w:sym w:font="Symbol" w:char="F06D"/>
      </w:r>
      <w:r>
        <w:rPr>
          <w:lang w:val="es-ES"/>
        </w:rPr>
        <w:t>m).</w:t>
      </w:r>
    </w:p>
    <w:p w:rsidR="00DB4F60" w:rsidRDefault="00DB4F60">
      <w:pPr>
        <w:rPr>
          <w:lang w:val="es-ES"/>
        </w:rPr>
      </w:pPr>
      <w:r>
        <w:rPr>
          <w:lang w:val="es-ES"/>
        </w:rPr>
        <w:t>La comunidad astronómica ha estado efectuando observaciones con telescopios en la banda de frecuencias comprendida entre 400 THz y 750 THz (0,75 </w:t>
      </w:r>
      <w:r>
        <w:rPr>
          <w:lang w:val="es-ES"/>
        </w:rPr>
        <w:sym w:font="Symbol" w:char="F06D"/>
      </w:r>
      <w:r>
        <w:rPr>
          <w:lang w:val="es-ES"/>
        </w:rPr>
        <w:t>m y 0,4 m) aproximadamente, durante unos 400 años. En los últimos 30 años con la llegada de las tecnologías de detección se han ampliado las bandas disponibles para la investigación astronómica al espectro comprendido entre 10 THz y 1 000 THz (30 </w:t>
      </w:r>
      <w:r>
        <w:rPr>
          <w:lang w:val="es-ES"/>
        </w:rPr>
        <w:sym w:font="Symbol" w:char="F06D"/>
      </w:r>
      <w:r>
        <w:rPr>
          <w:lang w:val="es-ES"/>
        </w:rPr>
        <w:t>m a 0,3 </w:t>
      </w:r>
      <w:r>
        <w:rPr>
          <w:lang w:val="es-ES"/>
        </w:rPr>
        <w:sym w:font="Symbol" w:char="F06D"/>
      </w:r>
      <w:r>
        <w:rPr>
          <w:lang w:val="es-ES"/>
        </w:rPr>
        <w:t>m). Los astrónomos suelen denominar «infrarrojos» a las frecuencias comprendidas entre 10 THz y 300 THz (30 </w:t>
      </w:r>
      <w:r>
        <w:rPr>
          <w:lang w:val="es-ES"/>
        </w:rPr>
        <w:sym w:font="Symbol" w:char="F06D"/>
      </w:r>
      <w:r>
        <w:rPr>
          <w:lang w:val="es-ES"/>
        </w:rPr>
        <w:t>m y 1 </w:t>
      </w:r>
      <w:r>
        <w:rPr>
          <w:rFonts w:ascii="Symbol" w:hAnsi="Symbol"/>
          <w:lang w:val="es-ES"/>
        </w:rPr>
        <w:t></w:t>
      </w:r>
      <w:r>
        <w:rPr>
          <w:lang w:val="es-ES"/>
        </w:rPr>
        <w:t>m), mientras que el espectro comprendido entre 300 THz y 1 000 THz (1 </w:t>
      </w:r>
      <w:r>
        <w:rPr>
          <w:lang w:val="es-ES"/>
        </w:rPr>
        <w:sym w:font="Symbol" w:char="F06D"/>
      </w:r>
      <w:r>
        <w:rPr>
          <w:lang w:val="es-ES"/>
        </w:rPr>
        <w:t>m y 0,3 </w:t>
      </w:r>
      <w:r>
        <w:rPr>
          <w:rFonts w:ascii="Symbol" w:hAnsi="Symbol"/>
          <w:lang w:val="es-ES"/>
        </w:rPr>
        <w:t></w:t>
      </w:r>
      <w:r>
        <w:rPr>
          <w:lang w:val="es-ES"/>
        </w:rPr>
        <w:t>m) se conoce generalmente como «óptico». El espectro entre 10 THz y 1 000 THz es idóneo para los estudios de las emisiones térmicas cósmicas y de las de un gran número de líneas espectrales de átomos y moléculas. Durante los últimos 30 años, los astrónomos han sido testigos de la aparición de adelantos tecnológicos que permiten la detección de determinadas señales que antes sólo era posible desde plataformas orbitales. Los astrónomos aficionados a su vez, efectúan observaciones en el espectro comprendido entre 400 THz y 750 THz (0,75 </w:t>
      </w:r>
      <w:r>
        <w:rPr>
          <w:rFonts w:ascii="Symbol" w:hAnsi="Symbol"/>
          <w:lang w:val="es-ES"/>
        </w:rPr>
        <w:t></w:t>
      </w:r>
      <w:r>
        <w:rPr>
          <w:lang w:val="es-ES"/>
        </w:rPr>
        <w:t>m y 0,4 </w:t>
      </w:r>
      <w:r>
        <w:rPr>
          <w:rFonts w:ascii="Symbol" w:hAnsi="Symbol"/>
          <w:lang w:val="es-ES"/>
        </w:rPr>
        <w:t></w:t>
      </w:r>
      <w:r>
        <w:rPr>
          <w:lang w:val="es-ES"/>
        </w:rPr>
        <w:t>m).</w:t>
      </w:r>
    </w:p>
    <w:p w:rsidR="00DB4F60" w:rsidRDefault="00DB4F60">
      <w:pPr>
        <w:rPr>
          <w:lang w:val="es-ES"/>
        </w:rPr>
      </w:pPr>
      <w:r>
        <w:rPr>
          <w:lang w:val="es-ES"/>
        </w:rPr>
        <w:t xml:space="preserve">Los propios países por un lado y los consorcios internacionales por otro están realizando grandes inversiones en la construcción de observatorios dotados de grandes espejos (antenas) de hasta 10 m de diámetro e incluso mayores, que junto con los detectores modernos, llegarán a alcanzar </w:t>
      </w:r>
      <w:r>
        <w:rPr>
          <w:lang w:val="es-ES"/>
        </w:rPr>
        <w:br w:type="page"/>
      </w:r>
      <w:r>
        <w:rPr>
          <w:lang w:val="es-ES"/>
        </w:rPr>
        <w:lastRenderedPageBreak/>
        <w:t>sensibilidades sin precedente. Del mismo modo, la llegada de láseres fiables y asequibles ha provocado una revolución en las aplicaciones activas, entre las que se encuentran los enlaces de comunicaciones de banda ancha de gran capacidad espacio-espacio, Tierra-espacio, espacio-Tierra y los enlaces de datos terrenales, el radar y otros dispositivos de medición de distancias.</w:t>
      </w:r>
    </w:p>
    <w:p w:rsidR="00DB4F60" w:rsidRDefault="00DB4F60">
      <w:pPr>
        <w:rPr>
          <w:lang w:val="es-ES"/>
        </w:rPr>
      </w:pPr>
      <w:r>
        <w:rPr>
          <w:lang w:val="es-ES"/>
        </w:rPr>
        <w:t>La instrumentación astronómica que funciona en el espectro comprendido entre 10 THz y 1</w:t>
      </w:r>
      <w:r>
        <w:rPr>
          <w:rFonts w:ascii="Tms Rmn" w:hAnsi="Tms Rmn"/>
          <w:sz w:val="12"/>
          <w:lang w:val="es-ES"/>
        </w:rPr>
        <w:t> </w:t>
      </w:r>
      <w:r>
        <w:rPr>
          <w:lang w:val="es-ES"/>
        </w:rPr>
        <w:t>000 THz (30 </w:t>
      </w:r>
      <w:r>
        <w:rPr>
          <w:lang w:val="es-ES"/>
        </w:rPr>
        <w:sym w:font="Symbol" w:char="F06D"/>
      </w:r>
      <w:r>
        <w:rPr>
          <w:lang w:val="es-ES"/>
        </w:rPr>
        <w:t>m a 0,3 </w:t>
      </w:r>
      <w:r>
        <w:rPr>
          <w:lang w:val="es-ES"/>
        </w:rPr>
        <w:sym w:font="Symbol" w:char="F06D"/>
      </w:r>
      <w:r>
        <w:rPr>
          <w:lang w:val="es-ES"/>
        </w:rPr>
        <w:t>m) es extremadamente sensible a la interferencia, pudiendo incluso quemarse los detectores por captar señales de demasiada intensidad. No obstante, la elevada directividad de sistemas activos tales como los sistemas de telecomunicaciones que utilizan láser funcionando en frecuencias entre 20 THz y 375 THz (15 </w:t>
      </w:r>
      <w:r>
        <w:rPr>
          <w:lang w:val="es-ES"/>
        </w:rPr>
        <w:sym w:font="Symbol" w:char="F06D"/>
      </w:r>
      <w:r>
        <w:rPr>
          <w:lang w:val="es-ES"/>
        </w:rPr>
        <w:t>m y 0,8 </w:t>
      </w:r>
      <w:r>
        <w:rPr>
          <w:lang w:val="es-ES"/>
        </w:rPr>
        <w:sym w:font="Symbol" w:char="F06D"/>
      </w:r>
      <w:r>
        <w:rPr>
          <w:lang w:val="es-ES"/>
        </w:rPr>
        <w:t>m), junto con las propiedades de propagación de las ondas en este intervalo de frecuencias dan pie a la posibilidad de manifestaciones de la interferencia hasta ahora desconocidas, aunque también es cierto que hay un gran abanico de opciones para evitar la interferencia y compartir las bandas. Para llevar a cabo los estudios de evitación de la interferencia y de compartición de las bandas en este intervalo de frecuencias se necesitará conocer las características técnicas y operacionales de los receptores astronómicos y de los sistemas de telescopios.</w:t>
      </w:r>
    </w:p>
    <w:p w:rsidR="00DB4F60" w:rsidRDefault="00DB4F60">
      <w:pPr>
        <w:pStyle w:val="Heading1"/>
        <w:rPr>
          <w:lang w:val="es-ES"/>
        </w:rPr>
      </w:pPr>
      <w:r>
        <w:rPr>
          <w:lang w:val="es-ES"/>
        </w:rPr>
        <w:t>2</w:t>
      </w:r>
      <w:r>
        <w:rPr>
          <w:lang w:val="es-ES"/>
        </w:rPr>
        <w:tab/>
        <w:t>Bandas de interés</w:t>
      </w:r>
    </w:p>
    <w:p w:rsidR="00DB4F60" w:rsidRDefault="00DB4F60">
      <w:pPr>
        <w:rPr>
          <w:lang w:val="es-ES"/>
        </w:rPr>
      </w:pPr>
      <w:r>
        <w:rPr>
          <w:lang w:val="es-ES"/>
        </w:rPr>
        <w:t>Debido a las limitaciones atmosféricas, la mayor parte de las observaciones astronómicas desde tierra por encima del límite superior de 1 THz mencionado en la disposición número 5.565 del Reglamento de Radiocomunicaciones tienen lugar en el intervalo espectral comprendido entre 100 THz y 1</w:t>
      </w:r>
      <w:r>
        <w:rPr>
          <w:rFonts w:ascii="Tms Rmn" w:hAnsi="Tms Rmn"/>
          <w:sz w:val="12"/>
          <w:lang w:val="es-ES"/>
        </w:rPr>
        <w:t> </w:t>
      </w:r>
      <w:r>
        <w:rPr>
          <w:lang w:val="es-ES"/>
        </w:rPr>
        <w:t>000 THz. La Fig. 1 ilustra la relación entre la transmitancia de la atmósfera y la frecuencia en tres trayectos cenitales. La zona sombreada en gris claro representa un emplazamiento de gran calidad con aire seco situado a 5 km por encima del nivel del mar. La zona en gris oscuro muestra la absorción atmosférica adicional que tendría lugar en un emplazamiento situado 2 km por encima del nivel del mar (por ejemplo, Kitt Peak). Las regiones en negro muestran la repercusión adicional de la atmósfera correspondiente a un emplazamiento situado a nivel del mar. Todos los trayectos utilizan los perfiles de temperatura y presión de la Recomendación UIT</w:t>
      </w:r>
      <w:r>
        <w:rPr>
          <w:lang w:val="es-ES"/>
        </w:rPr>
        <w:noBreakHyphen/>
        <w:t>R P.835. La absorción por debajo de 1 THz se calcula con la Recomendación UIT-R P.676. La Figura muestra claramente que la atmósfera es opaca a la energía electromagnética en casi todas las frecuencias entre 1 THz y 10 THz, salvo en determinados emplazamientos astronómicos de gran altitud. Por encima de 10 THz, la transparencia de la atmósfera resulta muy conveniente para las observaciones de energía cósmica desde la superficie de la Tierra. Por encima de 1</w:t>
      </w:r>
      <w:r>
        <w:rPr>
          <w:rFonts w:ascii="Tms Rmn" w:hAnsi="Tms Rmn"/>
          <w:sz w:val="12"/>
          <w:lang w:val="es-ES"/>
        </w:rPr>
        <w:t> </w:t>
      </w:r>
      <w:r>
        <w:rPr>
          <w:lang w:val="es-ES"/>
        </w:rPr>
        <w:t>000 THz la atmósfera vuelve de nuevo a ser opaca.</w:t>
      </w:r>
    </w:p>
    <w:p w:rsidR="00DB4F60" w:rsidRDefault="00DB4F60">
      <w:pPr>
        <w:rPr>
          <w:lang w:val="es-ES"/>
        </w:rPr>
      </w:pPr>
      <w:r>
        <w:rPr>
          <w:lang w:val="es-ES"/>
        </w:rPr>
        <w:t>La transmitancia de la región espectral entre 10 THz y 1</w:t>
      </w:r>
      <w:r>
        <w:rPr>
          <w:rFonts w:ascii="Tms Rmn" w:hAnsi="Tms Rmn"/>
          <w:sz w:val="12"/>
          <w:lang w:val="es-ES"/>
        </w:rPr>
        <w:t> </w:t>
      </w:r>
      <w:r>
        <w:rPr>
          <w:lang w:val="es-ES"/>
        </w:rPr>
        <w:t>000 THz, se muestra en detalle en la Fig. 2 para estos tres trayectos cenitales. Se caracteriza por una serie de ventanas de visibilidad separadas por regiones de absorción estrechas aunque de gran intensidad. La transparencia de las ventanas de visibilidad individuales queda limitada por una fina estructura de múltiples líneas de absorción débil. Las líneas de absorción individuales se deben a la presencia de componentes gaseosos de la atmósfera incluidos entre otros: NH</w:t>
      </w:r>
      <w:r>
        <w:rPr>
          <w:vertAlign w:val="subscript"/>
          <w:lang w:val="es-ES"/>
        </w:rPr>
        <w:t>3</w:t>
      </w:r>
      <w:r>
        <w:rPr>
          <w:lang w:val="es-ES"/>
        </w:rPr>
        <w:t>, CO</w:t>
      </w:r>
      <w:r>
        <w:rPr>
          <w:vertAlign w:val="subscript"/>
          <w:lang w:val="es-ES"/>
        </w:rPr>
        <w:t>2</w:t>
      </w:r>
      <w:r>
        <w:rPr>
          <w:lang w:val="es-ES"/>
        </w:rPr>
        <w:t>, CO, CH</w:t>
      </w:r>
      <w:r>
        <w:rPr>
          <w:vertAlign w:val="subscript"/>
          <w:lang w:val="es-ES"/>
        </w:rPr>
        <w:t>4</w:t>
      </w:r>
      <w:r>
        <w:rPr>
          <w:lang w:val="es-ES"/>
        </w:rPr>
        <w:t>, NO</w:t>
      </w:r>
      <w:r>
        <w:rPr>
          <w:vertAlign w:val="subscript"/>
          <w:lang w:val="es-ES"/>
        </w:rPr>
        <w:t>2</w:t>
      </w:r>
      <w:r>
        <w:rPr>
          <w:lang w:val="es-ES"/>
        </w:rPr>
        <w:t>, NO, O</w:t>
      </w:r>
      <w:r>
        <w:rPr>
          <w:vertAlign w:val="subscript"/>
          <w:lang w:val="es-ES"/>
        </w:rPr>
        <w:t>2</w:t>
      </w:r>
      <w:r>
        <w:rPr>
          <w:lang w:val="es-ES"/>
        </w:rPr>
        <w:t>, O</w:t>
      </w:r>
      <w:r>
        <w:rPr>
          <w:vertAlign w:val="subscript"/>
          <w:lang w:val="es-ES"/>
        </w:rPr>
        <w:t>3</w:t>
      </w:r>
      <w:r>
        <w:rPr>
          <w:lang w:val="es-ES"/>
        </w:rPr>
        <w:t>, SO</w:t>
      </w:r>
      <w:r>
        <w:rPr>
          <w:vertAlign w:val="subscript"/>
          <w:lang w:val="es-ES"/>
        </w:rPr>
        <w:t>2</w:t>
      </w:r>
      <w:r>
        <w:rPr>
          <w:lang w:val="es-ES"/>
        </w:rPr>
        <w:t>, H</w:t>
      </w:r>
      <w:r>
        <w:rPr>
          <w:vertAlign w:val="subscript"/>
          <w:lang w:val="es-ES"/>
        </w:rPr>
        <w:t>2</w:t>
      </w:r>
      <w:r>
        <w:rPr>
          <w:lang w:val="es-ES"/>
        </w:rPr>
        <w:t>O y diversos clorofluorocarbonos. Las Recomendaciones UIT-R vigentes en materia de propagación no contemplan actualmente algunos de estos gases, que son importantes para las observaciones astronómicas entre 10 THz y 1</w:t>
      </w:r>
      <w:r>
        <w:rPr>
          <w:rFonts w:ascii="Tms Rmn" w:hAnsi="Tms Rmn"/>
          <w:sz w:val="12"/>
          <w:lang w:val="es-ES"/>
        </w:rPr>
        <w:t> </w:t>
      </w:r>
      <w:r>
        <w:rPr>
          <w:lang w:val="es-ES"/>
        </w:rPr>
        <w:t>000 THz. La intensidad de las líneas de absorción suele depender de la temperatura y de la presión. Debido a que la intensidad y la anchura de estas líneas es variable, las bandas de interés para los astrónomos de sistemas ópticos situados en tierra incluyen todo el espectro comprendido entre 10 THz y 1</w:t>
      </w:r>
      <w:r>
        <w:rPr>
          <w:rFonts w:ascii="Tms Rmn" w:hAnsi="Tms Rmn"/>
          <w:sz w:val="12"/>
          <w:lang w:val="es-ES"/>
        </w:rPr>
        <w:t> </w:t>
      </w:r>
      <w:r>
        <w:rPr>
          <w:lang w:val="es-ES"/>
        </w:rPr>
        <w:t>000 THz.</w:t>
      </w:r>
    </w:p>
    <w:p w:rsidR="00DB4F60" w:rsidRDefault="00DB4F60">
      <w:pPr>
        <w:pStyle w:val="FigureNo"/>
        <w:rPr>
          <w:lang w:val="es-ES"/>
        </w:rPr>
      </w:pPr>
      <w:r>
        <w:rPr>
          <w:lang w:val="es-ES"/>
        </w:rPr>
        <w:br w:type="page"/>
      </w:r>
      <w:r w:rsidR="00CA7926">
        <w:rPr>
          <w:noProof/>
          <w:lang w:val="en-GB" w:eastAsia="en-GB"/>
        </w:rPr>
        <w:lastRenderedPageBreak/>
        <w:drawing>
          <wp:inline distT="0" distB="0" distL="0" distR="0">
            <wp:extent cx="6108065" cy="485013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8065" cy="4850130"/>
                    </a:xfrm>
                    <a:prstGeom prst="rect">
                      <a:avLst/>
                    </a:prstGeom>
                    <a:noFill/>
                    <a:ln>
                      <a:noFill/>
                    </a:ln>
                  </pic:spPr>
                </pic:pic>
              </a:graphicData>
            </a:graphic>
          </wp:inline>
        </w:drawing>
      </w:r>
    </w:p>
    <w:p w:rsidR="00DB4F60" w:rsidRDefault="00DB4F60">
      <w:pPr>
        <w:rPr>
          <w:lang w:val="es-ES"/>
        </w:rPr>
      </w:pPr>
      <w:r>
        <w:rPr>
          <w:lang w:val="es-ES"/>
        </w:rPr>
        <w:t>Se puede acceder a un espectro más amplio utilizando observatorios aéreos, tales como globos y aviones, dedicados a las observaciones astronómicas. Para ampliar el acceso a este importante espectro astronómico, se utilizan observatorios espaciales tales como el telescopio espacial Hubble.</w:t>
      </w:r>
    </w:p>
    <w:p w:rsidR="00DB4F60" w:rsidRDefault="00DB4F60">
      <w:pPr>
        <w:pStyle w:val="Heading1"/>
        <w:rPr>
          <w:lang w:val="es-ES"/>
        </w:rPr>
      </w:pPr>
      <w:r>
        <w:rPr>
          <w:lang w:val="es-ES"/>
        </w:rPr>
        <w:t>3</w:t>
      </w:r>
      <w:r>
        <w:rPr>
          <w:lang w:val="es-ES"/>
        </w:rPr>
        <w:tab/>
        <w:t>Tipos de observaciones</w:t>
      </w:r>
    </w:p>
    <w:p w:rsidR="00DB4F60" w:rsidRDefault="00DB4F60">
      <w:pPr>
        <w:rPr>
          <w:lang w:val="es-ES"/>
        </w:rPr>
      </w:pPr>
      <w:r>
        <w:rPr>
          <w:lang w:val="es-ES"/>
        </w:rPr>
        <w:t>Algunas de las observaciones efectuadas en el espectro correspondiente al intervalo de frecuencias 10 THz a 1</w:t>
      </w:r>
      <w:r>
        <w:rPr>
          <w:rFonts w:ascii="Tms Rmn" w:hAnsi="Tms Rmn"/>
          <w:sz w:val="12"/>
          <w:lang w:val="es-ES"/>
        </w:rPr>
        <w:t> </w:t>
      </w:r>
      <w:r>
        <w:rPr>
          <w:lang w:val="es-ES"/>
        </w:rPr>
        <w:t>000 THz son semejantes a las efectuadas en bandas actualmente atribuidas al servicio de radioastronomía, a saber, la medición de la densidad espectral de flujo de potencia (defp) del continuum y de las propiedades de las líneas espectrales (línea defp, desviación Doppler y forma de las líneas). Una de las diferencias más importantes entre las observaciones astronómicas realizadas a frecuencias inferiores a 275 GHz y las efectuadas en el intervalo de frecuencias comprendido entre 10 THz y 1</w:t>
      </w:r>
      <w:r>
        <w:rPr>
          <w:rFonts w:ascii="Tms Rmn" w:hAnsi="Tms Rmn"/>
          <w:sz w:val="12"/>
          <w:lang w:val="es-ES"/>
        </w:rPr>
        <w:t> </w:t>
      </w:r>
      <w:r>
        <w:rPr>
          <w:lang w:val="es-ES"/>
        </w:rPr>
        <w:t>000 THz es la facilidad, incomparablemente mayor, con la que pueden generarse imágenes directamente en esta última banda, tanto en el modo del continuum como en de las líneas espectrales. La disponibilidad y sensibilidad de los sistemas de detectores, de varios millones de píxels cada uno de ellos, y de las cámaras fotográficas, hacen que esta técnica se utilice extensamente. Además, se suelen utilizar anchuras de banda mucho mayores.</w:t>
      </w:r>
    </w:p>
    <w:p w:rsidR="00DB4F60" w:rsidRDefault="00DB4F60">
      <w:pPr>
        <w:pStyle w:val="FigureNo"/>
        <w:rPr>
          <w:lang w:val="es-ES"/>
        </w:rPr>
      </w:pPr>
      <w:r>
        <w:rPr>
          <w:lang w:val="es-ES"/>
        </w:rPr>
        <w:br w:type="page"/>
      </w:r>
      <w:r w:rsidR="00CA7926">
        <w:rPr>
          <w:noProof/>
          <w:lang w:val="en-GB" w:eastAsia="en-GB"/>
        </w:rPr>
        <w:lastRenderedPageBreak/>
        <w:drawing>
          <wp:inline distT="0" distB="0" distL="0" distR="0">
            <wp:extent cx="6108065" cy="485013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065" cy="4850130"/>
                    </a:xfrm>
                    <a:prstGeom prst="rect">
                      <a:avLst/>
                    </a:prstGeom>
                    <a:noFill/>
                    <a:ln>
                      <a:noFill/>
                    </a:ln>
                  </pic:spPr>
                </pic:pic>
              </a:graphicData>
            </a:graphic>
          </wp:inline>
        </w:drawing>
      </w:r>
    </w:p>
    <w:p w:rsidR="00DB4F60" w:rsidRDefault="00DB4F60">
      <w:pPr>
        <w:rPr>
          <w:lang w:val="es-ES"/>
        </w:rPr>
      </w:pPr>
      <w:r>
        <w:rPr>
          <w:lang w:val="es-ES"/>
        </w:rPr>
        <w:t>La recogida de los datos astronómicos en el intervalo de frecuencias comprendido entre 10 THz y 1</w:t>
      </w:r>
      <w:r>
        <w:rPr>
          <w:rFonts w:ascii="Tms Rmn" w:hAnsi="Tms Rmn"/>
          <w:sz w:val="12"/>
          <w:lang w:val="es-ES"/>
        </w:rPr>
        <w:t> </w:t>
      </w:r>
      <w:r>
        <w:rPr>
          <w:lang w:val="es-ES"/>
        </w:rPr>
        <w:t>000 THz se realiza utilizando diversas técnicas de medición. Cada una de estas técnicas proporciona información única acerca de los objetos medidos. Los valores característicos de los parámetros utilizados tales como la anchura de banda, la sensibilidad del receptor, el tamaño del campo de observación y la resolución angular dependen, en la práctica, del tipo de medición efectuada.</w:t>
      </w:r>
    </w:p>
    <w:p w:rsidR="00DB4F60" w:rsidRDefault="00DB4F60">
      <w:pPr>
        <w:rPr>
          <w:lang w:val="es-ES"/>
        </w:rPr>
      </w:pPr>
      <w:r>
        <w:rPr>
          <w:lang w:val="es-ES"/>
        </w:rPr>
        <w:t>Los tiempos de integración que se suelen utilizar varían considerablemente y oscilan entre 0,001 s y varias horas, dependiendo de la estabilidad de la atmósfera, del tipo de detector utilizado y de las características e intensidad de la emisión que se observa. Se suelen efectuar varias mediciones individuales con tiempos de integración cortos, que se graban digitalmente y se integran posteriormente para conseguir la sensibilidad correspondiente a un tiempo de integración largo.</w:t>
      </w:r>
    </w:p>
    <w:p w:rsidR="00DB4F60" w:rsidRDefault="00DB4F60">
      <w:pPr>
        <w:pStyle w:val="Heading2"/>
        <w:rPr>
          <w:lang w:val="es-ES"/>
        </w:rPr>
      </w:pPr>
      <w:r>
        <w:rPr>
          <w:lang w:val="es-ES"/>
        </w:rPr>
        <w:t>3.1</w:t>
      </w:r>
      <w:r>
        <w:rPr>
          <w:lang w:val="es-ES"/>
        </w:rPr>
        <w:tab/>
        <w:t>Fotometría</w:t>
      </w:r>
    </w:p>
    <w:p w:rsidR="00DB4F60" w:rsidRDefault="00DB4F60">
      <w:pPr>
        <w:rPr>
          <w:lang w:val="es-ES"/>
        </w:rPr>
      </w:pPr>
      <w:r>
        <w:rPr>
          <w:lang w:val="es-ES"/>
        </w:rPr>
        <w:t>La fotometría es el equivalente en alta frecuencia de las observaciones del continuum de las fuentes cósmicas de defp efectuadas en las bandas de radioastronomía por debajo de 275 GHz.</w:t>
      </w:r>
    </w:p>
    <w:p w:rsidR="00DB4F60" w:rsidRDefault="00DB4F60">
      <w:pPr>
        <w:rPr>
          <w:lang w:val="es-ES"/>
        </w:rPr>
      </w:pPr>
      <w:r>
        <w:rPr>
          <w:lang w:val="es-ES"/>
        </w:rPr>
        <w:t>Las mediciones de la defp en el intervalo de frecuencias comprendido entre 10 THz y 1</w:t>
      </w:r>
      <w:r>
        <w:rPr>
          <w:rFonts w:ascii="Tms Rmn" w:hAnsi="Tms Rmn"/>
          <w:sz w:val="12"/>
          <w:lang w:val="es-ES"/>
        </w:rPr>
        <w:t> </w:t>
      </w:r>
      <w:r>
        <w:rPr>
          <w:lang w:val="es-ES"/>
        </w:rPr>
        <w:t>000 THz suelen tener en cuenta todos los tipos de galaxias, estrellas, objetos del sistema solar y polvo entre las estrellas o en torno a ellas, en una diversidad de objetos repartidos por todo el Universo.</w:t>
      </w:r>
    </w:p>
    <w:p w:rsidR="00DB4F60" w:rsidRDefault="00DB4F60">
      <w:pPr>
        <w:rPr>
          <w:lang w:val="es-ES"/>
        </w:rPr>
      </w:pPr>
      <w:r>
        <w:rPr>
          <w:lang w:val="es-ES"/>
        </w:rPr>
        <w:br w:type="page"/>
      </w:r>
      <w:r>
        <w:rPr>
          <w:lang w:val="es-ES"/>
        </w:rPr>
        <w:lastRenderedPageBreak/>
        <w:t>La fotometría es una técnica utilizada en todo el intervalo de frecuencias en cuestión, que utiliza bandas de frecuencias normales definidas por filtros insertados en el trayecto luminoso de los detectores. El Cuadro 3 contiene una relación de los filtros de banda ancha más utilizados en el intervalo de frecuencias comprendido entre 10 THz y 1</w:t>
      </w:r>
      <w:r>
        <w:rPr>
          <w:rFonts w:ascii="Tms Rmn" w:hAnsi="Tms Rmn"/>
          <w:sz w:val="12"/>
          <w:lang w:val="es-ES"/>
        </w:rPr>
        <w:t> </w:t>
      </w:r>
      <w:r>
        <w:rPr>
          <w:lang w:val="es-ES"/>
        </w:rPr>
        <w:t>000 THz. En el Cuadro 2 se proporcionan ejemplos de los distintos tipos de detectores utilizados en los diversos intervalos de frecuencias. Entre estos detectores se pueden citar: los bolómetros y diversos detectores fotoconductores y fotovoltaicos para las bandas N y Q, los detectores InSb para las bandas J, H, K, L, y M y los dispositivos de acoplamiento de carga (CCD) para las bandas U, B, V, R e I. Asimismo se utilizan filtros de banda estrecha centrados en líneas espectrales de especial interés.</w:t>
      </w:r>
    </w:p>
    <w:p w:rsidR="00DB4F60" w:rsidRDefault="00DB4F60">
      <w:pPr>
        <w:rPr>
          <w:lang w:val="es-ES"/>
        </w:rPr>
      </w:pPr>
      <w:r>
        <w:rPr>
          <w:lang w:val="es-ES"/>
        </w:rPr>
        <w:t>Las observaciones fotométricas se suelen calibrar por comparación con estrellas perfectamente caracterizadas.</w:t>
      </w:r>
    </w:p>
    <w:p w:rsidR="00DB4F60" w:rsidRDefault="00DB4F60">
      <w:pPr>
        <w:pStyle w:val="Heading2"/>
        <w:rPr>
          <w:lang w:val="es-ES"/>
        </w:rPr>
      </w:pPr>
      <w:r>
        <w:rPr>
          <w:lang w:val="es-ES"/>
        </w:rPr>
        <w:t>3.2</w:t>
      </w:r>
      <w:r>
        <w:rPr>
          <w:lang w:val="es-ES"/>
        </w:rPr>
        <w:tab/>
        <w:t>Espectroscopia</w:t>
      </w:r>
    </w:p>
    <w:p w:rsidR="00DB4F60" w:rsidRDefault="00DB4F60">
      <w:pPr>
        <w:rPr>
          <w:lang w:val="es-ES"/>
        </w:rPr>
      </w:pPr>
      <w:r>
        <w:rPr>
          <w:lang w:val="es-ES"/>
        </w:rPr>
        <w:t>La espectroscopia es el equivalente en alta frecuencia de las mediciones de líneas espectrales de las bandas de radioastronomía por debajo de 275 GHz. La abundancia de líneas espectrales a lo largo de todo el intervalo de frecuencias comprendido entre 10 THz y 1</w:t>
      </w:r>
      <w:r>
        <w:rPr>
          <w:rFonts w:ascii="Tms Rmn" w:hAnsi="Tms Rmn"/>
          <w:sz w:val="12"/>
          <w:lang w:val="es-ES"/>
        </w:rPr>
        <w:t> </w:t>
      </w:r>
      <w:r>
        <w:rPr>
          <w:lang w:val="es-ES"/>
        </w:rPr>
        <w:t>000 THz, la mayor parte de las cuales corresponden a diversos estados de elementos y moléculas sin líneas a frecuencias inferiores a 275 GHz, otorga especial importancia a esta rama de la astronomía y subraya la importancia del acceso a este intervalo de frecuencias.</w:t>
      </w:r>
    </w:p>
    <w:p w:rsidR="00DB4F60" w:rsidRDefault="00DB4F60">
      <w:pPr>
        <w:rPr>
          <w:lang w:val="es-ES"/>
        </w:rPr>
      </w:pPr>
      <w:r>
        <w:rPr>
          <w:lang w:val="es-ES"/>
        </w:rPr>
        <w:t>Las observaciones de las líneas espectrales se llevan a cabo para obtener, por ejemplo, la composición, química, propiedades físicas y dinámica de una gran diversidad de objetos, tales como las nubes interestelares, las galaxias individuales, los grupos y cúmulos de galaxias, así como la expansión global del Universo y sus desviaciones locales, la composición y origen de las estrellas y los campos magnéticos cósmicos.</w:t>
      </w:r>
    </w:p>
    <w:p w:rsidR="00DB4F60" w:rsidRDefault="00DB4F60">
      <w:pPr>
        <w:rPr>
          <w:lang w:val="es-ES"/>
        </w:rPr>
      </w:pPr>
      <w:r>
        <w:rPr>
          <w:lang w:val="es-ES"/>
        </w:rPr>
        <w:t>El dispositivo dispersivo más utilizado en espectroscopia en el intervalo de frecuencias entre 10 THz y 1</w:t>
      </w:r>
      <w:r>
        <w:rPr>
          <w:rFonts w:ascii="Tms Rmn" w:hAnsi="Tms Rmn"/>
          <w:sz w:val="12"/>
          <w:lang w:val="es-ES"/>
        </w:rPr>
        <w:t> </w:t>
      </w:r>
      <w:r>
        <w:rPr>
          <w:lang w:val="es-ES"/>
        </w:rPr>
        <w:t>000 THz es la retícula de difracción. Una retícula de difracción dispersa la energía recibida en función de su frecuencia. La energía dispersada se suele grabar mediante un detector electrónico, tal como un sistema de CCD, para crear un espectrograma.</w:t>
      </w:r>
    </w:p>
    <w:p w:rsidR="00DB4F60" w:rsidRDefault="00DB4F60">
      <w:pPr>
        <w:rPr>
          <w:lang w:val="es-ES"/>
        </w:rPr>
      </w:pPr>
      <w:r>
        <w:rPr>
          <w:lang w:val="es-ES"/>
        </w:rPr>
        <w:t>En el extremo inferior de este intervalo de frecuencias se utilizan espectrómetros analógicos y asimismo, cada vez con más frecuencia, digitales. No obstante, dichos dispositivos no suelen ser fáciles de adquirir, salvo los receptores heterodinos que convierten las señales recibidas en otras de frecuencia inferior.</w:t>
      </w:r>
    </w:p>
    <w:p w:rsidR="00DB4F60" w:rsidRDefault="00DB4F60">
      <w:pPr>
        <w:rPr>
          <w:lang w:val="es-ES"/>
        </w:rPr>
      </w:pPr>
      <w:r>
        <w:rPr>
          <w:lang w:val="es-ES"/>
        </w:rPr>
        <w:t>Así pues, se examina el espectro astronómico en busca de líneas características de elementos específicos. De encontrarse, se sabe que dichos elementos se encuentran presentes en el cuerpo cósmico o, en ciertos casos, en el espacio situado entre el cuerpo cósmico y el telescopio receptor. La espectroscopia realiza asimismo una gran contribución al estudio de los movimientos y de la dinámica de los objetos astronómicos. Midiendo la desviación Doppler de las líneas de las estrellas y del gas interestelar en las galaxias, por ejemplo, pueden determinarse los movimientos radiales a lo largo de la visual, a fin de estudiar, entre otros, su velocidad en el espacio y la dinámica interna de objetos extensos, como galaxias y nubes de gas interestelar.</w:t>
      </w:r>
    </w:p>
    <w:p w:rsidR="00DB4F60" w:rsidRDefault="00DB4F60">
      <w:pPr>
        <w:rPr>
          <w:lang w:val="es-ES"/>
        </w:rPr>
      </w:pPr>
      <w:r>
        <w:rPr>
          <w:lang w:val="es-ES"/>
        </w:rPr>
        <w:t>La espectroscopia puede realizarse con varios niveles de resolución espectral. La resolución más baja es característica de una forma de fotometría que se realiza utilizando un espectrógrafo, que divide el espectro en unas pocas bandas de frecuencias con el único objeto de obtener una indicación de la distribución global de la energía espectral. En la espectroscopia de media y alta resolución, las líneas individuales y las bandas moleculares pueden examinarse en mayor detalle.</w:t>
      </w:r>
    </w:p>
    <w:p w:rsidR="00DB4F60" w:rsidRDefault="00DB4F60">
      <w:pPr>
        <w:rPr>
          <w:lang w:val="es-ES"/>
        </w:rPr>
      </w:pPr>
      <w:r>
        <w:rPr>
          <w:lang w:val="es-ES"/>
        </w:rPr>
        <w:br w:type="page"/>
      </w:r>
      <w:r>
        <w:rPr>
          <w:lang w:val="es-ES"/>
        </w:rPr>
        <w:lastRenderedPageBreak/>
        <w:t>Gracias a los avances obtenidos en la sensibilidad de los sistemas de detectores y a la construcción de telescopios de muy gran tamaño, pueden llevarse a cabo estudios espectroscópicos de objetos cada vez más débiles y estudiar los espectros de los objetos más brillantes con un grado de detalle sin precedentes.</w:t>
      </w:r>
    </w:p>
    <w:p w:rsidR="00DB4F60" w:rsidRDefault="00DB4F60">
      <w:pPr>
        <w:pStyle w:val="Heading2"/>
        <w:rPr>
          <w:lang w:val="es-ES"/>
        </w:rPr>
      </w:pPr>
      <w:r>
        <w:rPr>
          <w:lang w:val="es-ES"/>
        </w:rPr>
        <w:t>3.3</w:t>
      </w:r>
      <w:r>
        <w:rPr>
          <w:lang w:val="es-ES"/>
        </w:rPr>
        <w:tab/>
        <w:t>Generación de imágenes</w:t>
      </w:r>
    </w:p>
    <w:p w:rsidR="00DB4F60" w:rsidRDefault="00DB4F60">
      <w:pPr>
        <w:rPr>
          <w:lang w:val="es-ES"/>
        </w:rPr>
      </w:pPr>
      <w:r>
        <w:rPr>
          <w:lang w:val="es-ES"/>
        </w:rPr>
        <w:t>En comparación con los dispositivos de generación directa de imágenes disponibles en el intervalo de frecuencias entre 10 THz y 1</w:t>
      </w:r>
      <w:r>
        <w:rPr>
          <w:rFonts w:ascii="Tms Rmn" w:hAnsi="Tms Rmn"/>
          <w:sz w:val="12"/>
          <w:lang w:val="es-ES"/>
        </w:rPr>
        <w:t> </w:t>
      </w:r>
      <w:r>
        <w:rPr>
          <w:lang w:val="es-ES"/>
        </w:rPr>
        <w:t>000 THz los sistemas de receptores de radioastronomía de plano focal de varios elementos actualmente disponibles, utilizados en frecuencias inferiores a 275 GHz resultan bastante limitados en cuanto a número de elementos y resolución espacial.</w:t>
      </w:r>
    </w:p>
    <w:p w:rsidR="00DB4F60" w:rsidRDefault="00DB4F60">
      <w:pPr>
        <w:rPr>
          <w:lang w:val="es-ES"/>
        </w:rPr>
      </w:pPr>
      <w:r>
        <w:rPr>
          <w:lang w:val="es-ES"/>
        </w:rPr>
        <w:t>En el intervalo de frecuencias entre 10 THz y 1</w:t>
      </w:r>
      <w:r>
        <w:rPr>
          <w:rFonts w:ascii="Tms Rmn" w:hAnsi="Tms Rmn"/>
          <w:sz w:val="12"/>
          <w:lang w:val="es-ES"/>
        </w:rPr>
        <w:t> </w:t>
      </w:r>
      <w:r>
        <w:rPr>
          <w:lang w:val="es-ES"/>
        </w:rPr>
        <w:t xml:space="preserve">000 THz, la posibilidad de utilizar sistemas de plano focal de muchos elementos, facilita la obtención directa de imágenes. Estos sistemas de plano focal pueden consistir en CCD que proporcionan un mapa digital de brillo por píxel. Esta técnica ofrece considerables ventajas sobre el proceso fotográfico tradicional. Pueden obtenerse integraciones largas a partir de integraciones cortas acumuladas. Esto permite eliminar los píxels y los cuadros degradados por la interferencia, aplicar diversas mejoras a la imagen y utilizar algoritmos de análisis. Los CCD actualmente disponibles para aplicaciones astronómicas están integrados por sistemas de </w:t>
      </w:r>
      <w:r>
        <w:rPr>
          <w:rFonts w:ascii="Symbol" w:hAnsi="Symbol"/>
          <w:lang w:val="fr-CH"/>
        </w:rPr>
        <w:t></w:t>
      </w:r>
      <w:r>
        <w:rPr>
          <w:rFonts w:ascii="Symbol" w:hAnsi="Symbol"/>
          <w:lang w:val="fr-CH"/>
        </w:rPr>
        <w:t></w:t>
      </w:r>
      <w:r>
        <w:rPr>
          <w:lang w:val="es-ES"/>
        </w:rPr>
        <w:t>2</w:t>
      </w:r>
      <w:r>
        <w:rPr>
          <w:rFonts w:ascii="Tms Rmn" w:hAnsi="Tms Rmn"/>
          <w:sz w:val="12"/>
          <w:lang w:val="es-ES"/>
        </w:rPr>
        <w:t> </w:t>
      </w:r>
      <w:r>
        <w:rPr>
          <w:lang w:val="es-ES"/>
        </w:rPr>
        <w:t>000 </w:t>
      </w:r>
      <w:r>
        <w:rPr>
          <w:lang w:val="es-ES"/>
        </w:rPr>
        <w:sym w:font="Symbol" w:char="F0B4"/>
      </w:r>
      <w:r>
        <w:rPr>
          <w:lang w:val="es-ES"/>
        </w:rPr>
        <w:t> 2</w:t>
      </w:r>
      <w:r>
        <w:rPr>
          <w:rFonts w:ascii="Tms Rmn" w:hAnsi="Tms Rmn"/>
          <w:sz w:val="12"/>
          <w:lang w:val="es-ES"/>
        </w:rPr>
        <w:t> </w:t>
      </w:r>
      <w:r>
        <w:rPr>
          <w:lang w:val="es-ES"/>
        </w:rPr>
        <w:t>000 píxels y algunos de ellos pueden montarse en el plano focal de un telescopio para crear dispositivos de generación de imágenes digitales con un campo de visión aun mayor.</w:t>
      </w:r>
    </w:p>
    <w:p w:rsidR="00DB4F60" w:rsidRDefault="00DB4F60">
      <w:pPr>
        <w:rPr>
          <w:lang w:val="es-ES"/>
        </w:rPr>
      </w:pPr>
      <w:r>
        <w:rPr>
          <w:lang w:val="es-ES"/>
        </w:rPr>
        <w:t>Las técnicas fotográficas, introducidas en la astronomía poco después de la invención de la placa fotográfica, se limitan actualmente casi exclusivamente a las observaciones que requieren un número mayor de píxels (mayor campo angular) que las que se pueden obtener por medio de cámaras CCD, ya que las placas fotográficas de mayor tamaño actualmente utilizadas tienen dimensiones que sobrepasan considerablemente las de las cámaras CCD operacionales de mayor tamaño.</w:t>
      </w:r>
    </w:p>
    <w:p w:rsidR="00DB4F60" w:rsidRDefault="00DB4F60">
      <w:pPr>
        <w:pStyle w:val="Heading2"/>
        <w:rPr>
          <w:lang w:val="es-ES"/>
        </w:rPr>
      </w:pPr>
      <w:r>
        <w:rPr>
          <w:lang w:val="es-ES"/>
        </w:rPr>
        <w:t>3.4</w:t>
      </w:r>
      <w:r>
        <w:rPr>
          <w:lang w:val="es-ES"/>
        </w:rPr>
        <w:tab/>
        <w:t>Interferometría</w:t>
      </w:r>
    </w:p>
    <w:p w:rsidR="00DB4F60" w:rsidRDefault="00DB4F60">
      <w:pPr>
        <w:rPr>
          <w:lang w:val="es-ES"/>
        </w:rPr>
      </w:pPr>
      <w:r>
        <w:rPr>
          <w:lang w:val="es-ES"/>
        </w:rPr>
        <w:t>A frecuencias inferiores a 275 GHz, las imágenes radioeléctricas se suelen producir por la medición de las componentes individuales de Fourier de la distribución del brillo, que se procesan a continuación para formar una imagen definitiva. En general, las diversas imperfecciones de la imagen asociadas a la apertura sintética, impiden alcanzar la representación perfecta deseada. Debido a las complejidades introducidas por las influencias atmosféricas de variación rápida en el intervalo de frecuencias entre 10 THz y 1</w:t>
      </w:r>
      <w:r>
        <w:rPr>
          <w:rFonts w:ascii="Tms Rmn" w:hAnsi="Tms Rmn"/>
          <w:sz w:val="12"/>
          <w:lang w:val="es-ES"/>
        </w:rPr>
        <w:t> </w:t>
      </w:r>
      <w:r>
        <w:rPr>
          <w:lang w:val="es-ES"/>
        </w:rPr>
        <w:t>000 THz, la interferometría constituye una técnica totalmente nueva en este intervalo espectral. Normalmente, la resolución angular de un telescopio sencillo situado en tierra en el intervalo de frecuencias entre 10 THz y 1</w:t>
      </w:r>
      <w:r>
        <w:rPr>
          <w:rFonts w:ascii="Tms Rmn" w:hAnsi="Tms Rmn"/>
          <w:sz w:val="12"/>
          <w:lang w:val="es-ES"/>
        </w:rPr>
        <w:t> </w:t>
      </w:r>
      <w:r>
        <w:rPr>
          <w:lang w:val="es-ES"/>
        </w:rPr>
        <w:t>000 THz, incluso el de espejos de 10 m de diámetro actualmente en explotación, queda limitada en la práctica por la turbulencia atmosférica, especialmente en el intervalo de frecuencias entre 100 THz y 1</w:t>
      </w:r>
      <w:r>
        <w:rPr>
          <w:rFonts w:ascii="Tms Rmn" w:hAnsi="Tms Rmn"/>
          <w:sz w:val="12"/>
          <w:lang w:val="es-ES"/>
        </w:rPr>
        <w:t> </w:t>
      </w:r>
      <w:r>
        <w:rPr>
          <w:lang w:val="es-ES"/>
        </w:rPr>
        <w:t>000 THz.</w:t>
      </w:r>
    </w:p>
    <w:p w:rsidR="00DB4F60" w:rsidRDefault="00DB4F60">
      <w:pPr>
        <w:rPr>
          <w:lang w:val="es-ES"/>
        </w:rPr>
      </w:pPr>
      <w:r>
        <w:rPr>
          <w:lang w:val="es-ES"/>
        </w:rPr>
        <w:t>La necesidad de disponer de resoluciones angulares superiores para estudiar determinados objetos en el intervalo de frecuencias entre 10 THz y 1</w:t>
      </w:r>
      <w:r>
        <w:rPr>
          <w:rFonts w:ascii="Tms Rmn" w:hAnsi="Tms Rmn"/>
          <w:sz w:val="12"/>
          <w:lang w:val="es-ES"/>
        </w:rPr>
        <w:t> </w:t>
      </w:r>
      <w:r>
        <w:rPr>
          <w:lang w:val="es-ES"/>
        </w:rPr>
        <w:t>000 THz, como estrellas y galaxias activas, ha fomentado el uso cada vez más frecuente de la interferometría. Esta técnica totalmente novedosa, ha supuesto que se inviertan considerables esfuerzos en los desarrollos técnicos por lo que es posible que la interferometría llegue a ser tan importante en estas frecuencias como en las bandas actualmente atribuidas al servicio de radioastronomía. Los modos de observación interferométricos se están implementando actualmente en la mayor parte de los telescopios grandes que funcionan en el intervalo de frecuencias en cuestión.</w:t>
      </w:r>
    </w:p>
    <w:p w:rsidR="00DB4F60" w:rsidRDefault="00DB4F60">
      <w:pPr>
        <w:rPr>
          <w:lang w:val="es-ES"/>
        </w:rPr>
      </w:pPr>
      <w:r>
        <w:rPr>
          <w:lang w:val="es-ES"/>
        </w:rPr>
        <w:br w:type="page"/>
      </w:r>
      <w:r>
        <w:rPr>
          <w:lang w:val="es-ES"/>
        </w:rPr>
        <w:lastRenderedPageBreak/>
        <w:t>Mediante la combinación coherente de las señales procedentes de dos o más telescopios separados a cierta distancia, puede aumentarse considerablemente la resolución angular reduciendo significativamente los efectos de la turbulencia atmosférica. Se pueden utilizar interferómetros ópticos para medir directamente el diámetro de los cuerpos cósmicos. Muchos telescopios, considerablemente separados, pueden llevar a cabo interferometría a lo largo de grandes líneas de base para proporcionar medidas con una precisión de hasta 2,8 </w:t>
      </w:r>
      <w:r>
        <w:rPr>
          <w:lang w:val="es-ES"/>
        </w:rPr>
        <w:sym w:font="Symbol" w:char="F0B4"/>
      </w:r>
      <w:r>
        <w:rPr>
          <w:lang w:val="es-ES"/>
        </w:rPr>
        <w:t> 10</w:t>
      </w:r>
      <w:r>
        <w:rPr>
          <w:vertAlign w:val="superscript"/>
          <w:lang w:val="es-ES"/>
        </w:rPr>
        <w:t>–8</w:t>
      </w:r>
      <w:r>
        <w:rPr>
          <w:lang w:val="es-ES"/>
        </w:rPr>
        <w:t> grados.</w:t>
      </w:r>
    </w:p>
    <w:p w:rsidR="00DB4F60" w:rsidRDefault="00DB4F60">
      <w:pPr>
        <w:rPr>
          <w:lang w:val="es-ES"/>
        </w:rPr>
      </w:pPr>
      <w:r>
        <w:rPr>
          <w:lang w:val="es-ES"/>
        </w:rPr>
        <w:t>Hay ciertas mediciones interferométricas que tienen lugar en torno a 30 THz (10 </w:t>
      </w:r>
      <w:r>
        <w:rPr>
          <w:lang w:val="es-ES"/>
        </w:rPr>
        <w:sym w:font="Symbol" w:char="F06D"/>
      </w:r>
      <w:r>
        <w:rPr>
          <w:lang w:val="es-ES"/>
        </w:rPr>
        <w:t xml:space="preserve">m) que se llevan a cabo utilizando detección heterodina. La aplicación de técnicas coherentes permite utilizar una anchura de banda mucho menor que puede mejorar la sensibilidad en determinadas circunstancias. La división de la energía medida entre varios telescopios no reduce la relación </w:t>
      </w:r>
      <w:r>
        <w:rPr>
          <w:i/>
          <w:iCs/>
          <w:lang w:val="es-ES"/>
        </w:rPr>
        <w:t>S</w:t>
      </w:r>
      <w:r>
        <w:rPr>
          <w:lang w:val="es-ES"/>
        </w:rPr>
        <w:t>/</w:t>
      </w:r>
      <w:r>
        <w:rPr>
          <w:i/>
          <w:iCs/>
          <w:lang w:val="es-ES"/>
        </w:rPr>
        <w:t>N</w:t>
      </w:r>
      <w:r>
        <w:rPr>
          <w:lang w:val="es-ES"/>
        </w:rPr>
        <w:t xml:space="preserve"> del sistema heterodino como ocurriría con un sistema de detección directa. Los interferómetros heterodinos se suelen medir en bandas de varios GHz de amplitud. Esta anchura de banda es mucho menor que la observada en otros tipos de medidas.</w:t>
      </w:r>
    </w:p>
    <w:p w:rsidR="00DB4F60" w:rsidRDefault="00DB4F60">
      <w:pPr>
        <w:pStyle w:val="Heading1"/>
        <w:rPr>
          <w:lang w:val="es-ES"/>
        </w:rPr>
      </w:pPr>
      <w:r>
        <w:rPr>
          <w:lang w:val="es-ES"/>
        </w:rPr>
        <w:t>4</w:t>
      </w:r>
      <w:r>
        <w:rPr>
          <w:lang w:val="es-ES"/>
        </w:rPr>
        <w:tab/>
        <w:t>Características técnicas de los detectores astronómicos</w:t>
      </w:r>
    </w:p>
    <w:p w:rsidR="00DB4F60" w:rsidRDefault="00DB4F60">
      <w:pPr>
        <w:rPr>
          <w:lang w:val="es-ES"/>
        </w:rPr>
      </w:pPr>
      <w:r>
        <w:rPr>
          <w:lang w:val="es-ES"/>
        </w:rPr>
        <w:t>Los detectores utilizados en las observaciones astronómicas en el intervalo de frecuencias comprendido entre 10 THz y 1</w:t>
      </w:r>
      <w:r>
        <w:rPr>
          <w:rFonts w:ascii="Tms Rmn" w:hAnsi="Tms Rmn"/>
          <w:sz w:val="12"/>
          <w:lang w:val="es-ES"/>
        </w:rPr>
        <w:t> </w:t>
      </w:r>
      <w:r>
        <w:rPr>
          <w:lang w:val="es-ES"/>
        </w:rPr>
        <w:t>000 THz se suelen especificar en unidades y medidas diferentes a los de los receptores de radioastronomía que funcionan por debajo de 275 GHz. Estas diferencias obedecen a razones de índole práctica y a la peculiaridad de las tecnologías utilizadas en la detección de energía en las bandas radioeléctricas y ópticas. Asimismo consideraciones de orden práctico, tales como las características ideales de los emplazamientos de las instalaciones y las fuentes de calibración, pueden ser distintas para los intervalos espectrales citados. Estas diferencias suponen a menudo cierta dificultad de aplicación de la terminología radioastronómica convencional a la astronomía en el intervalo de frecuencias entre 10 THz y 1</w:t>
      </w:r>
      <w:r>
        <w:rPr>
          <w:rFonts w:ascii="Tms Rmn" w:hAnsi="Tms Rmn"/>
          <w:sz w:val="12"/>
          <w:lang w:val="es-ES"/>
        </w:rPr>
        <w:t> </w:t>
      </w:r>
      <w:r>
        <w:rPr>
          <w:lang w:val="es-ES"/>
        </w:rPr>
        <w:t>000 THz. Además, las unidades que se suelen utilizar para describir parámetros físicos semejantes pueden ser diferentes en los dos intervalos de frecuencias. El Cuadro 1 muestra una comparación entre las unidades habituales de la astronomía radioeléctrica y de la óptica.</w:t>
      </w:r>
    </w:p>
    <w:p w:rsidR="00DB4F60" w:rsidRDefault="00DB4F60">
      <w:pPr>
        <w:pStyle w:val="TableNo"/>
        <w:spacing w:before="300"/>
        <w:rPr>
          <w:lang w:val="es-ES"/>
        </w:rPr>
      </w:pPr>
      <w:r>
        <w:rPr>
          <w:lang w:val="es-ES"/>
        </w:rPr>
        <w:t>CUADRO  1</w:t>
      </w:r>
    </w:p>
    <w:p w:rsidR="00DB4F60" w:rsidRDefault="00DB4F60">
      <w:pPr>
        <w:pStyle w:val="Tabletitle"/>
        <w:rPr>
          <w:lang w:val="es-ES"/>
        </w:rPr>
      </w:pPr>
      <w:r>
        <w:rPr>
          <w:lang w:val="es-ES"/>
        </w:rPr>
        <w:t>Comparación entre las unidades habituales de los parámetros</w:t>
      </w:r>
      <w:r>
        <w:rPr>
          <w:lang w:val="es-ES"/>
        </w:rPr>
        <w:br/>
        <w:t>de la astronomía radioeléctrica y de la óptica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671"/>
        <w:gridCol w:w="2404"/>
        <w:gridCol w:w="2404"/>
      </w:tblGrid>
      <w:tr w:rsidR="00DB4F60">
        <w:trPr>
          <w:cantSplit/>
          <w:jc w:val="center"/>
        </w:trPr>
        <w:tc>
          <w:tcPr>
            <w:tcW w:w="2160" w:type="dxa"/>
            <w:vAlign w:val="center"/>
          </w:tcPr>
          <w:p w:rsidR="00DB4F60" w:rsidRDefault="00DB4F60">
            <w:pPr>
              <w:pStyle w:val="Tablehead"/>
              <w:framePr w:hSpace="181" w:wrap="notBeside" w:vAnchor="text" w:hAnchor="text" w:xAlign="center" w:y="1"/>
              <w:rPr>
                <w:lang w:val="es-ES"/>
              </w:rPr>
            </w:pPr>
            <w:r>
              <w:rPr>
                <w:lang w:val="es-ES"/>
              </w:rPr>
              <w:t>Parámetro</w:t>
            </w:r>
          </w:p>
        </w:tc>
        <w:tc>
          <w:tcPr>
            <w:tcW w:w="2671" w:type="dxa"/>
          </w:tcPr>
          <w:p w:rsidR="00DB4F60" w:rsidRDefault="00DB4F60">
            <w:pPr>
              <w:pStyle w:val="Tablehead"/>
              <w:framePr w:hSpace="181" w:wrap="notBeside" w:vAnchor="text" w:hAnchor="text" w:xAlign="center" w:y="1"/>
              <w:rPr>
                <w:lang w:val="es-ES"/>
              </w:rPr>
            </w:pPr>
            <w:r>
              <w:rPr>
                <w:lang w:val="es-ES"/>
              </w:rPr>
              <w:t>Unidades utilizadas en la radioastronomía por</w:t>
            </w:r>
            <w:r>
              <w:rPr>
                <w:lang w:val="es-ES"/>
              </w:rPr>
              <w:br/>
              <w:t>debajo de 275 GHz</w:t>
            </w:r>
          </w:p>
        </w:tc>
        <w:tc>
          <w:tcPr>
            <w:tcW w:w="2404" w:type="dxa"/>
          </w:tcPr>
          <w:p w:rsidR="00DB4F60" w:rsidRDefault="00DB4F60">
            <w:pPr>
              <w:pStyle w:val="Tablehead"/>
              <w:framePr w:hSpace="181" w:wrap="notBeside" w:vAnchor="text" w:hAnchor="text" w:xAlign="center" w:y="1"/>
              <w:rPr>
                <w:lang w:val="es-ES"/>
              </w:rPr>
            </w:pPr>
            <w:r>
              <w:rPr>
                <w:lang w:val="es-ES"/>
              </w:rPr>
              <w:t>Unidades utilizadas en la astronomía entre</w:t>
            </w:r>
            <w:r>
              <w:rPr>
                <w:lang w:val="es-ES"/>
              </w:rPr>
              <w:br/>
              <w:t>10 THz y 1 000 THz</w:t>
            </w:r>
          </w:p>
        </w:tc>
        <w:tc>
          <w:tcPr>
            <w:tcW w:w="2404" w:type="dxa"/>
            <w:vAlign w:val="center"/>
          </w:tcPr>
          <w:p w:rsidR="00DB4F60" w:rsidRDefault="00DB4F60">
            <w:pPr>
              <w:pStyle w:val="Tablehead"/>
              <w:framePr w:hSpace="181" w:wrap="notBeside" w:vAnchor="text" w:hAnchor="text" w:xAlign="center" w:y="1"/>
              <w:rPr>
                <w:lang w:val="es-ES"/>
              </w:rPr>
            </w:pPr>
            <w:r>
              <w:rPr>
                <w:lang w:val="es-ES"/>
              </w:rPr>
              <w:t>Conversión</w:t>
            </w:r>
          </w:p>
        </w:tc>
      </w:tr>
      <w:tr w:rsidR="00DB4F60">
        <w:trPr>
          <w:cantSplit/>
          <w:jc w:val="center"/>
        </w:trPr>
        <w:tc>
          <w:tcPr>
            <w:tcW w:w="2160" w:type="dxa"/>
          </w:tcPr>
          <w:p w:rsidR="00DB4F60" w:rsidRDefault="00DB4F60">
            <w:pPr>
              <w:pStyle w:val="Tabletext"/>
              <w:framePr w:hSpace="181" w:wrap="notBeside" w:vAnchor="text" w:hAnchor="text" w:xAlign="center" w:y="1"/>
              <w:jc w:val="left"/>
              <w:rPr>
                <w:lang w:val="es-ES"/>
              </w:rPr>
            </w:pPr>
            <w:r>
              <w:rPr>
                <w:lang w:val="es-ES"/>
              </w:rPr>
              <w:t>Frecuencia</w:t>
            </w:r>
          </w:p>
        </w:tc>
        <w:tc>
          <w:tcPr>
            <w:tcW w:w="2671" w:type="dxa"/>
          </w:tcPr>
          <w:p w:rsidR="00DB4F60" w:rsidRDefault="00DB4F60">
            <w:pPr>
              <w:pStyle w:val="Tabletext"/>
              <w:framePr w:hSpace="181" w:wrap="notBeside" w:vAnchor="text" w:hAnchor="text" w:xAlign="center" w:y="1"/>
              <w:jc w:val="left"/>
              <w:rPr>
                <w:lang w:val="es-ES"/>
              </w:rPr>
            </w:pPr>
            <w:r>
              <w:rPr>
                <w:lang w:val="es-ES"/>
              </w:rPr>
              <w:t>kHz, MHz, GHz, THz</w:t>
            </w:r>
          </w:p>
        </w:tc>
        <w:tc>
          <w:tcPr>
            <w:tcW w:w="2404" w:type="dxa"/>
          </w:tcPr>
          <w:p w:rsidR="00DB4F60" w:rsidRDefault="00DB4F60">
            <w:pPr>
              <w:pStyle w:val="Tabletext"/>
              <w:framePr w:hSpace="181" w:wrap="notBeside" w:vAnchor="text" w:hAnchor="text" w:xAlign="center" w:y="1"/>
              <w:jc w:val="left"/>
            </w:pPr>
            <w:r>
              <w:t>cm</w:t>
            </w:r>
            <w:r>
              <w:rPr>
                <w:vertAlign w:val="superscript"/>
              </w:rPr>
              <w:t>–1</w:t>
            </w:r>
          </w:p>
        </w:tc>
        <w:tc>
          <w:tcPr>
            <w:tcW w:w="2404" w:type="dxa"/>
          </w:tcPr>
          <w:p w:rsidR="00DB4F60" w:rsidRDefault="00DB4F60">
            <w:pPr>
              <w:pStyle w:val="Tabletext"/>
              <w:framePr w:hSpace="181" w:wrap="notBeside" w:vAnchor="text" w:hAnchor="text" w:xAlign="center" w:y="1"/>
              <w:jc w:val="left"/>
            </w:pPr>
            <w:r>
              <w:t xml:space="preserve">1/cm </w:t>
            </w:r>
            <w:r>
              <w:rPr>
                <w:rFonts w:ascii="Symbol" w:hAnsi="Symbol"/>
              </w:rPr>
              <w:t></w:t>
            </w:r>
            <w:r>
              <w:t xml:space="preserve"> 30 GHz</w:t>
            </w:r>
          </w:p>
        </w:tc>
      </w:tr>
      <w:tr w:rsidR="00DB4F60">
        <w:trPr>
          <w:cantSplit/>
          <w:jc w:val="center"/>
        </w:trPr>
        <w:tc>
          <w:tcPr>
            <w:tcW w:w="2160" w:type="dxa"/>
          </w:tcPr>
          <w:p w:rsidR="00DB4F60" w:rsidRDefault="00DB4F60">
            <w:pPr>
              <w:pStyle w:val="Tabletext"/>
              <w:framePr w:hSpace="181" w:wrap="notBeside" w:vAnchor="text" w:hAnchor="text" w:xAlign="center" w:y="1"/>
              <w:jc w:val="left"/>
            </w:pPr>
            <w:r>
              <w:t>Longitud de onda</w:t>
            </w:r>
          </w:p>
        </w:tc>
        <w:tc>
          <w:tcPr>
            <w:tcW w:w="2671" w:type="dxa"/>
          </w:tcPr>
          <w:p w:rsidR="00DB4F60" w:rsidRDefault="00DB4F60">
            <w:pPr>
              <w:pStyle w:val="Tabletext"/>
              <w:framePr w:hSpace="181" w:wrap="notBeside" w:vAnchor="text" w:hAnchor="text" w:xAlign="center" w:y="1"/>
              <w:jc w:val="left"/>
            </w:pPr>
            <w:r>
              <w:t>mm, cm, m</w:t>
            </w:r>
          </w:p>
        </w:tc>
        <w:tc>
          <w:tcPr>
            <w:tcW w:w="2404" w:type="dxa"/>
          </w:tcPr>
          <w:p w:rsidR="00DB4F60" w:rsidRDefault="00DB4F60">
            <w:pPr>
              <w:pStyle w:val="Tabletext"/>
              <w:framePr w:hSpace="181" w:wrap="notBeside" w:vAnchor="text" w:hAnchor="text" w:xAlign="center" w:y="1"/>
              <w:jc w:val="left"/>
              <w:rPr>
                <w:lang w:val="en-US"/>
              </w:rPr>
            </w:pPr>
            <w:r>
              <w:rPr>
                <w:lang w:val="es-ES"/>
              </w:rPr>
              <w:sym w:font="Symbol" w:char="F06D"/>
            </w:r>
            <w:r>
              <w:rPr>
                <w:lang w:val="en-US"/>
              </w:rPr>
              <w:t>m, nm, Å</w:t>
            </w:r>
          </w:p>
        </w:tc>
        <w:tc>
          <w:tcPr>
            <w:tcW w:w="2404" w:type="dxa"/>
          </w:tcPr>
          <w:p w:rsidR="00DB4F60" w:rsidRDefault="00DB4F60">
            <w:pPr>
              <w:pStyle w:val="Tabletext"/>
              <w:framePr w:hSpace="181" w:wrap="notBeside" w:vAnchor="text" w:hAnchor="text" w:xAlign="center" w:y="1"/>
              <w:jc w:val="left"/>
              <w:rPr>
                <w:lang w:val="en-US"/>
              </w:rPr>
            </w:pPr>
            <w:r>
              <w:rPr>
                <w:lang w:val="en-US"/>
              </w:rPr>
              <w:t xml:space="preserve">1 m </w:t>
            </w:r>
            <w:r>
              <w:rPr>
                <w:rFonts w:ascii="Symbol" w:hAnsi="Symbol"/>
                <w:lang w:val="en-US"/>
              </w:rPr>
              <w:t></w:t>
            </w:r>
            <w:r>
              <w:rPr>
                <w:lang w:val="en-US"/>
              </w:rPr>
              <w:t xml:space="preserve"> 10</w:t>
            </w:r>
            <w:r>
              <w:rPr>
                <w:vertAlign w:val="superscript"/>
                <w:lang w:val="en-US"/>
              </w:rPr>
              <w:t>6</w:t>
            </w:r>
            <w:r>
              <w:rPr>
                <w:lang w:val="en-US"/>
              </w:rPr>
              <w:t xml:space="preserve"> </w:t>
            </w:r>
            <w:r>
              <w:rPr>
                <w:lang w:val="es-ES"/>
              </w:rPr>
              <w:sym w:font="Symbol" w:char="F06D"/>
            </w:r>
            <w:r>
              <w:rPr>
                <w:lang w:val="en-US"/>
              </w:rPr>
              <w:t xml:space="preserve">m </w:t>
            </w:r>
            <w:r>
              <w:rPr>
                <w:rFonts w:ascii="Symbol" w:hAnsi="Symbol"/>
                <w:vertAlign w:val="subscript"/>
                <w:lang w:val="en-US"/>
              </w:rPr>
              <w:t></w:t>
            </w:r>
            <w:r>
              <w:rPr>
                <w:lang w:val="en-US"/>
              </w:rPr>
              <w:br/>
              <w:t>10</w:t>
            </w:r>
            <w:r>
              <w:rPr>
                <w:vertAlign w:val="superscript"/>
                <w:lang w:val="en-US"/>
              </w:rPr>
              <w:t xml:space="preserve">9 </w:t>
            </w:r>
            <w:r>
              <w:rPr>
                <w:lang w:val="en-US"/>
              </w:rPr>
              <w:t xml:space="preserve">nm </w:t>
            </w:r>
            <w:r>
              <w:rPr>
                <w:rFonts w:ascii="Symbol" w:hAnsi="Symbol"/>
                <w:lang w:val="en-US"/>
              </w:rPr>
              <w:t></w:t>
            </w:r>
            <w:r>
              <w:rPr>
                <w:lang w:val="en-US"/>
              </w:rPr>
              <w:t xml:space="preserve"> 10</w:t>
            </w:r>
            <w:r>
              <w:rPr>
                <w:vertAlign w:val="superscript"/>
                <w:lang w:val="en-US"/>
              </w:rPr>
              <w:t>10</w:t>
            </w:r>
            <w:r>
              <w:rPr>
                <w:lang w:val="en-US"/>
              </w:rPr>
              <w:t xml:space="preserve"> Å</w:t>
            </w:r>
          </w:p>
        </w:tc>
      </w:tr>
      <w:tr w:rsidR="00DB4F60">
        <w:trPr>
          <w:cantSplit/>
          <w:jc w:val="center"/>
        </w:trPr>
        <w:tc>
          <w:tcPr>
            <w:tcW w:w="2160" w:type="dxa"/>
          </w:tcPr>
          <w:p w:rsidR="00DB4F60" w:rsidRDefault="00DB4F60">
            <w:pPr>
              <w:pStyle w:val="Tabletext"/>
              <w:framePr w:hSpace="181" w:wrap="notBeside" w:vAnchor="text" w:hAnchor="text" w:xAlign="center" w:y="1"/>
              <w:jc w:val="left"/>
              <w:rPr>
                <w:lang w:val="en-US"/>
              </w:rPr>
            </w:pPr>
            <w:r>
              <w:rPr>
                <w:lang w:val="en-US"/>
              </w:rPr>
              <w:t>defp</w:t>
            </w:r>
          </w:p>
        </w:tc>
        <w:tc>
          <w:tcPr>
            <w:tcW w:w="2671" w:type="dxa"/>
          </w:tcPr>
          <w:p w:rsidR="00DB4F60" w:rsidRDefault="00DB4F60">
            <w:pPr>
              <w:pStyle w:val="Tabletext"/>
              <w:framePr w:hSpace="181" w:wrap="notBeside" w:vAnchor="text" w:hAnchor="text" w:xAlign="center" w:y="1"/>
              <w:jc w:val="left"/>
              <w:rPr>
                <w:lang w:val="en-US"/>
              </w:rPr>
            </w:pPr>
            <w:r>
              <w:rPr>
                <w:lang w:val="en-US"/>
              </w:rPr>
              <w:t>W/(m</w:t>
            </w:r>
            <w:r>
              <w:rPr>
                <w:vertAlign w:val="superscript"/>
                <w:lang w:val="en-US"/>
              </w:rPr>
              <w:t>2</w:t>
            </w:r>
            <w:r>
              <w:rPr>
                <w:lang w:val="en-US"/>
              </w:rPr>
              <w:t xml:space="preserve"> · Hz), </w:t>
            </w:r>
            <w:r>
              <w:rPr>
                <w:lang w:val="en-US"/>
              </w:rPr>
              <w:br/>
              <w:t>dB(W/(m</w:t>
            </w:r>
            <w:r>
              <w:rPr>
                <w:vertAlign w:val="superscript"/>
                <w:lang w:val="en-US"/>
              </w:rPr>
              <w:t>2</w:t>
            </w:r>
            <w:r>
              <w:rPr>
                <w:lang w:val="en-US"/>
              </w:rPr>
              <w:t> · Hz)), Jy</w:t>
            </w:r>
          </w:p>
        </w:tc>
        <w:tc>
          <w:tcPr>
            <w:tcW w:w="2404" w:type="dxa"/>
          </w:tcPr>
          <w:p w:rsidR="00DB4F60" w:rsidRDefault="00DB4F60">
            <w:pPr>
              <w:pStyle w:val="Tabletext"/>
              <w:framePr w:hSpace="181" w:wrap="notBeside" w:vAnchor="text" w:hAnchor="text" w:xAlign="center" w:y="1"/>
              <w:jc w:val="left"/>
              <w:rPr>
                <w:lang w:val="es-ES"/>
              </w:rPr>
            </w:pPr>
            <w:r>
              <w:rPr>
                <w:lang w:val="es-ES"/>
              </w:rPr>
              <w:t xml:space="preserve">Jy, magnitudes </w:t>
            </w:r>
          </w:p>
        </w:tc>
        <w:tc>
          <w:tcPr>
            <w:tcW w:w="2404" w:type="dxa"/>
          </w:tcPr>
          <w:p w:rsidR="00DB4F60" w:rsidRDefault="00DB4F60">
            <w:pPr>
              <w:pStyle w:val="Tabletext"/>
              <w:framePr w:hSpace="181" w:wrap="notBeside" w:vAnchor="text" w:hAnchor="text" w:xAlign="center" w:y="1"/>
              <w:jc w:val="left"/>
              <w:rPr>
                <w:lang w:val="en-US"/>
              </w:rPr>
            </w:pPr>
            <w:r>
              <w:rPr>
                <w:lang w:val="en-US"/>
              </w:rPr>
              <w:t xml:space="preserve">1 Jy </w:t>
            </w:r>
            <w:r>
              <w:rPr>
                <w:rFonts w:ascii="Symbol" w:hAnsi="Symbol"/>
                <w:lang w:val="es-ES"/>
              </w:rPr>
              <w:t></w:t>
            </w:r>
            <w:r>
              <w:rPr>
                <w:lang w:val="en-US"/>
              </w:rPr>
              <w:t xml:space="preserve"> 10</w:t>
            </w:r>
            <w:r>
              <w:rPr>
                <w:vertAlign w:val="superscript"/>
                <w:lang w:val="en-US"/>
              </w:rPr>
              <w:t>–26</w:t>
            </w:r>
            <w:r>
              <w:rPr>
                <w:lang w:val="en-US"/>
              </w:rPr>
              <w:t xml:space="preserve"> W/(m</w:t>
            </w:r>
            <w:r>
              <w:rPr>
                <w:vertAlign w:val="superscript"/>
                <w:lang w:val="en-US"/>
              </w:rPr>
              <w:t>2</w:t>
            </w:r>
            <w:r>
              <w:rPr>
                <w:lang w:val="en-US"/>
              </w:rPr>
              <w:t xml:space="preserve"> · Hz)</w:t>
            </w:r>
          </w:p>
        </w:tc>
      </w:tr>
    </w:tbl>
    <w:p w:rsidR="00DB4F60" w:rsidRDefault="00DB4F60">
      <w:pPr>
        <w:pStyle w:val="Tablefin"/>
        <w:spacing w:before="0"/>
        <w:jc w:val="left"/>
        <w:rPr>
          <w:sz w:val="2"/>
        </w:rPr>
      </w:pPr>
    </w:p>
    <w:p w:rsidR="00DB4F60" w:rsidRDefault="00DB4F60">
      <w:pPr>
        <w:pStyle w:val="Heading2"/>
        <w:rPr>
          <w:lang w:val="es-ES"/>
        </w:rPr>
      </w:pPr>
      <w:r>
        <w:rPr>
          <w:lang w:val="es-ES"/>
        </w:rPr>
        <w:br w:type="page"/>
      </w:r>
      <w:r>
        <w:rPr>
          <w:lang w:val="es-ES"/>
        </w:rPr>
        <w:lastRenderedPageBreak/>
        <w:t>4.1</w:t>
      </w:r>
      <w:r>
        <w:rPr>
          <w:lang w:val="es-ES"/>
        </w:rPr>
        <w:tab/>
        <w:t>Campo de visión y resolución angular</w:t>
      </w:r>
    </w:p>
    <w:p w:rsidR="00DB4F60" w:rsidRDefault="00DB4F60">
      <w:pPr>
        <w:rPr>
          <w:lang w:val="es-ES"/>
        </w:rPr>
      </w:pPr>
      <w:r>
        <w:rPr>
          <w:lang w:val="es-ES"/>
        </w:rPr>
        <w:t>El tamaño del campo de visión está relacionado con el tamaño físico del detector y la longitud focal del telescopio, pudiendo determinarse por la siguiente ecuación:</w:t>
      </w:r>
    </w:p>
    <w:p w:rsidR="00DB4F60" w:rsidRDefault="00DB4F60">
      <w:pPr>
        <w:pStyle w:val="Equation"/>
        <w:rPr>
          <w:lang w:val="es-ES"/>
        </w:rPr>
      </w:pPr>
      <w:r>
        <w:rPr>
          <w:lang w:val="es-ES"/>
        </w:rPr>
        <w:tab/>
      </w:r>
      <w:r>
        <w:rPr>
          <w:lang w:val="es-ES"/>
        </w:rPr>
        <w:tab/>
      </w:r>
      <w:r>
        <w:rPr>
          <w:position w:val="-24"/>
          <w:sz w:val="20"/>
          <w:lang w:val="es-ES"/>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31.1pt" o:ole="" fillcolor="window">
            <v:imagedata r:id="rId9" o:title=""/>
          </v:shape>
          <o:OLEObject Type="Embed" ProgID="Equation.3" ShapeID="_x0000_i1025" DrawAspect="Content" ObjectID="_1558357372" r:id="rId10"/>
        </w:object>
      </w:r>
      <w:r>
        <w:rPr>
          <w:lang w:val="es-ES"/>
        </w:rPr>
        <w:tab/>
        <w:t>(1)</w:t>
      </w:r>
    </w:p>
    <w:p w:rsidR="00DB4F60" w:rsidRDefault="00DB4F60">
      <w:pPr>
        <w:rPr>
          <w:lang w:val="es-ES"/>
        </w:rPr>
      </w:pPr>
      <w:r>
        <w:rPr>
          <w:lang w:val="es-ES"/>
        </w:rPr>
        <w:t>siendo:</w:t>
      </w:r>
    </w:p>
    <w:p w:rsidR="00DB4F60" w:rsidRDefault="00DB4F60">
      <w:pPr>
        <w:pStyle w:val="Equationlegend"/>
        <w:rPr>
          <w:lang w:val="es-ES"/>
        </w:rPr>
      </w:pPr>
      <w:r>
        <w:rPr>
          <w:lang w:val="es-ES"/>
        </w:rPr>
        <w:tab/>
      </w:r>
      <w:r>
        <w:rPr>
          <w:rFonts w:ascii="Symbol" w:hAnsi="Symbol"/>
          <w:lang w:val="es-ES"/>
        </w:rPr>
        <w:sym w:font="Symbol" w:char="F071"/>
      </w:r>
      <w:r>
        <w:rPr>
          <w:sz w:val="12"/>
          <w:lang w:val="es-ES"/>
        </w:rPr>
        <w:t> </w:t>
      </w:r>
      <w:r>
        <w:rPr>
          <w:lang w:val="es-ES"/>
        </w:rPr>
        <w:t>:</w:t>
      </w:r>
      <w:r>
        <w:rPr>
          <w:lang w:val="es-ES"/>
        </w:rPr>
        <w:tab/>
        <w:t>campo de visión (grados)</w:t>
      </w:r>
    </w:p>
    <w:p w:rsidR="00DB4F60" w:rsidRDefault="00DB4F60">
      <w:pPr>
        <w:pStyle w:val="Equationlegend"/>
        <w:rPr>
          <w:lang w:val="es-ES"/>
        </w:rPr>
      </w:pPr>
      <w:r>
        <w:rPr>
          <w:lang w:val="es-ES"/>
        </w:rPr>
        <w:tab/>
      </w:r>
      <w:r>
        <w:rPr>
          <w:i/>
          <w:lang w:val="es-ES"/>
        </w:rPr>
        <w:t>d</w:t>
      </w:r>
      <w:r>
        <w:rPr>
          <w:sz w:val="12"/>
          <w:lang w:val="es-ES"/>
        </w:rPr>
        <w:t> </w:t>
      </w:r>
      <w:r>
        <w:rPr>
          <w:lang w:val="es-ES"/>
        </w:rPr>
        <w:t>:</w:t>
      </w:r>
      <w:r>
        <w:rPr>
          <w:lang w:val="es-ES"/>
        </w:rPr>
        <w:tab/>
        <w:t>diámetro del detector (m)</w:t>
      </w:r>
    </w:p>
    <w:p w:rsidR="00DB4F60" w:rsidRDefault="00DB4F60">
      <w:pPr>
        <w:pStyle w:val="Equationlegend"/>
        <w:rPr>
          <w:lang w:val="es-ES"/>
        </w:rPr>
      </w:pPr>
      <w:r>
        <w:rPr>
          <w:lang w:val="es-ES"/>
        </w:rPr>
        <w:tab/>
      </w:r>
      <w:r>
        <w:rPr>
          <w:i/>
          <w:lang w:val="es-ES"/>
        </w:rPr>
        <w:t>F</w:t>
      </w:r>
      <w:r>
        <w:rPr>
          <w:sz w:val="12"/>
          <w:lang w:val="es-ES"/>
        </w:rPr>
        <w:t> </w:t>
      </w:r>
      <w:r>
        <w:rPr>
          <w:lang w:val="es-ES"/>
        </w:rPr>
        <w:t>:</w:t>
      </w:r>
      <w:r>
        <w:rPr>
          <w:lang w:val="es-ES"/>
        </w:rPr>
        <w:tab/>
        <w:t>longitud focal del telescopio (m).</w:t>
      </w:r>
    </w:p>
    <w:p w:rsidR="00DB4F60" w:rsidRDefault="00DB4F60">
      <w:pPr>
        <w:rPr>
          <w:lang w:val="es-ES"/>
        </w:rPr>
      </w:pPr>
      <w:r>
        <w:rPr>
          <w:lang w:val="es-ES"/>
        </w:rPr>
        <w:t>En la práctica, el campo de visión de un telescopio puede reducirse por medio de un diafragma, por diversas razones (por ejemplo, por la calidad imperfecta de la imagen en las partes exteriores del campo de visión).</w:t>
      </w:r>
    </w:p>
    <w:p w:rsidR="00DB4F60" w:rsidRDefault="00DB4F60">
      <w:pPr>
        <w:rPr>
          <w:lang w:val="es-ES"/>
        </w:rPr>
      </w:pPr>
      <w:r>
        <w:rPr>
          <w:lang w:val="es-ES"/>
        </w:rPr>
        <w:t xml:space="preserve">Los avances en la tecnología de los detectores permiten que los astrónomos puedan observar regiones cada vez mayores del cielo, mejorando al mismo tiempo la resolución angular de sus observaciones. Estas mejoras se suelen efectuar mediante la utilización de sistemas de detectores con mayor superficie equivalente y menor tamaño de píxel. El campo de visión de los sistemas de detectores puede alcanzar frecuentemente los 0,2º </w:t>
      </w:r>
      <w:r>
        <w:rPr>
          <w:rFonts w:ascii="Symbol" w:hAnsi="Symbol"/>
          <w:lang w:val="es-ES"/>
        </w:rPr>
        <w:t></w:t>
      </w:r>
      <w:r>
        <w:rPr>
          <w:lang w:val="es-ES"/>
        </w:rPr>
        <w:t xml:space="preserve"> 0,2º aunque, dependiendo de la instrumentación y del telescopio, puede llegar a ser tan sólo de 10</w:t>
      </w:r>
      <w:r>
        <w:rPr>
          <w:vertAlign w:val="superscript"/>
          <w:lang w:val="es-ES"/>
        </w:rPr>
        <w:t>–4</w:t>
      </w:r>
      <w:r>
        <w:rPr>
          <w:lang w:val="es-ES"/>
        </w:rPr>
        <w:t> grados de diámetro. Los mayores campos de visión actualmente disponibles tienen del orden de varios grados cuadrados. Se pueden utilizar varios detectores con un único telescopio para observar la energía procedente de una única fuente. Por otra parte, se pueden intercambiar detectores durante periodos de tan solo unos pocos minutos. Por consiguiente, la definición de un campo de visión único para un telescopio específico no es adecuada.</w:t>
      </w:r>
    </w:p>
    <w:p w:rsidR="00DB4F60" w:rsidRDefault="00DB4F60">
      <w:pPr>
        <w:rPr>
          <w:lang w:val="es-ES"/>
        </w:rPr>
      </w:pPr>
      <w:r>
        <w:rPr>
          <w:lang w:val="es-ES"/>
        </w:rPr>
        <w:t>Otro parámetro de utilidad para los astrónomos es la resolución angular. La resolución angular de un telescopio es una medida de su capacidad de identificar objetos distintos que se encuentran muy próximos dentro de su campo de visión. La máxima resolución angular teóricamente alcanzable para una determinada apertura, suponiendo la perfección de los instrumentos de explotación y excluidos los efectos perniciosos de la atmósfera terrestre, es:</w:t>
      </w:r>
    </w:p>
    <w:p w:rsidR="00DB4F60" w:rsidRDefault="00DB4F60">
      <w:pPr>
        <w:pStyle w:val="Equation"/>
        <w:rPr>
          <w:lang w:val="es-ES"/>
        </w:rPr>
      </w:pPr>
      <w:r>
        <w:rPr>
          <w:lang w:val="es-ES"/>
        </w:rPr>
        <w:tab/>
      </w:r>
      <w:r>
        <w:rPr>
          <w:lang w:val="es-ES"/>
        </w:rPr>
        <w:tab/>
      </w:r>
      <w:r>
        <w:rPr>
          <w:position w:val="-28"/>
          <w:lang w:val="es-ES"/>
        </w:rPr>
        <w:object w:dxaOrig="2280" w:dyaOrig="660">
          <v:shape id="_x0000_i1026" type="#_x0000_t75" style="width:114.05pt;height:32.85pt" o:ole="">
            <v:imagedata r:id="rId11" o:title=""/>
          </v:shape>
          <o:OLEObject Type="Embed" ProgID="Equation.3" ShapeID="_x0000_i1026" DrawAspect="Content" ObjectID="_1558357373" r:id="rId12"/>
        </w:object>
      </w:r>
      <w:r>
        <w:rPr>
          <w:lang w:val="es-ES"/>
        </w:rPr>
        <w:tab/>
        <w:t>(2)</w:t>
      </w:r>
    </w:p>
    <w:p w:rsidR="00DB4F60" w:rsidRDefault="00DB4F60">
      <w:pPr>
        <w:rPr>
          <w:lang w:val="es-ES"/>
        </w:rPr>
      </w:pPr>
      <w:r>
        <w:rPr>
          <w:lang w:val="es-ES"/>
        </w:rPr>
        <w:t>siendo:</w:t>
      </w:r>
    </w:p>
    <w:p w:rsidR="00DB4F60" w:rsidRDefault="00DB4F60">
      <w:pPr>
        <w:pStyle w:val="Equationlegend"/>
        <w:rPr>
          <w:lang w:val="es-ES"/>
        </w:rPr>
      </w:pPr>
      <w:r>
        <w:rPr>
          <w:lang w:val="es-ES"/>
        </w:rPr>
        <w:tab/>
      </w:r>
      <w:r>
        <w:rPr>
          <w:rFonts w:ascii="Symbol" w:hAnsi="Symbol"/>
          <w:lang w:val="es-ES"/>
        </w:rPr>
        <w:sym w:font="Symbol" w:char="F044"/>
      </w:r>
      <w:r>
        <w:rPr>
          <w:rFonts w:ascii="Symbol" w:hAnsi="Symbol"/>
          <w:lang w:val="es-ES"/>
        </w:rPr>
        <w:sym w:font="Symbol" w:char="F071"/>
      </w:r>
      <w:r>
        <w:rPr>
          <w:sz w:val="12"/>
          <w:lang w:val="es-ES"/>
        </w:rPr>
        <w:t> </w:t>
      </w:r>
      <w:r>
        <w:rPr>
          <w:lang w:val="es-ES"/>
        </w:rPr>
        <w:t>:</w:t>
      </w:r>
      <w:r>
        <w:rPr>
          <w:lang w:val="es-ES"/>
        </w:rPr>
        <w:tab/>
        <w:t>resolución angular (de arco)</w:t>
      </w:r>
    </w:p>
    <w:p w:rsidR="00DB4F60" w:rsidRDefault="00DB4F60">
      <w:pPr>
        <w:pStyle w:val="Equationlegend"/>
        <w:rPr>
          <w:lang w:val="es-ES"/>
        </w:rPr>
      </w:pPr>
      <w:r>
        <w:rPr>
          <w:lang w:val="es-ES"/>
        </w:rPr>
        <w:tab/>
      </w:r>
      <w:r>
        <w:rPr>
          <w:i/>
          <w:lang w:val="es-ES"/>
        </w:rPr>
        <w:t>f</w:t>
      </w:r>
      <w:r>
        <w:rPr>
          <w:sz w:val="12"/>
          <w:lang w:val="es-ES"/>
        </w:rPr>
        <w:t> </w:t>
      </w:r>
      <w:r>
        <w:rPr>
          <w:lang w:val="es-ES"/>
        </w:rPr>
        <w:t>:</w:t>
      </w:r>
      <w:r>
        <w:rPr>
          <w:lang w:val="es-ES"/>
        </w:rPr>
        <w:tab/>
        <w:t>frecuencia (THz)</w:t>
      </w:r>
    </w:p>
    <w:p w:rsidR="00DB4F60" w:rsidRDefault="00DB4F60">
      <w:pPr>
        <w:pStyle w:val="Equationlegend"/>
        <w:rPr>
          <w:lang w:val="fr-FR"/>
        </w:rPr>
      </w:pPr>
      <w:r>
        <w:rPr>
          <w:lang w:val="es-ES"/>
        </w:rPr>
        <w:tab/>
      </w:r>
      <w:r>
        <w:rPr>
          <w:iCs/>
          <w:lang w:val="es-ES"/>
        </w:rPr>
        <w:sym w:font="Symbol" w:char="F06C"/>
      </w:r>
      <w:r>
        <w:rPr>
          <w:sz w:val="12"/>
          <w:lang w:val="fr-FR"/>
        </w:rPr>
        <w:t> </w:t>
      </w:r>
      <w:r>
        <w:rPr>
          <w:lang w:val="fr-FR"/>
        </w:rPr>
        <w:t>:</w:t>
      </w:r>
      <w:r>
        <w:rPr>
          <w:lang w:val="fr-FR"/>
        </w:rPr>
        <w:tab/>
        <w:t>longitud de onda (</w:t>
      </w:r>
      <w:r>
        <w:rPr>
          <w:lang w:val="es-ES"/>
        </w:rPr>
        <w:sym w:font="Symbol" w:char="F06D"/>
      </w:r>
      <w:r>
        <w:rPr>
          <w:lang w:val="fr-FR"/>
        </w:rPr>
        <w:t>m)</w:t>
      </w:r>
    </w:p>
    <w:p w:rsidR="00DB4F60" w:rsidRDefault="00DB4F60">
      <w:pPr>
        <w:pStyle w:val="Equationlegend"/>
        <w:rPr>
          <w:lang w:val="es-ES"/>
        </w:rPr>
      </w:pPr>
      <w:r>
        <w:rPr>
          <w:lang w:val="fr-FR"/>
        </w:rPr>
        <w:tab/>
      </w:r>
      <w:r>
        <w:rPr>
          <w:i/>
          <w:lang w:val="es-ES"/>
        </w:rPr>
        <w:t>D</w:t>
      </w:r>
      <w:r>
        <w:rPr>
          <w:sz w:val="12"/>
          <w:lang w:val="es-ES"/>
        </w:rPr>
        <w:t> </w:t>
      </w:r>
      <w:r>
        <w:rPr>
          <w:lang w:val="es-ES"/>
        </w:rPr>
        <w:t>:</w:t>
      </w:r>
      <w:r>
        <w:rPr>
          <w:lang w:val="es-ES"/>
        </w:rPr>
        <w:tab/>
        <w:t>diámetro de la apertura principal (m).</w:t>
      </w:r>
    </w:p>
    <w:p w:rsidR="00DB4F60" w:rsidRDefault="00DB4F60">
      <w:pPr>
        <w:rPr>
          <w:lang w:val="es-ES"/>
        </w:rPr>
      </w:pPr>
      <w:r>
        <w:rPr>
          <w:lang w:val="es-ES"/>
        </w:rPr>
        <w:t>Las resoluciones angulares teóricas de 10</w:t>
      </w:r>
      <w:r>
        <w:rPr>
          <w:vertAlign w:val="superscript"/>
          <w:lang w:val="es-ES"/>
        </w:rPr>
        <w:t>–5</w:t>
      </w:r>
      <w:r>
        <w:rPr>
          <w:lang w:val="es-ES"/>
        </w:rPr>
        <w:t xml:space="preserve"> grados son corrientes para una apertura sencilla.</w:t>
      </w:r>
    </w:p>
    <w:p w:rsidR="00DB4F60" w:rsidRDefault="00DB4F60">
      <w:pPr>
        <w:rPr>
          <w:lang w:val="es-ES"/>
        </w:rPr>
      </w:pPr>
      <w:r>
        <w:rPr>
          <w:lang w:val="es-ES"/>
        </w:rPr>
        <w:t>No obstante, en la práctica, la resolución angular de un telescopio sencillo suele venir limitada por la turbulencia atmosférica. En la realidad, en los mejores emplazamientos de observación situados en tierra, es corriente alcanzar resoluciones angulares de 0,6  de arco aproximadamente sin necesidad de utilizar ópticas activas adaptables (véase el § 4.4) para estabilizar la imagen, mientras que la resolución angular teóricamente alcanzable en los telescopios de mayor tamaño, de 10 m de diámetro, funcionando a longitudes de onda ópticas (a la frecuencia de 600 THz) es tan solo de 10</w:t>
      </w:r>
      <w:r>
        <w:rPr>
          <w:position w:val="6"/>
          <w:vertAlign w:val="superscript"/>
          <w:lang w:val="es-ES"/>
        </w:rPr>
        <w:t>_</w:t>
      </w:r>
      <w:r>
        <w:rPr>
          <w:vertAlign w:val="superscript"/>
          <w:lang w:val="es-ES"/>
        </w:rPr>
        <w:t>2</w:t>
      </w:r>
      <w:r>
        <w:rPr>
          <w:lang w:val="es-ES"/>
        </w:rPr>
        <w:t>  de arco. Las mediciones que utilizan la técnica denominada interferometría (véase el § 3.4) pueden llegar a alcanzar una resolución angular de 10</w:t>
      </w:r>
      <w:r>
        <w:rPr>
          <w:vertAlign w:val="superscript"/>
          <w:lang w:val="es-ES"/>
        </w:rPr>
        <w:t>–5</w:t>
      </w:r>
      <w:r>
        <w:rPr>
          <w:lang w:val="es-ES"/>
        </w:rPr>
        <w:t xml:space="preserve"> de arco.</w:t>
      </w:r>
    </w:p>
    <w:p w:rsidR="00DB4F60" w:rsidRDefault="00DB4F60">
      <w:pPr>
        <w:pStyle w:val="Heading2"/>
        <w:rPr>
          <w:lang w:val="es-ES"/>
        </w:rPr>
      </w:pPr>
      <w:r>
        <w:rPr>
          <w:lang w:val="es-ES"/>
        </w:rPr>
        <w:br w:type="page"/>
      </w:r>
      <w:r>
        <w:rPr>
          <w:lang w:val="es-ES"/>
        </w:rPr>
        <w:lastRenderedPageBreak/>
        <w:t>4.2</w:t>
      </w:r>
      <w:r>
        <w:rPr>
          <w:lang w:val="es-ES"/>
        </w:rPr>
        <w:tab/>
        <w:t>Sensibilidad</w:t>
      </w:r>
    </w:p>
    <w:p w:rsidR="00DB4F60" w:rsidRDefault="00DB4F60">
      <w:pPr>
        <w:rPr>
          <w:lang w:val="es-ES"/>
        </w:rPr>
      </w:pPr>
      <w:r>
        <w:rPr>
          <w:lang w:val="es-ES"/>
        </w:rPr>
        <w:t>La ganancia del haz principal de la antena astronómica funcionando en el intervalo de frecuencias entre 10 THz y 1</w:t>
      </w:r>
      <w:r>
        <w:rPr>
          <w:rFonts w:ascii="Tms Rmn" w:hAnsi="Tms Rmn"/>
          <w:sz w:val="12"/>
          <w:lang w:val="es-ES"/>
        </w:rPr>
        <w:t> </w:t>
      </w:r>
      <w:r>
        <w:rPr>
          <w:lang w:val="es-ES"/>
        </w:rPr>
        <w:t>000 THz se puede calcular por medio de las mismas ecuaciones que las correspondientes al funcionamiento en la región por debajo del GHz. La utilización de pantallas de deflexión (baffling) en los telescopios astronómicos reduce los lóbulos laterales y la ganancia del lóbulo posterior hasta niveles insignificantes.</w:t>
      </w:r>
    </w:p>
    <w:p w:rsidR="00DB4F60" w:rsidRDefault="00DB4F60">
      <w:pPr>
        <w:rPr>
          <w:lang w:val="es-ES"/>
        </w:rPr>
      </w:pPr>
      <w:r>
        <w:rPr>
          <w:lang w:val="es-ES"/>
        </w:rPr>
        <w:t>Hay varias tecnologías que permiten a los astrónomos detectar energía en el intervalo de frecuencias comprendido entre 10 THz y 1</w:t>
      </w:r>
      <w:r>
        <w:rPr>
          <w:rFonts w:ascii="Tms Rmn" w:hAnsi="Tms Rmn"/>
          <w:sz w:val="12"/>
          <w:lang w:val="es-ES"/>
        </w:rPr>
        <w:t> </w:t>
      </w:r>
      <w:r>
        <w:rPr>
          <w:lang w:val="es-ES"/>
        </w:rPr>
        <w:t>000 THz. El Cuadro 2 contiene una lista de ganancias y de rendimientos cuánticos correspondientes a varios detectores ópticos y tecnologías de sistemas de detectores corrientes.</w:t>
      </w:r>
    </w:p>
    <w:p w:rsidR="00DB4F60" w:rsidRDefault="00DB4F60">
      <w:pPr>
        <w:pStyle w:val="TableNo"/>
        <w:rPr>
          <w:lang w:val="es-ES"/>
        </w:rPr>
      </w:pPr>
      <w:r>
        <w:rPr>
          <w:lang w:val="es-ES"/>
        </w:rPr>
        <w:t>CUADRO  2</w:t>
      </w:r>
    </w:p>
    <w:p w:rsidR="00DB4F60" w:rsidRDefault="00DB4F60">
      <w:pPr>
        <w:pStyle w:val="Tabletitle"/>
        <w:rPr>
          <w:lang w:val="es-ES"/>
        </w:rPr>
      </w:pPr>
      <w:r>
        <w:rPr>
          <w:lang w:val="es-ES"/>
        </w:rPr>
        <w:t>Parámetros correspondientes a algunos sistemas y detectores</w:t>
      </w:r>
      <w:r>
        <w:rPr>
          <w:lang w:val="es-ES"/>
        </w:rPr>
        <w:br/>
        <w:t>utilizados en las bandas ópticas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441"/>
        <w:gridCol w:w="2040"/>
        <w:gridCol w:w="1153"/>
        <w:gridCol w:w="1074"/>
        <w:gridCol w:w="1756"/>
      </w:tblGrid>
      <w:tr w:rsidR="00DB4F60">
        <w:trPr>
          <w:jc w:val="center"/>
        </w:trPr>
        <w:tc>
          <w:tcPr>
            <w:tcW w:w="2175" w:type="dxa"/>
            <w:vAlign w:val="center"/>
          </w:tcPr>
          <w:p w:rsidR="00DB4F60" w:rsidRDefault="00DB4F60">
            <w:pPr>
              <w:pStyle w:val="Tablehead"/>
              <w:framePr w:hSpace="181" w:wrap="notBeside" w:vAnchor="text" w:hAnchor="text" w:xAlign="center" w:y="1"/>
              <w:rPr>
                <w:lang w:val="es-ES"/>
              </w:rPr>
            </w:pPr>
            <w:r>
              <w:rPr>
                <w:lang w:val="es-ES"/>
              </w:rPr>
              <w:t>Dispositivo</w:t>
            </w:r>
          </w:p>
        </w:tc>
        <w:tc>
          <w:tcPr>
            <w:tcW w:w="1441" w:type="dxa"/>
            <w:vAlign w:val="center"/>
          </w:tcPr>
          <w:p w:rsidR="00DB4F60" w:rsidRDefault="00DB4F60">
            <w:pPr>
              <w:pStyle w:val="Tablehead"/>
              <w:framePr w:hSpace="181" w:wrap="notBeside" w:vAnchor="text" w:hAnchor="text" w:xAlign="center" w:y="1"/>
              <w:rPr>
                <w:lang w:val="es-ES"/>
              </w:rPr>
            </w:pPr>
            <w:r>
              <w:rPr>
                <w:lang w:val="es-ES"/>
              </w:rPr>
              <w:t>Intervalo de frecuencias</w:t>
            </w:r>
            <w:r>
              <w:rPr>
                <w:lang w:val="es-ES"/>
              </w:rPr>
              <w:br/>
              <w:t>(THz)</w:t>
            </w:r>
          </w:p>
        </w:tc>
        <w:tc>
          <w:tcPr>
            <w:tcW w:w="2040" w:type="dxa"/>
            <w:vAlign w:val="center"/>
          </w:tcPr>
          <w:p w:rsidR="00DB4F60" w:rsidRDefault="00DB4F60">
            <w:pPr>
              <w:pStyle w:val="Tablehead"/>
              <w:framePr w:hSpace="181" w:wrap="notBeside" w:vAnchor="text" w:hAnchor="text" w:xAlign="center" w:y="1"/>
              <w:rPr>
                <w:lang w:val="es-ES"/>
              </w:rPr>
            </w:pPr>
            <w:r>
              <w:rPr>
                <w:lang w:val="es-ES"/>
              </w:rPr>
              <w:t>Dimensión típica</w:t>
            </w:r>
            <w:r>
              <w:rPr>
                <w:lang w:val="es-ES"/>
              </w:rPr>
              <w:br/>
              <w:t>(10</w:t>
            </w:r>
            <w:r>
              <w:rPr>
                <w:vertAlign w:val="superscript"/>
                <w:lang w:val="es-ES"/>
              </w:rPr>
              <w:t>–3</w:t>
            </w:r>
            <w:r>
              <w:rPr>
                <w:lang w:val="es-ES"/>
              </w:rPr>
              <w:t xml:space="preserve"> m)</w:t>
            </w:r>
          </w:p>
        </w:tc>
        <w:tc>
          <w:tcPr>
            <w:tcW w:w="1153" w:type="dxa"/>
            <w:vAlign w:val="center"/>
          </w:tcPr>
          <w:p w:rsidR="00DB4F60" w:rsidRDefault="00DB4F60">
            <w:pPr>
              <w:pStyle w:val="Tablehead"/>
              <w:framePr w:hSpace="181" w:wrap="notBeside" w:vAnchor="text" w:hAnchor="text" w:xAlign="center" w:y="1"/>
              <w:rPr>
                <w:lang w:val="es-ES"/>
              </w:rPr>
            </w:pPr>
            <w:r>
              <w:rPr>
                <w:lang w:val="es-ES"/>
              </w:rPr>
              <w:t xml:space="preserve">Tipo </w:t>
            </w:r>
            <w:r>
              <w:rPr>
                <w:lang w:val="es-ES"/>
              </w:rPr>
              <w:sym w:font="Symbol" w:char="F068"/>
            </w:r>
          </w:p>
        </w:tc>
        <w:tc>
          <w:tcPr>
            <w:tcW w:w="1074" w:type="dxa"/>
            <w:vAlign w:val="center"/>
          </w:tcPr>
          <w:p w:rsidR="00DB4F60" w:rsidRDefault="00DB4F60">
            <w:pPr>
              <w:pStyle w:val="Tablehead"/>
              <w:framePr w:hSpace="181" w:wrap="notBeside" w:vAnchor="text" w:hAnchor="text" w:xAlign="center" w:y="1"/>
              <w:rPr>
                <w:lang w:val="es-ES"/>
              </w:rPr>
            </w:pPr>
            <w:r>
              <w:rPr>
                <w:lang w:val="es-ES"/>
              </w:rPr>
              <w:t>Tipo G</w:t>
            </w:r>
          </w:p>
        </w:tc>
        <w:tc>
          <w:tcPr>
            <w:tcW w:w="1756" w:type="dxa"/>
            <w:vAlign w:val="center"/>
          </w:tcPr>
          <w:p w:rsidR="00DB4F60" w:rsidRDefault="00DB4F60">
            <w:pPr>
              <w:pStyle w:val="Tablehead"/>
              <w:framePr w:hSpace="181" w:wrap="notBeside" w:vAnchor="text" w:hAnchor="text" w:xAlign="center" w:y="1"/>
              <w:rPr>
                <w:lang w:val="es-ES"/>
              </w:rPr>
            </w:pPr>
            <w:r>
              <w:rPr>
                <w:lang w:val="es-ES"/>
              </w:rPr>
              <w:t>Material</w:t>
            </w:r>
          </w:p>
        </w:tc>
      </w:tr>
      <w:tr w:rsidR="00DB4F60">
        <w:trPr>
          <w:jc w:val="center"/>
        </w:trPr>
        <w:tc>
          <w:tcPr>
            <w:tcW w:w="2175" w:type="dxa"/>
          </w:tcPr>
          <w:p w:rsidR="00DB4F60" w:rsidRDefault="00DB4F60">
            <w:pPr>
              <w:pStyle w:val="Tabletext"/>
              <w:framePr w:hSpace="181" w:wrap="notBeside" w:vAnchor="text" w:hAnchor="text" w:xAlign="center" w:y="1"/>
              <w:jc w:val="left"/>
              <w:rPr>
                <w:lang w:val="es-ES"/>
              </w:rPr>
            </w:pPr>
            <w:r>
              <w:rPr>
                <w:lang w:val="es-ES"/>
              </w:rPr>
              <w:t>Fotodiodo semiconductor</w:t>
            </w:r>
          </w:p>
        </w:tc>
        <w:tc>
          <w:tcPr>
            <w:tcW w:w="1441" w:type="dxa"/>
            <w:vAlign w:val="center"/>
          </w:tcPr>
          <w:p w:rsidR="00DB4F60" w:rsidRDefault="00DB4F60">
            <w:pPr>
              <w:pStyle w:val="Tabletext"/>
              <w:framePr w:hSpace="181" w:wrap="notBeside" w:vAnchor="text" w:hAnchor="text" w:xAlign="center" w:y="1"/>
              <w:jc w:val="center"/>
              <w:rPr>
                <w:lang w:val="es-ES"/>
              </w:rPr>
            </w:pPr>
            <w:r>
              <w:rPr>
                <w:lang w:val="es-ES"/>
              </w:rPr>
              <w:t>10-2</w:t>
            </w:r>
            <w:r>
              <w:rPr>
                <w:rFonts w:ascii="Tms Rmn" w:hAnsi="Tms Rmn"/>
                <w:sz w:val="12"/>
                <w:lang w:val="es-ES"/>
              </w:rPr>
              <w:t> </w:t>
            </w:r>
            <w:r>
              <w:rPr>
                <w:lang w:val="es-ES"/>
              </w:rPr>
              <w:t>000</w:t>
            </w:r>
          </w:p>
        </w:tc>
        <w:tc>
          <w:tcPr>
            <w:tcW w:w="2040" w:type="dxa"/>
            <w:vAlign w:val="center"/>
          </w:tcPr>
          <w:p w:rsidR="00DB4F60" w:rsidRDefault="00DB4F60">
            <w:pPr>
              <w:pStyle w:val="Tabletext"/>
              <w:framePr w:hSpace="181" w:wrap="notBeside" w:vAnchor="text" w:hAnchor="text" w:xAlign="center" w:y="1"/>
              <w:jc w:val="center"/>
              <w:rPr>
                <w:lang w:val="es-ES"/>
              </w:rPr>
            </w:pPr>
            <w:r>
              <w:rPr>
                <w:lang w:val="es-ES"/>
              </w:rPr>
              <w:t>0,1-250</w:t>
            </w:r>
          </w:p>
        </w:tc>
        <w:tc>
          <w:tcPr>
            <w:tcW w:w="1153" w:type="dxa"/>
            <w:vAlign w:val="center"/>
          </w:tcPr>
          <w:p w:rsidR="00DB4F60" w:rsidRDefault="00DB4F60">
            <w:pPr>
              <w:pStyle w:val="Tabletext"/>
              <w:framePr w:hSpace="181" w:wrap="notBeside" w:vAnchor="text" w:hAnchor="text" w:xAlign="center" w:y="1"/>
              <w:jc w:val="center"/>
              <w:rPr>
                <w:lang w:val="es-ES"/>
              </w:rPr>
            </w:pPr>
            <w:r>
              <w:rPr>
                <w:lang w:val="es-ES"/>
              </w:rPr>
              <w:t>0,7-1</w:t>
            </w:r>
          </w:p>
        </w:tc>
        <w:tc>
          <w:tcPr>
            <w:tcW w:w="1074" w:type="dxa"/>
            <w:vAlign w:val="center"/>
          </w:tcPr>
          <w:p w:rsidR="00DB4F60" w:rsidRDefault="00DB4F60">
            <w:pPr>
              <w:pStyle w:val="Tabletext"/>
              <w:framePr w:hSpace="181" w:wrap="notBeside" w:vAnchor="text" w:hAnchor="text" w:xAlign="center" w:y="1"/>
              <w:jc w:val="center"/>
              <w:rPr>
                <w:lang w:val="es-ES"/>
              </w:rPr>
            </w:pPr>
            <w:r>
              <w:rPr>
                <w:lang w:val="es-ES"/>
              </w:rPr>
              <w:t>1</w:t>
            </w:r>
          </w:p>
        </w:tc>
        <w:tc>
          <w:tcPr>
            <w:tcW w:w="1756" w:type="dxa"/>
            <w:vAlign w:val="center"/>
          </w:tcPr>
          <w:p w:rsidR="00DB4F60" w:rsidRDefault="00DB4F60">
            <w:pPr>
              <w:pStyle w:val="Tabletext"/>
              <w:framePr w:hSpace="181" w:wrap="notBeside" w:vAnchor="text" w:hAnchor="text" w:xAlign="center" w:y="1"/>
              <w:jc w:val="left"/>
              <w:rPr>
                <w:lang w:val="es-ES"/>
              </w:rPr>
            </w:pPr>
            <w:r>
              <w:rPr>
                <w:lang w:val="es-ES"/>
              </w:rPr>
              <w:t>Si, Ge, InSb, HgCdTe</w:t>
            </w:r>
          </w:p>
        </w:tc>
      </w:tr>
      <w:tr w:rsidR="00DB4F60">
        <w:trPr>
          <w:jc w:val="center"/>
        </w:trPr>
        <w:tc>
          <w:tcPr>
            <w:tcW w:w="2175" w:type="dxa"/>
          </w:tcPr>
          <w:p w:rsidR="00DB4F60" w:rsidRDefault="00DB4F60">
            <w:pPr>
              <w:pStyle w:val="Tabletext"/>
              <w:framePr w:hSpace="181" w:wrap="notBeside" w:vAnchor="text" w:hAnchor="text" w:xAlign="center" w:y="1"/>
              <w:jc w:val="left"/>
              <w:rPr>
                <w:lang w:val="es-ES"/>
              </w:rPr>
            </w:pPr>
            <w:r>
              <w:rPr>
                <w:lang w:val="es-ES"/>
              </w:rPr>
              <w:t>Fotodiodo de avalancha</w:t>
            </w:r>
          </w:p>
        </w:tc>
        <w:tc>
          <w:tcPr>
            <w:tcW w:w="1441" w:type="dxa"/>
            <w:vAlign w:val="center"/>
          </w:tcPr>
          <w:p w:rsidR="00DB4F60" w:rsidRDefault="00DB4F60">
            <w:pPr>
              <w:pStyle w:val="Tabletext"/>
              <w:framePr w:hSpace="181" w:wrap="notBeside" w:vAnchor="text" w:hAnchor="text" w:xAlign="center" w:y="1"/>
              <w:jc w:val="center"/>
              <w:rPr>
                <w:lang w:val="es-ES"/>
              </w:rPr>
            </w:pPr>
            <w:r>
              <w:rPr>
                <w:lang w:val="es-ES"/>
              </w:rPr>
              <w:t>300-2</w:t>
            </w:r>
            <w:r>
              <w:rPr>
                <w:rFonts w:ascii="Tms Rmn" w:hAnsi="Tms Rmn"/>
                <w:sz w:val="12"/>
                <w:lang w:val="es-ES"/>
              </w:rPr>
              <w:t> </w:t>
            </w:r>
            <w:r>
              <w:rPr>
                <w:lang w:val="es-ES"/>
              </w:rPr>
              <w:t>000</w:t>
            </w:r>
          </w:p>
        </w:tc>
        <w:tc>
          <w:tcPr>
            <w:tcW w:w="2040" w:type="dxa"/>
            <w:vAlign w:val="center"/>
          </w:tcPr>
          <w:p w:rsidR="00DB4F60" w:rsidRDefault="00DB4F60">
            <w:pPr>
              <w:pStyle w:val="Tabletext"/>
              <w:framePr w:hSpace="181" w:wrap="notBeside" w:vAnchor="text" w:hAnchor="text" w:xAlign="center" w:y="1"/>
              <w:jc w:val="center"/>
              <w:rPr>
                <w:lang w:val="es-ES"/>
              </w:rPr>
            </w:pPr>
            <w:r>
              <w:rPr>
                <w:lang w:val="es-ES"/>
              </w:rPr>
              <w:t>0,1 (típico)-250</w:t>
            </w:r>
          </w:p>
        </w:tc>
        <w:tc>
          <w:tcPr>
            <w:tcW w:w="1153" w:type="dxa"/>
            <w:vAlign w:val="center"/>
          </w:tcPr>
          <w:p w:rsidR="00DB4F60" w:rsidRDefault="00DB4F60">
            <w:pPr>
              <w:pStyle w:val="Tabletext"/>
              <w:framePr w:hSpace="181" w:wrap="notBeside" w:vAnchor="text" w:hAnchor="text" w:xAlign="center" w:y="1"/>
              <w:jc w:val="center"/>
              <w:rPr>
                <w:lang w:val="es-ES"/>
              </w:rPr>
            </w:pPr>
            <w:r>
              <w:rPr>
                <w:lang w:val="es-ES"/>
              </w:rPr>
              <w:t>0,7-1</w:t>
            </w:r>
          </w:p>
        </w:tc>
        <w:tc>
          <w:tcPr>
            <w:tcW w:w="1074" w:type="dxa"/>
            <w:vAlign w:val="center"/>
          </w:tcPr>
          <w:p w:rsidR="00DB4F60" w:rsidRDefault="00DB4F60">
            <w:pPr>
              <w:pStyle w:val="Tabletext"/>
              <w:framePr w:hSpace="181" w:wrap="notBeside" w:vAnchor="text" w:hAnchor="text" w:xAlign="center" w:y="1"/>
              <w:jc w:val="center"/>
              <w:rPr>
                <w:lang w:val="es-ES"/>
              </w:rPr>
            </w:pPr>
            <w:r>
              <w:rPr>
                <w:lang w:val="es-ES"/>
              </w:rPr>
              <w:t>10</w:t>
            </w:r>
            <w:r>
              <w:rPr>
                <w:vertAlign w:val="superscript"/>
                <w:lang w:val="es-ES"/>
              </w:rPr>
              <w:t>6</w:t>
            </w:r>
          </w:p>
        </w:tc>
        <w:tc>
          <w:tcPr>
            <w:tcW w:w="1756" w:type="dxa"/>
            <w:vAlign w:val="center"/>
          </w:tcPr>
          <w:p w:rsidR="00DB4F60" w:rsidRDefault="00DB4F60">
            <w:pPr>
              <w:pStyle w:val="Tabletext"/>
              <w:framePr w:hSpace="181" w:wrap="notBeside" w:vAnchor="text" w:hAnchor="text" w:xAlign="center" w:y="1"/>
              <w:jc w:val="left"/>
              <w:rPr>
                <w:lang w:val="es-ES"/>
              </w:rPr>
            </w:pPr>
            <w:r>
              <w:rPr>
                <w:lang w:val="es-ES"/>
              </w:rPr>
              <w:t>Si</w:t>
            </w:r>
          </w:p>
        </w:tc>
      </w:tr>
      <w:tr w:rsidR="00DB4F60">
        <w:trPr>
          <w:jc w:val="center"/>
        </w:trPr>
        <w:tc>
          <w:tcPr>
            <w:tcW w:w="2175" w:type="dxa"/>
          </w:tcPr>
          <w:p w:rsidR="00DB4F60" w:rsidRDefault="00DB4F60">
            <w:pPr>
              <w:pStyle w:val="Tabletext"/>
              <w:framePr w:hSpace="181" w:wrap="notBeside" w:vAnchor="text" w:hAnchor="text" w:xAlign="center" w:y="1"/>
              <w:jc w:val="left"/>
              <w:rPr>
                <w:lang w:val="es-ES"/>
              </w:rPr>
            </w:pPr>
            <w:r>
              <w:rPr>
                <w:lang w:val="es-ES"/>
              </w:rPr>
              <w:t>Detector de banda de impurezas bloqueada</w:t>
            </w:r>
          </w:p>
        </w:tc>
        <w:tc>
          <w:tcPr>
            <w:tcW w:w="1441" w:type="dxa"/>
            <w:vAlign w:val="center"/>
          </w:tcPr>
          <w:p w:rsidR="00DB4F60" w:rsidRDefault="00DB4F60">
            <w:pPr>
              <w:pStyle w:val="Tabletext"/>
              <w:framePr w:hSpace="181" w:wrap="notBeside" w:vAnchor="text" w:hAnchor="text" w:xAlign="center" w:y="1"/>
              <w:jc w:val="center"/>
              <w:rPr>
                <w:lang w:val="es-ES"/>
              </w:rPr>
            </w:pPr>
            <w:r>
              <w:rPr>
                <w:lang w:val="es-ES"/>
              </w:rPr>
              <w:t>1-10</w:t>
            </w:r>
          </w:p>
        </w:tc>
        <w:tc>
          <w:tcPr>
            <w:tcW w:w="2040" w:type="dxa"/>
            <w:vAlign w:val="center"/>
          </w:tcPr>
          <w:p w:rsidR="00DB4F60" w:rsidRDefault="00DB4F60">
            <w:pPr>
              <w:pStyle w:val="Tabletext"/>
              <w:framePr w:hSpace="181" w:wrap="notBeside" w:vAnchor="text" w:hAnchor="text" w:xAlign="center" w:y="1"/>
              <w:jc w:val="center"/>
              <w:rPr>
                <w:lang w:val="es-ES"/>
              </w:rPr>
            </w:pPr>
            <w:r>
              <w:rPr>
                <w:lang w:val="es-ES"/>
              </w:rPr>
              <w:t>5-15</w:t>
            </w:r>
          </w:p>
        </w:tc>
        <w:tc>
          <w:tcPr>
            <w:tcW w:w="1153" w:type="dxa"/>
            <w:vAlign w:val="center"/>
          </w:tcPr>
          <w:p w:rsidR="00DB4F60" w:rsidRDefault="00DB4F60">
            <w:pPr>
              <w:pStyle w:val="Tabletext"/>
              <w:framePr w:hSpace="181" w:wrap="notBeside" w:vAnchor="text" w:hAnchor="text" w:xAlign="center" w:y="1"/>
              <w:jc w:val="center"/>
              <w:rPr>
                <w:lang w:val="es-ES"/>
              </w:rPr>
            </w:pPr>
            <w:r>
              <w:rPr>
                <w:lang w:val="es-ES"/>
              </w:rPr>
              <w:t>0,1-0,7</w:t>
            </w:r>
          </w:p>
        </w:tc>
        <w:tc>
          <w:tcPr>
            <w:tcW w:w="1074" w:type="dxa"/>
            <w:vAlign w:val="center"/>
          </w:tcPr>
          <w:p w:rsidR="00DB4F60" w:rsidRDefault="00DB4F60">
            <w:pPr>
              <w:pStyle w:val="Tabletext"/>
              <w:framePr w:hSpace="181" w:wrap="notBeside" w:vAnchor="text" w:hAnchor="text" w:xAlign="center" w:y="1"/>
              <w:jc w:val="center"/>
              <w:rPr>
                <w:lang w:val="es-ES"/>
              </w:rPr>
            </w:pPr>
            <w:r>
              <w:rPr>
                <w:lang w:val="es-ES"/>
              </w:rPr>
              <w:t>1</w:t>
            </w:r>
          </w:p>
        </w:tc>
        <w:tc>
          <w:tcPr>
            <w:tcW w:w="1756" w:type="dxa"/>
            <w:vAlign w:val="center"/>
          </w:tcPr>
          <w:p w:rsidR="00DB4F60" w:rsidRDefault="00DB4F60">
            <w:pPr>
              <w:pStyle w:val="Tabletext"/>
              <w:framePr w:hSpace="181" w:wrap="notBeside" w:vAnchor="text" w:hAnchor="text" w:xAlign="center" w:y="1"/>
              <w:jc w:val="left"/>
              <w:rPr>
                <w:lang w:val="es-ES"/>
              </w:rPr>
            </w:pPr>
            <w:r>
              <w:rPr>
                <w:lang w:val="es-ES"/>
              </w:rPr>
              <w:t>Si:As, Si:Sb, Si:Ga, Ge:Ga</w:t>
            </w:r>
          </w:p>
        </w:tc>
      </w:tr>
      <w:tr w:rsidR="00DB4F60">
        <w:trPr>
          <w:jc w:val="center"/>
        </w:trPr>
        <w:tc>
          <w:tcPr>
            <w:tcW w:w="2175" w:type="dxa"/>
          </w:tcPr>
          <w:p w:rsidR="00DB4F60" w:rsidRDefault="00DB4F60">
            <w:pPr>
              <w:pStyle w:val="Tabletext"/>
              <w:framePr w:hSpace="181" w:wrap="notBeside" w:vAnchor="text" w:hAnchor="text" w:xAlign="center" w:y="1"/>
              <w:jc w:val="left"/>
              <w:rPr>
                <w:lang w:val="es-ES"/>
              </w:rPr>
            </w:pPr>
            <w:r>
              <w:rPr>
                <w:lang w:val="es-ES"/>
              </w:rPr>
              <w:t>Tubo fotomultiplicador</w:t>
            </w:r>
          </w:p>
        </w:tc>
        <w:tc>
          <w:tcPr>
            <w:tcW w:w="1441" w:type="dxa"/>
            <w:vAlign w:val="center"/>
          </w:tcPr>
          <w:p w:rsidR="00DB4F60" w:rsidRDefault="00DB4F60">
            <w:pPr>
              <w:pStyle w:val="Tabletext"/>
              <w:framePr w:hSpace="181" w:wrap="notBeside" w:vAnchor="text" w:hAnchor="text" w:xAlign="center" w:y="1"/>
              <w:jc w:val="center"/>
              <w:rPr>
                <w:lang w:val="es-ES"/>
              </w:rPr>
            </w:pPr>
            <w:r>
              <w:rPr>
                <w:lang w:val="es-ES"/>
              </w:rPr>
              <w:t>300-1</w:t>
            </w:r>
            <w:r>
              <w:rPr>
                <w:rFonts w:ascii="Tms Rmn" w:hAnsi="Tms Rmn"/>
                <w:sz w:val="12"/>
                <w:lang w:val="es-ES"/>
              </w:rPr>
              <w:t> </w:t>
            </w:r>
            <w:r>
              <w:rPr>
                <w:lang w:val="es-ES"/>
              </w:rPr>
              <w:t>000</w:t>
            </w:r>
          </w:p>
        </w:tc>
        <w:tc>
          <w:tcPr>
            <w:tcW w:w="2040" w:type="dxa"/>
            <w:vAlign w:val="center"/>
          </w:tcPr>
          <w:p w:rsidR="00DB4F60" w:rsidRDefault="00DB4F60">
            <w:pPr>
              <w:pStyle w:val="Tabletext"/>
              <w:framePr w:hSpace="181" w:wrap="notBeside" w:vAnchor="text" w:hAnchor="text" w:xAlign="center" w:y="1"/>
              <w:jc w:val="center"/>
              <w:rPr>
                <w:lang w:val="es-ES"/>
              </w:rPr>
            </w:pPr>
            <w:r>
              <w:rPr>
                <w:lang w:val="es-ES"/>
              </w:rPr>
              <w:t>5-25</w:t>
            </w:r>
          </w:p>
        </w:tc>
        <w:tc>
          <w:tcPr>
            <w:tcW w:w="1153" w:type="dxa"/>
            <w:vAlign w:val="center"/>
          </w:tcPr>
          <w:p w:rsidR="00DB4F60" w:rsidRDefault="00DB4F60">
            <w:pPr>
              <w:pStyle w:val="Tabletext"/>
              <w:framePr w:hSpace="181" w:wrap="notBeside" w:vAnchor="text" w:hAnchor="text" w:xAlign="center" w:y="1"/>
              <w:jc w:val="center"/>
              <w:rPr>
                <w:lang w:val="es-ES"/>
              </w:rPr>
            </w:pPr>
            <w:r>
              <w:rPr>
                <w:lang w:val="es-ES"/>
              </w:rPr>
              <w:t>0,1-0,5</w:t>
            </w:r>
          </w:p>
        </w:tc>
        <w:tc>
          <w:tcPr>
            <w:tcW w:w="1074" w:type="dxa"/>
            <w:vAlign w:val="center"/>
          </w:tcPr>
          <w:p w:rsidR="00DB4F60" w:rsidRDefault="00DB4F60">
            <w:pPr>
              <w:pStyle w:val="Tabletext"/>
              <w:framePr w:hSpace="181" w:wrap="notBeside" w:vAnchor="text" w:hAnchor="text" w:xAlign="center" w:y="1"/>
              <w:jc w:val="center"/>
              <w:rPr>
                <w:lang w:val="es-ES"/>
              </w:rPr>
            </w:pPr>
            <w:r>
              <w:rPr>
                <w:lang w:val="es-ES"/>
              </w:rPr>
              <w:t>10</w:t>
            </w:r>
            <w:r>
              <w:rPr>
                <w:vertAlign w:val="superscript"/>
                <w:lang w:val="es-ES"/>
              </w:rPr>
              <w:t>6</w:t>
            </w:r>
            <w:r>
              <w:rPr>
                <w:lang w:val="es-ES"/>
              </w:rPr>
              <w:t>-10</w:t>
            </w:r>
            <w:r>
              <w:rPr>
                <w:vertAlign w:val="superscript"/>
                <w:lang w:val="es-ES"/>
              </w:rPr>
              <w:t>8</w:t>
            </w:r>
          </w:p>
        </w:tc>
        <w:tc>
          <w:tcPr>
            <w:tcW w:w="1756" w:type="dxa"/>
            <w:vAlign w:val="center"/>
          </w:tcPr>
          <w:p w:rsidR="00DB4F60" w:rsidRDefault="00DB4F60">
            <w:pPr>
              <w:pStyle w:val="Tabletext"/>
              <w:framePr w:hSpace="181" w:wrap="notBeside" w:vAnchor="text" w:hAnchor="text" w:xAlign="center" w:y="1"/>
              <w:jc w:val="left"/>
              <w:rPr>
                <w:lang w:val="es-ES"/>
              </w:rPr>
            </w:pPr>
            <w:r>
              <w:rPr>
                <w:lang w:val="es-ES"/>
              </w:rPr>
              <w:t>Na</w:t>
            </w:r>
            <w:r>
              <w:rPr>
                <w:vertAlign w:val="subscript"/>
                <w:lang w:val="es-ES"/>
              </w:rPr>
              <w:t>2</w:t>
            </w:r>
            <w:r>
              <w:rPr>
                <w:lang w:val="es-ES"/>
              </w:rPr>
              <w:t>KSb:Cs, GaAs:Cs-O, Cs</w:t>
            </w:r>
            <w:r>
              <w:rPr>
                <w:vertAlign w:val="subscript"/>
                <w:lang w:val="es-ES"/>
              </w:rPr>
              <w:t>3</w:t>
            </w:r>
            <w:r>
              <w:rPr>
                <w:lang w:val="es-ES"/>
              </w:rPr>
              <w:t>Sb</w:t>
            </w:r>
          </w:p>
        </w:tc>
      </w:tr>
      <w:tr w:rsidR="00DB4F60">
        <w:trPr>
          <w:jc w:val="center"/>
        </w:trPr>
        <w:tc>
          <w:tcPr>
            <w:tcW w:w="2175" w:type="dxa"/>
          </w:tcPr>
          <w:p w:rsidR="00DB4F60" w:rsidRDefault="00DB4F60">
            <w:pPr>
              <w:pStyle w:val="Tabletext"/>
              <w:framePr w:hSpace="181" w:wrap="notBeside" w:vAnchor="text" w:hAnchor="text" w:xAlign="center" w:y="1"/>
              <w:jc w:val="left"/>
              <w:rPr>
                <w:lang w:val="es-ES"/>
              </w:rPr>
            </w:pPr>
            <w:r>
              <w:rPr>
                <w:lang w:val="es-ES"/>
              </w:rPr>
              <w:t>Fotoconductor extrínseco</w:t>
            </w:r>
          </w:p>
        </w:tc>
        <w:tc>
          <w:tcPr>
            <w:tcW w:w="1441" w:type="dxa"/>
            <w:vAlign w:val="center"/>
          </w:tcPr>
          <w:p w:rsidR="00DB4F60" w:rsidRDefault="00DB4F60">
            <w:pPr>
              <w:pStyle w:val="Tabletext"/>
              <w:framePr w:hSpace="181" w:wrap="notBeside" w:vAnchor="text" w:hAnchor="text" w:xAlign="center" w:y="1"/>
              <w:jc w:val="center"/>
              <w:rPr>
                <w:lang w:val="es-ES"/>
              </w:rPr>
            </w:pPr>
            <w:r>
              <w:rPr>
                <w:lang w:val="es-ES"/>
              </w:rPr>
              <w:t>1-10</w:t>
            </w:r>
          </w:p>
        </w:tc>
        <w:tc>
          <w:tcPr>
            <w:tcW w:w="2040" w:type="dxa"/>
            <w:vAlign w:val="center"/>
          </w:tcPr>
          <w:p w:rsidR="00DB4F60" w:rsidRDefault="00DB4F60">
            <w:pPr>
              <w:pStyle w:val="Tabletext"/>
              <w:framePr w:hSpace="181" w:wrap="notBeside" w:vAnchor="text" w:hAnchor="text" w:xAlign="center" w:y="1"/>
              <w:jc w:val="center"/>
              <w:rPr>
                <w:lang w:val="en-US"/>
              </w:rPr>
            </w:pPr>
            <w:r>
              <w:rPr>
                <w:lang w:val="en-US"/>
              </w:rPr>
              <w:t>10</w:t>
            </w:r>
            <w:r>
              <w:rPr>
                <w:lang w:val="es-ES"/>
              </w:rPr>
              <w:t>-</w:t>
            </w:r>
            <w:r>
              <w:rPr>
                <w:lang w:val="en-US"/>
              </w:rPr>
              <w:t>50</w:t>
            </w:r>
          </w:p>
        </w:tc>
        <w:tc>
          <w:tcPr>
            <w:tcW w:w="1153" w:type="dxa"/>
            <w:vAlign w:val="center"/>
          </w:tcPr>
          <w:p w:rsidR="00DB4F60" w:rsidRDefault="00DB4F60">
            <w:pPr>
              <w:pStyle w:val="Tabletext"/>
              <w:framePr w:hSpace="181" w:wrap="notBeside" w:vAnchor="text" w:hAnchor="text" w:xAlign="center" w:y="1"/>
              <w:jc w:val="center"/>
              <w:rPr>
                <w:lang w:val="en-US"/>
              </w:rPr>
            </w:pPr>
            <w:r>
              <w:rPr>
                <w:lang w:val="en-US"/>
              </w:rPr>
              <w:t>0,05</w:t>
            </w:r>
            <w:r>
              <w:rPr>
                <w:lang w:val="es-ES"/>
              </w:rPr>
              <w:t>-</w:t>
            </w:r>
            <w:r>
              <w:rPr>
                <w:lang w:val="en-US"/>
              </w:rPr>
              <w:t>0,4</w:t>
            </w:r>
          </w:p>
        </w:tc>
        <w:tc>
          <w:tcPr>
            <w:tcW w:w="1074" w:type="dxa"/>
            <w:vAlign w:val="center"/>
          </w:tcPr>
          <w:p w:rsidR="00DB4F60" w:rsidRDefault="00DB4F60">
            <w:pPr>
              <w:pStyle w:val="Tabletext"/>
              <w:framePr w:hSpace="181" w:wrap="notBeside" w:vAnchor="text" w:hAnchor="text" w:xAlign="center" w:y="1"/>
              <w:jc w:val="center"/>
              <w:rPr>
                <w:lang w:val="en-US"/>
              </w:rPr>
            </w:pPr>
            <w:r>
              <w:rPr>
                <w:lang w:val="en-US"/>
              </w:rPr>
              <w:t>0,1</w:t>
            </w:r>
            <w:r>
              <w:rPr>
                <w:lang w:val="es-ES"/>
              </w:rPr>
              <w:t>-</w:t>
            </w:r>
            <w:r>
              <w:rPr>
                <w:lang w:val="en-US"/>
              </w:rPr>
              <w:t>10</w:t>
            </w:r>
          </w:p>
        </w:tc>
        <w:tc>
          <w:tcPr>
            <w:tcW w:w="1756" w:type="dxa"/>
            <w:vAlign w:val="center"/>
          </w:tcPr>
          <w:p w:rsidR="00DB4F60" w:rsidRDefault="00DB4F60">
            <w:pPr>
              <w:pStyle w:val="Tabletext"/>
              <w:framePr w:hSpace="181" w:wrap="notBeside" w:vAnchor="text" w:hAnchor="text" w:xAlign="center" w:y="1"/>
              <w:jc w:val="left"/>
              <w:rPr>
                <w:lang w:val="en-US"/>
              </w:rPr>
            </w:pPr>
            <w:r>
              <w:rPr>
                <w:lang w:val="en-US"/>
              </w:rPr>
              <w:t>Si:As, Ge:Be, Ge:Ga, Ge:Sb</w:t>
            </w:r>
          </w:p>
        </w:tc>
      </w:tr>
      <w:tr w:rsidR="00DB4F60">
        <w:trPr>
          <w:jc w:val="center"/>
        </w:trPr>
        <w:tc>
          <w:tcPr>
            <w:tcW w:w="2175" w:type="dxa"/>
          </w:tcPr>
          <w:p w:rsidR="00DB4F60" w:rsidRDefault="00DB4F60">
            <w:pPr>
              <w:pStyle w:val="Tabletext"/>
              <w:framePr w:hSpace="181" w:wrap="notBeside" w:vAnchor="text" w:hAnchor="text" w:xAlign="center" w:y="1"/>
              <w:jc w:val="left"/>
              <w:rPr>
                <w:lang w:val="es-ES"/>
              </w:rPr>
            </w:pPr>
            <w:r>
              <w:rPr>
                <w:lang w:val="es-ES"/>
              </w:rPr>
              <w:t>Detector heterodino</w:t>
            </w:r>
          </w:p>
        </w:tc>
        <w:tc>
          <w:tcPr>
            <w:tcW w:w="1441" w:type="dxa"/>
            <w:vAlign w:val="center"/>
          </w:tcPr>
          <w:p w:rsidR="00DB4F60" w:rsidRDefault="00DB4F60">
            <w:pPr>
              <w:pStyle w:val="Tabletext"/>
              <w:framePr w:hSpace="181" w:wrap="notBeside" w:vAnchor="text" w:hAnchor="text" w:xAlign="center" w:y="1"/>
              <w:jc w:val="center"/>
              <w:rPr>
                <w:lang w:val="es-ES"/>
              </w:rPr>
            </w:pPr>
            <w:r>
              <w:rPr>
                <w:lang w:val="es-ES"/>
              </w:rPr>
              <w:t xml:space="preserve">0-50 </w:t>
            </w:r>
          </w:p>
        </w:tc>
        <w:tc>
          <w:tcPr>
            <w:tcW w:w="6023" w:type="dxa"/>
            <w:gridSpan w:val="4"/>
            <w:vAlign w:val="center"/>
          </w:tcPr>
          <w:p w:rsidR="00DB4F60" w:rsidRDefault="00DB4F60">
            <w:pPr>
              <w:pStyle w:val="Tabletext"/>
              <w:framePr w:hSpace="181" w:wrap="notBeside" w:vAnchor="text" w:hAnchor="text" w:xAlign="center" w:y="1"/>
              <w:jc w:val="center"/>
              <w:rPr>
                <w:lang w:val="es-ES"/>
              </w:rPr>
            </w:pPr>
            <w:r>
              <w:rPr>
                <w:lang w:val="es-ES"/>
              </w:rPr>
              <w:t>Amplificación y detección electrónicas</w:t>
            </w:r>
          </w:p>
        </w:tc>
      </w:tr>
      <w:tr w:rsidR="00DB4F60">
        <w:trPr>
          <w:jc w:val="center"/>
        </w:trPr>
        <w:tc>
          <w:tcPr>
            <w:tcW w:w="2175" w:type="dxa"/>
          </w:tcPr>
          <w:p w:rsidR="00DB4F60" w:rsidRDefault="00DB4F60">
            <w:pPr>
              <w:pStyle w:val="Tabletext"/>
              <w:framePr w:hSpace="181" w:wrap="notBeside" w:vAnchor="text" w:hAnchor="text" w:xAlign="center" w:y="1"/>
              <w:jc w:val="left"/>
              <w:rPr>
                <w:lang w:val="es-ES"/>
              </w:rPr>
            </w:pPr>
            <w:r>
              <w:rPr>
                <w:lang w:val="es-ES"/>
              </w:rPr>
              <w:t>CCD</w:t>
            </w:r>
          </w:p>
        </w:tc>
        <w:tc>
          <w:tcPr>
            <w:tcW w:w="1441" w:type="dxa"/>
            <w:vAlign w:val="center"/>
          </w:tcPr>
          <w:p w:rsidR="00DB4F60" w:rsidRDefault="00DB4F60">
            <w:pPr>
              <w:pStyle w:val="Tabletext"/>
              <w:framePr w:hSpace="181" w:wrap="notBeside" w:vAnchor="text" w:hAnchor="text" w:xAlign="center" w:y="1"/>
              <w:jc w:val="center"/>
              <w:rPr>
                <w:lang w:val="es-ES"/>
              </w:rPr>
            </w:pPr>
            <w:r>
              <w:rPr>
                <w:lang w:val="es-ES"/>
              </w:rPr>
              <w:t>60-2</w:t>
            </w:r>
            <w:r>
              <w:rPr>
                <w:rFonts w:ascii="Tms Rmn" w:hAnsi="Tms Rmn"/>
                <w:sz w:val="12"/>
                <w:lang w:val="es-ES"/>
              </w:rPr>
              <w:t> </w:t>
            </w:r>
            <w:r>
              <w:rPr>
                <w:lang w:val="es-ES"/>
              </w:rPr>
              <w:t>000</w:t>
            </w:r>
          </w:p>
        </w:tc>
        <w:tc>
          <w:tcPr>
            <w:tcW w:w="2040" w:type="dxa"/>
            <w:vAlign w:val="center"/>
          </w:tcPr>
          <w:p w:rsidR="00DB4F60" w:rsidRDefault="00DB4F60">
            <w:pPr>
              <w:pStyle w:val="Tabletext"/>
              <w:framePr w:hSpace="181" w:wrap="notBeside" w:vAnchor="text" w:hAnchor="text" w:xAlign="center" w:y="1"/>
              <w:jc w:val="center"/>
              <w:rPr>
                <w:lang w:val="es-ES"/>
              </w:rPr>
            </w:pPr>
            <w:r>
              <w:rPr>
                <w:lang w:val="es-ES"/>
              </w:rPr>
              <w:t>5-8</w:t>
            </w:r>
          </w:p>
        </w:tc>
        <w:tc>
          <w:tcPr>
            <w:tcW w:w="1153" w:type="dxa"/>
            <w:vAlign w:val="center"/>
          </w:tcPr>
          <w:p w:rsidR="00DB4F60" w:rsidRDefault="00DB4F60">
            <w:pPr>
              <w:pStyle w:val="Tabletext"/>
              <w:framePr w:hSpace="181" w:wrap="notBeside" w:vAnchor="text" w:hAnchor="text" w:xAlign="center" w:y="1"/>
              <w:jc w:val="center"/>
              <w:rPr>
                <w:lang w:val="es-ES"/>
              </w:rPr>
            </w:pPr>
            <w:r>
              <w:rPr>
                <w:lang w:val="es-ES"/>
              </w:rPr>
              <w:t>0,8-0,9</w:t>
            </w:r>
          </w:p>
        </w:tc>
        <w:tc>
          <w:tcPr>
            <w:tcW w:w="1074" w:type="dxa"/>
            <w:vAlign w:val="center"/>
          </w:tcPr>
          <w:p w:rsidR="00DB4F60" w:rsidRDefault="00DB4F60">
            <w:pPr>
              <w:pStyle w:val="Tabletext"/>
              <w:framePr w:hSpace="181" w:wrap="notBeside" w:vAnchor="text" w:hAnchor="text" w:xAlign="center" w:y="1"/>
              <w:jc w:val="center"/>
              <w:rPr>
                <w:lang w:val="es-ES"/>
              </w:rPr>
            </w:pPr>
            <w:r>
              <w:rPr>
                <w:lang w:val="es-ES"/>
              </w:rPr>
              <w:t>1</w:t>
            </w:r>
          </w:p>
        </w:tc>
        <w:tc>
          <w:tcPr>
            <w:tcW w:w="1756" w:type="dxa"/>
            <w:vAlign w:val="center"/>
          </w:tcPr>
          <w:p w:rsidR="00DB4F60" w:rsidRDefault="00DB4F60">
            <w:pPr>
              <w:pStyle w:val="Tabletext"/>
              <w:framePr w:hSpace="181" w:wrap="notBeside" w:vAnchor="text" w:hAnchor="text" w:xAlign="center" w:y="1"/>
              <w:rPr>
                <w:lang w:val="es-ES"/>
              </w:rPr>
            </w:pPr>
            <w:r>
              <w:rPr>
                <w:lang w:val="es-ES"/>
              </w:rPr>
              <w:t>Si, InSb</w:t>
            </w:r>
          </w:p>
        </w:tc>
      </w:tr>
    </w:tbl>
    <w:p w:rsidR="00DB4F60" w:rsidRDefault="00DB4F60">
      <w:pPr>
        <w:pStyle w:val="Tablefin"/>
        <w:rPr>
          <w:sz w:val="2"/>
        </w:rPr>
      </w:pPr>
    </w:p>
    <w:p w:rsidR="00DB4F60" w:rsidRDefault="00DB4F60">
      <w:pPr>
        <w:spacing w:before="240"/>
        <w:rPr>
          <w:lang w:val="es-ES"/>
        </w:rPr>
      </w:pPr>
      <w:r>
        <w:rPr>
          <w:lang w:val="es-ES"/>
        </w:rPr>
        <w:t>Cada uno de estos tipos de detectores tiene una sensibilidad y rendimiento únicos, dependientes de la frecuencia, para detectar la energía. Funcionan convirtiendo la energía recibida en corriente eléctrica, de acuerdo con la fórmula:</w:t>
      </w:r>
    </w:p>
    <w:p w:rsidR="00DB4F60" w:rsidRDefault="00DB4F60">
      <w:pPr>
        <w:pStyle w:val="Equation"/>
        <w:rPr>
          <w:lang w:val="es-ES"/>
        </w:rPr>
      </w:pPr>
      <w:r>
        <w:rPr>
          <w:lang w:val="es-ES"/>
        </w:rPr>
        <w:tab/>
      </w:r>
      <w:r>
        <w:rPr>
          <w:lang w:val="es-ES"/>
        </w:rPr>
        <w:tab/>
      </w:r>
      <w:r>
        <w:rPr>
          <w:position w:val="-24"/>
          <w:sz w:val="20"/>
          <w:lang w:val="es-ES"/>
        </w:rPr>
        <w:object w:dxaOrig="1280" w:dyaOrig="620">
          <v:shape id="_x0000_i1027" type="#_x0000_t75" style="width:63.95pt;height:31.1pt" o:ole="" fillcolor="window">
            <v:imagedata r:id="rId13" o:title=""/>
          </v:shape>
          <o:OLEObject Type="Embed" ProgID="Equation.3" ShapeID="_x0000_i1027" DrawAspect="Content" ObjectID="_1558357374" r:id="rId14"/>
        </w:object>
      </w:r>
      <w:r>
        <w:rPr>
          <w:lang w:val="es-ES"/>
        </w:rPr>
        <w:tab/>
        <w:t>(3)</w:t>
      </w:r>
    </w:p>
    <w:p w:rsidR="00DB4F60" w:rsidRDefault="00DB4F60">
      <w:pPr>
        <w:spacing w:before="0"/>
        <w:rPr>
          <w:lang w:val="es-ES"/>
        </w:rPr>
      </w:pPr>
      <w:r>
        <w:rPr>
          <w:lang w:val="es-ES"/>
        </w:rPr>
        <w:t>siendo:</w:t>
      </w:r>
    </w:p>
    <w:p w:rsidR="00DB4F60" w:rsidRDefault="00DB4F60">
      <w:pPr>
        <w:pStyle w:val="Equationlegend"/>
        <w:rPr>
          <w:lang w:val="es-ES"/>
        </w:rPr>
      </w:pPr>
      <w:r>
        <w:rPr>
          <w:lang w:val="es-ES"/>
        </w:rPr>
        <w:tab/>
      </w:r>
      <w:r>
        <w:rPr>
          <w:i/>
          <w:lang w:val="es-ES"/>
        </w:rPr>
        <w:t>I</w:t>
      </w:r>
      <w:r>
        <w:rPr>
          <w:i/>
          <w:vertAlign w:val="subscript"/>
          <w:lang w:val="es-ES"/>
        </w:rPr>
        <w:t>R</w:t>
      </w:r>
      <w:r>
        <w:rPr>
          <w:sz w:val="12"/>
          <w:lang w:val="es-ES"/>
        </w:rPr>
        <w:t> </w:t>
      </w:r>
      <w:r>
        <w:rPr>
          <w:lang w:val="es-ES"/>
        </w:rPr>
        <w:t>:</w:t>
      </w:r>
      <w:r>
        <w:rPr>
          <w:lang w:val="es-ES"/>
        </w:rPr>
        <w:tab/>
        <w:t>corriente inducida en el detector (A)</w:t>
      </w:r>
    </w:p>
    <w:p w:rsidR="00DB4F60" w:rsidRDefault="00DB4F60">
      <w:pPr>
        <w:pStyle w:val="Equationlegend"/>
        <w:rPr>
          <w:lang w:val="es-ES"/>
        </w:rPr>
      </w:pPr>
      <w:r>
        <w:rPr>
          <w:iCs/>
          <w:lang w:val="es-ES"/>
        </w:rPr>
        <w:tab/>
      </w:r>
      <w:r>
        <w:rPr>
          <w:rFonts w:ascii="Symbol" w:hAnsi="Symbol"/>
          <w:iCs/>
          <w:lang w:val="es-ES"/>
        </w:rPr>
        <w:sym w:font="Symbol" w:char="F068"/>
      </w:r>
      <w:r>
        <w:rPr>
          <w:sz w:val="12"/>
          <w:lang w:val="es-ES"/>
        </w:rPr>
        <w:t> </w:t>
      </w:r>
      <w:r>
        <w:rPr>
          <w:lang w:val="es-ES"/>
        </w:rPr>
        <w:t>:</w:t>
      </w:r>
      <w:r>
        <w:rPr>
          <w:lang w:val="es-ES"/>
        </w:rPr>
        <w:tab/>
        <w:t>rendimiento cuántico</w:t>
      </w:r>
    </w:p>
    <w:p w:rsidR="00DB4F60" w:rsidRDefault="00DB4F60">
      <w:pPr>
        <w:pStyle w:val="Equationlegend"/>
        <w:rPr>
          <w:lang w:val="es-ES"/>
        </w:rPr>
      </w:pPr>
      <w:r>
        <w:rPr>
          <w:lang w:val="es-ES"/>
        </w:rPr>
        <w:tab/>
      </w:r>
      <w:r>
        <w:rPr>
          <w:i/>
          <w:lang w:val="es-ES"/>
        </w:rPr>
        <w:t>G</w:t>
      </w:r>
      <w:r>
        <w:rPr>
          <w:sz w:val="12"/>
          <w:lang w:val="es-ES"/>
        </w:rPr>
        <w:t> </w:t>
      </w:r>
      <w:r>
        <w:rPr>
          <w:lang w:val="es-ES"/>
        </w:rPr>
        <w:t>:</w:t>
      </w:r>
      <w:r>
        <w:rPr>
          <w:lang w:val="es-ES"/>
        </w:rPr>
        <w:tab/>
        <w:t>ganancia</w:t>
      </w:r>
    </w:p>
    <w:p w:rsidR="00DB4F60" w:rsidRDefault="00DB4F60">
      <w:pPr>
        <w:pStyle w:val="Equationlegend"/>
        <w:rPr>
          <w:lang w:val="es-ES"/>
        </w:rPr>
      </w:pPr>
      <w:r>
        <w:rPr>
          <w:lang w:val="es-ES"/>
        </w:rPr>
        <w:tab/>
      </w:r>
      <w:r>
        <w:rPr>
          <w:i/>
          <w:lang w:val="es-ES"/>
        </w:rPr>
        <w:t>e</w:t>
      </w:r>
      <w:r>
        <w:rPr>
          <w:sz w:val="12"/>
          <w:lang w:val="es-ES"/>
        </w:rPr>
        <w:t> </w:t>
      </w:r>
      <w:r>
        <w:rPr>
          <w:lang w:val="es-ES"/>
        </w:rPr>
        <w:t>:</w:t>
      </w:r>
      <w:r>
        <w:rPr>
          <w:lang w:val="es-ES"/>
        </w:rPr>
        <w:tab/>
        <w:t xml:space="preserve">carga del electrón (1,602 </w:t>
      </w:r>
      <w:r>
        <w:rPr>
          <w:lang w:val="es-ES"/>
        </w:rPr>
        <w:sym w:font="Symbol" w:char="F0B4"/>
      </w:r>
      <w:r>
        <w:rPr>
          <w:lang w:val="es-ES"/>
        </w:rPr>
        <w:t xml:space="preserve"> 10</w:t>
      </w:r>
      <w:r>
        <w:rPr>
          <w:vertAlign w:val="superscript"/>
          <w:lang w:val="es-ES"/>
        </w:rPr>
        <w:t>–19</w:t>
      </w:r>
      <w:r>
        <w:rPr>
          <w:lang w:val="es-ES"/>
        </w:rPr>
        <w:t xml:space="preserve"> C)</w:t>
      </w:r>
    </w:p>
    <w:p w:rsidR="00DB4F60" w:rsidRDefault="00DB4F60">
      <w:pPr>
        <w:pStyle w:val="Equationlegend"/>
        <w:rPr>
          <w:lang w:val="es-ES"/>
        </w:rPr>
      </w:pPr>
      <w:r>
        <w:rPr>
          <w:lang w:val="es-ES"/>
        </w:rPr>
        <w:tab/>
      </w:r>
      <w:r>
        <w:rPr>
          <w:i/>
          <w:lang w:val="es-ES"/>
        </w:rPr>
        <w:t>P</w:t>
      </w:r>
      <w:r>
        <w:rPr>
          <w:i/>
          <w:vertAlign w:val="subscript"/>
          <w:lang w:val="es-ES"/>
        </w:rPr>
        <w:t>R</w:t>
      </w:r>
      <w:r>
        <w:rPr>
          <w:sz w:val="12"/>
          <w:lang w:val="es-ES"/>
        </w:rPr>
        <w:t> </w:t>
      </w:r>
      <w:r>
        <w:rPr>
          <w:lang w:val="es-ES"/>
        </w:rPr>
        <w:t>:</w:t>
      </w:r>
      <w:r>
        <w:rPr>
          <w:lang w:val="es-ES"/>
        </w:rPr>
        <w:tab/>
        <w:t>potencia recibida en el detector (W)</w:t>
      </w:r>
    </w:p>
    <w:p w:rsidR="00DB4F60" w:rsidRDefault="00DB4F60">
      <w:pPr>
        <w:pStyle w:val="Equationlegend"/>
        <w:rPr>
          <w:lang w:val="es-ES"/>
        </w:rPr>
      </w:pPr>
      <w:r>
        <w:rPr>
          <w:lang w:val="es-ES"/>
        </w:rPr>
        <w:tab/>
      </w:r>
      <w:r>
        <w:rPr>
          <w:i/>
          <w:lang w:val="es-ES"/>
        </w:rPr>
        <w:t>h</w:t>
      </w:r>
      <w:r>
        <w:rPr>
          <w:sz w:val="12"/>
          <w:lang w:val="es-ES"/>
        </w:rPr>
        <w:t> </w:t>
      </w:r>
      <w:r>
        <w:rPr>
          <w:lang w:val="es-ES"/>
        </w:rPr>
        <w:t>:</w:t>
      </w:r>
      <w:r>
        <w:rPr>
          <w:lang w:val="es-ES"/>
        </w:rPr>
        <w:tab/>
        <w:t>constante de Plank (J</w:t>
      </w:r>
      <w:r>
        <w:sym w:font="Symbol" w:char="F0D7"/>
      </w:r>
      <w:r>
        <w:rPr>
          <w:lang w:val="es-ES"/>
        </w:rPr>
        <w:t>s)</w:t>
      </w:r>
    </w:p>
    <w:p w:rsidR="00DB4F60" w:rsidRDefault="00DB4F60">
      <w:pPr>
        <w:pStyle w:val="Equationlegend"/>
        <w:rPr>
          <w:lang w:val="es-ES"/>
        </w:rPr>
      </w:pPr>
      <w:r>
        <w:rPr>
          <w:lang w:val="es-ES"/>
        </w:rPr>
        <w:tab/>
      </w:r>
      <w:r>
        <w:rPr>
          <w:position w:val="-6"/>
        </w:rPr>
        <w:object w:dxaOrig="180" w:dyaOrig="220">
          <v:shape id="_x0000_i1028" type="#_x0000_t75" style="width:9.2pt;height:10.95pt" o:ole="" o:bullet="t">
            <v:imagedata r:id="rId15" o:title=""/>
          </v:shape>
          <o:OLEObject Type="Embed" ProgID="Equation.3" ShapeID="_x0000_i1028" DrawAspect="Content" ObjectID="_1558357375" r:id="rId16"/>
        </w:object>
      </w:r>
      <w:r>
        <w:rPr>
          <w:lang w:val="es-ES"/>
        </w:rPr>
        <w:t>:</w:t>
      </w:r>
      <w:r>
        <w:rPr>
          <w:lang w:val="es-ES"/>
        </w:rPr>
        <w:tab/>
        <w:t>frecuencia (Hz).</w:t>
      </w:r>
    </w:p>
    <w:p w:rsidR="00DB4F60" w:rsidRDefault="00DB4F60">
      <w:pPr>
        <w:spacing w:before="240"/>
        <w:rPr>
          <w:lang w:val="es-ES"/>
        </w:rPr>
      </w:pPr>
      <w:r>
        <w:rPr>
          <w:lang w:val="es-ES"/>
        </w:rPr>
        <w:br w:type="page"/>
      </w:r>
      <w:r>
        <w:rPr>
          <w:lang w:val="es-ES"/>
        </w:rPr>
        <w:lastRenderedPageBreak/>
        <w:t>El nivel de ruido, o corriente de oscuridad, de un detector puede tomar una gran diversidad de valores aunque suele ser inferior a 10 electrones/s. Este valor puede ser varios órdenes de magnitud superior en algunos sistemas pero 10 electrones/s es representativo de los instrumentos y mediciones de calidad. La cantidad de corriente indeseada en el detector viene dada por:</w:t>
      </w:r>
    </w:p>
    <w:p w:rsidR="00DB4F60" w:rsidRDefault="00DB4F60">
      <w:pPr>
        <w:pStyle w:val="Equation"/>
        <w:rPr>
          <w:lang w:val="es-ES"/>
        </w:rPr>
      </w:pPr>
      <w:r>
        <w:rPr>
          <w:lang w:val="es-ES"/>
        </w:rPr>
        <w:tab/>
      </w:r>
      <w:r>
        <w:rPr>
          <w:lang w:val="es-ES"/>
        </w:rPr>
        <w:tab/>
      </w:r>
      <w:r>
        <w:rPr>
          <w:position w:val="-12"/>
          <w:sz w:val="20"/>
          <w:lang w:val="es-ES"/>
        </w:rPr>
        <w:object w:dxaOrig="2439" w:dyaOrig="440">
          <v:shape id="_x0000_i1029" type="#_x0000_t75" style="width:122.1pt;height:21.9pt" o:ole="" fillcolor="window">
            <v:imagedata r:id="rId17" o:title=""/>
          </v:shape>
          <o:OLEObject Type="Embed" ProgID="Equation.3" ShapeID="_x0000_i1029" DrawAspect="Content" ObjectID="_1558357376" r:id="rId18"/>
        </w:object>
      </w:r>
      <w:r>
        <w:rPr>
          <w:lang w:val="es-ES"/>
        </w:rPr>
        <w:tab/>
        <w:t>(4)</w:t>
      </w:r>
    </w:p>
    <w:p w:rsidR="00DB4F60" w:rsidRDefault="00DB4F60">
      <w:pPr>
        <w:rPr>
          <w:lang w:val="es-ES"/>
        </w:rPr>
      </w:pPr>
      <w:r>
        <w:rPr>
          <w:lang w:val="es-ES"/>
        </w:rPr>
        <w:t>siendo:</w:t>
      </w:r>
    </w:p>
    <w:p w:rsidR="00DB4F60" w:rsidRDefault="00DB4F60">
      <w:pPr>
        <w:pStyle w:val="Equationlegend"/>
        <w:rPr>
          <w:lang w:val="es-ES"/>
        </w:rPr>
      </w:pPr>
      <w:r>
        <w:rPr>
          <w:i/>
          <w:lang w:val="es-ES"/>
        </w:rPr>
        <w:tab/>
        <w:t>I</w:t>
      </w:r>
      <w:r>
        <w:rPr>
          <w:i/>
          <w:vertAlign w:val="subscript"/>
          <w:lang w:val="es-ES"/>
        </w:rPr>
        <w:t>oscuridad</w:t>
      </w:r>
      <w:r>
        <w:rPr>
          <w:sz w:val="12"/>
          <w:lang w:val="es-ES"/>
        </w:rPr>
        <w:t> </w:t>
      </w:r>
      <w:r>
        <w:rPr>
          <w:lang w:val="es-ES"/>
        </w:rPr>
        <w:t>:</w:t>
      </w:r>
      <w:r>
        <w:rPr>
          <w:lang w:val="es-ES"/>
        </w:rPr>
        <w:tab/>
        <w:t>corriente de oscuridad (A)</w:t>
      </w:r>
    </w:p>
    <w:p w:rsidR="00DB4F60" w:rsidRDefault="00DB4F60">
      <w:pPr>
        <w:pStyle w:val="Equationlegend"/>
        <w:rPr>
          <w:lang w:val="es-ES"/>
        </w:rPr>
      </w:pPr>
      <w:r>
        <w:rPr>
          <w:lang w:val="es-ES"/>
        </w:rPr>
        <w:tab/>
      </w:r>
      <w:r>
        <w:rPr>
          <w:i/>
          <w:lang w:val="es-ES"/>
        </w:rPr>
        <w:t>r</w:t>
      </w:r>
      <w:r>
        <w:rPr>
          <w:sz w:val="12"/>
          <w:lang w:val="es-ES"/>
        </w:rPr>
        <w:t> </w:t>
      </w:r>
      <w:r>
        <w:rPr>
          <w:lang w:val="es-ES"/>
        </w:rPr>
        <w:t>:</w:t>
      </w:r>
      <w:r>
        <w:rPr>
          <w:lang w:val="es-ES"/>
        </w:rPr>
        <w:tab/>
        <w:t>velocidad de los electrones de la corriente de oscuridad que pasan a través del detector (electrones/s).</w:t>
      </w:r>
    </w:p>
    <w:p w:rsidR="00DB4F60" w:rsidRDefault="00DB4F60">
      <w:pPr>
        <w:pStyle w:val="Heading2"/>
        <w:rPr>
          <w:lang w:val="es-ES"/>
        </w:rPr>
      </w:pPr>
      <w:r>
        <w:rPr>
          <w:lang w:val="es-ES"/>
        </w:rPr>
        <w:t>4.3</w:t>
      </w:r>
      <w:r>
        <w:rPr>
          <w:lang w:val="es-ES"/>
        </w:rPr>
        <w:tab/>
        <w:t>El emplazamiento del telescopio</w:t>
      </w:r>
    </w:p>
    <w:p w:rsidR="00DB4F60" w:rsidRDefault="00DB4F60">
      <w:pPr>
        <w:rPr>
          <w:lang w:val="es-ES"/>
        </w:rPr>
      </w:pPr>
      <w:r>
        <w:rPr>
          <w:lang w:val="es-ES"/>
        </w:rPr>
        <w:t>Los telescopios astronómicos que funcionan entre 10 THz y 1</w:t>
      </w:r>
      <w:r>
        <w:rPr>
          <w:rFonts w:ascii="Tms Rmn" w:hAnsi="Tms Rmn"/>
          <w:sz w:val="12"/>
          <w:lang w:val="es-ES"/>
        </w:rPr>
        <w:t> </w:t>
      </w:r>
      <w:r>
        <w:rPr>
          <w:lang w:val="es-ES"/>
        </w:rPr>
        <w:t>000 THz se encuentran repartidos por todo el mundo. Los emplazamientos para los telescopios más grandes y sensibles se escogen principalmente por su estabilidad atmosférica, su escaso contenido de vapor de agua y el aislamiento de la energía indeseada en las bandas de interés (definidas en el § 2). Los emplazamientos óptimos suelen encontrarse a gran altura, a menudo 2 km como mínimo por encima del nivel del mar, lejos de zonas urbanas y en condiciones climáticas locales áridas. La gran altura es indispensable para reducir los efectos de la turbulencia asociada a la «capa límite» atmosférica. La minimización del espesor de las capas atmosféricas entre los telescopios y los cuerpos cósmicos a estudiar maximiza las bandas espectrales efectivamente disponibles (véanse las Figs. 1 y 2). Debido a que el número de emplazamientos de máxima calidad que hay en el mundo es pequeño, pueden llegar a colocarse hasta 20 telescopios en un único emplazamiento. Los criterios de preferencia de emplazamientos para las observaciones radioastronómicas en el intervalo de frecuencias comprendido entre 275 GHz y 1</w:t>
      </w:r>
      <w:r>
        <w:rPr>
          <w:rFonts w:ascii="Tms Rmn" w:hAnsi="Tms Rmn"/>
          <w:sz w:val="12"/>
          <w:lang w:val="es-ES"/>
        </w:rPr>
        <w:t> </w:t>
      </w:r>
      <w:r>
        <w:rPr>
          <w:lang w:val="es-ES"/>
        </w:rPr>
        <w:t>000 GHz y para las observaciones en el intervalo de frecuencias comprendido entre 10 THz y 1</w:t>
      </w:r>
      <w:r>
        <w:rPr>
          <w:rFonts w:ascii="Tms Rmn" w:hAnsi="Tms Rmn"/>
          <w:sz w:val="12"/>
          <w:lang w:val="es-ES"/>
        </w:rPr>
        <w:t> </w:t>
      </w:r>
      <w:r>
        <w:rPr>
          <w:lang w:val="es-ES"/>
        </w:rPr>
        <w:t>000 THz son bastante semejantes, motivo por el cual en algunos de los emplazamientos de observación de máxima calidad (tales como el emplazamiento Mauna Kea en Hawai y el de La Silla en Chile) hay telescopios radioeléctricos y telescopios ópticos. Algunos de los telescopios astronómicos avanzados actualmente en construcción o en explotación se sitúan en aviones o en el espacio. Los astrónomos aficionados, aunque prefieren los mismos emplazamientos de gran altura, pueden llevar a cabo sus observaciones en cualquier lugar de la superficie terrestre con buena visibilidad directa del cielo.</w:t>
      </w:r>
    </w:p>
    <w:p w:rsidR="00DB4F60" w:rsidRDefault="00DB4F60">
      <w:pPr>
        <w:pStyle w:val="Heading2"/>
        <w:rPr>
          <w:lang w:val="es-ES"/>
        </w:rPr>
      </w:pPr>
      <w:r>
        <w:rPr>
          <w:lang w:val="es-ES"/>
        </w:rPr>
        <w:t>4.4</w:t>
      </w:r>
      <w:r>
        <w:rPr>
          <w:lang w:val="es-ES"/>
        </w:rPr>
        <w:tab/>
        <w:t>La compensación atmosférica</w:t>
      </w:r>
    </w:p>
    <w:p w:rsidR="00DB4F60" w:rsidRDefault="00DB4F60">
      <w:pPr>
        <w:rPr>
          <w:lang w:val="es-ES"/>
        </w:rPr>
      </w:pPr>
      <w:r>
        <w:rPr>
          <w:lang w:val="es-ES"/>
        </w:rPr>
        <w:t>La resolución angular de los telescopios de apertura simple de más de 1 m de diámetro con espejos o lentes fijos viene limitada en la práctica por la turbulencia atmosférica, incluso en los mejores emplazamientos de observación de gran altura. La resolución angular de los telescopios puede, no obstante, mejorarse con óptica adaptable o activa. En determinadas circunstancias esta mejora puede permitir que la calidad de funcionamiento del telescopio se aproxime al límite de difracción teórico (véase la ecuación (2)).</w:t>
      </w:r>
    </w:p>
    <w:p w:rsidR="00DB4F60" w:rsidRDefault="00DB4F60">
      <w:pPr>
        <w:pStyle w:val="Heading3"/>
        <w:rPr>
          <w:lang w:val="es-ES"/>
        </w:rPr>
      </w:pPr>
      <w:r>
        <w:rPr>
          <w:lang w:val="es-ES"/>
        </w:rPr>
        <w:t>4.4.1</w:t>
      </w:r>
      <w:r>
        <w:rPr>
          <w:lang w:val="es-ES"/>
        </w:rPr>
        <w:tab/>
        <w:t>Óptica activa</w:t>
      </w:r>
    </w:p>
    <w:p w:rsidR="00DB4F60" w:rsidRDefault="00DB4F60">
      <w:pPr>
        <w:rPr>
          <w:lang w:val="es-ES"/>
        </w:rPr>
      </w:pPr>
      <w:r>
        <w:rPr>
          <w:lang w:val="es-ES"/>
        </w:rPr>
        <w:t>Las deflexiones gravitacionales y los gradientes térmicos sobre la superficie de un espejo pueden producir mediciones imperfectas. La óptica activa es una técnica destinada a compensar estas distorsiones lentas variables en el tiempo y se incorpora de ordinario a los telescopios astronómicos de 4 m de diámetro o más.</w:t>
      </w:r>
    </w:p>
    <w:p w:rsidR="00DB4F60" w:rsidRDefault="00DB4F60">
      <w:pPr>
        <w:pStyle w:val="Heading3"/>
        <w:rPr>
          <w:lang w:val="es-ES"/>
        </w:rPr>
      </w:pPr>
      <w:r>
        <w:rPr>
          <w:lang w:val="es-ES"/>
        </w:rPr>
        <w:br w:type="page"/>
      </w:r>
      <w:r>
        <w:rPr>
          <w:lang w:val="es-ES"/>
        </w:rPr>
        <w:lastRenderedPageBreak/>
        <w:t>4.4.2</w:t>
      </w:r>
      <w:r>
        <w:rPr>
          <w:lang w:val="es-ES"/>
        </w:rPr>
        <w:tab/>
        <w:t>Óptica adaptable</w:t>
      </w:r>
    </w:p>
    <w:p w:rsidR="00DB4F60" w:rsidRDefault="00DB4F60">
      <w:pPr>
        <w:rPr>
          <w:lang w:val="es-ES"/>
        </w:rPr>
      </w:pPr>
      <w:r>
        <w:rPr>
          <w:lang w:val="es-ES"/>
        </w:rPr>
        <w:t>La óptica adaptable es una técnica destinada a compensar las fluctuaciones rápidas variables en el tiempo en la atmósfera que distorsiona las observaciones astronómicas. Las fluctuaciones contempladas por un sistema óptico adaptable suelen tener lugar a un ritmo que alcanza los 100 Hz. Pueden corregirse los errores de fase del frente de ondas recibido cuyo valor oscile entre 10</w:t>
      </w:r>
      <w:r>
        <w:rPr>
          <w:vertAlign w:val="superscript"/>
          <w:lang w:val="es-ES"/>
        </w:rPr>
        <w:sym w:font="Symbol" w:char="F02D"/>
      </w:r>
      <w:r>
        <w:rPr>
          <w:vertAlign w:val="superscript"/>
          <w:lang w:val="es-ES"/>
        </w:rPr>
        <w:t>8</w:t>
      </w:r>
      <w:r>
        <w:rPr>
          <w:lang w:val="es-ES"/>
        </w:rPr>
        <w:t> y 10</w:t>
      </w:r>
      <w:r>
        <w:rPr>
          <w:vertAlign w:val="superscript"/>
          <w:lang w:val="es-ES"/>
        </w:rPr>
        <w:sym w:font="Symbol" w:char="F02D"/>
      </w:r>
      <w:r>
        <w:rPr>
          <w:vertAlign w:val="superscript"/>
          <w:lang w:val="es-ES"/>
        </w:rPr>
        <w:t>6 </w:t>
      </w:r>
      <w:r>
        <w:rPr>
          <w:lang w:val="es-ES"/>
        </w:rPr>
        <w:t>m.</w:t>
      </w:r>
    </w:p>
    <w:p w:rsidR="00DB4F60" w:rsidRDefault="00DB4F60">
      <w:pPr>
        <w:rPr>
          <w:lang w:val="es-ES"/>
        </w:rPr>
      </w:pPr>
      <w:r>
        <w:rPr>
          <w:lang w:val="es-ES"/>
        </w:rPr>
        <w:t xml:space="preserve">La estrella guía láser (LGS, </w:t>
      </w:r>
      <w:r>
        <w:rPr>
          <w:i/>
          <w:lang w:val="es-ES"/>
        </w:rPr>
        <w:t>laser guide star</w:t>
      </w:r>
      <w:r>
        <w:rPr>
          <w:lang w:val="es-ES"/>
        </w:rPr>
        <w:t>) es un método frecuentemente utilizado consistente en aplicar la óptica adaptable a la corrección de las aberraciones atmosféricas. La LGS se crea haciendo que un láser se propague desde el suelo a lo largo de un trayecto dentro del campo de visión del telescopio y midiendo la energía devuelta. Las fluctuaciones debidas a la atmósfera medidas en la LGS pueden utilizarse para compensar las distorsiones atmosféricas de los blancos en cualquier punto del campo de visión del telescopio. Estas fluctuaciones sólo suelen ser útiles en la corrección de distorsiones atmosféricas con una pequeña separación angular de la LGS. Por consiguiente, a veces se utilizan varios láseres para corregir un campo de visión más amplio.</w:t>
      </w:r>
    </w:p>
    <w:p w:rsidR="00DB4F60" w:rsidRDefault="00DB4F60">
      <w:pPr>
        <w:rPr>
          <w:lang w:val="es-ES"/>
        </w:rPr>
      </w:pPr>
      <w:r>
        <w:rPr>
          <w:lang w:val="es-ES"/>
        </w:rPr>
        <w:t>La versión más utilizada de LGS se enfoca sobre la capa de sodio en la alta mesosfera a 90 km, aproximadamente, por encima de la superficie terrestre. Estas capas se sintonizan a una frecuencia de 509,3 THz (0,589 </w:t>
      </w:r>
      <w:r>
        <w:rPr>
          <w:lang w:val="es-ES"/>
        </w:rPr>
        <w:sym w:font="Symbol" w:char="F06D"/>
      </w:r>
      <w:r>
        <w:rPr>
          <w:lang w:val="es-ES"/>
        </w:rPr>
        <w:t>m) y hacen que los átomos de sodio se vuelvan fluorescentes. Los láseres utilizados para generar estrellas guía de sodio suelen transmitir con potencias medias de 10 a 25 W, aunque es técnicamente posible obtener potencias de hasta 1 kW. La óptica adaptable basada en estrellas guía de sodio suele estar asociada a las observaciones astronómicas realizadas a frecuencias por debajo de 400 THz (longitudes de onda superiores a 0,75 </w:t>
      </w:r>
      <w:r>
        <w:rPr>
          <w:lang w:val="es-ES"/>
        </w:rPr>
        <w:sym w:font="Symbol" w:char="F06D"/>
      </w:r>
      <w:r>
        <w:rPr>
          <w:lang w:val="es-ES"/>
        </w:rPr>
        <w:t>m). Otra forma de óptica adaptable, denominada tomografía atmosférica, utiliza láseres en el intervalo comprendido entre 833,3 THz y 857,1 THz (0,35 </w:t>
      </w:r>
      <w:r>
        <w:rPr>
          <w:lang w:val="es-ES"/>
        </w:rPr>
        <w:sym w:font="Symbol" w:char="F06D"/>
      </w:r>
      <w:r>
        <w:rPr>
          <w:lang w:val="es-ES"/>
        </w:rPr>
        <w:t>m a 0,36 </w:t>
      </w:r>
      <w:r>
        <w:rPr>
          <w:lang w:val="es-ES"/>
        </w:rPr>
        <w:sym w:font="Symbol" w:char="F06D"/>
      </w:r>
      <w:r>
        <w:rPr>
          <w:lang w:val="es-ES"/>
        </w:rPr>
        <w:t>m). La tomografía atmosférica se basa en la dispersión Rayleigh y en las mediciones efectuadas en un rango de altura más amplio que suelen encontrarse por debajo de la capa de sodio. Los requisitos de potencia típicos suelen estar entre 50 y 250 W.</w:t>
      </w:r>
    </w:p>
    <w:p w:rsidR="00DB4F60" w:rsidRDefault="00DB4F60">
      <w:pPr>
        <w:pStyle w:val="Heading1"/>
        <w:rPr>
          <w:lang w:val="es-ES"/>
        </w:rPr>
      </w:pPr>
      <w:r>
        <w:rPr>
          <w:lang w:val="es-ES"/>
        </w:rPr>
        <w:t>5</w:t>
      </w:r>
      <w:r>
        <w:rPr>
          <w:lang w:val="es-ES"/>
        </w:rPr>
        <w:tab/>
        <w:t>Características técnicas de las instalaciones de observación</w:t>
      </w:r>
    </w:p>
    <w:p w:rsidR="00DB4F60" w:rsidRDefault="00DB4F60">
      <w:pPr>
        <w:rPr>
          <w:lang w:val="es-ES"/>
        </w:rPr>
      </w:pPr>
      <w:r>
        <w:rPr>
          <w:lang w:val="es-ES"/>
        </w:rPr>
        <w:t>Las características técnicas y operacionales de las instalaciones astronómicas que funcionan en el intervalo de frecuencias entre 10 THz y 1</w:t>
      </w:r>
      <w:r>
        <w:rPr>
          <w:rFonts w:ascii="Tms Rmn" w:hAnsi="Tms Rmn"/>
          <w:sz w:val="12"/>
          <w:lang w:val="es-ES"/>
        </w:rPr>
        <w:t> </w:t>
      </w:r>
      <w:r>
        <w:rPr>
          <w:lang w:val="es-ES"/>
        </w:rPr>
        <w:t>000 THz no son necesariamente las mismas que las de las instalaciones radioastronómicas que funcionan por debajo de 275 GHz. No obstante existen ciertas semejanzas entre ambas.</w:t>
      </w:r>
    </w:p>
    <w:p w:rsidR="00DB4F60" w:rsidRDefault="00DB4F60">
      <w:pPr>
        <w:pStyle w:val="Heading2"/>
        <w:rPr>
          <w:lang w:val="es-ES"/>
        </w:rPr>
      </w:pPr>
      <w:r>
        <w:rPr>
          <w:lang w:val="es-ES"/>
        </w:rPr>
        <w:t>5.1</w:t>
      </w:r>
      <w:r>
        <w:rPr>
          <w:lang w:val="es-ES"/>
        </w:rPr>
        <w:tab/>
        <w:t>Horario de funcionamiento normal</w:t>
      </w:r>
    </w:p>
    <w:p w:rsidR="00DB4F60" w:rsidRDefault="00DB4F60">
      <w:pPr>
        <w:rPr>
          <w:lang w:val="es-ES"/>
        </w:rPr>
      </w:pPr>
      <w:r>
        <w:rPr>
          <w:lang w:val="es-ES"/>
        </w:rPr>
        <w:t>Los momentos en que pueden efectuarse observaciones astronómicas desde tierra en el intervalo de frecuencias entre 10 THz y 1</w:t>
      </w:r>
      <w:r>
        <w:rPr>
          <w:rFonts w:ascii="Tms Rmn" w:hAnsi="Tms Rmn"/>
          <w:sz w:val="12"/>
          <w:lang w:val="es-ES"/>
        </w:rPr>
        <w:t> </w:t>
      </w:r>
      <w:r>
        <w:rPr>
          <w:lang w:val="es-ES"/>
        </w:rPr>
        <w:t>000 THz vienen limitados en gran medida por las condiciones atmosféricas y por la posición del Sol. Para la mayor parte de las observaciones astronómicas en este intervalo de frecuencias, suele ser necesario disponer de condiciones atmosféricas favorables (en general, de cielos despejados) así como la ausencia del Sol del cielo visible, ya que su presencia aumenta considerablemente el brillo del cielo impidiendo detectar las fuentes más débiles. La salida y puesta del Sol provoca cambios en la temperatura de las capas de la atmósfera, provocando condiciones atmosféricas turbulentas y desfavorables para las observaciones astronómicas. El grado de inestabilidad atmosférica depende en gran manera de la estación y de los efectos de los microclimas por lo que puede contemplarse como una variable dependiente del emplazamiento.</w:t>
      </w:r>
    </w:p>
    <w:p w:rsidR="00DB4F60" w:rsidRDefault="00DB4F60">
      <w:pPr>
        <w:rPr>
          <w:lang w:val="es-ES"/>
        </w:rPr>
      </w:pPr>
      <w:r>
        <w:rPr>
          <w:lang w:val="es-ES"/>
        </w:rPr>
        <w:t xml:space="preserve">Por este motivo, la mayor parte de las observaciones astronómicas, aunque no todas, en el intervalo de frecuencias en consideración, se efectúan tras el crepúsculo local y antes de la madrugada local. Durante el crepúsculo y el amanecer se llevan a cabo observaciones rutinarias de calibrado dirigidas </w:t>
      </w:r>
      <w:r>
        <w:rPr>
          <w:lang w:val="es-ES"/>
        </w:rPr>
        <w:br w:type="page"/>
      </w:r>
      <w:r>
        <w:rPr>
          <w:lang w:val="es-ES"/>
        </w:rPr>
        <w:lastRenderedPageBreak/>
        <w:t>a determinadas posiciones del cielo. Ejemplos de observaciones astronómicas que se efectúan rutinariamente a plena luz del día son las observaciones del Sol en todo el intervalo de frecuencias considerado y las observaciones de fuentes relativamente brillantes distintas del Sol en el intervalo de frecuencias entre 10 THz y 30 THz. Ciertas observaciones de calibrado pueden efectuarse asimismo sobre el cielo durante el día.</w:t>
      </w:r>
    </w:p>
    <w:p w:rsidR="00DB4F60" w:rsidRDefault="00DB4F60">
      <w:pPr>
        <w:pStyle w:val="Heading2"/>
        <w:rPr>
          <w:lang w:val="es-ES"/>
        </w:rPr>
      </w:pPr>
      <w:r>
        <w:rPr>
          <w:lang w:val="es-ES"/>
        </w:rPr>
        <w:t>5.2</w:t>
      </w:r>
      <w:r>
        <w:rPr>
          <w:lang w:val="es-ES"/>
        </w:rPr>
        <w:tab/>
        <w:t>Velocidad de giro del telescopio</w:t>
      </w:r>
    </w:p>
    <w:p w:rsidR="00DB4F60" w:rsidRDefault="00DB4F60">
      <w:pPr>
        <w:rPr>
          <w:lang w:val="es-ES"/>
        </w:rPr>
      </w:pPr>
      <w:r>
        <w:rPr>
          <w:lang w:val="es-ES"/>
        </w:rPr>
        <w:t>La velocidad angular del telescopio astronómico que rastrea un objeto celestial por el cielo suele ser la velocidad rotacional de la Tierra que es de 0,25 grados/min, aproximadamente (</w:t>
      </w:r>
      <w:r>
        <w:rPr>
          <w:rFonts w:ascii="Symbol" w:hAnsi="Symbol"/>
          <w:lang w:val="es-ES"/>
        </w:rPr>
        <w:sym w:font="Symbol" w:char="F0BB"/>
      </w:r>
      <w:r>
        <w:rPr>
          <w:lang w:val="es-ES"/>
        </w:rPr>
        <w:t> 4,167 </w:t>
      </w:r>
      <w:r>
        <w:rPr>
          <w:lang w:val="es-ES"/>
        </w:rPr>
        <w:sym w:font="Symbol" w:char="F0B4"/>
      </w:r>
      <w:r>
        <w:rPr>
          <w:lang w:val="es-ES"/>
        </w:rPr>
        <w:t> 10</w:t>
      </w:r>
      <w:r>
        <w:rPr>
          <w:position w:val="6"/>
          <w:vertAlign w:val="superscript"/>
          <w:lang w:val="es-ES"/>
        </w:rPr>
        <w:t>_</w:t>
      </w:r>
      <w:r>
        <w:rPr>
          <w:vertAlign w:val="superscript"/>
          <w:lang w:val="es-ES"/>
        </w:rPr>
        <w:t>3</w:t>
      </w:r>
      <w:r>
        <w:rPr>
          <w:lang w:val="es-ES"/>
        </w:rPr>
        <w:t> grados/s), o valores que suelen aproximarse a éste para observaciones de objetos dentro del sistema solar (siendo los asteroides próximos a la Tierra los objetos rastreados que se mueven a mayor velocidad). Los telescopios suelen moverse a velocidades mucho mayores cuando se reorientan para observar otro objeto. No obstante, cuando se reorientan, la precisión de puntería suele reducirse hasta el extremo de no poder obtener datos útiles.</w:t>
      </w:r>
    </w:p>
    <w:p w:rsidR="00DB4F60" w:rsidRDefault="00DB4F60">
      <w:pPr>
        <w:pStyle w:val="AnnexNoTitle"/>
        <w:rPr>
          <w:lang w:val="es-ES"/>
        </w:rPr>
      </w:pPr>
      <w:r>
        <w:rPr>
          <w:lang w:val="es-ES"/>
        </w:rPr>
        <w:t>Anexo 2</w:t>
      </w:r>
    </w:p>
    <w:p w:rsidR="00DB4F60" w:rsidRDefault="00DB4F60">
      <w:pPr>
        <w:pStyle w:val="Normalaftertitle"/>
        <w:rPr>
          <w:lang w:val="es-ES"/>
        </w:rPr>
      </w:pPr>
      <w:r>
        <w:rPr>
          <w:lang w:val="es-ES"/>
        </w:rPr>
        <w:t>A los efectos del cálculo de la gravedad de la interferencia en un receptor astronómico óptico situado en tierra, los parámetros que contienen los Cuadros 1, 2 y 4 deben considerarse representativos de los sistemas existentes. Los parámetros de los telescopios astronómicos y los parámetros de los detectores, incluidas las bandas de frecuencia utilizables, se recogen en cuadros separados debido a que los telescopios astronómicos son independientes de los detectores que llevan acoplados.</w:t>
      </w:r>
    </w:p>
    <w:p w:rsidR="00DB4F60" w:rsidRDefault="00DB4F60">
      <w:pPr>
        <w:rPr>
          <w:lang w:val="es-ES"/>
        </w:rPr>
      </w:pPr>
      <w:r>
        <w:rPr>
          <w:lang w:val="es-ES"/>
        </w:rPr>
        <w:t>Los nombres asociados a los filtros espectrales han sido adoptados por la comunidad astronómica y su uso está generalizado. Las frecuencias centrales de cada filtro corresponden aproximadamente a las ventanas de visibilidad atmosférica que recoge el Cuadro 3.</w:t>
      </w:r>
    </w:p>
    <w:p w:rsidR="00DB4F60" w:rsidRDefault="00DB4F60">
      <w:pPr>
        <w:pStyle w:val="TableNo"/>
        <w:rPr>
          <w:lang w:val="es-ES"/>
        </w:rPr>
      </w:pPr>
      <w:r>
        <w:rPr>
          <w:lang w:val="es-ES"/>
        </w:rPr>
        <w:t>CUADRO  3</w:t>
      </w:r>
    </w:p>
    <w:p w:rsidR="00DB4F60" w:rsidRDefault="00DB4F60">
      <w:pPr>
        <w:pStyle w:val="Tabletitle"/>
        <w:rPr>
          <w:lang w:val="es-ES"/>
        </w:rPr>
      </w:pPr>
      <w:r>
        <w:rPr>
          <w:lang w:val="es-ES"/>
        </w:rPr>
        <w:t xml:space="preserve">Filtros de banda ancha de utilización más frecuente en la gama de 10 THz a 1 000 THz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981"/>
        <w:gridCol w:w="981"/>
        <w:gridCol w:w="981"/>
        <w:gridCol w:w="981"/>
        <w:gridCol w:w="981"/>
        <w:gridCol w:w="981"/>
        <w:gridCol w:w="981"/>
      </w:tblGrid>
      <w:tr w:rsidR="00DB4F60">
        <w:trPr>
          <w:cantSplit/>
          <w:jc w:val="center"/>
        </w:trPr>
        <w:tc>
          <w:tcPr>
            <w:tcW w:w="2772" w:type="dxa"/>
          </w:tcPr>
          <w:p w:rsidR="00DB4F60" w:rsidRDefault="00DB4F60">
            <w:pPr>
              <w:pStyle w:val="Tablehead"/>
              <w:framePr w:hSpace="181" w:wrap="notBeside" w:vAnchor="text" w:hAnchor="text" w:xAlign="center" w:y="1"/>
              <w:rPr>
                <w:lang w:val="en-US"/>
              </w:rPr>
            </w:pPr>
            <w:r>
              <w:rPr>
                <w:lang w:val="en-US"/>
              </w:rPr>
              <w:t>Filtro</w:t>
            </w:r>
          </w:p>
        </w:tc>
        <w:tc>
          <w:tcPr>
            <w:tcW w:w="981" w:type="dxa"/>
            <w:vAlign w:val="center"/>
          </w:tcPr>
          <w:p w:rsidR="00DB4F60" w:rsidRDefault="00DB4F60">
            <w:pPr>
              <w:pStyle w:val="Tablehead"/>
              <w:framePr w:hSpace="181" w:wrap="notBeside" w:vAnchor="text" w:hAnchor="text" w:xAlign="center" w:y="1"/>
              <w:rPr>
                <w:lang w:val="es-ES"/>
              </w:rPr>
            </w:pPr>
            <w:r>
              <w:rPr>
                <w:lang w:val="es-ES"/>
              </w:rPr>
              <w:t>Q</w:t>
            </w:r>
          </w:p>
        </w:tc>
        <w:tc>
          <w:tcPr>
            <w:tcW w:w="981" w:type="dxa"/>
            <w:vAlign w:val="center"/>
          </w:tcPr>
          <w:p w:rsidR="00DB4F60" w:rsidRDefault="00DB4F60">
            <w:pPr>
              <w:pStyle w:val="Tablehead"/>
              <w:framePr w:hSpace="181" w:wrap="notBeside" w:vAnchor="text" w:hAnchor="text" w:xAlign="center" w:y="1"/>
              <w:rPr>
                <w:lang w:val="es-ES"/>
              </w:rPr>
            </w:pPr>
            <w:r>
              <w:rPr>
                <w:lang w:val="es-ES"/>
              </w:rPr>
              <w:t>N</w:t>
            </w:r>
          </w:p>
        </w:tc>
        <w:tc>
          <w:tcPr>
            <w:tcW w:w="981" w:type="dxa"/>
            <w:vAlign w:val="center"/>
          </w:tcPr>
          <w:p w:rsidR="00DB4F60" w:rsidRDefault="00DB4F60">
            <w:pPr>
              <w:pStyle w:val="Tablehead"/>
              <w:framePr w:hSpace="181" w:wrap="notBeside" w:vAnchor="text" w:hAnchor="text" w:xAlign="center" w:y="1"/>
            </w:pPr>
            <w:r>
              <w:t>M</w:t>
            </w:r>
          </w:p>
        </w:tc>
        <w:tc>
          <w:tcPr>
            <w:tcW w:w="981" w:type="dxa"/>
            <w:vAlign w:val="center"/>
          </w:tcPr>
          <w:p w:rsidR="00DB4F60" w:rsidRDefault="00DB4F60">
            <w:pPr>
              <w:pStyle w:val="Tablehead"/>
              <w:framePr w:hSpace="181" w:wrap="notBeside" w:vAnchor="text" w:hAnchor="text" w:xAlign="center" w:y="1"/>
            </w:pPr>
            <w:r>
              <w:t>L'</w:t>
            </w:r>
          </w:p>
        </w:tc>
        <w:tc>
          <w:tcPr>
            <w:tcW w:w="981" w:type="dxa"/>
            <w:vAlign w:val="center"/>
          </w:tcPr>
          <w:p w:rsidR="00DB4F60" w:rsidRDefault="00DB4F60">
            <w:pPr>
              <w:pStyle w:val="Tablehead"/>
              <w:framePr w:hSpace="181" w:wrap="notBeside" w:vAnchor="text" w:hAnchor="text" w:xAlign="center" w:y="1"/>
            </w:pPr>
            <w:r>
              <w:t>L</w:t>
            </w:r>
          </w:p>
        </w:tc>
        <w:tc>
          <w:tcPr>
            <w:tcW w:w="981" w:type="dxa"/>
            <w:vAlign w:val="center"/>
          </w:tcPr>
          <w:p w:rsidR="00DB4F60" w:rsidRDefault="00DB4F60">
            <w:pPr>
              <w:pStyle w:val="Tablehead"/>
              <w:framePr w:hSpace="181" w:wrap="notBeside" w:vAnchor="text" w:hAnchor="text" w:xAlign="center" w:y="1"/>
              <w:rPr>
                <w:lang w:val="es-ES"/>
              </w:rPr>
            </w:pPr>
            <w:r>
              <w:rPr>
                <w:lang w:val="es-ES"/>
              </w:rPr>
              <w:t>K</w:t>
            </w:r>
          </w:p>
        </w:tc>
        <w:tc>
          <w:tcPr>
            <w:tcW w:w="981" w:type="dxa"/>
            <w:vAlign w:val="center"/>
          </w:tcPr>
          <w:p w:rsidR="00DB4F60" w:rsidRDefault="00DB4F60">
            <w:pPr>
              <w:pStyle w:val="Tablehead"/>
              <w:framePr w:hSpace="181" w:wrap="notBeside" w:vAnchor="text" w:hAnchor="text" w:xAlign="center" w:y="1"/>
              <w:rPr>
                <w:lang w:val="es-ES"/>
              </w:rPr>
            </w:pPr>
            <w:r>
              <w:rPr>
                <w:lang w:val="es-ES"/>
              </w:rPr>
              <w:t>H</w:t>
            </w:r>
          </w:p>
        </w:tc>
      </w:tr>
      <w:tr w:rsidR="00DB4F60">
        <w:trPr>
          <w:cantSplit/>
          <w:jc w:val="center"/>
        </w:trPr>
        <w:tc>
          <w:tcPr>
            <w:tcW w:w="2772" w:type="dxa"/>
            <w:vAlign w:val="center"/>
          </w:tcPr>
          <w:p w:rsidR="00DB4F60" w:rsidRDefault="00DB4F60">
            <w:pPr>
              <w:pStyle w:val="Tabletext"/>
              <w:framePr w:hSpace="181" w:wrap="notBeside" w:vAnchor="text" w:hAnchor="text" w:xAlign="center" w:y="1"/>
              <w:tabs>
                <w:tab w:val="clear" w:pos="284"/>
                <w:tab w:val="clear" w:pos="567"/>
                <w:tab w:val="clear" w:pos="851"/>
                <w:tab w:val="clear" w:pos="1134"/>
                <w:tab w:val="clear" w:pos="1418"/>
                <w:tab w:val="clear" w:pos="1701"/>
              </w:tabs>
              <w:jc w:val="left"/>
              <w:rPr>
                <w:lang w:val="es-ES"/>
              </w:rPr>
            </w:pPr>
            <w:r>
              <w:rPr>
                <w:lang w:val="es-ES"/>
              </w:rPr>
              <w:t xml:space="preserve">Frecuencia central </w:t>
            </w:r>
            <w:r>
              <w:rPr>
                <w:lang w:val="es-ES"/>
              </w:rPr>
              <w:tab/>
              <w:t>(THz)</w:t>
            </w:r>
          </w:p>
        </w:tc>
        <w:tc>
          <w:tcPr>
            <w:tcW w:w="981" w:type="dxa"/>
            <w:vAlign w:val="center"/>
          </w:tcPr>
          <w:p w:rsidR="00DB4F60" w:rsidRDefault="00DB4F60">
            <w:pPr>
              <w:pStyle w:val="Tabletext"/>
              <w:framePr w:hSpace="181" w:wrap="notBeside" w:vAnchor="text" w:hAnchor="text" w:xAlign="center" w:y="1"/>
              <w:jc w:val="center"/>
            </w:pPr>
            <w:r>
              <w:t>15</w:t>
            </w:r>
          </w:p>
        </w:tc>
        <w:tc>
          <w:tcPr>
            <w:tcW w:w="981" w:type="dxa"/>
            <w:vAlign w:val="center"/>
          </w:tcPr>
          <w:p w:rsidR="00DB4F60" w:rsidRDefault="00DB4F60">
            <w:pPr>
              <w:pStyle w:val="Tabletext"/>
              <w:framePr w:hSpace="181" w:wrap="notBeside" w:vAnchor="text" w:hAnchor="text" w:xAlign="center" w:y="1"/>
              <w:jc w:val="center"/>
            </w:pPr>
            <w:r>
              <w:t>30</w:t>
            </w:r>
          </w:p>
        </w:tc>
        <w:tc>
          <w:tcPr>
            <w:tcW w:w="981" w:type="dxa"/>
            <w:vAlign w:val="center"/>
          </w:tcPr>
          <w:p w:rsidR="00DB4F60" w:rsidRDefault="00DB4F60">
            <w:pPr>
              <w:pStyle w:val="Tabletext"/>
              <w:framePr w:hSpace="181" w:wrap="notBeside" w:vAnchor="text" w:hAnchor="text" w:xAlign="center" w:y="1"/>
              <w:jc w:val="center"/>
            </w:pPr>
            <w:r>
              <w:t>63</w:t>
            </w:r>
          </w:p>
        </w:tc>
        <w:tc>
          <w:tcPr>
            <w:tcW w:w="981" w:type="dxa"/>
            <w:vAlign w:val="center"/>
          </w:tcPr>
          <w:p w:rsidR="00DB4F60" w:rsidRDefault="00DB4F60">
            <w:pPr>
              <w:pStyle w:val="Tabletext"/>
              <w:framePr w:hSpace="181" w:wrap="notBeside" w:vAnchor="text" w:hAnchor="text" w:xAlign="center" w:y="1"/>
              <w:jc w:val="center"/>
            </w:pPr>
            <w:r>
              <w:t>79</w:t>
            </w:r>
          </w:p>
        </w:tc>
        <w:tc>
          <w:tcPr>
            <w:tcW w:w="981" w:type="dxa"/>
            <w:vAlign w:val="center"/>
          </w:tcPr>
          <w:p w:rsidR="00DB4F60" w:rsidRDefault="00DB4F60">
            <w:pPr>
              <w:pStyle w:val="Tabletext"/>
              <w:framePr w:hSpace="181" w:wrap="notBeside" w:vAnchor="text" w:hAnchor="text" w:xAlign="center" w:y="1"/>
              <w:jc w:val="center"/>
            </w:pPr>
            <w:r>
              <w:t>86</w:t>
            </w:r>
          </w:p>
        </w:tc>
        <w:tc>
          <w:tcPr>
            <w:tcW w:w="981" w:type="dxa"/>
            <w:vAlign w:val="center"/>
          </w:tcPr>
          <w:p w:rsidR="00DB4F60" w:rsidRDefault="00DB4F60">
            <w:pPr>
              <w:pStyle w:val="Tabletext"/>
              <w:framePr w:hSpace="181" w:wrap="notBeside" w:vAnchor="text" w:hAnchor="text" w:xAlign="center" w:y="1"/>
              <w:jc w:val="center"/>
            </w:pPr>
            <w:r>
              <w:t>136</w:t>
            </w:r>
          </w:p>
        </w:tc>
        <w:tc>
          <w:tcPr>
            <w:tcW w:w="981" w:type="dxa"/>
            <w:vAlign w:val="center"/>
          </w:tcPr>
          <w:p w:rsidR="00DB4F60" w:rsidRDefault="00DB4F60">
            <w:pPr>
              <w:pStyle w:val="Tabletext"/>
              <w:framePr w:hSpace="181" w:wrap="notBeside" w:vAnchor="text" w:hAnchor="text" w:xAlign="center" w:y="1"/>
              <w:jc w:val="center"/>
            </w:pPr>
            <w:r>
              <w:t>180</w:t>
            </w:r>
          </w:p>
        </w:tc>
      </w:tr>
      <w:tr w:rsidR="00DB4F60">
        <w:trPr>
          <w:cantSplit/>
          <w:jc w:val="center"/>
        </w:trPr>
        <w:tc>
          <w:tcPr>
            <w:tcW w:w="2772" w:type="dxa"/>
            <w:tcBorders>
              <w:bottom w:val="single" w:sz="6" w:space="0" w:color="auto"/>
            </w:tcBorders>
            <w:vAlign w:val="center"/>
          </w:tcPr>
          <w:p w:rsidR="00DB4F60" w:rsidRDefault="00DB4F60">
            <w:pPr>
              <w:pStyle w:val="Tabletext"/>
              <w:framePr w:hSpace="181" w:wrap="notBeside" w:vAnchor="text" w:hAnchor="text" w:xAlign="center" w:y="1"/>
              <w:tabs>
                <w:tab w:val="clear" w:pos="284"/>
                <w:tab w:val="clear" w:pos="567"/>
                <w:tab w:val="clear" w:pos="851"/>
                <w:tab w:val="clear" w:pos="1134"/>
                <w:tab w:val="clear" w:pos="1418"/>
                <w:tab w:val="clear" w:pos="1701"/>
              </w:tabs>
              <w:jc w:val="left"/>
              <w:rPr>
                <w:lang w:val="fr-CH"/>
              </w:rPr>
            </w:pPr>
            <w:r>
              <w:t>Longitud de onda</w:t>
            </w:r>
            <w:r>
              <w:rPr>
                <w:lang w:val="fr-CH"/>
              </w:rPr>
              <w:t xml:space="preserve"> </w:t>
            </w:r>
            <w:r>
              <w:rPr>
                <w:lang w:val="fr-CH"/>
              </w:rPr>
              <w:tab/>
              <w:t>(</w:t>
            </w:r>
            <w:r>
              <w:rPr>
                <w:lang w:val="es-ES"/>
              </w:rPr>
              <w:sym w:font="Symbol" w:char="F06D"/>
            </w:r>
            <w:r>
              <w:rPr>
                <w:lang w:val="fr-CH"/>
              </w:rPr>
              <w:t>m)</w:t>
            </w:r>
          </w:p>
        </w:tc>
        <w:tc>
          <w:tcPr>
            <w:tcW w:w="981" w:type="dxa"/>
            <w:tcBorders>
              <w:bottom w:val="sing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20,25</w:t>
            </w:r>
          </w:p>
        </w:tc>
        <w:tc>
          <w:tcPr>
            <w:tcW w:w="981" w:type="dxa"/>
            <w:tcBorders>
              <w:bottom w:val="sing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10,1</w:t>
            </w:r>
          </w:p>
        </w:tc>
        <w:tc>
          <w:tcPr>
            <w:tcW w:w="981" w:type="dxa"/>
            <w:tcBorders>
              <w:bottom w:val="sing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4,80</w:t>
            </w:r>
          </w:p>
        </w:tc>
        <w:tc>
          <w:tcPr>
            <w:tcW w:w="981" w:type="dxa"/>
            <w:tcBorders>
              <w:bottom w:val="sing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3,80</w:t>
            </w:r>
          </w:p>
        </w:tc>
        <w:tc>
          <w:tcPr>
            <w:tcW w:w="981" w:type="dxa"/>
            <w:tcBorders>
              <w:bottom w:val="sing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3,50</w:t>
            </w:r>
          </w:p>
        </w:tc>
        <w:tc>
          <w:tcPr>
            <w:tcW w:w="981" w:type="dxa"/>
            <w:tcBorders>
              <w:bottom w:val="sing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2,20</w:t>
            </w:r>
          </w:p>
        </w:tc>
        <w:tc>
          <w:tcPr>
            <w:tcW w:w="981" w:type="dxa"/>
            <w:tcBorders>
              <w:bottom w:val="sing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1,65</w:t>
            </w:r>
          </w:p>
        </w:tc>
      </w:tr>
      <w:tr w:rsidR="00DB4F60">
        <w:trPr>
          <w:cantSplit/>
          <w:jc w:val="center"/>
        </w:trPr>
        <w:tc>
          <w:tcPr>
            <w:tcW w:w="2772" w:type="dxa"/>
            <w:tcBorders>
              <w:bottom w:val="double" w:sz="6" w:space="0" w:color="auto"/>
            </w:tcBorders>
            <w:vAlign w:val="center"/>
          </w:tcPr>
          <w:p w:rsidR="00DB4F60" w:rsidRDefault="00DB4F60">
            <w:pPr>
              <w:pStyle w:val="Tabletext"/>
              <w:framePr w:hSpace="181" w:wrap="notBeside" w:vAnchor="text" w:hAnchor="text" w:xAlign="center" w:y="1"/>
              <w:tabs>
                <w:tab w:val="clear" w:pos="284"/>
                <w:tab w:val="clear" w:pos="567"/>
                <w:tab w:val="clear" w:pos="851"/>
                <w:tab w:val="clear" w:pos="1134"/>
                <w:tab w:val="clear" w:pos="1418"/>
                <w:tab w:val="clear" w:pos="1701"/>
              </w:tabs>
              <w:jc w:val="left"/>
              <w:rPr>
                <w:lang w:val="es-ES"/>
              </w:rPr>
            </w:pPr>
            <w:r>
              <w:rPr>
                <w:lang w:val="es-ES"/>
              </w:rPr>
              <w:t xml:space="preserve">Anchura de banda </w:t>
            </w:r>
            <w:r>
              <w:rPr>
                <w:lang w:val="es-ES"/>
              </w:rPr>
              <w:tab/>
              <w:t>(THz)</w:t>
            </w:r>
            <w:r>
              <w:rPr>
                <w:lang w:val="es-ES"/>
              </w:rPr>
              <w:br/>
            </w:r>
            <w:r>
              <w:rPr>
                <w:lang w:val="es-ES"/>
              </w:rPr>
              <w:tab/>
              <w:t>(</w:t>
            </w:r>
            <w:r>
              <w:rPr>
                <w:lang w:val="es-ES"/>
              </w:rPr>
              <w:sym w:font="Symbol" w:char="F06D"/>
            </w:r>
            <w:r>
              <w:rPr>
                <w:lang w:val="es-ES"/>
              </w:rPr>
              <w:t>m)</w:t>
            </w:r>
          </w:p>
        </w:tc>
        <w:tc>
          <w:tcPr>
            <w:tcW w:w="981" w:type="dxa"/>
            <w:tcBorders>
              <w:bottom w:val="doub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15,2</w:t>
            </w:r>
            <w:r>
              <w:rPr>
                <w:lang w:val="es-ES"/>
              </w:rPr>
              <w:br/>
              <w:t>6,50</w:t>
            </w:r>
          </w:p>
        </w:tc>
        <w:tc>
          <w:tcPr>
            <w:tcW w:w="981" w:type="dxa"/>
            <w:tcBorders>
              <w:bottom w:val="doub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18,2</w:t>
            </w:r>
            <w:r>
              <w:rPr>
                <w:lang w:val="es-ES"/>
              </w:rPr>
              <w:br/>
              <w:t>5,70</w:t>
            </w:r>
          </w:p>
        </w:tc>
        <w:tc>
          <w:tcPr>
            <w:tcW w:w="981" w:type="dxa"/>
            <w:tcBorders>
              <w:bottom w:val="doub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15,9</w:t>
            </w:r>
            <w:r>
              <w:rPr>
                <w:lang w:val="es-ES"/>
              </w:rPr>
              <w:br/>
              <w:t>1,20</w:t>
            </w:r>
          </w:p>
        </w:tc>
        <w:tc>
          <w:tcPr>
            <w:tcW w:w="981" w:type="dxa"/>
            <w:tcBorders>
              <w:bottom w:val="doub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14,7</w:t>
            </w:r>
            <w:r>
              <w:rPr>
                <w:lang w:val="es-ES"/>
              </w:rPr>
              <w:br/>
              <w:t>0,70</w:t>
            </w:r>
          </w:p>
        </w:tc>
        <w:tc>
          <w:tcPr>
            <w:tcW w:w="981" w:type="dxa"/>
            <w:tcBorders>
              <w:bottom w:val="doub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17,3</w:t>
            </w:r>
            <w:r>
              <w:rPr>
                <w:lang w:val="es-ES"/>
              </w:rPr>
              <w:br/>
              <w:t>0,70</w:t>
            </w:r>
          </w:p>
        </w:tc>
        <w:tc>
          <w:tcPr>
            <w:tcW w:w="981" w:type="dxa"/>
            <w:tcBorders>
              <w:bottom w:val="doub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30,1</w:t>
            </w:r>
            <w:r>
              <w:rPr>
                <w:lang w:val="es-ES"/>
              </w:rPr>
              <w:br/>
              <w:t>0,48</w:t>
            </w:r>
          </w:p>
        </w:tc>
        <w:tc>
          <w:tcPr>
            <w:tcW w:w="981" w:type="dxa"/>
            <w:tcBorders>
              <w:bottom w:val="double" w:sz="6" w:space="0" w:color="auto"/>
            </w:tcBorders>
            <w:vAlign w:val="center"/>
          </w:tcPr>
          <w:p w:rsidR="00DB4F60" w:rsidRDefault="00DB4F60">
            <w:pPr>
              <w:pStyle w:val="Tabletext"/>
              <w:framePr w:hSpace="181" w:wrap="notBeside" w:vAnchor="text" w:hAnchor="text" w:xAlign="center" w:y="1"/>
              <w:jc w:val="center"/>
              <w:rPr>
                <w:lang w:val="es-ES"/>
              </w:rPr>
            </w:pPr>
            <w:r>
              <w:rPr>
                <w:lang w:val="es-ES"/>
              </w:rPr>
              <w:t>33,3</w:t>
            </w:r>
            <w:r>
              <w:rPr>
                <w:lang w:val="es-ES"/>
              </w:rPr>
              <w:br/>
              <w:t>0,30</w:t>
            </w:r>
          </w:p>
        </w:tc>
      </w:tr>
      <w:tr w:rsidR="00DB4F60">
        <w:trPr>
          <w:cantSplit/>
          <w:jc w:val="center"/>
        </w:trPr>
        <w:tc>
          <w:tcPr>
            <w:tcW w:w="2772" w:type="dxa"/>
            <w:tcBorders>
              <w:top w:val="double" w:sz="6" w:space="0" w:color="auto"/>
            </w:tcBorders>
            <w:vAlign w:val="center"/>
          </w:tcPr>
          <w:p w:rsidR="00DB4F60" w:rsidRDefault="00DB4F60">
            <w:pPr>
              <w:pStyle w:val="Tablehead"/>
              <w:framePr w:hSpace="181" w:wrap="notBeside" w:vAnchor="text" w:hAnchor="text" w:xAlign="center" w:y="1"/>
              <w:rPr>
                <w:lang w:val="es-ES"/>
              </w:rPr>
            </w:pPr>
            <w:r>
              <w:rPr>
                <w:lang w:val="es-ES"/>
              </w:rPr>
              <w:t>Filtro</w:t>
            </w:r>
          </w:p>
        </w:tc>
        <w:tc>
          <w:tcPr>
            <w:tcW w:w="981" w:type="dxa"/>
            <w:tcBorders>
              <w:top w:val="double" w:sz="6" w:space="0" w:color="auto"/>
            </w:tcBorders>
            <w:vAlign w:val="center"/>
          </w:tcPr>
          <w:p w:rsidR="00DB4F60" w:rsidRDefault="00DB4F60">
            <w:pPr>
              <w:pStyle w:val="Tablehead"/>
              <w:framePr w:hSpace="181" w:wrap="notBeside" w:vAnchor="text" w:hAnchor="text" w:xAlign="center" w:y="1"/>
              <w:rPr>
                <w:lang w:val="es-ES"/>
              </w:rPr>
            </w:pPr>
            <w:r>
              <w:rPr>
                <w:lang w:val="es-ES"/>
              </w:rPr>
              <w:t>J</w:t>
            </w:r>
          </w:p>
        </w:tc>
        <w:tc>
          <w:tcPr>
            <w:tcW w:w="981" w:type="dxa"/>
            <w:tcBorders>
              <w:top w:val="double" w:sz="6" w:space="0" w:color="auto"/>
            </w:tcBorders>
            <w:vAlign w:val="center"/>
          </w:tcPr>
          <w:p w:rsidR="00DB4F60" w:rsidRDefault="00DB4F60">
            <w:pPr>
              <w:pStyle w:val="Tablehead"/>
              <w:framePr w:hSpace="181" w:wrap="notBeside" w:vAnchor="text" w:hAnchor="text" w:xAlign="center" w:y="1"/>
              <w:rPr>
                <w:lang w:val="es-ES"/>
              </w:rPr>
            </w:pPr>
            <w:r>
              <w:rPr>
                <w:lang w:val="es-ES"/>
              </w:rPr>
              <w:t>I</w:t>
            </w:r>
            <w:r>
              <w:rPr>
                <w:vertAlign w:val="subscript"/>
                <w:lang w:val="es-ES"/>
              </w:rPr>
              <w:t>J</w:t>
            </w:r>
          </w:p>
        </w:tc>
        <w:tc>
          <w:tcPr>
            <w:tcW w:w="981" w:type="dxa"/>
            <w:tcBorders>
              <w:top w:val="double" w:sz="6" w:space="0" w:color="auto"/>
            </w:tcBorders>
            <w:vAlign w:val="center"/>
          </w:tcPr>
          <w:p w:rsidR="00DB4F60" w:rsidRDefault="00DB4F60">
            <w:pPr>
              <w:pStyle w:val="Tablehead"/>
              <w:framePr w:hSpace="181" w:wrap="notBeside" w:vAnchor="text" w:hAnchor="text" w:xAlign="center" w:y="1"/>
              <w:rPr>
                <w:lang w:val="en-US"/>
              </w:rPr>
            </w:pPr>
            <w:r>
              <w:rPr>
                <w:lang w:val="en-US"/>
              </w:rPr>
              <w:t>I</w:t>
            </w:r>
            <w:r>
              <w:rPr>
                <w:vertAlign w:val="subscript"/>
                <w:lang w:val="en-US"/>
              </w:rPr>
              <w:t>S</w:t>
            </w:r>
          </w:p>
        </w:tc>
        <w:tc>
          <w:tcPr>
            <w:tcW w:w="981" w:type="dxa"/>
            <w:tcBorders>
              <w:top w:val="double" w:sz="6" w:space="0" w:color="auto"/>
            </w:tcBorders>
            <w:vAlign w:val="center"/>
          </w:tcPr>
          <w:p w:rsidR="00DB4F60" w:rsidRDefault="00DB4F60">
            <w:pPr>
              <w:pStyle w:val="Tablehead"/>
              <w:framePr w:hSpace="181" w:wrap="notBeside" w:vAnchor="text" w:hAnchor="text" w:xAlign="center" w:y="1"/>
              <w:rPr>
                <w:lang w:val="en-US"/>
              </w:rPr>
            </w:pPr>
            <w:r>
              <w:rPr>
                <w:lang w:val="en-US"/>
              </w:rPr>
              <w:t>R</w:t>
            </w:r>
          </w:p>
        </w:tc>
        <w:tc>
          <w:tcPr>
            <w:tcW w:w="981" w:type="dxa"/>
            <w:tcBorders>
              <w:top w:val="double" w:sz="6" w:space="0" w:color="auto"/>
            </w:tcBorders>
            <w:vAlign w:val="center"/>
          </w:tcPr>
          <w:p w:rsidR="00DB4F60" w:rsidRDefault="00DB4F60">
            <w:pPr>
              <w:pStyle w:val="Tablehead"/>
              <w:framePr w:hSpace="181" w:wrap="notBeside" w:vAnchor="text" w:hAnchor="text" w:xAlign="center" w:y="1"/>
              <w:rPr>
                <w:lang w:val="en-US"/>
              </w:rPr>
            </w:pPr>
            <w:r>
              <w:rPr>
                <w:lang w:val="en-US"/>
              </w:rPr>
              <w:t>V</w:t>
            </w:r>
          </w:p>
        </w:tc>
        <w:tc>
          <w:tcPr>
            <w:tcW w:w="981" w:type="dxa"/>
            <w:tcBorders>
              <w:top w:val="double" w:sz="6" w:space="0" w:color="auto"/>
            </w:tcBorders>
            <w:vAlign w:val="center"/>
          </w:tcPr>
          <w:p w:rsidR="00DB4F60" w:rsidRDefault="00DB4F60">
            <w:pPr>
              <w:pStyle w:val="Tablehead"/>
              <w:framePr w:hSpace="181" w:wrap="notBeside" w:vAnchor="text" w:hAnchor="text" w:xAlign="center" w:y="1"/>
              <w:rPr>
                <w:lang w:val="es-ES"/>
              </w:rPr>
            </w:pPr>
            <w:r>
              <w:rPr>
                <w:lang w:val="es-ES"/>
              </w:rPr>
              <w:t>B</w:t>
            </w:r>
          </w:p>
        </w:tc>
        <w:tc>
          <w:tcPr>
            <w:tcW w:w="981" w:type="dxa"/>
            <w:tcBorders>
              <w:top w:val="double" w:sz="6" w:space="0" w:color="auto"/>
            </w:tcBorders>
            <w:vAlign w:val="center"/>
          </w:tcPr>
          <w:p w:rsidR="00DB4F60" w:rsidRDefault="00DB4F60">
            <w:pPr>
              <w:pStyle w:val="Tablehead"/>
              <w:framePr w:hSpace="181" w:wrap="notBeside" w:vAnchor="text" w:hAnchor="text" w:xAlign="center" w:y="1"/>
              <w:rPr>
                <w:lang w:val="es-ES"/>
              </w:rPr>
            </w:pPr>
            <w:r>
              <w:rPr>
                <w:lang w:val="es-ES"/>
              </w:rPr>
              <w:t>U</w:t>
            </w:r>
          </w:p>
        </w:tc>
      </w:tr>
      <w:tr w:rsidR="00DB4F60">
        <w:trPr>
          <w:cantSplit/>
          <w:jc w:val="center"/>
        </w:trPr>
        <w:tc>
          <w:tcPr>
            <w:tcW w:w="2772" w:type="dxa"/>
            <w:vAlign w:val="center"/>
          </w:tcPr>
          <w:p w:rsidR="00DB4F60" w:rsidRDefault="00DB4F60">
            <w:pPr>
              <w:pStyle w:val="Tabletext"/>
              <w:framePr w:hSpace="181" w:wrap="notBeside" w:vAnchor="text" w:hAnchor="text" w:xAlign="center" w:y="1"/>
              <w:tabs>
                <w:tab w:val="clear" w:pos="284"/>
                <w:tab w:val="clear" w:pos="567"/>
                <w:tab w:val="clear" w:pos="851"/>
                <w:tab w:val="clear" w:pos="1134"/>
                <w:tab w:val="clear" w:pos="1418"/>
                <w:tab w:val="clear" w:pos="1701"/>
              </w:tabs>
              <w:jc w:val="left"/>
              <w:rPr>
                <w:lang w:val="es-ES"/>
              </w:rPr>
            </w:pPr>
            <w:r>
              <w:rPr>
                <w:lang w:val="es-ES"/>
              </w:rPr>
              <w:t xml:space="preserve">Frecuencia central </w:t>
            </w:r>
            <w:r>
              <w:rPr>
                <w:lang w:val="es-ES"/>
              </w:rPr>
              <w:tab/>
              <w:t>(THz)</w:t>
            </w:r>
          </w:p>
        </w:tc>
        <w:tc>
          <w:tcPr>
            <w:tcW w:w="981" w:type="dxa"/>
            <w:vAlign w:val="center"/>
          </w:tcPr>
          <w:p w:rsidR="00DB4F60" w:rsidRDefault="00DB4F60">
            <w:pPr>
              <w:pStyle w:val="Tabletext"/>
              <w:framePr w:hSpace="181" w:wrap="notBeside" w:vAnchor="text" w:hAnchor="text" w:xAlign="center" w:y="1"/>
              <w:jc w:val="center"/>
            </w:pPr>
            <w:r>
              <w:t>240</w:t>
            </w:r>
          </w:p>
        </w:tc>
        <w:tc>
          <w:tcPr>
            <w:tcW w:w="981" w:type="dxa"/>
            <w:vAlign w:val="center"/>
          </w:tcPr>
          <w:p w:rsidR="00DB4F60" w:rsidRDefault="00DB4F60">
            <w:pPr>
              <w:pStyle w:val="Tabletext"/>
              <w:framePr w:hSpace="181" w:wrap="notBeside" w:vAnchor="text" w:hAnchor="text" w:xAlign="center" w:y="1"/>
              <w:jc w:val="center"/>
            </w:pPr>
            <w:r>
              <w:t>330</w:t>
            </w:r>
          </w:p>
        </w:tc>
        <w:tc>
          <w:tcPr>
            <w:tcW w:w="981" w:type="dxa"/>
            <w:vAlign w:val="center"/>
          </w:tcPr>
          <w:p w:rsidR="00DB4F60" w:rsidRDefault="00DB4F60">
            <w:pPr>
              <w:pStyle w:val="Tabletext"/>
              <w:framePr w:hSpace="181" w:wrap="notBeside" w:vAnchor="text" w:hAnchor="text" w:xAlign="center" w:y="1"/>
              <w:jc w:val="center"/>
            </w:pPr>
            <w:r>
              <w:t>370</w:t>
            </w:r>
          </w:p>
        </w:tc>
        <w:tc>
          <w:tcPr>
            <w:tcW w:w="981" w:type="dxa"/>
            <w:vAlign w:val="center"/>
          </w:tcPr>
          <w:p w:rsidR="00DB4F60" w:rsidRDefault="00DB4F60">
            <w:pPr>
              <w:pStyle w:val="Tabletext"/>
              <w:framePr w:hSpace="181" w:wrap="notBeside" w:vAnchor="text" w:hAnchor="text" w:xAlign="center" w:y="1"/>
              <w:jc w:val="center"/>
            </w:pPr>
            <w:r>
              <w:t>430</w:t>
            </w:r>
          </w:p>
        </w:tc>
        <w:tc>
          <w:tcPr>
            <w:tcW w:w="981" w:type="dxa"/>
            <w:vAlign w:val="center"/>
          </w:tcPr>
          <w:p w:rsidR="00DB4F60" w:rsidRDefault="00DB4F60">
            <w:pPr>
              <w:pStyle w:val="Tabletext"/>
              <w:framePr w:hSpace="181" w:wrap="notBeside" w:vAnchor="text" w:hAnchor="text" w:xAlign="center" w:y="1"/>
              <w:jc w:val="center"/>
            </w:pPr>
            <w:r>
              <w:t>560</w:t>
            </w:r>
          </w:p>
        </w:tc>
        <w:tc>
          <w:tcPr>
            <w:tcW w:w="981" w:type="dxa"/>
            <w:vAlign w:val="center"/>
          </w:tcPr>
          <w:p w:rsidR="00DB4F60" w:rsidRDefault="00DB4F60">
            <w:pPr>
              <w:pStyle w:val="Tabletext"/>
              <w:framePr w:hSpace="181" w:wrap="notBeside" w:vAnchor="text" w:hAnchor="text" w:xAlign="center" w:y="1"/>
              <w:jc w:val="center"/>
            </w:pPr>
            <w:r>
              <w:t>700</w:t>
            </w:r>
          </w:p>
        </w:tc>
        <w:tc>
          <w:tcPr>
            <w:tcW w:w="981" w:type="dxa"/>
            <w:vAlign w:val="center"/>
          </w:tcPr>
          <w:p w:rsidR="00DB4F60" w:rsidRDefault="00DB4F60">
            <w:pPr>
              <w:pStyle w:val="Tabletext"/>
              <w:framePr w:hSpace="181" w:wrap="notBeside" w:vAnchor="text" w:hAnchor="text" w:xAlign="center" w:y="1"/>
              <w:jc w:val="center"/>
            </w:pPr>
            <w:r>
              <w:t>830</w:t>
            </w:r>
          </w:p>
        </w:tc>
      </w:tr>
      <w:tr w:rsidR="00DB4F60">
        <w:trPr>
          <w:cantSplit/>
          <w:jc w:val="center"/>
        </w:trPr>
        <w:tc>
          <w:tcPr>
            <w:tcW w:w="2772" w:type="dxa"/>
            <w:vAlign w:val="center"/>
          </w:tcPr>
          <w:p w:rsidR="00DB4F60" w:rsidRDefault="00DB4F60">
            <w:pPr>
              <w:pStyle w:val="Tabletext"/>
              <w:framePr w:hSpace="181" w:wrap="notBeside" w:vAnchor="text" w:hAnchor="text" w:xAlign="center" w:y="1"/>
              <w:tabs>
                <w:tab w:val="clear" w:pos="284"/>
                <w:tab w:val="clear" w:pos="567"/>
                <w:tab w:val="clear" w:pos="851"/>
                <w:tab w:val="clear" w:pos="1134"/>
                <w:tab w:val="clear" w:pos="1418"/>
                <w:tab w:val="clear" w:pos="1701"/>
              </w:tabs>
              <w:jc w:val="left"/>
              <w:rPr>
                <w:lang w:val="fr-CH"/>
              </w:rPr>
            </w:pPr>
            <w:r>
              <w:t>Longitud de onda</w:t>
            </w:r>
            <w:r>
              <w:rPr>
                <w:lang w:val="fr-CH"/>
              </w:rPr>
              <w:t xml:space="preserve"> </w:t>
            </w:r>
            <w:r>
              <w:rPr>
                <w:lang w:val="fr-CH"/>
              </w:rPr>
              <w:tab/>
              <w:t>(</w:t>
            </w:r>
            <w:r>
              <w:rPr>
                <w:lang w:val="es-ES"/>
              </w:rPr>
              <w:sym w:font="Symbol" w:char="F06D"/>
            </w:r>
            <w:r>
              <w:rPr>
                <w:lang w:val="fr-CH"/>
              </w:rPr>
              <w:t>m)</w:t>
            </w:r>
          </w:p>
        </w:tc>
        <w:tc>
          <w:tcPr>
            <w:tcW w:w="981" w:type="dxa"/>
            <w:vAlign w:val="center"/>
          </w:tcPr>
          <w:p w:rsidR="00DB4F60" w:rsidRDefault="00DB4F60">
            <w:pPr>
              <w:pStyle w:val="Tabletext"/>
              <w:framePr w:hSpace="181" w:wrap="notBeside" w:vAnchor="text" w:hAnchor="text" w:xAlign="center" w:y="1"/>
              <w:jc w:val="center"/>
              <w:rPr>
                <w:lang w:val="fr-CH"/>
              </w:rPr>
            </w:pPr>
            <w:r>
              <w:rPr>
                <w:lang w:val="fr-CH"/>
              </w:rPr>
              <w:t>1,25</w:t>
            </w:r>
          </w:p>
        </w:tc>
        <w:tc>
          <w:tcPr>
            <w:tcW w:w="981" w:type="dxa"/>
            <w:vAlign w:val="center"/>
          </w:tcPr>
          <w:p w:rsidR="00DB4F60" w:rsidRDefault="00DB4F60">
            <w:pPr>
              <w:pStyle w:val="Tabletext"/>
              <w:framePr w:hSpace="181" w:wrap="notBeside" w:vAnchor="text" w:hAnchor="text" w:xAlign="center" w:y="1"/>
              <w:jc w:val="center"/>
              <w:rPr>
                <w:lang w:val="fr-CH"/>
              </w:rPr>
            </w:pPr>
            <w:r>
              <w:rPr>
                <w:lang w:val="fr-CH"/>
              </w:rPr>
              <w:t>0,90</w:t>
            </w:r>
          </w:p>
        </w:tc>
        <w:tc>
          <w:tcPr>
            <w:tcW w:w="981" w:type="dxa"/>
            <w:vAlign w:val="center"/>
          </w:tcPr>
          <w:p w:rsidR="00DB4F60" w:rsidRDefault="00DB4F60">
            <w:pPr>
              <w:pStyle w:val="Tabletext"/>
              <w:framePr w:hSpace="181" w:wrap="notBeside" w:vAnchor="text" w:hAnchor="text" w:xAlign="center" w:y="1"/>
              <w:jc w:val="center"/>
              <w:rPr>
                <w:lang w:val="fr-CH"/>
              </w:rPr>
            </w:pPr>
            <w:r>
              <w:rPr>
                <w:lang w:val="fr-CH"/>
              </w:rPr>
              <w:t>0,80</w:t>
            </w:r>
          </w:p>
        </w:tc>
        <w:tc>
          <w:tcPr>
            <w:tcW w:w="981" w:type="dxa"/>
            <w:vAlign w:val="center"/>
          </w:tcPr>
          <w:p w:rsidR="00DB4F60" w:rsidRDefault="00DB4F60">
            <w:pPr>
              <w:pStyle w:val="Tabletext"/>
              <w:framePr w:hSpace="181" w:wrap="notBeside" w:vAnchor="text" w:hAnchor="text" w:xAlign="center" w:y="1"/>
              <w:jc w:val="center"/>
              <w:rPr>
                <w:lang w:val="fr-CH"/>
              </w:rPr>
            </w:pPr>
            <w:r>
              <w:rPr>
                <w:lang w:val="fr-CH"/>
              </w:rPr>
              <w:t>0,70</w:t>
            </w:r>
          </w:p>
        </w:tc>
        <w:tc>
          <w:tcPr>
            <w:tcW w:w="981" w:type="dxa"/>
            <w:vAlign w:val="center"/>
          </w:tcPr>
          <w:p w:rsidR="00DB4F60" w:rsidRDefault="00DB4F60">
            <w:pPr>
              <w:pStyle w:val="Tabletext"/>
              <w:framePr w:hSpace="181" w:wrap="notBeside" w:vAnchor="text" w:hAnchor="text" w:xAlign="center" w:y="1"/>
              <w:jc w:val="center"/>
              <w:rPr>
                <w:lang w:val="fr-CH"/>
              </w:rPr>
            </w:pPr>
            <w:r>
              <w:rPr>
                <w:lang w:val="fr-CH"/>
              </w:rPr>
              <w:t>0,54</w:t>
            </w:r>
          </w:p>
        </w:tc>
        <w:tc>
          <w:tcPr>
            <w:tcW w:w="981" w:type="dxa"/>
            <w:vAlign w:val="center"/>
          </w:tcPr>
          <w:p w:rsidR="00DB4F60" w:rsidRDefault="00DB4F60">
            <w:pPr>
              <w:pStyle w:val="Tabletext"/>
              <w:framePr w:hSpace="181" w:wrap="notBeside" w:vAnchor="text" w:hAnchor="text" w:xAlign="center" w:y="1"/>
              <w:jc w:val="center"/>
              <w:rPr>
                <w:lang w:val="fr-CH"/>
              </w:rPr>
            </w:pPr>
            <w:r>
              <w:rPr>
                <w:lang w:val="fr-CH"/>
              </w:rPr>
              <w:t>0,43</w:t>
            </w:r>
          </w:p>
        </w:tc>
        <w:tc>
          <w:tcPr>
            <w:tcW w:w="981" w:type="dxa"/>
            <w:vAlign w:val="center"/>
          </w:tcPr>
          <w:p w:rsidR="00DB4F60" w:rsidRDefault="00DB4F60">
            <w:pPr>
              <w:pStyle w:val="Tabletext"/>
              <w:framePr w:hSpace="181" w:wrap="notBeside" w:vAnchor="text" w:hAnchor="text" w:xAlign="center" w:y="1"/>
              <w:jc w:val="center"/>
              <w:rPr>
                <w:lang w:val="fr-CH"/>
              </w:rPr>
            </w:pPr>
            <w:r>
              <w:rPr>
                <w:lang w:val="fr-CH"/>
              </w:rPr>
              <w:t>0,36</w:t>
            </w:r>
          </w:p>
        </w:tc>
      </w:tr>
      <w:tr w:rsidR="00DB4F60">
        <w:trPr>
          <w:cantSplit/>
          <w:jc w:val="center"/>
        </w:trPr>
        <w:tc>
          <w:tcPr>
            <w:tcW w:w="2772" w:type="dxa"/>
            <w:vAlign w:val="center"/>
          </w:tcPr>
          <w:p w:rsidR="00DB4F60" w:rsidRDefault="00DB4F60">
            <w:pPr>
              <w:pStyle w:val="Tabletext"/>
              <w:framePr w:hSpace="181" w:wrap="notBeside" w:vAnchor="text" w:hAnchor="text" w:xAlign="center" w:y="1"/>
              <w:tabs>
                <w:tab w:val="clear" w:pos="284"/>
                <w:tab w:val="clear" w:pos="567"/>
                <w:tab w:val="clear" w:pos="851"/>
                <w:tab w:val="clear" w:pos="1134"/>
                <w:tab w:val="clear" w:pos="1418"/>
                <w:tab w:val="clear" w:pos="1701"/>
                <w:tab w:val="clear" w:pos="2268"/>
                <w:tab w:val="left" w:pos="2052"/>
              </w:tabs>
              <w:jc w:val="left"/>
              <w:rPr>
                <w:lang w:val="es-ES"/>
              </w:rPr>
            </w:pPr>
            <w:r>
              <w:rPr>
                <w:lang w:val="es-ES"/>
              </w:rPr>
              <w:t xml:space="preserve">Anchura de banda </w:t>
            </w:r>
            <w:r>
              <w:rPr>
                <w:lang w:val="es-ES"/>
              </w:rPr>
              <w:tab/>
              <w:t>(THz)</w:t>
            </w:r>
            <w:r>
              <w:rPr>
                <w:lang w:val="es-ES"/>
              </w:rPr>
              <w:br/>
            </w:r>
            <w:r>
              <w:rPr>
                <w:lang w:val="fr-CH"/>
              </w:rPr>
              <w:tab/>
            </w:r>
            <w:r>
              <w:rPr>
                <w:lang w:val="es-ES"/>
              </w:rPr>
              <w:t>(</w:t>
            </w:r>
            <w:r>
              <w:rPr>
                <w:lang w:val="es-ES"/>
              </w:rPr>
              <w:sym w:font="Symbol" w:char="F06D"/>
            </w:r>
            <w:r>
              <w:rPr>
                <w:lang w:val="es-ES"/>
              </w:rPr>
              <w:t>m)</w:t>
            </w:r>
          </w:p>
        </w:tc>
        <w:tc>
          <w:tcPr>
            <w:tcW w:w="981" w:type="dxa"/>
            <w:vAlign w:val="center"/>
          </w:tcPr>
          <w:p w:rsidR="00DB4F60" w:rsidRDefault="00DB4F60">
            <w:pPr>
              <w:pStyle w:val="Tabletext"/>
              <w:framePr w:hSpace="181" w:wrap="notBeside" w:vAnchor="text" w:hAnchor="text" w:xAlign="center" w:y="1"/>
              <w:jc w:val="center"/>
              <w:rPr>
                <w:lang w:val="es-ES"/>
              </w:rPr>
            </w:pPr>
            <w:r>
              <w:rPr>
                <w:lang w:val="es-ES"/>
              </w:rPr>
              <w:t>74,7</w:t>
            </w:r>
            <w:r>
              <w:rPr>
                <w:lang w:val="es-ES"/>
              </w:rPr>
              <w:br/>
              <w:t>0,38</w:t>
            </w:r>
          </w:p>
        </w:tc>
        <w:tc>
          <w:tcPr>
            <w:tcW w:w="981" w:type="dxa"/>
            <w:vAlign w:val="center"/>
          </w:tcPr>
          <w:p w:rsidR="00DB4F60" w:rsidRDefault="00DB4F60">
            <w:pPr>
              <w:pStyle w:val="Tabletext"/>
              <w:framePr w:hSpace="181" w:wrap="notBeside" w:vAnchor="text" w:hAnchor="text" w:xAlign="center" w:y="1"/>
              <w:jc w:val="center"/>
              <w:rPr>
                <w:lang w:val="es-ES"/>
              </w:rPr>
            </w:pPr>
            <w:r>
              <w:rPr>
                <w:lang w:val="es-ES"/>
              </w:rPr>
              <w:t>90,5</w:t>
            </w:r>
            <w:r>
              <w:rPr>
                <w:lang w:val="es-ES"/>
              </w:rPr>
              <w:br/>
              <w:t>0,24</w:t>
            </w:r>
          </w:p>
        </w:tc>
        <w:tc>
          <w:tcPr>
            <w:tcW w:w="981" w:type="dxa"/>
            <w:vAlign w:val="center"/>
          </w:tcPr>
          <w:p w:rsidR="00DB4F60" w:rsidRDefault="00DB4F60">
            <w:pPr>
              <w:pStyle w:val="Tabletext"/>
              <w:framePr w:hSpace="181" w:wrap="notBeside" w:vAnchor="text" w:hAnchor="text" w:xAlign="center" w:y="1"/>
              <w:jc w:val="center"/>
              <w:rPr>
                <w:lang w:val="es-ES"/>
              </w:rPr>
            </w:pPr>
            <w:r>
              <w:rPr>
                <w:lang w:val="es-ES"/>
              </w:rPr>
              <w:t>115,1</w:t>
            </w:r>
            <w:r>
              <w:rPr>
                <w:lang w:val="es-ES"/>
              </w:rPr>
              <w:br/>
              <w:t>0,24</w:t>
            </w:r>
          </w:p>
        </w:tc>
        <w:tc>
          <w:tcPr>
            <w:tcW w:w="981" w:type="dxa"/>
            <w:vAlign w:val="center"/>
          </w:tcPr>
          <w:p w:rsidR="00DB4F60" w:rsidRDefault="00DB4F60">
            <w:pPr>
              <w:pStyle w:val="Tabletext"/>
              <w:framePr w:hSpace="181" w:wrap="notBeside" w:vAnchor="text" w:hAnchor="text" w:xAlign="center" w:y="1"/>
              <w:jc w:val="center"/>
              <w:rPr>
                <w:lang w:val="es-ES"/>
              </w:rPr>
            </w:pPr>
            <w:r>
              <w:rPr>
                <w:lang w:val="es-ES"/>
              </w:rPr>
              <w:t>138,1</w:t>
            </w:r>
            <w:r>
              <w:rPr>
                <w:lang w:val="es-ES"/>
              </w:rPr>
              <w:br/>
              <w:t>0,22</w:t>
            </w:r>
          </w:p>
        </w:tc>
        <w:tc>
          <w:tcPr>
            <w:tcW w:w="981" w:type="dxa"/>
            <w:vAlign w:val="center"/>
          </w:tcPr>
          <w:p w:rsidR="00DB4F60" w:rsidRDefault="00DB4F60">
            <w:pPr>
              <w:pStyle w:val="Tabletext"/>
              <w:framePr w:hSpace="181" w:wrap="notBeside" w:vAnchor="text" w:hAnchor="text" w:xAlign="center" w:y="1"/>
              <w:jc w:val="center"/>
              <w:rPr>
                <w:lang w:val="es-ES"/>
              </w:rPr>
            </w:pPr>
            <w:r>
              <w:rPr>
                <w:lang w:val="es-ES"/>
              </w:rPr>
              <w:t>93,2</w:t>
            </w:r>
            <w:r>
              <w:rPr>
                <w:lang w:val="es-ES"/>
              </w:rPr>
              <w:br/>
              <w:t>0,09</w:t>
            </w:r>
          </w:p>
        </w:tc>
        <w:tc>
          <w:tcPr>
            <w:tcW w:w="981" w:type="dxa"/>
            <w:vAlign w:val="center"/>
          </w:tcPr>
          <w:p w:rsidR="00DB4F60" w:rsidRDefault="00DB4F60">
            <w:pPr>
              <w:pStyle w:val="Tabletext"/>
              <w:framePr w:hSpace="181" w:wrap="notBeside" w:vAnchor="text" w:hAnchor="text" w:xAlign="center" w:y="1"/>
              <w:jc w:val="center"/>
              <w:rPr>
                <w:lang w:val="es-ES"/>
              </w:rPr>
            </w:pPr>
            <w:r>
              <w:rPr>
                <w:lang w:val="es-ES"/>
              </w:rPr>
              <w:t>164,5</w:t>
            </w:r>
            <w:r>
              <w:rPr>
                <w:lang w:val="es-ES"/>
              </w:rPr>
              <w:br/>
              <w:t>0,10</w:t>
            </w:r>
          </w:p>
        </w:tc>
        <w:tc>
          <w:tcPr>
            <w:tcW w:w="981" w:type="dxa"/>
            <w:vAlign w:val="center"/>
          </w:tcPr>
          <w:p w:rsidR="00DB4F60" w:rsidRDefault="00DB4F60">
            <w:pPr>
              <w:pStyle w:val="Tabletext"/>
              <w:framePr w:hSpace="181" w:wrap="notBeside" w:vAnchor="text" w:hAnchor="text" w:xAlign="center" w:y="1"/>
              <w:jc w:val="center"/>
              <w:rPr>
                <w:lang w:val="es-ES"/>
              </w:rPr>
            </w:pPr>
            <w:r>
              <w:rPr>
                <w:lang w:val="es-ES"/>
              </w:rPr>
              <w:t>163,6</w:t>
            </w:r>
            <w:r>
              <w:rPr>
                <w:lang w:val="es-ES"/>
              </w:rPr>
              <w:br/>
              <w:t>0,07</w:t>
            </w:r>
          </w:p>
        </w:tc>
      </w:tr>
    </w:tbl>
    <w:p w:rsidR="00DB4F60" w:rsidRDefault="00DB4F60">
      <w:pPr>
        <w:pStyle w:val="Tablefin"/>
        <w:rPr>
          <w:lang w:val="es-ES"/>
        </w:rPr>
      </w:pPr>
    </w:p>
    <w:p w:rsidR="00DB4F60" w:rsidRDefault="00DB4F60">
      <w:pPr>
        <w:rPr>
          <w:lang w:val="es-ES"/>
        </w:rPr>
      </w:pPr>
      <w:r>
        <w:rPr>
          <w:lang w:val="es-ES"/>
        </w:rPr>
        <w:t>Los telescopios astronómicos admiten una gran diversidad de tamaños y de longitudes focales. El Cuadro 4 contiene una relación de los parámetros pertinentes para evaluar la interferencia en los telescopios astronómicos.</w:t>
      </w:r>
    </w:p>
    <w:p w:rsidR="00DB4F60" w:rsidRDefault="00DB4F60">
      <w:pPr>
        <w:rPr>
          <w:lang w:val="es-ES"/>
        </w:rPr>
        <w:sectPr w:rsidR="00DB4F60">
          <w:headerReference w:type="even" r:id="rId19"/>
          <w:headerReference w:type="default" r:id="rId20"/>
          <w:footnotePr>
            <w:pos w:val="beneathText"/>
          </w:footnotePr>
          <w:pgSz w:w="11907" w:h="16834" w:code="9"/>
          <w:pgMar w:top="1418" w:right="1134" w:bottom="1134" w:left="1134" w:header="720" w:footer="482" w:gutter="0"/>
          <w:paperSrc w:first="15" w:other="15"/>
          <w:cols w:space="720"/>
          <w:vAlign w:val="both"/>
        </w:sectPr>
      </w:pPr>
    </w:p>
    <w:p w:rsidR="00DB4F60" w:rsidRDefault="00DB4F60">
      <w:pPr>
        <w:pStyle w:val="TableNo"/>
        <w:spacing w:before="0"/>
        <w:rPr>
          <w:lang w:val="es-ES"/>
        </w:rPr>
      </w:pPr>
      <w:r>
        <w:rPr>
          <w:lang w:val="es-ES"/>
        </w:rPr>
        <w:lastRenderedPageBreak/>
        <w:t>CUADRO  4</w:t>
      </w:r>
    </w:p>
    <w:p w:rsidR="00DB4F60" w:rsidRDefault="00DB4F60">
      <w:pPr>
        <w:pStyle w:val="Tabletitle"/>
        <w:rPr>
          <w:lang w:val="es-ES"/>
        </w:rPr>
      </w:pPr>
      <w:r>
        <w:rPr>
          <w:lang w:val="es-ES"/>
        </w:rPr>
        <w:t>Parámetros de algunos de los sistemas astronómicos más importantes situados en tierra que</w:t>
      </w:r>
      <w:r>
        <w:rPr>
          <w:lang w:val="es-ES"/>
        </w:rPr>
        <w:br/>
        <w:t xml:space="preserve">funcionan en la gama de 10 THz a 1 000 THz </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4094"/>
        <w:gridCol w:w="3028"/>
        <w:gridCol w:w="1463"/>
        <w:gridCol w:w="1032"/>
        <w:gridCol w:w="1191"/>
        <w:gridCol w:w="992"/>
      </w:tblGrid>
      <w:tr w:rsidR="00DB4F60">
        <w:trPr>
          <w:jc w:val="center"/>
        </w:trPr>
        <w:tc>
          <w:tcPr>
            <w:tcW w:w="2375" w:type="dxa"/>
          </w:tcPr>
          <w:p w:rsidR="00DB4F60" w:rsidRDefault="00DB4F60">
            <w:pPr>
              <w:pStyle w:val="Tablehead"/>
              <w:rPr>
                <w:lang w:val="es-ES"/>
              </w:rPr>
            </w:pPr>
            <w:r>
              <w:rPr>
                <w:lang w:val="es-ES"/>
              </w:rPr>
              <w:t xml:space="preserve">Diámetro de la apertura </w:t>
            </w:r>
            <w:r>
              <w:rPr>
                <w:lang w:val="es-ES"/>
              </w:rPr>
              <w:br/>
              <w:t>(m)</w:t>
            </w:r>
          </w:p>
        </w:tc>
        <w:tc>
          <w:tcPr>
            <w:tcW w:w="4094" w:type="dxa"/>
            <w:vAlign w:val="center"/>
          </w:tcPr>
          <w:p w:rsidR="00DB4F60" w:rsidRDefault="00DB4F60">
            <w:pPr>
              <w:pStyle w:val="Tablehead"/>
              <w:rPr>
                <w:lang w:val="es-ES"/>
              </w:rPr>
            </w:pPr>
            <w:r>
              <w:rPr>
                <w:lang w:val="es-ES"/>
              </w:rPr>
              <w:t>Telescopio</w:t>
            </w:r>
          </w:p>
        </w:tc>
        <w:tc>
          <w:tcPr>
            <w:tcW w:w="3028" w:type="dxa"/>
            <w:vAlign w:val="center"/>
          </w:tcPr>
          <w:p w:rsidR="00DB4F60" w:rsidRDefault="00DB4F60">
            <w:pPr>
              <w:pStyle w:val="Tablehead"/>
              <w:rPr>
                <w:lang w:val="es-ES"/>
              </w:rPr>
            </w:pPr>
            <w:r>
              <w:rPr>
                <w:lang w:val="es-ES"/>
              </w:rPr>
              <w:t>Ubicación</w:t>
            </w:r>
          </w:p>
        </w:tc>
        <w:tc>
          <w:tcPr>
            <w:tcW w:w="1463" w:type="dxa"/>
          </w:tcPr>
          <w:p w:rsidR="00DB4F60" w:rsidRDefault="00DB4F60">
            <w:pPr>
              <w:pStyle w:val="Tablehead"/>
              <w:rPr>
                <w:lang w:val="es-ES"/>
              </w:rPr>
            </w:pPr>
            <w:r>
              <w:rPr>
                <w:lang w:val="es-ES"/>
              </w:rPr>
              <w:t>Longitud focal</w:t>
            </w:r>
            <w:r>
              <w:rPr>
                <w:lang w:val="es-ES"/>
              </w:rPr>
              <w:br/>
              <w:t>(m)</w:t>
            </w:r>
          </w:p>
        </w:tc>
        <w:tc>
          <w:tcPr>
            <w:tcW w:w="1032" w:type="dxa"/>
          </w:tcPr>
          <w:p w:rsidR="00DB4F60" w:rsidRDefault="00DB4F60">
            <w:pPr>
              <w:pStyle w:val="Tablehead"/>
              <w:rPr>
                <w:lang w:val="es-ES"/>
              </w:rPr>
            </w:pPr>
            <w:r>
              <w:rPr>
                <w:lang w:val="es-ES"/>
              </w:rPr>
              <w:br/>
              <w:t>Latitud</w:t>
            </w:r>
            <w:r>
              <w:rPr>
                <w:lang w:val="es-ES"/>
              </w:rPr>
              <w:br/>
              <w:t>(ºN)</w:t>
            </w:r>
          </w:p>
        </w:tc>
        <w:tc>
          <w:tcPr>
            <w:tcW w:w="1191" w:type="dxa"/>
          </w:tcPr>
          <w:p w:rsidR="00DB4F60" w:rsidRDefault="00DB4F60">
            <w:pPr>
              <w:pStyle w:val="Tablehead"/>
              <w:rPr>
                <w:lang w:val="es-ES"/>
              </w:rPr>
            </w:pPr>
            <w:r>
              <w:rPr>
                <w:lang w:val="es-ES"/>
              </w:rPr>
              <w:br/>
              <w:t>Longitud</w:t>
            </w:r>
            <w:r>
              <w:rPr>
                <w:lang w:val="es-ES"/>
              </w:rPr>
              <w:br/>
              <w:t>(ºW)</w:t>
            </w:r>
          </w:p>
        </w:tc>
        <w:tc>
          <w:tcPr>
            <w:tcW w:w="992" w:type="dxa"/>
          </w:tcPr>
          <w:p w:rsidR="00DB4F60" w:rsidRDefault="00DB4F60">
            <w:pPr>
              <w:pStyle w:val="Tablehead"/>
              <w:rPr>
                <w:lang w:val="es-ES"/>
              </w:rPr>
            </w:pPr>
            <w:r>
              <w:rPr>
                <w:lang w:val="es-ES"/>
              </w:rPr>
              <w:br/>
              <w:t>Altura</w:t>
            </w:r>
            <w:r>
              <w:rPr>
                <w:lang w:val="es-ES"/>
              </w:rPr>
              <w:br/>
              <w:t>(m)</w:t>
            </w:r>
          </w:p>
        </w:tc>
      </w:tr>
      <w:tr w:rsidR="00DB4F60">
        <w:trPr>
          <w:cantSplit/>
          <w:jc w:val="center"/>
        </w:trPr>
        <w:tc>
          <w:tcPr>
            <w:tcW w:w="2375" w:type="dxa"/>
            <w:vMerge w:val="restart"/>
            <w:vAlign w:val="center"/>
          </w:tcPr>
          <w:p w:rsidR="00DB4F60" w:rsidRDefault="00DB4F60">
            <w:pPr>
              <w:pStyle w:val="Tabletext"/>
              <w:jc w:val="center"/>
              <w:rPr>
                <w:lang w:val="es-ES"/>
              </w:rPr>
            </w:pPr>
            <w:r>
              <w:rPr>
                <w:lang w:val="es-ES"/>
              </w:rPr>
              <w:t>10</w:t>
            </w:r>
          </w:p>
        </w:tc>
        <w:tc>
          <w:tcPr>
            <w:tcW w:w="4094" w:type="dxa"/>
          </w:tcPr>
          <w:p w:rsidR="00DB4F60" w:rsidRDefault="00DB4F60">
            <w:pPr>
              <w:pStyle w:val="Tabletext"/>
              <w:rPr>
                <w:lang w:val="es-ES"/>
              </w:rPr>
            </w:pPr>
            <w:r>
              <w:rPr>
                <w:lang w:val="es-ES"/>
              </w:rPr>
              <w:t>Keck I</w:t>
            </w:r>
          </w:p>
        </w:tc>
        <w:tc>
          <w:tcPr>
            <w:tcW w:w="3028" w:type="dxa"/>
            <w:vMerge w:val="restart"/>
            <w:vAlign w:val="center"/>
          </w:tcPr>
          <w:p w:rsidR="00DB4F60" w:rsidRDefault="00DB4F60">
            <w:pPr>
              <w:pStyle w:val="Tabletext"/>
              <w:jc w:val="left"/>
              <w:rPr>
                <w:lang w:val="es-ES"/>
              </w:rPr>
            </w:pPr>
            <w:r>
              <w:rPr>
                <w:lang w:val="es-ES"/>
              </w:rPr>
              <w:t>Mauna Kea, Hawai (Estados Unidos de América)</w:t>
            </w:r>
          </w:p>
        </w:tc>
        <w:tc>
          <w:tcPr>
            <w:tcW w:w="1463" w:type="dxa"/>
            <w:vMerge w:val="restart"/>
            <w:vAlign w:val="center"/>
          </w:tcPr>
          <w:p w:rsidR="00DB4F60" w:rsidRDefault="00DB4F60">
            <w:pPr>
              <w:pStyle w:val="Tabletext"/>
              <w:jc w:val="center"/>
              <w:rPr>
                <w:lang w:val="es-ES"/>
              </w:rPr>
            </w:pPr>
            <w:r>
              <w:rPr>
                <w:lang w:val="es-ES"/>
              </w:rPr>
              <w:t>17,5 (f/1,75)</w:t>
            </w:r>
          </w:p>
        </w:tc>
        <w:tc>
          <w:tcPr>
            <w:tcW w:w="1032" w:type="dxa"/>
            <w:vMerge w:val="restart"/>
            <w:vAlign w:val="center"/>
          </w:tcPr>
          <w:p w:rsidR="00DB4F60" w:rsidRDefault="00DB4F60">
            <w:pPr>
              <w:pStyle w:val="Tabletext"/>
              <w:jc w:val="center"/>
              <w:rPr>
                <w:lang w:val="es-ES"/>
              </w:rPr>
            </w:pPr>
            <w:r>
              <w:rPr>
                <w:lang w:val="es-ES"/>
              </w:rPr>
              <w:t>19,83</w:t>
            </w:r>
          </w:p>
        </w:tc>
        <w:tc>
          <w:tcPr>
            <w:tcW w:w="1191" w:type="dxa"/>
            <w:vMerge w:val="restart"/>
            <w:vAlign w:val="center"/>
          </w:tcPr>
          <w:p w:rsidR="00DB4F60" w:rsidRDefault="00DB4F60">
            <w:pPr>
              <w:pStyle w:val="Tabletext"/>
              <w:jc w:val="center"/>
              <w:rPr>
                <w:lang w:val="es-ES"/>
              </w:rPr>
            </w:pPr>
            <w:r>
              <w:rPr>
                <w:lang w:val="es-ES"/>
              </w:rPr>
              <w:t>155,47</w:t>
            </w:r>
          </w:p>
        </w:tc>
        <w:tc>
          <w:tcPr>
            <w:tcW w:w="992" w:type="dxa"/>
            <w:vMerge w:val="restart"/>
            <w:vAlign w:val="center"/>
          </w:tcPr>
          <w:p w:rsidR="00DB4F60" w:rsidRDefault="00DB4F60">
            <w:pPr>
              <w:pStyle w:val="Tabletext"/>
              <w:jc w:val="center"/>
              <w:rPr>
                <w:lang w:val="es-ES"/>
              </w:rPr>
            </w:pPr>
            <w:r>
              <w:rPr>
                <w:lang w:val="es-ES"/>
              </w:rPr>
              <w:t>4 123</w:t>
            </w:r>
          </w:p>
        </w:tc>
      </w:tr>
      <w:tr w:rsidR="00DB4F60">
        <w:trPr>
          <w:cantSplit/>
          <w:jc w:val="center"/>
        </w:trPr>
        <w:tc>
          <w:tcPr>
            <w:tcW w:w="2375" w:type="dxa"/>
            <w:vMerge/>
            <w:vAlign w:val="center"/>
          </w:tcPr>
          <w:p w:rsidR="00DB4F60" w:rsidRDefault="00DB4F60">
            <w:pPr>
              <w:pStyle w:val="Tabletext"/>
              <w:jc w:val="center"/>
              <w:rPr>
                <w:lang w:val="es-ES"/>
              </w:rPr>
            </w:pPr>
          </w:p>
        </w:tc>
        <w:tc>
          <w:tcPr>
            <w:tcW w:w="4094" w:type="dxa"/>
          </w:tcPr>
          <w:p w:rsidR="00DB4F60" w:rsidRDefault="00DB4F60">
            <w:pPr>
              <w:pStyle w:val="Tabletext"/>
              <w:jc w:val="left"/>
              <w:rPr>
                <w:lang w:val="es-ES"/>
              </w:rPr>
            </w:pPr>
            <w:r>
              <w:rPr>
                <w:lang w:val="es-ES"/>
              </w:rPr>
              <w:t>Keck II</w:t>
            </w:r>
          </w:p>
        </w:tc>
        <w:tc>
          <w:tcPr>
            <w:tcW w:w="3028" w:type="dxa"/>
            <w:vMerge/>
          </w:tcPr>
          <w:p w:rsidR="00DB4F60" w:rsidRDefault="00DB4F60">
            <w:pPr>
              <w:pStyle w:val="Tabletext"/>
              <w:jc w:val="left"/>
              <w:rPr>
                <w:lang w:val="es-ES"/>
              </w:rPr>
            </w:pPr>
          </w:p>
        </w:tc>
        <w:tc>
          <w:tcPr>
            <w:tcW w:w="1463" w:type="dxa"/>
            <w:vMerge/>
            <w:vAlign w:val="center"/>
          </w:tcPr>
          <w:p w:rsidR="00DB4F60" w:rsidRDefault="00DB4F60">
            <w:pPr>
              <w:pStyle w:val="Tabletext"/>
              <w:jc w:val="center"/>
              <w:rPr>
                <w:lang w:val="es-ES"/>
              </w:rPr>
            </w:pPr>
          </w:p>
        </w:tc>
        <w:tc>
          <w:tcPr>
            <w:tcW w:w="1032" w:type="dxa"/>
            <w:vMerge/>
            <w:vAlign w:val="center"/>
          </w:tcPr>
          <w:p w:rsidR="00DB4F60" w:rsidRDefault="00DB4F60">
            <w:pPr>
              <w:pStyle w:val="Tabletext"/>
              <w:jc w:val="center"/>
              <w:rPr>
                <w:lang w:val="es-ES"/>
              </w:rPr>
            </w:pPr>
          </w:p>
        </w:tc>
        <w:tc>
          <w:tcPr>
            <w:tcW w:w="1191" w:type="dxa"/>
            <w:vMerge/>
            <w:vAlign w:val="center"/>
          </w:tcPr>
          <w:p w:rsidR="00DB4F60" w:rsidRDefault="00DB4F60">
            <w:pPr>
              <w:pStyle w:val="Tabletext"/>
              <w:jc w:val="center"/>
              <w:rPr>
                <w:lang w:val="es-ES"/>
              </w:rPr>
            </w:pPr>
          </w:p>
        </w:tc>
        <w:tc>
          <w:tcPr>
            <w:tcW w:w="992" w:type="dxa"/>
            <w:vMerge/>
            <w:vAlign w:val="center"/>
          </w:tcPr>
          <w:p w:rsidR="00DB4F60" w:rsidRDefault="00DB4F60">
            <w:pPr>
              <w:pStyle w:val="Tabletext"/>
              <w:jc w:val="center"/>
              <w:rPr>
                <w:lang w:val="es-ES"/>
              </w:rPr>
            </w:pPr>
          </w:p>
        </w:tc>
      </w:tr>
      <w:tr w:rsidR="00DB4F60">
        <w:trPr>
          <w:jc w:val="center"/>
        </w:trPr>
        <w:tc>
          <w:tcPr>
            <w:tcW w:w="2375" w:type="dxa"/>
            <w:vAlign w:val="center"/>
          </w:tcPr>
          <w:p w:rsidR="00DB4F60" w:rsidRDefault="00DB4F60">
            <w:pPr>
              <w:pStyle w:val="Tabletext"/>
              <w:jc w:val="center"/>
              <w:rPr>
                <w:lang w:val="es-ES"/>
              </w:rPr>
            </w:pPr>
            <w:r>
              <w:rPr>
                <w:lang w:val="es-ES"/>
              </w:rPr>
              <w:t>9,2</w:t>
            </w:r>
          </w:p>
        </w:tc>
        <w:tc>
          <w:tcPr>
            <w:tcW w:w="4094" w:type="dxa"/>
          </w:tcPr>
          <w:p w:rsidR="00DB4F60" w:rsidRDefault="00DB4F60">
            <w:pPr>
              <w:pStyle w:val="Tabletext"/>
              <w:jc w:val="left"/>
              <w:rPr>
                <w:lang w:val="es-ES"/>
              </w:rPr>
            </w:pPr>
            <w:r>
              <w:rPr>
                <w:lang w:val="es-ES"/>
              </w:rPr>
              <w:t>Telescopio Hobby-Eberly (HET)</w:t>
            </w:r>
          </w:p>
        </w:tc>
        <w:tc>
          <w:tcPr>
            <w:tcW w:w="3028" w:type="dxa"/>
          </w:tcPr>
          <w:p w:rsidR="00DB4F60" w:rsidRDefault="00DB4F60">
            <w:pPr>
              <w:pStyle w:val="Tabletext"/>
              <w:jc w:val="left"/>
              <w:rPr>
                <w:lang w:val="es-ES"/>
              </w:rPr>
            </w:pPr>
            <w:r>
              <w:rPr>
                <w:lang w:val="es-ES"/>
              </w:rPr>
              <w:t>Mt Fowlkes, Texas (Estados Unidos de América)</w:t>
            </w:r>
          </w:p>
        </w:tc>
        <w:tc>
          <w:tcPr>
            <w:tcW w:w="1463" w:type="dxa"/>
            <w:vAlign w:val="center"/>
          </w:tcPr>
          <w:p w:rsidR="00DB4F60" w:rsidRDefault="00DB4F60">
            <w:pPr>
              <w:pStyle w:val="Tabletext"/>
              <w:jc w:val="center"/>
              <w:rPr>
                <w:lang w:val="es-ES"/>
              </w:rPr>
            </w:pPr>
            <w:r>
              <w:rPr>
                <w:lang w:val="es-ES"/>
              </w:rPr>
              <w:t>13,08 (f/1,4)</w:t>
            </w:r>
          </w:p>
        </w:tc>
        <w:tc>
          <w:tcPr>
            <w:tcW w:w="1032" w:type="dxa"/>
            <w:vAlign w:val="center"/>
          </w:tcPr>
          <w:p w:rsidR="00DB4F60" w:rsidRDefault="00DB4F60">
            <w:pPr>
              <w:pStyle w:val="Tabletext"/>
              <w:jc w:val="center"/>
              <w:rPr>
                <w:lang w:val="es-ES"/>
              </w:rPr>
            </w:pPr>
            <w:r>
              <w:rPr>
                <w:lang w:val="es-ES"/>
              </w:rPr>
              <w:t>30,67</w:t>
            </w:r>
          </w:p>
        </w:tc>
        <w:tc>
          <w:tcPr>
            <w:tcW w:w="1191" w:type="dxa"/>
            <w:vAlign w:val="center"/>
          </w:tcPr>
          <w:p w:rsidR="00DB4F60" w:rsidRDefault="00DB4F60">
            <w:pPr>
              <w:pStyle w:val="Tabletext"/>
              <w:jc w:val="center"/>
              <w:rPr>
                <w:lang w:val="es-ES"/>
              </w:rPr>
            </w:pPr>
            <w:r>
              <w:rPr>
                <w:lang w:val="es-ES"/>
              </w:rPr>
              <w:t>104,02</w:t>
            </w:r>
          </w:p>
        </w:tc>
        <w:tc>
          <w:tcPr>
            <w:tcW w:w="992" w:type="dxa"/>
            <w:vAlign w:val="center"/>
          </w:tcPr>
          <w:p w:rsidR="00DB4F60" w:rsidRDefault="00DB4F60">
            <w:pPr>
              <w:pStyle w:val="Tabletext"/>
              <w:jc w:val="center"/>
              <w:rPr>
                <w:lang w:val="es-ES"/>
              </w:rPr>
            </w:pPr>
            <w:r>
              <w:rPr>
                <w:lang w:val="es-ES"/>
              </w:rPr>
              <w:t>2 072</w:t>
            </w:r>
          </w:p>
        </w:tc>
      </w:tr>
      <w:tr w:rsidR="00DB4F60">
        <w:trPr>
          <w:cantSplit/>
          <w:jc w:val="center"/>
        </w:trPr>
        <w:tc>
          <w:tcPr>
            <w:tcW w:w="2375" w:type="dxa"/>
            <w:vAlign w:val="center"/>
          </w:tcPr>
          <w:p w:rsidR="00DB4F60" w:rsidRDefault="00DB4F60">
            <w:pPr>
              <w:pStyle w:val="Tabletext"/>
              <w:jc w:val="center"/>
              <w:rPr>
                <w:lang w:val="es-ES"/>
              </w:rPr>
            </w:pPr>
            <w:r>
              <w:rPr>
                <w:lang w:val="es-ES"/>
              </w:rPr>
              <w:t>8,3</w:t>
            </w:r>
          </w:p>
        </w:tc>
        <w:tc>
          <w:tcPr>
            <w:tcW w:w="4094" w:type="dxa"/>
          </w:tcPr>
          <w:p w:rsidR="00DB4F60" w:rsidRDefault="00DB4F60">
            <w:pPr>
              <w:pStyle w:val="Tabletext"/>
              <w:jc w:val="left"/>
              <w:rPr>
                <w:lang w:val="es-ES"/>
              </w:rPr>
            </w:pPr>
            <w:r>
              <w:rPr>
                <w:lang w:val="es-ES"/>
              </w:rPr>
              <w:t>Subaru</w:t>
            </w:r>
          </w:p>
        </w:tc>
        <w:tc>
          <w:tcPr>
            <w:tcW w:w="3028" w:type="dxa"/>
          </w:tcPr>
          <w:p w:rsidR="00DB4F60" w:rsidRDefault="00DB4F60">
            <w:pPr>
              <w:pStyle w:val="Tabletext"/>
              <w:jc w:val="left"/>
              <w:rPr>
                <w:lang w:val="es-ES"/>
              </w:rPr>
            </w:pPr>
            <w:r>
              <w:rPr>
                <w:lang w:val="es-ES"/>
              </w:rPr>
              <w:t>Mauna Kea, Hawai (Estados Unidos de América)</w:t>
            </w:r>
          </w:p>
        </w:tc>
        <w:tc>
          <w:tcPr>
            <w:tcW w:w="1463" w:type="dxa"/>
            <w:vAlign w:val="center"/>
          </w:tcPr>
          <w:p w:rsidR="00DB4F60" w:rsidRDefault="00DB4F60">
            <w:pPr>
              <w:pStyle w:val="Tabletext"/>
              <w:jc w:val="center"/>
              <w:rPr>
                <w:lang w:val="es-ES"/>
              </w:rPr>
            </w:pPr>
            <w:r>
              <w:rPr>
                <w:lang w:val="es-ES"/>
              </w:rPr>
              <w:t>15 (f/1,8)</w:t>
            </w:r>
          </w:p>
        </w:tc>
        <w:tc>
          <w:tcPr>
            <w:tcW w:w="1032" w:type="dxa"/>
            <w:vAlign w:val="center"/>
          </w:tcPr>
          <w:p w:rsidR="00DB4F60" w:rsidRDefault="00DB4F60">
            <w:pPr>
              <w:pStyle w:val="Tabletext"/>
              <w:jc w:val="center"/>
              <w:rPr>
                <w:lang w:val="es-ES"/>
              </w:rPr>
            </w:pPr>
            <w:r>
              <w:rPr>
                <w:lang w:val="es-ES"/>
              </w:rPr>
              <w:t>19,83</w:t>
            </w:r>
          </w:p>
        </w:tc>
        <w:tc>
          <w:tcPr>
            <w:tcW w:w="1191" w:type="dxa"/>
            <w:vAlign w:val="center"/>
          </w:tcPr>
          <w:p w:rsidR="00DB4F60" w:rsidRDefault="00DB4F60">
            <w:pPr>
              <w:pStyle w:val="Tabletext"/>
              <w:jc w:val="center"/>
              <w:rPr>
                <w:lang w:val="es-ES"/>
              </w:rPr>
            </w:pPr>
            <w:r>
              <w:rPr>
                <w:lang w:val="es-ES"/>
              </w:rPr>
              <w:t>155,47</w:t>
            </w:r>
          </w:p>
        </w:tc>
        <w:tc>
          <w:tcPr>
            <w:tcW w:w="992" w:type="dxa"/>
            <w:vAlign w:val="center"/>
          </w:tcPr>
          <w:p w:rsidR="00DB4F60" w:rsidRDefault="00DB4F60">
            <w:pPr>
              <w:pStyle w:val="Tabletext"/>
              <w:jc w:val="center"/>
              <w:rPr>
                <w:lang w:val="es-ES"/>
              </w:rPr>
            </w:pPr>
            <w:r>
              <w:rPr>
                <w:lang w:val="es-ES"/>
              </w:rPr>
              <w:t>4 100</w:t>
            </w:r>
          </w:p>
        </w:tc>
      </w:tr>
      <w:tr w:rsidR="00DB4F60">
        <w:trPr>
          <w:cantSplit/>
          <w:jc w:val="center"/>
        </w:trPr>
        <w:tc>
          <w:tcPr>
            <w:tcW w:w="2375" w:type="dxa"/>
            <w:vAlign w:val="center"/>
          </w:tcPr>
          <w:p w:rsidR="00DB4F60" w:rsidRDefault="00DB4F60">
            <w:pPr>
              <w:pStyle w:val="Tabletext"/>
              <w:jc w:val="center"/>
              <w:rPr>
                <w:lang w:val="es-ES"/>
              </w:rPr>
            </w:pPr>
            <w:r>
              <w:rPr>
                <w:lang w:val="es-ES"/>
              </w:rPr>
              <w:t xml:space="preserve">8,2 </w:t>
            </w:r>
            <w:r>
              <w:rPr>
                <w:lang w:val="es-ES"/>
              </w:rPr>
              <w:sym w:font="Symbol" w:char="F0B4"/>
            </w:r>
            <w:r>
              <w:rPr>
                <w:lang w:val="es-ES"/>
              </w:rPr>
              <w:t xml:space="preserve"> 4</w:t>
            </w:r>
          </w:p>
        </w:tc>
        <w:tc>
          <w:tcPr>
            <w:tcW w:w="4094" w:type="dxa"/>
            <w:vAlign w:val="center"/>
          </w:tcPr>
          <w:p w:rsidR="00DB4F60" w:rsidRDefault="00DB4F60">
            <w:pPr>
              <w:pStyle w:val="Tabletext"/>
              <w:jc w:val="left"/>
              <w:rPr>
                <w:lang w:val="es-ES"/>
              </w:rPr>
            </w:pPr>
            <w:r>
              <w:rPr>
                <w:lang w:val="es-ES"/>
              </w:rPr>
              <w:t>Telescopio de muy gran tamaño</w:t>
            </w:r>
          </w:p>
        </w:tc>
        <w:tc>
          <w:tcPr>
            <w:tcW w:w="3028" w:type="dxa"/>
            <w:vAlign w:val="center"/>
          </w:tcPr>
          <w:p w:rsidR="00DB4F60" w:rsidRDefault="00DB4F60">
            <w:pPr>
              <w:pStyle w:val="Tabletext"/>
              <w:jc w:val="left"/>
              <w:rPr>
                <w:lang w:val="es-ES"/>
              </w:rPr>
            </w:pPr>
            <w:r>
              <w:rPr>
                <w:lang w:val="es-ES"/>
              </w:rPr>
              <w:t>Cerro Paranal (Chile)</w:t>
            </w:r>
          </w:p>
        </w:tc>
        <w:tc>
          <w:tcPr>
            <w:tcW w:w="1463" w:type="dxa"/>
            <w:vAlign w:val="center"/>
          </w:tcPr>
          <w:p w:rsidR="00DB4F60" w:rsidRDefault="00DB4F60">
            <w:pPr>
              <w:pStyle w:val="Tabletext"/>
              <w:jc w:val="center"/>
              <w:rPr>
                <w:lang w:val="es-ES"/>
              </w:rPr>
            </w:pPr>
            <w:r>
              <w:rPr>
                <w:lang w:val="es-ES"/>
              </w:rPr>
              <w:t>14,8 (f/1,8)</w:t>
            </w:r>
          </w:p>
        </w:tc>
        <w:tc>
          <w:tcPr>
            <w:tcW w:w="1032" w:type="dxa"/>
            <w:vAlign w:val="center"/>
          </w:tcPr>
          <w:p w:rsidR="00DB4F60" w:rsidRDefault="00DB4F60">
            <w:pPr>
              <w:pStyle w:val="Tabletext"/>
              <w:jc w:val="center"/>
              <w:rPr>
                <w:lang w:val="es-ES"/>
              </w:rPr>
            </w:pPr>
            <w:r>
              <w:rPr>
                <w:lang w:val="es-ES"/>
              </w:rPr>
              <w:t>–24,63</w:t>
            </w:r>
          </w:p>
        </w:tc>
        <w:tc>
          <w:tcPr>
            <w:tcW w:w="1191" w:type="dxa"/>
            <w:vAlign w:val="center"/>
          </w:tcPr>
          <w:p w:rsidR="00DB4F60" w:rsidRDefault="00DB4F60">
            <w:pPr>
              <w:pStyle w:val="Tabletext"/>
              <w:jc w:val="center"/>
              <w:rPr>
                <w:lang w:val="es-ES"/>
              </w:rPr>
            </w:pPr>
            <w:r>
              <w:rPr>
                <w:lang w:val="es-ES"/>
              </w:rPr>
              <w:t>70,40</w:t>
            </w:r>
          </w:p>
        </w:tc>
        <w:tc>
          <w:tcPr>
            <w:tcW w:w="992" w:type="dxa"/>
            <w:vAlign w:val="center"/>
          </w:tcPr>
          <w:p w:rsidR="00DB4F60" w:rsidRDefault="00DB4F60">
            <w:pPr>
              <w:pStyle w:val="Tabletext"/>
              <w:jc w:val="center"/>
              <w:rPr>
                <w:lang w:val="es-ES"/>
              </w:rPr>
            </w:pPr>
            <w:r>
              <w:rPr>
                <w:lang w:val="es-ES"/>
              </w:rPr>
              <w:t>2 635</w:t>
            </w:r>
          </w:p>
        </w:tc>
      </w:tr>
      <w:tr w:rsidR="00DB4F60">
        <w:trPr>
          <w:cantSplit/>
          <w:jc w:val="center"/>
        </w:trPr>
        <w:tc>
          <w:tcPr>
            <w:tcW w:w="2375" w:type="dxa"/>
            <w:vMerge w:val="restart"/>
            <w:vAlign w:val="center"/>
          </w:tcPr>
          <w:p w:rsidR="00DB4F60" w:rsidRDefault="00DB4F60">
            <w:pPr>
              <w:pStyle w:val="Tabletext"/>
              <w:jc w:val="center"/>
              <w:rPr>
                <w:lang w:val="es-ES"/>
              </w:rPr>
            </w:pPr>
            <w:r>
              <w:rPr>
                <w:lang w:val="es-ES"/>
              </w:rPr>
              <w:t>8,0</w:t>
            </w:r>
          </w:p>
        </w:tc>
        <w:tc>
          <w:tcPr>
            <w:tcW w:w="4094" w:type="dxa"/>
          </w:tcPr>
          <w:p w:rsidR="00DB4F60" w:rsidRDefault="00DB4F60">
            <w:pPr>
              <w:pStyle w:val="Tabletext"/>
              <w:jc w:val="left"/>
              <w:rPr>
                <w:lang w:val="es-ES"/>
              </w:rPr>
            </w:pPr>
            <w:r>
              <w:rPr>
                <w:lang w:val="es-ES"/>
              </w:rPr>
              <w:t>Géminis Norte</w:t>
            </w:r>
          </w:p>
        </w:tc>
        <w:tc>
          <w:tcPr>
            <w:tcW w:w="3028" w:type="dxa"/>
          </w:tcPr>
          <w:p w:rsidR="00DB4F60" w:rsidRDefault="00DB4F60">
            <w:pPr>
              <w:pStyle w:val="Tabletext"/>
              <w:jc w:val="left"/>
              <w:rPr>
                <w:lang w:val="es-ES"/>
              </w:rPr>
            </w:pPr>
            <w:r>
              <w:rPr>
                <w:lang w:val="es-ES"/>
              </w:rPr>
              <w:t>Mauna Kea, Hawai (Estados Unidos de América)</w:t>
            </w:r>
          </w:p>
        </w:tc>
        <w:tc>
          <w:tcPr>
            <w:tcW w:w="1463" w:type="dxa"/>
            <w:vAlign w:val="center"/>
          </w:tcPr>
          <w:p w:rsidR="00DB4F60" w:rsidRDefault="00DB4F60">
            <w:pPr>
              <w:pStyle w:val="Tabletext"/>
              <w:jc w:val="center"/>
            </w:pPr>
            <w:r>
              <w:t>129,6 (f/16,2)</w:t>
            </w:r>
          </w:p>
        </w:tc>
        <w:tc>
          <w:tcPr>
            <w:tcW w:w="1032" w:type="dxa"/>
            <w:vAlign w:val="center"/>
          </w:tcPr>
          <w:p w:rsidR="00DB4F60" w:rsidRDefault="00DB4F60">
            <w:pPr>
              <w:pStyle w:val="Tabletext"/>
              <w:jc w:val="center"/>
            </w:pPr>
            <w:r>
              <w:t>19,83</w:t>
            </w:r>
          </w:p>
        </w:tc>
        <w:tc>
          <w:tcPr>
            <w:tcW w:w="1191" w:type="dxa"/>
            <w:vAlign w:val="center"/>
          </w:tcPr>
          <w:p w:rsidR="00DB4F60" w:rsidRDefault="00DB4F60">
            <w:pPr>
              <w:pStyle w:val="Tabletext"/>
              <w:jc w:val="center"/>
            </w:pPr>
            <w:r>
              <w:t>155,47</w:t>
            </w:r>
          </w:p>
        </w:tc>
        <w:tc>
          <w:tcPr>
            <w:tcW w:w="992" w:type="dxa"/>
            <w:vAlign w:val="center"/>
          </w:tcPr>
          <w:p w:rsidR="00DB4F60" w:rsidRDefault="00DB4F60">
            <w:pPr>
              <w:pStyle w:val="Tabletext"/>
              <w:jc w:val="center"/>
            </w:pPr>
            <w:r>
              <w:t>4 100</w:t>
            </w:r>
          </w:p>
        </w:tc>
      </w:tr>
      <w:tr w:rsidR="00DB4F60">
        <w:trPr>
          <w:cantSplit/>
          <w:jc w:val="center"/>
        </w:trPr>
        <w:tc>
          <w:tcPr>
            <w:tcW w:w="2375" w:type="dxa"/>
            <w:vMerge/>
            <w:vAlign w:val="center"/>
          </w:tcPr>
          <w:p w:rsidR="00DB4F60" w:rsidRDefault="00DB4F60">
            <w:pPr>
              <w:pStyle w:val="Tabletext"/>
              <w:jc w:val="center"/>
            </w:pPr>
          </w:p>
        </w:tc>
        <w:tc>
          <w:tcPr>
            <w:tcW w:w="4094" w:type="dxa"/>
          </w:tcPr>
          <w:p w:rsidR="00DB4F60" w:rsidRDefault="00DB4F60">
            <w:pPr>
              <w:pStyle w:val="Tabletext"/>
              <w:jc w:val="left"/>
            </w:pPr>
            <w:r>
              <w:t>Géminis Sur</w:t>
            </w:r>
          </w:p>
        </w:tc>
        <w:tc>
          <w:tcPr>
            <w:tcW w:w="3028" w:type="dxa"/>
          </w:tcPr>
          <w:p w:rsidR="00DB4F60" w:rsidRDefault="00DB4F60">
            <w:pPr>
              <w:pStyle w:val="Tabletext"/>
              <w:jc w:val="left"/>
              <w:rPr>
                <w:lang w:val="es-ES"/>
              </w:rPr>
            </w:pPr>
            <w:r>
              <w:rPr>
                <w:lang w:val="es-ES"/>
              </w:rPr>
              <w:t>Cerro Pachón (Chile)</w:t>
            </w:r>
          </w:p>
        </w:tc>
        <w:tc>
          <w:tcPr>
            <w:tcW w:w="1463" w:type="dxa"/>
            <w:vAlign w:val="center"/>
          </w:tcPr>
          <w:p w:rsidR="00DB4F60" w:rsidRDefault="00DB4F60">
            <w:pPr>
              <w:pStyle w:val="Tabletext"/>
              <w:jc w:val="center"/>
              <w:rPr>
                <w:lang w:val="es-ES"/>
              </w:rPr>
            </w:pPr>
            <w:r>
              <w:rPr>
                <w:lang w:val="es-ES"/>
              </w:rPr>
              <w:t>129,6 (f/16,2)</w:t>
            </w:r>
          </w:p>
        </w:tc>
        <w:tc>
          <w:tcPr>
            <w:tcW w:w="1032" w:type="dxa"/>
            <w:vAlign w:val="center"/>
          </w:tcPr>
          <w:p w:rsidR="00DB4F60" w:rsidRDefault="00DB4F60">
            <w:pPr>
              <w:pStyle w:val="Tabletext"/>
              <w:jc w:val="center"/>
              <w:rPr>
                <w:lang w:val="es-ES"/>
              </w:rPr>
            </w:pPr>
            <w:r>
              <w:rPr>
                <w:lang w:val="es-ES"/>
              </w:rPr>
              <w:t>–30,33</w:t>
            </w:r>
          </w:p>
        </w:tc>
        <w:tc>
          <w:tcPr>
            <w:tcW w:w="1191" w:type="dxa"/>
            <w:vAlign w:val="center"/>
          </w:tcPr>
          <w:p w:rsidR="00DB4F60" w:rsidRDefault="00DB4F60">
            <w:pPr>
              <w:pStyle w:val="Tabletext"/>
              <w:jc w:val="center"/>
              <w:rPr>
                <w:lang w:val="es-ES"/>
              </w:rPr>
            </w:pPr>
            <w:r>
              <w:rPr>
                <w:lang w:val="es-ES"/>
              </w:rPr>
              <w:t>70,98</w:t>
            </w:r>
          </w:p>
        </w:tc>
        <w:tc>
          <w:tcPr>
            <w:tcW w:w="992" w:type="dxa"/>
            <w:vAlign w:val="center"/>
          </w:tcPr>
          <w:p w:rsidR="00DB4F60" w:rsidRDefault="00DB4F60">
            <w:pPr>
              <w:pStyle w:val="Tabletext"/>
              <w:jc w:val="center"/>
              <w:rPr>
                <w:lang w:val="es-ES"/>
              </w:rPr>
            </w:pPr>
            <w:r>
              <w:rPr>
                <w:lang w:val="es-ES"/>
              </w:rPr>
              <w:t>2 737</w:t>
            </w:r>
          </w:p>
        </w:tc>
      </w:tr>
      <w:tr w:rsidR="00DB4F60">
        <w:trPr>
          <w:cantSplit/>
          <w:jc w:val="center"/>
        </w:trPr>
        <w:tc>
          <w:tcPr>
            <w:tcW w:w="2375" w:type="dxa"/>
            <w:vMerge w:val="restart"/>
            <w:vAlign w:val="center"/>
          </w:tcPr>
          <w:p w:rsidR="00DB4F60" w:rsidRDefault="00DB4F60">
            <w:pPr>
              <w:pStyle w:val="Tabletext"/>
              <w:jc w:val="center"/>
              <w:rPr>
                <w:lang w:val="es-ES"/>
              </w:rPr>
            </w:pPr>
            <w:r>
              <w:rPr>
                <w:lang w:val="es-ES"/>
              </w:rPr>
              <w:t>6,5</w:t>
            </w:r>
          </w:p>
        </w:tc>
        <w:tc>
          <w:tcPr>
            <w:tcW w:w="4094" w:type="dxa"/>
          </w:tcPr>
          <w:p w:rsidR="00DB4F60" w:rsidRDefault="00DB4F60">
            <w:pPr>
              <w:pStyle w:val="Tabletext"/>
              <w:jc w:val="left"/>
              <w:rPr>
                <w:lang w:val="es-ES"/>
              </w:rPr>
            </w:pPr>
            <w:r>
              <w:rPr>
                <w:lang w:val="es-ES"/>
              </w:rPr>
              <w:t>Telescopio de varios espejos (MMT)</w:t>
            </w:r>
          </w:p>
        </w:tc>
        <w:tc>
          <w:tcPr>
            <w:tcW w:w="3028" w:type="dxa"/>
          </w:tcPr>
          <w:p w:rsidR="00DB4F60" w:rsidRDefault="00DB4F60">
            <w:pPr>
              <w:pStyle w:val="Tabletext"/>
              <w:jc w:val="left"/>
              <w:rPr>
                <w:lang w:val="es-ES"/>
              </w:rPr>
            </w:pPr>
            <w:r>
              <w:rPr>
                <w:lang w:val="es-ES"/>
              </w:rPr>
              <w:t xml:space="preserve">Monte Hopkins, Arizona </w:t>
            </w:r>
            <w:r>
              <w:rPr>
                <w:lang w:val="es-ES"/>
              </w:rPr>
              <w:br/>
              <w:t>(Estados Unidos de América)</w:t>
            </w:r>
          </w:p>
        </w:tc>
        <w:tc>
          <w:tcPr>
            <w:tcW w:w="1463" w:type="dxa"/>
            <w:vAlign w:val="center"/>
          </w:tcPr>
          <w:p w:rsidR="00DB4F60" w:rsidRDefault="00DB4F60">
            <w:pPr>
              <w:pStyle w:val="Tabletext"/>
              <w:jc w:val="center"/>
              <w:rPr>
                <w:lang w:val="en-US"/>
              </w:rPr>
            </w:pPr>
            <w:r>
              <w:rPr>
                <w:lang w:val="en-US"/>
              </w:rPr>
              <w:t>8,1 (f/1,25)</w:t>
            </w:r>
          </w:p>
        </w:tc>
        <w:tc>
          <w:tcPr>
            <w:tcW w:w="1032" w:type="dxa"/>
            <w:vAlign w:val="center"/>
          </w:tcPr>
          <w:p w:rsidR="00DB4F60" w:rsidRDefault="00DB4F60">
            <w:pPr>
              <w:pStyle w:val="Tabletext"/>
              <w:jc w:val="center"/>
              <w:rPr>
                <w:lang w:val="en-US"/>
              </w:rPr>
            </w:pPr>
            <w:r>
              <w:rPr>
                <w:lang w:val="en-US"/>
              </w:rPr>
              <w:t>31,68</w:t>
            </w:r>
          </w:p>
        </w:tc>
        <w:tc>
          <w:tcPr>
            <w:tcW w:w="1191" w:type="dxa"/>
            <w:vAlign w:val="center"/>
          </w:tcPr>
          <w:p w:rsidR="00DB4F60" w:rsidRDefault="00DB4F60">
            <w:pPr>
              <w:pStyle w:val="Tabletext"/>
              <w:jc w:val="center"/>
              <w:rPr>
                <w:lang w:val="en-US"/>
              </w:rPr>
            </w:pPr>
            <w:r>
              <w:rPr>
                <w:lang w:val="en-US"/>
              </w:rPr>
              <w:t>110,88</w:t>
            </w:r>
          </w:p>
        </w:tc>
        <w:tc>
          <w:tcPr>
            <w:tcW w:w="992" w:type="dxa"/>
            <w:vAlign w:val="center"/>
          </w:tcPr>
          <w:p w:rsidR="00DB4F60" w:rsidRDefault="00DB4F60">
            <w:pPr>
              <w:pStyle w:val="Tabletext"/>
              <w:jc w:val="center"/>
              <w:rPr>
                <w:lang w:val="en-US"/>
              </w:rPr>
            </w:pPr>
            <w:r>
              <w:rPr>
                <w:lang w:val="en-US"/>
              </w:rPr>
              <w:t>2 600</w:t>
            </w:r>
          </w:p>
        </w:tc>
      </w:tr>
      <w:tr w:rsidR="00DB4F60">
        <w:trPr>
          <w:cantSplit/>
          <w:jc w:val="center"/>
        </w:trPr>
        <w:tc>
          <w:tcPr>
            <w:tcW w:w="2375" w:type="dxa"/>
            <w:vMerge/>
            <w:vAlign w:val="center"/>
          </w:tcPr>
          <w:p w:rsidR="00DB4F60" w:rsidRDefault="00DB4F60">
            <w:pPr>
              <w:pStyle w:val="Tabletext"/>
              <w:jc w:val="center"/>
              <w:rPr>
                <w:lang w:val="en-US"/>
              </w:rPr>
            </w:pPr>
          </w:p>
        </w:tc>
        <w:tc>
          <w:tcPr>
            <w:tcW w:w="4094" w:type="dxa"/>
          </w:tcPr>
          <w:p w:rsidR="00DB4F60" w:rsidRDefault="00DB4F60">
            <w:pPr>
              <w:pStyle w:val="Tabletext"/>
              <w:jc w:val="left"/>
              <w:rPr>
                <w:lang w:val="en-US"/>
              </w:rPr>
            </w:pPr>
            <w:r>
              <w:rPr>
                <w:lang w:val="en-US"/>
              </w:rPr>
              <w:t>Magellan I</w:t>
            </w:r>
          </w:p>
        </w:tc>
        <w:tc>
          <w:tcPr>
            <w:tcW w:w="3028" w:type="dxa"/>
          </w:tcPr>
          <w:p w:rsidR="00DB4F60" w:rsidRDefault="00DB4F60">
            <w:pPr>
              <w:pStyle w:val="Tabletext"/>
              <w:jc w:val="left"/>
              <w:rPr>
                <w:lang w:val="es-ES"/>
              </w:rPr>
            </w:pPr>
            <w:r>
              <w:rPr>
                <w:lang w:val="es-ES"/>
              </w:rPr>
              <w:t>La Serena (Chile)</w:t>
            </w:r>
          </w:p>
        </w:tc>
        <w:tc>
          <w:tcPr>
            <w:tcW w:w="1463" w:type="dxa"/>
            <w:vAlign w:val="center"/>
          </w:tcPr>
          <w:p w:rsidR="00DB4F60" w:rsidRDefault="00DB4F60">
            <w:pPr>
              <w:pStyle w:val="Tabletext"/>
              <w:jc w:val="center"/>
              <w:rPr>
                <w:lang w:val="es-ES"/>
              </w:rPr>
            </w:pPr>
            <w:r>
              <w:rPr>
                <w:lang w:val="es-ES"/>
              </w:rPr>
              <w:t>8,1 (f/1,25)</w:t>
            </w:r>
          </w:p>
        </w:tc>
        <w:tc>
          <w:tcPr>
            <w:tcW w:w="1032" w:type="dxa"/>
            <w:vAlign w:val="center"/>
          </w:tcPr>
          <w:p w:rsidR="00DB4F60" w:rsidRDefault="00DB4F60">
            <w:pPr>
              <w:pStyle w:val="Tabletext"/>
              <w:jc w:val="center"/>
              <w:rPr>
                <w:lang w:val="es-ES"/>
              </w:rPr>
            </w:pPr>
            <w:r>
              <w:rPr>
                <w:lang w:val="es-ES"/>
              </w:rPr>
              <w:t>–29,00</w:t>
            </w:r>
          </w:p>
        </w:tc>
        <w:tc>
          <w:tcPr>
            <w:tcW w:w="1191" w:type="dxa"/>
            <w:vAlign w:val="center"/>
          </w:tcPr>
          <w:p w:rsidR="00DB4F60" w:rsidRDefault="00DB4F60">
            <w:pPr>
              <w:pStyle w:val="Tabletext"/>
              <w:jc w:val="center"/>
              <w:rPr>
                <w:lang w:val="es-ES"/>
              </w:rPr>
            </w:pPr>
            <w:r>
              <w:rPr>
                <w:lang w:val="es-ES"/>
              </w:rPr>
              <w:t>70,71</w:t>
            </w:r>
          </w:p>
        </w:tc>
        <w:tc>
          <w:tcPr>
            <w:tcW w:w="992" w:type="dxa"/>
            <w:vAlign w:val="center"/>
          </w:tcPr>
          <w:p w:rsidR="00DB4F60" w:rsidRDefault="00DB4F60">
            <w:pPr>
              <w:pStyle w:val="Tabletext"/>
              <w:jc w:val="center"/>
              <w:rPr>
                <w:lang w:val="es-ES"/>
              </w:rPr>
            </w:pPr>
            <w:r>
              <w:rPr>
                <w:lang w:val="es-ES"/>
              </w:rPr>
              <w:t>2 282</w:t>
            </w:r>
          </w:p>
        </w:tc>
      </w:tr>
      <w:tr w:rsidR="00DB4F60">
        <w:trPr>
          <w:cantSplit/>
          <w:jc w:val="center"/>
        </w:trPr>
        <w:tc>
          <w:tcPr>
            <w:tcW w:w="2375" w:type="dxa"/>
            <w:vAlign w:val="center"/>
          </w:tcPr>
          <w:p w:rsidR="00DB4F60" w:rsidRDefault="00DB4F60">
            <w:pPr>
              <w:pStyle w:val="Tabletext"/>
              <w:jc w:val="center"/>
              <w:rPr>
                <w:lang w:val="es-ES"/>
              </w:rPr>
            </w:pPr>
            <w:r>
              <w:rPr>
                <w:lang w:val="es-ES"/>
              </w:rPr>
              <w:t>6,0</w:t>
            </w:r>
          </w:p>
        </w:tc>
        <w:tc>
          <w:tcPr>
            <w:tcW w:w="4094" w:type="dxa"/>
          </w:tcPr>
          <w:p w:rsidR="00DB4F60" w:rsidRDefault="00DB4F60">
            <w:pPr>
              <w:pStyle w:val="Tabletext"/>
              <w:jc w:val="left"/>
              <w:rPr>
                <w:lang w:val="es-ES"/>
              </w:rPr>
            </w:pPr>
            <w:r>
              <w:rPr>
                <w:lang w:val="es-ES"/>
              </w:rPr>
              <w:t>Telescopio Acimutal Bolshoi (BTA)</w:t>
            </w:r>
          </w:p>
        </w:tc>
        <w:tc>
          <w:tcPr>
            <w:tcW w:w="3028" w:type="dxa"/>
          </w:tcPr>
          <w:p w:rsidR="00DB4F60" w:rsidRDefault="00DB4F60">
            <w:pPr>
              <w:pStyle w:val="Tabletext"/>
              <w:jc w:val="left"/>
              <w:rPr>
                <w:lang w:val="es-ES"/>
              </w:rPr>
            </w:pPr>
            <w:r>
              <w:rPr>
                <w:lang w:val="es-ES"/>
              </w:rPr>
              <w:t>Zelenschuskaya (Federación</w:t>
            </w:r>
            <w:r>
              <w:rPr>
                <w:lang w:val="es-ES"/>
              </w:rPr>
              <w:br/>
              <w:t>de Rusia)</w:t>
            </w:r>
          </w:p>
        </w:tc>
        <w:tc>
          <w:tcPr>
            <w:tcW w:w="1463" w:type="dxa"/>
            <w:vAlign w:val="center"/>
          </w:tcPr>
          <w:p w:rsidR="00DB4F60" w:rsidRDefault="00DB4F60">
            <w:pPr>
              <w:pStyle w:val="Tabletext"/>
              <w:jc w:val="center"/>
              <w:rPr>
                <w:lang w:val="es-ES"/>
              </w:rPr>
            </w:pPr>
            <w:r>
              <w:rPr>
                <w:lang w:val="es-ES"/>
              </w:rPr>
              <w:t>24 (f/4,0)</w:t>
            </w:r>
          </w:p>
        </w:tc>
        <w:tc>
          <w:tcPr>
            <w:tcW w:w="1032" w:type="dxa"/>
            <w:vAlign w:val="center"/>
          </w:tcPr>
          <w:p w:rsidR="00DB4F60" w:rsidRDefault="00DB4F60">
            <w:pPr>
              <w:pStyle w:val="Tabletext"/>
              <w:jc w:val="center"/>
              <w:rPr>
                <w:lang w:val="es-ES"/>
              </w:rPr>
            </w:pPr>
            <w:r>
              <w:rPr>
                <w:lang w:val="es-ES"/>
              </w:rPr>
              <w:t>43,39</w:t>
            </w:r>
          </w:p>
        </w:tc>
        <w:tc>
          <w:tcPr>
            <w:tcW w:w="1191" w:type="dxa"/>
            <w:vAlign w:val="center"/>
          </w:tcPr>
          <w:p w:rsidR="00DB4F60" w:rsidRDefault="00DB4F60">
            <w:pPr>
              <w:pStyle w:val="Tabletext"/>
              <w:jc w:val="center"/>
              <w:rPr>
                <w:lang w:val="es-ES"/>
              </w:rPr>
            </w:pPr>
            <w:r>
              <w:rPr>
                <w:lang w:val="es-ES"/>
              </w:rPr>
              <w:t>41,26</w:t>
            </w:r>
          </w:p>
        </w:tc>
        <w:tc>
          <w:tcPr>
            <w:tcW w:w="992" w:type="dxa"/>
            <w:vAlign w:val="center"/>
          </w:tcPr>
          <w:p w:rsidR="00DB4F60" w:rsidRDefault="00DB4F60">
            <w:pPr>
              <w:pStyle w:val="Tabletext"/>
              <w:jc w:val="center"/>
              <w:rPr>
                <w:lang w:val="es-ES"/>
              </w:rPr>
            </w:pPr>
            <w:r>
              <w:rPr>
                <w:lang w:val="es-ES"/>
              </w:rPr>
              <w:t>2 070</w:t>
            </w:r>
          </w:p>
        </w:tc>
      </w:tr>
      <w:tr w:rsidR="00DB4F60">
        <w:trPr>
          <w:jc w:val="center"/>
        </w:trPr>
        <w:tc>
          <w:tcPr>
            <w:tcW w:w="2375" w:type="dxa"/>
            <w:vAlign w:val="center"/>
          </w:tcPr>
          <w:p w:rsidR="00DB4F60" w:rsidRDefault="00DB4F60">
            <w:pPr>
              <w:pStyle w:val="Tabletext"/>
              <w:jc w:val="center"/>
              <w:rPr>
                <w:lang w:val="es-ES"/>
              </w:rPr>
            </w:pPr>
            <w:r>
              <w:rPr>
                <w:lang w:val="es-ES"/>
              </w:rPr>
              <w:t>5,0</w:t>
            </w:r>
          </w:p>
        </w:tc>
        <w:tc>
          <w:tcPr>
            <w:tcW w:w="4094" w:type="dxa"/>
          </w:tcPr>
          <w:p w:rsidR="00DB4F60" w:rsidRDefault="00DB4F60">
            <w:pPr>
              <w:pStyle w:val="Tabletext"/>
              <w:jc w:val="left"/>
              <w:rPr>
                <w:lang w:val="es-ES"/>
              </w:rPr>
            </w:pPr>
            <w:r>
              <w:rPr>
                <w:lang w:val="es-ES"/>
              </w:rPr>
              <w:t>Hale</w:t>
            </w:r>
          </w:p>
        </w:tc>
        <w:tc>
          <w:tcPr>
            <w:tcW w:w="3028" w:type="dxa"/>
          </w:tcPr>
          <w:p w:rsidR="00DB4F60" w:rsidRDefault="00DB4F60">
            <w:pPr>
              <w:pStyle w:val="Tabletext"/>
              <w:jc w:val="left"/>
              <w:rPr>
                <w:lang w:val="es-ES"/>
              </w:rPr>
            </w:pPr>
            <w:r>
              <w:rPr>
                <w:lang w:val="es-ES"/>
              </w:rPr>
              <w:t xml:space="preserve">Palomar Mt, California </w:t>
            </w:r>
            <w:r>
              <w:rPr>
                <w:lang w:val="es-ES"/>
              </w:rPr>
              <w:br/>
              <w:t>(Estados Unidos de América)</w:t>
            </w:r>
          </w:p>
        </w:tc>
        <w:tc>
          <w:tcPr>
            <w:tcW w:w="1463" w:type="dxa"/>
            <w:vAlign w:val="center"/>
          </w:tcPr>
          <w:p w:rsidR="00DB4F60" w:rsidRDefault="00DB4F60">
            <w:pPr>
              <w:pStyle w:val="Tabletext"/>
              <w:jc w:val="center"/>
              <w:rPr>
                <w:lang w:val="en-US"/>
              </w:rPr>
            </w:pPr>
            <w:r>
              <w:rPr>
                <w:lang w:val="en-US"/>
              </w:rPr>
              <w:t>16,5 (f/3,3)</w:t>
            </w:r>
          </w:p>
        </w:tc>
        <w:tc>
          <w:tcPr>
            <w:tcW w:w="1032" w:type="dxa"/>
            <w:vAlign w:val="center"/>
          </w:tcPr>
          <w:p w:rsidR="00DB4F60" w:rsidRDefault="00DB4F60">
            <w:pPr>
              <w:pStyle w:val="Tabletext"/>
              <w:jc w:val="center"/>
              <w:rPr>
                <w:lang w:val="en-US"/>
              </w:rPr>
            </w:pPr>
            <w:r>
              <w:rPr>
                <w:lang w:val="en-US"/>
              </w:rPr>
              <w:t>33,35</w:t>
            </w:r>
          </w:p>
        </w:tc>
        <w:tc>
          <w:tcPr>
            <w:tcW w:w="1191" w:type="dxa"/>
            <w:vAlign w:val="center"/>
          </w:tcPr>
          <w:p w:rsidR="00DB4F60" w:rsidRDefault="00DB4F60">
            <w:pPr>
              <w:pStyle w:val="Tabletext"/>
              <w:jc w:val="center"/>
              <w:rPr>
                <w:lang w:val="en-US"/>
              </w:rPr>
            </w:pPr>
            <w:r>
              <w:rPr>
                <w:lang w:val="en-US"/>
              </w:rPr>
              <w:t>116,87</w:t>
            </w:r>
          </w:p>
        </w:tc>
        <w:tc>
          <w:tcPr>
            <w:tcW w:w="992" w:type="dxa"/>
            <w:vAlign w:val="center"/>
          </w:tcPr>
          <w:p w:rsidR="00DB4F60" w:rsidRDefault="00DB4F60">
            <w:pPr>
              <w:pStyle w:val="Tabletext"/>
              <w:jc w:val="center"/>
              <w:rPr>
                <w:lang w:val="en-US"/>
              </w:rPr>
            </w:pPr>
            <w:r>
              <w:rPr>
                <w:lang w:val="en-US"/>
              </w:rPr>
              <w:t>1 900</w:t>
            </w:r>
          </w:p>
        </w:tc>
      </w:tr>
      <w:tr w:rsidR="00DB4F60">
        <w:trPr>
          <w:jc w:val="center"/>
        </w:trPr>
        <w:tc>
          <w:tcPr>
            <w:tcW w:w="2375" w:type="dxa"/>
            <w:vAlign w:val="center"/>
          </w:tcPr>
          <w:p w:rsidR="00DB4F60" w:rsidRDefault="00DB4F60">
            <w:pPr>
              <w:pStyle w:val="Tabletext"/>
              <w:jc w:val="center"/>
              <w:rPr>
                <w:lang w:val="en-US"/>
              </w:rPr>
            </w:pPr>
            <w:r>
              <w:rPr>
                <w:lang w:val="en-US"/>
              </w:rPr>
              <w:t>4,2</w:t>
            </w:r>
          </w:p>
        </w:tc>
        <w:tc>
          <w:tcPr>
            <w:tcW w:w="4094" w:type="dxa"/>
          </w:tcPr>
          <w:p w:rsidR="00DB4F60" w:rsidRDefault="00DB4F60">
            <w:pPr>
              <w:pStyle w:val="Tabletext"/>
              <w:jc w:val="left"/>
              <w:rPr>
                <w:lang w:val="en-US"/>
              </w:rPr>
            </w:pPr>
            <w:r>
              <w:rPr>
                <w:lang w:val="en-US"/>
              </w:rPr>
              <w:t>Telescopio William Herschel (WHT)</w:t>
            </w:r>
          </w:p>
        </w:tc>
        <w:tc>
          <w:tcPr>
            <w:tcW w:w="3028" w:type="dxa"/>
          </w:tcPr>
          <w:p w:rsidR="00DB4F60" w:rsidRDefault="00DB4F60">
            <w:pPr>
              <w:pStyle w:val="Tabletext"/>
              <w:jc w:val="left"/>
              <w:rPr>
                <w:lang w:val="es-ES"/>
              </w:rPr>
            </w:pPr>
            <w:r>
              <w:rPr>
                <w:lang w:val="es-ES"/>
              </w:rPr>
              <w:t>Roque de los Muchachos (España)</w:t>
            </w:r>
          </w:p>
        </w:tc>
        <w:tc>
          <w:tcPr>
            <w:tcW w:w="1463" w:type="dxa"/>
            <w:vAlign w:val="center"/>
          </w:tcPr>
          <w:p w:rsidR="00DB4F60" w:rsidRDefault="00DB4F60">
            <w:pPr>
              <w:pStyle w:val="Tabletext"/>
              <w:jc w:val="center"/>
              <w:rPr>
                <w:lang w:val="es-ES"/>
              </w:rPr>
            </w:pPr>
            <w:r>
              <w:rPr>
                <w:lang w:val="es-ES"/>
              </w:rPr>
              <w:t>10,5 (f/2,5)</w:t>
            </w:r>
          </w:p>
        </w:tc>
        <w:tc>
          <w:tcPr>
            <w:tcW w:w="1032" w:type="dxa"/>
            <w:vAlign w:val="center"/>
          </w:tcPr>
          <w:p w:rsidR="00DB4F60" w:rsidRDefault="00DB4F60">
            <w:pPr>
              <w:pStyle w:val="Tabletext"/>
              <w:jc w:val="center"/>
              <w:rPr>
                <w:lang w:val="es-ES"/>
              </w:rPr>
            </w:pPr>
            <w:r>
              <w:rPr>
                <w:lang w:val="es-ES"/>
              </w:rPr>
              <w:t>28,45</w:t>
            </w:r>
          </w:p>
        </w:tc>
        <w:tc>
          <w:tcPr>
            <w:tcW w:w="1191" w:type="dxa"/>
            <w:vAlign w:val="center"/>
          </w:tcPr>
          <w:p w:rsidR="00DB4F60" w:rsidRDefault="00DB4F60">
            <w:pPr>
              <w:pStyle w:val="Tabletext"/>
              <w:jc w:val="center"/>
              <w:rPr>
                <w:lang w:val="es-ES"/>
              </w:rPr>
            </w:pPr>
            <w:r>
              <w:rPr>
                <w:lang w:val="es-ES"/>
              </w:rPr>
              <w:t>17,52</w:t>
            </w:r>
          </w:p>
        </w:tc>
        <w:tc>
          <w:tcPr>
            <w:tcW w:w="992" w:type="dxa"/>
            <w:vAlign w:val="center"/>
          </w:tcPr>
          <w:p w:rsidR="00DB4F60" w:rsidRDefault="00DB4F60">
            <w:pPr>
              <w:pStyle w:val="Tabletext"/>
              <w:jc w:val="center"/>
              <w:rPr>
                <w:lang w:val="es-ES"/>
              </w:rPr>
            </w:pPr>
            <w:r>
              <w:rPr>
                <w:lang w:val="es-ES"/>
              </w:rPr>
              <w:t>2 350</w:t>
            </w:r>
          </w:p>
        </w:tc>
      </w:tr>
      <w:tr w:rsidR="00DB4F60">
        <w:trPr>
          <w:jc w:val="center"/>
        </w:trPr>
        <w:tc>
          <w:tcPr>
            <w:tcW w:w="2375" w:type="dxa"/>
            <w:vAlign w:val="center"/>
          </w:tcPr>
          <w:p w:rsidR="00DB4F60" w:rsidRDefault="00DB4F60">
            <w:pPr>
              <w:pStyle w:val="Tabletext"/>
              <w:jc w:val="center"/>
              <w:rPr>
                <w:lang w:val="es-ES"/>
              </w:rPr>
            </w:pPr>
            <w:r>
              <w:rPr>
                <w:lang w:val="es-ES"/>
              </w:rPr>
              <w:t>4,0</w:t>
            </w:r>
          </w:p>
        </w:tc>
        <w:tc>
          <w:tcPr>
            <w:tcW w:w="4094" w:type="dxa"/>
          </w:tcPr>
          <w:p w:rsidR="00DB4F60" w:rsidRDefault="00DB4F60">
            <w:pPr>
              <w:pStyle w:val="Tabletext"/>
              <w:jc w:val="left"/>
              <w:rPr>
                <w:lang w:val="es-ES"/>
              </w:rPr>
            </w:pPr>
            <w:r>
              <w:rPr>
                <w:lang w:val="es-ES"/>
              </w:rPr>
              <w:t>Víctor M. Blanco</w:t>
            </w:r>
          </w:p>
        </w:tc>
        <w:tc>
          <w:tcPr>
            <w:tcW w:w="3028" w:type="dxa"/>
          </w:tcPr>
          <w:p w:rsidR="00DB4F60" w:rsidRDefault="00DB4F60">
            <w:pPr>
              <w:pStyle w:val="Tabletext"/>
              <w:jc w:val="left"/>
              <w:rPr>
                <w:lang w:val="es-ES"/>
              </w:rPr>
            </w:pPr>
            <w:r>
              <w:rPr>
                <w:lang w:val="es-ES"/>
              </w:rPr>
              <w:t>Cerro Tololo (Chile)</w:t>
            </w:r>
          </w:p>
        </w:tc>
        <w:tc>
          <w:tcPr>
            <w:tcW w:w="1463" w:type="dxa"/>
            <w:vAlign w:val="center"/>
          </w:tcPr>
          <w:p w:rsidR="00DB4F60" w:rsidRDefault="00DB4F60">
            <w:pPr>
              <w:pStyle w:val="Tabletext"/>
              <w:jc w:val="center"/>
              <w:rPr>
                <w:lang w:val="es-ES"/>
              </w:rPr>
            </w:pPr>
            <w:r>
              <w:rPr>
                <w:lang w:val="es-ES"/>
              </w:rPr>
              <w:t>11,5 (f/2,9)</w:t>
            </w:r>
          </w:p>
        </w:tc>
        <w:tc>
          <w:tcPr>
            <w:tcW w:w="1032" w:type="dxa"/>
            <w:vAlign w:val="center"/>
          </w:tcPr>
          <w:p w:rsidR="00DB4F60" w:rsidRDefault="00DB4F60">
            <w:pPr>
              <w:pStyle w:val="Tabletext"/>
              <w:jc w:val="center"/>
              <w:rPr>
                <w:lang w:val="es-ES"/>
              </w:rPr>
            </w:pPr>
            <w:r>
              <w:rPr>
                <w:lang w:val="es-ES"/>
              </w:rPr>
              <w:t>–30,17</w:t>
            </w:r>
          </w:p>
        </w:tc>
        <w:tc>
          <w:tcPr>
            <w:tcW w:w="1191" w:type="dxa"/>
            <w:vAlign w:val="center"/>
          </w:tcPr>
          <w:p w:rsidR="00DB4F60" w:rsidRDefault="00DB4F60">
            <w:pPr>
              <w:pStyle w:val="Tabletext"/>
              <w:jc w:val="center"/>
              <w:rPr>
                <w:lang w:val="es-ES"/>
              </w:rPr>
            </w:pPr>
            <w:r>
              <w:rPr>
                <w:lang w:val="es-ES"/>
              </w:rPr>
              <w:t>70,82</w:t>
            </w:r>
          </w:p>
        </w:tc>
        <w:tc>
          <w:tcPr>
            <w:tcW w:w="992" w:type="dxa"/>
            <w:vAlign w:val="center"/>
          </w:tcPr>
          <w:p w:rsidR="00DB4F60" w:rsidRDefault="00DB4F60">
            <w:pPr>
              <w:pStyle w:val="Tabletext"/>
              <w:jc w:val="center"/>
              <w:rPr>
                <w:lang w:val="es-ES"/>
              </w:rPr>
            </w:pPr>
            <w:r>
              <w:rPr>
                <w:lang w:val="es-ES"/>
              </w:rPr>
              <w:t>2 200</w:t>
            </w:r>
          </w:p>
        </w:tc>
      </w:tr>
      <w:tr w:rsidR="00DB4F60">
        <w:trPr>
          <w:trHeight w:val="357"/>
          <w:jc w:val="center"/>
        </w:trPr>
        <w:tc>
          <w:tcPr>
            <w:tcW w:w="2375" w:type="dxa"/>
            <w:vAlign w:val="center"/>
          </w:tcPr>
          <w:p w:rsidR="00DB4F60" w:rsidRDefault="00DB4F60">
            <w:pPr>
              <w:pStyle w:val="Tabletext"/>
              <w:jc w:val="center"/>
              <w:rPr>
                <w:lang w:val="es-ES"/>
              </w:rPr>
            </w:pPr>
            <w:r>
              <w:rPr>
                <w:lang w:val="es-ES"/>
              </w:rPr>
              <w:t xml:space="preserve">4,0 </w:t>
            </w:r>
          </w:p>
        </w:tc>
        <w:tc>
          <w:tcPr>
            <w:tcW w:w="4094" w:type="dxa"/>
          </w:tcPr>
          <w:p w:rsidR="00DB4F60" w:rsidRDefault="00DB4F60">
            <w:pPr>
              <w:pStyle w:val="Tabletext"/>
              <w:jc w:val="left"/>
              <w:rPr>
                <w:lang w:val="es-ES"/>
              </w:rPr>
            </w:pPr>
            <w:r>
              <w:rPr>
                <w:lang w:val="es-ES"/>
              </w:rPr>
              <w:t>Mayall</w:t>
            </w:r>
          </w:p>
        </w:tc>
        <w:tc>
          <w:tcPr>
            <w:tcW w:w="3028" w:type="dxa"/>
          </w:tcPr>
          <w:p w:rsidR="00DB4F60" w:rsidRDefault="00DB4F60">
            <w:pPr>
              <w:pStyle w:val="Tabletext"/>
              <w:jc w:val="left"/>
              <w:rPr>
                <w:lang w:val="es-ES"/>
              </w:rPr>
            </w:pPr>
            <w:r>
              <w:rPr>
                <w:lang w:val="es-ES"/>
              </w:rPr>
              <w:t>Kitt Peak, Arizona (Estados Unidos de América)</w:t>
            </w:r>
          </w:p>
        </w:tc>
        <w:tc>
          <w:tcPr>
            <w:tcW w:w="1463" w:type="dxa"/>
            <w:vAlign w:val="center"/>
          </w:tcPr>
          <w:p w:rsidR="00DB4F60" w:rsidRDefault="00DB4F60">
            <w:pPr>
              <w:pStyle w:val="Tabletext"/>
              <w:jc w:val="center"/>
              <w:rPr>
                <w:lang w:val="es-ES"/>
              </w:rPr>
            </w:pPr>
            <w:r>
              <w:rPr>
                <w:lang w:val="es-ES"/>
              </w:rPr>
              <w:t>10,3 (f/2,7)</w:t>
            </w:r>
          </w:p>
        </w:tc>
        <w:tc>
          <w:tcPr>
            <w:tcW w:w="1032" w:type="dxa"/>
            <w:vAlign w:val="center"/>
          </w:tcPr>
          <w:p w:rsidR="00DB4F60" w:rsidRDefault="00DB4F60">
            <w:pPr>
              <w:pStyle w:val="Tabletext"/>
              <w:jc w:val="center"/>
              <w:rPr>
                <w:lang w:val="es-ES"/>
              </w:rPr>
            </w:pPr>
            <w:r>
              <w:rPr>
                <w:lang w:val="es-ES"/>
              </w:rPr>
              <w:t>31,95</w:t>
            </w:r>
          </w:p>
        </w:tc>
        <w:tc>
          <w:tcPr>
            <w:tcW w:w="1191" w:type="dxa"/>
            <w:vAlign w:val="center"/>
          </w:tcPr>
          <w:p w:rsidR="00DB4F60" w:rsidRDefault="00DB4F60">
            <w:pPr>
              <w:pStyle w:val="Tabletext"/>
              <w:jc w:val="center"/>
              <w:rPr>
                <w:lang w:val="es-ES"/>
              </w:rPr>
            </w:pPr>
            <w:r>
              <w:rPr>
                <w:lang w:val="es-ES"/>
              </w:rPr>
              <w:t>111,62</w:t>
            </w:r>
          </w:p>
        </w:tc>
        <w:tc>
          <w:tcPr>
            <w:tcW w:w="992" w:type="dxa"/>
            <w:vAlign w:val="center"/>
          </w:tcPr>
          <w:p w:rsidR="00DB4F60" w:rsidRDefault="00DB4F60">
            <w:pPr>
              <w:pStyle w:val="Tabletext"/>
              <w:jc w:val="center"/>
              <w:rPr>
                <w:lang w:val="es-ES"/>
              </w:rPr>
            </w:pPr>
            <w:r>
              <w:rPr>
                <w:lang w:val="es-ES"/>
              </w:rPr>
              <w:t>2 100</w:t>
            </w:r>
          </w:p>
        </w:tc>
      </w:tr>
      <w:tr w:rsidR="00DB4F60">
        <w:trPr>
          <w:trHeight w:val="357"/>
          <w:jc w:val="center"/>
        </w:trPr>
        <w:tc>
          <w:tcPr>
            <w:tcW w:w="2375" w:type="dxa"/>
            <w:vAlign w:val="center"/>
          </w:tcPr>
          <w:p w:rsidR="00DB4F60" w:rsidRDefault="00DB4F60">
            <w:pPr>
              <w:pStyle w:val="Tabletext"/>
              <w:jc w:val="center"/>
              <w:rPr>
                <w:lang w:val="es-ES"/>
              </w:rPr>
            </w:pPr>
            <w:r>
              <w:rPr>
                <w:lang w:val="es-ES"/>
              </w:rPr>
              <w:t>3,9</w:t>
            </w:r>
          </w:p>
        </w:tc>
        <w:tc>
          <w:tcPr>
            <w:tcW w:w="4094" w:type="dxa"/>
          </w:tcPr>
          <w:p w:rsidR="00DB4F60" w:rsidRDefault="00DB4F60">
            <w:pPr>
              <w:pStyle w:val="Tabletext"/>
              <w:jc w:val="left"/>
              <w:rPr>
                <w:lang w:val="es-ES"/>
              </w:rPr>
            </w:pPr>
            <w:r>
              <w:rPr>
                <w:lang w:val="es-ES"/>
              </w:rPr>
              <w:t>Telescopio Anglo-Australiano (AAT)</w:t>
            </w:r>
          </w:p>
        </w:tc>
        <w:tc>
          <w:tcPr>
            <w:tcW w:w="3028" w:type="dxa"/>
          </w:tcPr>
          <w:p w:rsidR="00DB4F60" w:rsidRDefault="00DB4F60">
            <w:pPr>
              <w:pStyle w:val="Tabletext"/>
              <w:jc w:val="left"/>
              <w:rPr>
                <w:lang w:val="en-US"/>
              </w:rPr>
            </w:pPr>
            <w:r>
              <w:rPr>
                <w:lang w:val="en-US"/>
              </w:rPr>
              <w:t>Siding Springs (Australia)</w:t>
            </w:r>
          </w:p>
        </w:tc>
        <w:tc>
          <w:tcPr>
            <w:tcW w:w="1463" w:type="dxa"/>
            <w:vAlign w:val="center"/>
          </w:tcPr>
          <w:p w:rsidR="00DB4F60" w:rsidRDefault="00DB4F60">
            <w:pPr>
              <w:pStyle w:val="Tabletext"/>
              <w:jc w:val="center"/>
              <w:rPr>
                <w:lang w:val="es-ES"/>
              </w:rPr>
            </w:pPr>
            <w:r>
              <w:rPr>
                <w:lang w:val="es-ES"/>
              </w:rPr>
              <w:t>12,7 (f/3,3)</w:t>
            </w:r>
          </w:p>
        </w:tc>
        <w:tc>
          <w:tcPr>
            <w:tcW w:w="1032" w:type="dxa"/>
            <w:vAlign w:val="center"/>
          </w:tcPr>
          <w:p w:rsidR="00DB4F60" w:rsidRDefault="00DB4F60">
            <w:pPr>
              <w:pStyle w:val="Tabletext"/>
              <w:jc w:val="center"/>
              <w:rPr>
                <w:lang w:val="es-ES"/>
              </w:rPr>
            </w:pPr>
            <w:r>
              <w:rPr>
                <w:lang w:val="es-ES"/>
              </w:rPr>
              <w:sym w:font="Symbol" w:char="F02D"/>
            </w:r>
            <w:r>
              <w:rPr>
                <w:lang w:val="es-ES"/>
              </w:rPr>
              <w:t>31,28</w:t>
            </w:r>
          </w:p>
        </w:tc>
        <w:tc>
          <w:tcPr>
            <w:tcW w:w="1191" w:type="dxa"/>
            <w:vAlign w:val="center"/>
          </w:tcPr>
          <w:p w:rsidR="00DB4F60" w:rsidRDefault="00DB4F60">
            <w:pPr>
              <w:pStyle w:val="Tabletext"/>
              <w:jc w:val="center"/>
              <w:rPr>
                <w:lang w:val="es-ES"/>
              </w:rPr>
            </w:pPr>
            <w:r>
              <w:rPr>
                <w:lang w:val="es-ES"/>
              </w:rPr>
              <w:t>210,93</w:t>
            </w:r>
          </w:p>
        </w:tc>
        <w:tc>
          <w:tcPr>
            <w:tcW w:w="992" w:type="dxa"/>
            <w:vAlign w:val="center"/>
          </w:tcPr>
          <w:p w:rsidR="00DB4F60" w:rsidRDefault="00DB4F60">
            <w:pPr>
              <w:pStyle w:val="Tabletext"/>
              <w:jc w:val="center"/>
              <w:rPr>
                <w:lang w:val="es-ES"/>
              </w:rPr>
            </w:pPr>
            <w:r>
              <w:rPr>
                <w:lang w:val="es-ES"/>
              </w:rPr>
              <w:t>1 164</w:t>
            </w:r>
          </w:p>
        </w:tc>
      </w:tr>
    </w:tbl>
    <w:p w:rsidR="00DB4F60" w:rsidRDefault="00DB4F60">
      <w:pPr>
        <w:pStyle w:val="Tablefin"/>
        <w:spacing w:before="0"/>
      </w:pPr>
    </w:p>
    <w:p w:rsidR="00DB4F60" w:rsidRDefault="00DB4F60">
      <w:pPr>
        <w:pStyle w:val="TableNo"/>
        <w:rPr>
          <w:lang w:val="es-ES"/>
        </w:rPr>
      </w:pPr>
      <w:r>
        <w:rPr>
          <w:lang w:val="es-ES"/>
        </w:rPr>
        <w:br w:type="page"/>
      </w:r>
      <w:r>
        <w:rPr>
          <w:lang w:val="es-ES"/>
        </w:rPr>
        <w:lastRenderedPageBreak/>
        <w:t>CUADRO  4  (</w:t>
      </w:r>
      <w:r>
        <w:rPr>
          <w:sz w:val="8"/>
          <w:lang w:val="es-ES"/>
        </w:rPr>
        <w:t> </w:t>
      </w:r>
      <w:r>
        <w:rPr>
          <w:i/>
          <w:iCs/>
          <w:lang w:val="es-ES"/>
        </w:rPr>
        <w:t>Fin</w:t>
      </w:r>
      <w:r>
        <w:rPr>
          <w:lang w:val="es-ES"/>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4085"/>
        <w:gridCol w:w="3022"/>
        <w:gridCol w:w="1466"/>
        <w:gridCol w:w="1037"/>
        <w:gridCol w:w="1196"/>
        <w:gridCol w:w="996"/>
      </w:tblGrid>
      <w:tr w:rsidR="00DB4F60">
        <w:trPr>
          <w:jc w:val="center"/>
        </w:trPr>
        <w:tc>
          <w:tcPr>
            <w:tcW w:w="2362" w:type="dxa"/>
          </w:tcPr>
          <w:p w:rsidR="00DB4F60" w:rsidRDefault="00DB4F60">
            <w:pPr>
              <w:pStyle w:val="Tablehead"/>
              <w:rPr>
                <w:lang w:val="es-ES"/>
              </w:rPr>
            </w:pPr>
            <w:r>
              <w:rPr>
                <w:lang w:val="es-ES"/>
              </w:rPr>
              <w:t xml:space="preserve">Diámetro de la apertura </w:t>
            </w:r>
            <w:r>
              <w:rPr>
                <w:lang w:val="es-ES"/>
              </w:rPr>
              <w:br/>
              <w:t>(m)</w:t>
            </w:r>
          </w:p>
        </w:tc>
        <w:tc>
          <w:tcPr>
            <w:tcW w:w="4067" w:type="dxa"/>
            <w:vAlign w:val="center"/>
          </w:tcPr>
          <w:p w:rsidR="00DB4F60" w:rsidRDefault="00DB4F60">
            <w:pPr>
              <w:pStyle w:val="Tablehead"/>
              <w:rPr>
                <w:lang w:val="es-ES"/>
              </w:rPr>
            </w:pPr>
            <w:r>
              <w:rPr>
                <w:lang w:val="es-ES"/>
              </w:rPr>
              <w:t>Telescopio</w:t>
            </w:r>
          </w:p>
        </w:tc>
        <w:tc>
          <w:tcPr>
            <w:tcW w:w="3009" w:type="dxa"/>
            <w:vAlign w:val="center"/>
          </w:tcPr>
          <w:p w:rsidR="00DB4F60" w:rsidRDefault="00DB4F60">
            <w:pPr>
              <w:pStyle w:val="Tablehead"/>
              <w:rPr>
                <w:lang w:val="es-ES"/>
              </w:rPr>
            </w:pPr>
            <w:r>
              <w:rPr>
                <w:lang w:val="es-ES"/>
              </w:rPr>
              <w:t>Ubicación</w:t>
            </w:r>
          </w:p>
        </w:tc>
        <w:tc>
          <w:tcPr>
            <w:tcW w:w="1459" w:type="dxa"/>
          </w:tcPr>
          <w:p w:rsidR="00DB4F60" w:rsidRDefault="00DB4F60">
            <w:pPr>
              <w:pStyle w:val="Tablehead"/>
              <w:rPr>
                <w:lang w:val="es-ES"/>
              </w:rPr>
            </w:pPr>
            <w:r>
              <w:rPr>
                <w:lang w:val="es-ES"/>
              </w:rPr>
              <w:t>Longitud focal</w:t>
            </w:r>
            <w:r>
              <w:rPr>
                <w:lang w:val="es-ES"/>
              </w:rPr>
              <w:br/>
              <w:t>(m)</w:t>
            </w:r>
          </w:p>
        </w:tc>
        <w:tc>
          <w:tcPr>
            <w:tcW w:w="1032" w:type="dxa"/>
          </w:tcPr>
          <w:p w:rsidR="00DB4F60" w:rsidRDefault="00DB4F60">
            <w:pPr>
              <w:pStyle w:val="Tablehead"/>
              <w:rPr>
                <w:lang w:val="es-ES"/>
              </w:rPr>
            </w:pPr>
            <w:r>
              <w:rPr>
                <w:lang w:val="es-ES"/>
              </w:rPr>
              <w:br/>
              <w:t>Latitud</w:t>
            </w:r>
            <w:r>
              <w:rPr>
                <w:lang w:val="es-ES"/>
              </w:rPr>
              <w:br/>
              <w:t>(ºN)</w:t>
            </w:r>
          </w:p>
        </w:tc>
        <w:tc>
          <w:tcPr>
            <w:tcW w:w="1191" w:type="dxa"/>
          </w:tcPr>
          <w:p w:rsidR="00DB4F60" w:rsidRDefault="00DB4F60">
            <w:pPr>
              <w:pStyle w:val="Tablehead"/>
              <w:rPr>
                <w:lang w:val="es-ES"/>
              </w:rPr>
            </w:pPr>
            <w:r>
              <w:rPr>
                <w:lang w:val="es-ES"/>
              </w:rPr>
              <w:br/>
              <w:t>Longitud</w:t>
            </w:r>
            <w:r>
              <w:rPr>
                <w:lang w:val="es-ES"/>
              </w:rPr>
              <w:br/>
              <w:t>(ºW)</w:t>
            </w:r>
          </w:p>
        </w:tc>
        <w:tc>
          <w:tcPr>
            <w:tcW w:w="992" w:type="dxa"/>
          </w:tcPr>
          <w:p w:rsidR="00DB4F60" w:rsidRDefault="00DB4F60">
            <w:pPr>
              <w:pStyle w:val="Tablehead"/>
              <w:rPr>
                <w:lang w:val="es-ES"/>
              </w:rPr>
            </w:pPr>
            <w:r>
              <w:rPr>
                <w:lang w:val="es-ES"/>
              </w:rPr>
              <w:br/>
              <w:t>Altura</w:t>
            </w:r>
            <w:r>
              <w:rPr>
                <w:lang w:val="es-ES"/>
              </w:rPr>
              <w:br/>
              <w:t>(m)</w:t>
            </w:r>
          </w:p>
        </w:tc>
      </w:tr>
      <w:tr w:rsidR="00DB4F60">
        <w:trPr>
          <w:cantSplit/>
          <w:trHeight w:val="357"/>
          <w:jc w:val="center"/>
        </w:trPr>
        <w:tc>
          <w:tcPr>
            <w:tcW w:w="2362" w:type="dxa"/>
            <w:vAlign w:val="center"/>
          </w:tcPr>
          <w:p w:rsidR="00DB4F60" w:rsidRDefault="00DB4F60">
            <w:pPr>
              <w:pStyle w:val="Tabletext"/>
              <w:jc w:val="center"/>
              <w:rPr>
                <w:lang w:val="es-ES"/>
              </w:rPr>
            </w:pPr>
            <w:r>
              <w:rPr>
                <w:lang w:val="es-ES"/>
              </w:rPr>
              <w:t>3,8</w:t>
            </w:r>
          </w:p>
        </w:tc>
        <w:tc>
          <w:tcPr>
            <w:tcW w:w="4067" w:type="dxa"/>
          </w:tcPr>
          <w:p w:rsidR="00DB4F60" w:rsidRDefault="00DB4F60">
            <w:pPr>
              <w:pStyle w:val="Tabletext"/>
              <w:jc w:val="left"/>
              <w:rPr>
                <w:lang w:val="es-ES"/>
              </w:rPr>
            </w:pPr>
            <w:r>
              <w:rPr>
                <w:lang w:val="es-ES"/>
              </w:rPr>
              <w:t>Telescopio de infrarrojos del Reino Unido (UKIRT)</w:t>
            </w:r>
          </w:p>
        </w:tc>
        <w:tc>
          <w:tcPr>
            <w:tcW w:w="3009" w:type="dxa"/>
            <w:vAlign w:val="center"/>
          </w:tcPr>
          <w:p w:rsidR="00DB4F60" w:rsidRDefault="00DB4F60">
            <w:pPr>
              <w:pStyle w:val="Tabletext"/>
              <w:jc w:val="left"/>
              <w:rPr>
                <w:lang w:val="es-ES"/>
              </w:rPr>
            </w:pPr>
            <w:r>
              <w:rPr>
                <w:lang w:val="es-ES"/>
              </w:rPr>
              <w:t>Mauna Kea, Hawai (Estados Unidos de América)</w:t>
            </w:r>
          </w:p>
        </w:tc>
        <w:tc>
          <w:tcPr>
            <w:tcW w:w="1459" w:type="dxa"/>
            <w:vAlign w:val="center"/>
          </w:tcPr>
          <w:p w:rsidR="00DB4F60" w:rsidRDefault="00DB4F60">
            <w:pPr>
              <w:pStyle w:val="Tabletext"/>
              <w:jc w:val="center"/>
              <w:rPr>
                <w:lang w:val="es-ES"/>
              </w:rPr>
            </w:pPr>
            <w:r>
              <w:rPr>
                <w:lang w:val="es-ES"/>
              </w:rPr>
              <w:t>9,5 (f/2,5)</w:t>
            </w:r>
          </w:p>
        </w:tc>
        <w:tc>
          <w:tcPr>
            <w:tcW w:w="1032" w:type="dxa"/>
            <w:vAlign w:val="center"/>
          </w:tcPr>
          <w:p w:rsidR="00DB4F60" w:rsidRDefault="00DB4F60">
            <w:pPr>
              <w:pStyle w:val="Tabletext"/>
              <w:jc w:val="center"/>
              <w:rPr>
                <w:lang w:val="es-ES"/>
              </w:rPr>
            </w:pPr>
            <w:r>
              <w:rPr>
                <w:lang w:val="es-ES"/>
              </w:rPr>
              <w:t>19,49</w:t>
            </w:r>
          </w:p>
        </w:tc>
        <w:tc>
          <w:tcPr>
            <w:tcW w:w="1191" w:type="dxa"/>
            <w:vAlign w:val="center"/>
          </w:tcPr>
          <w:p w:rsidR="00DB4F60" w:rsidRDefault="00DB4F60">
            <w:pPr>
              <w:pStyle w:val="Tabletext"/>
              <w:jc w:val="center"/>
              <w:rPr>
                <w:lang w:val="es-ES"/>
              </w:rPr>
            </w:pPr>
            <w:r>
              <w:rPr>
                <w:lang w:val="es-ES"/>
              </w:rPr>
              <w:t>155,28</w:t>
            </w:r>
          </w:p>
        </w:tc>
        <w:tc>
          <w:tcPr>
            <w:tcW w:w="992" w:type="dxa"/>
            <w:vAlign w:val="center"/>
          </w:tcPr>
          <w:p w:rsidR="00DB4F60" w:rsidRDefault="00DB4F60">
            <w:pPr>
              <w:pStyle w:val="Tabletext"/>
              <w:jc w:val="center"/>
              <w:rPr>
                <w:lang w:val="es-ES"/>
              </w:rPr>
            </w:pPr>
            <w:r>
              <w:rPr>
                <w:lang w:val="es-ES"/>
              </w:rPr>
              <w:t>4 194</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62" w:type="dxa"/>
            <w:vMerge w:val="restart"/>
            <w:vAlign w:val="center"/>
          </w:tcPr>
          <w:p w:rsidR="00DB4F60" w:rsidRDefault="00DB4F60">
            <w:pPr>
              <w:pStyle w:val="Tabletext"/>
              <w:jc w:val="center"/>
              <w:rPr>
                <w:lang w:val="es-ES"/>
              </w:rPr>
            </w:pPr>
            <w:r>
              <w:rPr>
                <w:lang w:val="es-ES"/>
              </w:rPr>
              <w:t>3,6</w:t>
            </w:r>
          </w:p>
          <w:p w:rsidR="00DB4F60" w:rsidRDefault="00DB4F60">
            <w:pPr>
              <w:pStyle w:val="Tabletext"/>
              <w:jc w:val="center"/>
              <w:rPr>
                <w:lang w:val="es-ES"/>
              </w:rPr>
            </w:pPr>
          </w:p>
        </w:tc>
        <w:tc>
          <w:tcPr>
            <w:tcW w:w="4067" w:type="dxa"/>
          </w:tcPr>
          <w:p w:rsidR="00DB4F60" w:rsidRDefault="00DB4F60">
            <w:pPr>
              <w:pStyle w:val="Tabletext"/>
              <w:rPr>
                <w:lang w:val="es-ES"/>
              </w:rPr>
            </w:pPr>
            <w:r>
              <w:rPr>
                <w:lang w:val="es-ES"/>
              </w:rPr>
              <w:t>ESO 3,6 m</w:t>
            </w:r>
          </w:p>
        </w:tc>
        <w:tc>
          <w:tcPr>
            <w:tcW w:w="3009" w:type="dxa"/>
          </w:tcPr>
          <w:p w:rsidR="00DB4F60" w:rsidRDefault="00DB4F60">
            <w:pPr>
              <w:pStyle w:val="Tabletext"/>
              <w:jc w:val="left"/>
              <w:rPr>
                <w:lang w:val="es-ES"/>
              </w:rPr>
            </w:pPr>
            <w:r>
              <w:rPr>
                <w:lang w:val="es-ES"/>
              </w:rPr>
              <w:t>La Silla (Chile)</w:t>
            </w:r>
          </w:p>
        </w:tc>
        <w:tc>
          <w:tcPr>
            <w:tcW w:w="1459" w:type="dxa"/>
            <w:vAlign w:val="center"/>
          </w:tcPr>
          <w:p w:rsidR="00DB4F60" w:rsidRDefault="00DB4F60">
            <w:pPr>
              <w:pStyle w:val="Tabletext"/>
              <w:jc w:val="center"/>
              <w:rPr>
                <w:lang w:val="es-ES"/>
              </w:rPr>
            </w:pPr>
            <w:r>
              <w:rPr>
                <w:lang w:val="es-ES"/>
              </w:rPr>
              <w:t>8,1 (f/2,2)</w:t>
            </w:r>
          </w:p>
        </w:tc>
        <w:tc>
          <w:tcPr>
            <w:tcW w:w="1032" w:type="dxa"/>
            <w:vAlign w:val="center"/>
          </w:tcPr>
          <w:p w:rsidR="00DB4F60" w:rsidRDefault="00DB4F60">
            <w:pPr>
              <w:pStyle w:val="Tabletext"/>
              <w:jc w:val="center"/>
              <w:rPr>
                <w:lang w:val="es-ES"/>
              </w:rPr>
            </w:pPr>
            <w:r>
              <w:rPr>
                <w:lang w:val="es-ES"/>
              </w:rPr>
              <w:sym w:font="Symbol" w:char="F02D"/>
            </w:r>
            <w:r>
              <w:rPr>
                <w:lang w:val="es-ES"/>
              </w:rPr>
              <w:t>29,15</w:t>
            </w:r>
          </w:p>
        </w:tc>
        <w:tc>
          <w:tcPr>
            <w:tcW w:w="1191" w:type="dxa"/>
            <w:vAlign w:val="center"/>
          </w:tcPr>
          <w:p w:rsidR="00DB4F60" w:rsidRDefault="00DB4F60">
            <w:pPr>
              <w:pStyle w:val="Tabletext"/>
              <w:jc w:val="center"/>
              <w:rPr>
                <w:lang w:val="es-ES"/>
              </w:rPr>
            </w:pPr>
            <w:r>
              <w:rPr>
                <w:lang w:val="es-ES"/>
              </w:rPr>
              <w:t>70,44</w:t>
            </w:r>
          </w:p>
        </w:tc>
        <w:tc>
          <w:tcPr>
            <w:tcW w:w="992" w:type="dxa"/>
            <w:vAlign w:val="center"/>
          </w:tcPr>
          <w:p w:rsidR="00DB4F60" w:rsidRDefault="00DB4F60">
            <w:pPr>
              <w:pStyle w:val="Tabletext"/>
              <w:jc w:val="center"/>
              <w:rPr>
                <w:lang w:val="es-ES"/>
              </w:rPr>
            </w:pPr>
            <w:r>
              <w:rPr>
                <w:lang w:val="es-ES"/>
              </w:rPr>
              <w:t>2 400</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62" w:type="dxa"/>
            <w:vMerge/>
            <w:vAlign w:val="center"/>
          </w:tcPr>
          <w:p w:rsidR="00DB4F60" w:rsidRDefault="00DB4F60">
            <w:pPr>
              <w:pStyle w:val="Tabletext"/>
              <w:jc w:val="center"/>
              <w:rPr>
                <w:lang w:val="es-ES"/>
              </w:rPr>
            </w:pPr>
          </w:p>
        </w:tc>
        <w:tc>
          <w:tcPr>
            <w:tcW w:w="4067" w:type="dxa"/>
          </w:tcPr>
          <w:p w:rsidR="00DB4F60" w:rsidRDefault="00DB4F60">
            <w:pPr>
              <w:pStyle w:val="Tabletext"/>
              <w:rPr>
                <w:lang w:val="es-ES"/>
              </w:rPr>
            </w:pPr>
            <w:r>
              <w:rPr>
                <w:lang w:val="es-ES"/>
              </w:rPr>
              <w:t>Canadá-Francia-Hawai (CFHT)</w:t>
            </w:r>
          </w:p>
        </w:tc>
        <w:tc>
          <w:tcPr>
            <w:tcW w:w="3009" w:type="dxa"/>
          </w:tcPr>
          <w:p w:rsidR="00DB4F60" w:rsidRDefault="00DB4F60">
            <w:pPr>
              <w:pStyle w:val="Tabletext"/>
              <w:jc w:val="left"/>
              <w:rPr>
                <w:lang w:val="es-ES"/>
              </w:rPr>
            </w:pPr>
            <w:r>
              <w:rPr>
                <w:lang w:val="es-ES"/>
              </w:rPr>
              <w:t>Mauna Kea, Hawai (Estados Unidos de América)</w:t>
            </w:r>
          </w:p>
        </w:tc>
        <w:tc>
          <w:tcPr>
            <w:tcW w:w="1459" w:type="dxa"/>
            <w:vAlign w:val="center"/>
          </w:tcPr>
          <w:p w:rsidR="00DB4F60" w:rsidRDefault="00DB4F60">
            <w:pPr>
              <w:pStyle w:val="Tabletext"/>
              <w:jc w:val="center"/>
              <w:rPr>
                <w:lang w:val="es-ES"/>
              </w:rPr>
            </w:pPr>
            <w:r>
              <w:rPr>
                <w:lang w:val="es-ES"/>
              </w:rPr>
              <w:t>15,1 (f/4,2)</w:t>
            </w:r>
          </w:p>
        </w:tc>
        <w:tc>
          <w:tcPr>
            <w:tcW w:w="1032" w:type="dxa"/>
            <w:vAlign w:val="center"/>
          </w:tcPr>
          <w:p w:rsidR="00DB4F60" w:rsidRDefault="00DB4F60">
            <w:pPr>
              <w:pStyle w:val="Tabletext"/>
              <w:jc w:val="center"/>
              <w:rPr>
                <w:lang w:val="es-ES"/>
              </w:rPr>
            </w:pPr>
            <w:r>
              <w:rPr>
                <w:lang w:val="es-ES"/>
              </w:rPr>
              <w:t>19,83</w:t>
            </w:r>
          </w:p>
        </w:tc>
        <w:tc>
          <w:tcPr>
            <w:tcW w:w="1191" w:type="dxa"/>
            <w:vAlign w:val="center"/>
          </w:tcPr>
          <w:p w:rsidR="00DB4F60" w:rsidRDefault="00DB4F60">
            <w:pPr>
              <w:pStyle w:val="Tabletext"/>
              <w:jc w:val="center"/>
              <w:rPr>
                <w:lang w:val="es-ES"/>
              </w:rPr>
            </w:pPr>
            <w:r>
              <w:rPr>
                <w:lang w:val="es-ES"/>
              </w:rPr>
              <w:t>155,47</w:t>
            </w:r>
          </w:p>
        </w:tc>
        <w:tc>
          <w:tcPr>
            <w:tcW w:w="992" w:type="dxa"/>
            <w:vAlign w:val="center"/>
          </w:tcPr>
          <w:p w:rsidR="00DB4F60" w:rsidRDefault="00DB4F60">
            <w:pPr>
              <w:pStyle w:val="Tabletext"/>
              <w:jc w:val="center"/>
              <w:rPr>
                <w:lang w:val="es-ES"/>
              </w:rPr>
            </w:pPr>
            <w:r>
              <w:rPr>
                <w:lang w:val="es-ES"/>
              </w:rPr>
              <w:t>4 200</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62" w:type="dxa"/>
            <w:vMerge/>
            <w:vAlign w:val="center"/>
          </w:tcPr>
          <w:p w:rsidR="00DB4F60" w:rsidRDefault="00DB4F60">
            <w:pPr>
              <w:pStyle w:val="Tabletext"/>
              <w:jc w:val="center"/>
              <w:rPr>
                <w:lang w:val="es-ES"/>
              </w:rPr>
            </w:pPr>
          </w:p>
        </w:tc>
        <w:tc>
          <w:tcPr>
            <w:tcW w:w="4067" w:type="dxa"/>
          </w:tcPr>
          <w:p w:rsidR="00DB4F60" w:rsidRDefault="00DB4F60">
            <w:pPr>
              <w:pStyle w:val="Tabletext"/>
              <w:rPr>
                <w:lang w:val="es-ES"/>
              </w:rPr>
            </w:pPr>
            <w:r>
              <w:rPr>
                <w:lang w:val="es-ES"/>
              </w:rPr>
              <w:t>Telescopio Nazionale Galileo (TNG)</w:t>
            </w:r>
          </w:p>
        </w:tc>
        <w:tc>
          <w:tcPr>
            <w:tcW w:w="3009" w:type="dxa"/>
          </w:tcPr>
          <w:p w:rsidR="00DB4F60" w:rsidRDefault="00DB4F60">
            <w:pPr>
              <w:pStyle w:val="Tabletext"/>
              <w:jc w:val="left"/>
              <w:rPr>
                <w:lang w:val="es-ES"/>
              </w:rPr>
            </w:pPr>
            <w:r>
              <w:rPr>
                <w:lang w:val="es-ES"/>
              </w:rPr>
              <w:t>Roque de los Muchachos (España)</w:t>
            </w:r>
          </w:p>
        </w:tc>
        <w:tc>
          <w:tcPr>
            <w:tcW w:w="1459" w:type="dxa"/>
            <w:vAlign w:val="center"/>
          </w:tcPr>
          <w:p w:rsidR="00DB4F60" w:rsidRDefault="00DB4F60">
            <w:pPr>
              <w:pStyle w:val="Tabletext"/>
              <w:jc w:val="center"/>
              <w:rPr>
                <w:lang w:val="es-ES"/>
              </w:rPr>
            </w:pPr>
            <w:r>
              <w:rPr>
                <w:lang w:val="es-ES"/>
              </w:rPr>
              <w:t>38,5 (f/11,0)</w:t>
            </w:r>
          </w:p>
        </w:tc>
        <w:tc>
          <w:tcPr>
            <w:tcW w:w="1032" w:type="dxa"/>
            <w:vAlign w:val="center"/>
          </w:tcPr>
          <w:p w:rsidR="00DB4F60" w:rsidRDefault="00DB4F60">
            <w:pPr>
              <w:pStyle w:val="Tabletext"/>
              <w:jc w:val="center"/>
              <w:rPr>
                <w:lang w:val="es-ES"/>
              </w:rPr>
            </w:pPr>
            <w:r>
              <w:rPr>
                <w:lang w:val="es-ES"/>
              </w:rPr>
              <w:t>28,45</w:t>
            </w:r>
          </w:p>
        </w:tc>
        <w:tc>
          <w:tcPr>
            <w:tcW w:w="1191" w:type="dxa"/>
            <w:vAlign w:val="center"/>
          </w:tcPr>
          <w:p w:rsidR="00DB4F60" w:rsidRDefault="00DB4F60">
            <w:pPr>
              <w:pStyle w:val="Tabletext"/>
              <w:jc w:val="center"/>
              <w:rPr>
                <w:lang w:val="es-ES"/>
              </w:rPr>
            </w:pPr>
            <w:r>
              <w:rPr>
                <w:lang w:val="es-ES"/>
              </w:rPr>
              <w:t>17,52</w:t>
            </w:r>
          </w:p>
        </w:tc>
        <w:tc>
          <w:tcPr>
            <w:tcW w:w="992" w:type="dxa"/>
            <w:vAlign w:val="center"/>
          </w:tcPr>
          <w:p w:rsidR="00DB4F60" w:rsidRDefault="00DB4F60">
            <w:pPr>
              <w:pStyle w:val="Tabletext"/>
              <w:jc w:val="center"/>
              <w:rPr>
                <w:lang w:val="es-ES"/>
              </w:rPr>
            </w:pPr>
            <w:r>
              <w:rPr>
                <w:lang w:val="es-ES"/>
              </w:rPr>
              <w:t>2 350</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62" w:type="dxa"/>
            <w:vMerge w:val="restart"/>
            <w:vAlign w:val="center"/>
          </w:tcPr>
          <w:p w:rsidR="00DB4F60" w:rsidRDefault="00CA7926">
            <w:pPr>
              <w:pStyle w:val="Tabletext"/>
              <w:jc w:val="center"/>
              <w:rPr>
                <w:lang w:val="es-ES"/>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-469265</wp:posOffset>
                      </wp:positionH>
                      <wp:positionV relativeFrom="paragraph">
                        <wp:posOffset>176530</wp:posOffset>
                      </wp:positionV>
                      <wp:extent cx="0" cy="114300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146B"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3.9pt" to="-36.9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jGQIAADI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"/>
                  </w:pict>
                </mc:Fallback>
              </mc:AlternateContent>
            </w:r>
            <w:r w:rsidR="00DB4F60">
              <w:rPr>
                <w:lang w:val="es-ES"/>
              </w:rPr>
              <w:t>3,5</w:t>
            </w:r>
          </w:p>
        </w:tc>
        <w:tc>
          <w:tcPr>
            <w:tcW w:w="4067" w:type="dxa"/>
          </w:tcPr>
          <w:p w:rsidR="00DB4F60" w:rsidRDefault="00DB4F60">
            <w:pPr>
              <w:pStyle w:val="Tabletext"/>
              <w:rPr>
                <w:lang w:val="es-ES"/>
              </w:rPr>
            </w:pPr>
            <w:r>
              <w:rPr>
                <w:lang w:val="es-ES"/>
              </w:rPr>
              <w:t>WIYN</w:t>
            </w:r>
          </w:p>
        </w:tc>
        <w:tc>
          <w:tcPr>
            <w:tcW w:w="3009" w:type="dxa"/>
          </w:tcPr>
          <w:p w:rsidR="00DB4F60" w:rsidRDefault="00DB4F60">
            <w:pPr>
              <w:pStyle w:val="Tabletext"/>
              <w:jc w:val="left"/>
              <w:rPr>
                <w:lang w:val="es-ES"/>
              </w:rPr>
            </w:pPr>
            <w:r>
              <w:rPr>
                <w:lang w:val="es-ES"/>
              </w:rPr>
              <w:t>Kitt Peak, Arizona (Estados Unidos de América)</w:t>
            </w:r>
          </w:p>
        </w:tc>
        <w:tc>
          <w:tcPr>
            <w:tcW w:w="1459" w:type="dxa"/>
            <w:vAlign w:val="center"/>
          </w:tcPr>
          <w:p w:rsidR="00DB4F60" w:rsidRDefault="00DB4F60">
            <w:pPr>
              <w:pStyle w:val="Tabletext"/>
              <w:jc w:val="center"/>
              <w:rPr>
                <w:lang w:val="es-ES"/>
              </w:rPr>
            </w:pPr>
            <w:r>
              <w:rPr>
                <w:lang w:val="es-ES"/>
              </w:rPr>
              <w:t>22 (f/6,3)</w:t>
            </w:r>
          </w:p>
        </w:tc>
        <w:tc>
          <w:tcPr>
            <w:tcW w:w="1032" w:type="dxa"/>
            <w:vAlign w:val="center"/>
          </w:tcPr>
          <w:p w:rsidR="00DB4F60" w:rsidRDefault="00DB4F60">
            <w:pPr>
              <w:pStyle w:val="Tabletext"/>
              <w:jc w:val="center"/>
              <w:rPr>
                <w:lang w:val="es-ES"/>
              </w:rPr>
            </w:pPr>
            <w:r>
              <w:rPr>
                <w:lang w:val="es-ES"/>
              </w:rPr>
              <w:t>31,95</w:t>
            </w:r>
          </w:p>
        </w:tc>
        <w:tc>
          <w:tcPr>
            <w:tcW w:w="1191" w:type="dxa"/>
            <w:vAlign w:val="center"/>
          </w:tcPr>
          <w:p w:rsidR="00DB4F60" w:rsidRDefault="00DB4F60">
            <w:pPr>
              <w:pStyle w:val="Tabletext"/>
              <w:jc w:val="center"/>
              <w:rPr>
                <w:lang w:val="es-ES"/>
              </w:rPr>
            </w:pPr>
            <w:r>
              <w:rPr>
                <w:lang w:val="es-ES"/>
              </w:rPr>
              <w:t>111,62</w:t>
            </w:r>
          </w:p>
        </w:tc>
        <w:tc>
          <w:tcPr>
            <w:tcW w:w="992" w:type="dxa"/>
            <w:vAlign w:val="center"/>
          </w:tcPr>
          <w:p w:rsidR="00DB4F60" w:rsidRDefault="00DB4F60">
            <w:pPr>
              <w:pStyle w:val="Tabletext"/>
              <w:jc w:val="center"/>
              <w:rPr>
                <w:lang w:val="es-ES"/>
              </w:rPr>
            </w:pPr>
            <w:r>
              <w:rPr>
                <w:lang w:val="es-ES"/>
              </w:rPr>
              <w:t>2 100</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62" w:type="dxa"/>
            <w:vMerge/>
          </w:tcPr>
          <w:p w:rsidR="00DB4F60" w:rsidRDefault="00DB4F60">
            <w:pPr>
              <w:pStyle w:val="Tabletext"/>
              <w:jc w:val="center"/>
              <w:rPr>
                <w:lang w:val="es-ES"/>
              </w:rPr>
            </w:pPr>
          </w:p>
        </w:tc>
        <w:tc>
          <w:tcPr>
            <w:tcW w:w="4067" w:type="dxa"/>
          </w:tcPr>
          <w:p w:rsidR="00DB4F60" w:rsidRDefault="00DB4F60">
            <w:pPr>
              <w:pStyle w:val="Tabletext"/>
              <w:rPr>
                <w:lang w:val="es-ES"/>
              </w:rPr>
            </w:pPr>
            <w:r>
              <w:rPr>
                <w:lang w:val="es-ES"/>
              </w:rPr>
              <w:t>ARC</w:t>
            </w:r>
          </w:p>
        </w:tc>
        <w:tc>
          <w:tcPr>
            <w:tcW w:w="3009" w:type="dxa"/>
          </w:tcPr>
          <w:p w:rsidR="00DB4F60" w:rsidRDefault="00DB4F60">
            <w:pPr>
              <w:pStyle w:val="Tabletext"/>
              <w:jc w:val="left"/>
              <w:rPr>
                <w:lang w:val="es-ES"/>
              </w:rPr>
            </w:pPr>
            <w:r>
              <w:rPr>
                <w:lang w:val="es-ES"/>
              </w:rPr>
              <w:t>Apache Point, Nuevo México (Estados Unidos de América)</w:t>
            </w:r>
          </w:p>
        </w:tc>
        <w:tc>
          <w:tcPr>
            <w:tcW w:w="1459" w:type="dxa"/>
            <w:vAlign w:val="center"/>
          </w:tcPr>
          <w:p w:rsidR="00DB4F60" w:rsidRDefault="00DB4F60">
            <w:pPr>
              <w:pStyle w:val="Tabletext"/>
              <w:jc w:val="center"/>
              <w:rPr>
                <w:lang w:val="es-ES"/>
              </w:rPr>
            </w:pPr>
            <w:r>
              <w:rPr>
                <w:lang w:val="es-ES"/>
              </w:rPr>
              <w:t>6,1 (f/1,75)</w:t>
            </w:r>
          </w:p>
        </w:tc>
        <w:tc>
          <w:tcPr>
            <w:tcW w:w="1032" w:type="dxa"/>
            <w:vAlign w:val="center"/>
          </w:tcPr>
          <w:p w:rsidR="00DB4F60" w:rsidRDefault="00DB4F60">
            <w:pPr>
              <w:pStyle w:val="Tabletext"/>
              <w:jc w:val="center"/>
              <w:rPr>
                <w:lang w:val="es-ES"/>
              </w:rPr>
            </w:pPr>
            <w:r>
              <w:rPr>
                <w:lang w:val="es-ES"/>
              </w:rPr>
              <w:t>32,78</w:t>
            </w:r>
          </w:p>
        </w:tc>
        <w:tc>
          <w:tcPr>
            <w:tcW w:w="1191" w:type="dxa"/>
            <w:vAlign w:val="center"/>
          </w:tcPr>
          <w:p w:rsidR="00DB4F60" w:rsidRDefault="00DB4F60">
            <w:pPr>
              <w:pStyle w:val="Tabletext"/>
              <w:jc w:val="center"/>
              <w:rPr>
                <w:lang w:val="es-ES"/>
              </w:rPr>
            </w:pPr>
            <w:r>
              <w:rPr>
                <w:lang w:val="es-ES"/>
              </w:rPr>
              <w:t>105,82</w:t>
            </w:r>
          </w:p>
        </w:tc>
        <w:tc>
          <w:tcPr>
            <w:tcW w:w="992" w:type="dxa"/>
            <w:vAlign w:val="center"/>
          </w:tcPr>
          <w:p w:rsidR="00DB4F60" w:rsidRDefault="00DB4F60">
            <w:pPr>
              <w:pStyle w:val="Tabletext"/>
              <w:jc w:val="center"/>
              <w:rPr>
                <w:lang w:val="es-ES"/>
              </w:rPr>
            </w:pPr>
            <w:r>
              <w:rPr>
                <w:lang w:val="es-ES"/>
              </w:rPr>
              <w:t>2 788</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62" w:type="dxa"/>
            <w:vMerge/>
          </w:tcPr>
          <w:p w:rsidR="00DB4F60" w:rsidRDefault="00DB4F60">
            <w:pPr>
              <w:pStyle w:val="Tabletext"/>
              <w:jc w:val="center"/>
              <w:rPr>
                <w:lang w:val="es-ES"/>
              </w:rPr>
            </w:pPr>
          </w:p>
        </w:tc>
        <w:tc>
          <w:tcPr>
            <w:tcW w:w="4067" w:type="dxa"/>
          </w:tcPr>
          <w:p w:rsidR="00DB4F60" w:rsidRDefault="00DB4F60">
            <w:pPr>
              <w:pStyle w:val="Tabletext"/>
              <w:rPr>
                <w:lang w:val="es-ES"/>
              </w:rPr>
            </w:pPr>
            <w:r>
              <w:rPr>
                <w:lang w:val="es-ES"/>
              </w:rPr>
              <w:t>Calar Alto 3,5 m</w:t>
            </w:r>
          </w:p>
        </w:tc>
        <w:tc>
          <w:tcPr>
            <w:tcW w:w="3009" w:type="dxa"/>
          </w:tcPr>
          <w:p w:rsidR="00DB4F60" w:rsidRDefault="00DB4F60">
            <w:pPr>
              <w:pStyle w:val="Tabletext"/>
              <w:jc w:val="left"/>
              <w:rPr>
                <w:lang w:val="es-ES"/>
              </w:rPr>
            </w:pPr>
            <w:r>
              <w:rPr>
                <w:lang w:val="es-ES"/>
              </w:rPr>
              <w:t>Calar Alto (España)</w:t>
            </w:r>
          </w:p>
        </w:tc>
        <w:tc>
          <w:tcPr>
            <w:tcW w:w="1459" w:type="dxa"/>
            <w:vAlign w:val="center"/>
          </w:tcPr>
          <w:p w:rsidR="00DB4F60" w:rsidRDefault="00DB4F60">
            <w:pPr>
              <w:pStyle w:val="Tabletext"/>
              <w:jc w:val="center"/>
              <w:rPr>
                <w:lang w:val="es-ES"/>
              </w:rPr>
            </w:pPr>
            <w:r>
              <w:rPr>
                <w:lang w:val="es-ES"/>
              </w:rPr>
              <w:t>12,2 (f/3,5)</w:t>
            </w:r>
          </w:p>
        </w:tc>
        <w:tc>
          <w:tcPr>
            <w:tcW w:w="1032" w:type="dxa"/>
            <w:vAlign w:val="center"/>
          </w:tcPr>
          <w:p w:rsidR="00DB4F60" w:rsidRDefault="00DB4F60">
            <w:pPr>
              <w:pStyle w:val="Tabletext"/>
              <w:jc w:val="center"/>
              <w:rPr>
                <w:lang w:val="es-ES"/>
              </w:rPr>
            </w:pPr>
            <w:r>
              <w:rPr>
                <w:lang w:val="es-ES"/>
              </w:rPr>
              <w:t>37,22</w:t>
            </w:r>
          </w:p>
        </w:tc>
        <w:tc>
          <w:tcPr>
            <w:tcW w:w="1191" w:type="dxa"/>
            <w:vAlign w:val="center"/>
          </w:tcPr>
          <w:p w:rsidR="00DB4F60" w:rsidRDefault="00DB4F60">
            <w:pPr>
              <w:pStyle w:val="Tabletext"/>
              <w:jc w:val="center"/>
              <w:rPr>
                <w:lang w:val="es-ES"/>
              </w:rPr>
            </w:pPr>
            <w:r>
              <w:rPr>
                <w:lang w:val="es-ES"/>
              </w:rPr>
              <w:t>2,55</w:t>
            </w:r>
          </w:p>
        </w:tc>
        <w:tc>
          <w:tcPr>
            <w:tcW w:w="992" w:type="dxa"/>
            <w:vAlign w:val="center"/>
          </w:tcPr>
          <w:p w:rsidR="00DB4F60" w:rsidRDefault="00DB4F60">
            <w:pPr>
              <w:pStyle w:val="Tabletext"/>
              <w:jc w:val="center"/>
              <w:rPr>
                <w:lang w:val="es-ES"/>
              </w:rPr>
            </w:pPr>
            <w:r>
              <w:rPr>
                <w:lang w:val="es-ES"/>
              </w:rPr>
              <w:t>2 168</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62" w:type="dxa"/>
            <w:vMerge w:val="restart"/>
            <w:vAlign w:val="center"/>
          </w:tcPr>
          <w:p w:rsidR="00DB4F60" w:rsidRDefault="00DB4F60">
            <w:pPr>
              <w:pStyle w:val="Tabletext"/>
              <w:jc w:val="center"/>
              <w:rPr>
                <w:lang w:val="es-ES"/>
              </w:rPr>
            </w:pPr>
            <w:r>
              <w:rPr>
                <w:lang w:val="es-ES"/>
              </w:rPr>
              <w:t>3,0</w:t>
            </w:r>
          </w:p>
        </w:tc>
        <w:tc>
          <w:tcPr>
            <w:tcW w:w="4067" w:type="dxa"/>
          </w:tcPr>
          <w:p w:rsidR="00DB4F60" w:rsidRDefault="00DB4F60">
            <w:pPr>
              <w:pStyle w:val="Tabletext"/>
              <w:rPr>
                <w:lang w:val="es-ES"/>
              </w:rPr>
            </w:pPr>
            <w:r>
              <w:rPr>
                <w:lang w:val="es-ES"/>
              </w:rPr>
              <w:t>Shane</w:t>
            </w:r>
          </w:p>
        </w:tc>
        <w:tc>
          <w:tcPr>
            <w:tcW w:w="3009" w:type="dxa"/>
          </w:tcPr>
          <w:p w:rsidR="00DB4F60" w:rsidRDefault="00DB4F60">
            <w:pPr>
              <w:pStyle w:val="Tabletext"/>
              <w:jc w:val="left"/>
              <w:rPr>
                <w:lang w:val="es-ES"/>
              </w:rPr>
            </w:pPr>
            <w:r>
              <w:rPr>
                <w:lang w:val="es-ES"/>
              </w:rPr>
              <w:t>Mt Hamilton, California (Estados Unidos de América)</w:t>
            </w:r>
          </w:p>
        </w:tc>
        <w:tc>
          <w:tcPr>
            <w:tcW w:w="1459" w:type="dxa"/>
            <w:vAlign w:val="center"/>
          </w:tcPr>
          <w:p w:rsidR="00DB4F60" w:rsidRDefault="00DB4F60">
            <w:pPr>
              <w:pStyle w:val="Tabletext"/>
              <w:jc w:val="center"/>
              <w:rPr>
                <w:lang w:val="es-ES"/>
              </w:rPr>
            </w:pPr>
            <w:r>
              <w:rPr>
                <w:lang w:val="es-ES"/>
              </w:rPr>
              <w:t>15 (f/5)</w:t>
            </w:r>
          </w:p>
        </w:tc>
        <w:tc>
          <w:tcPr>
            <w:tcW w:w="1032" w:type="dxa"/>
            <w:vAlign w:val="center"/>
          </w:tcPr>
          <w:p w:rsidR="00DB4F60" w:rsidRDefault="00DB4F60">
            <w:pPr>
              <w:pStyle w:val="Tabletext"/>
              <w:jc w:val="center"/>
              <w:rPr>
                <w:lang w:val="es-ES"/>
              </w:rPr>
            </w:pPr>
            <w:r>
              <w:rPr>
                <w:lang w:val="es-ES"/>
              </w:rPr>
              <w:t>37,35</w:t>
            </w:r>
          </w:p>
        </w:tc>
        <w:tc>
          <w:tcPr>
            <w:tcW w:w="1191" w:type="dxa"/>
            <w:vAlign w:val="center"/>
          </w:tcPr>
          <w:p w:rsidR="00DB4F60" w:rsidRDefault="00DB4F60">
            <w:pPr>
              <w:pStyle w:val="Tabletext"/>
              <w:jc w:val="center"/>
              <w:rPr>
                <w:lang w:val="es-ES"/>
              </w:rPr>
            </w:pPr>
            <w:r>
              <w:rPr>
                <w:lang w:val="es-ES"/>
              </w:rPr>
              <w:t>121,63</w:t>
            </w:r>
          </w:p>
        </w:tc>
        <w:tc>
          <w:tcPr>
            <w:tcW w:w="992" w:type="dxa"/>
            <w:vAlign w:val="center"/>
          </w:tcPr>
          <w:p w:rsidR="00DB4F60" w:rsidRDefault="00DB4F60">
            <w:pPr>
              <w:pStyle w:val="Tabletext"/>
              <w:jc w:val="center"/>
              <w:rPr>
                <w:lang w:val="es-ES"/>
              </w:rPr>
            </w:pPr>
            <w:r>
              <w:rPr>
                <w:lang w:val="es-ES"/>
              </w:rPr>
              <w:t>1 300</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73" w:type="dxa"/>
            <w:vMerge/>
          </w:tcPr>
          <w:p w:rsidR="00DB4F60" w:rsidRDefault="00DB4F60">
            <w:pPr>
              <w:pStyle w:val="Tabletext"/>
              <w:jc w:val="center"/>
              <w:rPr>
                <w:lang w:val="es-ES"/>
              </w:rPr>
            </w:pPr>
          </w:p>
        </w:tc>
        <w:tc>
          <w:tcPr>
            <w:tcW w:w="4067" w:type="dxa"/>
          </w:tcPr>
          <w:p w:rsidR="00DB4F60" w:rsidRDefault="00DB4F60">
            <w:pPr>
              <w:pStyle w:val="Tabletext"/>
              <w:rPr>
                <w:lang w:val="es-ES"/>
              </w:rPr>
            </w:pPr>
            <w:r>
              <w:rPr>
                <w:lang w:val="es-ES"/>
              </w:rPr>
              <w:t>NASA IRTF</w:t>
            </w:r>
          </w:p>
        </w:tc>
        <w:tc>
          <w:tcPr>
            <w:tcW w:w="3009" w:type="dxa"/>
          </w:tcPr>
          <w:p w:rsidR="00DB4F60" w:rsidRDefault="00DB4F60">
            <w:pPr>
              <w:pStyle w:val="Tabletext"/>
              <w:jc w:val="left"/>
              <w:rPr>
                <w:lang w:val="es-ES"/>
              </w:rPr>
            </w:pPr>
            <w:r>
              <w:rPr>
                <w:lang w:val="es-ES"/>
              </w:rPr>
              <w:t>Mauna Kea, Hawai (Estados Unidos de América)</w:t>
            </w:r>
          </w:p>
        </w:tc>
        <w:tc>
          <w:tcPr>
            <w:tcW w:w="1459" w:type="dxa"/>
            <w:vAlign w:val="center"/>
          </w:tcPr>
          <w:p w:rsidR="00DB4F60" w:rsidRDefault="00DB4F60">
            <w:pPr>
              <w:pStyle w:val="Tabletext"/>
              <w:jc w:val="center"/>
              <w:rPr>
                <w:lang w:val="es-ES"/>
              </w:rPr>
            </w:pPr>
            <w:r>
              <w:rPr>
                <w:lang w:val="es-ES"/>
              </w:rPr>
              <w:t>7,6 (f/2,3)</w:t>
            </w:r>
          </w:p>
        </w:tc>
        <w:tc>
          <w:tcPr>
            <w:tcW w:w="1032" w:type="dxa"/>
            <w:vAlign w:val="center"/>
          </w:tcPr>
          <w:p w:rsidR="00DB4F60" w:rsidRDefault="00DB4F60">
            <w:pPr>
              <w:pStyle w:val="Tabletext"/>
              <w:jc w:val="center"/>
              <w:rPr>
                <w:lang w:val="es-ES"/>
              </w:rPr>
            </w:pPr>
            <w:r>
              <w:rPr>
                <w:lang w:val="es-ES"/>
              </w:rPr>
              <w:t>19,83</w:t>
            </w:r>
          </w:p>
        </w:tc>
        <w:tc>
          <w:tcPr>
            <w:tcW w:w="1191" w:type="dxa"/>
            <w:vAlign w:val="center"/>
          </w:tcPr>
          <w:p w:rsidR="00DB4F60" w:rsidRDefault="00DB4F60">
            <w:pPr>
              <w:pStyle w:val="Tabletext"/>
              <w:jc w:val="center"/>
              <w:rPr>
                <w:lang w:val="es-ES"/>
              </w:rPr>
            </w:pPr>
            <w:r>
              <w:rPr>
                <w:lang w:val="es-ES"/>
              </w:rPr>
              <w:t>155,47</w:t>
            </w:r>
          </w:p>
        </w:tc>
        <w:tc>
          <w:tcPr>
            <w:tcW w:w="992" w:type="dxa"/>
            <w:vAlign w:val="center"/>
          </w:tcPr>
          <w:p w:rsidR="00DB4F60" w:rsidRDefault="00DB4F60">
            <w:pPr>
              <w:pStyle w:val="Tabletext"/>
              <w:jc w:val="center"/>
              <w:rPr>
                <w:lang w:val="es-ES"/>
              </w:rPr>
            </w:pPr>
            <w:r>
              <w:rPr>
                <w:lang w:val="es-ES"/>
              </w:rPr>
              <w:t>4 160</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373" w:type="dxa"/>
            <w:vMerge/>
            <w:tcBorders>
              <w:bottom w:val="single" w:sz="6" w:space="0" w:color="auto"/>
            </w:tcBorders>
          </w:tcPr>
          <w:p w:rsidR="00DB4F60" w:rsidRDefault="00DB4F60">
            <w:pPr>
              <w:pStyle w:val="Tabletext"/>
              <w:jc w:val="center"/>
              <w:rPr>
                <w:lang w:val="es-ES"/>
              </w:rPr>
            </w:pPr>
          </w:p>
        </w:tc>
        <w:tc>
          <w:tcPr>
            <w:tcW w:w="4067" w:type="dxa"/>
            <w:tcBorders>
              <w:bottom w:val="single" w:sz="6" w:space="0" w:color="auto"/>
            </w:tcBorders>
          </w:tcPr>
          <w:p w:rsidR="00DB4F60" w:rsidRDefault="00DB4F60">
            <w:pPr>
              <w:pStyle w:val="Tabletext"/>
              <w:rPr>
                <w:lang w:val="es-ES"/>
              </w:rPr>
            </w:pPr>
            <w:r>
              <w:rPr>
                <w:lang w:val="es-ES"/>
              </w:rPr>
              <w:t>NODO</w:t>
            </w:r>
          </w:p>
        </w:tc>
        <w:tc>
          <w:tcPr>
            <w:tcW w:w="3009" w:type="dxa"/>
            <w:tcBorders>
              <w:bottom w:val="single" w:sz="6" w:space="0" w:color="auto"/>
            </w:tcBorders>
          </w:tcPr>
          <w:p w:rsidR="00DB4F60" w:rsidRDefault="00DB4F60">
            <w:pPr>
              <w:pStyle w:val="Tabletext"/>
              <w:jc w:val="left"/>
              <w:rPr>
                <w:lang w:val="es-ES"/>
              </w:rPr>
            </w:pPr>
            <w:r>
              <w:rPr>
                <w:lang w:val="es-ES"/>
              </w:rPr>
              <w:t>Cloudcroft, Nuevo México (Estados Unidos de América)</w:t>
            </w:r>
          </w:p>
        </w:tc>
        <w:tc>
          <w:tcPr>
            <w:tcW w:w="1459" w:type="dxa"/>
            <w:tcBorders>
              <w:bottom w:val="single" w:sz="6" w:space="0" w:color="auto"/>
            </w:tcBorders>
            <w:vAlign w:val="center"/>
          </w:tcPr>
          <w:p w:rsidR="00DB4F60" w:rsidRDefault="00DB4F60">
            <w:pPr>
              <w:pStyle w:val="Tabletext"/>
              <w:jc w:val="center"/>
              <w:rPr>
                <w:lang w:val="es-ES"/>
              </w:rPr>
            </w:pPr>
            <w:r>
              <w:rPr>
                <w:lang w:val="es-ES"/>
              </w:rPr>
              <w:t>4,5 (f/1,5)</w:t>
            </w:r>
          </w:p>
        </w:tc>
        <w:tc>
          <w:tcPr>
            <w:tcW w:w="1032" w:type="dxa"/>
            <w:tcBorders>
              <w:bottom w:val="single" w:sz="6" w:space="0" w:color="auto"/>
            </w:tcBorders>
            <w:vAlign w:val="center"/>
          </w:tcPr>
          <w:p w:rsidR="00DB4F60" w:rsidRDefault="00DB4F60">
            <w:pPr>
              <w:pStyle w:val="Tabletext"/>
              <w:jc w:val="center"/>
              <w:rPr>
                <w:lang w:val="es-ES"/>
              </w:rPr>
            </w:pPr>
            <w:r>
              <w:rPr>
                <w:lang w:val="es-ES"/>
              </w:rPr>
              <w:t>32,98</w:t>
            </w:r>
          </w:p>
        </w:tc>
        <w:tc>
          <w:tcPr>
            <w:tcW w:w="1191" w:type="dxa"/>
            <w:tcBorders>
              <w:bottom w:val="single" w:sz="6" w:space="0" w:color="auto"/>
            </w:tcBorders>
            <w:vAlign w:val="center"/>
          </w:tcPr>
          <w:p w:rsidR="00DB4F60" w:rsidRDefault="00DB4F60">
            <w:pPr>
              <w:pStyle w:val="Tabletext"/>
              <w:jc w:val="center"/>
              <w:rPr>
                <w:lang w:val="es-ES"/>
              </w:rPr>
            </w:pPr>
            <w:r>
              <w:rPr>
                <w:lang w:val="es-ES"/>
              </w:rPr>
              <w:t>105,73</w:t>
            </w:r>
          </w:p>
        </w:tc>
        <w:tc>
          <w:tcPr>
            <w:tcW w:w="992" w:type="dxa"/>
            <w:tcBorders>
              <w:bottom w:val="single" w:sz="6" w:space="0" w:color="auto"/>
            </w:tcBorders>
            <w:vAlign w:val="center"/>
          </w:tcPr>
          <w:p w:rsidR="00DB4F60" w:rsidRDefault="00DB4F60">
            <w:pPr>
              <w:pStyle w:val="Tabletext"/>
              <w:jc w:val="center"/>
              <w:rPr>
                <w:lang w:val="es-ES"/>
              </w:rPr>
            </w:pPr>
            <w:r>
              <w:rPr>
                <w:lang w:val="es-ES"/>
              </w:rPr>
              <w:t>2 758</w:t>
            </w:r>
          </w:p>
        </w:tc>
      </w:tr>
      <w:tr w:rsidR="00DB4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026" w:type="dxa"/>
            <w:gridSpan w:val="7"/>
            <w:tcBorders>
              <w:left w:val="nil"/>
              <w:bottom w:val="nil"/>
              <w:right w:val="nil"/>
            </w:tcBorders>
          </w:tcPr>
          <w:p w:rsidR="00DB4F60" w:rsidRDefault="00DB4F60">
            <w:pPr>
              <w:pStyle w:val="Tablelegend"/>
              <w:ind w:left="-85" w:firstLine="0"/>
              <w:rPr>
                <w:lang w:val="es-ES"/>
              </w:rPr>
            </w:pPr>
            <w:r>
              <w:rPr>
                <w:lang w:val="es-ES"/>
              </w:rPr>
              <w:t>NOTA 1 – El intervalo espectral observable en la mayor parte de las mediciones viene limitado por el detector. La mayor parte de los telescopios, aunque no todos, son capaces de llevar a cabo sus observaciones con diversos grados de calidad de funcionamiento en todas las ventanas atmosféricas de visibilidad.</w:t>
            </w:r>
          </w:p>
        </w:tc>
      </w:tr>
    </w:tbl>
    <w:p w:rsidR="00DB4F60" w:rsidRDefault="00DB4F60">
      <w:pPr>
        <w:pStyle w:val="Tablefin"/>
      </w:pPr>
    </w:p>
    <w:p w:rsidR="00DB4F60" w:rsidRDefault="00DB4F60">
      <w:pPr>
        <w:rPr>
          <w:lang w:val="es-ES"/>
        </w:rPr>
        <w:sectPr w:rsidR="00DB4F60">
          <w:headerReference w:type="even" r:id="rId21"/>
          <w:headerReference w:type="default" r:id="rId22"/>
          <w:footerReference w:type="default" r:id="rId23"/>
          <w:headerReference w:type="first" r:id="rId24"/>
          <w:footerReference w:type="first" r:id="rId25"/>
          <w:footnotePr>
            <w:pos w:val="beneathText"/>
          </w:footnotePr>
          <w:pgSz w:w="16834" w:h="11907" w:orient="landscape" w:code="9"/>
          <w:pgMar w:top="1134" w:right="1418" w:bottom="1134" w:left="1418" w:header="720" w:footer="720" w:gutter="0"/>
          <w:paperSrc w:first="15" w:other="15"/>
          <w:cols w:space="720"/>
        </w:sectPr>
      </w:pPr>
    </w:p>
    <w:p w:rsidR="00DB4F60" w:rsidRDefault="00DB4F60">
      <w:pPr>
        <w:rPr>
          <w:lang w:val="es-ES"/>
        </w:rPr>
      </w:pPr>
    </w:p>
    <w:sectPr w:rsidR="00DB4F60">
      <w:headerReference w:type="first" r:id="rId26"/>
      <w:footnotePr>
        <w:pos w:val="beneathText"/>
      </w:footnotePr>
      <w:pgSz w:w="11907" w:h="16834" w:code="9"/>
      <w:pgMar w:top="1418" w:right="1134" w:bottom="1418" w:left="1134" w:header="720" w:footer="720" w:gutter="0"/>
      <w:paperSrc w:first="15" w:other="15"/>
      <w:cols w:space="720"/>
      <w:vAlign w:val="both"/>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60" w:rsidRDefault="00DB4F60">
      <w:pPr>
        <w:spacing w:before="0"/>
      </w:pPr>
      <w:r>
        <w:separator/>
      </w:r>
    </w:p>
  </w:endnote>
  <w:endnote w:type="continuationSeparator" w:id="0">
    <w:p w:rsidR="00DB4F60" w:rsidRDefault="00DB4F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DB4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DB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60" w:rsidRDefault="00DB4F60">
      <w:pPr>
        <w:spacing w:before="0"/>
      </w:pPr>
      <w:r>
        <w:separator/>
      </w:r>
    </w:p>
  </w:footnote>
  <w:footnote w:type="continuationSeparator" w:id="0">
    <w:p w:rsidR="00DB4F60" w:rsidRDefault="00DB4F60">
      <w:pPr>
        <w:spacing w:before="0"/>
      </w:pPr>
      <w:r>
        <w:continuationSeparator/>
      </w:r>
    </w:p>
  </w:footnote>
  <w:footnote w:id="1">
    <w:p w:rsidR="00DB4F60" w:rsidRDefault="00DB4F60">
      <w:pPr>
        <w:pStyle w:val="FootnoteText"/>
        <w:rPr>
          <w:lang w:val="es-ES"/>
        </w:rPr>
      </w:pPr>
      <w:r>
        <w:rPr>
          <w:rStyle w:val="FootnoteReference"/>
          <w:lang w:val="es-ES"/>
        </w:rPr>
        <w:t>*</w:t>
      </w:r>
      <w:r>
        <w:rPr>
          <w:lang w:val="es-ES"/>
        </w:rPr>
        <w:t xml:space="preserve"> </w:t>
      </w:r>
      <w:r>
        <w:rPr>
          <w:lang w:val="es-ES"/>
        </w:rPr>
        <w:tab/>
        <w:t>Esta Recomendación debe señalarse a la atención de la Unión Astronómica Internacional (UAI) y de la Unión Radiocientífica Internacional (URSI).</w:t>
      </w:r>
    </w:p>
  </w:footnote>
  <w:footnote w:id="2">
    <w:p w:rsidR="00D82594" w:rsidRPr="006C15A6" w:rsidRDefault="00D82594" w:rsidP="00D82594">
      <w:pPr>
        <w:pStyle w:val="FootnoteText"/>
        <w:rPr>
          <w:lang w:val="es-ES_tradnl"/>
        </w:rPr>
      </w:pPr>
      <w:r w:rsidRPr="006C15A6">
        <w:rPr>
          <w:rStyle w:val="FootnoteReference"/>
          <w:lang w:val="es-ES_tradnl"/>
        </w:rPr>
        <w:t>**</w:t>
      </w:r>
      <w:r w:rsidRPr="006C15A6">
        <w:rPr>
          <w:lang w:val="es-ES_tradnl"/>
        </w:rPr>
        <w:t xml:space="preserve"> </w:t>
      </w:r>
      <w:r>
        <w:rPr>
          <w:lang w:val="es-ES_tradnl"/>
        </w:rPr>
        <w:t>La Comisión de Estudio 7 de Radiocomunicaciones introdujo modificaciones redaccionales en esta Recomendación en 2017, de conformidad con la Resolución UIT-R 1.</w:t>
      </w:r>
    </w:p>
  </w:footnote>
  <w:footnote w:id="3">
    <w:p w:rsidR="00D82594" w:rsidRPr="00D82594" w:rsidRDefault="00D82594">
      <w:pPr>
        <w:pStyle w:val="FootnoteText"/>
        <w:rPr>
          <w:lang w:val="fr-CH"/>
        </w:rPr>
      </w:pPr>
      <w:r>
        <w:rPr>
          <w:rStyle w:val="FootnoteReference"/>
        </w:rPr>
        <w:t>***</w:t>
      </w:r>
      <w:r>
        <w:t xml:space="preserve"> 1 THz </w:t>
      </w:r>
      <w:r>
        <w:rPr>
          <w:rFonts w:ascii="Symbol" w:hAnsi="Symbol"/>
        </w:rPr>
        <w:t></w:t>
      </w:r>
      <w:r>
        <w:t xml:space="preserve"> 1 000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DB4F60">
    <w:pPr>
      <w:pStyle w:val="Header"/>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sidR="00CC6CCD">
      <w:rPr>
        <w:rStyle w:val="PageNumber"/>
        <w:b/>
        <w:bCs/>
        <w:noProof/>
      </w:rPr>
      <w:t>12</w:t>
    </w:r>
    <w:r>
      <w:rPr>
        <w:rStyle w:val="PageNumber"/>
        <w:b/>
        <w:bCs/>
      </w:rPr>
      <w:fldChar w:fldCharType="end"/>
    </w:r>
    <w:r w:rsidR="00CA7926">
      <w:rPr>
        <w:rStyle w:val="PageNumber"/>
        <w:b/>
        <w:bCs/>
        <w:noProof/>
        <w:lang w:val="en-GB" w:eastAsia="en-GB"/>
      </w:rPr>
      <mc:AlternateContent>
        <mc:Choice Requires="wps">
          <w:drawing>
            <wp:anchor distT="0" distB="0" distL="114300" distR="114300" simplePos="0" relativeHeight="251656192" behindDoc="0" locked="1" layoutInCell="1" allowOverlap="1">
              <wp:simplePos x="0" y="0"/>
              <wp:positionH relativeFrom="column">
                <wp:posOffset>9361170</wp:posOffset>
              </wp:positionH>
              <wp:positionV relativeFrom="paragraph">
                <wp:posOffset>327660</wp:posOffset>
              </wp:positionV>
              <wp:extent cx="360045" cy="62998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F60" w:rsidRDefault="00DB4F60">
                          <w:pPr>
                            <w:pStyle w:val="Header"/>
                            <w:jc w:val="left"/>
                            <w:rPr>
                              <w:b/>
                              <w:bCs/>
                            </w:rPr>
                          </w:pPr>
                          <w:r>
                            <w:rPr>
                              <w:b/>
                              <w:bCs/>
                            </w:rPr>
                            <w:fldChar w:fldCharType="begin"/>
                          </w:r>
                          <w:r>
                            <w:rPr>
                              <w:b/>
                              <w:bCs/>
                            </w:rPr>
                            <w:instrText>PAGE</w:instrText>
                          </w:r>
                          <w:r>
                            <w:rPr>
                              <w:b/>
                              <w:bCs/>
                            </w:rPr>
                            <w:fldChar w:fldCharType="separate"/>
                          </w:r>
                          <w:r w:rsidR="00CC6CCD">
                            <w:rPr>
                              <w:b/>
                              <w:bCs/>
                              <w:noProof/>
                            </w:rPr>
                            <w:t>12</w:t>
                          </w:r>
                          <w:r>
                            <w:rP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p>
                        <w:p w:rsidR="00DB4F60" w:rsidRDefault="00DB4F60">
                          <w:pPr>
                            <w:rPr>
                              <w:b/>
                              <w:bC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7.1pt;margin-top:25.8pt;width:28.35pt;height:49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3VswIAALk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" filled="f" stroked="f">
              <v:textbox style="layout-flow:vertical">
                <w:txbxContent>
                  <w:p w:rsidR="00DB4F60" w:rsidRDefault="00DB4F60">
                    <w:pPr>
                      <w:pStyle w:val="Header"/>
                      <w:jc w:val="left"/>
                      <w:rPr>
                        <w:b/>
                        <w:bCs/>
                      </w:rPr>
                    </w:pPr>
                    <w:r>
                      <w:rPr>
                        <w:b/>
                        <w:bCs/>
                      </w:rPr>
                      <w:fldChar w:fldCharType="begin"/>
                    </w:r>
                    <w:r>
                      <w:rPr>
                        <w:b/>
                        <w:bCs/>
                      </w:rPr>
                      <w:instrText>PAGE</w:instrText>
                    </w:r>
                    <w:r>
                      <w:rPr>
                        <w:b/>
                        <w:bCs/>
                      </w:rPr>
                      <w:fldChar w:fldCharType="separate"/>
                    </w:r>
                    <w:r w:rsidR="00CC6CCD">
                      <w:rPr>
                        <w:b/>
                        <w:bCs/>
                        <w:noProof/>
                      </w:rPr>
                      <w:t>12</w:t>
                    </w:r>
                    <w:r>
                      <w:rP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p>
                  <w:p w:rsidR="00DB4F60" w:rsidRDefault="00DB4F60">
                    <w:pPr>
                      <w:rPr>
                        <w:b/>
                        <w:bCs/>
                      </w:rPr>
                    </w:pPr>
                  </w:p>
                </w:txbxContent>
              </v:textbox>
              <w10:anchorlock/>
            </v:shape>
          </w:pict>
        </mc:Fallback>
      </mc:AlternateContent>
    </w:r>
    <w:r>
      <w:rPr>
        <w:rStyle w:val="PageNumbe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DB4F60">
    <w:pPr>
      <w:pStyle w:val="Header"/>
      <w:rPr>
        <w:b/>
        <w:bCs/>
      </w:rPr>
    </w:pPr>
    <w:r>
      <w:rPr>
        <w:rStyle w:val="PageNumbe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r w:rsidR="00CA7926">
      <w:rPr>
        <w:b/>
        <w:bCs/>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9361170</wp:posOffset>
              </wp:positionH>
              <wp:positionV relativeFrom="paragraph">
                <wp:posOffset>327660</wp:posOffset>
              </wp:positionV>
              <wp:extent cx="360045" cy="6299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F60" w:rsidRDefault="00DB4F60">
                          <w:pPr>
                            <w:pStyle w:val="Header"/>
                            <w:jc w:val="left"/>
                            <w:rPr>
                              <w:b/>
                              <w:bCs/>
                            </w:rPr>
                          </w:pP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r>
                            <w:rPr>
                              <w:b/>
                              <w:bCs/>
                            </w:rPr>
                            <w:tab/>
                          </w:r>
                          <w:r>
                            <w:rPr>
                              <w:b/>
                              <w:bCs/>
                            </w:rPr>
                            <w:fldChar w:fldCharType="begin"/>
                          </w:r>
                          <w:r>
                            <w:rPr>
                              <w:b/>
                              <w:bCs/>
                            </w:rPr>
                            <w:instrText>PAGE</w:instrText>
                          </w:r>
                          <w:r>
                            <w:rPr>
                              <w:b/>
                              <w:bCs/>
                            </w:rPr>
                            <w:fldChar w:fldCharType="separate"/>
                          </w:r>
                          <w:r w:rsidR="00CC6CCD">
                            <w:rPr>
                              <w:b/>
                              <w:bCs/>
                              <w:noProof/>
                            </w:rPr>
                            <w:t>13</w:t>
                          </w:r>
                          <w:r>
                            <w:rPr>
                              <w:b/>
                              <w:bCs/>
                            </w:rPr>
                            <w:fldChar w:fldCharType="end"/>
                          </w:r>
                        </w:p>
                        <w:p w:rsidR="00DB4F60" w:rsidRDefault="00DB4F60">
                          <w:pPr>
                            <w:rPr>
                              <w:b/>
                              <w:bCs/>
                            </w:rPr>
                          </w:pPr>
                        </w:p>
                        <w:p w:rsidR="00DB4F60" w:rsidRDefault="00DB4F60">
                          <w:pPr>
                            <w:rPr>
                              <w:b/>
                              <w:bC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737.1pt;margin-top:25.8pt;width:28.35pt;height:49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" filled="f" stroked="f">
              <v:textbox style="layout-flow:vertical">
                <w:txbxContent>
                  <w:p w:rsidR="00DB4F60" w:rsidRDefault="00DB4F60">
                    <w:pPr>
                      <w:pStyle w:val="Header"/>
                      <w:jc w:val="left"/>
                      <w:rPr>
                        <w:b/>
                        <w:bCs/>
                      </w:rPr>
                    </w:pP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r>
                      <w:rPr>
                        <w:b/>
                        <w:bCs/>
                      </w:rPr>
                      <w:tab/>
                    </w:r>
                    <w:r>
                      <w:rPr>
                        <w:b/>
                        <w:bCs/>
                      </w:rPr>
                      <w:fldChar w:fldCharType="begin"/>
                    </w:r>
                    <w:r>
                      <w:rPr>
                        <w:b/>
                        <w:bCs/>
                      </w:rPr>
                      <w:instrText>PAGE</w:instrText>
                    </w:r>
                    <w:r>
                      <w:rPr>
                        <w:b/>
                        <w:bCs/>
                      </w:rPr>
                      <w:fldChar w:fldCharType="separate"/>
                    </w:r>
                    <w:r w:rsidR="00CC6CCD">
                      <w:rPr>
                        <w:b/>
                        <w:bCs/>
                        <w:noProof/>
                      </w:rPr>
                      <w:t>13</w:t>
                    </w:r>
                    <w:r>
                      <w:rPr>
                        <w:b/>
                        <w:bCs/>
                      </w:rPr>
                      <w:fldChar w:fldCharType="end"/>
                    </w:r>
                  </w:p>
                  <w:p w:rsidR="00DB4F60" w:rsidRDefault="00DB4F60">
                    <w:pPr>
                      <w:rPr>
                        <w:b/>
                        <w:bCs/>
                      </w:rPr>
                    </w:pPr>
                  </w:p>
                  <w:p w:rsidR="00DB4F60" w:rsidRDefault="00DB4F60">
                    <w:pPr>
                      <w:rPr>
                        <w:b/>
                        <w:bCs/>
                      </w:rPr>
                    </w:pPr>
                  </w:p>
                </w:txbxContent>
              </v:textbox>
            </v:shape>
          </w:pict>
        </mc:Fallback>
      </mc:AlternateConten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CC6CCD">
      <w:rPr>
        <w:rStyle w:val="PageNumber"/>
        <w:b/>
        <w:bCs/>
        <w:noProof/>
      </w:rPr>
      <w:t>13</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CA7926">
    <w:pPr>
      <w:pStyle w:val="Header"/>
      <w:jc w:val="left"/>
      <w:rPr>
        <w:b/>
        <w:bCs/>
      </w:rPr>
    </w:pPr>
    <w:r>
      <w:rPr>
        <w:rStyle w:val="PageNumber"/>
        <w:b/>
        <w:bCs/>
        <w:noProof/>
        <w:lang w:val="en-GB" w:eastAsia="en-GB"/>
      </w:rPr>
      <mc:AlternateContent>
        <mc:Choice Requires="wps">
          <w:drawing>
            <wp:anchor distT="0" distB="0" distL="114300" distR="114300" simplePos="0" relativeHeight="251657216" behindDoc="0" locked="1" layoutInCell="1" allowOverlap="1">
              <wp:simplePos x="0" y="0"/>
              <wp:positionH relativeFrom="column">
                <wp:posOffset>9144000</wp:posOffset>
              </wp:positionH>
              <wp:positionV relativeFrom="paragraph">
                <wp:posOffset>377190</wp:posOffset>
              </wp:positionV>
              <wp:extent cx="360045" cy="62998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F60" w:rsidRDefault="00DB4F60">
                          <w:pPr>
                            <w:pStyle w:val="Header"/>
                            <w:jc w:val="left"/>
                            <w:rPr>
                              <w:b/>
                              <w:bCs/>
                            </w:rPr>
                          </w:pPr>
                          <w:r>
                            <w:rPr>
                              <w:b/>
                              <w:bCs/>
                            </w:rPr>
                            <w:fldChar w:fldCharType="begin"/>
                          </w:r>
                          <w:r>
                            <w:rPr>
                              <w:b/>
                              <w:bCs/>
                            </w:rPr>
                            <w:instrText>PAGE</w:instrText>
                          </w:r>
                          <w:r>
                            <w:rPr>
                              <w:b/>
                              <w:bCs/>
                            </w:rPr>
                            <w:fldChar w:fldCharType="separate"/>
                          </w:r>
                          <w:r w:rsidR="00CC6CCD">
                            <w:rPr>
                              <w:b/>
                              <w:bCs/>
                              <w:noProof/>
                            </w:rPr>
                            <w:t>14</w:t>
                          </w:r>
                          <w:r>
                            <w:rP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p>
                        <w:p w:rsidR="00DB4F60" w:rsidRDefault="00DB4F60">
                          <w:pPr>
                            <w:rPr>
                              <w:b/>
                              <w:bC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0in;margin-top:29.7pt;width:28.35pt;height:49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" filled="f" stroked="f">
              <v:textbox style="layout-flow:vertical">
                <w:txbxContent>
                  <w:p w:rsidR="00DB4F60" w:rsidRDefault="00DB4F60">
                    <w:pPr>
                      <w:pStyle w:val="Header"/>
                      <w:jc w:val="left"/>
                      <w:rPr>
                        <w:b/>
                        <w:bCs/>
                      </w:rPr>
                    </w:pPr>
                    <w:r>
                      <w:rPr>
                        <w:b/>
                        <w:bCs/>
                      </w:rPr>
                      <w:fldChar w:fldCharType="begin"/>
                    </w:r>
                    <w:r>
                      <w:rPr>
                        <w:b/>
                        <w:bCs/>
                      </w:rPr>
                      <w:instrText>PAGE</w:instrText>
                    </w:r>
                    <w:r>
                      <w:rPr>
                        <w:b/>
                        <w:bCs/>
                      </w:rPr>
                      <w:fldChar w:fldCharType="separate"/>
                    </w:r>
                    <w:r w:rsidR="00CC6CCD">
                      <w:rPr>
                        <w:b/>
                        <w:bCs/>
                        <w:noProof/>
                      </w:rPr>
                      <w:t>14</w:t>
                    </w:r>
                    <w:r>
                      <w:rP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p>
                  <w:p w:rsidR="00DB4F60" w:rsidRDefault="00DB4F60">
                    <w:pPr>
                      <w:rPr>
                        <w:b/>
                        <w:bCs/>
                      </w:rPr>
                    </w:pP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CA7926">
    <w:pPr>
      <w:pStyle w:val="Header"/>
      <w:rPr>
        <w:b/>
        <w:bCs/>
      </w:rPr>
    </w:pPr>
    <w:r>
      <w:rPr>
        <w:rStyle w:val="PageNumber"/>
        <w:b/>
        <w:bCs/>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9144000</wp:posOffset>
              </wp:positionH>
              <wp:positionV relativeFrom="paragraph">
                <wp:posOffset>377190</wp:posOffset>
              </wp:positionV>
              <wp:extent cx="360045" cy="62998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F60" w:rsidRDefault="00DB4F60">
                          <w:pPr>
                            <w:pStyle w:val="Header"/>
                            <w:jc w:val="left"/>
                            <w:rPr>
                              <w:b/>
                              <w:bCs/>
                            </w:rPr>
                          </w:pP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r>
                            <w:rPr>
                              <w:b/>
                              <w:bCs/>
                            </w:rPr>
                            <w:tab/>
                          </w:r>
                          <w:r>
                            <w:rPr>
                              <w:b/>
                              <w:bCs/>
                            </w:rPr>
                            <w:fldChar w:fldCharType="begin"/>
                          </w:r>
                          <w:r>
                            <w:rPr>
                              <w:b/>
                              <w:bCs/>
                            </w:rPr>
                            <w:instrText>PAGE</w:instrText>
                          </w:r>
                          <w:r>
                            <w:rPr>
                              <w:b/>
                              <w:bCs/>
                            </w:rPr>
                            <w:fldChar w:fldCharType="separate"/>
                          </w:r>
                          <w:r w:rsidR="00CC6CCD">
                            <w:rPr>
                              <w:b/>
                              <w:bCs/>
                              <w:noProof/>
                            </w:rPr>
                            <w:t>15</w:t>
                          </w:r>
                          <w:r>
                            <w:rPr>
                              <w:b/>
                              <w:bCs/>
                            </w:rPr>
                            <w:fldChar w:fldCharType="end"/>
                          </w:r>
                        </w:p>
                        <w:p w:rsidR="00DB4F60" w:rsidRDefault="00DB4F60">
                          <w:pPr>
                            <w:rPr>
                              <w:b/>
                              <w:bCs/>
                            </w:rPr>
                          </w:pPr>
                        </w:p>
                        <w:p w:rsidR="00DB4F60" w:rsidRDefault="00DB4F60">
                          <w:pPr>
                            <w:rPr>
                              <w:b/>
                              <w:bC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in;margin-top:29.7pt;width:28.35pt;height:4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" filled="f" stroked="f">
              <v:textbox style="layout-flow:vertical">
                <w:txbxContent>
                  <w:p w:rsidR="00DB4F60" w:rsidRDefault="00DB4F60">
                    <w:pPr>
                      <w:pStyle w:val="Header"/>
                      <w:jc w:val="left"/>
                      <w:rPr>
                        <w:b/>
                        <w:bCs/>
                      </w:rPr>
                    </w:pPr>
                    <w:r>
                      <w:rPr>
                        <w:b/>
                        <w:bCs/>
                      </w:rPr>
                      <w:tab/>
                    </w:r>
                    <w:r>
                      <w:rPr>
                        <w:b/>
                        <w:bCs/>
                      </w:rPr>
                      <w:fldChar w:fldCharType="begin"/>
                    </w:r>
                    <w:r>
                      <w:rPr>
                        <w:b/>
                        <w:bCs/>
                      </w:rPr>
                      <w:instrText xml:space="preserve"> DOCPROPERTY "Header" \* MERGEFORMAT </w:instrText>
                    </w:r>
                    <w:r>
                      <w:rPr>
                        <w:b/>
                        <w:bCs/>
                      </w:rPr>
                      <w:fldChar w:fldCharType="separate"/>
                    </w:r>
                    <w:r w:rsidR="00CC6CC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C6CCD">
                      <w:rPr>
                        <w:b/>
                        <w:bCs/>
                        <w:noProof/>
                      </w:rPr>
                      <w:t>UIT-R  RA.1630-0</w:t>
                    </w:r>
                    <w:r>
                      <w:rPr>
                        <w:b/>
                        <w:bCs/>
                      </w:rPr>
                      <w:fldChar w:fldCharType="end"/>
                    </w:r>
                    <w:r>
                      <w:rPr>
                        <w:b/>
                        <w:bCs/>
                      </w:rPr>
                      <w:tab/>
                    </w:r>
                    <w:r>
                      <w:rPr>
                        <w:b/>
                        <w:bCs/>
                      </w:rPr>
                      <w:fldChar w:fldCharType="begin"/>
                    </w:r>
                    <w:r>
                      <w:rPr>
                        <w:b/>
                        <w:bCs/>
                      </w:rPr>
                      <w:instrText>PAGE</w:instrText>
                    </w:r>
                    <w:r>
                      <w:rPr>
                        <w:b/>
                        <w:bCs/>
                      </w:rPr>
                      <w:fldChar w:fldCharType="separate"/>
                    </w:r>
                    <w:r w:rsidR="00CC6CCD">
                      <w:rPr>
                        <w:b/>
                        <w:bCs/>
                        <w:noProof/>
                      </w:rPr>
                      <w:t>15</w:t>
                    </w:r>
                    <w:r>
                      <w:rPr>
                        <w:b/>
                        <w:bCs/>
                      </w:rPr>
                      <w:fldChar w:fldCharType="end"/>
                    </w:r>
                  </w:p>
                  <w:p w:rsidR="00DB4F60" w:rsidRDefault="00DB4F60">
                    <w:pPr>
                      <w:rPr>
                        <w:b/>
                        <w:bCs/>
                      </w:rPr>
                    </w:pPr>
                  </w:p>
                  <w:p w:rsidR="00DB4F60" w:rsidRDefault="00DB4F60">
                    <w:pPr>
                      <w:rPr>
                        <w:b/>
                        <w:bCs/>
                      </w:rPr>
                    </w:pPr>
                  </w:p>
                </w:txbxContent>
              </v:textbox>
            </v:shape>
          </w:pict>
        </mc:Fallback>
      </mc:AlternateContent>
    </w:r>
    <w:r w:rsidR="00DB4F60">
      <w:rPr>
        <w:rStyle w:val="PageNumber"/>
        <w:b/>
        <w:bCs/>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DB4F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60" w:rsidRDefault="00DB4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E1A46"/>
    <w:multiLevelType w:val="singleLevel"/>
    <w:tmpl w:val="4118905C"/>
    <w:lvl w:ilvl="0">
      <w:start w:val="6"/>
      <w:numFmt w:val="lowerLetter"/>
      <w:lvlText w:val="%1)"/>
      <w:lvlJc w:val="left"/>
      <w:pPr>
        <w:tabs>
          <w:tab w:val="num" w:pos="795"/>
        </w:tabs>
        <w:ind w:left="795" w:hanging="795"/>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mirrorMargins/>
  <w:hideSpellingErrors/>
  <w:hideGrammaticalErrors/>
  <w:activeWritingStyle w:appName="MSWord" w:lang="en-US" w:vendorID="64" w:dllVersion="131077" w:nlCheck="1" w:checkStyle="0"/>
  <w:attachedTemplate r:id="rId1"/>
  <w:defaultTabStop w:val="720"/>
  <w:evenAndOddHeaders/>
  <w:noPunctuationKerning/>
  <w:characterSpacingControl w:val="doNotCompress"/>
  <w:hdrShapeDefaults>
    <o:shapedefaults v:ext="edit" spidmax="5121"/>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70"/>
    <w:rsid w:val="003D4CEA"/>
    <w:rsid w:val="00901C70"/>
    <w:rsid w:val="00CA7926"/>
    <w:rsid w:val="00CC6CCD"/>
    <w:rsid w:val="00D82594"/>
    <w:rsid w:val="00DB4F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970A6EA-A6A7-423C-A84C-02585650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 odd1,footer odd2,footer odd3,footer odd4,footer odd5,pie de página"/>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character" w:customStyle="1" w:styleId="FootnoteTextChar">
    <w:name w:val="Footnote Text Char"/>
    <w:basedOn w:val="DefaultParagraphFont"/>
    <w:link w:val="FootnoteText"/>
    <w:semiHidden/>
    <w:rsid w:val="00D82594"/>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BR_Rec_2002.dot</Template>
  <TotalTime>1</TotalTime>
  <Pages>1</Pages>
  <Words>6394</Words>
  <Characters>34249</Characters>
  <Application>Microsoft Office Word</Application>
  <DocSecurity>0</DocSecurity>
  <Lines>1712</Lines>
  <Paragraphs>183</Paragraphs>
  <ScaleCrop>false</ScaleCrop>
  <HeadingPairs>
    <vt:vector size="2" baseType="variant">
      <vt:variant>
        <vt:lpstr>Title</vt:lpstr>
      </vt:variant>
      <vt:variant>
        <vt:i4>1</vt:i4>
      </vt:variant>
    </vt:vector>
  </HeadingPairs>
  <TitlesOfParts>
    <vt:vector size="1" baseType="lpstr">
      <vt:lpstr>RECOMENDACIÓN  UIT-R  RA.1630* - Características técnicas y operacionales de los sistemas astronómicos situados en tierra para ser utilizadas en los estudios de compartición con servicios activos entre 10 THz y 1 000 THz</vt:lpstr>
    </vt:vector>
  </TitlesOfParts>
  <Manager/>
  <Company>ITU</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RA.1630* - Características técnicas y operacionales de los sistemas astronómicos situados en tierra para ser utilizadas en los estudios de compartición con servicios activos entre 10 THz y 1 000 THz</dc:title>
  <dc:subject>Serie RA = Radioastronomía</dc:subject>
  <dc:creator>Oficina de Radiocomunicaciones del UIT (BR)</dc:creator>
  <cp:keywords>RA,1630</cp:keywords>
  <dc:description>saisie+mep: 29.04.03/fn_x000d_
BAT: 03.06.03/FN_x000d_
originaux: 27.06.03/fn_x000d_
2ème originaux: 28.08.03/fn</dc:description>
  <cp:lastModifiedBy>Gachet, Christelle</cp:lastModifiedBy>
  <cp:revision>5</cp:revision>
  <cp:lastPrinted>2017-06-07T14:07:00Z</cp:lastPrinted>
  <dcterms:created xsi:type="dcterms:W3CDTF">2017-06-07T14:05:00Z</dcterms:created>
  <dcterms:modified xsi:type="dcterms:W3CDTF">2017-06-07T14:07:00Z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