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45506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455062">
              <w:rPr>
                <w:rFonts w:ascii="Tahoma" w:hAnsi="Tahoma" w:cs="Tahoma"/>
                <w:b/>
                <w:bCs/>
                <w:iCs/>
                <w:color w:val="243285"/>
                <w:sz w:val="36"/>
                <w:szCs w:val="36"/>
              </w:rPr>
              <w:t>842-5</w:t>
            </w:r>
          </w:p>
          <w:p w:rsidR="00FE79FE" w:rsidRPr="00A443C2" w:rsidRDefault="00FE79FE" w:rsidP="0045506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55062">
              <w:rPr>
                <w:rFonts w:ascii="Tahoma" w:hAnsi="Tahoma" w:cs="Tahoma"/>
                <w:b/>
                <w:bCs/>
                <w:iCs/>
                <w:color w:val="243285"/>
                <w:szCs w:val="24"/>
              </w:rPr>
              <w:t>09</w:t>
            </w:r>
            <w:r w:rsidRPr="00A443C2">
              <w:rPr>
                <w:rFonts w:ascii="Tahoma" w:hAnsi="Tahoma" w:cs="Tahoma"/>
                <w:b/>
                <w:bCs/>
                <w:iCs/>
                <w:color w:val="243285"/>
                <w:szCs w:val="24"/>
              </w:rPr>
              <w:t>/</w:t>
            </w:r>
            <w:r w:rsidR="00455062">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455062" w:rsidP="00455062">
            <w:pPr>
              <w:spacing w:before="80" w:line="500" w:lineRule="exact"/>
              <w:jc w:val="right"/>
              <w:rPr>
                <w:rFonts w:ascii="Tahoma" w:hAnsi="Tahoma" w:cs="Tahoma"/>
                <w:b/>
                <w:bCs/>
                <w:iCs/>
                <w:color w:val="243285"/>
                <w:sz w:val="44"/>
                <w:szCs w:val="44"/>
              </w:rPr>
            </w:pPr>
            <w:r w:rsidRPr="00455062">
              <w:rPr>
                <w:rFonts w:ascii="Tahoma" w:hAnsi="Tahoma" w:cs="Tahoma"/>
                <w:b/>
                <w:bCs/>
                <w:iCs/>
                <w:color w:val="243285"/>
                <w:sz w:val="44"/>
                <w:szCs w:val="44"/>
              </w:rPr>
              <w:t xml:space="preserve">Calcul de la fiabilité et de la compatibilité des systèmes radioélectriques </w:t>
            </w:r>
            <w:r w:rsidRPr="00455062">
              <w:rPr>
                <w:rFonts w:ascii="Tahoma" w:hAnsi="Tahoma" w:cs="Tahoma"/>
                <w:b/>
                <w:bCs/>
                <w:iCs/>
                <w:color w:val="243285"/>
                <w:sz w:val="44"/>
                <w:szCs w:val="44"/>
              </w:rPr>
              <w:br/>
              <w:t>en ondes décamétriques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footerReference w:type="even" r:id="rId9"/>
          <w:pgSz w:w="11907" w:h="16840" w:code="9"/>
          <w:pgMar w:top="1089" w:right="1089" w:bottom="284" w:left="1089" w:header="567" w:footer="284" w:gutter="0"/>
          <w:pgNumType w:start="1"/>
          <w:cols w:space="720"/>
        </w:sectPr>
      </w:pPr>
    </w:p>
    <w:p w:rsidR="00F54FBD" w:rsidRPr="00F54FBD" w:rsidRDefault="00F32333"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Pr>
          <w:bCs/>
          <w:sz w:val="24"/>
          <w:szCs w:val="24"/>
        </w:rPr>
        <w:lastRenderedPageBreak/>
        <w:t>A</w:t>
      </w:r>
      <w:r w:rsidR="00F54FBD" w:rsidRPr="00F54FBD">
        <w:rPr>
          <w:bCs/>
          <w:sz w:val="24"/>
          <w:szCs w:val="24"/>
        </w:rPr>
        <w:t>vant-prop</w:t>
      </w:r>
      <w:bookmarkStart w:id="1" w:name="_GoBack"/>
      <w:bookmarkEnd w:id="1"/>
      <w:r w:rsidR="00F54FBD" w:rsidRPr="00F54FBD">
        <w:rPr>
          <w:bCs/>
          <w:sz w:val="24"/>
          <w:szCs w:val="24"/>
        </w:rPr>
        <w:t>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C54AD2" w:rsidRDefault="00756B4D" w:rsidP="00455062">
      <w:pPr>
        <w:pStyle w:val="RecNo"/>
        <w:spacing w:before="0"/>
      </w:pPr>
      <w:bookmarkStart w:id="3" w:name="irecnoe"/>
      <w:bookmarkEnd w:id="3"/>
      <w:r w:rsidRPr="00756B4D">
        <w:lastRenderedPageBreak/>
        <w:t>RECOMMA</w:t>
      </w:r>
      <w:r w:rsidR="00934ED7" w:rsidRPr="00756B4D">
        <w:t xml:space="preserve">NDATION  </w:t>
      </w:r>
      <w:r w:rsidR="00964DDA">
        <w:rPr>
          <w:rStyle w:val="href"/>
        </w:rPr>
        <w:t>UIT</w:t>
      </w:r>
      <w:r w:rsidR="00934ED7" w:rsidRPr="00756B4D">
        <w:rPr>
          <w:rStyle w:val="href"/>
        </w:rPr>
        <w:t xml:space="preserve">-R  </w:t>
      </w:r>
      <w:r w:rsidR="00DE5EA2">
        <w:rPr>
          <w:rStyle w:val="href"/>
        </w:rPr>
        <w:t>P</w:t>
      </w:r>
      <w:r w:rsidR="00934ED7" w:rsidRPr="00756B4D">
        <w:rPr>
          <w:rStyle w:val="href"/>
        </w:rPr>
        <w:t>.</w:t>
      </w:r>
      <w:r w:rsidR="00455062">
        <w:rPr>
          <w:rStyle w:val="href"/>
        </w:rPr>
        <w:t>842-5</w:t>
      </w:r>
      <w:r w:rsidR="009437D3">
        <w:rPr>
          <w:rStyle w:val="FootnoteReference"/>
        </w:rPr>
        <w:footnoteReference w:customMarkFollows="1" w:id="1"/>
        <w:t>*</w:t>
      </w:r>
    </w:p>
    <w:p w:rsidR="00C54AD2" w:rsidRDefault="00C54AD2" w:rsidP="00C54AD2">
      <w:pPr>
        <w:pStyle w:val="Rectitle"/>
      </w:pPr>
      <w:r>
        <w:t>Calcul de la fiabilité et de la compatibilité des systèmes</w:t>
      </w:r>
      <w:r>
        <w:br/>
        <w:t>radioélectriques en ondes décamétriques</w:t>
      </w:r>
    </w:p>
    <w:p w:rsidR="00C54AD2" w:rsidRDefault="00C54AD2" w:rsidP="00C54AD2">
      <w:pPr>
        <w:pStyle w:val="Recdate"/>
      </w:pPr>
      <w:r>
        <w:t>(1992-1994-1999-2005-2007-2013)</w:t>
      </w:r>
    </w:p>
    <w:p w:rsidR="00C54AD2" w:rsidRPr="00410AC7" w:rsidRDefault="00C54AD2" w:rsidP="00C54AD2">
      <w:pPr>
        <w:pStyle w:val="HeadingSum"/>
        <w:rPr>
          <w:lang w:val="fr-CH"/>
        </w:rPr>
      </w:pPr>
      <w:r>
        <w:rPr>
          <w:lang w:val="fr-CH"/>
        </w:rPr>
        <w:t>Champ d'application</w:t>
      </w:r>
    </w:p>
    <w:p w:rsidR="00C54AD2" w:rsidRPr="00410AC7" w:rsidRDefault="00C54AD2" w:rsidP="00C54AD2">
      <w:pPr>
        <w:pStyle w:val="Summary"/>
        <w:rPr>
          <w:lang w:val="fr-CH"/>
        </w:rPr>
      </w:pPr>
      <w:r w:rsidRPr="00410AC7">
        <w:rPr>
          <w:lang w:val="fr-CH"/>
        </w:rPr>
        <w:t>La présente Recommandation fournit des méthodes de prévision de la fiabilité et de la compatibilité des systèmes radioélectriques en ondes décamétriques.</w:t>
      </w:r>
    </w:p>
    <w:p w:rsidR="00C54AD2" w:rsidRDefault="00C54AD2" w:rsidP="00C54AD2">
      <w:pPr>
        <w:pStyle w:val="Normalaftertitle"/>
      </w:pPr>
      <w:r>
        <w:t>L'Assemblée des radiocommunications de l'UIT,</w:t>
      </w:r>
    </w:p>
    <w:p w:rsidR="00C54AD2" w:rsidRDefault="00C54AD2" w:rsidP="00C54AD2">
      <w:pPr>
        <w:pStyle w:val="Call"/>
      </w:pPr>
      <w:r>
        <w:t>considérant</w:t>
      </w:r>
    </w:p>
    <w:p w:rsidR="00C54AD2" w:rsidRDefault="00C54AD2" w:rsidP="00C54AD2">
      <w:r w:rsidRPr="002A6D96">
        <w:rPr>
          <w:i/>
          <w:iCs/>
        </w:rPr>
        <w:t>a)</w:t>
      </w:r>
      <w:r>
        <w:tab/>
        <w:t>que la fiabilité d'un système radioélectrique est définie comme la probabilité pour qu'une qualité de fonctionnement spécifiée soit atteinte;</w:t>
      </w:r>
    </w:p>
    <w:p w:rsidR="00C54AD2" w:rsidRDefault="00C54AD2" w:rsidP="00C54AD2">
      <w:r w:rsidRPr="002A6D96">
        <w:rPr>
          <w:i/>
          <w:iCs/>
        </w:rPr>
        <w:t>b)</w:t>
      </w:r>
      <w:r>
        <w:tab/>
        <w:t>que la fiabilité est un facteur permettant de qualifier la qualité de fonctionnement;</w:t>
      </w:r>
    </w:p>
    <w:p w:rsidR="00C54AD2" w:rsidRDefault="00C54AD2" w:rsidP="00C54AD2">
      <w:r w:rsidRPr="002A6D96">
        <w:rPr>
          <w:i/>
          <w:iCs/>
        </w:rPr>
        <w:t>c)</w:t>
      </w:r>
      <w:r>
        <w:tab/>
        <w:t>que la compatibilité est une mesure de la dégradation, causée par le brouillage, de la qualité de fonctionnement d'un système radioélectrique;</w:t>
      </w:r>
    </w:p>
    <w:p w:rsidR="00C54AD2" w:rsidRDefault="00C54AD2" w:rsidP="00C54AD2">
      <w:r w:rsidRPr="002A6D96">
        <w:rPr>
          <w:i/>
          <w:iCs/>
        </w:rPr>
        <w:t>d)</w:t>
      </w:r>
      <w:r>
        <w:tab/>
        <w:t>que les fiabilités et les compatibilités sont utiles pour le choix des combinaisons préférées des antennes, y compris pour l'optimisation de leur conception, ainsi que des fréquences et des puissances d'émission nécessaires pour atteindre une qualité de fonctionnement désirée,</w:t>
      </w:r>
    </w:p>
    <w:p w:rsidR="00C54AD2" w:rsidRDefault="00C54AD2" w:rsidP="00C54AD2">
      <w:pPr>
        <w:pStyle w:val="Call"/>
      </w:pPr>
      <w:r>
        <w:t>recommande</w:t>
      </w:r>
    </w:p>
    <w:p w:rsidR="00C54AD2" w:rsidRDefault="00C54AD2" w:rsidP="00C54AD2">
      <w:r>
        <w:t>que les méthodes suivantes de calcul des divers types de fiabilité et de compatibilité soient utilisées pour la planification et la conception des systèmes radioélectriques.</w:t>
      </w:r>
    </w:p>
    <w:p w:rsidR="00C54AD2" w:rsidRDefault="00C54AD2" w:rsidP="00C54AD2">
      <w:pPr>
        <w:pStyle w:val="Heading1"/>
      </w:pPr>
      <w:bookmarkStart w:id="4" w:name="_Toc108939199"/>
      <w:r>
        <w:t>1</w:t>
      </w:r>
      <w:r>
        <w:tab/>
        <w:t>Introduction</w:t>
      </w:r>
      <w:bookmarkEnd w:id="4"/>
    </w:p>
    <w:p w:rsidR="00C54AD2" w:rsidRDefault="00C54AD2" w:rsidP="00C54AD2">
      <w:r>
        <w:t xml:space="preserve">Les fiabilités examinées dans la présente Recommandation constituent une hiérarchie, comme l'indique la Fig. 1. Les § 2 à 5 traitent des fiabilités de référence, le § 6 de la fiabilité globale, le § 7 de la fiabilité dans les réseaux à ondes décamétriques et le § 8 de la compatibilité. Le calcul de la fiabilité de circuit de référence (BCR, </w:t>
      </w:r>
      <w:r>
        <w:rPr>
          <w:i/>
        </w:rPr>
        <w:t>basic circuit reliability</w:t>
      </w:r>
      <w:r>
        <w:t>) pour systèmes de modulation numérique est décrit dans la Recommandation UIT-R P.533-12.</w:t>
      </w:r>
    </w:p>
    <w:p w:rsidR="00C54AD2" w:rsidRDefault="00C54AD2" w:rsidP="00C54AD2">
      <w:r>
        <w:t>Des définitions spécifiques des différents types de fiabilité sont données à l'Appendice 1.</w:t>
      </w:r>
    </w:p>
    <w:p w:rsidR="00C54AD2" w:rsidRDefault="00C54AD2" w:rsidP="00C54AD2">
      <w:pPr>
        <w:pStyle w:val="Heading1"/>
      </w:pPr>
      <w:bookmarkStart w:id="5" w:name="_Toc108939200"/>
      <w:r>
        <w:t>2</w:t>
      </w:r>
      <w:r>
        <w:tab/>
        <w:t>Eléments nécessaires au calcul de la fiabilité</w:t>
      </w:r>
      <w:bookmarkEnd w:id="5"/>
    </w:p>
    <w:p w:rsidR="00C54AD2" w:rsidRDefault="00C54AD2" w:rsidP="00C54AD2">
      <w:r>
        <w:t xml:space="preserve">Pour le calcul de la BCR, la méthode implique les paramètres suivants: médiane mensuelle de la puissance disponible à l'entrée du récepteur (Recommandation UIT-R P.533), médiane mensuelle de la puissance du bruit atmosphérique, industriel et galactique (Recommandation UIT-R P.372), écarts des déciles supérieur et inférieur par rapport aux puissances médianes mensuelles du signal et du bruit, à long terme (d'un jour à l'autre) et à court terme (dans l'intervalle d'une heure), rapport signal/bruit </w:t>
      </w:r>
      <w:r>
        <w:rPr>
          <w:i/>
        </w:rPr>
        <w:t>S</w:t>
      </w:r>
      <w:r>
        <w:t>/</w:t>
      </w:r>
      <w:r>
        <w:rPr>
          <w:i/>
        </w:rPr>
        <w:t>N</w:t>
      </w:r>
      <w:r>
        <w:t xml:space="preserve"> requis (Recommandation UIT</w:t>
      </w:r>
      <w:r>
        <w:noBreakHyphen/>
        <w:t>R F.339).</w:t>
      </w:r>
    </w:p>
    <w:p w:rsidR="00C54AD2" w:rsidRDefault="00C54AD2" w:rsidP="00C54AD2">
      <w:pPr>
        <w:pStyle w:val="Heading1"/>
      </w:pPr>
      <w:bookmarkStart w:id="6" w:name="_Toc108939201"/>
      <w:r>
        <w:lastRenderedPageBreak/>
        <w:t>3</w:t>
      </w:r>
      <w:r>
        <w:tab/>
        <w:t>Calcul de la fiabilité de circuit de référence (BCR)</w:t>
      </w:r>
      <w:bookmarkEnd w:id="6"/>
    </w:p>
    <w:p w:rsidR="00C54AD2" w:rsidRDefault="00C54AD2" w:rsidP="00C54AD2">
      <w:r>
        <w:t>La BCR peut être estimée en suivant la procédure indiquée au Tableau 1 et en utilisant les informations données par le Tableau 2.</w:t>
      </w:r>
    </w:p>
    <w:p w:rsidR="00C54AD2" w:rsidRDefault="00C54AD2" w:rsidP="00C54AD2">
      <w:r>
        <w:t xml:space="preserve">Cette procédure implique le calcul intermédiaire de la puissance à l'entrée du récepteur composite médiane du signal utile (Etape 1), le rapport </w:t>
      </w:r>
      <w:r>
        <w:rPr>
          <w:i/>
        </w:rPr>
        <w:t>S</w:t>
      </w:r>
      <w:r>
        <w:t>/</w:t>
      </w:r>
      <w:r>
        <w:rPr>
          <w:i/>
        </w:rPr>
        <w:t>N</w:t>
      </w:r>
      <w:r>
        <w:t xml:space="preserve"> médian (Etapes 2 et 3), le décile supérieur résultant du rapport </w:t>
      </w:r>
      <w:r>
        <w:rPr>
          <w:i/>
        </w:rPr>
        <w:t>S</w:t>
      </w:r>
      <w:r>
        <w:t>/</w:t>
      </w:r>
      <w:r>
        <w:rPr>
          <w:i/>
        </w:rPr>
        <w:t>N</w:t>
      </w:r>
      <w:r>
        <w:t xml:space="preserve"> (Etapes 4 à 6) et le décile inférieur résultant du rapport </w:t>
      </w:r>
      <w:r>
        <w:rPr>
          <w:i/>
        </w:rPr>
        <w:t>S</w:t>
      </w:r>
      <w:r>
        <w:t>/</w:t>
      </w:r>
      <w:r>
        <w:rPr>
          <w:i/>
        </w:rPr>
        <w:t>N</w:t>
      </w:r>
      <w:r>
        <w:t xml:space="preserve"> (Etapes 7 à 9).</w:t>
      </w:r>
    </w:p>
    <w:p w:rsidR="006940B7" w:rsidRPr="00237CC1" w:rsidRDefault="006940B7" w:rsidP="006940B7">
      <w:pPr>
        <w:pStyle w:val="FigureNo"/>
        <w:rPr>
          <w:lang w:val="en-GB"/>
        </w:rPr>
      </w:pPr>
      <w:r w:rsidRPr="00237CC1">
        <w:rPr>
          <w:lang w:val="en-GB"/>
        </w:rPr>
        <w:t>FIGURE 1</w:t>
      </w:r>
    </w:p>
    <w:p w:rsidR="006940B7" w:rsidRPr="00237CC1" w:rsidRDefault="006940B7" w:rsidP="006940B7">
      <w:pPr>
        <w:pStyle w:val="Figuretitle"/>
        <w:rPr>
          <w:lang w:val="en-GB"/>
        </w:rPr>
      </w:pPr>
      <w:r>
        <w:rPr>
          <w:lang w:val="en-GB"/>
        </w:rPr>
        <w:t>Tableau des fiabilités</w:t>
      </w:r>
    </w:p>
    <w:p w:rsidR="006940B7" w:rsidRDefault="0062161B" w:rsidP="0062161B">
      <w:pPr>
        <w:pStyle w:val="Figure"/>
      </w:pPr>
      <w:r>
        <w:rPr>
          <w:lang w:val="en-GB"/>
        </w:rPr>
        <w:object w:dxaOrig="5524" w:dyaOrig="3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4pt;height:255.6pt" o:ole="">
            <v:imagedata r:id="rId14" o:title=""/>
          </v:shape>
          <o:OLEObject Type="Embed" ProgID="CorelDRAW.Graphic.14" ShapeID="_x0000_i1025" DrawAspect="Content" ObjectID="_1469356500" r:id="rId15"/>
        </w:object>
      </w:r>
    </w:p>
    <w:p w:rsidR="00C54AD2" w:rsidRDefault="00C54AD2" w:rsidP="00CE5BC5">
      <w:pPr>
        <w:pStyle w:val="Normalaftertitle"/>
      </w:pPr>
      <w:r>
        <w:t xml:space="preserve">Le rapport </w:t>
      </w:r>
      <w:r>
        <w:rPr>
          <w:i/>
        </w:rPr>
        <w:t>S</w:t>
      </w:r>
      <w:r>
        <w:t>/</w:t>
      </w:r>
      <w:r>
        <w:rPr>
          <w:i/>
        </w:rPr>
        <w:t>N</w:t>
      </w:r>
      <w:r>
        <w:t xml:space="preserve"> requis (Etape 10) est défini par l'utilisateur (on trouvera dans la Recommandation UIT-R F.339 un tableau des valeurs du rapport </w:t>
      </w:r>
      <w:r>
        <w:rPr>
          <w:i/>
        </w:rPr>
        <w:t>S</w:t>
      </w:r>
      <w:r>
        <w:t>/</w:t>
      </w:r>
      <w:r>
        <w:rPr>
          <w:i/>
        </w:rPr>
        <w:t>N</w:t>
      </w:r>
      <w:r>
        <w:t xml:space="preserve"> requis pour obtenir des qualités de fonctionnement spécifiées). On évalue alors la BCR en utilisant la distribution statistique donnée à l'Etape 11.</w:t>
      </w:r>
    </w:p>
    <w:p w:rsidR="00C54AD2" w:rsidRDefault="00C54AD2" w:rsidP="00C54AD2">
      <w:pPr>
        <w:pStyle w:val="Heading1"/>
      </w:pPr>
      <w:bookmarkStart w:id="7" w:name="_Toc108939202"/>
      <w:r>
        <w:t>4</w:t>
      </w:r>
      <w:r>
        <w:tab/>
        <w:t xml:space="preserve">Fiabilité de réception de référence (BRR, </w:t>
      </w:r>
      <w:r>
        <w:rPr>
          <w:i/>
        </w:rPr>
        <w:t>basic reception reliability</w:t>
      </w:r>
      <w:r>
        <w:t>)</w:t>
      </w:r>
      <w:bookmarkEnd w:id="7"/>
    </w:p>
    <w:p w:rsidR="00C54AD2" w:rsidRDefault="00C54AD2" w:rsidP="00C54AD2">
      <w:r>
        <w:t xml:space="preserve">Pour </w:t>
      </w:r>
      <w:r>
        <w:rPr>
          <w:i/>
        </w:rPr>
        <w:t>n</w:t>
      </w:r>
      <w:r>
        <w:t xml:space="preserve"> fréquences,</w:t>
      </w:r>
      <w:r>
        <w:tab/>
      </w:r>
      <w:r w:rsidR="002B5DBA" w:rsidRPr="002B5DBA">
        <w:rPr>
          <w:position w:val="-38"/>
        </w:rPr>
        <w:object w:dxaOrig="4819" w:dyaOrig="880">
          <v:shape id="_x0000_i1026" type="#_x0000_t75" style="width:241.2pt;height:44.4pt" o:ole="">
            <v:imagedata r:id="rId16" o:title=""/>
          </v:shape>
          <o:OLEObject Type="Embed" ProgID="Equation.3" ShapeID="_x0000_i1026" DrawAspect="Content" ObjectID="_1469356501" r:id="rId17"/>
        </w:object>
      </w:r>
    </w:p>
    <w:p w:rsidR="00C54AD2" w:rsidRDefault="00C54AD2" w:rsidP="002B5DBA">
      <w:r>
        <w:t xml:space="preserve">où </w:t>
      </w:r>
      <w:r>
        <w:rPr>
          <w:i/>
        </w:rPr>
        <w:t>BCR</w:t>
      </w:r>
      <w:r>
        <w:t>(</w:t>
      </w:r>
      <w:r>
        <w:rPr>
          <w:i/>
        </w:rPr>
        <w:t>f</w:t>
      </w:r>
      <w:r w:rsidRPr="00C47F71">
        <w:rPr>
          <w:i/>
          <w:vertAlign w:val="subscript"/>
        </w:rPr>
        <w:t>i</w:t>
      </w:r>
      <w:r>
        <w:t xml:space="preserve">) est la BCR (%) à la fréquence </w:t>
      </w:r>
      <w:r>
        <w:rPr>
          <w:i/>
        </w:rPr>
        <w:t>f</w:t>
      </w:r>
      <w:r w:rsidRPr="00C47F71">
        <w:rPr>
          <w:i/>
          <w:vertAlign w:val="subscript"/>
        </w:rPr>
        <w:t>i</w:t>
      </w:r>
      <w:r>
        <w:t xml:space="preserve">. </w:t>
      </w:r>
    </w:p>
    <w:p w:rsidR="00C54AD2" w:rsidRDefault="00C54AD2" w:rsidP="00C54AD2">
      <w:r>
        <w:t>Pour une fréquence d'exploitation unique, BRR est égal à BCR.</w:t>
      </w:r>
    </w:p>
    <w:p w:rsidR="00C54AD2" w:rsidRDefault="00C54AD2" w:rsidP="00C54AD2">
      <w:pPr>
        <w:sectPr w:rsidR="00C54AD2" w:rsidSect="00275589">
          <w:headerReference w:type="even" r:id="rId18"/>
          <w:headerReference w:type="default" r:id="rId19"/>
          <w:pgSz w:w="11907" w:h="16834" w:code="9"/>
          <w:pgMar w:top="1418" w:right="1134" w:bottom="1134" w:left="1134" w:header="720" w:footer="482" w:gutter="0"/>
          <w:paperSrc w:first="15" w:other="15"/>
          <w:pgNumType w:start="1"/>
          <w:cols w:space="720"/>
        </w:sectPr>
      </w:pPr>
    </w:p>
    <w:p w:rsidR="00C54AD2" w:rsidRPr="00CE5BC5" w:rsidRDefault="00C54AD2" w:rsidP="00C54AD2">
      <w:pPr>
        <w:pStyle w:val="TableNo"/>
        <w:spacing w:before="240"/>
        <w:rPr>
          <w:szCs w:val="24"/>
        </w:rPr>
      </w:pPr>
      <w:r w:rsidRPr="00CE5BC5">
        <w:rPr>
          <w:szCs w:val="24"/>
        </w:rPr>
        <w:lastRenderedPageBreak/>
        <w:t>TABLEAU  1</w:t>
      </w:r>
    </w:p>
    <w:p w:rsidR="00C54AD2" w:rsidRPr="00CE5BC5" w:rsidRDefault="00C54AD2" w:rsidP="00C54AD2">
      <w:pPr>
        <w:pStyle w:val="Tabletitle"/>
        <w:rPr>
          <w:szCs w:val="24"/>
        </w:rPr>
      </w:pPr>
      <w:r w:rsidRPr="00CE5BC5">
        <w:rPr>
          <w:szCs w:val="24"/>
        </w:rPr>
        <w:t>Calcul de la fiabilité de circuit de référence (BCR)</w:t>
      </w:r>
    </w:p>
    <w:p w:rsidR="00C54AD2" w:rsidRDefault="00C54AD2" w:rsidP="00C54AD2">
      <w:pPr>
        <w:pStyle w:val="Blanc"/>
        <w:rPr>
          <w:lang w:val="fr-FR"/>
        </w:rPr>
      </w:pPr>
    </w:p>
    <w:tbl>
      <w:tblPr>
        <w:tblW w:w="0" w:type="auto"/>
        <w:jc w:val="center"/>
        <w:tblLayout w:type="fixed"/>
        <w:tblCellMar>
          <w:left w:w="107" w:type="dxa"/>
          <w:right w:w="107" w:type="dxa"/>
        </w:tblCellMar>
        <w:tblLook w:val="0000" w:firstRow="0" w:lastRow="0" w:firstColumn="0" w:lastColumn="0" w:noHBand="0" w:noVBand="0"/>
      </w:tblPr>
      <w:tblGrid>
        <w:gridCol w:w="737"/>
        <w:gridCol w:w="1247"/>
        <w:gridCol w:w="6237"/>
        <w:gridCol w:w="5670"/>
      </w:tblGrid>
      <w:tr w:rsidR="00C54AD2" w:rsidTr="00D50F2E">
        <w:trPr>
          <w:cantSplit/>
          <w:jc w:val="center"/>
        </w:trPr>
        <w:tc>
          <w:tcPr>
            <w:tcW w:w="737"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Etape</w:t>
            </w:r>
          </w:p>
        </w:tc>
        <w:tc>
          <w:tcPr>
            <w:tcW w:w="1247"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Paramètre</w:t>
            </w:r>
          </w:p>
        </w:tc>
        <w:tc>
          <w:tcPr>
            <w:tcW w:w="6237"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Description du paramètre</w:t>
            </w:r>
          </w:p>
        </w:tc>
        <w:tc>
          <w:tcPr>
            <w:tcW w:w="5670"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Source de la valeur du paramètre</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1</w:t>
            </w:r>
          </w:p>
        </w:tc>
        <w:tc>
          <w:tcPr>
            <w:tcW w:w="124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i/>
                <w:lang w:val="fr-FR"/>
              </w:rPr>
              <w:t>S</w:t>
            </w:r>
          </w:p>
        </w:tc>
        <w:tc>
          <w:tcPr>
            <w:tcW w:w="6237" w:type="dxa"/>
            <w:tcBorders>
              <w:top w:val="single" w:sz="6" w:space="0" w:color="auto"/>
              <w:left w:val="single" w:sz="6" w:space="0" w:color="auto"/>
              <w:right w:val="single" w:sz="6" w:space="0" w:color="auto"/>
            </w:tcBorders>
          </w:tcPr>
          <w:p w:rsidR="00C54AD2" w:rsidRDefault="00C54AD2" w:rsidP="00D50F2E">
            <w:pPr>
              <w:pStyle w:val="TableText0"/>
              <w:rPr>
                <w:lang w:val="fr-FR"/>
              </w:rPr>
            </w:pPr>
            <w:r>
              <w:rPr>
                <w:lang w:val="fr-FR"/>
              </w:rPr>
              <w:t>Puissance médiane de bruit disponible à l'entrée du récepteur du signal utile (dBW)</w:t>
            </w:r>
          </w:p>
        </w:tc>
        <w:tc>
          <w:tcPr>
            <w:tcW w:w="5670"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Méthode de prévision</w:t>
            </w:r>
            <w:r>
              <w:rPr>
                <w:lang w:val="fr-FR"/>
              </w:rPr>
              <w:br/>
            </w:r>
            <w:r>
              <w:rPr>
                <w:i/>
                <w:lang w:val="fr-FR"/>
              </w:rPr>
              <w:t>P</w:t>
            </w:r>
            <w:r w:rsidRPr="00144DC5">
              <w:rPr>
                <w:i/>
                <w:vertAlign w:val="subscript"/>
                <w:lang w:val="fr-FR"/>
              </w:rPr>
              <w:t>r</w:t>
            </w:r>
            <w:r>
              <w:rPr>
                <w:position w:val="-4"/>
                <w:sz w:val="10"/>
                <w:lang w:val="fr-FR"/>
              </w:rPr>
              <w:t xml:space="preserve"> </w:t>
            </w:r>
            <w:r>
              <w:rPr>
                <w:position w:val="-4"/>
                <w:lang w:val="fr-FR"/>
              </w:rPr>
              <w:t xml:space="preserve"> </w:t>
            </w:r>
            <w:r>
              <w:rPr>
                <w:lang w:val="fr-FR"/>
              </w:rPr>
              <w:t>au § 6 de la Rec. UIT-R P.533</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en-US"/>
              </w:rPr>
            </w:pPr>
            <w:r>
              <w:rPr>
                <w:lang w:val="en-US"/>
              </w:rPr>
              <w:t>2</w:t>
            </w:r>
          </w:p>
        </w:tc>
        <w:tc>
          <w:tcPr>
            <w:tcW w:w="1247"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lang w:val="en-US"/>
              </w:rPr>
            </w:pPr>
            <w:r>
              <w:rPr>
                <w:i/>
                <w:lang w:val="en-US"/>
              </w:rPr>
              <w:t>F</w:t>
            </w:r>
            <w:r w:rsidRPr="00C33ACA">
              <w:rPr>
                <w:i/>
                <w:vertAlign w:val="subscript"/>
              </w:rPr>
              <w:t>a</w:t>
            </w:r>
            <w:r>
              <w:rPr>
                <w:i/>
                <w:position w:val="-4"/>
                <w:lang w:val="en-US"/>
              </w:rPr>
              <w:t xml:space="preserve"> </w:t>
            </w:r>
            <w:r>
              <w:rPr>
                <w:i/>
                <w:lang w:val="en-US"/>
              </w:rPr>
              <w:t>A</w:t>
            </w:r>
          </w:p>
          <w:p w:rsidR="00C54AD2" w:rsidRDefault="00C54AD2" w:rsidP="00D50F2E">
            <w:pPr>
              <w:pStyle w:val="TableText0"/>
              <w:spacing w:after="0"/>
              <w:jc w:val="center"/>
              <w:rPr>
                <w:lang w:val="en-US"/>
              </w:rPr>
            </w:pPr>
            <w:r>
              <w:rPr>
                <w:i/>
                <w:lang w:val="en-US"/>
              </w:rPr>
              <w:t>F</w:t>
            </w:r>
            <w:r w:rsidRPr="00C33ACA">
              <w:rPr>
                <w:i/>
                <w:vertAlign w:val="subscript"/>
              </w:rPr>
              <w:t>a</w:t>
            </w:r>
            <w:r>
              <w:rPr>
                <w:i/>
                <w:position w:val="-4"/>
                <w:lang w:val="en-US"/>
              </w:rPr>
              <w:t xml:space="preserve"> </w:t>
            </w:r>
            <w:r>
              <w:rPr>
                <w:i/>
                <w:lang w:val="en-US"/>
              </w:rPr>
              <w:t>M</w:t>
            </w:r>
          </w:p>
          <w:p w:rsidR="00C54AD2" w:rsidRDefault="00C54AD2" w:rsidP="00D50F2E">
            <w:pPr>
              <w:pStyle w:val="TableText0"/>
              <w:jc w:val="center"/>
              <w:rPr>
                <w:lang w:val="fr-FR"/>
              </w:rPr>
            </w:pPr>
            <w:r>
              <w:rPr>
                <w:i/>
                <w:lang w:val="fr-FR"/>
              </w:rPr>
              <w:t>F</w:t>
            </w:r>
            <w:r w:rsidRPr="00C33ACA">
              <w:rPr>
                <w:i/>
                <w:vertAlign w:val="subscript"/>
              </w:rPr>
              <w:t>a</w:t>
            </w:r>
            <w:r>
              <w:rPr>
                <w:i/>
                <w:position w:val="-4"/>
                <w:lang w:val="fr-FR"/>
              </w:rPr>
              <w:t xml:space="preserve"> </w:t>
            </w:r>
            <w:r>
              <w:rPr>
                <w:i/>
                <w:lang w:val="fr-FR"/>
              </w:rPr>
              <w:t>G</w:t>
            </w:r>
          </w:p>
        </w:tc>
        <w:tc>
          <w:tcPr>
            <w:tcW w:w="6237" w:type="dxa"/>
            <w:tcBorders>
              <w:top w:val="single" w:sz="6" w:space="0" w:color="auto"/>
              <w:left w:val="single" w:sz="6" w:space="0" w:color="auto"/>
              <w:right w:val="single" w:sz="6" w:space="0" w:color="auto"/>
            </w:tcBorders>
          </w:tcPr>
          <w:p w:rsidR="00C54AD2" w:rsidRDefault="00C54AD2" w:rsidP="00D50F2E">
            <w:pPr>
              <w:pStyle w:val="TableText0"/>
              <w:spacing w:after="0"/>
              <w:rPr>
                <w:lang w:val="fr-FR"/>
              </w:rPr>
            </w:pPr>
            <w:r>
              <w:rPr>
                <w:lang w:val="fr-FR"/>
              </w:rPr>
              <w:t>Facteur de bruit médian pour le bruit atmosphérique</w:t>
            </w:r>
          </w:p>
          <w:p w:rsidR="00C54AD2" w:rsidRDefault="00C54AD2" w:rsidP="00D50F2E">
            <w:pPr>
              <w:pStyle w:val="TableText0"/>
              <w:spacing w:after="0"/>
              <w:rPr>
                <w:lang w:val="fr-FR"/>
              </w:rPr>
            </w:pPr>
            <w:r>
              <w:rPr>
                <w:lang w:val="fr-FR"/>
              </w:rPr>
              <w:t>Facteur de bruit médian pour le bruit artificiel</w:t>
            </w:r>
          </w:p>
          <w:p w:rsidR="00C54AD2" w:rsidRDefault="00C54AD2" w:rsidP="00D50F2E">
            <w:pPr>
              <w:pStyle w:val="TableText0"/>
              <w:rPr>
                <w:lang w:val="fr-FR"/>
              </w:rPr>
            </w:pPr>
            <w:r>
              <w:rPr>
                <w:lang w:val="fr-FR"/>
              </w:rPr>
              <w:t>Facteur de bruit médian pour le bruit galactique</w:t>
            </w:r>
          </w:p>
        </w:tc>
        <w:tc>
          <w:tcPr>
            <w:tcW w:w="5670"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Rec. UIT-R P.372</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3</w:t>
            </w:r>
          </w:p>
        </w:tc>
        <w:tc>
          <w:tcPr>
            <w:tcW w:w="1247"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Pr>
                <w:i/>
                <w:lang w:val="fr-FR"/>
              </w:rPr>
              <w:t>S/N</w:t>
            </w:r>
          </w:p>
        </w:tc>
        <w:tc>
          <w:tcPr>
            <w:tcW w:w="6237" w:type="dxa"/>
            <w:tcBorders>
              <w:top w:val="single" w:sz="6" w:space="0" w:color="auto"/>
              <w:left w:val="single" w:sz="6" w:space="0" w:color="auto"/>
              <w:right w:val="single" w:sz="6" w:space="0" w:color="auto"/>
            </w:tcBorders>
          </w:tcPr>
          <w:p w:rsidR="00C54AD2" w:rsidRDefault="00C54AD2" w:rsidP="002B5DBA">
            <w:pPr>
              <w:pStyle w:val="TableText0"/>
              <w:spacing w:after="0"/>
              <w:rPr>
                <w:lang w:val="fr-FR"/>
              </w:rPr>
            </w:pPr>
            <w:r>
              <w:rPr>
                <w:lang w:val="fr-FR"/>
              </w:rPr>
              <w:t xml:space="preserve">Rapport signal/bruit résultant médian (dB) pour une largeur de bande </w:t>
            </w:r>
            <w:r>
              <w:rPr>
                <w:i/>
                <w:lang w:val="fr-FR"/>
              </w:rPr>
              <w:t>b</w:t>
            </w:r>
            <w:r>
              <w:rPr>
                <w:lang w:val="fr-FR"/>
              </w:rPr>
              <w:t xml:space="preserve"> (Hz)</w:t>
            </w:r>
          </w:p>
          <w:p w:rsidR="00C54AD2" w:rsidRDefault="00C54AD2" w:rsidP="00D50F2E">
            <w:pPr>
              <w:pStyle w:val="TableText0"/>
              <w:rPr>
                <w:lang w:val="fr-FR"/>
              </w:rPr>
            </w:pPr>
          </w:p>
        </w:tc>
        <w:tc>
          <w:tcPr>
            <w:tcW w:w="5670" w:type="dxa"/>
            <w:tcBorders>
              <w:top w:val="single" w:sz="6" w:space="0" w:color="auto"/>
              <w:left w:val="single" w:sz="6" w:space="0" w:color="auto"/>
              <w:right w:val="single" w:sz="6" w:space="0" w:color="auto"/>
            </w:tcBorders>
          </w:tcPr>
          <w:p w:rsidR="00C54AD2" w:rsidRDefault="00C54AD2" w:rsidP="00D50F2E">
            <w:pPr>
              <w:pStyle w:val="TableText0"/>
              <w:spacing w:line="240" w:lineRule="auto"/>
              <w:jc w:val="center"/>
              <w:rPr>
                <w:lang w:val="en-US"/>
              </w:rPr>
            </w:pPr>
            <w:r>
              <w:rPr>
                <w:i/>
                <w:lang w:val="en-US"/>
              </w:rPr>
              <w:t>S</w:t>
            </w:r>
            <w:r>
              <w:rPr>
                <w:lang w:val="en-US"/>
              </w:rPr>
              <w:t xml:space="preserve">  –  10 log</w:t>
            </w:r>
            <w:r w:rsidRPr="00A206FD">
              <w:rPr>
                <w:vertAlign w:val="subscript"/>
              </w:rPr>
              <w:t>10</w:t>
            </w:r>
            <w:r>
              <w:rPr>
                <w:position w:val="-34"/>
                <w:lang w:val="fr-FR"/>
              </w:rPr>
              <w:object w:dxaOrig="2360" w:dyaOrig="780">
                <v:shape id="_x0000_i1027" type="#_x0000_t75" style="width:117.6pt;height:39pt" o:ole="">
                  <v:imagedata r:id="rId20" o:title=""/>
                </v:shape>
                <o:OLEObject Type="Embed" ProgID="Equation.2" ShapeID="_x0000_i1027" DrawAspect="Content" ObjectID="_1469356502" r:id="rId21"/>
              </w:object>
            </w:r>
            <w:r>
              <w:rPr>
                <w:lang w:val="en-US"/>
              </w:rPr>
              <w:t>– 10 log</w:t>
            </w:r>
            <w:r>
              <w:rPr>
                <w:position w:val="-4"/>
                <w:sz w:val="20"/>
                <w:vertAlign w:val="subscript"/>
                <w:lang w:val="en-US"/>
              </w:rPr>
              <w:t>10</w:t>
            </w:r>
            <w:r>
              <w:t xml:space="preserve"> </w:t>
            </w:r>
            <w:r>
              <w:rPr>
                <w:i/>
              </w:rPr>
              <w:t>b</w:t>
            </w:r>
            <w:r>
              <w:t xml:space="preserve">  +</w:t>
            </w:r>
            <w:r>
              <w:rPr>
                <w:lang w:val="en-US"/>
              </w:rPr>
              <w:t xml:space="preserve">  204</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en-US"/>
              </w:rPr>
            </w:pPr>
            <w:r>
              <w:rPr>
                <w:lang w:val="en-US"/>
              </w:rPr>
              <w:t>4</w:t>
            </w:r>
          </w:p>
        </w:tc>
        <w:tc>
          <w:tcPr>
            <w:tcW w:w="1247"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i/>
                <w:position w:val="-4"/>
                <w:lang w:val="en-US"/>
              </w:rPr>
            </w:pPr>
            <w:r>
              <w:rPr>
                <w:i/>
                <w:lang w:val="en-US"/>
              </w:rPr>
              <w:t>D</w:t>
            </w:r>
            <w:r w:rsidRPr="00C33ACA">
              <w:rPr>
                <w:i/>
                <w:vertAlign w:val="subscript"/>
              </w:rPr>
              <w:t>u</w:t>
            </w:r>
            <w:r>
              <w:rPr>
                <w:i/>
                <w:position w:val="-4"/>
                <w:lang w:val="en-US"/>
              </w:rPr>
              <w:t xml:space="preserve"> </w:t>
            </w:r>
            <w:r>
              <w:rPr>
                <w:i/>
                <w:lang w:val="en-US"/>
              </w:rPr>
              <w:t>S</w:t>
            </w:r>
            <w:r w:rsidRPr="00C33ACA">
              <w:rPr>
                <w:i/>
                <w:vertAlign w:val="subscript"/>
              </w:rPr>
              <w:t>d</w:t>
            </w:r>
          </w:p>
          <w:p w:rsidR="00C54AD2" w:rsidRDefault="00C54AD2" w:rsidP="00D50F2E">
            <w:pPr>
              <w:pStyle w:val="TableText0"/>
              <w:jc w:val="center"/>
              <w:rPr>
                <w:i/>
                <w:lang w:val="en-US"/>
              </w:rPr>
            </w:pPr>
            <w:r>
              <w:rPr>
                <w:i/>
                <w:lang w:val="en-US"/>
              </w:rPr>
              <w:t>D</w:t>
            </w:r>
            <w:r w:rsidRPr="00C33ACA">
              <w:rPr>
                <w:i/>
                <w:vertAlign w:val="subscript"/>
              </w:rPr>
              <w:t>u</w:t>
            </w:r>
            <w:r>
              <w:rPr>
                <w:i/>
                <w:position w:val="-4"/>
                <w:lang w:val="en-US"/>
              </w:rPr>
              <w:t xml:space="preserve"> </w:t>
            </w:r>
            <w:r>
              <w:rPr>
                <w:i/>
                <w:lang w:val="en-US"/>
              </w:rPr>
              <w:t>S</w:t>
            </w:r>
            <w:r w:rsidRPr="00C33ACA">
              <w:rPr>
                <w:i/>
                <w:vertAlign w:val="subscript"/>
              </w:rPr>
              <w:t>h</w:t>
            </w:r>
          </w:p>
        </w:tc>
        <w:tc>
          <w:tcPr>
            <w:tcW w:w="6237" w:type="dxa"/>
            <w:tcBorders>
              <w:top w:val="single" w:sz="6" w:space="0" w:color="auto"/>
              <w:left w:val="single" w:sz="6" w:space="0" w:color="auto"/>
              <w:right w:val="single" w:sz="6" w:space="0" w:color="auto"/>
            </w:tcBorders>
          </w:tcPr>
          <w:p w:rsidR="00C54AD2" w:rsidRDefault="00C54AD2" w:rsidP="00D50F2E">
            <w:pPr>
              <w:pStyle w:val="TableText0"/>
              <w:spacing w:after="0"/>
              <w:rPr>
                <w:lang w:val="fr-FR"/>
              </w:rPr>
            </w:pPr>
            <w:r>
              <w:rPr>
                <w:lang w:val="fr-FR"/>
              </w:rPr>
              <w:t>Ecart du décile supérieur du signal (d'un jour à l'autre) (dB)</w:t>
            </w:r>
          </w:p>
          <w:p w:rsidR="00C54AD2" w:rsidRDefault="00C54AD2" w:rsidP="00D50F2E">
            <w:pPr>
              <w:pStyle w:val="TableText0"/>
              <w:rPr>
                <w:lang w:val="fr-FR"/>
              </w:rPr>
            </w:pPr>
            <w:r>
              <w:rPr>
                <w:lang w:val="fr-FR"/>
              </w:rPr>
              <w:t>Ecart du décile supérieur du signal (au cours d'une heure) (dB)</w:t>
            </w:r>
          </w:p>
        </w:tc>
        <w:tc>
          <w:tcPr>
            <w:tcW w:w="5670"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lang w:val="fr-FR"/>
              </w:rPr>
            </w:pPr>
            <w:r>
              <w:rPr>
                <w:lang w:val="fr-FR"/>
              </w:rPr>
              <w:t>Tableau 2 en utilisant la MUF de référence pour le trajet</w:t>
            </w:r>
          </w:p>
          <w:p w:rsidR="00C54AD2" w:rsidRDefault="00C54AD2" w:rsidP="00D50F2E">
            <w:pPr>
              <w:pStyle w:val="TableText0"/>
              <w:jc w:val="center"/>
              <w:rPr>
                <w:lang w:val="en-US"/>
              </w:rPr>
            </w:pPr>
            <w:r>
              <w:rPr>
                <w:lang w:val="en-US"/>
              </w:rPr>
              <w:t>5</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en-US"/>
              </w:rPr>
            </w:pPr>
            <w:r>
              <w:rPr>
                <w:lang w:val="en-US"/>
              </w:rPr>
              <w:t>5</w:t>
            </w:r>
          </w:p>
        </w:tc>
        <w:tc>
          <w:tcPr>
            <w:tcW w:w="1247"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i/>
                <w:lang w:val="en-US"/>
              </w:rPr>
            </w:pPr>
          </w:p>
          <w:p w:rsidR="00C54AD2" w:rsidRDefault="00C54AD2" w:rsidP="00D50F2E">
            <w:pPr>
              <w:pStyle w:val="TableText0"/>
              <w:spacing w:after="0"/>
              <w:jc w:val="center"/>
              <w:rPr>
                <w:i/>
                <w:lang w:val="en-US"/>
              </w:rPr>
            </w:pPr>
            <w:r>
              <w:rPr>
                <w:i/>
                <w:lang w:val="en-US"/>
              </w:rPr>
              <w:t>D</w:t>
            </w:r>
            <w:r w:rsidRPr="00C33ACA">
              <w:rPr>
                <w:i/>
                <w:vertAlign w:val="subscript"/>
              </w:rPr>
              <w:t>l</w:t>
            </w:r>
            <w:r>
              <w:rPr>
                <w:i/>
                <w:position w:val="-4"/>
                <w:lang w:val="en-US"/>
              </w:rPr>
              <w:t xml:space="preserve"> </w:t>
            </w:r>
            <w:r>
              <w:rPr>
                <w:i/>
                <w:lang w:val="en-US"/>
              </w:rPr>
              <w:t>A</w:t>
            </w:r>
          </w:p>
          <w:p w:rsidR="00C54AD2" w:rsidRDefault="00C54AD2" w:rsidP="00D50F2E">
            <w:pPr>
              <w:pStyle w:val="TableText0"/>
              <w:spacing w:after="0"/>
              <w:jc w:val="center"/>
              <w:rPr>
                <w:i/>
                <w:lang w:val="en-US"/>
              </w:rPr>
            </w:pPr>
            <w:r>
              <w:rPr>
                <w:i/>
                <w:lang w:val="en-US"/>
              </w:rPr>
              <w:t>D</w:t>
            </w:r>
            <w:r w:rsidRPr="00C33ACA">
              <w:rPr>
                <w:i/>
                <w:vertAlign w:val="subscript"/>
              </w:rPr>
              <w:t>l</w:t>
            </w:r>
            <w:r>
              <w:rPr>
                <w:i/>
                <w:position w:val="-4"/>
                <w:lang w:val="en-US"/>
              </w:rPr>
              <w:t xml:space="preserve"> </w:t>
            </w:r>
            <w:r>
              <w:rPr>
                <w:i/>
                <w:lang w:val="en-US"/>
              </w:rPr>
              <w:t>M</w:t>
            </w:r>
          </w:p>
          <w:p w:rsidR="00C54AD2" w:rsidRDefault="00C54AD2" w:rsidP="00D50F2E">
            <w:pPr>
              <w:pStyle w:val="TableText0"/>
              <w:jc w:val="center"/>
              <w:rPr>
                <w:i/>
                <w:lang w:val="fr-FR"/>
              </w:rPr>
            </w:pPr>
            <w:r>
              <w:rPr>
                <w:i/>
                <w:lang w:val="fr-FR"/>
              </w:rPr>
              <w:t>D</w:t>
            </w:r>
            <w:r w:rsidRPr="00C33ACA">
              <w:rPr>
                <w:i/>
                <w:vertAlign w:val="subscript"/>
              </w:rPr>
              <w:t xml:space="preserve">l </w:t>
            </w:r>
            <w:r>
              <w:rPr>
                <w:i/>
                <w:lang w:val="fr-FR"/>
              </w:rPr>
              <w:t>G</w:t>
            </w:r>
          </w:p>
        </w:tc>
        <w:tc>
          <w:tcPr>
            <w:tcW w:w="6237" w:type="dxa"/>
            <w:tcBorders>
              <w:top w:val="single" w:sz="6" w:space="0" w:color="auto"/>
              <w:left w:val="single" w:sz="6" w:space="0" w:color="auto"/>
              <w:right w:val="single" w:sz="6" w:space="0" w:color="auto"/>
            </w:tcBorders>
          </w:tcPr>
          <w:p w:rsidR="00C54AD2" w:rsidRDefault="00C54AD2" w:rsidP="00D50F2E">
            <w:pPr>
              <w:pStyle w:val="TableText0"/>
              <w:spacing w:after="0"/>
              <w:rPr>
                <w:lang w:val="fr-FR"/>
              </w:rPr>
            </w:pPr>
            <w:r>
              <w:rPr>
                <w:lang w:val="fr-FR"/>
              </w:rPr>
              <w:t>Ecart du décile inférieur (dB):</w:t>
            </w:r>
          </w:p>
          <w:p w:rsidR="00C54AD2" w:rsidRDefault="00C54AD2" w:rsidP="00D50F2E">
            <w:pPr>
              <w:pStyle w:val="TableText0"/>
              <w:spacing w:after="0"/>
              <w:rPr>
                <w:lang w:val="fr-FR"/>
              </w:rPr>
            </w:pPr>
            <w:r>
              <w:rPr>
                <w:lang w:val="fr-FR"/>
              </w:rPr>
              <w:tab/>
              <w:t>du bruit atmosphérique</w:t>
            </w:r>
          </w:p>
          <w:p w:rsidR="00C54AD2" w:rsidRDefault="00C54AD2" w:rsidP="00D50F2E">
            <w:pPr>
              <w:pStyle w:val="TableText0"/>
              <w:spacing w:after="0"/>
              <w:rPr>
                <w:lang w:val="fr-FR"/>
              </w:rPr>
            </w:pPr>
            <w:r>
              <w:rPr>
                <w:lang w:val="fr-FR"/>
              </w:rPr>
              <w:tab/>
              <w:t>du bruit artificiel</w:t>
            </w:r>
          </w:p>
          <w:p w:rsidR="00C54AD2" w:rsidRDefault="00C54AD2" w:rsidP="00D50F2E">
            <w:pPr>
              <w:pStyle w:val="TableText0"/>
              <w:rPr>
                <w:lang w:val="fr-FR"/>
              </w:rPr>
            </w:pPr>
            <w:r>
              <w:rPr>
                <w:lang w:val="fr-FR"/>
              </w:rPr>
              <w:tab/>
              <w:t>du bruit galactique</w:t>
            </w:r>
          </w:p>
        </w:tc>
        <w:tc>
          <w:tcPr>
            <w:tcW w:w="5670"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lang w:val="fr-FR"/>
              </w:rPr>
            </w:pPr>
          </w:p>
          <w:p w:rsidR="00C54AD2" w:rsidRDefault="00C54AD2" w:rsidP="00D50F2E">
            <w:pPr>
              <w:pStyle w:val="TableText0"/>
              <w:spacing w:after="0"/>
              <w:jc w:val="center"/>
              <w:rPr>
                <w:lang w:val="fr-FR"/>
              </w:rPr>
            </w:pPr>
            <w:r>
              <w:rPr>
                <w:lang w:val="fr-FR"/>
              </w:rPr>
              <w:t>Rec. UIT-R P.372</w:t>
            </w:r>
          </w:p>
          <w:p w:rsidR="00C54AD2" w:rsidRDefault="00C54AD2" w:rsidP="00D50F2E">
            <w:pPr>
              <w:pStyle w:val="TableText0"/>
              <w:spacing w:after="0"/>
              <w:jc w:val="center"/>
              <w:rPr>
                <w:lang w:val="fr-FR"/>
              </w:rPr>
            </w:pPr>
            <w:r>
              <w:rPr>
                <w:lang w:val="fr-FR"/>
              </w:rPr>
              <w:t>Rec. UIT-R P.372</w:t>
            </w:r>
          </w:p>
          <w:p w:rsidR="00C54AD2" w:rsidRDefault="00C54AD2" w:rsidP="00D50F2E">
            <w:pPr>
              <w:pStyle w:val="TableText0"/>
              <w:jc w:val="center"/>
              <w:rPr>
                <w:lang w:val="fr-FR"/>
              </w:rPr>
            </w:pPr>
            <w:r>
              <w:rPr>
                <w:lang w:val="fr-FR"/>
              </w:rPr>
              <w:t>2</w: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6</w:t>
            </w:r>
          </w:p>
        </w:tc>
        <w:tc>
          <w:tcPr>
            <w:tcW w:w="124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i/>
                <w:lang w:val="fr-FR"/>
              </w:rPr>
            </w:pPr>
            <w:r>
              <w:rPr>
                <w:i/>
                <w:lang w:val="fr-FR"/>
              </w:rPr>
              <w:t>D</w:t>
            </w:r>
            <w:r w:rsidRPr="00C33ACA">
              <w:rPr>
                <w:i/>
                <w:vertAlign w:val="subscript"/>
              </w:rPr>
              <w:t>u</w:t>
            </w:r>
            <w:r>
              <w:rPr>
                <w:i/>
                <w:position w:val="-4"/>
                <w:lang w:val="fr-FR"/>
              </w:rPr>
              <w:t xml:space="preserve"> </w:t>
            </w:r>
            <w:r>
              <w:rPr>
                <w:i/>
                <w:lang w:val="fr-FR"/>
              </w:rPr>
              <w:t>SN</w:t>
            </w:r>
          </w:p>
        </w:tc>
        <w:tc>
          <w:tcPr>
            <w:tcW w:w="6237" w:type="dxa"/>
            <w:tcBorders>
              <w:top w:val="single" w:sz="6" w:space="0" w:color="auto"/>
              <w:left w:val="single" w:sz="6" w:space="0" w:color="auto"/>
              <w:bottom w:val="single" w:sz="6" w:space="0" w:color="auto"/>
              <w:right w:val="single" w:sz="6" w:space="0" w:color="auto"/>
            </w:tcBorders>
          </w:tcPr>
          <w:p w:rsidR="00C54AD2" w:rsidRDefault="00C54AD2" w:rsidP="002B5DBA">
            <w:pPr>
              <w:pStyle w:val="TableText0"/>
              <w:rPr>
                <w:lang w:val="fr-FR"/>
              </w:rPr>
            </w:pPr>
            <w:r>
              <w:rPr>
                <w:lang w:val="fr-FR"/>
              </w:rPr>
              <w:t>Ecart du décile supérieur du rapport signal/bruit résultant (dB)</w:t>
            </w:r>
          </w:p>
        </w:tc>
        <w:tc>
          <w:tcPr>
            <w:tcW w:w="567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after="0"/>
              <w:jc w:val="center"/>
              <w:rPr>
                <w:lang w:val="fr-FR"/>
              </w:rPr>
            </w:pPr>
            <w:r>
              <w:rPr>
                <w:lang w:val="fr-FR"/>
              </w:rPr>
              <w:t>Racine de la somme des carrés de</w:t>
            </w:r>
            <w:r>
              <w:rPr>
                <w:lang w:val="fr-FR"/>
              </w:rPr>
              <w:br/>
            </w:r>
            <w:r>
              <w:rPr>
                <w:i/>
                <w:lang w:val="fr-FR"/>
              </w:rPr>
              <w:t>D</w:t>
            </w:r>
            <w:r w:rsidRPr="00657660">
              <w:rPr>
                <w:i/>
                <w:vertAlign w:val="subscript"/>
                <w:lang w:val="fr-FR"/>
              </w:rPr>
              <w:t xml:space="preserve">u </w:t>
            </w:r>
            <w:r>
              <w:rPr>
                <w:i/>
                <w:lang w:val="fr-FR"/>
              </w:rPr>
              <w:t>S</w:t>
            </w:r>
            <w:r w:rsidRPr="00144DC5">
              <w:rPr>
                <w:i/>
                <w:vertAlign w:val="subscript"/>
                <w:lang w:val="fr-FR"/>
              </w:rPr>
              <w:t>d</w:t>
            </w:r>
            <w:r>
              <w:rPr>
                <w:rFonts w:ascii="Tms Rmn" w:hAnsi="Tms Rmn"/>
                <w:i/>
                <w:position w:val="-4"/>
                <w:sz w:val="12"/>
                <w:lang w:val="fr-FR"/>
              </w:rPr>
              <w:t> </w:t>
            </w:r>
            <w:r w:rsidRPr="00657660">
              <w:rPr>
                <w:lang w:val="fr-FR"/>
              </w:rPr>
              <w:t>,</w:t>
            </w:r>
            <w:r>
              <w:rPr>
                <w:i/>
                <w:lang w:val="fr-FR"/>
              </w:rPr>
              <w:t xml:space="preserve"> D</w:t>
            </w:r>
            <w:r w:rsidRPr="00144DC5">
              <w:rPr>
                <w:i/>
                <w:vertAlign w:val="subscript"/>
                <w:lang w:val="fr-FR"/>
              </w:rPr>
              <w:t>u</w:t>
            </w:r>
            <w:r>
              <w:rPr>
                <w:i/>
                <w:position w:val="-4"/>
                <w:sz w:val="20"/>
                <w:lang w:val="fr-FR"/>
              </w:rPr>
              <w:t xml:space="preserve"> </w:t>
            </w:r>
            <w:r>
              <w:rPr>
                <w:i/>
                <w:lang w:val="fr-FR"/>
              </w:rPr>
              <w:t>S</w:t>
            </w:r>
            <w:r w:rsidRPr="00144DC5">
              <w:rPr>
                <w:i/>
                <w:vertAlign w:val="subscript"/>
                <w:lang w:val="fr-FR"/>
              </w:rPr>
              <w:t>h</w:t>
            </w:r>
            <w:r>
              <w:rPr>
                <w:i/>
                <w:lang w:val="fr-FR"/>
              </w:rPr>
              <w:t xml:space="preserve"> </w:t>
            </w:r>
            <w:r>
              <w:rPr>
                <w:lang w:val="fr-FR"/>
              </w:rPr>
              <w:t>et</w:t>
            </w:r>
          </w:p>
          <w:p w:rsidR="00C54AD2" w:rsidRDefault="00C54AD2" w:rsidP="00D50F2E">
            <w:pPr>
              <w:pStyle w:val="TableText0"/>
              <w:spacing w:line="240" w:lineRule="auto"/>
              <w:jc w:val="center"/>
              <w:rPr>
                <w:lang w:val="fr-FR"/>
              </w:rPr>
            </w:pPr>
            <w:r>
              <w:rPr>
                <w:lang w:val="fr-FR"/>
              </w:rPr>
              <w:t>10 log</w:t>
            </w:r>
            <w:r w:rsidRPr="00A206FD">
              <w:rPr>
                <w:vertAlign w:val="subscript"/>
              </w:rPr>
              <w:t>10</w:t>
            </w:r>
            <w:r>
              <w:rPr>
                <w:position w:val="-46"/>
                <w:lang w:val="fr-FR"/>
              </w:rPr>
              <w:object w:dxaOrig="3940" w:dyaOrig="1020">
                <v:shape id="_x0000_i1028" type="#_x0000_t75" style="width:196.8pt;height:51pt" o:ole="">
                  <v:imagedata r:id="rId22" o:title=""/>
                </v:shape>
                <o:OLEObject Type="Embed" ProgID="Equation.2" ShapeID="_x0000_i1028" DrawAspect="Content" ObjectID="_1469356503" r:id="rId23"/>
              </w:object>
            </w:r>
          </w:p>
        </w:tc>
      </w:tr>
    </w:tbl>
    <w:p w:rsidR="00C54AD2" w:rsidRDefault="00C54AD2" w:rsidP="00C54AD2"/>
    <w:p w:rsidR="00C54AD2" w:rsidRDefault="00C54AD2" w:rsidP="00C54AD2"/>
    <w:p w:rsidR="00C54AD2" w:rsidRDefault="00C54AD2" w:rsidP="00C54AD2"/>
    <w:p w:rsidR="00C54AD2" w:rsidRPr="00F66640" w:rsidRDefault="00C54AD2" w:rsidP="00C54AD2">
      <w:pPr>
        <w:pStyle w:val="TableNo"/>
        <w:spacing w:before="0"/>
        <w:rPr>
          <w:sz w:val="4"/>
          <w:szCs w:val="4"/>
        </w:rPr>
      </w:pPr>
      <w:r>
        <w:br w:type="page"/>
      </w:r>
    </w:p>
    <w:p w:rsidR="00C54AD2" w:rsidRPr="00CE5BC5" w:rsidRDefault="00C54AD2" w:rsidP="00C54AD2">
      <w:pPr>
        <w:pStyle w:val="TableNo"/>
        <w:spacing w:before="240"/>
        <w:rPr>
          <w:i/>
          <w:szCs w:val="24"/>
        </w:rPr>
      </w:pPr>
      <w:r w:rsidRPr="00CE5BC5">
        <w:rPr>
          <w:szCs w:val="24"/>
        </w:rPr>
        <w:lastRenderedPageBreak/>
        <w:t>TABLEAU  1  (</w:t>
      </w:r>
      <w:r w:rsidRPr="00CE5BC5">
        <w:rPr>
          <w:i/>
          <w:szCs w:val="24"/>
        </w:rPr>
        <w:t>fin</w:t>
      </w:r>
      <w:r w:rsidRPr="00CE5BC5">
        <w:rPr>
          <w:szCs w:val="24"/>
        </w:rPr>
        <w:t>)</w:t>
      </w:r>
    </w:p>
    <w:p w:rsidR="00C54AD2" w:rsidRDefault="00C54AD2" w:rsidP="00C54AD2">
      <w:pPr>
        <w:pStyle w:val="Blanc"/>
        <w:rPr>
          <w:lang w:val="fr-FR"/>
        </w:rPr>
      </w:pPr>
    </w:p>
    <w:tbl>
      <w:tblPr>
        <w:tblW w:w="0" w:type="auto"/>
        <w:jc w:val="center"/>
        <w:tblLayout w:type="fixed"/>
        <w:tblCellMar>
          <w:left w:w="107" w:type="dxa"/>
          <w:right w:w="107" w:type="dxa"/>
        </w:tblCellMar>
        <w:tblLook w:val="0000" w:firstRow="0" w:lastRow="0" w:firstColumn="0" w:lastColumn="0" w:noHBand="0" w:noVBand="0"/>
      </w:tblPr>
      <w:tblGrid>
        <w:gridCol w:w="737"/>
        <w:gridCol w:w="1247"/>
        <w:gridCol w:w="6237"/>
        <w:gridCol w:w="5670"/>
      </w:tblGrid>
      <w:tr w:rsidR="00C54AD2" w:rsidTr="00D50F2E">
        <w:trPr>
          <w:cantSplit/>
          <w:jc w:val="center"/>
        </w:trPr>
        <w:tc>
          <w:tcPr>
            <w:tcW w:w="737"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Etape</w:t>
            </w:r>
          </w:p>
        </w:tc>
        <w:tc>
          <w:tcPr>
            <w:tcW w:w="1247"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Paramètre</w:t>
            </w:r>
          </w:p>
        </w:tc>
        <w:tc>
          <w:tcPr>
            <w:tcW w:w="6237"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Description du paramètre</w:t>
            </w:r>
          </w:p>
        </w:tc>
        <w:tc>
          <w:tcPr>
            <w:tcW w:w="5670" w:type="dxa"/>
            <w:tcBorders>
              <w:top w:val="single" w:sz="6" w:space="0" w:color="auto"/>
              <w:left w:val="single" w:sz="6" w:space="0" w:color="auto"/>
              <w:right w:val="single" w:sz="6" w:space="0" w:color="auto"/>
            </w:tcBorders>
          </w:tcPr>
          <w:p w:rsidR="00C54AD2" w:rsidRPr="00C85EF9" w:rsidRDefault="00C54AD2" w:rsidP="00C85EF9">
            <w:pPr>
              <w:pStyle w:val="Tablehead"/>
              <w:rPr>
                <w:sz w:val="18"/>
                <w:szCs w:val="18"/>
              </w:rPr>
            </w:pPr>
            <w:r w:rsidRPr="00C85EF9">
              <w:rPr>
                <w:sz w:val="18"/>
                <w:szCs w:val="18"/>
              </w:rPr>
              <w:t>Source de la valeur du paramètre</w: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en-US"/>
              </w:rPr>
            </w:pPr>
            <w:r>
              <w:rPr>
                <w:lang w:val="en-US"/>
              </w:rPr>
              <w:t>7</w:t>
            </w:r>
          </w:p>
        </w:tc>
        <w:tc>
          <w:tcPr>
            <w:tcW w:w="124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after="0"/>
              <w:jc w:val="center"/>
              <w:rPr>
                <w:i/>
                <w:position w:val="-4"/>
                <w:lang w:val="en-US"/>
              </w:rPr>
            </w:pPr>
            <w:r>
              <w:rPr>
                <w:i/>
                <w:lang w:val="en-US"/>
              </w:rPr>
              <w:t>D</w:t>
            </w:r>
            <w:r w:rsidRPr="00E93025">
              <w:rPr>
                <w:i/>
                <w:vertAlign w:val="subscript"/>
              </w:rPr>
              <w:t>l</w:t>
            </w:r>
            <w:r>
              <w:rPr>
                <w:i/>
                <w:position w:val="-4"/>
                <w:lang w:val="en-US"/>
              </w:rPr>
              <w:t xml:space="preserve"> </w:t>
            </w:r>
            <w:r>
              <w:rPr>
                <w:i/>
                <w:lang w:val="en-US"/>
              </w:rPr>
              <w:t>S</w:t>
            </w:r>
            <w:r w:rsidRPr="00E93025">
              <w:rPr>
                <w:i/>
                <w:vertAlign w:val="subscript"/>
              </w:rPr>
              <w:t>d</w:t>
            </w:r>
          </w:p>
          <w:p w:rsidR="00C54AD2" w:rsidRDefault="00C54AD2" w:rsidP="00D50F2E">
            <w:pPr>
              <w:pStyle w:val="TableText0"/>
              <w:jc w:val="center"/>
              <w:rPr>
                <w:lang w:val="en-US"/>
              </w:rPr>
            </w:pPr>
            <w:r>
              <w:rPr>
                <w:i/>
                <w:lang w:val="en-US"/>
              </w:rPr>
              <w:t>D</w:t>
            </w:r>
            <w:r w:rsidRPr="00E93025">
              <w:rPr>
                <w:i/>
                <w:vertAlign w:val="subscript"/>
              </w:rPr>
              <w:t>l</w:t>
            </w:r>
            <w:r>
              <w:rPr>
                <w:i/>
                <w:position w:val="-4"/>
                <w:lang w:val="en-US"/>
              </w:rPr>
              <w:t xml:space="preserve"> </w:t>
            </w:r>
            <w:r>
              <w:rPr>
                <w:i/>
                <w:lang w:val="en-US"/>
              </w:rPr>
              <w:t>S</w:t>
            </w:r>
            <w:r w:rsidRPr="00E93025">
              <w:rPr>
                <w:i/>
                <w:vertAlign w:val="subscript"/>
              </w:rPr>
              <w:t>h</w:t>
            </w:r>
          </w:p>
        </w:tc>
        <w:tc>
          <w:tcPr>
            <w:tcW w:w="62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after="0"/>
              <w:rPr>
                <w:lang w:val="fr-FR"/>
              </w:rPr>
            </w:pPr>
            <w:r>
              <w:rPr>
                <w:lang w:val="fr-FR"/>
              </w:rPr>
              <w:t>Ecart du décile inférieur du signal (d'un jour à l'autre) (dB)</w:t>
            </w:r>
          </w:p>
          <w:p w:rsidR="00C54AD2" w:rsidRDefault="00C54AD2" w:rsidP="00D50F2E">
            <w:pPr>
              <w:pStyle w:val="TableText0"/>
              <w:rPr>
                <w:lang w:val="fr-FR"/>
              </w:rPr>
            </w:pPr>
            <w:r>
              <w:rPr>
                <w:lang w:val="fr-FR"/>
              </w:rPr>
              <w:t>Ecart du décile inférieur du signal (au cours d'une heure) (dB)</w:t>
            </w:r>
          </w:p>
        </w:tc>
        <w:tc>
          <w:tcPr>
            <w:tcW w:w="567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after="0"/>
              <w:jc w:val="center"/>
              <w:rPr>
                <w:lang w:val="fr-FR"/>
              </w:rPr>
            </w:pPr>
            <w:r>
              <w:rPr>
                <w:lang w:val="fr-FR"/>
              </w:rPr>
              <w:t>Tableau 2 en utilisant la MUF de référence pour le trajet</w:t>
            </w:r>
          </w:p>
          <w:p w:rsidR="00C54AD2" w:rsidRDefault="00C54AD2" w:rsidP="00D50F2E">
            <w:pPr>
              <w:pStyle w:val="TableText0"/>
              <w:jc w:val="center"/>
              <w:rPr>
                <w:lang w:val="en-US"/>
              </w:rPr>
            </w:pPr>
            <w:r>
              <w:rPr>
                <w:lang w:val="en-US"/>
              </w:rPr>
              <w:t>8</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en-US"/>
              </w:rPr>
            </w:pPr>
            <w:r>
              <w:rPr>
                <w:lang w:val="en-US"/>
              </w:rPr>
              <w:t>8</w:t>
            </w:r>
          </w:p>
        </w:tc>
        <w:tc>
          <w:tcPr>
            <w:tcW w:w="1247"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i/>
                <w:lang w:val="en-US"/>
              </w:rPr>
            </w:pPr>
          </w:p>
          <w:p w:rsidR="00C54AD2" w:rsidRDefault="00C54AD2" w:rsidP="00D50F2E">
            <w:pPr>
              <w:pStyle w:val="TableText0"/>
              <w:spacing w:after="0"/>
              <w:jc w:val="center"/>
              <w:rPr>
                <w:i/>
                <w:lang w:val="en-US"/>
              </w:rPr>
            </w:pPr>
            <w:r>
              <w:rPr>
                <w:i/>
                <w:lang w:val="en-US"/>
              </w:rPr>
              <w:t>D</w:t>
            </w:r>
            <w:r w:rsidRPr="00E93025">
              <w:rPr>
                <w:i/>
                <w:vertAlign w:val="subscript"/>
              </w:rPr>
              <w:t>u</w:t>
            </w:r>
            <w:r>
              <w:rPr>
                <w:i/>
                <w:position w:val="-4"/>
                <w:lang w:val="en-US"/>
              </w:rPr>
              <w:t xml:space="preserve"> </w:t>
            </w:r>
            <w:r>
              <w:rPr>
                <w:i/>
                <w:lang w:val="en-US"/>
              </w:rPr>
              <w:t>A</w:t>
            </w:r>
          </w:p>
          <w:p w:rsidR="00C54AD2" w:rsidRDefault="00C54AD2" w:rsidP="00D50F2E">
            <w:pPr>
              <w:pStyle w:val="TableText0"/>
              <w:spacing w:after="0"/>
              <w:jc w:val="center"/>
              <w:rPr>
                <w:i/>
                <w:lang w:val="en-US"/>
              </w:rPr>
            </w:pPr>
            <w:r>
              <w:rPr>
                <w:i/>
                <w:lang w:val="en-US"/>
              </w:rPr>
              <w:t>D</w:t>
            </w:r>
            <w:r w:rsidRPr="00E93025">
              <w:rPr>
                <w:i/>
                <w:vertAlign w:val="subscript"/>
              </w:rPr>
              <w:t>u</w:t>
            </w:r>
            <w:r>
              <w:rPr>
                <w:i/>
                <w:position w:val="-4"/>
                <w:lang w:val="en-US"/>
              </w:rPr>
              <w:t xml:space="preserve"> </w:t>
            </w:r>
            <w:r>
              <w:rPr>
                <w:i/>
                <w:lang w:val="en-US"/>
              </w:rPr>
              <w:t>M</w:t>
            </w:r>
          </w:p>
          <w:p w:rsidR="00C54AD2" w:rsidRDefault="00C54AD2" w:rsidP="00D50F2E">
            <w:pPr>
              <w:pStyle w:val="TableText0"/>
              <w:jc w:val="center"/>
              <w:rPr>
                <w:i/>
                <w:lang w:val="fr-FR"/>
              </w:rPr>
            </w:pPr>
            <w:r>
              <w:rPr>
                <w:i/>
                <w:lang w:val="fr-FR"/>
              </w:rPr>
              <w:t>D</w:t>
            </w:r>
            <w:r w:rsidRPr="00E93025">
              <w:rPr>
                <w:i/>
                <w:vertAlign w:val="subscript"/>
              </w:rPr>
              <w:t>u</w:t>
            </w:r>
            <w:r>
              <w:rPr>
                <w:i/>
                <w:position w:val="-4"/>
                <w:lang w:val="fr-FR"/>
              </w:rPr>
              <w:t xml:space="preserve"> </w:t>
            </w:r>
            <w:r>
              <w:rPr>
                <w:i/>
                <w:lang w:val="fr-FR"/>
              </w:rPr>
              <w:t>G</w:t>
            </w:r>
          </w:p>
        </w:tc>
        <w:tc>
          <w:tcPr>
            <w:tcW w:w="6237" w:type="dxa"/>
            <w:tcBorders>
              <w:top w:val="single" w:sz="6" w:space="0" w:color="auto"/>
              <w:left w:val="single" w:sz="6" w:space="0" w:color="auto"/>
              <w:right w:val="single" w:sz="6" w:space="0" w:color="auto"/>
            </w:tcBorders>
          </w:tcPr>
          <w:p w:rsidR="00C54AD2" w:rsidRDefault="00C54AD2" w:rsidP="00D50F2E">
            <w:pPr>
              <w:pStyle w:val="TableText0"/>
              <w:spacing w:after="0"/>
              <w:rPr>
                <w:lang w:val="fr-FR"/>
              </w:rPr>
            </w:pPr>
            <w:r>
              <w:rPr>
                <w:lang w:val="fr-FR"/>
              </w:rPr>
              <w:t>Ecart du décile supérieur (dB)</w:t>
            </w:r>
          </w:p>
          <w:p w:rsidR="00C54AD2" w:rsidRDefault="00C54AD2" w:rsidP="00D50F2E">
            <w:pPr>
              <w:pStyle w:val="TableText0"/>
              <w:spacing w:after="0"/>
              <w:rPr>
                <w:lang w:val="fr-FR"/>
              </w:rPr>
            </w:pPr>
            <w:r>
              <w:rPr>
                <w:lang w:val="fr-FR"/>
              </w:rPr>
              <w:tab/>
              <w:t>du bruit atmosphérique</w:t>
            </w:r>
          </w:p>
          <w:p w:rsidR="00C54AD2" w:rsidRDefault="00C54AD2" w:rsidP="00D50F2E">
            <w:pPr>
              <w:pStyle w:val="TableText0"/>
              <w:spacing w:after="0"/>
              <w:rPr>
                <w:lang w:val="fr-FR"/>
              </w:rPr>
            </w:pPr>
            <w:r>
              <w:rPr>
                <w:lang w:val="fr-FR"/>
              </w:rPr>
              <w:tab/>
              <w:t>du bruit artificiel</w:t>
            </w:r>
          </w:p>
          <w:p w:rsidR="00C54AD2" w:rsidRDefault="00C54AD2" w:rsidP="00D50F2E">
            <w:pPr>
              <w:pStyle w:val="TableText0"/>
              <w:rPr>
                <w:lang w:val="fr-FR"/>
              </w:rPr>
            </w:pPr>
            <w:r>
              <w:rPr>
                <w:lang w:val="fr-FR"/>
              </w:rPr>
              <w:tab/>
              <w:t>du bruit galactique</w:t>
            </w:r>
          </w:p>
        </w:tc>
        <w:tc>
          <w:tcPr>
            <w:tcW w:w="5670"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lang w:val="fr-FR"/>
              </w:rPr>
            </w:pPr>
          </w:p>
          <w:p w:rsidR="00C54AD2" w:rsidRDefault="00C54AD2" w:rsidP="00D50F2E">
            <w:pPr>
              <w:pStyle w:val="TableText0"/>
              <w:spacing w:after="0"/>
              <w:jc w:val="center"/>
              <w:rPr>
                <w:lang w:val="fr-FR"/>
              </w:rPr>
            </w:pPr>
            <w:r>
              <w:rPr>
                <w:lang w:val="fr-FR"/>
              </w:rPr>
              <w:t>Rec. UIT-R P.372</w:t>
            </w:r>
          </w:p>
          <w:p w:rsidR="00C54AD2" w:rsidRDefault="00C54AD2" w:rsidP="00D50F2E">
            <w:pPr>
              <w:pStyle w:val="TableText0"/>
              <w:spacing w:after="0"/>
              <w:jc w:val="center"/>
              <w:rPr>
                <w:lang w:val="fr-FR"/>
              </w:rPr>
            </w:pPr>
            <w:r>
              <w:rPr>
                <w:lang w:val="fr-FR"/>
              </w:rPr>
              <w:t>Rec. UIT-R P.372</w:t>
            </w:r>
          </w:p>
          <w:p w:rsidR="00C54AD2" w:rsidRDefault="00C54AD2" w:rsidP="00D50F2E">
            <w:pPr>
              <w:pStyle w:val="TableText0"/>
              <w:jc w:val="center"/>
              <w:rPr>
                <w:lang w:val="fr-FR"/>
              </w:rPr>
            </w:pPr>
            <w:r>
              <w:rPr>
                <w:lang w:val="fr-FR"/>
              </w:rPr>
              <w:t>2</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9</w:t>
            </w:r>
          </w:p>
        </w:tc>
        <w:tc>
          <w:tcPr>
            <w:tcW w:w="1247"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Pr>
                <w:i/>
                <w:lang w:val="fr-FR"/>
              </w:rPr>
              <w:t>D</w:t>
            </w:r>
            <w:r w:rsidRPr="00E93025">
              <w:rPr>
                <w:i/>
                <w:vertAlign w:val="subscript"/>
              </w:rPr>
              <w:t>l</w:t>
            </w:r>
            <w:r>
              <w:rPr>
                <w:i/>
                <w:position w:val="-4"/>
                <w:lang w:val="fr-FR"/>
              </w:rPr>
              <w:t xml:space="preserve"> </w:t>
            </w:r>
            <w:r>
              <w:rPr>
                <w:i/>
                <w:lang w:val="fr-FR"/>
              </w:rPr>
              <w:t>SN</w:t>
            </w:r>
          </w:p>
        </w:tc>
        <w:tc>
          <w:tcPr>
            <w:tcW w:w="6237" w:type="dxa"/>
            <w:tcBorders>
              <w:top w:val="single" w:sz="6" w:space="0" w:color="auto"/>
              <w:left w:val="single" w:sz="6" w:space="0" w:color="auto"/>
              <w:right w:val="single" w:sz="6" w:space="0" w:color="auto"/>
            </w:tcBorders>
          </w:tcPr>
          <w:p w:rsidR="00C54AD2" w:rsidRDefault="00C54AD2" w:rsidP="00D50F2E">
            <w:pPr>
              <w:pStyle w:val="TableText0"/>
              <w:rPr>
                <w:lang w:val="fr-FR"/>
              </w:rPr>
            </w:pPr>
            <w:r>
              <w:rPr>
                <w:lang w:val="fr-FR"/>
              </w:rPr>
              <w:t xml:space="preserve">Ecart du décile inférieur du rapport signal/bruit résultant (dB) </w:t>
            </w:r>
          </w:p>
          <w:p w:rsidR="00C54AD2" w:rsidRDefault="00C54AD2" w:rsidP="00D50F2E">
            <w:pPr>
              <w:pStyle w:val="TableText0"/>
              <w:rPr>
                <w:lang w:val="fr-FR"/>
              </w:rPr>
            </w:pPr>
          </w:p>
        </w:tc>
        <w:tc>
          <w:tcPr>
            <w:tcW w:w="5670" w:type="dxa"/>
            <w:tcBorders>
              <w:top w:val="single" w:sz="6" w:space="0" w:color="auto"/>
              <w:left w:val="single" w:sz="6" w:space="0" w:color="auto"/>
              <w:right w:val="single" w:sz="6" w:space="0" w:color="auto"/>
            </w:tcBorders>
          </w:tcPr>
          <w:p w:rsidR="00C54AD2" w:rsidRDefault="00C54AD2" w:rsidP="00D50F2E">
            <w:pPr>
              <w:pStyle w:val="TableText0"/>
              <w:spacing w:after="0"/>
              <w:jc w:val="center"/>
              <w:rPr>
                <w:i/>
                <w:position w:val="-4"/>
                <w:sz w:val="14"/>
                <w:lang w:val="fr-FR"/>
              </w:rPr>
            </w:pPr>
            <w:r>
              <w:rPr>
                <w:lang w:val="fr-FR"/>
              </w:rPr>
              <w:t xml:space="preserve">Racine de la somme des carrés de </w:t>
            </w:r>
            <w:r>
              <w:rPr>
                <w:i/>
                <w:lang w:val="fr-FR"/>
              </w:rPr>
              <w:t>D</w:t>
            </w:r>
            <w:r w:rsidRPr="00144DC5">
              <w:rPr>
                <w:i/>
                <w:vertAlign w:val="subscript"/>
                <w:lang w:val="fr-FR"/>
              </w:rPr>
              <w:t>l</w:t>
            </w:r>
            <w:r>
              <w:rPr>
                <w:lang w:val="fr-FR"/>
              </w:rPr>
              <w:t xml:space="preserve"> </w:t>
            </w:r>
            <w:r>
              <w:rPr>
                <w:i/>
                <w:lang w:val="fr-FR"/>
              </w:rPr>
              <w:t>S</w:t>
            </w:r>
            <w:r w:rsidRPr="00144DC5">
              <w:rPr>
                <w:i/>
                <w:vertAlign w:val="subscript"/>
                <w:lang w:val="fr-FR"/>
              </w:rPr>
              <w:t>d</w:t>
            </w:r>
            <w:r>
              <w:rPr>
                <w:rFonts w:ascii="Tms Rmn" w:hAnsi="Tms Rmn"/>
                <w:i/>
                <w:position w:val="-4"/>
                <w:sz w:val="12"/>
                <w:lang w:val="fr-FR"/>
              </w:rPr>
              <w:t> </w:t>
            </w:r>
            <w:r>
              <w:rPr>
                <w:i/>
                <w:lang w:val="fr-FR"/>
              </w:rPr>
              <w:t>,</w:t>
            </w:r>
            <w:r>
              <w:rPr>
                <w:lang w:val="fr-FR"/>
              </w:rPr>
              <w:t xml:space="preserve"> </w:t>
            </w:r>
            <w:r>
              <w:rPr>
                <w:i/>
                <w:lang w:val="fr-FR"/>
              </w:rPr>
              <w:t>D</w:t>
            </w:r>
            <w:r w:rsidRPr="00144DC5">
              <w:rPr>
                <w:i/>
                <w:vertAlign w:val="subscript"/>
                <w:lang w:val="fr-FR"/>
              </w:rPr>
              <w:t>l</w:t>
            </w:r>
            <w:r>
              <w:rPr>
                <w:lang w:val="fr-FR"/>
              </w:rPr>
              <w:t xml:space="preserve"> </w:t>
            </w:r>
            <w:r>
              <w:rPr>
                <w:i/>
                <w:lang w:val="fr-FR"/>
              </w:rPr>
              <w:t>S</w:t>
            </w:r>
            <w:r w:rsidRPr="00144DC5">
              <w:rPr>
                <w:i/>
                <w:vertAlign w:val="subscript"/>
                <w:lang w:val="fr-FR"/>
              </w:rPr>
              <w:t>h</w:t>
            </w:r>
          </w:p>
          <w:p w:rsidR="00C54AD2" w:rsidRDefault="00C54AD2" w:rsidP="00D50F2E">
            <w:pPr>
              <w:pStyle w:val="TableText0"/>
              <w:spacing w:after="0"/>
              <w:jc w:val="center"/>
              <w:rPr>
                <w:lang w:val="fr-FR"/>
              </w:rPr>
            </w:pPr>
            <w:r>
              <w:rPr>
                <w:lang w:val="fr-FR"/>
              </w:rPr>
              <w:t>et</w:t>
            </w:r>
          </w:p>
          <w:p w:rsidR="00C54AD2" w:rsidRDefault="00C54AD2" w:rsidP="00D50F2E">
            <w:pPr>
              <w:pStyle w:val="TableText0"/>
              <w:spacing w:line="240" w:lineRule="auto"/>
              <w:jc w:val="center"/>
              <w:rPr>
                <w:lang w:val="fr-FR"/>
              </w:rPr>
            </w:pPr>
            <w:r>
              <w:rPr>
                <w:lang w:val="fr-FR"/>
              </w:rPr>
              <w:t>10 log</w:t>
            </w:r>
            <w:r w:rsidRPr="00A206FD">
              <w:rPr>
                <w:vertAlign w:val="subscript"/>
              </w:rPr>
              <w:t>10</w:t>
            </w:r>
            <w:r>
              <w:rPr>
                <w:position w:val="-46"/>
                <w:lang w:val="fr-FR"/>
              </w:rPr>
              <w:object w:dxaOrig="4020" w:dyaOrig="1020">
                <v:shape id="_x0000_i1029" type="#_x0000_t75" style="width:201pt;height:51pt" o:ole="">
                  <v:imagedata r:id="rId24" o:title=""/>
                </v:shape>
                <o:OLEObject Type="Embed" ProgID="Equation.2" ShapeID="_x0000_i1029" DrawAspect="Content" ObjectID="_1469356504" r:id="rId25"/>
              </w:objec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10</w:t>
            </w:r>
          </w:p>
        </w:tc>
        <w:tc>
          <w:tcPr>
            <w:tcW w:w="1247"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Pr>
                <w:i/>
                <w:lang w:val="fr-FR"/>
              </w:rPr>
              <w:t>S/N</w:t>
            </w:r>
            <w:r w:rsidRPr="00E93025">
              <w:rPr>
                <w:i/>
                <w:vertAlign w:val="subscript"/>
              </w:rPr>
              <w:t>r</w:t>
            </w:r>
          </w:p>
        </w:tc>
        <w:tc>
          <w:tcPr>
            <w:tcW w:w="6237" w:type="dxa"/>
            <w:tcBorders>
              <w:top w:val="single" w:sz="6" w:space="0" w:color="auto"/>
              <w:left w:val="single" w:sz="6" w:space="0" w:color="auto"/>
              <w:right w:val="single" w:sz="6" w:space="0" w:color="auto"/>
            </w:tcBorders>
          </w:tcPr>
          <w:p w:rsidR="00C54AD2" w:rsidRDefault="00C54AD2" w:rsidP="00D50F2E">
            <w:pPr>
              <w:pStyle w:val="TableText0"/>
              <w:rPr>
                <w:lang w:val="fr-FR"/>
              </w:rPr>
            </w:pPr>
            <w:r>
              <w:rPr>
                <w:lang w:val="fr-FR"/>
              </w:rPr>
              <w:t>Rapport signal/bruit requis (dB)</w:t>
            </w:r>
          </w:p>
        </w:tc>
        <w:tc>
          <w:tcPr>
            <w:tcW w:w="5670"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Défini par l'utilisateur</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11</w:t>
            </w:r>
          </w:p>
        </w:tc>
        <w:tc>
          <w:tcPr>
            <w:tcW w:w="1247"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Pr>
                <w:lang w:val="fr-FR"/>
              </w:rPr>
              <w:t>BCR</w:t>
            </w:r>
          </w:p>
        </w:tc>
        <w:tc>
          <w:tcPr>
            <w:tcW w:w="6237" w:type="dxa"/>
            <w:tcBorders>
              <w:top w:val="single" w:sz="6" w:space="0" w:color="auto"/>
              <w:left w:val="single" w:sz="6" w:space="0" w:color="auto"/>
              <w:right w:val="single" w:sz="6" w:space="0" w:color="auto"/>
            </w:tcBorders>
          </w:tcPr>
          <w:p w:rsidR="00C54AD2" w:rsidRDefault="00C54AD2" w:rsidP="00D50F2E">
            <w:pPr>
              <w:pStyle w:val="TableText0"/>
              <w:rPr>
                <w:lang w:val="fr-FR"/>
              </w:rPr>
            </w:pPr>
            <w:r>
              <w:rPr>
                <w:lang w:val="fr-FR"/>
              </w:rPr>
              <w:t xml:space="preserve">Fiabilité de circuit de référence pour </w:t>
            </w:r>
            <w:r>
              <w:rPr>
                <w:i/>
                <w:lang w:val="fr-FR"/>
              </w:rPr>
              <w:t xml:space="preserve">S/N </w:t>
            </w:r>
            <w:r w:rsidRPr="008753F7">
              <w:rPr>
                <w:lang w:val="fr-FR"/>
              </w:rPr>
              <w:sym w:font="Symbol" w:char="F0B3"/>
            </w:r>
            <w:r w:rsidRPr="008753F7">
              <w:rPr>
                <w:i/>
                <w:lang w:val="fr-FR"/>
              </w:rPr>
              <w:t xml:space="preserve"> </w:t>
            </w:r>
            <w:r>
              <w:rPr>
                <w:i/>
                <w:lang w:val="fr-FR"/>
              </w:rPr>
              <w:t>S/N</w:t>
            </w:r>
            <w:r w:rsidRPr="008753F7">
              <w:rPr>
                <w:i/>
                <w:vertAlign w:val="subscript"/>
                <w:lang w:val="fr-FR"/>
              </w:rPr>
              <w:t xml:space="preserve">r </w:t>
            </w:r>
            <w:r>
              <w:rPr>
                <w:lang w:val="fr-FR"/>
              </w:rPr>
              <w:t xml:space="preserve">(%) </w:t>
            </w:r>
          </w:p>
        </w:tc>
        <w:tc>
          <w:tcPr>
            <w:tcW w:w="5670" w:type="dxa"/>
            <w:tcBorders>
              <w:top w:val="single" w:sz="6" w:space="0" w:color="auto"/>
              <w:left w:val="single" w:sz="6" w:space="0" w:color="auto"/>
              <w:right w:val="single" w:sz="6" w:space="0" w:color="auto"/>
            </w:tcBorders>
          </w:tcPr>
          <w:p w:rsidR="00C54AD2" w:rsidRPr="002D268F" w:rsidRDefault="00C54AD2" w:rsidP="00D50F2E">
            <w:pPr>
              <w:pStyle w:val="TableText0"/>
              <w:jc w:val="center"/>
              <w:rPr>
                <w:lang w:val="fr-FR"/>
              </w:rPr>
            </w:pPr>
            <w:r w:rsidRPr="002D268F">
              <w:rPr>
                <w:lang w:val="fr-FR"/>
              </w:rPr>
              <w:t xml:space="preserve">130  –  80 / (1  </w:t>
            </w:r>
            <w:r>
              <w:rPr>
                <w:lang w:val="fr-FR"/>
              </w:rPr>
              <w:t>+</w:t>
            </w:r>
            <w:r w:rsidRPr="002D268F">
              <w:rPr>
                <w:lang w:val="fr-FR"/>
              </w:rPr>
              <w:t xml:space="preserve">  (</w:t>
            </w:r>
            <w:r w:rsidRPr="002D268F">
              <w:rPr>
                <w:i/>
                <w:lang w:val="fr-FR"/>
              </w:rPr>
              <w:t xml:space="preserve">S/N  </w:t>
            </w:r>
            <w:r w:rsidRPr="002D268F">
              <w:rPr>
                <w:lang w:val="fr-FR"/>
              </w:rPr>
              <w:t xml:space="preserve">– </w:t>
            </w:r>
            <w:r w:rsidRPr="002D268F">
              <w:rPr>
                <w:i/>
                <w:lang w:val="fr-FR"/>
              </w:rPr>
              <w:t xml:space="preserve"> S/N</w:t>
            </w:r>
            <w:r w:rsidRPr="00144DC5">
              <w:rPr>
                <w:i/>
                <w:vertAlign w:val="subscript"/>
                <w:lang w:val="fr-FR"/>
              </w:rPr>
              <w:t>r</w:t>
            </w:r>
            <w:r w:rsidRPr="002D268F">
              <w:rPr>
                <w:lang w:val="fr-FR"/>
              </w:rPr>
              <w:t xml:space="preserve">) / </w:t>
            </w:r>
            <w:r w:rsidRPr="002D268F">
              <w:rPr>
                <w:i/>
                <w:lang w:val="fr-FR"/>
              </w:rPr>
              <w:t>D</w:t>
            </w:r>
            <w:r w:rsidRPr="00144DC5">
              <w:rPr>
                <w:i/>
                <w:vertAlign w:val="subscript"/>
                <w:lang w:val="fr-FR"/>
              </w:rPr>
              <w:t xml:space="preserve">l </w:t>
            </w:r>
            <w:r w:rsidRPr="002D268F">
              <w:rPr>
                <w:i/>
                <w:lang w:val="fr-FR"/>
              </w:rPr>
              <w:t>SN</w:t>
            </w:r>
            <w:r w:rsidRPr="002D268F">
              <w:rPr>
                <w:lang w:val="fr-FR"/>
              </w:rPr>
              <w:t>)</w:t>
            </w:r>
          </w:p>
          <w:p w:rsidR="00C54AD2" w:rsidRDefault="00C54AD2" w:rsidP="00D50F2E">
            <w:pPr>
              <w:pStyle w:val="TableText0"/>
              <w:spacing w:before="0"/>
              <w:jc w:val="center"/>
              <w:rPr>
                <w:lang w:val="fr-FR"/>
              </w:rPr>
            </w:pPr>
            <w:r>
              <w:rPr>
                <w:lang w:val="fr-FR"/>
              </w:rPr>
              <w:t>ou 100, la valeur la plus petite étant retenue</w:t>
            </w:r>
          </w:p>
        </w:tc>
      </w:tr>
      <w:tr w:rsidR="00C54AD2" w:rsidTr="00D50F2E">
        <w:trPr>
          <w:cantSplit/>
          <w:jc w:val="center"/>
        </w:trPr>
        <w:tc>
          <w:tcPr>
            <w:tcW w:w="737" w:type="dxa"/>
            <w:tcBorders>
              <w:left w:val="single" w:sz="6" w:space="0" w:color="auto"/>
              <w:bottom w:val="single" w:sz="6" w:space="0" w:color="auto"/>
              <w:right w:val="single" w:sz="6" w:space="0" w:color="auto"/>
            </w:tcBorders>
          </w:tcPr>
          <w:p w:rsidR="00C54AD2" w:rsidRDefault="00C54AD2" w:rsidP="00D50F2E">
            <w:pPr>
              <w:pStyle w:val="TableText0"/>
              <w:jc w:val="center"/>
              <w:rPr>
                <w:lang w:val="fr-FR"/>
              </w:rPr>
            </w:pPr>
          </w:p>
        </w:tc>
        <w:tc>
          <w:tcPr>
            <w:tcW w:w="1247" w:type="dxa"/>
            <w:tcBorders>
              <w:left w:val="single" w:sz="6" w:space="0" w:color="auto"/>
              <w:bottom w:val="single" w:sz="6" w:space="0" w:color="auto"/>
              <w:right w:val="single" w:sz="6" w:space="0" w:color="auto"/>
            </w:tcBorders>
          </w:tcPr>
          <w:p w:rsidR="00C54AD2" w:rsidRDefault="00C54AD2" w:rsidP="00D50F2E">
            <w:pPr>
              <w:pStyle w:val="TableText0"/>
              <w:jc w:val="center"/>
              <w:rPr>
                <w:i/>
                <w:lang w:val="fr-FR"/>
              </w:rPr>
            </w:pPr>
          </w:p>
        </w:tc>
        <w:tc>
          <w:tcPr>
            <w:tcW w:w="62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rPr>
                <w:lang w:val="fr-FR"/>
              </w:rPr>
            </w:pPr>
            <w:r>
              <w:rPr>
                <w:lang w:val="fr-FR"/>
              </w:rPr>
              <w:t xml:space="preserve">Fiabilité de circuit de référence pour </w:t>
            </w:r>
            <w:r>
              <w:rPr>
                <w:i/>
                <w:lang w:val="fr-FR"/>
              </w:rPr>
              <w:t>S/N &lt; S/N</w:t>
            </w:r>
            <w:r w:rsidRPr="008753F7">
              <w:rPr>
                <w:i/>
                <w:vertAlign w:val="subscript"/>
                <w:lang w:val="fr-FR"/>
              </w:rPr>
              <w:t>r</w:t>
            </w:r>
            <w:r>
              <w:rPr>
                <w:lang w:val="fr-FR"/>
              </w:rPr>
              <w:t xml:space="preserve"> (%)</w:t>
            </w:r>
          </w:p>
        </w:tc>
        <w:tc>
          <w:tcPr>
            <w:tcW w:w="5670" w:type="dxa"/>
            <w:tcBorders>
              <w:top w:val="single" w:sz="6" w:space="0" w:color="auto"/>
              <w:left w:val="single" w:sz="6" w:space="0" w:color="auto"/>
              <w:bottom w:val="single" w:sz="6" w:space="0" w:color="auto"/>
              <w:right w:val="single" w:sz="6" w:space="0" w:color="auto"/>
            </w:tcBorders>
          </w:tcPr>
          <w:p w:rsidR="00C54AD2" w:rsidRPr="002D268F" w:rsidRDefault="00C54AD2" w:rsidP="00D50F2E">
            <w:pPr>
              <w:pStyle w:val="TableText0"/>
              <w:jc w:val="center"/>
              <w:rPr>
                <w:lang w:val="fr-FR"/>
              </w:rPr>
            </w:pPr>
            <w:r w:rsidRPr="002D268F">
              <w:rPr>
                <w:lang w:val="fr-FR"/>
              </w:rPr>
              <w:t xml:space="preserve">80 / (1  </w:t>
            </w:r>
            <w:r>
              <w:rPr>
                <w:lang w:val="fr-FR"/>
              </w:rPr>
              <w:t>+</w:t>
            </w:r>
            <w:r w:rsidRPr="002D268F">
              <w:rPr>
                <w:lang w:val="fr-FR"/>
              </w:rPr>
              <w:t xml:space="preserve">  (</w:t>
            </w:r>
            <w:r w:rsidRPr="002D268F">
              <w:rPr>
                <w:i/>
                <w:lang w:val="fr-FR"/>
              </w:rPr>
              <w:t>S/N</w:t>
            </w:r>
            <w:r w:rsidRPr="00144DC5">
              <w:rPr>
                <w:i/>
                <w:vertAlign w:val="subscript"/>
                <w:lang w:val="fr-FR"/>
              </w:rPr>
              <w:t>r</w:t>
            </w:r>
            <w:r w:rsidRPr="002D268F">
              <w:rPr>
                <w:i/>
                <w:position w:val="-4"/>
                <w:sz w:val="14"/>
                <w:lang w:val="fr-FR"/>
              </w:rPr>
              <w:t xml:space="preserve">  </w:t>
            </w:r>
            <w:r w:rsidRPr="002D268F">
              <w:rPr>
                <w:lang w:val="fr-FR"/>
              </w:rPr>
              <w:t xml:space="preserve">–  </w:t>
            </w:r>
            <w:r w:rsidRPr="002D268F">
              <w:rPr>
                <w:i/>
                <w:lang w:val="fr-FR"/>
              </w:rPr>
              <w:t>S/N</w:t>
            </w:r>
            <w:r w:rsidRPr="002D268F">
              <w:rPr>
                <w:lang w:val="fr-FR"/>
              </w:rPr>
              <w:t xml:space="preserve">) / </w:t>
            </w:r>
            <w:r w:rsidRPr="002D268F">
              <w:rPr>
                <w:i/>
                <w:lang w:val="fr-FR"/>
              </w:rPr>
              <w:t>D</w:t>
            </w:r>
            <w:r w:rsidRPr="00144DC5">
              <w:rPr>
                <w:i/>
                <w:vertAlign w:val="subscript"/>
                <w:lang w:val="fr-FR"/>
              </w:rPr>
              <w:t>u</w:t>
            </w:r>
            <w:r w:rsidRPr="002D268F">
              <w:rPr>
                <w:i/>
                <w:position w:val="-4"/>
                <w:sz w:val="20"/>
                <w:lang w:val="fr-FR"/>
              </w:rPr>
              <w:t xml:space="preserve"> </w:t>
            </w:r>
            <w:r w:rsidRPr="002D268F">
              <w:rPr>
                <w:i/>
                <w:lang w:val="fr-FR"/>
              </w:rPr>
              <w:t>SN</w:t>
            </w:r>
            <w:r w:rsidRPr="002D268F">
              <w:rPr>
                <w:lang w:val="fr-FR"/>
              </w:rPr>
              <w:t>)  –  30</w:t>
            </w:r>
          </w:p>
          <w:p w:rsidR="00C54AD2" w:rsidRDefault="00C54AD2" w:rsidP="00D50F2E">
            <w:pPr>
              <w:pStyle w:val="TableText0"/>
              <w:spacing w:before="0"/>
              <w:jc w:val="center"/>
              <w:rPr>
                <w:lang w:val="fr-FR"/>
              </w:rPr>
            </w:pPr>
            <w:r>
              <w:rPr>
                <w:lang w:val="fr-FR"/>
              </w:rPr>
              <w:t>ou 0, la valeur la plus grande étant retenue</w:t>
            </w:r>
          </w:p>
        </w:tc>
      </w:tr>
    </w:tbl>
    <w:p w:rsidR="00C54AD2" w:rsidRDefault="00C54AD2" w:rsidP="00C54AD2">
      <w:pPr>
        <w:sectPr w:rsidR="00C54AD2" w:rsidSect="00D50F2E">
          <w:headerReference w:type="even" r:id="rId26"/>
          <w:headerReference w:type="default" r:id="rId27"/>
          <w:pgSz w:w="16834" w:h="11907" w:orient="landscape" w:code="9"/>
          <w:pgMar w:top="1134" w:right="1418" w:bottom="1134" w:left="1134" w:header="720" w:footer="482" w:gutter="0"/>
          <w:paperSrc w:first="15" w:other="15"/>
          <w:cols w:space="720"/>
        </w:sectPr>
      </w:pPr>
    </w:p>
    <w:p w:rsidR="00C54AD2" w:rsidRPr="00C85EF9" w:rsidRDefault="00C54AD2" w:rsidP="00C54AD2">
      <w:pPr>
        <w:pStyle w:val="TableNo"/>
        <w:spacing w:before="240"/>
        <w:rPr>
          <w:szCs w:val="24"/>
        </w:rPr>
      </w:pPr>
      <w:r w:rsidRPr="00C85EF9">
        <w:rPr>
          <w:szCs w:val="24"/>
        </w:rPr>
        <w:lastRenderedPageBreak/>
        <w:t>TABLEAU  2</w:t>
      </w:r>
    </w:p>
    <w:p w:rsidR="00C54AD2" w:rsidRPr="00C85EF9" w:rsidRDefault="00C54AD2" w:rsidP="00C54AD2">
      <w:pPr>
        <w:pStyle w:val="Tabletitle"/>
        <w:rPr>
          <w:szCs w:val="24"/>
        </w:rPr>
      </w:pPr>
      <w:r w:rsidRPr="00C85EF9">
        <w:rPr>
          <w:szCs w:val="24"/>
        </w:rPr>
        <w:t xml:space="preserve">Décile inférieur (LD) et décile supérieur (UD) des écarts par rapport </w:t>
      </w:r>
      <w:r w:rsidRPr="00C85EF9">
        <w:rPr>
          <w:szCs w:val="24"/>
        </w:rPr>
        <w:br/>
        <w:t xml:space="preserve">à la valeur médiane mensuelle prévue du champ du signal (dB), </w:t>
      </w:r>
      <w:r w:rsidRPr="00C85EF9">
        <w:rPr>
          <w:szCs w:val="24"/>
        </w:rPr>
        <w:br/>
        <w:t>provenant de la variabilité d'un jour à l'autre</w:t>
      </w:r>
    </w:p>
    <w:tbl>
      <w:tblPr>
        <w:tblW w:w="8505" w:type="dxa"/>
        <w:jc w:val="center"/>
        <w:tblLayout w:type="fixed"/>
        <w:tblLook w:val="0000" w:firstRow="0" w:lastRow="0" w:firstColumn="0" w:lastColumn="0" w:noHBand="0" w:noVBand="0"/>
      </w:tblPr>
      <w:tblGrid>
        <w:gridCol w:w="3465"/>
        <w:gridCol w:w="1260"/>
        <w:gridCol w:w="1260"/>
        <w:gridCol w:w="1260"/>
        <w:gridCol w:w="1260"/>
      </w:tblGrid>
      <w:tr w:rsidR="00C54AD2" w:rsidTr="002B5DBA">
        <w:trPr>
          <w:cantSplit/>
          <w:jc w:val="center"/>
        </w:trPr>
        <w:tc>
          <w:tcPr>
            <w:tcW w:w="3465" w:type="dxa"/>
            <w:tcBorders>
              <w:top w:val="single" w:sz="6" w:space="0" w:color="auto"/>
              <w:left w:val="single" w:sz="6" w:space="0" w:color="auto"/>
              <w:bottom w:val="single" w:sz="6" w:space="0" w:color="auto"/>
              <w:right w:val="single" w:sz="6" w:space="0" w:color="auto"/>
            </w:tcBorders>
          </w:tcPr>
          <w:p w:rsidR="00C54AD2" w:rsidRPr="00C85EF9" w:rsidRDefault="00C54AD2" w:rsidP="002B5DBA">
            <w:pPr>
              <w:pStyle w:val="Tablehead"/>
            </w:pPr>
            <w:r w:rsidRPr="00C85EF9">
              <w:t>Latitude géomagnétique</w:t>
            </w:r>
            <w:r w:rsidRPr="002B5DBA">
              <w:rPr>
                <w:vertAlign w:val="superscript"/>
              </w:rPr>
              <w:t>(1)</w:t>
            </w:r>
          </w:p>
        </w:tc>
        <w:tc>
          <w:tcPr>
            <w:tcW w:w="2520" w:type="dxa"/>
            <w:gridSpan w:val="2"/>
            <w:tcBorders>
              <w:top w:val="single" w:sz="6" w:space="0" w:color="auto"/>
            </w:tcBorders>
          </w:tcPr>
          <w:p w:rsidR="00C54AD2" w:rsidRPr="00C85EF9" w:rsidRDefault="00C54AD2" w:rsidP="00C85EF9">
            <w:pPr>
              <w:pStyle w:val="Tablehead"/>
            </w:pPr>
            <w:r w:rsidRPr="00C85EF9">
              <w:sym w:font="Symbol" w:char="F03C"/>
            </w:r>
            <w:r w:rsidRPr="00C85EF9">
              <w:t>60°</w:t>
            </w:r>
          </w:p>
        </w:tc>
        <w:tc>
          <w:tcPr>
            <w:tcW w:w="2520" w:type="dxa"/>
            <w:gridSpan w:val="2"/>
            <w:tcBorders>
              <w:top w:val="single" w:sz="6" w:space="0" w:color="auto"/>
              <w:left w:val="single" w:sz="6" w:space="0" w:color="auto"/>
              <w:bottom w:val="single" w:sz="6" w:space="0" w:color="auto"/>
              <w:right w:val="single" w:sz="6" w:space="0" w:color="auto"/>
            </w:tcBorders>
          </w:tcPr>
          <w:p w:rsidR="00C54AD2" w:rsidRPr="00C85EF9" w:rsidRDefault="00C54AD2" w:rsidP="00C85EF9">
            <w:pPr>
              <w:pStyle w:val="Tablehead"/>
            </w:pPr>
            <w:r w:rsidRPr="00C85EF9">
              <w:sym w:font="Symbol" w:char="F0B3"/>
            </w:r>
            <w:r w:rsidRPr="00C85EF9">
              <w:t>60°</w:t>
            </w:r>
          </w:p>
        </w:tc>
      </w:tr>
      <w:tr w:rsidR="00C54AD2" w:rsidTr="002B5DBA">
        <w:trPr>
          <w:cantSplit/>
          <w:jc w:val="center"/>
        </w:trPr>
        <w:tc>
          <w:tcPr>
            <w:tcW w:w="3465" w:type="dxa"/>
            <w:tcBorders>
              <w:top w:val="single" w:sz="6" w:space="0" w:color="auto"/>
              <w:left w:val="single" w:sz="6" w:space="0" w:color="auto"/>
              <w:bottom w:val="single" w:sz="6" w:space="0" w:color="auto"/>
              <w:right w:val="single" w:sz="6" w:space="0" w:color="auto"/>
            </w:tcBorders>
          </w:tcPr>
          <w:p w:rsidR="00C54AD2" w:rsidRPr="00C85EF9" w:rsidRDefault="00C54AD2" w:rsidP="00C85EF9">
            <w:pPr>
              <w:pStyle w:val="Tablehead"/>
            </w:pPr>
            <w:r w:rsidRPr="00C85EF9">
              <w:t>Fréquence d'émission/MUF de référence prévue</w:t>
            </w:r>
          </w:p>
        </w:tc>
        <w:tc>
          <w:tcPr>
            <w:tcW w:w="1260" w:type="dxa"/>
            <w:tcBorders>
              <w:top w:val="single" w:sz="6" w:space="0" w:color="auto"/>
              <w:bottom w:val="single" w:sz="6" w:space="0" w:color="auto"/>
              <w:right w:val="single" w:sz="6" w:space="0" w:color="auto"/>
            </w:tcBorders>
          </w:tcPr>
          <w:p w:rsidR="00C54AD2" w:rsidRPr="00C85EF9" w:rsidRDefault="00C54AD2" w:rsidP="00C85EF9">
            <w:pPr>
              <w:pStyle w:val="Tablehead"/>
            </w:pPr>
            <w:r w:rsidRPr="00C85EF9">
              <w:t>LD</w:t>
            </w:r>
          </w:p>
        </w:tc>
        <w:tc>
          <w:tcPr>
            <w:tcW w:w="1260" w:type="dxa"/>
            <w:tcBorders>
              <w:top w:val="single" w:sz="6" w:space="0" w:color="auto"/>
              <w:left w:val="single" w:sz="6" w:space="0" w:color="auto"/>
              <w:bottom w:val="single" w:sz="6" w:space="0" w:color="auto"/>
              <w:right w:val="single" w:sz="6" w:space="0" w:color="auto"/>
            </w:tcBorders>
          </w:tcPr>
          <w:p w:rsidR="00C54AD2" w:rsidRPr="00C85EF9" w:rsidRDefault="00C54AD2" w:rsidP="00C85EF9">
            <w:pPr>
              <w:pStyle w:val="Tablehead"/>
            </w:pPr>
            <w:r w:rsidRPr="00C85EF9">
              <w:t>UD</w:t>
            </w:r>
          </w:p>
        </w:tc>
        <w:tc>
          <w:tcPr>
            <w:tcW w:w="1260" w:type="dxa"/>
            <w:tcBorders>
              <w:top w:val="single" w:sz="6" w:space="0" w:color="auto"/>
              <w:bottom w:val="single" w:sz="6" w:space="0" w:color="auto"/>
              <w:right w:val="single" w:sz="6" w:space="0" w:color="auto"/>
            </w:tcBorders>
          </w:tcPr>
          <w:p w:rsidR="00C54AD2" w:rsidRPr="00C85EF9" w:rsidRDefault="00C54AD2" w:rsidP="00C85EF9">
            <w:pPr>
              <w:pStyle w:val="Tablehead"/>
            </w:pPr>
            <w:r w:rsidRPr="00C85EF9">
              <w:t>LD</w:t>
            </w:r>
          </w:p>
        </w:tc>
        <w:tc>
          <w:tcPr>
            <w:tcW w:w="1260" w:type="dxa"/>
            <w:tcBorders>
              <w:top w:val="single" w:sz="6" w:space="0" w:color="auto"/>
              <w:left w:val="single" w:sz="6" w:space="0" w:color="auto"/>
              <w:bottom w:val="single" w:sz="6" w:space="0" w:color="auto"/>
              <w:right w:val="single" w:sz="6" w:space="0" w:color="auto"/>
            </w:tcBorders>
          </w:tcPr>
          <w:p w:rsidR="00C54AD2" w:rsidRPr="00C85EF9" w:rsidRDefault="00C54AD2" w:rsidP="00C85EF9">
            <w:pPr>
              <w:pStyle w:val="Tablehead"/>
            </w:pPr>
            <w:r w:rsidRPr="00C85EF9">
              <w:t>UD</w:t>
            </w:r>
          </w:p>
        </w:tc>
      </w:tr>
      <w:tr w:rsidR="00C54AD2" w:rsidTr="002B5DBA">
        <w:trPr>
          <w:cantSplit/>
          <w:jc w:val="center"/>
        </w:trPr>
        <w:tc>
          <w:tcPr>
            <w:tcW w:w="3465" w:type="dxa"/>
            <w:tcBorders>
              <w:top w:val="single" w:sz="6" w:space="0" w:color="auto"/>
              <w:left w:val="single" w:sz="6" w:space="0" w:color="auto"/>
              <w:bottom w:val="single" w:sz="6" w:space="0" w:color="auto"/>
              <w:right w:val="single" w:sz="6" w:space="0" w:color="auto"/>
            </w:tcBorders>
          </w:tcPr>
          <w:p w:rsidR="00C54AD2" w:rsidRPr="00C85EF9" w:rsidRDefault="00C54AD2" w:rsidP="00D50F2E">
            <w:pPr>
              <w:pStyle w:val="Tabletext"/>
              <w:jc w:val="center"/>
              <w:rPr>
                <w:szCs w:val="22"/>
              </w:rPr>
            </w:pPr>
            <w:r w:rsidRPr="00C85EF9">
              <w:rPr>
                <w:szCs w:val="22"/>
              </w:rPr>
              <w:sym w:font="Symbol" w:char="F0A3"/>
            </w:r>
            <w:r w:rsidRPr="00C85EF9">
              <w:rPr>
                <w:szCs w:val="22"/>
              </w:rPr>
              <w:t>0,8</w:t>
            </w:r>
            <w:r w:rsidRPr="00C85EF9">
              <w:rPr>
                <w:szCs w:val="22"/>
              </w:rPr>
              <w:br/>
              <w:t>1,0</w:t>
            </w:r>
            <w:r w:rsidRPr="00C85EF9">
              <w:rPr>
                <w:szCs w:val="22"/>
              </w:rPr>
              <w:br/>
              <w:t>1,2</w:t>
            </w:r>
            <w:r w:rsidRPr="00C85EF9">
              <w:rPr>
                <w:szCs w:val="22"/>
              </w:rPr>
              <w:br/>
              <w:t>1,4</w:t>
            </w:r>
            <w:r w:rsidRPr="00C85EF9">
              <w:rPr>
                <w:szCs w:val="22"/>
              </w:rPr>
              <w:br/>
              <w:t>1,6</w:t>
            </w:r>
            <w:r w:rsidRPr="00C85EF9">
              <w:rPr>
                <w:szCs w:val="22"/>
              </w:rPr>
              <w:br/>
              <w:t>1,8</w:t>
            </w:r>
            <w:r w:rsidRPr="00C85EF9">
              <w:rPr>
                <w:szCs w:val="22"/>
              </w:rPr>
              <w:br/>
              <w:t>2,0</w:t>
            </w:r>
            <w:r w:rsidRPr="00C85EF9">
              <w:rPr>
                <w:szCs w:val="22"/>
              </w:rPr>
              <w:br/>
              <w:t>3,0</w:t>
            </w:r>
            <w:r w:rsidRPr="00C85EF9">
              <w:rPr>
                <w:szCs w:val="22"/>
              </w:rPr>
              <w:br/>
              <w:t>4,0</w:t>
            </w:r>
            <w:r w:rsidRPr="00C85EF9">
              <w:rPr>
                <w:szCs w:val="22"/>
              </w:rPr>
              <w:br/>
            </w:r>
            <w:r w:rsidRPr="00C85EF9">
              <w:rPr>
                <w:szCs w:val="22"/>
              </w:rPr>
              <w:sym w:font="Symbol" w:char="F0B3"/>
            </w:r>
            <w:r w:rsidRPr="00C85EF9">
              <w:rPr>
                <w:szCs w:val="22"/>
              </w:rPr>
              <w:t>5,0</w:t>
            </w:r>
          </w:p>
        </w:tc>
        <w:tc>
          <w:tcPr>
            <w:tcW w:w="1260" w:type="dxa"/>
            <w:tcBorders>
              <w:top w:val="single" w:sz="6" w:space="0" w:color="auto"/>
              <w:bottom w:val="single" w:sz="6" w:space="0" w:color="auto"/>
              <w:right w:val="single" w:sz="6" w:space="0" w:color="auto"/>
            </w:tcBorders>
          </w:tcPr>
          <w:p w:rsidR="00C54AD2" w:rsidRPr="00C85EF9" w:rsidRDefault="00C54AD2" w:rsidP="00D50F2E">
            <w:pPr>
              <w:pStyle w:val="Tabletext"/>
              <w:jc w:val="center"/>
              <w:rPr>
                <w:szCs w:val="22"/>
              </w:rPr>
            </w:pPr>
            <w:r w:rsidRPr="00C85EF9">
              <w:rPr>
                <w:szCs w:val="22"/>
              </w:rPr>
              <w:t>8</w:t>
            </w:r>
            <w:r w:rsidRPr="00C85EF9">
              <w:rPr>
                <w:szCs w:val="22"/>
              </w:rPr>
              <w:br/>
              <w:t>12</w:t>
            </w:r>
            <w:r w:rsidRPr="00C85EF9">
              <w:rPr>
                <w:szCs w:val="22"/>
              </w:rPr>
              <w:br/>
              <w:t>13</w:t>
            </w:r>
            <w:r w:rsidRPr="00C85EF9">
              <w:rPr>
                <w:szCs w:val="22"/>
              </w:rPr>
              <w:br/>
              <w:t>10</w:t>
            </w:r>
            <w:r w:rsidRPr="00C85EF9">
              <w:rPr>
                <w:szCs w:val="22"/>
              </w:rPr>
              <w:br/>
            </w:r>
            <w:r w:rsidRPr="00C85EF9">
              <w:rPr>
                <w:rFonts w:ascii="MS Mincho" w:eastAsia="MS Mincho" w:hAnsi="MS Mincho" w:cs="MS Mincho" w:hint="eastAsia"/>
                <w:color w:val="FFFFFF"/>
                <w:szCs w:val="22"/>
              </w:rPr>
              <w:t> </w:t>
            </w:r>
            <w:r w:rsidRPr="00C85EF9">
              <w:rPr>
                <w:szCs w:val="22"/>
              </w:rPr>
              <w:t>8</w:t>
            </w:r>
            <w:r w:rsidRPr="00C85EF9">
              <w:rPr>
                <w:szCs w:val="22"/>
              </w:rPr>
              <w:br/>
            </w:r>
            <w:r w:rsidRPr="00C85EF9">
              <w:rPr>
                <w:rFonts w:ascii="MS Mincho" w:eastAsia="MS Mincho" w:hAnsi="MS Mincho" w:cs="MS Mincho" w:hint="eastAsia"/>
                <w:color w:val="FFFFFF"/>
                <w:szCs w:val="22"/>
              </w:rPr>
              <w:t> </w:t>
            </w:r>
            <w:r w:rsidRPr="00C85EF9">
              <w:rPr>
                <w:szCs w:val="22"/>
              </w:rPr>
              <w:t>8</w:t>
            </w:r>
            <w:r w:rsidRPr="00C85EF9">
              <w:rPr>
                <w:szCs w:val="22"/>
              </w:rPr>
              <w:br/>
            </w:r>
            <w:r w:rsidRPr="00C85EF9">
              <w:rPr>
                <w:rFonts w:ascii="MS Mincho" w:eastAsia="MS Mincho" w:hAnsi="MS Mincho" w:cs="MS Mincho" w:hint="eastAsia"/>
                <w:color w:val="FFFFFF"/>
                <w:szCs w:val="22"/>
              </w:rPr>
              <w:t> </w:t>
            </w:r>
            <w:r w:rsidRPr="00C85EF9">
              <w:rPr>
                <w:szCs w:val="22"/>
              </w:rPr>
              <w:t>8</w:t>
            </w:r>
            <w:r w:rsidRPr="00C85EF9">
              <w:rPr>
                <w:szCs w:val="22"/>
              </w:rPr>
              <w:br/>
            </w:r>
            <w:r w:rsidRPr="00C85EF9">
              <w:rPr>
                <w:rFonts w:ascii="MS Mincho" w:eastAsia="MS Mincho" w:hAnsi="MS Mincho" w:cs="MS Mincho" w:hint="eastAsia"/>
                <w:color w:val="FFFFFF"/>
                <w:szCs w:val="22"/>
              </w:rPr>
              <w:t> </w:t>
            </w:r>
            <w:r w:rsidRPr="00C85EF9">
              <w:rPr>
                <w:szCs w:val="22"/>
              </w:rPr>
              <w:t>7</w:t>
            </w:r>
            <w:r w:rsidRPr="00C85EF9">
              <w:rPr>
                <w:szCs w:val="22"/>
              </w:rPr>
              <w:br/>
            </w:r>
            <w:r w:rsidRPr="00C85EF9">
              <w:rPr>
                <w:rFonts w:ascii="MS Mincho" w:eastAsia="MS Mincho" w:hAnsi="MS Mincho" w:cs="MS Mincho" w:hint="eastAsia"/>
                <w:color w:val="FFFFFF"/>
                <w:szCs w:val="22"/>
              </w:rPr>
              <w:t> </w:t>
            </w:r>
            <w:r w:rsidRPr="00C85EF9">
              <w:rPr>
                <w:szCs w:val="22"/>
              </w:rPr>
              <w:t>6</w:t>
            </w:r>
            <w:r w:rsidRPr="00C85EF9">
              <w:rPr>
                <w:szCs w:val="22"/>
              </w:rPr>
              <w:br/>
            </w:r>
            <w:r w:rsidRPr="00C85EF9">
              <w:rPr>
                <w:rFonts w:ascii="MS Mincho" w:eastAsia="MS Mincho" w:hAnsi="MS Mincho" w:cs="MS Mincho" w:hint="eastAsia"/>
                <w:color w:val="FFFFFF"/>
                <w:szCs w:val="22"/>
              </w:rPr>
              <w:t> </w:t>
            </w:r>
            <w:r w:rsidRPr="00C85EF9">
              <w:rPr>
                <w:szCs w:val="22"/>
              </w:rPr>
              <w:t>5</w:t>
            </w:r>
          </w:p>
        </w:tc>
        <w:tc>
          <w:tcPr>
            <w:tcW w:w="1260" w:type="dxa"/>
            <w:tcBorders>
              <w:top w:val="single" w:sz="6" w:space="0" w:color="auto"/>
              <w:left w:val="single" w:sz="6" w:space="0" w:color="auto"/>
              <w:bottom w:val="single" w:sz="6" w:space="0" w:color="auto"/>
              <w:right w:val="single" w:sz="6" w:space="0" w:color="auto"/>
            </w:tcBorders>
          </w:tcPr>
          <w:p w:rsidR="00C54AD2" w:rsidRPr="00C85EF9" w:rsidRDefault="00C54AD2" w:rsidP="00D50F2E">
            <w:pPr>
              <w:pStyle w:val="Tabletext"/>
              <w:jc w:val="center"/>
              <w:rPr>
                <w:szCs w:val="22"/>
              </w:rPr>
            </w:pPr>
            <w:r w:rsidRPr="00C85EF9">
              <w:rPr>
                <w:szCs w:val="22"/>
              </w:rPr>
              <w:t>6</w:t>
            </w:r>
            <w:r w:rsidRPr="00C85EF9">
              <w:rPr>
                <w:szCs w:val="22"/>
              </w:rPr>
              <w:br/>
            </w:r>
            <w:r w:rsidRPr="00C85EF9">
              <w:rPr>
                <w:rFonts w:ascii="MS Mincho" w:eastAsia="MS Mincho" w:hAnsi="MS Mincho" w:cs="MS Mincho" w:hint="eastAsia"/>
                <w:color w:val="FFFFFF"/>
                <w:szCs w:val="22"/>
              </w:rPr>
              <w:t> </w:t>
            </w:r>
            <w:r w:rsidRPr="00C85EF9">
              <w:rPr>
                <w:szCs w:val="22"/>
              </w:rPr>
              <w:t>8</w:t>
            </w:r>
            <w:r w:rsidRPr="00C85EF9">
              <w:rPr>
                <w:szCs w:val="22"/>
              </w:rPr>
              <w:br/>
              <w:t>12</w:t>
            </w:r>
            <w:r w:rsidRPr="00C85EF9">
              <w:rPr>
                <w:szCs w:val="22"/>
              </w:rPr>
              <w:br/>
              <w:t>13</w:t>
            </w:r>
            <w:r w:rsidRPr="00C85EF9">
              <w:rPr>
                <w:szCs w:val="22"/>
              </w:rPr>
              <w:br/>
              <w:t>12</w:t>
            </w:r>
            <w:r w:rsidRPr="00C85EF9">
              <w:rPr>
                <w:szCs w:val="22"/>
              </w:rPr>
              <w:br/>
            </w:r>
            <w:r w:rsidRPr="00C85EF9">
              <w:rPr>
                <w:rFonts w:ascii="MS Mincho" w:eastAsia="MS Mincho" w:hAnsi="MS Mincho" w:cs="MS Mincho" w:hint="eastAsia"/>
                <w:color w:val="FFFFFF"/>
                <w:szCs w:val="22"/>
              </w:rPr>
              <w:t> </w:t>
            </w:r>
            <w:r w:rsidRPr="00C85EF9">
              <w:rPr>
                <w:szCs w:val="22"/>
              </w:rPr>
              <w:t>9</w:t>
            </w:r>
            <w:r w:rsidRPr="00C85EF9">
              <w:rPr>
                <w:szCs w:val="22"/>
              </w:rPr>
              <w:br/>
            </w:r>
            <w:r w:rsidRPr="00C85EF9">
              <w:rPr>
                <w:rFonts w:ascii="MS Mincho" w:eastAsia="MS Mincho" w:hAnsi="MS Mincho" w:cs="MS Mincho" w:hint="eastAsia"/>
                <w:color w:val="FFFFFF"/>
                <w:szCs w:val="22"/>
              </w:rPr>
              <w:t> </w:t>
            </w:r>
            <w:r w:rsidRPr="00C85EF9">
              <w:rPr>
                <w:szCs w:val="22"/>
              </w:rPr>
              <w:t>9</w:t>
            </w:r>
            <w:r w:rsidRPr="00C85EF9">
              <w:rPr>
                <w:szCs w:val="22"/>
              </w:rPr>
              <w:br/>
            </w:r>
            <w:r w:rsidRPr="00C85EF9">
              <w:rPr>
                <w:rFonts w:ascii="MS Mincho" w:eastAsia="MS Mincho" w:hAnsi="MS Mincho" w:cs="MS Mincho" w:hint="eastAsia"/>
                <w:color w:val="FFFFFF"/>
                <w:szCs w:val="22"/>
              </w:rPr>
              <w:t> </w:t>
            </w:r>
            <w:r w:rsidRPr="00C85EF9">
              <w:rPr>
                <w:szCs w:val="22"/>
              </w:rPr>
              <w:t>8</w:t>
            </w:r>
            <w:r w:rsidRPr="00C85EF9">
              <w:rPr>
                <w:szCs w:val="22"/>
              </w:rPr>
              <w:br/>
            </w:r>
            <w:r w:rsidRPr="00C85EF9">
              <w:rPr>
                <w:rFonts w:ascii="MS Mincho" w:eastAsia="MS Mincho" w:hAnsi="MS Mincho" w:cs="MS Mincho" w:hint="eastAsia"/>
                <w:color w:val="FFFFFF"/>
                <w:szCs w:val="22"/>
              </w:rPr>
              <w:t> </w:t>
            </w:r>
            <w:r w:rsidRPr="00C85EF9">
              <w:rPr>
                <w:szCs w:val="22"/>
              </w:rPr>
              <w:t>7</w:t>
            </w:r>
            <w:r w:rsidRPr="00C85EF9">
              <w:rPr>
                <w:szCs w:val="22"/>
              </w:rPr>
              <w:br/>
            </w:r>
            <w:r w:rsidRPr="00C85EF9">
              <w:rPr>
                <w:rFonts w:ascii="MS Mincho" w:eastAsia="MS Mincho" w:hAnsi="MS Mincho" w:cs="MS Mincho" w:hint="eastAsia"/>
                <w:color w:val="FFFFFF"/>
                <w:szCs w:val="22"/>
              </w:rPr>
              <w:t> </w:t>
            </w:r>
            <w:r w:rsidRPr="00C85EF9">
              <w:rPr>
                <w:szCs w:val="22"/>
              </w:rPr>
              <w:t>7</w:t>
            </w:r>
          </w:p>
        </w:tc>
        <w:tc>
          <w:tcPr>
            <w:tcW w:w="1260" w:type="dxa"/>
            <w:tcBorders>
              <w:top w:val="single" w:sz="6" w:space="0" w:color="auto"/>
              <w:bottom w:val="single" w:sz="6" w:space="0" w:color="auto"/>
              <w:right w:val="single" w:sz="6" w:space="0" w:color="auto"/>
            </w:tcBorders>
          </w:tcPr>
          <w:p w:rsidR="00C54AD2" w:rsidRPr="00C85EF9" w:rsidRDefault="00C54AD2" w:rsidP="00D50F2E">
            <w:pPr>
              <w:pStyle w:val="Tabletext"/>
              <w:jc w:val="center"/>
              <w:rPr>
                <w:szCs w:val="22"/>
              </w:rPr>
            </w:pPr>
            <w:r w:rsidRPr="00C85EF9">
              <w:rPr>
                <w:szCs w:val="22"/>
              </w:rPr>
              <w:t>11</w:t>
            </w:r>
            <w:r w:rsidRPr="00C85EF9">
              <w:rPr>
                <w:szCs w:val="22"/>
              </w:rPr>
              <w:br/>
              <w:t>16</w:t>
            </w:r>
            <w:r w:rsidRPr="00C85EF9">
              <w:rPr>
                <w:szCs w:val="22"/>
              </w:rPr>
              <w:br/>
              <w:t>17</w:t>
            </w:r>
            <w:r w:rsidRPr="00C85EF9">
              <w:rPr>
                <w:szCs w:val="22"/>
              </w:rPr>
              <w:br/>
              <w:t>13</w:t>
            </w:r>
            <w:r w:rsidRPr="00C85EF9">
              <w:rPr>
                <w:szCs w:val="22"/>
              </w:rPr>
              <w:br/>
              <w:t>11</w:t>
            </w:r>
            <w:r w:rsidRPr="00C85EF9">
              <w:rPr>
                <w:szCs w:val="22"/>
              </w:rPr>
              <w:br/>
              <w:t>11</w:t>
            </w:r>
            <w:r w:rsidRPr="00C85EF9">
              <w:rPr>
                <w:szCs w:val="22"/>
              </w:rPr>
              <w:br/>
              <w:t>11</w:t>
            </w:r>
            <w:r w:rsidRPr="00C85EF9">
              <w:rPr>
                <w:szCs w:val="22"/>
              </w:rPr>
              <w:br/>
            </w:r>
            <w:r w:rsidRPr="00C85EF9">
              <w:rPr>
                <w:rFonts w:ascii="MS Mincho" w:eastAsia="MS Mincho" w:hAnsi="MS Mincho" w:cs="MS Mincho" w:hint="eastAsia"/>
                <w:color w:val="FFFFFF"/>
                <w:szCs w:val="22"/>
              </w:rPr>
              <w:t> </w:t>
            </w:r>
            <w:r w:rsidRPr="00C85EF9">
              <w:rPr>
                <w:szCs w:val="22"/>
              </w:rPr>
              <w:t>9</w:t>
            </w:r>
            <w:r w:rsidRPr="00C85EF9">
              <w:rPr>
                <w:szCs w:val="22"/>
              </w:rPr>
              <w:br/>
            </w:r>
            <w:r w:rsidRPr="00C85EF9">
              <w:rPr>
                <w:rFonts w:ascii="MS Mincho" w:eastAsia="MS Mincho" w:hAnsi="MS Mincho" w:cs="MS Mincho" w:hint="eastAsia"/>
                <w:color w:val="FFFFFF"/>
                <w:szCs w:val="22"/>
              </w:rPr>
              <w:t> </w:t>
            </w:r>
            <w:r w:rsidRPr="00C85EF9">
              <w:rPr>
                <w:szCs w:val="22"/>
              </w:rPr>
              <w:t>8</w:t>
            </w:r>
            <w:r w:rsidRPr="00C85EF9">
              <w:rPr>
                <w:szCs w:val="22"/>
              </w:rPr>
              <w:br/>
            </w:r>
            <w:r w:rsidRPr="00C85EF9">
              <w:rPr>
                <w:rFonts w:ascii="MS Mincho" w:eastAsia="MS Mincho" w:hAnsi="MS Mincho" w:cs="MS Mincho" w:hint="eastAsia"/>
                <w:color w:val="FFFFFF"/>
                <w:szCs w:val="22"/>
              </w:rPr>
              <w:t> </w:t>
            </w:r>
            <w:r w:rsidRPr="00C85EF9">
              <w:rPr>
                <w:szCs w:val="22"/>
              </w:rPr>
              <w:t>7</w:t>
            </w:r>
          </w:p>
        </w:tc>
        <w:tc>
          <w:tcPr>
            <w:tcW w:w="1260" w:type="dxa"/>
            <w:tcBorders>
              <w:top w:val="single" w:sz="6" w:space="0" w:color="auto"/>
              <w:left w:val="single" w:sz="6" w:space="0" w:color="auto"/>
              <w:bottom w:val="single" w:sz="6" w:space="0" w:color="auto"/>
              <w:right w:val="single" w:sz="6" w:space="0" w:color="auto"/>
            </w:tcBorders>
          </w:tcPr>
          <w:p w:rsidR="00C54AD2" w:rsidRPr="00C85EF9" w:rsidRDefault="00C54AD2" w:rsidP="00D50F2E">
            <w:pPr>
              <w:pStyle w:val="Tabletext"/>
              <w:jc w:val="center"/>
              <w:rPr>
                <w:szCs w:val="22"/>
              </w:rPr>
            </w:pPr>
            <w:r w:rsidRPr="00C85EF9">
              <w:rPr>
                <w:szCs w:val="22"/>
              </w:rPr>
              <w:t>9</w:t>
            </w:r>
            <w:r w:rsidRPr="00C85EF9">
              <w:rPr>
                <w:szCs w:val="22"/>
              </w:rPr>
              <w:br/>
              <w:t>11</w:t>
            </w:r>
            <w:r w:rsidRPr="00C85EF9">
              <w:rPr>
                <w:szCs w:val="22"/>
              </w:rPr>
              <w:br/>
              <w:t>12</w:t>
            </w:r>
            <w:r w:rsidRPr="00C85EF9">
              <w:rPr>
                <w:szCs w:val="22"/>
              </w:rPr>
              <w:br/>
              <w:t>13</w:t>
            </w:r>
            <w:r w:rsidRPr="00C85EF9">
              <w:rPr>
                <w:szCs w:val="22"/>
              </w:rPr>
              <w:br/>
              <w:t>12</w:t>
            </w:r>
            <w:r w:rsidRPr="00C85EF9">
              <w:rPr>
                <w:szCs w:val="22"/>
              </w:rPr>
              <w:br/>
            </w:r>
            <w:r w:rsidRPr="00C85EF9">
              <w:rPr>
                <w:rFonts w:ascii="MS Mincho" w:eastAsia="MS Mincho" w:hAnsi="MS Mincho" w:cs="MS Mincho" w:hint="eastAsia"/>
                <w:color w:val="FFFFFF"/>
                <w:szCs w:val="22"/>
              </w:rPr>
              <w:t> </w:t>
            </w:r>
            <w:r w:rsidRPr="00C85EF9">
              <w:rPr>
                <w:szCs w:val="22"/>
              </w:rPr>
              <w:t>9</w:t>
            </w:r>
            <w:r w:rsidRPr="00C85EF9">
              <w:rPr>
                <w:szCs w:val="22"/>
              </w:rPr>
              <w:br/>
            </w:r>
            <w:r w:rsidRPr="00C85EF9">
              <w:rPr>
                <w:rFonts w:ascii="MS Mincho" w:eastAsia="MS Mincho" w:hAnsi="MS Mincho" w:cs="MS Mincho" w:hint="eastAsia"/>
                <w:color w:val="FFFFFF"/>
                <w:szCs w:val="22"/>
              </w:rPr>
              <w:t> </w:t>
            </w:r>
            <w:r w:rsidRPr="00C85EF9">
              <w:rPr>
                <w:szCs w:val="22"/>
              </w:rPr>
              <w:t>9</w:t>
            </w:r>
            <w:r w:rsidRPr="00C85EF9">
              <w:rPr>
                <w:szCs w:val="22"/>
              </w:rPr>
              <w:br/>
            </w:r>
            <w:r w:rsidRPr="00C85EF9">
              <w:rPr>
                <w:rFonts w:ascii="MS Mincho" w:eastAsia="MS Mincho" w:hAnsi="MS Mincho" w:cs="MS Mincho" w:hint="eastAsia"/>
                <w:color w:val="FFFFFF"/>
                <w:szCs w:val="22"/>
              </w:rPr>
              <w:t> </w:t>
            </w:r>
            <w:r w:rsidRPr="00C85EF9">
              <w:rPr>
                <w:szCs w:val="22"/>
              </w:rPr>
              <w:t>8</w:t>
            </w:r>
            <w:r w:rsidRPr="00C85EF9">
              <w:rPr>
                <w:szCs w:val="22"/>
              </w:rPr>
              <w:br/>
            </w:r>
            <w:r w:rsidRPr="00C85EF9">
              <w:rPr>
                <w:rFonts w:ascii="MS Mincho" w:eastAsia="MS Mincho" w:hAnsi="MS Mincho" w:cs="MS Mincho" w:hint="eastAsia"/>
                <w:color w:val="FFFFFF"/>
                <w:szCs w:val="22"/>
              </w:rPr>
              <w:t> </w:t>
            </w:r>
            <w:r w:rsidRPr="00C85EF9">
              <w:rPr>
                <w:szCs w:val="22"/>
              </w:rPr>
              <w:t>7</w:t>
            </w:r>
            <w:r w:rsidRPr="00C85EF9">
              <w:rPr>
                <w:szCs w:val="22"/>
              </w:rPr>
              <w:br/>
            </w:r>
            <w:r w:rsidRPr="00C85EF9">
              <w:rPr>
                <w:rFonts w:ascii="MS Mincho" w:eastAsia="MS Mincho" w:hAnsi="MS Mincho" w:cs="MS Mincho" w:hint="eastAsia"/>
                <w:color w:val="FFFFFF"/>
                <w:szCs w:val="22"/>
              </w:rPr>
              <w:t> </w:t>
            </w:r>
            <w:r w:rsidRPr="00C85EF9">
              <w:rPr>
                <w:szCs w:val="22"/>
              </w:rPr>
              <w:t>7</w:t>
            </w:r>
          </w:p>
        </w:tc>
      </w:tr>
      <w:tr w:rsidR="00C54AD2" w:rsidTr="002B5DBA">
        <w:tblPrEx>
          <w:tblBorders>
            <w:top w:val="single" w:sz="6" w:space="0" w:color="auto"/>
          </w:tblBorders>
        </w:tblPrEx>
        <w:trPr>
          <w:cantSplit/>
          <w:jc w:val="center"/>
        </w:trPr>
        <w:tc>
          <w:tcPr>
            <w:tcW w:w="8505" w:type="dxa"/>
            <w:gridSpan w:val="5"/>
          </w:tcPr>
          <w:p w:rsidR="00C54AD2" w:rsidRPr="00CE5BC5" w:rsidRDefault="00C54AD2" w:rsidP="00D50F2E">
            <w:pPr>
              <w:pStyle w:val="Tablelegend"/>
              <w:rPr>
                <w:szCs w:val="22"/>
              </w:rPr>
            </w:pPr>
            <w:r w:rsidRPr="00CE5BC5">
              <w:rPr>
                <w:szCs w:val="22"/>
                <w:vertAlign w:val="superscript"/>
              </w:rPr>
              <w:t>(1)</w:t>
            </w:r>
            <w:r w:rsidRPr="00CE5BC5">
              <w:rPr>
                <w:szCs w:val="22"/>
              </w:rPr>
              <w:tab/>
              <w:t>Si un point quelconque de cette partie du grand cercle qui passe par l'émetteur et par le récepteur et qui se trouve entre les points directeurs situés à 1</w:t>
            </w:r>
            <w:r w:rsidRPr="00CE5BC5">
              <w:rPr>
                <w:rFonts w:ascii="Tms Rmn" w:hAnsi="Tms Rmn"/>
                <w:szCs w:val="22"/>
              </w:rPr>
              <w:t> </w:t>
            </w:r>
            <w:r w:rsidRPr="00CE5BC5">
              <w:rPr>
                <w:szCs w:val="22"/>
              </w:rPr>
              <w:t>000 km de chaque extrémité du trajet atteint une latitude géomagnétique de 60° ou plus, il faut utiliser les valeurs correspondantes aux latitudes supérieures ou égales à 60° (voir la Recommandation UIT-R P.1239, Fig. 2).</w:t>
            </w:r>
          </w:p>
        </w:tc>
      </w:tr>
    </w:tbl>
    <w:p w:rsidR="002B5DBA" w:rsidRPr="008B7DB6" w:rsidRDefault="002B5DBA" w:rsidP="002B5DBA">
      <w:pPr>
        <w:pStyle w:val="Tablefin"/>
        <w:rPr>
          <w:lang w:val="fr-CH"/>
        </w:rPr>
      </w:pPr>
      <w:bookmarkStart w:id="8" w:name="dsgno"/>
      <w:bookmarkStart w:id="9" w:name="_Toc108939203"/>
      <w:bookmarkEnd w:id="8"/>
    </w:p>
    <w:p w:rsidR="00C54AD2" w:rsidRPr="00CE5BC5" w:rsidRDefault="00C54AD2" w:rsidP="00CE5BC5">
      <w:pPr>
        <w:pStyle w:val="Heading1"/>
      </w:pPr>
      <w:r w:rsidRPr="00CE5BC5">
        <w:t>5</w:t>
      </w:r>
      <w:r w:rsidRPr="00CE5BC5">
        <w:tab/>
        <w:t xml:space="preserve">Fiabilité de service de référence (BSR, </w:t>
      </w:r>
      <w:r w:rsidRPr="002B5DBA">
        <w:rPr>
          <w:i/>
          <w:iCs/>
        </w:rPr>
        <w:t>basic service reliability</w:t>
      </w:r>
      <w:r w:rsidRPr="00CE5BC5">
        <w:t>)</w:t>
      </w:r>
      <w:bookmarkEnd w:id="9"/>
    </w:p>
    <w:p w:rsidR="00C54AD2" w:rsidRDefault="00C54AD2" w:rsidP="00C54AD2">
      <w:r>
        <w:t>La détermination de la BSR implique l'utilisation de points de mesure à l'intérieur de la zone de service requise. La BSR est la valeur de la BRR dépassée par un pourcentage requis de points de mesure.</w:t>
      </w:r>
    </w:p>
    <w:p w:rsidR="00C54AD2" w:rsidRPr="00CE5BC5" w:rsidRDefault="00C54AD2" w:rsidP="00CE5BC5">
      <w:pPr>
        <w:pStyle w:val="Heading1"/>
      </w:pPr>
      <w:bookmarkStart w:id="10" w:name="_Toc108939204"/>
      <w:r w:rsidRPr="00CE5BC5">
        <w:t>6</w:t>
      </w:r>
      <w:r w:rsidRPr="00CE5BC5">
        <w:tab/>
        <w:t>Calcul des fiabilités de circuit globale, de réception et de service</w:t>
      </w:r>
      <w:bookmarkEnd w:id="10"/>
    </w:p>
    <w:p w:rsidR="00C54AD2" w:rsidRDefault="00C54AD2" w:rsidP="00C54AD2">
      <w:r>
        <w:t xml:space="preserve">Le calcul de la fiabilité de circuit globale (OCR, </w:t>
      </w:r>
      <w:r>
        <w:rPr>
          <w:i/>
        </w:rPr>
        <w:t>overall circuit reliability</w:t>
      </w:r>
      <w:r>
        <w:t xml:space="preserve">) est identique à celui de la BCR, si ce n'est que les puissances reçues en provenance d'émetteurs potentiellement brouilleurs sont additionnées et comparées au signal disponible pour déterminer la distribution au cours d'une heure et d'un jour à l'autre des rapports signal/brouillage </w:t>
      </w:r>
      <w:r>
        <w:rPr>
          <w:i/>
        </w:rPr>
        <w:t>S</w:t>
      </w:r>
      <w:r>
        <w:t>/</w:t>
      </w:r>
      <w:r>
        <w:rPr>
          <w:i/>
        </w:rPr>
        <w:t>I</w:t>
      </w:r>
      <w:r>
        <w:t xml:space="preserve"> médians horaires. Cette distribution est entrée avec le rapport </w:t>
      </w:r>
      <w:r>
        <w:rPr>
          <w:i/>
        </w:rPr>
        <w:t>S</w:t>
      </w:r>
      <w:r>
        <w:t>/</w:t>
      </w:r>
      <w:r>
        <w:rPr>
          <w:i/>
        </w:rPr>
        <w:t>I</w:t>
      </w:r>
      <w:r>
        <w:t xml:space="preserve"> médian horaire requis pour la qualité de fonctionnement spécifiée afin de déterminer le pourcentage du temps au cours du mois pendant lequel on peut espérer que le circuit fonctionnera de façon satisfaisante en présence de brouillage seulement. Ce pourcentage est comparé avec la BCR, et la OCR est le plus faible de ces pourcentages.</w:t>
      </w:r>
    </w:p>
    <w:p w:rsidR="00C54AD2" w:rsidRDefault="00C54AD2" w:rsidP="00C54AD2">
      <w:r>
        <w:t xml:space="preserve">Avec des méthodes similaires à celles appliquées pour le calcul des fiabilités de réception et de service de référence à partir des rapports </w:t>
      </w:r>
      <w:r>
        <w:rPr>
          <w:i/>
        </w:rPr>
        <w:t>S</w:t>
      </w:r>
      <w:r>
        <w:t>/</w:t>
      </w:r>
      <w:r>
        <w:rPr>
          <w:i/>
        </w:rPr>
        <w:t>N</w:t>
      </w:r>
      <w:r>
        <w:t xml:space="preserve">, on peut calculer les fiabilités de réception et de service globales à partir des distributions présumées des rapports </w:t>
      </w:r>
      <w:r>
        <w:rPr>
          <w:i/>
        </w:rPr>
        <w:t>S</w:t>
      </w:r>
      <w:r>
        <w:t>/</w:t>
      </w:r>
      <w:r>
        <w:rPr>
          <w:i/>
        </w:rPr>
        <w:t>I</w:t>
      </w:r>
      <w:r>
        <w:t xml:space="preserve"> médians horaires (voir le Tableau 3). On peut trouver le rapport de protection RF requis à l'Etape 3 dans la Recommandation UIT-R F.240 pour le service fixe et dans la Recommandation UIT-R BS.560 pour le service de radiodiffusion.</w:t>
      </w:r>
    </w:p>
    <w:p w:rsidR="00C54AD2" w:rsidRDefault="00C54AD2" w:rsidP="00C54AD2">
      <w:pPr>
        <w:pStyle w:val="Heading1"/>
      </w:pPr>
      <w:bookmarkStart w:id="11" w:name="_Toc108939205"/>
      <w:r>
        <w:lastRenderedPageBreak/>
        <w:t>7</w:t>
      </w:r>
      <w:r>
        <w:tab/>
        <w:t>Estimation de la fiabilité dans les réseaux à ondes décamétriques</w:t>
      </w:r>
      <w:bookmarkEnd w:id="11"/>
    </w:p>
    <w:p w:rsidR="00C54AD2" w:rsidRDefault="00C54AD2" w:rsidP="00C54AD2">
      <w:r>
        <w:t>Dans les réseaux où existent de nombreux circuits entre les terminaux, on peut utiliser les fiabilités de trajet ou des communications (voir la Fig. 1).</w:t>
      </w:r>
    </w:p>
    <w:p w:rsidR="00C54AD2" w:rsidRDefault="00C54AD2" w:rsidP="00C54AD2">
      <w:pPr>
        <w:sectPr w:rsidR="00C54AD2" w:rsidSect="00D50F2E">
          <w:headerReference w:type="even" r:id="rId28"/>
          <w:headerReference w:type="default" r:id="rId29"/>
          <w:pgSz w:w="11907" w:h="16834" w:code="9"/>
          <w:pgMar w:top="1418" w:right="1134" w:bottom="1134" w:left="1134" w:header="720" w:footer="482" w:gutter="0"/>
          <w:paperSrc w:first="15" w:other="15"/>
          <w:cols w:space="720"/>
        </w:sectPr>
      </w:pPr>
    </w:p>
    <w:p w:rsidR="00C54AD2" w:rsidRPr="00CE5BC5" w:rsidRDefault="00C54AD2" w:rsidP="00C54AD2">
      <w:pPr>
        <w:pStyle w:val="TableNo"/>
        <w:spacing w:before="120"/>
        <w:rPr>
          <w:szCs w:val="24"/>
        </w:rPr>
      </w:pPr>
      <w:r w:rsidRPr="00CE5BC5">
        <w:rPr>
          <w:szCs w:val="24"/>
        </w:rPr>
        <w:lastRenderedPageBreak/>
        <w:t>TABLEAU  3</w:t>
      </w:r>
    </w:p>
    <w:p w:rsidR="00C54AD2" w:rsidRPr="00CE5BC5" w:rsidRDefault="00C54AD2" w:rsidP="00C54AD2">
      <w:pPr>
        <w:pStyle w:val="Tabletitle"/>
        <w:rPr>
          <w:szCs w:val="24"/>
        </w:rPr>
      </w:pPr>
      <w:r w:rsidRPr="00CE5BC5">
        <w:rPr>
          <w:szCs w:val="24"/>
        </w:rPr>
        <w:t>Calcul de la fiabilité de circuit globale (OCR)</w:t>
      </w:r>
    </w:p>
    <w:p w:rsidR="00C54AD2" w:rsidRDefault="00C54AD2" w:rsidP="00C54AD2">
      <w:pPr>
        <w:pStyle w:val="Blanc"/>
        <w:rPr>
          <w:lang w:val="fr-FR"/>
        </w:rPr>
      </w:pPr>
    </w:p>
    <w:tbl>
      <w:tblPr>
        <w:tblW w:w="0" w:type="auto"/>
        <w:jc w:val="center"/>
        <w:tblLayout w:type="fixed"/>
        <w:tblCellMar>
          <w:left w:w="107" w:type="dxa"/>
          <w:right w:w="107" w:type="dxa"/>
        </w:tblCellMar>
        <w:tblLook w:val="0000" w:firstRow="0" w:lastRow="0" w:firstColumn="0" w:lastColumn="0" w:noHBand="0" w:noVBand="0"/>
      </w:tblPr>
      <w:tblGrid>
        <w:gridCol w:w="737"/>
        <w:gridCol w:w="1191"/>
        <w:gridCol w:w="6350"/>
        <w:gridCol w:w="6464"/>
      </w:tblGrid>
      <w:tr w:rsidR="00C54AD2" w:rsidTr="00D50F2E">
        <w:trPr>
          <w:cantSplit/>
          <w:jc w:val="center"/>
        </w:trPr>
        <w:tc>
          <w:tcPr>
            <w:tcW w:w="737"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Etape</w:t>
            </w:r>
          </w:p>
        </w:tc>
        <w:tc>
          <w:tcPr>
            <w:tcW w:w="1191"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Paramètre</w:t>
            </w:r>
          </w:p>
        </w:tc>
        <w:tc>
          <w:tcPr>
            <w:tcW w:w="6350"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Description du paramètre</w:t>
            </w:r>
          </w:p>
        </w:tc>
        <w:tc>
          <w:tcPr>
            <w:tcW w:w="6464"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Source de la valeur du paramètre</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1</w:t>
            </w:r>
          </w:p>
        </w:tc>
        <w:tc>
          <w:tcPr>
            <w:tcW w:w="1191"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i/>
                <w:lang w:val="fr-FR"/>
              </w:rPr>
              <w:t>S</w:t>
            </w:r>
          </w:p>
        </w:tc>
        <w:tc>
          <w:tcPr>
            <w:tcW w:w="6350" w:type="dxa"/>
            <w:tcBorders>
              <w:top w:val="single" w:sz="6" w:space="0" w:color="auto"/>
              <w:left w:val="single" w:sz="6" w:space="0" w:color="auto"/>
              <w:right w:val="single" w:sz="6" w:space="0" w:color="auto"/>
            </w:tcBorders>
          </w:tcPr>
          <w:p w:rsidR="00C54AD2" w:rsidRDefault="00C54AD2" w:rsidP="00D50F2E">
            <w:pPr>
              <w:pStyle w:val="TableText0"/>
              <w:spacing w:before="60" w:after="60"/>
              <w:rPr>
                <w:lang w:val="fr-FR"/>
              </w:rPr>
            </w:pPr>
            <w:r>
              <w:rPr>
                <w:lang w:val="fr-FR"/>
              </w:rPr>
              <w:t>Puissance médiane du bruit disponible à l'entrée du récepteur du signal utile (dBW)</w:t>
            </w:r>
          </w:p>
        </w:tc>
        <w:tc>
          <w:tcPr>
            <w:tcW w:w="6464"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Méthode de prévision</w:t>
            </w:r>
            <w:r>
              <w:rPr>
                <w:lang w:val="fr-FR"/>
              </w:rPr>
              <w:br/>
            </w:r>
            <w:r>
              <w:rPr>
                <w:i/>
                <w:lang w:val="fr-FR"/>
              </w:rPr>
              <w:t>P</w:t>
            </w:r>
            <w:r w:rsidRPr="00144DC5">
              <w:rPr>
                <w:i/>
                <w:vertAlign w:val="subscript"/>
                <w:lang w:val="fr-FR"/>
              </w:rPr>
              <w:t>r</w:t>
            </w:r>
            <w:r>
              <w:rPr>
                <w:lang w:val="fr-FR"/>
              </w:rPr>
              <w:t xml:space="preserve"> au § 6 de la Rec. UIT-R P.533</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en-US"/>
              </w:rPr>
            </w:pPr>
            <w:r>
              <w:rPr>
                <w:lang w:val="en-US"/>
              </w:rPr>
              <w:t>2</w:t>
            </w:r>
          </w:p>
        </w:tc>
        <w:tc>
          <w:tcPr>
            <w:tcW w:w="1191"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en-US"/>
              </w:rPr>
            </w:pPr>
            <w:r>
              <w:rPr>
                <w:i/>
                <w:lang w:val="en-US"/>
              </w:rPr>
              <w:t>I</w:t>
            </w:r>
            <w:r w:rsidRPr="00F9630D">
              <w:rPr>
                <w:vertAlign w:val="subscript"/>
              </w:rPr>
              <w:t>1</w:t>
            </w:r>
            <w:r>
              <w:rPr>
                <w:lang w:val="en-US"/>
              </w:rPr>
              <w:t>,</w:t>
            </w:r>
            <w:r>
              <w:rPr>
                <w:rFonts w:ascii="Tms Rmn" w:hAnsi="Tms Rmn"/>
                <w:sz w:val="12"/>
                <w:lang w:val="en-US"/>
              </w:rPr>
              <w:t> </w:t>
            </w:r>
            <w:r>
              <w:rPr>
                <w:i/>
                <w:lang w:val="en-US"/>
              </w:rPr>
              <w:t>I</w:t>
            </w:r>
            <w:r w:rsidRPr="00F9630D">
              <w:rPr>
                <w:vertAlign w:val="subscript"/>
              </w:rPr>
              <w:t>2</w:t>
            </w:r>
            <w:r>
              <w:rPr>
                <w:lang w:val="en-US"/>
              </w:rPr>
              <w:t>,</w:t>
            </w:r>
            <w:r>
              <w:rPr>
                <w:rFonts w:ascii="Tms Rmn" w:hAnsi="Tms Rmn"/>
                <w:sz w:val="12"/>
                <w:lang w:val="en-US"/>
              </w:rPr>
              <w:t> </w:t>
            </w:r>
            <w:r>
              <w:rPr>
                <w:lang w:val="en-US"/>
              </w:rPr>
              <w:t>...,</w:t>
            </w:r>
            <w:r>
              <w:rPr>
                <w:rFonts w:ascii="Tms Rmn" w:hAnsi="Tms Rmn"/>
                <w:sz w:val="12"/>
                <w:lang w:val="en-US"/>
              </w:rPr>
              <w:t> </w:t>
            </w:r>
            <w:r>
              <w:rPr>
                <w:i/>
                <w:lang w:val="en-US"/>
              </w:rPr>
              <w:t>I</w:t>
            </w:r>
            <w:r w:rsidRPr="00176C12">
              <w:rPr>
                <w:i/>
                <w:vertAlign w:val="subscript"/>
              </w:rPr>
              <w:t>i</w:t>
            </w:r>
          </w:p>
        </w:tc>
        <w:tc>
          <w:tcPr>
            <w:tcW w:w="6350" w:type="dxa"/>
            <w:tcBorders>
              <w:top w:val="single" w:sz="6" w:space="0" w:color="auto"/>
              <w:left w:val="single" w:sz="6" w:space="0" w:color="auto"/>
              <w:right w:val="single" w:sz="6" w:space="0" w:color="auto"/>
            </w:tcBorders>
          </w:tcPr>
          <w:p w:rsidR="00C54AD2" w:rsidRDefault="00C54AD2" w:rsidP="00D50F2E">
            <w:pPr>
              <w:pStyle w:val="TableText0"/>
              <w:spacing w:before="60" w:after="60"/>
              <w:rPr>
                <w:lang w:val="fr-FR"/>
              </w:rPr>
            </w:pPr>
            <w:r>
              <w:rPr>
                <w:lang w:val="fr-FR"/>
              </w:rPr>
              <w:t>Puissance médiane disponible à l'entrée du récepteur des signaux brouilleurs (dBW)</w:t>
            </w:r>
          </w:p>
        </w:tc>
        <w:tc>
          <w:tcPr>
            <w:tcW w:w="6464"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Méthode de prévision</w:t>
            </w:r>
            <w:r>
              <w:rPr>
                <w:lang w:val="fr-FR"/>
              </w:rPr>
              <w:br/>
            </w:r>
            <w:r>
              <w:rPr>
                <w:i/>
                <w:lang w:val="fr-FR"/>
              </w:rPr>
              <w:t>P</w:t>
            </w:r>
            <w:r w:rsidRPr="00144DC5">
              <w:rPr>
                <w:i/>
                <w:vertAlign w:val="subscript"/>
                <w:lang w:val="fr-FR"/>
              </w:rPr>
              <w:t>r</w:t>
            </w:r>
            <w:r>
              <w:rPr>
                <w:i/>
                <w:lang w:val="fr-FR"/>
              </w:rPr>
              <w:t xml:space="preserve"> </w:t>
            </w:r>
            <w:r>
              <w:rPr>
                <w:lang w:val="fr-FR"/>
              </w:rPr>
              <w:t>au § 6 de la Rec. UIT-R P.533</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3</w:t>
            </w:r>
          </w:p>
        </w:tc>
        <w:tc>
          <w:tcPr>
            <w:tcW w:w="1191"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i/>
                <w:lang w:val="fr-FR"/>
              </w:rPr>
              <w:t>R</w:t>
            </w:r>
            <w:r w:rsidRPr="00176C12">
              <w:rPr>
                <w:vertAlign w:val="subscript"/>
              </w:rPr>
              <w:t>1</w:t>
            </w:r>
            <w:r>
              <w:rPr>
                <w:lang w:val="fr-FR"/>
              </w:rPr>
              <w:t xml:space="preserve">, </w:t>
            </w:r>
            <w:r>
              <w:rPr>
                <w:i/>
                <w:lang w:val="fr-FR"/>
              </w:rPr>
              <w:t>R</w:t>
            </w:r>
            <w:r w:rsidRPr="00176C12">
              <w:rPr>
                <w:vertAlign w:val="subscript"/>
              </w:rPr>
              <w:t>2</w:t>
            </w:r>
            <w:r>
              <w:rPr>
                <w:lang w:val="fr-FR"/>
              </w:rPr>
              <w:t xml:space="preserve">, ..., </w:t>
            </w:r>
            <w:r>
              <w:rPr>
                <w:i/>
                <w:lang w:val="fr-FR"/>
              </w:rPr>
              <w:t>R</w:t>
            </w:r>
            <w:r w:rsidRPr="00176C12">
              <w:rPr>
                <w:i/>
                <w:vertAlign w:val="subscript"/>
              </w:rPr>
              <w:t>i</w:t>
            </w:r>
          </w:p>
        </w:tc>
        <w:tc>
          <w:tcPr>
            <w:tcW w:w="6350" w:type="dxa"/>
            <w:tcBorders>
              <w:top w:val="single" w:sz="6" w:space="0" w:color="auto"/>
              <w:left w:val="single" w:sz="6" w:space="0" w:color="auto"/>
              <w:right w:val="single" w:sz="6" w:space="0" w:color="auto"/>
            </w:tcBorders>
          </w:tcPr>
          <w:p w:rsidR="00C54AD2" w:rsidRDefault="00C54AD2" w:rsidP="00D50F2E">
            <w:pPr>
              <w:pStyle w:val="TableText0"/>
              <w:spacing w:before="60" w:after="60"/>
              <w:rPr>
                <w:lang w:val="fr-FR"/>
              </w:rPr>
            </w:pPr>
            <w:r>
              <w:rPr>
                <w:lang w:val="fr-FR"/>
              </w:rPr>
              <w:t>Rapport de protection relatif des signaux brouilleurs (dB)</w:t>
            </w:r>
          </w:p>
        </w:tc>
        <w:tc>
          <w:tcPr>
            <w:tcW w:w="6464"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Défini par l'utilisateur</w: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4</w:t>
            </w:r>
          </w:p>
        </w:tc>
        <w:tc>
          <w:tcPr>
            <w:tcW w:w="1191"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i/>
                <w:lang w:val="fr-FR"/>
              </w:rPr>
            </w:pPr>
            <w:r>
              <w:rPr>
                <w:i/>
                <w:lang w:val="fr-FR"/>
              </w:rPr>
              <w:t>S</w:t>
            </w:r>
            <w:r>
              <w:rPr>
                <w:lang w:val="fr-FR"/>
              </w:rPr>
              <w:t>/</w:t>
            </w:r>
            <w:r>
              <w:rPr>
                <w:i/>
                <w:lang w:val="fr-FR"/>
              </w:rPr>
              <w:t>I</w:t>
            </w:r>
          </w:p>
        </w:tc>
        <w:tc>
          <w:tcPr>
            <w:tcW w:w="635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rPr>
                <w:lang w:val="fr-FR"/>
              </w:rPr>
            </w:pPr>
            <w:r>
              <w:rPr>
                <w:lang w:val="fr-FR"/>
              </w:rPr>
              <w:t>Rapport signal/brouillage résultant médian (dB)</w:t>
            </w:r>
          </w:p>
        </w:tc>
        <w:tc>
          <w:tcPr>
            <w:tcW w:w="6464"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line="240" w:lineRule="auto"/>
              <w:jc w:val="center"/>
              <w:rPr>
                <w:lang w:val="en-US"/>
              </w:rPr>
            </w:pPr>
            <w:r>
              <w:rPr>
                <w:i/>
                <w:lang w:val="en-US"/>
              </w:rPr>
              <w:t>S</w:t>
            </w:r>
            <w:r>
              <w:rPr>
                <w:lang w:val="en-US"/>
              </w:rPr>
              <w:t xml:space="preserve">  –  10 log</w:t>
            </w:r>
            <w:r w:rsidRPr="00A206FD">
              <w:rPr>
                <w:vertAlign w:val="subscript"/>
              </w:rPr>
              <w:t>10</w:t>
            </w:r>
            <w:r>
              <w:rPr>
                <w:lang w:val="en-US"/>
              </w:rPr>
              <w:t xml:space="preserve"> </w:t>
            </w:r>
            <w:r>
              <w:rPr>
                <w:position w:val="-40"/>
                <w:lang w:val="fr-FR"/>
              </w:rPr>
              <w:object w:dxaOrig="3200" w:dyaOrig="880">
                <v:shape id="_x0000_i1030" type="#_x0000_t75" style="width:159.6pt;height:44.4pt" o:ole="">
                  <v:imagedata r:id="rId30" o:title=""/>
                </v:shape>
                <o:OLEObject Type="Embed" ProgID="Equation.3" ShapeID="_x0000_i1030" DrawAspect="Content" ObjectID="_1469356505" r:id="rId31"/>
              </w:objec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lang w:val="en-US"/>
              </w:rPr>
            </w:pPr>
            <w:r>
              <w:rPr>
                <w:lang w:val="en-US"/>
              </w:rPr>
              <w:t>5</w:t>
            </w:r>
          </w:p>
        </w:tc>
        <w:tc>
          <w:tcPr>
            <w:tcW w:w="1191"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lang w:val="fr-FR"/>
              </w:rPr>
            </w:pPr>
            <w:r>
              <w:rPr>
                <w:i/>
                <w:lang w:val="en-US"/>
              </w:rPr>
              <w:t>D</w:t>
            </w:r>
            <w:r w:rsidRPr="00176C12">
              <w:rPr>
                <w:i/>
                <w:vertAlign w:val="subscript"/>
              </w:rPr>
              <w:t xml:space="preserve">u </w:t>
            </w:r>
            <w:r>
              <w:rPr>
                <w:i/>
                <w:lang w:val="en-US"/>
              </w:rPr>
              <w:t>S</w:t>
            </w:r>
            <w:r w:rsidRPr="00176C12">
              <w:rPr>
                <w:i/>
                <w:vertAlign w:val="subscript"/>
              </w:rPr>
              <w:t>d</w:t>
            </w:r>
            <w:r>
              <w:rPr>
                <w:i/>
                <w:position w:val="-4"/>
                <w:sz w:val="14"/>
                <w:lang w:val="en-US"/>
              </w:rPr>
              <w:br/>
            </w:r>
            <w:r>
              <w:rPr>
                <w:i/>
                <w:lang w:val="en-US"/>
              </w:rPr>
              <w:t>D</w:t>
            </w:r>
            <w:r w:rsidRPr="00176C12">
              <w:rPr>
                <w:i/>
                <w:vertAlign w:val="subscript"/>
              </w:rPr>
              <w:t>l</w:t>
            </w:r>
            <w:r>
              <w:rPr>
                <w:i/>
                <w:position w:val="-4"/>
                <w:sz w:val="14"/>
                <w:lang w:val="en-US"/>
              </w:rPr>
              <w:t xml:space="preserve"> </w:t>
            </w:r>
            <w:r>
              <w:rPr>
                <w:i/>
                <w:lang w:val="en-US"/>
              </w:rPr>
              <w:t>I</w:t>
            </w:r>
            <w:r>
              <w:rPr>
                <w:position w:val="-4"/>
                <w:sz w:val="14"/>
                <w:lang w:val="en-US"/>
              </w:rPr>
              <w:t>1</w:t>
            </w:r>
            <w:r w:rsidRPr="00176C12">
              <w:rPr>
                <w:i/>
                <w:vertAlign w:val="subscript"/>
              </w:rPr>
              <w:t>d</w:t>
            </w:r>
            <w:r>
              <w:rPr>
                <w:i/>
                <w:lang w:val="en-US"/>
              </w:rPr>
              <w:br/>
              <w:t>D</w:t>
            </w:r>
            <w:r w:rsidRPr="00176C12">
              <w:rPr>
                <w:i/>
                <w:vertAlign w:val="subscript"/>
              </w:rPr>
              <w:t>l</w:t>
            </w:r>
            <w:r>
              <w:rPr>
                <w:i/>
                <w:position w:val="-4"/>
                <w:sz w:val="14"/>
                <w:lang w:val="en-US"/>
              </w:rPr>
              <w:t xml:space="preserve"> </w:t>
            </w:r>
            <w:r>
              <w:rPr>
                <w:i/>
                <w:lang w:val="en-US"/>
              </w:rPr>
              <w:t>I</w:t>
            </w:r>
            <w:r w:rsidRPr="00176C12">
              <w:rPr>
                <w:vertAlign w:val="subscript"/>
              </w:rPr>
              <w:t>2</w:t>
            </w:r>
            <w:r w:rsidRPr="00176C12">
              <w:rPr>
                <w:i/>
                <w:vertAlign w:val="subscript"/>
              </w:rPr>
              <w:t>d</w:t>
            </w:r>
            <w:r>
              <w:rPr>
                <w:i/>
                <w:lang w:val="en-US"/>
              </w:rPr>
              <w:br/>
              <w:t>...</w:t>
            </w:r>
            <w:r>
              <w:rPr>
                <w:i/>
                <w:lang w:val="en-US"/>
              </w:rPr>
              <w:br/>
            </w:r>
            <w:r>
              <w:rPr>
                <w:i/>
                <w:lang w:val="fr-FR"/>
              </w:rPr>
              <w:t>D</w:t>
            </w:r>
            <w:r w:rsidRPr="00176C12">
              <w:rPr>
                <w:i/>
                <w:vertAlign w:val="subscript"/>
              </w:rPr>
              <w:t>l</w:t>
            </w:r>
            <w:r>
              <w:rPr>
                <w:i/>
                <w:position w:val="-4"/>
                <w:sz w:val="14"/>
                <w:lang w:val="en-US"/>
              </w:rPr>
              <w:t xml:space="preserve"> </w:t>
            </w:r>
            <w:r>
              <w:rPr>
                <w:i/>
                <w:lang w:val="fr-FR"/>
              </w:rPr>
              <w:t>I</w:t>
            </w:r>
            <w:r w:rsidRPr="00176C12">
              <w:rPr>
                <w:i/>
                <w:vertAlign w:val="subscript"/>
              </w:rPr>
              <w:t>id</w:t>
            </w:r>
          </w:p>
        </w:tc>
        <w:tc>
          <w:tcPr>
            <w:tcW w:w="635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tabs>
                <w:tab w:val="clear" w:pos="794"/>
                <w:tab w:val="left" w:pos="557"/>
              </w:tabs>
              <w:spacing w:before="60" w:after="60"/>
              <w:jc w:val="left"/>
              <w:rPr>
                <w:lang w:val="fr-FR"/>
              </w:rPr>
            </w:pPr>
            <w:r>
              <w:rPr>
                <w:lang w:val="fr-FR"/>
              </w:rPr>
              <w:t>Ecart du décile supérieur du signal utile</w:t>
            </w:r>
            <w:r>
              <w:rPr>
                <w:lang w:val="fr-FR"/>
              </w:rPr>
              <w:br/>
              <w:t>Ecarts du décile inférieur des signaux brouilleurs</w:t>
            </w:r>
            <w:r>
              <w:rPr>
                <w:lang w:val="fr-FR"/>
              </w:rPr>
              <w:br/>
            </w:r>
            <w:r>
              <w:rPr>
                <w:lang w:val="fr-FR"/>
              </w:rPr>
              <w:br/>
            </w:r>
            <w:r>
              <w:rPr>
                <w:lang w:val="fr-FR"/>
              </w:rPr>
              <w:br/>
            </w:r>
            <w:r>
              <w:rPr>
                <w:lang w:val="fr-FR"/>
              </w:rPr>
              <w:tab/>
              <w:t>(d'un jour à l'autre) (dB)</w:t>
            </w:r>
          </w:p>
        </w:tc>
        <w:tc>
          <w:tcPr>
            <w:tcW w:w="6464"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Tableau 2 en utilisant la MUF de référence pour le trajet</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en-US"/>
              </w:rPr>
            </w:pPr>
            <w:r>
              <w:rPr>
                <w:lang w:val="en-US"/>
              </w:rPr>
              <w:t>6</w:t>
            </w:r>
          </w:p>
        </w:tc>
        <w:tc>
          <w:tcPr>
            <w:tcW w:w="1191"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i/>
                <w:lang w:val="fr-FR"/>
              </w:rPr>
            </w:pPr>
            <w:r>
              <w:rPr>
                <w:i/>
                <w:lang w:val="en-US"/>
              </w:rPr>
              <w:t>D</w:t>
            </w:r>
            <w:r w:rsidRPr="00176C12">
              <w:rPr>
                <w:i/>
                <w:vertAlign w:val="subscript"/>
              </w:rPr>
              <w:t>u</w:t>
            </w:r>
            <w:r>
              <w:rPr>
                <w:i/>
                <w:position w:val="-4"/>
                <w:sz w:val="14"/>
                <w:lang w:val="en-US"/>
              </w:rPr>
              <w:t xml:space="preserve"> </w:t>
            </w:r>
            <w:r>
              <w:rPr>
                <w:i/>
                <w:lang w:val="en-US"/>
              </w:rPr>
              <w:t>S</w:t>
            </w:r>
            <w:r w:rsidRPr="00176C12">
              <w:rPr>
                <w:i/>
                <w:vertAlign w:val="subscript"/>
              </w:rPr>
              <w:t>h</w:t>
            </w:r>
            <w:r>
              <w:rPr>
                <w:i/>
                <w:lang w:val="en-US"/>
              </w:rPr>
              <w:br/>
              <w:t>D</w:t>
            </w:r>
            <w:r w:rsidRPr="00176C12">
              <w:rPr>
                <w:i/>
                <w:vertAlign w:val="subscript"/>
              </w:rPr>
              <w:t>l</w:t>
            </w:r>
            <w:r>
              <w:rPr>
                <w:i/>
                <w:position w:val="-4"/>
                <w:sz w:val="14"/>
                <w:lang w:val="en-US"/>
              </w:rPr>
              <w:t xml:space="preserve"> </w:t>
            </w:r>
            <w:r>
              <w:rPr>
                <w:i/>
                <w:lang w:val="en-US"/>
              </w:rPr>
              <w:t>I</w:t>
            </w:r>
            <w:r>
              <w:rPr>
                <w:position w:val="-4"/>
                <w:sz w:val="14"/>
                <w:lang w:val="en-US"/>
              </w:rPr>
              <w:t>1</w:t>
            </w:r>
            <w:r w:rsidRPr="00176C12">
              <w:rPr>
                <w:i/>
                <w:vertAlign w:val="subscript"/>
              </w:rPr>
              <w:t>h</w:t>
            </w:r>
            <w:r>
              <w:rPr>
                <w:i/>
                <w:position w:val="-4"/>
                <w:sz w:val="14"/>
                <w:lang w:val="en-US"/>
              </w:rPr>
              <w:br/>
            </w:r>
            <w:r>
              <w:rPr>
                <w:i/>
                <w:lang w:val="en-US"/>
              </w:rPr>
              <w:t>D</w:t>
            </w:r>
            <w:r w:rsidRPr="00176C12">
              <w:rPr>
                <w:i/>
                <w:vertAlign w:val="subscript"/>
              </w:rPr>
              <w:t>l</w:t>
            </w:r>
            <w:r>
              <w:rPr>
                <w:i/>
                <w:position w:val="-4"/>
                <w:sz w:val="14"/>
                <w:lang w:val="en-US"/>
              </w:rPr>
              <w:t xml:space="preserve"> </w:t>
            </w:r>
            <w:r>
              <w:rPr>
                <w:i/>
                <w:lang w:val="en-US"/>
              </w:rPr>
              <w:t>I</w:t>
            </w:r>
            <w:r w:rsidRPr="00176C12">
              <w:rPr>
                <w:vertAlign w:val="subscript"/>
              </w:rPr>
              <w:t>2</w:t>
            </w:r>
            <w:r w:rsidRPr="00176C12">
              <w:rPr>
                <w:i/>
                <w:vertAlign w:val="subscript"/>
              </w:rPr>
              <w:t>h</w:t>
            </w:r>
            <w:r>
              <w:rPr>
                <w:i/>
                <w:lang w:val="en-US"/>
              </w:rPr>
              <w:br/>
              <w:t>...</w:t>
            </w:r>
            <w:r>
              <w:rPr>
                <w:i/>
                <w:lang w:val="en-US"/>
              </w:rPr>
              <w:br/>
            </w:r>
            <w:r>
              <w:rPr>
                <w:i/>
                <w:lang w:val="fr-FR"/>
              </w:rPr>
              <w:t>D</w:t>
            </w:r>
            <w:r w:rsidRPr="00176C12">
              <w:rPr>
                <w:i/>
                <w:vertAlign w:val="subscript"/>
              </w:rPr>
              <w:t>l</w:t>
            </w:r>
            <w:r>
              <w:rPr>
                <w:i/>
                <w:position w:val="-4"/>
                <w:sz w:val="14"/>
                <w:lang w:val="en-US"/>
              </w:rPr>
              <w:t xml:space="preserve"> </w:t>
            </w:r>
            <w:r>
              <w:rPr>
                <w:i/>
                <w:lang w:val="fr-FR"/>
              </w:rPr>
              <w:t>I</w:t>
            </w:r>
            <w:r w:rsidRPr="00176C12">
              <w:rPr>
                <w:i/>
                <w:vertAlign w:val="subscript"/>
              </w:rPr>
              <w:t>ih</w:t>
            </w:r>
          </w:p>
        </w:tc>
        <w:tc>
          <w:tcPr>
            <w:tcW w:w="6350" w:type="dxa"/>
            <w:tcBorders>
              <w:top w:val="single" w:sz="6" w:space="0" w:color="auto"/>
              <w:left w:val="single" w:sz="6" w:space="0" w:color="auto"/>
              <w:right w:val="single" w:sz="6" w:space="0" w:color="auto"/>
            </w:tcBorders>
          </w:tcPr>
          <w:p w:rsidR="00C54AD2" w:rsidRDefault="00C54AD2" w:rsidP="00D50F2E">
            <w:pPr>
              <w:pStyle w:val="TableText0"/>
              <w:tabs>
                <w:tab w:val="clear" w:pos="794"/>
                <w:tab w:val="left" w:pos="557"/>
              </w:tabs>
              <w:spacing w:before="60" w:after="60"/>
              <w:jc w:val="left"/>
              <w:rPr>
                <w:lang w:val="fr-FR"/>
              </w:rPr>
            </w:pPr>
            <w:r>
              <w:rPr>
                <w:lang w:val="fr-FR"/>
              </w:rPr>
              <w:t>Ecart du décile supérieur du signal utile</w:t>
            </w:r>
            <w:r>
              <w:rPr>
                <w:lang w:val="fr-FR"/>
              </w:rPr>
              <w:br/>
              <w:t>Ecarts du décile inférieur des signaux brouilleurs</w:t>
            </w:r>
            <w:r>
              <w:rPr>
                <w:lang w:val="fr-FR"/>
              </w:rPr>
              <w:br/>
            </w:r>
            <w:r>
              <w:rPr>
                <w:lang w:val="fr-FR"/>
              </w:rPr>
              <w:br/>
            </w:r>
            <w:r>
              <w:rPr>
                <w:lang w:val="fr-FR"/>
              </w:rPr>
              <w:br/>
            </w:r>
            <w:r>
              <w:rPr>
                <w:lang w:val="fr-FR"/>
              </w:rPr>
              <w:tab/>
              <w:t>(au cours d'une heure) (dB)</w:t>
            </w:r>
          </w:p>
        </w:tc>
        <w:tc>
          <w:tcPr>
            <w:tcW w:w="6464" w:type="dxa"/>
            <w:tcBorders>
              <w:top w:val="single" w:sz="6" w:space="0" w:color="auto"/>
              <w:left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5</w:t>
            </w:r>
            <w:r>
              <w:rPr>
                <w:lang w:val="fr-FR"/>
              </w:rPr>
              <w:br/>
              <w:t>8</w: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lang w:val="fr-FR"/>
              </w:rPr>
            </w:pPr>
            <w:r>
              <w:rPr>
                <w:lang w:val="fr-FR"/>
              </w:rPr>
              <w:t>7</w:t>
            </w:r>
          </w:p>
        </w:tc>
        <w:tc>
          <w:tcPr>
            <w:tcW w:w="1191"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i/>
                <w:lang w:val="fr-FR"/>
              </w:rPr>
            </w:pPr>
            <w:r>
              <w:rPr>
                <w:i/>
                <w:lang w:val="fr-FR"/>
              </w:rPr>
              <w:t>D</w:t>
            </w:r>
            <w:r w:rsidRPr="00176C12">
              <w:rPr>
                <w:i/>
                <w:vertAlign w:val="subscript"/>
              </w:rPr>
              <w:t>u</w:t>
            </w:r>
            <w:r>
              <w:rPr>
                <w:i/>
                <w:position w:val="-4"/>
                <w:sz w:val="14"/>
                <w:lang w:val="en-US"/>
              </w:rPr>
              <w:t xml:space="preserve"> </w:t>
            </w:r>
            <w:r>
              <w:rPr>
                <w:i/>
                <w:lang w:val="fr-FR"/>
              </w:rPr>
              <w:t>SI</w:t>
            </w:r>
          </w:p>
        </w:tc>
        <w:tc>
          <w:tcPr>
            <w:tcW w:w="635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rPr>
                <w:lang w:val="fr-FR"/>
              </w:rPr>
            </w:pPr>
            <w:r>
              <w:rPr>
                <w:lang w:val="fr-FR"/>
              </w:rPr>
              <w:t>Ecart du décile supérieur du rapport signal/brouillage résultant (dB)</w:t>
            </w:r>
          </w:p>
        </w:tc>
        <w:tc>
          <w:tcPr>
            <w:tcW w:w="6464"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spacing w:before="60" w:after="60"/>
              <w:jc w:val="center"/>
              <w:rPr>
                <w:i/>
                <w:position w:val="-4"/>
                <w:sz w:val="14"/>
                <w:lang w:val="fr-FR"/>
              </w:rPr>
            </w:pPr>
            <w:r>
              <w:rPr>
                <w:lang w:val="fr-FR"/>
              </w:rPr>
              <w:t>Racine de la somme des carrés de</w:t>
            </w:r>
            <w:r>
              <w:rPr>
                <w:lang w:val="fr-FR"/>
              </w:rPr>
              <w:br/>
            </w:r>
            <w:r>
              <w:rPr>
                <w:i/>
                <w:lang w:val="fr-FR"/>
              </w:rPr>
              <w:t>D</w:t>
            </w:r>
            <w:r w:rsidRPr="00144DC5">
              <w:rPr>
                <w:i/>
                <w:vertAlign w:val="subscript"/>
                <w:lang w:val="fr-FR"/>
              </w:rPr>
              <w:t>u</w:t>
            </w:r>
            <w:r>
              <w:rPr>
                <w:i/>
                <w:position w:val="-4"/>
                <w:sz w:val="14"/>
                <w:lang w:val="fr-FR"/>
              </w:rPr>
              <w:t xml:space="preserve"> </w:t>
            </w:r>
            <w:r>
              <w:rPr>
                <w:i/>
                <w:lang w:val="fr-FR"/>
              </w:rPr>
              <w:t>S</w:t>
            </w:r>
            <w:r w:rsidRPr="00144DC5">
              <w:rPr>
                <w:i/>
                <w:vertAlign w:val="subscript"/>
                <w:lang w:val="fr-FR"/>
              </w:rPr>
              <w:t>d</w:t>
            </w:r>
            <w:r w:rsidRPr="00144DC5">
              <w:rPr>
                <w:lang w:val="fr-FR"/>
              </w:rPr>
              <w:t>,</w:t>
            </w:r>
            <w:r>
              <w:rPr>
                <w:i/>
                <w:lang w:val="fr-FR"/>
              </w:rPr>
              <w:t xml:space="preserve"> D</w:t>
            </w:r>
            <w:r w:rsidRPr="00144DC5">
              <w:rPr>
                <w:i/>
                <w:vertAlign w:val="subscript"/>
                <w:lang w:val="fr-FR"/>
              </w:rPr>
              <w:t>u</w:t>
            </w:r>
            <w:r>
              <w:rPr>
                <w:i/>
                <w:position w:val="-4"/>
                <w:sz w:val="14"/>
                <w:lang w:val="fr-FR"/>
              </w:rPr>
              <w:t xml:space="preserve"> </w:t>
            </w:r>
            <w:r>
              <w:rPr>
                <w:i/>
                <w:lang w:val="fr-FR"/>
              </w:rPr>
              <w:t>S</w:t>
            </w:r>
            <w:r w:rsidRPr="00144DC5">
              <w:rPr>
                <w:i/>
                <w:vertAlign w:val="subscript"/>
                <w:lang w:val="fr-FR"/>
              </w:rPr>
              <w:t>h</w:t>
            </w:r>
            <w:r w:rsidRPr="00144DC5">
              <w:rPr>
                <w:lang w:val="fr-FR"/>
              </w:rPr>
              <w:t>,</w:t>
            </w:r>
          </w:p>
          <w:p w:rsidR="00C54AD2" w:rsidRDefault="00C54AD2" w:rsidP="00D50F2E">
            <w:pPr>
              <w:pStyle w:val="TableText0"/>
              <w:spacing w:before="60" w:after="60" w:line="240" w:lineRule="auto"/>
              <w:rPr>
                <w:lang w:val="fr-FR"/>
              </w:rPr>
            </w:pPr>
            <w:r>
              <w:rPr>
                <w:lang w:val="fr-FR"/>
              </w:rPr>
              <w:t>10 log</w:t>
            </w:r>
            <w:r w:rsidRPr="00A206FD">
              <w:rPr>
                <w:vertAlign w:val="subscript"/>
              </w:rPr>
              <w:t>10</w:t>
            </w:r>
            <w:r>
              <w:rPr>
                <w:position w:val="-48"/>
                <w:lang w:val="fr-FR"/>
              </w:rPr>
              <w:object w:dxaOrig="5280" w:dyaOrig="1060">
                <v:shape id="_x0000_i1031" type="#_x0000_t75" style="width:264pt;height:52.8pt" o:ole="">
                  <v:imagedata r:id="rId32" o:title=""/>
                </v:shape>
                <o:OLEObject Type="Embed" ProgID="Equation.3" ShapeID="_x0000_i1031" DrawAspect="Content" ObjectID="_1469356506" r:id="rId33"/>
              </w:object>
            </w:r>
          </w:p>
          <w:p w:rsidR="00C54AD2" w:rsidRDefault="00C54AD2" w:rsidP="00D50F2E">
            <w:pPr>
              <w:pStyle w:val="TableText0"/>
              <w:spacing w:before="60" w:after="60"/>
              <w:rPr>
                <w:lang w:val="fr-FR"/>
              </w:rPr>
            </w:pPr>
            <w:r>
              <w:rPr>
                <w:lang w:val="fr-FR"/>
              </w:rPr>
              <w:t>et</w:t>
            </w:r>
          </w:p>
          <w:p w:rsidR="00C54AD2" w:rsidRDefault="00C54AD2" w:rsidP="00D50F2E">
            <w:pPr>
              <w:pStyle w:val="TableText0"/>
              <w:spacing w:before="60" w:after="60" w:line="240" w:lineRule="auto"/>
              <w:rPr>
                <w:lang w:val="fr-FR"/>
              </w:rPr>
            </w:pPr>
            <w:r>
              <w:rPr>
                <w:lang w:val="fr-FR"/>
              </w:rPr>
              <w:t>10 log</w:t>
            </w:r>
            <w:r w:rsidRPr="00A206FD">
              <w:rPr>
                <w:vertAlign w:val="subscript"/>
              </w:rPr>
              <w:t>10</w:t>
            </w:r>
            <w:r>
              <w:rPr>
                <w:position w:val="-48"/>
                <w:lang w:val="fr-FR"/>
              </w:rPr>
              <w:object w:dxaOrig="4720" w:dyaOrig="1060">
                <v:shape id="_x0000_i1032" type="#_x0000_t75" style="width:236.4pt;height:52.8pt" o:ole="">
                  <v:imagedata r:id="rId34" o:title=""/>
                </v:shape>
                <o:OLEObject Type="Embed" ProgID="Equation.3" ShapeID="_x0000_i1032" DrawAspect="Content" ObjectID="_1469356507" r:id="rId35"/>
              </w:object>
            </w:r>
          </w:p>
        </w:tc>
      </w:tr>
    </w:tbl>
    <w:p w:rsidR="00C54AD2" w:rsidRPr="00CE5BC5" w:rsidRDefault="00C54AD2" w:rsidP="00C54AD2">
      <w:pPr>
        <w:pStyle w:val="TableNo"/>
        <w:rPr>
          <w:szCs w:val="24"/>
        </w:rPr>
      </w:pPr>
      <w:r>
        <w:br w:type="page"/>
      </w:r>
      <w:r w:rsidRPr="00CE5BC5">
        <w:rPr>
          <w:szCs w:val="24"/>
        </w:rPr>
        <w:lastRenderedPageBreak/>
        <w:t>TABLEAU  3 (</w:t>
      </w:r>
      <w:r w:rsidRPr="00CE5BC5">
        <w:rPr>
          <w:i/>
          <w:szCs w:val="24"/>
        </w:rPr>
        <w:t>fin</w:t>
      </w:r>
      <w:r w:rsidRPr="00CE5BC5">
        <w:rPr>
          <w:szCs w:val="24"/>
        </w:rPr>
        <w:t>)</w:t>
      </w:r>
    </w:p>
    <w:p w:rsidR="00C54AD2" w:rsidRDefault="00C54AD2" w:rsidP="00C54AD2">
      <w:pPr>
        <w:pStyle w:val="Blanc"/>
        <w:rPr>
          <w:lang w:val="fr-FR"/>
        </w:rPr>
      </w:pPr>
    </w:p>
    <w:tbl>
      <w:tblPr>
        <w:tblW w:w="0" w:type="auto"/>
        <w:jc w:val="center"/>
        <w:tblLayout w:type="fixed"/>
        <w:tblCellMar>
          <w:left w:w="107" w:type="dxa"/>
          <w:right w:w="107" w:type="dxa"/>
        </w:tblCellMar>
        <w:tblLook w:val="0000" w:firstRow="0" w:lastRow="0" w:firstColumn="0" w:lastColumn="0" w:noHBand="0" w:noVBand="0"/>
      </w:tblPr>
      <w:tblGrid>
        <w:gridCol w:w="737"/>
        <w:gridCol w:w="1191"/>
        <w:gridCol w:w="6350"/>
        <w:gridCol w:w="6464"/>
      </w:tblGrid>
      <w:tr w:rsidR="00C54AD2" w:rsidTr="00D50F2E">
        <w:trPr>
          <w:cantSplit/>
          <w:jc w:val="center"/>
        </w:trPr>
        <w:tc>
          <w:tcPr>
            <w:tcW w:w="737"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Etape</w:t>
            </w:r>
          </w:p>
        </w:tc>
        <w:tc>
          <w:tcPr>
            <w:tcW w:w="1191"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Paramètre</w:t>
            </w:r>
          </w:p>
        </w:tc>
        <w:tc>
          <w:tcPr>
            <w:tcW w:w="6350"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Description du paramètre</w:t>
            </w:r>
          </w:p>
        </w:tc>
        <w:tc>
          <w:tcPr>
            <w:tcW w:w="6464" w:type="dxa"/>
            <w:tcBorders>
              <w:top w:val="single" w:sz="6" w:space="0" w:color="auto"/>
              <w:left w:val="single" w:sz="6" w:space="0" w:color="auto"/>
              <w:right w:val="single" w:sz="6" w:space="0" w:color="auto"/>
            </w:tcBorders>
          </w:tcPr>
          <w:p w:rsidR="00C54AD2" w:rsidRPr="00CE5BC5" w:rsidRDefault="00C54AD2" w:rsidP="00CE5BC5">
            <w:pPr>
              <w:pStyle w:val="Tablehead"/>
              <w:rPr>
                <w:sz w:val="18"/>
                <w:szCs w:val="18"/>
              </w:rPr>
            </w:pPr>
            <w:r w:rsidRPr="00CE5BC5">
              <w:rPr>
                <w:sz w:val="18"/>
                <w:szCs w:val="18"/>
              </w:rPr>
              <w:t>Source de la valeur du paramètre</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en-US"/>
              </w:rPr>
            </w:pPr>
            <w:r>
              <w:rPr>
                <w:lang w:val="en-US"/>
              </w:rPr>
              <w:t>8</w:t>
            </w:r>
          </w:p>
        </w:tc>
        <w:tc>
          <w:tcPr>
            <w:tcW w:w="1191"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sidRPr="002D268F">
              <w:rPr>
                <w:i/>
                <w:lang w:val="fr-FR"/>
              </w:rPr>
              <w:t>D</w:t>
            </w:r>
            <w:r w:rsidRPr="00144DC5">
              <w:rPr>
                <w:i/>
                <w:vertAlign w:val="subscript"/>
                <w:lang w:val="fr-FR"/>
              </w:rPr>
              <w:t>l</w:t>
            </w:r>
            <w:r w:rsidRPr="002D268F">
              <w:rPr>
                <w:i/>
                <w:position w:val="-4"/>
                <w:sz w:val="14"/>
                <w:lang w:val="fr-FR"/>
              </w:rPr>
              <w:t xml:space="preserve"> </w:t>
            </w:r>
            <w:r w:rsidRPr="002D268F">
              <w:rPr>
                <w:i/>
                <w:lang w:val="fr-FR"/>
              </w:rPr>
              <w:t>S</w:t>
            </w:r>
            <w:r w:rsidRPr="00144DC5">
              <w:rPr>
                <w:i/>
                <w:vertAlign w:val="subscript"/>
                <w:lang w:val="fr-FR"/>
              </w:rPr>
              <w:t>d</w:t>
            </w:r>
            <w:r w:rsidRPr="002D268F">
              <w:rPr>
                <w:i/>
                <w:position w:val="-4"/>
                <w:sz w:val="14"/>
                <w:lang w:val="fr-FR"/>
              </w:rPr>
              <w:br/>
            </w:r>
            <w:r w:rsidRPr="002D268F">
              <w:rPr>
                <w:i/>
                <w:lang w:val="fr-FR"/>
              </w:rPr>
              <w:t>D</w:t>
            </w:r>
            <w:r w:rsidRPr="00144DC5">
              <w:rPr>
                <w:i/>
                <w:vertAlign w:val="subscript"/>
                <w:lang w:val="fr-FR"/>
              </w:rPr>
              <w:t>u</w:t>
            </w:r>
            <w:r w:rsidRPr="002D268F">
              <w:rPr>
                <w:i/>
                <w:position w:val="-4"/>
                <w:sz w:val="14"/>
                <w:lang w:val="fr-FR"/>
              </w:rPr>
              <w:t xml:space="preserve"> </w:t>
            </w:r>
            <w:r w:rsidRPr="002D268F">
              <w:rPr>
                <w:i/>
                <w:lang w:val="fr-FR"/>
              </w:rPr>
              <w:t>I</w:t>
            </w:r>
            <w:r w:rsidRPr="00144DC5">
              <w:rPr>
                <w:vertAlign w:val="subscript"/>
                <w:lang w:val="fr-FR"/>
              </w:rPr>
              <w:t>1</w:t>
            </w:r>
            <w:r w:rsidRPr="00144DC5">
              <w:rPr>
                <w:i/>
                <w:vertAlign w:val="subscript"/>
                <w:lang w:val="fr-FR"/>
              </w:rPr>
              <w:t>d</w:t>
            </w:r>
            <w:r w:rsidRPr="002D268F">
              <w:rPr>
                <w:i/>
                <w:lang w:val="fr-FR"/>
              </w:rPr>
              <w:br/>
              <w:t>D</w:t>
            </w:r>
            <w:r w:rsidRPr="00144DC5">
              <w:rPr>
                <w:i/>
                <w:vertAlign w:val="subscript"/>
                <w:lang w:val="fr-FR"/>
              </w:rPr>
              <w:t>u</w:t>
            </w:r>
            <w:r w:rsidRPr="002D268F">
              <w:rPr>
                <w:i/>
                <w:position w:val="-4"/>
                <w:sz w:val="14"/>
                <w:lang w:val="fr-FR"/>
              </w:rPr>
              <w:t xml:space="preserve"> </w:t>
            </w:r>
            <w:r w:rsidRPr="002D268F">
              <w:rPr>
                <w:i/>
                <w:lang w:val="fr-FR"/>
              </w:rPr>
              <w:t>I</w:t>
            </w:r>
            <w:r w:rsidRPr="00144DC5">
              <w:rPr>
                <w:vertAlign w:val="subscript"/>
                <w:lang w:val="fr-FR"/>
              </w:rPr>
              <w:t>2</w:t>
            </w:r>
            <w:r w:rsidRPr="00144DC5">
              <w:rPr>
                <w:i/>
                <w:vertAlign w:val="subscript"/>
                <w:lang w:val="fr-FR"/>
              </w:rPr>
              <w:t>d</w:t>
            </w:r>
            <w:r w:rsidRPr="002D268F">
              <w:rPr>
                <w:i/>
                <w:lang w:val="fr-FR"/>
              </w:rPr>
              <w:br/>
              <w:t>...</w:t>
            </w:r>
            <w:r w:rsidRPr="002D268F">
              <w:rPr>
                <w:i/>
                <w:lang w:val="fr-FR"/>
              </w:rPr>
              <w:br/>
            </w:r>
            <w:r>
              <w:rPr>
                <w:i/>
                <w:lang w:val="fr-FR"/>
              </w:rPr>
              <w:t>D</w:t>
            </w:r>
            <w:r w:rsidRPr="00144DC5">
              <w:rPr>
                <w:i/>
                <w:vertAlign w:val="subscript"/>
                <w:lang w:val="fr-FR"/>
              </w:rPr>
              <w:t>u</w:t>
            </w:r>
            <w:r w:rsidRPr="002D268F">
              <w:rPr>
                <w:i/>
                <w:position w:val="-4"/>
                <w:sz w:val="14"/>
                <w:lang w:val="fr-FR"/>
              </w:rPr>
              <w:t xml:space="preserve"> </w:t>
            </w:r>
            <w:r>
              <w:rPr>
                <w:i/>
                <w:lang w:val="fr-FR"/>
              </w:rPr>
              <w:t>I</w:t>
            </w:r>
            <w:r w:rsidRPr="00144DC5">
              <w:rPr>
                <w:i/>
                <w:vertAlign w:val="subscript"/>
                <w:lang w:val="fr-FR"/>
              </w:rPr>
              <w:t>id</w:t>
            </w:r>
          </w:p>
        </w:tc>
        <w:tc>
          <w:tcPr>
            <w:tcW w:w="6350" w:type="dxa"/>
            <w:tcBorders>
              <w:top w:val="single" w:sz="6" w:space="0" w:color="auto"/>
              <w:left w:val="single" w:sz="6" w:space="0" w:color="auto"/>
              <w:right w:val="single" w:sz="6" w:space="0" w:color="auto"/>
            </w:tcBorders>
          </w:tcPr>
          <w:p w:rsidR="00C54AD2" w:rsidRDefault="00C54AD2" w:rsidP="00D50F2E">
            <w:pPr>
              <w:pStyle w:val="TableText0"/>
              <w:tabs>
                <w:tab w:val="clear" w:pos="794"/>
                <w:tab w:val="left" w:pos="444"/>
              </w:tabs>
              <w:jc w:val="left"/>
              <w:rPr>
                <w:lang w:val="fr-FR"/>
              </w:rPr>
            </w:pPr>
            <w:r>
              <w:rPr>
                <w:lang w:val="fr-FR"/>
              </w:rPr>
              <w:t>Ecart du décile inférieur du signal utile</w:t>
            </w:r>
            <w:r>
              <w:rPr>
                <w:lang w:val="fr-FR"/>
              </w:rPr>
              <w:br/>
              <w:t>Ecarts du décile supérieur des signaux brouilleurs</w:t>
            </w:r>
            <w:r>
              <w:rPr>
                <w:lang w:val="fr-FR"/>
              </w:rPr>
              <w:br/>
            </w:r>
            <w:r>
              <w:rPr>
                <w:lang w:val="fr-FR"/>
              </w:rPr>
              <w:br/>
            </w:r>
            <w:r>
              <w:rPr>
                <w:lang w:val="fr-FR"/>
              </w:rPr>
              <w:br/>
            </w:r>
            <w:r>
              <w:rPr>
                <w:lang w:val="fr-FR"/>
              </w:rPr>
              <w:tab/>
              <w:t>(d'un jour à l'autre) (dB)</w:t>
            </w:r>
          </w:p>
        </w:tc>
        <w:tc>
          <w:tcPr>
            <w:tcW w:w="6464"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Tableau 2 en utilisant la MUF de référence pour le trajet</w: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en-US"/>
              </w:rPr>
            </w:pPr>
            <w:r>
              <w:rPr>
                <w:lang w:val="en-US"/>
              </w:rPr>
              <w:t>9</w:t>
            </w:r>
          </w:p>
        </w:tc>
        <w:tc>
          <w:tcPr>
            <w:tcW w:w="1191"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i/>
                <w:lang w:val="en-US"/>
              </w:rPr>
              <w:t>D</w:t>
            </w:r>
            <w:r w:rsidRPr="00D61A7F">
              <w:rPr>
                <w:i/>
                <w:vertAlign w:val="subscript"/>
              </w:rPr>
              <w:t>l</w:t>
            </w:r>
            <w:r>
              <w:rPr>
                <w:i/>
                <w:position w:val="-4"/>
                <w:sz w:val="14"/>
                <w:lang w:val="en-US"/>
              </w:rPr>
              <w:t xml:space="preserve"> </w:t>
            </w:r>
            <w:r>
              <w:rPr>
                <w:i/>
                <w:lang w:val="en-US"/>
              </w:rPr>
              <w:t>S</w:t>
            </w:r>
            <w:r w:rsidRPr="00D61A7F">
              <w:rPr>
                <w:i/>
                <w:vertAlign w:val="subscript"/>
              </w:rPr>
              <w:t>h</w:t>
            </w:r>
            <w:r>
              <w:rPr>
                <w:i/>
                <w:position w:val="-4"/>
                <w:sz w:val="14"/>
                <w:lang w:val="en-US"/>
              </w:rPr>
              <w:br/>
            </w:r>
            <w:r>
              <w:rPr>
                <w:i/>
                <w:lang w:val="en-US"/>
              </w:rPr>
              <w:t>D</w:t>
            </w:r>
            <w:r w:rsidRPr="00D61A7F">
              <w:rPr>
                <w:i/>
                <w:vertAlign w:val="subscript"/>
              </w:rPr>
              <w:t>u</w:t>
            </w:r>
            <w:r>
              <w:rPr>
                <w:i/>
                <w:position w:val="-4"/>
                <w:sz w:val="14"/>
                <w:lang w:val="en-US"/>
              </w:rPr>
              <w:t xml:space="preserve"> </w:t>
            </w:r>
            <w:r>
              <w:rPr>
                <w:i/>
                <w:lang w:val="en-US"/>
              </w:rPr>
              <w:t>I</w:t>
            </w:r>
            <w:r w:rsidRPr="00D61A7F">
              <w:rPr>
                <w:vertAlign w:val="subscript"/>
              </w:rPr>
              <w:t>1</w:t>
            </w:r>
            <w:r w:rsidRPr="00D61A7F">
              <w:rPr>
                <w:i/>
                <w:vertAlign w:val="subscript"/>
              </w:rPr>
              <w:t>h</w:t>
            </w:r>
            <w:r>
              <w:rPr>
                <w:i/>
                <w:position w:val="-4"/>
                <w:sz w:val="14"/>
                <w:lang w:val="en-US"/>
              </w:rPr>
              <w:br/>
            </w:r>
            <w:r>
              <w:rPr>
                <w:i/>
                <w:lang w:val="en-US"/>
              </w:rPr>
              <w:t>D</w:t>
            </w:r>
            <w:r w:rsidRPr="00D61A7F">
              <w:rPr>
                <w:i/>
                <w:vertAlign w:val="subscript"/>
              </w:rPr>
              <w:t>u</w:t>
            </w:r>
            <w:r>
              <w:rPr>
                <w:i/>
                <w:position w:val="-4"/>
                <w:sz w:val="14"/>
                <w:lang w:val="en-US"/>
              </w:rPr>
              <w:t xml:space="preserve"> </w:t>
            </w:r>
            <w:r>
              <w:rPr>
                <w:i/>
                <w:lang w:val="en-US"/>
              </w:rPr>
              <w:t>I</w:t>
            </w:r>
            <w:r w:rsidRPr="00D61A7F">
              <w:rPr>
                <w:vertAlign w:val="subscript"/>
              </w:rPr>
              <w:t>2</w:t>
            </w:r>
            <w:r w:rsidRPr="00D61A7F">
              <w:rPr>
                <w:i/>
                <w:vertAlign w:val="subscript"/>
              </w:rPr>
              <w:t>h</w:t>
            </w:r>
            <w:r>
              <w:rPr>
                <w:i/>
                <w:lang w:val="en-US"/>
              </w:rPr>
              <w:br/>
              <w:t>...</w:t>
            </w:r>
            <w:r>
              <w:rPr>
                <w:i/>
                <w:lang w:val="en-US"/>
              </w:rPr>
              <w:br/>
            </w:r>
            <w:r>
              <w:rPr>
                <w:i/>
                <w:lang w:val="fr-FR"/>
              </w:rPr>
              <w:t>D</w:t>
            </w:r>
            <w:r w:rsidRPr="00D61A7F">
              <w:rPr>
                <w:i/>
                <w:vertAlign w:val="subscript"/>
              </w:rPr>
              <w:t>u</w:t>
            </w:r>
            <w:r>
              <w:rPr>
                <w:i/>
                <w:position w:val="-4"/>
                <w:sz w:val="14"/>
                <w:lang w:val="en-US"/>
              </w:rPr>
              <w:t xml:space="preserve"> </w:t>
            </w:r>
            <w:r>
              <w:rPr>
                <w:i/>
                <w:lang w:val="fr-FR"/>
              </w:rPr>
              <w:t>I</w:t>
            </w:r>
            <w:r w:rsidRPr="00D61A7F">
              <w:rPr>
                <w:i/>
                <w:vertAlign w:val="subscript"/>
              </w:rPr>
              <w:t>ih</w:t>
            </w:r>
          </w:p>
        </w:tc>
        <w:tc>
          <w:tcPr>
            <w:tcW w:w="635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tabs>
                <w:tab w:val="clear" w:pos="794"/>
                <w:tab w:val="left" w:pos="444"/>
              </w:tabs>
              <w:jc w:val="left"/>
              <w:rPr>
                <w:lang w:val="fr-FR"/>
              </w:rPr>
            </w:pPr>
            <w:r>
              <w:rPr>
                <w:lang w:val="fr-FR"/>
              </w:rPr>
              <w:t>Ecart du décile inférieur du signal utile</w:t>
            </w:r>
            <w:r>
              <w:rPr>
                <w:lang w:val="fr-FR"/>
              </w:rPr>
              <w:br/>
              <w:t>Ecarts du décile supérieur des signaux brouilleurs</w:t>
            </w:r>
            <w:r>
              <w:rPr>
                <w:lang w:val="fr-FR"/>
              </w:rPr>
              <w:br/>
            </w:r>
            <w:r>
              <w:rPr>
                <w:lang w:val="fr-FR"/>
              </w:rPr>
              <w:br/>
            </w:r>
            <w:r>
              <w:rPr>
                <w:lang w:val="fr-FR"/>
              </w:rPr>
              <w:br/>
            </w:r>
            <w:r>
              <w:rPr>
                <w:lang w:val="fr-FR"/>
              </w:rPr>
              <w:tab/>
              <w:t>(au cours d'une heure) (dB)</w:t>
            </w:r>
          </w:p>
        </w:tc>
        <w:tc>
          <w:tcPr>
            <w:tcW w:w="6464"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8</w:t>
            </w:r>
            <w:r>
              <w:rPr>
                <w:lang w:val="fr-FR"/>
              </w:rPr>
              <w:br/>
              <w:t>5</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10</w:t>
            </w:r>
          </w:p>
        </w:tc>
        <w:tc>
          <w:tcPr>
            <w:tcW w:w="1191"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Pr>
                <w:i/>
                <w:lang w:val="fr-FR"/>
              </w:rPr>
              <w:t>D</w:t>
            </w:r>
            <w:r w:rsidRPr="00D30C07">
              <w:rPr>
                <w:i/>
                <w:vertAlign w:val="subscript"/>
              </w:rPr>
              <w:t xml:space="preserve">l </w:t>
            </w:r>
            <w:r>
              <w:rPr>
                <w:i/>
                <w:lang w:val="fr-FR"/>
              </w:rPr>
              <w:t>SI</w:t>
            </w:r>
          </w:p>
        </w:tc>
        <w:tc>
          <w:tcPr>
            <w:tcW w:w="6350" w:type="dxa"/>
            <w:tcBorders>
              <w:top w:val="single" w:sz="6" w:space="0" w:color="auto"/>
              <w:left w:val="single" w:sz="6" w:space="0" w:color="auto"/>
              <w:right w:val="single" w:sz="6" w:space="0" w:color="auto"/>
            </w:tcBorders>
          </w:tcPr>
          <w:p w:rsidR="00C54AD2" w:rsidRDefault="00C54AD2" w:rsidP="00D50F2E">
            <w:pPr>
              <w:pStyle w:val="TableText0"/>
              <w:jc w:val="left"/>
              <w:rPr>
                <w:lang w:val="fr-FR"/>
              </w:rPr>
            </w:pPr>
            <w:r>
              <w:rPr>
                <w:lang w:val="fr-FR"/>
              </w:rPr>
              <w:t>Ecart du décile inférieur du rapport signal/brouillage résultant (dB)</w:t>
            </w:r>
          </w:p>
        </w:tc>
        <w:tc>
          <w:tcPr>
            <w:tcW w:w="6464"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Pr>
                <w:lang w:val="fr-FR"/>
              </w:rPr>
              <w:t>Racine de la somme des carrés de</w:t>
            </w:r>
            <w:r>
              <w:rPr>
                <w:lang w:val="fr-FR"/>
              </w:rPr>
              <w:br/>
            </w:r>
            <w:r>
              <w:rPr>
                <w:i/>
                <w:lang w:val="fr-FR"/>
              </w:rPr>
              <w:t>D</w:t>
            </w:r>
            <w:r w:rsidRPr="00144DC5">
              <w:rPr>
                <w:i/>
                <w:vertAlign w:val="subscript"/>
                <w:lang w:val="fr-FR"/>
              </w:rPr>
              <w:t>l</w:t>
            </w:r>
            <w:r>
              <w:rPr>
                <w:i/>
                <w:position w:val="-4"/>
                <w:sz w:val="14"/>
                <w:lang w:val="fr-FR"/>
              </w:rPr>
              <w:t xml:space="preserve"> </w:t>
            </w:r>
            <w:r>
              <w:rPr>
                <w:i/>
                <w:lang w:val="fr-FR"/>
              </w:rPr>
              <w:t>S</w:t>
            </w:r>
            <w:r w:rsidRPr="00144DC5">
              <w:rPr>
                <w:i/>
                <w:vertAlign w:val="subscript"/>
                <w:lang w:val="fr-FR"/>
              </w:rPr>
              <w:t>d</w:t>
            </w:r>
            <w:r>
              <w:rPr>
                <w:lang w:val="fr-FR"/>
              </w:rPr>
              <w:t>,</w:t>
            </w:r>
            <w:r>
              <w:rPr>
                <w:i/>
                <w:lang w:val="fr-FR"/>
              </w:rPr>
              <w:t xml:space="preserve"> D</w:t>
            </w:r>
            <w:r w:rsidRPr="00144DC5">
              <w:rPr>
                <w:i/>
                <w:vertAlign w:val="subscript"/>
                <w:lang w:val="fr-FR"/>
              </w:rPr>
              <w:t>l</w:t>
            </w:r>
            <w:r>
              <w:rPr>
                <w:i/>
                <w:position w:val="-4"/>
                <w:sz w:val="14"/>
                <w:lang w:val="fr-FR"/>
              </w:rPr>
              <w:t xml:space="preserve"> </w:t>
            </w:r>
            <w:r>
              <w:rPr>
                <w:i/>
                <w:lang w:val="fr-FR"/>
              </w:rPr>
              <w:t>S</w:t>
            </w:r>
            <w:r w:rsidRPr="00144DC5">
              <w:rPr>
                <w:i/>
                <w:vertAlign w:val="subscript"/>
                <w:lang w:val="fr-FR"/>
              </w:rPr>
              <w:t>h</w:t>
            </w:r>
            <w:r>
              <w:rPr>
                <w:lang w:val="fr-FR"/>
              </w:rPr>
              <w:t>,</w:t>
            </w:r>
          </w:p>
          <w:p w:rsidR="00C54AD2" w:rsidRDefault="00C54AD2" w:rsidP="00D50F2E">
            <w:pPr>
              <w:pStyle w:val="TableText0"/>
              <w:spacing w:line="240" w:lineRule="auto"/>
              <w:rPr>
                <w:lang w:val="fr-FR"/>
              </w:rPr>
            </w:pPr>
            <w:bookmarkStart w:id="12" w:name="OLE_LINK1"/>
            <w:r>
              <w:rPr>
                <w:lang w:val="fr-FR"/>
              </w:rPr>
              <w:t>10 log</w:t>
            </w:r>
            <w:r w:rsidRPr="00A206FD">
              <w:rPr>
                <w:vertAlign w:val="subscript"/>
              </w:rPr>
              <w:t>10</w:t>
            </w:r>
            <w:bookmarkEnd w:id="12"/>
            <w:r>
              <w:rPr>
                <w:position w:val="-48"/>
                <w:lang w:val="fr-FR"/>
              </w:rPr>
              <w:object w:dxaOrig="5220" w:dyaOrig="1060">
                <v:shape id="_x0000_i1033" type="#_x0000_t75" style="width:260.4pt;height:52.8pt" o:ole="">
                  <v:imagedata r:id="rId36" o:title=""/>
                </v:shape>
                <o:OLEObject Type="Embed" ProgID="Equation.3" ShapeID="_x0000_i1033" DrawAspect="Content" ObjectID="_1469356508" r:id="rId37"/>
              </w:object>
            </w:r>
          </w:p>
          <w:p w:rsidR="00C54AD2" w:rsidRDefault="00C54AD2" w:rsidP="00D50F2E">
            <w:pPr>
              <w:pStyle w:val="TableText0"/>
              <w:rPr>
                <w:lang w:val="fr-FR"/>
              </w:rPr>
            </w:pPr>
            <w:r>
              <w:rPr>
                <w:lang w:val="fr-FR"/>
              </w:rPr>
              <w:t>et</w:t>
            </w:r>
          </w:p>
          <w:p w:rsidR="00C54AD2" w:rsidRDefault="00C54AD2" w:rsidP="00D50F2E">
            <w:pPr>
              <w:pStyle w:val="TableText0"/>
              <w:spacing w:line="240" w:lineRule="auto"/>
              <w:rPr>
                <w:lang w:val="fr-FR"/>
              </w:rPr>
            </w:pPr>
            <w:r>
              <w:rPr>
                <w:lang w:val="fr-FR"/>
              </w:rPr>
              <w:t>10 log</w:t>
            </w:r>
            <w:r w:rsidRPr="00A206FD">
              <w:rPr>
                <w:vertAlign w:val="subscript"/>
              </w:rPr>
              <w:t>10</w:t>
            </w:r>
            <w:r>
              <w:rPr>
                <w:position w:val="-48"/>
                <w:lang w:val="fr-FR"/>
              </w:rPr>
              <w:object w:dxaOrig="5300" w:dyaOrig="1060">
                <v:shape id="_x0000_i1034" type="#_x0000_t75" style="width:265.8pt;height:52.8pt" o:ole="">
                  <v:imagedata r:id="rId38" o:title=""/>
                </v:shape>
                <o:OLEObject Type="Embed" ProgID="Equation.3" ShapeID="_x0000_i1034" DrawAspect="Content" ObjectID="_1469356509" r:id="rId39"/>
              </w:objec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11</w:t>
            </w:r>
          </w:p>
        </w:tc>
        <w:tc>
          <w:tcPr>
            <w:tcW w:w="1191" w:type="dxa"/>
            <w:tcBorders>
              <w:top w:val="single" w:sz="6" w:space="0" w:color="auto"/>
              <w:left w:val="single" w:sz="6" w:space="0" w:color="auto"/>
              <w:right w:val="single" w:sz="6" w:space="0" w:color="auto"/>
            </w:tcBorders>
          </w:tcPr>
          <w:p w:rsidR="00C54AD2" w:rsidRDefault="00C54AD2" w:rsidP="00D50F2E">
            <w:pPr>
              <w:pStyle w:val="TableText0"/>
              <w:jc w:val="center"/>
              <w:rPr>
                <w:i/>
                <w:lang w:val="fr-FR"/>
              </w:rPr>
            </w:pPr>
            <w:r>
              <w:rPr>
                <w:i/>
                <w:lang w:val="fr-FR"/>
              </w:rPr>
              <w:t>S</w:t>
            </w:r>
            <w:r>
              <w:rPr>
                <w:lang w:val="fr-FR"/>
              </w:rPr>
              <w:t>/</w:t>
            </w:r>
            <w:r>
              <w:rPr>
                <w:i/>
                <w:lang w:val="fr-FR"/>
              </w:rPr>
              <w:t>I</w:t>
            </w:r>
            <w:r w:rsidRPr="00D30C07">
              <w:rPr>
                <w:i/>
                <w:vertAlign w:val="subscript"/>
              </w:rPr>
              <w:t>r</w:t>
            </w:r>
          </w:p>
        </w:tc>
        <w:tc>
          <w:tcPr>
            <w:tcW w:w="6350" w:type="dxa"/>
            <w:tcBorders>
              <w:top w:val="single" w:sz="6" w:space="0" w:color="auto"/>
              <w:left w:val="single" w:sz="6" w:space="0" w:color="auto"/>
              <w:right w:val="single" w:sz="6" w:space="0" w:color="auto"/>
            </w:tcBorders>
          </w:tcPr>
          <w:p w:rsidR="00C54AD2" w:rsidRDefault="00C54AD2" w:rsidP="00D50F2E">
            <w:pPr>
              <w:pStyle w:val="TableText0"/>
              <w:jc w:val="left"/>
              <w:rPr>
                <w:lang w:val="fr-FR"/>
              </w:rPr>
            </w:pPr>
            <w:r>
              <w:rPr>
                <w:lang w:val="fr-FR"/>
              </w:rPr>
              <w:t>Rapport signal/brouillage requis (dB)</w:t>
            </w:r>
          </w:p>
        </w:tc>
        <w:tc>
          <w:tcPr>
            <w:tcW w:w="6464"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Défini par l'utilisateur</w:t>
            </w:r>
          </w:p>
        </w:tc>
      </w:tr>
      <w:tr w:rsidR="00C54AD2" w:rsidTr="00D50F2E">
        <w:trPr>
          <w:cantSplit/>
          <w:jc w:val="center"/>
        </w:trPr>
        <w:tc>
          <w:tcPr>
            <w:tcW w:w="737"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12</w:t>
            </w:r>
          </w:p>
        </w:tc>
        <w:tc>
          <w:tcPr>
            <w:tcW w:w="1191"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ICR</w:t>
            </w:r>
          </w:p>
        </w:tc>
        <w:tc>
          <w:tcPr>
            <w:tcW w:w="6350" w:type="dxa"/>
            <w:tcBorders>
              <w:top w:val="single" w:sz="6" w:space="0" w:color="auto"/>
              <w:bottom w:val="single" w:sz="6" w:space="0" w:color="auto"/>
              <w:right w:val="single" w:sz="6" w:space="0" w:color="auto"/>
            </w:tcBorders>
          </w:tcPr>
          <w:p w:rsidR="00C54AD2" w:rsidRDefault="00C54AD2" w:rsidP="00D50F2E">
            <w:pPr>
              <w:pStyle w:val="TableText0"/>
              <w:jc w:val="left"/>
              <w:rPr>
                <w:lang w:val="fr-FR"/>
              </w:rPr>
            </w:pPr>
            <w:r>
              <w:rPr>
                <w:lang w:val="fr-FR"/>
              </w:rPr>
              <w:t xml:space="preserve">Fiabilité de circuit en présence de brouillage seul (sans bruit) pour </w:t>
            </w:r>
            <w:r>
              <w:rPr>
                <w:i/>
                <w:lang w:val="fr-FR"/>
              </w:rPr>
              <w:t>S</w:t>
            </w:r>
            <w:r>
              <w:rPr>
                <w:lang w:val="fr-FR"/>
              </w:rPr>
              <w:t>/</w:t>
            </w:r>
            <w:r>
              <w:rPr>
                <w:i/>
                <w:lang w:val="fr-FR"/>
              </w:rPr>
              <w:t>I</w:t>
            </w:r>
            <w:r>
              <w:rPr>
                <w:lang w:val="fr-FR"/>
              </w:rPr>
              <w:t xml:space="preserve"> </w:t>
            </w:r>
            <w:r>
              <w:rPr>
                <w:lang w:val="fr-FR"/>
              </w:rPr>
              <w:sym w:font="Symbol" w:char="F0B3"/>
            </w:r>
            <w:r>
              <w:rPr>
                <w:lang w:val="fr-FR"/>
              </w:rPr>
              <w:t xml:space="preserve"> </w:t>
            </w:r>
            <w:r>
              <w:rPr>
                <w:i/>
                <w:lang w:val="fr-FR"/>
              </w:rPr>
              <w:t>S</w:t>
            </w:r>
            <w:r>
              <w:rPr>
                <w:lang w:val="fr-FR"/>
              </w:rPr>
              <w:t>/</w:t>
            </w:r>
            <w:r>
              <w:rPr>
                <w:i/>
                <w:lang w:val="fr-FR"/>
              </w:rPr>
              <w:t>I</w:t>
            </w:r>
            <w:r w:rsidRPr="00144DC5">
              <w:rPr>
                <w:i/>
                <w:vertAlign w:val="subscript"/>
                <w:lang w:val="fr-FR"/>
              </w:rPr>
              <w:t xml:space="preserve">r </w:t>
            </w:r>
            <w:r>
              <w:rPr>
                <w:lang w:val="fr-FR"/>
              </w:rPr>
              <w:t>(%)</w:t>
            </w:r>
          </w:p>
        </w:tc>
        <w:tc>
          <w:tcPr>
            <w:tcW w:w="6464"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130  –  80</w:t>
            </w:r>
            <w:r>
              <w:rPr>
                <w:rFonts w:ascii="Tms Rmn" w:hAnsi="Tms Rmn"/>
                <w:sz w:val="8"/>
                <w:lang w:val="fr-FR"/>
              </w:rPr>
              <w:t> </w:t>
            </w:r>
            <w:r>
              <w:rPr>
                <w:lang w:val="fr-FR"/>
              </w:rPr>
              <w:t>/</w:t>
            </w:r>
            <w:r>
              <w:rPr>
                <w:rFonts w:ascii="Tms Rmn" w:hAnsi="Tms Rmn"/>
                <w:sz w:val="8"/>
                <w:lang w:val="fr-FR"/>
              </w:rPr>
              <w:t> </w:t>
            </w:r>
            <w:r>
              <w:rPr>
                <w:lang w:val="fr-FR"/>
              </w:rPr>
              <w:t>(1 + (</w:t>
            </w:r>
            <w:r>
              <w:rPr>
                <w:i/>
                <w:lang w:val="fr-FR"/>
              </w:rPr>
              <w:t xml:space="preserve">S/I  </w:t>
            </w:r>
            <w:r>
              <w:rPr>
                <w:lang w:val="fr-FR"/>
              </w:rPr>
              <w:t xml:space="preserve">–  </w:t>
            </w:r>
            <w:r>
              <w:rPr>
                <w:i/>
                <w:lang w:val="fr-FR"/>
              </w:rPr>
              <w:t>S/I</w:t>
            </w:r>
            <w:r w:rsidRPr="00144DC5">
              <w:rPr>
                <w:i/>
                <w:vertAlign w:val="subscript"/>
                <w:lang w:val="fr-FR"/>
              </w:rPr>
              <w:t>r</w:t>
            </w:r>
            <w:r>
              <w:rPr>
                <w:lang w:val="fr-FR"/>
              </w:rPr>
              <w:t>)</w:t>
            </w:r>
            <w:r>
              <w:rPr>
                <w:rFonts w:ascii="Tms Rmn" w:hAnsi="Tms Rmn"/>
                <w:sz w:val="8"/>
                <w:lang w:val="fr-FR"/>
              </w:rPr>
              <w:t xml:space="preserve">  </w:t>
            </w:r>
            <w:r>
              <w:rPr>
                <w:lang w:val="fr-FR"/>
              </w:rPr>
              <w:t>/</w:t>
            </w:r>
            <w:r>
              <w:rPr>
                <w:rFonts w:ascii="Tms Rmn" w:hAnsi="Tms Rmn"/>
                <w:sz w:val="8"/>
                <w:lang w:val="fr-FR"/>
              </w:rPr>
              <w:t> </w:t>
            </w:r>
            <w:r>
              <w:rPr>
                <w:i/>
                <w:lang w:val="fr-FR"/>
              </w:rPr>
              <w:t>D</w:t>
            </w:r>
            <w:r w:rsidRPr="00144DC5">
              <w:rPr>
                <w:i/>
                <w:vertAlign w:val="subscript"/>
                <w:lang w:val="fr-FR"/>
              </w:rPr>
              <w:t>l</w:t>
            </w:r>
            <w:r>
              <w:rPr>
                <w:i/>
                <w:position w:val="-4"/>
                <w:sz w:val="14"/>
                <w:lang w:val="fr-FR"/>
              </w:rPr>
              <w:t xml:space="preserve"> </w:t>
            </w:r>
            <w:r>
              <w:rPr>
                <w:i/>
                <w:lang w:val="fr-FR"/>
              </w:rPr>
              <w:t>SI</w:t>
            </w:r>
            <w:r>
              <w:rPr>
                <w:rFonts w:ascii="Tms Rmn" w:hAnsi="Tms Rmn"/>
                <w:sz w:val="12"/>
                <w:lang w:val="fr-FR"/>
              </w:rPr>
              <w:t> </w:t>
            </w:r>
            <w:r>
              <w:rPr>
                <w:lang w:val="fr-FR"/>
              </w:rPr>
              <w:t>)</w:t>
            </w:r>
            <w:r>
              <w:rPr>
                <w:lang w:val="fr-FR"/>
              </w:rPr>
              <w:br/>
              <w:t>ou 100, la valeur la plus petite étant retenue</w:t>
            </w:r>
          </w:p>
        </w:tc>
      </w:tr>
      <w:tr w:rsidR="00C54AD2" w:rsidTr="00D50F2E">
        <w:trPr>
          <w:cantSplit/>
          <w:jc w:val="center"/>
        </w:trPr>
        <w:tc>
          <w:tcPr>
            <w:tcW w:w="737" w:type="dxa"/>
            <w:tcBorders>
              <w:left w:val="single" w:sz="6" w:space="0" w:color="auto"/>
              <w:right w:val="single" w:sz="6" w:space="0" w:color="auto"/>
            </w:tcBorders>
          </w:tcPr>
          <w:p w:rsidR="00C54AD2" w:rsidRDefault="00C54AD2" w:rsidP="00D50F2E">
            <w:pPr>
              <w:pStyle w:val="TableText0"/>
              <w:jc w:val="center"/>
              <w:rPr>
                <w:lang w:val="fr-FR"/>
              </w:rPr>
            </w:pPr>
          </w:p>
        </w:tc>
        <w:tc>
          <w:tcPr>
            <w:tcW w:w="1191" w:type="dxa"/>
            <w:tcBorders>
              <w:left w:val="single" w:sz="6" w:space="0" w:color="auto"/>
              <w:right w:val="single" w:sz="6" w:space="0" w:color="auto"/>
            </w:tcBorders>
          </w:tcPr>
          <w:p w:rsidR="00C54AD2" w:rsidRDefault="00C54AD2" w:rsidP="00D50F2E">
            <w:pPr>
              <w:pStyle w:val="TableText0"/>
              <w:jc w:val="center"/>
              <w:rPr>
                <w:lang w:val="fr-FR"/>
              </w:rPr>
            </w:pPr>
          </w:p>
        </w:tc>
        <w:tc>
          <w:tcPr>
            <w:tcW w:w="6350" w:type="dxa"/>
            <w:tcBorders>
              <w:top w:val="single" w:sz="6" w:space="0" w:color="auto"/>
              <w:right w:val="single" w:sz="6" w:space="0" w:color="auto"/>
            </w:tcBorders>
          </w:tcPr>
          <w:p w:rsidR="00C54AD2" w:rsidRDefault="00C54AD2" w:rsidP="00D50F2E">
            <w:pPr>
              <w:pStyle w:val="TableText0"/>
              <w:jc w:val="left"/>
              <w:rPr>
                <w:lang w:val="fr-FR"/>
              </w:rPr>
            </w:pPr>
            <w:r>
              <w:rPr>
                <w:lang w:val="fr-FR"/>
              </w:rPr>
              <w:t xml:space="preserve">Fiabilité de circuit en présence de brouillage seul (sans bruit) pour </w:t>
            </w:r>
            <w:r>
              <w:rPr>
                <w:i/>
                <w:lang w:val="fr-FR"/>
              </w:rPr>
              <w:t>S</w:t>
            </w:r>
            <w:r>
              <w:rPr>
                <w:lang w:val="fr-FR"/>
              </w:rPr>
              <w:t>/</w:t>
            </w:r>
            <w:r>
              <w:rPr>
                <w:i/>
                <w:lang w:val="fr-FR"/>
              </w:rPr>
              <w:t>I</w:t>
            </w:r>
            <w:r>
              <w:rPr>
                <w:lang w:val="fr-FR"/>
              </w:rPr>
              <w:t xml:space="preserve"> &lt; </w:t>
            </w:r>
            <w:r>
              <w:rPr>
                <w:i/>
                <w:lang w:val="fr-FR"/>
              </w:rPr>
              <w:t>S</w:t>
            </w:r>
            <w:r>
              <w:rPr>
                <w:lang w:val="fr-FR"/>
              </w:rPr>
              <w:t>/</w:t>
            </w:r>
            <w:r>
              <w:rPr>
                <w:i/>
                <w:lang w:val="fr-FR"/>
              </w:rPr>
              <w:t>I</w:t>
            </w:r>
            <w:r w:rsidRPr="00144DC5">
              <w:rPr>
                <w:i/>
                <w:vertAlign w:val="subscript"/>
                <w:lang w:val="fr-FR"/>
              </w:rPr>
              <w:t xml:space="preserve">r </w:t>
            </w:r>
            <w:r>
              <w:rPr>
                <w:lang w:val="fr-FR"/>
              </w:rPr>
              <w:t>(%)</w:t>
            </w:r>
          </w:p>
        </w:tc>
        <w:tc>
          <w:tcPr>
            <w:tcW w:w="6464" w:type="dxa"/>
            <w:tcBorders>
              <w:top w:val="single" w:sz="6" w:space="0" w:color="auto"/>
              <w:left w:val="single" w:sz="6" w:space="0" w:color="auto"/>
              <w:right w:val="single" w:sz="6" w:space="0" w:color="auto"/>
            </w:tcBorders>
          </w:tcPr>
          <w:p w:rsidR="00C54AD2" w:rsidRDefault="00C54AD2" w:rsidP="00D50F2E">
            <w:pPr>
              <w:pStyle w:val="TableText0"/>
              <w:jc w:val="center"/>
              <w:rPr>
                <w:lang w:val="fr-FR"/>
              </w:rPr>
            </w:pPr>
            <w:r>
              <w:rPr>
                <w:lang w:val="fr-FR"/>
              </w:rPr>
              <w:t>80</w:t>
            </w:r>
            <w:r>
              <w:rPr>
                <w:rFonts w:ascii="Tms Rmn" w:hAnsi="Tms Rmn"/>
                <w:sz w:val="8"/>
                <w:lang w:val="fr-FR"/>
              </w:rPr>
              <w:t> </w:t>
            </w:r>
            <w:r>
              <w:rPr>
                <w:lang w:val="fr-FR"/>
              </w:rPr>
              <w:t>/</w:t>
            </w:r>
            <w:r>
              <w:rPr>
                <w:rFonts w:ascii="Tms Rmn" w:hAnsi="Tms Rmn"/>
                <w:sz w:val="8"/>
                <w:lang w:val="fr-FR"/>
              </w:rPr>
              <w:t> </w:t>
            </w:r>
            <w:r>
              <w:rPr>
                <w:lang w:val="fr-FR"/>
              </w:rPr>
              <w:t>(1 + (</w:t>
            </w:r>
            <w:r>
              <w:rPr>
                <w:i/>
                <w:lang w:val="fr-FR"/>
              </w:rPr>
              <w:t>S/I</w:t>
            </w:r>
            <w:r w:rsidRPr="00144DC5">
              <w:rPr>
                <w:i/>
                <w:vertAlign w:val="subscript"/>
                <w:lang w:val="fr-FR"/>
              </w:rPr>
              <w:t>r</w:t>
            </w:r>
            <w:r>
              <w:rPr>
                <w:lang w:val="fr-FR"/>
              </w:rPr>
              <w:t xml:space="preserve">  </w:t>
            </w:r>
            <w:r>
              <w:rPr>
                <w:i/>
                <w:lang w:val="fr-FR"/>
              </w:rPr>
              <w:t>–  S/I</w:t>
            </w:r>
            <w:r>
              <w:rPr>
                <w:rFonts w:ascii="Tms Rmn" w:hAnsi="Tms Rmn"/>
                <w:sz w:val="12"/>
                <w:lang w:val="fr-FR"/>
              </w:rPr>
              <w:t> </w:t>
            </w:r>
            <w:r>
              <w:rPr>
                <w:lang w:val="fr-FR"/>
              </w:rPr>
              <w:t>)</w:t>
            </w:r>
            <w:r>
              <w:rPr>
                <w:rFonts w:ascii="Tms Rmn" w:hAnsi="Tms Rmn"/>
                <w:sz w:val="8"/>
                <w:lang w:val="fr-FR"/>
              </w:rPr>
              <w:t> </w:t>
            </w:r>
            <w:r>
              <w:rPr>
                <w:i/>
                <w:lang w:val="fr-FR"/>
              </w:rPr>
              <w:t>/</w:t>
            </w:r>
            <w:r>
              <w:rPr>
                <w:rFonts w:ascii="Tms Rmn" w:hAnsi="Tms Rmn"/>
                <w:sz w:val="8"/>
                <w:lang w:val="fr-FR"/>
              </w:rPr>
              <w:t> </w:t>
            </w:r>
            <w:r>
              <w:rPr>
                <w:i/>
                <w:lang w:val="fr-FR"/>
              </w:rPr>
              <w:t>D</w:t>
            </w:r>
            <w:r w:rsidRPr="00144DC5">
              <w:rPr>
                <w:i/>
                <w:vertAlign w:val="subscript"/>
                <w:lang w:val="fr-FR"/>
              </w:rPr>
              <w:t>u</w:t>
            </w:r>
            <w:r>
              <w:rPr>
                <w:lang w:val="fr-FR"/>
              </w:rPr>
              <w:t xml:space="preserve"> </w:t>
            </w:r>
            <w:r>
              <w:rPr>
                <w:i/>
                <w:lang w:val="fr-FR"/>
              </w:rPr>
              <w:t>SI</w:t>
            </w:r>
            <w:r>
              <w:rPr>
                <w:rFonts w:ascii="Tms Rmn" w:hAnsi="Tms Rmn"/>
                <w:sz w:val="12"/>
                <w:lang w:val="fr-FR"/>
              </w:rPr>
              <w:t> </w:t>
            </w:r>
            <w:r>
              <w:rPr>
                <w:lang w:val="fr-FR"/>
              </w:rPr>
              <w:t xml:space="preserve">) </w:t>
            </w:r>
            <w:r>
              <w:rPr>
                <w:i/>
                <w:lang w:val="fr-FR"/>
              </w:rPr>
              <w:t xml:space="preserve"> –  </w:t>
            </w:r>
            <w:r>
              <w:rPr>
                <w:lang w:val="fr-FR"/>
              </w:rPr>
              <w:t>30</w:t>
            </w:r>
            <w:r>
              <w:rPr>
                <w:lang w:val="fr-FR"/>
              </w:rPr>
              <w:br/>
              <w:t>ou 0, la valeur la plus grande étant retenue</w: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13</w:t>
            </w:r>
          </w:p>
        </w:tc>
        <w:tc>
          <w:tcPr>
            <w:tcW w:w="1191"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BCR</w:t>
            </w:r>
          </w:p>
        </w:tc>
        <w:tc>
          <w:tcPr>
            <w:tcW w:w="635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left"/>
              <w:rPr>
                <w:lang w:val="fr-FR"/>
              </w:rPr>
            </w:pPr>
            <w:r>
              <w:rPr>
                <w:lang w:val="fr-FR"/>
              </w:rPr>
              <w:t>Fiabilité de circuit de référence (%)</w:t>
            </w:r>
          </w:p>
        </w:tc>
        <w:tc>
          <w:tcPr>
            <w:tcW w:w="6464"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Tableau 1</w:t>
            </w:r>
          </w:p>
        </w:tc>
      </w:tr>
      <w:tr w:rsidR="00C54AD2" w:rsidTr="00D50F2E">
        <w:trPr>
          <w:cantSplit/>
          <w:jc w:val="center"/>
        </w:trPr>
        <w:tc>
          <w:tcPr>
            <w:tcW w:w="737"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14</w:t>
            </w:r>
          </w:p>
        </w:tc>
        <w:tc>
          <w:tcPr>
            <w:tcW w:w="1191"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OCR</w:t>
            </w:r>
          </w:p>
        </w:tc>
        <w:tc>
          <w:tcPr>
            <w:tcW w:w="6350"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left"/>
              <w:rPr>
                <w:lang w:val="fr-FR"/>
              </w:rPr>
            </w:pPr>
            <w:r>
              <w:rPr>
                <w:lang w:val="fr-FR"/>
              </w:rPr>
              <w:t>Fiabilité de circuit globale (%)</w:t>
            </w:r>
          </w:p>
        </w:tc>
        <w:tc>
          <w:tcPr>
            <w:tcW w:w="6464" w:type="dxa"/>
            <w:tcBorders>
              <w:top w:val="single" w:sz="6" w:space="0" w:color="auto"/>
              <w:left w:val="single" w:sz="6" w:space="0" w:color="auto"/>
              <w:bottom w:val="single" w:sz="6" w:space="0" w:color="auto"/>
              <w:right w:val="single" w:sz="6" w:space="0" w:color="auto"/>
            </w:tcBorders>
          </w:tcPr>
          <w:p w:rsidR="00C54AD2" w:rsidRDefault="00C54AD2" w:rsidP="00D50F2E">
            <w:pPr>
              <w:pStyle w:val="TableText0"/>
              <w:jc w:val="center"/>
              <w:rPr>
                <w:lang w:val="fr-FR"/>
              </w:rPr>
            </w:pPr>
            <w:r>
              <w:rPr>
                <w:lang w:val="fr-FR"/>
              </w:rPr>
              <w:t>Min (ICR, BCR)</w:t>
            </w:r>
          </w:p>
        </w:tc>
      </w:tr>
    </w:tbl>
    <w:p w:rsidR="00C54AD2" w:rsidRDefault="00C54AD2" w:rsidP="00C54AD2">
      <w:pPr>
        <w:sectPr w:rsidR="00C54AD2" w:rsidSect="00D50F2E">
          <w:headerReference w:type="even" r:id="rId40"/>
          <w:headerReference w:type="default" r:id="rId41"/>
          <w:pgSz w:w="16834" w:h="11907" w:orient="landscape" w:code="9"/>
          <w:pgMar w:top="1134" w:right="1418" w:bottom="1134" w:left="1134" w:header="720" w:footer="482" w:gutter="0"/>
          <w:paperSrc w:first="15" w:other="15"/>
          <w:cols w:space="720"/>
        </w:sectPr>
      </w:pPr>
    </w:p>
    <w:p w:rsidR="00C54AD2" w:rsidRDefault="00C54AD2" w:rsidP="00C54AD2">
      <w:pPr>
        <w:pStyle w:val="Heading2"/>
      </w:pPr>
      <w:bookmarkStart w:id="13" w:name="_Toc108939206"/>
      <w:r>
        <w:lastRenderedPageBreak/>
        <w:t>7.1</w:t>
      </w:r>
      <w:r>
        <w:tab/>
        <w:t xml:space="preserve">Fiabilité de trajet de référence (BPR, </w:t>
      </w:r>
      <w:r>
        <w:rPr>
          <w:i/>
        </w:rPr>
        <w:t>basic path reliability</w:t>
      </w:r>
      <w:r>
        <w:t>)</w:t>
      </w:r>
      <w:bookmarkEnd w:id="13"/>
    </w:p>
    <w:p w:rsidR="00C54AD2" w:rsidRDefault="00C54AD2" w:rsidP="00C54AD2">
      <w:r>
        <w:t>Pour plusieurs circuits, une estimation minimale de la BPR est le produit des BRR pour tous les circuits du trajet, c'est</w:t>
      </w:r>
      <w:r>
        <w:noBreakHyphen/>
        <w:t>à-dire:</w:t>
      </w:r>
    </w:p>
    <w:p w:rsidR="00C54AD2" w:rsidRDefault="00C54AD2" w:rsidP="00C54AD2">
      <w:pPr>
        <w:pStyle w:val="Equation"/>
        <w:rPr>
          <w:sz w:val="20"/>
        </w:rPr>
      </w:pPr>
      <w:bookmarkStart w:id="14" w:name="F002"/>
      <w:r>
        <w:rPr>
          <w:sz w:val="20"/>
        </w:rPr>
        <w:tab/>
      </w:r>
      <w:r>
        <w:rPr>
          <w:sz w:val="20"/>
        </w:rPr>
        <w:tab/>
      </w:r>
      <w:r w:rsidR="0040588C" w:rsidRPr="0040588C">
        <w:rPr>
          <w:position w:val="-38"/>
          <w:sz w:val="20"/>
        </w:rPr>
        <w:object w:dxaOrig="4500" w:dyaOrig="880">
          <v:shape id="_x0000_i1035" type="#_x0000_t75" style="width:225pt;height:44.4pt" o:ole="">
            <v:imagedata r:id="rId42" o:title=""/>
          </v:shape>
          <o:OLEObject Type="Embed" ProgID="Equation.3" ShapeID="_x0000_i1035" DrawAspect="Content" ObjectID="_1469356510" r:id="rId43"/>
        </w:object>
      </w:r>
    </w:p>
    <w:bookmarkEnd w:id="14"/>
    <w:p w:rsidR="00C54AD2" w:rsidRDefault="00C54AD2" w:rsidP="00C54AD2">
      <w:r>
        <w:t xml:space="preserve">où </w:t>
      </w:r>
      <w:r w:rsidRPr="00A2654D">
        <w:rPr>
          <w:i/>
          <w:iCs/>
        </w:rPr>
        <w:t>BRR</w:t>
      </w:r>
      <w:r w:rsidRPr="00F9630D">
        <w:rPr>
          <w:i/>
          <w:vertAlign w:val="subscript"/>
        </w:rPr>
        <w:t>i</w:t>
      </w:r>
      <w:r>
        <w:t xml:space="preserve"> est la </w:t>
      </w:r>
      <w:r w:rsidRPr="00A2654D">
        <w:t xml:space="preserve">BRR </w:t>
      </w:r>
      <w:r>
        <w:t xml:space="preserve">pour un trajet </w:t>
      </w:r>
      <w:r>
        <w:rPr>
          <w:i/>
        </w:rPr>
        <w:t>i</w:t>
      </w:r>
      <w:r>
        <w:t>. Une estimation maximale est la BRR minimale.</w:t>
      </w:r>
    </w:p>
    <w:p w:rsidR="00C54AD2" w:rsidRDefault="00C54AD2" w:rsidP="00C54AD2">
      <w:r>
        <w:t>Pour un circuit unique, la BPR est égale à la BRR.</w:t>
      </w:r>
    </w:p>
    <w:p w:rsidR="00C54AD2" w:rsidRDefault="00C54AD2" w:rsidP="00C54AD2">
      <w:pPr>
        <w:pStyle w:val="Heading2"/>
      </w:pPr>
      <w:bookmarkStart w:id="15" w:name="_Toc108939207"/>
      <w:r>
        <w:t>7.2</w:t>
      </w:r>
      <w:r>
        <w:tab/>
        <w:t>Fiabilité des communications de référence (</w:t>
      </w:r>
      <w:r>
        <w:rPr>
          <w:i/>
        </w:rPr>
        <w:t>R</w:t>
      </w:r>
      <w:r>
        <w:t>)</w:t>
      </w:r>
      <w:bookmarkEnd w:id="15"/>
    </w:p>
    <w:p w:rsidR="00C54AD2" w:rsidRDefault="00C54AD2" w:rsidP="00C54AD2">
      <w:r>
        <w:t xml:space="preserve">Pour plusieurs trajets, une estimation minimale de </w:t>
      </w:r>
      <w:r>
        <w:rPr>
          <w:i/>
        </w:rPr>
        <w:t>R</w:t>
      </w:r>
      <w:r>
        <w:t xml:space="preserve"> est donnée par la fiabilité de trajet maximale et une estimation maximale par:</w:t>
      </w:r>
    </w:p>
    <w:p w:rsidR="00C54AD2" w:rsidRDefault="00C54AD2" w:rsidP="00C54AD2">
      <w:pPr>
        <w:pStyle w:val="Equation"/>
        <w:rPr>
          <w:sz w:val="20"/>
        </w:rPr>
      </w:pPr>
      <w:bookmarkStart w:id="16" w:name="F003"/>
      <w:r>
        <w:rPr>
          <w:sz w:val="20"/>
        </w:rPr>
        <w:tab/>
      </w:r>
      <w:r>
        <w:rPr>
          <w:sz w:val="20"/>
        </w:rPr>
        <w:tab/>
      </w:r>
      <w:r w:rsidR="0040588C" w:rsidRPr="0040588C">
        <w:rPr>
          <w:position w:val="-38"/>
          <w:sz w:val="20"/>
        </w:rPr>
        <w:object w:dxaOrig="4200" w:dyaOrig="880">
          <v:shape id="_x0000_i1036" type="#_x0000_t75" style="width:210pt;height:44.4pt" o:ole="">
            <v:imagedata r:id="rId44" o:title=""/>
          </v:shape>
          <o:OLEObject Type="Embed" ProgID="Equation.3" ShapeID="_x0000_i1036" DrawAspect="Content" ObjectID="_1469356511" r:id="rId45"/>
        </w:object>
      </w:r>
    </w:p>
    <w:bookmarkEnd w:id="16"/>
    <w:p w:rsidR="00C54AD2" w:rsidRDefault="00C54AD2" w:rsidP="00C54AD2">
      <w:r>
        <w:t xml:space="preserve">où </w:t>
      </w:r>
      <w:r>
        <w:rPr>
          <w:i/>
        </w:rPr>
        <w:t>BPR</w:t>
      </w:r>
      <w:r w:rsidRPr="00717D61">
        <w:rPr>
          <w:i/>
          <w:vertAlign w:val="subscript"/>
        </w:rPr>
        <w:t>i</w:t>
      </w:r>
      <w:r>
        <w:t xml:space="preserve"> est la fiabilité de trajet de référence pour un trajet </w:t>
      </w:r>
      <w:r>
        <w:rPr>
          <w:i/>
        </w:rPr>
        <w:t>i</w:t>
      </w:r>
      <w:r>
        <w:t>.</w:t>
      </w:r>
    </w:p>
    <w:p w:rsidR="00C54AD2" w:rsidRDefault="00C54AD2" w:rsidP="00C54AD2">
      <w:r>
        <w:t xml:space="preserve">Pour un trajet unique, </w:t>
      </w:r>
      <w:r>
        <w:rPr>
          <w:i/>
        </w:rPr>
        <w:t>R</w:t>
      </w:r>
      <w:r>
        <w:t xml:space="preserve"> est égal à </w:t>
      </w:r>
      <w:r w:rsidRPr="00A2654D">
        <w:rPr>
          <w:i/>
          <w:iCs/>
        </w:rPr>
        <w:t>BPR</w:t>
      </w:r>
      <w:r>
        <w:t>.</w:t>
      </w:r>
    </w:p>
    <w:p w:rsidR="00C54AD2" w:rsidRDefault="00C54AD2" w:rsidP="00C54AD2">
      <w:pPr>
        <w:pStyle w:val="Heading1"/>
      </w:pPr>
      <w:bookmarkStart w:id="17" w:name="_Toc108939208"/>
      <w:r>
        <w:t>8</w:t>
      </w:r>
      <w:r>
        <w:tab/>
        <w:t>Calcul de la compatibilité</w:t>
      </w:r>
      <w:bookmarkEnd w:id="17"/>
    </w:p>
    <w:p w:rsidR="00C54AD2" w:rsidRDefault="00C54AD2" w:rsidP="00C54AD2">
      <w:r>
        <w:t>La compatibilité est une mesure de la dégradation subie par un circuit ou un service utiles en présence de brouillage. Dans le cas d'un circuit unique entre points fixes, la compatibilité de circuit (CC) est définie comme le pourcentage du temps pendant lequel un critère spécifié de qualité de service est atteint à l'emplacement du récepteur en présence de brouillage (OCR) par rapport à la valeur qui aurait été obtenue en présence de bruit seulement (BCR):</w:t>
      </w:r>
    </w:p>
    <w:p w:rsidR="00C54AD2" w:rsidRDefault="00C54AD2" w:rsidP="00C54AD2">
      <w:pPr>
        <w:pStyle w:val="Equation"/>
      </w:pPr>
      <w:bookmarkStart w:id="18" w:name="F004"/>
      <w:r>
        <w:tab/>
      </w:r>
      <w:r>
        <w:tab/>
      </w:r>
      <w:r w:rsidR="001032B8" w:rsidRPr="001032B8">
        <w:rPr>
          <w:position w:val="-24"/>
          <w:sz w:val="20"/>
        </w:rPr>
        <w:object w:dxaOrig="2840" w:dyaOrig="620">
          <v:shape id="_x0000_i1037" type="#_x0000_t75" style="width:143.4pt;height:31.2pt" o:ole="">
            <v:imagedata r:id="rId46" o:title=""/>
          </v:shape>
          <o:OLEObject Type="Embed" ProgID="Equation.3" ShapeID="_x0000_i1037" DrawAspect="Content" ObjectID="_1469356512" r:id="rId47"/>
        </w:object>
      </w:r>
      <w:bookmarkEnd w:id="18"/>
    </w:p>
    <w:p w:rsidR="00C54AD2" w:rsidRDefault="00C54AD2" w:rsidP="00C54AD2">
      <w:r>
        <w:t>qui est identique au rapport de la fiabilité de circuit globale à la fiabilité de circuit de référence.</w:t>
      </w:r>
    </w:p>
    <w:p w:rsidR="00C54AD2" w:rsidRDefault="00C54AD2" w:rsidP="00C54AD2">
      <w:r>
        <w:t>Si le service utile s'applique à une zone plutôt qu'à un point de réception unique, la compatibilité peut être définie de deux façons:</w:t>
      </w:r>
    </w:p>
    <w:p w:rsidR="00C54AD2" w:rsidRDefault="00C54AD2" w:rsidP="00C54AD2">
      <w:pPr>
        <w:pStyle w:val="enumlev1"/>
      </w:pPr>
      <w:r>
        <w:t>–</w:t>
      </w:r>
      <w:r>
        <w:tab/>
        <w:t xml:space="preserve">La compatibilité de service dans le temps (TSC, </w:t>
      </w:r>
      <w:r>
        <w:rPr>
          <w:i/>
        </w:rPr>
        <w:t>time service compatibility</w:t>
      </w:r>
      <w:r>
        <w:t xml:space="preserve">) est le pourcentage de temps pendant lequel un pourcentage spécifié de la zone-cible </w:t>
      </w:r>
      <w:r>
        <w:rPr>
          <w:i/>
        </w:rPr>
        <w:t>p</w:t>
      </w:r>
      <w:r w:rsidRPr="00313CEE">
        <w:rPr>
          <w:i/>
          <w:vertAlign w:val="subscript"/>
        </w:rPr>
        <w:t>A</w:t>
      </w:r>
      <w:r>
        <w:t xml:space="preserve"> peut être desservi en présence de brouillage (OSR) relatif à la valeur qui aurait été obtenue en présence du seul bruit du milieu ambiant (BSR):</w:t>
      </w:r>
    </w:p>
    <w:p w:rsidR="00C54AD2" w:rsidRDefault="00C54AD2" w:rsidP="00C54AD2">
      <w:pPr>
        <w:pStyle w:val="Equation"/>
      </w:pPr>
      <w:bookmarkStart w:id="19" w:name="F005"/>
      <w:r>
        <w:tab/>
      </w:r>
      <w:r>
        <w:tab/>
      </w:r>
      <w:r w:rsidR="001032B8" w:rsidRPr="001032B8">
        <w:rPr>
          <w:position w:val="-30"/>
          <w:sz w:val="20"/>
        </w:rPr>
        <w:object w:dxaOrig="3360" w:dyaOrig="680">
          <v:shape id="_x0000_i1038" type="#_x0000_t75" style="width:168.6pt;height:34.2pt" o:ole="">
            <v:imagedata r:id="rId48" o:title=""/>
          </v:shape>
          <o:OLEObject Type="Embed" ProgID="Equation.3" ShapeID="_x0000_i1038" DrawAspect="Content" ObjectID="_1469356513" r:id="rId49"/>
        </w:object>
      </w:r>
    </w:p>
    <w:bookmarkEnd w:id="19"/>
    <w:p w:rsidR="00C54AD2" w:rsidRDefault="00C54AD2" w:rsidP="00C54AD2">
      <w:pPr>
        <w:pStyle w:val="enumlev1"/>
      </w:pPr>
      <w:r>
        <w:tab/>
        <w:t>qui est identique au rapport de la fiabilité de service globale à la fiabilité de service de référence.</w:t>
      </w:r>
    </w:p>
    <w:p w:rsidR="00C54AD2" w:rsidRDefault="00C54AD2" w:rsidP="00C54AD2">
      <w:pPr>
        <w:pStyle w:val="enumlev1"/>
        <w:keepNext/>
        <w:keepLines/>
      </w:pPr>
      <w:r>
        <w:lastRenderedPageBreak/>
        <w:t>–</w:t>
      </w:r>
      <w:r>
        <w:tab/>
        <w:t xml:space="preserve">La compatibilité de service de zone (ASC, </w:t>
      </w:r>
      <w:r>
        <w:rPr>
          <w:i/>
        </w:rPr>
        <w:t>area service compatibility</w:t>
      </w:r>
      <w:r>
        <w:t xml:space="preserve">) est le pourcentage de la zone-cible qui peut être desservi pendant un pourcentage de temps spécifié </w:t>
      </w:r>
      <w:r>
        <w:rPr>
          <w:i/>
        </w:rPr>
        <w:t>p</w:t>
      </w:r>
      <w:r w:rsidRPr="00967744">
        <w:rPr>
          <w:i/>
          <w:vertAlign w:val="subscript"/>
        </w:rPr>
        <w:t>T</w:t>
      </w:r>
      <w:r>
        <w:t xml:space="preserve"> en présence de brouillage </w:t>
      </w:r>
      <w:r>
        <w:rPr>
          <w:i/>
        </w:rPr>
        <w:t>A</w:t>
      </w:r>
      <w:r>
        <w:rPr>
          <w:i/>
          <w:position w:val="-4"/>
          <w:sz w:val="16"/>
        </w:rPr>
        <w:t>I</w:t>
      </w:r>
      <w:r>
        <w:t xml:space="preserve"> relatif à la valeur qui aurait été obtenue en présence du seul bruit du milieu ambiant </w:t>
      </w:r>
      <w:r>
        <w:rPr>
          <w:i/>
        </w:rPr>
        <w:t>A</w:t>
      </w:r>
      <w:r w:rsidRPr="00313CEE">
        <w:rPr>
          <w:i/>
          <w:vertAlign w:val="subscript"/>
        </w:rPr>
        <w:t>N</w:t>
      </w:r>
      <w:r>
        <w:rPr>
          <w:rFonts w:ascii="Tms Rmn" w:hAnsi="Tms Rmn"/>
          <w:i/>
          <w:position w:val="-4"/>
          <w:sz w:val="12"/>
        </w:rPr>
        <w:t> </w:t>
      </w:r>
      <w:r>
        <w:t>:</w:t>
      </w:r>
    </w:p>
    <w:p w:rsidR="00C54AD2" w:rsidRDefault="00C54AD2" w:rsidP="00C54AD2">
      <w:pPr>
        <w:pStyle w:val="Equation"/>
      </w:pPr>
      <w:bookmarkStart w:id="20" w:name="F006"/>
      <w:r>
        <w:tab/>
      </w:r>
      <w:r>
        <w:tab/>
      </w:r>
      <w:r w:rsidR="001032B8" w:rsidRPr="001032B8">
        <w:rPr>
          <w:position w:val="-30"/>
          <w:sz w:val="20"/>
        </w:rPr>
        <w:object w:dxaOrig="3300" w:dyaOrig="680">
          <v:shape id="_x0000_i1039" type="#_x0000_t75" style="width:164.4pt;height:34.2pt" o:ole="">
            <v:imagedata r:id="rId50" o:title=""/>
          </v:shape>
          <o:OLEObject Type="Embed" ProgID="Equation.3" ShapeID="_x0000_i1039" DrawAspect="Content" ObjectID="_1469356514" r:id="rId51"/>
        </w:object>
      </w:r>
    </w:p>
    <w:bookmarkEnd w:id="20"/>
    <w:p w:rsidR="00C54AD2" w:rsidRDefault="00C54AD2" w:rsidP="00C54AD2">
      <w:pPr>
        <w:pStyle w:val="enumlev1"/>
      </w:pPr>
      <w:r>
        <w:tab/>
        <w:t xml:space="preserve">où la zone </w:t>
      </w:r>
      <w:r>
        <w:rPr>
          <w:i/>
        </w:rPr>
        <w:t>A</w:t>
      </w:r>
      <w:r>
        <w:t xml:space="preserve"> peut être représentée par le nombre de points de mesure qui satisfait les conditions requises.</w:t>
      </w:r>
    </w:p>
    <w:p w:rsidR="00C54AD2" w:rsidRDefault="00C54AD2" w:rsidP="00C54AD2">
      <w:pPr>
        <w:pStyle w:val="enumlev1"/>
      </w:pPr>
    </w:p>
    <w:p w:rsidR="00C54AD2" w:rsidRDefault="00C54AD2" w:rsidP="00C54AD2">
      <w:pPr>
        <w:pStyle w:val="enumlev1"/>
      </w:pPr>
    </w:p>
    <w:p w:rsidR="00C54AD2" w:rsidRDefault="00C54AD2" w:rsidP="00C54AD2">
      <w:pPr>
        <w:pStyle w:val="AppendixNoTitle"/>
      </w:pPr>
      <w:bookmarkStart w:id="21" w:name="_Toc108939210"/>
      <w:r>
        <w:t>Appendice 1</w:t>
      </w:r>
      <w:bookmarkEnd w:id="21"/>
    </w:p>
    <w:p w:rsidR="00C54AD2" w:rsidRDefault="00C54AD2" w:rsidP="00C54AD2">
      <w:pPr>
        <w:pStyle w:val="Normalaftertitle"/>
        <w:keepNext/>
        <w:keepLines/>
      </w:pPr>
      <w:r>
        <w:t>Les définitions suivantes ont été formulées pour les besoins de la présente Recommandation:</w:t>
      </w:r>
    </w:p>
    <w:p w:rsidR="00C54AD2" w:rsidRDefault="00C54AD2" w:rsidP="00C54AD2">
      <w:pPr>
        <w:pStyle w:val="Heading1"/>
      </w:pPr>
      <w:bookmarkStart w:id="22" w:name="_Toc108939211"/>
      <w:r>
        <w:t>1</w:t>
      </w:r>
      <w:r>
        <w:tab/>
        <w:t>Expressions concernant l'exploitation et la conception de systèmes radioélectriques en ondes décamétriques</w:t>
      </w:r>
      <w:bookmarkEnd w:id="22"/>
    </w:p>
    <w:p w:rsidR="00C54AD2" w:rsidRDefault="00C54AD2" w:rsidP="00C54AD2">
      <w:pPr>
        <w:pStyle w:val="Headingi"/>
      </w:pPr>
      <w:r>
        <w:t>Fiabilité</w:t>
      </w:r>
    </w:p>
    <w:p w:rsidR="00C54AD2" w:rsidRDefault="00C54AD2" w:rsidP="00C54AD2">
      <w:pPr>
        <w:keepNext/>
        <w:keepLines/>
      </w:pPr>
      <w:r>
        <w:t>Probabilité qu'une qualité de fonctionnement spécifiée soit atteinte.</w:t>
      </w:r>
    </w:p>
    <w:p w:rsidR="00C54AD2" w:rsidRDefault="00C54AD2" w:rsidP="00C54AD2">
      <w:pPr>
        <w:pStyle w:val="Headingi"/>
      </w:pPr>
      <w:r>
        <w:t>Fiabilité de circuit</w:t>
      </w:r>
    </w:p>
    <w:p w:rsidR="00C54AD2" w:rsidRDefault="00C54AD2" w:rsidP="00C54AD2">
      <w:r>
        <w:t>Probabilité, pour un circuit, qu'une qualité de fonctionnement spécifiée soit atteinte avec une seule fréquence.</w:t>
      </w:r>
    </w:p>
    <w:p w:rsidR="00C54AD2" w:rsidRDefault="00C54AD2" w:rsidP="00C54AD2">
      <w:pPr>
        <w:pStyle w:val="Headingi"/>
      </w:pPr>
      <w:r>
        <w:t>Fiabilité de réception</w:t>
      </w:r>
    </w:p>
    <w:p w:rsidR="00C54AD2" w:rsidRDefault="00C54AD2" w:rsidP="00C54AD2">
      <w:r>
        <w:t>Probabilité, pour un circuit, qu'une qualité de fonctionnement spécifiée soit atteinte en tenant compte de toutes les fréquences émises, associées au signal souhaité.</w:t>
      </w:r>
    </w:p>
    <w:p w:rsidR="00C54AD2" w:rsidRDefault="00C54AD2" w:rsidP="00C54AD2">
      <w:pPr>
        <w:pStyle w:val="Headingi"/>
      </w:pPr>
      <w:r>
        <w:t>Fiabilité de trajet</w:t>
      </w:r>
    </w:p>
    <w:p w:rsidR="00C54AD2" w:rsidRDefault="00C54AD2" w:rsidP="00C54AD2">
      <w:r>
        <w:t>Probabilité pour une paire de terminaux, qu'une qualité de fonctionnement spécifiée soit atteinte sur un trajet unique entre les terminaux comprenant un ou plusieurs circuits contigus, compte tenu de toutes les fréquences d'émission.</w:t>
      </w:r>
    </w:p>
    <w:p w:rsidR="00C54AD2" w:rsidRDefault="00C54AD2" w:rsidP="00C54AD2">
      <w:pPr>
        <w:pStyle w:val="Headingi"/>
      </w:pPr>
      <w:r>
        <w:t>Fiabilité des communications</w:t>
      </w:r>
    </w:p>
    <w:p w:rsidR="00C54AD2" w:rsidRDefault="00C54AD2" w:rsidP="00C54AD2">
      <w:r>
        <w:t>Probabilité pour une paire de terminaux, qu'une qualité de fonctionnement spécifiée soit atteinte compte tenu de tous les trajets existant entre les terminaux; cela inclut toutes les bandes de fréquences associées au signal utile.</w:t>
      </w:r>
    </w:p>
    <w:p w:rsidR="00C54AD2" w:rsidRDefault="00C54AD2" w:rsidP="00C54AD2">
      <w:pPr>
        <w:pStyle w:val="Headingi"/>
      </w:pPr>
      <w:r>
        <w:t>Fiabilité de service</w:t>
      </w:r>
    </w:p>
    <w:p w:rsidR="00C54AD2" w:rsidRDefault="00C54AD2" w:rsidP="00C54AD2">
      <w:r>
        <w:t>Probabilité qu'une qualité de fonctionnement spécifiée soit atteinte pour une zone de service, compte tenu de toutes les fréquences transmises.</w:t>
      </w:r>
    </w:p>
    <w:p w:rsidR="00C54AD2" w:rsidRDefault="00C54AD2" w:rsidP="00C54AD2">
      <w:pPr>
        <w:pStyle w:val="Headingi"/>
      </w:pPr>
      <w:r>
        <w:t>Fiabilité de zone</w:t>
      </w:r>
    </w:p>
    <w:p w:rsidR="00C54AD2" w:rsidRDefault="00C54AD2" w:rsidP="00C54AD2">
      <w:r>
        <w:t>Pourcentage des points de mesure dans une zone de service pour lesquels la fiabilité de réception de référence est supérieure à une valeur requise spécifiée.</w:t>
      </w:r>
    </w:p>
    <w:p w:rsidR="00C54AD2" w:rsidRDefault="00C54AD2" w:rsidP="00C54AD2">
      <w:pPr>
        <w:pStyle w:val="Note"/>
      </w:pPr>
      <w:r>
        <w:lastRenderedPageBreak/>
        <w:t>NOTE 1 – Dans les expressions ci-dessus, on entend par circuit une liaison de transmission entre un émetteur et un récepteur, avec ou sans diversité.</w:t>
      </w:r>
    </w:p>
    <w:p w:rsidR="00C54AD2" w:rsidRDefault="00C54AD2" w:rsidP="00C54AD2">
      <w:pPr>
        <w:pStyle w:val="Note"/>
      </w:pPr>
      <w:r>
        <w:t>NOTE 2 – Ces expressions sont qualifiées par les mots «de référence» quand il y a seulement un bruit de fond et par l'adjectif «global» quand il y a un bruit de fond et un brouillage.</w:t>
      </w:r>
    </w:p>
    <w:p w:rsidR="00C54AD2" w:rsidRDefault="00C54AD2" w:rsidP="00C54AD2">
      <w:pPr>
        <w:pStyle w:val="Note"/>
      </w:pPr>
      <w:r>
        <w:t>NOTE 3 – Lorsqu'il y a un bruit de fond et un brouillage, ces expressions peuvent se rapporter soit aux effets d'un seul brouilleur, soit à des brouillages multiples provenant d'émissions dans le même canal ou dans le canal adjacent.</w:t>
      </w:r>
    </w:p>
    <w:p w:rsidR="00C54AD2" w:rsidRDefault="00C54AD2" w:rsidP="00C54AD2">
      <w:pPr>
        <w:pStyle w:val="Note"/>
      </w:pPr>
      <w:r>
        <w:t>NOTE 4 – Pour de nombreuses applications, il est commode d'adopter comme qualité de fonctionnement spécifiée une valeur donnée du rapport signal/bruit de fond.</w:t>
      </w:r>
    </w:p>
    <w:p w:rsidR="00C54AD2" w:rsidRDefault="00C54AD2" w:rsidP="00C54AD2">
      <w:pPr>
        <w:pStyle w:val="Note"/>
      </w:pPr>
      <w:r>
        <w:t>NOTE 5 – Ces expressions se rapportent à une ou plusieurs périodes, qui devraient être indiquées.</w:t>
      </w:r>
    </w:p>
    <w:p w:rsidR="00C54AD2" w:rsidRDefault="00C54AD2" w:rsidP="00C54AD2">
      <w:pPr>
        <w:pStyle w:val="Note"/>
      </w:pPr>
      <w:r>
        <w:t>NOTE 6 – Pour des applications en radiodiffusion, le terme fiabilité de service est remplacé par le terme fiabilité de radiodiffusion et la fiabilité est calculée pour un nombre spécifié de points d'essai à l'intérieur de la zone de service.</w:t>
      </w:r>
    </w:p>
    <w:p w:rsidR="00C54AD2" w:rsidRDefault="00C54AD2" w:rsidP="00C54AD2">
      <w:pPr>
        <w:pStyle w:val="Note"/>
      </w:pPr>
      <w:r>
        <w:t>NOTE 7  – De nombreux exploitants de systèmes de radiodiffusion en ondes décamétriques préfèrent que la fiabilité en radiodiffusion soit définie de façon plus concrète: le degré de couverture d'une transmission de radiodiffusion est défini comme étant la proportion d'une zone de service dans laquelle la valeur du champ minimal requise est atteinte ou dépassée, pour un pourcentage d'un mois calendaire, en fonction de la qualité requise et de la zone de service cible. La zone de service cible est représentée par les points de mesure qui sont géographiquement équitablement répartis. Pour les systèmes Digital Radio Mondiale (DRM), la valeur du champ minimal requise devrait être atteinte ou dépassée pendant 99% d'un mois calendaire. Les paramètres de planification pour les différents modes de fiabilité des systèmes DRM sont donnés dans la Recommandation UIT</w:t>
      </w:r>
      <w:r>
        <w:noBreakHyphen/>
        <w:t xml:space="preserve">R BS.1615-1. </w:t>
      </w:r>
    </w:p>
    <w:p w:rsidR="00C54AD2" w:rsidRDefault="00C54AD2" w:rsidP="00C54AD2">
      <w:pPr>
        <w:pStyle w:val="Heading1"/>
      </w:pPr>
      <w:bookmarkStart w:id="23" w:name="_Toc108939212"/>
      <w:r>
        <w:t>2</w:t>
      </w:r>
      <w:r>
        <w:tab/>
        <w:t>Expressions concernant les techniques de prévision</w:t>
      </w:r>
      <w:bookmarkEnd w:id="23"/>
    </w:p>
    <w:p w:rsidR="00C54AD2" w:rsidRDefault="00C54AD2" w:rsidP="00C54AD2">
      <w:pPr>
        <w:pStyle w:val="Headingi"/>
      </w:pPr>
      <w:r>
        <w:t>Fiabilité de mode</w:t>
      </w:r>
    </w:p>
    <w:p w:rsidR="00C54AD2" w:rsidRDefault="00C54AD2" w:rsidP="00C54AD2">
      <w:r>
        <w:t>Probabilité, pour un circuit, qu'une qualité de fonctionnement spécifiée soit atteinte par un seul mode à une seule fréquence.</w:t>
      </w:r>
    </w:p>
    <w:p w:rsidR="00C54AD2" w:rsidRDefault="00C54AD2" w:rsidP="00C54AD2">
      <w:pPr>
        <w:pStyle w:val="Headingi"/>
      </w:pPr>
      <w:r>
        <w:t>Disponibilité de mode</w:t>
      </w:r>
    </w:p>
    <w:p w:rsidR="00C54AD2" w:rsidRDefault="00C54AD2" w:rsidP="00C54AD2">
      <w:r>
        <w:t>Probabilité, pour un seul circuit, qu'un seul mode à une seule fréquence puisse se propager par réfraction ionosphérique exclusivement.</w:t>
      </w:r>
    </w:p>
    <w:p w:rsidR="00C54AD2" w:rsidRDefault="00C54AD2" w:rsidP="00C54AD2">
      <w:pPr>
        <w:pStyle w:val="Headingi"/>
      </w:pPr>
      <w:r>
        <w:t>Réalisation de performance de mode</w:t>
      </w:r>
    </w:p>
    <w:p w:rsidR="00C54AD2" w:rsidRDefault="00C54AD2" w:rsidP="00C54AD2">
      <w:r>
        <w:t>Probabilité, pour un seul circuit, qu'une qualité de fonctionnement spécifiée soit atteinte par un seul mode à une seule fréquence, étant admis que le mode peut se propager par réfraction ionosphérique exclusivement.</w:t>
      </w:r>
    </w:p>
    <w:p w:rsidR="00C54AD2" w:rsidRDefault="00C54AD2" w:rsidP="00C54AD2">
      <w:pPr>
        <w:pStyle w:val="Note"/>
      </w:pPr>
      <w:r>
        <w:t>NOTE 1 – Les N</w:t>
      </w:r>
      <w:r w:rsidR="008768CD">
        <w:t>otes 4 et 5 du § 1 s'appliquent.</w:t>
      </w:r>
    </w:p>
    <w:p w:rsidR="00C54AD2" w:rsidRDefault="00C54AD2" w:rsidP="00C54AD2"/>
    <w:p w:rsidR="00FF357A" w:rsidRDefault="00FF357A" w:rsidP="00C54AD2"/>
    <w:p w:rsidR="00FF357A" w:rsidRDefault="00FF357A" w:rsidP="00C54AD2"/>
    <w:p w:rsidR="00FF357A" w:rsidRDefault="00FF357A" w:rsidP="00C54AD2"/>
    <w:p w:rsidR="00C54AD2" w:rsidRPr="00C54AD2" w:rsidRDefault="00773F38" w:rsidP="00C54AD2">
      <w:pPr>
        <w:pStyle w:val="Rectitle"/>
      </w:pPr>
      <w:r>
        <w:t>____________________</w:t>
      </w:r>
    </w:p>
    <w:sectPr w:rsidR="00C54AD2" w:rsidRPr="00C54AD2" w:rsidSect="00275589">
      <w:headerReference w:type="even" r:id="rId52"/>
      <w:headerReference w:type="default" r:id="rId5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F2E" w:rsidRDefault="00D50F2E">
      <w:r>
        <w:separator/>
      </w:r>
    </w:p>
  </w:endnote>
  <w:endnote w:type="continuationSeparator" w:id="0">
    <w:p w:rsidR="00D50F2E" w:rsidRDefault="00D5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auto"/>
    <w:pitch w:val="variable"/>
    <w:sig w:usb0="E0002AE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rsidP="00602721">
    <w:pPr>
      <w:pStyle w:val="Header"/>
      <w:tabs>
        <w:tab w:val="clear" w:pos="4848"/>
        <w:tab w:val="clear" w:pos="9696"/>
        <w:tab w:val="center" w:pos="7258"/>
        <w:tab w:val="right" w:pos="1451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F2E" w:rsidRDefault="00D50F2E">
      <w:r>
        <w:separator/>
      </w:r>
    </w:p>
  </w:footnote>
  <w:footnote w:type="continuationSeparator" w:id="0">
    <w:p w:rsidR="00D50F2E" w:rsidRDefault="00D50F2E">
      <w:r>
        <w:continuationSeparator/>
      </w:r>
    </w:p>
  </w:footnote>
  <w:footnote w:id="1">
    <w:p w:rsidR="00D50F2E" w:rsidRPr="00430C7D" w:rsidRDefault="00D50F2E" w:rsidP="009437D3">
      <w:pPr>
        <w:pStyle w:val="FootnoteText"/>
      </w:pPr>
      <w:r>
        <w:rPr>
          <w:rStyle w:val="FootnoteReference"/>
        </w:rPr>
        <w:t>*</w:t>
      </w:r>
      <w:r>
        <w:t xml:space="preserve"> </w:t>
      </w:r>
      <w:r w:rsidRPr="00430C7D">
        <w:tab/>
      </w:r>
      <w:r>
        <w:t>La Commission d'études 3 des radiocommunications a apporté des modifications rédactionnelles à cette Recommandation en 2000 conformément aux dispositions de la Résolution UIT-R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pPr>
      <w:pStyle w:val="Header"/>
    </w:pPr>
    <w:r>
      <w:tab/>
    </w:r>
    <w:r>
      <w:rPr>
        <w:b/>
        <w:bCs/>
      </w:rPr>
      <w:fldChar w:fldCharType="begin"/>
    </w:r>
    <w:r>
      <w:rPr>
        <w:b/>
        <w:bCs/>
      </w:rPr>
      <w:instrText xml:space="preserve"> DOCPROPERTY "Header" \* MERGEFORMAT </w:instrText>
    </w:r>
    <w:r>
      <w:rPr>
        <w:b/>
        <w:bCs/>
      </w:rPr>
      <w:fldChar w:fldCharType="separate"/>
    </w:r>
    <w:r w:rsidR="008B7DB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B7DB6">
      <w:rPr>
        <w:b/>
        <w:bCs/>
        <w:noProof/>
      </w:rPr>
      <w:t>UIT-R  P.842-5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7DB6">
      <w:rPr>
        <w:rStyle w:val="PageNumber"/>
        <w:b/>
        <w:bCs/>
        <w:noProof/>
      </w:rPr>
      <w:t>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D2" w:rsidRDefault="00C54AD2" w:rsidP="008B7DB6">
    <w:pPr>
      <w:pStyle w:val="Header"/>
      <w:tabs>
        <w:tab w:val="clear" w:pos="4848"/>
        <w:tab w:val="clear" w:pos="9696"/>
        <w:tab w:val="right" w:pos="8080"/>
      </w:tabs>
      <w:ind w:left="10080" w:hanging="10080"/>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7DB6">
      <w:rPr>
        <w:rStyle w:val="PageNumber"/>
        <w:b/>
        <w:bCs/>
        <w:noProof/>
        <w:lang w:val="en-US"/>
      </w:rPr>
      <w:t>8</w:t>
    </w:r>
    <w:r>
      <w:rPr>
        <w:rStyle w:val="PageNumber"/>
        <w:b/>
        <w:bCs/>
      </w:rPr>
      <w:fldChar w:fldCharType="end"/>
    </w:r>
    <w:r w:rsidR="00D50F2E">
      <w:rPr>
        <w:rStyle w:val="PageNumber"/>
        <w:b/>
        <w:bCs/>
      </w:rPr>
      <w:tab/>
    </w:r>
    <w:r>
      <w:rPr>
        <w:b/>
        <w:bCs/>
      </w:rPr>
      <w:fldChar w:fldCharType="begin"/>
    </w:r>
    <w:r>
      <w:rPr>
        <w:b/>
        <w:bCs/>
        <w:lang w:val="en-US"/>
      </w:rPr>
      <w:instrText xml:space="preserve"> DOCPROPERTY "Header" \* MERGEFORMAT </w:instrText>
    </w:r>
    <w:r>
      <w:rPr>
        <w:b/>
        <w:bCs/>
      </w:rPr>
      <w:fldChar w:fldCharType="separate"/>
    </w:r>
    <w:r w:rsidR="008B7DB6">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8B7DB6">
      <w:rPr>
        <w:b/>
        <w:bCs/>
        <w:noProof/>
      </w:rPr>
      <w:t>UIT-R  P.842-5</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rsidP="00C9195D">
    <w:pPr>
      <w:pStyle w:val="Header"/>
    </w:pPr>
    <w:r>
      <w:tab/>
    </w:r>
    <w:r>
      <w:rPr>
        <w:b/>
        <w:bCs/>
      </w:rPr>
      <w:fldChar w:fldCharType="begin"/>
    </w:r>
    <w:r>
      <w:rPr>
        <w:b/>
        <w:bCs/>
      </w:rPr>
      <w:instrText xml:space="preserve"> DOCPROPERTY "Header" \* MERGEFORMAT </w:instrText>
    </w:r>
    <w:r>
      <w:rPr>
        <w:b/>
        <w:bCs/>
      </w:rPr>
      <w:fldChar w:fldCharType="separate"/>
    </w:r>
    <w:r w:rsidR="008B7DB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B7DB6">
      <w:rPr>
        <w:b/>
        <w:bCs/>
        <w:noProof/>
      </w:rPr>
      <w:t>UIT-R  P.842-5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7DB6">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DB6" w:rsidRDefault="008B7DB6" w:rsidP="00D50F2E">
    <w:pPr>
      <w:pStyle w:val="Header"/>
      <w:ind w:left="10080" w:hanging="10080"/>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rStyle w:val="PageNumber"/>
        <w:b/>
        <w:bC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Pr>
        <w:b/>
        <w:bCs/>
        <w:noProof/>
      </w:rPr>
      <w:t>UIT-R  P.842-5</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DB6" w:rsidRDefault="008B7DB6" w:rsidP="00C9195D">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P.842-5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rsidP="00C668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Pr="00837CB5" w:rsidRDefault="00D50F2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B7DB6">
      <w:rPr>
        <w:rStyle w:val="PageNumber"/>
        <w:b/>
        <w:bCs/>
        <w:noProof/>
      </w:rPr>
      <w:t>ii</w:t>
    </w:r>
    <w:r>
      <w:rPr>
        <w:rStyle w:val="PageNumber"/>
        <w:b/>
        <w:bCs/>
      </w:rPr>
      <w:fldChar w:fldCharType="end"/>
    </w:r>
    <w:r w:rsidRPr="00837CB5">
      <w:tab/>
    </w:r>
    <w:r w:rsidR="008B7DB6">
      <w:fldChar w:fldCharType="begin"/>
    </w:r>
    <w:r w:rsidR="008B7DB6">
      <w:instrText xml:space="preserve"> DOCPROPERTY "Header" \* MERGEFORMAT </w:instrText>
    </w:r>
    <w:r w:rsidR="008B7DB6">
      <w:fldChar w:fldCharType="separate"/>
    </w:r>
    <w:r w:rsidR="008B7DB6" w:rsidRPr="008B7DB6">
      <w:rPr>
        <w:b/>
        <w:bCs/>
      </w:rPr>
      <w:t xml:space="preserve">Rec. </w:t>
    </w:r>
    <w:r w:rsidR="008B7DB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B7DB6">
      <w:rPr>
        <w:b/>
        <w:bCs/>
        <w:noProof/>
      </w:rPr>
      <w:t>UIT-R  P.842-5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pPr>
      <w:pStyle w:val="Header"/>
    </w:pPr>
    <w:r>
      <w:tab/>
    </w:r>
    <w:r w:rsidR="008B7DB6">
      <w:fldChar w:fldCharType="begin"/>
    </w:r>
    <w:r w:rsidR="008B7DB6">
      <w:instrText xml:space="preserve"> DOCPROPERTY "Header" \* MERGEFORMAT </w:instrText>
    </w:r>
    <w:r w:rsidR="008B7DB6">
      <w:fldChar w:fldCharType="separate"/>
    </w:r>
    <w:r w:rsidR="008B7DB6" w:rsidRPr="008B7DB6">
      <w:rPr>
        <w:b/>
        <w:bCs/>
      </w:rPr>
      <w:t xml:space="preserve">Rec. </w:t>
    </w:r>
    <w:r w:rsidR="008B7DB6">
      <w:rPr>
        <w:b/>
        <w:bCs/>
      </w:rPr>
      <w:fldChar w:fldCharType="end"/>
    </w:r>
    <w:r>
      <w:rPr>
        <w:b/>
        <w:bCs/>
      </w:rPr>
      <w:t xml:space="preserve"> </w:t>
    </w:r>
    <w:r>
      <w:rPr>
        <w:b/>
        <w:bCs/>
      </w:rPr>
      <w:fldChar w:fldCharType="begin"/>
    </w:r>
    <w:r>
      <w:rPr>
        <w:b/>
        <w:bCs/>
      </w:rPr>
      <w:instrText>styleref href</w:instrText>
    </w:r>
    <w:r>
      <w:rPr>
        <w:b/>
        <w:bCs/>
      </w:rPr>
      <w:fldChar w:fldCharType="separate"/>
    </w:r>
    <w:r w:rsidR="008B7DB6">
      <w:rPr>
        <w:b/>
        <w:bCs/>
        <w:noProof/>
      </w:rPr>
      <w:t>UIT-R  P.842-5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7DB6">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8B7DB6">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8B7DB6">
      <w:rPr>
        <w:b/>
        <w:bCs/>
        <w:noProof/>
      </w:rPr>
      <w:t>UIT-R  P.842-5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pPr>
      <w:pStyle w:val="Header"/>
    </w:pPr>
    <w:r>
      <w:tab/>
    </w:r>
    <w:r>
      <w:rPr>
        <w:b/>
        <w:bCs/>
      </w:rPr>
      <w:fldChar w:fldCharType="begin"/>
    </w:r>
    <w:r>
      <w:rPr>
        <w:b/>
        <w:bCs/>
      </w:rPr>
      <w:instrText xml:space="preserve"> DOCPROPERTY "Header" \* MERGEFORMAT </w:instrText>
    </w:r>
    <w:r>
      <w:rPr>
        <w:b/>
        <w:bCs/>
      </w:rPr>
      <w:fldChar w:fldCharType="separate"/>
    </w:r>
    <w:r w:rsidR="008B7DB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B7DB6">
      <w:rPr>
        <w:b/>
        <w:bCs/>
        <w:noProof/>
      </w:rPr>
      <w:t>UIT-R  P.842-5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7DB6">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Pr="00D50F2E" w:rsidRDefault="00D50F2E" w:rsidP="008B7DB6">
    <w:pPr>
      <w:pStyle w:val="Header"/>
      <w:tabs>
        <w:tab w:val="clear" w:pos="4848"/>
        <w:tab w:val="center" w:pos="7088"/>
        <w:tab w:val="left" w:pos="7230"/>
      </w:tabs>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7DB6">
      <w:rPr>
        <w:rStyle w:val="PageNumber"/>
        <w:b/>
        <w:bCs/>
        <w:noProof/>
        <w:lang w:val="en-US"/>
      </w:rPr>
      <w:t>4</w:t>
    </w:r>
    <w:r>
      <w:rPr>
        <w:rStyle w:val="PageNumber"/>
        <w:b/>
        <w:bCs/>
      </w:rPr>
      <w:fldChar w:fldCharType="end"/>
    </w:r>
    <w:r>
      <w:rPr>
        <w:lang w:val="en-US"/>
      </w:rPr>
      <w:tab/>
    </w:r>
    <w:r w:rsidRPr="00D50F2E">
      <w:rPr>
        <w:rStyle w:val="PageNumber"/>
        <w:noProof/>
        <w:lang w:val="en-US"/>
      </w:rPr>
      <w:fldChar w:fldCharType="begin"/>
    </w:r>
    <w:r w:rsidRPr="00D50F2E">
      <w:rPr>
        <w:rStyle w:val="PageNumber"/>
        <w:b/>
        <w:bCs/>
        <w:noProof/>
        <w:lang w:val="en-US"/>
      </w:rPr>
      <w:instrText xml:space="preserve"> DOCPROPERTY "Header" \* MERGEFORMAT </w:instrText>
    </w:r>
    <w:r w:rsidRPr="00D50F2E">
      <w:rPr>
        <w:rStyle w:val="PageNumber"/>
        <w:noProof/>
        <w:lang w:val="en-US"/>
      </w:rPr>
      <w:fldChar w:fldCharType="separate"/>
    </w:r>
    <w:r w:rsidR="008B7DB6">
      <w:rPr>
        <w:rStyle w:val="PageNumber"/>
        <w:b/>
        <w:bCs/>
        <w:noProof/>
        <w:lang w:val="en-US"/>
      </w:rPr>
      <w:t>Rec</w:t>
    </w:r>
    <w:r w:rsidR="008B7DB6" w:rsidRPr="008B7DB6">
      <w:t xml:space="preserve">. </w:t>
    </w:r>
    <w:r w:rsidRPr="00D50F2E">
      <w:rPr>
        <w:b/>
        <w:bCs/>
      </w:rPr>
      <w:fldChar w:fldCharType="end"/>
    </w:r>
    <w:r w:rsidRPr="00D50F2E">
      <w:rPr>
        <w:b/>
        <w:bCs/>
      </w:rPr>
      <w:t xml:space="preserve"> </w:t>
    </w:r>
    <w:r>
      <w:rPr>
        <w:b/>
        <w:bCs/>
      </w:rPr>
      <w:fldChar w:fldCharType="begin"/>
    </w:r>
    <w:r>
      <w:rPr>
        <w:b/>
        <w:bCs/>
        <w:lang w:val="en-US"/>
      </w:rPr>
      <w:instrText>styleref href</w:instrText>
    </w:r>
    <w:r>
      <w:rPr>
        <w:b/>
        <w:bCs/>
      </w:rPr>
      <w:fldChar w:fldCharType="separate"/>
    </w:r>
    <w:r w:rsidR="008B7DB6">
      <w:rPr>
        <w:b/>
        <w:bCs/>
        <w:noProof/>
      </w:rPr>
      <w:t>UIT-R  P.842-5</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2E" w:rsidRDefault="00D50F2E" w:rsidP="00D50F2E">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8B7DB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B7DB6">
      <w:rPr>
        <w:b/>
        <w:bCs/>
        <w:noProof/>
      </w:rPr>
      <w:t>UIT-R  P.842-5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7DB6">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DB6" w:rsidRPr="00D50F2E" w:rsidRDefault="008B7DB6" w:rsidP="00D50F2E">
    <w:pPr>
      <w:pStyle w:val="Header"/>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6</w:t>
    </w:r>
    <w:r>
      <w:rPr>
        <w:rStyle w:val="PageNumber"/>
        <w:b/>
        <w:bCs/>
      </w:rPr>
      <w:fldChar w:fldCharType="end"/>
    </w:r>
    <w:r>
      <w:rPr>
        <w:lang w:val="en-US"/>
      </w:rPr>
      <w:tab/>
    </w:r>
    <w:r w:rsidRPr="00D50F2E">
      <w:rPr>
        <w:rStyle w:val="PageNumber"/>
        <w:noProof/>
        <w:lang w:val="en-US"/>
      </w:rPr>
      <w:fldChar w:fldCharType="begin"/>
    </w:r>
    <w:r w:rsidRPr="00D50F2E">
      <w:rPr>
        <w:rStyle w:val="PageNumber"/>
        <w:b/>
        <w:bCs/>
        <w:noProof/>
        <w:lang w:val="en-US"/>
      </w:rPr>
      <w:instrText xml:space="preserve"> DOCPROPERTY "Header" \* MERGEFORMAT </w:instrText>
    </w:r>
    <w:r w:rsidRPr="00D50F2E">
      <w:rPr>
        <w:rStyle w:val="PageNumber"/>
        <w:noProof/>
        <w:lang w:val="en-US"/>
      </w:rPr>
      <w:fldChar w:fldCharType="separate"/>
    </w:r>
    <w:r>
      <w:rPr>
        <w:rStyle w:val="PageNumber"/>
        <w:b/>
        <w:bCs/>
        <w:noProof/>
        <w:lang w:val="en-US"/>
      </w:rPr>
      <w:t>Rec</w:t>
    </w:r>
    <w:r w:rsidRPr="008B7DB6">
      <w:t xml:space="preserve">. </w:t>
    </w:r>
    <w:r w:rsidRPr="00D50F2E">
      <w:rPr>
        <w:b/>
        <w:bCs/>
      </w:rPr>
      <w:fldChar w:fldCharType="end"/>
    </w:r>
    <w:r w:rsidRPr="00D50F2E">
      <w:rPr>
        <w:b/>
        <w:bCs/>
      </w:rPr>
      <w:t xml:space="preserve"> </w:t>
    </w:r>
    <w:r>
      <w:rPr>
        <w:b/>
        <w:bCs/>
      </w:rPr>
      <w:fldChar w:fldCharType="begin"/>
    </w:r>
    <w:r>
      <w:rPr>
        <w:b/>
        <w:bCs/>
        <w:lang w:val="en-US"/>
      </w:rPr>
      <w:instrText>styleref href</w:instrText>
    </w:r>
    <w:r>
      <w:rPr>
        <w:b/>
        <w:bCs/>
      </w:rPr>
      <w:fldChar w:fldCharType="separate"/>
    </w:r>
    <w:r>
      <w:rPr>
        <w:b/>
        <w:bCs/>
        <w:noProof/>
      </w:rPr>
      <w:t>UIT-R  P.842-5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72484"/>
    <w:rsid w:val="00076BD8"/>
    <w:rsid w:val="00096612"/>
    <w:rsid w:val="000A0A78"/>
    <w:rsid w:val="000B7683"/>
    <w:rsid w:val="000E155C"/>
    <w:rsid w:val="00102934"/>
    <w:rsid w:val="001032B8"/>
    <w:rsid w:val="00123FD5"/>
    <w:rsid w:val="00125B6D"/>
    <w:rsid w:val="00126AF2"/>
    <w:rsid w:val="00147110"/>
    <w:rsid w:val="001A27FE"/>
    <w:rsid w:val="001D68C3"/>
    <w:rsid w:val="00202D10"/>
    <w:rsid w:val="002058CE"/>
    <w:rsid w:val="002165F1"/>
    <w:rsid w:val="00227626"/>
    <w:rsid w:val="00250592"/>
    <w:rsid w:val="00253A0E"/>
    <w:rsid w:val="00275589"/>
    <w:rsid w:val="00276D21"/>
    <w:rsid w:val="00296D7F"/>
    <w:rsid w:val="002A6D96"/>
    <w:rsid w:val="002B3CF6"/>
    <w:rsid w:val="002B5DBA"/>
    <w:rsid w:val="002C768A"/>
    <w:rsid w:val="002D76C4"/>
    <w:rsid w:val="00311955"/>
    <w:rsid w:val="00363367"/>
    <w:rsid w:val="0040588C"/>
    <w:rsid w:val="00420DFD"/>
    <w:rsid w:val="0044112C"/>
    <w:rsid w:val="0044766A"/>
    <w:rsid w:val="00455062"/>
    <w:rsid w:val="00470E28"/>
    <w:rsid w:val="004934C5"/>
    <w:rsid w:val="004A4D65"/>
    <w:rsid w:val="00530AFA"/>
    <w:rsid w:val="00556548"/>
    <w:rsid w:val="00567DC0"/>
    <w:rsid w:val="00586EF8"/>
    <w:rsid w:val="00592F9F"/>
    <w:rsid w:val="00593B96"/>
    <w:rsid w:val="005B49AB"/>
    <w:rsid w:val="005B50E7"/>
    <w:rsid w:val="005B65B9"/>
    <w:rsid w:val="005C6052"/>
    <w:rsid w:val="005E427C"/>
    <w:rsid w:val="005E6DCC"/>
    <w:rsid w:val="005E7B4F"/>
    <w:rsid w:val="00602721"/>
    <w:rsid w:val="0060611D"/>
    <w:rsid w:val="00607D68"/>
    <w:rsid w:val="006149B1"/>
    <w:rsid w:val="00614CC6"/>
    <w:rsid w:val="0062161B"/>
    <w:rsid w:val="00630AB8"/>
    <w:rsid w:val="00647E80"/>
    <w:rsid w:val="00673807"/>
    <w:rsid w:val="00680D2B"/>
    <w:rsid w:val="00681B32"/>
    <w:rsid w:val="006940B7"/>
    <w:rsid w:val="006C7827"/>
    <w:rsid w:val="006E2037"/>
    <w:rsid w:val="006F154D"/>
    <w:rsid w:val="00712870"/>
    <w:rsid w:val="00731BD8"/>
    <w:rsid w:val="00743D85"/>
    <w:rsid w:val="00753CF4"/>
    <w:rsid w:val="007565CC"/>
    <w:rsid w:val="00756B4D"/>
    <w:rsid w:val="00763B9A"/>
    <w:rsid w:val="00773F38"/>
    <w:rsid w:val="00776E56"/>
    <w:rsid w:val="007A308E"/>
    <w:rsid w:val="007A6AA8"/>
    <w:rsid w:val="008310C9"/>
    <w:rsid w:val="00837CB5"/>
    <w:rsid w:val="00872472"/>
    <w:rsid w:val="008768CD"/>
    <w:rsid w:val="008B6015"/>
    <w:rsid w:val="008B7DB6"/>
    <w:rsid w:val="008C7848"/>
    <w:rsid w:val="00917AF2"/>
    <w:rsid w:val="0092418A"/>
    <w:rsid w:val="00934ED7"/>
    <w:rsid w:val="009437D3"/>
    <w:rsid w:val="009454F8"/>
    <w:rsid w:val="009543C3"/>
    <w:rsid w:val="00962C55"/>
    <w:rsid w:val="00964DDA"/>
    <w:rsid w:val="00966E1B"/>
    <w:rsid w:val="009B5551"/>
    <w:rsid w:val="009F2D2C"/>
    <w:rsid w:val="00A14B5B"/>
    <w:rsid w:val="00A443C2"/>
    <w:rsid w:val="00A52DB0"/>
    <w:rsid w:val="00A6617B"/>
    <w:rsid w:val="00A71FE5"/>
    <w:rsid w:val="00AA3AD8"/>
    <w:rsid w:val="00AB0DC8"/>
    <w:rsid w:val="00AB52D1"/>
    <w:rsid w:val="00AD267B"/>
    <w:rsid w:val="00B033C8"/>
    <w:rsid w:val="00B21066"/>
    <w:rsid w:val="00B33425"/>
    <w:rsid w:val="00B40185"/>
    <w:rsid w:val="00B44E24"/>
    <w:rsid w:val="00B54ECC"/>
    <w:rsid w:val="00B714F3"/>
    <w:rsid w:val="00B90DFB"/>
    <w:rsid w:val="00BC0651"/>
    <w:rsid w:val="00BC402B"/>
    <w:rsid w:val="00BC5D77"/>
    <w:rsid w:val="00BF487A"/>
    <w:rsid w:val="00C268B9"/>
    <w:rsid w:val="00C362C3"/>
    <w:rsid w:val="00C46BD9"/>
    <w:rsid w:val="00C479C8"/>
    <w:rsid w:val="00C54AD2"/>
    <w:rsid w:val="00C55258"/>
    <w:rsid w:val="00C668C8"/>
    <w:rsid w:val="00C73560"/>
    <w:rsid w:val="00C85EF9"/>
    <w:rsid w:val="00C9195D"/>
    <w:rsid w:val="00CB0F14"/>
    <w:rsid w:val="00CB20B6"/>
    <w:rsid w:val="00CD659B"/>
    <w:rsid w:val="00CD7DC8"/>
    <w:rsid w:val="00CE5BC5"/>
    <w:rsid w:val="00D017C0"/>
    <w:rsid w:val="00D31EB8"/>
    <w:rsid w:val="00D50F2E"/>
    <w:rsid w:val="00D70C4E"/>
    <w:rsid w:val="00DE5EA2"/>
    <w:rsid w:val="00DF4176"/>
    <w:rsid w:val="00DF693C"/>
    <w:rsid w:val="00E02402"/>
    <w:rsid w:val="00E17240"/>
    <w:rsid w:val="00E44C45"/>
    <w:rsid w:val="00E44CBB"/>
    <w:rsid w:val="00E73AFE"/>
    <w:rsid w:val="00E80F1D"/>
    <w:rsid w:val="00EA6E8E"/>
    <w:rsid w:val="00EE57AA"/>
    <w:rsid w:val="00F30C9B"/>
    <w:rsid w:val="00F316C4"/>
    <w:rsid w:val="00F32333"/>
    <w:rsid w:val="00F336CC"/>
    <w:rsid w:val="00F354B1"/>
    <w:rsid w:val="00F54FBD"/>
    <w:rsid w:val="00FB0E4E"/>
    <w:rsid w:val="00FE79FE"/>
    <w:rsid w:val="00FF35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15:docId w15:val="{8C57A2D5-4C54-4386-91A7-075DD751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TableText0">
    <w:name w:val="Table_Text"/>
    <w:basedOn w:val="Tablelegend"/>
    <w:rsid w:val="00C54AD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lang w:val="en-GB"/>
    </w:rPr>
  </w:style>
  <w:style w:type="paragraph" w:styleId="BalloonText">
    <w:name w:val="Balloon Text"/>
    <w:basedOn w:val="Normal"/>
    <w:link w:val="BalloonTextChar"/>
    <w:semiHidden/>
    <w:unhideWhenUsed/>
    <w:rsid w:val="0044766A"/>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4766A"/>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oleObject" Target="embeddings/oleObject10.bin"/><Relationship Id="rId21" Type="http://schemas.openxmlformats.org/officeDocument/2006/relationships/oleObject" Target="embeddings/oleObject3.bin"/><Relationship Id="rId34" Type="http://schemas.openxmlformats.org/officeDocument/2006/relationships/image" Target="media/image9.wmf"/><Relationship Id="rId42" Type="http://schemas.openxmlformats.org/officeDocument/2006/relationships/image" Target="media/image12.wmf"/><Relationship Id="rId47" Type="http://schemas.openxmlformats.org/officeDocument/2006/relationships/oleObject" Target="embeddings/oleObject13.bin"/><Relationship Id="rId50" Type="http://schemas.openxmlformats.org/officeDocument/2006/relationships/image" Target="media/image16.wmf"/><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image" Target="media/image11.wmf"/><Relationship Id="rId46"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4.wmf"/><Relationship Id="rId29" Type="http://schemas.openxmlformats.org/officeDocument/2006/relationships/header" Target="header10.xml"/><Relationship Id="rId41" Type="http://schemas.openxmlformats.org/officeDocument/2006/relationships/header" Target="header12.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image" Target="media/image6.wmf"/><Relationship Id="rId32" Type="http://schemas.openxmlformats.org/officeDocument/2006/relationships/image" Target="media/image8.wmf"/><Relationship Id="rId37" Type="http://schemas.openxmlformats.org/officeDocument/2006/relationships/oleObject" Target="embeddings/oleObject9.bin"/><Relationship Id="rId40" Type="http://schemas.openxmlformats.org/officeDocument/2006/relationships/header" Target="header11.xml"/><Relationship Id="rId45" Type="http://schemas.openxmlformats.org/officeDocument/2006/relationships/oleObject" Target="embeddings/oleObject12.bin"/><Relationship Id="rId53"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header" Target="header9.xml"/><Relationship Id="rId36" Type="http://schemas.openxmlformats.org/officeDocument/2006/relationships/image" Target="media/image10.wmf"/><Relationship Id="rId49" Type="http://schemas.openxmlformats.org/officeDocument/2006/relationships/oleObject" Target="embeddings/oleObject14.bin"/><Relationship Id="rId10" Type="http://schemas.openxmlformats.org/officeDocument/2006/relationships/hyperlink" Target="http://www.itu.int/ITU-R/go/patents/fr" TargetMode="External"/><Relationship Id="rId19" Type="http://schemas.openxmlformats.org/officeDocument/2006/relationships/header" Target="header6.xml"/><Relationship Id="rId31" Type="http://schemas.openxmlformats.org/officeDocument/2006/relationships/oleObject" Target="embeddings/oleObject6.bin"/><Relationship Id="rId44" Type="http://schemas.openxmlformats.org/officeDocument/2006/relationships/image" Target="media/image13.wmf"/><Relationship Id="rId52"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5.wmf"/><Relationship Id="rId27" Type="http://schemas.openxmlformats.org/officeDocument/2006/relationships/header" Target="header8.xml"/><Relationship Id="rId30" Type="http://schemas.openxmlformats.org/officeDocument/2006/relationships/image" Target="media/image7.wmf"/><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15.wmf"/><Relationship Id="rId8" Type="http://schemas.openxmlformats.org/officeDocument/2006/relationships/header" Target="header2.xml"/><Relationship Id="rId51" Type="http://schemas.openxmlformats.org/officeDocument/2006/relationships/oleObject" Target="embeddings/oleObject15.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637</TotalTime>
  <Pages>13</Pages>
  <Words>3145</Words>
  <Characters>16736</Characters>
  <Application>Microsoft Office Word</Application>
  <DocSecurity>0</DocSecurity>
  <Lines>539</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19836</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31</cp:revision>
  <cp:lastPrinted>2014-08-12T11:17:00Z</cp:lastPrinted>
  <dcterms:created xsi:type="dcterms:W3CDTF">2014-08-04T08:28:00Z</dcterms:created>
  <dcterms:modified xsi:type="dcterms:W3CDTF">2014-08-12T11:42:00Z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