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547B" w:rsidRDefault="00C7547B" w:rsidP="00C7547B"/>
    <w:p w:rsidR="00563F71" w:rsidRDefault="00563F71" w:rsidP="00563F71"/>
    <w:p w:rsidR="00563F71" w:rsidRDefault="00563F71" w:rsidP="00563F71"/>
    <w:p w:rsidR="00563F71" w:rsidRDefault="00563F71" w:rsidP="00563F71"/>
    <w:p w:rsidR="00563F71" w:rsidRDefault="00563F71" w:rsidP="00563F71">
      <w:bookmarkStart w:id="0" w:name="_GoBack"/>
      <w:bookmarkEnd w:id="0"/>
    </w:p>
    <w:p w:rsidR="00563F71" w:rsidRDefault="00563F71" w:rsidP="00563F71"/>
    <w:p w:rsidR="00563F71" w:rsidRDefault="00563F71" w:rsidP="00563F71"/>
    <w:p w:rsidR="00563F71" w:rsidRDefault="00563F71" w:rsidP="00563F71"/>
    <w:p w:rsidR="00563F71" w:rsidRDefault="00563F71" w:rsidP="00563F71"/>
    <w:p w:rsidR="00563F71" w:rsidRDefault="00563F71" w:rsidP="00563F71"/>
    <w:p w:rsidR="00563F71" w:rsidRDefault="00563F71" w:rsidP="00563F71"/>
    <w:p w:rsidR="00563F71" w:rsidRDefault="00563F71" w:rsidP="00563F71"/>
    <w:p w:rsidR="00563F71" w:rsidRDefault="00563F71" w:rsidP="00563F71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563F71" w:rsidRPr="00A443C2" w:rsidTr="00685EC9">
        <w:tc>
          <w:tcPr>
            <w:tcW w:w="10089" w:type="dxa"/>
          </w:tcPr>
          <w:p w:rsidR="00563F71" w:rsidRPr="00B033C8" w:rsidRDefault="00563F71" w:rsidP="00685EC9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563F71" w:rsidRPr="00A443C2" w:rsidRDefault="00563F71" w:rsidP="00563F71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Recommandation  UIT-R 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P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.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841-5</w:t>
            </w:r>
          </w:p>
          <w:p w:rsidR="00563F71" w:rsidRPr="00A443C2" w:rsidRDefault="00563F71" w:rsidP="009C1B65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(0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9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/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201</w:t>
            </w:r>
            <w:r w:rsidR="009C1B65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6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563F71" w:rsidRPr="00F54FBD" w:rsidTr="00685EC9">
        <w:tc>
          <w:tcPr>
            <w:tcW w:w="10089" w:type="dxa"/>
          </w:tcPr>
          <w:p w:rsidR="00563F71" w:rsidRDefault="00563F71" w:rsidP="00685EC9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  <w:p w:rsidR="00B31FA7" w:rsidRDefault="00563F71" w:rsidP="00B31FA7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Conversion des statistiques annuelles</w:t>
            </w:r>
          </w:p>
          <w:p w:rsidR="00B31FA7" w:rsidRDefault="00563F71" w:rsidP="00B31FA7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 xml:space="preserve"> en statistiques pour le mois</w:t>
            </w:r>
          </w:p>
          <w:p w:rsidR="00563F71" w:rsidRDefault="00563F71" w:rsidP="00B31FA7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 xml:space="preserve"> le plus défavorable</w:t>
            </w:r>
          </w:p>
          <w:p w:rsidR="00563F71" w:rsidRPr="00F54FBD" w:rsidRDefault="00563F71" w:rsidP="00685EC9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</w:tc>
      </w:tr>
      <w:tr w:rsidR="00563F71" w:rsidRPr="00F54FBD" w:rsidTr="00685EC9">
        <w:tc>
          <w:tcPr>
            <w:tcW w:w="10089" w:type="dxa"/>
          </w:tcPr>
          <w:p w:rsidR="00563F71" w:rsidRPr="00F54FBD" w:rsidRDefault="00563F71" w:rsidP="00685EC9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563F71" w:rsidRPr="00F54FBD" w:rsidRDefault="00563F71" w:rsidP="00685EC9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563F71" w:rsidRPr="00F54FBD" w:rsidRDefault="00563F71" w:rsidP="00685EC9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:rsidR="00563F71" w:rsidRPr="00F54FBD" w:rsidRDefault="00563F71" w:rsidP="00685EC9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F54FB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Série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P</w:t>
            </w:r>
          </w:p>
          <w:p w:rsidR="00563F71" w:rsidRPr="00F54FBD" w:rsidRDefault="00563F71" w:rsidP="00685EC9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Propagation des ondes radioélectriques</w:t>
            </w:r>
          </w:p>
        </w:tc>
      </w:tr>
    </w:tbl>
    <w:p w:rsidR="00563F71" w:rsidRPr="00F54FBD" w:rsidRDefault="00563F71" w:rsidP="00563F71">
      <w:pPr>
        <w:spacing w:before="80"/>
        <w:rPr>
          <w:i/>
          <w:sz w:val="22"/>
        </w:rPr>
      </w:pPr>
    </w:p>
    <w:p w:rsidR="00563F71" w:rsidRPr="00F54FBD" w:rsidRDefault="00563F71" w:rsidP="00563F71">
      <w:pPr>
        <w:spacing w:before="80"/>
        <w:rPr>
          <w:i/>
          <w:sz w:val="22"/>
        </w:rPr>
      </w:pPr>
    </w:p>
    <w:p w:rsidR="00563F71" w:rsidRPr="00F54FBD" w:rsidRDefault="00563F71" w:rsidP="00563F71">
      <w:pPr>
        <w:spacing w:before="80"/>
        <w:rPr>
          <w:i/>
          <w:sz w:val="22"/>
        </w:rPr>
      </w:pPr>
    </w:p>
    <w:p w:rsidR="00563F71" w:rsidRPr="00F54FBD" w:rsidRDefault="00563F71" w:rsidP="00563F71">
      <w:pPr>
        <w:spacing w:before="80"/>
        <w:rPr>
          <w:i/>
          <w:sz w:val="22"/>
        </w:rPr>
      </w:pPr>
    </w:p>
    <w:p w:rsidR="00563F71" w:rsidRPr="00F54FBD" w:rsidRDefault="00563F71" w:rsidP="00563F71">
      <w:pPr>
        <w:spacing w:before="80"/>
        <w:rPr>
          <w:i/>
          <w:sz w:val="22"/>
        </w:rPr>
      </w:pPr>
    </w:p>
    <w:p w:rsidR="00563F71" w:rsidRPr="00F54FBD" w:rsidRDefault="00563F71" w:rsidP="00563F71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</w:rPr>
        <w:sectPr w:rsidR="00563F71" w:rsidRPr="00F54FBD" w:rsidSect="00286052">
          <w:headerReference w:type="even" r:id="rId8"/>
          <w:headerReference w:type="default" r:id="rId9"/>
          <w:headerReference w:type="first" r:id="rId10"/>
          <w:pgSz w:w="11907" w:h="16840" w:code="9"/>
          <w:pgMar w:top="1089" w:right="1089" w:bottom="284" w:left="1089" w:header="567" w:footer="284" w:gutter="0"/>
          <w:pgNumType w:start="1"/>
          <w:cols w:space="720"/>
          <w:docGrid w:linePitch="326"/>
        </w:sectPr>
      </w:pPr>
    </w:p>
    <w:p w:rsidR="00563F71" w:rsidRPr="00F54FBD" w:rsidRDefault="00563F71" w:rsidP="00563F71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80" w:after="0"/>
        <w:rPr>
          <w:bCs/>
          <w:sz w:val="24"/>
          <w:szCs w:val="24"/>
        </w:rPr>
      </w:pPr>
      <w:bookmarkStart w:id="1" w:name="c2tope"/>
      <w:bookmarkEnd w:id="1"/>
      <w:r w:rsidRPr="00F54FBD">
        <w:rPr>
          <w:bCs/>
          <w:sz w:val="24"/>
          <w:szCs w:val="24"/>
        </w:rPr>
        <w:lastRenderedPageBreak/>
        <w:t>Avant-propos</w:t>
      </w:r>
    </w:p>
    <w:p w:rsidR="00563F71" w:rsidRPr="00F54FBD" w:rsidRDefault="00563F71" w:rsidP="00563F71">
      <w:pPr>
        <w:spacing w:before="240"/>
        <w:rPr>
          <w:sz w:val="20"/>
        </w:rPr>
      </w:pPr>
      <w:r w:rsidRPr="00F54FBD">
        <w:rPr>
          <w:sz w:val="20"/>
        </w:rPr>
        <w:t>Le rôle du Secteur des radiocommunications est d</w:t>
      </w:r>
      <w:r w:rsidR="00EF5059">
        <w:rPr>
          <w:sz w:val="20"/>
        </w:rPr>
        <w:t>'</w:t>
      </w:r>
      <w:r w:rsidRPr="00F54FBD">
        <w:rPr>
          <w:sz w:val="20"/>
        </w:rPr>
        <w:t>assurer l</w:t>
      </w:r>
      <w:r w:rsidR="00EF5059">
        <w:rPr>
          <w:sz w:val="20"/>
        </w:rPr>
        <w:t>'</w:t>
      </w:r>
      <w:r w:rsidRPr="00F54FBD">
        <w:rPr>
          <w:sz w:val="20"/>
        </w:rPr>
        <w:t xml:space="preserve">utilisation rationnelle, </w:t>
      </w:r>
      <w:r>
        <w:rPr>
          <w:sz w:val="20"/>
        </w:rPr>
        <w:t>équitable, efficace et économique du spectre radioélectrique par tous les services de radiocommunication, y compris les services par satellite, et de procéder à des études pour toutes les gammes de fréquences, à partir desquelles les Recommandations seront élaborées et adoptées.</w:t>
      </w:r>
    </w:p>
    <w:p w:rsidR="00563F71" w:rsidRPr="00F54FBD" w:rsidRDefault="00563F71" w:rsidP="00563F71">
      <w:pPr>
        <w:rPr>
          <w:sz w:val="20"/>
        </w:rPr>
      </w:pPr>
      <w:r w:rsidRPr="00F54FBD">
        <w:rPr>
          <w:sz w:val="20"/>
        </w:rPr>
        <w:t xml:space="preserve">Les </w:t>
      </w:r>
      <w:r>
        <w:rPr>
          <w:sz w:val="20"/>
        </w:rPr>
        <w:t>fo</w:t>
      </w:r>
      <w:r w:rsidRPr="00F54FBD">
        <w:rPr>
          <w:sz w:val="20"/>
        </w:rPr>
        <w:t>nctions réglementaires et politiques du Secteur des ra</w:t>
      </w:r>
      <w:r>
        <w:rPr>
          <w:sz w:val="20"/>
        </w:rPr>
        <w:t>diocommunications sont remplies par les Conférences mondiales et régionales des radiocommunications et par les Assemblées des radiocommunications assistées par les Commissions d</w:t>
      </w:r>
      <w:r w:rsidR="00EF5059">
        <w:rPr>
          <w:sz w:val="20"/>
        </w:rPr>
        <w:t>'</w:t>
      </w:r>
      <w:r>
        <w:rPr>
          <w:sz w:val="20"/>
        </w:rPr>
        <w:t>études.</w:t>
      </w:r>
    </w:p>
    <w:p w:rsidR="00563F71" w:rsidRPr="00E44CBB" w:rsidRDefault="00563F71" w:rsidP="00563F71">
      <w:pPr>
        <w:pStyle w:val="Heading1"/>
        <w:spacing w:before="360"/>
        <w:jc w:val="center"/>
        <w:rPr>
          <w:szCs w:val="24"/>
        </w:rPr>
      </w:pPr>
      <w:r w:rsidRPr="003F6436">
        <w:rPr>
          <w:szCs w:val="24"/>
        </w:rPr>
        <w:t>Politique en matière de droits de propriété intellectuelle</w:t>
      </w:r>
      <w:r w:rsidRPr="00E44CBB">
        <w:rPr>
          <w:szCs w:val="24"/>
        </w:rPr>
        <w:t xml:space="preserve"> (IPR)</w:t>
      </w:r>
    </w:p>
    <w:p w:rsidR="00563F71" w:rsidRPr="00E44CBB" w:rsidRDefault="00563F71" w:rsidP="00563F71">
      <w:pPr>
        <w:spacing w:before="240"/>
        <w:rPr>
          <w:sz w:val="20"/>
          <w:lang w:val="fr-CH"/>
        </w:rPr>
      </w:pPr>
      <w:r w:rsidRPr="00E44CBB">
        <w:rPr>
          <w:sz w:val="20"/>
        </w:rPr>
        <w:t>La politique de l</w:t>
      </w:r>
      <w:r w:rsidR="00EF5059">
        <w:rPr>
          <w:sz w:val="20"/>
        </w:rPr>
        <w:t>'</w:t>
      </w:r>
      <w:r w:rsidRPr="00E44CBB">
        <w:rPr>
          <w:sz w:val="20"/>
        </w:rPr>
        <w:t>UIT</w:t>
      </w:r>
      <w:r w:rsidRPr="00E44CBB">
        <w:rPr>
          <w:sz w:val="20"/>
        </w:rPr>
        <w:noBreakHyphen/>
        <w:t xml:space="preserve">R en matière de droits de propriété intellectuelle est décrite dans la </w:t>
      </w:r>
      <w:r w:rsidRPr="00E44CBB">
        <w:rPr>
          <w:sz w:val="20"/>
          <w:lang w:val="fr-CH"/>
        </w:rPr>
        <w:t>«Politique commune de l</w:t>
      </w:r>
      <w:r w:rsidR="00EF5059">
        <w:rPr>
          <w:sz w:val="20"/>
          <w:lang w:val="fr-CH"/>
        </w:rPr>
        <w:t>'</w:t>
      </w:r>
      <w:r w:rsidRPr="00E44CBB">
        <w:rPr>
          <w:sz w:val="20"/>
          <w:lang w:val="fr-CH"/>
        </w:rPr>
        <w:t>UIT</w:t>
      </w:r>
      <w:r w:rsidRPr="00E44CBB">
        <w:rPr>
          <w:sz w:val="20"/>
          <w:lang w:val="fr-CH"/>
        </w:rPr>
        <w:noBreakHyphen/>
        <w:t>T, l</w:t>
      </w:r>
      <w:r w:rsidR="00EF5059">
        <w:rPr>
          <w:sz w:val="20"/>
          <w:lang w:val="fr-CH"/>
        </w:rPr>
        <w:t>'</w:t>
      </w:r>
      <w:r w:rsidRPr="00E44CBB">
        <w:rPr>
          <w:sz w:val="20"/>
          <w:lang w:val="fr-CH"/>
        </w:rPr>
        <w:t>UIT</w:t>
      </w:r>
      <w:r w:rsidRPr="00E44CBB">
        <w:rPr>
          <w:sz w:val="20"/>
          <w:lang w:val="fr-CH"/>
        </w:rPr>
        <w:noBreakHyphen/>
        <w:t>R, l</w:t>
      </w:r>
      <w:r w:rsidR="00EF5059">
        <w:rPr>
          <w:sz w:val="20"/>
          <w:lang w:val="fr-CH"/>
        </w:rPr>
        <w:t>'</w:t>
      </w:r>
      <w:r w:rsidRPr="00E44CBB">
        <w:rPr>
          <w:sz w:val="20"/>
          <w:lang w:val="fr-CH"/>
        </w:rPr>
        <w:t>ISO et la CEI en matière de brevets», dont il est question dans l</w:t>
      </w:r>
      <w:r w:rsidR="00EF5059">
        <w:rPr>
          <w:sz w:val="20"/>
          <w:lang w:val="fr-CH"/>
        </w:rPr>
        <w:t>'</w:t>
      </w:r>
      <w:r w:rsidRPr="00E44CBB">
        <w:rPr>
          <w:sz w:val="20"/>
          <w:lang w:val="fr-CH"/>
        </w:rPr>
        <w:t xml:space="preserve">Annexe 1 de la Résolution UIT-R 1. </w:t>
      </w:r>
      <w:r w:rsidRPr="00E44CBB">
        <w:rPr>
          <w:sz w:val="20"/>
        </w:rPr>
        <w:t>Les formulaires que les titulaires de brevets doivent utiliser pour soumettre les déclarations de brevet et d</w:t>
      </w:r>
      <w:r w:rsidR="00EF5059">
        <w:rPr>
          <w:sz w:val="20"/>
        </w:rPr>
        <w:t>'</w:t>
      </w:r>
      <w:r w:rsidRPr="00E44CBB">
        <w:rPr>
          <w:sz w:val="20"/>
        </w:rPr>
        <w:t>octroi de licence sont accessibles à l</w:t>
      </w:r>
      <w:r w:rsidR="00EF5059">
        <w:rPr>
          <w:sz w:val="20"/>
        </w:rPr>
        <w:t>'</w:t>
      </w:r>
      <w:r w:rsidRPr="00E44CBB">
        <w:rPr>
          <w:sz w:val="20"/>
        </w:rPr>
        <w:t xml:space="preserve">adresse </w:t>
      </w:r>
      <w:hyperlink r:id="rId11" w:history="1">
        <w:r w:rsidRPr="00E44CBB">
          <w:rPr>
            <w:rStyle w:val="Hyperlink"/>
            <w:sz w:val="20"/>
          </w:rPr>
          <w:t>http://www.itu.int/ITU-R/go/patents/fr</w:t>
        </w:r>
      </w:hyperlink>
      <w:r w:rsidRPr="00E44CBB">
        <w:rPr>
          <w:sz w:val="20"/>
        </w:rPr>
        <w:t>, où l</w:t>
      </w:r>
      <w:r w:rsidR="00EF5059">
        <w:rPr>
          <w:sz w:val="20"/>
        </w:rPr>
        <w:t>'</w:t>
      </w:r>
      <w:r w:rsidRPr="00E44CBB">
        <w:rPr>
          <w:sz w:val="20"/>
        </w:rPr>
        <w:t>on trouvera également les Lignes directrices pour la mise en oeuvre de la politique commune en matière de brevets de l</w:t>
      </w:r>
      <w:r w:rsidR="00EF5059">
        <w:rPr>
          <w:sz w:val="20"/>
        </w:rPr>
        <w:t>'</w:t>
      </w:r>
      <w:r w:rsidRPr="00E44CBB">
        <w:rPr>
          <w:sz w:val="20"/>
        </w:rPr>
        <w:t>UIT</w:t>
      </w:r>
      <w:r w:rsidRPr="00E44CBB">
        <w:rPr>
          <w:sz w:val="20"/>
        </w:rPr>
        <w:noBreakHyphen/>
        <w:t>T, l</w:t>
      </w:r>
      <w:r w:rsidR="00EF5059">
        <w:rPr>
          <w:sz w:val="20"/>
        </w:rPr>
        <w:t>'</w:t>
      </w:r>
      <w:r w:rsidRPr="00E44CBB">
        <w:rPr>
          <w:sz w:val="20"/>
        </w:rPr>
        <w:t>UIT</w:t>
      </w:r>
      <w:r w:rsidRPr="00E44CBB">
        <w:rPr>
          <w:sz w:val="20"/>
        </w:rPr>
        <w:noBreakHyphen/>
        <w:t>R, l</w:t>
      </w:r>
      <w:r w:rsidR="00EF5059">
        <w:rPr>
          <w:sz w:val="20"/>
        </w:rPr>
        <w:t>'</w:t>
      </w:r>
      <w:r w:rsidRPr="00E44CBB">
        <w:rPr>
          <w:sz w:val="20"/>
        </w:rPr>
        <w:t>ISO et la CEI</w:t>
      </w:r>
      <w:r w:rsidRPr="00E44CBB" w:rsidDel="0061025C">
        <w:rPr>
          <w:sz w:val="20"/>
        </w:rPr>
        <w:t xml:space="preserve"> </w:t>
      </w:r>
      <w:r w:rsidRPr="00E44CBB">
        <w:rPr>
          <w:sz w:val="20"/>
        </w:rPr>
        <w:t>et la base de données en matière de brevets de l</w:t>
      </w:r>
      <w:r w:rsidR="00EF5059">
        <w:rPr>
          <w:sz w:val="20"/>
        </w:rPr>
        <w:t>'</w:t>
      </w:r>
      <w:r w:rsidRPr="00E44CBB">
        <w:rPr>
          <w:sz w:val="20"/>
        </w:rPr>
        <w:t>UIT-R.</w:t>
      </w:r>
    </w:p>
    <w:p w:rsidR="00563F71" w:rsidRPr="00673807" w:rsidRDefault="00563F71" w:rsidP="00563F71">
      <w:pPr>
        <w:spacing w:before="240"/>
        <w:jc w:val="center"/>
        <w:rPr>
          <w:sz w:val="22"/>
          <w:lang w:val="fr-CH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38"/>
        <w:gridCol w:w="8183"/>
      </w:tblGrid>
      <w:tr w:rsidR="00563F71" w:rsidRPr="009454F8" w:rsidTr="00685EC9">
        <w:tc>
          <w:tcPr>
            <w:tcW w:w="9360" w:type="dxa"/>
            <w:gridSpan w:val="2"/>
          </w:tcPr>
          <w:p w:rsidR="00563F71" w:rsidRPr="009454F8" w:rsidRDefault="00563F71" w:rsidP="00685EC9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</w:rPr>
            </w:pPr>
            <w:r w:rsidRPr="009454F8">
              <w:rPr>
                <w:sz w:val="22"/>
                <w:szCs w:val="22"/>
              </w:rPr>
              <w:t>Séries des Recommandations UIT-R</w:t>
            </w:r>
            <w:r>
              <w:rPr>
                <w:sz w:val="22"/>
                <w:szCs w:val="22"/>
              </w:rPr>
              <w:t xml:space="preserve"> </w:t>
            </w:r>
          </w:p>
          <w:p w:rsidR="00563F71" w:rsidRPr="009454F8" w:rsidRDefault="00563F71" w:rsidP="00685EC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</w:rPr>
            </w:pPr>
            <w:r w:rsidRPr="00BC0651">
              <w:rPr>
                <w:b w:val="0"/>
                <w:sz w:val="18"/>
                <w:szCs w:val="18"/>
              </w:rPr>
              <w:t>(</w:t>
            </w:r>
            <w:r w:rsidRPr="009454F8">
              <w:rPr>
                <w:b w:val="0"/>
                <w:sz w:val="18"/>
                <w:szCs w:val="18"/>
              </w:rPr>
              <w:t xml:space="preserve">Egalement disponible en ligne: </w:t>
            </w:r>
            <w:hyperlink r:id="rId12" w:history="1">
              <w:r>
                <w:rPr>
                  <w:rStyle w:val="Hyperlink"/>
                  <w:b w:val="0"/>
                  <w:bCs/>
                  <w:sz w:val="18"/>
                  <w:szCs w:val="18"/>
                </w:rPr>
                <w:t>http://www.itu.int/publ/R-REC/fr</w:t>
              </w:r>
            </w:hyperlink>
            <w:r w:rsidRPr="00BC0651">
              <w:rPr>
                <w:b w:val="0"/>
                <w:bCs/>
                <w:sz w:val="18"/>
                <w:szCs w:val="18"/>
              </w:rPr>
              <w:t>)</w:t>
            </w:r>
          </w:p>
        </w:tc>
      </w:tr>
      <w:tr w:rsidR="00563F71" w:rsidRPr="00036EE3" w:rsidTr="00685EC9">
        <w:tc>
          <w:tcPr>
            <w:tcW w:w="1140" w:type="dxa"/>
            <w:tcBorders>
              <w:bottom w:val="nil"/>
            </w:tcBorders>
          </w:tcPr>
          <w:p w:rsidR="00563F71" w:rsidRPr="00614CC6" w:rsidRDefault="00563F71" w:rsidP="00685EC9">
            <w:pPr>
              <w:spacing w:before="90" w:after="10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Séries</w:t>
            </w:r>
          </w:p>
        </w:tc>
        <w:tc>
          <w:tcPr>
            <w:tcW w:w="8220" w:type="dxa"/>
            <w:tcBorders>
              <w:bottom w:val="nil"/>
            </w:tcBorders>
          </w:tcPr>
          <w:p w:rsidR="00563F71" w:rsidRPr="00614CC6" w:rsidRDefault="00563F71" w:rsidP="00685EC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90" w:after="100"/>
              <w:rPr>
                <w:bCs/>
                <w:sz w:val="20"/>
                <w:lang w:val="en-US"/>
              </w:rPr>
            </w:pPr>
            <w:r w:rsidRPr="00614CC6">
              <w:rPr>
                <w:bCs/>
                <w:sz w:val="20"/>
                <w:lang w:val="en-US"/>
              </w:rPr>
              <w:t>Titre</w:t>
            </w:r>
          </w:p>
        </w:tc>
      </w:tr>
      <w:tr w:rsidR="00563F71" w:rsidRPr="005E427C" w:rsidTr="00685EC9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563F71" w:rsidRPr="005E427C" w:rsidRDefault="00563F71" w:rsidP="00685EC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5E427C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563F71" w:rsidRPr="005E427C" w:rsidRDefault="00563F71" w:rsidP="00685EC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5E427C">
              <w:rPr>
                <w:b w:val="0"/>
                <w:sz w:val="20"/>
              </w:rPr>
              <w:t>Diffusion par satellite</w:t>
            </w:r>
          </w:p>
        </w:tc>
      </w:tr>
      <w:tr w:rsidR="00563F71" w:rsidRPr="009454F8" w:rsidTr="00685EC9">
        <w:tc>
          <w:tcPr>
            <w:tcW w:w="1140" w:type="dxa"/>
            <w:tcBorders>
              <w:top w:val="nil"/>
              <w:bottom w:val="nil"/>
            </w:tcBorders>
          </w:tcPr>
          <w:p w:rsidR="00563F71" w:rsidRPr="00614CC6" w:rsidRDefault="00563F71" w:rsidP="00685EC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</w:tcPr>
          <w:p w:rsidR="00563F71" w:rsidRPr="00614CC6" w:rsidRDefault="00563F71" w:rsidP="00685EC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</w:rPr>
            </w:pPr>
            <w:r w:rsidRPr="00614CC6">
              <w:rPr>
                <w:b w:val="0"/>
                <w:bCs/>
                <w:sz w:val="20"/>
              </w:rPr>
              <w:t>Enregistrement pour la production, l</w:t>
            </w:r>
            <w:r w:rsidR="00EF5059">
              <w:rPr>
                <w:b w:val="0"/>
                <w:bCs/>
                <w:sz w:val="20"/>
              </w:rPr>
              <w:t>'</w:t>
            </w:r>
            <w:r w:rsidRPr="00614CC6">
              <w:rPr>
                <w:b w:val="0"/>
                <w:bCs/>
                <w:sz w:val="20"/>
              </w:rPr>
              <w:t>archivage et la diffusion; films pour la télévision</w:t>
            </w:r>
          </w:p>
        </w:tc>
      </w:tr>
      <w:tr w:rsidR="00563F71" w:rsidRPr="00E80F1D" w:rsidTr="00685EC9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563F71" w:rsidRPr="00E80F1D" w:rsidRDefault="00563F71" w:rsidP="00685EC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80F1D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563F71" w:rsidRPr="00E80F1D" w:rsidRDefault="00563F71" w:rsidP="00685EC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E80F1D">
              <w:rPr>
                <w:b w:val="0"/>
                <w:sz w:val="20"/>
              </w:rPr>
              <w:t>Service de radiodiffusion sonore</w:t>
            </w:r>
          </w:p>
        </w:tc>
      </w:tr>
      <w:tr w:rsidR="00563F71" w:rsidRPr="00ED2695" w:rsidTr="00685EC9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563F71" w:rsidRPr="00614CC6" w:rsidRDefault="00563F71" w:rsidP="00685EC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563F71" w:rsidRPr="00614CC6" w:rsidRDefault="00563F71" w:rsidP="00685EC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614CC6">
              <w:rPr>
                <w:b w:val="0"/>
                <w:bCs/>
                <w:sz w:val="20"/>
              </w:rPr>
              <w:t>Service de radiodiffusion télévisuelle</w:t>
            </w:r>
          </w:p>
        </w:tc>
      </w:tr>
      <w:tr w:rsidR="00563F71" w:rsidRPr="00DE5EA2" w:rsidTr="00685EC9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563F71" w:rsidRPr="00DE5EA2" w:rsidRDefault="00563F71" w:rsidP="00685EC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DE5EA2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563F71" w:rsidRPr="00DE5EA2" w:rsidRDefault="00563F71" w:rsidP="00685EC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DE5EA2">
              <w:rPr>
                <w:sz w:val="20"/>
              </w:rPr>
              <w:t>Service fixe</w:t>
            </w:r>
          </w:p>
        </w:tc>
      </w:tr>
      <w:tr w:rsidR="00563F71" w:rsidRPr="00B21066" w:rsidTr="00685EC9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563F71" w:rsidRPr="00B21066" w:rsidRDefault="00563F71" w:rsidP="00685EC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B21066">
              <w:rPr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563F71" w:rsidRPr="00B21066" w:rsidRDefault="00563F71" w:rsidP="00685EC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</w:rPr>
            </w:pPr>
            <w:r w:rsidRPr="00B21066">
              <w:rPr>
                <w:b w:val="0"/>
                <w:sz w:val="20"/>
              </w:rPr>
              <w:t>Services mobile, de radiorepérage et d</w:t>
            </w:r>
            <w:r w:rsidR="00EF5059">
              <w:rPr>
                <w:b w:val="0"/>
                <w:sz w:val="20"/>
              </w:rPr>
              <w:t>'</w:t>
            </w:r>
            <w:r w:rsidRPr="00B21066">
              <w:rPr>
                <w:b w:val="0"/>
                <w:sz w:val="20"/>
              </w:rPr>
              <w:t>amateur y compris les services par satellite associés</w:t>
            </w:r>
          </w:p>
        </w:tc>
      </w:tr>
      <w:tr w:rsidR="00563F71" w:rsidRPr="00DE5EA2" w:rsidTr="00685EC9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563F71" w:rsidRPr="00DE5EA2" w:rsidRDefault="00563F71" w:rsidP="00685EC9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fr-CH"/>
              </w:rPr>
            </w:pPr>
            <w:r w:rsidRPr="00DE5EA2">
              <w:rPr>
                <w:b/>
                <w:bCs/>
                <w:color w:val="000080"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563F71" w:rsidRPr="00DE5EA2" w:rsidRDefault="00563F71" w:rsidP="00685EC9">
            <w:pPr>
              <w:spacing w:before="30" w:after="30"/>
              <w:jc w:val="left"/>
              <w:rPr>
                <w:b/>
                <w:bCs/>
                <w:color w:val="000080"/>
                <w:sz w:val="20"/>
                <w:lang w:val="fr-CH"/>
              </w:rPr>
            </w:pPr>
            <w:r w:rsidRPr="00DE5EA2">
              <w:rPr>
                <w:b/>
                <w:bCs/>
                <w:color w:val="000080"/>
                <w:sz w:val="20"/>
              </w:rPr>
              <w:t>Propagation des ondes radioélectriques</w:t>
            </w:r>
          </w:p>
        </w:tc>
      </w:tr>
      <w:tr w:rsidR="00563F71" w:rsidRPr="00036EE3" w:rsidTr="00685EC9">
        <w:tc>
          <w:tcPr>
            <w:tcW w:w="1140" w:type="dxa"/>
            <w:tcBorders>
              <w:top w:val="nil"/>
            </w:tcBorders>
          </w:tcPr>
          <w:p w:rsidR="00563F71" w:rsidRPr="00614CC6" w:rsidRDefault="00563F71" w:rsidP="00685EC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  <w:tcBorders>
              <w:top w:val="nil"/>
            </w:tcBorders>
          </w:tcPr>
          <w:p w:rsidR="00563F71" w:rsidRPr="00614CC6" w:rsidRDefault="00563F71" w:rsidP="00685EC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Radio astronomie</w:t>
            </w:r>
          </w:p>
        </w:tc>
      </w:tr>
      <w:tr w:rsidR="00563F71" w:rsidRPr="00036EE3" w:rsidTr="00685EC9">
        <w:tc>
          <w:tcPr>
            <w:tcW w:w="1140" w:type="dxa"/>
          </w:tcPr>
          <w:p w:rsidR="00563F71" w:rsidRPr="00614CC6" w:rsidRDefault="00563F71" w:rsidP="00685EC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563F71" w:rsidRPr="00614CC6" w:rsidRDefault="00563F71" w:rsidP="00685EC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Systèmes de télédétection</w:t>
            </w:r>
          </w:p>
        </w:tc>
      </w:tr>
      <w:tr w:rsidR="00563F71" w:rsidRPr="00036EE3" w:rsidTr="00685EC9">
        <w:tc>
          <w:tcPr>
            <w:tcW w:w="1140" w:type="dxa"/>
          </w:tcPr>
          <w:p w:rsidR="00563F71" w:rsidRPr="00614CC6" w:rsidRDefault="00563F71" w:rsidP="00685EC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563F71" w:rsidRPr="00614CC6" w:rsidRDefault="00563F71" w:rsidP="00685EC9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Service fixe par satellite</w:t>
            </w:r>
          </w:p>
        </w:tc>
      </w:tr>
      <w:tr w:rsidR="00563F71" w:rsidRPr="00036EE3" w:rsidTr="00685EC9">
        <w:tc>
          <w:tcPr>
            <w:tcW w:w="1140" w:type="dxa"/>
          </w:tcPr>
          <w:p w:rsidR="00563F71" w:rsidRPr="00614CC6" w:rsidRDefault="00563F71" w:rsidP="00685EC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563F71" w:rsidRPr="00614CC6" w:rsidRDefault="00563F71" w:rsidP="00685EC9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Applications spatiales et météorologie</w:t>
            </w:r>
          </w:p>
        </w:tc>
      </w:tr>
      <w:tr w:rsidR="00563F71" w:rsidRPr="00614CC6" w:rsidTr="00685EC9">
        <w:tc>
          <w:tcPr>
            <w:tcW w:w="1140" w:type="dxa"/>
          </w:tcPr>
          <w:p w:rsidR="00563F71" w:rsidRPr="00614CC6" w:rsidRDefault="00563F71" w:rsidP="00685EC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563F71" w:rsidRPr="00614CC6" w:rsidRDefault="00563F71" w:rsidP="00685EC9">
            <w:pPr>
              <w:spacing w:before="30" w:after="30"/>
              <w:jc w:val="left"/>
              <w:rPr>
                <w:sz w:val="20"/>
              </w:rPr>
            </w:pPr>
            <w:r w:rsidRPr="00614CC6">
              <w:rPr>
                <w:sz w:val="20"/>
              </w:rPr>
              <w:t>Partage des fréquences et coordination entre les systèmes du service fixe par satellite et du service fixe</w:t>
            </w:r>
          </w:p>
        </w:tc>
      </w:tr>
      <w:tr w:rsidR="00563F71" w:rsidRPr="00036EE3" w:rsidTr="00685EC9">
        <w:tc>
          <w:tcPr>
            <w:tcW w:w="1140" w:type="dxa"/>
            <w:shd w:val="clear" w:color="auto" w:fill="auto"/>
          </w:tcPr>
          <w:p w:rsidR="00563F71" w:rsidRPr="00592F9F" w:rsidRDefault="00563F71" w:rsidP="00685EC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592F9F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563F71" w:rsidRPr="00592F9F" w:rsidRDefault="00563F71" w:rsidP="00685EC9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592F9F">
              <w:rPr>
                <w:sz w:val="20"/>
              </w:rPr>
              <w:t>Gestion du spectre</w:t>
            </w:r>
          </w:p>
        </w:tc>
      </w:tr>
      <w:tr w:rsidR="00563F71" w:rsidRPr="00036EE3" w:rsidTr="00685EC9">
        <w:tc>
          <w:tcPr>
            <w:tcW w:w="1140" w:type="dxa"/>
          </w:tcPr>
          <w:p w:rsidR="00563F71" w:rsidRPr="00614CC6" w:rsidRDefault="00563F71" w:rsidP="00685EC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563F71" w:rsidRPr="00614CC6" w:rsidRDefault="00563F71" w:rsidP="00685EC9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Reportage d</w:t>
            </w:r>
            <w:r w:rsidR="00EF5059">
              <w:rPr>
                <w:sz w:val="20"/>
              </w:rPr>
              <w:t>'</w:t>
            </w:r>
            <w:r w:rsidRPr="00614CC6">
              <w:rPr>
                <w:sz w:val="20"/>
              </w:rPr>
              <w:t>actualités par satellite</w:t>
            </w:r>
          </w:p>
        </w:tc>
      </w:tr>
      <w:tr w:rsidR="00563F71" w:rsidRPr="00614CC6" w:rsidTr="00685EC9">
        <w:tc>
          <w:tcPr>
            <w:tcW w:w="1140" w:type="dxa"/>
          </w:tcPr>
          <w:p w:rsidR="00563F71" w:rsidRPr="00614CC6" w:rsidRDefault="00563F71" w:rsidP="00685EC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563F71" w:rsidRPr="00614CC6" w:rsidRDefault="00563F71" w:rsidP="00685EC9">
            <w:pPr>
              <w:spacing w:before="30" w:after="30"/>
              <w:jc w:val="left"/>
              <w:rPr>
                <w:sz w:val="20"/>
              </w:rPr>
            </w:pPr>
            <w:r w:rsidRPr="00614CC6">
              <w:rPr>
                <w:sz w:val="20"/>
              </w:rPr>
              <w:t>Emissions de fréquences étalon et de signaux horaires</w:t>
            </w:r>
          </w:p>
        </w:tc>
      </w:tr>
      <w:tr w:rsidR="00563F71" w:rsidRPr="00036EE3" w:rsidTr="00685EC9">
        <w:tc>
          <w:tcPr>
            <w:tcW w:w="1140" w:type="dxa"/>
          </w:tcPr>
          <w:p w:rsidR="00563F71" w:rsidRPr="00614CC6" w:rsidRDefault="00563F71" w:rsidP="00685EC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563F71" w:rsidRPr="00614CC6" w:rsidRDefault="00563F71" w:rsidP="00685EC9">
            <w:pPr>
              <w:spacing w:before="30" w:after="14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Vocabulaire et sujets associés</w:t>
            </w:r>
          </w:p>
        </w:tc>
      </w:tr>
    </w:tbl>
    <w:p w:rsidR="00563F71" w:rsidRPr="00036EE3" w:rsidRDefault="00563F71" w:rsidP="00563F71">
      <w:pPr>
        <w:spacing w:before="0"/>
        <w:jc w:val="center"/>
        <w:rPr>
          <w:sz w:val="20"/>
          <w:lang w:val="en-US"/>
        </w:rPr>
      </w:pPr>
    </w:p>
    <w:p w:rsidR="00563F71" w:rsidRPr="00036EE3" w:rsidRDefault="00563F71" w:rsidP="00563F71">
      <w:pPr>
        <w:spacing w:before="0"/>
        <w:ind w:left="180"/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21"/>
      </w:tblGrid>
      <w:tr w:rsidR="00563F71" w:rsidRPr="00756B4D" w:rsidTr="00685EC9">
        <w:tc>
          <w:tcPr>
            <w:tcW w:w="9360" w:type="dxa"/>
          </w:tcPr>
          <w:p w:rsidR="00563F71" w:rsidRPr="00756B4D" w:rsidRDefault="00563F71" w:rsidP="00685EC9">
            <w:pPr>
              <w:spacing w:before="80" w:after="80"/>
              <w:jc w:val="left"/>
              <w:rPr>
                <w:i/>
                <w:iCs/>
                <w:sz w:val="20"/>
              </w:rPr>
            </w:pPr>
            <w:r w:rsidRPr="00756B4D">
              <w:rPr>
                <w:b/>
                <w:bCs/>
                <w:i/>
                <w:iCs/>
                <w:sz w:val="20"/>
              </w:rPr>
              <w:t>Note</w:t>
            </w:r>
            <w:r w:rsidRPr="00756B4D">
              <w:rPr>
                <w:i/>
                <w:iCs/>
                <w:sz w:val="20"/>
              </w:rPr>
              <w:t>: Cette Recommandation UIT-R a été approuvée en anglais aux termes de la procédure détaillée dans la</w:t>
            </w:r>
            <w:r>
              <w:rPr>
                <w:i/>
                <w:iCs/>
                <w:sz w:val="20"/>
              </w:rPr>
              <w:br/>
            </w:r>
            <w:r w:rsidRPr="00756B4D">
              <w:rPr>
                <w:i/>
                <w:iCs/>
                <w:sz w:val="20"/>
              </w:rPr>
              <w:t xml:space="preserve">Résolution UIT-R 1. </w:t>
            </w:r>
          </w:p>
        </w:tc>
      </w:tr>
    </w:tbl>
    <w:p w:rsidR="00563F71" w:rsidRPr="00756B4D" w:rsidRDefault="00563F71" w:rsidP="00563F71">
      <w:pPr>
        <w:spacing w:before="0"/>
        <w:jc w:val="center"/>
        <w:rPr>
          <w:sz w:val="22"/>
        </w:rPr>
      </w:pPr>
    </w:p>
    <w:p w:rsidR="00563F71" w:rsidRPr="00614CC6" w:rsidRDefault="00563F71" w:rsidP="00563F71">
      <w:pPr>
        <w:spacing w:before="100"/>
        <w:jc w:val="right"/>
        <w:rPr>
          <w:i/>
          <w:iCs/>
          <w:sz w:val="20"/>
        </w:rPr>
      </w:pPr>
      <w:r w:rsidRPr="00614CC6">
        <w:rPr>
          <w:i/>
          <w:iCs/>
          <w:sz w:val="20"/>
        </w:rPr>
        <w:t>Publication électronique</w:t>
      </w:r>
    </w:p>
    <w:p w:rsidR="00563F71" w:rsidRPr="00614CC6" w:rsidRDefault="00563F71" w:rsidP="00D707EE">
      <w:pPr>
        <w:spacing w:before="0"/>
        <w:jc w:val="right"/>
        <w:rPr>
          <w:sz w:val="20"/>
        </w:rPr>
      </w:pPr>
      <w:r w:rsidRPr="00614CC6">
        <w:rPr>
          <w:sz w:val="20"/>
        </w:rPr>
        <w:t>Genève, 20</w:t>
      </w:r>
      <w:r w:rsidR="00E35A28">
        <w:rPr>
          <w:sz w:val="20"/>
        </w:rPr>
        <w:t>1</w:t>
      </w:r>
      <w:r w:rsidR="00D707EE">
        <w:rPr>
          <w:sz w:val="20"/>
        </w:rPr>
        <w:t>7</w:t>
      </w:r>
    </w:p>
    <w:p w:rsidR="00563F71" w:rsidRPr="00614CC6" w:rsidRDefault="00563F71" w:rsidP="00D707EE">
      <w:pPr>
        <w:spacing w:before="200"/>
        <w:jc w:val="center"/>
        <w:rPr>
          <w:sz w:val="20"/>
        </w:rPr>
      </w:pPr>
      <w:r w:rsidRPr="00470E28">
        <w:rPr>
          <w:sz w:val="20"/>
          <w:lang w:val="en-US"/>
        </w:rPr>
        <w:sym w:font="Symbol" w:char="F0E3"/>
      </w:r>
      <w:r w:rsidRPr="00614CC6">
        <w:rPr>
          <w:sz w:val="20"/>
        </w:rPr>
        <w:t xml:space="preserve"> UIT </w:t>
      </w:r>
      <w:bookmarkStart w:id="2" w:name="iiannee"/>
      <w:bookmarkEnd w:id="2"/>
      <w:r w:rsidRPr="00614CC6">
        <w:rPr>
          <w:sz w:val="20"/>
        </w:rPr>
        <w:t>20</w:t>
      </w:r>
      <w:r w:rsidR="00B31FA7">
        <w:rPr>
          <w:sz w:val="20"/>
        </w:rPr>
        <w:t>1</w:t>
      </w:r>
      <w:r w:rsidR="00D707EE">
        <w:rPr>
          <w:sz w:val="20"/>
        </w:rPr>
        <w:t>7</w:t>
      </w:r>
    </w:p>
    <w:p w:rsidR="00563F71" w:rsidRPr="00614CC6" w:rsidRDefault="00563F71" w:rsidP="00563F71">
      <w:pPr>
        <w:rPr>
          <w:sz w:val="18"/>
          <w:szCs w:val="18"/>
        </w:rPr>
      </w:pPr>
      <w:r w:rsidRPr="00614CC6">
        <w:rPr>
          <w:sz w:val="18"/>
          <w:szCs w:val="18"/>
        </w:rPr>
        <w:t xml:space="preserve">Tous droits </w:t>
      </w:r>
      <w:r>
        <w:rPr>
          <w:sz w:val="18"/>
          <w:szCs w:val="18"/>
        </w:rPr>
        <w:t>réservé</w:t>
      </w:r>
      <w:r w:rsidRPr="00614CC6">
        <w:rPr>
          <w:sz w:val="18"/>
          <w:szCs w:val="18"/>
        </w:rPr>
        <w:t xml:space="preserve">s. </w:t>
      </w:r>
      <w:r>
        <w:rPr>
          <w:sz w:val="18"/>
          <w:szCs w:val="18"/>
        </w:rPr>
        <w:t>Aucune partie de cette publication ne peut être reproduite, par quelque procédé que ce soit, sans l</w:t>
      </w:r>
      <w:r w:rsidR="00EF5059">
        <w:rPr>
          <w:sz w:val="18"/>
          <w:szCs w:val="18"/>
        </w:rPr>
        <w:t>'</w:t>
      </w:r>
      <w:r>
        <w:rPr>
          <w:sz w:val="18"/>
          <w:szCs w:val="18"/>
        </w:rPr>
        <w:t>accord écrit préalable de l</w:t>
      </w:r>
      <w:r w:rsidR="00EF5059">
        <w:rPr>
          <w:sz w:val="18"/>
          <w:szCs w:val="18"/>
        </w:rPr>
        <w:t>'</w:t>
      </w:r>
      <w:r>
        <w:rPr>
          <w:sz w:val="18"/>
          <w:szCs w:val="18"/>
        </w:rPr>
        <w:t>UIT</w:t>
      </w:r>
      <w:r w:rsidRPr="00614CC6">
        <w:rPr>
          <w:sz w:val="18"/>
          <w:szCs w:val="18"/>
        </w:rPr>
        <w:t>.</w:t>
      </w:r>
    </w:p>
    <w:p w:rsidR="00C7547B" w:rsidRPr="0097240B" w:rsidRDefault="00C7547B" w:rsidP="00C7547B">
      <w:pPr>
        <w:spacing w:before="160"/>
        <w:rPr>
          <w:i/>
          <w:sz w:val="20"/>
        </w:rPr>
        <w:sectPr w:rsidR="00C7547B" w:rsidRPr="0097240B" w:rsidSect="000508C2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  <w:docGrid w:linePitch="326"/>
        </w:sectPr>
      </w:pPr>
    </w:p>
    <w:p w:rsidR="00B31FA7" w:rsidRDefault="00B31FA7" w:rsidP="00D707EE">
      <w:pPr>
        <w:pStyle w:val="RecNo"/>
      </w:pPr>
      <w:bookmarkStart w:id="3" w:name="irecnoe"/>
      <w:bookmarkEnd w:id="3"/>
      <w:r w:rsidRPr="00D707EE">
        <w:lastRenderedPageBreak/>
        <w:t>RECOMMANDATION</w:t>
      </w:r>
      <w:r>
        <w:t xml:space="preserve">  </w:t>
      </w:r>
      <w:r w:rsidRPr="00ED1B58">
        <w:rPr>
          <w:rStyle w:val="href"/>
        </w:rPr>
        <w:t>UIT-R  P.841-</w:t>
      </w:r>
      <w:r w:rsidR="00661D09">
        <w:rPr>
          <w:rStyle w:val="href"/>
        </w:rPr>
        <w:t>5</w:t>
      </w:r>
    </w:p>
    <w:p w:rsidR="00B31FA7" w:rsidRDefault="00B31FA7" w:rsidP="00F12172">
      <w:pPr>
        <w:pStyle w:val="Rectitle"/>
      </w:pPr>
      <w:bookmarkStart w:id="4" w:name="Pre_title"/>
      <w:r>
        <w:t xml:space="preserve">Conversion des statistiques annuelles en statistiques </w:t>
      </w:r>
      <w:r w:rsidR="00F12172">
        <w:t>pour le mois le plus </w:t>
      </w:r>
      <w:r>
        <w:t>défavorable</w:t>
      </w:r>
      <w:bookmarkEnd w:id="4"/>
    </w:p>
    <w:p w:rsidR="00B31FA7" w:rsidRDefault="00B31FA7" w:rsidP="00B31FA7">
      <w:pPr>
        <w:pStyle w:val="Recref"/>
      </w:pPr>
      <w:r>
        <w:t>(Question UIT-R 201/3)</w:t>
      </w:r>
    </w:p>
    <w:p w:rsidR="00B31FA7" w:rsidRDefault="00B31FA7" w:rsidP="00B31FA7">
      <w:pPr>
        <w:pStyle w:val="Recdate"/>
      </w:pPr>
      <w:r>
        <w:t>(1992-1999-2001-2003-2005</w:t>
      </w:r>
      <w:r w:rsidR="00661D09">
        <w:t>-2016</w:t>
      </w:r>
      <w:r>
        <w:t>)</w:t>
      </w:r>
    </w:p>
    <w:p w:rsidR="00B31FA7" w:rsidRPr="00D707EE" w:rsidRDefault="00D22DEA" w:rsidP="00D707EE">
      <w:pPr>
        <w:pStyle w:val="HeadingSum"/>
        <w:rPr>
          <w:lang w:val="fr-CH"/>
        </w:rPr>
      </w:pPr>
      <w:r w:rsidRPr="00D707EE">
        <w:rPr>
          <w:lang w:val="fr-CH"/>
        </w:rPr>
        <w:t>Domaine d</w:t>
      </w:r>
      <w:r w:rsidR="00EF5059" w:rsidRPr="00D707EE">
        <w:rPr>
          <w:lang w:val="fr-CH"/>
        </w:rPr>
        <w:t>'</w:t>
      </w:r>
      <w:r w:rsidRPr="00D707EE">
        <w:rPr>
          <w:lang w:val="fr-CH"/>
        </w:rPr>
        <w:t>application</w:t>
      </w:r>
    </w:p>
    <w:p w:rsidR="00D22DEA" w:rsidRPr="00C76608" w:rsidRDefault="00D22DEA" w:rsidP="00D707EE">
      <w:pPr>
        <w:pStyle w:val="Summary"/>
        <w:rPr>
          <w:lang w:val="fr-CH"/>
        </w:rPr>
      </w:pPr>
      <w:r w:rsidRPr="00C76608">
        <w:rPr>
          <w:lang w:val="fr-CH"/>
        </w:rPr>
        <w:t xml:space="preserve">On trouvera dans la présente Recommandation une méthode </w:t>
      </w:r>
      <w:r w:rsidR="0004215D" w:rsidRPr="00C76608">
        <w:rPr>
          <w:lang w:val="fr-CH"/>
        </w:rPr>
        <w:t>permettant de</w:t>
      </w:r>
      <w:r w:rsidRPr="00C76608">
        <w:rPr>
          <w:lang w:val="fr-CH"/>
        </w:rPr>
        <w:t xml:space="preserve"> convertir le pourcentage annuel de dépassement en pourcentage pour le mois le plus défavorable en ce qui concerne les paramètres liés à la propagation.</w:t>
      </w:r>
    </w:p>
    <w:p w:rsidR="00D22DEA" w:rsidRPr="00812149" w:rsidRDefault="00D22DEA" w:rsidP="00D3084D">
      <w:pPr>
        <w:pStyle w:val="Headingb"/>
      </w:pPr>
      <w:r w:rsidRPr="00812149">
        <w:t>Mots clés</w:t>
      </w:r>
    </w:p>
    <w:p w:rsidR="00D22DEA" w:rsidRPr="00D22DEA" w:rsidRDefault="00D22DEA" w:rsidP="00812149">
      <w:r>
        <w:t>Statistiques pour le mois le plus défavorable, statistiques annuelles, méthode de conversion</w:t>
      </w:r>
    </w:p>
    <w:p w:rsidR="00B31FA7" w:rsidRDefault="00B31FA7" w:rsidP="00B31FA7">
      <w:pPr>
        <w:pStyle w:val="Normalaftertitle"/>
      </w:pPr>
      <w:r>
        <w:t>L</w:t>
      </w:r>
      <w:r w:rsidR="00EF5059">
        <w:t>'</w:t>
      </w:r>
      <w:r>
        <w:t>Assemblée des radiocommunications de l</w:t>
      </w:r>
      <w:r w:rsidR="00EF5059">
        <w:t>'</w:t>
      </w:r>
      <w:r>
        <w:t>UIT,</w:t>
      </w:r>
    </w:p>
    <w:p w:rsidR="00B31FA7" w:rsidRDefault="00B31FA7" w:rsidP="00B31FA7">
      <w:pPr>
        <w:pStyle w:val="Call"/>
      </w:pPr>
      <w:r>
        <w:t>considérant</w:t>
      </w:r>
    </w:p>
    <w:p w:rsidR="00B31FA7" w:rsidRDefault="00EF5059" w:rsidP="00EF5059">
      <w:r>
        <w:rPr>
          <w:i/>
          <w:iCs/>
        </w:rPr>
        <w:t>a)</w:t>
      </w:r>
      <w:r>
        <w:rPr>
          <w:i/>
          <w:iCs/>
        </w:rPr>
        <w:tab/>
      </w:r>
      <w:r w:rsidR="00B31FA7">
        <w:t>que les données statistiques de propagation à utiliser dans la conception des systèmes de radiocommunication sont celles relatives à la période de référence du mois le plus défavorable;</w:t>
      </w:r>
    </w:p>
    <w:p w:rsidR="00D22DEA" w:rsidRDefault="00EF5059" w:rsidP="00EF5059">
      <w:r>
        <w:rPr>
          <w:i/>
          <w:iCs/>
        </w:rPr>
        <w:t>b)</w:t>
      </w:r>
      <w:r>
        <w:rPr>
          <w:i/>
          <w:iCs/>
        </w:rPr>
        <w:tab/>
      </w:r>
      <w:r w:rsidR="00D22DEA">
        <w:t xml:space="preserve">que le </w:t>
      </w:r>
      <w:r w:rsidR="0097240B">
        <w:t>concept</w:t>
      </w:r>
      <w:r w:rsidR="00D22DEA">
        <w:t xml:space="preserve"> de mois le plus défavorable est défini dans la Recommandation UIT-R P.581;</w:t>
      </w:r>
    </w:p>
    <w:p w:rsidR="00B31FA7" w:rsidRDefault="00D22DEA" w:rsidP="00B31FA7">
      <w:r w:rsidRPr="00611FCD">
        <w:rPr>
          <w:i/>
          <w:iCs/>
        </w:rPr>
        <w:t>c</w:t>
      </w:r>
      <w:r w:rsidR="00B31FA7" w:rsidRPr="00611FCD">
        <w:rPr>
          <w:i/>
          <w:iCs/>
        </w:rPr>
        <w:t>)</w:t>
      </w:r>
      <w:r w:rsidR="00B31FA7">
        <w:tab/>
        <w:t>que la référence pour de nombreuses données radiométéorologiques et pour certaines méthodes de prévision de la propagation est la distribution</w:t>
      </w:r>
      <w:proofErr w:type="gramStart"/>
      <w:r w:rsidR="00B31FA7">
        <w:t xml:space="preserve"> «moyenne</w:t>
      </w:r>
      <w:proofErr w:type="gramEnd"/>
      <w:r w:rsidR="00B31FA7">
        <w:t xml:space="preserve"> annuelle à long terme»;</w:t>
      </w:r>
    </w:p>
    <w:p w:rsidR="00B31FA7" w:rsidRDefault="00D22DEA" w:rsidP="00D22DEA">
      <w:r w:rsidRPr="00611FCD">
        <w:rPr>
          <w:i/>
          <w:iCs/>
        </w:rPr>
        <w:t>d</w:t>
      </w:r>
      <w:r w:rsidR="00B31FA7" w:rsidRPr="00611FCD">
        <w:rPr>
          <w:i/>
          <w:iCs/>
        </w:rPr>
        <w:t>)</w:t>
      </w:r>
      <w:r w:rsidR="00B31FA7">
        <w:tab/>
        <w:t>qu</w:t>
      </w:r>
      <w:r w:rsidR="00EF5059">
        <w:t>'</w:t>
      </w:r>
      <w:r w:rsidR="00B31FA7">
        <w:t xml:space="preserve">il faut donc disposer </w:t>
      </w:r>
      <w:r>
        <w:t>d</w:t>
      </w:r>
      <w:r w:rsidR="00EF5059">
        <w:t>'</w:t>
      </w:r>
      <w:r>
        <w:t>une méthode</w:t>
      </w:r>
      <w:r w:rsidR="00B31FA7">
        <w:t xml:space="preserve"> permettant de convertir les statistiques</w:t>
      </w:r>
      <w:proofErr w:type="gramStart"/>
      <w:r w:rsidR="00B31FA7">
        <w:t xml:space="preserve"> «annuelles</w:t>
      </w:r>
      <w:proofErr w:type="gramEnd"/>
      <w:r w:rsidR="00B31FA7">
        <w:t>» en statistiques «pour le mois le plus défavorable»,</w:t>
      </w:r>
    </w:p>
    <w:p w:rsidR="00B31FA7" w:rsidRDefault="00B31FA7" w:rsidP="00B31FA7">
      <w:pPr>
        <w:pStyle w:val="Call"/>
      </w:pPr>
      <w:r>
        <w:t>recommande</w:t>
      </w:r>
    </w:p>
    <w:p w:rsidR="00B31FA7" w:rsidRDefault="00B31FA7" w:rsidP="00D22DEA">
      <w:r>
        <w:rPr>
          <w:b/>
          <w:bCs/>
        </w:rPr>
        <w:t>1</w:t>
      </w:r>
      <w:r>
        <w:rPr>
          <w:b/>
          <w:bCs/>
        </w:rPr>
        <w:tab/>
      </w:r>
      <w:r>
        <w:t>qu</w:t>
      </w:r>
      <w:r w:rsidR="00EF5059">
        <w:t>'</w:t>
      </w:r>
      <w:r>
        <w:t>e</w:t>
      </w:r>
      <w:r w:rsidR="0079445C">
        <w:t>n l</w:t>
      </w:r>
      <w:r w:rsidR="00EF5059">
        <w:t>'</w:t>
      </w:r>
      <w:r w:rsidR="0079445C">
        <w:t>absence de statistiques mensuelles,</w:t>
      </w:r>
      <w:r>
        <w:t xml:space="preserve"> l</w:t>
      </w:r>
      <w:r w:rsidR="00EF5059">
        <w:t>'</w:t>
      </w:r>
      <w:r>
        <w:t xml:space="preserve">on utilise </w:t>
      </w:r>
      <w:r w:rsidR="00D22DEA">
        <w:t>la méthode</w:t>
      </w:r>
      <w:r>
        <w:t xml:space="preserve"> donné</w:t>
      </w:r>
      <w:r w:rsidR="00D22DEA">
        <w:t>e</w:t>
      </w:r>
      <w:r>
        <w:t xml:space="preserve"> dans l</w:t>
      </w:r>
      <w:r w:rsidR="00EF5059">
        <w:t>'</w:t>
      </w:r>
      <w:r>
        <w:t>Annexe 1 pour convertir le pourcentage moyen du temps de dépassement annuel en pourcentage moyen du temps de dépassement pendant le mois le plus défavorable de l</w:t>
      </w:r>
      <w:r w:rsidR="00EF5059">
        <w:t>'</w:t>
      </w:r>
      <w:r>
        <w:t>année.</w:t>
      </w:r>
    </w:p>
    <w:p w:rsidR="00005A75" w:rsidRDefault="00005A75" w:rsidP="00D22DEA"/>
    <w:p w:rsidR="00005A75" w:rsidRDefault="00005A75" w:rsidP="00005A75"/>
    <w:p w:rsidR="00B31FA7" w:rsidRDefault="00B31FA7" w:rsidP="00005A75">
      <w:pPr>
        <w:pStyle w:val="AnnexNoTitle"/>
      </w:pPr>
      <w:bookmarkStart w:id="5" w:name="_Toc107988553"/>
      <w:r w:rsidRPr="00005A75">
        <w:t>Annexe</w:t>
      </w:r>
      <w:r>
        <w:t xml:space="preserve"> 1</w:t>
      </w:r>
      <w:bookmarkEnd w:id="5"/>
    </w:p>
    <w:p w:rsidR="00B31FA7" w:rsidRDefault="00B31FA7" w:rsidP="00B31FA7">
      <w:pPr>
        <w:pStyle w:val="Normalaftertitle"/>
      </w:pPr>
      <w:r>
        <w:rPr>
          <w:b/>
          <w:bCs/>
        </w:rPr>
        <w:t>1</w:t>
      </w:r>
      <w:r>
        <w:tab/>
        <w:t>Le pourcentage moyen du temps de dépassement pendant le mois le plus défavorable de l</w:t>
      </w:r>
      <w:r w:rsidR="00EF5059">
        <w:t>'</w:t>
      </w:r>
      <w:r>
        <w:t xml:space="preserve">année, </w:t>
      </w:r>
      <w:r>
        <w:rPr>
          <w:i/>
          <w:iCs/>
        </w:rPr>
        <w:t>p</w:t>
      </w:r>
      <w:r>
        <w:rPr>
          <w:i/>
          <w:iCs/>
          <w:vertAlign w:val="subscript"/>
        </w:rPr>
        <w:t>w</w:t>
      </w:r>
      <w:r>
        <w:t xml:space="preserve">, se calcule à partir du pourcentage moyen du temps de dépassement annuel, </w:t>
      </w:r>
      <w:r>
        <w:rPr>
          <w:i/>
          <w:iCs/>
        </w:rPr>
        <w:t>p</w:t>
      </w:r>
      <w:r>
        <w:t xml:space="preserve">, au moyen du facteur de conversion, </w:t>
      </w:r>
      <w:r>
        <w:rPr>
          <w:i/>
          <w:iCs/>
        </w:rPr>
        <w:t>Q</w:t>
      </w:r>
      <w:r>
        <w:t>:</w:t>
      </w:r>
    </w:p>
    <w:p w:rsidR="00B31FA7" w:rsidRDefault="00B31FA7" w:rsidP="00B31FA7">
      <w:pPr>
        <w:pStyle w:val="Equation"/>
      </w:pPr>
      <w:r>
        <w:tab/>
      </w:r>
      <w:r>
        <w:tab/>
      </w:r>
      <w:r>
        <w:rPr>
          <w:i/>
          <w:iCs/>
        </w:rPr>
        <w:t>p</w:t>
      </w:r>
      <w:r>
        <w:rPr>
          <w:i/>
          <w:iCs/>
          <w:position w:val="-4"/>
          <w:sz w:val="20"/>
        </w:rPr>
        <w:t>w</w:t>
      </w:r>
      <w:r w:rsidR="00812149">
        <w:t xml:space="preserve"> </w:t>
      </w:r>
      <w:r>
        <w:rPr>
          <w:rFonts w:ascii="Symbol" w:hAnsi="Symbol"/>
        </w:rPr>
        <w:t></w:t>
      </w:r>
      <w:r w:rsidR="00812149">
        <w:t xml:space="preserve"> </w:t>
      </w:r>
      <w:r w:rsidR="00464054">
        <w:rPr>
          <w:i/>
          <w:iCs/>
        </w:rPr>
        <w:t>Q</w:t>
      </w:r>
      <w:r>
        <w:rPr>
          <w:i/>
          <w:iCs/>
        </w:rPr>
        <w:t> p</w:t>
      </w:r>
      <w:r>
        <w:tab/>
        <w:t>(1)</w:t>
      </w:r>
    </w:p>
    <w:p w:rsidR="00B31FA7" w:rsidRDefault="00B31FA7" w:rsidP="00B31FA7">
      <w:r>
        <w:t>où 1 </w:t>
      </w:r>
      <w:r>
        <w:rPr>
          <w:rFonts w:ascii="Symbol" w:hAnsi="Symbol"/>
        </w:rPr>
        <w:sym w:font="Symbol" w:char="F0A3"/>
      </w:r>
      <w:r>
        <w:t> </w:t>
      </w:r>
      <w:r>
        <w:rPr>
          <w:i/>
          <w:iCs/>
        </w:rPr>
        <w:t>Q</w:t>
      </w:r>
      <w:r>
        <w:t> </w:t>
      </w:r>
      <w:r>
        <w:rPr>
          <w:rFonts w:ascii="Symbol" w:hAnsi="Symbol"/>
        </w:rPr>
        <w:sym w:font="Symbol" w:char="F0A3"/>
      </w:r>
      <w:r>
        <w:t xml:space="preserve"> 12, </w:t>
      </w:r>
      <w:r>
        <w:rPr>
          <w:i/>
          <w:iCs/>
        </w:rPr>
        <w:t>p</w:t>
      </w:r>
      <w:r>
        <w:t xml:space="preserve"> et </w:t>
      </w:r>
      <w:r>
        <w:rPr>
          <w:i/>
          <w:iCs/>
        </w:rPr>
        <w:t>p</w:t>
      </w:r>
      <w:r>
        <w:rPr>
          <w:i/>
          <w:iCs/>
          <w:vertAlign w:val="subscript"/>
        </w:rPr>
        <w:t>w</w:t>
      </w:r>
      <w:r>
        <w:t xml:space="preserve"> se rapportent tous deux aux mêmes valeurs de seuil.</w:t>
      </w:r>
    </w:p>
    <w:p w:rsidR="00B31FA7" w:rsidRDefault="00B31FA7" w:rsidP="00B31FA7">
      <w:r>
        <w:rPr>
          <w:b/>
          <w:bCs/>
        </w:rPr>
        <w:t>2</w:t>
      </w:r>
      <w:r>
        <w:rPr>
          <w:b/>
          <w:bCs/>
        </w:rPr>
        <w:tab/>
      </w:r>
      <w:r w:rsidRPr="00850AC5">
        <w:rPr>
          <w:i/>
          <w:iCs/>
        </w:rPr>
        <w:t>Q</w:t>
      </w:r>
      <w:r w:rsidRPr="00850AC5">
        <w:t xml:space="preserve"> </w:t>
      </w:r>
      <w:r>
        <w:t xml:space="preserve">est une fonction de </w:t>
      </w:r>
      <w:r>
        <w:rPr>
          <w:i/>
          <w:iCs/>
        </w:rPr>
        <w:t>p</w:t>
      </w:r>
      <w:r>
        <w:t xml:space="preserve"> (%) à deux paramètres (</w:t>
      </w:r>
      <w:r>
        <w:rPr>
          <w:i/>
          <w:iCs/>
        </w:rPr>
        <w:t>Q</w:t>
      </w:r>
      <w:r>
        <w:rPr>
          <w:vertAlign w:val="subscript"/>
        </w:rPr>
        <w:t>1</w:t>
      </w:r>
      <w:r>
        <w:t xml:space="preserve">, </w:t>
      </w:r>
      <w:r>
        <w:rPr>
          <w:rFonts w:ascii="Symbol" w:hAnsi="Symbol"/>
        </w:rPr>
        <w:sym w:font="Symbol" w:char="F062"/>
      </w:r>
      <w:r>
        <w:rPr>
          <w:rFonts w:ascii="Symbol" w:hAnsi="Symbol"/>
        </w:rPr>
        <w:t></w:t>
      </w:r>
      <w:r>
        <w:rPr>
          <w:rFonts w:ascii="Symbol" w:hAnsi="Symbol"/>
        </w:rPr>
        <w:t></w:t>
      </w:r>
    </w:p>
    <w:p w:rsidR="00B31FA7" w:rsidRDefault="00B31FA7" w:rsidP="00B31FA7">
      <w:pPr>
        <w:pStyle w:val="Equation"/>
        <w:spacing w:before="40"/>
      </w:pPr>
      <w:r>
        <w:lastRenderedPageBreak/>
        <w:tab/>
      </w:r>
      <w:r w:rsidR="00DB612F" w:rsidRPr="00DB612F">
        <w:rPr>
          <w:position w:val="-180"/>
          <w:sz w:val="20"/>
        </w:rPr>
        <w:object w:dxaOrig="7420" w:dyaOrig="3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1.5pt;height:186.05pt" o:ole="">
            <v:imagedata r:id="rId15" o:title=""/>
          </v:shape>
          <o:OLEObject Type="Embed" ProgID="Equation.3" ShapeID="_x0000_i1025" DrawAspect="Content" ObjectID="_1571743554" r:id="rId16"/>
        </w:object>
      </w:r>
      <w:r>
        <w:tab/>
        <w:t>(2)</w:t>
      </w:r>
    </w:p>
    <w:p w:rsidR="00DB612F" w:rsidRPr="00DB612F" w:rsidRDefault="00DB612F" w:rsidP="00884BA8">
      <w:pPr>
        <w:pStyle w:val="Normal8pt"/>
      </w:pPr>
    </w:p>
    <w:p w:rsidR="00B31FA7" w:rsidRDefault="00B31FA7" w:rsidP="00B31FA7">
      <w:r>
        <w:rPr>
          <w:b/>
          <w:bCs/>
        </w:rPr>
        <w:t>3</w:t>
      </w:r>
      <w:r>
        <w:rPr>
          <w:b/>
          <w:bCs/>
        </w:rPr>
        <w:tab/>
      </w:r>
      <w:r>
        <w:t>Pour calculer le pourcentage moyen du temps de dépassement annuel à partir du pourcentage moyen du temps de dépassement pendant le mois le plus défavorable de l</w:t>
      </w:r>
      <w:r w:rsidR="00EF5059">
        <w:t>'</w:t>
      </w:r>
      <w:r>
        <w:t>année, on utilise la relation inverse:</w:t>
      </w:r>
    </w:p>
    <w:p w:rsidR="00B31FA7" w:rsidRDefault="00B31FA7" w:rsidP="00B31FA7">
      <w:pPr>
        <w:pStyle w:val="Equation"/>
      </w:pPr>
      <w:bookmarkStart w:id="6" w:name="f009"/>
      <w:r>
        <w:tab/>
      </w:r>
      <w:r>
        <w:tab/>
      </w:r>
      <w:r>
        <w:rPr>
          <w:i/>
          <w:iCs/>
        </w:rPr>
        <w:t>p</w:t>
      </w:r>
      <w:r>
        <w:t> </w:t>
      </w:r>
      <w:r>
        <w:rPr>
          <w:rFonts w:ascii="Symbol" w:hAnsi="Symbol"/>
        </w:rPr>
        <w:t></w:t>
      </w:r>
      <w:r>
        <w:t> </w:t>
      </w:r>
      <w:r>
        <w:rPr>
          <w:i/>
          <w:iCs/>
        </w:rPr>
        <w:t>p</w:t>
      </w:r>
      <w:r>
        <w:rPr>
          <w:i/>
          <w:iCs/>
          <w:position w:val="-4"/>
          <w:sz w:val="20"/>
        </w:rPr>
        <w:t>w</w:t>
      </w:r>
      <w:r>
        <w:t xml:space="preserve"> / </w:t>
      </w:r>
      <w:r>
        <w:rPr>
          <w:i/>
          <w:iCs/>
        </w:rPr>
        <w:t>Q</w:t>
      </w:r>
      <w:r>
        <w:tab/>
        <w:t>(3)</w:t>
      </w:r>
      <w:bookmarkEnd w:id="6"/>
    </w:p>
    <w:p w:rsidR="00B31FA7" w:rsidRDefault="00B31FA7" w:rsidP="00B31FA7">
      <w:pPr>
        <w:rPr>
          <w:rFonts w:ascii="Symbol" w:hAnsi="Symbol"/>
          <w:sz w:val="18"/>
          <w:szCs w:val="18"/>
        </w:rPr>
      </w:pPr>
      <w:r>
        <w:t xml:space="preserve">et on peut obtenir facilement la dépendance de </w:t>
      </w:r>
      <w:r>
        <w:rPr>
          <w:i/>
          <w:iCs/>
        </w:rPr>
        <w:t>Q</w:t>
      </w:r>
      <w:r>
        <w:t xml:space="preserve"> par rapport à </w:t>
      </w:r>
      <w:r>
        <w:rPr>
          <w:i/>
          <w:iCs/>
        </w:rPr>
        <w:t>p</w:t>
      </w:r>
      <w:r>
        <w:rPr>
          <w:i/>
          <w:iCs/>
          <w:vertAlign w:val="subscript"/>
        </w:rPr>
        <w:t>w</w:t>
      </w:r>
      <w:r>
        <w:rPr>
          <w:sz w:val="18"/>
          <w:szCs w:val="18"/>
        </w:rPr>
        <w:t xml:space="preserve"> </w:t>
      </w:r>
      <w:r>
        <w:t xml:space="preserve">à partir de la dépendance de </w:t>
      </w:r>
      <w:r>
        <w:rPr>
          <w:i/>
          <w:iCs/>
        </w:rPr>
        <w:t>Q</w:t>
      </w:r>
      <w:r>
        <w:t xml:space="preserve"> par rapport à </w:t>
      </w:r>
      <w:r>
        <w:rPr>
          <w:i/>
          <w:iCs/>
        </w:rPr>
        <w:t>p</w:t>
      </w:r>
      <w:r>
        <w:t xml:space="preserve"> donnée ci-dessus. La relation obtenue pour 12 </w:t>
      </w:r>
      <w:r>
        <w:rPr>
          <w:i/>
          <w:iCs/>
        </w:rPr>
        <w:t>p</w:t>
      </w:r>
      <w:r>
        <w:rPr>
          <w:vertAlign w:val="subscript"/>
        </w:rPr>
        <w:t>0</w:t>
      </w:r>
      <w:r>
        <w:t> </w:t>
      </w:r>
      <w:r>
        <w:rPr>
          <w:rFonts w:ascii="Symbol" w:hAnsi="Symbol"/>
        </w:rPr>
        <w:t></w:t>
      </w:r>
      <w:r>
        <w:t> </w:t>
      </w:r>
      <w:r>
        <w:rPr>
          <w:i/>
          <w:iCs/>
        </w:rPr>
        <w:t>p</w:t>
      </w:r>
      <w:r>
        <w:rPr>
          <w:i/>
          <w:iCs/>
          <w:vertAlign w:val="subscript"/>
        </w:rPr>
        <w:t>w</w:t>
      </w:r>
      <w:r>
        <w:t>(%) </w:t>
      </w:r>
      <w:r>
        <w:rPr>
          <w:rFonts w:ascii="Symbol" w:hAnsi="Symbol"/>
        </w:rPr>
        <w:t></w:t>
      </w:r>
      <w:r>
        <w:t> </w:t>
      </w:r>
      <w:r>
        <w:rPr>
          <w:i/>
          <w:iCs/>
        </w:rPr>
        <w:t>Q</w:t>
      </w:r>
      <w:r>
        <w:rPr>
          <w:vertAlign w:val="subscript"/>
        </w:rPr>
        <w:t>1</w:t>
      </w:r>
      <w:r>
        <w:t> 3</w:t>
      </w:r>
      <w:r>
        <w:rPr>
          <w:vertAlign w:val="superscript"/>
        </w:rPr>
        <w:t>(1–</w:t>
      </w:r>
      <w:r>
        <w:rPr>
          <w:rFonts w:ascii="Symbol" w:hAnsi="Symbol"/>
          <w:vertAlign w:val="superscript"/>
        </w:rPr>
        <w:sym w:font="Symbol" w:char="F062"/>
      </w:r>
      <w:r>
        <w:rPr>
          <w:vertAlign w:val="superscript"/>
        </w:rPr>
        <w:t>)</w:t>
      </w:r>
      <w:r>
        <w:t xml:space="preserve"> est (</w:t>
      </w:r>
      <w:r>
        <w:rPr>
          <w:rFonts w:ascii="Tms Rmn" w:hAnsi="Tms Rmn"/>
          <w:sz w:val="12"/>
          <w:szCs w:val="12"/>
        </w:rPr>
        <w:t> </w:t>
      </w:r>
      <w:r>
        <w:rPr>
          <w:i/>
          <w:iCs/>
        </w:rPr>
        <w:t>p</w:t>
      </w:r>
      <w:r>
        <w:rPr>
          <w:vertAlign w:val="subscript"/>
        </w:rPr>
        <w:t>0</w:t>
      </w:r>
      <w:r>
        <w:t> </w:t>
      </w:r>
      <w:r>
        <w:rPr>
          <w:rFonts w:ascii="Symbol" w:hAnsi="Symbol"/>
        </w:rPr>
        <w:t></w:t>
      </w:r>
      <w:r>
        <w:t> (</w:t>
      </w:r>
      <w:r>
        <w:rPr>
          <w:i/>
          <w:iCs/>
        </w:rPr>
        <w:t>Q</w:t>
      </w:r>
      <w:r>
        <w:rPr>
          <w:vertAlign w:val="subscript"/>
        </w:rPr>
        <w:t>1</w:t>
      </w:r>
      <w:r>
        <w:t>/12)</w:t>
      </w:r>
      <w:r>
        <w:rPr>
          <w:vertAlign w:val="superscript"/>
        </w:rPr>
        <w:t>1/</w:t>
      </w:r>
      <w:r>
        <w:rPr>
          <w:rFonts w:ascii="Symbol" w:hAnsi="Symbol"/>
          <w:vertAlign w:val="superscript"/>
        </w:rPr>
        <w:sym w:font="Symbol" w:char="F062"/>
      </w:r>
      <w:r>
        <w:t>)</w:t>
      </w:r>
      <w:r>
        <w:rPr>
          <w:rFonts w:ascii="Symbol" w:hAnsi="Symbol"/>
        </w:rPr>
        <w:t></w:t>
      </w:r>
    </w:p>
    <w:p w:rsidR="00B31FA7" w:rsidRDefault="00B31FA7" w:rsidP="00B31FA7">
      <w:pPr>
        <w:pStyle w:val="Equation"/>
      </w:pPr>
      <w:r>
        <w:tab/>
      </w:r>
      <w:r>
        <w:tab/>
      </w:r>
      <w:r w:rsidR="00DB612F" w:rsidRPr="00DB612F">
        <w:rPr>
          <w:position w:val="-12"/>
        </w:rPr>
        <w:object w:dxaOrig="1800" w:dyaOrig="380">
          <v:shape id="_x0000_i1026" type="#_x0000_t75" style="width:89.85pt;height:19pt" o:ole="">
            <v:imagedata r:id="rId17" o:title=""/>
          </v:shape>
          <o:OLEObject Type="Embed" ProgID="Equation.3" ShapeID="_x0000_i1026" DrawAspect="Content" ObjectID="_1571743555" r:id="rId18"/>
        </w:object>
      </w:r>
      <w:r>
        <w:tab/>
        <w:t>(4)</w:t>
      </w:r>
    </w:p>
    <w:p w:rsidR="00B31FA7" w:rsidRDefault="00B31FA7" w:rsidP="00B31FA7">
      <w:r>
        <w:rPr>
          <w:b/>
          <w:bCs/>
        </w:rPr>
        <w:t>4</w:t>
      </w:r>
      <w:r>
        <w:rPr>
          <w:b/>
          <w:bCs/>
        </w:rPr>
        <w:tab/>
      </w:r>
      <w:r>
        <w:t xml:space="preserve">A des fins générales de planification, les valeurs suivantes devraient être utilisées pour les paramètres </w:t>
      </w:r>
      <w:r>
        <w:rPr>
          <w:i/>
          <w:iCs/>
        </w:rPr>
        <w:t>Q</w:t>
      </w:r>
      <w:r>
        <w:rPr>
          <w:vertAlign w:val="subscript"/>
        </w:rPr>
        <w:t>1</w:t>
      </w:r>
      <w:r>
        <w:t xml:space="preserve"> et </w:t>
      </w:r>
      <w:r>
        <w:rPr>
          <w:rFonts w:ascii="Symbol" w:hAnsi="Symbol"/>
        </w:rPr>
        <w:sym w:font="Symbol" w:char="F062"/>
      </w:r>
      <w:r>
        <w:rPr>
          <w:rFonts w:ascii="Symbol" w:hAnsi="Symbol"/>
        </w:rPr>
        <w:t></w:t>
      </w:r>
    </w:p>
    <w:p w:rsidR="00B31FA7" w:rsidRDefault="00B31FA7" w:rsidP="00B31FA7">
      <w:pPr>
        <w:pStyle w:val="Equation"/>
      </w:pPr>
      <w:r>
        <w:rPr>
          <w:i/>
          <w:iCs/>
        </w:rPr>
        <w:tab/>
      </w:r>
      <w:r>
        <w:rPr>
          <w:i/>
          <w:iCs/>
        </w:rPr>
        <w:tab/>
        <w:t>Q</w:t>
      </w:r>
      <w:r>
        <w:rPr>
          <w:position w:val="-4"/>
          <w:sz w:val="20"/>
        </w:rPr>
        <w:t>1</w:t>
      </w:r>
      <w:r>
        <w:t> </w:t>
      </w:r>
      <w:r>
        <w:rPr>
          <w:rFonts w:ascii="Symbol" w:hAnsi="Symbol"/>
        </w:rPr>
        <w:t></w:t>
      </w:r>
      <w:r>
        <w:t xml:space="preserve"> 2,85,     </w:t>
      </w:r>
      <w:r>
        <w:rPr>
          <w:rFonts w:ascii="Symbol" w:hAnsi="Symbol"/>
        </w:rPr>
        <w:sym w:font="Symbol" w:char="F062"/>
      </w:r>
      <w:r>
        <w:t> </w:t>
      </w:r>
      <w:r>
        <w:rPr>
          <w:rFonts w:ascii="Symbol" w:hAnsi="Symbol"/>
        </w:rPr>
        <w:t></w:t>
      </w:r>
      <w:r>
        <w:t> 0,13</w:t>
      </w:r>
    </w:p>
    <w:p w:rsidR="00B31FA7" w:rsidRDefault="00B31FA7" w:rsidP="00B31FA7">
      <w:r>
        <w:t xml:space="preserve">(voir la Fig. 1). Ces valeurs donnent la relation suivante entre </w:t>
      </w:r>
      <w:r>
        <w:rPr>
          <w:i/>
          <w:iCs/>
        </w:rPr>
        <w:t>p</w:t>
      </w:r>
      <w:r>
        <w:t xml:space="preserve"> et </w:t>
      </w:r>
      <w:r>
        <w:rPr>
          <w:i/>
          <w:iCs/>
        </w:rPr>
        <w:t>p</w:t>
      </w:r>
      <w:r>
        <w:rPr>
          <w:i/>
          <w:iCs/>
          <w:vertAlign w:val="subscript"/>
        </w:rPr>
        <w:t>w</w:t>
      </w:r>
      <w:r>
        <w:t>:</w:t>
      </w:r>
    </w:p>
    <w:p w:rsidR="00B31FA7" w:rsidRDefault="00B31FA7" w:rsidP="00B31FA7">
      <w:pPr>
        <w:pStyle w:val="Equation"/>
      </w:pPr>
      <w:bookmarkStart w:id="7" w:name="f012"/>
      <w:r>
        <w:tab/>
      </w:r>
      <w:r>
        <w:tab/>
      </w:r>
      <w:r w:rsidR="00DB612F">
        <w:rPr>
          <w:position w:val="-12"/>
          <w:sz w:val="20"/>
        </w:rPr>
        <w:object w:dxaOrig="2140" w:dyaOrig="380">
          <v:shape id="_x0000_i1027" type="#_x0000_t75" style="width:107.15pt;height:19pt" o:ole="">
            <v:imagedata r:id="rId19" o:title=""/>
          </v:shape>
          <o:OLEObject Type="Embed" ProgID="Equation.3" ShapeID="_x0000_i1027" DrawAspect="Content" ObjectID="_1571743556" r:id="rId20"/>
        </w:object>
      </w:r>
      <w:r>
        <w:tab/>
        <w:t>(5)</w:t>
      </w:r>
    </w:p>
    <w:bookmarkEnd w:id="7"/>
    <w:p w:rsidR="00B31FA7" w:rsidRDefault="00B31FA7" w:rsidP="00B31FA7">
      <w:r>
        <w:t>pour 1,9 </w:t>
      </w:r>
      <w:r>
        <w:rPr>
          <w:rFonts w:ascii="Symbol" w:hAnsi="Symbol"/>
        </w:rPr>
        <w:sym w:font="Symbol" w:char="F0B4"/>
      </w:r>
      <w:r>
        <w:t> 10</w:t>
      </w:r>
      <w:r>
        <w:rPr>
          <w:vertAlign w:val="superscript"/>
        </w:rPr>
        <w:t>–4</w:t>
      </w:r>
      <w:r>
        <w:t> </w:t>
      </w:r>
      <w:r>
        <w:rPr>
          <w:rFonts w:ascii="Symbol" w:hAnsi="Symbol"/>
        </w:rPr>
        <w:t></w:t>
      </w:r>
      <w:r>
        <w:t> </w:t>
      </w:r>
      <w:r>
        <w:rPr>
          <w:i/>
          <w:iCs/>
        </w:rPr>
        <w:t>p</w:t>
      </w:r>
      <w:r>
        <w:rPr>
          <w:i/>
          <w:iCs/>
          <w:vertAlign w:val="subscript"/>
        </w:rPr>
        <w:t>w</w:t>
      </w:r>
      <w:r>
        <w:t>(%) </w:t>
      </w:r>
      <w:r>
        <w:rPr>
          <w:rFonts w:ascii="Symbol" w:hAnsi="Symbol"/>
        </w:rPr>
        <w:t></w:t>
      </w:r>
      <w:r>
        <w:t> 7,8.</w:t>
      </w:r>
    </w:p>
    <w:p w:rsidR="009C0254" w:rsidRDefault="009C0254" w:rsidP="009C0254">
      <w:pPr>
        <w:pStyle w:val="FigureNo"/>
      </w:pPr>
      <w:r>
        <w:lastRenderedPageBreak/>
        <w:t>figure 1</w:t>
      </w:r>
    </w:p>
    <w:p w:rsidR="009C0254" w:rsidRDefault="009C0254" w:rsidP="009C0254">
      <w:pPr>
        <w:pStyle w:val="Figuretitle"/>
      </w:pPr>
      <w:r>
        <w:t xml:space="preserve">Exemple de la dépendance de </w:t>
      </w:r>
      <w:r w:rsidRPr="009C0254">
        <w:rPr>
          <w:i/>
          <w:iCs/>
        </w:rPr>
        <w:t>Q</w:t>
      </w:r>
      <w:r>
        <w:t xml:space="preserve"> par rapport à p (ligne pleine)</w:t>
      </w:r>
      <w:r>
        <w:br/>
        <w:t xml:space="preserve">avec les aramètres </w:t>
      </w:r>
      <w:r w:rsidRPr="009C0254">
        <w:rPr>
          <w:i/>
          <w:iCs/>
        </w:rPr>
        <w:t>Q</w:t>
      </w:r>
      <w:r w:rsidRPr="009C0254">
        <w:rPr>
          <w:vertAlign w:val="subscript"/>
        </w:rPr>
        <w:t>1</w:t>
      </w:r>
      <w:r>
        <w:t xml:space="preserve"> = 2,85 et </w:t>
      </w:r>
      <w:r>
        <w:rPr>
          <w:rFonts w:ascii="Times New Roman" w:hAnsi="Times New Roman"/>
          <w:lang w:val="en-US"/>
        </w:rPr>
        <w:t>β</w:t>
      </w:r>
      <w:r w:rsidRPr="009C0254">
        <w:rPr>
          <w:lang w:val="fr-CH"/>
        </w:rPr>
        <w:t xml:space="preserve"> = </w:t>
      </w:r>
      <w:r>
        <w:t>0,13</w:t>
      </w:r>
    </w:p>
    <w:p w:rsidR="009C0254" w:rsidRPr="009C0254" w:rsidRDefault="004821AD" w:rsidP="009C0254">
      <w:pPr>
        <w:pStyle w:val="Figure"/>
      </w:pPr>
      <w:r>
        <w:object w:dxaOrig="5821" w:dyaOrig="4947">
          <v:shape id="_x0000_i1028" type="#_x0000_t75" style="width:357.7pt;height:304.15pt" o:ole="">
            <v:imagedata r:id="rId21" o:title=""/>
          </v:shape>
          <o:OLEObject Type="Embed" ProgID="CorelDraw.Graphic.17" ShapeID="_x0000_i1028" DrawAspect="Content" ObjectID="_1571743557" r:id="rId22"/>
        </w:object>
      </w:r>
    </w:p>
    <w:p w:rsidR="00EF5059" w:rsidRDefault="00EF5059" w:rsidP="00EF5059">
      <w:r>
        <w:t xml:space="preserve">Pour les applications générales concernant le taux de précipitation, il convient d'utiliser les valeurs suivantes pour les paramètres </w:t>
      </w:r>
      <w:r>
        <w:rPr>
          <w:rFonts w:hint="eastAsia"/>
          <w:i/>
          <w:iCs/>
        </w:rPr>
        <w:t>Q</w:t>
      </w:r>
      <w:r>
        <w:rPr>
          <w:rFonts w:hint="eastAsia"/>
          <w:vertAlign w:val="subscript"/>
        </w:rPr>
        <w:t>1</w:t>
      </w:r>
      <w:r>
        <w:t xml:space="preserve"> et </w:t>
      </w:r>
      <w:r>
        <w:rPr>
          <w:rFonts w:ascii="Symbol" w:hAnsi="Symbol"/>
        </w:rPr>
        <w:sym w:font="Symbol" w:char="F062"/>
      </w:r>
      <w:r>
        <w:t>:</w:t>
      </w:r>
    </w:p>
    <w:p w:rsidR="00EF5059" w:rsidRDefault="00EF5059" w:rsidP="00EF5059">
      <w:r>
        <w:rPr>
          <w:rFonts w:hint="eastAsia"/>
          <w:i/>
          <w:iCs/>
        </w:rPr>
        <w:t>Q</w:t>
      </w:r>
      <w:r>
        <w:rPr>
          <w:rFonts w:hint="eastAsia"/>
          <w:vertAlign w:val="subscript"/>
        </w:rPr>
        <w:t>1</w:t>
      </w:r>
      <w:r>
        <w:t xml:space="preserve"> = 2,82, </w:t>
      </w:r>
      <w:r>
        <w:rPr>
          <w:rFonts w:ascii="Symbol" w:hAnsi="Symbol"/>
        </w:rPr>
        <w:sym w:font="Symbol" w:char="F062"/>
      </w:r>
      <w:r>
        <w:t> = 0,15, pour les régions climatiques tropicales, subtropicales et tempérées avec précipitations fréquentes</w:t>
      </w:r>
    </w:p>
    <w:p w:rsidR="00EF5059" w:rsidRDefault="00EF5059" w:rsidP="00EF5059">
      <w:r>
        <w:rPr>
          <w:rFonts w:hint="eastAsia"/>
          <w:i/>
          <w:iCs/>
        </w:rPr>
        <w:t>Q</w:t>
      </w:r>
      <w:r>
        <w:rPr>
          <w:rFonts w:hint="eastAsia"/>
          <w:vertAlign w:val="subscript"/>
        </w:rPr>
        <w:t>1</w:t>
      </w:r>
      <w:r>
        <w:t xml:space="preserve"> = 4,48, </w:t>
      </w:r>
      <w:r>
        <w:rPr>
          <w:rFonts w:ascii="Symbol" w:hAnsi="Symbol"/>
        </w:rPr>
        <w:sym w:font="Symbol" w:char="F062"/>
      </w:r>
      <w:r>
        <w:t xml:space="preserve"> = 0,11, pour les régions tempérées sèches, polaires et désertiques (voir la Fig. 2). Ces valeurs donnent la relation suivante entre </w:t>
      </w:r>
      <w:r>
        <w:rPr>
          <w:i/>
          <w:iCs/>
        </w:rPr>
        <w:t>p</w:t>
      </w:r>
      <w:r>
        <w:t xml:space="preserve"> et </w:t>
      </w:r>
      <w:r>
        <w:rPr>
          <w:rFonts w:hint="eastAsia"/>
          <w:i/>
        </w:rPr>
        <w:t>p</w:t>
      </w:r>
      <w:r>
        <w:rPr>
          <w:rFonts w:hint="eastAsia"/>
          <w:i/>
          <w:vertAlign w:val="subscript"/>
        </w:rPr>
        <w:t>w</w:t>
      </w:r>
      <w:r>
        <w:t>:</w:t>
      </w:r>
    </w:p>
    <w:p w:rsidR="00EF5059" w:rsidRDefault="00EF5059" w:rsidP="00EF5059">
      <w:pPr>
        <w:pStyle w:val="Equation"/>
        <w:ind w:firstLine="240"/>
      </w:pPr>
      <w:r>
        <w:tab/>
      </w:r>
      <w:r>
        <w:tab/>
      </w:r>
      <w:r w:rsidR="00884BA8">
        <w:rPr>
          <w:position w:val="-12"/>
        </w:rPr>
        <w:object w:dxaOrig="2120" w:dyaOrig="380">
          <v:shape id="_x0000_i1029" type="#_x0000_t75" style="width:106pt;height:19pt" o:ole="">
            <v:imagedata r:id="rId23" o:title=""/>
          </v:shape>
          <o:OLEObject Type="Embed" ProgID="Equation.3" ShapeID="_x0000_i1029" DrawAspect="Content" ObjectID="_1571743558" r:id="rId24"/>
        </w:object>
      </w:r>
      <w:r>
        <w:t xml:space="preserve"> </w:t>
      </w:r>
      <w:r>
        <w:tab/>
        <w:t>(6)</w:t>
      </w:r>
    </w:p>
    <w:p w:rsidR="00EF5059" w:rsidRDefault="00EF5059" w:rsidP="00EF5059">
      <w:r>
        <w:t>où 7,7 × 10</w:t>
      </w:r>
      <w:r>
        <w:rPr>
          <w:vertAlign w:val="superscript"/>
        </w:rPr>
        <w:t>−4</w:t>
      </w:r>
      <w:r>
        <w:t> &lt; </w:t>
      </w:r>
      <w:r>
        <w:rPr>
          <w:rFonts w:hint="eastAsia"/>
          <w:i/>
        </w:rPr>
        <w:t>p</w:t>
      </w:r>
      <w:r>
        <w:rPr>
          <w:rFonts w:hint="eastAsia"/>
          <w:i/>
          <w:vertAlign w:val="subscript"/>
        </w:rPr>
        <w:t>w</w:t>
      </w:r>
      <w:r>
        <w:t>(%) &lt; 7,17, pour les régions climatiques tropicales, subtropicales et tempérées avec précipitations fréquentes:</w:t>
      </w:r>
    </w:p>
    <w:p w:rsidR="00EF5059" w:rsidRDefault="00EF5059" w:rsidP="00EF5059">
      <w:pPr>
        <w:pStyle w:val="Equation"/>
      </w:pPr>
      <w:r>
        <w:tab/>
      </w:r>
      <w:r>
        <w:tab/>
      </w:r>
      <w:r w:rsidR="00884BA8">
        <w:rPr>
          <w:position w:val="-12"/>
        </w:rPr>
        <w:object w:dxaOrig="2100" w:dyaOrig="380">
          <v:shape id="_x0000_i1030" type="#_x0000_t75" style="width:105.4pt;height:19pt" o:ole="">
            <v:imagedata r:id="rId25" o:title=""/>
          </v:shape>
          <o:OLEObject Type="Embed" ProgID="Equation.3" ShapeID="_x0000_i1030" DrawAspect="Content" ObjectID="_1571743559" r:id="rId26"/>
        </w:object>
      </w:r>
      <w:r>
        <w:t xml:space="preserve"> </w:t>
      </w:r>
      <w:r>
        <w:tab/>
        <w:t>(7)</w:t>
      </w:r>
    </w:p>
    <w:p w:rsidR="00EF5059" w:rsidRPr="00884BA8" w:rsidRDefault="00884BA8" w:rsidP="00884BA8">
      <w:pPr>
        <w:pStyle w:val="Equationlegend"/>
        <w:rPr>
          <w:lang w:val="fr-CH"/>
        </w:rPr>
      </w:pPr>
      <w:r w:rsidRPr="00C76608">
        <w:rPr>
          <w:lang w:val="fr-CH"/>
        </w:rPr>
        <w:tab/>
      </w:r>
      <w:r w:rsidR="00EF5059" w:rsidRPr="00884BA8">
        <w:rPr>
          <w:lang w:val="fr-CH"/>
        </w:rPr>
        <w:t>où 1,5 × 10</w:t>
      </w:r>
      <w:r w:rsidR="00EF5059" w:rsidRPr="00884BA8">
        <w:rPr>
          <w:vertAlign w:val="superscript"/>
          <w:lang w:val="fr-CH"/>
        </w:rPr>
        <w:t>−3</w:t>
      </w:r>
      <w:r w:rsidR="00EF5059" w:rsidRPr="00884BA8">
        <w:rPr>
          <w:lang w:val="fr-CH"/>
        </w:rPr>
        <w:t> &lt; </w:t>
      </w:r>
      <w:r w:rsidR="00EF5059" w:rsidRPr="00884BA8">
        <w:rPr>
          <w:rFonts w:hint="eastAsia"/>
          <w:i/>
          <w:lang w:val="fr-CH"/>
        </w:rPr>
        <w:t>p</w:t>
      </w:r>
      <w:r w:rsidR="00EF5059" w:rsidRPr="00884BA8">
        <w:rPr>
          <w:rFonts w:hint="eastAsia"/>
          <w:i/>
          <w:vertAlign w:val="subscript"/>
          <w:lang w:val="fr-CH"/>
        </w:rPr>
        <w:t>w</w:t>
      </w:r>
      <w:r w:rsidR="00EF5059" w:rsidRPr="00884BA8">
        <w:rPr>
          <w:lang w:val="fr-CH"/>
        </w:rPr>
        <w:t>(%) &lt; 11,91, pour les régions tempérées, sèches, polaires et désertiques.</w:t>
      </w:r>
    </w:p>
    <w:p w:rsidR="00507E92" w:rsidRPr="00385F0B" w:rsidRDefault="00507E92" w:rsidP="00507E92">
      <w:pPr>
        <w:pStyle w:val="FigureNo"/>
        <w:rPr>
          <w:lang w:val="en-US"/>
        </w:rPr>
      </w:pPr>
      <w:r w:rsidRPr="00385F0B">
        <w:rPr>
          <w:lang w:val="en-US"/>
        </w:rPr>
        <w:lastRenderedPageBreak/>
        <w:t>figure 2</w:t>
      </w:r>
    </w:p>
    <w:p w:rsidR="00507E92" w:rsidRPr="00507E92" w:rsidRDefault="00507E92" w:rsidP="00507E92">
      <w:pPr>
        <w:pStyle w:val="Figuretitle"/>
        <w:rPr>
          <w:lang w:val="fr-CH"/>
        </w:rPr>
      </w:pPr>
      <w:r w:rsidRPr="00507E92">
        <w:rPr>
          <w:lang w:val="fr-CH"/>
        </w:rPr>
        <w:t xml:space="preserve">Exemple de la dépendance de </w:t>
      </w:r>
      <w:r w:rsidRPr="00507E92">
        <w:rPr>
          <w:i/>
          <w:iCs/>
          <w:lang w:val="fr-CH"/>
        </w:rPr>
        <w:t>Q</w:t>
      </w:r>
      <w:r w:rsidRPr="00507E92">
        <w:rPr>
          <w:lang w:val="fr-CH"/>
        </w:rPr>
        <w:t xml:space="preserve"> </w:t>
      </w:r>
      <w:r>
        <w:rPr>
          <w:lang w:val="fr-CH"/>
        </w:rPr>
        <w:t xml:space="preserve">par rapport à </w:t>
      </w:r>
      <w:r w:rsidRPr="00507E92">
        <w:rPr>
          <w:i/>
          <w:iCs/>
          <w:lang w:val="fr-CH"/>
        </w:rPr>
        <w:t>p</w:t>
      </w:r>
      <w:r w:rsidRPr="00507E92">
        <w:rPr>
          <w:lang w:val="fr-CH"/>
        </w:rPr>
        <w:t xml:space="preserve"> </w:t>
      </w:r>
      <w:r>
        <w:rPr>
          <w:lang w:val="fr-CH"/>
        </w:rPr>
        <w:t>avec des paramètres généraux pour les sous-régions</w:t>
      </w:r>
    </w:p>
    <w:p w:rsidR="00507E92" w:rsidRPr="00507E92" w:rsidRDefault="004821AD" w:rsidP="00507E92">
      <w:pPr>
        <w:pStyle w:val="Figuretitle"/>
        <w:rPr>
          <w:lang w:val="fr-CH"/>
        </w:rPr>
      </w:pPr>
      <w:r>
        <w:object w:dxaOrig="5869" w:dyaOrig="5250">
          <v:shape id="_x0000_i1031" type="#_x0000_t75" style="width:356.55pt;height:319.7pt" o:ole="">
            <v:imagedata r:id="rId27" o:title=""/>
          </v:shape>
          <o:OLEObject Type="Embed" ProgID="CorelDraw.Graphic.17" ShapeID="_x0000_i1031" DrawAspect="Content" ObjectID="_1571743560" r:id="rId28"/>
        </w:object>
      </w:r>
    </w:p>
    <w:p w:rsidR="00B31FA7" w:rsidRDefault="00B31FA7" w:rsidP="00165C5C">
      <w:r>
        <w:rPr>
          <w:b/>
        </w:rPr>
        <w:t>5</w:t>
      </w:r>
      <w:r>
        <w:tab/>
        <w:t xml:space="preserve">Pour obtenir plus de précisions, il faut utiliser, selon le cas, les valeurs de </w:t>
      </w:r>
      <w:r>
        <w:rPr>
          <w:i/>
        </w:rPr>
        <w:t>Q</w:t>
      </w:r>
      <w:r>
        <w:rPr>
          <w:vertAlign w:val="subscript"/>
        </w:rPr>
        <w:t>1</w:t>
      </w:r>
      <w:r>
        <w:t xml:space="preserve"> et de </w:t>
      </w:r>
      <w:r>
        <w:rPr>
          <w:rFonts w:ascii="Symbol" w:hAnsi="Symbol"/>
        </w:rPr>
        <w:sym w:font="Symbol" w:char="F062"/>
      </w:r>
      <w:r>
        <w:t xml:space="preserve"> pour les différentes régions climatiques et pour les différents effets de propagation donnés dans le Tableau 1.</w:t>
      </w:r>
    </w:p>
    <w:p w:rsidR="00B31FA7" w:rsidRDefault="00B31FA7" w:rsidP="0097240B">
      <w:r w:rsidRPr="00165C5C">
        <w:rPr>
          <w:b/>
        </w:rPr>
        <w:t>6</w:t>
      </w:r>
      <w:r>
        <w:tab/>
        <w:t>Pour les trajets transhorizon</w:t>
      </w:r>
      <w:r w:rsidR="007A7FC8">
        <w:t xml:space="preserve"> terrestres ou maritimes</w:t>
      </w:r>
      <w:r>
        <w:t xml:space="preserve">, les valeurs de </w:t>
      </w:r>
      <w:r>
        <w:rPr>
          <w:rFonts w:ascii="Symbol" w:hAnsi="Symbol"/>
        </w:rPr>
        <w:sym w:font="Symbol" w:char="F062"/>
      </w:r>
      <w:r>
        <w:t xml:space="preserve"> et de </w:t>
      </w:r>
      <w:r>
        <w:rPr>
          <w:i/>
        </w:rPr>
        <w:t>Q</w:t>
      </w:r>
      <w:r>
        <w:rPr>
          <w:vertAlign w:val="subscript"/>
        </w:rPr>
        <w:t>1</w:t>
      </w:r>
      <w:r>
        <w:t xml:space="preserve"> sont calculées à partir des valeurs données dans le Tableau 1, </w:t>
      </w:r>
      <w:r w:rsidR="007A7FC8">
        <w:t xml:space="preserve">où </w:t>
      </w:r>
      <w:r w:rsidR="007A7FC8" w:rsidRPr="00812149">
        <w:rPr>
          <w:i/>
          <w:iCs/>
        </w:rPr>
        <w:t>N</w:t>
      </w:r>
      <w:r w:rsidR="007A7FC8" w:rsidRPr="00850AC5">
        <w:rPr>
          <w:i/>
          <w:iCs/>
          <w:sz w:val="22"/>
          <w:szCs w:val="18"/>
          <w:vertAlign w:val="subscript"/>
        </w:rPr>
        <w:t>s</w:t>
      </w:r>
      <w:r w:rsidR="0051662E">
        <w:t xml:space="preserve"> correspond au coïndice de réfraction à la surface locale de la Terre dans le volume commun de diffusion troposphérique</w:t>
      </w:r>
      <w:r>
        <w:t>.</w:t>
      </w:r>
    </w:p>
    <w:p w:rsidR="00B31FA7" w:rsidRDefault="00B31FA7" w:rsidP="004821AD">
      <w:r>
        <w:rPr>
          <w:b/>
        </w:rPr>
        <w:t>7</w:t>
      </w:r>
      <w:r>
        <w:tab/>
        <w:t>Les valeurs indiquées pour l</w:t>
      </w:r>
      <w:r w:rsidR="00EF5059">
        <w:t>'</w:t>
      </w:r>
      <w:r>
        <w:t>Australie dans la colonne Intensité de pluie ont été relevées lors de mesures effectuées toutes les 6 min dans 20 sites sur des périodes de 25 à 101 ans. Des exemples de sites pour chaque région climatique de l</w:t>
      </w:r>
      <w:r w:rsidR="00EF5059">
        <w:t>'</w:t>
      </w:r>
      <w:r>
        <w:t>Australie sont donnés dans la première colonne du Tableau</w:t>
      </w:r>
      <w:r w:rsidR="004821AD">
        <w:t> </w:t>
      </w:r>
      <w:r>
        <w:t>1. Les valeurs indiquées dans la colonne Intensité de pluie pour le Brésil ont été relevées lors de mesures des taux de précipitation effectuées dans 9 sites sur une période de 46 ans au moyen de pluviomètres à réponse rapide.</w:t>
      </w:r>
    </w:p>
    <w:p w:rsidR="004821AD" w:rsidRDefault="004821AD" w:rsidP="00B31FA7">
      <w:pPr>
        <w:pStyle w:val="TableNo"/>
      </w:pPr>
      <w:r>
        <w:br w:type="page"/>
      </w:r>
    </w:p>
    <w:p w:rsidR="00B31FA7" w:rsidRDefault="00B31FA7" w:rsidP="00B31FA7">
      <w:pPr>
        <w:pStyle w:val="TableNo"/>
      </w:pPr>
      <w:r>
        <w:lastRenderedPageBreak/>
        <w:t>TABLEAU</w:t>
      </w:r>
      <w:r w:rsidR="00165C5C">
        <w:t xml:space="preserve"> </w:t>
      </w:r>
      <w:r w:rsidR="00812149">
        <w:t xml:space="preserve"> </w:t>
      </w:r>
      <w:r>
        <w:t>1</w:t>
      </w:r>
    </w:p>
    <w:p w:rsidR="00B31FA7" w:rsidRDefault="00B31FA7" w:rsidP="00165C5C">
      <w:pPr>
        <w:pStyle w:val="Tabletitle"/>
      </w:pPr>
      <w:r>
        <w:t xml:space="preserve">Valeurs de </w:t>
      </w:r>
      <w:r>
        <w:rPr>
          <w:rFonts w:ascii="Symbol" w:hAnsi="Symbol"/>
        </w:rPr>
        <w:sym w:font="Symbol" w:char="F062"/>
      </w:r>
      <w:r>
        <w:t xml:space="preserve"> et de </w:t>
      </w:r>
      <w:r>
        <w:rPr>
          <w:i/>
        </w:rPr>
        <w:t>Q</w:t>
      </w:r>
      <w:r>
        <w:rPr>
          <w:vertAlign w:val="subscript"/>
        </w:rPr>
        <w:t>1</w:t>
      </w:r>
      <w:r>
        <w:t xml:space="preserve"> pour des effets de propagation et des emplacements divers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843"/>
        <w:gridCol w:w="1276"/>
        <w:gridCol w:w="1276"/>
        <w:gridCol w:w="1275"/>
        <w:gridCol w:w="1418"/>
        <w:gridCol w:w="1276"/>
        <w:gridCol w:w="1275"/>
      </w:tblGrid>
      <w:tr w:rsidR="00B31FA7" w:rsidRPr="00165C5C" w:rsidTr="00165C5C">
        <w:trPr>
          <w:cantSplit/>
          <w:jc w:val="center"/>
        </w:trPr>
        <w:tc>
          <w:tcPr>
            <w:tcW w:w="1843" w:type="dxa"/>
          </w:tcPr>
          <w:p w:rsidR="00B31FA7" w:rsidRPr="00165C5C" w:rsidRDefault="00B31FA7" w:rsidP="00165C5C">
            <w:pPr>
              <w:pStyle w:val="Tablehead"/>
            </w:pPr>
          </w:p>
        </w:tc>
        <w:tc>
          <w:tcPr>
            <w:tcW w:w="1276" w:type="dxa"/>
          </w:tcPr>
          <w:p w:rsidR="00B31FA7" w:rsidRPr="00165C5C" w:rsidRDefault="00B31FA7" w:rsidP="00165C5C">
            <w:pPr>
              <w:pStyle w:val="Tablehead"/>
            </w:pPr>
            <w:r w:rsidRPr="00165C5C">
              <w:t xml:space="preserve">Effet de la pluie </w:t>
            </w:r>
            <w:r w:rsidRPr="00165C5C">
              <w:br/>
              <w:t>Trajet terrestre</w:t>
            </w:r>
          </w:p>
        </w:tc>
        <w:tc>
          <w:tcPr>
            <w:tcW w:w="1276" w:type="dxa"/>
          </w:tcPr>
          <w:p w:rsidR="00B31FA7" w:rsidRPr="00165C5C" w:rsidRDefault="00B31FA7" w:rsidP="00165C5C">
            <w:pPr>
              <w:pStyle w:val="Tablehead"/>
            </w:pPr>
            <w:r w:rsidRPr="00165C5C">
              <w:t xml:space="preserve">Effet de la pluie </w:t>
            </w:r>
            <w:r w:rsidRPr="00165C5C">
              <w:br/>
              <w:t>Trajet oblique</w:t>
            </w:r>
          </w:p>
        </w:tc>
        <w:tc>
          <w:tcPr>
            <w:tcW w:w="1275" w:type="dxa"/>
          </w:tcPr>
          <w:p w:rsidR="00B31FA7" w:rsidRPr="00165C5C" w:rsidRDefault="00B31FA7" w:rsidP="00165C5C">
            <w:pPr>
              <w:pStyle w:val="Tablehead"/>
            </w:pPr>
            <w:r w:rsidRPr="00165C5C">
              <w:t>Intensité de pluie</w:t>
            </w:r>
          </w:p>
        </w:tc>
        <w:tc>
          <w:tcPr>
            <w:tcW w:w="1418" w:type="dxa"/>
          </w:tcPr>
          <w:p w:rsidR="00B31FA7" w:rsidRPr="00165C5C" w:rsidRDefault="00B31FA7" w:rsidP="00165C5C">
            <w:pPr>
              <w:pStyle w:val="Tablehead"/>
            </w:pPr>
            <w:r w:rsidRPr="00165C5C">
              <w:t>Trajets multiples</w:t>
            </w:r>
          </w:p>
        </w:tc>
        <w:tc>
          <w:tcPr>
            <w:tcW w:w="1276" w:type="dxa"/>
          </w:tcPr>
          <w:p w:rsidR="00B31FA7" w:rsidRPr="00165C5C" w:rsidRDefault="00B31FA7" w:rsidP="00165C5C">
            <w:pPr>
              <w:pStyle w:val="Tablehead"/>
            </w:pPr>
            <w:r w:rsidRPr="00165C5C">
              <w:t>Tr</w:t>
            </w:r>
            <w:r w:rsidR="0097240B" w:rsidRPr="00165C5C">
              <w:t>ajet</w:t>
            </w:r>
            <w:r w:rsidR="00B83416" w:rsidRPr="00165C5C">
              <w:t xml:space="preserve"> trans-</w:t>
            </w:r>
            <w:r w:rsidRPr="00165C5C">
              <w:t>horizon</w:t>
            </w:r>
            <w:r w:rsidR="00B83416" w:rsidRPr="00165C5C">
              <w:t xml:space="preserve"> </w:t>
            </w:r>
            <w:r w:rsidRPr="00165C5C">
              <w:t>terre</w:t>
            </w:r>
            <w:r w:rsidR="0097240B" w:rsidRPr="00165C5C">
              <w:t>stre</w:t>
            </w:r>
          </w:p>
        </w:tc>
        <w:tc>
          <w:tcPr>
            <w:tcW w:w="1275" w:type="dxa"/>
          </w:tcPr>
          <w:p w:rsidR="00B31FA7" w:rsidRPr="00165C5C" w:rsidRDefault="0097240B" w:rsidP="00165C5C">
            <w:pPr>
              <w:pStyle w:val="Tablehead"/>
            </w:pPr>
            <w:r w:rsidRPr="00165C5C">
              <w:t>Trajet</w:t>
            </w:r>
            <w:r w:rsidR="00B83416" w:rsidRPr="00165C5C">
              <w:t xml:space="preserve"> trans-</w:t>
            </w:r>
            <w:r w:rsidR="00B31FA7" w:rsidRPr="00165C5C">
              <w:t xml:space="preserve">horizon </w:t>
            </w:r>
            <w:r w:rsidRPr="00165C5C">
              <w:t>maritime</w:t>
            </w:r>
          </w:p>
        </w:tc>
      </w:tr>
      <w:tr w:rsidR="00B31FA7" w:rsidTr="00165C5C">
        <w:trPr>
          <w:cantSplit/>
          <w:jc w:val="center"/>
        </w:trPr>
        <w:tc>
          <w:tcPr>
            <w:tcW w:w="1843" w:type="dxa"/>
          </w:tcPr>
          <w:p w:rsidR="00B31FA7" w:rsidRPr="00294F23" w:rsidRDefault="00B31FA7" w:rsidP="00165C5C">
            <w:pPr>
              <w:pStyle w:val="Tabletext"/>
            </w:pPr>
            <w:r w:rsidRPr="00294F23">
              <w:t>Mondial</w:t>
            </w:r>
          </w:p>
        </w:tc>
        <w:tc>
          <w:tcPr>
            <w:tcW w:w="1276" w:type="dxa"/>
          </w:tcPr>
          <w:p w:rsidR="00B31FA7" w:rsidRDefault="00B31FA7" w:rsidP="00165C5C">
            <w:pPr>
              <w:pStyle w:val="Tabletext"/>
              <w:jc w:val="center"/>
              <w:rPr>
                <w:szCs w:val="24"/>
              </w:rPr>
            </w:pPr>
            <w:r>
              <w:rPr>
                <w:szCs w:val="24"/>
              </w:rPr>
              <w:t>0,13; 2,85</w:t>
            </w:r>
          </w:p>
        </w:tc>
        <w:tc>
          <w:tcPr>
            <w:tcW w:w="1276" w:type="dxa"/>
          </w:tcPr>
          <w:p w:rsidR="00B31FA7" w:rsidRDefault="00B31FA7" w:rsidP="00165C5C">
            <w:pPr>
              <w:pStyle w:val="Tabletext"/>
              <w:jc w:val="center"/>
              <w:rPr>
                <w:szCs w:val="24"/>
              </w:rPr>
            </w:pPr>
            <w:r>
              <w:rPr>
                <w:szCs w:val="24"/>
              </w:rPr>
              <w:t>0,13; 2,85</w:t>
            </w:r>
          </w:p>
        </w:tc>
        <w:tc>
          <w:tcPr>
            <w:tcW w:w="1275" w:type="dxa"/>
          </w:tcPr>
          <w:p w:rsidR="00B31FA7" w:rsidRDefault="00B31FA7" w:rsidP="00165C5C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418" w:type="dxa"/>
          </w:tcPr>
          <w:p w:rsidR="00B31FA7" w:rsidRDefault="00B31FA7" w:rsidP="00165C5C">
            <w:pPr>
              <w:pStyle w:val="Tabletext"/>
              <w:jc w:val="center"/>
              <w:rPr>
                <w:szCs w:val="24"/>
              </w:rPr>
            </w:pPr>
            <w:r>
              <w:rPr>
                <w:szCs w:val="24"/>
              </w:rPr>
              <w:t>0,13; 2,85</w:t>
            </w:r>
          </w:p>
        </w:tc>
        <w:tc>
          <w:tcPr>
            <w:tcW w:w="1276" w:type="dxa"/>
          </w:tcPr>
          <w:p w:rsidR="00B31FA7" w:rsidRDefault="00B31FA7" w:rsidP="00165C5C">
            <w:pPr>
              <w:pStyle w:val="Tabletext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0,13; </w:t>
            </w:r>
            <w:r w:rsidR="0051662E">
              <w:rPr>
                <w:szCs w:val="24"/>
              </w:rPr>
              <w:t>5,8-0,03exp</w:t>
            </w:r>
            <w:r w:rsidR="00DC1680">
              <w:rPr>
                <w:szCs w:val="24"/>
              </w:rPr>
              <w:br/>
            </w:r>
            <w:r w:rsidR="0051662E">
              <w:rPr>
                <w:szCs w:val="24"/>
              </w:rPr>
              <w:t>(Ns/75)</w:t>
            </w:r>
          </w:p>
        </w:tc>
        <w:tc>
          <w:tcPr>
            <w:tcW w:w="1275" w:type="dxa"/>
          </w:tcPr>
          <w:p w:rsidR="00B31FA7" w:rsidRDefault="00B31FA7" w:rsidP="00165C5C">
            <w:pPr>
              <w:pStyle w:val="Tabletext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0,13; </w:t>
            </w:r>
            <w:r w:rsidR="0051662E">
              <w:rPr>
                <w:szCs w:val="24"/>
              </w:rPr>
              <w:t>5,8-0,03exp</w:t>
            </w:r>
            <w:r w:rsidR="00DC1680">
              <w:rPr>
                <w:szCs w:val="24"/>
              </w:rPr>
              <w:br/>
            </w:r>
            <w:r w:rsidR="0051662E">
              <w:rPr>
                <w:szCs w:val="24"/>
              </w:rPr>
              <w:t>(Ns/75)</w:t>
            </w:r>
          </w:p>
        </w:tc>
      </w:tr>
      <w:tr w:rsidR="00B31FA7" w:rsidTr="00165C5C">
        <w:trPr>
          <w:cantSplit/>
          <w:jc w:val="center"/>
        </w:trPr>
        <w:tc>
          <w:tcPr>
            <w:tcW w:w="1843" w:type="dxa"/>
          </w:tcPr>
          <w:p w:rsidR="00B31FA7" w:rsidRPr="00294F23" w:rsidRDefault="00B31FA7" w:rsidP="00D11D66">
            <w:pPr>
              <w:pStyle w:val="Tabletext"/>
              <w:jc w:val="left"/>
            </w:pPr>
            <w:r w:rsidRPr="00294F23">
              <w:t>Régions climatiques tropicales, subtropicales et tempérées avec précipitations fréquentes</w:t>
            </w:r>
          </w:p>
        </w:tc>
        <w:tc>
          <w:tcPr>
            <w:tcW w:w="1276" w:type="dxa"/>
          </w:tcPr>
          <w:p w:rsidR="00B31FA7" w:rsidRDefault="00B31FA7" w:rsidP="00165C5C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6" w:type="dxa"/>
          </w:tcPr>
          <w:p w:rsidR="00B31FA7" w:rsidRDefault="00B31FA7" w:rsidP="00165C5C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5" w:type="dxa"/>
          </w:tcPr>
          <w:p w:rsidR="00B31FA7" w:rsidRDefault="00B31FA7" w:rsidP="00165C5C">
            <w:pPr>
              <w:pStyle w:val="Tabletext"/>
              <w:jc w:val="center"/>
              <w:rPr>
                <w:szCs w:val="24"/>
              </w:rPr>
            </w:pPr>
            <w:r>
              <w:rPr>
                <w:szCs w:val="24"/>
              </w:rPr>
              <w:t>0,15; 2,82</w:t>
            </w:r>
          </w:p>
        </w:tc>
        <w:tc>
          <w:tcPr>
            <w:tcW w:w="1418" w:type="dxa"/>
          </w:tcPr>
          <w:p w:rsidR="00B31FA7" w:rsidRDefault="00B31FA7" w:rsidP="00165C5C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6" w:type="dxa"/>
          </w:tcPr>
          <w:p w:rsidR="00B31FA7" w:rsidRDefault="00B31FA7" w:rsidP="00165C5C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5" w:type="dxa"/>
          </w:tcPr>
          <w:p w:rsidR="00B31FA7" w:rsidRDefault="00B31FA7" w:rsidP="00165C5C">
            <w:pPr>
              <w:pStyle w:val="Tabletext"/>
              <w:jc w:val="center"/>
              <w:rPr>
                <w:szCs w:val="24"/>
              </w:rPr>
            </w:pPr>
          </w:p>
        </w:tc>
      </w:tr>
      <w:tr w:rsidR="00B31FA7" w:rsidTr="00165C5C">
        <w:trPr>
          <w:cantSplit/>
          <w:jc w:val="center"/>
        </w:trPr>
        <w:tc>
          <w:tcPr>
            <w:tcW w:w="1843" w:type="dxa"/>
          </w:tcPr>
          <w:p w:rsidR="00B31FA7" w:rsidRPr="00294F23" w:rsidRDefault="00B31FA7" w:rsidP="00D11D66">
            <w:pPr>
              <w:pStyle w:val="Tabletext"/>
              <w:jc w:val="left"/>
            </w:pPr>
            <w:r w:rsidRPr="00294F23">
              <w:t>Régions tempérées sèches, polaires et désertiques</w:t>
            </w:r>
          </w:p>
        </w:tc>
        <w:tc>
          <w:tcPr>
            <w:tcW w:w="1276" w:type="dxa"/>
          </w:tcPr>
          <w:p w:rsidR="00B31FA7" w:rsidRDefault="00B31FA7" w:rsidP="00165C5C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6" w:type="dxa"/>
          </w:tcPr>
          <w:p w:rsidR="00B31FA7" w:rsidRDefault="00B31FA7" w:rsidP="00165C5C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5" w:type="dxa"/>
          </w:tcPr>
          <w:p w:rsidR="00B31FA7" w:rsidRDefault="00B31FA7" w:rsidP="00165C5C">
            <w:pPr>
              <w:pStyle w:val="Tabletext"/>
              <w:jc w:val="center"/>
              <w:rPr>
                <w:szCs w:val="24"/>
              </w:rPr>
            </w:pPr>
            <w:r>
              <w:rPr>
                <w:szCs w:val="24"/>
              </w:rPr>
              <w:t>0,11; 4,48</w:t>
            </w:r>
          </w:p>
        </w:tc>
        <w:tc>
          <w:tcPr>
            <w:tcW w:w="1418" w:type="dxa"/>
          </w:tcPr>
          <w:p w:rsidR="00B31FA7" w:rsidRDefault="00B31FA7" w:rsidP="00165C5C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6" w:type="dxa"/>
          </w:tcPr>
          <w:p w:rsidR="00B31FA7" w:rsidRDefault="00B31FA7" w:rsidP="00165C5C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5" w:type="dxa"/>
          </w:tcPr>
          <w:p w:rsidR="00B31FA7" w:rsidRDefault="00B31FA7" w:rsidP="00165C5C">
            <w:pPr>
              <w:pStyle w:val="Tabletext"/>
              <w:jc w:val="center"/>
              <w:rPr>
                <w:szCs w:val="24"/>
              </w:rPr>
            </w:pPr>
          </w:p>
        </w:tc>
      </w:tr>
      <w:tr w:rsidR="00B31FA7" w:rsidTr="00165C5C">
        <w:trPr>
          <w:cantSplit/>
          <w:jc w:val="center"/>
        </w:trPr>
        <w:tc>
          <w:tcPr>
            <w:tcW w:w="1843" w:type="dxa"/>
          </w:tcPr>
          <w:p w:rsidR="00B31FA7" w:rsidRPr="00294F23" w:rsidRDefault="00B31FA7" w:rsidP="00165C5C">
            <w:pPr>
              <w:pStyle w:val="Tabletext"/>
            </w:pPr>
            <w:r w:rsidRPr="00294F23">
              <w:t>Europe</w:t>
            </w:r>
            <w:r w:rsidRPr="00294F23">
              <w:br/>
              <w:t>Nord-Ouest</w:t>
            </w:r>
          </w:p>
        </w:tc>
        <w:tc>
          <w:tcPr>
            <w:tcW w:w="1276" w:type="dxa"/>
          </w:tcPr>
          <w:p w:rsidR="00B31FA7" w:rsidRDefault="00B31FA7" w:rsidP="00165C5C">
            <w:pPr>
              <w:pStyle w:val="Tabletext"/>
              <w:jc w:val="center"/>
              <w:rPr>
                <w:szCs w:val="24"/>
              </w:rPr>
            </w:pPr>
            <w:r>
              <w:rPr>
                <w:szCs w:val="24"/>
              </w:rPr>
              <w:t>0,13; 3,0</w:t>
            </w:r>
          </w:p>
        </w:tc>
        <w:tc>
          <w:tcPr>
            <w:tcW w:w="1276" w:type="dxa"/>
          </w:tcPr>
          <w:p w:rsidR="00B31FA7" w:rsidRDefault="00B31FA7" w:rsidP="00165C5C">
            <w:pPr>
              <w:pStyle w:val="Tabletext"/>
              <w:jc w:val="center"/>
              <w:rPr>
                <w:szCs w:val="24"/>
              </w:rPr>
            </w:pPr>
            <w:r>
              <w:rPr>
                <w:szCs w:val="24"/>
              </w:rPr>
              <w:t>0,16; 3,1</w:t>
            </w:r>
          </w:p>
        </w:tc>
        <w:tc>
          <w:tcPr>
            <w:tcW w:w="1275" w:type="dxa"/>
          </w:tcPr>
          <w:p w:rsidR="00B31FA7" w:rsidRDefault="00B31FA7" w:rsidP="00165C5C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418" w:type="dxa"/>
          </w:tcPr>
          <w:p w:rsidR="00B31FA7" w:rsidRDefault="00B31FA7" w:rsidP="00165C5C">
            <w:pPr>
              <w:pStyle w:val="Tabletext"/>
              <w:jc w:val="center"/>
              <w:rPr>
                <w:szCs w:val="24"/>
              </w:rPr>
            </w:pPr>
            <w:r>
              <w:rPr>
                <w:szCs w:val="24"/>
              </w:rPr>
              <w:t>0,13; 4,0</w:t>
            </w:r>
          </w:p>
        </w:tc>
        <w:tc>
          <w:tcPr>
            <w:tcW w:w="1276" w:type="dxa"/>
          </w:tcPr>
          <w:p w:rsidR="00B31FA7" w:rsidRDefault="00B31FA7" w:rsidP="00165C5C">
            <w:pPr>
              <w:pStyle w:val="Tabletext"/>
              <w:jc w:val="center"/>
              <w:rPr>
                <w:szCs w:val="24"/>
              </w:rPr>
            </w:pPr>
            <w:r>
              <w:rPr>
                <w:szCs w:val="24"/>
              </w:rPr>
              <w:t>0,18; 3,3</w:t>
            </w:r>
          </w:p>
        </w:tc>
        <w:tc>
          <w:tcPr>
            <w:tcW w:w="1275" w:type="dxa"/>
          </w:tcPr>
          <w:p w:rsidR="00B31FA7" w:rsidRDefault="00B31FA7" w:rsidP="00165C5C">
            <w:pPr>
              <w:pStyle w:val="Tabletext"/>
              <w:jc w:val="center"/>
              <w:rPr>
                <w:szCs w:val="24"/>
              </w:rPr>
            </w:pPr>
          </w:p>
        </w:tc>
      </w:tr>
      <w:tr w:rsidR="00B31FA7" w:rsidTr="00165C5C">
        <w:trPr>
          <w:cantSplit/>
          <w:jc w:val="center"/>
        </w:trPr>
        <w:tc>
          <w:tcPr>
            <w:tcW w:w="1843" w:type="dxa"/>
          </w:tcPr>
          <w:p w:rsidR="00B31FA7" w:rsidRPr="00294F23" w:rsidRDefault="00B31FA7" w:rsidP="00165C5C">
            <w:pPr>
              <w:pStyle w:val="Tabletext"/>
            </w:pPr>
            <w:r w:rsidRPr="00294F23">
              <w:t>Europe</w:t>
            </w:r>
            <w:r w:rsidRPr="00294F23">
              <w:br/>
              <w:t>Nord-Ouest</w:t>
            </w:r>
            <w:r w:rsidRPr="00294F23">
              <w:br/>
              <w:t>1,3 GHz</w:t>
            </w:r>
          </w:p>
        </w:tc>
        <w:tc>
          <w:tcPr>
            <w:tcW w:w="1276" w:type="dxa"/>
          </w:tcPr>
          <w:p w:rsidR="00B31FA7" w:rsidRDefault="00B31FA7" w:rsidP="00165C5C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6" w:type="dxa"/>
          </w:tcPr>
          <w:p w:rsidR="00B31FA7" w:rsidRDefault="00B31FA7" w:rsidP="00165C5C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5" w:type="dxa"/>
          </w:tcPr>
          <w:p w:rsidR="00B31FA7" w:rsidRDefault="00B31FA7" w:rsidP="00165C5C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418" w:type="dxa"/>
          </w:tcPr>
          <w:p w:rsidR="00B31FA7" w:rsidRDefault="00B31FA7" w:rsidP="00165C5C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6" w:type="dxa"/>
          </w:tcPr>
          <w:p w:rsidR="00B31FA7" w:rsidRDefault="00B31FA7" w:rsidP="00165C5C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5" w:type="dxa"/>
          </w:tcPr>
          <w:p w:rsidR="00B31FA7" w:rsidRDefault="00B31FA7" w:rsidP="00165C5C">
            <w:pPr>
              <w:pStyle w:val="Tabletext"/>
              <w:jc w:val="center"/>
              <w:rPr>
                <w:szCs w:val="24"/>
              </w:rPr>
            </w:pPr>
            <w:r>
              <w:rPr>
                <w:szCs w:val="24"/>
              </w:rPr>
              <w:t>0,11; 4,9</w:t>
            </w:r>
          </w:p>
        </w:tc>
      </w:tr>
      <w:tr w:rsidR="00B31FA7" w:rsidTr="00165C5C">
        <w:trPr>
          <w:cantSplit/>
          <w:jc w:val="center"/>
        </w:trPr>
        <w:tc>
          <w:tcPr>
            <w:tcW w:w="1843" w:type="dxa"/>
          </w:tcPr>
          <w:p w:rsidR="00B31FA7" w:rsidRPr="00294F23" w:rsidRDefault="00B31FA7" w:rsidP="00165C5C">
            <w:pPr>
              <w:pStyle w:val="Tabletext"/>
            </w:pPr>
            <w:r w:rsidRPr="00294F23">
              <w:t>Europe</w:t>
            </w:r>
            <w:r w:rsidRPr="00294F23">
              <w:br/>
              <w:t>Nord-Ouest</w:t>
            </w:r>
            <w:r w:rsidRPr="00294F23">
              <w:br/>
              <w:t>11 GHz</w:t>
            </w:r>
          </w:p>
        </w:tc>
        <w:tc>
          <w:tcPr>
            <w:tcW w:w="1276" w:type="dxa"/>
          </w:tcPr>
          <w:p w:rsidR="00B31FA7" w:rsidRDefault="00B31FA7" w:rsidP="00165C5C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6" w:type="dxa"/>
          </w:tcPr>
          <w:p w:rsidR="00B31FA7" w:rsidRDefault="00B31FA7" w:rsidP="00165C5C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5" w:type="dxa"/>
          </w:tcPr>
          <w:p w:rsidR="00B31FA7" w:rsidRDefault="00B31FA7" w:rsidP="00165C5C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418" w:type="dxa"/>
          </w:tcPr>
          <w:p w:rsidR="00B31FA7" w:rsidRDefault="00B31FA7" w:rsidP="00165C5C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6" w:type="dxa"/>
          </w:tcPr>
          <w:p w:rsidR="00B31FA7" w:rsidRDefault="00B31FA7" w:rsidP="00165C5C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5" w:type="dxa"/>
          </w:tcPr>
          <w:p w:rsidR="00B31FA7" w:rsidRDefault="00B31FA7" w:rsidP="00165C5C">
            <w:pPr>
              <w:pStyle w:val="Tabletext"/>
              <w:jc w:val="center"/>
              <w:rPr>
                <w:szCs w:val="24"/>
              </w:rPr>
            </w:pPr>
            <w:r>
              <w:rPr>
                <w:szCs w:val="24"/>
              </w:rPr>
              <w:t>0,19; 3,7</w:t>
            </w:r>
          </w:p>
        </w:tc>
      </w:tr>
      <w:tr w:rsidR="00B31FA7" w:rsidTr="00165C5C">
        <w:trPr>
          <w:cantSplit/>
          <w:jc w:val="center"/>
        </w:trPr>
        <w:tc>
          <w:tcPr>
            <w:tcW w:w="1843" w:type="dxa"/>
          </w:tcPr>
          <w:p w:rsidR="00B31FA7" w:rsidRPr="00294F23" w:rsidRDefault="00B31FA7" w:rsidP="00165C5C">
            <w:pPr>
              <w:pStyle w:val="Tabletext"/>
            </w:pPr>
            <w:r w:rsidRPr="00294F23">
              <w:t>Europe</w:t>
            </w:r>
            <w:r w:rsidRPr="00294F23">
              <w:br/>
              <w:t>méditerranéenne</w:t>
            </w:r>
          </w:p>
        </w:tc>
        <w:tc>
          <w:tcPr>
            <w:tcW w:w="1276" w:type="dxa"/>
          </w:tcPr>
          <w:p w:rsidR="00B31FA7" w:rsidRDefault="00B31FA7" w:rsidP="00165C5C">
            <w:pPr>
              <w:pStyle w:val="Tabletext"/>
              <w:jc w:val="center"/>
              <w:rPr>
                <w:szCs w:val="24"/>
              </w:rPr>
            </w:pPr>
            <w:r>
              <w:rPr>
                <w:szCs w:val="24"/>
              </w:rPr>
              <w:t>0,14; 2,6</w:t>
            </w:r>
          </w:p>
        </w:tc>
        <w:tc>
          <w:tcPr>
            <w:tcW w:w="1276" w:type="dxa"/>
          </w:tcPr>
          <w:p w:rsidR="00B31FA7" w:rsidRDefault="00B31FA7" w:rsidP="00165C5C">
            <w:pPr>
              <w:pStyle w:val="Tabletext"/>
              <w:jc w:val="center"/>
              <w:rPr>
                <w:szCs w:val="24"/>
              </w:rPr>
            </w:pPr>
            <w:r>
              <w:rPr>
                <w:szCs w:val="24"/>
              </w:rPr>
              <w:t>0,16; 3,1</w:t>
            </w:r>
          </w:p>
        </w:tc>
        <w:tc>
          <w:tcPr>
            <w:tcW w:w="1275" w:type="dxa"/>
          </w:tcPr>
          <w:p w:rsidR="00B31FA7" w:rsidRDefault="00B31FA7" w:rsidP="00165C5C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418" w:type="dxa"/>
          </w:tcPr>
          <w:p w:rsidR="00B31FA7" w:rsidRDefault="00B31FA7" w:rsidP="00165C5C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6" w:type="dxa"/>
          </w:tcPr>
          <w:p w:rsidR="00B31FA7" w:rsidRDefault="00B31FA7" w:rsidP="00165C5C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5" w:type="dxa"/>
          </w:tcPr>
          <w:p w:rsidR="00B31FA7" w:rsidRDefault="00B31FA7" w:rsidP="00165C5C">
            <w:pPr>
              <w:pStyle w:val="Tabletext"/>
              <w:jc w:val="center"/>
              <w:rPr>
                <w:szCs w:val="24"/>
              </w:rPr>
            </w:pPr>
          </w:p>
        </w:tc>
      </w:tr>
      <w:tr w:rsidR="00B31FA7" w:rsidTr="00165C5C">
        <w:trPr>
          <w:cantSplit/>
          <w:jc w:val="center"/>
        </w:trPr>
        <w:tc>
          <w:tcPr>
            <w:tcW w:w="1843" w:type="dxa"/>
          </w:tcPr>
          <w:p w:rsidR="00B31FA7" w:rsidRPr="00294F23" w:rsidRDefault="00B31FA7" w:rsidP="00165C5C">
            <w:pPr>
              <w:pStyle w:val="Tabletext"/>
            </w:pPr>
            <w:r w:rsidRPr="00294F23">
              <w:t>Europe</w:t>
            </w:r>
            <w:r w:rsidRPr="00294F23">
              <w:br/>
              <w:t>Nord</w:t>
            </w:r>
          </w:p>
        </w:tc>
        <w:tc>
          <w:tcPr>
            <w:tcW w:w="1276" w:type="dxa"/>
          </w:tcPr>
          <w:p w:rsidR="00B31FA7" w:rsidRDefault="00B31FA7" w:rsidP="00165C5C">
            <w:pPr>
              <w:pStyle w:val="Tabletext"/>
              <w:jc w:val="center"/>
              <w:rPr>
                <w:szCs w:val="24"/>
              </w:rPr>
            </w:pPr>
            <w:r>
              <w:rPr>
                <w:szCs w:val="24"/>
              </w:rPr>
              <w:t>0,15; 3,0</w:t>
            </w:r>
          </w:p>
        </w:tc>
        <w:tc>
          <w:tcPr>
            <w:tcW w:w="1276" w:type="dxa"/>
          </w:tcPr>
          <w:p w:rsidR="00B31FA7" w:rsidRDefault="00B31FA7" w:rsidP="00165C5C">
            <w:pPr>
              <w:pStyle w:val="Tabletext"/>
              <w:jc w:val="center"/>
              <w:rPr>
                <w:szCs w:val="24"/>
              </w:rPr>
            </w:pPr>
            <w:r>
              <w:rPr>
                <w:szCs w:val="24"/>
              </w:rPr>
              <w:t>0,16; 3,8</w:t>
            </w:r>
          </w:p>
        </w:tc>
        <w:tc>
          <w:tcPr>
            <w:tcW w:w="1275" w:type="dxa"/>
          </w:tcPr>
          <w:p w:rsidR="00B31FA7" w:rsidRDefault="00B31FA7" w:rsidP="00165C5C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418" w:type="dxa"/>
          </w:tcPr>
          <w:p w:rsidR="00B31FA7" w:rsidRDefault="00B31FA7" w:rsidP="00165C5C">
            <w:pPr>
              <w:pStyle w:val="Tabletext"/>
              <w:jc w:val="center"/>
              <w:rPr>
                <w:szCs w:val="24"/>
              </w:rPr>
            </w:pPr>
            <w:r>
              <w:rPr>
                <w:szCs w:val="24"/>
              </w:rPr>
              <w:t>0,12; 5,0</w:t>
            </w:r>
          </w:p>
        </w:tc>
        <w:tc>
          <w:tcPr>
            <w:tcW w:w="1276" w:type="dxa"/>
          </w:tcPr>
          <w:p w:rsidR="00B31FA7" w:rsidRDefault="00B31FA7" w:rsidP="00165C5C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5" w:type="dxa"/>
          </w:tcPr>
          <w:p w:rsidR="00B31FA7" w:rsidRDefault="00B31FA7" w:rsidP="00165C5C">
            <w:pPr>
              <w:pStyle w:val="Tabletext"/>
              <w:jc w:val="center"/>
              <w:rPr>
                <w:szCs w:val="24"/>
              </w:rPr>
            </w:pPr>
          </w:p>
        </w:tc>
      </w:tr>
      <w:tr w:rsidR="00B31FA7" w:rsidTr="00165C5C">
        <w:trPr>
          <w:cantSplit/>
          <w:jc w:val="center"/>
        </w:trPr>
        <w:tc>
          <w:tcPr>
            <w:tcW w:w="1843" w:type="dxa"/>
            <w:vAlign w:val="center"/>
          </w:tcPr>
          <w:p w:rsidR="00B31FA7" w:rsidRPr="00294F23" w:rsidRDefault="00B31FA7" w:rsidP="00165C5C">
            <w:pPr>
              <w:pStyle w:val="Tabletext"/>
            </w:pPr>
            <w:r w:rsidRPr="00294F23">
              <w:t>Europe</w:t>
            </w:r>
            <w:r w:rsidRPr="00294F23">
              <w:br/>
              <w:t>alpine</w:t>
            </w:r>
          </w:p>
        </w:tc>
        <w:tc>
          <w:tcPr>
            <w:tcW w:w="1276" w:type="dxa"/>
          </w:tcPr>
          <w:p w:rsidR="00B31FA7" w:rsidRDefault="00B31FA7" w:rsidP="00165C5C">
            <w:pPr>
              <w:pStyle w:val="Tabletext"/>
              <w:jc w:val="center"/>
              <w:rPr>
                <w:szCs w:val="24"/>
              </w:rPr>
            </w:pPr>
            <w:r>
              <w:rPr>
                <w:szCs w:val="24"/>
              </w:rPr>
              <w:t>0,15; 3,0</w:t>
            </w:r>
          </w:p>
        </w:tc>
        <w:tc>
          <w:tcPr>
            <w:tcW w:w="1276" w:type="dxa"/>
          </w:tcPr>
          <w:p w:rsidR="00B31FA7" w:rsidRDefault="00B31FA7" w:rsidP="00165C5C">
            <w:pPr>
              <w:pStyle w:val="Tabletext"/>
              <w:jc w:val="center"/>
              <w:rPr>
                <w:szCs w:val="24"/>
              </w:rPr>
            </w:pPr>
            <w:r>
              <w:rPr>
                <w:szCs w:val="24"/>
              </w:rPr>
              <w:t>0,16; 3,8</w:t>
            </w:r>
          </w:p>
        </w:tc>
        <w:tc>
          <w:tcPr>
            <w:tcW w:w="1275" w:type="dxa"/>
          </w:tcPr>
          <w:p w:rsidR="00B31FA7" w:rsidRDefault="00B31FA7" w:rsidP="00165C5C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418" w:type="dxa"/>
          </w:tcPr>
          <w:p w:rsidR="00B31FA7" w:rsidRDefault="00B31FA7" w:rsidP="00165C5C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6" w:type="dxa"/>
          </w:tcPr>
          <w:p w:rsidR="00B31FA7" w:rsidRDefault="00B31FA7" w:rsidP="00165C5C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5" w:type="dxa"/>
          </w:tcPr>
          <w:p w:rsidR="00B31FA7" w:rsidRDefault="00B31FA7" w:rsidP="00165C5C">
            <w:pPr>
              <w:pStyle w:val="Tabletext"/>
              <w:jc w:val="center"/>
              <w:rPr>
                <w:szCs w:val="24"/>
              </w:rPr>
            </w:pPr>
          </w:p>
        </w:tc>
      </w:tr>
      <w:tr w:rsidR="00B31FA7" w:rsidTr="00165C5C">
        <w:trPr>
          <w:cantSplit/>
          <w:jc w:val="center"/>
        </w:trPr>
        <w:tc>
          <w:tcPr>
            <w:tcW w:w="1843" w:type="dxa"/>
          </w:tcPr>
          <w:p w:rsidR="00B31FA7" w:rsidRPr="00294F23" w:rsidRDefault="00B31FA7" w:rsidP="00165C5C">
            <w:pPr>
              <w:pStyle w:val="Tabletext"/>
            </w:pPr>
            <w:r w:rsidRPr="00294F23">
              <w:t>Europe</w:t>
            </w:r>
            <w:r w:rsidRPr="00294F23">
              <w:br/>
              <w:t>Pologne</w:t>
            </w:r>
          </w:p>
        </w:tc>
        <w:tc>
          <w:tcPr>
            <w:tcW w:w="1276" w:type="dxa"/>
          </w:tcPr>
          <w:p w:rsidR="00B31FA7" w:rsidRDefault="00B31FA7" w:rsidP="00165C5C">
            <w:pPr>
              <w:pStyle w:val="Tabletext"/>
              <w:jc w:val="center"/>
              <w:rPr>
                <w:szCs w:val="24"/>
              </w:rPr>
            </w:pPr>
            <w:r>
              <w:rPr>
                <w:szCs w:val="24"/>
              </w:rPr>
              <w:t>0,18; 2,6</w:t>
            </w:r>
          </w:p>
        </w:tc>
        <w:tc>
          <w:tcPr>
            <w:tcW w:w="1276" w:type="dxa"/>
          </w:tcPr>
          <w:p w:rsidR="00B31FA7" w:rsidRDefault="00B31FA7" w:rsidP="00165C5C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5" w:type="dxa"/>
          </w:tcPr>
          <w:p w:rsidR="00B31FA7" w:rsidRDefault="00B31FA7" w:rsidP="00165C5C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418" w:type="dxa"/>
          </w:tcPr>
          <w:p w:rsidR="00B31FA7" w:rsidRDefault="00B31FA7" w:rsidP="00165C5C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6" w:type="dxa"/>
          </w:tcPr>
          <w:p w:rsidR="00B31FA7" w:rsidRDefault="00B31FA7" w:rsidP="00165C5C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5" w:type="dxa"/>
          </w:tcPr>
          <w:p w:rsidR="00B31FA7" w:rsidRDefault="00B31FA7" w:rsidP="00165C5C">
            <w:pPr>
              <w:pStyle w:val="Tabletext"/>
              <w:jc w:val="center"/>
              <w:rPr>
                <w:szCs w:val="24"/>
              </w:rPr>
            </w:pPr>
          </w:p>
        </w:tc>
      </w:tr>
      <w:tr w:rsidR="00B31FA7" w:rsidTr="00165C5C">
        <w:trPr>
          <w:cantSplit/>
          <w:jc w:val="center"/>
        </w:trPr>
        <w:tc>
          <w:tcPr>
            <w:tcW w:w="1843" w:type="dxa"/>
          </w:tcPr>
          <w:p w:rsidR="00B31FA7" w:rsidRPr="00294F23" w:rsidRDefault="00B31FA7" w:rsidP="00165C5C">
            <w:pPr>
              <w:pStyle w:val="Tabletext"/>
            </w:pPr>
            <w:r w:rsidRPr="00294F23">
              <w:t>Europe</w:t>
            </w:r>
            <w:r w:rsidRPr="00294F23">
              <w:br/>
              <w:t>Russie</w:t>
            </w:r>
          </w:p>
        </w:tc>
        <w:tc>
          <w:tcPr>
            <w:tcW w:w="1276" w:type="dxa"/>
          </w:tcPr>
          <w:p w:rsidR="00B31FA7" w:rsidRDefault="00B31FA7" w:rsidP="00165C5C">
            <w:pPr>
              <w:pStyle w:val="Tabletext"/>
              <w:jc w:val="center"/>
              <w:rPr>
                <w:szCs w:val="24"/>
              </w:rPr>
            </w:pPr>
            <w:r>
              <w:rPr>
                <w:szCs w:val="24"/>
              </w:rPr>
              <w:t>0,14; 3,6</w:t>
            </w:r>
          </w:p>
        </w:tc>
        <w:tc>
          <w:tcPr>
            <w:tcW w:w="1276" w:type="dxa"/>
          </w:tcPr>
          <w:p w:rsidR="00B31FA7" w:rsidRDefault="00B31FA7" w:rsidP="00165C5C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5" w:type="dxa"/>
          </w:tcPr>
          <w:p w:rsidR="00B31FA7" w:rsidRDefault="00B31FA7" w:rsidP="00165C5C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418" w:type="dxa"/>
          </w:tcPr>
          <w:p w:rsidR="00B31FA7" w:rsidRDefault="00B31FA7" w:rsidP="00165C5C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6" w:type="dxa"/>
          </w:tcPr>
          <w:p w:rsidR="00B31FA7" w:rsidRDefault="00B31FA7" w:rsidP="00165C5C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5" w:type="dxa"/>
          </w:tcPr>
          <w:p w:rsidR="00B31FA7" w:rsidRDefault="00B31FA7" w:rsidP="00165C5C">
            <w:pPr>
              <w:pStyle w:val="Tabletext"/>
              <w:jc w:val="center"/>
              <w:rPr>
                <w:szCs w:val="24"/>
              </w:rPr>
            </w:pPr>
          </w:p>
        </w:tc>
      </w:tr>
      <w:tr w:rsidR="00B31FA7" w:rsidTr="00165C5C">
        <w:trPr>
          <w:cantSplit/>
          <w:jc w:val="center"/>
        </w:trPr>
        <w:tc>
          <w:tcPr>
            <w:tcW w:w="1843" w:type="dxa"/>
          </w:tcPr>
          <w:p w:rsidR="00B31FA7" w:rsidRPr="00294F23" w:rsidRDefault="00B31FA7" w:rsidP="00165C5C">
            <w:pPr>
              <w:pStyle w:val="Tabletext"/>
            </w:pPr>
            <w:r w:rsidRPr="00294F23">
              <w:t>Europe</w:t>
            </w:r>
            <w:r w:rsidRPr="00294F23">
              <w:br/>
              <w:t>Royaume-Uni</w:t>
            </w:r>
            <w:r w:rsidRPr="00294F23">
              <w:br/>
              <w:t>40 et 50 GHz</w:t>
            </w:r>
          </w:p>
        </w:tc>
        <w:tc>
          <w:tcPr>
            <w:tcW w:w="1276" w:type="dxa"/>
          </w:tcPr>
          <w:p w:rsidR="00B31FA7" w:rsidRDefault="00B31FA7" w:rsidP="00165C5C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6" w:type="dxa"/>
          </w:tcPr>
          <w:p w:rsidR="00B31FA7" w:rsidRDefault="00B31FA7" w:rsidP="00165C5C">
            <w:pPr>
              <w:pStyle w:val="Tabletext"/>
              <w:jc w:val="center"/>
              <w:rPr>
                <w:szCs w:val="24"/>
              </w:rPr>
            </w:pPr>
            <w:r>
              <w:rPr>
                <w:szCs w:val="24"/>
              </w:rPr>
              <w:t>0,13; 2,54</w:t>
            </w:r>
          </w:p>
        </w:tc>
        <w:tc>
          <w:tcPr>
            <w:tcW w:w="1275" w:type="dxa"/>
          </w:tcPr>
          <w:p w:rsidR="00B31FA7" w:rsidRDefault="00B31FA7" w:rsidP="00165C5C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418" w:type="dxa"/>
          </w:tcPr>
          <w:p w:rsidR="00B31FA7" w:rsidRDefault="00B31FA7" w:rsidP="00165C5C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6" w:type="dxa"/>
          </w:tcPr>
          <w:p w:rsidR="00B31FA7" w:rsidRDefault="00B31FA7" w:rsidP="00165C5C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5" w:type="dxa"/>
          </w:tcPr>
          <w:p w:rsidR="00B31FA7" w:rsidRDefault="00B31FA7" w:rsidP="00165C5C">
            <w:pPr>
              <w:pStyle w:val="Tabletext"/>
              <w:jc w:val="center"/>
              <w:rPr>
                <w:szCs w:val="24"/>
              </w:rPr>
            </w:pPr>
          </w:p>
        </w:tc>
      </w:tr>
      <w:tr w:rsidR="00B31FA7" w:rsidTr="00165C5C">
        <w:trPr>
          <w:cantSplit/>
          <w:jc w:val="center"/>
        </w:trPr>
        <w:tc>
          <w:tcPr>
            <w:tcW w:w="1843" w:type="dxa"/>
          </w:tcPr>
          <w:p w:rsidR="00B31FA7" w:rsidRPr="00294F23" w:rsidRDefault="00B31FA7" w:rsidP="00165C5C">
            <w:pPr>
              <w:pStyle w:val="Tabletext"/>
            </w:pPr>
            <w:r w:rsidRPr="00294F23">
              <w:t>Congo</w:t>
            </w:r>
          </w:p>
        </w:tc>
        <w:tc>
          <w:tcPr>
            <w:tcW w:w="1276" w:type="dxa"/>
          </w:tcPr>
          <w:p w:rsidR="00B31FA7" w:rsidRDefault="00B31FA7" w:rsidP="00165C5C">
            <w:pPr>
              <w:pStyle w:val="Tabletext"/>
              <w:jc w:val="center"/>
              <w:rPr>
                <w:szCs w:val="24"/>
              </w:rPr>
            </w:pPr>
            <w:r>
              <w:rPr>
                <w:szCs w:val="24"/>
              </w:rPr>
              <w:t>0,25; 1,5</w:t>
            </w:r>
          </w:p>
        </w:tc>
        <w:tc>
          <w:tcPr>
            <w:tcW w:w="1276" w:type="dxa"/>
          </w:tcPr>
          <w:p w:rsidR="00B31FA7" w:rsidRDefault="00B31FA7" w:rsidP="00165C5C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5" w:type="dxa"/>
          </w:tcPr>
          <w:p w:rsidR="00B31FA7" w:rsidRDefault="00B31FA7" w:rsidP="00165C5C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418" w:type="dxa"/>
          </w:tcPr>
          <w:p w:rsidR="00B31FA7" w:rsidRDefault="00B31FA7" w:rsidP="00165C5C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6" w:type="dxa"/>
          </w:tcPr>
          <w:p w:rsidR="00B31FA7" w:rsidRDefault="00B31FA7" w:rsidP="00165C5C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5" w:type="dxa"/>
          </w:tcPr>
          <w:p w:rsidR="00B31FA7" w:rsidRDefault="00B31FA7" w:rsidP="00165C5C">
            <w:pPr>
              <w:pStyle w:val="Tabletext"/>
              <w:jc w:val="center"/>
              <w:rPr>
                <w:szCs w:val="24"/>
              </w:rPr>
            </w:pPr>
          </w:p>
        </w:tc>
      </w:tr>
      <w:tr w:rsidR="00B31FA7" w:rsidTr="00165C5C">
        <w:trPr>
          <w:cantSplit/>
          <w:jc w:val="center"/>
        </w:trPr>
        <w:tc>
          <w:tcPr>
            <w:tcW w:w="1843" w:type="dxa"/>
          </w:tcPr>
          <w:p w:rsidR="00B31FA7" w:rsidRPr="00294F23" w:rsidRDefault="00B31FA7" w:rsidP="00165C5C">
            <w:pPr>
              <w:pStyle w:val="Tabletext"/>
            </w:pPr>
            <w:r w:rsidRPr="00294F23">
              <w:t>Canada</w:t>
            </w:r>
            <w:r w:rsidRPr="00294F23">
              <w:br/>
              <w:t>Prairie et Nord</w:t>
            </w:r>
          </w:p>
        </w:tc>
        <w:tc>
          <w:tcPr>
            <w:tcW w:w="1276" w:type="dxa"/>
          </w:tcPr>
          <w:p w:rsidR="00B31FA7" w:rsidRDefault="00B31FA7" w:rsidP="00165C5C">
            <w:pPr>
              <w:pStyle w:val="Tabletext"/>
              <w:jc w:val="center"/>
              <w:rPr>
                <w:szCs w:val="24"/>
              </w:rPr>
            </w:pPr>
            <w:r>
              <w:rPr>
                <w:szCs w:val="24"/>
              </w:rPr>
              <w:t>0,08; 4,3</w:t>
            </w:r>
          </w:p>
        </w:tc>
        <w:tc>
          <w:tcPr>
            <w:tcW w:w="1276" w:type="dxa"/>
          </w:tcPr>
          <w:p w:rsidR="00B31FA7" w:rsidRDefault="00B31FA7" w:rsidP="00165C5C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5" w:type="dxa"/>
          </w:tcPr>
          <w:p w:rsidR="00B31FA7" w:rsidRDefault="00B31FA7" w:rsidP="00165C5C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418" w:type="dxa"/>
          </w:tcPr>
          <w:p w:rsidR="00B31FA7" w:rsidRDefault="00B31FA7" w:rsidP="00165C5C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6" w:type="dxa"/>
          </w:tcPr>
          <w:p w:rsidR="00B31FA7" w:rsidRDefault="00B31FA7" w:rsidP="00165C5C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5" w:type="dxa"/>
          </w:tcPr>
          <w:p w:rsidR="00B31FA7" w:rsidRDefault="00B31FA7" w:rsidP="00165C5C">
            <w:pPr>
              <w:pStyle w:val="Tabletext"/>
              <w:jc w:val="center"/>
              <w:rPr>
                <w:szCs w:val="24"/>
              </w:rPr>
            </w:pPr>
          </w:p>
        </w:tc>
      </w:tr>
      <w:tr w:rsidR="00B31FA7" w:rsidTr="00165C5C">
        <w:trPr>
          <w:cantSplit/>
          <w:jc w:val="center"/>
        </w:trPr>
        <w:tc>
          <w:tcPr>
            <w:tcW w:w="1843" w:type="dxa"/>
          </w:tcPr>
          <w:p w:rsidR="00B31FA7" w:rsidRPr="00294F23" w:rsidRDefault="00B31FA7" w:rsidP="00165C5C">
            <w:pPr>
              <w:pStyle w:val="Tabletext"/>
            </w:pPr>
            <w:r w:rsidRPr="00294F23">
              <w:t>Canada</w:t>
            </w:r>
            <w:r w:rsidRPr="00294F23">
              <w:br/>
              <w:t>Côte et grands lacs</w:t>
            </w:r>
          </w:p>
        </w:tc>
        <w:tc>
          <w:tcPr>
            <w:tcW w:w="1276" w:type="dxa"/>
          </w:tcPr>
          <w:p w:rsidR="00B31FA7" w:rsidRDefault="00B31FA7" w:rsidP="00165C5C">
            <w:pPr>
              <w:pStyle w:val="Tabletext"/>
              <w:jc w:val="center"/>
              <w:rPr>
                <w:szCs w:val="24"/>
              </w:rPr>
            </w:pPr>
            <w:r>
              <w:rPr>
                <w:szCs w:val="24"/>
              </w:rPr>
              <w:t>0,10; 2,7</w:t>
            </w:r>
          </w:p>
        </w:tc>
        <w:tc>
          <w:tcPr>
            <w:tcW w:w="1276" w:type="dxa"/>
          </w:tcPr>
          <w:p w:rsidR="00B31FA7" w:rsidRDefault="00B31FA7" w:rsidP="00165C5C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5" w:type="dxa"/>
          </w:tcPr>
          <w:p w:rsidR="00B31FA7" w:rsidRDefault="00B31FA7" w:rsidP="00165C5C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418" w:type="dxa"/>
          </w:tcPr>
          <w:p w:rsidR="00B31FA7" w:rsidRDefault="00B31FA7" w:rsidP="00165C5C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6" w:type="dxa"/>
          </w:tcPr>
          <w:p w:rsidR="00B31FA7" w:rsidRDefault="00B31FA7" w:rsidP="00165C5C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5" w:type="dxa"/>
          </w:tcPr>
          <w:p w:rsidR="00B31FA7" w:rsidRDefault="00B31FA7" w:rsidP="00165C5C">
            <w:pPr>
              <w:pStyle w:val="Tabletext"/>
              <w:jc w:val="center"/>
              <w:rPr>
                <w:szCs w:val="24"/>
              </w:rPr>
            </w:pPr>
          </w:p>
        </w:tc>
      </w:tr>
      <w:tr w:rsidR="00B31FA7" w:rsidTr="00165C5C">
        <w:trPr>
          <w:cantSplit/>
          <w:trHeight w:val="44"/>
          <w:jc w:val="center"/>
        </w:trPr>
        <w:tc>
          <w:tcPr>
            <w:tcW w:w="1843" w:type="dxa"/>
          </w:tcPr>
          <w:p w:rsidR="00B31FA7" w:rsidRPr="00294F23" w:rsidRDefault="00B31FA7" w:rsidP="00165C5C">
            <w:pPr>
              <w:pStyle w:val="Tabletext"/>
            </w:pPr>
            <w:r w:rsidRPr="00294F23">
              <w:t xml:space="preserve">Canada </w:t>
            </w:r>
            <w:r w:rsidRPr="00165C5C">
              <w:t>Centre</w:t>
            </w:r>
            <w:r w:rsidRPr="00294F23">
              <w:t xml:space="preserve"> et montagnes</w:t>
            </w:r>
          </w:p>
        </w:tc>
        <w:tc>
          <w:tcPr>
            <w:tcW w:w="1276" w:type="dxa"/>
          </w:tcPr>
          <w:p w:rsidR="00B31FA7" w:rsidRDefault="00B31FA7" w:rsidP="00165C5C">
            <w:pPr>
              <w:pStyle w:val="Tabletext"/>
              <w:jc w:val="center"/>
              <w:rPr>
                <w:szCs w:val="24"/>
              </w:rPr>
            </w:pPr>
            <w:r>
              <w:rPr>
                <w:szCs w:val="24"/>
              </w:rPr>
              <w:t>0,13; 3,0</w:t>
            </w:r>
          </w:p>
        </w:tc>
        <w:tc>
          <w:tcPr>
            <w:tcW w:w="1276" w:type="dxa"/>
          </w:tcPr>
          <w:p w:rsidR="00B31FA7" w:rsidRDefault="00B31FA7" w:rsidP="00165C5C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5" w:type="dxa"/>
          </w:tcPr>
          <w:p w:rsidR="00B31FA7" w:rsidRDefault="00B31FA7" w:rsidP="00165C5C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418" w:type="dxa"/>
          </w:tcPr>
          <w:p w:rsidR="00B31FA7" w:rsidRDefault="00B31FA7" w:rsidP="00165C5C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6" w:type="dxa"/>
          </w:tcPr>
          <w:p w:rsidR="00B31FA7" w:rsidRDefault="00B31FA7" w:rsidP="00165C5C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5" w:type="dxa"/>
          </w:tcPr>
          <w:p w:rsidR="00B31FA7" w:rsidRDefault="00B31FA7" w:rsidP="00165C5C">
            <w:pPr>
              <w:pStyle w:val="Tabletext"/>
              <w:jc w:val="center"/>
              <w:rPr>
                <w:szCs w:val="24"/>
              </w:rPr>
            </w:pPr>
          </w:p>
        </w:tc>
      </w:tr>
    </w:tbl>
    <w:p w:rsidR="00B31FA7" w:rsidRDefault="00B31FA7" w:rsidP="00B31FA7">
      <w:pPr>
        <w:pStyle w:val="Tablefin"/>
        <w:rPr>
          <w:sz w:val="2"/>
          <w:szCs w:val="24"/>
          <w:lang w:val="fr-FR"/>
        </w:rPr>
      </w:pPr>
    </w:p>
    <w:p w:rsidR="007A56F6" w:rsidRPr="007A56F6" w:rsidRDefault="007A56F6" w:rsidP="007A56F6">
      <w:pPr>
        <w:pStyle w:val="Tablefin"/>
        <w:rPr>
          <w:sz w:val="16"/>
          <w:szCs w:val="16"/>
        </w:rPr>
      </w:pPr>
    </w:p>
    <w:p w:rsidR="00B31FA7" w:rsidRDefault="00B31FA7" w:rsidP="00B31FA7">
      <w:pPr>
        <w:pStyle w:val="TableNo"/>
      </w:pPr>
      <w:r>
        <w:lastRenderedPageBreak/>
        <w:t>TABLEAU</w:t>
      </w:r>
      <w:r w:rsidR="00812149">
        <w:t xml:space="preserve"> </w:t>
      </w:r>
      <w:r w:rsidR="007D2723">
        <w:t xml:space="preserve"> </w:t>
      </w:r>
      <w:r>
        <w:t>1</w:t>
      </w:r>
      <w:r w:rsidR="00812149">
        <w:t xml:space="preserve"> </w:t>
      </w:r>
      <w:r>
        <w:t>(</w:t>
      </w:r>
      <w:r>
        <w:rPr>
          <w:i/>
        </w:rPr>
        <w:t>suite</w:t>
      </w:r>
      <w:r>
        <w:t>)</w:t>
      </w:r>
    </w:p>
    <w:tbl>
      <w:tblPr>
        <w:tblW w:w="96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847"/>
        <w:gridCol w:w="1276"/>
        <w:gridCol w:w="1276"/>
        <w:gridCol w:w="1275"/>
        <w:gridCol w:w="1418"/>
        <w:gridCol w:w="1276"/>
        <w:gridCol w:w="1279"/>
      </w:tblGrid>
      <w:tr w:rsidR="00B31FA7" w:rsidTr="00685EC9">
        <w:trPr>
          <w:cantSplit/>
          <w:jc w:val="center"/>
        </w:trPr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head"/>
              <w:jc w:val="left"/>
              <w:rPr>
                <w:bCs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FA7" w:rsidRDefault="00B31FA7" w:rsidP="00685EC9">
            <w:pPr>
              <w:pStyle w:val="Tablehead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Effet de la pluie </w:t>
            </w:r>
            <w:r>
              <w:rPr>
                <w:bCs/>
                <w:szCs w:val="24"/>
              </w:rPr>
              <w:br/>
              <w:t>Trajet terrestre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head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Effet de la pluie </w:t>
            </w:r>
            <w:r>
              <w:rPr>
                <w:bCs/>
                <w:szCs w:val="24"/>
              </w:rPr>
              <w:br/>
              <w:t>Trajet oblique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head"/>
              <w:rPr>
                <w:bCs/>
                <w:szCs w:val="24"/>
              </w:rPr>
            </w:pPr>
            <w:r>
              <w:rPr>
                <w:bCs/>
                <w:szCs w:val="24"/>
              </w:rPr>
              <w:t>Intensité de pluie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head"/>
              <w:rPr>
                <w:bCs/>
                <w:szCs w:val="24"/>
              </w:rPr>
            </w:pPr>
            <w:r>
              <w:rPr>
                <w:bCs/>
                <w:szCs w:val="24"/>
              </w:rPr>
              <w:t>Trajets multiples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B83416">
            <w:pPr>
              <w:pStyle w:val="Tablehead"/>
              <w:rPr>
                <w:bCs/>
                <w:szCs w:val="24"/>
              </w:rPr>
            </w:pPr>
            <w:r>
              <w:rPr>
                <w:bCs/>
                <w:szCs w:val="24"/>
              </w:rPr>
              <w:t>Tra</w:t>
            </w:r>
            <w:r w:rsidR="0097240B">
              <w:rPr>
                <w:bCs/>
                <w:szCs w:val="24"/>
              </w:rPr>
              <w:t>jet</w:t>
            </w:r>
            <w:r w:rsidR="00B83416">
              <w:rPr>
                <w:bCs/>
                <w:szCs w:val="24"/>
              </w:rPr>
              <w:t xml:space="preserve"> trans-</w:t>
            </w:r>
            <w:r w:rsidR="0097240B">
              <w:rPr>
                <w:bCs/>
                <w:szCs w:val="24"/>
              </w:rPr>
              <w:t>horizon</w:t>
            </w:r>
            <w:r w:rsidR="00B83416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terre</w:t>
            </w:r>
            <w:r w:rsidR="0097240B">
              <w:rPr>
                <w:bCs/>
                <w:szCs w:val="24"/>
              </w:rPr>
              <w:t>stre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B83416">
            <w:pPr>
              <w:pStyle w:val="Tablehead"/>
              <w:rPr>
                <w:bCs/>
                <w:szCs w:val="24"/>
              </w:rPr>
            </w:pPr>
            <w:r>
              <w:rPr>
                <w:bCs/>
                <w:szCs w:val="24"/>
              </w:rPr>
              <w:t>Tra</w:t>
            </w:r>
            <w:r w:rsidR="0097240B">
              <w:rPr>
                <w:bCs/>
                <w:szCs w:val="24"/>
              </w:rPr>
              <w:t>jet</w:t>
            </w:r>
            <w:r w:rsidR="00B83416">
              <w:rPr>
                <w:bCs/>
                <w:szCs w:val="24"/>
              </w:rPr>
              <w:t xml:space="preserve"> trans</w:t>
            </w:r>
            <w:r w:rsidR="0097240B">
              <w:rPr>
                <w:bCs/>
                <w:szCs w:val="24"/>
              </w:rPr>
              <w:t>-horizon</w:t>
            </w:r>
            <w:r>
              <w:rPr>
                <w:bCs/>
                <w:szCs w:val="24"/>
              </w:rPr>
              <w:t xml:space="preserve"> m</w:t>
            </w:r>
            <w:r w:rsidR="0097240B">
              <w:rPr>
                <w:bCs/>
                <w:szCs w:val="24"/>
              </w:rPr>
              <w:t>aritime</w:t>
            </w:r>
          </w:p>
        </w:tc>
      </w:tr>
      <w:tr w:rsidR="00B31FA7" w:rsidTr="00685EC9">
        <w:trPr>
          <w:cantSplit/>
          <w:jc w:val="center"/>
        </w:trPr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jc w:val="left"/>
              <w:rPr>
                <w:szCs w:val="24"/>
              </w:rPr>
            </w:pPr>
            <w:r>
              <w:rPr>
                <w:szCs w:val="24"/>
              </w:rPr>
              <w:t>Etats-Unis d</w:t>
            </w:r>
            <w:r w:rsidR="00EF5059">
              <w:rPr>
                <w:szCs w:val="24"/>
              </w:rPr>
              <w:t>'</w:t>
            </w:r>
            <w:r>
              <w:rPr>
                <w:szCs w:val="24"/>
              </w:rPr>
              <w:t>Amérique</w:t>
            </w:r>
            <w:r>
              <w:rPr>
                <w:szCs w:val="24"/>
              </w:rPr>
              <w:br/>
              <w:t>Virginie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jc w:val="center"/>
              <w:rPr>
                <w:szCs w:val="24"/>
              </w:rPr>
            </w:pPr>
            <w:r>
              <w:rPr>
                <w:szCs w:val="24"/>
              </w:rPr>
              <w:t>0,15; 2,7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jc w:val="center"/>
              <w:rPr>
                <w:szCs w:val="24"/>
              </w:rPr>
            </w:pPr>
          </w:p>
        </w:tc>
      </w:tr>
      <w:tr w:rsidR="00B31FA7" w:rsidTr="00685EC9">
        <w:trPr>
          <w:cantSplit/>
          <w:jc w:val="center"/>
        </w:trPr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jc w:val="left"/>
              <w:rPr>
                <w:szCs w:val="24"/>
              </w:rPr>
            </w:pPr>
            <w:r>
              <w:rPr>
                <w:szCs w:val="24"/>
              </w:rPr>
              <w:t>Russie</w:t>
            </w:r>
            <w:r>
              <w:rPr>
                <w:szCs w:val="24"/>
              </w:rPr>
              <w:br/>
              <w:t>Europe du Nord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jc w:val="center"/>
              <w:rPr>
                <w:szCs w:val="24"/>
              </w:rPr>
            </w:pPr>
            <w:r>
              <w:rPr>
                <w:szCs w:val="24"/>
              </w:rPr>
              <w:t>0,10; 4,57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jc w:val="center"/>
              <w:rPr>
                <w:szCs w:val="24"/>
              </w:rPr>
            </w:pPr>
          </w:p>
        </w:tc>
      </w:tr>
      <w:tr w:rsidR="00B31FA7" w:rsidTr="00685EC9">
        <w:trPr>
          <w:cantSplit/>
          <w:jc w:val="center"/>
        </w:trPr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jc w:val="left"/>
              <w:rPr>
                <w:szCs w:val="24"/>
              </w:rPr>
            </w:pPr>
            <w:r>
              <w:rPr>
                <w:szCs w:val="24"/>
              </w:rPr>
              <w:t>Russie</w:t>
            </w:r>
            <w:r>
              <w:rPr>
                <w:szCs w:val="24"/>
              </w:rPr>
              <w:br/>
              <w:t>région Centre et Europe occidentale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jc w:val="center"/>
              <w:rPr>
                <w:szCs w:val="24"/>
              </w:rPr>
            </w:pPr>
            <w:r>
              <w:rPr>
                <w:szCs w:val="24"/>
              </w:rPr>
              <w:t>0,16; 2,38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jc w:val="center"/>
              <w:rPr>
                <w:szCs w:val="24"/>
              </w:rPr>
            </w:pPr>
          </w:p>
        </w:tc>
      </w:tr>
      <w:tr w:rsidR="00B31FA7" w:rsidTr="00685EC9">
        <w:trPr>
          <w:cantSplit/>
          <w:jc w:val="center"/>
        </w:trPr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jc w:val="left"/>
              <w:rPr>
                <w:szCs w:val="24"/>
              </w:rPr>
            </w:pPr>
            <w:r>
              <w:rPr>
                <w:szCs w:val="24"/>
              </w:rPr>
              <w:t>Russie</w:t>
            </w:r>
            <w:r>
              <w:rPr>
                <w:szCs w:val="24"/>
              </w:rPr>
              <w:br/>
              <w:t>Moyenne Volga et Oural méridional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FA7" w:rsidRDefault="00B31FA7" w:rsidP="00685EC9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jc w:val="center"/>
              <w:rPr>
                <w:szCs w:val="24"/>
              </w:rPr>
            </w:pPr>
            <w:r>
              <w:rPr>
                <w:szCs w:val="24"/>
              </w:rPr>
              <w:t>0,10; 4,27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jc w:val="center"/>
              <w:rPr>
                <w:szCs w:val="24"/>
              </w:rPr>
            </w:pPr>
          </w:p>
        </w:tc>
      </w:tr>
      <w:tr w:rsidR="00B31FA7" w:rsidTr="00685EC9">
        <w:trPr>
          <w:cantSplit/>
          <w:jc w:val="center"/>
        </w:trPr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jc w:val="left"/>
              <w:rPr>
                <w:szCs w:val="24"/>
              </w:rPr>
            </w:pPr>
            <w:r>
              <w:rPr>
                <w:szCs w:val="24"/>
              </w:rPr>
              <w:t>Russie</w:t>
            </w:r>
            <w:r>
              <w:rPr>
                <w:szCs w:val="24"/>
              </w:rPr>
              <w:br/>
              <w:t>Centre (Steppes) et région Europe méridionale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FA7" w:rsidRDefault="00B31FA7" w:rsidP="00685EC9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jc w:val="center"/>
              <w:rPr>
                <w:szCs w:val="24"/>
              </w:rPr>
            </w:pPr>
            <w:r>
              <w:rPr>
                <w:szCs w:val="24"/>
              </w:rPr>
              <w:t>0,15; 2,69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jc w:val="center"/>
              <w:rPr>
                <w:szCs w:val="24"/>
              </w:rPr>
            </w:pPr>
          </w:p>
        </w:tc>
      </w:tr>
      <w:tr w:rsidR="00B31FA7" w:rsidTr="00685EC9">
        <w:trPr>
          <w:cantSplit/>
          <w:jc w:val="center"/>
        </w:trPr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jc w:val="left"/>
              <w:rPr>
                <w:szCs w:val="24"/>
              </w:rPr>
            </w:pPr>
            <w:r>
              <w:rPr>
                <w:szCs w:val="24"/>
              </w:rPr>
              <w:t>Russie</w:t>
            </w:r>
            <w:r>
              <w:rPr>
                <w:szCs w:val="24"/>
              </w:rPr>
              <w:br/>
              <w:t>Plaine de Sibérie occidentale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FA7" w:rsidRDefault="00B31FA7" w:rsidP="00685EC9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jc w:val="center"/>
              <w:rPr>
                <w:szCs w:val="24"/>
              </w:rPr>
            </w:pPr>
            <w:r>
              <w:rPr>
                <w:szCs w:val="24"/>
              </w:rPr>
              <w:t>0,14; 3,72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jc w:val="center"/>
              <w:rPr>
                <w:szCs w:val="24"/>
              </w:rPr>
            </w:pPr>
          </w:p>
        </w:tc>
      </w:tr>
      <w:tr w:rsidR="00B31FA7" w:rsidTr="00685EC9">
        <w:trPr>
          <w:cantSplit/>
          <w:jc w:val="center"/>
        </w:trPr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jc w:val="left"/>
            </w:pPr>
            <w:r>
              <w:br w:type="page"/>
              <w:t>Russie</w:t>
            </w:r>
            <w:r>
              <w:br/>
              <w:t>Plateau de Sibérie centrale et Iakoutsk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FA7" w:rsidRDefault="00B31FA7" w:rsidP="00685EC9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jc w:val="center"/>
              <w:rPr>
                <w:szCs w:val="24"/>
              </w:rPr>
            </w:pPr>
            <w:r>
              <w:rPr>
                <w:szCs w:val="24"/>
              </w:rPr>
              <w:t>0,11; 5,04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jc w:val="center"/>
              <w:rPr>
                <w:szCs w:val="24"/>
              </w:rPr>
            </w:pPr>
          </w:p>
        </w:tc>
      </w:tr>
      <w:tr w:rsidR="00B31FA7" w:rsidTr="00685EC9">
        <w:trPr>
          <w:cantSplit/>
          <w:jc w:val="center"/>
        </w:trPr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jc w:val="left"/>
              <w:rPr>
                <w:szCs w:val="24"/>
              </w:rPr>
            </w:pPr>
            <w:r>
              <w:rPr>
                <w:szCs w:val="24"/>
              </w:rPr>
              <w:t>Russie</w:t>
            </w:r>
            <w:r>
              <w:rPr>
                <w:szCs w:val="24"/>
              </w:rPr>
              <w:br/>
              <w:t>région extrême orientale et méridionale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FA7" w:rsidRDefault="00B31FA7" w:rsidP="00685EC9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jc w:val="center"/>
              <w:rPr>
                <w:szCs w:val="24"/>
              </w:rPr>
            </w:pPr>
            <w:r>
              <w:rPr>
                <w:szCs w:val="24"/>
              </w:rPr>
              <w:t>0,13; 3,53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jc w:val="center"/>
              <w:rPr>
                <w:szCs w:val="24"/>
              </w:rPr>
            </w:pPr>
          </w:p>
        </w:tc>
      </w:tr>
      <w:tr w:rsidR="00B31FA7" w:rsidTr="00685EC9">
        <w:trPr>
          <w:cantSplit/>
          <w:jc w:val="center"/>
        </w:trPr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jc w:val="left"/>
              <w:rPr>
                <w:szCs w:val="24"/>
              </w:rPr>
            </w:pPr>
            <w:r>
              <w:rPr>
                <w:szCs w:val="24"/>
              </w:rPr>
              <w:t>Australie</w:t>
            </w:r>
            <w:r>
              <w:rPr>
                <w:szCs w:val="24"/>
              </w:rPr>
              <w:br/>
              <w:t>tempérée/côtière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jc w:val="center"/>
              <w:rPr>
                <w:szCs w:val="24"/>
              </w:rPr>
            </w:pPr>
            <w:r>
              <w:rPr>
                <w:szCs w:val="24"/>
              </w:rPr>
              <w:t>0,17; 2,65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jc w:val="center"/>
              <w:rPr>
                <w:szCs w:val="24"/>
              </w:rPr>
            </w:pPr>
          </w:p>
        </w:tc>
      </w:tr>
      <w:tr w:rsidR="00B31FA7" w:rsidTr="00685EC9">
        <w:trPr>
          <w:cantSplit/>
          <w:jc w:val="center"/>
        </w:trPr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jc w:val="left"/>
              <w:rPr>
                <w:szCs w:val="24"/>
              </w:rPr>
            </w:pPr>
            <w:r>
              <w:rPr>
                <w:szCs w:val="24"/>
              </w:rPr>
              <w:t>Australie</w:t>
            </w:r>
            <w:r>
              <w:rPr>
                <w:szCs w:val="24"/>
              </w:rPr>
              <w:br/>
              <w:t>subtropicale/</w:t>
            </w:r>
            <w:r>
              <w:rPr>
                <w:szCs w:val="24"/>
              </w:rPr>
              <w:br/>
              <w:t>côtière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jc w:val="center"/>
              <w:rPr>
                <w:szCs w:val="24"/>
              </w:rPr>
            </w:pPr>
            <w:r>
              <w:rPr>
                <w:szCs w:val="24"/>
              </w:rPr>
              <w:t>0,15; 3,15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jc w:val="center"/>
              <w:rPr>
                <w:szCs w:val="24"/>
              </w:rPr>
            </w:pPr>
          </w:p>
        </w:tc>
      </w:tr>
      <w:tr w:rsidR="00B31FA7" w:rsidTr="00685EC9">
        <w:trPr>
          <w:cantSplit/>
          <w:jc w:val="center"/>
        </w:trPr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jc w:val="left"/>
              <w:rPr>
                <w:szCs w:val="24"/>
              </w:rPr>
            </w:pPr>
            <w:r>
              <w:rPr>
                <w:szCs w:val="24"/>
              </w:rPr>
              <w:t>Australie</w:t>
            </w:r>
            <w:r>
              <w:rPr>
                <w:szCs w:val="24"/>
              </w:rPr>
              <w:br/>
              <w:t>tropicale/aride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jc w:val="center"/>
              <w:rPr>
                <w:szCs w:val="24"/>
              </w:rPr>
            </w:pPr>
            <w:r>
              <w:rPr>
                <w:szCs w:val="24"/>
              </w:rPr>
              <w:t>0,12; 4,35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jc w:val="center"/>
              <w:rPr>
                <w:szCs w:val="24"/>
              </w:rPr>
            </w:pPr>
          </w:p>
        </w:tc>
      </w:tr>
      <w:tr w:rsidR="00B31FA7" w:rsidTr="00685EC9">
        <w:trPr>
          <w:cantSplit/>
          <w:jc w:val="center"/>
        </w:trPr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jc w:val="left"/>
              <w:rPr>
                <w:szCs w:val="24"/>
              </w:rPr>
            </w:pPr>
            <w:r>
              <w:rPr>
                <w:szCs w:val="24"/>
              </w:rPr>
              <w:t>Brésil</w:t>
            </w:r>
            <w:r>
              <w:rPr>
                <w:szCs w:val="24"/>
              </w:rPr>
              <w:br/>
              <w:t>équatorial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jc w:val="center"/>
              <w:rPr>
                <w:szCs w:val="24"/>
              </w:rPr>
            </w:pPr>
            <w:r>
              <w:rPr>
                <w:szCs w:val="24"/>
              </w:rPr>
              <w:t>0,13; 2,85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jc w:val="center"/>
              <w:rPr>
                <w:szCs w:val="24"/>
              </w:rPr>
            </w:pPr>
          </w:p>
        </w:tc>
      </w:tr>
    </w:tbl>
    <w:p w:rsidR="00B31FA7" w:rsidRPr="00294F23" w:rsidRDefault="00B31FA7" w:rsidP="00B31FA7">
      <w:pPr>
        <w:pStyle w:val="Tablefin"/>
      </w:pPr>
    </w:p>
    <w:p w:rsidR="00B31FA7" w:rsidRDefault="00B31FA7" w:rsidP="00B31FA7">
      <w:pPr>
        <w:pStyle w:val="TableNo"/>
      </w:pPr>
      <w:r>
        <w:lastRenderedPageBreak/>
        <w:t>TABLEAU</w:t>
      </w:r>
      <w:r w:rsidR="00812149">
        <w:t xml:space="preserve"> </w:t>
      </w:r>
      <w:r w:rsidR="007D2723">
        <w:t xml:space="preserve"> </w:t>
      </w:r>
      <w:r>
        <w:t>1</w:t>
      </w:r>
      <w:r w:rsidR="00812149">
        <w:t xml:space="preserve"> </w:t>
      </w:r>
      <w:r>
        <w:t>(</w:t>
      </w:r>
      <w:r>
        <w:rPr>
          <w:i/>
        </w:rPr>
        <w:t>fin</w:t>
      </w:r>
      <w: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845"/>
        <w:gridCol w:w="1275"/>
        <w:gridCol w:w="1275"/>
        <w:gridCol w:w="1274"/>
        <w:gridCol w:w="1417"/>
        <w:gridCol w:w="1275"/>
        <w:gridCol w:w="1278"/>
      </w:tblGrid>
      <w:tr w:rsidR="00B31FA7" w:rsidRPr="00E7122A" w:rsidTr="009750A9">
        <w:trPr>
          <w:cantSplit/>
          <w:jc w:val="center"/>
        </w:trPr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Pr="00E7122A" w:rsidRDefault="00B31FA7" w:rsidP="00E7122A">
            <w:pPr>
              <w:pStyle w:val="Tablehead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Pr="00E7122A" w:rsidRDefault="00B31FA7" w:rsidP="00E7122A">
            <w:pPr>
              <w:pStyle w:val="Tablehead"/>
            </w:pPr>
            <w:r w:rsidRPr="00E7122A">
              <w:t>Effet de la pluie Trajet terrestre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Pr="00E7122A" w:rsidRDefault="00B31FA7" w:rsidP="00E7122A">
            <w:pPr>
              <w:pStyle w:val="Tablehead"/>
            </w:pPr>
            <w:r w:rsidRPr="00E7122A">
              <w:t>Effet de la pluie Trajet oblique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Pr="00E7122A" w:rsidRDefault="00B31FA7" w:rsidP="00E7122A">
            <w:pPr>
              <w:pStyle w:val="Tablehead"/>
            </w:pPr>
            <w:r w:rsidRPr="00E7122A">
              <w:t>Intensité de pluie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Pr="00E7122A" w:rsidRDefault="00B31FA7" w:rsidP="00E7122A">
            <w:pPr>
              <w:pStyle w:val="Tablehead"/>
            </w:pPr>
            <w:r w:rsidRPr="00E7122A">
              <w:t>Trajets multiples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Pr="00E7122A" w:rsidRDefault="0097240B" w:rsidP="00E7122A">
            <w:pPr>
              <w:pStyle w:val="Tablehead"/>
            </w:pPr>
            <w:r w:rsidRPr="00E7122A">
              <w:t>Trajet</w:t>
            </w:r>
            <w:r w:rsidR="00B83416" w:rsidRPr="00E7122A">
              <w:t xml:space="preserve"> trans</w:t>
            </w:r>
            <w:r w:rsidRPr="00E7122A">
              <w:t>-horizon</w:t>
            </w:r>
            <w:r w:rsidR="00B83416" w:rsidRPr="00E7122A">
              <w:t xml:space="preserve"> </w:t>
            </w:r>
            <w:r w:rsidR="00B31FA7" w:rsidRPr="00E7122A">
              <w:t>terre</w:t>
            </w:r>
            <w:r w:rsidRPr="00E7122A">
              <w:t>stre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Pr="00E7122A" w:rsidRDefault="00B31FA7" w:rsidP="00E7122A">
            <w:pPr>
              <w:pStyle w:val="Tablehead"/>
            </w:pPr>
            <w:r w:rsidRPr="00E7122A">
              <w:t>Tra</w:t>
            </w:r>
            <w:r w:rsidR="0097240B" w:rsidRPr="00E7122A">
              <w:t>jet</w:t>
            </w:r>
            <w:r w:rsidR="00B83416" w:rsidRPr="00E7122A">
              <w:t xml:space="preserve"> trans-</w:t>
            </w:r>
            <w:r w:rsidRPr="00E7122A">
              <w:t>horizon m</w:t>
            </w:r>
            <w:r w:rsidR="0097240B" w:rsidRPr="00E7122A">
              <w:t>aritime</w:t>
            </w:r>
          </w:p>
        </w:tc>
      </w:tr>
      <w:tr w:rsidR="00B31FA7" w:rsidTr="009750A9">
        <w:trPr>
          <w:cantSplit/>
          <w:jc w:val="center"/>
        </w:trPr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jc w:val="left"/>
              <w:rPr>
                <w:szCs w:val="24"/>
              </w:rPr>
            </w:pPr>
            <w:r>
              <w:rPr>
                <w:szCs w:val="24"/>
              </w:rPr>
              <w:t>Brésil</w:t>
            </w:r>
            <w:r>
              <w:rPr>
                <w:szCs w:val="24"/>
              </w:rPr>
              <w:br/>
              <w:t>tropical</w:t>
            </w:r>
            <w:r>
              <w:rPr>
                <w:szCs w:val="24"/>
              </w:rPr>
              <w:br/>
              <w:t>maritime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jc w:val="center"/>
              <w:rPr>
                <w:szCs w:val="24"/>
              </w:rPr>
            </w:pPr>
            <w:r>
              <w:rPr>
                <w:szCs w:val="24"/>
              </w:rPr>
              <w:t>0,21; 2,25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jc w:val="center"/>
              <w:rPr>
                <w:szCs w:val="24"/>
              </w:rPr>
            </w:pPr>
          </w:p>
        </w:tc>
      </w:tr>
      <w:tr w:rsidR="00B31FA7" w:rsidTr="009750A9">
        <w:trPr>
          <w:cantSplit/>
          <w:jc w:val="center"/>
        </w:trPr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jc w:val="left"/>
              <w:rPr>
                <w:szCs w:val="24"/>
              </w:rPr>
            </w:pPr>
            <w:r>
              <w:rPr>
                <w:szCs w:val="24"/>
              </w:rPr>
              <w:t>Brésil</w:t>
            </w:r>
            <w:r>
              <w:rPr>
                <w:szCs w:val="24"/>
              </w:rPr>
              <w:br/>
              <w:t>tropical</w:t>
            </w:r>
            <w:r>
              <w:rPr>
                <w:szCs w:val="24"/>
              </w:rPr>
              <w:br/>
              <w:t>continental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jc w:val="center"/>
              <w:rPr>
                <w:szCs w:val="24"/>
              </w:rPr>
            </w:pPr>
            <w:r>
              <w:rPr>
                <w:szCs w:val="24"/>
              </w:rPr>
              <w:t>0,13; 3,00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jc w:val="center"/>
              <w:rPr>
                <w:szCs w:val="24"/>
              </w:rPr>
            </w:pPr>
          </w:p>
        </w:tc>
      </w:tr>
      <w:tr w:rsidR="00B31FA7" w:rsidTr="009750A9">
        <w:trPr>
          <w:cantSplit/>
          <w:jc w:val="center"/>
        </w:trPr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jc w:val="left"/>
              <w:rPr>
                <w:szCs w:val="24"/>
              </w:rPr>
            </w:pPr>
            <w:r>
              <w:rPr>
                <w:szCs w:val="24"/>
              </w:rPr>
              <w:t>Brésil</w:t>
            </w:r>
            <w:r>
              <w:rPr>
                <w:szCs w:val="24"/>
              </w:rPr>
              <w:br/>
              <w:t>subtropical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rPr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rPr>
                <w:szCs w:val="24"/>
              </w:rPr>
            </w:pPr>
            <w:r>
              <w:rPr>
                <w:szCs w:val="24"/>
              </w:rPr>
              <w:t>0,13; 2,85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rPr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rPr>
                <w:szCs w:val="24"/>
              </w:rPr>
            </w:pPr>
          </w:p>
        </w:tc>
      </w:tr>
      <w:tr w:rsidR="00B31FA7" w:rsidTr="009750A9">
        <w:trPr>
          <w:cantSplit/>
          <w:jc w:val="center"/>
        </w:trPr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jc w:val="left"/>
              <w:rPr>
                <w:szCs w:val="24"/>
              </w:rPr>
            </w:pPr>
            <w:r>
              <w:rPr>
                <w:szCs w:val="24"/>
              </w:rPr>
              <w:t>Indonésie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9750A9">
            <w:pPr>
              <w:pStyle w:val="Tabletext"/>
              <w:jc w:val="center"/>
              <w:rPr>
                <w:szCs w:val="24"/>
              </w:rPr>
            </w:pPr>
            <w:r>
              <w:rPr>
                <w:szCs w:val="24"/>
              </w:rPr>
              <w:t>0,22; 1,7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9750A9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9750A9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rPr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rPr>
                <w:szCs w:val="24"/>
              </w:rPr>
            </w:pPr>
          </w:p>
        </w:tc>
      </w:tr>
      <w:tr w:rsidR="00B31FA7" w:rsidTr="009750A9">
        <w:trPr>
          <w:cantSplit/>
          <w:jc w:val="center"/>
        </w:trPr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jc w:val="left"/>
              <w:rPr>
                <w:szCs w:val="24"/>
              </w:rPr>
            </w:pPr>
            <w:r>
              <w:rPr>
                <w:szCs w:val="24"/>
              </w:rPr>
              <w:t>Japon</w:t>
            </w:r>
            <w:r>
              <w:rPr>
                <w:szCs w:val="24"/>
              </w:rPr>
              <w:br/>
              <w:t>Tokyo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9750A9">
            <w:pPr>
              <w:pStyle w:val="Tabletext"/>
              <w:jc w:val="center"/>
              <w:rPr>
                <w:szCs w:val="24"/>
              </w:rPr>
            </w:pPr>
            <w:r>
              <w:rPr>
                <w:szCs w:val="24"/>
              </w:rPr>
              <w:t>0,20; 3,0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9750A9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9750A9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rPr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rPr>
                <w:szCs w:val="24"/>
              </w:rPr>
            </w:pPr>
          </w:p>
        </w:tc>
      </w:tr>
      <w:tr w:rsidR="00B31FA7" w:rsidTr="009750A9">
        <w:trPr>
          <w:cantSplit/>
          <w:jc w:val="center"/>
        </w:trPr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jc w:val="left"/>
              <w:rPr>
                <w:szCs w:val="24"/>
              </w:rPr>
            </w:pPr>
            <w:r>
              <w:rPr>
                <w:szCs w:val="24"/>
              </w:rPr>
              <w:t>Japon</w:t>
            </w:r>
            <w:r>
              <w:rPr>
                <w:szCs w:val="24"/>
              </w:rPr>
              <w:br/>
              <w:t>Yamaguchi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9750A9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9750A9">
            <w:pPr>
              <w:pStyle w:val="Tabletext"/>
              <w:jc w:val="center"/>
              <w:rPr>
                <w:szCs w:val="24"/>
              </w:rPr>
            </w:pPr>
            <w:r>
              <w:rPr>
                <w:szCs w:val="24"/>
              </w:rPr>
              <w:t>0,15; 4,0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9750A9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rPr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rPr>
                <w:szCs w:val="24"/>
              </w:rPr>
            </w:pPr>
          </w:p>
        </w:tc>
      </w:tr>
      <w:tr w:rsidR="00B31FA7" w:rsidTr="009750A9">
        <w:trPr>
          <w:cantSplit/>
          <w:jc w:val="center"/>
        </w:trPr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jc w:val="left"/>
              <w:rPr>
                <w:szCs w:val="24"/>
              </w:rPr>
            </w:pPr>
            <w:r>
              <w:rPr>
                <w:szCs w:val="24"/>
              </w:rPr>
              <w:t>Japon</w:t>
            </w:r>
            <w:r>
              <w:rPr>
                <w:szCs w:val="24"/>
              </w:rPr>
              <w:br/>
              <w:t>Kashima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9750A9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9750A9">
            <w:pPr>
              <w:pStyle w:val="Tabletext"/>
              <w:jc w:val="center"/>
              <w:rPr>
                <w:szCs w:val="24"/>
              </w:rPr>
            </w:pPr>
            <w:r>
              <w:rPr>
                <w:szCs w:val="24"/>
              </w:rPr>
              <w:t>0,15; 2,7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9750A9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rPr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rPr>
                <w:szCs w:val="24"/>
              </w:rPr>
            </w:pPr>
          </w:p>
        </w:tc>
      </w:tr>
      <w:tr w:rsidR="00B31FA7" w:rsidTr="009750A9">
        <w:trPr>
          <w:cantSplit/>
          <w:jc w:val="center"/>
        </w:trPr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jc w:val="left"/>
              <w:rPr>
                <w:szCs w:val="24"/>
              </w:rPr>
            </w:pPr>
            <w:r>
              <w:rPr>
                <w:szCs w:val="24"/>
              </w:rPr>
              <w:t>Corée du Sud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9750A9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9750A9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9750A9">
            <w:pPr>
              <w:pStyle w:val="Tabletext"/>
              <w:jc w:val="center"/>
              <w:rPr>
                <w:szCs w:val="24"/>
              </w:rPr>
            </w:pPr>
            <w:r>
              <w:rPr>
                <w:szCs w:val="24"/>
              </w:rPr>
              <w:t>0,12; 4,6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rPr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rPr>
                <w:szCs w:val="24"/>
              </w:rPr>
            </w:pPr>
          </w:p>
        </w:tc>
      </w:tr>
      <w:tr w:rsidR="00B31FA7" w:rsidTr="009750A9">
        <w:trPr>
          <w:cantSplit/>
          <w:jc w:val="center"/>
        </w:trPr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C6550B">
            <w:pPr>
              <w:pStyle w:val="Tabletext"/>
              <w:jc w:val="left"/>
              <w:rPr>
                <w:szCs w:val="24"/>
              </w:rPr>
            </w:pPr>
            <w:r>
              <w:rPr>
                <w:szCs w:val="24"/>
              </w:rPr>
              <w:t>Kirghizistan</w:t>
            </w:r>
            <w:r w:rsidR="00C6550B">
              <w:rPr>
                <w:szCs w:val="24"/>
              </w:rPr>
              <w:t xml:space="preserve"> </w:t>
            </w:r>
            <w:r>
              <w:rPr>
                <w:szCs w:val="24"/>
              </w:rPr>
              <w:t>Régions de plaine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9750A9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9750A9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9750A9">
            <w:pPr>
              <w:pStyle w:val="Tabletext"/>
              <w:jc w:val="center"/>
              <w:rPr>
                <w:szCs w:val="24"/>
              </w:rPr>
            </w:pPr>
            <w:r>
              <w:rPr>
                <w:szCs w:val="24"/>
              </w:rPr>
              <w:t>0,09; 5,95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rPr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rPr>
                <w:szCs w:val="24"/>
              </w:rPr>
            </w:pPr>
          </w:p>
        </w:tc>
      </w:tr>
      <w:tr w:rsidR="00B31FA7" w:rsidTr="009750A9">
        <w:trPr>
          <w:cantSplit/>
          <w:jc w:val="center"/>
        </w:trPr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C6550B">
            <w:pPr>
              <w:pStyle w:val="Tabletext"/>
              <w:jc w:val="left"/>
              <w:rPr>
                <w:szCs w:val="24"/>
              </w:rPr>
            </w:pPr>
            <w:r>
              <w:rPr>
                <w:szCs w:val="24"/>
              </w:rPr>
              <w:t>Kirghizistan</w:t>
            </w:r>
            <w:r w:rsidR="00C6550B">
              <w:rPr>
                <w:szCs w:val="24"/>
              </w:rPr>
              <w:t xml:space="preserve"> </w:t>
            </w:r>
            <w:r>
              <w:rPr>
                <w:szCs w:val="24"/>
              </w:rPr>
              <w:t>Régions montagneuses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9750A9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9750A9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9750A9">
            <w:pPr>
              <w:pStyle w:val="Tabletext"/>
              <w:jc w:val="center"/>
              <w:rPr>
                <w:szCs w:val="24"/>
              </w:rPr>
            </w:pPr>
            <w:r>
              <w:rPr>
                <w:szCs w:val="24"/>
              </w:rPr>
              <w:t>0,10; 6,70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rPr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rPr>
                <w:szCs w:val="24"/>
              </w:rPr>
            </w:pPr>
          </w:p>
        </w:tc>
      </w:tr>
      <w:tr w:rsidR="00B31FA7" w:rsidTr="009750A9">
        <w:trPr>
          <w:cantSplit/>
          <w:jc w:val="center"/>
        </w:trPr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C6550B">
            <w:pPr>
              <w:pStyle w:val="Tabletext"/>
              <w:jc w:val="left"/>
              <w:rPr>
                <w:szCs w:val="24"/>
              </w:rPr>
            </w:pPr>
            <w:r>
              <w:rPr>
                <w:szCs w:val="24"/>
              </w:rPr>
              <w:t>Kirghizistan</w:t>
            </w:r>
            <w:r w:rsidR="00C6550B">
              <w:rPr>
                <w:szCs w:val="24"/>
              </w:rPr>
              <w:t xml:space="preserve"> </w:t>
            </w:r>
            <w:r>
              <w:rPr>
                <w:szCs w:val="24"/>
              </w:rPr>
              <w:t>Région côtière du Lac Ysyk-Kol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9750A9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9750A9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9750A9">
            <w:pPr>
              <w:pStyle w:val="Tabletext"/>
              <w:jc w:val="center"/>
              <w:rPr>
                <w:szCs w:val="24"/>
              </w:rPr>
            </w:pPr>
            <w:r>
              <w:rPr>
                <w:szCs w:val="24"/>
              </w:rPr>
              <w:t>0,14; 4,73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rPr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rPr>
                <w:szCs w:val="24"/>
              </w:rPr>
            </w:pPr>
          </w:p>
        </w:tc>
      </w:tr>
      <w:tr w:rsidR="00B31FA7" w:rsidTr="009750A9">
        <w:trPr>
          <w:cantSplit/>
          <w:jc w:val="center"/>
        </w:trPr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jc w:val="left"/>
              <w:rPr>
                <w:szCs w:val="24"/>
              </w:rPr>
            </w:pPr>
            <w:r>
              <w:rPr>
                <w:szCs w:val="24"/>
              </w:rPr>
              <w:t>Chine</w:t>
            </w:r>
            <w:r>
              <w:rPr>
                <w:szCs w:val="24"/>
              </w:rPr>
              <w:br/>
              <w:t>Sud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9750A9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9750A9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9750A9">
            <w:pPr>
              <w:pStyle w:val="Tabletext"/>
              <w:jc w:val="center"/>
              <w:rPr>
                <w:szCs w:val="24"/>
              </w:rPr>
            </w:pPr>
            <w:r>
              <w:rPr>
                <w:szCs w:val="24"/>
              </w:rPr>
              <w:t>0,15; 3,12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rPr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rPr>
                <w:szCs w:val="24"/>
              </w:rPr>
            </w:pPr>
          </w:p>
        </w:tc>
      </w:tr>
      <w:tr w:rsidR="00B31FA7" w:rsidTr="009750A9">
        <w:trPr>
          <w:cantSplit/>
          <w:jc w:val="center"/>
        </w:trPr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C6550B">
            <w:pPr>
              <w:pStyle w:val="Tabletext"/>
              <w:jc w:val="left"/>
              <w:rPr>
                <w:szCs w:val="24"/>
              </w:rPr>
            </w:pPr>
            <w:r>
              <w:rPr>
                <w:szCs w:val="24"/>
              </w:rPr>
              <w:t>Chine</w:t>
            </w:r>
            <w:r w:rsidR="00C6550B">
              <w:rPr>
                <w:szCs w:val="24"/>
              </w:rPr>
              <w:t xml:space="preserve"> </w:t>
            </w:r>
            <w:r>
              <w:rPr>
                <w:szCs w:val="24"/>
              </w:rPr>
              <w:t>Nord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9750A9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9750A9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9750A9">
            <w:pPr>
              <w:pStyle w:val="Tabletext"/>
              <w:jc w:val="center"/>
              <w:rPr>
                <w:szCs w:val="24"/>
              </w:rPr>
            </w:pPr>
            <w:r>
              <w:rPr>
                <w:szCs w:val="24"/>
              </w:rPr>
              <w:t>0,13; 4,12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rPr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rPr>
                <w:szCs w:val="24"/>
              </w:rPr>
            </w:pPr>
          </w:p>
        </w:tc>
      </w:tr>
      <w:tr w:rsidR="00B31FA7" w:rsidTr="009750A9">
        <w:trPr>
          <w:cantSplit/>
          <w:jc w:val="center"/>
        </w:trPr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C6550B">
            <w:pPr>
              <w:pStyle w:val="Tabletext"/>
              <w:jc w:val="left"/>
              <w:rPr>
                <w:szCs w:val="24"/>
              </w:rPr>
            </w:pPr>
            <w:r>
              <w:rPr>
                <w:szCs w:val="24"/>
              </w:rPr>
              <w:t>Chine</w:t>
            </w:r>
            <w:r w:rsidR="00C6550B">
              <w:rPr>
                <w:szCs w:val="24"/>
              </w:rPr>
              <w:t xml:space="preserve"> </w:t>
            </w:r>
            <w:r>
              <w:rPr>
                <w:szCs w:val="24"/>
              </w:rPr>
              <w:t>Désert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9750A9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9750A9">
            <w:pPr>
              <w:pStyle w:val="Tabletext"/>
              <w:jc w:val="center"/>
              <w:rPr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9750A9">
            <w:pPr>
              <w:pStyle w:val="Tabletext"/>
              <w:jc w:val="center"/>
              <w:rPr>
                <w:szCs w:val="24"/>
              </w:rPr>
            </w:pPr>
            <w:r>
              <w:rPr>
                <w:szCs w:val="24"/>
              </w:rPr>
              <w:t>0,10; 5,40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rPr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A7" w:rsidRDefault="00B31FA7" w:rsidP="00685EC9">
            <w:pPr>
              <w:pStyle w:val="Tabletext"/>
              <w:rPr>
                <w:szCs w:val="24"/>
              </w:rPr>
            </w:pPr>
          </w:p>
        </w:tc>
      </w:tr>
    </w:tbl>
    <w:p w:rsidR="00B31FA7" w:rsidRDefault="00B31FA7" w:rsidP="007D2723">
      <w:pPr>
        <w:pStyle w:val="Tablefin"/>
      </w:pPr>
    </w:p>
    <w:p w:rsidR="007D2723" w:rsidRDefault="007D2723" w:rsidP="007D2723">
      <w:pPr>
        <w:rPr>
          <w:lang w:val="en-GB"/>
        </w:rPr>
      </w:pPr>
    </w:p>
    <w:p w:rsidR="00DA24B8" w:rsidRPr="007D2723" w:rsidRDefault="00DA24B8" w:rsidP="007D2723">
      <w:pPr>
        <w:rPr>
          <w:lang w:val="en-GB"/>
        </w:rPr>
      </w:pPr>
    </w:p>
    <w:p w:rsidR="00E263BB" w:rsidRPr="007D2723" w:rsidRDefault="00E263BB" w:rsidP="007D2723">
      <w:pPr>
        <w:pStyle w:val="Line"/>
      </w:pPr>
    </w:p>
    <w:sectPr w:rsidR="00E263BB" w:rsidRPr="007D2723" w:rsidSect="009750A9">
      <w:headerReference w:type="even" r:id="rId29"/>
      <w:footerReference w:type="default" r:id="rId30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0B13" w:rsidRDefault="00170B13">
      <w:r>
        <w:separator/>
      </w:r>
    </w:p>
  </w:endnote>
  <w:endnote w:type="continuationSeparator" w:id="0">
    <w:p w:rsidR="00170B13" w:rsidRDefault="00170B13">
      <w:r>
        <w:continuationSeparator/>
      </w:r>
    </w:p>
  </w:endnote>
  <w:endnote w:type="continuationNotice" w:id="1">
    <w:p w:rsidR="00170B13" w:rsidRDefault="00170B13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9D9" w:rsidRPr="000A79D9" w:rsidRDefault="000A79D9">
    <w:pPr>
      <w:pStyle w:val="Foo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0B13" w:rsidRDefault="00170B13">
      <w:r>
        <w:separator/>
      </w:r>
    </w:p>
  </w:footnote>
  <w:footnote w:type="continuationSeparator" w:id="0">
    <w:p w:rsidR="00170B13" w:rsidRDefault="00170B13">
      <w:r>
        <w:continuationSeparator/>
      </w:r>
    </w:p>
  </w:footnote>
  <w:footnote w:type="continuationNotice" w:id="1">
    <w:p w:rsidR="00170B13" w:rsidRDefault="00170B13">
      <w:pPr>
        <w:spacing w:before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3F71" w:rsidRDefault="00563F71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3F71" w:rsidRDefault="00563F71" w:rsidP="001D658C">
    <w:pPr>
      <w:pStyle w:val="Header"/>
      <w:ind w:right="360" w:firstLine="360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0FF26E88" wp14:editId="62871ED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21" name="Picture 21" descr="rec_F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ec_F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5059" w:rsidRDefault="00EF5059">
    <w:pPr>
      <w:pStyle w:val="Header"/>
    </w:pPr>
    <w:r>
      <w:rPr>
        <w:b/>
        <w:bCs/>
      </w:rPr>
      <w:fldChar w:fldCharType="begin"/>
    </w:r>
    <w:r>
      <w:rPr>
        <w:b/>
        <w:bCs/>
      </w:rPr>
      <w:instrText xml:space="preserve"> DOCPROPERTY "Header" \* MERGEFORMAT </w:instrText>
    </w:r>
    <w:r>
      <w:rPr>
        <w:b/>
        <w:bCs/>
      </w:rPr>
      <w:fldChar w:fldCharType="separate"/>
    </w:r>
    <w:r w:rsidR="00E82F08">
      <w:rPr>
        <w:b/>
        <w:bCs/>
      </w:rPr>
      <w:t xml:space="preserve">Rec. </w:t>
    </w:r>
    <w:r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E82F08">
      <w:rPr>
        <w:b/>
        <w:bCs/>
        <w:noProof/>
      </w:rPr>
      <w:t>UIT-R  P.841-5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547B" w:rsidRPr="00FC42AF" w:rsidRDefault="00C7547B">
    <w:pPr>
      <w:pStyle w:val="Header"/>
      <w:jc w:val="left"/>
    </w:pPr>
    <w:r>
      <w:rPr>
        <w:rStyle w:val="PageNumber"/>
        <w:b/>
        <w:bCs/>
      </w:rPr>
      <w:fldChar w:fldCharType="begin"/>
    </w:r>
    <w:r w:rsidRPr="00FC42AF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E82F08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Pr="00FC42AF">
      <w:tab/>
    </w:r>
    <w:fldSimple w:instr=" DOCPROPERTY &quot;Header&quot; \* MERGEFORMAT ">
      <w:r w:rsidR="00E82F08" w:rsidRPr="00E82F08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 w:rsidRPr="00FC42AF">
      <w:rPr>
        <w:b/>
        <w:bCs/>
      </w:rPr>
      <w:instrText>styleref href</w:instrText>
    </w:r>
    <w:r>
      <w:rPr>
        <w:b/>
        <w:bCs/>
      </w:rPr>
      <w:fldChar w:fldCharType="separate"/>
    </w:r>
    <w:r w:rsidR="00E82F08">
      <w:rPr>
        <w:b/>
        <w:bCs/>
        <w:noProof/>
      </w:rPr>
      <w:t>UIT-R  P.841-5</w:t>
    </w:r>
    <w:r>
      <w:rPr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547B" w:rsidRDefault="00C7547B">
    <w:pPr>
      <w:pStyle w:val="Header"/>
    </w:pPr>
    <w:r>
      <w:tab/>
    </w:r>
    <w:fldSimple w:instr=" DOCPROPERTY &quot;Header&quot; \* MERGEFORMAT ">
      <w:r w:rsidR="00E82F08" w:rsidRPr="00E82F08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E82F08">
      <w:rPr>
        <w:b/>
        <w:bCs/>
        <w:noProof/>
      </w:rPr>
      <w:t>UIT-R  P.841-5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E82F08">
      <w:rPr>
        <w:rStyle w:val="PageNumber"/>
        <w:b/>
        <w:bCs/>
        <w:noProof/>
      </w:rPr>
      <w:t>7</w:t>
    </w:r>
    <w:r>
      <w:rPr>
        <w:rStyle w:val="PageNumber"/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7526" w:rsidRDefault="0079445C" w:rsidP="000508C2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E82F08">
      <w:rPr>
        <w:rStyle w:val="PageNumber"/>
        <w:b/>
        <w:bCs/>
        <w:noProof/>
        <w:lang w:val="en-US"/>
      </w:rPr>
      <w:t>6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>
      <w:rPr>
        <w:b/>
        <w:bCs/>
      </w:rPr>
      <w:fldChar w:fldCharType="begin"/>
    </w:r>
    <w:r>
      <w:rPr>
        <w:b/>
        <w:bCs/>
        <w:lang w:val="en-US"/>
      </w:rPr>
      <w:instrText xml:space="preserve"> DOCPROPERTY "Header" \* MERGEFORMAT </w:instrText>
    </w:r>
    <w:r>
      <w:rPr>
        <w:b/>
        <w:bCs/>
      </w:rPr>
      <w:fldChar w:fldCharType="separate"/>
    </w:r>
    <w:r w:rsidR="00E82F08">
      <w:rPr>
        <w:b/>
        <w:bCs/>
        <w:lang w:val="en-US"/>
      </w:rPr>
      <w:t xml:space="preserve">Rec. </w:t>
    </w:r>
    <w:r>
      <w:rPr>
        <w:b/>
        <w:bCs/>
      </w:rPr>
      <w:fldChar w:fldCharType="end"/>
    </w:r>
    <w:r>
      <w:rPr>
        <w:b/>
        <w:bCs/>
      </w:rPr>
      <w:t xml:space="preserve"> </w:t>
    </w:r>
    <w:r w:rsidR="00E35A28">
      <w:rPr>
        <w:b/>
        <w:bCs/>
      </w:rPr>
      <w:t>UIT-R P.841-5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B636C9"/>
    <w:multiLevelType w:val="hybridMultilevel"/>
    <w:tmpl w:val="870C393E"/>
    <w:lvl w:ilvl="0" w:tplc="37BA4D28">
      <w:start w:val="1"/>
      <w:numFmt w:val="lowerLetter"/>
      <w:lvlText w:val="%1)"/>
      <w:lvlJc w:val="left"/>
      <w:pPr>
        <w:ind w:left="1155" w:hanging="7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fr-FR" w:vendorID="64" w:dllVersion="131078" w:nlCheck="1" w:checkStyle="0"/>
  <w:activeWritingStyle w:appName="MSWord" w:lang="en-US" w:vendorID="64" w:dllVersion="131078" w:nlCheck="1" w:checkStyle="1"/>
  <w:activeWritingStyle w:appName="MSWord" w:lang="fr-CH" w:vendorID="64" w:dllVersion="131078" w:nlCheck="1" w:checkStyle="0"/>
  <w:activeWritingStyle w:appName="MSWord" w:lang="es-ES_tradnl" w:vendorID="64" w:dllVersion="131078" w:nlCheck="1" w:checkStyle="1"/>
  <w:activeWritingStyle w:appName="MSWord" w:lang="en-GB" w:vendorID="64" w:dllVersion="131078" w:nlCheck="1" w:checkStyle="1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noPunctuationKerning/>
  <w:characterSpacingControl w:val="doNotCompress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73C3"/>
    <w:rsid w:val="00005A75"/>
    <w:rsid w:val="0004215D"/>
    <w:rsid w:val="000508C2"/>
    <w:rsid w:val="000603A0"/>
    <w:rsid w:val="000A79D9"/>
    <w:rsid w:val="000B28BA"/>
    <w:rsid w:val="000C1669"/>
    <w:rsid w:val="00165C5C"/>
    <w:rsid w:val="00170B13"/>
    <w:rsid w:val="00194F3D"/>
    <w:rsid w:val="001C1325"/>
    <w:rsid w:val="001E1660"/>
    <w:rsid w:val="001F0987"/>
    <w:rsid w:val="00217EBF"/>
    <w:rsid w:val="00242AEE"/>
    <w:rsid w:val="002509A8"/>
    <w:rsid w:val="00286052"/>
    <w:rsid w:val="002D76C4"/>
    <w:rsid w:val="0030034E"/>
    <w:rsid w:val="003373C3"/>
    <w:rsid w:val="003625E7"/>
    <w:rsid w:val="00366637"/>
    <w:rsid w:val="00385F0B"/>
    <w:rsid w:val="00390EF8"/>
    <w:rsid w:val="00445A4E"/>
    <w:rsid w:val="00464054"/>
    <w:rsid w:val="004821AD"/>
    <w:rsid w:val="004D6BA8"/>
    <w:rsid w:val="00507E92"/>
    <w:rsid w:val="0051662E"/>
    <w:rsid w:val="0052529D"/>
    <w:rsid w:val="00563F71"/>
    <w:rsid w:val="005A0D54"/>
    <w:rsid w:val="005D0518"/>
    <w:rsid w:val="00607D68"/>
    <w:rsid w:val="00611FCD"/>
    <w:rsid w:val="00661D09"/>
    <w:rsid w:val="006E566E"/>
    <w:rsid w:val="006F33B5"/>
    <w:rsid w:val="00704143"/>
    <w:rsid w:val="007468DA"/>
    <w:rsid w:val="00761AA6"/>
    <w:rsid w:val="00766449"/>
    <w:rsid w:val="0079445C"/>
    <w:rsid w:val="007A56F6"/>
    <w:rsid w:val="007A7FC8"/>
    <w:rsid w:val="007D2723"/>
    <w:rsid w:val="00812149"/>
    <w:rsid w:val="0084448B"/>
    <w:rsid w:val="00850AC5"/>
    <w:rsid w:val="00884BA8"/>
    <w:rsid w:val="008F4AAB"/>
    <w:rsid w:val="00920CC7"/>
    <w:rsid w:val="009314A4"/>
    <w:rsid w:val="0097240B"/>
    <w:rsid w:val="009750A9"/>
    <w:rsid w:val="009C0254"/>
    <w:rsid w:val="009C1B65"/>
    <w:rsid w:val="009E00A8"/>
    <w:rsid w:val="00A13F7A"/>
    <w:rsid w:val="00A255A5"/>
    <w:rsid w:val="00A5530B"/>
    <w:rsid w:val="00A6597A"/>
    <w:rsid w:val="00A6617B"/>
    <w:rsid w:val="00AB0DC8"/>
    <w:rsid w:val="00AB1AF3"/>
    <w:rsid w:val="00AF2810"/>
    <w:rsid w:val="00B0298B"/>
    <w:rsid w:val="00B15053"/>
    <w:rsid w:val="00B31FA7"/>
    <w:rsid w:val="00B44E24"/>
    <w:rsid w:val="00B83416"/>
    <w:rsid w:val="00BC7EB7"/>
    <w:rsid w:val="00C06FA0"/>
    <w:rsid w:val="00C43E14"/>
    <w:rsid w:val="00C6550B"/>
    <w:rsid w:val="00C7547B"/>
    <w:rsid w:val="00C76608"/>
    <w:rsid w:val="00CB3529"/>
    <w:rsid w:val="00D11D66"/>
    <w:rsid w:val="00D22DEA"/>
    <w:rsid w:val="00D3084D"/>
    <w:rsid w:val="00D707EE"/>
    <w:rsid w:val="00DA24B8"/>
    <w:rsid w:val="00DB29FD"/>
    <w:rsid w:val="00DB612F"/>
    <w:rsid w:val="00DC1680"/>
    <w:rsid w:val="00DE0404"/>
    <w:rsid w:val="00DE0D87"/>
    <w:rsid w:val="00DF4176"/>
    <w:rsid w:val="00E13BEF"/>
    <w:rsid w:val="00E263BB"/>
    <w:rsid w:val="00E35A28"/>
    <w:rsid w:val="00E57D9F"/>
    <w:rsid w:val="00E7122A"/>
    <w:rsid w:val="00E76139"/>
    <w:rsid w:val="00E819FC"/>
    <w:rsid w:val="00E82F08"/>
    <w:rsid w:val="00EA4A97"/>
    <w:rsid w:val="00EF5059"/>
    <w:rsid w:val="00F12172"/>
    <w:rsid w:val="00F24878"/>
    <w:rsid w:val="00FE6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  <w15:chartTrackingRefBased/>
  <w15:docId w15:val="{5C94204A-7D1E-45A7-8C67-8191C8576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547B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link w:val="RectitleChar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"/>
    <w:pPr>
      <w:jc w:val="right"/>
    </w:pPr>
  </w:style>
  <w:style w:type="paragraph" w:customStyle="1" w:styleId="HeadingSum">
    <w:name w:val="Heading_Sum"/>
    <w:basedOn w:val="Headingb"/>
    <w:next w:val="Normal"/>
    <w:autoRedefine/>
    <w:rsid w:val="00242AEE"/>
    <w:pPr>
      <w:spacing w:before="240"/>
    </w:pPr>
    <w:rPr>
      <w:sz w:val="22"/>
      <w:lang w:val="es-ES_tradnl"/>
    </w:rPr>
  </w:style>
  <w:style w:type="paragraph" w:customStyle="1" w:styleId="AnnexNoTitle">
    <w:name w:val="Annex_NoTitle"/>
    <w:basedOn w:val="Normal"/>
    <w:next w:val="Normalaftertitl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semiHidden/>
    <w:rPr>
      <w:position w:val="6"/>
      <w:sz w:val="18"/>
    </w:rPr>
  </w:style>
  <w:style w:type="paragraph" w:styleId="FootnoteText">
    <w:name w:val="footnote text"/>
    <w:basedOn w:val="Normal"/>
    <w:semiHidden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title">
    <w:name w:val="Rep_title"/>
    <w:basedOn w:val="Rectitle"/>
    <w:next w:val="Repref"/>
  </w:style>
  <w:style w:type="paragraph" w:customStyle="1" w:styleId="Repref">
    <w:name w:val="Rep_ref"/>
    <w:basedOn w:val="Recref"/>
    <w:next w:val="Repdate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Normal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242AEE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customStyle="1" w:styleId="Heading1Char">
    <w:name w:val="Heading 1 Char"/>
    <w:link w:val="Heading1"/>
    <w:rsid w:val="00CB3529"/>
    <w:rPr>
      <w:b/>
      <w:sz w:val="24"/>
      <w:lang w:val="fr-FR" w:eastAsia="en-US"/>
    </w:rPr>
  </w:style>
  <w:style w:type="character" w:customStyle="1" w:styleId="HeaderChar">
    <w:name w:val="Header Char"/>
    <w:link w:val="Header"/>
    <w:rsid w:val="00CB3529"/>
    <w:rPr>
      <w:sz w:val="24"/>
      <w:lang w:val="fr-FR" w:eastAsia="en-US"/>
    </w:rPr>
  </w:style>
  <w:style w:type="character" w:styleId="Hyperlink">
    <w:name w:val="Hyperlink"/>
    <w:rsid w:val="00CB3529"/>
    <w:rPr>
      <w:color w:val="0000FF"/>
      <w:u w:val="single"/>
    </w:rPr>
  </w:style>
  <w:style w:type="character" w:customStyle="1" w:styleId="TableheadChar">
    <w:name w:val="Table_head Char"/>
    <w:link w:val="Tablehead"/>
    <w:locked/>
    <w:rsid w:val="00CB3529"/>
    <w:rPr>
      <w:b/>
      <w:sz w:val="22"/>
      <w:lang w:val="fr-FR" w:eastAsia="en-US"/>
    </w:rPr>
  </w:style>
  <w:style w:type="character" w:customStyle="1" w:styleId="TabletextChar">
    <w:name w:val="Table_text Char"/>
    <w:link w:val="Tabletext"/>
    <w:locked/>
    <w:rsid w:val="00CB3529"/>
    <w:rPr>
      <w:sz w:val="22"/>
      <w:lang w:val="fr-FR" w:eastAsia="en-US"/>
    </w:rPr>
  </w:style>
  <w:style w:type="character" w:customStyle="1" w:styleId="RectitleChar">
    <w:name w:val="Rec_title Char"/>
    <w:link w:val="Rectitle"/>
    <w:locked/>
    <w:rsid w:val="00CB3529"/>
    <w:rPr>
      <w:b/>
      <w:sz w:val="28"/>
      <w:lang w:val="fr-FR" w:eastAsia="en-US"/>
    </w:rPr>
  </w:style>
  <w:style w:type="paragraph" w:styleId="Revision">
    <w:name w:val="Revision"/>
    <w:hidden/>
    <w:uiPriority w:val="99"/>
    <w:semiHidden/>
    <w:rsid w:val="00CB3529"/>
    <w:rPr>
      <w:sz w:val="24"/>
      <w:lang w:val="fr-FR" w:eastAsia="en-US"/>
    </w:rPr>
  </w:style>
  <w:style w:type="paragraph" w:styleId="BalloonText">
    <w:name w:val="Balloon Text"/>
    <w:basedOn w:val="Normal"/>
    <w:link w:val="BalloonTextChar"/>
    <w:rsid w:val="00CB3529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B3529"/>
    <w:rPr>
      <w:rFonts w:ascii="Segoe UI" w:hAnsi="Segoe UI" w:cs="Segoe UI"/>
      <w:sz w:val="18"/>
      <w:szCs w:val="18"/>
      <w:lang w:val="fr-FR" w:eastAsia="en-US"/>
    </w:rPr>
  </w:style>
  <w:style w:type="paragraph" w:styleId="ListParagraph">
    <w:name w:val="List Paragraph"/>
    <w:basedOn w:val="Normal"/>
    <w:uiPriority w:val="34"/>
    <w:qFormat/>
    <w:rsid w:val="00D22DEA"/>
    <w:pPr>
      <w:ind w:left="720"/>
      <w:contextualSpacing/>
    </w:pPr>
  </w:style>
  <w:style w:type="character" w:styleId="FollowedHyperlink">
    <w:name w:val="FollowedHyperlink"/>
    <w:basedOn w:val="DefaultParagraphFont"/>
    <w:rsid w:val="00E263BB"/>
    <w:rPr>
      <w:color w:val="954F72" w:themeColor="followedHyperlink"/>
      <w:u w:val="single"/>
    </w:rPr>
  </w:style>
  <w:style w:type="paragraph" w:customStyle="1" w:styleId="Reasons">
    <w:name w:val="Reasons"/>
    <w:basedOn w:val="Normal"/>
    <w:qFormat/>
    <w:rsid w:val="00E263BB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lang w:val="en-US"/>
    </w:rPr>
  </w:style>
  <w:style w:type="paragraph" w:customStyle="1" w:styleId="Normal8pt">
    <w:name w:val="Normal + 8pt"/>
    <w:aliases w:val="Bold"/>
    <w:basedOn w:val="Normal"/>
    <w:rsid w:val="00884BA8"/>
    <w:rPr>
      <w:b/>
      <w:bCs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" Type="http://schemas.openxmlformats.org/officeDocument/2006/relationships/styles" Target="styles.xml"/><Relationship Id="rId21" Type="http://schemas.openxmlformats.org/officeDocument/2006/relationships/image" Target="media/image5.emf"/><Relationship Id="rId7" Type="http://schemas.openxmlformats.org/officeDocument/2006/relationships/endnotes" Target="endnotes.xml"/><Relationship Id="rId12" Type="http://schemas.openxmlformats.org/officeDocument/2006/relationships/hyperlink" Target="http://www.itu.int/publ/R-REC/fr" TargetMode="External"/><Relationship Id="rId17" Type="http://schemas.openxmlformats.org/officeDocument/2006/relationships/image" Target="media/image3.wmf"/><Relationship Id="rId25" Type="http://schemas.openxmlformats.org/officeDocument/2006/relationships/image" Target="media/image7.wmf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ITU-R/go/patents/fr" TargetMode="External"/><Relationship Id="rId24" Type="http://schemas.openxmlformats.org/officeDocument/2006/relationships/oleObject" Target="embeddings/oleObject5.bin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wmf"/><Relationship Id="rId23" Type="http://schemas.openxmlformats.org/officeDocument/2006/relationships/image" Target="media/image6.wmf"/><Relationship Id="rId28" Type="http://schemas.openxmlformats.org/officeDocument/2006/relationships/oleObject" Target="embeddings/oleObject7.bin"/><Relationship Id="rId10" Type="http://schemas.openxmlformats.org/officeDocument/2006/relationships/header" Target="header3.xml"/><Relationship Id="rId19" Type="http://schemas.openxmlformats.org/officeDocument/2006/relationships/image" Target="media/image4.w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Relationship Id="rId22" Type="http://schemas.openxmlformats.org/officeDocument/2006/relationships/oleObject" Target="embeddings/oleObject4.bin"/><Relationship Id="rId27" Type="http://schemas.openxmlformats.org/officeDocument/2006/relationships/image" Target="media/image8.emf"/><Relationship Id="rId30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QUICKPUB%20-%20ITU\BR_Rec_200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74210A-890E-4AC8-AD86-57F4C1D63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</Template>
  <TotalTime>84</TotalTime>
  <Pages>9</Pages>
  <Words>1428</Words>
  <Characters>8568</Characters>
  <Application>Microsoft Office Word</Application>
  <DocSecurity>0</DocSecurity>
  <Lines>612</Lines>
  <Paragraphs>270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BR_Rec_2002.dot</vt:lpstr>
    </vt:vector>
  </TitlesOfParts>
  <Manager/>
  <Company>ITU</Company>
  <LinksUpToDate>false</LinksUpToDate>
  <CharactersWithSpaces>9726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BR_Rec_2002.dot</dc:title>
  <dc:subject>Selon approbation BR - 25.10.02</dc:subject>
  <dc:creator>ITU-R</dc:creator>
  <cp:keywords/>
  <dc:description>Edition_x000d_
1ère épreuve                       20.04.05      SP</dc:description>
  <cp:lastModifiedBy>Gachet, Christelle</cp:lastModifiedBy>
  <cp:revision>50</cp:revision>
  <cp:lastPrinted>2017-11-09T13:28:00Z</cp:lastPrinted>
  <dcterms:created xsi:type="dcterms:W3CDTF">2017-11-09T10:21:00Z</dcterms:created>
  <dcterms:modified xsi:type="dcterms:W3CDTF">2017-11-09T13:30:00Z</dcterms:modified>
  <cp:category>Template:  BR_Rec_2002.dot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