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34" w:rsidRDefault="00C64D34" w:rsidP="00C64D34">
      <w:pPr>
        <w:pStyle w:val="RecNo"/>
        <w:spacing w:before="0"/>
        <w:rPr>
          <w:lang w:val="es-ES"/>
        </w:rPr>
      </w:pPr>
      <w:r>
        <w:rPr>
          <w:lang w:val="es-ES"/>
        </w:rPr>
        <w:t xml:space="preserve">RECOMENDACIÓN  </w:t>
      </w:r>
      <w:r w:rsidRPr="003E3546">
        <w:rPr>
          <w:rStyle w:val="href"/>
          <w:lang w:val="es-ES"/>
        </w:rPr>
        <w:t>UIT-R  P.838-3</w:t>
      </w:r>
    </w:p>
    <w:p w:rsidR="00C64D34" w:rsidRDefault="00C64D34" w:rsidP="00C64D34">
      <w:pPr>
        <w:pStyle w:val="Rectitle"/>
        <w:rPr>
          <w:lang w:val="es-ES"/>
        </w:rPr>
      </w:pPr>
      <w:r>
        <w:rPr>
          <w:lang w:val="es-ES"/>
        </w:rPr>
        <w:t>Modelo de la atenuación específica debida a la lluvia</w:t>
      </w:r>
      <w:r w:rsidR="003E3546">
        <w:rPr>
          <w:lang w:val="es-ES"/>
        </w:rPr>
        <w:t xml:space="preserve"> </w:t>
      </w:r>
      <w:bookmarkStart w:id="0" w:name="_GoBack"/>
      <w:bookmarkEnd w:id="0"/>
      <w:r>
        <w:rPr>
          <w:lang w:val="es-ES"/>
        </w:rPr>
        <w:br/>
        <w:t xml:space="preserve">para los métodos de predicción </w:t>
      </w:r>
    </w:p>
    <w:p w:rsidR="00C64D34" w:rsidRDefault="00C64D34" w:rsidP="00C64D34">
      <w:pPr>
        <w:pStyle w:val="Recref"/>
        <w:rPr>
          <w:lang w:val="es-ES"/>
        </w:rPr>
      </w:pPr>
      <w:r>
        <w:rPr>
          <w:lang w:val="es-ES"/>
        </w:rPr>
        <w:t>(Cuestión UIT-R 201/3)</w:t>
      </w:r>
    </w:p>
    <w:p w:rsidR="00BB56A8" w:rsidRDefault="00BB56A8" w:rsidP="00C64D34">
      <w:pPr>
        <w:pStyle w:val="Recdate"/>
        <w:rPr>
          <w:lang w:val="es-ES"/>
        </w:rPr>
      </w:pPr>
    </w:p>
    <w:p w:rsidR="00C64D34" w:rsidRDefault="00C64D34" w:rsidP="00C64D34">
      <w:pPr>
        <w:pStyle w:val="Recdate"/>
        <w:rPr>
          <w:lang w:val="es-ES"/>
        </w:rPr>
      </w:pPr>
      <w:r>
        <w:rPr>
          <w:lang w:val="es-ES"/>
        </w:rPr>
        <w:t>(1992-1999-2003</w:t>
      </w:r>
      <w:r w:rsidR="00966339">
        <w:rPr>
          <w:lang w:val="es-ES"/>
        </w:rPr>
        <w:t>-2005</w:t>
      </w:r>
      <w:r>
        <w:rPr>
          <w:lang w:val="es-ES"/>
        </w:rPr>
        <w:t>)</w:t>
      </w:r>
    </w:p>
    <w:p w:rsidR="00BB56A8" w:rsidRDefault="00BB56A8" w:rsidP="00C64D34">
      <w:pPr>
        <w:pStyle w:val="Normalaftertitle"/>
        <w:rPr>
          <w:lang w:val="es-ES"/>
        </w:rPr>
      </w:pPr>
    </w:p>
    <w:p w:rsidR="00C64D34" w:rsidRDefault="00C64D34" w:rsidP="00C64D34">
      <w:pPr>
        <w:pStyle w:val="Normalaftertitle"/>
        <w:rPr>
          <w:lang w:val="es-ES"/>
        </w:rPr>
      </w:pPr>
      <w:r>
        <w:rPr>
          <w:lang w:val="es-ES"/>
        </w:rPr>
        <w:t>La Asamblea de Radiocomunicaciones,</w:t>
      </w:r>
    </w:p>
    <w:p w:rsidR="00C64D34" w:rsidRDefault="00C64D34" w:rsidP="00C64D34">
      <w:pPr>
        <w:pStyle w:val="Call"/>
        <w:rPr>
          <w:lang w:val="es-ES"/>
        </w:rPr>
      </w:pPr>
      <w:proofErr w:type="gramStart"/>
      <w:r>
        <w:rPr>
          <w:lang w:val="es-ES"/>
        </w:rPr>
        <w:t>considerando</w:t>
      </w:r>
      <w:proofErr w:type="gramEnd"/>
      <w:r>
        <w:rPr>
          <w:lang w:val="es-ES"/>
        </w:rPr>
        <w:t xml:space="preserve"> </w:t>
      </w:r>
    </w:p>
    <w:p w:rsidR="00C64D34" w:rsidRDefault="00C64D34" w:rsidP="00C64D34">
      <w:pPr>
        <w:rPr>
          <w:lang w:val="es-ES"/>
        </w:rPr>
      </w:pPr>
      <w:r>
        <w:rPr>
          <w:lang w:val="es-ES"/>
        </w:rPr>
        <w:t>a)</w:t>
      </w:r>
      <w:r>
        <w:rPr>
          <w:lang w:val="es-ES"/>
        </w:rPr>
        <w:tab/>
        <w:t>que es necesario calcular la atenuación producida por la lluvia a partir de valores de intensidad de lluvia conocidos,</w:t>
      </w:r>
    </w:p>
    <w:p w:rsidR="00C64D34" w:rsidRDefault="00C64D34" w:rsidP="00C64D34">
      <w:pPr>
        <w:pStyle w:val="Call"/>
        <w:rPr>
          <w:lang w:val="es-ES"/>
        </w:rPr>
      </w:pPr>
      <w:proofErr w:type="gramStart"/>
      <w:r>
        <w:rPr>
          <w:lang w:val="es-ES"/>
        </w:rPr>
        <w:t>recomienda</w:t>
      </w:r>
      <w:proofErr w:type="gramEnd"/>
      <w:r>
        <w:rPr>
          <w:lang w:val="es-ES"/>
        </w:rPr>
        <w:t xml:space="preserve"> </w:t>
      </w:r>
    </w:p>
    <w:p w:rsidR="00C64D34" w:rsidRDefault="00C64D34" w:rsidP="00C64D34">
      <w:pPr>
        <w:rPr>
          <w:lang w:val="es-ES"/>
        </w:rPr>
      </w:pPr>
      <w:r>
        <w:rPr>
          <w:b/>
          <w:lang w:val="es-ES"/>
        </w:rPr>
        <w:t>1</w:t>
      </w:r>
      <w:r>
        <w:rPr>
          <w:lang w:val="es-ES"/>
        </w:rPr>
        <w:tab/>
        <w:t>que se utilice el procedimiento siguiente.</w:t>
      </w:r>
    </w:p>
    <w:p w:rsidR="00C64D34" w:rsidRDefault="00C64D34" w:rsidP="00C64D34">
      <w:pPr>
        <w:rPr>
          <w:lang w:val="es-ES"/>
        </w:rPr>
      </w:pPr>
      <w:r>
        <w:rPr>
          <w:lang w:val="es-ES"/>
        </w:rPr>
        <w:t xml:space="preserve">La atenuación específica </w:t>
      </w:r>
      <w:r>
        <w:rPr>
          <w:rFonts w:ascii="Symbol" w:hAnsi="Symbol"/>
          <w:lang w:val="fr-CH"/>
        </w:rPr>
        <w:t></w:t>
      </w:r>
      <w:r>
        <w:rPr>
          <w:i/>
          <w:iCs/>
          <w:vertAlign w:val="subscript"/>
          <w:lang w:val="es-ES"/>
        </w:rPr>
        <w:t>R</w:t>
      </w:r>
      <w:r>
        <w:rPr>
          <w:lang w:val="es-ES"/>
        </w:rPr>
        <w:t xml:space="preserve"> (dB/km) se obtiene a partir de la intensidad de la lluvia </w:t>
      </w:r>
      <w:r>
        <w:rPr>
          <w:i/>
          <w:lang w:val="es-ES"/>
        </w:rPr>
        <w:t>R</w:t>
      </w:r>
      <w:r>
        <w:rPr>
          <w:lang w:val="es-ES"/>
        </w:rPr>
        <w:t xml:space="preserve"> (mm/h) mediante la ley potencial:</w:t>
      </w:r>
    </w:p>
    <w:p w:rsidR="00C64D34" w:rsidRDefault="00C64D34" w:rsidP="00C64D34">
      <w:pPr>
        <w:pStyle w:val="Equation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position w:val="-10"/>
        </w:rPr>
        <w:object w:dxaOrig="99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21.3pt" o:ole="">
            <v:imagedata r:id="rId6" o:title=""/>
          </v:shape>
          <o:OLEObject Type="Embed" ProgID="Equation.3" ShapeID="_x0000_i1025" DrawAspect="Content" ObjectID="_1570540292" r:id="rId7"/>
        </w:object>
      </w:r>
      <w:r>
        <w:rPr>
          <w:lang w:val="es-ES"/>
        </w:rPr>
        <w:tab/>
        <w:t>(1)</w:t>
      </w:r>
    </w:p>
    <w:p w:rsidR="00C64D34" w:rsidRDefault="00C64D34" w:rsidP="00C64D34">
      <w:pPr>
        <w:rPr>
          <w:lang w:val="es-ES"/>
        </w:rPr>
      </w:pPr>
      <w:bookmarkStart w:id="1" w:name="f002"/>
      <w:r>
        <w:rPr>
          <w:lang w:val="es-ES"/>
        </w:rPr>
        <w:t xml:space="preserve">Los valores de los coeficientes </w:t>
      </w:r>
      <w:r>
        <w:rPr>
          <w:i/>
          <w:lang w:val="es-ES"/>
        </w:rPr>
        <w:t>k</w:t>
      </w:r>
      <w:r>
        <w:rPr>
          <w:lang w:val="es-ES"/>
        </w:rPr>
        <w:t xml:space="preserve"> y </w:t>
      </w:r>
      <w:r w:rsidRPr="00C64D34">
        <w:sym w:font="Symbol" w:char="F061"/>
      </w:r>
      <w:r>
        <w:rPr>
          <w:lang w:val="es-ES"/>
        </w:rPr>
        <w:t xml:space="preserve"> se determinan en función de la frecuencia, </w:t>
      </w:r>
      <w:r>
        <w:rPr>
          <w:i/>
          <w:lang w:val="es-ES"/>
        </w:rPr>
        <w:t>f</w:t>
      </w:r>
      <w:r>
        <w:rPr>
          <w:lang w:val="es-ES"/>
        </w:rPr>
        <w:t xml:space="preserve"> (GHz), en la gama de 1 a 1 000 GHz, a partir de las ecuaciones siguientes, que se han obtenido mediante el ajuste de curvas a los coeficientes de la ley potencial derivados de cálculos de dispersión:</w:t>
      </w:r>
    </w:p>
    <w:p w:rsidR="00BB56A8" w:rsidRPr="003E3546" w:rsidRDefault="00BB56A8" w:rsidP="00BB56A8">
      <w:pPr>
        <w:pStyle w:val="Blanc"/>
        <w:rPr>
          <w:lang w:val="es-ES"/>
        </w:rPr>
      </w:pPr>
    </w:p>
    <w:p w:rsidR="00C64D34" w:rsidRPr="003E3546" w:rsidRDefault="00C64D34" w:rsidP="00083038">
      <w:pPr>
        <w:pStyle w:val="Equation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 w:rsidR="00083038">
        <w:rPr>
          <w:position w:val="-44"/>
        </w:rPr>
        <w:object w:dxaOrig="5760" w:dyaOrig="1050">
          <v:shape id="_x0000_i1026" type="#_x0000_t75" style="width:4in;height:52.6pt" o:ole="">
            <v:imagedata r:id="rId8" o:title=""/>
          </v:shape>
          <o:OLEObject Type="Embed" ProgID="Equation.3" ShapeID="_x0000_i1026" DrawAspect="Content" ObjectID="_1570540293" r:id="rId9"/>
        </w:object>
      </w:r>
      <w:r w:rsidRPr="003E3546">
        <w:rPr>
          <w:lang w:val="es-ES"/>
        </w:rPr>
        <w:tab/>
        <w:t>(2)</w:t>
      </w:r>
    </w:p>
    <w:p w:rsidR="00BB56A8" w:rsidRPr="003E3546" w:rsidRDefault="00BB56A8" w:rsidP="00BB56A8">
      <w:pPr>
        <w:pStyle w:val="Blanc"/>
        <w:rPr>
          <w:lang w:val="es-ES"/>
        </w:rPr>
      </w:pPr>
    </w:p>
    <w:p w:rsidR="00C64D34" w:rsidRPr="003E3546" w:rsidRDefault="00C64D34" w:rsidP="00083038">
      <w:pPr>
        <w:pStyle w:val="Equation"/>
        <w:rPr>
          <w:lang w:val="es-ES"/>
        </w:rPr>
      </w:pPr>
      <w:r w:rsidRPr="003E3546">
        <w:rPr>
          <w:lang w:val="es-ES"/>
        </w:rPr>
        <w:tab/>
      </w:r>
      <w:r w:rsidRPr="003E3546">
        <w:rPr>
          <w:lang w:val="es-ES"/>
        </w:rPr>
        <w:tab/>
      </w:r>
      <w:r w:rsidR="00083038">
        <w:rPr>
          <w:position w:val="-44"/>
        </w:rPr>
        <w:object w:dxaOrig="5040" w:dyaOrig="1005">
          <v:shape id="_x0000_i1027" type="#_x0000_t75" style="width:252.3pt;height:50.1pt" o:ole="">
            <v:imagedata r:id="rId10" o:title=""/>
          </v:shape>
          <o:OLEObject Type="Embed" ProgID="Equation.3" ShapeID="_x0000_i1027" DrawAspect="Content" ObjectID="_1570540294" r:id="rId11"/>
        </w:object>
      </w:r>
      <w:r w:rsidRPr="003E3546">
        <w:rPr>
          <w:lang w:val="es-ES"/>
        </w:rPr>
        <w:tab/>
        <w:t>(3)</w:t>
      </w:r>
    </w:p>
    <w:p w:rsidR="00BB56A8" w:rsidRPr="003E3546" w:rsidRDefault="00BB56A8" w:rsidP="00BB56A8">
      <w:pPr>
        <w:pStyle w:val="Blanc"/>
        <w:rPr>
          <w:lang w:val="es-ES"/>
        </w:rPr>
      </w:pPr>
    </w:p>
    <w:p w:rsidR="00C64D34" w:rsidRDefault="00C64D34" w:rsidP="00C64D34">
      <w:pPr>
        <w:rPr>
          <w:lang w:val="es-ES"/>
        </w:rPr>
      </w:pPr>
      <w:proofErr w:type="gramStart"/>
      <w:r>
        <w:rPr>
          <w:lang w:val="es-ES"/>
        </w:rPr>
        <w:t>donde</w:t>
      </w:r>
      <w:proofErr w:type="gramEnd"/>
      <w:r>
        <w:rPr>
          <w:lang w:val="es-ES"/>
        </w:rPr>
        <w:t>:</w:t>
      </w:r>
    </w:p>
    <w:p w:rsidR="00C64D34" w:rsidRDefault="00C64D34" w:rsidP="00C64D34">
      <w:pPr>
        <w:pStyle w:val="Equationlegend"/>
        <w:rPr>
          <w:lang w:val="es-ES"/>
        </w:rPr>
      </w:pPr>
      <w:r>
        <w:rPr>
          <w:i/>
          <w:lang w:val="es-ES"/>
        </w:rPr>
        <w:tab/>
      </w:r>
      <w:proofErr w:type="gramStart"/>
      <w:r>
        <w:rPr>
          <w:i/>
          <w:lang w:val="es-ES"/>
        </w:rPr>
        <w:t>f</w:t>
      </w:r>
      <w:proofErr w:type="gramEnd"/>
      <w:r>
        <w:rPr>
          <w:rFonts w:ascii="Tms Rmn" w:hAnsi="Tms Rmn"/>
          <w:iCs/>
          <w:sz w:val="12"/>
          <w:lang w:val="es-ES"/>
        </w:rPr>
        <w:t> </w:t>
      </w:r>
      <w:r>
        <w:rPr>
          <w:lang w:val="es-ES"/>
        </w:rPr>
        <w:t>:</w:t>
      </w:r>
      <w:r>
        <w:rPr>
          <w:lang w:val="es-ES"/>
        </w:rPr>
        <w:tab/>
        <w:t>frecuencia (GHz)</w:t>
      </w:r>
    </w:p>
    <w:p w:rsidR="00C64D34" w:rsidRDefault="00C64D34" w:rsidP="00C64D34">
      <w:pPr>
        <w:pStyle w:val="Equationlegend"/>
        <w:rPr>
          <w:i/>
          <w:vertAlign w:val="subscript"/>
          <w:lang w:val="es-ES"/>
        </w:rPr>
      </w:pPr>
      <w:r>
        <w:rPr>
          <w:lang w:val="es-ES"/>
        </w:rPr>
        <w:tab/>
      </w:r>
      <w:proofErr w:type="gramStart"/>
      <w:r>
        <w:rPr>
          <w:i/>
          <w:lang w:val="es-ES"/>
        </w:rPr>
        <w:t>k</w:t>
      </w:r>
      <w:proofErr w:type="gramEnd"/>
      <w:r>
        <w:rPr>
          <w:rFonts w:ascii="Tms Rmn" w:hAnsi="Tms Rmn"/>
          <w:iCs/>
          <w:sz w:val="12"/>
          <w:lang w:val="es-ES"/>
        </w:rPr>
        <w:t> </w:t>
      </w:r>
      <w:r>
        <w:rPr>
          <w:lang w:val="es-ES"/>
        </w:rPr>
        <w:t>:</w:t>
      </w:r>
      <w:r>
        <w:rPr>
          <w:lang w:val="es-ES"/>
        </w:rPr>
        <w:tab/>
        <w:t xml:space="preserve">puede ser </w:t>
      </w:r>
      <w:proofErr w:type="spellStart"/>
      <w:r>
        <w:rPr>
          <w:i/>
          <w:lang w:val="es-ES"/>
        </w:rPr>
        <w:t>k</w:t>
      </w:r>
      <w:r>
        <w:rPr>
          <w:i/>
          <w:vertAlign w:val="subscript"/>
          <w:lang w:val="es-ES"/>
        </w:rPr>
        <w:t>H</w:t>
      </w:r>
      <w:proofErr w:type="spellEnd"/>
      <w:r>
        <w:rPr>
          <w:lang w:val="es-ES"/>
        </w:rPr>
        <w:t xml:space="preserve"> o </w:t>
      </w:r>
      <w:proofErr w:type="spellStart"/>
      <w:r>
        <w:rPr>
          <w:i/>
          <w:lang w:val="es-ES"/>
        </w:rPr>
        <w:t>k</w:t>
      </w:r>
      <w:r>
        <w:rPr>
          <w:i/>
          <w:vertAlign w:val="subscript"/>
          <w:lang w:val="es-ES"/>
        </w:rPr>
        <w:t>V</w:t>
      </w:r>
      <w:proofErr w:type="spellEnd"/>
    </w:p>
    <w:p w:rsidR="00C64D34" w:rsidRDefault="00C64D34" w:rsidP="00C64D34">
      <w:pPr>
        <w:pStyle w:val="Equationlegend"/>
        <w:rPr>
          <w:lang w:val="es-ES"/>
        </w:rPr>
      </w:pPr>
      <w:r>
        <w:rPr>
          <w:i/>
          <w:lang w:val="es-ES"/>
        </w:rPr>
        <w:tab/>
      </w:r>
      <w:r>
        <w:rPr>
          <w:iCs/>
        </w:rPr>
        <w:sym w:font="Symbol" w:char="F061"/>
      </w:r>
      <w:r>
        <w:rPr>
          <w:rFonts w:ascii="Tms Rmn" w:hAnsi="Tms Rmn"/>
          <w:iCs/>
          <w:sz w:val="12"/>
          <w:lang w:val="es-ES"/>
        </w:rPr>
        <w:t> </w:t>
      </w:r>
      <w:r>
        <w:rPr>
          <w:lang w:val="es-ES"/>
        </w:rPr>
        <w:t>:</w:t>
      </w:r>
      <w:r>
        <w:rPr>
          <w:lang w:val="es-ES"/>
        </w:rPr>
        <w:tab/>
        <w:t xml:space="preserve">puede ser </w:t>
      </w:r>
      <w:r>
        <w:rPr>
          <w:iCs/>
        </w:rPr>
        <w:sym w:font="Symbol" w:char="F061"/>
      </w:r>
      <w:r>
        <w:rPr>
          <w:i/>
          <w:vertAlign w:val="subscript"/>
          <w:lang w:val="es-ES"/>
        </w:rPr>
        <w:t>H</w:t>
      </w:r>
      <w:r>
        <w:rPr>
          <w:lang w:val="es-ES"/>
        </w:rPr>
        <w:t xml:space="preserve"> o</w:t>
      </w:r>
      <w:r>
        <w:rPr>
          <w:i/>
          <w:lang w:val="es-ES"/>
        </w:rPr>
        <w:t xml:space="preserve"> </w:t>
      </w:r>
      <w:r>
        <w:rPr>
          <w:iCs/>
        </w:rPr>
        <w:sym w:font="Symbol" w:char="F061"/>
      </w:r>
      <w:r>
        <w:rPr>
          <w:i/>
          <w:vertAlign w:val="subscript"/>
          <w:lang w:val="es-ES"/>
        </w:rPr>
        <w:t>V</w:t>
      </w:r>
      <w:r>
        <w:rPr>
          <w:iCs/>
          <w:sz w:val="20"/>
          <w:lang w:val="es-ES"/>
        </w:rPr>
        <w:t>.</w:t>
      </w:r>
    </w:p>
    <w:bookmarkEnd w:id="1"/>
    <w:p w:rsidR="00C64D34" w:rsidRDefault="00C64D34" w:rsidP="00C64D34">
      <w:pPr>
        <w:rPr>
          <w:lang w:val="es-ES"/>
        </w:rPr>
      </w:pPr>
      <w:r>
        <w:rPr>
          <w:lang w:val="es-ES"/>
        </w:rPr>
        <w:t xml:space="preserve">En el Cuadro 1 se indican los valores de las constantes para el coeficiente </w:t>
      </w:r>
      <w:proofErr w:type="spellStart"/>
      <w:r>
        <w:rPr>
          <w:i/>
          <w:lang w:val="es-ES"/>
        </w:rPr>
        <w:t>k</w:t>
      </w:r>
      <w:r>
        <w:rPr>
          <w:i/>
          <w:vertAlign w:val="subscript"/>
          <w:lang w:val="es-ES"/>
        </w:rPr>
        <w:t>H</w:t>
      </w:r>
      <w:proofErr w:type="spellEnd"/>
      <w:r>
        <w:rPr>
          <w:lang w:val="es-ES"/>
        </w:rPr>
        <w:t xml:space="preserve"> de polarización horizontal, y en el Cuadro 2 para el coeficiente </w:t>
      </w:r>
      <w:proofErr w:type="spellStart"/>
      <w:r>
        <w:rPr>
          <w:i/>
          <w:lang w:val="es-ES"/>
        </w:rPr>
        <w:t>k</w:t>
      </w:r>
      <w:r>
        <w:rPr>
          <w:i/>
          <w:vertAlign w:val="subscript"/>
          <w:lang w:val="es-ES"/>
        </w:rPr>
        <w:t>V</w:t>
      </w:r>
      <w:proofErr w:type="spellEnd"/>
      <w:r>
        <w:rPr>
          <w:lang w:val="es-ES"/>
        </w:rPr>
        <w:t xml:space="preserve"> de polarización vertical. En el Cuadro 3 se indican los valores de las constantes para el coeficiente </w:t>
      </w:r>
      <w:r w:rsidRPr="00C64D34">
        <w:sym w:font="Symbol" w:char="F061"/>
      </w:r>
      <w:r>
        <w:rPr>
          <w:i/>
          <w:vertAlign w:val="subscript"/>
          <w:lang w:val="es-ES"/>
        </w:rPr>
        <w:t>H</w:t>
      </w:r>
      <w:r>
        <w:rPr>
          <w:lang w:val="es-ES"/>
        </w:rPr>
        <w:t xml:space="preserve"> de polarización horizontal, y en el Cuadro 4 para el coeficiente </w:t>
      </w:r>
      <w:r w:rsidRPr="00C64D34">
        <w:sym w:font="Symbol" w:char="F061"/>
      </w:r>
      <w:r>
        <w:rPr>
          <w:i/>
          <w:vertAlign w:val="subscript"/>
          <w:lang w:val="es-ES"/>
        </w:rPr>
        <w:t>V</w:t>
      </w:r>
      <w:r>
        <w:rPr>
          <w:lang w:val="es-ES"/>
        </w:rPr>
        <w:t xml:space="preserve"> de polarización vertical.</w:t>
      </w:r>
    </w:p>
    <w:p w:rsidR="00C64D34" w:rsidRDefault="00966339" w:rsidP="00C64D34">
      <w:pPr>
        <w:pStyle w:val="TableNo"/>
        <w:rPr>
          <w:lang w:val="es-ES"/>
        </w:rPr>
      </w:pPr>
      <w:r>
        <w:rPr>
          <w:lang w:val="es-ES"/>
        </w:rPr>
        <w:lastRenderedPageBreak/>
        <w:t>CUADRO</w:t>
      </w:r>
      <w:r w:rsidR="00C64D34">
        <w:rPr>
          <w:lang w:val="es-ES"/>
        </w:rPr>
        <w:t xml:space="preserve"> 1</w:t>
      </w:r>
    </w:p>
    <w:p w:rsidR="00C64D34" w:rsidRDefault="00C64D34" w:rsidP="00C64D34">
      <w:pPr>
        <w:pStyle w:val="Tabletitle"/>
        <w:rPr>
          <w:i/>
          <w:vertAlign w:val="subscript"/>
          <w:lang w:val="es-ES"/>
        </w:rPr>
      </w:pPr>
      <w:r>
        <w:rPr>
          <w:lang w:val="es-ES"/>
        </w:rPr>
        <w:t xml:space="preserve">Coeficientes para </w:t>
      </w:r>
      <w:proofErr w:type="spellStart"/>
      <w:r>
        <w:rPr>
          <w:i/>
          <w:lang w:val="es-ES"/>
        </w:rPr>
        <w:t>k</w:t>
      </w:r>
      <w:r>
        <w:rPr>
          <w:i/>
          <w:vertAlign w:val="subscript"/>
          <w:lang w:val="es-ES"/>
        </w:rPr>
        <w:t>H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47"/>
        <w:gridCol w:w="1548"/>
        <w:gridCol w:w="1548"/>
        <w:gridCol w:w="1548"/>
        <w:gridCol w:w="1548"/>
      </w:tblGrid>
      <w:tr w:rsidR="00C64D34">
        <w:trPr>
          <w:trHeight w:hRule="exact" w:val="454"/>
          <w:jc w:val="center"/>
        </w:trPr>
        <w:tc>
          <w:tcPr>
            <w:tcW w:w="708" w:type="dxa"/>
            <w:vAlign w:val="center"/>
          </w:tcPr>
          <w:p w:rsidR="00C64D34" w:rsidRDefault="00C64D34" w:rsidP="00CF3C59">
            <w:pPr>
              <w:pStyle w:val="Tablehead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j</w:t>
            </w:r>
          </w:p>
        </w:tc>
        <w:tc>
          <w:tcPr>
            <w:tcW w:w="1547" w:type="dxa"/>
            <w:vAlign w:val="center"/>
          </w:tcPr>
          <w:p w:rsidR="00C64D34" w:rsidRDefault="00C64D34" w:rsidP="00CF3C59">
            <w:pPr>
              <w:pStyle w:val="Tablehead"/>
              <w:rPr>
                <w:i/>
                <w:iCs/>
                <w:vertAlign w:val="subscript"/>
                <w:lang w:val="es-ES"/>
              </w:rPr>
            </w:pPr>
            <w:r>
              <w:rPr>
                <w:i/>
                <w:iCs/>
                <w:lang w:val="es-ES"/>
              </w:rPr>
              <w:t>a</w:t>
            </w:r>
            <w:r>
              <w:rPr>
                <w:i/>
                <w:iCs/>
                <w:vertAlign w:val="subscript"/>
                <w:lang w:val="es-ES"/>
              </w:rPr>
              <w:t>j</w:t>
            </w:r>
          </w:p>
        </w:tc>
        <w:tc>
          <w:tcPr>
            <w:tcW w:w="1548" w:type="dxa"/>
            <w:vAlign w:val="center"/>
          </w:tcPr>
          <w:p w:rsidR="00C64D34" w:rsidRDefault="00C64D34" w:rsidP="00CF3C59">
            <w:pPr>
              <w:pStyle w:val="Tablehead"/>
              <w:rPr>
                <w:i/>
                <w:iCs/>
                <w:vertAlign w:val="subscript"/>
                <w:lang w:val="es-ES"/>
              </w:rPr>
            </w:pPr>
            <w:proofErr w:type="spellStart"/>
            <w:r>
              <w:rPr>
                <w:i/>
                <w:iCs/>
                <w:lang w:val="es-ES"/>
              </w:rPr>
              <w:t>b</w:t>
            </w:r>
            <w:r>
              <w:rPr>
                <w:i/>
                <w:iCs/>
                <w:vertAlign w:val="subscript"/>
                <w:lang w:val="es-ES"/>
              </w:rPr>
              <w:t>j</w:t>
            </w:r>
            <w:proofErr w:type="spellEnd"/>
          </w:p>
        </w:tc>
        <w:tc>
          <w:tcPr>
            <w:tcW w:w="1548" w:type="dxa"/>
            <w:vAlign w:val="center"/>
          </w:tcPr>
          <w:p w:rsidR="00C64D34" w:rsidRDefault="00C64D34" w:rsidP="00CF3C59">
            <w:pPr>
              <w:pStyle w:val="Tablehead"/>
              <w:rPr>
                <w:i/>
                <w:iCs/>
                <w:vertAlign w:val="subscript"/>
                <w:lang w:val="es-ES"/>
              </w:rPr>
            </w:pPr>
            <w:proofErr w:type="spellStart"/>
            <w:r>
              <w:rPr>
                <w:i/>
                <w:iCs/>
                <w:lang w:val="es-ES"/>
              </w:rPr>
              <w:t>c</w:t>
            </w:r>
            <w:r>
              <w:rPr>
                <w:i/>
                <w:iCs/>
                <w:vertAlign w:val="subscript"/>
                <w:lang w:val="es-ES"/>
              </w:rPr>
              <w:t>j</w:t>
            </w:r>
            <w:proofErr w:type="spellEnd"/>
          </w:p>
        </w:tc>
        <w:tc>
          <w:tcPr>
            <w:tcW w:w="1548" w:type="dxa"/>
            <w:vAlign w:val="center"/>
          </w:tcPr>
          <w:p w:rsidR="00C64D34" w:rsidRDefault="00C64D34" w:rsidP="00CF3C59">
            <w:pPr>
              <w:pStyle w:val="Tablehead"/>
              <w:rPr>
                <w:i/>
                <w:iCs/>
                <w:vertAlign w:val="subscript"/>
                <w:lang w:val="es-ES"/>
              </w:rPr>
            </w:pPr>
            <w:proofErr w:type="spellStart"/>
            <w:r>
              <w:rPr>
                <w:i/>
                <w:iCs/>
                <w:lang w:val="es-ES"/>
              </w:rPr>
              <w:t>m</w:t>
            </w:r>
            <w:r>
              <w:rPr>
                <w:i/>
                <w:iCs/>
                <w:vertAlign w:val="subscript"/>
                <w:lang w:val="es-ES"/>
              </w:rPr>
              <w:t>k</w:t>
            </w:r>
            <w:proofErr w:type="spellEnd"/>
          </w:p>
        </w:tc>
        <w:tc>
          <w:tcPr>
            <w:tcW w:w="1548" w:type="dxa"/>
            <w:vAlign w:val="center"/>
          </w:tcPr>
          <w:p w:rsidR="00C64D34" w:rsidRDefault="00C64D34" w:rsidP="00CF3C59">
            <w:pPr>
              <w:pStyle w:val="Tablehead"/>
              <w:rPr>
                <w:i/>
                <w:iCs/>
                <w:vertAlign w:val="subscript"/>
                <w:lang w:val="es-ES"/>
              </w:rPr>
            </w:pPr>
            <w:proofErr w:type="spellStart"/>
            <w:r>
              <w:rPr>
                <w:i/>
                <w:iCs/>
                <w:lang w:val="es-ES"/>
              </w:rPr>
              <w:t>c</w:t>
            </w:r>
            <w:r>
              <w:rPr>
                <w:i/>
                <w:iCs/>
                <w:vertAlign w:val="subscript"/>
                <w:lang w:val="es-ES"/>
              </w:rPr>
              <w:t>k</w:t>
            </w:r>
            <w:proofErr w:type="spellEnd"/>
          </w:p>
        </w:tc>
      </w:tr>
      <w:tr w:rsidR="00C64D34">
        <w:trPr>
          <w:jc w:val="center"/>
        </w:trPr>
        <w:tc>
          <w:tcPr>
            <w:tcW w:w="708" w:type="dxa"/>
          </w:tcPr>
          <w:p w:rsidR="00C64D34" w:rsidRDefault="00C64D34" w:rsidP="00BB56A8">
            <w:pPr>
              <w:pStyle w:val="Tabletext"/>
              <w:keepNext/>
              <w:keepLines/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547" w:type="dxa"/>
          </w:tcPr>
          <w:p w:rsidR="00C64D34" w:rsidRDefault="00C64D34" w:rsidP="00BB56A8">
            <w:pPr>
              <w:pStyle w:val="Tabletext"/>
              <w:keepNext/>
              <w:keepLines/>
              <w:jc w:val="center"/>
              <w:rPr>
                <w:lang w:val="es-ES"/>
              </w:rPr>
            </w:pPr>
            <w:r>
              <w:rPr>
                <w:lang w:val="es-ES"/>
              </w:rPr>
              <w:t>–5,33980</w:t>
            </w:r>
          </w:p>
        </w:tc>
        <w:tc>
          <w:tcPr>
            <w:tcW w:w="1548" w:type="dxa"/>
          </w:tcPr>
          <w:p w:rsidR="00C64D34" w:rsidRDefault="00C64D34" w:rsidP="00BB56A8">
            <w:pPr>
              <w:pStyle w:val="Tabletext"/>
              <w:keepNext/>
              <w:keepLines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–0,10008</w:t>
            </w:r>
          </w:p>
        </w:tc>
        <w:tc>
          <w:tcPr>
            <w:tcW w:w="1548" w:type="dxa"/>
          </w:tcPr>
          <w:p w:rsidR="00C64D34" w:rsidRDefault="00C64D34" w:rsidP="00BB56A8">
            <w:pPr>
              <w:pStyle w:val="Tabletext"/>
              <w:keepNext/>
              <w:keepLines/>
              <w:jc w:val="center"/>
              <w:rPr>
                <w:lang w:val="es-ES"/>
              </w:rPr>
            </w:pPr>
            <w:r>
              <w:rPr>
                <w:lang w:val="es-ES"/>
              </w:rPr>
              <w:t>1,13098</w:t>
            </w:r>
          </w:p>
        </w:tc>
        <w:tc>
          <w:tcPr>
            <w:tcW w:w="1548" w:type="dxa"/>
            <w:vMerge w:val="restart"/>
            <w:vAlign w:val="center"/>
          </w:tcPr>
          <w:p w:rsidR="00C64D34" w:rsidRDefault="00C64D34" w:rsidP="00BB56A8">
            <w:pPr>
              <w:pStyle w:val="Tabletext"/>
              <w:keepNext/>
              <w:keepLines/>
              <w:jc w:val="center"/>
              <w:rPr>
                <w:lang w:val="es-ES"/>
              </w:rPr>
            </w:pPr>
            <w:r>
              <w:rPr>
                <w:lang w:val="es-ES"/>
              </w:rPr>
              <w:t>–0,18961</w:t>
            </w:r>
          </w:p>
        </w:tc>
        <w:tc>
          <w:tcPr>
            <w:tcW w:w="1548" w:type="dxa"/>
            <w:vMerge w:val="restart"/>
            <w:vAlign w:val="center"/>
          </w:tcPr>
          <w:p w:rsidR="00C64D34" w:rsidRDefault="00C64D34" w:rsidP="00BB56A8">
            <w:pPr>
              <w:pStyle w:val="Tabletext"/>
              <w:keepNext/>
              <w:keepLines/>
              <w:jc w:val="center"/>
              <w:rPr>
                <w:lang w:val="es-ES"/>
              </w:rPr>
            </w:pPr>
            <w:r>
              <w:rPr>
                <w:lang w:val="es-ES"/>
              </w:rPr>
              <w:t>0,71147</w:t>
            </w:r>
          </w:p>
        </w:tc>
      </w:tr>
      <w:tr w:rsidR="00C64D34">
        <w:trPr>
          <w:jc w:val="center"/>
        </w:trPr>
        <w:tc>
          <w:tcPr>
            <w:tcW w:w="708" w:type="dxa"/>
          </w:tcPr>
          <w:p w:rsidR="00C64D34" w:rsidRDefault="00C64D34" w:rsidP="00BB56A8">
            <w:pPr>
              <w:pStyle w:val="Tabletext"/>
              <w:keepNext/>
              <w:keepLines/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547" w:type="dxa"/>
          </w:tcPr>
          <w:p w:rsidR="00C64D34" w:rsidRDefault="00C64D34" w:rsidP="00BB56A8">
            <w:pPr>
              <w:pStyle w:val="Tabletext"/>
              <w:keepNext/>
              <w:keepLines/>
              <w:jc w:val="center"/>
              <w:rPr>
                <w:lang w:val="es-ES"/>
              </w:rPr>
            </w:pPr>
            <w:r>
              <w:rPr>
                <w:lang w:val="es-ES"/>
              </w:rPr>
              <w:t>–0,35351</w:t>
            </w:r>
          </w:p>
        </w:tc>
        <w:tc>
          <w:tcPr>
            <w:tcW w:w="1548" w:type="dxa"/>
          </w:tcPr>
          <w:p w:rsidR="00C64D34" w:rsidRDefault="00C64D34" w:rsidP="00BB56A8">
            <w:pPr>
              <w:pStyle w:val="Tabletext"/>
              <w:keepNext/>
              <w:keepLines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1,26970</w:t>
            </w:r>
          </w:p>
        </w:tc>
        <w:tc>
          <w:tcPr>
            <w:tcW w:w="1548" w:type="dxa"/>
          </w:tcPr>
          <w:p w:rsidR="00C64D34" w:rsidRDefault="00C64D34" w:rsidP="00BB56A8">
            <w:pPr>
              <w:pStyle w:val="Tabletext"/>
              <w:keepNext/>
              <w:keepLines/>
              <w:jc w:val="center"/>
              <w:rPr>
                <w:lang w:val="es-ES"/>
              </w:rPr>
            </w:pPr>
            <w:r>
              <w:rPr>
                <w:lang w:val="es-ES"/>
              </w:rPr>
              <w:t>0,45400</w:t>
            </w:r>
          </w:p>
        </w:tc>
        <w:tc>
          <w:tcPr>
            <w:tcW w:w="1548" w:type="dxa"/>
            <w:vMerge/>
          </w:tcPr>
          <w:p w:rsidR="00C64D34" w:rsidRDefault="00C64D34" w:rsidP="00BB56A8">
            <w:pPr>
              <w:keepNext/>
              <w:keepLines/>
              <w:jc w:val="center"/>
              <w:rPr>
                <w:lang w:val="es-ES"/>
              </w:rPr>
            </w:pPr>
          </w:p>
        </w:tc>
        <w:tc>
          <w:tcPr>
            <w:tcW w:w="1548" w:type="dxa"/>
            <w:vMerge/>
          </w:tcPr>
          <w:p w:rsidR="00C64D34" w:rsidRDefault="00C64D34" w:rsidP="00BB56A8">
            <w:pPr>
              <w:keepNext/>
              <w:keepLines/>
              <w:jc w:val="center"/>
              <w:rPr>
                <w:lang w:val="es-ES"/>
              </w:rPr>
            </w:pPr>
          </w:p>
        </w:tc>
      </w:tr>
      <w:tr w:rsidR="00C64D34">
        <w:trPr>
          <w:jc w:val="center"/>
        </w:trPr>
        <w:tc>
          <w:tcPr>
            <w:tcW w:w="708" w:type="dxa"/>
          </w:tcPr>
          <w:p w:rsidR="00C64D34" w:rsidRDefault="00C64D34" w:rsidP="00BB56A8">
            <w:pPr>
              <w:pStyle w:val="Tabletext"/>
              <w:keepNext/>
              <w:keepLines/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1547" w:type="dxa"/>
          </w:tcPr>
          <w:p w:rsidR="00C64D34" w:rsidRDefault="00C64D34" w:rsidP="00BB56A8">
            <w:pPr>
              <w:pStyle w:val="Tabletext"/>
              <w:keepNext/>
              <w:keepLines/>
              <w:jc w:val="center"/>
              <w:rPr>
                <w:lang w:val="es-ES"/>
              </w:rPr>
            </w:pPr>
            <w:r>
              <w:rPr>
                <w:lang w:val="es-ES"/>
              </w:rPr>
              <w:t>–0,23789</w:t>
            </w:r>
          </w:p>
        </w:tc>
        <w:tc>
          <w:tcPr>
            <w:tcW w:w="1548" w:type="dxa"/>
          </w:tcPr>
          <w:p w:rsidR="00C64D34" w:rsidRDefault="00C64D34" w:rsidP="00BB56A8">
            <w:pPr>
              <w:pStyle w:val="Tabletext"/>
              <w:keepNext/>
              <w:keepLines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0,86036</w:t>
            </w:r>
          </w:p>
        </w:tc>
        <w:tc>
          <w:tcPr>
            <w:tcW w:w="1548" w:type="dxa"/>
          </w:tcPr>
          <w:p w:rsidR="00C64D34" w:rsidRDefault="00C64D34" w:rsidP="00BB56A8">
            <w:pPr>
              <w:pStyle w:val="Tabletext"/>
              <w:keepNext/>
              <w:keepLines/>
              <w:jc w:val="center"/>
              <w:rPr>
                <w:lang w:val="es-ES"/>
              </w:rPr>
            </w:pPr>
            <w:r>
              <w:rPr>
                <w:lang w:val="es-ES"/>
              </w:rPr>
              <w:t>0,15354</w:t>
            </w:r>
          </w:p>
        </w:tc>
        <w:tc>
          <w:tcPr>
            <w:tcW w:w="1548" w:type="dxa"/>
            <w:vMerge/>
          </w:tcPr>
          <w:p w:rsidR="00C64D34" w:rsidRDefault="00C64D34" w:rsidP="00BB56A8">
            <w:pPr>
              <w:keepNext/>
              <w:keepLines/>
              <w:jc w:val="center"/>
              <w:rPr>
                <w:lang w:val="es-ES"/>
              </w:rPr>
            </w:pPr>
          </w:p>
        </w:tc>
        <w:tc>
          <w:tcPr>
            <w:tcW w:w="1548" w:type="dxa"/>
            <w:vMerge/>
          </w:tcPr>
          <w:p w:rsidR="00C64D34" w:rsidRDefault="00C64D34" w:rsidP="00BB56A8">
            <w:pPr>
              <w:keepNext/>
              <w:keepLines/>
              <w:jc w:val="center"/>
              <w:rPr>
                <w:lang w:val="es-ES"/>
              </w:rPr>
            </w:pPr>
          </w:p>
        </w:tc>
      </w:tr>
      <w:tr w:rsidR="00C64D34">
        <w:trPr>
          <w:jc w:val="center"/>
        </w:trPr>
        <w:tc>
          <w:tcPr>
            <w:tcW w:w="708" w:type="dxa"/>
          </w:tcPr>
          <w:p w:rsidR="00C64D34" w:rsidRDefault="00C64D34" w:rsidP="00BB56A8">
            <w:pPr>
              <w:pStyle w:val="Tabletext"/>
              <w:keepNext/>
              <w:keepLines/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1547" w:type="dxa"/>
          </w:tcPr>
          <w:p w:rsidR="00C64D34" w:rsidRDefault="00C64D34" w:rsidP="00BB56A8">
            <w:pPr>
              <w:pStyle w:val="Tabletext"/>
              <w:keepNext/>
              <w:keepLines/>
              <w:jc w:val="center"/>
              <w:rPr>
                <w:lang w:val="es-ES"/>
              </w:rPr>
            </w:pPr>
            <w:r>
              <w:rPr>
                <w:lang w:val="es-ES"/>
              </w:rPr>
              <w:t>–0,94158</w:t>
            </w:r>
          </w:p>
        </w:tc>
        <w:tc>
          <w:tcPr>
            <w:tcW w:w="1548" w:type="dxa"/>
          </w:tcPr>
          <w:p w:rsidR="00C64D34" w:rsidRDefault="00C64D34" w:rsidP="00BB56A8">
            <w:pPr>
              <w:pStyle w:val="Tabletext"/>
              <w:keepNext/>
              <w:keepLines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0,64552</w:t>
            </w:r>
          </w:p>
        </w:tc>
        <w:tc>
          <w:tcPr>
            <w:tcW w:w="1548" w:type="dxa"/>
          </w:tcPr>
          <w:p w:rsidR="00C64D34" w:rsidRDefault="00C64D34" w:rsidP="00BB56A8">
            <w:pPr>
              <w:pStyle w:val="Tabletext"/>
              <w:keepNext/>
              <w:keepLines/>
              <w:jc w:val="center"/>
              <w:rPr>
                <w:lang w:val="es-ES"/>
              </w:rPr>
            </w:pPr>
            <w:r>
              <w:rPr>
                <w:lang w:val="es-ES"/>
              </w:rPr>
              <w:t>0,16817</w:t>
            </w:r>
          </w:p>
        </w:tc>
        <w:tc>
          <w:tcPr>
            <w:tcW w:w="1548" w:type="dxa"/>
            <w:vMerge/>
          </w:tcPr>
          <w:p w:rsidR="00C64D34" w:rsidRDefault="00C64D34" w:rsidP="00BB56A8">
            <w:pPr>
              <w:keepNext/>
              <w:keepLines/>
              <w:jc w:val="center"/>
              <w:rPr>
                <w:lang w:val="es-ES"/>
              </w:rPr>
            </w:pPr>
          </w:p>
        </w:tc>
        <w:tc>
          <w:tcPr>
            <w:tcW w:w="1548" w:type="dxa"/>
            <w:vMerge/>
          </w:tcPr>
          <w:p w:rsidR="00C64D34" w:rsidRDefault="00C64D34" w:rsidP="00BB56A8">
            <w:pPr>
              <w:keepNext/>
              <w:keepLines/>
              <w:jc w:val="center"/>
              <w:rPr>
                <w:lang w:val="es-ES"/>
              </w:rPr>
            </w:pPr>
          </w:p>
        </w:tc>
      </w:tr>
    </w:tbl>
    <w:p w:rsidR="00966339" w:rsidRDefault="00966339" w:rsidP="00966339">
      <w:pPr>
        <w:pStyle w:val="Tablefin"/>
      </w:pPr>
    </w:p>
    <w:p w:rsidR="00BB56A8" w:rsidRPr="00BB56A8" w:rsidRDefault="00BB56A8" w:rsidP="00BB56A8">
      <w:pPr>
        <w:spacing w:before="0"/>
        <w:rPr>
          <w:lang w:val="en-GB"/>
        </w:rPr>
      </w:pPr>
    </w:p>
    <w:p w:rsidR="00C64D34" w:rsidRDefault="00966339" w:rsidP="00966339">
      <w:pPr>
        <w:pStyle w:val="TableNo"/>
        <w:rPr>
          <w:lang w:val="es-ES"/>
        </w:rPr>
      </w:pPr>
      <w:r>
        <w:rPr>
          <w:lang w:val="es-ES"/>
        </w:rPr>
        <w:t>CUADRO</w:t>
      </w:r>
      <w:r w:rsidR="00C64D34">
        <w:rPr>
          <w:lang w:val="es-ES"/>
        </w:rPr>
        <w:t xml:space="preserve"> 2</w:t>
      </w:r>
    </w:p>
    <w:p w:rsidR="00C64D34" w:rsidRDefault="00C64D34" w:rsidP="00966339">
      <w:pPr>
        <w:pStyle w:val="Tabletitle"/>
        <w:rPr>
          <w:vertAlign w:val="subscript"/>
          <w:lang w:val="es-ES"/>
        </w:rPr>
      </w:pPr>
      <w:r>
        <w:rPr>
          <w:lang w:val="es-ES"/>
        </w:rPr>
        <w:t xml:space="preserve">Coeficientes para </w:t>
      </w:r>
      <w:proofErr w:type="spellStart"/>
      <w:r>
        <w:rPr>
          <w:i/>
          <w:lang w:val="es-ES"/>
        </w:rPr>
        <w:t>k</w:t>
      </w:r>
      <w:r>
        <w:rPr>
          <w:i/>
          <w:vertAlign w:val="subscript"/>
          <w:lang w:val="es-ES"/>
        </w:rPr>
        <w:t>V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47"/>
        <w:gridCol w:w="1548"/>
        <w:gridCol w:w="1548"/>
        <w:gridCol w:w="1548"/>
        <w:gridCol w:w="1548"/>
      </w:tblGrid>
      <w:tr w:rsidR="00C64D34">
        <w:trPr>
          <w:trHeight w:hRule="exact" w:val="454"/>
          <w:jc w:val="center"/>
        </w:trPr>
        <w:tc>
          <w:tcPr>
            <w:tcW w:w="708" w:type="dxa"/>
            <w:vAlign w:val="center"/>
          </w:tcPr>
          <w:p w:rsidR="00C64D34" w:rsidRDefault="00C64D34" w:rsidP="00CF3C59">
            <w:pPr>
              <w:pStyle w:val="Tablehead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j</w:t>
            </w:r>
          </w:p>
        </w:tc>
        <w:tc>
          <w:tcPr>
            <w:tcW w:w="1547" w:type="dxa"/>
            <w:vAlign w:val="center"/>
          </w:tcPr>
          <w:p w:rsidR="00C64D34" w:rsidRDefault="00C64D34" w:rsidP="00CF3C59">
            <w:pPr>
              <w:pStyle w:val="Tablehead"/>
              <w:rPr>
                <w:i/>
                <w:iCs/>
                <w:vertAlign w:val="subscript"/>
                <w:lang w:val="es-ES"/>
              </w:rPr>
            </w:pPr>
            <w:r>
              <w:rPr>
                <w:i/>
                <w:iCs/>
                <w:lang w:val="es-ES"/>
              </w:rPr>
              <w:t>a</w:t>
            </w:r>
            <w:r>
              <w:rPr>
                <w:i/>
                <w:iCs/>
                <w:vertAlign w:val="subscript"/>
                <w:lang w:val="es-ES"/>
              </w:rPr>
              <w:t>j</w:t>
            </w:r>
          </w:p>
        </w:tc>
        <w:tc>
          <w:tcPr>
            <w:tcW w:w="1548" w:type="dxa"/>
            <w:vAlign w:val="center"/>
          </w:tcPr>
          <w:p w:rsidR="00C64D34" w:rsidRDefault="00C64D34" w:rsidP="00CF3C59">
            <w:pPr>
              <w:pStyle w:val="Tablehead"/>
              <w:rPr>
                <w:i/>
                <w:iCs/>
                <w:vertAlign w:val="subscript"/>
                <w:lang w:val="es-ES"/>
              </w:rPr>
            </w:pPr>
            <w:proofErr w:type="spellStart"/>
            <w:r>
              <w:rPr>
                <w:i/>
                <w:iCs/>
                <w:lang w:val="es-ES"/>
              </w:rPr>
              <w:t>b</w:t>
            </w:r>
            <w:r>
              <w:rPr>
                <w:i/>
                <w:iCs/>
                <w:vertAlign w:val="subscript"/>
                <w:lang w:val="es-ES"/>
              </w:rPr>
              <w:t>j</w:t>
            </w:r>
            <w:proofErr w:type="spellEnd"/>
          </w:p>
        </w:tc>
        <w:tc>
          <w:tcPr>
            <w:tcW w:w="1548" w:type="dxa"/>
            <w:vAlign w:val="center"/>
          </w:tcPr>
          <w:p w:rsidR="00C64D34" w:rsidRDefault="00C64D34" w:rsidP="00CF3C59">
            <w:pPr>
              <w:pStyle w:val="Tablehead"/>
              <w:rPr>
                <w:i/>
                <w:iCs/>
                <w:vertAlign w:val="subscript"/>
                <w:lang w:val="es-ES"/>
              </w:rPr>
            </w:pPr>
            <w:proofErr w:type="spellStart"/>
            <w:r>
              <w:rPr>
                <w:i/>
                <w:iCs/>
                <w:lang w:val="es-ES"/>
              </w:rPr>
              <w:t>c</w:t>
            </w:r>
            <w:r>
              <w:rPr>
                <w:i/>
                <w:iCs/>
                <w:vertAlign w:val="subscript"/>
                <w:lang w:val="es-ES"/>
              </w:rPr>
              <w:t>j</w:t>
            </w:r>
            <w:proofErr w:type="spellEnd"/>
          </w:p>
        </w:tc>
        <w:tc>
          <w:tcPr>
            <w:tcW w:w="1548" w:type="dxa"/>
            <w:vAlign w:val="center"/>
          </w:tcPr>
          <w:p w:rsidR="00C64D34" w:rsidRDefault="00C64D34" w:rsidP="00CF3C59">
            <w:pPr>
              <w:pStyle w:val="Tablehead"/>
              <w:rPr>
                <w:i/>
                <w:iCs/>
                <w:vertAlign w:val="subscript"/>
                <w:lang w:val="es-ES"/>
              </w:rPr>
            </w:pPr>
            <w:proofErr w:type="spellStart"/>
            <w:r>
              <w:rPr>
                <w:i/>
                <w:iCs/>
                <w:lang w:val="es-ES"/>
              </w:rPr>
              <w:t>m</w:t>
            </w:r>
            <w:r>
              <w:rPr>
                <w:i/>
                <w:iCs/>
                <w:vertAlign w:val="subscript"/>
                <w:lang w:val="es-ES"/>
              </w:rPr>
              <w:t>k</w:t>
            </w:r>
            <w:proofErr w:type="spellEnd"/>
          </w:p>
        </w:tc>
        <w:tc>
          <w:tcPr>
            <w:tcW w:w="1548" w:type="dxa"/>
            <w:vAlign w:val="center"/>
          </w:tcPr>
          <w:p w:rsidR="00C64D34" w:rsidRDefault="00C64D34" w:rsidP="00CF3C59">
            <w:pPr>
              <w:pStyle w:val="Tablehead"/>
              <w:rPr>
                <w:i/>
                <w:iCs/>
                <w:vertAlign w:val="subscript"/>
                <w:lang w:val="es-ES"/>
              </w:rPr>
            </w:pPr>
            <w:proofErr w:type="spellStart"/>
            <w:r>
              <w:rPr>
                <w:i/>
                <w:iCs/>
                <w:lang w:val="es-ES"/>
              </w:rPr>
              <w:t>c</w:t>
            </w:r>
            <w:r>
              <w:rPr>
                <w:i/>
                <w:iCs/>
                <w:vertAlign w:val="subscript"/>
                <w:lang w:val="es-ES"/>
              </w:rPr>
              <w:t>k</w:t>
            </w:r>
            <w:proofErr w:type="spellEnd"/>
          </w:p>
        </w:tc>
      </w:tr>
      <w:tr w:rsidR="00C64D34">
        <w:trPr>
          <w:jc w:val="center"/>
        </w:trPr>
        <w:tc>
          <w:tcPr>
            <w:tcW w:w="708" w:type="dxa"/>
          </w:tcPr>
          <w:p w:rsidR="00C64D34" w:rsidRDefault="00C64D34" w:rsidP="00913CDF">
            <w:pPr>
              <w:pStyle w:val="Tabletext"/>
              <w:keepNext/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547" w:type="dxa"/>
          </w:tcPr>
          <w:p w:rsidR="00C64D34" w:rsidRDefault="00C64D34" w:rsidP="00913CDF">
            <w:pPr>
              <w:pStyle w:val="Tabletext"/>
              <w:keepNext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–3,80595</w:t>
            </w:r>
          </w:p>
        </w:tc>
        <w:tc>
          <w:tcPr>
            <w:tcW w:w="1548" w:type="dxa"/>
          </w:tcPr>
          <w:p w:rsidR="00C64D34" w:rsidRDefault="00C64D34" w:rsidP="00913CDF">
            <w:pPr>
              <w:pStyle w:val="Tabletext"/>
              <w:keepNext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0,56934</w:t>
            </w:r>
          </w:p>
        </w:tc>
        <w:tc>
          <w:tcPr>
            <w:tcW w:w="1548" w:type="dxa"/>
          </w:tcPr>
          <w:p w:rsidR="00C64D34" w:rsidRDefault="00C64D34" w:rsidP="00913CDF">
            <w:pPr>
              <w:pStyle w:val="Tabletext"/>
              <w:keepNext/>
              <w:jc w:val="center"/>
              <w:rPr>
                <w:lang w:val="es-ES"/>
              </w:rPr>
            </w:pPr>
            <w:r>
              <w:rPr>
                <w:lang w:val="es-ES"/>
              </w:rPr>
              <w:t>0,81061</w:t>
            </w:r>
          </w:p>
        </w:tc>
        <w:tc>
          <w:tcPr>
            <w:tcW w:w="1548" w:type="dxa"/>
            <w:vMerge w:val="restart"/>
            <w:vAlign w:val="center"/>
          </w:tcPr>
          <w:p w:rsidR="00C64D34" w:rsidRDefault="00C64D34" w:rsidP="00913CDF">
            <w:pPr>
              <w:pStyle w:val="Tabletext"/>
              <w:keepNext/>
              <w:jc w:val="center"/>
              <w:rPr>
                <w:lang w:val="es-ES"/>
              </w:rPr>
            </w:pPr>
            <w:r>
              <w:rPr>
                <w:lang w:val="es-ES"/>
              </w:rPr>
              <w:t>–0,16398</w:t>
            </w:r>
          </w:p>
        </w:tc>
        <w:tc>
          <w:tcPr>
            <w:tcW w:w="1548" w:type="dxa"/>
            <w:vMerge w:val="restart"/>
            <w:vAlign w:val="center"/>
          </w:tcPr>
          <w:p w:rsidR="00C64D34" w:rsidRDefault="00C64D34" w:rsidP="00913CDF">
            <w:pPr>
              <w:pStyle w:val="Tabletext"/>
              <w:keepNext/>
              <w:jc w:val="center"/>
              <w:rPr>
                <w:lang w:val="es-ES"/>
              </w:rPr>
            </w:pPr>
            <w:r>
              <w:rPr>
                <w:lang w:val="es-ES"/>
              </w:rPr>
              <w:t>0,63297</w:t>
            </w:r>
          </w:p>
        </w:tc>
      </w:tr>
      <w:tr w:rsidR="00C64D34">
        <w:trPr>
          <w:jc w:val="center"/>
        </w:trPr>
        <w:tc>
          <w:tcPr>
            <w:tcW w:w="708" w:type="dxa"/>
          </w:tcPr>
          <w:p w:rsidR="00C64D34" w:rsidRDefault="00C64D34" w:rsidP="00913CDF">
            <w:pPr>
              <w:pStyle w:val="Tabletext"/>
              <w:keepNext/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547" w:type="dxa"/>
          </w:tcPr>
          <w:p w:rsidR="00C64D34" w:rsidRDefault="00C64D34" w:rsidP="00913CDF">
            <w:pPr>
              <w:pStyle w:val="Tabletext"/>
              <w:keepNext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–3,44965</w:t>
            </w:r>
          </w:p>
        </w:tc>
        <w:tc>
          <w:tcPr>
            <w:tcW w:w="1548" w:type="dxa"/>
          </w:tcPr>
          <w:p w:rsidR="00C64D34" w:rsidRDefault="00C64D34" w:rsidP="00913CDF">
            <w:pPr>
              <w:pStyle w:val="Tabletext"/>
              <w:keepNext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–0,22911</w:t>
            </w:r>
          </w:p>
        </w:tc>
        <w:tc>
          <w:tcPr>
            <w:tcW w:w="1548" w:type="dxa"/>
          </w:tcPr>
          <w:p w:rsidR="00C64D34" w:rsidRDefault="00C64D34" w:rsidP="00913CDF">
            <w:pPr>
              <w:pStyle w:val="Tabletext"/>
              <w:keepNext/>
              <w:jc w:val="center"/>
              <w:rPr>
                <w:lang w:val="es-ES"/>
              </w:rPr>
            </w:pPr>
            <w:r>
              <w:rPr>
                <w:lang w:val="es-ES"/>
              </w:rPr>
              <w:t>0,51059</w:t>
            </w:r>
          </w:p>
        </w:tc>
        <w:tc>
          <w:tcPr>
            <w:tcW w:w="1548" w:type="dxa"/>
            <w:vMerge/>
          </w:tcPr>
          <w:p w:rsidR="00C64D34" w:rsidRDefault="00C64D34" w:rsidP="00913CDF">
            <w:pPr>
              <w:keepNext/>
              <w:jc w:val="center"/>
              <w:rPr>
                <w:lang w:val="es-ES"/>
              </w:rPr>
            </w:pPr>
          </w:p>
        </w:tc>
        <w:tc>
          <w:tcPr>
            <w:tcW w:w="1548" w:type="dxa"/>
            <w:vMerge/>
          </w:tcPr>
          <w:p w:rsidR="00C64D34" w:rsidRDefault="00C64D34" w:rsidP="00913CDF">
            <w:pPr>
              <w:keepNext/>
              <w:jc w:val="center"/>
              <w:rPr>
                <w:lang w:val="es-ES"/>
              </w:rPr>
            </w:pPr>
          </w:p>
        </w:tc>
      </w:tr>
      <w:tr w:rsidR="00C64D34">
        <w:trPr>
          <w:jc w:val="center"/>
        </w:trPr>
        <w:tc>
          <w:tcPr>
            <w:tcW w:w="708" w:type="dxa"/>
          </w:tcPr>
          <w:p w:rsidR="00C64D34" w:rsidRDefault="00C64D34" w:rsidP="00913CDF">
            <w:pPr>
              <w:pStyle w:val="Tabletext"/>
              <w:keepNext/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1547" w:type="dxa"/>
          </w:tcPr>
          <w:p w:rsidR="00C64D34" w:rsidRDefault="00C64D34" w:rsidP="00913CDF">
            <w:pPr>
              <w:pStyle w:val="Tabletext"/>
              <w:keepNext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–0,39902</w:t>
            </w:r>
          </w:p>
        </w:tc>
        <w:tc>
          <w:tcPr>
            <w:tcW w:w="1548" w:type="dxa"/>
          </w:tcPr>
          <w:p w:rsidR="00C64D34" w:rsidRDefault="00C64D34" w:rsidP="00913CDF">
            <w:pPr>
              <w:pStyle w:val="Tabletext"/>
              <w:keepNext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0,73042</w:t>
            </w:r>
          </w:p>
        </w:tc>
        <w:tc>
          <w:tcPr>
            <w:tcW w:w="1548" w:type="dxa"/>
          </w:tcPr>
          <w:p w:rsidR="00C64D34" w:rsidRDefault="00C64D34" w:rsidP="00913CDF">
            <w:pPr>
              <w:pStyle w:val="Tabletext"/>
              <w:keepNext/>
              <w:jc w:val="center"/>
              <w:rPr>
                <w:lang w:val="es-ES"/>
              </w:rPr>
            </w:pPr>
            <w:r>
              <w:rPr>
                <w:lang w:val="es-ES"/>
              </w:rPr>
              <w:t>0,11899</w:t>
            </w:r>
          </w:p>
        </w:tc>
        <w:tc>
          <w:tcPr>
            <w:tcW w:w="1548" w:type="dxa"/>
            <w:vMerge/>
          </w:tcPr>
          <w:p w:rsidR="00C64D34" w:rsidRDefault="00C64D34" w:rsidP="00913CDF">
            <w:pPr>
              <w:keepNext/>
              <w:jc w:val="center"/>
              <w:rPr>
                <w:lang w:val="es-ES"/>
              </w:rPr>
            </w:pPr>
          </w:p>
        </w:tc>
        <w:tc>
          <w:tcPr>
            <w:tcW w:w="1548" w:type="dxa"/>
            <w:vMerge/>
          </w:tcPr>
          <w:p w:rsidR="00C64D34" w:rsidRDefault="00C64D34" w:rsidP="00913CDF">
            <w:pPr>
              <w:keepNext/>
              <w:jc w:val="center"/>
              <w:rPr>
                <w:lang w:val="es-ES"/>
              </w:rPr>
            </w:pPr>
          </w:p>
        </w:tc>
      </w:tr>
      <w:tr w:rsidR="00C64D34">
        <w:trPr>
          <w:jc w:val="center"/>
        </w:trPr>
        <w:tc>
          <w:tcPr>
            <w:tcW w:w="708" w:type="dxa"/>
          </w:tcPr>
          <w:p w:rsidR="00C64D34" w:rsidRDefault="00C64D34" w:rsidP="00913CDF">
            <w:pPr>
              <w:pStyle w:val="Tabletext"/>
              <w:keepNext/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1547" w:type="dxa"/>
          </w:tcPr>
          <w:p w:rsidR="00C64D34" w:rsidRDefault="00C64D34" w:rsidP="00913CDF">
            <w:pPr>
              <w:pStyle w:val="Tabletext"/>
              <w:keepNext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0,50167</w:t>
            </w:r>
          </w:p>
        </w:tc>
        <w:tc>
          <w:tcPr>
            <w:tcW w:w="1548" w:type="dxa"/>
          </w:tcPr>
          <w:p w:rsidR="00C64D34" w:rsidRDefault="00C64D34" w:rsidP="00913CDF">
            <w:pPr>
              <w:pStyle w:val="Tabletext"/>
              <w:keepNext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1,07319</w:t>
            </w:r>
          </w:p>
        </w:tc>
        <w:tc>
          <w:tcPr>
            <w:tcW w:w="1548" w:type="dxa"/>
          </w:tcPr>
          <w:p w:rsidR="00C64D34" w:rsidRDefault="00C64D34" w:rsidP="00913CDF">
            <w:pPr>
              <w:pStyle w:val="Tabletext"/>
              <w:keepNext/>
              <w:jc w:val="center"/>
              <w:rPr>
                <w:lang w:val="es-ES"/>
              </w:rPr>
            </w:pPr>
            <w:r>
              <w:rPr>
                <w:lang w:val="es-ES"/>
              </w:rPr>
              <w:t>0,27195</w:t>
            </w:r>
          </w:p>
        </w:tc>
        <w:tc>
          <w:tcPr>
            <w:tcW w:w="1548" w:type="dxa"/>
            <w:vMerge/>
          </w:tcPr>
          <w:p w:rsidR="00C64D34" w:rsidRDefault="00C64D34" w:rsidP="00913CDF">
            <w:pPr>
              <w:keepNext/>
              <w:jc w:val="center"/>
              <w:rPr>
                <w:lang w:val="es-ES"/>
              </w:rPr>
            </w:pPr>
          </w:p>
        </w:tc>
        <w:tc>
          <w:tcPr>
            <w:tcW w:w="1548" w:type="dxa"/>
            <w:vMerge/>
          </w:tcPr>
          <w:p w:rsidR="00C64D34" w:rsidRDefault="00C64D34" w:rsidP="00913CDF">
            <w:pPr>
              <w:keepNext/>
              <w:jc w:val="center"/>
              <w:rPr>
                <w:lang w:val="es-ES"/>
              </w:rPr>
            </w:pPr>
          </w:p>
        </w:tc>
      </w:tr>
    </w:tbl>
    <w:p w:rsidR="00966339" w:rsidRDefault="00966339" w:rsidP="00966339">
      <w:pPr>
        <w:pStyle w:val="Tablefin"/>
      </w:pPr>
    </w:p>
    <w:p w:rsidR="00BB56A8" w:rsidRPr="00BB56A8" w:rsidRDefault="00BB56A8" w:rsidP="00BB56A8">
      <w:pPr>
        <w:spacing w:before="0"/>
        <w:rPr>
          <w:lang w:val="en-GB"/>
        </w:rPr>
      </w:pPr>
    </w:p>
    <w:p w:rsidR="00C64D34" w:rsidRDefault="00966339" w:rsidP="00966339">
      <w:pPr>
        <w:pStyle w:val="TableNo"/>
        <w:rPr>
          <w:lang w:val="es-ES"/>
        </w:rPr>
      </w:pPr>
      <w:r>
        <w:rPr>
          <w:lang w:val="es-ES"/>
        </w:rPr>
        <w:t>CUADRO</w:t>
      </w:r>
      <w:r w:rsidR="00C64D34">
        <w:rPr>
          <w:lang w:val="es-ES"/>
        </w:rPr>
        <w:t xml:space="preserve"> 3</w:t>
      </w:r>
    </w:p>
    <w:p w:rsidR="00C64D34" w:rsidRDefault="00C64D34" w:rsidP="00966339">
      <w:pPr>
        <w:pStyle w:val="Tabletitle"/>
        <w:rPr>
          <w:vertAlign w:val="subscript"/>
          <w:lang w:val="es-ES"/>
        </w:rPr>
      </w:pPr>
      <w:r>
        <w:rPr>
          <w:lang w:val="es-ES"/>
        </w:rPr>
        <w:t xml:space="preserve">Coeficientes para </w:t>
      </w:r>
      <w:r w:rsidRPr="003B3728">
        <w:sym w:font="Symbol" w:char="F061"/>
      </w:r>
      <w:r>
        <w:rPr>
          <w:i/>
          <w:vertAlign w:val="subscript"/>
          <w:lang w:val="es-ES"/>
        </w:rPr>
        <w:t>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47"/>
        <w:gridCol w:w="1548"/>
        <w:gridCol w:w="1548"/>
        <w:gridCol w:w="1548"/>
        <w:gridCol w:w="1548"/>
      </w:tblGrid>
      <w:tr w:rsidR="00C64D34">
        <w:trPr>
          <w:trHeight w:hRule="exact" w:val="454"/>
          <w:jc w:val="center"/>
        </w:trPr>
        <w:tc>
          <w:tcPr>
            <w:tcW w:w="708" w:type="dxa"/>
            <w:vAlign w:val="center"/>
          </w:tcPr>
          <w:p w:rsidR="00C64D34" w:rsidRPr="00913CDF" w:rsidRDefault="00C64D34" w:rsidP="003B3728">
            <w:pPr>
              <w:pStyle w:val="Tablehead"/>
              <w:rPr>
                <w:i/>
                <w:lang w:val="es-ES"/>
              </w:rPr>
            </w:pPr>
            <w:r w:rsidRPr="00913CDF">
              <w:rPr>
                <w:i/>
                <w:lang w:val="es-ES"/>
              </w:rPr>
              <w:t>j</w:t>
            </w:r>
          </w:p>
        </w:tc>
        <w:tc>
          <w:tcPr>
            <w:tcW w:w="1547" w:type="dxa"/>
            <w:vAlign w:val="center"/>
          </w:tcPr>
          <w:p w:rsidR="00C64D34" w:rsidRPr="00913CDF" w:rsidRDefault="00C64D34" w:rsidP="003B3728">
            <w:pPr>
              <w:pStyle w:val="Tablehead"/>
              <w:rPr>
                <w:i/>
                <w:vertAlign w:val="subscript"/>
                <w:lang w:val="es-ES"/>
              </w:rPr>
            </w:pPr>
            <w:r w:rsidRPr="00913CDF">
              <w:rPr>
                <w:i/>
                <w:lang w:val="es-ES"/>
              </w:rPr>
              <w:t>a</w:t>
            </w:r>
            <w:r w:rsidRPr="00913CDF">
              <w:rPr>
                <w:i/>
                <w:vertAlign w:val="subscript"/>
                <w:lang w:val="es-ES"/>
              </w:rPr>
              <w:t>j</w:t>
            </w:r>
          </w:p>
        </w:tc>
        <w:tc>
          <w:tcPr>
            <w:tcW w:w="1548" w:type="dxa"/>
            <w:vAlign w:val="center"/>
          </w:tcPr>
          <w:p w:rsidR="00C64D34" w:rsidRPr="00913CDF" w:rsidRDefault="00C64D34" w:rsidP="003B3728">
            <w:pPr>
              <w:pStyle w:val="Tablehead"/>
              <w:rPr>
                <w:i/>
                <w:vertAlign w:val="subscript"/>
                <w:lang w:val="es-ES"/>
              </w:rPr>
            </w:pPr>
            <w:proofErr w:type="spellStart"/>
            <w:r w:rsidRPr="00913CDF">
              <w:rPr>
                <w:i/>
                <w:lang w:val="es-ES"/>
              </w:rPr>
              <w:t>b</w:t>
            </w:r>
            <w:r w:rsidRPr="00913CDF">
              <w:rPr>
                <w:i/>
                <w:vertAlign w:val="subscript"/>
                <w:lang w:val="es-ES"/>
              </w:rPr>
              <w:t>j</w:t>
            </w:r>
            <w:proofErr w:type="spellEnd"/>
          </w:p>
        </w:tc>
        <w:tc>
          <w:tcPr>
            <w:tcW w:w="1548" w:type="dxa"/>
            <w:vAlign w:val="center"/>
          </w:tcPr>
          <w:p w:rsidR="00C64D34" w:rsidRPr="00913CDF" w:rsidRDefault="00C64D34" w:rsidP="003B3728">
            <w:pPr>
              <w:pStyle w:val="Tablehead"/>
              <w:rPr>
                <w:i/>
                <w:vertAlign w:val="subscript"/>
                <w:lang w:val="es-ES"/>
              </w:rPr>
            </w:pPr>
            <w:proofErr w:type="spellStart"/>
            <w:r w:rsidRPr="00913CDF">
              <w:rPr>
                <w:i/>
                <w:lang w:val="es-ES"/>
              </w:rPr>
              <w:t>c</w:t>
            </w:r>
            <w:r w:rsidRPr="00913CDF">
              <w:rPr>
                <w:i/>
                <w:vertAlign w:val="subscript"/>
                <w:lang w:val="es-ES"/>
              </w:rPr>
              <w:t>j</w:t>
            </w:r>
            <w:proofErr w:type="spellEnd"/>
          </w:p>
        </w:tc>
        <w:tc>
          <w:tcPr>
            <w:tcW w:w="1548" w:type="dxa"/>
            <w:vAlign w:val="center"/>
          </w:tcPr>
          <w:p w:rsidR="00C64D34" w:rsidRPr="00913CDF" w:rsidRDefault="00C64D34" w:rsidP="003B3728">
            <w:pPr>
              <w:pStyle w:val="Tablehead"/>
              <w:rPr>
                <w:i/>
                <w:vertAlign w:val="subscript"/>
                <w:lang w:val="es-ES"/>
              </w:rPr>
            </w:pPr>
            <w:r w:rsidRPr="00913CDF">
              <w:rPr>
                <w:i/>
                <w:lang w:val="es-ES"/>
              </w:rPr>
              <w:t>m</w:t>
            </w:r>
            <w:r w:rsidRPr="00913CDF">
              <w:rPr>
                <w:vertAlign w:val="subscript"/>
              </w:rPr>
              <w:sym w:font="Symbol" w:char="F061"/>
            </w:r>
          </w:p>
        </w:tc>
        <w:tc>
          <w:tcPr>
            <w:tcW w:w="1548" w:type="dxa"/>
            <w:vAlign w:val="center"/>
          </w:tcPr>
          <w:p w:rsidR="00C64D34" w:rsidRPr="00913CDF" w:rsidRDefault="00C64D34" w:rsidP="003B3728">
            <w:pPr>
              <w:pStyle w:val="Tablehead"/>
              <w:rPr>
                <w:i/>
                <w:vertAlign w:val="subscript"/>
                <w:lang w:val="es-ES"/>
              </w:rPr>
            </w:pPr>
            <w:r w:rsidRPr="00913CDF">
              <w:rPr>
                <w:i/>
                <w:lang w:val="es-ES"/>
              </w:rPr>
              <w:t>c</w:t>
            </w:r>
            <w:r w:rsidRPr="00913CDF">
              <w:rPr>
                <w:vertAlign w:val="subscript"/>
              </w:rPr>
              <w:sym w:font="Symbol" w:char="F061"/>
            </w:r>
          </w:p>
        </w:tc>
      </w:tr>
      <w:tr w:rsidR="00C64D34">
        <w:trPr>
          <w:jc w:val="center"/>
        </w:trPr>
        <w:tc>
          <w:tcPr>
            <w:tcW w:w="708" w:type="dxa"/>
          </w:tcPr>
          <w:p w:rsidR="00C64D34" w:rsidRDefault="00C64D34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547" w:type="dxa"/>
          </w:tcPr>
          <w:p w:rsidR="00C64D34" w:rsidRDefault="00C64D34" w:rsidP="003B3728">
            <w:pPr>
              <w:pStyle w:val="Tabletext"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–0,14318</w:t>
            </w:r>
          </w:p>
        </w:tc>
        <w:tc>
          <w:tcPr>
            <w:tcW w:w="1548" w:type="dxa"/>
          </w:tcPr>
          <w:p w:rsidR="00C64D34" w:rsidRDefault="00C64D34" w:rsidP="003B3728">
            <w:pPr>
              <w:pStyle w:val="Tabletext"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1,82442</w:t>
            </w:r>
          </w:p>
        </w:tc>
        <w:tc>
          <w:tcPr>
            <w:tcW w:w="1548" w:type="dxa"/>
          </w:tcPr>
          <w:p w:rsidR="00C64D34" w:rsidRDefault="00C64D34" w:rsidP="003B3728">
            <w:pPr>
              <w:pStyle w:val="Tabletext"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–0,55187</w:t>
            </w:r>
          </w:p>
        </w:tc>
        <w:tc>
          <w:tcPr>
            <w:tcW w:w="1548" w:type="dxa"/>
            <w:vMerge w:val="restart"/>
            <w:vAlign w:val="center"/>
          </w:tcPr>
          <w:p w:rsidR="00C64D34" w:rsidRDefault="00C64D34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0,67849</w:t>
            </w:r>
          </w:p>
        </w:tc>
        <w:tc>
          <w:tcPr>
            <w:tcW w:w="1548" w:type="dxa"/>
            <w:vMerge w:val="restart"/>
            <w:vAlign w:val="center"/>
          </w:tcPr>
          <w:p w:rsidR="00C64D34" w:rsidRDefault="00C64D34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–1,95537</w:t>
            </w:r>
          </w:p>
        </w:tc>
      </w:tr>
      <w:tr w:rsidR="00C64D34">
        <w:trPr>
          <w:jc w:val="center"/>
        </w:trPr>
        <w:tc>
          <w:tcPr>
            <w:tcW w:w="708" w:type="dxa"/>
          </w:tcPr>
          <w:p w:rsidR="00C64D34" w:rsidRDefault="00C64D34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547" w:type="dxa"/>
          </w:tcPr>
          <w:p w:rsidR="00C64D34" w:rsidRDefault="00C64D34" w:rsidP="003B3728">
            <w:pPr>
              <w:pStyle w:val="Tabletext"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0,29591</w:t>
            </w:r>
          </w:p>
        </w:tc>
        <w:tc>
          <w:tcPr>
            <w:tcW w:w="1548" w:type="dxa"/>
          </w:tcPr>
          <w:p w:rsidR="00C64D34" w:rsidRDefault="00C64D34" w:rsidP="003B3728">
            <w:pPr>
              <w:pStyle w:val="Tabletext"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0,77564</w:t>
            </w:r>
          </w:p>
        </w:tc>
        <w:tc>
          <w:tcPr>
            <w:tcW w:w="1548" w:type="dxa"/>
          </w:tcPr>
          <w:p w:rsidR="00C64D34" w:rsidRDefault="00C64D34" w:rsidP="003B3728">
            <w:pPr>
              <w:pStyle w:val="Tabletext"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0,19822</w:t>
            </w:r>
          </w:p>
        </w:tc>
        <w:tc>
          <w:tcPr>
            <w:tcW w:w="1548" w:type="dxa"/>
            <w:vMerge/>
          </w:tcPr>
          <w:p w:rsidR="00C64D34" w:rsidRDefault="00C64D34" w:rsidP="00CF3C59">
            <w:pPr>
              <w:jc w:val="center"/>
              <w:rPr>
                <w:lang w:val="es-ES"/>
              </w:rPr>
            </w:pPr>
          </w:p>
        </w:tc>
        <w:tc>
          <w:tcPr>
            <w:tcW w:w="1548" w:type="dxa"/>
            <w:vMerge/>
          </w:tcPr>
          <w:p w:rsidR="00C64D34" w:rsidRDefault="00C64D34" w:rsidP="00CF3C59">
            <w:pPr>
              <w:jc w:val="center"/>
              <w:rPr>
                <w:lang w:val="es-ES"/>
              </w:rPr>
            </w:pPr>
          </w:p>
        </w:tc>
      </w:tr>
      <w:tr w:rsidR="00C64D34">
        <w:trPr>
          <w:jc w:val="center"/>
        </w:trPr>
        <w:tc>
          <w:tcPr>
            <w:tcW w:w="708" w:type="dxa"/>
          </w:tcPr>
          <w:p w:rsidR="00C64D34" w:rsidRDefault="00C64D34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1547" w:type="dxa"/>
          </w:tcPr>
          <w:p w:rsidR="00C64D34" w:rsidRDefault="00C64D34" w:rsidP="003B3728">
            <w:pPr>
              <w:pStyle w:val="Tabletext"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0,32177</w:t>
            </w:r>
          </w:p>
        </w:tc>
        <w:tc>
          <w:tcPr>
            <w:tcW w:w="1548" w:type="dxa"/>
          </w:tcPr>
          <w:p w:rsidR="00C64D34" w:rsidRDefault="00C64D34" w:rsidP="003B3728">
            <w:pPr>
              <w:pStyle w:val="Tabletext"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0,63773</w:t>
            </w:r>
          </w:p>
        </w:tc>
        <w:tc>
          <w:tcPr>
            <w:tcW w:w="1548" w:type="dxa"/>
          </w:tcPr>
          <w:p w:rsidR="00C64D34" w:rsidRDefault="00C64D34" w:rsidP="003B3728">
            <w:pPr>
              <w:pStyle w:val="Tabletext"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0,13164</w:t>
            </w:r>
          </w:p>
        </w:tc>
        <w:tc>
          <w:tcPr>
            <w:tcW w:w="1548" w:type="dxa"/>
            <w:vMerge/>
          </w:tcPr>
          <w:p w:rsidR="00C64D34" w:rsidRDefault="00C64D34" w:rsidP="00CF3C59">
            <w:pPr>
              <w:jc w:val="center"/>
              <w:rPr>
                <w:lang w:val="es-ES"/>
              </w:rPr>
            </w:pPr>
          </w:p>
        </w:tc>
        <w:tc>
          <w:tcPr>
            <w:tcW w:w="1548" w:type="dxa"/>
            <w:vMerge/>
          </w:tcPr>
          <w:p w:rsidR="00C64D34" w:rsidRDefault="00C64D34" w:rsidP="00CF3C59">
            <w:pPr>
              <w:jc w:val="center"/>
              <w:rPr>
                <w:lang w:val="es-ES"/>
              </w:rPr>
            </w:pPr>
          </w:p>
        </w:tc>
      </w:tr>
      <w:tr w:rsidR="00C64D34">
        <w:trPr>
          <w:jc w:val="center"/>
        </w:trPr>
        <w:tc>
          <w:tcPr>
            <w:tcW w:w="708" w:type="dxa"/>
          </w:tcPr>
          <w:p w:rsidR="00C64D34" w:rsidRDefault="00C64D34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1547" w:type="dxa"/>
          </w:tcPr>
          <w:p w:rsidR="00C64D34" w:rsidRDefault="00C64D34" w:rsidP="003B3728">
            <w:pPr>
              <w:pStyle w:val="Tabletext"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–5,37610</w:t>
            </w:r>
          </w:p>
        </w:tc>
        <w:tc>
          <w:tcPr>
            <w:tcW w:w="1548" w:type="dxa"/>
          </w:tcPr>
          <w:p w:rsidR="00C64D34" w:rsidRDefault="00C64D34" w:rsidP="003B3728">
            <w:pPr>
              <w:pStyle w:val="Tabletext"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–0,96230</w:t>
            </w:r>
          </w:p>
        </w:tc>
        <w:tc>
          <w:tcPr>
            <w:tcW w:w="1548" w:type="dxa"/>
          </w:tcPr>
          <w:p w:rsidR="00C64D34" w:rsidRDefault="00C64D34" w:rsidP="003B3728">
            <w:pPr>
              <w:pStyle w:val="Tabletext"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1,47828</w:t>
            </w:r>
          </w:p>
        </w:tc>
        <w:tc>
          <w:tcPr>
            <w:tcW w:w="1548" w:type="dxa"/>
            <w:vMerge/>
          </w:tcPr>
          <w:p w:rsidR="00C64D34" w:rsidRDefault="00C64D34" w:rsidP="00CF3C59">
            <w:pPr>
              <w:jc w:val="center"/>
              <w:rPr>
                <w:lang w:val="es-ES"/>
              </w:rPr>
            </w:pPr>
          </w:p>
        </w:tc>
        <w:tc>
          <w:tcPr>
            <w:tcW w:w="1548" w:type="dxa"/>
            <w:vMerge/>
          </w:tcPr>
          <w:p w:rsidR="00C64D34" w:rsidRDefault="00C64D34" w:rsidP="00CF3C59">
            <w:pPr>
              <w:jc w:val="center"/>
              <w:rPr>
                <w:lang w:val="es-ES"/>
              </w:rPr>
            </w:pPr>
          </w:p>
        </w:tc>
      </w:tr>
      <w:tr w:rsidR="00C64D34">
        <w:trPr>
          <w:jc w:val="center"/>
        </w:trPr>
        <w:tc>
          <w:tcPr>
            <w:tcW w:w="708" w:type="dxa"/>
          </w:tcPr>
          <w:p w:rsidR="00C64D34" w:rsidRDefault="00C64D34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1547" w:type="dxa"/>
          </w:tcPr>
          <w:p w:rsidR="00C64D34" w:rsidRDefault="00C64D34" w:rsidP="00BB56A8">
            <w:pPr>
              <w:pStyle w:val="Tabletext"/>
              <w:ind w:right="369"/>
              <w:jc w:val="right"/>
              <w:rPr>
                <w:lang w:val="es-ES"/>
              </w:rPr>
            </w:pPr>
            <w:r>
              <w:rPr>
                <w:lang w:val="es-ES"/>
              </w:rPr>
              <w:t>16,1721</w:t>
            </w:r>
          </w:p>
        </w:tc>
        <w:tc>
          <w:tcPr>
            <w:tcW w:w="1548" w:type="dxa"/>
          </w:tcPr>
          <w:p w:rsidR="00C64D34" w:rsidRDefault="00C64D34" w:rsidP="003B3728">
            <w:pPr>
              <w:pStyle w:val="Tabletext"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–3,29980</w:t>
            </w:r>
          </w:p>
        </w:tc>
        <w:tc>
          <w:tcPr>
            <w:tcW w:w="1548" w:type="dxa"/>
          </w:tcPr>
          <w:p w:rsidR="00C64D34" w:rsidRDefault="00C64D34" w:rsidP="003B3728">
            <w:pPr>
              <w:pStyle w:val="Tabletext"/>
              <w:ind w:right="284"/>
              <w:jc w:val="right"/>
              <w:rPr>
                <w:lang w:val="es-ES"/>
              </w:rPr>
            </w:pPr>
            <w:r>
              <w:rPr>
                <w:lang w:val="es-ES"/>
              </w:rPr>
              <w:t>3,43990</w:t>
            </w:r>
          </w:p>
        </w:tc>
        <w:tc>
          <w:tcPr>
            <w:tcW w:w="1548" w:type="dxa"/>
            <w:vMerge/>
          </w:tcPr>
          <w:p w:rsidR="00C64D34" w:rsidRDefault="00C64D34" w:rsidP="00CF3C59">
            <w:pPr>
              <w:jc w:val="center"/>
              <w:rPr>
                <w:lang w:val="es-ES"/>
              </w:rPr>
            </w:pPr>
          </w:p>
        </w:tc>
        <w:tc>
          <w:tcPr>
            <w:tcW w:w="1548" w:type="dxa"/>
            <w:vMerge/>
          </w:tcPr>
          <w:p w:rsidR="00C64D34" w:rsidRDefault="00C64D34" w:rsidP="00CF3C59">
            <w:pPr>
              <w:jc w:val="center"/>
              <w:rPr>
                <w:lang w:val="es-ES"/>
              </w:rPr>
            </w:pPr>
          </w:p>
        </w:tc>
      </w:tr>
    </w:tbl>
    <w:p w:rsidR="003B3728" w:rsidRDefault="003B3728" w:rsidP="003B3728">
      <w:pPr>
        <w:pStyle w:val="Tablefin"/>
      </w:pPr>
    </w:p>
    <w:p w:rsidR="00BB56A8" w:rsidRPr="00BB56A8" w:rsidRDefault="00BB56A8" w:rsidP="00BB56A8">
      <w:pPr>
        <w:spacing w:before="0"/>
        <w:rPr>
          <w:lang w:val="en-GB"/>
        </w:rPr>
      </w:pPr>
    </w:p>
    <w:p w:rsidR="00C64D34" w:rsidRDefault="003B3728" w:rsidP="00966339">
      <w:pPr>
        <w:pStyle w:val="TableNo"/>
        <w:rPr>
          <w:lang w:val="es-ES"/>
        </w:rPr>
      </w:pPr>
      <w:r>
        <w:rPr>
          <w:lang w:val="es-ES"/>
        </w:rPr>
        <w:t>CUADRO</w:t>
      </w:r>
      <w:r w:rsidR="00C64D34">
        <w:rPr>
          <w:lang w:val="es-ES"/>
        </w:rPr>
        <w:t xml:space="preserve"> 4</w:t>
      </w:r>
    </w:p>
    <w:p w:rsidR="00C64D34" w:rsidRDefault="00C64D34" w:rsidP="00966339">
      <w:pPr>
        <w:pStyle w:val="Tabletitle"/>
        <w:rPr>
          <w:vertAlign w:val="subscript"/>
          <w:lang w:val="es-ES"/>
        </w:rPr>
      </w:pPr>
      <w:r>
        <w:rPr>
          <w:lang w:val="es-ES"/>
        </w:rPr>
        <w:t xml:space="preserve">Coeficientes para </w:t>
      </w:r>
      <w:r w:rsidRPr="003B3728">
        <w:sym w:font="Symbol" w:char="F061"/>
      </w:r>
      <w:r>
        <w:rPr>
          <w:i/>
          <w:vertAlign w:val="subscript"/>
          <w:lang w:val="es-ES"/>
        </w:rPr>
        <w:t>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47"/>
        <w:gridCol w:w="1548"/>
        <w:gridCol w:w="1548"/>
        <w:gridCol w:w="1548"/>
        <w:gridCol w:w="1548"/>
      </w:tblGrid>
      <w:tr w:rsidR="00C64D34">
        <w:trPr>
          <w:trHeight w:hRule="exact" w:val="454"/>
          <w:jc w:val="center"/>
        </w:trPr>
        <w:tc>
          <w:tcPr>
            <w:tcW w:w="708" w:type="dxa"/>
            <w:vAlign w:val="center"/>
          </w:tcPr>
          <w:p w:rsidR="00C64D34" w:rsidRPr="00913CDF" w:rsidRDefault="00C64D34" w:rsidP="003B3728">
            <w:pPr>
              <w:pStyle w:val="Tablehead"/>
              <w:rPr>
                <w:i/>
                <w:lang w:val="es-ES"/>
              </w:rPr>
            </w:pPr>
            <w:r w:rsidRPr="00913CDF">
              <w:rPr>
                <w:i/>
                <w:lang w:val="es-ES"/>
              </w:rPr>
              <w:t>j</w:t>
            </w:r>
          </w:p>
        </w:tc>
        <w:tc>
          <w:tcPr>
            <w:tcW w:w="1547" w:type="dxa"/>
            <w:vAlign w:val="center"/>
          </w:tcPr>
          <w:p w:rsidR="00C64D34" w:rsidRPr="00913CDF" w:rsidRDefault="00C64D34" w:rsidP="003B3728">
            <w:pPr>
              <w:pStyle w:val="Tablehead"/>
              <w:rPr>
                <w:i/>
                <w:vertAlign w:val="subscript"/>
              </w:rPr>
            </w:pPr>
            <w:proofErr w:type="spellStart"/>
            <w:r w:rsidRPr="00913CDF">
              <w:rPr>
                <w:i/>
              </w:rPr>
              <w:t>a</w:t>
            </w:r>
            <w:r w:rsidRPr="00913CDF">
              <w:rPr>
                <w:i/>
                <w:vertAlign w:val="subscript"/>
              </w:rPr>
              <w:t>j</w:t>
            </w:r>
            <w:proofErr w:type="spellEnd"/>
          </w:p>
        </w:tc>
        <w:tc>
          <w:tcPr>
            <w:tcW w:w="1548" w:type="dxa"/>
            <w:vAlign w:val="center"/>
          </w:tcPr>
          <w:p w:rsidR="00C64D34" w:rsidRPr="00913CDF" w:rsidRDefault="00C64D34" w:rsidP="003B3728">
            <w:pPr>
              <w:pStyle w:val="Tablehead"/>
              <w:rPr>
                <w:i/>
                <w:vertAlign w:val="subscript"/>
              </w:rPr>
            </w:pPr>
            <w:proofErr w:type="spellStart"/>
            <w:r w:rsidRPr="00913CDF">
              <w:rPr>
                <w:i/>
              </w:rPr>
              <w:t>b</w:t>
            </w:r>
            <w:r w:rsidRPr="00913CDF">
              <w:rPr>
                <w:i/>
                <w:vertAlign w:val="subscript"/>
              </w:rPr>
              <w:t>j</w:t>
            </w:r>
            <w:proofErr w:type="spellEnd"/>
          </w:p>
        </w:tc>
        <w:tc>
          <w:tcPr>
            <w:tcW w:w="1548" w:type="dxa"/>
            <w:vAlign w:val="center"/>
          </w:tcPr>
          <w:p w:rsidR="00C64D34" w:rsidRPr="00913CDF" w:rsidRDefault="00C64D34" w:rsidP="003B3728">
            <w:pPr>
              <w:pStyle w:val="Tablehead"/>
              <w:rPr>
                <w:i/>
                <w:vertAlign w:val="subscript"/>
              </w:rPr>
            </w:pPr>
            <w:proofErr w:type="spellStart"/>
            <w:r w:rsidRPr="00913CDF">
              <w:rPr>
                <w:i/>
              </w:rPr>
              <w:t>c</w:t>
            </w:r>
            <w:r w:rsidRPr="00913CDF">
              <w:rPr>
                <w:i/>
                <w:vertAlign w:val="subscript"/>
              </w:rPr>
              <w:t>j</w:t>
            </w:r>
            <w:proofErr w:type="spellEnd"/>
          </w:p>
        </w:tc>
        <w:tc>
          <w:tcPr>
            <w:tcW w:w="1548" w:type="dxa"/>
            <w:vAlign w:val="center"/>
          </w:tcPr>
          <w:p w:rsidR="00C64D34" w:rsidRPr="00913CDF" w:rsidRDefault="00C64D34" w:rsidP="003B3728">
            <w:pPr>
              <w:pStyle w:val="Tablehead"/>
              <w:rPr>
                <w:i/>
                <w:vertAlign w:val="subscript"/>
              </w:rPr>
            </w:pPr>
            <w:r w:rsidRPr="00913CDF">
              <w:rPr>
                <w:i/>
              </w:rPr>
              <w:t>m</w:t>
            </w:r>
            <w:r w:rsidRPr="00913CDF">
              <w:rPr>
                <w:vertAlign w:val="subscript"/>
              </w:rPr>
              <w:sym w:font="Symbol" w:char="F061"/>
            </w:r>
          </w:p>
        </w:tc>
        <w:tc>
          <w:tcPr>
            <w:tcW w:w="1548" w:type="dxa"/>
            <w:vAlign w:val="center"/>
          </w:tcPr>
          <w:p w:rsidR="00C64D34" w:rsidRPr="00913CDF" w:rsidRDefault="00C64D34" w:rsidP="003B3728">
            <w:pPr>
              <w:pStyle w:val="Tablehead"/>
              <w:rPr>
                <w:i/>
                <w:vertAlign w:val="subscript"/>
              </w:rPr>
            </w:pPr>
            <w:r w:rsidRPr="00913CDF">
              <w:rPr>
                <w:i/>
              </w:rPr>
              <w:t>c</w:t>
            </w:r>
            <w:r w:rsidRPr="00913CDF">
              <w:rPr>
                <w:vertAlign w:val="subscript"/>
              </w:rPr>
              <w:sym w:font="Symbol" w:char="F061"/>
            </w:r>
          </w:p>
        </w:tc>
      </w:tr>
      <w:tr w:rsidR="00C64D34">
        <w:trPr>
          <w:jc w:val="center"/>
        </w:trPr>
        <w:tc>
          <w:tcPr>
            <w:tcW w:w="708" w:type="dxa"/>
          </w:tcPr>
          <w:p w:rsidR="00C64D34" w:rsidRDefault="00C64D34" w:rsidP="00CF3C59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547" w:type="dxa"/>
          </w:tcPr>
          <w:p w:rsidR="00C64D34" w:rsidRDefault="00C64D34" w:rsidP="003B3728">
            <w:pPr>
              <w:pStyle w:val="Tabletext"/>
              <w:ind w:right="255"/>
              <w:jc w:val="right"/>
            </w:pPr>
            <w:r>
              <w:t>–0,07771</w:t>
            </w:r>
          </w:p>
        </w:tc>
        <w:tc>
          <w:tcPr>
            <w:tcW w:w="1548" w:type="dxa"/>
          </w:tcPr>
          <w:p w:rsidR="00C64D34" w:rsidRDefault="00C64D34" w:rsidP="003B3728">
            <w:pPr>
              <w:pStyle w:val="Tabletext"/>
              <w:ind w:left="227"/>
              <w:jc w:val="left"/>
            </w:pPr>
            <w:r>
              <w:t>2,33840</w:t>
            </w:r>
          </w:p>
        </w:tc>
        <w:tc>
          <w:tcPr>
            <w:tcW w:w="1548" w:type="dxa"/>
          </w:tcPr>
          <w:p w:rsidR="00C64D34" w:rsidRDefault="00C64D34" w:rsidP="003B3728">
            <w:pPr>
              <w:pStyle w:val="Tabletext"/>
              <w:ind w:left="85"/>
              <w:jc w:val="left"/>
            </w:pPr>
            <w:r>
              <w:t>–0,76284</w:t>
            </w:r>
          </w:p>
        </w:tc>
        <w:tc>
          <w:tcPr>
            <w:tcW w:w="1548" w:type="dxa"/>
            <w:vMerge w:val="restart"/>
            <w:vAlign w:val="center"/>
          </w:tcPr>
          <w:p w:rsidR="00C64D34" w:rsidRDefault="00C64D34" w:rsidP="00CF3C59">
            <w:pPr>
              <w:pStyle w:val="Tabletext"/>
              <w:jc w:val="center"/>
            </w:pPr>
            <w:r>
              <w:t>–0,053739</w:t>
            </w:r>
          </w:p>
        </w:tc>
        <w:tc>
          <w:tcPr>
            <w:tcW w:w="1548" w:type="dxa"/>
            <w:vMerge w:val="restart"/>
            <w:vAlign w:val="center"/>
          </w:tcPr>
          <w:p w:rsidR="00C64D34" w:rsidRDefault="00C64D34" w:rsidP="00CF3C59">
            <w:pPr>
              <w:pStyle w:val="Tabletext"/>
              <w:jc w:val="center"/>
            </w:pPr>
            <w:r>
              <w:t>0,83433</w:t>
            </w:r>
          </w:p>
        </w:tc>
      </w:tr>
      <w:tr w:rsidR="00C64D34">
        <w:trPr>
          <w:jc w:val="center"/>
        </w:trPr>
        <w:tc>
          <w:tcPr>
            <w:tcW w:w="708" w:type="dxa"/>
          </w:tcPr>
          <w:p w:rsidR="00C64D34" w:rsidRDefault="00C64D34" w:rsidP="00CF3C59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547" w:type="dxa"/>
          </w:tcPr>
          <w:p w:rsidR="00C64D34" w:rsidRDefault="00C64D34" w:rsidP="003B3728">
            <w:pPr>
              <w:pStyle w:val="Tabletext"/>
              <w:ind w:right="255"/>
              <w:jc w:val="right"/>
            </w:pPr>
            <w:r>
              <w:t>0,56727</w:t>
            </w:r>
          </w:p>
        </w:tc>
        <w:tc>
          <w:tcPr>
            <w:tcW w:w="1548" w:type="dxa"/>
          </w:tcPr>
          <w:p w:rsidR="00C64D34" w:rsidRDefault="00C64D34" w:rsidP="003B3728">
            <w:pPr>
              <w:pStyle w:val="Tabletext"/>
              <w:ind w:left="227"/>
              <w:jc w:val="left"/>
            </w:pPr>
            <w:r>
              <w:t>0,95545</w:t>
            </w:r>
          </w:p>
        </w:tc>
        <w:tc>
          <w:tcPr>
            <w:tcW w:w="1548" w:type="dxa"/>
          </w:tcPr>
          <w:p w:rsidR="00C64D34" w:rsidRDefault="00C64D34" w:rsidP="003B3728">
            <w:pPr>
              <w:pStyle w:val="Tabletext"/>
              <w:ind w:left="227"/>
              <w:jc w:val="left"/>
            </w:pPr>
            <w:r>
              <w:t>0,54039</w:t>
            </w:r>
          </w:p>
        </w:tc>
        <w:tc>
          <w:tcPr>
            <w:tcW w:w="1548" w:type="dxa"/>
            <w:vMerge/>
          </w:tcPr>
          <w:p w:rsidR="00C64D34" w:rsidRDefault="00C64D34" w:rsidP="00CF3C59">
            <w:pPr>
              <w:jc w:val="center"/>
            </w:pPr>
          </w:p>
        </w:tc>
        <w:tc>
          <w:tcPr>
            <w:tcW w:w="1548" w:type="dxa"/>
            <w:vMerge/>
          </w:tcPr>
          <w:p w:rsidR="00C64D34" w:rsidRDefault="00C64D34" w:rsidP="00CF3C59">
            <w:pPr>
              <w:jc w:val="center"/>
            </w:pPr>
          </w:p>
        </w:tc>
      </w:tr>
      <w:tr w:rsidR="00C64D34">
        <w:trPr>
          <w:jc w:val="center"/>
        </w:trPr>
        <w:tc>
          <w:tcPr>
            <w:tcW w:w="708" w:type="dxa"/>
          </w:tcPr>
          <w:p w:rsidR="00C64D34" w:rsidRDefault="00C64D34" w:rsidP="00CF3C59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547" w:type="dxa"/>
          </w:tcPr>
          <w:p w:rsidR="00C64D34" w:rsidRDefault="00C64D34" w:rsidP="003B3728">
            <w:pPr>
              <w:pStyle w:val="Tabletext"/>
              <w:ind w:right="255"/>
              <w:jc w:val="right"/>
            </w:pPr>
            <w:r>
              <w:t>–0,20238</w:t>
            </w:r>
          </w:p>
        </w:tc>
        <w:tc>
          <w:tcPr>
            <w:tcW w:w="1548" w:type="dxa"/>
          </w:tcPr>
          <w:p w:rsidR="00C64D34" w:rsidRDefault="00C64D34" w:rsidP="003B3728">
            <w:pPr>
              <w:pStyle w:val="Tabletext"/>
              <w:ind w:left="227"/>
              <w:jc w:val="left"/>
            </w:pPr>
            <w:r>
              <w:t>1,14520</w:t>
            </w:r>
          </w:p>
        </w:tc>
        <w:tc>
          <w:tcPr>
            <w:tcW w:w="1548" w:type="dxa"/>
          </w:tcPr>
          <w:p w:rsidR="00C64D34" w:rsidRDefault="00C64D34" w:rsidP="003B3728">
            <w:pPr>
              <w:pStyle w:val="Tabletext"/>
              <w:ind w:left="227"/>
              <w:jc w:val="left"/>
            </w:pPr>
            <w:r>
              <w:t>0,26809</w:t>
            </w:r>
          </w:p>
        </w:tc>
        <w:tc>
          <w:tcPr>
            <w:tcW w:w="1548" w:type="dxa"/>
            <w:vMerge/>
          </w:tcPr>
          <w:p w:rsidR="00C64D34" w:rsidRDefault="00C64D34" w:rsidP="00CF3C59">
            <w:pPr>
              <w:jc w:val="center"/>
            </w:pPr>
          </w:p>
        </w:tc>
        <w:tc>
          <w:tcPr>
            <w:tcW w:w="1548" w:type="dxa"/>
            <w:vMerge/>
          </w:tcPr>
          <w:p w:rsidR="00C64D34" w:rsidRDefault="00C64D34" w:rsidP="00CF3C59">
            <w:pPr>
              <w:jc w:val="center"/>
            </w:pPr>
          </w:p>
        </w:tc>
      </w:tr>
      <w:tr w:rsidR="00C64D34">
        <w:trPr>
          <w:jc w:val="center"/>
        </w:trPr>
        <w:tc>
          <w:tcPr>
            <w:tcW w:w="708" w:type="dxa"/>
          </w:tcPr>
          <w:p w:rsidR="00C64D34" w:rsidRDefault="00C64D34" w:rsidP="00CF3C59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547" w:type="dxa"/>
          </w:tcPr>
          <w:p w:rsidR="00C64D34" w:rsidRDefault="00C64D34" w:rsidP="003B3728">
            <w:pPr>
              <w:pStyle w:val="Tabletext"/>
              <w:ind w:left="170"/>
              <w:jc w:val="left"/>
            </w:pPr>
            <w:r>
              <w:t>–48,2991</w:t>
            </w:r>
          </w:p>
        </w:tc>
        <w:tc>
          <w:tcPr>
            <w:tcW w:w="1548" w:type="dxa"/>
          </w:tcPr>
          <w:p w:rsidR="00C64D34" w:rsidRDefault="00C64D34" w:rsidP="003B3728">
            <w:pPr>
              <w:pStyle w:val="Tabletext"/>
              <w:ind w:left="227"/>
              <w:jc w:val="left"/>
            </w:pPr>
            <w:r>
              <w:t>0,791669</w:t>
            </w:r>
          </w:p>
        </w:tc>
        <w:tc>
          <w:tcPr>
            <w:tcW w:w="1548" w:type="dxa"/>
          </w:tcPr>
          <w:p w:rsidR="00C64D34" w:rsidRDefault="00C64D34" w:rsidP="003B3728">
            <w:pPr>
              <w:pStyle w:val="Tabletext"/>
              <w:ind w:left="227"/>
              <w:jc w:val="left"/>
            </w:pPr>
            <w:r>
              <w:t>0,116226</w:t>
            </w:r>
          </w:p>
        </w:tc>
        <w:tc>
          <w:tcPr>
            <w:tcW w:w="1548" w:type="dxa"/>
            <w:vMerge/>
          </w:tcPr>
          <w:p w:rsidR="00C64D34" w:rsidRDefault="00C64D34" w:rsidP="00CF3C59">
            <w:pPr>
              <w:jc w:val="center"/>
            </w:pPr>
          </w:p>
        </w:tc>
        <w:tc>
          <w:tcPr>
            <w:tcW w:w="1548" w:type="dxa"/>
            <w:vMerge/>
          </w:tcPr>
          <w:p w:rsidR="00C64D34" w:rsidRDefault="00C64D34" w:rsidP="00CF3C59">
            <w:pPr>
              <w:jc w:val="center"/>
            </w:pPr>
          </w:p>
        </w:tc>
      </w:tr>
      <w:tr w:rsidR="00C64D34">
        <w:trPr>
          <w:jc w:val="center"/>
        </w:trPr>
        <w:tc>
          <w:tcPr>
            <w:tcW w:w="708" w:type="dxa"/>
          </w:tcPr>
          <w:p w:rsidR="00C64D34" w:rsidRDefault="00C64D34" w:rsidP="00CF3C59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547" w:type="dxa"/>
          </w:tcPr>
          <w:p w:rsidR="00C64D34" w:rsidRDefault="00C64D34" w:rsidP="003B3728">
            <w:pPr>
              <w:pStyle w:val="Tabletext"/>
              <w:ind w:left="284"/>
              <w:jc w:val="left"/>
            </w:pPr>
            <w:r>
              <w:t>48,5833</w:t>
            </w:r>
          </w:p>
        </w:tc>
        <w:tc>
          <w:tcPr>
            <w:tcW w:w="1548" w:type="dxa"/>
          </w:tcPr>
          <w:p w:rsidR="00C64D34" w:rsidRDefault="00C64D34" w:rsidP="003B3728">
            <w:pPr>
              <w:pStyle w:val="Tabletext"/>
              <w:ind w:left="227"/>
              <w:jc w:val="left"/>
            </w:pPr>
            <w:r>
              <w:t>0,791459</w:t>
            </w:r>
          </w:p>
        </w:tc>
        <w:tc>
          <w:tcPr>
            <w:tcW w:w="1548" w:type="dxa"/>
          </w:tcPr>
          <w:p w:rsidR="00C64D34" w:rsidRDefault="00C64D34" w:rsidP="003B3728">
            <w:pPr>
              <w:pStyle w:val="Tabletext"/>
              <w:ind w:left="227"/>
              <w:jc w:val="left"/>
            </w:pPr>
            <w:r>
              <w:t>0,116479</w:t>
            </w:r>
          </w:p>
        </w:tc>
        <w:tc>
          <w:tcPr>
            <w:tcW w:w="1548" w:type="dxa"/>
            <w:vMerge/>
          </w:tcPr>
          <w:p w:rsidR="00C64D34" w:rsidRDefault="00C64D34" w:rsidP="00CF3C59">
            <w:pPr>
              <w:jc w:val="center"/>
            </w:pPr>
          </w:p>
        </w:tc>
        <w:tc>
          <w:tcPr>
            <w:tcW w:w="1548" w:type="dxa"/>
            <w:vMerge/>
          </w:tcPr>
          <w:p w:rsidR="00C64D34" w:rsidRDefault="00C64D34" w:rsidP="00CF3C59">
            <w:pPr>
              <w:jc w:val="center"/>
            </w:pPr>
          </w:p>
        </w:tc>
      </w:tr>
    </w:tbl>
    <w:p w:rsidR="00C64D34" w:rsidRPr="003B3728" w:rsidRDefault="00C64D34" w:rsidP="003B3728">
      <w:pPr>
        <w:pStyle w:val="Tablefin"/>
        <w:rPr>
          <w:lang w:val="es-ES_tradnl"/>
        </w:rPr>
      </w:pPr>
    </w:p>
    <w:p w:rsidR="00C64D34" w:rsidRDefault="00C64D34" w:rsidP="00C64D34">
      <w:pPr>
        <w:rPr>
          <w:lang w:val="es-ES"/>
        </w:rPr>
      </w:pPr>
      <w:r>
        <w:rPr>
          <w:lang w:val="es-ES"/>
        </w:rPr>
        <w:lastRenderedPageBreak/>
        <w:t xml:space="preserve">Para la polarización lineal y circular, y para cualquier geometría del trayecto, los coeficientes de la ecuación (1) pueden calcularse mediante los valores </w:t>
      </w:r>
      <w:r w:rsidR="003B3728">
        <w:rPr>
          <w:lang w:val="es-ES"/>
        </w:rPr>
        <w:t xml:space="preserve">de las ecuaciones (2) y (3) </w:t>
      </w:r>
      <w:r>
        <w:rPr>
          <w:lang w:val="es-ES"/>
        </w:rPr>
        <w:t>utilizando las ecuaciones siguientes:</w:t>
      </w:r>
    </w:p>
    <w:p w:rsidR="00BB56A8" w:rsidRPr="003E3546" w:rsidRDefault="00BB56A8" w:rsidP="00BB56A8">
      <w:pPr>
        <w:pStyle w:val="Blanc"/>
        <w:rPr>
          <w:lang w:val="es-ES"/>
        </w:rPr>
      </w:pPr>
    </w:p>
    <w:p w:rsidR="00C64D34" w:rsidRDefault="00C64D34" w:rsidP="00C64D34">
      <w:pPr>
        <w:pStyle w:val="Equation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position w:val="-12"/>
        </w:rPr>
        <w:object w:dxaOrig="4180" w:dyaOrig="440">
          <v:shape id="_x0000_i1028" type="#_x0000_t75" style="width:209.1pt;height:21.9pt" o:ole="">
            <v:imagedata r:id="rId12" o:title=""/>
          </v:shape>
          <o:OLEObject Type="Embed" ProgID="Equation.3" ShapeID="_x0000_i1028" DrawAspect="Content" ObjectID="_1570540295" r:id="rId13"/>
        </w:object>
      </w:r>
      <w:r>
        <w:rPr>
          <w:lang w:val="es-ES"/>
        </w:rPr>
        <w:tab/>
        <w:t>(4)</w:t>
      </w:r>
    </w:p>
    <w:p w:rsidR="00BB56A8" w:rsidRPr="003E3546" w:rsidRDefault="00BB56A8" w:rsidP="00BB56A8">
      <w:pPr>
        <w:pStyle w:val="Blanc"/>
        <w:rPr>
          <w:lang w:val="es-ES"/>
        </w:rPr>
      </w:pPr>
    </w:p>
    <w:p w:rsidR="00C64D34" w:rsidRDefault="00C64D34" w:rsidP="00C64D34">
      <w:pPr>
        <w:pStyle w:val="Equation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 w:rsidR="003B3728" w:rsidRPr="003B3728">
        <w:rPr>
          <w:position w:val="-12"/>
        </w:rPr>
        <w:object w:dxaOrig="5620" w:dyaOrig="420">
          <v:shape id="_x0000_i1029" type="#_x0000_t75" style="width:281.1pt;height:21.3pt" o:ole="">
            <v:imagedata r:id="rId14" o:title=""/>
          </v:shape>
          <o:OLEObject Type="Embed" ProgID="Equation.3" ShapeID="_x0000_i1029" DrawAspect="Content" ObjectID="_1570540296" r:id="rId15"/>
        </w:object>
      </w:r>
      <w:r>
        <w:rPr>
          <w:position w:val="-10"/>
        </w:rPr>
        <w:object w:dxaOrig="180" w:dyaOrig="340">
          <v:shape id="_x0000_i1030" type="#_x0000_t75" style="width:8.75pt;height:16.9pt" o:ole="">
            <v:imagedata r:id="rId16" o:title=""/>
          </v:shape>
          <o:OLEObject Type="Embed" ProgID="Equation.3" ShapeID="_x0000_i1030" DrawAspect="Content" ObjectID="_1570540297" r:id="rId17"/>
        </w:object>
      </w:r>
      <w:r>
        <w:rPr>
          <w:lang w:val="es-ES"/>
        </w:rPr>
        <w:tab/>
        <w:t>(5)</w:t>
      </w:r>
    </w:p>
    <w:p w:rsidR="00BB56A8" w:rsidRPr="003E3546" w:rsidRDefault="00BB56A8" w:rsidP="00BB56A8">
      <w:pPr>
        <w:pStyle w:val="Blanc"/>
        <w:rPr>
          <w:lang w:val="es-ES"/>
        </w:rPr>
      </w:pPr>
    </w:p>
    <w:p w:rsidR="00C64D34" w:rsidRDefault="00C64D34" w:rsidP="00C64D34">
      <w:pPr>
        <w:rPr>
          <w:lang w:val="es-ES"/>
        </w:rPr>
      </w:pPr>
      <w:proofErr w:type="gramStart"/>
      <w:r>
        <w:rPr>
          <w:lang w:val="es-ES"/>
        </w:rPr>
        <w:t>donde</w:t>
      </w:r>
      <w:proofErr w:type="gramEnd"/>
      <w:r>
        <w:rPr>
          <w:lang w:val="es-ES"/>
        </w:rPr>
        <w:t xml:space="preserve"> </w:t>
      </w:r>
      <w:r>
        <w:rPr>
          <w:rFonts w:ascii="Symbol" w:hAnsi="Symbol"/>
        </w:rPr>
        <w:t></w:t>
      </w:r>
      <w:r>
        <w:rPr>
          <w:lang w:val="es-ES"/>
        </w:rPr>
        <w:t xml:space="preserve"> es el ángulo de elevación del trayecto y </w:t>
      </w:r>
      <w:r>
        <w:rPr>
          <w:rFonts w:ascii="Symbol" w:hAnsi="Symbol"/>
        </w:rPr>
        <w:t></w:t>
      </w:r>
      <w:r>
        <w:rPr>
          <w:lang w:val="es-ES"/>
        </w:rPr>
        <w:t xml:space="preserve"> es el ángulo de inclinación de la polarización con respecto a la horizontal (</w:t>
      </w:r>
      <w:r>
        <w:rPr>
          <w:rFonts w:ascii="Symbol" w:hAnsi="Symbol"/>
        </w:rPr>
        <w:t></w:t>
      </w:r>
      <w:r>
        <w:rPr>
          <w:lang w:val="es-ES"/>
        </w:rPr>
        <w:t xml:space="preserve"> </w:t>
      </w:r>
      <w:r>
        <w:rPr>
          <w:rFonts w:ascii="Symbol" w:hAnsi="Symbol"/>
        </w:rPr>
        <w:t></w:t>
      </w:r>
      <w:r>
        <w:rPr>
          <w:lang w:val="es-ES"/>
        </w:rPr>
        <w:t xml:space="preserve"> 45° para la polarización circular).</w:t>
      </w:r>
    </w:p>
    <w:p w:rsidR="00CF3C59" w:rsidRDefault="00CF3C59" w:rsidP="00CF3C59">
      <w:pPr>
        <w:rPr>
          <w:iCs/>
          <w:lang w:val="es-ES_tradnl"/>
        </w:rPr>
      </w:pPr>
      <w:r>
        <w:rPr>
          <w:lang w:val="es-ES"/>
        </w:rPr>
        <w:t xml:space="preserve">Para facilitar su consulta, los coeficientes </w:t>
      </w:r>
      <w:r>
        <w:rPr>
          <w:i/>
          <w:iCs/>
          <w:lang w:val="es-ES"/>
        </w:rPr>
        <w:t xml:space="preserve">k </w:t>
      </w:r>
      <w:r>
        <w:rPr>
          <w:lang w:val="es-ES"/>
        </w:rPr>
        <w:t xml:space="preserve">y </w:t>
      </w:r>
      <w:r>
        <w:rPr>
          <w:rFonts w:ascii="Symbol" w:hAnsi="Symbol"/>
          <w:iCs/>
        </w:rPr>
        <w:t></w:t>
      </w:r>
      <w:r w:rsidRPr="00CF3C59">
        <w:rPr>
          <w:iCs/>
          <w:lang w:val="es-ES_tradnl"/>
        </w:rPr>
        <w:t xml:space="preserve"> se muestran gráficamente en las Figs. 1 a 4, y en el Cuadro 5 se indican los valores numéricos de los coeficientes en determinadas frecuencias.</w:t>
      </w:r>
    </w:p>
    <w:p w:rsidR="00BB56A8" w:rsidRDefault="00BB56A8" w:rsidP="00CF3C59">
      <w:pPr>
        <w:rPr>
          <w:lang w:val="es-ES"/>
        </w:rPr>
      </w:pPr>
    </w:p>
    <w:p w:rsidR="006663A8" w:rsidRPr="006663A8" w:rsidRDefault="006663A8" w:rsidP="006663A8">
      <w:pPr>
        <w:pStyle w:val="FigureNo"/>
        <w:keepNext/>
        <w:rPr>
          <w:lang w:val="es-ES_tradnl"/>
        </w:rPr>
      </w:pPr>
      <w:r w:rsidRPr="006663A8">
        <w:rPr>
          <w:lang w:val="es-ES_tradnl"/>
        </w:rPr>
        <w:t>FIGURA 1</w:t>
      </w:r>
    </w:p>
    <w:p w:rsidR="006663A8" w:rsidRPr="006663A8" w:rsidRDefault="006663A8" w:rsidP="006663A8">
      <w:pPr>
        <w:pStyle w:val="Figuretitle"/>
        <w:rPr>
          <w:lang w:val="es-ES_tradnl"/>
        </w:rPr>
      </w:pPr>
      <w:r w:rsidRPr="006663A8">
        <w:rPr>
          <w:lang w:val="es-ES_tradnl"/>
        </w:rPr>
        <w:t xml:space="preserve">Coeficiente </w:t>
      </w:r>
      <w:r w:rsidRPr="006663A8">
        <w:rPr>
          <w:i/>
          <w:lang w:val="es-ES_tradnl"/>
        </w:rPr>
        <w:t>k</w:t>
      </w:r>
      <w:r w:rsidRPr="006663A8">
        <w:rPr>
          <w:lang w:val="es-ES_tradnl"/>
        </w:rPr>
        <w:t xml:space="preserve"> de polarización horizontal</w:t>
      </w:r>
    </w:p>
    <w:p w:rsidR="00CF3C59" w:rsidRDefault="003E5563" w:rsidP="006663A8">
      <w:pPr>
        <w:pStyle w:val="Figure"/>
      </w:pPr>
      <w:r>
        <w:object w:dxaOrig="7692" w:dyaOrig="5846">
          <v:shape id="_x0000_i1031" type="#_x0000_t75" style="width:384.4pt;height:292.4pt" o:ole="" o:allowoverlap="f">
            <v:imagedata r:id="rId18" o:title=""/>
          </v:shape>
          <o:OLEObject Type="Embed" ProgID="CorelDraw.Graphic.12" ShapeID="_x0000_i1031" DrawAspect="Content" ObjectID="_1570540298" r:id="rId19"/>
        </w:object>
      </w:r>
    </w:p>
    <w:p w:rsidR="00CF3C59" w:rsidRPr="00BB56A8" w:rsidRDefault="006663A8" w:rsidP="00BB56A8">
      <w:pPr>
        <w:pStyle w:val="FigureNo"/>
        <w:keepNext/>
        <w:rPr>
          <w:lang w:val="es-ES_tradnl"/>
        </w:rPr>
      </w:pPr>
      <w:r w:rsidRPr="00BB56A8">
        <w:rPr>
          <w:lang w:val="es-ES_tradnl"/>
        </w:rPr>
        <w:lastRenderedPageBreak/>
        <w:t>FIGURA 2</w:t>
      </w:r>
    </w:p>
    <w:p w:rsidR="006663A8" w:rsidRPr="00BB56A8" w:rsidRDefault="006663A8" w:rsidP="006663A8">
      <w:pPr>
        <w:pStyle w:val="Figuretitle"/>
        <w:rPr>
          <w:lang w:val="es-ES_tradnl"/>
        </w:rPr>
      </w:pPr>
      <w:r w:rsidRPr="00BB56A8">
        <w:rPr>
          <w:lang w:val="es-ES_tradnl"/>
        </w:rPr>
        <w:t xml:space="preserve">Coeficiente </w:t>
      </w:r>
      <w:r>
        <w:sym w:font="Symbol" w:char="F061"/>
      </w:r>
      <w:r w:rsidRPr="00BB56A8">
        <w:rPr>
          <w:lang w:val="es-ES_tradnl"/>
        </w:rPr>
        <w:t xml:space="preserve"> de polarización horizontal</w:t>
      </w:r>
    </w:p>
    <w:p w:rsidR="006663A8" w:rsidRDefault="006663A8" w:rsidP="006663A8">
      <w:pPr>
        <w:pStyle w:val="Figure"/>
      </w:pPr>
      <w:r>
        <w:object w:dxaOrig="7672" w:dyaOrig="5802">
          <v:shape id="_x0000_i1032" type="#_x0000_t75" style="width:383.8pt;height:289.9pt" o:ole="">
            <v:imagedata r:id="rId20" o:title=""/>
          </v:shape>
          <o:OLEObject Type="Embed" ProgID="CorelDraw.Graphic.12" ShapeID="_x0000_i1032" DrawAspect="Content" ObjectID="_1570540299" r:id="rId21"/>
        </w:object>
      </w:r>
    </w:p>
    <w:p w:rsidR="00BB56A8" w:rsidRPr="00BB56A8" w:rsidRDefault="00BB56A8" w:rsidP="00BB56A8"/>
    <w:p w:rsidR="00CF3C59" w:rsidRPr="006663A8" w:rsidRDefault="006663A8" w:rsidP="003B3728">
      <w:pPr>
        <w:pStyle w:val="FigureNo"/>
        <w:rPr>
          <w:lang w:val="es-ES_tradnl"/>
        </w:rPr>
      </w:pPr>
      <w:r w:rsidRPr="006663A8">
        <w:rPr>
          <w:lang w:val="es-ES_tradnl"/>
        </w:rPr>
        <w:t>figura 3</w:t>
      </w:r>
    </w:p>
    <w:p w:rsidR="006663A8" w:rsidRPr="006663A8" w:rsidRDefault="006663A8" w:rsidP="006663A8">
      <w:pPr>
        <w:pStyle w:val="Figuretitle"/>
        <w:rPr>
          <w:lang w:val="es-ES_tradnl"/>
        </w:rPr>
      </w:pPr>
      <w:r w:rsidRPr="006663A8">
        <w:rPr>
          <w:lang w:val="es-ES_tradnl"/>
        </w:rPr>
        <w:t xml:space="preserve">Coeficiente </w:t>
      </w:r>
      <w:r w:rsidRPr="006663A8">
        <w:rPr>
          <w:i/>
          <w:lang w:val="es-ES_tradnl"/>
        </w:rPr>
        <w:t>k</w:t>
      </w:r>
      <w:r w:rsidRPr="006663A8">
        <w:rPr>
          <w:lang w:val="es-ES_tradnl"/>
        </w:rPr>
        <w:t xml:space="preserve"> de polarización vertical</w:t>
      </w:r>
    </w:p>
    <w:p w:rsidR="006663A8" w:rsidRPr="006663A8" w:rsidRDefault="006663A8" w:rsidP="006663A8">
      <w:pPr>
        <w:pStyle w:val="Figure"/>
        <w:rPr>
          <w:lang w:val="es-ES_tradnl"/>
        </w:rPr>
      </w:pPr>
      <w:r>
        <w:object w:dxaOrig="7692" w:dyaOrig="5826">
          <v:shape id="_x0000_i1033" type="#_x0000_t75" style="width:384.4pt;height:291.15pt" o:ole="">
            <v:imagedata r:id="rId22" o:title=""/>
          </v:shape>
          <o:OLEObject Type="Embed" ProgID="CorelDraw.Graphic.12" ShapeID="_x0000_i1033" DrawAspect="Content" ObjectID="_1570540300" r:id="rId23"/>
        </w:object>
      </w:r>
    </w:p>
    <w:p w:rsidR="00CF3C59" w:rsidRDefault="006663A8" w:rsidP="003B3728">
      <w:pPr>
        <w:pStyle w:val="FigureNo"/>
        <w:rPr>
          <w:lang w:val="es-ES"/>
        </w:rPr>
      </w:pPr>
      <w:r>
        <w:rPr>
          <w:lang w:val="es-ES"/>
        </w:rPr>
        <w:lastRenderedPageBreak/>
        <w:t>FIGURA 4</w:t>
      </w:r>
    </w:p>
    <w:p w:rsidR="006663A8" w:rsidRDefault="006663A8" w:rsidP="006663A8">
      <w:pPr>
        <w:pStyle w:val="Figuretitle"/>
        <w:rPr>
          <w:lang w:val="es-ES"/>
        </w:rPr>
      </w:pPr>
      <w:r>
        <w:rPr>
          <w:lang w:val="es-ES"/>
        </w:rPr>
        <w:t xml:space="preserve">Coeficiente </w:t>
      </w:r>
      <w:r>
        <w:rPr>
          <w:lang w:val="es-ES"/>
        </w:rPr>
        <w:sym w:font="Symbol" w:char="F061"/>
      </w:r>
      <w:r>
        <w:rPr>
          <w:lang w:val="es-ES"/>
        </w:rPr>
        <w:t xml:space="preserve"> de polarización vertical</w:t>
      </w:r>
    </w:p>
    <w:p w:rsidR="006663A8" w:rsidRPr="006663A8" w:rsidRDefault="006663A8" w:rsidP="006663A8">
      <w:pPr>
        <w:pStyle w:val="Figure"/>
        <w:rPr>
          <w:lang w:val="es-ES"/>
        </w:rPr>
      </w:pPr>
      <w:r>
        <w:object w:dxaOrig="7672" w:dyaOrig="5805">
          <v:shape id="_x0000_i1034" type="#_x0000_t75" style="width:383.8pt;height:290.5pt" o:ole="">
            <v:imagedata r:id="rId24" o:title=""/>
          </v:shape>
          <o:OLEObject Type="Embed" ProgID="CorelDraw.Graphic.12" ShapeID="_x0000_i1034" DrawAspect="Content" ObjectID="_1570540301" r:id="rId25"/>
        </w:object>
      </w:r>
    </w:p>
    <w:p w:rsidR="00CF3C59" w:rsidRPr="006663A8" w:rsidRDefault="00CF3C59" w:rsidP="00CF3C59">
      <w:pPr>
        <w:rPr>
          <w:lang w:val="es-ES_tradnl"/>
        </w:rPr>
      </w:pPr>
    </w:p>
    <w:p w:rsidR="00CF3C59" w:rsidRDefault="00CB00C4" w:rsidP="00966339">
      <w:pPr>
        <w:pStyle w:val="TableNo"/>
        <w:rPr>
          <w:lang w:val="es-ES"/>
        </w:rPr>
      </w:pPr>
      <w:r>
        <w:rPr>
          <w:lang w:val="es-ES"/>
        </w:rPr>
        <w:t>CUADRO</w:t>
      </w:r>
      <w:r w:rsidR="00CF3C59">
        <w:rPr>
          <w:lang w:val="es-ES"/>
        </w:rPr>
        <w:t xml:space="preserve"> 5</w:t>
      </w:r>
    </w:p>
    <w:p w:rsidR="00CF3C59" w:rsidRDefault="00CF3C59" w:rsidP="00966339">
      <w:pPr>
        <w:pStyle w:val="Tabletitle"/>
        <w:rPr>
          <w:lang w:val="es-ES"/>
        </w:rPr>
      </w:pPr>
      <w:r>
        <w:rPr>
          <w:lang w:val="es-ES"/>
        </w:rPr>
        <w:t xml:space="preserve">Coeficientes que dependen de la frecuencia para estimar la atenuación </w:t>
      </w:r>
      <w:r>
        <w:rPr>
          <w:lang w:val="es-ES"/>
        </w:rPr>
        <w:br/>
        <w:t>específica debida a la lluvia utilizando las ecuaciones (4), (5) y (1)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1680"/>
        <w:gridCol w:w="1600"/>
        <w:gridCol w:w="1600"/>
        <w:gridCol w:w="1660"/>
      </w:tblGrid>
      <w:tr w:rsidR="00CF3C59">
        <w:trPr>
          <w:trHeight w:val="264"/>
          <w:jc w:val="center"/>
        </w:trPr>
        <w:tc>
          <w:tcPr>
            <w:tcW w:w="1360" w:type="dxa"/>
            <w:vAlign w:val="center"/>
          </w:tcPr>
          <w:p w:rsidR="00CF3C59" w:rsidRDefault="00CF3C59" w:rsidP="00CB00C4">
            <w:pPr>
              <w:pStyle w:val="Tablehead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Frecuencia</w:t>
            </w:r>
            <w:r>
              <w:rPr>
                <w:lang w:val="es-ES"/>
              </w:rPr>
              <w:br/>
              <w:t>(GHz)</w:t>
            </w:r>
          </w:p>
        </w:tc>
        <w:tc>
          <w:tcPr>
            <w:tcW w:w="1680" w:type="dxa"/>
            <w:vAlign w:val="center"/>
          </w:tcPr>
          <w:p w:rsidR="00CF3C59" w:rsidRDefault="00CF3C59" w:rsidP="00CB00C4">
            <w:pPr>
              <w:pStyle w:val="Tablehead"/>
              <w:rPr>
                <w:vertAlign w:val="subscript"/>
                <w:lang w:val="es-ES"/>
              </w:rPr>
            </w:pPr>
            <w:proofErr w:type="spellStart"/>
            <w:r>
              <w:rPr>
                <w:i/>
                <w:lang w:val="es-ES"/>
              </w:rPr>
              <w:t>k</w:t>
            </w:r>
            <w:r>
              <w:rPr>
                <w:i/>
                <w:vertAlign w:val="subscript"/>
                <w:lang w:val="es-ES"/>
              </w:rPr>
              <w:t>H</w:t>
            </w:r>
            <w:proofErr w:type="spellEnd"/>
          </w:p>
        </w:tc>
        <w:tc>
          <w:tcPr>
            <w:tcW w:w="1600" w:type="dxa"/>
            <w:vAlign w:val="center"/>
          </w:tcPr>
          <w:p w:rsidR="00CF3C59" w:rsidRDefault="00CF3C59" w:rsidP="00CB00C4">
            <w:pPr>
              <w:pStyle w:val="Tablehead"/>
              <w:rPr>
                <w:rFonts w:eastAsia="Arial Unicode MS"/>
                <w:i/>
                <w:vertAlign w:val="subscript"/>
                <w:lang w:val="en-US"/>
              </w:rPr>
            </w:pPr>
            <w:r w:rsidRPr="00CB00C4">
              <w:rPr>
                <w:rFonts w:hint="eastAsia"/>
              </w:rPr>
              <w:sym w:font="Symbol" w:char="F061"/>
            </w:r>
            <w:r>
              <w:rPr>
                <w:i/>
                <w:vertAlign w:val="subscript"/>
                <w:lang w:val="en-US"/>
              </w:rPr>
              <w:t>H</w:t>
            </w:r>
          </w:p>
        </w:tc>
        <w:tc>
          <w:tcPr>
            <w:tcW w:w="1600" w:type="dxa"/>
            <w:vAlign w:val="center"/>
          </w:tcPr>
          <w:p w:rsidR="00CF3C59" w:rsidRDefault="00CF3C59" w:rsidP="00CB00C4">
            <w:pPr>
              <w:pStyle w:val="Tablehead"/>
              <w:rPr>
                <w:vertAlign w:val="subscript"/>
              </w:rPr>
            </w:pPr>
            <w:r>
              <w:rPr>
                <w:i/>
              </w:rPr>
              <w:t>k</w:t>
            </w:r>
            <w:r>
              <w:rPr>
                <w:i/>
                <w:vertAlign w:val="subscript"/>
              </w:rPr>
              <w:t>V</w:t>
            </w:r>
          </w:p>
        </w:tc>
        <w:tc>
          <w:tcPr>
            <w:tcW w:w="1660" w:type="dxa"/>
            <w:vAlign w:val="center"/>
          </w:tcPr>
          <w:p w:rsidR="00CF3C59" w:rsidRDefault="00CF3C59" w:rsidP="00CB00C4">
            <w:pPr>
              <w:pStyle w:val="Tablehead"/>
              <w:rPr>
                <w:rFonts w:eastAsia="Arial Unicode MS"/>
                <w:i/>
                <w:vertAlign w:val="subscript"/>
                <w:lang w:val="en-US"/>
              </w:rPr>
            </w:pPr>
            <w:r w:rsidRPr="00CB00C4">
              <w:rPr>
                <w:rFonts w:hint="eastAsia"/>
              </w:rPr>
              <w:sym w:font="Symbol" w:char="F061"/>
            </w:r>
            <w:r>
              <w:rPr>
                <w:i/>
                <w:vertAlign w:val="subscript"/>
                <w:lang w:val="en-US"/>
              </w:rPr>
              <w:t>V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0,0000259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0,9691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0,0000308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0,8592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1,5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0,0000443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1,0185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0,0000574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0,8957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0,0000847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1,0664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0,0000998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0,9490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2,5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0,0001321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1,1209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0,0001464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1,0085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0,0001390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1,2322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0,0001942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1,0688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3,5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0,0001155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1,4189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0,0002346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1,1387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0,0001071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1,6009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0,0002461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1,2476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4,5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0,0001340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1,6948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0,0002347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1,3987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0,0002162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1,6969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0,0002428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1,5317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5,5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0,0003909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1,6499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0,0003115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1,5882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0,0007056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1,5900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0,0004878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1,5728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0,001915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1,4810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0,001425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1,4745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0,004115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1,3905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0,003450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1,3797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0,007535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1,3155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0,006691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1,2895</w:t>
            </w:r>
          </w:p>
        </w:tc>
      </w:tr>
    </w:tbl>
    <w:p w:rsidR="00BB56A8" w:rsidRDefault="00BB56A8" w:rsidP="00BB56A8">
      <w:pPr>
        <w:pStyle w:val="Tablefin"/>
      </w:pPr>
    </w:p>
    <w:p w:rsidR="00BB56A8" w:rsidRDefault="00BB56A8" w:rsidP="00BB56A8">
      <w:pPr>
        <w:pStyle w:val="TableNo"/>
        <w:rPr>
          <w:lang w:val="es-ES"/>
        </w:rPr>
      </w:pPr>
      <w:r>
        <w:rPr>
          <w:lang w:val="es-ES"/>
        </w:rPr>
        <w:lastRenderedPageBreak/>
        <w:t>CUADRO 5 (</w:t>
      </w:r>
      <w:r>
        <w:rPr>
          <w:i/>
          <w:iCs/>
          <w:caps/>
          <w:lang w:val="es-ES"/>
        </w:rPr>
        <w:t>c</w:t>
      </w:r>
      <w:r>
        <w:rPr>
          <w:i/>
          <w:iCs/>
          <w:lang w:val="es-ES"/>
        </w:rPr>
        <w:t>ontinuación</w:t>
      </w:r>
      <w:r>
        <w:rPr>
          <w:lang w:val="es-ES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1680"/>
        <w:gridCol w:w="1600"/>
        <w:gridCol w:w="1600"/>
        <w:gridCol w:w="1660"/>
      </w:tblGrid>
      <w:tr w:rsidR="00BB56A8">
        <w:trPr>
          <w:trHeight w:val="264"/>
          <w:jc w:val="center"/>
        </w:trPr>
        <w:tc>
          <w:tcPr>
            <w:tcW w:w="1360" w:type="dxa"/>
            <w:vAlign w:val="center"/>
          </w:tcPr>
          <w:p w:rsidR="00BB56A8" w:rsidRDefault="00BB56A8" w:rsidP="00BB56A8">
            <w:pPr>
              <w:pStyle w:val="Tablehead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Frecuencia</w:t>
            </w:r>
            <w:r>
              <w:rPr>
                <w:lang w:val="es-ES"/>
              </w:rPr>
              <w:br/>
              <w:t>(GHz)</w:t>
            </w:r>
          </w:p>
        </w:tc>
        <w:tc>
          <w:tcPr>
            <w:tcW w:w="1680" w:type="dxa"/>
            <w:vAlign w:val="center"/>
          </w:tcPr>
          <w:p w:rsidR="00BB56A8" w:rsidRDefault="00BB56A8" w:rsidP="00BB56A8">
            <w:pPr>
              <w:pStyle w:val="Tablehead"/>
              <w:rPr>
                <w:vertAlign w:val="subscript"/>
                <w:lang w:val="es-ES"/>
              </w:rPr>
            </w:pPr>
            <w:proofErr w:type="spellStart"/>
            <w:r>
              <w:rPr>
                <w:i/>
                <w:lang w:val="es-ES"/>
              </w:rPr>
              <w:t>k</w:t>
            </w:r>
            <w:r>
              <w:rPr>
                <w:i/>
                <w:vertAlign w:val="subscript"/>
                <w:lang w:val="es-ES"/>
              </w:rPr>
              <w:t>H</w:t>
            </w:r>
            <w:proofErr w:type="spellEnd"/>
          </w:p>
        </w:tc>
        <w:tc>
          <w:tcPr>
            <w:tcW w:w="1600" w:type="dxa"/>
            <w:vAlign w:val="center"/>
          </w:tcPr>
          <w:p w:rsidR="00BB56A8" w:rsidRDefault="00BB56A8" w:rsidP="00BB56A8">
            <w:pPr>
              <w:pStyle w:val="Tablehead"/>
              <w:rPr>
                <w:rFonts w:eastAsia="Arial Unicode MS"/>
                <w:i/>
                <w:vertAlign w:val="subscript"/>
                <w:lang w:val="en-US"/>
              </w:rPr>
            </w:pPr>
            <w:r w:rsidRPr="00CB00C4">
              <w:rPr>
                <w:rFonts w:hint="eastAsia"/>
              </w:rPr>
              <w:sym w:font="Symbol" w:char="F061"/>
            </w:r>
            <w:r>
              <w:rPr>
                <w:i/>
                <w:vertAlign w:val="subscript"/>
                <w:lang w:val="en-US"/>
              </w:rPr>
              <w:t>H</w:t>
            </w:r>
          </w:p>
        </w:tc>
        <w:tc>
          <w:tcPr>
            <w:tcW w:w="1600" w:type="dxa"/>
            <w:vAlign w:val="center"/>
          </w:tcPr>
          <w:p w:rsidR="00BB56A8" w:rsidRDefault="00BB56A8" w:rsidP="00BB56A8">
            <w:pPr>
              <w:pStyle w:val="Tablehead"/>
              <w:rPr>
                <w:vertAlign w:val="subscript"/>
              </w:rPr>
            </w:pPr>
            <w:r>
              <w:rPr>
                <w:i/>
              </w:rPr>
              <w:t>k</w:t>
            </w:r>
            <w:r>
              <w:rPr>
                <w:i/>
                <w:vertAlign w:val="subscript"/>
              </w:rPr>
              <w:t>V</w:t>
            </w:r>
          </w:p>
        </w:tc>
        <w:tc>
          <w:tcPr>
            <w:tcW w:w="1660" w:type="dxa"/>
            <w:vAlign w:val="center"/>
          </w:tcPr>
          <w:p w:rsidR="00BB56A8" w:rsidRDefault="00BB56A8" w:rsidP="00BB56A8">
            <w:pPr>
              <w:pStyle w:val="Tablehead"/>
              <w:rPr>
                <w:rFonts w:eastAsia="Arial Unicode MS"/>
                <w:i/>
                <w:vertAlign w:val="subscript"/>
                <w:lang w:val="en-US"/>
              </w:rPr>
            </w:pPr>
            <w:r w:rsidRPr="00CB00C4">
              <w:rPr>
                <w:rFonts w:hint="eastAsia"/>
              </w:rPr>
              <w:sym w:font="Symbol" w:char="F061"/>
            </w:r>
            <w:r>
              <w:rPr>
                <w:i/>
                <w:vertAlign w:val="subscript"/>
                <w:lang w:val="en-US"/>
              </w:rPr>
              <w:t>V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0,01217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1,2571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0,01129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1,2156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0,01772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1,2140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0,01731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1,1617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0,02386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1,1825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0,02455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1,1216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0,03041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1,1586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0,03266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1,0901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0,03738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1,1396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0,04126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1,0646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0,04481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1,1233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0,05008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1,0440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0,05282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1,1086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0,05899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1,0273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0,06146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1,0949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0,06797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1,0137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0,07078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1,0818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0,07708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1,0025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0,08084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1,0691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0,08642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0,9930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0,09164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1,0568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0,09611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0,9847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0,1032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1,0447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0,1063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0,9771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0,1155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1,0329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0,1170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0,9700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0,1286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1,0214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0,1284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0,9630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24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0,1425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1,0101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0,1404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0,9561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0,1571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0,9991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0,1533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0,9491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0,1724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0,9884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0,1669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0,9421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27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0,1884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0,9780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0,1813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0,9349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28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0,2051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0,9679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0,1964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0,9277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29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0,2224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0,9580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0,2124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0,9203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0,2403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0,9485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0,2291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0,9129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31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0,2588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0,9392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0,2465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0,9055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32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0,2778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0,9302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0,2646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0,8981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33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0,2972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0,9214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0,2833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0,8907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34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0,3171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0,9129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0,3026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0,8834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35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0,3374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0,9047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0,3224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0,8761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36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0,3580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0,8967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0,3427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0,8690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37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0,3789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0,8890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0,3633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0,8621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38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0,4001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0,8816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0,3844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0,8552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39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0,4215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0,8743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0,4058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0,8486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0,4431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0,8673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0,4274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0,8421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41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0,4647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0,8605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0,4492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0,8357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42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0,4865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0,8539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0,4712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0,8296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43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0,5084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0,8476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0,4932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0,8236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44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0,5302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0,8414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0,5153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0,8179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45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0,5521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0,8355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0,5375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0,8123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46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0,5738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0,8297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0,5596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0,8069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47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0,5956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0,8241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0,5817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0,8017</w:t>
            </w:r>
          </w:p>
        </w:tc>
      </w:tr>
    </w:tbl>
    <w:p w:rsidR="00BB56A8" w:rsidRPr="00BB56A8" w:rsidRDefault="00BB56A8" w:rsidP="00BB56A8">
      <w:pPr>
        <w:pStyle w:val="Tablefin"/>
        <w:rPr>
          <w:sz w:val="2"/>
          <w:szCs w:val="2"/>
        </w:rPr>
      </w:pPr>
    </w:p>
    <w:p w:rsidR="00BB56A8" w:rsidRDefault="00BB56A8" w:rsidP="00BB56A8">
      <w:pPr>
        <w:pStyle w:val="TableNo"/>
        <w:rPr>
          <w:lang w:val="es-ES"/>
        </w:rPr>
      </w:pPr>
      <w:r>
        <w:rPr>
          <w:lang w:val="es-ES"/>
        </w:rPr>
        <w:lastRenderedPageBreak/>
        <w:t>CUADRO 5 (</w:t>
      </w:r>
      <w:r>
        <w:rPr>
          <w:i/>
          <w:iCs/>
          <w:caps/>
          <w:lang w:val="es-ES"/>
        </w:rPr>
        <w:t>c</w:t>
      </w:r>
      <w:r>
        <w:rPr>
          <w:i/>
          <w:iCs/>
          <w:lang w:val="es-ES"/>
        </w:rPr>
        <w:t>ontinuación</w:t>
      </w:r>
      <w:r>
        <w:rPr>
          <w:lang w:val="es-ES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1680"/>
        <w:gridCol w:w="1600"/>
        <w:gridCol w:w="1600"/>
        <w:gridCol w:w="1660"/>
      </w:tblGrid>
      <w:tr w:rsidR="00BB56A8">
        <w:trPr>
          <w:trHeight w:val="264"/>
          <w:jc w:val="center"/>
        </w:trPr>
        <w:tc>
          <w:tcPr>
            <w:tcW w:w="1360" w:type="dxa"/>
            <w:vAlign w:val="center"/>
          </w:tcPr>
          <w:p w:rsidR="00BB56A8" w:rsidRDefault="00BB56A8" w:rsidP="00BB56A8">
            <w:pPr>
              <w:pStyle w:val="Tablehead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Frecuencia</w:t>
            </w:r>
            <w:r>
              <w:rPr>
                <w:lang w:val="es-ES"/>
              </w:rPr>
              <w:br/>
              <w:t>(GHz)</w:t>
            </w:r>
          </w:p>
        </w:tc>
        <w:tc>
          <w:tcPr>
            <w:tcW w:w="1680" w:type="dxa"/>
            <w:vAlign w:val="center"/>
          </w:tcPr>
          <w:p w:rsidR="00BB56A8" w:rsidRDefault="00BB56A8" w:rsidP="00BB56A8">
            <w:pPr>
              <w:pStyle w:val="Tablehead"/>
              <w:rPr>
                <w:vertAlign w:val="subscript"/>
                <w:lang w:val="es-ES"/>
              </w:rPr>
            </w:pPr>
            <w:proofErr w:type="spellStart"/>
            <w:r>
              <w:rPr>
                <w:i/>
                <w:lang w:val="es-ES"/>
              </w:rPr>
              <w:t>k</w:t>
            </w:r>
            <w:r>
              <w:rPr>
                <w:i/>
                <w:vertAlign w:val="subscript"/>
                <w:lang w:val="es-ES"/>
              </w:rPr>
              <w:t>H</w:t>
            </w:r>
            <w:proofErr w:type="spellEnd"/>
          </w:p>
        </w:tc>
        <w:tc>
          <w:tcPr>
            <w:tcW w:w="1600" w:type="dxa"/>
            <w:vAlign w:val="center"/>
          </w:tcPr>
          <w:p w:rsidR="00BB56A8" w:rsidRDefault="00BB56A8" w:rsidP="00BB56A8">
            <w:pPr>
              <w:pStyle w:val="Tablehead"/>
              <w:rPr>
                <w:rFonts w:eastAsia="Arial Unicode MS"/>
                <w:i/>
                <w:vertAlign w:val="subscript"/>
                <w:lang w:val="en-US"/>
              </w:rPr>
            </w:pPr>
            <w:r w:rsidRPr="00CB00C4">
              <w:rPr>
                <w:rFonts w:hint="eastAsia"/>
              </w:rPr>
              <w:sym w:font="Symbol" w:char="F061"/>
            </w:r>
            <w:r>
              <w:rPr>
                <w:i/>
                <w:vertAlign w:val="subscript"/>
                <w:lang w:val="en-US"/>
              </w:rPr>
              <w:t>H</w:t>
            </w:r>
          </w:p>
        </w:tc>
        <w:tc>
          <w:tcPr>
            <w:tcW w:w="1600" w:type="dxa"/>
            <w:vAlign w:val="center"/>
          </w:tcPr>
          <w:p w:rsidR="00BB56A8" w:rsidRDefault="00BB56A8" w:rsidP="00BB56A8">
            <w:pPr>
              <w:pStyle w:val="Tablehead"/>
              <w:rPr>
                <w:vertAlign w:val="subscript"/>
              </w:rPr>
            </w:pPr>
            <w:r>
              <w:rPr>
                <w:i/>
              </w:rPr>
              <w:t>k</w:t>
            </w:r>
            <w:r>
              <w:rPr>
                <w:i/>
                <w:vertAlign w:val="subscript"/>
              </w:rPr>
              <w:t>V</w:t>
            </w:r>
          </w:p>
        </w:tc>
        <w:tc>
          <w:tcPr>
            <w:tcW w:w="1660" w:type="dxa"/>
            <w:vAlign w:val="center"/>
          </w:tcPr>
          <w:p w:rsidR="00BB56A8" w:rsidRDefault="00BB56A8" w:rsidP="00BB56A8">
            <w:pPr>
              <w:pStyle w:val="Tablehead"/>
              <w:rPr>
                <w:rFonts w:eastAsia="Arial Unicode MS"/>
                <w:i/>
                <w:vertAlign w:val="subscript"/>
                <w:lang w:val="en-US"/>
              </w:rPr>
            </w:pPr>
            <w:r w:rsidRPr="00CB00C4">
              <w:rPr>
                <w:rFonts w:hint="eastAsia"/>
              </w:rPr>
              <w:sym w:font="Symbol" w:char="F061"/>
            </w:r>
            <w:r>
              <w:rPr>
                <w:i/>
                <w:vertAlign w:val="subscript"/>
                <w:lang w:val="en-US"/>
              </w:rPr>
              <w:t>V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48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0,6172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0,8187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0,6037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0,7967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49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0,6386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0,8134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0,6255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0,7918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50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0,6600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0,8084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0,6472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0,7871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51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0,6811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0,8034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0,6687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0,7826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52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0,7020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0,7987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0,6901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0,7783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53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0,7228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0,7941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0,7112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0,7741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54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0,7433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0,7896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0,7321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0,7700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55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0,7635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0,7853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0,7527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0,7661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56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0,7835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0,7811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0,7730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0,7623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57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0,8032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0,7771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0,7931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0,7587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58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0,8226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0,7731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0,8129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0,7552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59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0,8418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0,7693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0,8324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0,7518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60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0,8606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0,7656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0,8515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0,7486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61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0,8791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0,7621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0,8704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0,7454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62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0,8974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0,7586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0,8889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0,7424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63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0,9153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0,7552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0,9071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0,7395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64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0,9328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0,7520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0,9250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0,7366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65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0,9501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0,7488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0,9425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0,7339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66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0,9670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0,7458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0,9598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0,7313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67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0,9836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0,7428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0,9767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0,7287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68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0,9999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0,7400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0,9932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0,7262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69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1,0159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0,7372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1,0094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0,7238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70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1,0315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0,7345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1,0253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0,7215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71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1,0468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0,7318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1,0409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0,7193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72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1,0618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0,7293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1,0561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0,7171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73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1,0764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0,7268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1,0711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0,7150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74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1,0908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0,7244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1,0857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0,7130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75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1,1048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0,7221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1,1000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0,7110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76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1,1185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0,7199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1,1139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0,7091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77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1,1320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0,7177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1,1276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0,7073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78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1,1451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0,7156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1,1410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0,7055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79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1,1579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0,7135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1,1541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0,7038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80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1,1704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0,7115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1,1668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0,7021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81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1,1827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0,7096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1,1793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0,7004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82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1,1946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0,7077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1,1915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0,6988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83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1,2063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0,7058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1,2034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0,6973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84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1,2177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0,7040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1,2151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0,6958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85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1,2289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0,7023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1,2265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0,6943</w:t>
            </w:r>
          </w:p>
        </w:tc>
      </w:tr>
    </w:tbl>
    <w:p w:rsidR="00BB56A8" w:rsidRPr="00BB56A8" w:rsidRDefault="00BB56A8" w:rsidP="00BB56A8">
      <w:pPr>
        <w:pStyle w:val="Tablefin"/>
        <w:rPr>
          <w:sz w:val="2"/>
          <w:szCs w:val="2"/>
        </w:rPr>
      </w:pPr>
    </w:p>
    <w:p w:rsidR="00BB56A8" w:rsidRDefault="00BB56A8" w:rsidP="00BB56A8">
      <w:pPr>
        <w:pStyle w:val="TableNo"/>
        <w:rPr>
          <w:lang w:val="es-ES"/>
        </w:rPr>
      </w:pPr>
      <w:r>
        <w:rPr>
          <w:lang w:val="es-ES"/>
        </w:rPr>
        <w:lastRenderedPageBreak/>
        <w:t>CUADRO 5 (</w:t>
      </w:r>
      <w:r>
        <w:rPr>
          <w:i/>
          <w:iCs/>
          <w:caps/>
          <w:lang w:val="es-ES"/>
        </w:rPr>
        <w:t>F</w:t>
      </w:r>
      <w:r w:rsidR="004578AC">
        <w:rPr>
          <w:i/>
          <w:iCs/>
          <w:lang w:val="es-ES"/>
        </w:rPr>
        <w:t>in</w:t>
      </w:r>
      <w:r>
        <w:rPr>
          <w:lang w:val="es-ES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1680"/>
        <w:gridCol w:w="1600"/>
        <w:gridCol w:w="1600"/>
        <w:gridCol w:w="1660"/>
      </w:tblGrid>
      <w:tr w:rsidR="00BB56A8">
        <w:trPr>
          <w:trHeight w:val="264"/>
          <w:jc w:val="center"/>
        </w:trPr>
        <w:tc>
          <w:tcPr>
            <w:tcW w:w="1360" w:type="dxa"/>
            <w:vAlign w:val="center"/>
          </w:tcPr>
          <w:p w:rsidR="00BB56A8" w:rsidRDefault="00BB56A8" w:rsidP="00BB56A8">
            <w:pPr>
              <w:pStyle w:val="Tablehead"/>
              <w:rPr>
                <w:rFonts w:eastAsia="Arial Unicode MS"/>
                <w:lang w:val="es-ES"/>
              </w:rPr>
            </w:pPr>
            <w:r>
              <w:rPr>
                <w:lang w:val="es-ES"/>
              </w:rPr>
              <w:t>Frecuencia</w:t>
            </w:r>
            <w:r>
              <w:rPr>
                <w:lang w:val="es-ES"/>
              </w:rPr>
              <w:br/>
              <w:t>(GHz)</w:t>
            </w:r>
          </w:p>
        </w:tc>
        <w:tc>
          <w:tcPr>
            <w:tcW w:w="1680" w:type="dxa"/>
            <w:vAlign w:val="center"/>
          </w:tcPr>
          <w:p w:rsidR="00BB56A8" w:rsidRDefault="00BB56A8" w:rsidP="00BB56A8">
            <w:pPr>
              <w:pStyle w:val="Tablehead"/>
              <w:rPr>
                <w:vertAlign w:val="subscript"/>
                <w:lang w:val="es-ES"/>
              </w:rPr>
            </w:pPr>
            <w:proofErr w:type="spellStart"/>
            <w:r>
              <w:rPr>
                <w:i/>
                <w:lang w:val="es-ES"/>
              </w:rPr>
              <w:t>k</w:t>
            </w:r>
            <w:r>
              <w:rPr>
                <w:i/>
                <w:vertAlign w:val="subscript"/>
                <w:lang w:val="es-ES"/>
              </w:rPr>
              <w:t>H</w:t>
            </w:r>
            <w:proofErr w:type="spellEnd"/>
          </w:p>
        </w:tc>
        <w:tc>
          <w:tcPr>
            <w:tcW w:w="1600" w:type="dxa"/>
            <w:vAlign w:val="center"/>
          </w:tcPr>
          <w:p w:rsidR="00BB56A8" w:rsidRDefault="00BB56A8" w:rsidP="00BB56A8">
            <w:pPr>
              <w:pStyle w:val="Tablehead"/>
              <w:rPr>
                <w:rFonts w:eastAsia="Arial Unicode MS"/>
                <w:i/>
                <w:vertAlign w:val="subscript"/>
                <w:lang w:val="en-US"/>
              </w:rPr>
            </w:pPr>
            <w:r w:rsidRPr="00CB00C4">
              <w:rPr>
                <w:rFonts w:hint="eastAsia"/>
              </w:rPr>
              <w:sym w:font="Symbol" w:char="F061"/>
            </w:r>
            <w:r>
              <w:rPr>
                <w:i/>
                <w:vertAlign w:val="subscript"/>
                <w:lang w:val="en-US"/>
              </w:rPr>
              <w:t>H</w:t>
            </w:r>
          </w:p>
        </w:tc>
        <w:tc>
          <w:tcPr>
            <w:tcW w:w="1600" w:type="dxa"/>
            <w:vAlign w:val="center"/>
          </w:tcPr>
          <w:p w:rsidR="00BB56A8" w:rsidRDefault="00BB56A8" w:rsidP="00BB56A8">
            <w:pPr>
              <w:pStyle w:val="Tablehead"/>
              <w:rPr>
                <w:vertAlign w:val="subscript"/>
              </w:rPr>
            </w:pPr>
            <w:r>
              <w:rPr>
                <w:i/>
              </w:rPr>
              <w:t>k</w:t>
            </w:r>
            <w:r>
              <w:rPr>
                <w:i/>
                <w:vertAlign w:val="subscript"/>
              </w:rPr>
              <w:t>V</w:t>
            </w:r>
          </w:p>
        </w:tc>
        <w:tc>
          <w:tcPr>
            <w:tcW w:w="1660" w:type="dxa"/>
            <w:vAlign w:val="center"/>
          </w:tcPr>
          <w:p w:rsidR="00BB56A8" w:rsidRDefault="00BB56A8" w:rsidP="00BB56A8">
            <w:pPr>
              <w:pStyle w:val="Tablehead"/>
              <w:rPr>
                <w:rFonts w:eastAsia="Arial Unicode MS"/>
                <w:i/>
                <w:vertAlign w:val="subscript"/>
                <w:lang w:val="en-US"/>
              </w:rPr>
            </w:pPr>
            <w:r w:rsidRPr="00CB00C4">
              <w:rPr>
                <w:rFonts w:hint="eastAsia"/>
              </w:rPr>
              <w:sym w:font="Symbol" w:char="F061"/>
            </w:r>
            <w:r>
              <w:rPr>
                <w:i/>
                <w:vertAlign w:val="subscript"/>
                <w:lang w:val="en-US"/>
              </w:rPr>
              <w:t>V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86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1,2398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0,7006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1,2376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0,6929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87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1,2504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0,6990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1,2484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0,6915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88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1,2607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0,6974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1,2590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0,6902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89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1,2708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0,6959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1,2694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0,6889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90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1,2807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0,6944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1,2795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0,6876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91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1,2903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0,6929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1,2893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0,6864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92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1,2997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0,6915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1,2989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0,6852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93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1,3089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0,6901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1,3083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0,6840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94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1,3179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0,6888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1,3175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0,6828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95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1,3266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0,6875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1,3265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0,6817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96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1,3351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0,6862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1,3352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0,6806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97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1,3434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0,6850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1,3437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0,6796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98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1,3515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0,6838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1,3520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0,6785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99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1,3594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0,6826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1,3601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0,6775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100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1,3671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0,6815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1,3680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0,6765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120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1,4866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0,6640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1,4911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0,6609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150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1,5823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0,6494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1,5896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0,6466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200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1,6378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0,6382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1,6443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0,6343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300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1,6286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0,6296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1,6286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0,6262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400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1,5860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0,6262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1,5820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0,6256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500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1,5418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0,6253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1,5366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0,6272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600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1,5013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0,6262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1,4967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0,6293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700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1,4654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0,6284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1,4622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0,6315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800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1,4335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0,6315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1,4321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0,6334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900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1,4050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0,6353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1,4056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0,6351</w:t>
            </w:r>
          </w:p>
        </w:tc>
      </w:tr>
      <w:tr w:rsidR="00CF3C59">
        <w:trPr>
          <w:trHeight w:val="264"/>
          <w:jc w:val="center"/>
        </w:trPr>
        <w:tc>
          <w:tcPr>
            <w:tcW w:w="136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1 000</w:t>
            </w:r>
          </w:p>
        </w:tc>
        <w:tc>
          <w:tcPr>
            <w:tcW w:w="168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1,3795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0,6396</w:t>
            </w:r>
          </w:p>
        </w:tc>
        <w:tc>
          <w:tcPr>
            <w:tcW w:w="160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1,3822</w:t>
            </w:r>
          </w:p>
        </w:tc>
        <w:tc>
          <w:tcPr>
            <w:tcW w:w="1660" w:type="dxa"/>
            <w:vAlign w:val="bottom"/>
          </w:tcPr>
          <w:p w:rsidR="00CF3C59" w:rsidRDefault="00CF3C59" w:rsidP="00CF3C59">
            <w:pPr>
              <w:pStyle w:val="Tabletext"/>
              <w:jc w:val="center"/>
            </w:pPr>
            <w:r>
              <w:t>0,6365</w:t>
            </w:r>
          </w:p>
        </w:tc>
      </w:tr>
    </w:tbl>
    <w:p w:rsidR="00CF3C59" w:rsidRDefault="00CF3C59" w:rsidP="00CB00C4">
      <w:pPr>
        <w:pStyle w:val="Tablefin"/>
      </w:pPr>
    </w:p>
    <w:p w:rsidR="00CB00C4" w:rsidRDefault="00CB00C4" w:rsidP="00CB00C4">
      <w:pPr>
        <w:rPr>
          <w:lang w:val="en-GB"/>
        </w:rPr>
      </w:pPr>
    </w:p>
    <w:p w:rsidR="00C64D34" w:rsidRDefault="00C64D34" w:rsidP="00C64D34">
      <w:pPr>
        <w:pStyle w:val="Line"/>
      </w:pPr>
    </w:p>
    <w:p w:rsidR="00C64D34" w:rsidRPr="00907E72" w:rsidRDefault="00C64D34" w:rsidP="00907E72">
      <w:pPr>
        <w:spacing w:before="0"/>
        <w:jc w:val="right"/>
        <w:rPr>
          <w:sz w:val="104"/>
          <w:szCs w:val="104"/>
        </w:rPr>
      </w:pPr>
    </w:p>
    <w:sectPr w:rsidR="00C64D34" w:rsidRPr="00907E72">
      <w:headerReference w:type="even" r:id="rId26"/>
      <w:headerReference w:type="default" r:id="rId27"/>
      <w:pgSz w:w="11907" w:h="16834" w:code="9"/>
      <w:pgMar w:top="1418" w:right="1134" w:bottom="1134" w:left="1134" w:header="720" w:footer="48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823" w:rsidRDefault="00275823">
      <w:r>
        <w:separator/>
      </w:r>
    </w:p>
  </w:endnote>
  <w:endnote w:type="continuationSeparator" w:id="0">
    <w:p w:rsidR="00275823" w:rsidRDefault="0027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823" w:rsidRDefault="00275823">
      <w:r>
        <w:separator/>
      </w:r>
    </w:p>
  </w:footnote>
  <w:footnote w:type="continuationSeparator" w:id="0">
    <w:p w:rsidR="00275823" w:rsidRDefault="00275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23" w:rsidRDefault="00275823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="003E3546">
      <w:rPr>
        <w:rStyle w:val="PageNumber"/>
        <w:b/>
        <w:bCs/>
        <w:noProof/>
        <w:lang w:val="en-US"/>
      </w:rPr>
      <w:t>8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</w:rPr>
      <w:fldChar w:fldCharType="separate"/>
    </w:r>
    <w:r w:rsidR="0047097D">
      <w:rPr>
        <w:b/>
        <w:bCs/>
        <w:lang w:val="en-US"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3E3546">
      <w:rPr>
        <w:b/>
        <w:bCs/>
        <w:noProof/>
      </w:rPr>
      <w:t>UIT-R  P.838-3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23" w:rsidRDefault="00275823">
    <w:pPr>
      <w:pStyle w:val="Header"/>
    </w:pPr>
    <w:r>
      <w:tab/>
    </w:r>
    <w:r>
      <w:rPr>
        <w:b/>
        <w:bCs/>
      </w:rPr>
      <w:fldChar w:fldCharType="begin"/>
    </w:r>
    <w:r>
      <w:rPr>
        <w:b/>
        <w:bCs/>
      </w:rPr>
      <w:instrText xml:space="preserve"> DOCPROPERTY "Header" \* MERGEFORMAT </w:instrText>
    </w:r>
    <w:r>
      <w:rPr>
        <w:b/>
        <w:bCs/>
      </w:rPr>
      <w:fldChar w:fldCharType="separate"/>
    </w:r>
    <w:r w:rsidR="0047097D">
      <w:rPr>
        <w:b/>
        <w:bCs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3E3546">
      <w:rPr>
        <w:b/>
        <w:bCs/>
        <w:noProof/>
      </w:rPr>
      <w:t>UIT-R  P.838-3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3E3546"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hideSpellingErrors/>
  <w:hideGrammaticalErrors/>
  <w:activeWritingStyle w:appName="MSWord" w:lang="en-US" w:vendorID="64" w:dllVersion="131077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59"/>
    <w:rsid w:val="00083038"/>
    <w:rsid w:val="00275823"/>
    <w:rsid w:val="003B3728"/>
    <w:rsid w:val="003E3546"/>
    <w:rsid w:val="003E5563"/>
    <w:rsid w:val="004578AC"/>
    <w:rsid w:val="0047097D"/>
    <w:rsid w:val="006663A8"/>
    <w:rsid w:val="00907E72"/>
    <w:rsid w:val="00913CDF"/>
    <w:rsid w:val="00966339"/>
    <w:rsid w:val="00BB56A8"/>
    <w:rsid w:val="00C64D34"/>
    <w:rsid w:val="00CB00C4"/>
    <w:rsid w:val="00CF3C59"/>
    <w:rsid w:val="00F465E5"/>
    <w:rsid w:val="00FA6522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2BC4F58D-E132-402F-B6DD-6255FB62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_after_title"/>
    <w:basedOn w:val="Normal"/>
    <w:next w:val="Normal"/>
    <w:pPr>
      <w:spacing w:before="320"/>
    </w:p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Headingb"/>
    <w:next w:val="Normal"/>
    <w:pPr>
      <w:spacing w:before="240"/>
    </w:pPr>
    <w:rPr>
      <w:sz w:val="22"/>
      <w:lang w:val="es-ES_tradnl"/>
    </w:rPr>
  </w:style>
  <w:style w:type="paragraph" w:customStyle="1" w:styleId="Recref">
    <w:name w:val="Rec_ref"/>
    <w:basedOn w:val="Normal"/>
    <w:next w:val="Recdate"/>
    <w:pPr>
      <w:jc w:val="center"/>
    </w:pPr>
  </w:style>
  <w:style w:type="paragraph" w:customStyle="1" w:styleId="Recdate">
    <w:name w:val="Rec_date"/>
    <w:basedOn w:val="Recref"/>
    <w:next w:val="Normal"/>
    <w:pPr>
      <w:jc w:val="right"/>
    </w:p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 w:after="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"/>
  </w:style>
  <w:style w:type="paragraph" w:customStyle="1" w:styleId="Tablefin">
    <w:name w:val="Table_fin"/>
    <w:basedOn w:val="Normal"/>
    <w:next w:val="Normal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rmal"/>
    <w:semiHidden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Heading">
    <w:name w:val="index heading"/>
    <w:basedOn w:val="Normal"/>
    <w:next w:val="Index1"/>
    <w:semiHidden/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</w:style>
  <w:style w:type="paragraph" w:customStyle="1" w:styleId="Partref">
    <w:name w:val="Part_ref"/>
    <w:basedOn w:val="Normal"/>
    <w:next w:val="Normal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Normal"/>
    <w:next w:val="Questionref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Normal"/>
    <w:next w:val="Resref"/>
  </w:style>
  <w:style w:type="paragraph" w:customStyle="1" w:styleId="SectionNo">
    <w:name w:val="Section_No"/>
    <w:basedOn w:val="Normal"/>
    <w:next w:val="Normal"/>
  </w:style>
  <w:style w:type="paragraph" w:customStyle="1" w:styleId="Sectiontitle">
    <w:name w:val="Section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">
    <w:name w:val="Rec_title"/>
    <w:basedOn w:val="Normal"/>
    <w:next w:val="Recref"/>
    <w:pPr>
      <w:keepNext/>
      <w:keepLines/>
      <w:spacing w:before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</w:style>
  <w:style w:type="paragraph" w:customStyle="1" w:styleId="Figuretitle">
    <w:name w:val="Figure_title"/>
    <w:basedOn w:val="Normal"/>
    <w:next w:val="Figure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pPr>
      <w:spacing w:after="480"/>
    </w:pPr>
    <w:rPr>
      <w:sz w:val="22"/>
      <w:lang w:val="es-ES_tradnl"/>
    </w:rPr>
  </w:style>
  <w:style w:type="paragraph" w:customStyle="1" w:styleId="Figure">
    <w:name w:val="Figure"/>
    <w:basedOn w:val="FigureNo"/>
    <w:next w:val="Figuretitle"/>
    <w:pPr>
      <w:spacing w:before="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ickpub\Application%20Data\Microsoft\Templates\QuickPub%20-%20ITU\BR_Rec_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</Template>
  <TotalTime>2</TotalTime>
  <Pages>8</Pages>
  <Words>1100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</vt:lpstr>
    </vt:vector>
  </TitlesOfParts>
  <Manager/>
  <Company>ITU</Company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RECOMENDACIÓN  UIT-R  P.838-3 – Modelo de la atenuación específica debida a la lluvia para los métodos de predicción</dc:title>
  <dc:subject/>
  <dc:creator>del UIT-T</dc:creator>
  <cp:keywords/>
  <dc:description/>
  <cp:lastModifiedBy>Berdyeva, Elena</cp:lastModifiedBy>
  <cp:revision>6</cp:revision>
  <cp:lastPrinted>2017-10-26T14:14:00Z</cp:lastPrinted>
  <dcterms:created xsi:type="dcterms:W3CDTF">2017-10-26T14:13:00Z</dcterms:created>
  <dcterms:modified xsi:type="dcterms:W3CDTF">2017-10-26T14:24:00Z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</Properties>
</file>