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B3513" w14:textId="77777777"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14:paraId="50CFCA75" w14:textId="77777777" w:rsidR="00B1717A" w:rsidRDefault="00B1717A" w:rsidP="00B1717A"/>
    <w:p w14:paraId="4E96B8F4" w14:textId="77777777" w:rsidR="00B1717A" w:rsidRDefault="00B1717A" w:rsidP="00B1717A"/>
    <w:p w14:paraId="0742494D" w14:textId="77777777" w:rsidR="00B1717A" w:rsidRDefault="00B1717A" w:rsidP="00B1717A"/>
    <w:p w14:paraId="1502CE97" w14:textId="77777777" w:rsidR="00B1717A" w:rsidRDefault="00B1717A" w:rsidP="00B1717A"/>
    <w:p w14:paraId="27BC3280" w14:textId="77777777" w:rsidR="00B1717A" w:rsidRDefault="00B1717A" w:rsidP="00B1717A"/>
    <w:p w14:paraId="79EA2273" w14:textId="77777777" w:rsidR="00B1717A" w:rsidRDefault="00B1717A" w:rsidP="00B1717A"/>
    <w:p w14:paraId="2638A0B2" w14:textId="77777777" w:rsidR="00B1717A" w:rsidRDefault="00B1717A" w:rsidP="00B1717A"/>
    <w:p w14:paraId="65799D82" w14:textId="77777777" w:rsidR="00B1717A" w:rsidRDefault="00B1717A" w:rsidP="00B1717A"/>
    <w:p w14:paraId="059C840F" w14:textId="77777777" w:rsidR="00B1717A" w:rsidRDefault="00B1717A" w:rsidP="00B1717A"/>
    <w:p w14:paraId="6082E247" w14:textId="77777777" w:rsidR="00B1717A" w:rsidRDefault="00B1717A" w:rsidP="00B1717A"/>
    <w:p w14:paraId="182FABCA" w14:textId="77777777"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BC5156" w14:paraId="717955F4" w14:textId="77777777" w:rsidTr="00D62884">
        <w:tc>
          <w:tcPr>
            <w:tcW w:w="10089" w:type="dxa"/>
          </w:tcPr>
          <w:p w14:paraId="77DE30BB" w14:textId="77777777"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220079A9" w14:textId="77777777" w:rsidR="00B1717A" w:rsidRPr="0010336F" w:rsidRDefault="00B1717A" w:rsidP="00BF6AA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BF6AA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837-7</w:t>
            </w:r>
          </w:p>
          <w:p w14:paraId="07480876" w14:textId="77777777" w:rsidR="00B1717A" w:rsidRPr="0010336F" w:rsidRDefault="00B1717A" w:rsidP="00BF6AA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BF6AA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06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BF6AA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BF6AA2" w14:paraId="39EC38A1" w14:textId="77777777" w:rsidTr="00D62884">
        <w:tc>
          <w:tcPr>
            <w:tcW w:w="10089" w:type="dxa"/>
          </w:tcPr>
          <w:p w14:paraId="56E36F98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6E3D0118" w14:textId="77777777" w:rsidR="00B1717A" w:rsidRDefault="00BF6AA2" w:rsidP="00BF6AA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BF6AA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Características de la precipitación para establecer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BF6AA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modelos de propagación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</w:p>
          <w:p w14:paraId="355FDE9F" w14:textId="77777777"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BC5156" w14:paraId="69A81AAE" w14:textId="77777777" w:rsidTr="00D62884">
        <w:tc>
          <w:tcPr>
            <w:tcW w:w="10089" w:type="dxa"/>
          </w:tcPr>
          <w:p w14:paraId="36453B2D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8FBFA27" w14:textId="77777777"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5B8649D" w14:textId="77777777"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5DF8A896" w14:textId="77777777" w:rsidR="00B1717A" w:rsidRPr="0010336F" w:rsidRDefault="00B1717A" w:rsidP="0036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366C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14:paraId="27685C42" w14:textId="77777777" w:rsidR="00B1717A" w:rsidRPr="0010336F" w:rsidRDefault="00366CE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14:paraId="711462B8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361C210F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702D0BCC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0B2A78AA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7763C66E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49C05E66" w14:textId="77777777"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14:paraId="73F25361" w14:textId="77777777"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275B8C2" w14:textId="77777777" w:rsidR="00B1717A" w:rsidRPr="006C718C" w:rsidRDefault="00B1717A" w:rsidP="000D5F9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693DC284" w14:textId="77777777"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015C2C35" w14:textId="77777777"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48189018" w14:textId="77777777"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715CD450" w14:textId="77777777"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114A0670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14:paraId="5FE5B673" w14:textId="77777777"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BC5156" w14:paraId="781BBFAC" w14:textId="77777777" w:rsidTr="00D62884">
        <w:tc>
          <w:tcPr>
            <w:tcW w:w="9360" w:type="dxa"/>
            <w:gridSpan w:val="2"/>
          </w:tcPr>
          <w:p w14:paraId="0A9549B9" w14:textId="77777777"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1C39FFEC" w14:textId="77777777"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14:paraId="5CA2BF8C" w14:textId="77777777" w:rsidTr="004532F7">
        <w:tc>
          <w:tcPr>
            <w:tcW w:w="1140" w:type="dxa"/>
            <w:tcBorders>
              <w:bottom w:val="nil"/>
            </w:tcBorders>
          </w:tcPr>
          <w:p w14:paraId="5B951980" w14:textId="77777777"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0200329F" w14:textId="77777777"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14:paraId="2A7BA8D2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A9B4A21" w14:textId="77777777"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277D6E3" w14:textId="77777777"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BC5156" w14:paraId="5FC68AFC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5083869" w14:textId="77777777"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768EFDC" w14:textId="77777777"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14:paraId="67F405A8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ECECB00" w14:textId="77777777"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E4E9697" w14:textId="77777777" w:rsidR="00B1717A" w:rsidRPr="00847DD5" w:rsidRDefault="00654F04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B1717A" w:rsidRPr="00ED2695" w14:paraId="05845A29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789DFF7" w14:textId="77777777"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F61C9B8" w14:textId="77777777"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366CEE" w14:paraId="4636CC59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418380DB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CF3209B" w14:textId="77777777"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B1717A" w:rsidRPr="00BF6AA2" w14:paraId="3B24759E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F4A5DDB" w14:textId="77777777"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2FF6723" w14:textId="77777777"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BF6AA2" w14:paraId="354277A9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00C10851" w14:textId="77777777"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0868BDB5" w14:textId="77777777" w:rsidR="00B1717A" w:rsidRPr="00366CEE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14:paraId="50322290" w14:textId="77777777" w:rsidTr="00366CEE">
        <w:tc>
          <w:tcPr>
            <w:tcW w:w="1140" w:type="dxa"/>
            <w:tcBorders>
              <w:top w:val="nil"/>
            </w:tcBorders>
          </w:tcPr>
          <w:p w14:paraId="51F5687F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4EB6A704" w14:textId="77777777" w:rsidR="00B1717A" w:rsidRPr="00021E8A" w:rsidRDefault="00E3040B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</w:rPr>
              <w:t>Radio</w:t>
            </w:r>
            <w:r w:rsidR="00B1717A" w:rsidRPr="00021E8A">
              <w:rPr>
                <w:bCs/>
                <w:sz w:val="20"/>
              </w:rPr>
              <w:t>astronomía</w:t>
            </w:r>
          </w:p>
        </w:tc>
      </w:tr>
      <w:tr w:rsidR="00B1717A" w:rsidRPr="00BF6AA2" w14:paraId="46A1469F" w14:textId="77777777" w:rsidTr="00D62884">
        <w:tc>
          <w:tcPr>
            <w:tcW w:w="1140" w:type="dxa"/>
          </w:tcPr>
          <w:p w14:paraId="2E64CD8C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6C2E4887" w14:textId="77777777"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14:paraId="10312045" w14:textId="77777777" w:rsidTr="00D62884">
        <w:tc>
          <w:tcPr>
            <w:tcW w:w="1140" w:type="dxa"/>
          </w:tcPr>
          <w:p w14:paraId="341F2B09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2AC2D9FA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14:paraId="1563714E" w14:textId="77777777" w:rsidTr="00D62884">
        <w:tc>
          <w:tcPr>
            <w:tcW w:w="1140" w:type="dxa"/>
          </w:tcPr>
          <w:p w14:paraId="47AF9F61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37821B70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BF6AA2" w14:paraId="4E2FFAA1" w14:textId="77777777" w:rsidTr="00D62884">
        <w:tc>
          <w:tcPr>
            <w:tcW w:w="1140" w:type="dxa"/>
          </w:tcPr>
          <w:p w14:paraId="22FE7A1B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179F1D33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14:paraId="2CAB8DF8" w14:textId="77777777" w:rsidTr="00D62884">
        <w:tc>
          <w:tcPr>
            <w:tcW w:w="1140" w:type="dxa"/>
            <w:shd w:val="clear" w:color="auto" w:fill="auto"/>
          </w:tcPr>
          <w:p w14:paraId="21AEC8CF" w14:textId="77777777"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495A6A44" w14:textId="77777777"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14:paraId="548E862B" w14:textId="77777777" w:rsidTr="00D62884">
        <w:tc>
          <w:tcPr>
            <w:tcW w:w="1140" w:type="dxa"/>
          </w:tcPr>
          <w:p w14:paraId="4C721FB6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513760EF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BF6AA2" w14:paraId="5585F4D4" w14:textId="77777777" w:rsidTr="00D62884">
        <w:tc>
          <w:tcPr>
            <w:tcW w:w="1140" w:type="dxa"/>
          </w:tcPr>
          <w:p w14:paraId="7ABDF530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64741CE9" w14:textId="77777777"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14:paraId="6B29F9C8" w14:textId="77777777" w:rsidTr="00D62884">
        <w:tc>
          <w:tcPr>
            <w:tcW w:w="1140" w:type="dxa"/>
          </w:tcPr>
          <w:p w14:paraId="0F0E4F39" w14:textId="77777777"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3301E7E5" w14:textId="77777777"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14:paraId="44605356" w14:textId="77777777"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14:paraId="7C6EAD2E" w14:textId="77777777" w:rsidTr="00D62884">
        <w:tc>
          <w:tcPr>
            <w:tcW w:w="720" w:type="dxa"/>
          </w:tcPr>
          <w:p w14:paraId="3E69D073" w14:textId="77777777"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BF6AA2" w14:paraId="61A402F5" w14:textId="77777777" w:rsidTr="00D62884">
        <w:tc>
          <w:tcPr>
            <w:tcW w:w="9360" w:type="dxa"/>
          </w:tcPr>
          <w:p w14:paraId="3CF6C302" w14:textId="77777777" w:rsidR="00B1717A" w:rsidRPr="00763D08" w:rsidRDefault="00B1717A" w:rsidP="000D5F9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0D5F99"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14:paraId="6C126C09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19C778DA" w14:textId="77777777"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1474061C" w14:textId="77777777" w:rsidR="00B1717A" w:rsidRPr="00763D08" w:rsidRDefault="00B1717A" w:rsidP="001D6CE1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4224E">
        <w:rPr>
          <w:sz w:val="20"/>
          <w:lang w:val="es-ES_tradnl"/>
        </w:rPr>
        <w:t>1</w:t>
      </w:r>
      <w:r w:rsidR="001D6CE1">
        <w:rPr>
          <w:sz w:val="20"/>
          <w:lang w:val="es-ES_tradnl"/>
        </w:rPr>
        <w:t>8</w:t>
      </w:r>
    </w:p>
    <w:p w14:paraId="421B1B84" w14:textId="77777777"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14:paraId="24FB6B66" w14:textId="77777777" w:rsidR="00B1717A" w:rsidRPr="00763D08" w:rsidRDefault="00B1717A" w:rsidP="000D5F99">
      <w:pPr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14224E">
        <w:rPr>
          <w:sz w:val="20"/>
          <w:lang w:val="es-ES_tradnl"/>
        </w:rPr>
        <w:t>1</w:t>
      </w:r>
      <w:r w:rsidR="001D6CE1">
        <w:rPr>
          <w:sz w:val="20"/>
          <w:lang w:val="es-ES_tradnl"/>
        </w:rPr>
        <w:t>8</w:t>
      </w:r>
    </w:p>
    <w:p w14:paraId="5C53F6BA" w14:textId="77777777" w:rsidR="00B1717A" w:rsidRPr="006C718C" w:rsidRDefault="00B1717A" w:rsidP="000D5F99">
      <w:pPr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1C2D3323" w14:textId="77777777"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0D0F78F8" w14:textId="77777777" w:rsidR="00BF6AA2" w:rsidRDefault="00BF6AA2" w:rsidP="00BF6AA2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837-7</w:t>
      </w:r>
    </w:p>
    <w:p w14:paraId="25A07EDD" w14:textId="77777777" w:rsidR="00BF6AA2" w:rsidRPr="00EA31EB" w:rsidRDefault="00BF6AA2" w:rsidP="00BF6AA2">
      <w:pPr>
        <w:pStyle w:val="Rectitle"/>
        <w:rPr>
          <w:lang w:val="es-ES"/>
        </w:rPr>
      </w:pPr>
      <w:r w:rsidRPr="00EA31EB">
        <w:rPr>
          <w:lang w:val="es-ES"/>
        </w:rPr>
        <w:t>Características de la precipitación para establecer</w:t>
      </w:r>
      <w:r w:rsidRPr="00EA31EB">
        <w:rPr>
          <w:lang w:val="es-ES"/>
        </w:rPr>
        <w:br/>
        <w:t>modelos de propagación</w:t>
      </w:r>
    </w:p>
    <w:p w14:paraId="192FA3AD" w14:textId="77777777" w:rsidR="00BF6AA2" w:rsidRPr="00215BBE" w:rsidRDefault="00BF6AA2" w:rsidP="00BF6AA2">
      <w:pPr>
        <w:pStyle w:val="Recref"/>
        <w:rPr>
          <w:lang w:val="es-ES"/>
        </w:rPr>
      </w:pPr>
      <w:r w:rsidRPr="00215BBE">
        <w:rPr>
          <w:lang w:val="es-ES"/>
        </w:rPr>
        <w:t>(Cuestión UIT-R 201/3)</w:t>
      </w:r>
    </w:p>
    <w:p w14:paraId="53A6F0F3" w14:textId="77777777" w:rsidR="00BF6AA2" w:rsidRPr="00EA31EB" w:rsidRDefault="00BF6AA2" w:rsidP="00BF6AA2">
      <w:pPr>
        <w:pStyle w:val="Recdate"/>
        <w:rPr>
          <w:lang w:val="es-ES"/>
        </w:rPr>
      </w:pPr>
      <w:r w:rsidRPr="00EA31EB">
        <w:rPr>
          <w:lang w:val="es-ES"/>
        </w:rPr>
        <w:t>(1992-1994-1999-2001-2003-2007-2012-2017)</w:t>
      </w:r>
    </w:p>
    <w:p w14:paraId="46767098" w14:textId="77777777" w:rsidR="00BF6AA2" w:rsidRPr="00EA31EB" w:rsidRDefault="00BF6AA2" w:rsidP="00BF6AA2">
      <w:pPr>
        <w:pStyle w:val="HeadingSum"/>
        <w:rPr>
          <w:lang w:val="es-ES"/>
        </w:rPr>
      </w:pPr>
      <w:r w:rsidRPr="00EA31EB">
        <w:rPr>
          <w:lang w:val="es-ES"/>
        </w:rPr>
        <w:t>Cometido</w:t>
      </w:r>
    </w:p>
    <w:p w14:paraId="48CA5AA6" w14:textId="77777777" w:rsidR="00BF6AA2" w:rsidRPr="00EA31EB" w:rsidRDefault="00BF6AA2" w:rsidP="00B94488">
      <w:pPr>
        <w:pStyle w:val="Summary"/>
      </w:pPr>
      <w:r w:rsidRPr="00EA31EB">
        <w:t>Para la predicción de la atenuación debida a la lluvia en los enlaces terrenales se necesitan estadísticas de la intensidad de lluvia con un tiempo de integración de 1 minuto (por ejemplo, la Recomendación UIT-R P.530) y enlaces Tierra-espacio (por ejemplo, la Recomendación UIT-T P.618).</w:t>
      </w:r>
    </w:p>
    <w:p w14:paraId="16046D92" w14:textId="77777777" w:rsidR="00BF6AA2" w:rsidRPr="005839C8" w:rsidRDefault="00BF6AA2" w:rsidP="00B94488">
      <w:pPr>
        <w:pStyle w:val="Summary"/>
      </w:pPr>
      <w:r w:rsidRPr="005839C8">
        <w:t>Cuando no se dispone de datos fiables sobre la intensidad de lluvia local a largo plazo, se puede recurrir al método de predicción de la intensidad de lluvia descrito en el Anexo 1 para la predicción de estadísticas de la intensidad de lluvia con un tiempo de integración de 1 minuto. Este método de predicción se basa en a) los datos mensuales de la intensidad de lluvia total obtenidos de la base de datos de climatología de GPCC (V</w:t>
      </w:r>
      <w:r>
        <w:t> </w:t>
      </w:r>
      <w:r w:rsidRPr="005839C8">
        <w:t>2015) sobre la tierra y en la base de datos de reanálisis provisional ERA sobre el agua del Centro Europeo de Previsión Meteorológica a Medio Plazo (ECMWF), y b) datos de la temperatura media mensual en la superficie indicados en la Recomendación UIT-R P.1510.</w:t>
      </w:r>
    </w:p>
    <w:p w14:paraId="42EC36A8" w14:textId="77777777" w:rsidR="00BF6AA2" w:rsidRPr="005839C8" w:rsidRDefault="00BF6AA2" w:rsidP="00B94488">
      <w:pPr>
        <w:pStyle w:val="Summary"/>
      </w:pPr>
      <w:r w:rsidRPr="005839C8">
        <w:t>Cuando se disponga de datos fiables de la intensidad de lluvia local a largo plazo con tiempos de integración superiores a 1 minuto, se pude recurrir al Anexo 2 de la presente Recomendación, donde se describe un método para convertir estadísticas de la intensidad de lluvia con tiempos de integración superiores a 1 minuto en estadísticas con un tiempo de integración de 1 minuto.</w:t>
      </w:r>
    </w:p>
    <w:p w14:paraId="7AF9A2D8" w14:textId="77777777" w:rsidR="00BF6AA2" w:rsidRPr="00EA31EB" w:rsidRDefault="00BF6AA2" w:rsidP="00B94488">
      <w:pPr>
        <w:pStyle w:val="Headingb"/>
        <w:spacing w:before="360"/>
        <w:rPr>
          <w:lang w:val="es-ES"/>
        </w:rPr>
      </w:pPr>
      <w:r w:rsidRPr="00EA31EB">
        <w:rPr>
          <w:lang w:val="es-ES"/>
        </w:rPr>
        <w:t>Palabras clave</w:t>
      </w:r>
    </w:p>
    <w:p w14:paraId="55E9342D" w14:textId="77777777" w:rsidR="00BF6AA2" w:rsidRPr="00EA31EB" w:rsidRDefault="00BF6AA2" w:rsidP="00BF6AA2">
      <w:pPr>
        <w:rPr>
          <w:lang w:val="es-ES"/>
        </w:rPr>
      </w:pPr>
      <w:r w:rsidRPr="00EA31EB">
        <w:rPr>
          <w:lang w:val="es-ES"/>
        </w:rPr>
        <w:t>Intensidad de lluvia, estadística anual, método de conversión, GPCC, ERA Interim</w:t>
      </w:r>
    </w:p>
    <w:p w14:paraId="6E8377FD" w14:textId="77777777" w:rsidR="00BF6AA2" w:rsidRPr="00EA31EB" w:rsidRDefault="00BF6AA2" w:rsidP="00BF6AA2">
      <w:pPr>
        <w:pStyle w:val="Normalaftertitle"/>
        <w:rPr>
          <w:szCs w:val="24"/>
          <w:lang w:val="es-ES"/>
        </w:rPr>
      </w:pPr>
      <w:r w:rsidRPr="00EA31EB">
        <w:rPr>
          <w:szCs w:val="24"/>
          <w:lang w:val="es-ES"/>
        </w:rPr>
        <w:t>La Asamblea de Radiocomunicaciones de la UIT,</w:t>
      </w:r>
    </w:p>
    <w:p w14:paraId="449F165A" w14:textId="77777777" w:rsidR="00BF6AA2" w:rsidRPr="00215BBE" w:rsidRDefault="00BF6AA2" w:rsidP="00BF6AA2">
      <w:pPr>
        <w:pStyle w:val="Call"/>
        <w:rPr>
          <w:lang w:val="es-ES"/>
        </w:rPr>
      </w:pPr>
      <w:r w:rsidRPr="00215BBE">
        <w:rPr>
          <w:lang w:val="es-ES"/>
        </w:rPr>
        <w:t>considerando</w:t>
      </w:r>
    </w:p>
    <w:p w14:paraId="262954D6" w14:textId="77777777" w:rsidR="00BF6AA2" w:rsidRPr="00EA31EB" w:rsidRDefault="00BF6AA2" w:rsidP="00BF6AA2">
      <w:pPr>
        <w:rPr>
          <w:lang w:val="es-ES"/>
        </w:rPr>
      </w:pPr>
      <w:r w:rsidRPr="00A86E1B">
        <w:rPr>
          <w:i/>
          <w:iCs/>
          <w:lang w:val="es-ES"/>
        </w:rPr>
        <w:t>a)</w:t>
      </w:r>
      <w:r w:rsidRPr="00EA31EB">
        <w:rPr>
          <w:lang w:val="es-ES"/>
        </w:rPr>
        <w:tab/>
        <w:t>que para la predicción de la atenuación y de la dispersión producidas por la precipitación se necesita información sobre las estadísticas anuales de parámetros de precipitación;</w:t>
      </w:r>
    </w:p>
    <w:p w14:paraId="1AA85CED" w14:textId="77777777" w:rsidR="00BF6AA2" w:rsidRPr="00EA31EB" w:rsidRDefault="00BF6AA2" w:rsidP="00BF6AA2">
      <w:pPr>
        <w:rPr>
          <w:lang w:val="es-ES"/>
        </w:rPr>
      </w:pPr>
      <w:r w:rsidRPr="00A86E1B">
        <w:rPr>
          <w:i/>
          <w:iCs/>
          <w:lang w:val="es-ES"/>
        </w:rPr>
        <w:t>b)</w:t>
      </w:r>
      <w:r w:rsidRPr="00EA31EB">
        <w:rPr>
          <w:lang w:val="es-ES"/>
        </w:rPr>
        <w:tab/>
        <w:t>que se necesita conocer esa información para todos los emplazamientos de la superficie de la Tierra y con una amplia gama de probabilidades;</w:t>
      </w:r>
    </w:p>
    <w:p w14:paraId="4801B901" w14:textId="77777777" w:rsidR="00BF6AA2" w:rsidRPr="00EA31EB" w:rsidRDefault="00BF6AA2" w:rsidP="00BF6AA2">
      <w:pPr>
        <w:rPr>
          <w:lang w:val="es-ES"/>
        </w:rPr>
      </w:pPr>
      <w:r w:rsidRPr="00A86E1B">
        <w:rPr>
          <w:i/>
          <w:iCs/>
          <w:lang w:val="es-ES"/>
        </w:rPr>
        <w:t>c)</w:t>
      </w:r>
      <w:r w:rsidRPr="00EA31EB">
        <w:rPr>
          <w:lang w:val="es-ES"/>
        </w:rPr>
        <w:tab/>
        <w:t xml:space="preserve">que para la predicción de la atenuación y la dispersión ocasionadas por la lluvia en los enlaces terrenales y de satélite se necesitan estadísticas de la intensidad de lluvia con tiempo de integración de </w:t>
      </w:r>
      <w:r>
        <w:rPr>
          <w:lang w:val="es-ES"/>
        </w:rPr>
        <w:t>1 </w:t>
      </w:r>
      <w:r w:rsidRPr="00EA31EB">
        <w:rPr>
          <w:lang w:val="es-ES"/>
        </w:rPr>
        <w:t>minuto;</w:t>
      </w:r>
    </w:p>
    <w:p w14:paraId="05232B17" w14:textId="77777777" w:rsidR="00BF6AA2" w:rsidRPr="00EA31EB" w:rsidRDefault="00BF6AA2" w:rsidP="00BF6AA2">
      <w:pPr>
        <w:rPr>
          <w:lang w:val="es-ES"/>
        </w:rPr>
      </w:pPr>
      <w:r w:rsidRPr="00A86E1B">
        <w:rPr>
          <w:i/>
          <w:iCs/>
          <w:lang w:val="es-ES"/>
        </w:rPr>
        <w:t>d)</w:t>
      </w:r>
      <w:r w:rsidRPr="00EA31EB">
        <w:rPr>
          <w:lang w:val="es-ES"/>
        </w:rPr>
        <w:tab/>
        <w:t>que pueden obtenerse de fuentes locales mediciones a largo plazo de la intensidad de lluvia con un tiempo de integración de 1 minuto y también con tiempos de integración superiores a 1 minuto;</w:t>
      </w:r>
    </w:p>
    <w:p w14:paraId="3138CF06" w14:textId="77777777" w:rsidR="00BF6AA2" w:rsidRPr="00EA31EB" w:rsidRDefault="00BF6AA2" w:rsidP="00BF6AA2">
      <w:pPr>
        <w:rPr>
          <w:lang w:val="es-ES"/>
        </w:rPr>
      </w:pPr>
      <w:r w:rsidRPr="00A86E1B">
        <w:rPr>
          <w:i/>
          <w:iCs/>
          <w:lang w:val="es-ES"/>
        </w:rPr>
        <w:t>e)</w:t>
      </w:r>
      <w:r w:rsidRPr="00EA31EB">
        <w:rPr>
          <w:lang w:val="es-ES"/>
        </w:rPr>
        <w:tab/>
        <w:t>que utilizando un modelo para convertir las mediciones locales de la intensidad de lluvia con tiempos de integración de hasta una hora en tiempos de integración de 1 minuto se obtiene más precisión que utilizando el Anexo 1 a la presente Recomendación,</w:t>
      </w:r>
    </w:p>
    <w:p w14:paraId="6B6ADF76" w14:textId="77777777" w:rsidR="00BF6AA2" w:rsidRPr="00A86E1B" w:rsidRDefault="00BF6AA2" w:rsidP="00BF6AA2">
      <w:pPr>
        <w:pStyle w:val="Call"/>
        <w:rPr>
          <w:lang w:val="es-ES"/>
        </w:rPr>
      </w:pPr>
      <w:r w:rsidRPr="00A86E1B">
        <w:rPr>
          <w:lang w:val="es-ES"/>
        </w:rPr>
        <w:t>recomienda</w:t>
      </w:r>
    </w:p>
    <w:p w14:paraId="7E0B9A3D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1</w:t>
      </w:r>
      <w:r w:rsidRPr="00EA31EB">
        <w:rPr>
          <w:lang w:val="es-ES"/>
        </w:rPr>
        <w:tab/>
        <w:t>que, de estar disponibles, se utilicen mediciones a largo plazo de la intensidad de lluvia anual con un tiempo de integración de 1</w:t>
      </w:r>
      <w:r>
        <w:rPr>
          <w:lang w:val="es-ES"/>
        </w:rPr>
        <w:t xml:space="preserve"> minuto;</w:t>
      </w:r>
    </w:p>
    <w:p w14:paraId="1E29176A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2</w:t>
      </w:r>
      <w:r w:rsidRPr="00EA31EB">
        <w:rPr>
          <w:b/>
          <w:bCs/>
          <w:lang w:val="es-ES"/>
        </w:rPr>
        <w:tab/>
      </w:r>
      <w:r w:rsidRPr="00EA31EB">
        <w:rPr>
          <w:lang w:val="es-ES"/>
        </w:rPr>
        <w:t xml:space="preserve">que si se utilizan mediciones locales, éstas se lleven a cabo durante un periodo </w:t>
      </w:r>
      <w:r>
        <w:rPr>
          <w:lang w:val="es-ES"/>
        </w:rPr>
        <w:t>lo</w:t>
      </w:r>
      <w:r w:rsidRPr="00EA31EB">
        <w:rPr>
          <w:lang w:val="es-ES"/>
        </w:rPr>
        <w:t xml:space="preserve"> suficientemente largo (normalmente más de 10 años) para garantizar la estabilidad estadística</w:t>
      </w:r>
      <w:r>
        <w:rPr>
          <w:lang w:val="es-ES"/>
        </w:rPr>
        <w:t>;</w:t>
      </w:r>
    </w:p>
    <w:p w14:paraId="2973FDB9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lastRenderedPageBreak/>
        <w:t>3</w:t>
      </w:r>
      <w:r w:rsidRPr="00EA31EB">
        <w:rPr>
          <w:lang w:val="es-ES"/>
        </w:rPr>
        <w:tab/>
        <w:t>que, de estar disponibles, se utilicen mediciones a largo plazo de la intensidad de lluvia anual con tiempos de integración superiores a 1 minuto, y que se aplique el método de conversión del Anexo</w:t>
      </w:r>
      <w:r>
        <w:rPr>
          <w:lang w:val="es-ES"/>
        </w:rPr>
        <w:t> </w:t>
      </w:r>
      <w:r w:rsidRPr="00EA31EB">
        <w:rPr>
          <w:lang w:val="es-ES"/>
        </w:rPr>
        <w:t>2 para convertir estas mediciones en intensidad de lluvia anual con un tiempo de integración de 1 minuto;</w:t>
      </w:r>
    </w:p>
    <w:p w14:paraId="61D96F3B" w14:textId="77777777" w:rsidR="00BF6AA2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4</w:t>
      </w:r>
      <w:r w:rsidRPr="00EA31EB">
        <w:rPr>
          <w:lang w:val="es-ES"/>
        </w:rPr>
        <w:tab/>
        <w:t xml:space="preserve">que, cuando no se disponga de datos fiables de la intensidad de lluvia local, se utilice el método de predicción por etapas descrito en el Anexo 1 para obtener la intensidad de lluvia,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>p</w:t>
      </w:r>
      <w:r w:rsidRPr="00EA31EB">
        <w:rPr>
          <w:lang w:val="es-ES"/>
        </w:rPr>
        <w:t xml:space="preserve">, rebasada por la probabilidad anual de rebasamiento deseada, </w:t>
      </w:r>
      <w:r w:rsidRPr="00EA31EB">
        <w:rPr>
          <w:i/>
          <w:lang w:val="es-ES"/>
        </w:rPr>
        <w:t>p</w:t>
      </w:r>
      <w:r w:rsidRPr="00EA31EB">
        <w:rPr>
          <w:lang w:val="es-ES"/>
        </w:rPr>
        <w:t>, en cualquier ubicación sobre la superficie de la Tierra y para un tiempo de integración de 1 minuto.</w:t>
      </w:r>
    </w:p>
    <w:p w14:paraId="6D8D2025" w14:textId="77777777" w:rsidR="00B94488" w:rsidRDefault="00B94488" w:rsidP="00BF6AA2">
      <w:pPr>
        <w:rPr>
          <w:lang w:val="es-ES"/>
        </w:rPr>
      </w:pPr>
    </w:p>
    <w:p w14:paraId="5A1712FE" w14:textId="77777777" w:rsidR="00B94488" w:rsidRPr="00EA31EB" w:rsidRDefault="00B94488" w:rsidP="00BF6AA2">
      <w:pPr>
        <w:rPr>
          <w:lang w:val="es-ES"/>
        </w:rPr>
      </w:pPr>
    </w:p>
    <w:p w14:paraId="42407550" w14:textId="77777777" w:rsidR="00BF6AA2" w:rsidRPr="00EA31EB" w:rsidRDefault="00BF6AA2" w:rsidP="00BF6AA2">
      <w:pPr>
        <w:pStyle w:val="AnnexNoTitle"/>
        <w:rPr>
          <w:lang w:val="es-ES"/>
        </w:rPr>
      </w:pPr>
      <w:r w:rsidRPr="00EA31EB">
        <w:rPr>
          <w:lang w:val="es-ES"/>
        </w:rPr>
        <w:t>Anexo 1</w:t>
      </w:r>
      <w:r w:rsidRPr="00EA31EB">
        <w:rPr>
          <w:lang w:val="es-ES"/>
        </w:rPr>
        <w:br/>
      </w:r>
      <w:r w:rsidRPr="00EA31EB">
        <w:rPr>
          <w:lang w:val="es-ES"/>
        </w:rPr>
        <w:br/>
        <w:t>Método de predicción para obtener la intensidad de lluvia rebasada</w:t>
      </w:r>
      <w:r w:rsidRPr="00EA31EB">
        <w:rPr>
          <w:lang w:val="es-ES"/>
        </w:rPr>
        <w:br/>
        <w:t xml:space="preserve">para una probabilidad anual media de rebasamiento </w:t>
      </w:r>
      <w:r>
        <w:rPr>
          <w:lang w:val="es-ES"/>
        </w:rPr>
        <w:br/>
      </w:r>
      <w:r w:rsidRPr="00EA31EB">
        <w:rPr>
          <w:lang w:val="es-ES"/>
        </w:rPr>
        <w:t>y en un emplazamiento dado</w:t>
      </w:r>
    </w:p>
    <w:p w14:paraId="3DE14C23" w14:textId="77777777" w:rsidR="00BF6AA2" w:rsidRPr="00EA31EB" w:rsidRDefault="00BF6AA2" w:rsidP="00BF6AA2">
      <w:pPr>
        <w:pStyle w:val="Normalaftertitle"/>
        <w:rPr>
          <w:lang w:val="es-ES"/>
        </w:rPr>
      </w:pPr>
      <w:r w:rsidRPr="00EA31EB">
        <w:rPr>
          <w:lang w:val="es-ES"/>
        </w:rPr>
        <w:t>Este método de predicción permite calcular la intensidad de lluvia rebasada para un probabilidad anual media de rebasamiento y en un emplazamiento dado sobre la superficie de la Tierra utilizando mapas digitales de la intensidad de lluvia mensual total y la temperatura media mensual en la superficie. Los mapas de la intensidad de lluvia media mensual total se han elaborado a partir de datos recopilados durante 50 años (1951-2000) obtenidos de la base de datos de Climatología GPCC (V</w:t>
      </w:r>
      <w:r>
        <w:rPr>
          <w:lang w:val="es-ES"/>
        </w:rPr>
        <w:t> </w:t>
      </w:r>
      <w:r w:rsidRPr="00EA31EB">
        <w:rPr>
          <w:lang w:val="es-ES"/>
        </w:rPr>
        <w:t>2015) sobre la tierra y datos recopilados de 36 años (1979-2014) obtenidos de los datos provisionales ERA sobre el agua recabados por el Centro Europeo de Previsión Meteorológica a Medio Plazo (ECMWF).</w:t>
      </w:r>
    </w:p>
    <w:p w14:paraId="0732BEE6" w14:textId="77777777" w:rsidR="00BF6AA2" w:rsidRPr="00EA31EB" w:rsidRDefault="00BF6AA2" w:rsidP="00BF6AA2">
      <w:pPr>
        <w:rPr>
          <w:lang w:val="es-ES"/>
        </w:rPr>
      </w:pPr>
      <w:r w:rsidRPr="00EA31EB">
        <w:rPr>
          <w:lang w:val="es-ES"/>
        </w:rPr>
        <w:t xml:space="preserve">Los datos de la intensidad de lluvia media total mensual, </w:t>
      </w:r>
      <w:r w:rsidRPr="00EA31EB">
        <w:rPr>
          <w:i/>
          <w:lang w:val="es-ES"/>
        </w:rPr>
        <w:t>MT</w:t>
      </w:r>
      <w:r w:rsidRPr="00EA31EB">
        <w:rPr>
          <w:i/>
          <w:vertAlign w:val="subscript"/>
          <w:lang w:val="es-ES"/>
        </w:rPr>
        <w:t>ii</w:t>
      </w:r>
      <w:r w:rsidRPr="00EA31EB">
        <w:rPr>
          <w:i/>
          <w:lang w:val="es-ES"/>
        </w:rPr>
        <w:t xml:space="preserve"> </w:t>
      </w:r>
      <w:r w:rsidRPr="00EA31EB">
        <w:rPr>
          <w:lang w:val="es-ES"/>
        </w:rPr>
        <w:t xml:space="preserve">(mm), siendo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 = {01, 02, 03, 04, 05, 06, 07, 08, 09, 10, 11 y 12}, son parte integrante de la presente Recomendación y están disponibles en mapas digitales. La gama de latitudes varía entre −90</w:t>
      </w:r>
      <w:r>
        <w:rPr>
          <w:lang w:val="es-ES"/>
        </w:rPr>
        <w:t>,</w:t>
      </w:r>
      <w:r w:rsidRPr="00EA31EB">
        <w:rPr>
          <w:lang w:val="es-ES"/>
        </w:rPr>
        <w:t>125° N y +90</w:t>
      </w:r>
      <w:r>
        <w:rPr>
          <w:lang w:val="es-ES"/>
        </w:rPr>
        <w:t>,</w:t>
      </w:r>
      <w:r w:rsidRPr="00EA31EB">
        <w:rPr>
          <w:lang w:val="es-ES"/>
        </w:rPr>
        <w:t>125° N a intervalos de 0,25°, y la gama de longitudes entre −180,125° E y +180,125° E también a intervalos de 0,</w:t>
      </w:r>
      <w:r>
        <w:rPr>
          <w:lang w:val="es-ES"/>
        </w:rPr>
        <w:t>25°.</w:t>
      </w:r>
    </w:p>
    <w:p w14:paraId="40D22B69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 xml:space="preserve">Los datos de la intensidad de lluvia anual rebasada durante el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 </w:t>
      </w:r>
      <w:r>
        <w:rPr>
          <w:lang w:val="es-ES"/>
        </w:rPr>
        <w:t>para el año medio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R</w:t>
      </w:r>
      <w:r w:rsidRPr="00EA31EB">
        <w:rPr>
          <w:iCs/>
          <w:vertAlign w:val="subscript"/>
          <w:lang w:val="es-ES"/>
        </w:rPr>
        <w:t>0</w:t>
      </w:r>
      <w:r>
        <w:rPr>
          <w:iCs/>
          <w:vertAlign w:val="subscript"/>
          <w:lang w:val="es-ES"/>
        </w:rPr>
        <w:t>,</w:t>
      </w:r>
      <w:r w:rsidRPr="00EA31EB">
        <w:rPr>
          <w:iCs/>
          <w:vertAlign w:val="subscript"/>
          <w:lang w:val="es-ES"/>
        </w:rPr>
        <w:t>01</w:t>
      </w:r>
      <w:r w:rsidRPr="00EA31EB">
        <w:rPr>
          <w:lang w:val="es-ES"/>
        </w:rPr>
        <w:t xml:space="preserve"> (mm/hr), </w:t>
      </w:r>
      <w:r>
        <w:rPr>
          <w:lang w:val="es-ES"/>
        </w:rPr>
        <w:t>son también parte integrante de la presente Recomendación y están disponibles en mapas digitales</w:t>
      </w:r>
      <w:r w:rsidRPr="00EA31EB">
        <w:rPr>
          <w:lang w:val="es-ES"/>
        </w:rPr>
        <w:t xml:space="preserve">. La gama de latitudes varía entre −90° N </w:t>
      </w:r>
      <w:r>
        <w:rPr>
          <w:lang w:val="es-ES"/>
        </w:rPr>
        <w:t>y</w:t>
      </w:r>
      <w:r w:rsidRPr="00EA31EB">
        <w:rPr>
          <w:lang w:val="es-ES"/>
        </w:rPr>
        <w:t xml:space="preserve"> +90° N </w:t>
      </w:r>
      <w:r>
        <w:rPr>
          <w:lang w:val="es-ES"/>
        </w:rPr>
        <w:t>a intervalos de</w:t>
      </w:r>
      <w:r w:rsidRPr="00EA31EB">
        <w:rPr>
          <w:lang w:val="es-ES"/>
        </w:rPr>
        <w:t xml:space="preserve"> 0</w:t>
      </w:r>
      <w:r>
        <w:rPr>
          <w:lang w:val="es-ES"/>
        </w:rPr>
        <w:t>,</w:t>
      </w:r>
      <w:r w:rsidRPr="00EA31EB">
        <w:rPr>
          <w:lang w:val="es-ES"/>
        </w:rPr>
        <w:t xml:space="preserve">125°, y la gama de longitudes entre −180° E </w:t>
      </w:r>
      <w:r>
        <w:rPr>
          <w:lang w:val="es-ES"/>
        </w:rPr>
        <w:t>y</w:t>
      </w:r>
      <w:r w:rsidRPr="00EA31EB">
        <w:rPr>
          <w:lang w:val="es-ES"/>
        </w:rPr>
        <w:t xml:space="preserve"> +180° E </w:t>
      </w:r>
      <w:r>
        <w:rPr>
          <w:lang w:val="es-ES"/>
        </w:rPr>
        <w:t>en intervalos de</w:t>
      </w:r>
      <w:r w:rsidRPr="00EA31EB">
        <w:rPr>
          <w:lang w:val="es-ES"/>
        </w:rPr>
        <w:t xml:space="preserve"> 0</w:t>
      </w:r>
      <w:r>
        <w:rPr>
          <w:lang w:val="es-ES"/>
        </w:rPr>
        <w:t>,125°.</w:t>
      </w:r>
    </w:p>
    <w:p w14:paraId="59D83B47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 xml:space="preserve">Estos mapas digitales están disponibles en el fichero complementario </w:t>
      </w:r>
      <w:r w:rsidRPr="00EA31EB">
        <w:rPr>
          <w:lang w:val="es-ES"/>
        </w:rPr>
        <w:t>R-REC-P.837-7-Maps.zip.</w:t>
      </w:r>
    </w:p>
    <w:p w14:paraId="5766EE5B" w14:textId="77777777" w:rsidR="00BF6AA2" w:rsidRPr="00EA31EB" w:rsidRDefault="00BF6AA2" w:rsidP="00BF6AA2">
      <w:pPr>
        <w:pStyle w:val="Headingi"/>
        <w:rPr>
          <w:lang w:val="es-ES"/>
        </w:rPr>
      </w:pPr>
      <w:r>
        <w:rPr>
          <w:lang w:val="es-ES"/>
        </w:rPr>
        <w:t>Parámetros de entrada</w:t>
      </w:r>
      <w:r w:rsidRPr="00EA31EB">
        <w:rPr>
          <w:lang w:val="es-ES"/>
        </w:rPr>
        <w:t>:</w:t>
      </w:r>
    </w:p>
    <w:p w14:paraId="22D2F18D" w14:textId="77777777" w:rsidR="00BF6AA2" w:rsidRPr="00EA31EB" w:rsidRDefault="00BF6AA2" w:rsidP="00BF6AA2">
      <w:pPr>
        <w:pStyle w:val="Equationlegend"/>
        <w:rPr>
          <w:lang w:val="es-ES"/>
        </w:rPr>
      </w:pPr>
      <w:r w:rsidRPr="00EA31EB">
        <w:rPr>
          <w:i/>
          <w:lang w:val="es-ES"/>
        </w:rPr>
        <w:tab/>
        <w:t>p</w:t>
      </w:r>
      <w:r>
        <w:rPr>
          <w:lang w:val="es-ES"/>
        </w:rPr>
        <w:t>:</w:t>
      </w:r>
      <w:r w:rsidRPr="00EA31EB">
        <w:rPr>
          <w:lang w:val="es-ES"/>
        </w:rPr>
        <w:tab/>
      </w:r>
      <w:r>
        <w:rPr>
          <w:lang w:val="es-ES"/>
        </w:rPr>
        <w:t>Probabilidad anual de rebasamiento deseada</w:t>
      </w:r>
      <w:r w:rsidRPr="00EA31EB">
        <w:rPr>
          <w:lang w:val="es-ES"/>
        </w:rPr>
        <w:t xml:space="preserve"> (%)</w:t>
      </w:r>
    </w:p>
    <w:p w14:paraId="1189758F" w14:textId="77777777" w:rsidR="00BF6AA2" w:rsidRPr="00EA31EB" w:rsidRDefault="00BF6AA2" w:rsidP="00BF6AA2">
      <w:pPr>
        <w:pStyle w:val="Equationlegend"/>
        <w:rPr>
          <w:lang w:val="es-ES"/>
        </w:rPr>
      </w:pPr>
      <w:r w:rsidRPr="00EA31EB">
        <w:rPr>
          <w:i/>
          <w:lang w:val="es-ES"/>
        </w:rPr>
        <w:tab/>
        <w:t>Lat</w:t>
      </w:r>
      <w:r>
        <w:rPr>
          <w:lang w:val="es-ES"/>
        </w:rPr>
        <w:t>:</w:t>
      </w:r>
      <w:r w:rsidRPr="00EA31EB">
        <w:rPr>
          <w:lang w:val="es-ES"/>
        </w:rPr>
        <w:tab/>
        <w:t>Latitud</w:t>
      </w:r>
      <w:r>
        <w:rPr>
          <w:lang w:val="es-ES"/>
        </w:rPr>
        <w:t xml:space="preserve"> del emplazamiento deseado </w:t>
      </w:r>
      <w:r w:rsidRPr="00EA31EB">
        <w:rPr>
          <w:lang w:val="es-ES"/>
        </w:rPr>
        <w:t>(</w:t>
      </w:r>
      <w:r>
        <w:rPr>
          <w:lang w:val="es-ES"/>
        </w:rPr>
        <w:t>grados</w:t>
      </w:r>
      <w:r w:rsidRPr="00EA31EB">
        <w:rPr>
          <w:lang w:val="es-ES"/>
        </w:rPr>
        <w:t>, N)</w:t>
      </w:r>
    </w:p>
    <w:p w14:paraId="616F9F6D" w14:textId="77777777" w:rsidR="00BF6AA2" w:rsidRPr="00EA31EB" w:rsidRDefault="00BF6AA2" w:rsidP="00BF6AA2">
      <w:pPr>
        <w:pStyle w:val="Equationlegend"/>
        <w:rPr>
          <w:lang w:val="es-ES"/>
        </w:rPr>
      </w:pPr>
      <w:r w:rsidRPr="00EA31EB">
        <w:rPr>
          <w:i/>
          <w:lang w:val="es-ES"/>
        </w:rPr>
        <w:tab/>
        <w:t>Lon</w:t>
      </w:r>
      <w:r>
        <w:rPr>
          <w:lang w:val="es-ES"/>
        </w:rPr>
        <w:t>:</w:t>
      </w:r>
      <w:r w:rsidRPr="00EA31EB">
        <w:rPr>
          <w:lang w:val="es-ES"/>
        </w:rPr>
        <w:tab/>
        <w:t xml:space="preserve">Longitud </w:t>
      </w:r>
      <w:r>
        <w:rPr>
          <w:lang w:val="es-ES"/>
        </w:rPr>
        <w:t xml:space="preserve">del emplazamiento deseado </w:t>
      </w:r>
      <w:r w:rsidRPr="00EA31EB">
        <w:rPr>
          <w:lang w:val="es-ES"/>
        </w:rPr>
        <w:t>(</w:t>
      </w:r>
      <w:r>
        <w:rPr>
          <w:lang w:val="es-ES"/>
        </w:rPr>
        <w:t>grados</w:t>
      </w:r>
      <w:r w:rsidRPr="00EA31EB">
        <w:rPr>
          <w:lang w:val="es-ES"/>
        </w:rPr>
        <w:t>, E)</w:t>
      </w:r>
    </w:p>
    <w:p w14:paraId="12440672" w14:textId="77777777" w:rsidR="00BF6AA2" w:rsidRPr="00EA31EB" w:rsidRDefault="00BF6AA2" w:rsidP="00BF6AA2">
      <w:pPr>
        <w:pStyle w:val="Headingi"/>
        <w:rPr>
          <w:lang w:val="es-ES"/>
        </w:rPr>
      </w:pPr>
      <w:r>
        <w:rPr>
          <w:lang w:val="es-ES"/>
        </w:rPr>
        <w:t>Parámetro de salida</w:t>
      </w:r>
      <w:r w:rsidRPr="00EA31EB">
        <w:rPr>
          <w:lang w:val="es-ES"/>
        </w:rPr>
        <w:t>:</w:t>
      </w:r>
    </w:p>
    <w:p w14:paraId="56B801D4" w14:textId="77777777" w:rsidR="00BF6AA2" w:rsidRPr="00EA31EB" w:rsidRDefault="00BF6AA2" w:rsidP="00BF6AA2">
      <w:pPr>
        <w:pStyle w:val="Equationlegend"/>
        <w:rPr>
          <w:lang w:val="es-ES"/>
        </w:rPr>
      </w:pPr>
      <w:r w:rsidRPr="00EA31EB">
        <w:rPr>
          <w:i/>
          <w:lang w:val="es-ES"/>
        </w:rPr>
        <w:tab/>
        <w:t>R</w:t>
      </w:r>
      <w:r w:rsidRPr="00EA31EB">
        <w:rPr>
          <w:i/>
          <w:vertAlign w:val="subscript"/>
          <w:lang w:val="es-ES"/>
        </w:rPr>
        <w:t>p</w:t>
      </w:r>
      <w:r>
        <w:rPr>
          <w:lang w:val="es-ES"/>
        </w:rPr>
        <w:t>:</w:t>
      </w:r>
      <w:r w:rsidRPr="00EA31EB">
        <w:rPr>
          <w:lang w:val="es-ES"/>
        </w:rPr>
        <w:tab/>
      </w:r>
      <w:r>
        <w:rPr>
          <w:lang w:val="es-ES"/>
        </w:rPr>
        <w:t xml:space="preserve">Intensidad de lluvia rebasada para una probabilidad de rebasamiento deseada </w:t>
      </w:r>
      <w:r w:rsidRPr="00EA31EB">
        <w:rPr>
          <w:lang w:val="es-ES"/>
        </w:rPr>
        <w:t>(mm/h).</w:t>
      </w:r>
    </w:p>
    <w:p w14:paraId="6C2B079E" w14:textId="77777777" w:rsidR="00BF6AA2" w:rsidRPr="00EA31EB" w:rsidRDefault="00BF6AA2" w:rsidP="00BF6AA2">
      <w:pPr>
        <w:keepNext/>
        <w:keepLines/>
        <w:spacing w:after="120"/>
        <w:rPr>
          <w:lang w:val="es-ES"/>
        </w:rPr>
      </w:pPr>
      <w:r>
        <w:rPr>
          <w:b/>
          <w:i/>
          <w:lang w:val="es-ES"/>
        </w:rPr>
        <w:lastRenderedPageBreak/>
        <w:t xml:space="preserve">Paso </w:t>
      </w:r>
      <w:r w:rsidRPr="00EA31EB">
        <w:rPr>
          <w:b/>
          <w:i/>
          <w:lang w:val="es-ES"/>
        </w:rPr>
        <w:t>1</w:t>
      </w:r>
      <w:r w:rsidRPr="00EA31EB">
        <w:rPr>
          <w:bCs/>
          <w:lang w:val="es-ES"/>
        </w:rPr>
        <w:t>:</w:t>
      </w:r>
      <w:r>
        <w:rPr>
          <w:lang w:val="es-ES"/>
        </w:rPr>
        <w:t xml:space="preserve"> Para cada mes del año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se </w:t>
      </w:r>
      <w:r w:rsidRPr="00EA31EB">
        <w:rPr>
          <w:lang w:val="es-ES"/>
        </w:rPr>
        <w:t xml:space="preserve">define </w:t>
      </w:r>
      <w:r>
        <w:rPr>
          <w:lang w:val="es-ES"/>
        </w:rPr>
        <w:t>el número de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, </w:t>
      </w:r>
      <w:r>
        <w:rPr>
          <w:lang w:val="es-ES"/>
        </w:rPr>
        <w:t>y el número de días de cada mes</w:t>
      </w:r>
      <w:r w:rsidRPr="00EA31EB">
        <w:rPr>
          <w:lang w:val="es-ES"/>
        </w:rPr>
        <w:t>,</w:t>
      </w:r>
      <w:r w:rsidRPr="00EA31EB">
        <w:rPr>
          <w:position w:val="-12"/>
          <w:lang w:val="es-ES"/>
        </w:rPr>
        <w:object w:dxaOrig="340" w:dyaOrig="360" w14:anchorId="7DCF06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65pt;height:17.75pt" o:ole="">
            <v:imagedata r:id="rId12" o:title=""/>
          </v:shape>
          <o:OLEObject Type="Embed" ProgID="Equation.3" ShapeID="_x0000_i1025" DrawAspect="Content" ObjectID="_1752911956" r:id="rId13"/>
        </w:object>
      </w:r>
      <w:r w:rsidRPr="00EA31EB">
        <w:rPr>
          <w:lang w:val="es-ES"/>
        </w:rPr>
        <w:t xml:space="preserve">, </w:t>
      </w:r>
      <w:r>
        <w:rPr>
          <w:lang w:val="es-ES"/>
        </w:rPr>
        <w:t>del modo siguiente</w:t>
      </w:r>
      <w:r w:rsidRPr="00EA31EB">
        <w:rPr>
          <w:lang w:val="es-ES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"/>
        <w:gridCol w:w="722"/>
        <w:gridCol w:w="798"/>
        <w:gridCol w:w="766"/>
        <w:gridCol w:w="749"/>
        <w:gridCol w:w="786"/>
        <w:gridCol w:w="729"/>
        <w:gridCol w:w="698"/>
        <w:gridCol w:w="770"/>
        <w:gridCol w:w="740"/>
        <w:gridCol w:w="734"/>
        <w:gridCol w:w="676"/>
        <w:gridCol w:w="667"/>
      </w:tblGrid>
      <w:tr w:rsidR="00BF6AA2" w:rsidRPr="00EA31EB" w14:paraId="4302FDE9" w14:textId="77777777" w:rsidTr="00943AB1">
        <w:trPr>
          <w:jc w:val="center"/>
        </w:trPr>
        <w:tc>
          <w:tcPr>
            <w:tcW w:w="794" w:type="dxa"/>
            <w:shd w:val="clear" w:color="auto" w:fill="auto"/>
          </w:tcPr>
          <w:p w14:paraId="49D01DED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Mes</w:t>
            </w:r>
          </w:p>
        </w:tc>
        <w:tc>
          <w:tcPr>
            <w:tcW w:w="722" w:type="dxa"/>
            <w:shd w:val="clear" w:color="auto" w:fill="auto"/>
          </w:tcPr>
          <w:p w14:paraId="5018EBBB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>
              <w:rPr>
                <w:lang w:val="es-ES"/>
              </w:rPr>
              <w:t>Ene</w:t>
            </w:r>
          </w:p>
        </w:tc>
        <w:tc>
          <w:tcPr>
            <w:tcW w:w="798" w:type="dxa"/>
            <w:shd w:val="clear" w:color="auto" w:fill="auto"/>
          </w:tcPr>
          <w:p w14:paraId="67184E95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Feb</w:t>
            </w:r>
          </w:p>
        </w:tc>
        <w:tc>
          <w:tcPr>
            <w:tcW w:w="766" w:type="dxa"/>
            <w:shd w:val="clear" w:color="auto" w:fill="auto"/>
          </w:tcPr>
          <w:p w14:paraId="2A8B8851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Mar</w:t>
            </w:r>
          </w:p>
        </w:tc>
        <w:tc>
          <w:tcPr>
            <w:tcW w:w="749" w:type="dxa"/>
            <w:shd w:val="clear" w:color="auto" w:fill="auto"/>
          </w:tcPr>
          <w:p w14:paraId="45F94B44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A</w:t>
            </w:r>
            <w:r>
              <w:rPr>
                <w:lang w:val="es-ES"/>
              </w:rPr>
              <w:t>b</w:t>
            </w:r>
            <w:r w:rsidRPr="00EA31EB">
              <w:rPr>
                <w:lang w:val="es-ES"/>
              </w:rPr>
              <w:t>r</w:t>
            </w:r>
          </w:p>
        </w:tc>
        <w:tc>
          <w:tcPr>
            <w:tcW w:w="786" w:type="dxa"/>
            <w:shd w:val="clear" w:color="auto" w:fill="auto"/>
          </w:tcPr>
          <w:p w14:paraId="07C94041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May</w:t>
            </w:r>
          </w:p>
        </w:tc>
        <w:tc>
          <w:tcPr>
            <w:tcW w:w="729" w:type="dxa"/>
            <w:shd w:val="clear" w:color="auto" w:fill="auto"/>
          </w:tcPr>
          <w:p w14:paraId="4EB2BB34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Jun</w:t>
            </w:r>
          </w:p>
        </w:tc>
        <w:tc>
          <w:tcPr>
            <w:tcW w:w="698" w:type="dxa"/>
            <w:shd w:val="clear" w:color="auto" w:fill="auto"/>
          </w:tcPr>
          <w:p w14:paraId="39C49F92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Jul</w:t>
            </w:r>
          </w:p>
        </w:tc>
        <w:tc>
          <w:tcPr>
            <w:tcW w:w="770" w:type="dxa"/>
            <w:shd w:val="clear" w:color="auto" w:fill="auto"/>
          </w:tcPr>
          <w:p w14:paraId="472A6A2C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Ag</w:t>
            </w:r>
            <w:r>
              <w:rPr>
                <w:lang w:val="es-ES"/>
              </w:rPr>
              <w:t>o</w:t>
            </w:r>
          </w:p>
        </w:tc>
        <w:tc>
          <w:tcPr>
            <w:tcW w:w="740" w:type="dxa"/>
            <w:shd w:val="clear" w:color="auto" w:fill="auto"/>
          </w:tcPr>
          <w:p w14:paraId="4137F46C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Sep</w:t>
            </w:r>
          </w:p>
        </w:tc>
        <w:tc>
          <w:tcPr>
            <w:tcW w:w="734" w:type="dxa"/>
            <w:shd w:val="clear" w:color="auto" w:fill="auto"/>
          </w:tcPr>
          <w:p w14:paraId="1AA8B64B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Oct</w:t>
            </w:r>
          </w:p>
        </w:tc>
        <w:tc>
          <w:tcPr>
            <w:tcW w:w="676" w:type="dxa"/>
            <w:shd w:val="clear" w:color="auto" w:fill="auto"/>
          </w:tcPr>
          <w:p w14:paraId="556613AB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Nov</w:t>
            </w:r>
          </w:p>
        </w:tc>
        <w:tc>
          <w:tcPr>
            <w:tcW w:w="667" w:type="dxa"/>
            <w:shd w:val="clear" w:color="auto" w:fill="auto"/>
          </w:tcPr>
          <w:p w14:paraId="480D5858" w14:textId="77777777" w:rsidR="00BF6AA2" w:rsidRPr="00EA31EB" w:rsidRDefault="00BF6AA2" w:rsidP="00943AB1">
            <w:pPr>
              <w:pStyle w:val="Tablehead"/>
              <w:rPr>
                <w:lang w:val="es-ES"/>
              </w:rPr>
            </w:pPr>
            <w:r w:rsidRPr="00EA31EB">
              <w:rPr>
                <w:lang w:val="es-ES"/>
              </w:rPr>
              <w:t>D</w:t>
            </w:r>
            <w:r>
              <w:rPr>
                <w:lang w:val="es-ES"/>
              </w:rPr>
              <w:t>i</w:t>
            </w:r>
            <w:r w:rsidRPr="00EA31EB">
              <w:rPr>
                <w:lang w:val="es-ES"/>
              </w:rPr>
              <w:t>c</w:t>
            </w:r>
          </w:p>
        </w:tc>
      </w:tr>
      <w:tr w:rsidR="00BF6AA2" w:rsidRPr="00EA31EB" w14:paraId="50F8631D" w14:textId="77777777" w:rsidTr="00943AB1">
        <w:trPr>
          <w:jc w:val="center"/>
        </w:trPr>
        <w:tc>
          <w:tcPr>
            <w:tcW w:w="794" w:type="dxa"/>
            <w:shd w:val="clear" w:color="auto" w:fill="auto"/>
          </w:tcPr>
          <w:p w14:paraId="64D3BA98" w14:textId="77777777" w:rsidR="00BF6AA2" w:rsidRPr="00EA31EB" w:rsidRDefault="00BF6AA2" w:rsidP="00943AB1">
            <w:pPr>
              <w:pStyle w:val="Tabletext"/>
              <w:keepNext/>
              <w:keepLines/>
              <w:jc w:val="center"/>
              <w:rPr>
                <w:i/>
                <w:iCs/>
                <w:lang w:val="es-ES"/>
              </w:rPr>
            </w:pPr>
            <w:r w:rsidRPr="00EA31EB">
              <w:rPr>
                <w:i/>
                <w:iCs/>
                <w:lang w:val="es-ES"/>
              </w:rPr>
              <w:t>ii</w:t>
            </w:r>
          </w:p>
        </w:tc>
        <w:tc>
          <w:tcPr>
            <w:tcW w:w="722" w:type="dxa"/>
            <w:shd w:val="clear" w:color="auto" w:fill="auto"/>
          </w:tcPr>
          <w:p w14:paraId="29AA4917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01</w:t>
            </w:r>
          </w:p>
        </w:tc>
        <w:tc>
          <w:tcPr>
            <w:tcW w:w="798" w:type="dxa"/>
            <w:shd w:val="clear" w:color="auto" w:fill="auto"/>
          </w:tcPr>
          <w:p w14:paraId="04C2B21A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02</w:t>
            </w:r>
          </w:p>
        </w:tc>
        <w:tc>
          <w:tcPr>
            <w:tcW w:w="766" w:type="dxa"/>
            <w:shd w:val="clear" w:color="auto" w:fill="auto"/>
          </w:tcPr>
          <w:p w14:paraId="3C375282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03</w:t>
            </w:r>
          </w:p>
        </w:tc>
        <w:tc>
          <w:tcPr>
            <w:tcW w:w="749" w:type="dxa"/>
            <w:shd w:val="clear" w:color="auto" w:fill="auto"/>
          </w:tcPr>
          <w:p w14:paraId="31650E82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04</w:t>
            </w:r>
          </w:p>
        </w:tc>
        <w:tc>
          <w:tcPr>
            <w:tcW w:w="786" w:type="dxa"/>
            <w:shd w:val="clear" w:color="auto" w:fill="auto"/>
          </w:tcPr>
          <w:p w14:paraId="0CEA5D6F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05</w:t>
            </w:r>
          </w:p>
        </w:tc>
        <w:tc>
          <w:tcPr>
            <w:tcW w:w="729" w:type="dxa"/>
            <w:shd w:val="clear" w:color="auto" w:fill="auto"/>
          </w:tcPr>
          <w:p w14:paraId="160F1463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06</w:t>
            </w:r>
          </w:p>
        </w:tc>
        <w:tc>
          <w:tcPr>
            <w:tcW w:w="698" w:type="dxa"/>
            <w:shd w:val="clear" w:color="auto" w:fill="auto"/>
          </w:tcPr>
          <w:p w14:paraId="5B8DE21F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07</w:t>
            </w:r>
          </w:p>
        </w:tc>
        <w:tc>
          <w:tcPr>
            <w:tcW w:w="770" w:type="dxa"/>
            <w:shd w:val="clear" w:color="auto" w:fill="auto"/>
          </w:tcPr>
          <w:p w14:paraId="6D289607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08</w:t>
            </w:r>
          </w:p>
        </w:tc>
        <w:tc>
          <w:tcPr>
            <w:tcW w:w="740" w:type="dxa"/>
            <w:shd w:val="clear" w:color="auto" w:fill="auto"/>
          </w:tcPr>
          <w:p w14:paraId="4910716B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09</w:t>
            </w:r>
          </w:p>
        </w:tc>
        <w:tc>
          <w:tcPr>
            <w:tcW w:w="734" w:type="dxa"/>
            <w:shd w:val="clear" w:color="auto" w:fill="auto"/>
          </w:tcPr>
          <w:p w14:paraId="16DBFED9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10</w:t>
            </w:r>
          </w:p>
        </w:tc>
        <w:tc>
          <w:tcPr>
            <w:tcW w:w="676" w:type="dxa"/>
            <w:shd w:val="clear" w:color="auto" w:fill="auto"/>
          </w:tcPr>
          <w:p w14:paraId="10CC90AB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11</w:t>
            </w:r>
          </w:p>
        </w:tc>
        <w:tc>
          <w:tcPr>
            <w:tcW w:w="667" w:type="dxa"/>
            <w:shd w:val="clear" w:color="auto" w:fill="auto"/>
          </w:tcPr>
          <w:p w14:paraId="12D6AEB0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12</w:t>
            </w:r>
          </w:p>
        </w:tc>
      </w:tr>
      <w:tr w:rsidR="00BF6AA2" w:rsidRPr="00EA31EB" w14:paraId="31FC2C93" w14:textId="77777777" w:rsidTr="00943AB1">
        <w:trPr>
          <w:jc w:val="center"/>
        </w:trPr>
        <w:tc>
          <w:tcPr>
            <w:tcW w:w="794" w:type="dxa"/>
            <w:shd w:val="clear" w:color="auto" w:fill="auto"/>
          </w:tcPr>
          <w:p w14:paraId="63FF2CD2" w14:textId="77777777" w:rsidR="00BF6AA2" w:rsidRPr="00EA31EB" w:rsidRDefault="00BF6AA2" w:rsidP="00943AB1">
            <w:pPr>
              <w:pStyle w:val="Tabletext"/>
              <w:jc w:val="center"/>
              <w:rPr>
                <w:i/>
                <w:iCs/>
                <w:lang w:val="es-ES"/>
              </w:rPr>
            </w:pPr>
            <w:r w:rsidRPr="00EA31EB">
              <w:rPr>
                <w:i/>
                <w:iCs/>
                <w:lang w:val="es-ES"/>
              </w:rPr>
              <w:t>N</w:t>
            </w:r>
            <w:r w:rsidRPr="00EA31EB">
              <w:rPr>
                <w:i/>
                <w:iCs/>
                <w:vertAlign w:val="subscript"/>
                <w:lang w:val="es-ES"/>
              </w:rPr>
              <w:t>ii</w:t>
            </w:r>
          </w:p>
        </w:tc>
        <w:tc>
          <w:tcPr>
            <w:tcW w:w="722" w:type="dxa"/>
            <w:shd w:val="clear" w:color="auto" w:fill="auto"/>
          </w:tcPr>
          <w:p w14:paraId="4F675399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798" w:type="dxa"/>
            <w:shd w:val="clear" w:color="auto" w:fill="auto"/>
          </w:tcPr>
          <w:p w14:paraId="49FEF038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28</w:t>
            </w:r>
            <w:r>
              <w:rPr>
                <w:lang w:val="es-ES"/>
              </w:rPr>
              <w:t>,</w:t>
            </w:r>
            <w:r w:rsidRPr="00EA31EB">
              <w:rPr>
                <w:lang w:val="es-ES"/>
              </w:rPr>
              <w:t>25</w:t>
            </w:r>
          </w:p>
        </w:tc>
        <w:tc>
          <w:tcPr>
            <w:tcW w:w="766" w:type="dxa"/>
            <w:shd w:val="clear" w:color="auto" w:fill="auto"/>
          </w:tcPr>
          <w:p w14:paraId="545273CD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749" w:type="dxa"/>
            <w:shd w:val="clear" w:color="auto" w:fill="auto"/>
          </w:tcPr>
          <w:p w14:paraId="7A31690B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30</w:t>
            </w:r>
          </w:p>
        </w:tc>
        <w:tc>
          <w:tcPr>
            <w:tcW w:w="786" w:type="dxa"/>
            <w:shd w:val="clear" w:color="auto" w:fill="auto"/>
          </w:tcPr>
          <w:p w14:paraId="5497C893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729" w:type="dxa"/>
            <w:shd w:val="clear" w:color="auto" w:fill="auto"/>
          </w:tcPr>
          <w:p w14:paraId="5DF699B9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30</w:t>
            </w:r>
          </w:p>
        </w:tc>
        <w:tc>
          <w:tcPr>
            <w:tcW w:w="698" w:type="dxa"/>
            <w:shd w:val="clear" w:color="auto" w:fill="auto"/>
          </w:tcPr>
          <w:p w14:paraId="587444BE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770" w:type="dxa"/>
            <w:shd w:val="clear" w:color="auto" w:fill="auto"/>
          </w:tcPr>
          <w:p w14:paraId="7F7E147F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740" w:type="dxa"/>
            <w:shd w:val="clear" w:color="auto" w:fill="auto"/>
          </w:tcPr>
          <w:p w14:paraId="22E5466C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30</w:t>
            </w:r>
          </w:p>
        </w:tc>
        <w:tc>
          <w:tcPr>
            <w:tcW w:w="734" w:type="dxa"/>
            <w:shd w:val="clear" w:color="auto" w:fill="auto"/>
          </w:tcPr>
          <w:p w14:paraId="50CB617E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  <w:tc>
          <w:tcPr>
            <w:tcW w:w="676" w:type="dxa"/>
            <w:shd w:val="clear" w:color="auto" w:fill="auto"/>
          </w:tcPr>
          <w:p w14:paraId="25680AD2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30</w:t>
            </w:r>
          </w:p>
        </w:tc>
        <w:tc>
          <w:tcPr>
            <w:tcW w:w="667" w:type="dxa"/>
            <w:shd w:val="clear" w:color="auto" w:fill="auto"/>
          </w:tcPr>
          <w:p w14:paraId="2373F148" w14:textId="77777777" w:rsidR="00BF6AA2" w:rsidRPr="00EA31EB" w:rsidRDefault="00BF6AA2" w:rsidP="00943AB1">
            <w:pPr>
              <w:pStyle w:val="Tabletext"/>
              <w:jc w:val="center"/>
              <w:rPr>
                <w:lang w:val="es-ES"/>
              </w:rPr>
            </w:pPr>
            <w:r w:rsidRPr="00EA31EB">
              <w:rPr>
                <w:lang w:val="es-ES"/>
              </w:rPr>
              <w:t>31</w:t>
            </w:r>
          </w:p>
        </w:tc>
      </w:tr>
    </w:tbl>
    <w:p w14:paraId="3246DFF1" w14:textId="77777777" w:rsidR="00BF6AA2" w:rsidRPr="00EA31EB" w:rsidRDefault="00BF6AA2" w:rsidP="00BF6AA2">
      <w:pPr>
        <w:pStyle w:val="Tablefin"/>
        <w:rPr>
          <w:lang w:val="es-ES"/>
        </w:rPr>
      </w:pPr>
    </w:p>
    <w:p w14:paraId="6409E08A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>Paso</w:t>
      </w:r>
      <w:r w:rsidRPr="00EA31EB">
        <w:rPr>
          <w:b/>
          <w:i/>
          <w:lang w:val="es-ES"/>
        </w:rPr>
        <w:t xml:space="preserve"> 2</w:t>
      </w:r>
      <w:r w:rsidRPr="00EA31EB">
        <w:rPr>
          <w:bCs/>
          <w:lang w:val="es-ES"/>
        </w:rPr>
        <w:t>:</w:t>
      </w:r>
      <w:r>
        <w:rPr>
          <w:lang w:val="es-ES"/>
        </w:rPr>
        <w:t xml:space="preserve"> Para cada número de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ii,</w: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siendo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 = {01, 02, 03, 04, 05, 06, 07, 08, 09, 10, 11 </w:t>
      </w:r>
      <w:r>
        <w:rPr>
          <w:lang w:val="es-ES"/>
        </w:rPr>
        <w:t xml:space="preserve">y </w:t>
      </w:r>
      <w:r w:rsidRPr="00EA31EB">
        <w:rPr>
          <w:lang w:val="es-ES"/>
        </w:rPr>
        <w:t xml:space="preserve">12}, </w:t>
      </w:r>
      <w:r>
        <w:rPr>
          <w:lang w:val="es-ES"/>
        </w:rPr>
        <w:t xml:space="preserve">se </w:t>
      </w:r>
      <w:r w:rsidRPr="00EA31EB">
        <w:rPr>
          <w:lang w:val="es-ES"/>
        </w:rPr>
        <w:t>determin</w:t>
      </w:r>
      <w:r>
        <w:rPr>
          <w:lang w:val="es-ES"/>
        </w:rPr>
        <w:t>an las temperaturas medias mensuales en la superficie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T</w:t>
      </w:r>
      <w:r w:rsidRPr="00EA31EB">
        <w:rPr>
          <w:i/>
          <w:vertAlign w:val="subscript"/>
          <w:lang w:val="es-ES"/>
        </w:rPr>
        <w:t>ii</w:t>
      </w:r>
      <w:r>
        <w:rPr>
          <w:lang w:val="es-ES"/>
        </w:rPr>
        <w:t xml:space="preserve"> </w:t>
      </w:r>
      <w:r w:rsidRPr="00EA31EB">
        <w:rPr>
          <w:lang w:val="es-ES"/>
        </w:rPr>
        <w:t xml:space="preserve">(K), </w:t>
      </w:r>
      <w:r>
        <w:rPr>
          <w:lang w:val="es-ES"/>
        </w:rPr>
        <w:t xml:space="preserve">en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lang w:val="es-ES"/>
        </w:rPr>
        <w:t xml:space="preserve">) </w:t>
      </w:r>
      <w:r>
        <w:rPr>
          <w:lang w:val="es-ES"/>
        </w:rPr>
        <w:t>a partir de datos locales fiables a largo plazo</w:t>
      </w:r>
      <w:r w:rsidRPr="00EA31EB">
        <w:rPr>
          <w:lang w:val="es-ES"/>
        </w:rPr>
        <w:t>.</w:t>
      </w:r>
    </w:p>
    <w:p w14:paraId="69F7EC9D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>Si no se dispone de datos locales fiables a largo plazo</w:t>
      </w:r>
      <w:r w:rsidRPr="00EA31EB">
        <w:rPr>
          <w:lang w:val="es-ES"/>
        </w:rPr>
        <w:t xml:space="preserve">, </w:t>
      </w:r>
      <w:r>
        <w:rPr>
          <w:lang w:val="es-ES"/>
        </w:rPr>
        <w:t>las temperaturas medias mensuales en la superficie de la tierra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T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(K), </w:t>
      </w:r>
      <w:r>
        <w:rPr>
          <w:lang w:val="es-ES"/>
        </w:rPr>
        <w:t xml:space="preserve">en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lang w:val="es-ES"/>
        </w:rPr>
        <w:t xml:space="preserve">) </w:t>
      </w:r>
      <w:r>
        <w:rPr>
          <w:lang w:val="es-ES"/>
        </w:rPr>
        <w:t>puede obtenerse a partir de los mapas digitales de la temperatura media mensual en la superficie especificados en la Recomendación U</w:t>
      </w:r>
      <w:r w:rsidRPr="00EA31EB">
        <w:rPr>
          <w:lang w:val="es-ES"/>
        </w:rPr>
        <w:t>IT-R P.1510.</w:t>
      </w:r>
    </w:p>
    <w:p w14:paraId="673D451C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>Paso</w:t>
      </w:r>
      <w:r w:rsidRPr="00EA31EB">
        <w:rPr>
          <w:b/>
          <w:i/>
          <w:lang w:val="es-ES"/>
        </w:rPr>
        <w:t xml:space="preserve"> 3</w:t>
      </w:r>
      <w:r w:rsidRPr="00EA31EB">
        <w:rPr>
          <w:bCs/>
          <w:lang w:val="es-ES"/>
        </w:rPr>
        <w:t>:</w:t>
      </w:r>
      <w:r>
        <w:rPr>
          <w:lang w:val="es-ES"/>
        </w:rPr>
        <w:t xml:space="preserve"> Para cada mes </w:t>
      </w:r>
      <w:r w:rsidRPr="00EA31EB">
        <w:rPr>
          <w:i/>
          <w:lang w:val="es-ES"/>
        </w:rPr>
        <w:t>ii,</w: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siendo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 = {01, 02, 03, 04, 05, 06, 07, 08, 09, 10, 11 </w:t>
      </w:r>
      <w:r>
        <w:rPr>
          <w:lang w:val="es-ES"/>
        </w:rPr>
        <w:t xml:space="preserve">y </w:t>
      </w:r>
      <w:r w:rsidRPr="00EA31EB">
        <w:rPr>
          <w:lang w:val="es-ES"/>
        </w:rPr>
        <w:t xml:space="preserve">12}, </w:t>
      </w:r>
      <w:r>
        <w:rPr>
          <w:lang w:val="es-ES"/>
        </w:rPr>
        <w:t>se determina la intensidad de lluvia media mensual total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MT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(mm), </w:t>
      </w:r>
      <w:r>
        <w:rPr>
          <w:lang w:val="es-ES"/>
        </w:rPr>
        <w:t xml:space="preserve">en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Lat, Lon</w:t>
      </w:r>
      <w:r w:rsidRPr="00EA31EB">
        <w:rPr>
          <w:lang w:val="es-ES"/>
        </w:rPr>
        <w:t xml:space="preserve">) </w:t>
      </w:r>
      <w:r>
        <w:rPr>
          <w:lang w:val="es-ES"/>
        </w:rPr>
        <w:t>a partir de datos fiables locales a largo plazo</w:t>
      </w:r>
      <w:r w:rsidRPr="00EA31EB">
        <w:rPr>
          <w:lang w:val="es-ES"/>
        </w:rPr>
        <w:t>.</w:t>
      </w:r>
    </w:p>
    <w:p w14:paraId="3491299A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>Si no se dispone de datos locales fiables a largo plazo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la intensidad de lluvia media mensual total en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Lat, Lon</w:t>
      </w:r>
      <w:r w:rsidRPr="00EA31EB">
        <w:rPr>
          <w:lang w:val="es-ES"/>
        </w:rPr>
        <w:t xml:space="preserve">) </w:t>
      </w:r>
      <w:r>
        <w:rPr>
          <w:lang w:val="es-ES"/>
        </w:rPr>
        <w:t>puede determinarse a partir de los mapas digitales de la intensidad de lluvia media mensual total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MT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(mm), </w:t>
      </w:r>
      <w:r>
        <w:rPr>
          <w:lang w:val="es-ES"/>
        </w:rPr>
        <w:t>que constituyen parte integrante de la presente Recomendación, del modo siguiente:</w:t>
      </w:r>
    </w:p>
    <w:p w14:paraId="3FF5B809" w14:textId="77777777" w:rsidR="00BF6AA2" w:rsidRPr="00EA31EB" w:rsidRDefault="00BF6AA2" w:rsidP="00BF6AA2">
      <w:pPr>
        <w:pStyle w:val="enumlev1"/>
        <w:rPr>
          <w:lang w:val="es-ES"/>
        </w:rPr>
      </w:pPr>
      <w:r w:rsidRPr="00EA31EB">
        <w:rPr>
          <w:lang w:val="es-ES"/>
        </w:rPr>
        <w:t>a)</w:t>
      </w:r>
      <w:r w:rsidRPr="00EA31EB">
        <w:rPr>
          <w:lang w:val="es-ES"/>
        </w:rPr>
        <w:tab/>
        <w:t>determin</w:t>
      </w:r>
      <w:r>
        <w:rPr>
          <w:lang w:val="es-ES"/>
        </w:rPr>
        <w:t>ar</w: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los cuatro puntos de la retícula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</w:t>
      </w:r>
      <w:r w:rsidRPr="00EA31EB">
        <w:rPr>
          <w:iCs/>
          <w:vertAlign w:val="subscript"/>
          <w:lang w:val="es-ES"/>
        </w:rPr>
        <w:t>1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iCs/>
          <w:vertAlign w:val="subscript"/>
          <w:lang w:val="es-ES"/>
        </w:rPr>
        <w:t>1</w:t>
      </w:r>
      <w:r w:rsidRPr="00EA31EB">
        <w:rPr>
          <w:lang w:val="es-ES"/>
        </w:rPr>
        <w:t>), (</w:t>
      </w:r>
      <w:r w:rsidRPr="00EA31EB">
        <w:rPr>
          <w:i/>
          <w:lang w:val="es-ES"/>
        </w:rPr>
        <w:t>Lat</w:t>
      </w:r>
      <w:r w:rsidRPr="00EA31EB">
        <w:rPr>
          <w:iCs/>
          <w:vertAlign w:val="subscript"/>
          <w:lang w:val="es-ES"/>
        </w:rPr>
        <w:t>2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iCs/>
          <w:vertAlign w:val="subscript"/>
          <w:lang w:val="es-ES"/>
        </w:rPr>
        <w:t>2</w:t>
      </w:r>
      <w:r w:rsidRPr="00EA31EB">
        <w:rPr>
          <w:lang w:val="es-ES"/>
        </w:rPr>
        <w:t>), (</w:t>
      </w:r>
      <w:r w:rsidRPr="00EA31EB">
        <w:rPr>
          <w:i/>
          <w:lang w:val="es-ES"/>
        </w:rPr>
        <w:t>Lat</w:t>
      </w:r>
      <w:r w:rsidRPr="00EA31EB">
        <w:rPr>
          <w:iCs/>
          <w:vertAlign w:val="subscript"/>
          <w:lang w:val="es-ES"/>
        </w:rPr>
        <w:t>3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iCs/>
          <w:vertAlign w:val="subscript"/>
          <w:lang w:val="es-ES"/>
        </w:rPr>
        <w:t>3</w:t>
      </w:r>
      <w:r w:rsidRPr="00EA31EB">
        <w:rPr>
          <w:lang w:val="es-ES"/>
        </w:rPr>
        <w:t xml:space="preserve">) </w:t>
      </w:r>
      <w:r>
        <w:rPr>
          <w:lang w:val="es-ES"/>
        </w:rPr>
        <w:t xml:space="preserve">y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</w:t>
      </w:r>
      <w:r w:rsidRPr="00EA31EB">
        <w:rPr>
          <w:iCs/>
          <w:vertAlign w:val="subscript"/>
          <w:lang w:val="es-ES"/>
        </w:rPr>
        <w:t>4</w:t>
      </w:r>
      <w:r w:rsidRPr="00EA31EB">
        <w:rPr>
          <w:lang w:val="es-ES"/>
        </w:rPr>
        <w:t>,</w:t>
      </w:r>
      <w:r>
        <w:rPr>
          <w:lang w:val="es-ES"/>
        </w:rPr>
        <w:t> </w:t>
      </w:r>
      <w:r w:rsidRPr="00EA31EB">
        <w:rPr>
          <w:i/>
          <w:lang w:val="es-ES"/>
        </w:rPr>
        <w:t>Lon</w:t>
      </w:r>
      <w:r w:rsidRPr="00EA31EB">
        <w:rPr>
          <w:iCs/>
          <w:vertAlign w:val="subscript"/>
          <w:lang w:val="es-ES"/>
        </w:rPr>
        <w:t>4</w:t>
      </w:r>
      <w:r w:rsidRPr="00EA31EB">
        <w:rPr>
          <w:lang w:val="es-ES"/>
        </w:rPr>
        <w:t xml:space="preserve">) </w:t>
      </w:r>
      <w:r>
        <w:rPr>
          <w:lang w:val="es-ES"/>
        </w:rPr>
        <w:t xml:space="preserve">que rodean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Lat, Lon</w:t>
      </w:r>
      <w:r w:rsidRPr="00EA31EB">
        <w:rPr>
          <w:lang w:val="es-ES"/>
        </w:rPr>
        <w:t>);</w:t>
      </w:r>
    </w:p>
    <w:p w14:paraId="50A208DC" w14:textId="77777777" w:rsidR="00BF6AA2" w:rsidRPr="00EA31EB" w:rsidRDefault="00BF6AA2" w:rsidP="00BF6AA2">
      <w:pPr>
        <w:pStyle w:val="enumlev1"/>
        <w:rPr>
          <w:lang w:val="es-ES"/>
        </w:rPr>
      </w:pPr>
      <w:r w:rsidRPr="00EA31EB">
        <w:rPr>
          <w:lang w:val="es-ES"/>
        </w:rPr>
        <w:t>b)</w:t>
      </w:r>
      <w:r w:rsidRPr="00EA31EB">
        <w:rPr>
          <w:lang w:val="es-ES"/>
        </w:rPr>
        <w:tab/>
        <w:t>determin</w:t>
      </w:r>
      <w:r>
        <w:rPr>
          <w:lang w:val="es-ES"/>
        </w:rPr>
        <w:t>ar</w:t>
      </w:r>
      <w:r w:rsidRPr="00EA31EB">
        <w:rPr>
          <w:lang w:val="es-ES"/>
        </w:rPr>
        <w:t xml:space="preserve"> </w:t>
      </w:r>
      <w:r>
        <w:rPr>
          <w:lang w:val="es-ES"/>
        </w:rPr>
        <w:t>la intensidad media mensual total</w: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580" w:dyaOrig="380" w14:anchorId="0A3D4586">
          <v:shape id="_x0000_i1026" type="#_x0000_t75" style="width:29.55pt;height:19.9pt" o:ole="">
            <v:imagedata r:id="rId14" o:title=""/>
          </v:shape>
          <o:OLEObject Type="Embed" ProgID="Equation.3" ShapeID="_x0000_i1026" DrawAspect="Content" ObjectID="_1752911957" r:id="rId15"/>
        </w:objec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620" w:dyaOrig="380" w14:anchorId="6BA0D7A8">
          <v:shape id="_x0000_i1027" type="#_x0000_t75" style="width:31.7pt;height:19.9pt" o:ole="">
            <v:imagedata r:id="rId16" o:title=""/>
          </v:shape>
          <o:OLEObject Type="Embed" ProgID="Equation.3" ShapeID="_x0000_i1027" DrawAspect="Content" ObjectID="_1752911958" r:id="rId17"/>
        </w:objec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600" w:dyaOrig="380" w14:anchorId="147E27CB">
          <v:shape id="_x0000_i1028" type="#_x0000_t75" style="width:31.7pt;height:19.9pt" o:ole="">
            <v:imagedata r:id="rId18" o:title=""/>
          </v:shape>
          <o:OLEObject Type="Embed" ProgID="Equation.3" ShapeID="_x0000_i1028" DrawAspect="Content" ObjectID="_1752911959" r:id="rId19"/>
        </w:objec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y </w:t>
      </w:r>
      <w:r w:rsidRPr="00EA31EB">
        <w:rPr>
          <w:position w:val="-14"/>
          <w:lang w:val="es-ES"/>
        </w:rPr>
        <w:object w:dxaOrig="620" w:dyaOrig="380" w14:anchorId="46C94F9E">
          <v:shape id="_x0000_i1029" type="#_x0000_t75" style="width:31.7pt;height:19.9pt" o:ole="">
            <v:imagedata r:id="rId20" o:title=""/>
          </v:shape>
          <o:OLEObject Type="Embed" ProgID="Equation.3" ShapeID="_x0000_i1029" DrawAspect="Content" ObjectID="_1752911960" r:id="rId21"/>
        </w:object>
      </w:r>
      <w:r w:rsidRPr="00EA31EB">
        <w:rPr>
          <w:lang w:val="es-ES"/>
        </w:rPr>
        <w:t xml:space="preserve"> </w:t>
      </w:r>
      <w:r>
        <w:rPr>
          <w:lang w:val="es-ES"/>
        </w:rPr>
        <w:t>en los cuatro puntos de la retícula que lo rodean de los mapas facilitados en la presente Recomendación</w:t>
      </w:r>
      <w:r w:rsidRPr="00EA31EB">
        <w:rPr>
          <w:lang w:val="es-ES"/>
        </w:rPr>
        <w:t>;</w:t>
      </w:r>
    </w:p>
    <w:p w14:paraId="733AC6B8" w14:textId="77777777" w:rsidR="00BF6AA2" w:rsidRPr="00EA31EB" w:rsidRDefault="00BF6AA2" w:rsidP="00BF6AA2">
      <w:pPr>
        <w:pStyle w:val="enumlev1"/>
        <w:rPr>
          <w:lang w:val="es-ES"/>
        </w:rPr>
      </w:pPr>
      <w:r w:rsidRPr="00EA31EB">
        <w:rPr>
          <w:lang w:val="es-ES"/>
        </w:rPr>
        <w:t>c)</w:t>
      </w:r>
      <w:r w:rsidRPr="00EA31EB">
        <w:rPr>
          <w:lang w:val="es-ES"/>
        </w:rPr>
        <w:tab/>
        <w:t>determin</w:t>
      </w:r>
      <w:r>
        <w:rPr>
          <w:lang w:val="es-ES"/>
        </w:rPr>
        <w:t>ar</w:t>
      </w:r>
      <w:r w:rsidRPr="00EA31EB">
        <w:rPr>
          <w:lang w:val="es-ES"/>
        </w:rPr>
        <w:t xml:space="preserve"> </w:t>
      </w:r>
      <w:r w:rsidRPr="00EA31EB">
        <w:rPr>
          <w:position w:val="-12"/>
          <w:lang w:val="es-ES"/>
        </w:rPr>
        <w:object w:dxaOrig="480" w:dyaOrig="360" w14:anchorId="34003512">
          <v:shape id="_x0000_i1030" type="#_x0000_t75" style="width:24.2pt;height:17.75pt" o:ole="">
            <v:imagedata r:id="rId22" o:title=""/>
          </v:shape>
          <o:OLEObject Type="Embed" ProgID="Equation.3" ShapeID="_x0000_i1030" DrawAspect="Content" ObjectID="_1752911961" r:id="rId23"/>
        </w:objec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en el emplazamiento deseado </w:t>
      </w:r>
      <w:r w:rsidRPr="00EA31EB">
        <w:rPr>
          <w:lang w:val="es-ES"/>
        </w:rPr>
        <w:t>(</w:t>
      </w:r>
      <w:r w:rsidRPr="00EA31EB">
        <w:rPr>
          <w:i/>
          <w:lang w:val="es-ES"/>
        </w:rPr>
        <w:t>Lat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Lon</w:t>
      </w:r>
      <w:r w:rsidRPr="00EA31EB">
        <w:rPr>
          <w:lang w:val="es-ES"/>
        </w:rPr>
        <w:t xml:space="preserve">) </w:t>
      </w:r>
      <w:r>
        <w:rPr>
          <w:lang w:val="es-ES"/>
        </w:rPr>
        <w:t xml:space="preserve">mediante la interpolación bilineal utilizando los cuatro puntos mencionados de la retícula como se describe en el párrafo 1b del Anexo </w:t>
      </w:r>
      <w:r w:rsidRPr="00EA31EB">
        <w:rPr>
          <w:lang w:val="es-ES"/>
        </w:rPr>
        <w:t xml:space="preserve">1 </w:t>
      </w:r>
      <w:r>
        <w:rPr>
          <w:lang w:val="es-ES"/>
        </w:rPr>
        <w:t>a la Recomendación U</w:t>
      </w:r>
      <w:r w:rsidRPr="00EA31EB">
        <w:rPr>
          <w:lang w:val="es-ES"/>
        </w:rPr>
        <w:t>IT-R P.1144.</w:t>
      </w:r>
    </w:p>
    <w:p w14:paraId="30E68924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 xml:space="preserve">Paso </w:t>
      </w:r>
      <w:r w:rsidRPr="00EA31EB">
        <w:rPr>
          <w:b/>
          <w:i/>
          <w:lang w:val="es-ES"/>
        </w:rPr>
        <w:t>4</w:t>
      </w:r>
      <w:r w:rsidRPr="00EA31EB">
        <w:rPr>
          <w:bCs/>
          <w:lang w:val="es-ES"/>
        </w:rPr>
        <w:t>:</w:t>
      </w:r>
      <w:r>
        <w:rPr>
          <w:i/>
          <w:lang w:val="es-ES"/>
        </w:rPr>
        <w:t xml:space="preserve"> </w:t>
      </w:r>
      <w:r>
        <w:rPr>
          <w:lang w:val="es-ES"/>
        </w:rPr>
        <w:t>Para cada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convertir </w:t>
      </w:r>
      <w:r w:rsidRPr="00EA31EB">
        <w:rPr>
          <w:i/>
          <w:lang w:val="es-ES"/>
        </w:rPr>
        <w:t>T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(K) </w:t>
      </w:r>
      <w:r>
        <w:rPr>
          <w:lang w:val="es-ES"/>
        </w:rPr>
        <w:t>a</w:t>
      </w:r>
      <w:r w:rsidRPr="00EA31EB">
        <w:rPr>
          <w:lang w:val="es-ES"/>
        </w:rPr>
        <w:t xml:space="preserve"> </w:t>
      </w:r>
      <w:r w:rsidRPr="00EA31EB">
        <w:rPr>
          <w:i/>
          <w:lang w:val="es-ES"/>
        </w:rPr>
        <w:t>t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(</w:t>
      </w:r>
      <w:r w:rsidRPr="00EA31EB">
        <w:rPr>
          <w:rFonts w:ascii="Lucida Grande" w:hAnsi="Lucida Grande" w:cs="Lucida Grande"/>
          <w:b/>
          <w:color w:val="000000"/>
          <w:lang w:val="es-ES"/>
        </w:rPr>
        <w:t>°</w:t>
      </w:r>
      <w:r w:rsidRPr="00EA31EB">
        <w:rPr>
          <w:lang w:val="es-ES"/>
        </w:rPr>
        <w:t>C).</w:t>
      </w:r>
    </w:p>
    <w:p w14:paraId="1727ED24" w14:textId="77777777" w:rsidR="00BF6AA2" w:rsidRPr="00EA31EB" w:rsidRDefault="00BF6AA2" w:rsidP="00BF6AA2">
      <w:pPr>
        <w:keepNext/>
        <w:rPr>
          <w:lang w:val="es-ES"/>
        </w:rPr>
      </w:pPr>
      <w:r>
        <w:rPr>
          <w:b/>
          <w:i/>
          <w:lang w:val="es-ES"/>
        </w:rPr>
        <w:t xml:space="preserve">Paso </w:t>
      </w:r>
      <w:r w:rsidRPr="00EA31EB">
        <w:rPr>
          <w:b/>
          <w:i/>
          <w:lang w:val="es-ES"/>
        </w:rPr>
        <w:t>5</w:t>
      </w:r>
      <w:r w:rsidRPr="00EA31EB">
        <w:rPr>
          <w:bCs/>
          <w:lang w:val="es-ES"/>
        </w:rPr>
        <w:t>:</w:t>
      </w:r>
      <w:r>
        <w:rPr>
          <w:lang w:val="es-ES"/>
        </w:rPr>
        <w:t xml:space="preserve"> Para cada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>, calcula</w:t>
      </w:r>
      <w:r>
        <w:rPr>
          <w:lang w:val="es-ES"/>
        </w:rPr>
        <w:t>r</w:t>
      </w:r>
      <w:r w:rsidRPr="00EA31EB">
        <w:rPr>
          <w:lang w:val="es-ES"/>
        </w:rPr>
        <w:t xml:space="preserve">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>ii</w:t>
      </w:r>
      <w:r w:rsidRPr="00EA31EB">
        <w:rPr>
          <w:lang w:val="es-ES"/>
        </w:rPr>
        <w:t xml:space="preserve"> </w:t>
      </w:r>
      <w:r>
        <w:rPr>
          <w:lang w:val="es-ES"/>
        </w:rPr>
        <w:t>del modo siguiente</w:t>
      </w:r>
      <w:r w:rsidRPr="00EA31EB">
        <w:rPr>
          <w:lang w:val="es-ES"/>
        </w:rPr>
        <w:t>:</w:t>
      </w:r>
    </w:p>
    <w:p w14:paraId="71C1475B" w14:textId="2CFCB532" w:rsidR="00BF6AA2" w:rsidRPr="00EA31EB" w:rsidRDefault="00BF6AA2" w:rsidP="00BF6AA2">
      <w:pPr>
        <w:pStyle w:val="Equation"/>
        <w:rPr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w:r w:rsidR="00302C4A" w:rsidRPr="00041D15">
        <w:rPr>
          <w:position w:val="-32"/>
        </w:rPr>
        <w:object w:dxaOrig="1960" w:dyaOrig="760" w14:anchorId="0700B0C2">
          <v:shape id="_x0000_i1047" type="#_x0000_t75" style="width:96.7pt;height:37.05pt" o:ole="">
            <v:imagedata r:id="rId24" o:title=""/>
          </v:shape>
          <o:OLEObject Type="Embed" ProgID="Equation.DSMT4" ShapeID="_x0000_i1047" DrawAspect="Content" ObjectID="_1752911962" r:id="rId25"/>
        </w:object>
      </w:r>
      <w:r w:rsidRPr="00EA31EB">
        <w:rPr>
          <w:position w:val="-30"/>
          <w:lang w:val="es-ES"/>
        </w:rPr>
        <w:object w:dxaOrig="1460" w:dyaOrig="720" w14:anchorId="4089C550">
          <v:shape id="_x0000_i1032" type="#_x0000_t75" style="width:1in;height:36.55pt" o:ole="">
            <v:imagedata r:id="rId26" o:title=""/>
          </v:shape>
          <o:OLEObject Type="Embed" ProgID="Equation.3" ShapeID="_x0000_i1032" DrawAspect="Content" ObjectID="_1752911963" r:id="rId27"/>
        </w:objec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 </w:t>
      </w:r>
      <w:r w:rsidRPr="00EA31EB">
        <w:rPr>
          <w:position w:val="-10"/>
          <w:lang w:val="es-ES"/>
        </w:rPr>
        <w:object w:dxaOrig="960" w:dyaOrig="320" w14:anchorId="006368CE">
          <v:shape id="_x0000_i1033" type="#_x0000_t75" style="width:47.8pt;height:16.65pt" o:ole="">
            <v:imagedata r:id="rId28" o:title=""/>
          </v:shape>
          <o:OLEObject Type="Embed" ProgID="Equation.3" ShapeID="_x0000_i1033" DrawAspect="Content" ObjectID="_1752911964" r:id="rId29"/>
        </w:object>
      </w:r>
      <w:r w:rsidRPr="00EA31EB">
        <w:rPr>
          <w:lang w:val="es-ES"/>
        </w:rPr>
        <w:tab/>
        <w:t>(1)</w:t>
      </w:r>
    </w:p>
    <w:p w14:paraId="1EDB60A0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 xml:space="preserve">Paso </w:t>
      </w:r>
      <w:r w:rsidRPr="00EA31EB">
        <w:rPr>
          <w:b/>
          <w:i/>
          <w:lang w:val="es-ES"/>
        </w:rPr>
        <w:t>6a</w:t>
      </w:r>
      <w:r w:rsidRPr="00EA31EB">
        <w:rPr>
          <w:bCs/>
          <w:lang w:val="es-ES"/>
        </w:rPr>
        <w:t>:</w:t>
      </w:r>
      <w:r>
        <w:rPr>
          <w:bCs/>
          <w:lang w:val="es-ES"/>
        </w:rPr>
        <w:t xml:space="preserve"> </w:t>
      </w:r>
      <w:r>
        <w:rPr>
          <w:lang w:val="es-ES"/>
        </w:rPr>
        <w:t>Para cada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>, calcula</w:t>
      </w:r>
      <w:r>
        <w:rPr>
          <w:lang w:val="es-ES"/>
        </w:rPr>
        <w:t>r</w:t>
      </w:r>
      <w:r w:rsidRPr="00EA31EB">
        <w:rPr>
          <w:lang w:val="es-ES"/>
        </w:rPr>
        <w:t xml:space="preserve"> </w:t>
      </w:r>
      <w:r>
        <w:rPr>
          <w:lang w:val="es-ES"/>
        </w:rPr>
        <w:t>la probabilidad mensual de lluvia, del modo siguiente</w:t>
      </w:r>
      <w:r w:rsidRPr="00EA31EB">
        <w:rPr>
          <w:lang w:val="es-ES"/>
        </w:rPr>
        <w:t xml:space="preserve">: </w:t>
      </w:r>
    </w:p>
    <w:p w14:paraId="6116A99F" w14:textId="77777777" w:rsidR="00BF6AA2" w:rsidRPr="00EA31EB" w:rsidRDefault="00BF6AA2" w:rsidP="00BF6AA2">
      <w:pPr>
        <w:pStyle w:val="Equation"/>
        <w:rPr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es-ES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=100</m:t>
        </m:r>
        <m:f>
          <m:fPr>
            <m:ctrlPr>
              <w:rPr>
                <w:rFonts w:ascii="Cambria Math" w:hAnsi="Cambria Math"/>
                <w:lang w:val="es-ES"/>
              </w:rPr>
            </m:ctrlPr>
          </m:fPr>
          <m:num>
            <m:r>
              <w:rPr>
                <w:rFonts w:ascii="Cambria Math" w:hAnsi="Cambria Math"/>
                <w:lang w:val="es-ES"/>
              </w:rPr>
              <m:t>M</m:t>
            </m:r>
            <m:sSub>
              <m:sSubPr>
                <m:ctrlPr>
                  <w:rPr>
                    <w:rFonts w:ascii="Cambria Math" w:hAnsi="Cambria Math"/>
                    <w:lang w:val="es-ES"/>
                  </w:rPr>
                </m:ctrlPr>
              </m:sSubPr>
              <m:e>
                <m:r>
                  <w:rPr>
                    <w:rFonts w:ascii="Cambria Math" w:hAnsi="Cambria Math"/>
                    <w:lang w:val="es-E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es-ES"/>
                  </w:rPr>
                  <m:t>ii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24</m:t>
            </m:r>
            <m:sSub>
              <m:sSubPr>
                <m:ctrlPr>
                  <w:rPr>
                    <w:rFonts w:ascii="Cambria Math" w:hAnsi="Cambria Math"/>
                    <w:lang w:val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"/>
                  </w:rPr>
                  <m:t xml:space="preserve"> ×</m:t>
                </m:r>
                <m:r>
                  <w:rPr>
                    <w:rFonts w:ascii="Cambria Math" w:hAnsi="Cambria Math"/>
                    <w:lang w:val="es-ES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es-ES"/>
                  </w:rPr>
                  <m:t>ii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×</m:t>
            </m:r>
            <m:sSub>
              <m:sSubPr>
                <m:ctrlPr>
                  <w:rPr>
                    <w:rFonts w:ascii="Cambria Math" w:hAnsi="Cambria Math"/>
                    <w:lang w:val="es-ES"/>
                  </w:rPr>
                </m:ctrlPr>
              </m:sSubPr>
              <m:e>
                <m:r>
                  <w:rPr>
                    <w:rFonts w:ascii="Cambria Math" w:hAnsi="Cambria Math"/>
                    <w:lang w:val="es-E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s-ES"/>
                  </w:rPr>
                  <m:t>ii</m:t>
                </m:r>
              </m:sub>
            </m:sSub>
          </m:den>
        </m:f>
      </m:oMath>
      <w:r>
        <w:rPr>
          <w:lang w:val="es-ES"/>
        </w:rPr>
        <w:t xml:space="preserve">  (%)</w:t>
      </w:r>
      <w:r w:rsidRPr="00EA31EB">
        <w:rPr>
          <w:lang w:val="es-ES"/>
        </w:rPr>
        <w:tab/>
        <w:t>(2)</w:t>
      </w:r>
    </w:p>
    <w:p w14:paraId="3D762E40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 xml:space="preserve">Paso </w:t>
      </w:r>
      <w:r w:rsidRPr="00EA31EB">
        <w:rPr>
          <w:b/>
          <w:i/>
          <w:lang w:val="es-ES"/>
        </w:rPr>
        <w:t>6b</w:t>
      </w:r>
      <w:r w:rsidRPr="00EA31EB">
        <w:rPr>
          <w:bCs/>
          <w:lang w:val="es-ES"/>
        </w:rPr>
        <w:t>:</w:t>
      </w:r>
      <w:r>
        <w:rPr>
          <w:bCs/>
          <w:lang w:val="es-ES"/>
        </w:rPr>
        <w:t xml:space="preserve"> </w:t>
      </w:r>
      <w:r>
        <w:rPr>
          <w:lang w:val="es-ES"/>
        </w:rPr>
        <w:t>Para cada mes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ii</w:t>
      </w:r>
      <w:r w:rsidRPr="00EA31EB">
        <w:rPr>
          <w:lang w:val="es-ES"/>
        </w:rPr>
        <w:t xml:space="preserve">, </w:t>
      </w:r>
      <w:r>
        <w:rPr>
          <w:lang w:val="es-ES"/>
        </w:rPr>
        <w:t>si</w:t>
      </w:r>
      <w:r w:rsidRPr="00EA31EB">
        <w:rPr>
          <w:lang w:val="es-ES"/>
        </w:rPr>
        <w:t xml:space="preserve"> </w:t>
      </w:r>
      <w:r w:rsidRPr="00EA31EB">
        <w:rPr>
          <w:position w:val="-14"/>
          <w:lang w:val="es-ES"/>
        </w:rPr>
        <w:object w:dxaOrig="840" w:dyaOrig="380" w14:anchorId="00B8590B">
          <v:shape id="_x0000_i1034" type="#_x0000_t75" style="width:40.3pt;height:19.9pt" o:ole="">
            <v:imagedata r:id="rId30" o:title=""/>
          </v:shape>
          <o:OLEObject Type="Embed" ProgID="Equation.3" ShapeID="_x0000_i1034" DrawAspect="Content" ObjectID="_1752911965" r:id="rId31"/>
        </w:objec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859" w:dyaOrig="380" w14:anchorId="3B3CA2EF">
          <v:shape id="_x0000_i1035" type="#_x0000_t75" style="width:42.45pt;height:19.9pt" o:ole="">
            <v:imagedata r:id="rId32" o:title=""/>
          </v:shape>
          <o:OLEObject Type="Embed" ProgID="Equation.3" ShapeID="_x0000_i1035" DrawAspect="Content" ObjectID="_1752911966" r:id="rId33"/>
        </w:object>
      </w:r>
      <w:r>
        <w:rPr>
          <w:lang w:val="es-ES"/>
        </w:rPr>
        <w:t xml:space="preserve"> y</w:t>
      </w:r>
      <w:r w:rsidRPr="00EA31EB">
        <w:rPr>
          <w:lang w:val="es-ES"/>
        </w:rPr>
        <w:t xml:space="preserve"> </w:t>
      </w:r>
      <w:r w:rsidRPr="00EA31EB">
        <w:rPr>
          <w:position w:val="-30"/>
          <w:lang w:val="es-ES"/>
        </w:rPr>
        <w:object w:dxaOrig="1680" w:dyaOrig="680" w14:anchorId="20438BEC">
          <v:shape id="_x0000_i1036" type="#_x0000_t75" style="width:84.35pt;height:34.4pt" o:ole="">
            <v:imagedata r:id="rId34" o:title=""/>
          </v:shape>
          <o:OLEObject Type="Embed" ProgID="Equation.3" ShapeID="_x0000_i1036" DrawAspect="Content" ObjectID="_1752911967" r:id="rId35"/>
        </w:object>
      </w:r>
    </w:p>
    <w:p w14:paraId="79D91FE5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t xml:space="preserve">Paso </w:t>
      </w:r>
      <w:r w:rsidRPr="00EA31EB">
        <w:rPr>
          <w:b/>
          <w:i/>
          <w:lang w:val="es-ES"/>
        </w:rPr>
        <w:t>7</w:t>
      </w:r>
      <w:r w:rsidRPr="00EA31EB">
        <w:rPr>
          <w:bCs/>
          <w:lang w:val="es-ES"/>
        </w:rPr>
        <w:t>:</w:t>
      </w:r>
      <w:r>
        <w:rPr>
          <w:i/>
          <w:lang w:val="es-ES"/>
        </w:rPr>
        <w:t xml:space="preserve"> </w:t>
      </w:r>
      <w:r w:rsidRPr="0016118E">
        <w:rPr>
          <w:iCs/>
          <w:lang w:val="es-ES"/>
        </w:rPr>
        <w:t>C</w:t>
      </w:r>
      <w:r>
        <w:rPr>
          <w:lang w:val="es-ES"/>
        </w:rPr>
        <w:t>alcular</w: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la probabilidad </w:t>
      </w:r>
      <w:r w:rsidRPr="00EA31EB">
        <w:rPr>
          <w:lang w:val="es-ES"/>
        </w:rPr>
        <w:t xml:space="preserve">anual </w:t>
      </w:r>
      <w:r>
        <w:rPr>
          <w:lang w:val="es-ES"/>
        </w:rPr>
        <w:t>de lluvia</w: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1680" w:dyaOrig="380" w14:anchorId="5A5B9468">
          <v:shape id="_x0000_i1037" type="#_x0000_t75" style="width:84.35pt;height:19.9pt" o:ole="">
            <v:imagedata r:id="rId36" o:title=""/>
          </v:shape>
          <o:OLEObject Type="Embed" ProgID="Equation.3" ShapeID="_x0000_i1037" DrawAspect="Content" ObjectID="_1752911968" r:id="rId37"/>
        </w:object>
      </w:r>
      <w:r w:rsidRPr="00EA31EB">
        <w:rPr>
          <w:lang w:val="es-ES"/>
        </w:rPr>
        <w:t xml:space="preserve"> </w:t>
      </w:r>
      <w:r>
        <w:rPr>
          <w:lang w:val="es-ES"/>
        </w:rPr>
        <w:t>mediante la expresión</w:t>
      </w:r>
      <w:r w:rsidRPr="00EA31EB">
        <w:rPr>
          <w:lang w:val="es-ES"/>
        </w:rPr>
        <w:t>:</w:t>
      </w:r>
    </w:p>
    <w:p w14:paraId="19A97B72" w14:textId="77777777" w:rsidR="00BF6AA2" w:rsidRPr="00EA31EB" w:rsidRDefault="00BF6AA2" w:rsidP="00BF6AA2">
      <w:pPr>
        <w:pStyle w:val="Equation"/>
        <w:rPr>
          <w:szCs w:val="28"/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w:r w:rsidRPr="00815AF3">
        <w:rPr>
          <w:position w:val="-28"/>
        </w:rPr>
        <w:object w:dxaOrig="1920" w:dyaOrig="999" w14:anchorId="0659320D">
          <v:shape id="_x0000_i1038" type="#_x0000_t75" style="width:97.8pt;height:49.45pt" o:ole="">
            <v:imagedata r:id="rId38" o:title=""/>
          </v:shape>
          <o:OLEObject Type="Embed" ProgID="Equation.DSMT4" ShapeID="_x0000_i1038" DrawAspect="Content" ObjectID="_1752911969" r:id="rId39"/>
        </w:object>
      </w:r>
      <w:r w:rsidRPr="00DC29EA">
        <w:rPr>
          <w:lang w:val="es-ES_tradnl"/>
        </w:rPr>
        <w:t xml:space="preserve"> </w:t>
      </w:r>
      <w:r>
        <w:rPr>
          <w:szCs w:val="28"/>
          <w:lang w:val="es-ES"/>
        </w:rPr>
        <w:t xml:space="preserve"> </w:t>
      </w:r>
      <w:r w:rsidRPr="00EA31EB">
        <w:rPr>
          <w:szCs w:val="28"/>
          <w:lang w:val="es-ES"/>
        </w:rPr>
        <w:t>(%)</w:t>
      </w:r>
      <w:r w:rsidRPr="00EA31EB">
        <w:rPr>
          <w:szCs w:val="28"/>
          <w:lang w:val="es-ES"/>
        </w:rPr>
        <w:tab/>
        <w:t>(3)</w:t>
      </w:r>
    </w:p>
    <w:p w14:paraId="15F18395" w14:textId="77777777" w:rsidR="00BF6AA2" w:rsidRPr="00EA31EB" w:rsidRDefault="00BF6AA2" w:rsidP="00BF6AA2">
      <w:pPr>
        <w:rPr>
          <w:lang w:val="es-ES"/>
        </w:rPr>
      </w:pPr>
      <w:r>
        <w:rPr>
          <w:b/>
          <w:i/>
          <w:lang w:val="es-ES"/>
        </w:rPr>
        <w:lastRenderedPageBreak/>
        <w:t xml:space="preserve">Paso </w:t>
      </w:r>
      <w:r w:rsidRPr="00EA31EB">
        <w:rPr>
          <w:b/>
          <w:i/>
          <w:lang w:val="es-ES"/>
        </w:rPr>
        <w:t>8</w:t>
      </w:r>
      <w:r w:rsidRPr="00EA31EB">
        <w:rPr>
          <w:bCs/>
          <w:lang w:val="es-ES"/>
        </w:rPr>
        <w:t>:</w:t>
      </w:r>
      <w:r w:rsidRPr="005839C8">
        <w:rPr>
          <w:bCs/>
          <w:lang w:val="es-ES"/>
        </w:rPr>
        <w:t xml:space="preserve"> </w:t>
      </w:r>
      <w:r>
        <w:rPr>
          <w:lang w:val="es-ES"/>
        </w:rPr>
        <w:t>Si la probabilidad de rebasamiento de intensidad de lluvia deseada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p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es mayor que </w:t>
      </w:r>
      <w:r w:rsidRPr="00EA31EB">
        <w:rPr>
          <w:position w:val="-14"/>
          <w:lang w:val="es-ES"/>
        </w:rPr>
        <w:object w:dxaOrig="580" w:dyaOrig="380" w14:anchorId="26E1CF27">
          <v:shape id="_x0000_i1039" type="#_x0000_t75" style="width:29.55pt;height:19.9pt" o:ole="">
            <v:imagedata r:id="rId40" o:title=""/>
          </v:shape>
          <o:OLEObject Type="Embed" ProgID="Equation.3" ShapeID="_x0000_i1039" DrawAspect="Content" ObjectID="_1752911970" r:id="rId41"/>
        </w:object>
      </w:r>
      <w:r w:rsidRPr="00EA31EB">
        <w:rPr>
          <w:lang w:val="es-ES"/>
        </w:rPr>
        <w:t xml:space="preserve">, </w:t>
      </w:r>
      <w:r>
        <w:rPr>
          <w:lang w:val="es-ES"/>
        </w:rPr>
        <w:t>la intensidad de lluvia a la deseada probabilidad de rebasamiento de la intensidad de lluvia</w:t>
      </w:r>
      <w:r w:rsidRPr="00EA31EB">
        <w:rPr>
          <w:lang w:val="es-E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lang w:val="es-ES"/>
              </w:rPr>
              <m:t>p</m:t>
            </m:r>
          </m:sub>
        </m:sSub>
      </m:oMath>
      <w:r w:rsidRPr="00EA31EB">
        <w:rPr>
          <w:lang w:val="es-ES"/>
        </w:rPr>
        <w:t xml:space="preserve">, </w:t>
      </w:r>
      <w:r>
        <w:rPr>
          <w:lang w:val="es-ES"/>
        </w:rPr>
        <w:t>e</w:t>
      </w:r>
      <w:r w:rsidRPr="00EA31EB">
        <w:rPr>
          <w:lang w:val="es-ES"/>
        </w:rPr>
        <w:t>s</w:t>
      </w:r>
      <w:r>
        <w:rPr>
          <w:lang w:val="es-ES"/>
        </w:rPr>
        <w:t xml:space="preserve"> igual a 0 mm/hr.</w:t>
      </w:r>
    </w:p>
    <w:p w14:paraId="6D51A353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>Si la probabilidad de rebasamiento de la intensidad de lluvia deseada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p</w:t>
      </w:r>
      <w:r w:rsidRPr="00EA31EB">
        <w:rPr>
          <w:lang w:val="es-ES"/>
        </w:rPr>
        <w:t xml:space="preserve">, </w:t>
      </w:r>
      <w:r>
        <w:rPr>
          <w:lang w:val="es-ES"/>
        </w:rPr>
        <w:t>es menor o igual a</w:t>
      </w:r>
      <w:r w:rsidRPr="00EA31EB">
        <w:rPr>
          <w:lang w:val="es-ES"/>
        </w:rPr>
        <w:t xml:space="preserve"> </w:t>
      </w:r>
      <w:r w:rsidRPr="00EA31EB">
        <w:rPr>
          <w:position w:val="-14"/>
          <w:lang w:val="es-ES"/>
        </w:rPr>
        <w:object w:dxaOrig="580" w:dyaOrig="380" w14:anchorId="3FD4C803">
          <v:shape id="_x0000_i1040" type="#_x0000_t75" style="width:29.55pt;height:19.9pt" o:ole="">
            <v:imagedata r:id="rId42" o:title=""/>
          </v:shape>
          <o:OLEObject Type="Embed" ProgID="Equation.3" ShapeID="_x0000_i1040" DrawAspect="Content" ObjectID="_1752911971" r:id="rId43"/>
        </w:object>
      </w:r>
      <w:r w:rsidRPr="00EA31EB">
        <w:rPr>
          <w:lang w:val="es-ES"/>
        </w:rPr>
        <w:t xml:space="preserve">, </w:t>
      </w:r>
      <w:r>
        <w:rPr>
          <w:lang w:val="es-ES"/>
        </w:rPr>
        <w:t>se ajusta la intensidad de lluvia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>ref</w:t>
      </w:r>
      <w:r w:rsidRPr="00EA31EB">
        <w:rPr>
          <w:lang w:val="es-ES"/>
        </w:rPr>
        <w:t xml:space="preserve">, </w:t>
      </w:r>
      <w:r>
        <w:rPr>
          <w:lang w:val="es-ES"/>
        </w:rPr>
        <w:t>hasta que el valor absoluto del error relativo entre la probabilidad de rebasamiento de la intensidad de lluvia anual</w:t>
      </w:r>
      <w:r w:rsidRPr="00EA31EB">
        <w:rPr>
          <w:lang w:val="es-ES"/>
        </w:rPr>
        <w:t xml:space="preserve">, </w:t>
      </w:r>
      <w:r w:rsidRPr="00EA31EB">
        <w:rPr>
          <w:position w:val="-14"/>
          <w:lang w:val="es-ES"/>
        </w:rPr>
        <w:object w:dxaOrig="1120" w:dyaOrig="380" w14:anchorId="6109E172">
          <v:shape id="_x0000_i1041" type="#_x0000_t75" style="width:57.5pt;height:19.9pt" o:ole="">
            <v:imagedata r:id="rId44" o:title=""/>
          </v:shape>
          <o:OLEObject Type="Embed" ProgID="Equation.3" ShapeID="_x0000_i1041" DrawAspect="Content" ObjectID="_1752911972" r:id="rId45"/>
        </w:object>
      </w:r>
      <w:r w:rsidRPr="00EA31EB">
        <w:rPr>
          <w:lang w:val="es-ES"/>
        </w:rPr>
        <w:t xml:space="preserve">, </w:t>
      </w:r>
      <w:r>
        <w:rPr>
          <w:lang w:val="es-ES"/>
        </w:rPr>
        <w:t>y el valor deseado de la probabilidad de rebasamiento de la intensidad de lluvia</w:t>
      </w:r>
      <w:r w:rsidRPr="00EA31EB">
        <w:rPr>
          <w:lang w:val="es-ES"/>
        </w:rPr>
        <w:t xml:space="preserve">, </w:t>
      </w:r>
      <w:r w:rsidRPr="00EA31EB">
        <w:rPr>
          <w:i/>
          <w:lang w:val="es-ES"/>
        </w:rPr>
        <w:t>p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sea menor que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>001% (</w:t>
      </w:r>
      <w:r>
        <w:rPr>
          <w:lang w:val="es-ES"/>
        </w:rPr>
        <w:t xml:space="preserve">es decir, hasta que </w:t>
      </w:r>
      <m:oMath>
        <m:r>
          <w:rPr>
            <w:rFonts w:ascii="Cambria Math" w:hAnsi="Cambria Math"/>
            <w:lang w:val="es-ES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lang w:val="es-ES"/>
                  </w:rPr>
                  <m:t>P(R&gt;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s-E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es-ES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es-ES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es-ES"/>
                  </w:rPr>
                  <m:t>p</m:t>
                </m:r>
              </m:den>
            </m:f>
            <m:r>
              <w:rPr>
                <w:rFonts w:ascii="Cambria Math" w:hAnsi="Cambria Math"/>
                <w:lang w:val="es-ES"/>
              </w:rPr>
              <m:t>-1</m:t>
            </m:r>
          </m:e>
        </m:d>
        <m:r>
          <w:rPr>
            <w:rFonts w:ascii="Cambria Math" w:hAnsi="Cambria Math"/>
            <w:lang w:val="es-ES"/>
          </w:rPr>
          <m:t>&lt;0,001</m:t>
        </m:r>
      </m:oMath>
      <w:r w:rsidRPr="00EA31EB">
        <w:rPr>
          <w:lang w:val="es-ES"/>
        </w:rPr>
        <w:t xml:space="preserve">), </w:t>
      </w:r>
      <w:r>
        <w:rPr>
          <w:lang w:val="es-ES"/>
        </w:rPr>
        <w:t>siendo</w:t>
      </w:r>
      <w:r w:rsidRPr="00EA31EB">
        <w:rPr>
          <w:lang w:val="es-ES"/>
        </w:rPr>
        <w:t>:</w:t>
      </w:r>
    </w:p>
    <w:p w14:paraId="6FF389D5" w14:textId="77777777" w:rsidR="00BF6AA2" w:rsidRPr="00EA31EB" w:rsidRDefault="00BF6AA2" w:rsidP="00BF6AA2">
      <w:pPr>
        <w:pStyle w:val="Equation"/>
        <w:rPr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w:r w:rsidRPr="00477156">
        <w:rPr>
          <w:position w:val="-28"/>
        </w:rPr>
        <w:object w:dxaOrig="3240" w:dyaOrig="999" w14:anchorId="531AC1C2">
          <v:shape id="_x0000_i1042" type="#_x0000_t75" style="width:162.25pt;height:49.45pt" o:ole="">
            <v:imagedata r:id="rId46" o:title=""/>
          </v:shape>
          <o:OLEObject Type="Embed" ProgID="Equation.DSMT4" ShapeID="_x0000_i1042" DrawAspect="Content" ObjectID="_1752911973" r:id="rId47"/>
        </w:object>
      </w:r>
      <w:r>
        <w:rPr>
          <w:lang w:val="es-ES"/>
        </w:rPr>
        <w:t xml:space="preserve">  </w:t>
      </w:r>
      <w:r w:rsidRPr="00EA31EB">
        <w:rPr>
          <w:lang w:val="es-ES"/>
        </w:rPr>
        <w:t>(%)</w:t>
      </w:r>
      <w:r w:rsidRPr="00EA31EB">
        <w:rPr>
          <w:lang w:val="es-ES"/>
        </w:rPr>
        <w:tab/>
        <w:t>(4)</w:t>
      </w:r>
    </w:p>
    <w:p w14:paraId="6CFB92C2" w14:textId="77777777" w:rsidR="00BF6AA2" w:rsidRPr="00EA31EB" w:rsidRDefault="00BF6AA2" w:rsidP="00BF6AA2">
      <w:pPr>
        <w:pStyle w:val="Equation"/>
        <w:rPr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w:r w:rsidRPr="00477156">
        <w:rPr>
          <w:position w:val="-38"/>
        </w:rPr>
        <w:object w:dxaOrig="4700" w:dyaOrig="880" w14:anchorId="4488062B">
          <v:shape id="_x0000_i1043" type="#_x0000_t75" style="width:235.35pt;height:42.45pt" o:ole="">
            <v:imagedata r:id="rId48" o:title=""/>
          </v:shape>
          <o:OLEObject Type="Embed" ProgID="Equation.DSMT4" ShapeID="_x0000_i1043" DrawAspect="Content" ObjectID="_1752911974" r:id="rId49"/>
        </w:object>
      </w:r>
      <w:r w:rsidRPr="00BF6AA2">
        <w:rPr>
          <w:lang w:val="es-ES_tradnl"/>
        </w:rPr>
        <w:t xml:space="preserve"> </w:t>
      </w:r>
      <w:r w:rsidRPr="00EA31EB">
        <w:rPr>
          <w:lang w:val="es-ES"/>
        </w:rPr>
        <w:t xml:space="preserve"> (%) </w:t>
      </w:r>
      <w:r w:rsidRPr="00EA31EB">
        <w:rPr>
          <w:lang w:val="es-ES"/>
        </w:rPr>
        <w:tab/>
        <w:t>(5)</w:t>
      </w:r>
    </w:p>
    <w:p w14:paraId="0A3A095A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>y</w:t>
      </w:r>
    </w:p>
    <w:p w14:paraId="6F857252" w14:textId="77777777" w:rsidR="00BF6AA2" w:rsidRPr="00EA31EB" w:rsidRDefault="00BF6AA2" w:rsidP="00BF6AA2">
      <w:pPr>
        <w:pStyle w:val="Equation"/>
        <w:rPr>
          <w:lang w:val="es-ES"/>
        </w:rPr>
      </w:pPr>
      <w:r w:rsidRPr="00EA31EB">
        <w:rPr>
          <w:lang w:val="es-ES"/>
        </w:rPr>
        <w:tab/>
      </w:r>
      <w:r w:rsidRPr="00EA31EB">
        <w:rPr>
          <w:lang w:val="es-ES"/>
        </w:rPr>
        <w:tab/>
      </w:r>
      <w:r w:rsidRPr="00EA31EB">
        <w:rPr>
          <w:position w:val="-38"/>
          <w:lang w:val="es-ES"/>
        </w:rPr>
        <w:object w:dxaOrig="2100" w:dyaOrig="999" w14:anchorId="31617F88">
          <v:shape id="_x0000_i1044" type="#_x0000_t75" style="width:106.4pt;height:51.6pt" o:ole="">
            <v:imagedata r:id="rId50" o:title=""/>
          </v:shape>
          <o:OLEObject Type="Embed" ProgID="Equation.3" ShapeID="_x0000_i1044" DrawAspect="Content" ObjectID="_1752911975" r:id="rId51"/>
        </w:object>
      </w:r>
      <w:r w:rsidRPr="00EA31EB">
        <w:rPr>
          <w:lang w:val="es-ES"/>
        </w:rPr>
        <w:tab/>
        <w:t>(6)</w:t>
      </w:r>
    </w:p>
    <w:p w14:paraId="6D7FAF91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>Al final del proceso de ajuste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sea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 xml:space="preserve">p </w:t>
      </w:r>
      <w:r w:rsidRPr="00EA31EB">
        <w:rPr>
          <w:lang w:val="es-ES"/>
        </w:rPr>
        <w:t xml:space="preserve">=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>ref</w:t>
      </w:r>
      <w:r w:rsidRPr="00EA31EB">
        <w:rPr>
          <w:lang w:val="es-ES"/>
        </w:rPr>
        <w:t>.</w:t>
      </w:r>
    </w:p>
    <w:p w14:paraId="567F5093" w14:textId="77777777" w:rsidR="00BF6AA2" w:rsidRPr="00EA31EB" w:rsidRDefault="00BF6AA2" w:rsidP="00B94488">
      <w:pPr>
        <w:pStyle w:val="Note"/>
        <w:spacing w:before="240"/>
        <w:rPr>
          <w:lang w:val="es-ES"/>
        </w:rPr>
      </w:pPr>
      <w:r>
        <w:rPr>
          <w:lang w:val="es-ES"/>
        </w:rPr>
        <w:t>NOTA</w:t>
      </w:r>
      <w:r w:rsidRPr="00EA31EB">
        <w:rPr>
          <w:lang w:val="es-ES"/>
        </w:rPr>
        <w:t xml:space="preserve"> 1 – </w:t>
      </w:r>
      <w:r>
        <w:rPr>
          <w:lang w:val="es-ES"/>
        </w:rPr>
        <w:t xml:space="preserve">Cuando se requiera una probabilidad de rebasamiento anual media de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01%, </w:t>
      </w:r>
      <w:r>
        <w:rPr>
          <w:lang w:val="es-ES"/>
        </w:rPr>
        <w:t>y se hayan de tomar en consideración la complejidad de memoria o de cálculo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puede utilizarse el mapa de valores precalculado de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lang w:val="es-ES"/>
              </w:rPr>
              <m:t>0,01</m:t>
            </m:r>
          </m:sub>
        </m:sSub>
      </m:oMath>
      <w:r w:rsidRPr="00EA31EB">
        <w:rPr>
          <w:vertAlign w:val="subscript"/>
          <w:lang w:val="es-ES"/>
        </w:rPr>
        <w:t xml:space="preserve"> </w:t>
      </w:r>
      <w:r>
        <w:rPr>
          <w:lang w:val="es-ES"/>
        </w:rPr>
        <w:t>aunque ello suponga una pérdida considerable de precisión</w:t>
      </w:r>
      <w:r w:rsidRPr="00EA31EB">
        <w:rPr>
          <w:lang w:val="es-ES"/>
        </w:rPr>
        <w:t xml:space="preserve">. </w:t>
      </w:r>
      <w:r>
        <w:rPr>
          <w:lang w:val="es-ES"/>
        </w:rPr>
        <w:t>Si se utiliza el mapa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la intensidad de lluvia con una probabilidad de rebasamiento anual media de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 </w:t>
      </w:r>
      <w:r>
        <w:rPr>
          <w:lang w:val="es-ES"/>
        </w:rPr>
        <w:t>en cualquier ubicación deseada sobre la superficie de la Tierra puede calcularse por interpolación bilineal utilizando el método descrito en el párrafo 1b del Anexo </w:t>
      </w:r>
      <w:r w:rsidRPr="00EA31EB">
        <w:rPr>
          <w:lang w:val="es-ES"/>
        </w:rPr>
        <w:t xml:space="preserve">1 </w:t>
      </w:r>
      <w:r>
        <w:rPr>
          <w:lang w:val="es-ES"/>
        </w:rPr>
        <w:t>a la Recomendación U</w:t>
      </w:r>
      <w:r w:rsidRPr="00EA31EB">
        <w:rPr>
          <w:lang w:val="es-ES"/>
        </w:rPr>
        <w:t xml:space="preserve">IT-R P.1144. </w:t>
      </w:r>
      <w:r>
        <w:rPr>
          <w:lang w:val="es-ES"/>
        </w:rPr>
        <w:t xml:space="preserve">El valor absoluto de la diferencia entre el valor obtenido mediante el método completo de predicción de la intensidad de lluvia y el mapa de valores precalculados de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lang w:val="es-ES"/>
              </w:rPr>
              <m:t>0,01</m:t>
            </m:r>
          </m:sub>
        </m:sSub>
      </m:oMath>
      <w:r w:rsidRPr="00EA31EB">
        <w:rPr>
          <w:lang w:val="es-ES"/>
        </w:rPr>
        <w:t xml:space="preserve"> </w:t>
      </w:r>
      <w:r>
        <w:rPr>
          <w:lang w:val="es-ES"/>
        </w:rPr>
        <w:t xml:space="preserve">es menor que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3 mm/hr </w:t>
      </w:r>
      <w:r>
        <w:rPr>
          <w:lang w:val="es-ES"/>
        </w:rPr>
        <w:t xml:space="preserve">para más del </w:t>
      </w:r>
      <w:r w:rsidRPr="00EA31EB">
        <w:rPr>
          <w:lang w:val="es-ES"/>
        </w:rPr>
        <w:t>99</w:t>
      </w:r>
      <w:r>
        <w:rPr>
          <w:lang w:val="es-ES"/>
        </w:rPr>
        <w:t>,</w:t>
      </w:r>
      <w:r w:rsidRPr="00EA31EB">
        <w:rPr>
          <w:lang w:val="es-ES"/>
        </w:rPr>
        <w:t xml:space="preserve">9% </w:t>
      </w:r>
      <w:r>
        <w:rPr>
          <w:lang w:val="es-ES"/>
        </w:rPr>
        <w:t>de la superficie de la Tierra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y el valor absoluto de la diferencia entre el valor obtenido mediante el método completo de predicción de la intensidad de lluvia y el mapa de valores precalculados de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lang w:val="es-ES"/>
              </w:rPr>
              <m:t>0,01</m:t>
            </m:r>
          </m:sub>
        </m:sSub>
      </m:oMath>
      <w:r w:rsidRPr="00EA31EB">
        <w:rPr>
          <w:lang w:val="es-ES"/>
        </w:rPr>
        <w:t xml:space="preserve"> </w:t>
      </w:r>
      <w:r>
        <w:rPr>
          <w:lang w:val="es-ES"/>
        </w:rPr>
        <w:t xml:space="preserve">es menor que </w:t>
      </w:r>
      <w:r w:rsidRPr="00EA31EB">
        <w:rPr>
          <w:lang w:val="es-ES"/>
        </w:rPr>
        <w:t xml:space="preserve">1 mm/hr </w:t>
      </w:r>
      <w:r>
        <w:rPr>
          <w:lang w:val="es-ES"/>
        </w:rPr>
        <w:t xml:space="preserve">para más del </w:t>
      </w:r>
      <w:r w:rsidRPr="00EA31EB">
        <w:rPr>
          <w:lang w:val="es-ES"/>
        </w:rPr>
        <w:t>99</w:t>
      </w:r>
      <w:r>
        <w:rPr>
          <w:lang w:val="es-ES"/>
        </w:rPr>
        <w:t>,</w:t>
      </w:r>
      <w:r w:rsidRPr="00EA31EB">
        <w:rPr>
          <w:lang w:val="es-ES"/>
        </w:rPr>
        <w:t xml:space="preserve">9% </w:t>
      </w:r>
      <w:r>
        <w:rPr>
          <w:lang w:val="es-ES"/>
        </w:rPr>
        <w:t>de la superficie de la Tierra</w:t>
      </w:r>
      <w:r w:rsidRPr="00EA31EB">
        <w:rPr>
          <w:lang w:val="es-ES"/>
        </w:rPr>
        <w:t>.</w:t>
      </w:r>
    </w:p>
    <w:p w14:paraId="6D42FDD4" w14:textId="77777777" w:rsidR="00BF6AA2" w:rsidRPr="00EA31EB" w:rsidRDefault="00BF6AA2" w:rsidP="00BF6AA2">
      <w:pPr>
        <w:pStyle w:val="Note"/>
        <w:widowControl w:val="0"/>
        <w:rPr>
          <w:lang w:val="es-ES"/>
        </w:rPr>
      </w:pPr>
      <w:r w:rsidRPr="00EA31EB">
        <w:rPr>
          <w:lang w:val="es-ES"/>
        </w:rPr>
        <w:t>NOT</w:t>
      </w:r>
      <w:r>
        <w:rPr>
          <w:lang w:val="es-ES"/>
        </w:rPr>
        <w:t>A</w:t>
      </w:r>
      <w:r w:rsidRPr="00EA31EB">
        <w:rPr>
          <w:lang w:val="es-ES"/>
        </w:rPr>
        <w:t> 2 – </w:t>
      </w:r>
      <w:r>
        <w:rPr>
          <w:lang w:val="es-ES"/>
        </w:rPr>
        <w:t xml:space="preserve">Cuando se requiera una probabilidad de rebasamiento anual media de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 </w:t>
      </w:r>
      <w:r>
        <w:rPr>
          <w:lang w:val="es-ES"/>
        </w:rPr>
        <w:t>utilizando el método completo de predicción de la intensidad de lluvia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el mapa de valores precalculado de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R</m:t>
            </m:r>
          </m:e>
          <m:sub>
            <m:r>
              <w:rPr>
                <w:rFonts w:ascii="Cambria Math" w:hAnsi="Cambria Math"/>
                <w:lang w:val="es-ES"/>
              </w:rPr>
              <m:t>0,01</m:t>
            </m:r>
          </m:sub>
        </m:sSub>
      </m:oMath>
      <w:r w:rsidRPr="00EA31EB">
        <w:rPr>
          <w:lang w:val="es-ES"/>
        </w:rPr>
        <w:t xml:space="preserve">, </w:t>
      </w:r>
      <w:r>
        <w:rPr>
          <w:lang w:val="es-ES"/>
        </w:rPr>
        <w:t xml:space="preserve">puede utilizarse como punto de partida </w:t>
      </w:r>
      <w:r w:rsidRPr="00EA31EB">
        <w:rPr>
          <w:i/>
          <w:lang w:val="es-ES"/>
        </w:rPr>
        <w:t>R</w:t>
      </w:r>
      <w:r w:rsidRPr="00EA31EB">
        <w:rPr>
          <w:i/>
          <w:vertAlign w:val="subscript"/>
          <w:lang w:val="es-ES"/>
        </w:rPr>
        <w:t>ref</w:t>
      </w:r>
      <w:r w:rsidRPr="00EA31EB">
        <w:rPr>
          <w:lang w:val="es-ES"/>
        </w:rPr>
        <w:t xml:space="preserve"> </w:t>
      </w:r>
      <w:r>
        <w:rPr>
          <w:lang w:val="es-ES"/>
        </w:rPr>
        <w:t xml:space="preserve">para el procedimiento iterativo del paso 8 el valor de la intensidad de lluvia a la probabilidad de rebasamiento del </w:t>
      </w:r>
      <w:r w:rsidRPr="00EA31EB">
        <w:rPr>
          <w:lang w:val="es-ES"/>
        </w:rPr>
        <w:t>0</w:t>
      </w:r>
      <w:r>
        <w:rPr>
          <w:lang w:val="es-ES"/>
        </w:rPr>
        <w:t>,01%.</w:t>
      </w:r>
    </w:p>
    <w:p w14:paraId="3E109378" w14:textId="77777777" w:rsidR="00BF6AA2" w:rsidRPr="00EA31EB" w:rsidRDefault="00BF6AA2" w:rsidP="00BF6AA2">
      <w:pPr>
        <w:rPr>
          <w:lang w:val="es-ES"/>
        </w:rPr>
      </w:pPr>
      <w:r>
        <w:rPr>
          <w:lang w:val="es-ES"/>
        </w:rPr>
        <w:t xml:space="preserve">En la Fig. 1 se muestra, a título de referencia, el mapa de </w:t>
      </w:r>
      <w:r w:rsidRPr="00EA31EB">
        <w:rPr>
          <w:i/>
          <w:lang w:val="es-ES"/>
        </w:rPr>
        <w:t>R</w:t>
      </w:r>
      <w:r w:rsidRPr="00EA31EB">
        <w:rPr>
          <w:vertAlign w:val="subscript"/>
          <w:lang w:val="es-ES"/>
        </w:rPr>
        <w:t>0</w:t>
      </w:r>
      <w:r>
        <w:rPr>
          <w:vertAlign w:val="subscript"/>
          <w:lang w:val="es-ES"/>
        </w:rPr>
        <w:t>,</w:t>
      </w:r>
      <w:r w:rsidRPr="00EA31EB">
        <w:rPr>
          <w:vertAlign w:val="subscript"/>
          <w:lang w:val="es-ES"/>
        </w:rPr>
        <w:t>01</w:t>
      </w:r>
      <w:r w:rsidRPr="00EA31EB">
        <w:rPr>
          <w:lang w:val="es-ES"/>
        </w:rPr>
        <w:t xml:space="preserve">, </w:t>
      </w:r>
      <w:r>
        <w:rPr>
          <w:lang w:val="es-ES"/>
        </w:rPr>
        <w:t xml:space="preserve">para un rebasamiento de la atenuación de lluvia anual de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 </w:t>
      </w:r>
      <w:r>
        <w:rPr>
          <w:lang w:val="es-ES"/>
        </w:rPr>
        <w:t>para un año medio</w:t>
      </w:r>
      <w:r w:rsidRPr="00EA31EB">
        <w:rPr>
          <w:lang w:val="es-ES"/>
        </w:rPr>
        <w:t>.</w:t>
      </w:r>
    </w:p>
    <w:p w14:paraId="1CF63A56" w14:textId="77777777" w:rsidR="00BF6AA2" w:rsidRPr="00EA31EB" w:rsidRDefault="00BF6AA2" w:rsidP="00BF6AA2">
      <w:pPr>
        <w:pStyle w:val="FigureNo"/>
        <w:rPr>
          <w:lang w:val="es-ES" w:eastAsia="zh-CN"/>
        </w:rPr>
      </w:pPr>
      <w:r w:rsidRPr="00EA31EB">
        <w:rPr>
          <w:lang w:val="es-ES"/>
        </w:rPr>
        <w:lastRenderedPageBreak/>
        <w:t>FIGUR</w:t>
      </w:r>
      <w:r>
        <w:rPr>
          <w:lang w:val="es-ES"/>
        </w:rPr>
        <w:t>A</w:t>
      </w:r>
      <w:r w:rsidRPr="00EA31EB">
        <w:rPr>
          <w:lang w:val="es-ES" w:eastAsia="zh-CN"/>
        </w:rPr>
        <w:t xml:space="preserve"> 1</w:t>
      </w:r>
    </w:p>
    <w:p w14:paraId="2D28C39E" w14:textId="77777777" w:rsidR="00BF6AA2" w:rsidRPr="00EA31EB" w:rsidRDefault="00BF6AA2" w:rsidP="00BF6AA2">
      <w:pPr>
        <w:pStyle w:val="Figuretitle"/>
        <w:rPr>
          <w:lang w:val="es-ES"/>
        </w:rPr>
      </w:pPr>
      <w:r>
        <w:rPr>
          <w:lang w:val="es-ES"/>
        </w:rPr>
        <w:t xml:space="preserve">Intensidad de lluvia rebasada durante el </w:t>
      </w:r>
      <w:r w:rsidRPr="00EA31EB">
        <w:rPr>
          <w:lang w:val="es-ES"/>
        </w:rPr>
        <w:t>0</w:t>
      </w:r>
      <w:r>
        <w:rPr>
          <w:lang w:val="es-ES"/>
        </w:rPr>
        <w:t>,</w:t>
      </w:r>
      <w:r w:rsidRPr="00EA31EB">
        <w:rPr>
          <w:lang w:val="es-ES"/>
        </w:rPr>
        <w:t xml:space="preserve">01% </w:t>
      </w:r>
      <w:r>
        <w:rPr>
          <w:lang w:val="es-ES"/>
        </w:rPr>
        <w:t>de un año medio</w:t>
      </w:r>
    </w:p>
    <w:p w14:paraId="0FE55E17" w14:textId="77777777" w:rsidR="00BF6AA2" w:rsidRPr="00EA31EB" w:rsidRDefault="00BF6AA2" w:rsidP="00BF6AA2">
      <w:pPr>
        <w:pStyle w:val="Figure"/>
        <w:rPr>
          <w:lang w:val="es-ES"/>
        </w:rPr>
      </w:pPr>
      <w:r w:rsidRPr="00EA31EB">
        <w:rPr>
          <w:lang w:val="es-ES"/>
        </w:rPr>
        <w:object w:dxaOrig="8018" w:dyaOrig="11647" w14:anchorId="04664B11">
          <v:shape id="_x0000_i1045" type="#_x0000_t75" style="width:414.25pt;height:602.85pt" o:ole="">
            <v:imagedata r:id="rId52" o:title=""/>
          </v:shape>
          <o:OLEObject Type="Embed" ProgID="CorelDraw.Graphic.16" ShapeID="_x0000_i1045" DrawAspect="Content" ObjectID="_1752911976" r:id="rId53"/>
        </w:object>
      </w:r>
    </w:p>
    <w:p w14:paraId="6D575C17" w14:textId="77777777" w:rsidR="00BF6AA2" w:rsidRDefault="00BF6AA2" w:rsidP="00BF6AA2">
      <w:pPr>
        <w:rPr>
          <w:lang w:val="es-ES"/>
        </w:rPr>
      </w:pPr>
      <w:r w:rsidRPr="00EA31EB">
        <w:rPr>
          <w:lang w:val="es-ES"/>
        </w:rPr>
        <w:br w:type="page"/>
      </w:r>
    </w:p>
    <w:p w14:paraId="4B74BFFD" w14:textId="77777777" w:rsidR="00BF6AA2" w:rsidRPr="00EA31EB" w:rsidRDefault="00BF6AA2" w:rsidP="00BF6AA2">
      <w:pPr>
        <w:pStyle w:val="AnnexNoTitle"/>
        <w:rPr>
          <w:lang w:val="es-ES"/>
        </w:rPr>
      </w:pPr>
      <w:r>
        <w:rPr>
          <w:lang w:val="es-ES"/>
        </w:rPr>
        <w:lastRenderedPageBreak/>
        <w:t>Anexo 2</w:t>
      </w:r>
    </w:p>
    <w:p w14:paraId="58F61A76" w14:textId="77777777" w:rsidR="00BF6AA2" w:rsidRPr="00EA31EB" w:rsidRDefault="00BF6AA2" w:rsidP="00BF6AA2">
      <w:pPr>
        <w:pStyle w:val="Normalaftertitle"/>
        <w:rPr>
          <w:lang w:val="es-ES"/>
        </w:rPr>
      </w:pPr>
      <w:r w:rsidRPr="00EA31EB">
        <w:rPr>
          <w:b/>
          <w:bCs/>
          <w:lang w:val="es-ES"/>
        </w:rPr>
        <w:t>1</w:t>
      </w:r>
      <w:r w:rsidRPr="00EA31EB">
        <w:rPr>
          <w:lang w:val="es-ES"/>
        </w:rPr>
        <w:tab/>
        <w:t xml:space="preserve">La distribución acumulativa del índice de pluviosidad para un tiempo de integración de </w:t>
      </w:r>
      <w:r>
        <w:rPr>
          <w:lang w:val="es-ES"/>
        </w:rPr>
        <w:t>1 </w:t>
      </w:r>
      <w:r w:rsidRPr="00EA31EB">
        <w:rPr>
          <w:lang w:val="es-ES"/>
        </w:rPr>
        <w:t>minuto puede obtenerse convirtiendo las distribuciones acumulativas locales medidas con tiempos de integración co</w:t>
      </w:r>
      <w:r>
        <w:rPr>
          <w:lang w:val="es-ES"/>
        </w:rPr>
        <w:t>mprendidos entre 5 y 60 minutos.</w:t>
      </w:r>
    </w:p>
    <w:p w14:paraId="7461FAA1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2</w:t>
      </w:r>
      <w:r w:rsidRPr="00EA31EB">
        <w:rPr>
          <w:lang w:val="es-ES"/>
        </w:rPr>
        <w:tab/>
        <w:t>El método recomendado requiere como datos de partida las distribuciones acumulativas y el tiempo de integración de las estadísticas del índice de pluviosidad de la fuente, así como las coordenadas geográficas del emplazamiento de interés.</w:t>
      </w:r>
    </w:p>
    <w:p w14:paraId="6DD8E38D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3</w:t>
      </w:r>
      <w:r w:rsidRPr="00EA31EB">
        <w:rPr>
          <w:lang w:val="es-ES"/>
        </w:rPr>
        <w:tab/>
        <w:t>El método se basa en el movimiento simulado de células de lluvia sintéticas, cuyos parámetros se obtienen a partir de los datos de partida locales y de los protocolos del CEPMPM.</w:t>
      </w:r>
    </w:p>
    <w:p w14:paraId="349E9C2C" w14:textId="77777777" w:rsidR="00BF6AA2" w:rsidRPr="00EA31EB" w:rsidRDefault="00BF6AA2" w:rsidP="00BF6AA2">
      <w:pPr>
        <w:rPr>
          <w:lang w:val="es-ES"/>
        </w:rPr>
      </w:pPr>
      <w:r w:rsidRPr="00EA31EB">
        <w:rPr>
          <w:b/>
          <w:bCs/>
          <w:lang w:val="es-ES"/>
        </w:rPr>
        <w:t>4</w:t>
      </w:r>
      <w:r w:rsidRPr="00EA31EB">
        <w:rPr>
          <w:lang w:val="es-ES"/>
        </w:rPr>
        <w:tab/>
        <w:t xml:space="preserve">El método recomendado se incorpora a un programa informático disponible en </w:t>
      </w:r>
      <w:r>
        <w:rPr>
          <w:lang w:val="es-ES"/>
        </w:rPr>
        <w:t>el Suplemento</w:t>
      </w:r>
      <w:r w:rsidRPr="00EA31EB">
        <w:rPr>
          <w:lang w:val="es-ES"/>
        </w:rPr>
        <w:t xml:space="preserve">. El nombre del paquete de software que implementa esta parte de la Recomendación es: </w:t>
      </w:r>
      <w:r w:rsidRPr="00A86E1B">
        <w:rPr>
          <w:lang w:val="es-ES"/>
        </w:rPr>
        <w:t>R</w:t>
      </w:r>
      <w:r w:rsidRPr="00A86E1B">
        <w:rPr>
          <w:lang w:val="es-ES"/>
        </w:rPr>
        <w:noBreakHyphen/>
        <w:t>REC-P.837-7-Convrrstat.zip</w:t>
      </w:r>
      <w:r w:rsidRPr="00EA31EB">
        <w:rPr>
          <w:lang w:val="es-ES"/>
        </w:rPr>
        <w:t>.</w:t>
      </w:r>
    </w:p>
    <w:p w14:paraId="43DA18E1" w14:textId="77777777" w:rsidR="00BF6AA2" w:rsidRPr="00EA31EB" w:rsidRDefault="00BF6AA2" w:rsidP="00BF6AA2">
      <w:pPr>
        <w:rPr>
          <w:lang w:val="es-ES"/>
        </w:rPr>
      </w:pPr>
    </w:p>
    <w:p w14:paraId="20F941DD" w14:textId="77777777" w:rsidR="00BF6AA2" w:rsidRPr="00EA31EB" w:rsidRDefault="00BF6AA2" w:rsidP="00BF6AA2">
      <w:pPr>
        <w:jc w:val="center"/>
        <w:rPr>
          <w:lang w:val="es-ES"/>
        </w:rPr>
      </w:pPr>
      <w:r w:rsidRPr="00EA31EB">
        <w:rPr>
          <w:lang w:val="es-ES"/>
        </w:rPr>
        <w:t>______________</w:t>
      </w:r>
    </w:p>
    <w:p w14:paraId="156071C3" w14:textId="77777777" w:rsidR="00BF6AA2" w:rsidRPr="00BF6AA2" w:rsidRDefault="00BF6AA2" w:rsidP="00BF6AA2">
      <w:pPr>
        <w:pStyle w:val="RecNo"/>
        <w:spacing w:before="0"/>
        <w:rPr>
          <w:lang w:val="es-ES_tradnl"/>
        </w:rPr>
      </w:pPr>
    </w:p>
    <w:p w14:paraId="2FF8FB57" w14:textId="77777777" w:rsidR="006173B0" w:rsidRDefault="006173B0" w:rsidP="006173B0">
      <w:pPr>
        <w:rPr>
          <w:lang w:val="es-ES_tradnl"/>
        </w:rPr>
      </w:pPr>
    </w:p>
    <w:sectPr w:rsidR="006173B0" w:rsidSect="00B1717A">
      <w:headerReference w:type="even" r:id="rId54"/>
      <w:headerReference w:type="default" r:id="rId5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69148" w14:textId="77777777" w:rsidR="00431839" w:rsidRDefault="00431839">
      <w:r>
        <w:separator/>
      </w:r>
    </w:p>
  </w:endnote>
  <w:endnote w:type="continuationSeparator" w:id="0">
    <w:p w14:paraId="743E6D42" w14:textId="77777777" w:rsidR="00431839" w:rsidRDefault="0043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A89AA" w14:textId="77777777" w:rsidR="00431839" w:rsidRDefault="00431839">
      <w:r>
        <w:separator/>
      </w:r>
    </w:p>
  </w:footnote>
  <w:footnote w:type="continuationSeparator" w:id="0">
    <w:p w14:paraId="3B6B16EC" w14:textId="77777777" w:rsidR="00431839" w:rsidRDefault="0043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847D0" w14:textId="77777777" w:rsidR="00366CEE" w:rsidRDefault="00366C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4822" w14:textId="77777777" w:rsidR="00366CEE" w:rsidRDefault="00C15E7B" w:rsidP="00D62884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2B5C3B08" wp14:editId="0C516D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6573" w14:textId="411878E9" w:rsidR="00366CEE" w:rsidRDefault="003857C3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9448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366CEE">
      <w:tab/>
    </w:r>
    <w:fldSimple w:instr=" DOCPROPERTY &quot;Header&quot; \* MERGEFORMAT ">
      <w:r w:rsidR="00366CEE" w:rsidRPr="00812AA7">
        <w:rPr>
          <w:b/>
          <w:bCs/>
          <w:lang w:val="fr-CH"/>
        </w:rPr>
        <w:t xml:space="preserve">Rec. </w:t>
      </w:r>
    </w:fldSimple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</w:rPr>
      <w:instrText>styleref href</w:instrText>
    </w:r>
    <w:r>
      <w:rPr>
        <w:b/>
        <w:bCs/>
      </w:rPr>
      <w:fldChar w:fldCharType="separate"/>
    </w:r>
    <w:r w:rsidR="00302C4A">
      <w:rPr>
        <w:b/>
        <w:bCs/>
        <w:noProof/>
      </w:rPr>
      <w:t>UIT-R  P.837-7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3D293" w14:textId="77777777" w:rsidR="00366CEE" w:rsidRDefault="00366CEE">
    <w:pPr>
      <w:pStyle w:val="Header"/>
    </w:pPr>
    <w:r>
      <w:tab/>
    </w:r>
    <w:fldSimple w:instr=" DOCPROPERTY &quot;Header&quot; \* MERGEFORMAT ">
      <w:r w:rsidRPr="00B1717A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>
      <w:rPr>
        <w:b/>
        <w:bCs/>
        <w:noProof/>
      </w:rPr>
      <w:t>UIT-R  BR.1684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3857C3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0B1E3" w14:textId="5217CD19" w:rsidR="00366CEE" w:rsidRDefault="003857C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9448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366CEE">
      <w:rPr>
        <w:lang w:val="en-US"/>
      </w:rPr>
      <w:tab/>
    </w:r>
    <w:fldSimple w:instr=" DOCPROPERTY &quot;Header&quot; \* MERGEFORMAT ">
      <w:r w:rsidR="00366CEE">
        <w:rPr>
          <w:b/>
          <w:bCs/>
          <w:lang w:val="en-US"/>
        </w:rPr>
        <w:t xml:space="preserve">Rec. </w:t>
      </w:r>
    </w:fldSimple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302C4A">
      <w:rPr>
        <w:b/>
        <w:bCs/>
        <w:noProof/>
        <w:lang w:val="en-US"/>
      </w:rPr>
      <w:t>UIT-R  P.837-7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6D226" w14:textId="3D2A705C" w:rsidR="00366CEE" w:rsidRDefault="00366CEE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 w:rsidR="00302C4A">
      <w:rPr>
        <w:b/>
        <w:bCs/>
        <w:noProof/>
      </w:rPr>
      <w:t>UIT-R  P.837-7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 w:rsidR="00B94488">
      <w:rPr>
        <w:rStyle w:val="PageNumber"/>
        <w:b/>
        <w:bCs/>
        <w:noProof/>
      </w:rPr>
      <w:t>5</w:t>
    </w:r>
    <w:r w:rsidR="003857C3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17A"/>
    <w:rsid w:val="000D5F99"/>
    <w:rsid w:val="000E39C4"/>
    <w:rsid w:val="0014224E"/>
    <w:rsid w:val="001D6CE1"/>
    <w:rsid w:val="002D76C4"/>
    <w:rsid w:val="00302C4A"/>
    <w:rsid w:val="00363835"/>
    <w:rsid w:val="00366CEE"/>
    <w:rsid w:val="003857C3"/>
    <w:rsid w:val="00431839"/>
    <w:rsid w:val="004532F7"/>
    <w:rsid w:val="005A6102"/>
    <w:rsid w:val="00607D68"/>
    <w:rsid w:val="006173B0"/>
    <w:rsid w:val="00654F04"/>
    <w:rsid w:val="006B22C3"/>
    <w:rsid w:val="006C347C"/>
    <w:rsid w:val="00715FEE"/>
    <w:rsid w:val="007C78B5"/>
    <w:rsid w:val="00812AA7"/>
    <w:rsid w:val="00847DD5"/>
    <w:rsid w:val="00A6617B"/>
    <w:rsid w:val="00AB0DC8"/>
    <w:rsid w:val="00B1717A"/>
    <w:rsid w:val="00B44E24"/>
    <w:rsid w:val="00B87252"/>
    <w:rsid w:val="00B94488"/>
    <w:rsid w:val="00BA710C"/>
    <w:rsid w:val="00BC5156"/>
    <w:rsid w:val="00BF6AA2"/>
    <w:rsid w:val="00BF7841"/>
    <w:rsid w:val="00C15E7B"/>
    <w:rsid w:val="00D42AE3"/>
    <w:rsid w:val="00D62884"/>
    <w:rsid w:val="00D93B36"/>
    <w:rsid w:val="00DC024D"/>
    <w:rsid w:val="00DF4176"/>
    <w:rsid w:val="00E3040B"/>
    <w:rsid w:val="00E5262C"/>
    <w:rsid w:val="00F0313A"/>
    <w:rsid w:val="00F317F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2"/>
    </o:shapelayout>
  </w:shapeDefaults>
  <w:decimalSymbol w:val="."/>
  <w:listSeparator w:val=","/>
  <w14:docId w14:val="3CF5F565"/>
  <w15:docId w15:val="{4FFAD8FD-E2D4-49E4-8483-C5531C40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6AA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F6AA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6AA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6AA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6AA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6AA2"/>
    <w:pPr>
      <w:outlineLvl w:val="4"/>
    </w:pPr>
  </w:style>
  <w:style w:type="paragraph" w:styleId="Heading6">
    <w:name w:val="heading 6"/>
    <w:basedOn w:val="Heading4"/>
    <w:next w:val="Normal"/>
    <w:qFormat/>
    <w:rsid w:val="00BF6AA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6AA2"/>
    <w:pPr>
      <w:outlineLvl w:val="6"/>
    </w:pPr>
  </w:style>
  <w:style w:type="paragraph" w:styleId="Heading8">
    <w:name w:val="heading 8"/>
    <w:basedOn w:val="Heading6"/>
    <w:next w:val="Normal"/>
    <w:qFormat/>
    <w:rsid w:val="00BF6AA2"/>
    <w:pPr>
      <w:outlineLvl w:val="7"/>
    </w:pPr>
  </w:style>
  <w:style w:type="paragraph" w:styleId="Heading9">
    <w:name w:val="heading 9"/>
    <w:basedOn w:val="Heading6"/>
    <w:next w:val="Normal"/>
    <w:qFormat/>
    <w:rsid w:val="00BF6AA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F6AA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F6AA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6AA2"/>
  </w:style>
  <w:style w:type="paragraph" w:customStyle="1" w:styleId="Headingb">
    <w:name w:val="Heading_b"/>
    <w:basedOn w:val="Heading3"/>
    <w:next w:val="Normal"/>
    <w:rsid w:val="00BF6AA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6AA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6AA2"/>
  </w:style>
  <w:style w:type="paragraph" w:customStyle="1" w:styleId="enumlev1">
    <w:name w:val="enumlev1"/>
    <w:basedOn w:val="Normal"/>
    <w:link w:val="enumlev1Char"/>
    <w:rsid w:val="00BF6AA2"/>
    <w:pPr>
      <w:spacing w:before="80"/>
      <w:ind w:left="794" w:hanging="794"/>
    </w:pPr>
  </w:style>
  <w:style w:type="paragraph" w:customStyle="1" w:styleId="enumlev2">
    <w:name w:val="enumlev2"/>
    <w:basedOn w:val="enumlev1"/>
    <w:rsid w:val="00BF6AA2"/>
    <w:pPr>
      <w:ind w:left="1191" w:hanging="397"/>
    </w:pPr>
  </w:style>
  <w:style w:type="paragraph" w:customStyle="1" w:styleId="enumlev3">
    <w:name w:val="enumlev3"/>
    <w:basedOn w:val="enumlev2"/>
    <w:rsid w:val="00BF6AA2"/>
    <w:pPr>
      <w:ind w:left="1588"/>
    </w:pPr>
  </w:style>
  <w:style w:type="paragraph" w:customStyle="1" w:styleId="Normalaftertitle">
    <w:name w:val="Normal_after_title"/>
    <w:basedOn w:val="Normal"/>
    <w:next w:val="Normal"/>
    <w:rsid w:val="00BF6AA2"/>
    <w:pPr>
      <w:spacing w:before="320"/>
    </w:pPr>
  </w:style>
  <w:style w:type="paragraph" w:customStyle="1" w:styleId="Note">
    <w:name w:val="Note"/>
    <w:basedOn w:val="Normal"/>
    <w:rsid w:val="00BF6AA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F6A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F6AA2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F6AA2"/>
    <w:pPr>
      <w:jc w:val="center"/>
    </w:pPr>
  </w:style>
  <w:style w:type="paragraph" w:customStyle="1" w:styleId="Recdate">
    <w:name w:val="Rec_date"/>
    <w:basedOn w:val="Recref"/>
    <w:next w:val="Normalaftertitle"/>
    <w:rsid w:val="00BF6AA2"/>
    <w:pPr>
      <w:jc w:val="right"/>
    </w:pPr>
  </w:style>
  <w:style w:type="paragraph" w:customStyle="1" w:styleId="AnnexNoTitle">
    <w:name w:val="Annex_NoTitle"/>
    <w:basedOn w:val="Normal"/>
    <w:next w:val="Normalaftertitle"/>
    <w:rsid w:val="00BF6AA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F6AA2"/>
  </w:style>
  <w:style w:type="paragraph" w:customStyle="1" w:styleId="Tablefin">
    <w:name w:val="Table_fin"/>
    <w:basedOn w:val="Normal"/>
    <w:next w:val="Normal"/>
    <w:rsid w:val="00BF6AA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6AA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F6AA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F6AA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6AA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F6AA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6AA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6AA2"/>
    <w:pPr>
      <w:ind w:left="794"/>
    </w:pPr>
  </w:style>
  <w:style w:type="paragraph" w:customStyle="1" w:styleId="Figurelegend">
    <w:name w:val="Figure_legend"/>
    <w:basedOn w:val="Normal"/>
    <w:rsid w:val="00BF6A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F6AA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F6AA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6AA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6AA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6A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6AA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F6AA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6AA2"/>
    <w:rPr>
      <w:b/>
    </w:rPr>
  </w:style>
  <w:style w:type="paragraph" w:customStyle="1" w:styleId="Chaptitle">
    <w:name w:val="Chap_title"/>
    <w:basedOn w:val="Arttitle"/>
    <w:next w:val="Normalaftertitle"/>
    <w:rsid w:val="00BF6AA2"/>
  </w:style>
  <w:style w:type="character" w:styleId="FootnoteReference">
    <w:name w:val="footnote reference"/>
    <w:basedOn w:val="DefaultParagraphFont"/>
    <w:semiHidden/>
    <w:rsid w:val="00BF6AA2"/>
    <w:rPr>
      <w:position w:val="6"/>
      <w:sz w:val="18"/>
    </w:rPr>
  </w:style>
  <w:style w:type="paragraph" w:styleId="FootnoteText">
    <w:name w:val="footnote text"/>
    <w:basedOn w:val="Normal"/>
    <w:semiHidden/>
    <w:rsid w:val="00BF6AA2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F6AA2"/>
  </w:style>
  <w:style w:type="paragraph" w:styleId="Index2">
    <w:name w:val="index 2"/>
    <w:basedOn w:val="Normal"/>
    <w:next w:val="Normal"/>
    <w:semiHidden/>
    <w:rsid w:val="00BF6AA2"/>
    <w:pPr>
      <w:ind w:left="283"/>
    </w:pPr>
  </w:style>
  <w:style w:type="paragraph" w:styleId="Index3">
    <w:name w:val="index 3"/>
    <w:basedOn w:val="Normal"/>
    <w:next w:val="Normal"/>
    <w:semiHidden/>
    <w:rsid w:val="00BF6AA2"/>
    <w:pPr>
      <w:ind w:left="566"/>
    </w:pPr>
  </w:style>
  <w:style w:type="paragraph" w:styleId="IndexHeading">
    <w:name w:val="index heading"/>
    <w:basedOn w:val="Normal"/>
    <w:next w:val="Index1"/>
    <w:semiHidden/>
    <w:rsid w:val="00BF6AA2"/>
  </w:style>
  <w:style w:type="paragraph" w:customStyle="1" w:styleId="Line">
    <w:name w:val="Line"/>
    <w:basedOn w:val="Normal"/>
    <w:next w:val="Normal"/>
    <w:rsid w:val="00BF6AA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6AA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6AA2"/>
  </w:style>
  <w:style w:type="paragraph" w:customStyle="1" w:styleId="Partref">
    <w:name w:val="Part_ref"/>
    <w:basedOn w:val="Normal"/>
    <w:next w:val="Normal"/>
    <w:rsid w:val="00BF6AA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6A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6AA2"/>
  </w:style>
  <w:style w:type="paragraph" w:customStyle="1" w:styleId="QuestionNo">
    <w:name w:val="Question_No"/>
    <w:basedOn w:val="RecNo"/>
    <w:next w:val="Normal"/>
    <w:rsid w:val="00BF6AA2"/>
  </w:style>
  <w:style w:type="paragraph" w:customStyle="1" w:styleId="Questionref">
    <w:name w:val="Question_ref"/>
    <w:basedOn w:val="Recref"/>
    <w:next w:val="Questiondate"/>
    <w:rsid w:val="00BF6AA2"/>
  </w:style>
  <w:style w:type="paragraph" w:customStyle="1" w:styleId="Questiontitle">
    <w:name w:val="Question_title"/>
    <w:basedOn w:val="Normal"/>
    <w:next w:val="Questionref"/>
    <w:rsid w:val="00BF6AA2"/>
  </w:style>
  <w:style w:type="paragraph" w:customStyle="1" w:styleId="Reftext">
    <w:name w:val="Ref_text"/>
    <w:basedOn w:val="Normal"/>
    <w:rsid w:val="00BF6AA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F6AA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6AA2"/>
  </w:style>
  <w:style w:type="paragraph" w:customStyle="1" w:styleId="RepNo">
    <w:name w:val="Rep_No"/>
    <w:basedOn w:val="RecNo"/>
    <w:next w:val="Reptitle"/>
    <w:rsid w:val="00BF6AA2"/>
  </w:style>
  <w:style w:type="paragraph" w:customStyle="1" w:styleId="Repref">
    <w:name w:val="Rep_ref"/>
    <w:basedOn w:val="Recref"/>
    <w:next w:val="Repdate"/>
    <w:rsid w:val="00BF6AA2"/>
  </w:style>
  <w:style w:type="paragraph" w:customStyle="1" w:styleId="Reptitle">
    <w:name w:val="Rep_title"/>
    <w:basedOn w:val="Rectitle"/>
    <w:next w:val="Repref"/>
    <w:rsid w:val="00BF6AA2"/>
  </w:style>
  <w:style w:type="paragraph" w:customStyle="1" w:styleId="Resdate">
    <w:name w:val="Res_date"/>
    <w:basedOn w:val="Recdate"/>
    <w:next w:val="Normalaftertitle"/>
    <w:rsid w:val="00BF6AA2"/>
  </w:style>
  <w:style w:type="paragraph" w:customStyle="1" w:styleId="ResNo">
    <w:name w:val="Res_No"/>
    <w:basedOn w:val="RecNo"/>
    <w:next w:val="Restitle"/>
    <w:rsid w:val="00BF6AA2"/>
  </w:style>
  <w:style w:type="paragraph" w:customStyle="1" w:styleId="Resref">
    <w:name w:val="Res_ref"/>
    <w:basedOn w:val="Recref"/>
    <w:next w:val="Resdate"/>
    <w:rsid w:val="00BF6AA2"/>
  </w:style>
  <w:style w:type="paragraph" w:customStyle="1" w:styleId="Restitle">
    <w:name w:val="Res_title"/>
    <w:basedOn w:val="Normal"/>
    <w:next w:val="Resref"/>
    <w:rsid w:val="00BF6AA2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F6AA2"/>
  </w:style>
  <w:style w:type="paragraph" w:customStyle="1" w:styleId="Sectiontitle">
    <w:name w:val="Section_title"/>
    <w:basedOn w:val="Normal"/>
    <w:next w:val="Normalaftertitle"/>
    <w:rsid w:val="00BF6AA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6AA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6AA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6AA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6AA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6AA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6AA2"/>
  </w:style>
  <w:style w:type="paragraph" w:styleId="TOC6">
    <w:name w:val="toc 6"/>
    <w:basedOn w:val="TOC4"/>
    <w:semiHidden/>
    <w:rsid w:val="00BF6AA2"/>
  </w:style>
  <w:style w:type="paragraph" w:styleId="TOC7">
    <w:name w:val="toc 7"/>
    <w:basedOn w:val="TOC4"/>
    <w:semiHidden/>
    <w:rsid w:val="00BF6AA2"/>
  </w:style>
  <w:style w:type="paragraph" w:styleId="TOC8">
    <w:name w:val="toc 8"/>
    <w:basedOn w:val="TOC4"/>
    <w:semiHidden/>
    <w:rsid w:val="00BF6AA2"/>
  </w:style>
  <w:style w:type="paragraph" w:customStyle="1" w:styleId="Rectitle">
    <w:name w:val="Rec_title"/>
    <w:basedOn w:val="Normal"/>
    <w:next w:val="Recref"/>
    <w:rsid w:val="00BF6AA2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F6AA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6AA2"/>
  </w:style>
  <w:style w:type="paragraph" w:customStyle="1" w:styleId="Figuretitle">
    <w:name w:val="Figure_title"/>
    <w:basedOn w:val="Normal"/>
    <w:next w:val="Figure"/>
    <w:rsid w:val="00BF6AA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F6AA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94488"/>
    <w:pPr>
      <w:spacing w:after="12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BF6AA2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BF6AA2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BF6AA2"/>
    <w:rPr>
      <w:caps/>
      <w:sz w:val="18"/>
      <w:lang w:val="fr-FR" w:eastAsia="en-US"/>
    </w:rPr>
  </w:style>
  <w:style w:type="character" w:customStyle="1" w:styleId="enumlev1Char">
    <w:name w:val="enumlev1 Char"/>
    <w:link w:val="enumlev1"/>
    <w:locked/>
    <w:rsid w:val="00BF6AA2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1.wmf"/><Relationship Id="rId55" Type="http://schemas.openxmlformats.org/officeDocument/2006/relationships/header" Target="header6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9" Type="http://schemas.openxmlformats.org/officeDocument/2006/relationships/oleObject" Target="embeddings/oleObject9.bin"/><Relationship Id="rId11" Type="http://schemas.openxmlformats.org/officeDocument/2006/relationships/header" Target="header4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0.wmf"/><Relationship Id="rId56" Type="http://schemas.openxmlformats.org/officeDocument/2006/relationships/fontTable" Target="fontTable.xml"/><Relationship Id="rId8" Type="http://schemas.openxmlformats.org/officeDocument/2006/relationships/hyperlink" Target="http://www.itu.int/ITU-R/go/patents/es" TargetMode="External"/><Relationship Id="rId51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20" Type="http://schemas.openxmlformats.org/officeDocument/2006/relationships/image" Target="media/image6.wmf"/><Relationship Id="rId41" Type="http://schemas.openxmlformats.org/officeDocument/2006/relationships/oleObject" Target="embeddings/oleObject15.bin"/><Relationship Id="rId54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19.bin"/><Relationship Id="rId57" Type="http://schemas.openxmlformats.org/officeDocument/2006/relationships/theme" Target="theme/theme1.xml"/><Relationship Id="rId10" Type="http://schemas.openxmlformats.org/officeDocument/2006/relationships/header" Target="header3.xml"/><Relationship Id="rId31" Type="http://schemas.openxmlformats.org/officeDocument/2006/relationships/oleObject" Target="embeddings/oleObject10.bin"/><Relationship Id="rId44" Type="http://schemas.openxmlformats.org/officeDocument/2006/relationships/image" Target="media/image18.wmf"/><Relationship Id="rId52" Type="http://schemas.openxmlformats.org/officeDocument/2006/relationships/image" Target="media/image2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8</Pages>
  <Words>2244</Words>
  <Characters>11547</Characters>
  <Application>Microsoft Office Word</Application>
  <DocSecurity>0</DocSecurity>
  <Lines>295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13675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P.837-7 - Características de la precipitación para establecer modelos de propagación</dc:title>
  <dc:subject>Serie P = Propagación de las ondas radioeléctricas</dc:subject>
  <dc:creator>Oficina de Radiocomunicaciones del UIT (BR)</dc:creator>
  <cp:keywords>P,837-7</cp:keywords>
  <dc:description>Gachetc, 07/08/2023, ITU51013811</dc:description>
  <cp:lastModifiedBy>Christelle</cp:lastModifiedBy>
  <cp:revision>6</cp:revision>
  <cp:lastPrinted>2005-02-10T14:54:00Z</cp:lastPrinted>
  <dcterms:created xsi:type="dcterms:W3CDTF">2018-05-30T12:23:00Z</dcterms:created>
  <dcterms:modified xsi:type="dcterms:W3CDTF">2023-08-07T09:01:00Z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Gachetc</vt:lpwstr>
  </property>
  <property fmtid="{D5CDD505-2E9C-101B-9397-08002B2CF9AE}" pid="11" name="Date completed">
    <vt:lpwstr>07 August 2023</vt:lpwstr>
  </property>
</Properties>
</file>