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p w:rsidR="00355BB4" w:rsidRDefault="00355BB4" w:rsidP="00355BB4"/>
    <w:tbl>
      <w:tblPr>
        <w:tblW w:w="10089" w:type="dxa"/>
        <w:tblLook w:val="01E0" w:firstRow="1" w:lastRow="1" w:firstColumn="1" w:lastColumn="1" w:noHBand="0" w:noVBand="0"/>
      </w:tblPr>
      <w:tblGrid>
        <w:gridCol w:w="10089"/>
      </w:tblGrid>
      <w:tr w:rsidR="00355BB4" w:rsidRPr="00A443C2" w:rsidTr="00A31EF5">
        <w:tc>
          <w:tcPr>
            <w:tcW w:w="10089" w:type="dxa"/>
          </w:tcPr>
          <w:p w:rsidR="00355BB4" w:rsidRPr="00B033C8" w:rsidRDefault="00355BB4" w:rsidP="00A31EF5">
            <w:pPr>
              <w:spacing w:before="380" w:line="280" w:lineRule="exact"/>
              <w:jc w:val="right"/>
              <w:rPr>
                <w:rFonts w:ascii="Tahoma" w:hAnsi="Tahoma" w:cs="Tahoma"/>
                <w:b/>
                <w:bCs/>
                <w:iCs/>
                <w:color w:val="243285"/>
                <w:sz w:val="32"/>
                <w:szCs w:val="32"/>
                <w:lang w:val="en-US"/>
              </w:rPr>
            </w:pPr>
          </w:p>
          <w:p w:rsidR="00355BB4" w:rsidRPr="00A443C2" w:rsidRDefault="00355BB4" w:rsidP="00355BB4">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836-5</w:t>
            </w:r>
          </w:p>
          <w:p w:rsidR="00355BB4" w:rsidRPr="00A443C2" w:rsidRDefault="00355BB4" w:rsidP="00355BB4">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9</w:t>
            </w:r>
            <w:r w:rsidRPr="00A443C2">
              <w:rPr>
                <w:rFonts w:ascii="Tahoma" w:hAnsi="Tahoma" w:cs="Tahoma"/>
                <w:b/>
                <w:bCs/>
                <w:iCs/>
                <w:color w:val="243285"/>
                <w:szCs w:val="24"/>
              </w:rPr>
              <w:t>/</w:t>
            </w:r>
            <w:r>
              <w:rPr>
                <w:rFonts w:ascii="Tahoma" w:hAnsi="Tahoma" w:cs="Tahoma"/>
                <w:b/>
                <w:bCs/>
                <w:iCs/>
                <w:color w:val="243285"/>
                <w:szCs w:val="24"/>
              </w:rPr>
              <w:t>2013</w:t>
            </w:r>
            <w:r w:rsidRPr="00A443C2">
              <w:rPr>
                <w:rFonts w:ascii="Tahoma" w:hAnsi="Tahoma" w:cs="Tahoma"/>
                <w:b/>
                <w:bCs/>
                <w:iCs/>
                <w:color w:val="243285"/>
                <w:szCs w:val="24"/>
              </w:rPr>
              <w:t>)</w:t>
            </w:r>
          </w:p>
        </w:tc>
      </w:tr>
      <w:tr w:rsidR="00355BB4" w:rsidRPr="00F54FBD" w:rsidTr="00A31EF5">
        <w:tc>
          <w:tcPr>
            <w:tcW w:w="10089" w:type="dxa"/>
          </w:tcPr>
          <w:p w:rsidR="00355BB4" w:rsidRDefault="00355BB4" w:rsidP="00A31EF5">
            <w:pPr>
              <w:spacing w:before="80" w:line="500" w:lineRule="exact"/>
              <w:jc w:val="right"/>
              <w:rPr>
                <w:rFonts w:ascii="Tahoma" w:hAnsi="Tahoma" w:cs="Tahoma"/>
                <w:b/>
                <w:bCs/>
                <w:iCs/>
                <w:color w:val="243285"/>
                <w:sz w:val="44"/>
                <w:szCs w:val="44"/>
              </w:rPr>
            </w:pPr>
          </w:p>
          <w:p w:rsidR="00355BB4" w:rsidRDefault="00355BB4" w:rsidP="00355BB4">
            <w:pPr>
              <w:spacing w:before="80" w:line="500" w:lineRule="exact"/>
              <w:jc w:val="right"/>
              <w:rPr>
                <w:rFonts w:ascii="Tahoma" w:hAnsi="Tahoma" w:cs="Tahoma"/>
                <w:b/>
                <w:bCs/>
                <w:iCs/>
                <w:color w:val="243285"/>
                <w:sz w:val="44"/>
                <w:szCs w:val="44"/>
              </w:rPr>
            </w:pPr>
            <w:r>
              <w:rPr>
                <w:rFonts w:ascii="Tahoma" w:hAnsi="Tahoma" w:cs="Tahoma"/>
                <w:b/>
                <w:bCs/>
                <w:iCs/>
                <w:color w:val="243285"/>
                <w:sz w:val="44"/>
                <w:szCs w:val="44"/>
              </w:rPr>
              <w:t>Vapeur d'eau: concentration à la surface de la Terre et contenu total d'une colonne d'air</w:t>
            </w:r>
          </w:p>
          <w:p w:rsidR="00355BB4" w:rsidRPr="00F54FBD" w:rsidRDefault="00355BB4" w:rsidP="00A31EF5">
            <w:pPr>
              <w:spacing w:before="80" w:line="500" w:lineRule="exact"/>
              <w:jc w:val="right"/>
              <w:rPr>
                <w:rFonts w:ascii="Tahoma" w:hAnsi="Tahoma" w:cs="Tahoma"/>
                <w:b/>
                <w:bCs/>
                <w:iCs/>
                <w:color w:val="243285"/>
                <w:sz w:val="44"/>
                <w:szCs w:val="44"/>
              </w:rPr>
            </w:pPr>
          </w:p>
        </w:tc>
      </w:tr>
      <w:tr w:rsidR="00355BB4" w:rsidRPr="00F54FBD" w:rsidTr="00A31EF5">
        <w:tc>
          <w:tcPr>
            <w:tcW w:w="10089" w:type="dxa"/>
          </w:tcPr>
          <w:p w:rsidR="00355BB4" w:rsidRPr="00F54FBD" w:rsidRDefault="00355BB4" w:rsidP="00A31EF5">
            <w:pPr>
              <w:spacing w:before="80" w:line="280" w:lineRule="exact"/>
              <w:ind w:right="640"/>
              <w:rPr>
                <w:rFonts w:ascii="Tahoma" w:hAnsi="Tahoma" w:cs="Tahoma"/>
                <w:b/>
                <w:bCs/>
                <w:iCs/>
                <w:color w:val="243285"/>
                <w:sz w:val="32"/>
                <w:szCs w:val="32"/>
              </w:rPr>
            </w:pPr>
          </w:p>
          <w:p w:rsidR="00355BB4" w:rsidRPr="00F54FBD" w:rsidRDefault="00355BB4" w:rsidP="00A31EF5">
            <w:pPr>
              <w:spacing w:before="80" w:line="280" w:lineRule="exact"/>
              <w:ind w:right="640"/>
              <w:rPr>
                <w:rFonts w:ascii="Tahoma" w:hAnsi="Tahoma" w:cs="Tahoma"/>
                <w:b/>
                <w:bCs/>
                <w:iCs/>
                <w:color w:val="243285"/>
                <w:sz w:val="32"/>
                <w:szCs w:val="32"/>
              </w:rPr>
            </w:pPr>
          </w:p>
          <w:p w:rsidR="00355BB4" w:rsidRPr="00F54FBD" w:rsidRDefault="00355BB4" w:rsidP="00A31EF5">
            <w:pPr>
              <w:spacing w:before="80" w:after="180" w:line="360" w:lineRule="exact"/>
              <w:ind w:right="720"/>
              <w:rPr>
                <w:rFonts w:ascii="Tahoma" w:hAnsi="Tahoma" w:cs="Tahoma"/>
                <w:b/>
                <w:bCs/>
                <w:iCs/>
                <w:color w:val="243285"/>
                <w:sz w:val="36"/>
                <w:szCs w:val="36"/>
              </w:rPr>
            </w:pPr>
          </w:p>
          <w:p w:rsidR="00355BB4" w:rsidRPr="00F54FBD" w:rsidRDefault="00355BB4" w:rsidP="00A31EF5">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355BB4" w:rsidRPr="00F54FBD" w:rsidRDefault="00355BB4" w:rsidP="00A31EF5">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spacing w:before="80"/>
        <w:rPr>
          <w:i/>
          <w:sz w:val="22"/>
        </w:rPr>
      </w:pPr>
    </w:p>
    <w:p w:rsidR="00355BB4" w:rsidRPr="00F54FBD" w:rsidRDefault="00355BB4" w:rsidP="00355BB4">
      <w:pPr>
        <w:pStyle w:val="Equation"/>
        <w:tabs>
          <w:tab w:val="clear" w:pos="4820"/>
          <w:tab w:val="clear" w:pos="9639"/>
          <w:tab w:val="left" w:pos="1191"/>
          <w:tab w:val="left" w:pos="1588"/>
          <w:tab w:val="left" w:pos="1985"/>
        </w:tabs>
        <w:rPr>
          <w:rFonts w:ascii="Palatino Linotype" w:hAnsi="Palatino Linotype"/>
        </w:rPr>
        <w:sectPr w:rsidR="00355BB4" w:rsidRPr="00F54FBD">
          <w:headerReference w:type="even" r:id="rId6"/>
          <w:headerReference w:type="default" r:id="rId7"/>
          <w:pgSz w:w="11907" w:h="16840" w:code="9"/>
          <w:pgMar w:top="1089" w:right="1089" w:bottom="284" w:left="1089" w:header="567" w:footer="284" w:gutter="0"/>
          <w:pgNumType w:start="1"/>
          <w:cols w:space="720"/>
        </w:sectPr>
      </w:pPr>
    </w:p>
    <w:p w:rsidR="00355BB4" w:rsidRPr="00F54FBD" w:rsidRDefault="00355BB4" w:rsidP="00355BB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355BB4" w:rsidRPr="00F54FBD" w:rsidRDefault="00355BB4" w:rsidP="00355BB4">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355BB4" w:rsidRPr="00F54FBD" w:rsidRDefault="00355BB4" w:rsidP="00355BB4">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355BB4" w:rsidRPr="00E44CBB" w:rsidRDefault="00355BB4" w:rsidP="00355BB4">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355BB4" w:rsidRPr="00E44CBB" w:rsidRDefault="00355BB4" w:rsidP="00355BB4">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8" w:history="1">
        <w:r w:rsidRPr="00E44CBB">
          <w:rPr>
            <w:rStyle w:val="Hyperlink"/>
            <w:sz w:val="20"/>
          </w:rPr>
          <w:t>http://www.itu.int/ITU-R/go/patents/fr</w:t>
        </w:r>
      </w:hyperlink>
      <w:r w:rsidRPr="00E44CBB">
        <w:rPr>
          <w:sz w:val="20"/>
        </w:rPr>
        <w:t xml:space="preserve">, où l'on trouvera également les Lignes directrices pour la mise en </w:t>
      </w:r>
      <w:proofErr w:type="spellStart"/>
      <w:r w:rsidRPr="00E44CBB">
        <w:rPr>
          <w:sz w:val="20"/>
        </w:rPr>
        <w:t>oeuvre</w:t>
      </w:r>
      <w:proofErr w:type="spellEnd"/>
      <w:r w:rsidRPr="00E44CBB">
        <w:rPr>
          <w:sz w:val="20"/>
        </w:rPr>
        <w:t xml:space="preserv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355BB4" w:rsidRPr="00673807" w:rsidRDefault="00355BB4" w:rsidP="00355BB4">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355BB4" w:rsidRPr="009454F8" w:rsidTr="00A31EF5">
        <w:tc>
          <w:tcPr>
            <w:tcW w:w="9360" w:type="dxa"/>
            <w:gridSpan w:val="2"/>
          </w:tcPr>
          <w:p w:rsidR="00355BB4" w:rsidRPr="009454F8" w:rsidRDefault="00355BB4" w:rsidP="00A31EF5">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355BB4" w:rsidRPr="009454F8"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proofErr w:type="spellStart"/>
            <w:r w:rsidRPr="009454F8">
              <w:rPr>
                <w:b w:val="0"/>
                <w:sz w:val="18"/>
                <w:szCs w:val="18"/>
              </w:rPr>
              <w:t>Egalement</w:t>
            </w:r>
            <w:proofErr w:type="spellEnd"/>
            <w:r w:rsidRPr="009454F8">
              <w:rPr>
                <w:b w:val="0"/>
                <w:sz w:val="18"/>
                <w:szCs w:val="18"/>
              </w:rPr>
              <w:t xml:space="preserve"> disponible en ligne: </w:t>
            </w:r>
            <w:hyperlink r:id="rId9" w:history="1">
              <w:r>
                <w:rPr>
                  <w:rStyle w:val="Hyperlink"/>
                  <w:b w:val="0"/>
                  <w:bCs/>
                  <w:sz w:val="18"/>
                  <w:szCs w:val="18"/>
                </w:rPr>
                <w:t>http://www.itu.int/publ/R-REC/fr</w:t>
              </w:r>
            </w:hyperlink>
            <w:r w:rsidRPr="00BC0651">
              <w:rPr>
                <w:b w:val="0"/>
                <w:bCs/>
                <w:sz w:val="18"/>
                <w:szCs w:val="18"/>
              </w:rPr>
              <w:t>)</w:t>
            </w:r>
          </w:p>
        </w:tc>
      </w:tr>
      <w:tr w:rsidR="00355BB4" w:rsidRPr="00036EE3" w:rsidTr="00A31EF5">
        <w:tc>
          <w:tcPr>
            <w:tcW w:w="1140" w:type="dxa"/>
            <w:tcBorders>
              <w:bottom w:val="nil"/>
            </w:tcBorders>
          </w:tcPr>
          <w:p w:rsidR="00355BB4" w:rsidRPr="00614CC6" w:rsidRDefault="00355BB4" w:rsidP="00A31EF5">
            <w:pPr>
              <w:spacing w:before="90" w:after="100"/>
              <w:ind w:left="57"/>
              <w:rPr>
                <w:b/>
                <w:bCs/>
                <w:sz w:val="20"/>
                <w:lang w:val="en-US"/>
              </w:rPr>
            </w:pPr>
            <w:proofErr w:type="spellStart"/>
            <w:r w:rsidRPr="00614CC6">
              <w:rPr>
                <w:b/>
                <w:bCs/>
                <w:sz w:val="20"/>
                <w:lang w:val="en-US"/>
              </w:rPr>
              <w:t>Séries</w:t>
            </w:r>
            <w:proofErr w:type="spellEnd"/>
          </w:p>
        </w:tc>
        <w:tc>
          <w:tcPr>
            <w:tcW w:w="8220" w:type="dxa"/>
            <w:tcBorders>
              <w:bottom w:val="nil"/>
            </w:tcBorders>
          </w:tcPr>
          <w:p w:rsidR="00355BB4" w:rsidRPr="00614CC6"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proofErr w:type="spellStart"/>
            <w:r w:rsidRPr="00614CC6">
              <w:rPr>
                <w:bCs/>
                <w:sz w:val="20"/>
                <w:lang w:val="en-US"/>
              </w:rPr>
              <w:t>Titre</w:t>
            </w:r>
            <w:proofErr w:type="spellEnd"/>
          </w:p>
        </w:tc>
      </w:tr>
      <w:tr w:rsidR="00355BB4" w:rsidRPr="005E427C" w:rsidTr="00A31EF5">
        <w:tc>
          <w:tcPr>
            <w:tcW w:w="1140" w:type="dxa"/>
            <w:tcBorders>
              <w:top w:val="nil"/>
              <w:bottom w:val="nil"/>
            </w:tcBorders>
            <w:shd w:val="clear" w:color="auto" w:fill="auto"/>
          </w:tcPr>
          <w:p w:rsidR="00355BB4" w:rsidRPr="005E427C" w:rsidRDefault="00355BB4" w:rsidP="00A31EF5">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355BB4" w:rsidRPr="005E427C"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355BB4" w:rsidRPr="009454F8" w:rsidTr="00A31EF5">
        <w:tc>
          <w:tcPr>
            <w:tcW w:w="1140" w:type="dxa"/>
            <w:tcBorders>
              <w:top w:val="nil"/>
              <w:bottom w:val="nil"/>
            </w:tcBorders>
          </w:tcPr>
          <w:p w:rsidR="00355BB4" w:rsidRPr="00614CC6" w:rsidRDefault="00355BB4" w:rsidP="00A31EF5">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355BB4" w:rsidRPr="00614CC6"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355BB4" w:rsidRPr="00E80F1D" w:rsidTr="00A31EF5">
        <w:tc>
          <w:tcPr>
            <w:tcW w:w="1140" w:type="dxa"/>
            <w:tcBorders>
              <w:top w:val="nil"/>
              <w:bottom w:val="nil"/>
            </w:tcBorders>
            <w:shd w:val="clear" w:color="auto" w:fill="auto"/>
          </w:tcPr>
          <w:p w:rsidR="00355BB4" w:rsidRPr="00E80F1D" w:rsidRDefault="00355BB4" w:rsidP="00A31EF5">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355BB4" w:rsidRPr="00E80F1D"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355BB4" w:rsidRPr="00ED2695" w:rsidTr="00A31EF5">
        <w:tc>
          <w:tcPr>
            <w:tcW w:w="1140" w:type="dxa"/>
            <w:tcBorders>
              <w:top w:val="nil"/>
              <w:bottom w:val="nil"/>
            </w:tcBorders>
            <w:shd w:val="clear" w:color="auto" w:fill="auto"/>
          </w:tcPr>
          <w:p w:rsidR="00355BB4" w:rsidRPr="00614CC6" w:rsidRDefault="00355BB4" w:rsidP="00A31EF5">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355BB4" w:rsidRPr="00614CC6"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355BB4" w:rsidRPr="00DE5EA2" w:rsidTr="00A31EF5">
        <w:tc>
          <w:tcPr>
            <w:tcW w:w="1140" w:type="dxa"/>
            <w:tcBorders>
              <w:top w:val="nil"/>
              <w:bottom w:val="nil"/>
            </w:tcBorders>
            <w:shd w:val="clear" w:color="auto" w:fill="auto"/>
          </w:tcPr>
          <w:p w:rsidR="00355BB4" w:rsidRPr="00DE5EA2" w:rsidRDefault="00355BB4" w:rsidP="00A31EF5">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355BB4" w:rsidRPr="00DE5EA2" w:rsidRDefault="00355BB4"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355BB4" w:rsidRPr="00B21066" w:rsidTr="00A31EF5">
        <w:tc>
          <w:tcPr>
            <w:tcW w:w="1140" w:type="dxa"/>
            <w:tcBorders>
              <w:top w:val="nil"/>
              <w:bottom w:val="nil"/>
            </w:tcBorders>
            <w:shd w:val="clear" w:color="auto" w:fill="auto"/>
          </w:tcPr>
          <w:p w:rsidR="00355BB4" w:rsidRPr="00B21066" w:rsidRDefault="00355BB4" w:rsidP="00A31EF5">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355BB4" w:rsidRPr="00B21066" w:rsidRDefault="00355BB4" w:rsidP="00A31EF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355BB4" w:rsidRPr="00DE5EA2" w:rsidTr="00A31EF5">
        <w:tc>
          <w:tcPr>
            <w:tcW w:w="1140" w:type="dxa"/>
            <w:tcBorders>
              <w:top w:val="nil"/>
              <w:bottom w:val="nil"/>
            </w:tcBorders>
            <w:shd w:val="clear" w:color="auto" w:fill="F3F3F3"/>
          </w:tcPr>
          <w:p w:rsidR="00355BB4" w:rsidRPr="00DE5EA2" w:rsidRDefault="00355BB4" w:rsidP="00A31EF5">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355BB4" w:rsidRPr="00DE5EA2" w:rsidRDefault="00355BB4" w:rsidP="00A31EF5">
            <w:pPr>
              <w:spacing w:before="30" w:after="30"/>
              <w:jc w:val="left"/>
              <w:rPr>
                <w:b/>
                <w:bCs/>
                <w:color w:val="000080"/>
                <w:sz w:val="20"/>
                <w:lang w:val="fr-CH"/>
              </w:rPr>
            </w:pPr>
            <w:r w:rsidRPr="00DE5EA2">
              <w:rPr>
                <w:b/>
                <w:bCs/>
                <w:color w:val="000080"/>
                <w:sz w:val="20"/>
              </w:rPr>
              <w:t>Propagation des ondes radioélectriques</w:t>
            </w:r>
          </w:p>
        </w:tc>
      </w:tr>
      <w:tr w:rsidR="00355BB4" w:rsidRPr="00036EE3" w:rsidTr="00A31EF5">
        <w:tc>
          <w:tcPr>
            <w:tcW w:w="1140" w:type="dxa"/>
            <w:tcBorders>
              <w:top w:val="nil"/>
            </w:tcBorders>
          </w:tcPr>
          <w:p w:rsidR="00355BB4" w:rsidRPr="00614CC6" w:rsidRDefault="00355BB4" w:rsidP="00A31EF5">
            <w:pPr>
              <w:spacing w:before="30" w:after="30"/>
              <w:ind w:left="57"/>
              <w:jc w:val="left"/>
              <w:rPr>
                <w:b/>
                <w:bCs/>
                <w:sz w:val="20"/>
                <w:lang w:val="en-US"/>
              </w:rPr>
            </w:pPr>
            <w:r w:rsidRPr="00614CC6">
              <w:rPr>
                <w:b/>
                <w:bCs/>
                <w:sz w:val="20"/>
                <w:lang w:val="en-US"/>
              </w:rPr>
              <w:t>RA</w:t>
            </w:r>
          </w:p>
        </w:tc>
        <w:tc>
          <w:tcPr>
            <w:tcW w:w="8220" w:type="dxa"/>
            <w:tcBorders>
              <w:top w:val="nil"/>
            </w:tcBorders>
          </w:tcPr>
          <w:p w:rsidR="00355BB4" w:rsidRPr="00614CC6" w:rsidRDefault="00355BB4"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RS</w:t>
            </w:r>
          </w:p>
        </w:tc>
        <w:tc>
          <w:tcPr>
            <w:tcW w:w="8220" w:type="dxa"/>
          </w:tcPr>
          <w:p w:rsidR="00355BB4" w:rsidRPr="00614CC6" w:rsidRDefault="00355BB4" w:rsidP="00A31EF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S</w:t>
            </w:r>
          </w:p>
        </w:tc>
        <w:tc>
          <w:tcPr>
            <w:tcW w:w="8220" w:type="dxa"/>
          </w:tcPr>
          <w:p w:rsidR="00355BB4" w:rsidRPr="00614CC6" w:rsidRDefault="00355BB4" w:rsidP="00A31EF5">
            <w:pPr>
              <w:spacing w:before="30" w:after="30"/>
              <w:jc w:val="left"/>
              <w:rPr>
                <w:sz w:val="20"/>
                <w:lang w:val="en-US"/>
              </w:rPr>
            </w:pPr>
            <w:r w:rsidRPr="00614CC6">
              <w:rPr>
                <w:sz w:val="20"/>
              </w:rPr>
              <w:t>Service fixe par satellite</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SA</w:t>
            </w:r>
          </w:p>
        </w:tc>
        <w:tc>
          <w:tcPr>
            <w:tcW w:w="8220" w:type="dxa"/>
          </w:tcPr>
          <w:p w:rsidR="00355BB4" w:rsidRPr="00614CC6" w:rsidRDefault="00355BB4" w:rsidP="00A31EF5">
            <w:pPr>
              <w:spacing w:before="30" w:after="30"/>
              <w:jc w:val="left"/>
              <w:rPr>
                <w:sz w:val="20"/>
                <w:lang w:val="en-US"/>
              </w:rPr>
            </w:pPr>
            <w:r w:rsidRPr="00614CC6">
              <w:rPr>
                <w:sz w:val="20"/>
              </w:rPr>
              <w:t>Applications spatiales et météorologie</w:t>
            </w:r>
          </w:p>
        </w:tc>
      </w:tr>
      <w:tr w:rsidR="00355BB4" w:rsidRPr="00614CC6"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SF</w:t>
            </w:r>
          </w:p>
        </w:tc>
        <w:tc>
          <w:tcPr>
            <w:tcW w:w="8220" w:type="dxa"/>
          </w:tcPr>
          <w:p w:rsidR="00355BB4" w:rsidRPr="00614CC6" w:rsidRDefault="00355BB4" w:rsidP="00A31EF5">
            <w:pPr>
              <w:spacing w:before="30" w:after="30"/>
              <w:jc w:val="left"/>
              <w:rPr>
                <w:sz w:val="20"/>
              </w:rPr>
            </w:pPr>
            <w:r w:rsidRPr="00614CC6">
              <w:rPr>
                <w:sz w:val="20"/>
              </w:rPr>
              <w:t>Partage des fréquences et coordination entre les systèmes du service fixe par satellite et du service fixe</w:t>
            </w:r>
          </w:p>
        </w:tc>
      </w:tr>
      <w:tr w:rsidR="00355BB4" w:rsidRPr="00036EE3" w:rsidTr="00A31EF5">
        <w:tc>
          <w:tcPr>
            <w:tcW w:w="1140" w:type="dxa"/>
            <w:shd w:val="clear" w:color="auto" w:fill="auto"/>
          </w:tcPr>
          <w:p w:rsidR="00355BB4" w:rsidRPr="00592F9F" w:rsidRDefault="00355BB4" w:rsidP="00A31EF5">
            <w:pPr>
              <w:spacing w:before="30" w:after="30"/>
              <w:ind w:left="57"/>
              <w:jc w:val="left"/>
              <w:rPr>
                <w:b/>
                <w:bCs/>
                <w:sz w:val="20"/>
                <w:lang w:val="en-US"/>
              </w:rPr>
            </w:pPr>
            <w:r w:rsidRPr="00592F9F">
              <w:rPr>
                <w:b/>
                <w:bCs/>
                <w:sz w:val="20"/>
                <w:lang w:val="en-US"/>
              </w:rPr>
              <w:t>SM</w:t>
            </w:r>
          </w:p>
        </w:tc>
        <w:tc>
          <w:tcPr>
            <w:tcW w:w="8220" w:type="dxa"/>
            <w:shd w:val="clear" w:color="auto" w:fill="auto"/>
          </w:tcPr>
          <w:p w:rsidR="00355BB4" w:rsidRPr="00592F9F" w:rsidRDefault="00355BB4" w:rsidP="00A31EF5">
            <w:pPr>
              <w:spacing w:before="30" w:after="30"/>
              <w:jc w:val="left"/>
              <w:rPr>
                <w:sz w:val="20"/>
                <w:lang w:val="en-US"/>
              </w:rPr>
            </w:pPr>
            <w:r w:rsidRPr="00592F9F">
              <w:rPr>
                <w:sz w:val="20"/>
              </w:rPr>
              <w:t>Gestion du spectre</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SNG</w:t>
            </w:r>
          </w:p>
        </w:tc>
        <w:tc>
          <w:tcPr>
            <w:tcW w:w="8220" w:type="dxa"/>
          </w:tcPr>
          <w:p w:rsidR="00355BB4" w:rsidRPr="00614CC6" w:rsidRDefault="00355BB4" w:rsidP="00A31EF5">
            <w:pPr>
              <w:spacing w:before="30" w:after="30"/>
              <w:jc w:val="left"/>
              <w:rPr>
                <w:sz w:val="20"/>
                <w:lang w:val="en-US"/>
              </w:rPr>
            </w:pPr>
            <w:r w:rsidRPr="00614CC6">
              <w:rPr>
                <w:sz w:val="20"/>
              </w:rPr>
              <w:t>Reportage d'actualités par satellite</w:t>
            </w:r>
          </w:p>
        </w:tc>
      </w:tr>
      <w:tr w:rsidR="00355BB4" w:rsidRPr="00614CC6"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TF</w:t>
            </w:r>
          </w:p>
        </w:tc>
        <w:tc>
          <w:tcPr>
            <w:tcW w:w="8220" w:type="dxa"/>
          </w:tcPr>
          <w:p w:rsidR="00355BB4" w:rsidRPr="00614CC6" w:rsidRDefault="00355BB4" w:rsidP="00A31EF5">
            <w:pPr>
              <w:spacing w:before="30" w:after="30"/>
              <w:jc w:val="left"/>
              <w:rPr>
                <w:sz w:val="20"/>
              </w:rPr>
            </w:pPr>
            <w:proofErr w:type="spellStart"/>
            <w:r w:rsidRPr="00614CC6">
              <w:rPr>
                <w:sz w:val="20"/>
              </w:rPr>
              <w:t>Emissions</w:t>
            </w:r>
            <w:proofErr w:type="spellEnd"/>
            <w:r w:rsidRPr="00614CC6">
              <w:rPr>
                <w:sz w:val="20"/>
              </w:rPr>
              <w:t xml:space="preserve"> de fréquences étalon et de signaux horaires</w:t>
            </w:r>
          </w:p>
        </w:tc>
      </w:tr>
      <w:tr w:rsidR="00355BB4" w:rsidRPr="00036EE3" w:rsidTr="00A31EF5">
        <w:tc>
          <w:tcPr>
            <w:tcW w:w="1140" w:type="dxa"/>
          </w:tcPr>
          <w:p w:rsidR="00355BB4" w:rsidRPr="00614CC6" w:rsidRDefault="00355BB4" w:rsidP="00A31EF5">
            <w:pPr>
              <w:spacing w:before="30" w:after="30"/>
              <w:ind w:left="57"/>
              <w:jc w:val="left"/>
              <w:rPr>
                <w:b/>
                <w:bCs/>
                <w:sz w:val="20"/>
                <w:lang w:val="en-US"/>
              </w:rPr>
            </w:pPr>
            <w:r w:rsidRPr="00614CC6">
              <w:rPr>
                <w:b/>
                <w:bCs/>
                <w:sz w:val="20"/>
                <w:lang w:val="en-US"/>
              </w:rPr>
              <w:t>V</w:t>
            </w:r>
          </w:p>
        </w:tc>
        <w:tc>
          <w:tcPr>
            <w:tcW w:w="8220" w:type="dxa"/>
          </w:tcPr>
          <w:p w:rsidR="00355BB4" w:rsidRPr="00614CC6" w:rsidRDefault="00355BB4" w:rsidP="00A31EF5">
            <w:pPr>
              <w:spacing w:before="30" w:after="140"/>
              <w:jc w:val="left"/>
              <w:rPr>
                <w:sz w:val="20"/>
                <w:lang w:val="en-US"/>
              </w:rPr>
            </w:pPr>
            <w:r w:rsidRPr="00614CC6">
              <w:rPr>
                <w:sz w:val="20"/>
              </w:rPr>
              <w:t>Vocabulaire et sujets associés</w:t>
            </w:r>
          </w:p>
        </w:tc>
      </w:tr>
    </w:tbl>
    <w:p w:rsidR="00355BB4" w:rsidRPr="00036EE3" w:rsidRDefault="00355BB4" w:rsidP="00355BB4">
      <w:pPr>
        <w:spacing w:before="0"/>
        <w:jc w:val="center"/>
        <w:rPr>
          <w:sz w:val="20"/>
          <w:lang w:val="en-US"/>
        </w:rPr>
      </w:pPr>
    </w:p>
    <w:p w:rsidR="00355BB4" w:rsidRPr="00036EE3" w:rsidRDefault="00355BB4" w:rsidP="00355BB4">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355BB4" w:rsidRPr="00756B4D" w:rsidTr="00A31EF5">
        <w:tc>
          <w:tcPr>
            <w:tcW w:w="9360" w:type="dxa"/>
          </w:tcPr>
          <w:p w:rsidR="00355BB4" w:rsidRPr="00756B4D" w:rsidRDefault="00355BB4" w:rsidP="00A31EF5">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355BB4" w:rsidRPr="00756B4D" w:rsidRDefault="00355BB4" w:rsidP="00355BB4">
      <w:pPr>
        <w:spacing w:before="0"/>
        <w:jc w:val="center"/>
        <w:rPr>
          <w:sz w:val="22"/>
        </w:rPr>
      </w:pPr>
    </w:p>
    <w:p w:rsidR="00355BB4" w:rsidRPr="00614CC6" w:rsidRDefault="00355BB4" w:rsidP="00355BB4">
      <w:pPr>
        <w:spacing w:before="100"/>
        <w:jc w:val="right"/>
        <w:rPr>
          <w:i/>
          <w:iCs/>
          <w:sz w:val="20"/>
        </w:rPr>
      </w:pPr>
      <w:r w:rsidRPr="00614CC6">
        <w:rPr>
          <w:i/>
          <w:iCs/>
          <w:sz w:val="20"/>
        </w:rPr>
        <w:t>Publication électronique</w:t>
      </w:r>
    </w:p>
    <w:p w:rsidR="00355BB4" w:rsidRPr="00614CC6" w:rsidRDefault="00355BB4" w:rsidP="00355BB4">
      <w:pPr>
        <w:spacing w:before="0"/>
        <w:jc w:val="right"/>
        <w:rPr>
          <w:sz w:val="20"/>
        </w:rPr>
      </w:pPr>
      <w:r w:rsidRPr="00614CC6">
        <w:rPr>
          <w:sz w:val="20"/>
        </w:rPr>
        <w:t>Genève, 20</w:t>
      </w:r>
      <w:r>
        <w:rPr>
          <w:sz w:val="20"/>
        </w:rPr>
        <w:t>14</w:t>
      </w:r>
    </w:p>
    <w:p w:rsidR="00355BB4" w:rsidRPr="00614CC6" w:rsidRDefault="00355BB4" w:rsidP="00355BB4">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14</w:t>
      </w:r>
    </w:p>
    <w:p w:rsidR="00355BB4" w:rsidRPr="00614CC6" w:rsidRDefault="00355BB4" w:rsidP="00355BB4">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355BB4" w:rsidRPr="00614CC6" w:rsidRDefault="00355BB4" w:rsidP="00355BB4">
      <w:pPr>
        <w:spacing w:before="160"/>
        <w:rPr>
          <w:i/>
          <w:sz w:val="20"/>
          <w:highlight w:val="yellow"/>
        </w:rPr>
        <w:sectPr w:rsidR="00355BB4" w:rsidRPr="00614CC6" w:rsidSect="007565CC">
          <w:headerReference w:type="even" r:id="rId10"/>
          <w:headerReference w:type="default" r:id="rId11"/>
          <w:pgSz w:w="11907" w:h="16834" w:code="9"/>
          <w:pgMar w:top="1418" w:right="1134" w:bottom="1134" w:left="1134" w:header="720" w:footer="482" w:gutter="0"/>
          <w:pgNumType w:fmt="lowerRoman" w:start="2"/>
          <w:cols w:space="720"/>
        </w:sectPr>
      </w:pPr>
    </w:p>
    <w:p w:rsidR="00355BB4" w:rsidRPr="00756B4D" w:rsidRDefault="00355BB4" w:rsidP="00355BB4">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836-5</w:t>
      </w:r>
      <w:r w:rsidR="00832E2C" w:rsidRPr="003D6253">
        <w:rPr>
          <w:rStyle w:val="FootnoteReference"/>
          <w:lang w:val="fr-CH"/>
        </w:rPr>
        <w:footnoteReference w:customMarkFollows="1" w:id="1"/>
        <w:t>*</w:t>
      </w:r>
      <w:bookmarkStart w:id="3" w:name="_GoBack"/>
      <w:bookmarkEnd w:id="3"/>
    </w:p>
    <w:p w:rsidR="00355BB4" w:rsidRPr="00DA03C3" w:rsidRDefault="00355BB4" w:rsidP="00355BB4">
      <w:pPr>
        <w:pStyle w:val="Rectitle"/>
      </w:pPr>
      <w:r w:rsidRPr="00DA03C3">
        <w:t xml:space="preserve">Vapeur d'eau: concentration à la surface de la Terre et </w:t>
      </w:r>
      <w:r w:rsidRPr="00DA03C3">
        <w:br/>
        <w:t>contenu total d'une colonne d'air</w:t>
      </w:r>
    </w:p>
    <w:p w:rsidR="00355BB4" w:rsidRPr="00DA03C3" w:rsidRDefault="00355BB4" w:rsidP="00355BB4">
      <w:pPr>
        <w:pStyle w:val="Recref"/>
      </w:pPr>
      <w:r w:rsidRPr="00DA03C3">
        <w:t>(Question UIT-R 201/3)</w:t>
      </w:r>
    </w:p>
    <w:p w:rsidR="00355BB4" w:rsidRPr="00DA03C3" w:rsidRDefault="00355BB4" w:rsidP="00355BB4">
      <w:pPr>
        <w:pStyle w:val="Recdate"/>
      </w:pPr>
      <w:bookmarkStart w:id="4" w:name="Revision_history"/>
    </w:p>
    <w:p w:rsidR="00355BB4" w:rsidRPr="00DA03C3" w:rsidRDefault="00355BB4" w:rsidP="00355BB4">
      <w:pPr>
        <w:pStyle w:val="Recdate"/>
      </w:pPr>
      <w:r w:rsidRPr="00DA03C3">
        <w:t>(1992-1997-2001-2001-2009-2013)</w:t>
      </w:r>
      <w:bookmarkEnd w:id="4"/>
    </w:p>
    <w:p w:rsidR="00355BB4" w:rsidRPr="00DA03C3" w:rsidRDefault="0083414B" w:rsidP="0083414B">
      <w:pPr>
        <w:pStyle w:val="HeadingSum"/>
        <w:rPr>
          <w:lang w:val="fr-FR"/>
        </w:rPr>
      </w:pPr>
      <w:r>
        <w:rPr>
          <w:lang w:val="fr-FR"/>
        </w:rPr>
        <w:t>Domaine</w:t>
      </w:r>
      <w:r w:rsidR="00355BB4" w:rsidRPr="00DA03C3">
        <w:rPr>
          <w:lang w:val="fr-FR"/>
        </w:rPr>
        <w:t xml:space="preserve"> d'application</w:t>
      </w:r>
    </w:p>
    <w:p w:rsidR="00355BB4" w:rsidRPr="00DA03C3" w:rsidRDefault="00355BB4" w:rsidP="00355BB4">
      <w:pPr>
        <w:pStyle w:val="Summary"/>
        <w:rPr>
          <w:lang w:val="fr-FR"/>
        </w:rPr>
      </w:pPr>
      <w:r w:rsidRPr="00DA03C3">
        <w:rPr>
          <w:lang w:val="fr-FR"/>
        </w:rPr>
        <w:t>La présente Recommandation décrit des méthodes permettant de prévoir la concentration en vapeur d'eau à la surface de la Terre et le contenu total d'une colonne d'air en vapeur d'eau sur des trajets Terre vers espace.</w:t>
      </w:r>
    </w:p>
    <w:p w:rsidR="00355BB4" w:rsidRPr="00DA03C3" w:rsidRDefault="00355BB4" w:rsidP="002D2B64">
      <w:pPr>
        <w:pStyle w:val="Normalaftertitle"/>
      </w:pPr>
      <w:r w:rsidRPr="00DA03C3">
        <w:t>L'Assemblée des radiocommunications de l'UIT,</w:t>
      </w:r>
    </w:p>
    <w:p w:rsidR="00355BB4" w:rsidRPr="00DA03C3" w:rsidRDefault="00355BB4" w:rsidP="00355BB4">
      <w:pPr>
        <w:pStyle w:val="Call"/>
      </w:pPr>
      <w:r w:rsidRPr="00DA03C3">
        <w:t>considérant</w:t>
      </w:r>
    </w:p>
    <w:p w:rsidR="00355BB4" w:rsidRPr="00DA03C3" w:rsidRDefault="00355BB4" w:rsidP="00355BB4">
      <w:r w:rsidRPr="0083414B">
        <w:rPr>
          <w:i/>
          <w:iCs/>
        </w:rPr>
        <w:t>a)</w:t>
      </w:r>
      <w:r w:rsidRPr="00DA03C3">
        <w:tab/>
        <w:t>que, pour calculer les effets de réfraction et les affaiblissements dus aux gaz, des informations sur la concentration en vapeur d'eau de l'atmosphère sont nécessaires;</w:t>
      </w:r>
    </w:p>
    <w:p w:rsidR="00355BB4" w:rsidRPr="00DA03C3" w:rsidRDefault="00355BB4" w:rsidP="00355BB4">
      <w:r w:rsidRPr="0083414B">
        <w:rPr>
          <w:i/>
          <w:iCs/>
        </w:rPr>
        <w:t>b)</w:t>
      </w:r>
      <w:r w:rsidRPr="00DA03C3">
        <w:tab/>
        <w:t>que ces informations sont disponibles pour tous les emplacements à la surface de la Terre et pour toutes les saisons,</w:t>
      </w:r>
    </w:p>
    <w:p w:rsidR="00355BB4" w:rsidRPr="00DA03C3" w:rsidRDefault="00355BB4" w:rsidP="00355BB4">
      <w:pPr>
        <w:pStyle w:val="Call"/>
      </w:pPr>
      <w:r w:rsidRPr="00DA03C3">
        <w:t>recommande</w:t>
      </w:r>
    </w:p>
    <w:p w:rsidR="00355BB4" w:rsidRPr="00DA03C3" w:rsidRDefault="00355BB4" w:rsidP="00355BB4">
      <w:r w:rsidRPr="00DA03C3">
        <w:t>d'utiliser les informations contenues dans les Annexes 1 et 2 pour les calculs sur le plan mondial des effets de propagation qui nécessitent une estimation de la concentration en vapeur d'eau à la surface de la Terre ou du contenu total d'une colonne d'air en vapeur d'eau et de leurs variations saisonnières, lorsqu'on ne dispose pas de données locales plus précises.</w:t>
      </w:r>
    </w:p>
    <w:p w:rsidR="00355BB4" w:rsidRPr="00DA03C3" w:rsidRDefault="00355BB4" w:rsidP="00355BB4">
      <w:pPr>
        <w:rPr>
          <w:noProof/>
        </w:rPr>
      </w:pPr>
    </w:p>
    <w:p w:rsidR="00355BB4" w:rsidRPr="00DA03C3" w:rsidRDefault="00355BB4" w:rsidP="00355BB4">
      <w:pPr>
        <w:rPr>
          <w:noProof/>
        </w:rPr>
      </w:pPr>
    </w:p>
    <w:p w:rsidR="00355BB4" w:rsidRPr="00DA03C3" w:rsidRDefault="00355BB4" w:rsidP="00355BB4">
      <w:pPr>
        <w:pStyle w:val="AnnexNoTitle"/>
        <w:rPr>
          <w:noProof/>
        </w:rPr>
      </w:pPr>
      <w:r w:rsidRPr="00DA03C3">
        <w:rPr>
          <w:noProof/>
        </w:rPr>
        <w:t>Annexe 1</w:t>
      </w:r>
    </w:p>
    <w:p w:rsidR="00355BB4" w:rsidRPr="00DA03C3" w:rsidRDefault="00355BB4" w:rsidP="00355BB4">
      <w:pPr>
        <w:pStyle w:val="Heading1"/>
      </w:pPr>
      <w:bookmarkStart w:id="5" w:name="_Toc398110286"/>
      <w:r w:rsidRPr="00DA03C3">
        <w:t>1</w:t>
      </w:r>
      <w:r w:rsidRPr="00DA03C3">
        <w:tab/>
        <w:t>Concentration en vapeur d'eau à la surface de la Terre</w:t>
      </w:r>
    </w:p>
    <w:p w:rsidR="00355BB4" w:rsidRPr="00DA03C3" w:rsidRDefault="00355BB4" w:rsidP="00355BB4">
      <w:r w:rsidRPr="00DA03C3">
        <w:t>La vapeur d'eau et l'oxygène atmosphériques sont la cause d'une absorption des ondes millimétriques, surtout au voisinage de leurs raies d'absorption (voir la Recommandation UIT</w:t>
      </w:r>
      <w:r w:rsidRPr="00DA03C3">
        <w:noBreakHyphen/>
        <w:t>R P.676). La proportion de l'oxygène atmosphérique est relativement constante, alors que celle de la vapeur d'eau varie en fonction du lieu et du temps.</w:t>
      </w:r>
    </w:p>
    <w:p w:rsidR="00355BB4" w:rsidRPr="00DA03C3" w:rsidRDefault="00355BB4" w:rsidP="00355BB4">
      <w:pPr>
        <w:rPr>
          <w:noProof/>
        </w:rPr>
      </w:pPr>
      <w:r w:rsidRPr="00DA03C3">
        <w:t xml:space="preserve">Les valeurs annuelles de la concentration en vapeur d'eau à la surface de la Terre, </w:t>
      </w:r>
      <w:r w:rsidRPr="00DA03C3">
        <w:rPr>
          <w:iCs/>
        </w:rPr>
        <w:sym w:font="Symbol" w:char="F072"/>
      </w:r>
      <w:r w:rsidRPr="00DA03C3">
        <w:t xml:space="preserve"> exprimée en g/m</w:t>
      </w:r>
      <w:r w:rsidRPr="00DA03C3">
        <w:rPr>
          <w:position w:val="6"/>
          <w:sz w:val="20"/>
        </w:rPr>
        <w:t>3</w:t>
      </w:r>
      <w:r w:rsidRPr="00DA03C3">
        <w:t xml:space="preserve">, dépassées pendant 0,1, 0,2, 0,3, 0,5, 1, 2, 3, 5, 10, 20, 30, 50, 60, 70, 80, 90, 95 et 99% d'une année en moyenne </w:t>
      </w:r>
      <w:r w:rsidRPr="00DA03C3">
        <w:rPr>
          <w:noProof/>
        </w:rPr>
        <w:t xml:space="preserve">font partie intégrante de la la présente Recommandation et </w:t>
      </w:r>
      <w:r w:rsidRPr="00DA03C3">
        <w:t xml:space="preserve">sont disponibles sous forme de cartes numériques fournies dans le fichier </w:t>
      </w:r>
      <w:hyperlink r:id="rId12" w:history="1">
        <w:r w:rsidRPr="002D2B64">
          <w:rPr>
            <w:rStyle w:val="Hyperlink"/>
            <w:noProof/>
            <w:sz w:val="20"/>
          </w:rPr>
          <w:t>R12-SG03-C-0019!R1!ZIP-E</w:t>
        </w:r>
      </w:hyperlink>
      <w:r w:rsidRPr="00DA03C3">
        <w:rPr>
          <w:noProof/>
        </w:rPr>
        <w:t xml:space="preserve">. </w:t>
      </w:r>
    </w:p>
    <w:p w:rsidR="00355BB4" w:rsidRPr="00DA03C3" w:rsidRDefault="00355BB4" w:rsidP="00355BB4">
      <w:pPr>
        <w:rPr>
          <w:noProof/>
        </w:rPr>
      </w:pPr>
      <w:r w:rsidRPr="00DA03C3">
        <w:lastRenderedPageBreak/>
        <w:t xml:space="preserve">Les valeurs mensuelles de la concentration en vapeur d'eau à la surface de la Terre, </w:t>
      </w:r>
      <w:r w:rsidRPr="00DA03C3">
        <w:rPr>
          <w:iCs/>
        </w:rPr>
        <w:sym w:font="Symbol" w:char="F072"/>
      </w:r>
      <w:r w:rsidRPr="00DA03C3">
        <w:t xml:space="preserve"> exprimée en g/m</w:t>
      </w:r>
      <w:r w:rsidRPr="00DA03C3">
        <w:rPr>
          <w:position w:val="6"/>
          <w:sz w:val="20"/>
        </w:rPr>
        <w:t>3</w:t>
      </w:r>
      <w:r w:rsidRPr="00DA03C3">
        <w:t xml:space="preserve">, dépassées pendant </w:t>
      </w:r>
      <w:r w:rsidRPr="00DA03C3">
        <w:rPr>
          <w:noProof/>
        </w:rPr>
        <w:t xml:space="preserve">1, 2, 3, 5, 10, 20, 30, 50, 60, 70, 80, 90, 95 et 99% d'un mois en moyenne font partie intégrante de la la présente Recommandation et </w:t>
      </w:r>
      <w:r w:rsidRPr="00DA03C3">
        <w:t xml:space="preserve">sont disponibles sous forme de cartes numériques fournies dans le fichier </w:t>
      </w:r>
      <w:hyperlink r:id="rId13" w:history="1">
        <w:r w:rsidRPr="002D2B64">
          <w:rPr>
            <w:rStyle w:val="Hyperlink"/>
            <w:noProof/>
            <w:sz w:val="20"/>
          </w:rPr>
          <w:t>R12-SG03-C-0019!R1!ZIP-E</w:t>
        </w:r>
      </w:hyperlink>
      <w:r w:rsidRPr="00DA03C3">
        <w:rPr>
          <w:noProof/>
        </w:rPr>
        <w:t>.</w:t>
      </w:r>
    </w:p>
    <w:p w:rsidR="00355BB4" w:rsidRPr="00DA03C3" w:rsidRDefault="00355BB4" w:rsidP="00355BB4">
      <w:r w:rsidRPr="00DA03C3">
        <w:t>Les valeurs sont données entre 0</w:t>
      </w:r>
      <w:r w:rsidRPr="00DA03C3">
        <w:rPr>
          <w:rFonts w:ascii="Symbol" w:hAnsi="Symbol"/>
        </w:rPr>
        <w:t></w:t>
      </w:r>
      <w:r w:rsidRPr="00DA03C3">
        <w:t xml:space="preserve"> et 360</w:t>
      </w:r>
      <w:r w:rsidRPr="00DA03C3">
        <w:rPr>
          <w:rFonts w:ascii="Symbol" w:hAnsi="Symbol"/>
        </w:rPr>
        <w:t></w:t>
      </w:r>
      <w:r w:rsidRPr="00DA03C3">
        <w:t xml:space="preserve"> en longitude et entre </w:t>
      </w:r>
      <w:r w:rsidRPr="00DA03C3">
        <w:rPr>
          <w:rFonts w:ascii="Symbol" w:hAnsi="Symbol"/>
        </w:rPr>
        <w:t></w:t>
      </w:r>
      <w:r w:rsidRPr="00DA03C3">
        <w:t>90</w:t>
      </w:r>
      <w:r w:rsidRPr="00DA03C3">
        <w:rPr>
          <w:rFonts w:ascii="Symbol" w:hAnsi="Symbol"/>
        </w:rPr>
        <w:t></w:t>
      </w:r>
      <w:r w:rsidRPr="00DA03C3">
        <w:t xml:space="preserve"> et –90</w:t>
      </w:r>
      <w:r w:rsidRPr="00DA03C3">
        <w:rPr>
          <w:rFonts w:ascii="Symbol" w:hAnsi="Symbol"/>
        </w:rPr>
        <w:t></w:t>
      </w:r>
      <w:r w:rsidRPr="00DA03C3">
        <w:t xml:space="preserve"> en latitude, avec une résolution de 1,125° en latitude et en longitude. La concentration en vapeur d'eau à n'importe quel emplacement voulu à la surface de la Terre peut être obtenue à l'aide de la méthode d'interpolation suivante:</w:t>
      </w:r>
    </w:p>
    <w:bookmarkEnd w:id="5"/>
    <w:p w:rsidR="00355BB4" w:rsidRPr="00DA03C3" w:rsidRDefault="00355BB4" w:rsidP="00355BB4">
      <w:pPr>
        <w:pStyle w:val="enumlev1"/>
        <w:rPr>
          <w:noProof/>
        </w:rPr>
      </w:pPr>
      <w:r w:rsidRPr="00DA03C3">
        <w:rPr>
          <w:noProof/>
        </w:rPr>
        <w:t>a)</w:t>
      </w:r>
      <w:r w:rsidRPr="00DA03C3">
        <w:rPr>
          <w:noProof/>
        </w:rPr>
        <w:tab/>
        <w:t xml:space="preserve">déterminer les deux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supérieure et inférieure à la probabilité souhaitée </w:t>
      </w:r>
      <w:r w:rsidRPr="00DA03C3">
        <w:rPr>
          <w:i/>
          <w:noProof/>
        </w:rPr>
        <w:t>p</w:t>
      </w:r>
      <w:r w:rsidRPr="00DA03C3">
        <w:rPr>
          <w:noProof/>
        </w:rPr>
        <w:t xml:space="preserve"> dans l'ensemble: 0,1, 0,2, 0,3, 0,5, 1, 2, 3, 5, 10, 20, 30, 50, 60, 70, 80, 90, 95 et 99% pour les statistiques annuelles et dans l'ensemble: 1, 2, 3, 5, 10, 20, 30, 50, 60, 70, 80, 90, 95 </w:t>
      </w:r>
      <w:r>
        <w:rPr>
          <w:noProof/>
        </w:rPr>
        <w:t>et</w:t>
      </w:r>
      <w:r w:rsidRPr="00DA03C3">
        <w:rPr>
          <w:noProof/>
        </w:rPr>
        <w:t xml:space="preserve"> 99% pour les statistiques mensuelles;</w:t>
      </w:r>
    </w:p>
    <w:p w:rsidR="00355BB4" w:rsidRPr="00DA03C3" w:rsidRDefault="00355BB4" w:rsidP="00355BB4">
      <w:pPr>
        <w:pStyle w:val="enumlev1"/>
        <w:rPr>
          <w:noProof/>
        </w:rPr>
      </w:pPr>
      <w:r w:rsidRPr="00DA03C3">
        <w:rPr>
          <w:noProof/>
        </w:rPr>
        <w:t>b)</w:t>
      </w:r>
      <w:r w:rsidRPr="00DA03C3">
        <w:rPr>
          <w:noProof/>
        </w:rPr>
        <w:tab/>
        <w:t xml:space="preserve">pour les deux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déterminer les concentrations en vapeur d'eau à la surface de la Terre </w:t>
      </w:r>
      <w:r w:rsidRPr="00DA03C3">
        <w:rPr>
          <w:noProof/>
          <w:position w:val="-10"/>
        </w:rPr>
        <w:object w:dxaOrig="26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6pt;height:15.6pt" o:ole="">
            <v:imagedata r:id="rId14" o:title=""/>
          </v:shape>
          <o:OLEObject Type="Embed" ProgID="Equation.3" ShapeID="_x0000_i1025" DrawAspect="Content" ObjectID="_1499761533" r:id="rId15"/>
        </w:object>
      </w:r>
      <w:r w:rsidRPr="00DA03C3">
        <w:rPr>
          <w:noProof/>
        </w:rPr>
        <w:t xml:space="preserve">, </w:t>
      </w:r>
      <w:r w:rsidRPr="00DA03C3">
        <w:rPr>
          <w:noProof/>
          <w:position w:val="-10"/>
        </w:rPr>
        <w:object w:dxaOrig="300" w:dyaOrig="340">
          <v:shape id="_x0000_i1026" type="#_x0000_t75" style="width:14.95pt;height:15.6pt" o:ole="">
            <v:imagedata r:id="rId16" o:title=""/>
          </v:shape>
          <o:OLEObject Type="Embed" ProgID="Equation.3" ShapeID="_x0000_i1026" DrawAspect="Content" ObjectID="_1499761534" r:id="rId17"/>
        </w:object>
      </w:r>
      <w:r w:rsidRPr="00DA03C3">
        <w:rPr>
          <w:noProof/>
        </w:rPr>
        <w:t xml:space="preserve">, </w:t>
      </w:r>
      <w:r w:rsidRPr="00DA03C3">
        <w:rPr>
          <w:noProof/>
          <w:position w:val="-12"/>
        </w:rPr>
        <w:object w:dxaOrig="279" w:dyaOrig="360">
          <v:shape id="_x0000_i1027" type="#_x0000_t75" style="width:13.6pt;height:17pt" o:ole="">
            <v:imagedata r:id="rId18" o:title=""/>
          </v:shape>
          <o:OLEObject Type="Embed" ProgID="Equation.3" ShapeID="_x0000_i1027" DrawAspect="Content" ObjectID="_1499761535" r:id="rId19"/>
        </w:object>
      </w:r>
      <w:r w:rsidRPr="00DA03C3">
        <w:rPr>
          <w:noProof/>
        </w:rPr>
        <w:t xml:space="preserve"> et </w:t>
      </w:r>
      <w:r w:rsidRPr="00DA03C3">
        <w:rPr>
          <w:noProof/>
          <w:position w:val="-10"/>
        </w:rPr>
        <w:object w:dxaOrig="300" w:dyaOrig="340">
          <v:shape id="_x0000_i1028" type="#_x0000_t75" style="width:14.95pt;height:15.6pt" o:ole="">
            <v:imagedata r:id="rId20" o:title=""/>
          </v:shape>
          <o:OLEObject Type="Embed" ProgID="Equation.3" ShapeID="_x0000_i1028" DrawAspect="Content" ObjectID="_1499761536" r:id="rId21"/>
        </w:object>
      </w:r>
      <w:r w:rsidRPr="00DA03C3">
        <w:rPr>
          <w:noProof/>
        </w:rPr>
        <w:t xml:space="preserve"> aux quatre </w:t>
      </w:r>
      <w:r w:rsidRPr="00DA03C3">
        <w:t>points de la grille les plus proches</w:t>
      </w:r>
      <w:r w:rsidRPr="00DA03C3">
        <w:rPr>
          <w:noProof/>
        </w:rPr>
        <w:t>;</w:t>
      </w:r>
    </w:p>
    <w:p w:rsidR="00355BB4" w:rsidRPr="00DA03C3" w:rsidRDefault="00355BB4" w:rsidP="00355BB4">
      <w:pPr>
        <w:pStyle w:val="enumlev1"/>
        <w:rPr>
          <w:noProof/>
        </w:rPr>
      </w:pPr>
      <w:r w:rsidRPr="00DA03C3">
        <w:rPr>
          <w:noProof/>
        </w:rPr>
        <w:t>c)</w:t>
      </w:r>
      <w:r w:rsidRPr="00DA03C3">
        <w:rPr>
          <w:noProof/>
        </w:rPr>
        <w:tab/>
        <w:t xml:space="preserve">à l'aide du fichier de données de hauteur d'échelle de la vapeur d'eau annuelles ou mensuelles correspondant aux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déterminer la hauteur d'échelle de la vapeur d'eau aux quatre points de la grille les plus proches </w:t>
      </w:r>
      <w:r w:rsidRPr="00DA03C3">
        <w:rPr>
          <w:i/>
          <w:noProof/>
        </w:rPr>
        <w:t>vsch</w:t>
      </w:r>
      <w:r w:rsidRPr="00DA03C3">
        <w:rPr>
          <w:i/>
          <w:noProof/>
          <w:vertAlign w:val="subscript"/>
        </w:rPr>
        <w:t>1</w:t>
      </w:r>
      <w:r w:rsidRPr="00DA03C3">
        <w:rPr>
          <w:noProof/>
        </w:rPr>
        <w:t xml:space="preserve">, </w:t>
      </w:r>
      <w:r w:rsidRPr="00DA03C3">
        <w:rPr>
          <w:i/>
          <w:noProof/>
        </w:rPr>
        <w:t>vsch</w:t>
      </w:r>
      <w:r w:rsidRPr="00DA03C3">
        <w:rPr>
          <w:i/>
          <w:noProof/>
          <w:vertAlign w:val="subscript"/>
        </w:rPr>
        <w:t>2</w:t>
      </w:r>
      <w:r w:rsidRPr="00DA03C3">
        <w:rPr>
          <w:noProof/>
        </w:rPr>
        <w:t xml:space="preserve">, </w:t>
      </w:r>
      <w:r w:rsidRPr="00DA03C3">
        <w:rPr>
          <w:i/>
          <w:noProof/>
        </w:rPr>
        <w:t>vsch</w:t>
      </w:r>
      <w:r w:rsidRPr="00DA03C3">
        <w:rPr>
          <w:i/>
          <w:noProof/>
          <w:vertAlign w:val="subscript"/>
        </w:rPr>
        <w:t>3</w:t>
      </w:r>
      <w:r w:rsidRPr="00DA03C3">
        <w:rPr>
          <w:noProof/>
        </w:rPr>
        <w:t xml:space="preserve"> et </w:t>
      </w:r>
      <w:r w:rsidRPr="00DA03C3">
        <w:rPr>
          <w:i/>
          <w:noProof/>
        </w:rPr>
        <w:t>vsch</w:t>
      </w:r>
      <w:r w:rsidRPr="00DA03C3">
        <w:rPr>
          <w:i/>
          <w:noProof/>
          <w:vertAlign w:val="subscript"/>
        </w:rPr>
        <w:t>4</w:t>
      </w:r>
      <w:r w:rsidRPr="00DA03C3">
        <w:rPr>
          <w:noProof/>
        </w:rPr>
        <w:t xml:space="preserve"> pour chaque probabilité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w:t>
      </w:r>
    </w:p>
    <w:p w:rsidR="00355BB4" w:rsidRPr="00DA03C3" w:rsidRDefault="00355BB4" w:rsidP="00355BB4">
      <w:pPr>
        <w:pStyle w:val="enumlev1"/>
        <w:rPr>
          <w:noProof/>
        </w:rPr>
      </w:pPr>
      <w:r w:rsidRPr="00DA03C3">
        <w:rPr>
          <w:noProof/>
        </w:rPr>
        <w:t>d)</w:t>
      </w:r>
      <w:r w:rsidRPr="00DA03C3">
        <w:rPr>
          <w:noProof/>
        </w:rPr>
        <w:tab/>
        <w:t xml:space="preserve">à l'aide de la Recommandation UIT-R P.1511, déterminer les altitudes topographiques </w:t>
      </w:r>
      <w:r w:rsidRPr="00DA03C3">
        <w:rPr>
          <w:i/>
          <w:noProof/>
        </w:rPr>
        <w:t>alt</w:t>
      </w:r>
      <w:r w:rsidRPr="00DA03C3">
        <w:rPr>
          <w:i/>
          <w:noProof/>
          <w:vertAlign w:val="subscript"/>
        </w:rPr>
        <w:t>1</w:t>
      </w:r>
      <w:r w:rsidRPr="00DA03C3">
        <w:rPr>
          <w:noProof/>
        </w:rPr>
        <w:t xml:space="preserve">, </w:t>
      </w:r>
      <w:r w:rsidRPr="00DA03C3">
        <w:rPr>
          <w:i/>
          <w:noProof/>
        </w:rPr>
        <w:t>alt</w:t>
      </w:r>
      <w:r w:rsidRPr="00DA03C3">
        <w:rPr>
          <w:i/>
          <w:noProof/>
          <w:vertAlign w:val="subscript"/>
        </w:rPr>
        <w:t>2</w:t>
      </w:r>
      <w:r w:rsidRPr="00DA03C3">
        <w:rPr>
          <w:noProof/>
        </w:rPr>
        <w:t xml:space="preserve">, </w:t>
      </w:r>
      <w:r w:rsidRPr="00DA03C3">
        <w:rPr>
          <w:i/>
          <w:noProof/>
        </w:rPr>
        <w:t>alt</w:t>
      </w:r>
      <w:r w:rsidRPr="00DA03C3">
        <w:rPr>
          <w:i/>
          <w:noProof/>
          <w:vertAlign w:val="subscript"/>
        </w:rPr>
        <w:t>3</w:t>
      </w:r>
      <w:r w:rsidRPr="00DA03C3">
        <w:rPr>
          <w:noProof/>
        </w:rPr>
        <w:t xml:space="preserve"> et </w:t>
      </w:r>
      <w:r w:rsidRPr="00DA03C3">
        <w:rPr>
          <w:i/>
          <w:noProof/>
        </w:rPr>
        <w:t>alt</w:t>
      </w:r>
      <w:r w:rsidRPr="00DA03C3">
        <w:rPr>
          <w:i/>
          <w:noProof/>
          <w:vertAlign w:val="subscript"/>
        </w:rPr>
        <w:t>4</w:t>
      </w:r>
      <w:r w:rsidRPr="00DA03C3">
        <w:rPr>
          <w:noProof/>
        </w:rPr>
        <w:t xml:space="preserve"> des quatre points de la grille les plus proches;</w:t>
      </w:r>
    </w:p>
    <w:p w:rsidR="00355BB4" w:rsidRPr="00DA03C3" w:rsidRDefault="00355BB4" w:rsidP="00355BB4">
      <w:pPr>
        <w:pStyle w:val="enumlev1"/>
        <w:rPr>
          <w:noProof/>
        </w:rPr>
      </w:pPr>
      <w:r w:rsidRPr="00DA03C3">
        <w:rPr>
          <w:noProof/>
        </w:rPr>
        <w:t>e)</w:t>
      </w:r>
      <w:r w:rsidRPr="00DA03C3">
        <w:rPr>
          <w:noProof/>
        </w:rPr>
        <w:tab/>
        <w:t xml:space="preserve">pour chacun des quatre points de la grille les plus proches et chaque probabilité, déterminer les concentrations en vapeur d'eau </w:t>
      </w:r>
      <w:r w:rsidRPr="00DA03C3">
        <w:rPr>
          <w:rFonts w:ascii="Symbol" w:hAnsi="Symbol"/>
          <w:noProof/>
        </w:rPr>
        <w:t></w:t>
      </w:r>
      <w:r w:rsidRPr="00DA03C3">
        <w:rPr>
          <w:vertAlign w:val="subscript"/>
        </w:rPr>
        <w:t>1</w:t>
      </w:r>
      <w:r w:rsidRPr="00DA03C3">
        <w:rPr>
          <w:noProof/>
        </w:rPr>
        <w:t xml:space="preserve">, </w:t>
      </w:r>
      <w:r w:rsidRPr="00DA03C3">
        <w:rPr>
          <w:rFonts w:ascii="Symbol" w:hAnsi="Symbol"/>
          <w:noProof/>
        </w:rPr>
        <w:t></w:t>
      </w:r>
      <w:r w:rsidRPr="00DA03C3">
        <w:rPr>
          <w:noProof/>
          <w:vertAlign w:val="subscript"/>
        </w:rPr>
        <w:t>2</w:t>
      </w:r>
      <w:r w:rsidRPr="00DA03C3">
        <w:rPr>
          <w:noProof/>
        </w:rPr>
        <w:t xml:space="preserve">, </w:t>
      </w:r>
      <w:r w:rsidRPr="00DA03C3">
        <w:rPr>
          <w:rFonts w:ascii="Symbol" w:hAnsi="Symbol"/>
          <w:noProof/>
        </w:rPr>
        <w:t></w:t>
      </w:r>
      <w:r w:rsidRPr="00DA03C3">
        <w:rPr>
          <w:noProof/>
          <w:vertAlign w:val="subscript"/>
        </w:rPr>
        <w:t>3</w:t>
      </w:r>
      <w:r w:rsidRPr="00DA03C3">
        <w:rPr>
          <w:noProof/>
        </w:rPr>
        <w:t xml:space="preserve"> et </w:t>
      </w:r>
      <w:r w:rsidRPr="00DA03C3">
        <w:rPr>
          <w:rFonts w:ascii="Symbol" w:hAnsi="Symbol"/>
          <w:noProof/>
        </w:rPr>
        <w:t></w:t>
      </w:r>
      <w:r w:rsidRPr="00DA03C3">
        <w:rPr>
          <w:noProof/>
          <w:vertAlign w:val="subscript"/>
        </w:rPr>
        <w:t>4</w:t>
      </w:r>
      <w:r w:rsidRPr="00DA03C3">
        <w:rPr>
          <w:noProof/>
        </w:rPr>
        <w:t xml:space="preserve"> à l'altitude souhaitée </w:t>
      </w:r>
      <w:r w:rsidRPr="00DA03C3">
        <w:rPr>
          <w:i/>
          <w:noProof/>
        </w:rPr>
        <w:t>alt</w:t>
      </w:r>
      <w:r w:rsidRPr="00DA03C3">
        <w:rPr>
          <w:noProof/>
        </w:rPr>
        <w:t xml:space="preserve"> en rapportant les concentrations en vapeur d'eau </w:t>
      </w:r>
      <w:r w:rsidRPr="00DA03C3">
        <w:rPr>
          <w:noProof/>
          <w:position w:val="-10"/>
        </w:rPr>
        <w:object w:dxaOrig="260" w:dyaOrig="340">
          <v:shape id="_x0000_i1029" type="#_x0000_t75" style="width:13.6pt;height:15.6pt" o:ole="">
            <v:imagedata r:id="rId14" o:title=""/>
          </v:shape>
          <o:OLEObject Type="Embed" ProgID="Equation.3" ShapeID="_x0000_i1029" DrawAspect="Content" ObjectID="_1499761537" r:id="rId22"/>
        </w:object>
      </w:r>
      <w:r w:rsidRPr="00DA03C3">
        <w:rPr>
          <w:noProof/>
        </w:rPr>
        <w:t xml:space="preserve">, </w:t>
      </w:r>
      <w:r w:rsidRPr="00DA03C3">
        <w:rPr>
          <w:noProof/>
          <w:position w:val="-10"/>
        </w:rPr>
        <w:object w:dxaOrig="300" w:dyaOrig="340">
          <v:shape id="_x0000_i1030" type="#_x0000_t75" style="width:14.95pt;height:15.6pt" o:ole="">
            <v:imagedata r:id="rId16" o:title=""/>
          </v:shape>
          <o:OLEObject Type="Embed" ProgID="Equation.3" ShapeID="_x0000_i1030" DrawAspect="Content" ObjectID="_1499761538" r:id="rId23"/>
        </w:object>
      </w:r>
      <w:r w:rsidRPr="00DA03C3">
        <w:rPr>
          <w:noProof/>
        </w:rPr>
        <w:t xml:space="preserve">, </w:t>
      </w:r>
      <w:r w:rsidRPr="00DA03C3">
        <w:rPr>
          <w:noProof/>
          <w:position w:val="-12"/>
        </w:rPr>
        <w:object w:dxaOrig="279" w:dyaOrig="360">
          <v:shape id="_x0000_i1031" type="#_x0000_t75" style="width:13.6pt;height:17pt" o:ole="">
            <v:imagedata r:id="rId18" o:title=""/>
          </v:shape>
          <o:OLEObject Type="Embed" ProgID="Equation.3" ShapeID="_x0000_i1031" DrawAspect="Content" ObjectID="_1499761539" r:id="rId24"/>
        </w:object>
      </w:r>
      <w:r w:rsidRPr="00DA03C3">
        <w:rPr>
          <w:noProof/>
        </w:rPr>
        <w:t xml:space="preserve"> et </w:t>
      </w:r>
      <w:r w:rsidRPr="00DA03C3">
        <w:rPr>
          <w:noProof/>
          <w:position w:val="-10"/>
        </w:rPr>
        <w:object w:dxaOrig="300" w:dyaOrig="340">
          <v:shape id="_x0000_i1032" type="#_x0000_t75" style="width:14.95pt;height:15.6pt" o:ole="">
            <v:imagedata r:id="rId20" o:title=""/>
          </v:shape>
          <o:OLEObject Type="Embed" ProgID="Equation.3" ShapeID="_x0000_i1032" DrawAspect="Content" ObjectID="_1499761540" r:id="rId25"/>
        </w:object>
      </w:r>
      <w:r w:rsidRPr="00DA03C3">
        <w:rPr>
          <w:noProof/>
        </w:rPr>
        <w:t xml:space="preserve"> à l'aide de la relation suivante:</w:t>
      </w:r>
    </w:p>
    <w:p w:rsidR="00355BB4" w:rsidRPr="00DA03C3" w:rsidRDefault="00355BB4" w:rsidP="00355BB4">
      <w:pPr>
        <w:pStyle w:val="Equation"/>
        <w:rPr>
          <w:noProof/>
        </w:rPr>
      </w:pPr>
      <w:r w:rsidRPr="00DA03C3">
        <w:rPr>
          <w:noProof/>
        </w:rPr>
        <w:tab/>
      </w:r>
      <w:r w:rsidRPr="00DA03C3">
        <w:rPr>
          <w:noProof/>
        </w:rPr>
        <w:tab/>
      </w:r>
      <w:r w:rsidRPr="00DA03C3">
        <w:rPr>
          <w:noProof/>
          <w:position w:val="-12"/>
        </w:rPr>
        <w:object w:dxaOrig="1560" w:dyaOrig="660">
          <v:shape id="_x0000_i1033" type="#_x0000_t75" style="width:77.45pt;height:33.95pt" o:ole="">
            <v:imagedata r:id="rId26" o:title=""/>
          </v:shape>
          <o:OLEObject Type="Embed" ProgID="Equation.3" ShapeID="_x0000_i1033" DrawAspect="Content" ObjectID="_1499761541" r:id="rId27"/>
        </w:object>
      </w:r>
      <w:r w:rsidRPr="00DA03C3">
        <w:rPr>
          <w:noProof/>
        </w:rPr>
        <w:t xml:space="preserve">           pour </w:t>
      </w:r>
      <w:r w:rsidRPr="00DA03C3">
        <w:rPr>
          <w:i/>
          <w:noProof/>
        </w:rPr>
        <w:t>i</w:t>
      </w:r>
      <w:r w:rsidRPr="00DA03C3">
        <w:rPr>
          <w:noProof/>
        </w:rPr>
        <w:t xml:space="preserve"> = 1, 2, 3, 4</w:t>
      </w:r>
      <w:r w:rsidRPr="00DA03C3">
        <w:rPr>
          <w:noProof/>
        </w:rPr>
        <w:tab/>
        <w:t>(1)</w:t>
      </w:r>
    </w:p>
    <w:p w:rsidR="00355BB4" w:rsidRPr="00DA03C3" w:rsidRDefault="00355BB4" w:rsidP="00355BB4">
      <w:pPr>
        <w:pStyle w:val="enumlev1"/>
        <w:rPr>
          <w:noProof/>
        </w:rPr>
      </w:pPr>
      <w:r w:rsidRPr="00DA03C3">
        <w:rPr>
          <w:noProof/>
        </w:rPr>
        <w:t>f)</w:t>
      </w:r>
      <w:r w:rsidRPr="00DA03C3">
        <w:rPr>
          <w:noProof/>
        </w:rPr>
        <w:tab/>
        <w:t xml:space="preserve">déterminer les concentrations en vapeur d'eau </w:t>
      </w:r>
      <w:r w:rsidRPr="00DA03C3">
        <w:rPr>
          <w:rFonts w:ascii="Symbol" w:hAnsi="Symbol"/>
          <w:i/>
          <w:noProof/>
        </w:rPr>
        <w:t></w:t>
      </w:r>
      <w:r w:rsidRPr="00DA03C3">
        <w:rPr>
          <w:i/>
          <w:noProof/>
          <w:vertAlign w:val="subscript"/>
        </w:rPr>
        <w:t>above</w:t>
      </w:r>
      <w:r w:rsidRPr="00DA03C3">
        <w:rPr>
          <w:noProof/>
        </w:rPr>
        <w:t xml:space="preserve"> et </w:t>
      </w:r>
      <w:r w:rsidRPr="00DA03C3">
        <w:rPr>
          <w:rFonts w:ascii="Symbol" w:hAnsi="Symbol"/>
          <w:i/>
          <w:noProof/>
        </w:rPr>
        <w:t></w:t>
      </w:r>
      <w:r w:rsidRPr="00DA03C3">
        <w:rPr>
          <w:i/>
          <w:noProof/>
          <w:vertAlign w:val="subscript"/>
        </w:rPr>
        <w:t>below</w:t>
      </w:r>
      <w:r w:rsidRPr="00DA03C3">
        <w:rPr>
          <w:noProof/>
        </w:rPr>
        <w:t xml:space="preserve"> pour les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et pour l'emplacement voulu par interpolation bilinéaire à partir des quatre valeurs de concentration en vapeur d'eau </w:t>
      </w:r>
      <w:r w:rsidRPr="00DA03C3">
        <w:rPr>
          <w:noProof/>
        </w:rPr>
        <w:sym w:font="Symbol" w:char="F072"/>
      </w:r>
      <w:r w:rsidRPr="00DA03C3">
        <w:rPr>
          <w:noProof/>
          <w:vertAlign w:val="subscript"/>
        </w:rPr>
        <w:t>1</w:t>
      </w:r>
      <w:r w:rsidRPr="00DA03C3">
        <w:rPr>
          <w:noProof/>
        </w:rPr>
        <w:t xml:space="preserve">, </w:t>
      </w:r>
      <w:r w:rsidRPr="00DA03C3">
        <w:rPr>
          <w:noProof/>
        </w:rPr>
        <w:sym w:font="Symbol" w:char="F072"/>
      </w:r>
      <w:r w:rsidRPr="00DA03C3">
        <w:rPr>
          <w:noProof/>
          <w:vertAlign w:val="subscript"/>
        </w:rPr>
        <w:t>2</w:t>
      </w:r>
      <w:r w:rsidRPr="00DA03C3">
        <w:rPr>
          <w:noProof/>
        </w:rPr>
        <w:t xml:space="preserve">, </w:t>
      </w:r>
      <w:r w:rsidRPr="00DA03C3">
        <w:rPr>
          <w:rFonts w:ascii="Symbol" w:hAnsi="Symbol"/>
          <w:noProof/>
        </w:rPr>
        <w:t></w:t>
      </w:r>
      <w:r w:rsidRPr="00DA03C3">
        <w:rPr>
          <w:noProof/>
          <w:vertAlign w:val="subscript"/>
        </w:rPr>
        <w:t>3</w:t>
      </w:r>
      <w:r w:rsidRPr="00DA03C3">
        <w:rPr>
          <w:noProof/>
        </w:rPr>
        <w:t xml:space="preserve"> et </w:t>
      </w:r>
      <w:r w:rsidRPr="00DA03C3">
        <w:rPr>
          <w:noProof/>
        </w:rPr>
        <w:sym w:font="Symbol" w:char="F072"/>
      </w:r>
      <w:r w:rsidRPr="00DA03C3">
        <w:rPr>
          <w:noProof/>
          <w:vertAlign w:val="subscript"/>
        </w:rPr>
        <w:t>4</w:t>
      </w:r>
      <w:r w:rsidRPr="00DA03C3">
        <w:rPr>
          <w:noProof/>
        </w:rPr>
        <w:t xml:space="preserve"> aux quatre points de la grille, comme décrit dans la Recommandation UIT-R P.1144 (à titre de référence, la procédure à utiliser pour déterminer </w:t>
      </w:r>
      <w:r w:rsidRPr="00DA03C3">
        <w:rPr>
          <w:rFonts w:ascii="Symbol" w:hAnsi="Symbol"/>
          <w:noProof/>
        </w:rPr>
        <w:t></w:t>
      </w:r>
      <w:r w:rsidRPr="00DA03C3">
        <w:rPr>
          <w:i/>
          <w:noProof/>
          <w:vertAlign w:val="subscript"/>
        </w:rPr>
        <w:t>above</w:t>
      </w:r>
      <w:r w:rsidRPr="00DA03C3">
        <w:rPr>
          <w:noProof/>
        </w:rPr>
        <w:t xml:space="preserve"> et </w:t>
      </w:r>
      <w:r w:rsidRPr="00DA03C3">
        <w:rPr>
          <w:rFonts w:ascii="Symbol" w:hAnsi="Symbol"/>
          <w:noProof/>
        </w:rPr>
        <w:t></w:t>
      </w:r>
      <w:r w:rsidRPr="00DA03C3">
        <w:rPr>
          <w:i/>
          <w:noProof/>
          <w:vertAlign w:val="subscript"/>
        </w:rPr>
        <w:t>below</w:t>
      </w:r>
      <w:r w:rsidRPr="00DA03C3">
        <w:rPr>
          <w:noProof/>
        </w:rPr>
        <w:t xml:space="preserve"> à partir de </w:t>
      </w:r>
      <w:r w:rsidRPr="00DA03C3">
        <w:rPr>
          <w:noProof/>
          <w:position w:val="-10"/>
        </w:rPr>
        <w:object w:dxaOrig="260" w:dyaOrig="340">
          <v:shape id="_x0000_i1034" type="#_x0000_t75" style="width:13.6pt;height:15.6pt" o:ole="">
            <v:imagedata r:id="rId14" o:title=""/>
          </v:shape>
          <o:OLEObject Type="Embed" ProgID="Equation.3" ShapeID="_x0000_i1034" DrawAspect="Content" ObjectID="_1499761542" r:id="rId28"/>
        </w:object>
      </w:r>
      <w:r w:rsidRPr="00DA03C3">
        <w:rPr>
          <w:noProof/>
        </w:rPr>
        <w:t xml:space="preserve">, </w:t>
      </w:r>
      <w:r w:rsidRPr="00DA03C3">
        <w:rPr>
          <w:noProof/>
          <w:position w:val="-10"/>
        </w:rPr>
        <w:object w:dxaOrig="300" w:dyaOrig="340">
          <v:shape id="_x0000_i1035" type="#_x0000_t75" style="width:14.95pt;height:15.6pt" o:ole="">
            <v:imagedata r:id="rId16" o:title=""/>
          </v:shape>
          <o:OLEObject Type="Embed" ProgID="Equation.3" ShapeID="_x0000_i1035" DrawAspect="Content" ObjectID="_1499761543" r:id="rId29"/>
        </w:object>
      </w:r>
      <w:r w:rsidRPr="00DA03C3">
        <w:rPr>
          <w:noProof/>
        </w:rPr>
        <w:t xml:space="preserve">, </w:t>
      </w:r>
      <w:r w:rsidRPr="00DA03C3">
        <w:rPr>
          <w:noProof/>
          <w:position w:val="-12"/>
        </w:rPr>
        <w:object w:dxaOrig="279" w:dyaOrig="360">
          <v:shape id="_x0000_i1036" type="#_x0000_t75" style="width:13.6pt;height:17pt" o:ole="">
            <v:imagedata r:id="rId18" o:title=""/>
          </v:shape>
          <o:OLEObject Type="Embed" ProgID="Equation.3" ShapeID="_x0000_i1036" DrawAspect="Content" ObjectID="_1499761544" r:id="rId30"/>
        </w:object>
      </w:r>
      <w:r w:rsidRPr="00DA03C3">
        <w:rPr>
          <w:noProof/>
        </w:rPr>
        <w:t xml:space="preserve"> et </w:t>
      </w:r>
      <w:r w:rsidRPr="00DA03C3">
        <w:rPr>
          <w:noProof/>
          <w:position w:val="-10"/>
        </w:rPr>
        <w:object w:dxaOrig="300" w:dyaOrig="340">
          <v:shape id="_x0000_i1037" type="#_x0000_t75" style="width:14.95pt;height:15.6pt" o:ole="">
            <v:imagedata r:id="rId20" o:title=""/>
          </v:shape>
          <o:OLEObject Type="Embed" ProgID="Equation.3" ShapeID="_x0000_i1037" DrawAspect="Content" ObjectID="_1499761545" r:id="rId31"/>
        </w:object>
      </w:r>
      <w:r w:rsidRPr="00DA03C3">
        <w:rPr>
          <w:noProof/>
        </w:rPr>
        <w:t xml:space="preserve"> est illustrée sur la Fig. 1);</w:t>
      </w:r>
    </w:p>
    <w:p w:rsidR="00355BB4" w:rsidRPr="00DA03C3" w:rsidRDefault="00355BB4" w:rsidP="00355BB4">
      <w:pPr>
        <w:pStyle w:val="enumlev1"/>
        <w:rPr>
          <w:noProof/>
        </w:rPr>
      </w:pPr>
      <w:r w:rsidRPr="00DA03C3">
        <w:rPr>
          <w:noProof/>
        </w:rPr>
        <w:t>g)</w:t>
      </w:r>
      <w:r w:rsidRPr="00DA03C3">
        <w:rPr>
          <w:noProof/>
        </w:rPr>
        <w:tab/>
        <w:t xml:space="preserve">déterminer la concentration en vapeur d'eau </w:t>
      </w:r>
      <w:r w:rsidRPr="00DA03C3">
        <w:rPr>
          <w:rFonts w:ascii="Symbol" w:hAnsi="Symbol"/>
          <w:noProof/>
        </w:rPr>
        <w:t></w:t>
      </w:r>
      <w:r w:rsidRPr="00DA03C3">
        <w:rPr>
          <w:noProof/>
        </w:rPr>
        <w:t xml:space="preserve"> pour la probabilité souhaitée </w:t>
      </w:r>
      <w:r w:rsidRPr="00DA03C3">
        <w:rPr>
          <w:i/>
          <w:noProof/>
        </w:rPr>
        <w:t>p</w:t>
      </w:r>
      <w:r w:rsidRPr="00DA03C3">
        <w:rPr>
          <w:noProof/>
        </w:rPr>
        <w:t xml:space="preserve"> par interpolation entre </w:t>
      </w:r>
      <w:r w:rsidRPr="00DA03C3">
        <w:rPr>
          <w:rFonts w:ascii="Symbol" w:hAnsi="Symbol"/>
          <w:noProof/>
        </w:rPr>
        <w:t></w:t>
      </w:r>
      <w:r w:rsidRPr="00DA03C3">
        <w:rPr>
          <w:i/>
          <w:noProof/>
          <w:vertAlign w:val="subscript"/>
        </w:rPr>
        <w:t>above</w:t>
      </w:r>
      <w:r w:rsidRPr="00DA03C3">
        <w:rPr>
          <w:noProof/>
        </w:rPr>
        <w:t xml:space="preserve"> et </w:t>
      </w:r>
      <w:r w:rsidRPr="00DA03C3">
        <w:rPr>
          <w:rFonts w:ascii="Symbol" w:hAnsi="Symbol"/>
          <w:noProof/>
        </w:rPr>
        <w:t></w:t>
      </w:r>
      <w:r w:rsidRPr="00DA03C3">
        <w:rPr>
          <w:i/>
          <w:noProof/>
          <w:vertAlign w:val="subscript"/>
        </w:rPr>
        <w:t>below</w:t>
      </w:r>
      <w:r w:rsidRPr="00DA03C3">
        <w:rPr>
          <w:noProof/>
        </w:rPr>
        <w:t xml:space="preserve"> en fonction de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sur une échelle linéaire de </w:t>
      </w:r>
      <w:r w:rsidRPr="00DA03C3">
        <w:rPr>
          <w:rFonts w:ascii="Symbol" w:hAnsi="Symbol"/>
          <w:noProof/>
        </w:rPr>
        <w:t></w:t>
      </w:r>
      <w:r w:rsidRPr="00DA03C3">
        <w:rPr>
          <w:noProof/>
        </w:rPr>
        <w:t xml:space="preserve"> en fonction de log </w:t>
      </w:r>
      <w:r w:rsidRPr="00DA03C3">
        <w:rPr>
          <w:i/>
          <w:noProof/>
        </w:rPr>
        <w:t>p</w:t>
      </w:r>
      <w:r w:rsidRPr="00DA03C3">
        <w:rPr>
          <w:noProof/>
        </w:rPr>
        <w:t>.</w:t>
      </w:r>
    </w:p>
    <w:p w:rsidR="00355BB4" w:rsidRPr="00DA03C3" w:rsidRDefault="00355BB4" w:rsidP="00355BB4">
      <w:proofErr w:type="spellStart"/>
      <w:r w:rsidRPr="00DA03C3">
        <w:t>A</w:t>
      </w:r>
      <w:proofErr w:type="spellEnd"/>
      <w:r w:rsidRPr="00DA03C3">
        <w:t xml:space="preserve"> titre de référence, la Recommandation UIT-R P.453 indique les relations entre la concentration en vapeur d'eau, la pression partielle de vapeur d'eau et l'humidité relative.</w:t>
      </w:r>
    </w:p>
    <w:p w:rsidR="00355BB4" w:rsidRPr="00DA03C3" w:rsidRDefault="00355BB4" w:rsidP="00355BB4">
      <w:pPr>
        <w:pStyle w:val="FigureNo"/>
        <w:rPr>
          <w:noProof/>
        </w:rPr>
      </w:pPr>
      <w:r w:rsidRPr="00DA03C3">
        <w:rPr>
          <w:noProof/>
        </w:rPr>
        <w:lastRenderedPageBreak/>
        <w:t>FIGURE  1</w:t>
      </w:r>
    </w:p>
    <w:p w:rsidR="00355BB4" w:rsidRPr="00DA03C3" w:rsidRDefault="00355BB4" w:rsidP="00355BB4">
      <w:pPr>
        <w:pStyle w:val="Figuretitle"/>
        <w:spacing w:after="360"/>
      </w:pPr>
      <w:r w:rsidRPr="00DA03C3">
        <w:t>Procédure d'interpolation pour les probabilités supérieure et inférieure à la probabilité souhaitée</w:t>
      </w:r>
    </w:p>
    <w:p w:rsidR="00355BB4" w:rsidRPr="00DA03C3" w:rsidRDefault="00355BB4" w:rsidP="00355BB4">
      <w:pPr>
        <w:pStyle w:val="Figure"/>
        <w:rPr>
          <w:noProof/>
        </w:rPr>
      </w:pPr>
      <w:r w:rsidRPr="00DA03C3">
        <w:object w:dxaOrig="4602" w:dyaOrig="2372">
          <v:shape id="_x0000_i1038" type="#_x0000_t75" style="width:392.6pt;height:201.75pt" o:ole="">
            <v:imagedata r:id="rId32" o:title=""/>
          </v:shape>
          <o:OLEObject Type="Embed" ProgID="CorelDRAW.Graphic.14" ShapeID="_x0000_i1038" DrawAspect="Content" ObjectID="_1499761546" r:id="rId33"/>
        </w:object>
      </w:r>
    </w:p>
    <w:p w:rsidR="00355BB4" w:rsidRPr="00DA03C3" w:rsidRDefault="00355BB4" w:rsidP="00355BB4">
      <w:pPr>
        <w:rPr>
          <w:noProof/>
        </w:rPr>
      </w:pPr>
    </w:p>
    <w:p w:rsidR="00355BB4" w:rsidRPr="00DA03C3" w:rsidRDefault="00355BB4" w:rsidP="00355BB4">
      <w:pPr>
        <w:rPr>
          <w:noProof/>
        </w:rPr>
      </w:pPr>
    </w:p>
    <w:p w:rsidR="00355BB4" w:rsidRPr="00DA03C3" w:rsidRDefault="00355BB4" w:rsidP="00355BB4">
      <w:pPr>
        <w:pStyle w:val="AnnexNoTitle"/>
        <w:rPr>
          <w:noProof/>
        </w:rPr>
      </w:pPr>
      <w:r w:rsidRPr="00DA03C3">
        <w:rPr>
          <w:noProof/>
        </w:rPr>
        <w:t>Annexe 2</w:t>
      </w:r>
    </w:p>
    <w:p w:rsidR="00355BB4" w:rsidRPr="00DA03C3" w:rsidRDefault="00355BB4" w:rsidP="00355BB4">
      <w:pPr>
        <w:pStyle w:val="Heading1"/>
        <w:rPr>
          <w:noProof/>
        </w:rPr>
      </w:pPr>
      <w:r w:rsidRPr="00DA03C3">
        <w:rPr>
          <w:noProof/>
        </w:rPr>
        <w:t>1</w:t>
      </w:r>
      <w:r w:rsidRPr="00DA03C3">
        <w:rPr>
          <w:noProof/>
        </w:rPr>
        <w:tab/>
        <w:t>Contenu total d'une colonne d'air en vapeur d'eau</w:t>
      </w:r>
    </w:p>
    <w:p w:rsidR="00355BB4" w:rsidRPr="00DA03C3" w:rsidRDefault="00355BB4" w:rsidP="00355BB4">
      <w:r w:rsidRPr="00DA03C3">
        <w:t>Dans certaines applications, on peut utiliser le contenu total d'une colonne d'air en vapeur d'eau le long d'un trajet pour le calcul de la longueur supplémentaire du trajet et de l'affaiblissement dû à la vapeur d'eau atmosphérique, l'affaiblissement dû à la vapeur d'eau atmosphérique étant supposé proportionnel au contenu total d'une colonne d'air en vapeur d'eau, le coefficient de proportionnalité étant le coefficient d'absorption massique de la vapeur d'eau.</w:t>
      </w:r>
    </w:p>
    <w:p w:rsidR="00355BB4" w:rsidRPr="00DA03C3" w:rsidRDefault="00355BB4" w:rsidP="00355BB4">
      <w:r w:rsidRPr="00DA03C3">
        <w:t>Le contenu total d'une colonne d'air en vapeur d'eau, exprimé en kg/m</w:t>
      </w:r>
      <w:r w:rsidRPr="00DA03C3">
        <w:rPr>
          <w:vertAlign w:val="superscript"/>
        </w:rPr>
        <w:t>2</w:t>
      </w:r>
      <w:r w:rsidRPr="00DA03C3">
        <w:t xml:space="preserve"> ou, de manière équivalente, en mm d'eau </w:t>
      </w:r>
      <w:proofErr w:type="spellStart"/>
      <w:r w:rsidRPr="00DA03C3">
        <w:t>précipitable</w:t>
      </w:r>
      <w:proofErr w:type="spellEnd"/>
      <w:r w:rsidRPr="00DA03C3">
        <w:t>, peut être obtenu à partir de données provenant de radiosondes, de mesures faites par des satellites de navigation et d'observations radiométriques. Les données provenant de radiosondes sont largement disponibles mais elles présentent une résolution temporelle limitée et ne s'appliquent qu'aux trajets en direction du zénith. Le contenu total d'une colonne d'air en vapeur d'eau peut être obtenu à partir de mesures radiométriques à des fréquences appropriées le long du trajet considéré.</w:t>
      </w:r>
    </w:p>
    <w:p w:rsidR="00355BB4" w:rsidRPr="00DA03C3" w:rsidRDefault="00355BB4" w:rsidP="00355BB4">
      <w:r w:rsidRPr="00DA03C3">
        <w:t xml:space="preserve">Les valeurs annuelles du contenu total d'une colonne d'air en vapeur d'eau, </w:t>
      </w:r>
      <w:r w:rsidRPr="00DA03C3">
        <w:rPr>
          <w:i/>
          <w:iCs/>
          <w:noProof/>
        </w:rPr>
        <w:t>V</w:t>
      </w:r>
      <w:r w:rsidRPr="00DA03C3">
        <w:rPr>
          <w:noProof/>
        </w:rPr>
        <w:t xml:space="preserve"> (kg/m</w:t>
      </w:r>
      <w:r w:rsidRPr="00DA03C3">
        <w:rPr>
          <w:vertAlign w:val="superscript"/>
        </w:rPr>
        <w:t>2</w:t>
      </w:r>
      <w:r w:rsidRPr="00DA03C3">
        <w:rPr>
          <w:noProof/>
        </w:rPr>
        <w:t>)</w:t>
      </w:r>
      <w:r w:rsidRPr="00DA03C3">
        <w:t xml:space="preserve">, dépassées pendant 0,1, 0,2, 0,3, 0,5, 1, 2, 3, 5, 10, 20, 30, 50, 60, 70, 80, 90, 95 et 99% de l'année font partie intégrante de la présente Recommandation et sont disponibles sous forme de cartes numériques. </w:t>
      </w:r>
    </w:p>
    <w:p w:rsidR="00355BB4" w:rsidRPr="00DA03C3" w:rsidRDefault="00355BB4" w:rsidP="00355BB4">
      <w:pPr>
        <w:rPr>
          <w:noProof/>
        </w:rPr>
      </w:pPr>
      <w:r w:rsidRPr="00DA03C3">
        <w:t xml:space="preserve">Les valeurs mensuelles du contenu total d'une colonne d'air en vapeur d'eau, </w:t>
      </w:r>
      <w:r w:rsidRPr="00DA03C3">
        <w:rPr>
          <w:i/>
          <w:iCs/>
          <w:noProof/>
        </w:rPr>
        <w:t>V</w:t>
      </w:r>
      <w:r w:rsidRPr="00DA03C3">
        <w:rPr>
          <w:noProof/>
        </w:rPr>
        <w:t xml:space="preserve"> (kg/m</w:t>
      </w:r>
      <w:r w:rsidRPr="00DA03C3">
        <w:rPr>
          <w:vertAlign w:val="superscript"/>
        </w:rPr>
        <w:t>2</w:t>
      </w:r>
      <w:r w:rsidRPr="00DA03C3">
        <w:rPr>
          <w:noProof/>
        </w:rPr>
        <w:t>)</w:t>
      </w:r>
      <w:r w:rsidRPr="00DA03C3">
        <w:t xml:space="preserve">, dépassées pendant </w:t>
      </w:r>
      <w:r w:rsidRPr="00DA03C3">
        <w:rPr>
          <w:noProof/>
        </w:rPr>
        <w:t xml:space="preserve">1, 2, 3, 5, 10, 20, 30, 50, 60, 70, 80, 90, 95 et 99% de chaque mois en moyenne </w:t>
      </w:r>
      <w:r w:rsidRPr="00DA03C3">
        <w:t xml:space="preserve">font partie intégrante de la présente Recommandation et sont disponibles sous forme de cartes numériques. </w:t>
      </w:r>
    </w:p>
    <w:p w:rsidR="00355BB4" w:rsidRPr="00DA03C3" w:rsidRDefault="00355BB4" w:rsidP="00355BB4">
      <w:r w:rsidRPr="00DA03C3">
        <w:t>Les valeurs sont données entre 0</w:t>
      </w:r>
      <w:r w:rsidRPr="00DA03C3">
        <w:rPr>
          <w:rFonts w:ascii="Symbol" w:hAnsi="Symbol"/>
        </w:rPr>
        <w:t></w:t>
      </w:r>
      <w:r w:rsidRPr="00DA03C3">
        <w:t xml:space="preserve"> et 360</w:t>
      </w:r>
      <w:r w:rsidRPr="00DA03C3">
        <w:rPr>
          <w:rFonts w:ascii="Symbol" w:hAnsi="Symbol"/>
        </w:rPr>
        <w:t></w:t>
      </w:r>
      <w:r w:rsidRPr="00DA03C3">
        <w:t xml:space="preserve"> en longitude et entre </w:t>
      </w:r>
      <w:r w:rsidRPr="00DA03C3">
        <w:rPr>
          <w:rFonts w:ascii="Symbol" w:hAnsi="Symbol"/>
        </w:rPr>
        <w:t></w:t>
      </w:r>
      <w:r w:rsidRPr="00DA03C3">
        <w:t>90</w:t>
      </w:r>
      <w:r w:rsidRPr="00DA03C3">
        <w:rPr>
          <w:rFonts w:ascii="Symbol" w:hAnsi="Symbol"/>
        </w:rPr>
        <w:t></w:t>
      </w:r>
      <w:r w:rsidRPr="00DA03C3">
        <w:t xml:space="preserve"> et –90</w:t>
      </w:r>
      <w:r w:rsidRPr="00DA03C3">
        <w:rPr>
          <w:rFonts w:ascii="Symbol" w:hAnsi="Symbol"/>
        </w:rPr>
        <w:t></w:t>
      </w:r>
      <w:r w:rsidRPr="00DA03C3">
        <w:t xml:space="preserve"> en latitude, avec une résolution de 1,125° en latitude et en longitude. Le contenu total d'une colonne d'air en vapeur d'eau à n'importe quel emplacement voulu à la surface de la Terre peut être obtenu à l'aide de la méthode d'interpolation suivante:</w:t>
      </w:r>
    </w:p>
    <w:p w:rsidR="00355BB4" w:rsidRPr="00DA03C3" w:rsidRDefault="00355BB4" w:rsidP="00355BB4">
      <w:pPr>
        <w:pStyle w:val="enumlev1"/>
        <w:rPr>
          <w:noProof/>
        </w:rPr>
      </w:pPr>
      <w:r w:rsidRPr="00DA03C3">
        <w:rPr>
          <w:noProof/>
        </w:rPr>
        <w:lastRenderedPageBreak/>
        <w:t>a)</w:t>
      </w:r>
      <w:r w:rsidRPr="00DA03C3">
        <w:rPr>
          <w:noProof/>
        </w:rPr>
        <w:tab/>
        <w:t xml:space="preserve">déterminer les deux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supérieure et inférieure à la probabilité souhaitée </w:t>
      </w:r>
      <w:r w:rsidRPr="00DA03C3">
        <w:rPr>
          <w:i/>
          <w:noProof/>
        </w:rPr>
        <w:t>p</w:t>
      </w:r>
      <w:r w:rsidRPr="00DA03C3">
        <w:rPr>
          <w:noProof/>
        </w:rPr>
        <w:t xml:space="preserve"> dans l'ensemble: 0,1, 0,2, 0,3, 0,5, 1, 2, 3, 5, 10, 20, 30, 50, 60, 70, 80, 90, 95 et 99% pour les statistiques annuelles et dans l'ensemble: 1, 2, 3, 5, 10, 20, 30, 50, 60, 70, 80, 90, 95 </w:t>
      </w:r>
      <w:r>
        <w:rPr>
          <w:noProof/>
        </w:rPr>
        <w:t>et</w:t>
      </w:r>
      <w:r w:rsidRPr="00DA03C3">
        <w:rPr>
          <w:noProof/>
        </w:rPr>
        <w:t xml:space="preserve"> 99% pour les statistiques mensuelles;</w:t>
      </w:r>
    </w:p>
    <w:p w:rsidR="00355BB4" w:rsidRPr="00DA03C3" w:rsidRDefault="00355BB4" w:rsidP="00355BB4">
      <w:pPr>
        <w:pStyle w:val="enumlev1"/>
        <w:rPr>
          <w:noProof/>
        </w:rPr>
      </w:pPr>
      <w:r w:rsidRPr="00DA03C3">
        <w:rPr>
          <w:noProof/>
        </w:rPr>
        <w:t>b)</w:t>
      </w:r>
      <w:r w:rsidRPr="00DA03C3">
        <w:rPr>
          <w:noProof/>
        </w:rPr>
        <w:tab/>
        <w:t xml:space="preserve">pour les deux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déterminer le </w:t>
      </w:r>
      <w:r w:rsidRPr="00DA03C3">
        <w:t>contenu total d'une colonne d'air en vapeur d'eau</w:t>
      </w:r>
      <w:r w:rsidRPr="00DA03C3">
        <w:rPr>
          <w:noProof/>
        </w:rPr>
        <w:t xml:space="preserve"> </w:t>
      </w:r>
      <w:r w:rsidRPr="00DA03C3">
        <w:rPr>
          <w:noProof/>
          <w:position w:val="-10"/>
        </w:rPr>
        <w:object w:dxaOrig="279" w:dyaOrig="340">
          <v:shape id="_x0000_i1039" type="#_x0000_t75" style="width:13.6pt;height:15.6pt" o:ole="">
            <v:imagedata r:id="rId34" o:title=""/>
          </v:shape>
          <o:OLEObject Type="Embed" ProgID="Equation.3" ShapeID="_x0000_i1039" DrawAspect="Content" ObjectID="_1499761547" r:id="rId35"/>
        </w:object>
      </w:r>
      <w:r w:rsidRPr="00DA03C3">
        <w:rPr>
          <w:noProof/>
        </w:rPr>
        <w:t xml:space="preserve">, </w:t>
      </w:r>
      <w:r w:rsidRPr="00DA03C3">
        <w:rPr>
          <w:noProof/>
          <w:position w:val="-10"/>
        </w:rPr>
        <w:object w:dxaOrig="279" w:dyaOrig="340">
          <v:shape id="_x0000_i1040" type="#_x0000_t75" style="width:13.6pt;height:15.6pt" o:ole="">
            <v:imagedata r:id="rId36" o:title=""/>
          </v:shape>
          <o:OLEObject Type="Embed" ProgID="Equation.3" ShapeID="_x0000_i1040" DrawAspect="Content" ObjectID="_1499761548" r:id="rId37"/>
        </w:object>
      </w:r>
      <w:r w:rsidRPr="00DA03C3">
        <w:rPr>
          <w:noProof/>
        </w:rPr>
        <w:t xml:space="preserve">, </w:t>
      </w:r>
      <w:r w:rsidRPr="00DA03C3">
        <w:rPr>
          <w:noProof/>
          <w:position w:val="-12"/>
        </w:rPr>
        <w:object w:dxaOrig="300" w:dyaOrig="360">
          <v:shape id="_x0000_i1041" type="#_x0000_t75" style="width:14.95pt;height:17pt" o:ole="">
            <v:imagedata r:id="rId38" o:title=""/>
          </v:shape>
          <o:OLEObject Type="Embed" ProgID="Equation.3" ShapeID="_x0000_i1041" DrawAspect="Content" ObjectID="_1499761549" r:id="rId39"/>
        </w:object>
      </w:r>
      <w:r w:rsidRPr="00DA03C3">
        <w:rPr>
          <w:noProof/>
        </w:rPr>
        <w:t xml:space="preserve"> et </w:t>
      </w:r>
      <w:r w:rsidRPr="00DA03C3">
        <w:rPr>
          <w:noProof/>
          <w:position w:val="-10"/>
        </w:rPr>
        <w:object w:dxaOrig="279" w:dyaOrig="340">
          <v:shape id="_x0000_i1042" type="#_x0000_t75" style="width:13.6pt;height:15.6pt" o:ole="">
            <v:imagedata r:id="rId40" o:title=""/>
          </v:shape>
          <o:OLEObject Type="Embed" ProgID="Equation.3" ShapeID="_x0000_i1042" DrawAspect="Content" ObjectID="_1499761550" r:id="rId41"/>
        </w:object>
      </w:r>
      <w:r w:rsidRPr="00DA03C3">
        <w:rPr>
          <w:noProof/>
        </w:rPr>
        <w:t xml:space="preserve"> aux quatre </w:t>
      </w:r>
      <w:r w:rsidRPr="00DA03C3">
        <w:t>points de la grille les plus proches</w:t>
      </w:r>
      <w:r w:rsidRPr="00DA03C3">
        <w:rPr>
          <w:noProof/>
        </w:rPr>
        <w:t>;</w:t>
      </w:r>
    </w:p>
    <w:p w:rsidR="00355BB4" w:rsidRPr="00DA03C3" w:rsidRDefault="00355BB4" w:rsidP="00355BB4">
      <w:pPr>
        <w:pStyle w:val="enumlev1"/>
        <w:rPr>
          <w:noProof/>
        </w:rPr>
      </w:pPr>
      <w:r w:rsidRPr="00DA03C3">
        <w:rPr>
          <w:noProof/>
        </w:rPr>
        <w:t>c)</w:t>
      </w:r>
      <w:r w:rsidRPr="00DA03C3">
        <w:rPr>
          <w:noProof/>
        </w:rPr>
        <w:tab/>
        <w:t xml:space="preserve">à l'aide de la hauteur d'échelle de la vapeur d'eau annuelle ou mensuelle correspondant aux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déterminer la hauteur d'échelle de la vapeur d'eau aux quatre points de la grille les plus proches </w:t>
      </w:r>
      <w:r w:rsidRPr="00DA03C3">
        <w:rPr>
          <w:i/>
          <w:noProof/>
        </w:rPr>
        <w:t>vsch</w:t>
      </w:r>
      <w:r w:rsidRPr="002D2B64">
        <w:rPr>
          <w:iCs/>
          <w:noProof/>
          <w:vertAlign w:val="subscript"/>
        </w:rPr>
        <w:t>1</w:t>
      </w:r>
      <w:r w:rsidRPr="00DA03C3">
        <w:rPr>
          <w:noProof/>
        </w:rPr>
        <w:t xml:space="preserve">, </w:t>
      </w:r>
      <w:r w:rsidRPr="00DA03C3">
        <w:rPr>
          <w:i/>
          <w:noProof/>
        </w:rPr>
        <w:t>vsch</w:t>
      </w:r>
      <w:r w:rsidRPr="002D2B64">
        <w:rPr>
          <w:iCs/>
          <w:noProof/>
          <w:vertAlign w:val="subscript"/>
        </w:rPr>
        <w:t>2</w:t>
      </w:r>
      <w:r w:rsidRPr="00DA03C3">
        <w:rPr>
          <w:noProof/>
        </w:rPr>
        <w:t xml:space="preserve">, </w:t>
      </w:r>
      <w:r w:rsidRPr="00DA03C3">
        <w:rPr>
          <w:i/>
          <w:noProof/>
        </w:rPr>
        <w:t>vsch</w:t>
      </w:r>
      <w:r w:rsidRPr="002D2B64">
        <w:rPr>
          <w:iCs/>
          <w:noProof/>
          <w:vertAlign w:val="subscript"/>
        </w:rPr>
        <w:t>3</w:t>
      </w:r>
      <w:r w:rsidRPr="00DA03C3">
        <w:rPr>
          <w:noProof/>
        </w:rPr>
        <w:t xml:space="preserve"> et </w:t>
      </w:r>
      <w:r w:rsidRPr="00DA03C3">
        <w:rPr>
          <w:i/>
          <w:noProof/>
        </w:rPr>
        <w:t>vsch</w:t>
      </w:r>
      <w:r w:rsidRPr="002D2B64">
        <w:rPr>
          <w:iCs/>
          <w:noProof/>
          <w:vertAlign w:val="subscript"/>
        </w:rPr>
        <w:t>4</w:t>
      </w:r>
      <w:r w:rsidRPr="00DA03C3">
        <w:rPr>
          <w:noProof/>
        </w:rPr>
        <w:t xml:space="preserve"> pour chaque probabilité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w:t>
      </w:r>
    </w:p>
    <w:p w:rsidR="00355BB4" w:rsidRPr="00DA03C3" w:rsidRDefault="00355BB4" w:rsidP="00355BB4">
      <w:pPr>
        <w:pStyle w:val="enumlev1"/>
        <w:rPr>
          <w:noProof/>
        </w:rPr>
      </w:pPr>
      <w:r w:rsidRPr="00DA03C3">
        <w:rPr>
          <w:noProof/>
        </w:rPr>
        <w:t>d)</w:t>
      </w:r>
      <w:r w:rsidRPr="00DA03C3">
        <w:rPr>
          <w:noProof/>
        </w:rPr>
        <w:tab/>
        <w:t xml:space="preserve">à l'aide de la Recommandation UIT-R P.1511, déterminer les altitudes topographiques </w:t>
      </w:r>
      <w:r w:rsidRPr="00DA03C3">
        <w:rPr>
          <w:i/>
          <w:noProof/>
        </w:rPr>
        <w:t>alt</w:t>
      </w:r>
      <w:r w:rsidRPr="00DA03C3">
        <w:rPr>
          <w:i/>
          <w:noProof/>
          <w:vertAlign w:val="subscript"/>
        </w:rPr>
        <w:t>1</w:t>
      </w:r>
      <w:r w:rsidRPr="00DA03C3">
        <w:rPr>
          <w:noProof/>
        </w:rPr>
        <w:t xml:space="preserve">, </w:t>
      </w:r>
      <w:r w:rsidRPr="00DA03C3">
        <w:rPr>
          <w:i/>
          <w:noProof/>
        </w:rPr>
        <w:t>alt</w:t>
      </w:r>
      <w:r w:rsidRPr="00DA03C3">
        <w:rPr>
          <w:i/>
          <w:noProof/>
          <w:vertAlign w:val="subscript"/>
        </w:rPr>
        <w:t>2</w:t>
      </w:r>
      <w:r w:rsidRPr="00DA03C3">
        <w:rPr>
          <w:noProof/>
        </w:rPr>
        <w:t xml:space="preserve">, </w:t>
      </w:r>
      <w:r w:rsidRPr="00DA03C3">
        <w:rPr>
          <w:i/>
          <w:noProof/>
        </w:rPr>
        <w:t>alt</w:t>
      </w:r>
      <w:r w:rsidRPr="00DA03C3">
        <w:rPr>
          <w:i/>
          <w:noProof/>
          <w:vertAlign w:val="subscript"/>
        </w:rPr>
        <w:t>3</w:t>
      </w:r>
      <w:r w:rsidRPr="00DA03C3">
        <w:rPr>
          <w:noProof/>
        </w:rPr>
        <w:t xml:space="preserve"> et </w:t>
      </w:r>
      <w:r w:rsidRPr="00DA03C3">
        <w:rPr>
          <w:i/>
          <w:noProof/>
        </w:rPr>
        <w:t>alt</w:t>
      </w:r>
      <w:r w:rsidRPr="00DA03C3">
        <w:rPr>
          <w:i/>
          <w:noProof/>
          <w:vertAlign w:val="subscript"/>
        </w:rPr>
        <w:t>4</w:t>
      </w:r>
      <w:r w:rsidRPr="00DA03C3">
        <w:rPr>
          <w:noProof/>
        </w:rPr>
        <w:t xml:space="preserve"> des quatre points de la grille les plus proches;</w:t>
      </w:r>
    </w:p>
    <w:p w:rsidR="00355BB4" w:rsidRPr="00DA03C3" w:rsidRDefault="00355BB4" w:rsidP="00355BB4">
      <w:pPr>
        <w:pStyle w:val="enumlev1"/>
        <w:rPr>
          <w:noProof/>
        </w:rPr>
      </w:pPr>
      <w:r w:rsidRPr="00DA03C3">
        <w:rPr>
          <w:noProof/>
        </w:rPr>
        <w:t>e)</w:t>
      </w:r>
      <w:r w:rsidRPr="00DA03C3">
        <w:rPr>
          <w:noProof/>
        </w:rPr>
        <w:tab/>
        <w:t xml:space="preserve">pour chacun des quatre points de la grille les plus proches et chaque probabilité, déterminer le </w:t>
      </w:r>
      <w:r w:rsidRPr="00DA03C3">
        <w:t>contenu total d'une colonne d'air en vapeur d'eau</w:t>
      </w:r>
      <w:r w:rsidRPr="00DA03C3">
        <w:rPr>
          <w:noProof/>
        </w:rPr>
        <w:t xml:space="preserve"> </w:t>
      </w:r>
      <w:r w:rsidRPr="00DA03C3">
        <w:rPr>
          <w:i/>
          <w:noProof/>
        </w:rPr>
        <w:t>V</w:t>
      </w:r>
      <w:r w:rsidRPr="00DA03C3">
        <w:rPr>
          <w:noProof/>
          <w:vertAlign w:val="subscript"/>
        </w:rPr>
        <w:t>1</w:t>
      </w:r>
      <w:r w:rsidRPr="00DA03C3">
        <w:rPr>
          <w:noProof/>
        </w:rPr>
        <w:t xml:space="preserve">, </w:t>
      </w:r>
      <w:r w:rsidRPr="00DA03C3">
        <w:rPr>
          <w:i/>
          <w:noProof/>
        </w:rPr>
        <w:t>V</w:t>
      </w:r>
      <w:r w:rsidRPr="00DA03C3">
        <w:rPr>
          <w:noProof/>
          <w:vertAlign w:val="subscript"/>
        </w:rPr>
        <w:t>2</w:t>
      </w:r>
      <w:r w:rsidRPr="00DA03C3">
        <w:rPr>
          <w:noProof/>
        </w:rPr>
        <w:t xml:space="preserve">, </w:t>
      </w:r>
      <w:r w:rsidRPr="00DA03C3">
        <w:rPr>
          <w:i/>
          <w:noProof/>
        </w:rPr>
        <w:t>V</w:t>
      </w:r>
      <w:r w:rsidRPr="00DA03C3">
        <w:rPr>
          <w:noProof/>
          <w:vertAlign w:val="subscript"/>
        </w:rPr>
        <w:t>3</w:t>
      </w:r>
      <w:r w:rsidRPr="00DA03C3">
        <w:rPr>
          <w:noProof/>
        </w:rPr>
        <w:t xml:space="preserve"> et </w:t>
      </w:r>
      <w:r w:rsidRPr="00DA03C3">
        <w:rPr>
          <w:i/>
          <w:noProof/>
        </w:rPr>
        <w:t>V</w:t>
      </w:r>
      <w:r w:rsidRPr="00DA03C3">
        <w:rPr>
          <w:noProof/>
          <w:vertAlign w:val="subscript"/>
        </w:rPr>
        <w:t>4</w:t>
      </w:r>
      <w:r w:rsidRPr="00DA03C3">
        <w:rPr>
          <w:noProof/>
        </w:rPr>
        <w:t xml:space="preserve"> à l'altitude souhaitée </w:t>
      </w:r>
      <w:r w:rsidRPr="00DA03C3">
        <w:rPr>
          <w:i/>
          <w:noProof/>
        </w:rPr>
        <w:t>alt</w:t>
      </w:r>
      <w:r w:rsidRPr="00DA03C3">
        <w:rPr>
          <w:noProof/>
        </w:rPr>
        <w:t xml:space="preserve"> en rapportant le </w:t>
      </w:r>
      <w:r w:rsidRPr="00DA03C3">
        <w:t>contenu total d'une colonne d'air en vapeur d'eau</w:t>
      </w:r>
      <w:r w:rsidRPr="00DA03C3">
        <w:rPr>
          <w:noProof/>
        </w:rPr>
        <w:t xml:space="preserve"> </w:t>
      </w:r>
      <w:r w:rsidRPr="00DA03C3">
        <w:rPr>
          <w:noProof/>
          <w:position w:val="-10"/>
        </w:rPr>
        <w:object w:dxaOrig="279" w:dyaOrig="340">
          <v:shape id="_x0000_i1043" type="#_x0000_t75" style="width:13.6pt;height:15.6pt" o:ole="">
            <v:imagedata r:id="rId34" o:title=""/>
          </v:shape>
          <o:OLEObject Type="Embed" ProgID="Equation.3" ShapeID="_x0000_i1043" DrawAspect="Content" ObjectID="_1499761551" r:id="rId42"/>
        </w:object>
      </w:r>
      <w:r w:rsidRPr="00DA03C3">
        <w:rPr>
          <w:noProof/>
        </w:rPr>
        <w:t xml:space="preserve">, </w:t>
      </w:r>
      <w:r w:rsidRPr="00DA03C3">
        <w:rPr>
          <w:noProof/>
          <w:position w:val="-10"/>
        </w:rPr>
        <w:object w:dxaOrig="279" w:dyaOrig="340">
          <v:shape id="_x0000_i1044" type="#_x0000_t75" style="width:13.6pt;height:15.6pt" o:ole="">
            <v:imagedata r:id="rId36" o:title=""/>
          </v:shape>
          <o:OLEObject Type="Embed" ProgID="Equation.3" ShapeID="_x0000_i1044" DrawAspect="Content" ObjectID="_1499761552" r:id="rId43"/>
        </w:object>
      </w:r>
      <w:r w:rsidRPr="00DA03C3">
        <w:rPr>
          <w:noProof/>
        </w:rPr>
        <w:t xml:space="preserve">, </w:t>
      </w:r>
      <w:r w:rsidRPr="00DA03C3">
        <w:rPr>
          <w:noProof/>
          <w:position w:val="-12"/>
        </w:rPr>
        <w:object w:dxaOrig="300" w:dyaOrig="360">
          <v:shape id="_x0000_i1045" type="#_x0000_t75" style="width:14.95pt;height:17pt" o:ole="">
            <v:imagedata r:id="rId44" o:title=""/>
          </v:shape>
          <o:OLEObject Type="Embed" ProgID="Equation.3" ShapeID="_x0000_i1045" DrawAspect="Content" ObjectID="_1499761553" r:id="rId45"/>
        </w:object>
      </w:r>
      <w:r w:rsidRPr="00DA03C3">
        <w:rPr>
          <w:noProof/>
        </w:rPr>
        <w:t xml:space="preserve"> et </w:t>
      </w:r>
      <w:r w:rsidRPr="00DA03C3">
        <w:rPr>
          <w:noProof/>
          <w:position w:val="-10"/>
        </w:rPr>
        <w:object w:dxaOrig="279" w:dyaOrig="340">
          <v:shape id="_x0000_i1046" type="#_x0000_t75" style="width:13.6pt;height:15.6pt" o:ole="">
            <v:imagedata r:id="rId40" o:title=""/>
          </v:shape>
          <o:OLEObject Type="Embed" ProgID="Equation.3" ShapeID="_x0000_i1046" DrawAspect="Content" ObjectID="_1499761554" r:id="rId46"/>
        </w:object>
      </w:r>
      <w:r w:rsidRPr="00DA03C3">
        <w:rPr>
          <w:noProof/>
        </w:rPr>
        <w:t xml:space="preserve"> à l'aide de la relation suivante:</w:t>
      </w:r>
    </w:p>
    <w:p w:rsidR="00355BB4" w:rsidRPr="00DA03C3" w:rsidRDefault="00355BB4" w:rsidP="00355BB4">
      <w:pPr>
        <w:pStyle w:val="Equation"/>
        <w:rPr>
          <w:noProof/>
        </w:rPr>
      </w:pPr>
      <w:r w:rsidRPr="00DA03C3">
        <w:rPr>
          <w:noProof/>
        </w:rPr>
        <w:tab/>
      </w:r>
      <w:r w:rsidRPr="00DA03C3">
        <w:rPr>
          <w:noProof/>
        </w:rPr>
        <w:tab/>
      </w:r>
      <w:r w:rsidRPr="00DA03C3">
        <w:rPr>
          <w:noProof/>
          <w:position w:val="-12"/>
        </w:rPr>
        <w:object w:dxaOrig="1440" w:dyaOrig="620">
          <v:shape id="_x0000_i1047" type="#_x0000_t75" style="width:1in;height:31.25pt" o:ole="">
            <v:imagedata r:id="rId47" o:title=""/>
          </v:shape>
          <o:OLEObject Type="Embed" ProgID="Equation.3" ShapeID="_x0000_i1047" DrawAspect="Content" ObjectID="_1499761555" r:id="rId48"/>
        </w:object>
      </w:r>
      <w:r w:rsidRPr="00DA03C3">
        <w:rPr>
          <w:noProof/>
        </w:rPr>
        <w:t xml:space="preserve">           pour </w:t>
      </w:r>
      <w:r w:rsidRPr="00DA03C3">
        <w:rPr>
          <w:i/>
          <w:noProof/>
        </w:rPr>
        <w:t>i</w:t>
      </w:r>
      <w:r w:rsidRPr="00DA03C3">
        <w:rPr>
          <w:noProof/>
        </w:rPr>
        <w:t xml:space="preserve"> = 1, 2, 3, 4</w:t>
      </w:r>
      <w:r w:rsidRPr="00DA03C3">
        <w:rPr>
          <w:noProof/>
        </w:rPr>
        <w:tab/>
        <w:t>(2)</w:t>
      </w:r>
    </w:p>
    <w:p w:rsidR="00355BB4" w:rsidRPr="00DA03C3" w:rsidRDefault="00355BB4" w:rsidP="00355BB4">
      <w:pPr>
        <w:pStyle w:val="enumlev1"/>
        <w:rPr>
          <w:noProof/>
        </w:rPr>
      </w:pPr>
      <w:r w:rsidRPr="00DA03C3">
        <w:rPr>
          <w:noProof/>
        </w:rPr>
        <w:t>f)</w:t>
      </w:r>
      <w:r w:rsidRPr="00DA03C3">
        <w:rPr>
          <w:noProof/>
        </w:rPr>
        <w:tab/>
        <w:t xml:space="preserve">déterminer le </w:t>
      </w:r>
      <w:r w:rsidRPr="00DA03C3">
        <w:t>contenu total d'une colonne d'air en vapeur d'eau</w:t>
      </w:r>
      <w:r w:rsidRPr="00DA03C3">
        <w:rPr>
          <w:noProof/>
        </w:rPr>
        <w:t xml:space="preserve"> </w:t>
      </w:r>
      <w:r w:rsidRPr="00DA03C3">
        <w:rPr>
          <w:i/>
          <w:iCs/>
          <w:noProof/>
        </w:rPr>
        <w:t>V</w:t>
      </w:r>
      <w:r w:rsidRPr="00DA03C3">
        <w:rPr>
          <w:i/>
          <w:noProof/>
          <w:vertAlign w:val="subscript"/>
        </w:rPr>
        <w:t>above</w:t>
      </w:r>
      <w:r w:rsidRPr="00DA03C3">
        <w:rPr>
          <w:noProof/>
        </w:rPr>
        <w:t xml:space="preserve"> et </w:t>
      </w:r>
      <w:r w:rsidRPr="00DA03C3">
        <w:rPr>
          <w:i/>
          <w:iCs/>
          <w:noProof/>
        </w:rPr>
        <w:t>V</w:t>
      </w:r>
      <w:r w:rsidRPr="00DA03C3">
        <w:rPr>
          <w:i/>
          <w:noProof/>
          <w:vertAlign w:val="subscript"/>
        </w:rPr>
        <w:t>below</w:t>
      </w:r>
      <w:r w:rsidRPr="00DA03C3">
        <w:rPr>
          <w:noProof/>
        </w:rPr>
        <w:t xml:space="preserve"> pour les probabilités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et pour l'emplacement voulu par une interpolation bilinéaire à partir des quatre valeurs de </w:t>
      </w:r>
      <w:r w:rsidRPr="00DA03C3">
        <w:t>contenu total d'une colonne d'air en vapeur d'eau</w:t>
      </w:r>
      <w:r w:rsidRPr="00DA03C3">
        <w:rPr>
          <w:noProof/>
        </w:rPr>
        <w:t xml:space="preserve"> </w:t>
      </w:r>
      <w:r w:rsidRPr="00DA03C3">
        <w:rPr>
          <w:i/>
          <w:noProof/>
        </w:rPr>
        <w:t>V</w:t>
      </w:r>
      <w:r w:rsidRPr="00DA03C3">
        <w:rPr>
          <w:noProof/>
          <w:vertAlign w:val="subscript"/>
        </w:rPr>
        <w:t>1</w:t>
      </w:r>
      <w:r w:rsidRPr="00DA03C3">
        <w:rPr>
          <w:noProof/>
        </w:rPr>
        <w:t xml:space="preserve">, </w:t>
      </w:r>
      <w:r w:rsidRPr="00DA03C3">
        <w:rPr>
          <w:i/>
          <w:noProof/>
        </w:rPr>
        <w:t>V</w:t>
      </w:r>
      <w:r w:rsidRPr="00DA03C3">
        <w:rPr>
          <w:noProof/>
          <w:vertAlign w:val="subscript"/>
        </w:rPr>
        <w:t>2</w:t>
      </w:r>
      <w:r w:rsidRPr="00DA03C3">
        <w:rPr>
          <w:noProof/>
        </w:rPr>
        <w:t xml:space="preserve">, </w:t>
      </w:r>
      <w:r w:rsidRPr="00DA03C3">
        <w:rPr>
          <w:i/>
          <w:noProof/>
        </w:rPr>
        <w:t>V</w:t>
      </w:r>
      <w:r w:rsidRPr="00DA03C3">
        <w:rPr>
          <w:noProof/>
          <w:vertAlign w:val="subscript"/>
        </w:rPr>
        <w:t>3</w:t>
      </w:r>
      <w:r w:rsidRPr="00DA03C3">
        <w:rPr>
          <w:noProof/>
        </w:rPr>
        <w:t xml:space="preserve"> et </w:t>
      </w:r>
      <w:r w:rsidRPr="00DA03C3">
        <w:rPr>
          <w:i/>
          <w:noProof/>
        </w:rPr>
        <w:t>V</w:t>
      </w:r>
      <w:r w:rsidRPr="00DA03C3">
        <w:rPr>
          <w:noProof/>
          <w:vertAlign w:val="subscript"/>
        </w:rPr>
        <w:t>4</w:t>
      </w:r>
      <w:r w:rsidRPr="00DA03C3">
        <w:rPr>
          <w:noProof/>
        </w:rPr>
        <w:t xml:space="preserve"> aux quatre points de la grille, comme décrit dans la Recommandation UIT-R P.1144 (à titre de référence, la procédure à utiliser pour déterminer </w:t>
      </w:r>
      <w:r w:rsidRPr="00DA03C3">
        <w:rPr>
          <w:i/>
          <w:noProof/>
        </w:rPr>
        <w:t>V</w:t>
      </w:r>
      <w:r w:rsidRPr="00DA03C3">
        <w:rPr>
          <w:i/>
          <w:noProof/>
          <w:vertAlign w:val="subscript"/>
        </w:rPr>
        <w:t>above</w:t>
      </w:r>
      <w:r w:rsidRPr="00DA03C3">
        <w:rPr>
          <w:noProof/>
        </w:rPr>
        <w:t xml:space="preserve"> et </w:t>
      </w:r>
      <w:r w:rsidRPr="00DA03C3">
        <w:rPr>
          <w:i/>
          <w:noProof/>
        </w:rPr>
        <w:t>V</w:t>
      </w:r>
      <w:r w:rsidRPr="00DA03C3">
        <w:rPr>
          <w:i/>
          <w:noProof/>
          <w:vertAlign w:val="subscript"/>
        </w:rPr>
        <w:t>below</w:t>
      </w:r>
      <w:r w:rsidRPr="00DA03C3">
        <w:rPr>
          <w:noProof/>
        </w:rPr>
        <w:t xml:space="preserve"> à partir de </w:t>
      </w:r>
      <w:r w:rsidRPr="00DA03C3">
        <w:rPr>
          <w:noProof/>
          <w:position w:val="-10"/>
        </w:rPr>
        <w:object w:dxaOrig="279" w:dyaOrig="340">
          <v:shape id="_x0000_i1048" type="#_x0000_t75" style="width:13.6pt;height:15.6pt" o:ole="">
            <v:imagedata r:id="rId34" o:title=""/>
          </v:shape>
          <o:OLEObject Type="Embed" ProgID="Equation.3" ShapeID="_x0000_i1048" DrawAspect="Content" ObjectID="_1499761556" r:id="rId49"/>
        </w:object>
      </w:r>
      <w:r w:rsidRPr="00DA03C3">
        <w:rPr>
          <w:noProof/>
        </w:rPr>
        <w:t xml:space="preserve">, </w:t>
      </w:r>
      <w:r w:rsidRPr="00DA03C3">
        <w:rPr>
          <w:noProof/>
          <w:position w:val="-10"/>
        </w:rPr>
        <w:object w:dxaOrig="279" w:dyaOrig="340">
          <v:shape id="_x0000_i1049" type="#_x0000_t75" style="width:13.6pt;height:15.6pt" o:ole="">
            <v:imagedata r:id="rId36" o:title=""/>
          </v:shape>
          <o:OLEObject Type="Embed" ProgID="Equation.3" ShapeID="_x0000_i1049" DrawAspect="Content" ObjectID="_1499761557" r:id="rId50"/>
        </w:object>
      </w:r>
      <w:r w:rsidRPr="00DA03C3">
        <w:rPr>
          <w:noProof/>
        </w:rPr>
        <w:t xml:space="preserve">, </w:t>
      </w:r>
      <w:r w:rsidRPr="00DA03C3">
        <w:rPr>
          <w:noProof/>
          <w:position w:val="-12"/>
        </w:rPr>
        <w:object w:dxaOrig="300" w:dyaOrig="360">
          <v:shape id="_x0000_i1050" type="#_x0000_t75" style="width:14.95pt;height:17pt" o:ole="">
            <v:imagedata r:id="rId44" o:title=""/>
          </v:shape>
          <o:OLEObject Type="Embed" ProgID="Equation.3" ShapeID="_x0000_i1050" DrawAspect="Content" ObjectID="_1499761558" r:id="rId51"/>
        </w:object>
      </w:r>
      <w:r w:rsidRPr="00DA03C3">
        <w:rPr>
          <w:noProof/>
        </w:rPr>
        <w:t xml:space="preserve"> et</w:t>
      </w:r>
      <w:r>
        <w:rPr>
          <w:noProof/>
        </w:rPr>
        <w:t> </w:t>
      </w:r>
      <w:r w:rsidRPr="00DA03C3">
        <w:rPr>
          <w:noProof/>
          <w:position w:val="-10"/>
        </w:rPr>
        <w:object w:dxaOrig="279" w:dyaOrig="340">
          <v:shape id="_x0000_i1051" type="#_x0000_t75" style="width:13.6pt;height:15.6pt" o:ole="">
            <v:imagedata r:id="rId40" o:title=""/>
          </v:shape>
          <o:OLEObject Type="Embed" ProgID="Equation.3" ShapeID="_x0000_i1051" DrawAspect="Content" ObjectID="_1499761559" r:id="rId52"/>
        </w:object>
      </w:r>
      <w:r w:rsidRPr="00DA03C3">
        <w:rPr>
          <w:noProof/>
        </w:rPr>
        <w:t xml:space="preserve"> est illustrée sur la Fig. 2);</w:t>
      </w:r>
    </w:p>
    <w:p w:rsidR="00355BB4" w:rsidRPr="00DA03C3" w:rsidRDefault="00355BB4" w:rsidP="00355BB4">
      <w:pPr>
        <w:pStyle w:val="enumlev1"/>
        <w:rPr>
          <w:noProof/>
        </w:rPr>
      </w:pPr>
      <w:r w:rsidRPr="00DA03C3">
        <w:rPr>
          <w:noProof/>
        </w:rPr>
        <w:t>g)</w:t>
      </w:r>
      <w:r w:rsidRPr="00DA03C3">
        <w:rPr>
          <w:noProof/>
        </w:rPr>
        <w:tab/>
        <w:t xml:space="preserve">déterminer le </w:t>
      </w:r>
      <w:r w:rsidRPr="00DA03C3">
        <w:t>contenu total d'une colonne d'air en vapeur d'eau</w:t>
      </w:r>
      <w:r w:rsidRPr="00DA03C3">
        <w:rPr>
          <w:noProof/>
        </w:rPr>
        <w:t xml:space="preserve"> </w:t>
      </w:r>
      <w:r w:rsidRPr="00DA03C3">
        <w:rPr>
          <w:i/>
          <w:iCs/>
          <w:noProof/>
        </w:rPr>
        <w:t>V</w:t>
      </w:r>
      <w:r w:rsidRPr="00DA03C3">
        <w:rPr>
          <w:noProof/>
        </w:rPr>
        <w:t xml:space="preserve"> pour la probabilité souhaitée </w:t>
      </w:r>
      <w:r w:rsidRPr="00DA03C3">
        <w:rPr>
          <w:i/>
          <w:noProof/>
        </w:rPr>
        <w:t>p</w:t>
      </w:r>
      <w:r w:rsidRPr="00DA03C3">
        <w:rPr>
          <w:noProof/>
        </w:rPr>
        <w:t xml:space="preserve"> par interpolation entre </w:t>
      </w:r>
      <w:r w:rsidRPr="00DA03C3">
        <w:rPr>
          <w:i/>
          <w:noProof/>
        </w:rPr>
        <w:t>V</w:t>
      </w:r>
      <w:r w:rsidRPr="00DA03C3">
        <w:rPr>
          <w:i/>
          <w:noProof/>
          <w:vertAlign w:val="subscript"/>
        </w:rPr>
        <w:t>above</w:t>
      </w:r>
      <w:r w:rsidRPr="00DA03C3">
        <w:rPr>
          <w:noProof/>
        </w:rPr>
        <w:t xml:space="preserve"> et </w:t>
      </w:r>
      <w:r w:rsidRPr="00DA03C3">
        <w:rPr>
          <w:i/>
          <w:noProof/>
        </w:rPr>
        <w:t>V</w:t>
      </w:r>
      <w:r w:rsidRPr="00DA03C3">
        <w:rPr>
          <w:i/>
          <w:noProof/>
          <w:vertAlign w:val="subscript"/>
        </w:rPr>
        <w:t>below</w:t>
      </w:r>
      <w:r w:rsidRPr="00DA03C3">
        <w:rPr>
          <w:noProof/>
        </w:rPr>
        <w:t xml:space="preserve"> en fonction de </w:t>
      </w:r>
      <w:r w:rsidRPr="00DA03C3">
        <w:rPr>
          <w:i/>
          <w:noProof/>
        </w:rPr>
        <w:t>p</w:t>
      </w:r>
      <w:r w:rsidRPr="00DA03C3">
        <w:rPr>
          <w:i/>
          <w:noProof/>
          <w:vertAlign w:val="subscript"/>
        </w:rPr>
        <w:t>above</w:t>
      </w:r>
      <w:r w:rsidRPr="00DA03C3">
        <w:rPr>
          <w:noProof/>
        </w:rPr>
        <w:t xml:space="preserve"> et </w:t>
      </w:r>
      <w:r w:rsidRPr="00DA03C3">
        <w:rPr>
          <w:i/>
          <w:noProof/>
        </w:rPr>
        <w:t>p</w:t>
      </w:r>
      <w:r w:rsidRPr="00DA03C3">
        <w:rPr>
          <w:i/>
          <w:noProof/>
          <w:vertAlign w:val="subscript"/>
        </w:rPr>
        <w:t>below</w:t>
      </w:r>
      <w:r w:rsidRPr="00DA03C3">
        <w:rPr>
          <w:noProof/>
        </w:rPr>
        <w:t xml:space="preserve"> sur une échelle linéaire de </w:t>
      </w:r>
      <w:r w:rsidRPr="00DA03C3">
        <w:rPr>
          <w:i/>
          <w:iCs/>
          <w:noProof/>
        </w:rPr>
        <w:t>V</w:t>
      </w:r>
      <w:r w:rsidRPr="00DA03C3">
        <w:rPr>
          <w:noProof/>
        </w:rPr>
        <w:t xml:space="preserve"> en fonction de log </w:t>
      </w:r>
      <w:r w:rsidRPr="00DA03C3">
        <w:rPr>
          <w:i/>
          <w:noProof/>
        </w:rPr>
        <w:t>p</w:t>
      </w:r>
      <w:r w:rsidRPr="00DA03C3">
        <w:rPr>
          <w:noProof/>
        </w:rPr>
        <w:t>.</w:t>
      </w:r>
    </w:p>
    <w:p w:rsidR="00355BB4" w:rsidRPr="00DA03C3" w:rsidRDefault="00355BB4" w:rsidP="00355BB4">
      <w:pPr>
        <w:pStyle w:val="FigureNo"/>
        <w:rPr>
          <w:noProof/>
        </w:rPr>
      </w:pPr>
      <w:r w:rsidRPr="00DA03C3">
        <w:rPr>
          <w:noProof/>
        </w:rPr>
        <w:t>FIGURE 2</w:t>
      </w:r>
    </w:p>
    <w:p w:rsidR="00355BB4" w:rsidRPr="00DA03C3" w:rsidRDefault="00355BB4" w:rsidP="00355BB4">
      <w:pPr>
        <w:pStyle w:val="Figuretitle"/>
        <w:spacing w:after="240"/>
      </w:pPr>
      <w:r w:rsidRPr="00DA03C3">
        <w:t>Procédure d'interpolation pour les probabilités supérieure et inférieure à la probabilité souhaitée</w:t>
      </w:r>
    </w:p>
    <w:p w:rsidR="00355BB4" w:rsidRPr="00DA03C3" w:rsidRDefault="00355BB4" w:rsidP="00355BB4">
      <w:pPr>
        <w:pStyle w:val="Figure"/>
        <w:spacing w:before="200"/>
        <w:rPr>
          <w:noProof/>
        </w:rPr>
      </w:pPr>
      <w:r w:rsidRPr="00DA03C3">
        <w:object w:dxaOrig="4260" w:dyaOrig="2007">
          <v:shape id="_x0000_i1052" type="#_x0000_t75" style="width:362.05pt;height:170.5pt" o:ole="">
            <v:imagedata r:id="rId53" o:title=""/>
          </v:shape>
          <o:OLEObject Type="Embed" ProgID="CorelDRAW.Graphic.14" ShapeID="_x0000_i1052" DrawAspect="Content" ObjectID="_1499761560" r:id="rId54"/>
        </w:object>
      </w:r>
    </w:p>
    <w:p w:rsidR="00355BB4" w:rsidRPr="00DA03C3" w:rsidRDefault="00355BB4" w:rsidP="00355BB4">
      <w:pPr>
        <w:pStyle w:val="Reasons"/>
        <w:rPr>
          <w:lang w:val="fr-FR"/>
        </w:rPr>
      </w:pPr>
    </w:p>
    <w:p w:rsidR="005F01F8" w:rsidRPr="005F01F8" w:rsidRDefault="005F01F8" w:rsidP="005F01F8">
      <w:pPr>
        <w:jc w:val="center"/>
        <w:rPr>
          <w:lang w:val="fr-CH"/>
        </w:rPr>
      </w:pPr>
      <w:r>
        <w:rPr>
          <w:b/>
          <w:sz w:val="22"/>
          <w:lang w:val="fr-CH"/>
        </w:rPr>
        <w:t>______________</w:t>
      </w:r>
    </w:p>
    <w:sectPr w:rsidR="005F01F8" w:rsidRPr="005F01F8" w:rsidSect="002D2B64">
      <w:headerReference w:type="even" r:id="rId55"/>
      <w:headerReference w:type="default" r:id="rId5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1BDB" w:rsidRDefault="00771BDB">
      <w:r>
        <w:separator/>
      </w:r>
    </w:p>
  </w:endnote>
  <w:endnote w:type="continuationSeparator" w:id="0">
    <w:p w:rsidR="00771BDB" w:rsidRDefault="00771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1BDB" w:rsidRDefault="00771BDB">
      <w:r>
        <w:separator/>
      </w:r>
    </w:p>
  </w:footnote>
  <w:footnote w:type="continuationSeparator" w:id="0">
    <w:p w:rsidR="00771BDB" w:rsidRDefault="00771BDB">
      <w:r>
        <w:continuationSeparator/>
      </w:r>
    </w:p>
  </w:footnote>
  <w:footnote w:id="1">
    <w:p w:rsidR="00832E2C" w:rsidRPr="003D6253" w:rsidRDefault="00832E2C" w:rsidP="00832E2C">
      <w:pPr>
        <w:pStyle w:val="FootnoteText"/>
        <w:rPr>
          <w:lang w:val="fr-CH"/>
        </w:rPr>
      </w:pPr>
      <w:r w:rsidRPr="003D6253">
        <w:rPr>
          <w:rStyle w:val="FootnoteReference"/>
          <w:lang w:val="fr-CH"/>
        </w:rPr>
        <w:t>*</w:t>
      </w:r>
      <w:r w:rsidRPr="003D6253">
        <w:rPr>
          <w:lang w:val="fr-CH"/>
        </w:rPr>
        <w:t xml:space="preserve"> </w:t>
      </w:r>
      <w:r w:rsidRPr="003D6253">
        <w:rPr>
          <w:lang w:val="fr-CH"/>
        </w:rPr>
        <w:tab/>
      </w:r>
      <w:r w:rsidRPr="008B51CB">
        <w:rPr>
          <w:lang w:val="fr-CH"/>
        </w:rPr>
        <w:t xml:space="preserve">La Commission d'études </w:t>
      </w:r>
      <w:r>
        <w:rPr>
          <w:lang w:val="fr-CH"/>
        </w:rPr>
        <w:t>3</w:t>
      </w:r>
      <w:r w:rsidRPr="008B51CB">
        <w:rPr>
          <w:lang w:val="fr-CH"/>
        </w:rPr>
        <w:t xml:space="preserve"> des radiocommunications a apporté des modifications rédactionnelles à la présente Recommandation en </w:t>
      </w:r>
      <w:r>
        <w:rPr>
          <w:lang w:val="fr-CH"/>
        </w:rPr>
        <w:t>avril 2015</w:t>
      </w:r>
      <w:r w:rsidRPr="008B51CB">
        <w:rPr>
          <w:lang w:val="fr-CH"/>
        </w:rPr>
        <w:t xml:space="preserve"> conformément aux dispositions de la Résolution UIT</w:t>
      </w:r>
      <w:r w:rsidRPr="008B51CB">
        <w:rPr>
          <w:lang w:val="fr-CH"/>
        </w:rPr>
        <w:noBreakHyphen/>
        <w:t>R 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BB4" w:rsidRDefault="00355BB4">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BB4" w:rsidRDefault="00355BB4" w:rsidP="00C668C8">
    <w:pPr>
      <w:pStyle w:val="Header"/>
      <w:ind w:right="360" w:firstLine="360"/>
    </w:pPr>
    <w:r>
      <w:rPr>
        <w:noProof/>
        <w:lang w:val="en-US" w:eastAsia="zh-CN"/>
      </w:rPr>
      <w:drawing>
        <wp:anchor distT="0" distB="0" distL="114300" distR="114300" simplePos="0" relativeHeight="251659264" behindDoc="1" locked="0" layoutInCell="1" allowOverlap="1" wp14:anchorId="05374969" wp14:editId="3507E5C9">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BB4" w:rsidRPr="00837CB5" w:rsidRDefault="00355BB4">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CE187A">
      <w:rPr>
        <w:rStyle w:val="PageNumber"/>
        <w:b/>
        <w:bCs/>
        <w:noProof/>
      </w:rPr>
      <w:t>ii</w:t>
    </w:r>
    <w:r>
      <w:rPr>
        <w:rStyle w:val="PageNumber"/>
        <w:b/>
        <w:bCs/>
      </w:rPr>
      <w:fldChar w:fldCharType="end"/>
    </w:r>
    <w:r w:rsidRPr="00837CB5">
      <w:tab/>
    </w:r>
    <w:fldSimple w:instr=" DOCPROPERTY &quot;Header&quot; \* MERGEFORMAT ">
      <w:r w:rsidR="00CE187A" w:rsidRPr="00CE187A">
        <w:rPr>
          <w:b/>
          <w:bCs/>
        </w:rPr>
        <w:t xml:space="preserve">Rec. </w:t>
      </w:r>
    </w:fldSimple>
    <w:r>
      <w:rPr>
        <w:b/>
        <w:bCs/>
      </w:rPr>
      <w:t xml:space="preserve"> </w:t>
    </w:r>
    <w:r>
      <w:rPr>
        <w:b/>
        <w:bCs/>
      </w:rPr>
      <w:fldChar w:fldCharType="begin"/>
    </w:r>
    <w:r w:rsidRPr="00837CB5">
      <w:rPr>
        <w:b/>
        <w:bCs/>
      </w:rPr>
      <w:instrText>styleref href</w:instrText>
    </w:r>
    <w:r>
      <w:rPr>
        <w:b/>
        <w:bCs/>
      </w:rPr>
      <w:fldChar w:fldCharType="separate"/>
    </w:r>
    <w:r w:rsidR="00CE187A">
      <w:rPr>
        <w:b/>
        <w:bCs/>
        <w:noProof/>
      </w:rPr>
      <w:t>UIT-R  P.836-5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5BB4" w:rsidRDefault="00355BB4">
    <w:pPr>
      <w:pStyle w:val="Header"/>
    </w:pPr>
    <w:r>
      <w:tab/>
    </w:r>
    <w:fldSimple w:instr=" DOCPROPERTY &quot;Header&quot; \* MERGEFORMAT ">
      <w:r w:rsidR="00CE187A" w:rsidRPr="00CE187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E187A">
      <w:rPr>
        <w:b/>
        <w:bCs/>
        <w:noProof/>
      </w:rPr>
      <w:t>UIT-R  P.836-5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E187A">
      <w:rPr>
        <w:rStyle w:val="PageNumber"/>
        <w:b/>
        <w:bCs/>
        <w:noProof/>
        <w:lang w:val="en-US"/>
      </w:rPr>
      <w:t>4</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CE187A" w:rsidRPr="00CE187A">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E187A">
      <w:rPr>
        <w:b/>
        <w:bCs/>
        <w:noProof/>
      </w:rPr>
      <w:t>UIT-R  P.836-5</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07D68" w:rsidRDefault="00607D68">
    <w:pPr>
      <w:pStyle w:val="Header"/>
    </w:pPr>
    <w:r>
      <w:tab/>
    </w:r>
    <w:fldSimple w:instr=" DOCPROPERTY &quot;Header&quot; \* MERGEFORMAT ">
      <w:r w:rsidR="00CE187A" w:rsidRPr="00CE187A">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E187A">
      <w:rPr>
        <w:b/>
        <w:bCs/>
        <w:noProof/>
      </w:rPr>
      <w:t>UIT-R  P.836-5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E187A">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BDB"/>
    <w:rsid w:val="000D2130"/>
    <w:rsid w:val="00217EBF"/>
    <w:rsid w:val="00242AEE"/>
    <w:rsid w:val="002D2B64"/>
    <w:rsid w:val="002D76C4"/>
    <w:rsid w:val="00355BB4"/>
    <w:rsid w:val="0052529D"/>
    <w:rsid w:val="005F01F8"/>
    <w:rsid w:val="00607D68"/>
    <w:rsid w:val="007468DA"/>
    <w:rsid w:val="00771BDB"/>
    <w:rsid w:val="008148D0"/>
    <w:rsid w:val="00832E2C"/>
    <w:rsid w:val="0083414B"/>
    <w:rsid w:val="009E00A8"/>
    <w:rsid w:val="00A6617B"/>
    <w:rsid w:val="00AB0DC8"/>
    <w:rsid w:val="00B44E24"/>
    <w:rsid w:val="00CE187A"/>
    <w:rsid w:val="00D91804"/>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4"/>
    <o:shapelayout v:ext="edit">
      <o:idmap v:ext="edit" data="1"/>
    </o:shapelayout>
  </w:shapeDefaults>
  <w:decimalSymbol w:val="."/>
  <w:listSeparator w:val=";"/>
  <w15:docId w15:val="{2B30952D-57FD-477C-B738-55E6887CE2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BB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link w:val="AnnexNoTitleChar"/>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link w:val="FigureChar"/>
    <w:rsid w:val="00A6617B"/>
    <w:pPr>
      <w:keepNext w:val="0"/>
      <w:spacing w:before="0" w:after="240"/>
    </w:pPr>
  </w:style>
  <w:style w:type="character" w:styleId="Hyperlink">
    <w:name w:val="Hyperlink"/>
    <w:basedOn w:val="DefaultParagraphFont"/>
    <w:rsid w:val="00355BB4"/>
    <w:rPr>
      <w:color w:val="0000FF"/>
      <w:u w:val="single"/>
    </w:rPr>
  </w:style>
  <w:style w:type="character" w:customStyle="1" w:styleId="Heading1Char">
    <w:name w:val="Heading 1 Char"/>
    <w:basedOn w:val="DefaultParagraphFont"/>
    <w:link w:val="Heading1"/>
    <w:rsid w:val="00355BB4"/>
    <w:rPr>
      <w:b/>
      <w:sz w:val="24"/>
      <w:lang w:val="fr-FR" w:eastAsia="en-US"/>
    </w:rPr>
  </w:style>
  <w:style w:type="character" w:customStyle="1" w:styleId="AnnexNoTitleChar">
    <w:name w:val="Annex_NoTitle Char"/>
    <w:basedOn w:val="DefaultParagraphFont"/>
    <w:link w:val="AnnexNoTitle"/>
    <w:rsid w:val="00355BB4"/>
    <w:rPr>
      <w:b/>
      <w:sz w:val="28"/>
      <w:lang w:val="fr-FR" w:eastAsia="en-US"/>
    </w:rPr>
  </w:style>
  <w:style w:type="character" w:customStyle="1" w:styleId="FigureNoChar">
    <w:name w:val="Figure_No Char"/>
    <w:basedOn w:val="DefaultParagraphFont"/>
    <w:link w:val="FigureNo"/>
    <w:rsid w:val="00355BB4"/>
    <w:rPr>
      <w:caps/>
      <w:sz w:val="18"/>
      <w:lang w:val="fr-FR" w:eastAsia="en-US"/>
    </w:rPr>
  </w:style>
  <w:style w:type="character" w:customStyle="1" w:styleId="FiguretitleChar">
    <w:name w:val="Figure_title Char"/>
    <w:basedOn w:val="DefaultParagraphFont"/>
    <w:link w:val="Figuretitle"/>
    <w:rsid w:val="00355BB4"/>
    <w:rPr>
      <w:rFonts w:ascii="Times New Roman Bold" w:hAnsi="Times New Roman Bold"/>
      <w:b/>
      <w:sz w:val="18"/>
      <w:lang w:val="fr-FR" w:eastAsia="en-US"/>
    </w:rPr>
  </w:style>
  <w:style w:type="character" w:customStyle="1" w:styleId="FigureChar">
    <w:name w:val="Figure Char"/>
    <w:basedOn w:val="FigureNoChar"/>
    <w:link w:val="Figure"/>
    <w:rsid w:val="00355BB4"/>
    <w:rPr>
      <w:caps/>
      <w:sz w:val="18"/>
      <w:lang w:val="fr-FR" w:eastAsia="en-US"/>
    </w:rPr>
  </w:style>
  <w:style w:type="paragraph" w:customStyle="1" w:styleId="Reasons">
    <w:name w:val="Reasons"/>
    <w:basedOn w:val="Normal"/>
    <w:qFormat/>
    <w:rsid w:val="00355BB4"/>
    <w:pPr>
      <w:tabs>
        <w:tab w:val="clear" w:pos="794"/>
        <w:tab w:val="clear" w:pos="1191"/>
        <w:tab w:val="clear" w:pos="1588"/>
        <w:tab w:val="clear" w:pos="1985"/>
      </w:tabs>
      <w:overflowPunct/>
      <w:autoSpaceDE/>
      <w:autoSpaceDN/>
      <w:adjustRightInd/>
      <w:spacing w:before="0"/>
      <w:jc w:val="left"/>
      <w:textAlignment w:val="auto"/>
    </w:pPr>
    <w:rPr>
      <w:lang w:val="en-US"/>
    </w:rPr>
  </w:style>
  <w:style w:type="character" w:customStyle="1" w:styleId="FootnoteTextChar">
    <w:name w:val="Footnote Text Char"/>
    <w:basedOn w:val="DefaultParagraphFont"/>
    <w:link w:val="FootnoteText"/>
    <w:semiHidden/>
    <w:rsid w:val="00832E2C"/>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md/R12-SG03-C-0019/en" TargetMode="External"/><Relationship Id="rId18" Type="http://schemas.openxmlformats.org/officeDocument/2006/relationships/image" Target="media/image4.wmf"/><Relationship Id="rId26" Type="http://schemas.openxmlformats.org/officeDocument/2006/relationships/image" Target="media/image6.wmf"/><Relationship Id="rId39" Type="http://schemas.openxmlformats.org/officeDocument/2006/relationships/oleObject" Target="embeddings/oleObject17.bin"/><Relationship Id="rId21" Type="http://schemas.openxmlformats.org/officeDocument/2006/relationships/oleObject" Target="embeddings/oleObject4.bin"/><Relationship Id="rId34" Type="http://schemas.openxmlformats.org/officeDocument/2006/relationships/image" Target="media/image8.wmf"/><Relationship Id="rId42" Type="http://schemas.openxmlformats.org/officeDocument/2006/relationships/oleObject" Target="embeddings/oleObject19.bin"/><Relationship Id="rId47" Type="http://schemas.openxmlformats.org/officeDocument/2006/relationships/image" Target="media/image13.wmf"/><Relationship Id="rId50" Type="http://schemas.openxmlformats.org/officeDocument/2006/relationships/oleObject" Target="embeddings/oleObject25.bin"/><Relationship Id="rId55" Type="http://schemas.openxmlformats.org/officeDocument/2006/relationships/header" Target="header5.xml"/><Relationship Id="rId7" Type="http://schemas.openxmlformats.org/officeDocument/2006/relationships/header" Target="header2.xml"/><Relationship Id="rId12" Type="http://schemas.openxmlformats.org/officeDocument/2006/relationships/hyperlink" Target="http://www.itu.int/md/R12-SG03-C-0019/en" TargetMode="External"/><Relationship Id="rId17" Type="http://schemas.openxmlformats.org/officeDocument/2006/relationships/oleObject" Target="embeddings/oleObject2.bin"/><Relationship Id="rId25" Type="http://schemas.openxmlformats.org/officeDocument/2006/relationships/oleObject" Target="embeddings/oleObject8.bin"/><Relationship Id="rId33" Type="http://schemas.openxmlformats.org/officeDocument/2006/relationships/oleObject" Target="embeddings/oleObject14.bin"/><Relationship Id="rId38" Type="http://schemas.openxmlformats.org/officeDocument/2006/relationships/image" Target="media/image10.wmf"/><Relationship Id="rId46" Type="http://schemas.openxmlformats.org/officeDocument/2006/relationships/oleObject" Target="embeddings/oleObject22.bin"/><Relationship Id="rId2" Type="http://schemas.openxmlformats.org/officeDocument/2006/relationships/settings" Target="settings.xml"/><Relationship Id="rId16" Type="http://schemas.openxmlformats.org/officeDocument/2006/relationships/image" Target="media/image3.wmf"/><Relationship Id="rId20" Type="http://schemas.openxmlformats.org/officeDocument/2006/relationships/image" Target="media/image5.wmf"/><Relationship Id="rId29" Type="http://schemas.openxmlformats.org/officeDocument/2006/relationships/oleObject" Target="embeddings/oleObject11.bin"/><Relationship Id="rId41" Type="http://schemas.openxmlformats.org/officeDocument/2006/relationships/oleObject" Target="embeddings/oleObject18.bin"/><Relationship Id="rId54" Type="http://schemas.openxmlformats.org/officeDocument/2006/relationships/oleObject" Target="embeddings/oleObject28.bin"/><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24" Type="http://schemas.openxmlformats.org/officeDocument/2006/relationships/oleObject" Target="embeddings/oleObject7.bin"/><Relationship Id="rId32" Type="http://schemas.openxmlformats.org/officeDocument/2006/relationships/image" Target="media/image7.emf"/><Relationship Id="rId37" Type="http://schemas.openxmlformats.org/officeDocument/2006/relationships/oleObject" Target="embeddings/oleObject16.bin"/><Relationship Id="rId40" Type="http://schemas.openxmlformats.org/officeDocument/2006/relationships/image" Target="media/image11.wmf"/><Relationship Id="rId45" Type="http://schemas.openxmlformats.org/officeDocument/2006/relationships/oleObject" Target="embeddings/oleObject21.bin"/><Relationship Id="rId53" Type="http://schemas.openxmlformats.org/officeDocument/2006/relationships/image" Target="media/image14.emf"/><Relationship Id="rId58"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oleObject" Target="embeddings/oleObject1.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image" Target="media/image9.wmf"/><Relationship Id="rId49" Type="http://schemas.openxmlformats.org/officeDocument/2006/relationships/oleObject" Target="embeddings/oleObject24.bin"/><Relationship Id="rId57" Type="http://schemas.openxmlformats.org/officeDocument/2006/relationships/fontTable" Target="fontTable.xml"/><Relationship Id="rId10" Type="http://schemas.openxmlformats.org/officeDocument/2006/relationships/header" Target="header3.xml"/><Relationship Id="rId19" Type="http://schemas.openxmlformats.org/officeDocument/2006/relationships/oleObject" Target="embeddings/oleObject3.bin"/><Relationship Id="rId31" Type="http://schemas.openxmlformats.org/officeDocument/2006/relationships/oleObject" Target="embeddings/oleObject13.bin"/><Relationship Id="rId44" Type="http://schemas.openxmlformats.org/officeDocument/2006/relationships/image" Target="media/image12.wmf"/><Relationship Id="rId52" Type="http://schemas.openxmlformats.org/officeDocument/2006/relationships/oleObject" Target="embeddings/oleObject27.bin"/><Relationship Id="rId4" Type="http://schemas.openxmlformats.org/officeDocument/2006/relationships/footnotes" Target="footnotes.xml"/><Relationship Id="rId9" Type="http://schemas.openxmlformats.org/officeDocument/2006/relationships/hyperlink" Target="http://www.itu.int/publ/R-REC/fr" TargetMode="External"/><Relationship Id="rId14" Type="http://schemas.openxmlformats.org/officeDocument/2006/relationships/image" Target="media/image2.wmf"/><Relationship Id="rId22" Type="http://schemas.openxmlformats.org/officeDocument/2006/relationships/oleObject" Target="embeddings/oleObject5.bin"/><Relationship Id="rId27" Type="http://schemas.openxmlformats.org/officeDocument/2006/relationships/oleObject" Target="embeddings/oleObject9.bin"/><Relationship Id="rId30" Type="http://schemas.openxmlformats.org/officeDocument/2006/relationships/oleObject" Target="embeddings/oleObject12.bin"/><Relationship Id="rId35" Type="http://schemas.openxmlformats.org/officeDocument/2006/relationships/oleObject" Target="embeddings/oleObject15.bin"/><Relationship Id="rId43" Type="http://schemas.openxmlformats.org/officeDocument/2006/relationships/oleObject" Target="embeddings/oleObject20.bin"/><Relationship Id="rId48" Type="http://schemas.openxmlformats.org/officeDocument/2006/relationships/oleObject" Target="embeddings/oleObject23.bin"/><Relationship Id="rId56" Type="http://schemas.openxmlformats.org/officeDocument/2006/relationships/header" Target="header6.xml"/><Relationship Id="rId8" Type="http://schemas.openxmlformats.org/officeDocument/2006/relationships/hyperlink" Target="http://www.itu.int/ITU-R/go/patents/fr" TargetMode="External"/><Relationship Id="rId51" Type="http://schemas.openxmlformats.org/officeDocument/2006/relationships/oleObject" Target="embeddings/oleObject26.bin"/><Relationship Id="rId3"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rice\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90</TotalTime>
  <Pages>6</Pages>
  <Words>1880</Words>
  <Characters>10762</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12617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Brice, Corinne</dc:creator>
  <cp:keywords/>
  <dc:description/>
  <cp:lastModifiedBy>Al-Yammouni, Hala</cp:lastModifiedBy>
  <cp:revision>8</cp:revision>
  <cp:lastPrinted>2015-07-30T09:22:00Z</cp:lastPrinted>
  <dcterms:created xsi:type="dcterms:W3CDTF">2014-08-13T12:40:00Z</dcterms:created>
  <dcterms:modified xsi:type="dcterms:W3CDTF">2015-07-30T09:22:00Z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