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tbl>
      <w:tblPr>
        <w:tblW w:w="10089" w:type="dxa"/>
        <w:tblLook w:val="01E0" w:firstRow="1" w:lastRow="1" w:firstColumn="1" w:lastColumn="1" w:noHBand="0" w:noVBand="0"/>
      </w:tblPr>
      <w:tblGrid>
        <w:gridCol w:w="10089"/>
      </w:tblGrid>
      <w:tr w:rsidR="003E7971" w:rsidRPr="00D47117" w:rsidTr="003D74B9">
        <w:tc>
          <w:tcPr>
            <w:tcW w:w="10089" w:type="dxa"/>
          </w:tcPr>
          <w:p w:rsidR="003E7971" w:rsidRPr="00D47117" w:rsidRDefault="003E7971" w:rsidP="003D74B9">
            <w:pPr>
              <w:spacing w:before="380" w:line="280" w:lineRule="exact"/>
              <w:jc w:val="right"/>
              <w:rPr>
                <w:rFonts w:ascii="Tahoma" w:hAnsi="Tahoma" w:cs="Tahoma"/>
                <w:b/>
                <w:bCs/>
                <w:iCs/>
                <w:color w:val="243285"/>
                <w:sz w:val="32"/>
                <w:szCs w:val="32"/>
                <w:lang w:val="es-ES"/>
              </w:rPr>
            </w:pPr>
          </w:p>
          <w:p w:rsidR="003E7971" w:rsidRPr="00D47117" w:rsidRDefault="003E7971" w:rsidP="00CB7CBD">
            <w:pPr>
              <w:spacing w:before="380" w:line="280" w:lineRule="exact"/>
              <w:jc w:val="right"/>
              <w:rPr>
                <w:rFonts w:ascii="Tahoma" w:hAnsi="Tahoma" w:cs="Tahoma"/>
                <w:b/>
                <w:bCs/>
                <w:iCs/>
                <w:color w:val="243285"/>
                <w:sz w:val="36"/>
                <w:szCs w:val="36"/>
                <w:lang w:val="es-ES"/>
              </w:rPr>
            </w:pPr>
            <w:r w:rsidRPr="00D47117">
              <w:rPr>
                <w:rFonts w:ascii="Tahoma" w:hAnsi="Tahoma" w:cs="Tahoma"/>
                <w:b/>
                <w:bCs/>
                <w:iCs/>
                <w:color w:val="243285"/>
                <w:sz w:val="36"/>
                <w:szCs w:val="36"/>
                <w:lang w:val="es-ES"/>
              </w:rPr>
              <w:t>Recomendación  UIT-R  P.6</w:t>
            </w:r>
            <w:r w:rsidR="00CB7CBD">
              <w:rPr>
                <w:rFonts w:ascii="Tahoma" w:hAnsi="Tahoma" w:cs="Tahoma"/>
                <w:b/>
                <w:bCs/>
                <w:iCs/>
                <w:color w:val="243285"/>
                <w:sz w:val="36"/>
                <w:szCs w:val="36"/>
                <w:lang w:val="es-ES"/>
              </w:rPr>
              <w:t>79</w:t>
            </w:r>
            <w:r w:rsidRPr="00D47117">
              <w:rPr>
                <w:rFonts w:ascii="Tahoma" w:hAnsi="Tahoma" w:cs="Tahoma"/>
                <w:b/>
                <w:bCs/>
                <w:iCs/>
                <w:color w:val="243285"/>
                <w:sz w:val="36"/>
                <w:szCs w:val="36"/>
                <w:lang w:val="es-ES"/>
              </w:rPr>
              <w:t>-</w:t>
            </w:r>
            <w:r w:rsidR="00CB7CBD">
              <w:rPr>
                <w:rFonts w:ascii="Tahoma" w:hAnsi="Tahoma" w:cs="Tahoma"/>
                <w:b/>
                <w:bCs/>
                <w:iCs/>
                <w:color w:val="243285"/>
                <w:sz w:val="36"/>
                <w:szCs w:val="36"/>
                <w:lang w:val="es-ES"/>
              </w:rPr>
              <w:t>4</w:t>
            </w:r>
          </w:p>
          <w:p w:rsidR="003E7971" w:rsidRPr="00D47117" w:rsidRDefault="003E7971" w:rsidP="00CB7CBD">
            <w:pPr>
              <w:spacing w:before="80" w:line="280" w:lineRule="exact"/>
              <w:jc w:val="right"/>
              <w:rPr>
                <w:rFonts w:ascii="Tahoma" w:hAnsi="Tahoma" w:cs="Tahoma"/>
                <w:b/>
                <w:bCs/>
                <w:iCs/>
                <w:color w:val="243285"/>
                <w:szCs w:val="24"/>
                <w:lang w:val="es-ES"/>
              </w:rPr>
            </w:pPr>
            <w:r w:rsidRPr="00D47117">
              <w:rPr>
                <w:rFonts w:ascii="Tahoma" w:hAnsi="Tahoma" w:cs="Tahoma"/>
                <w:b/>
                <w:bCs/>
                <w:iCs/>
                <w:color w:val="243285"/>
                <w:szCs w:val="24"/>
                <w:lang w:val="es-ES"/>
              </w:rPr>
              <w:t>(</w:t>
            </w:r>
            <w:r w:rsidR="00246E1D" w:rsidRPr="00D47117">
              <w:rPr>
                <w:rFonts w:ascii="Tahoma" w:hAnsi="Tahoma" w:cs="Tahoma"/>
                <w:b/>
                <w:bCs/>
                <w:iCs/>
                <w:color w:val="243285"/>
                <w:szCs w:val="24"/>
                <w:lang w:val="es-ES"/>
              </w:rPr>
              <w:t>0</w:t>
            </w:r>
            <w:r w:rsidR="00CB7CBD">
              <w:rPr>
                <w:rFonts w:ascii="Tahoma" w:hAnsi="Tahoma" w:cs="Tahoma"/>
                <w:b/>
                <w:bCs/>
                <w:iCs/>
                <w:color w:val="243285"/>
                <w:szCs w:val="24"/>
                <w:lang w:val="es-ES"/>
              </w:rPr>
              <w:t>7</w:t>
            </w:r>
            <w:r w:rsidRPr="00D47117">
              <w:rPr>
                <w:rFonts w:ascii="Tahoma" w:hAnsi="Tahoma" w:cs="Tahoma"/>
                <w:b/>
                <w:bCs/>
                <w:iCs/>
                <w:color w:val="243285"/>
                <w:szCs w:val="24"/>
                <w:lang w:val="es-ES"/>
              </w:rPr>
              <w:t>/</w:t>
            </w:r>
            <w:r w:rsidR="00246E1D" w:rsidRPr="00D47117">
              <w:rPr>
                <w:rFonts w:ascii="Tahoma" w:hAnsi="Tahoma" w:cs="Tahoma"/>
                <w:b/>
                <w:bCs/>
                <w:iCs/>
                <w:color w:val="243285"/>
                <w:szCs w:val="24"/>
                <w:lang w:val="es-ES"/>
              </w:rPr>
              <w:t>201</w:t>
            </w:r>
            <w:r w:rsidR="00CB7CBD">
              <w:rPr>
                <w:rFonts w:ascii="Tahoma" w:hAnsi="Tahoma" w:cs="Tahoma"/>
                <w:b/>
                <w:bCs/>
                <w:iCs/>
                <w:color w:val="243285"/>
                <w:szCs w:val="24"/>
                <w:lang w:val="es-ES"/>
              </w:rPr>
              <w:t>5</w:t>
            </w:r>
            <w:r w:rsidRPr="00D47117">
              <w:rPr>
                <w:rFonts w:ascii="Tahoma" w:hAnsi="Tahoma" w:cs="Tahoma"/>
                <w:b/>
                <w:bCs/>
                <w:iCs/>
                <w:color w:val="243285"/>
                <w:szCs w:val="24"/>
                <w:lang w:val="es-ES"/>
              </w:rPr>
              <w:t>)</w:t>
            </w:r>
          </w:p>
        </w:tc>
      </w:tr>
      <w:tr w:rsidR="003E7971" w:rsidRPr="003F5090" w:rsidTr="003D74B9">
        <w:tc>
          <w:tcPr>
            <w:tcW w:w="10089" w:type="dxa"/>
          </w:tcPr>
          <w:p w:rsidR="003E7971" w:rsidRPr="00D47117" w:rsidRDefault="003E7971" w:rsidP="003D74B9">
            <w:pPr>
              <w:spacing w:before="80" w:line="500" w:lineRule="exact"/>
              <w:jc w:val="right"/>
              <w:rPr>
                <w:rFonts w:ascii="Tahoma" w:hAnsi="Tahoma" w:cs="Tahoma"/>
                <w:b/>
                <w:bCs/>
                <w:iCs/>
                <w:color w:val="243285"/>
                <w:sz w:val="44"/>
                <w:szCs w:val="44"/>
                <w:lang w:val="es-ES"/>
              </w:rPr>
            </w:pPr>
          </w:p>
          <w:p w:rsidR="003E7971" w:rsidRPr="00D47117" w:rsidRDefault="00CB7CBD" w:rsidP="00505C81">
            <w:pPr>
              <w:spacing w:before="80" w:line="500" w:lineRule="exact"/>
              <w:jc w:val="right"/>
              <w:rPr>
                <w:rFonts w:ascii="Tahoma" w:hAnsi="Tahoma" w:cs="Tahoma"/>
                <w:b/>
                <w:bCs/>
                <w:iCs/>
                <w:color w:val="243285"/>
                <w:sz w:val="44"/>
                <w:szCs w:val="44"/>
                <w:lang w:val="es-ES"/>
              </w:rPr>
            </w:pPr>
            <w:r w:rsidRPr="00CB7CBD">
              <w:rPr>
                <w:rFonts w:ascii="Tahoma" w:hAnsi="Tahoma" w:cs="Tahoma"/>
                <w:b/>
                <w:bCs/>
                <w:color w:val="243285"/>
                <w:sz w:val="44"/>
                <w:szCs w:val="44"/>
                <w:lang w:val="es-ES"/>
              </w:rPr>
              <w:t>Datos de propagación necesarios</w:t>
            </w:r>
            <w:r w:rsidR="00505C81">
              <w:rPr>
                <w:rFonts w:ascii="Tahoma" w:hAnsi="Tahoma" w:cs="Tahoma"/>
                <w:b/>
                <w:bCs/>
                <w:color w:val="243285"/>
                <w:sz w:val="44"/>
                <w:szCs w:val="44"/>
                <w:lang w:val="es-ES"/>
              </w:rPr>
              <w:br/>
            </w:r>
            <w:r w:rsidRPr="00CB7CBD">
              <w:rPr>
                <w:rFonts w:ascii="Tahoma" w:hAnsi="Tahoma" w:cs="Tahoma"/>
                <w:b/>
                <w:bCs/>
                <w:color w:val="243285"/>
                <w:sz w:val="44"/>
                <w:szCs w:val="44"/>
                <w:lang w:val="es-ES"/>
              </w:rPr>
              <w:t>para</w:t>
            </w:r>
            <w:r w:rsidR="00505C81">
              <w:rPr>
                <w:rFonts w:ascii="Tahoma" w:hAnsi="Tahoma" w:cs="Tahoma"/>
                <w:b/>
                <w:bCs/>
                <w:color w:val="243285"/>
                <w:sz w:val="44"/>
                <w:szCs w:val="44"/>
                <w:lang w:val="es-ES"/>
              </w:rPr>
              <w:t xml:space="preserve"> </w:t>
            </w:r>
            <w:r w:rsidRPr="00CB7CBD">
              <w:rPr>
                <w:rFonts w:ascii="Tahoma" w:hAnsi="Tahoma" w:cs="Tahoma"/>
                <w:b/>
                <w:bCs/>
                <w:color w:val="243285"/>
                <w:sz w:val="44"/>
                <w:szCs w:val="44"/>
                <w:lang w:val="es-ES"/>
              </w:rPr>
              <w:t>el diseño</w:t>
            </w:r>
            <w:r>
              <w:rPr>
                <w:rFonts w:ascii="Tahoma" w:hAnsi="Tahoma" w:cs="Tahoma"/>
                <w:b/>
                <w:bCs/>
                <w:color w:val="243285"/>
                <w:sz w:val="44"/>
                <w:szCs w:val="44"/>
                <w:lang w:val="es-ES"/>
              </w:rPr>
              <w:t xml:space="preserve"> </w:t>
            </w:r>
            <w:r w:rsidRPr="00CB7CBD">
              <w:rPr>
                <w:rFonts w:ascii="Tahoma" w:hAnsi="Tahoma" w:cs="Tahoma"/>
                <w:b/>
                <w:bCs/>
                <w:color w:val="243285"/>
                <w:sz w:val="44"/>
                <w:szCs w:val="44"/>
                <w:lang w:val="es-ES"/>
              </w:rPr>
              <w:t>de sistemas de</w:t>
            </w:r>
            <w:r w:rsidR="00505C81">
              <w:rPr>
                <w:rFonts w:ascii="Tahoma" w:hAnsi="Tahoma" w:cs="Tahoma"/>
                <w:b/>
                <w:bCs/>
                <w:color w:val="243285"/>
                <w:sz w:val="44"/>
                <w:szCs w:val="44"/>
                <w:lang w:val="es-ES"/>
              </w:rPr>
              <w:br/>
            </w:r>
            <w:r w:rsidRPr="00CB7CBD">
              <w:rPr>
                <w:rFonts w:ascii="Tahoma" w:hAnsi="Tahoma" w:cs="Tahoma"/>
                <w:b/>
                <w:bCs/>
                <w:color w:val="243285"/>
                <w:sz w:val="44"/>
                <w:szCs w:val="44"/>
                <w:lang w:val="es-ES"/>
              </w:rPr>
              <w:t>radiodifusión</w:t>
            </w:r>
            <w:r w:rsidR="00505C81">
              <w:rPr>
                <w:rFonts w:ascii="Tahoma" w:hAnsi="Tahoma" w:cs="Tahoma"/>
                <w:b/>
                <w:bCs/>
                <w:color w:val="243285"/>
                <w:sz w:val="44"/>
                <w:szCs w:val="44"/>
                <w:lang w:val="es-ES"/>
              </w:rPr>
              <w:t xml:space="preserve"> </w:t>
            </w:r>
            <w:r w:rsidRPr="00CB7CBD">
              <w:rPr>
                <w:rFonts w:ascii="Tahoma" w:hAnsi="Tahoma" w:cs="Tahoma"/>
                <w:b/>
                <w:bCs/>
                <w:color w:val="243285"/>
                <w:sz w:val="44"/>
                <w:szCs w:val="44"/>
                <w:lang w:val="es-ES"/>
              </w:rPr>
              <w:t>por satélite</w:t>
            </w:r>
            <w:r w:rsidRPr="00CB7CBD">
              <w:rPr>
                <w:rFonts w:ascii="Tahoma" w:hAnsi="Tahoma" w:cs="Tahoma"/>
                <w:b/>
                <w:bCs/>
                <w:iCs/>
                <w:color w:val="243285"/>
                <w:sz w:val="44"/>
                <w:szCs w:val="44"/>
                <w:lang w:val="es-ES"/>
              </w:rPr>
              <w:t xml:space="preserve"> </w:t>
            </w:r>
          </w:p>
        </w:tc>
      </w:tr>
      <w:tr w:rsidR="003E7971" w:rsidRPr="003F5090" w:rsidTr="003D74B9">
        <w:tc>
          <w:tcPr>
            <w:tcW w:w="10089" w:type="dxa"/>
          </w:tcPr>
          <w:p w:rsidR="003E7971" w:rsidRPr="00D47117" w:rsidRDefault="003E7971" w:rsidP="003D74B9">
            <w:pPr>
              <w:spacing w:before="80" w:line="280" w:lineRule="exact"/>
              <w:ind w:right="640"/>
              <w:rPr>
                <w:rFonts w:ascii="Tahoma" w:hAnsi="Tahoma" w:cs="Tahoma"/>
                <w:b/>
                <w:bCs/>
                <w:iCs/>
                <w:color w:val="243285"/>
                <w:sz w:val="32"/>
                <w:szCs w:val="32"/>
                <w:lang w:val="es-ES"/>
              </w:rPr>
            </w:pPr>
          </w:p>
          <w:p w:rsidR="003E7971" w:rsidRPr="00D47117" w:rsidRDefault="003E7971" w:rsidP="003D74B9">
            <w:pPr>
              <w:spacing w:before="80" w:line="280" w:lineRule="exact"/>
              <w:ind w:right="640"/>
              <w:rPr>
                <w:rFonts w:ascii="Tahoma" w:hAnsi="Tahoma" w:cs="Tahoma"/>
                <w:b/>
                <w:bCs/>
                <w:iCs/>
                <w:color w:val="243285"/>
                <w:sz w:val="32"/>
                <w:szCs w:val="32"/>
                <w:lang w:val="es-ES"/>
              </w:rPr>
            </w:pPr>
          </w:p>
          <w:p w:rsidR="003E7971" w:rsidRPr="00D47117" w:rsidRDefault="003E7971" w:rsidP="003D74B9">
            <w:pPr>
              <w:spacing w:before="80" w:after="180" w:line="360" w:lineRule="exact"/>
              <w:ind w:right="720"/>
              <w:rPr>
                <w:rFonts w:ascii="Tahoma" w:hAnsi="Tahoma" w:cs="Tahoma"/>
                <w:b/>
                <w:bCs/>
                <w:iCs/>
                <w:color w:val="243285"/>
                <w:sz w:val="36"/>
                <w:szCs w:val="36"/>
                <w:lang w:val="es-ES"/>
              </w:rPr>
            </w:pPr>
          </w:p>
          <w:p w:rsidR="003E7971" w:rsidRPr="00D47117" w:rsidRDefault="003E7971" w:rsidP="003D74B9">
            <w:pPr>
              <w:spacing w:before="80" w:after="180" w:line="360" w:lineRule="exact"/>
              <w:jc w:val="right"/>
              <w:rPr>
                <w:rFonts w:ascii="Tahoma" w:hAnsi="Tahoma" w:cs="Tahoma"/>
                <w:b/>
                <w:bCs/>
                <w:iCs/>
                <w:color w:val="243285"/>
                <w:sz w:val="36"/>
                <w:szCs w:val="36"/>
                <w:lang w:val="es-ES"/>
              </w:rPr>
            </w:pPr>
            <w:r w:rsidRPr="00D47117">
              <w:rPr>
                <w:rFonts w:ascii="Tahoma" w:hAnsi="Tahoma" w:cs="Tahoma"/>
                <w:b/>
                <w:bCs/>
                <w:iCs/>
                <w:color w:val="243285"/>
                <w:sz w:val="36"/>
                <w:szCs w:val="36"/>
                <w:lang w:val="es-ES"/>
              </w:rPr>
              <w:t>Serie P</w:t>
            </w:r>
          </w:p>
          <w:p w:rsidR="003E7971" w:rsidRPr="00D47117" w:rsidRDefault="003E7971" w:rsidP="003D74B9">
            <w:pPr>
              <w:spacing w:before="80" w:line="420" w:lineRule="exact"/>
              <w:jc w:val="right"/>
              <w:rPr>
                <w:rFonts w:ascii="Tahoma" w:hAnsi="Tahoma" w:cs="Tahoma"/>
                <w:b/>
                <w:bCs/>
                <w:iCs/>
                <w:color w:val="243285"/>
                <w:sz w:val="36"/>
                <w:szCs w:val="36"/>
                <w:lang w:val="es-ES"/>
              </w:rPr>
            </w:pPr>
            <w:r w:rsidRPr="00D47117">
              <w:rPr>
                <w:rFonts w:ascii="Tahoma" w:hAnsi="Tahoma" w:cs="Tahoma"/>
                <w:b/>
                <w:bCs/>
                <w:iCs/>
                <w:color w:val="243285"/>
                <w:sz w:val="36"/>
                <w:szCs w:val="36"/>
                <w:lang w:val="es-ES"/>
              </w:rPr>
              <w:t>Propagación de las ondas radioeléctricas</w:t>
            </w:r>
          </w:p>
        </w:tc>
      </w:tr>
    </w:tbl>
    <w:p w:rsidR="003E7971" w:rsidRPr="00D47117" w:rsidRDefault="003E7971" w:rsidP="003D74B9">
      <w:pPr>
        <w:spacing w:before="80"/>
        <w:rPr>
          <w:i/>
          <w:sz w:val="22"/>
          <w:lang w:val="es-ES"/>
        </w:rPr>
      </w:pPr>
    </w:p>
    <w:p w:rsidR="003E7971" w:rsidRPr="00D47117" w:rsidRDefault="003E7971" w:rsidP="003D74B9">
      <w:pPr>
        <w:spacing w:before="80"/>
        <w:rPr>
          <w:i/>
          <w:sz w:val="22"/>
          <w:lang w:val="es-ES"/>
        </w:rPr>
      </w:pPr>
    </w:p>
    <w:p w:rsidR="003E7971" w:rsidRPr="00D47117" w:rsidRDefault="003E7971" w:rsidP="003D74B9">
      <w:pPr>
        <w:spacing w:before="80"/>
        <w:rPr>
          <w:i/>
          <w:sz w:val="22"/>
          <w:lang w:val="es-ES"/>
        </w:rPr>
      </w:pPr>
    </w:p>
    <w:p w:rsidR="003E7971" w:rsidRPr="00D47117" w:rsidRDefault="003E7971" w:rsidP="003D74B9">
      <w:pPr>
        <w:spacing w:before="80"/>
        <w:rPr>
          <w:i/>
          <w:sz w:val="22"/>
          <w:lang w:val="es-ES"/>
        </w:rPr>
      </w:pPr>
    </w:p>
    <w:p w:rsidR="003E7971" w:rsidRPr="00D47117" w:rsidRDefault="003E7971" w:rsidP="003D74B9">
      <w:pPr>
        <w:spacing w:before="80"/>
        <w:rPr>
          <w:i/>
          <w:sz w:val="22"/>
          <w:lang w:val="es-ES"/>
        </w:rPr>
      </w:pPr>
    </w:p>
    <w:p w:rsidR="003E7971" w:rsidRPr="00D47117" w:rsidRDefault="003E7971" w:rsidP="003D74B9">
      <w:pPr>
        <w:spacing w:before="80"/>
        <w:rPr>
          <w:i/>
          <w:sz w:val="22"/>
          <w:lang w:val="es-ES"/>
        </w:rPr>
      </w:pPr>
    </w:p>
    <w:p w:rsidR="003E7971" w:rsidRPr="00D47117" w:rsidRDefault="003E7971" w:rsidP="003D74B9">
      <w:pPr>
        <w:pStyle w:val="Equation"/>
        <w:tabs>
          <w:tab w:val="clear" w:pos="4820"/>
          <w:tab w:val="clear" w:pos="9639"/>
          <w:tab w:val="left" w:pos="1191"/>
          <w:tab w:val="left" w:pos="1588"/>
          <w:tab w:val="left" w:pos="1985"/>
        </w:tabs>
        <w:rPr>
          <w:rFonts w:ascii="Palatino Linotype" w:hAnsi="Palatino Linotype"/>
          <w:lang w:val="es-ES"/>
        </w:rPr>
        <w:sectPr w:rsidR="003E7971" w:rsidRPr="00D47117" w:rsidSect="003D74B9">
          <w:headerReference w:type="even" r:id="rId8"/>
          <w:headerReference w:type="default" r:id="rId9"/>
          <w:pgSz w:w="11907" w:h="16834" w:code="9"/>
          <w:pgMar w:top="1418" w:right="1134" w:bottom="1134" w:left="1134" w:header="720" w:footer="482" w:gutter="0"/>
          <w:paperSrc w:first="15" w:other="15"/>
          <w:cols w:space="720"/>
        </w:sectPr>
      </w:pPr>
    </w:p>
    <w:p w:rsidR="003E7971" w:rsidRPr="00D47117" w:rsidRDefault="003E7971" w:rsidP="003D74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0" w:name="c2tope"/>
      <w:bookmarkEnd w:id="0"/>
      <w:r w:rsidRPr="00D47117">
        <w:rPr>
          <w:bCs/>
          <w:sz w:val="24"/>
          <w:szCs w:val="24"/>
          <w:lang w:val="es-ES"/>
        </w:rPr>
        <w:lastRenderedPageBreak/>
        <w:t>Prólogo</w:t>
      </w:r>
    </w:p>
    <w:p w:rsidR="003E7971" w:rsidRPr="00D47117" w:rsidRDefault="003E7971" w:rsidP="003D74B9">
      <w:pPr>
        <w:spacing w:before="180"/>
        <w:rPr>
          <w:sz w:val="20"/>
          <w:lang w:val="es-ES"/>
        </w:rPr>
      </w:pPr>
      <w:r w:rsidRPr="00D47117">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E7971" w:rsidRPr="00D47117" w:rsidRDefault="003E7971" w:rsidP="003D74B9">
      <w:pPr>
        <w:rPr>
          <w:sz w:val="20"/>
          <w:lang w:val="es-ES"/>
        </w:rPr>
      </w:pPr>
      <w:r w:rsidRPr="00D47117">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rsidR="003E7971" w:rsidRPr="00D47117" w:rsidRDefault="003E7971" w:rsidP="003D74B9">
      <w:pPr>
        <w:pStyle w:val="Heading1"/>
        <w:spacing w:before="340"/>
        <w:jc w:val="center"/>
        <w:rPr>
          <w:szCs w:val="24"/>
          <w:lang w:val="es-ES"/>
        </w:rPr>
      </w:pPr>
      <w:r w:rsidRPr="00D47117">
        <w:rPr>
          <w:lang w:val="es-ES"/>
        </w:rPr>
        <w:t>Política sobre Derechos de Propiedad Intelectual</w:t>
      </w:r>
      <w:r w:rsidRPr="00D47117">
        <w:rPr>
          <w:szCs w:val="24"/>
          <w:lang w:val="es-ES"/>
        </w:rPr>
        <w:t xml:space="preserve"> (IPR)</w:t>
      </w:r>
    </w:p>
    <w:p w:rsidR="003E7971" w:rsidRPr="00D47117" w:rsidRDefault="003E7971" w:rsidP="003D74B9">
      <w:pPr>
        <w:spacing w:before="180"/>
        <w:rPr>
          <w:sz w:val="20"/>
          <w:lang w:val="es-ES"/>
        </w:rPr>
      </w:pPr>
      <w:r w:rsidRPr="00D47117">
        <w:rPr>
          <w:sz w:val="20"/>
          <w:lang w:val="es-ES"/>
        </w:rPr>
        <w:t>La política del UIT</w:t>
      </w:r>
      <w:r w:rsidRPr="00D47117">
        <w:rPr>
          <w:sz w:val="20"/>
          <w:lang w:val="es-ES"/>
        </w:rPr>
        <w:noBreakHyphen/>
        <w:t>R sobre Derechos de Propiedad Intelectual se describe en la Política Común de Patentes UIT</w:t>
      </w:r>
      <w:r w:rsidRPr="00D47117">
        <w:rPr>
          <w:sz w:val="20"/>
          <w:lang w:val="es-ES"/>
        </w:rPr>
        <w:noBreakHyphen/>
        <w:t>T/UIT</w:t>
      </w:r>
      <w:r w:rsidRPr="00D47117">
        <w:rPr>
          <w:sz w:val="20"/>
          <w:lang w:val="es-ES"/>
        </w:rPr>
        <w:noBreakHyphen/>
        <w:t>R/ISO/CEI a la que se hace referencia en el Anexo 1 a la Resolución UIT</w:t>
      </w:r>
      <w:r w:rsidRPr="00D47117">
        <w:rPr>
          <w:sz w:val="20"/>
          <w:lang w:val="es-ES"/>
        </w:rPr>
        <w:noBreakHyphen/>
        <w:t xml:space="preserve">R 1. Los formularios que deben utilizarse en la declaración sobre patentes y utilización de patentes por los titulares de las mismas figuran en la dirección web </w:t>
      </w:r>
      <w:hyperlink r:id="rId10" w:history="1">
        <w:r w:rsidRPr="00D47117">
          <w:rPr>
            <w:rStyle w:val="Hyperlink"/>
            <w:sz w:val="20"/>
            <w:lang w:val="es-ES"/>
          </w:rPr>
          <w:t>http://www.itu.int/ITU-R/go/patents/es</w:t>
        </w:r>
      </w:hyperlink>
      <w:r w:rsidRPr="00D47117">
        <w:rPr>
          <w:sz w:val="20"/>
          <w:lang w:val="es-ES"/>
        </w:rPr>
        <w:t>, donde también aparecen las Directrices para la implementación de la Política Común de Patentes UIT</w:t>
      </w:r>
      <w:r w:rsidRPr="00D47117">
        <w:rPr>
          <w:sz w:val="20"/>
          <w:lang w:val="es-ES"/>
        </w:rPr>
        <w:noBreakHyphen/>
        <w:t>T/UIT</w:t>
      </w:r>
      <w:r w:rsidRPr="00D47117">
        <w:rPr>
          <w:sz w:val="20"/>
          <w:lang w:val="es-ES"/>
        </w:rPr>
        <w:noBreakHyphen/>
        <w:t>R/ISO/CEI y la base de datos sobre información de patentes del UIT</w:t>
      </w:r>
      <w:r w:rsidRPr="00D47117">
        <w:rPr>
          <w:sz w:val="20"/>
          <w:lang w:val="es-ES"/>
        </w:rPr>
        <w:noBreakHyphen/>
        <w:t>R sobre este asunto.</w:t>
      </w:r>
    </w:p>
    <w:p w:rsidR="003E7971" w:rsidRPr="00D47117" w:rsidRDefault="003E7971" w:rsidP="003D74B9">
      <w:pPr>
        <w:spacing w:before="0"/>
        <w:jc w:val="center"/>
        <w:rPr>
          <w:sz w:val="22"/>
          <w:lang w:val="es-ES"/>
        </w:rPr>
      </w:pPr>
    </w:p>
    <w:p w:rsidR="003E7971" w:rsidRPr="00D47117" w:rsidRDefault="003E7971" w:rsidP="003D74B9">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E7971" w:rsidRPr="003F5090" w:rsidTr="003D74B9">
        <w:tc>
          <w:tcPr>
            <w:tcW w:w="9360" w:type="dxa"/>
            <w:gridSpan w:val="2"/>
          </w:tcPr>
          <w:p w:rsidR="003E7971" w:rsidRPr="00D47117" w:rsidRDefault="003E7971" w:rsidP="003D74B9">
            <w:pPr>
              <w:pStyle w:val="Chaptitle"/>
              <w:keepLines w:val="0"/>
              <w:tabs>
                <w:tab w:val="clear" w:pos="794"/>
                <w:tab w:val="clear" w:pos="1191"/>
                <w:tab w:val="clear" w:pos="1588"/>
                <w:tab w:val="clear" w:pos="1985"/>
              </w:tabs>
              <w:overflowPunct/>
              <w:spacing w:before="140"/>
              <w:textAlignment w:val="auto"/>
              <w:rPr>
                <w:sz w:val="22"/>
                <w:szCs w:val="22"/>
                <w:lang w:val="es-ES"/>
              </w:rPr>
            </w:pPr>
            <w:r w:rsidRPr="00D47117">
              <w:rPr>
                <w:sz w:val="22"/>
                <w:szCs w:val="22"/>
                <w:lang w:val="es-ES"/>
              </w:rPr>
              <w:t xml:space="preserve">Series de las Recomendaciones UIT-R </w:t>
            </w:r>
          </w:p>
          <w:p w:rsidR="003E7971" w:rsidRPr="00D47117" w:rsidRDefault="003E7971" w:rsidP="003D74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D47117">
              <w:rPr>
                <w:b w:val="0"/>
                <w:sz w:val="18"/>
                <w:szCs w:val="18"/>
                <w:lang w:val="es-ES"/>
              </w:rPr>
              <w:t xml:space="preserve">(También disponible en línea en </w:t>
            </w:r>
            <w:hyperlink r:id="rId11" w:history="1">
              <w:r w:rsidRPr="00D47117">
                <w:rPr>
                  <w:rStyle w:val="Hyperlink"/>
                  <w:b w:val="0"/>
                  <w:bCs/>
                  <w:sz w:val="18"/>
                  <w:szCs w:val="18"/>
                  <w:lang w:val="es-ES"/>
                </w:rPr>
                <w:t>http://www.itu.int/publ/R-REC/es</w:t>
              </w:r>
            </w:hyperlink>
            <w:r w:rsidRPr="00D47117">
              <w:rPr>
                <w:b w:val="0"/>
                <w:bCs/>
                <w:sz w:val="18"/>
                <w:szCs w:val="18"/>
                <w:lang w:val="es-ES"/>
              </w:rPr>
              <w:t>)</w:t>
            </w:r>
          </w:p>
        </w:tc>
      </w:tr>
      <w:tr w:rsidR="003E7971" w:rsidRPr="00D47117" w:rsidTr="003D74B9">
        <w:tc>
          <w:tcPr>
            <w:tcW w:w="1140" w:type="dxa"/>
            <w:tcBorders>
              <w:bottom w:val="nil"/>
            </w:tcBorders>
          </w:tcPr>
          <w:p w:rsidR="003E7971" w:rsidRPr="00D47117" w:rsidRDefault="003E7971" w:rsidP="003D74B9">
            <w:pPr>
              <w:spacing w:before="180" w:after="100"/>
              <w:ind w:left="57"/>
              <w:rPr>
                <w:b/>
                <w:bCs/>
                <w:sz w:val="20"/>
                <w:lang w:val="es-ES"/>
              </w:rPr>
            </w:pPr>
            <w:r w:rsidRPr="00D47117">
              <w:rPr>
                <w:b/>
                <w:bCs/>
                <w:sz w:val="20"/>
                <w:lang w:val="es-ES"/>
              </w:rPr>
              <w:t>Series</w:t>
            </w:r>
          </w:p>
        </w:tc>
        <w:tc>
          <w:tcPr>
            <w:tcW w:w="8220" w:type="dxa"/>
            <w:tcBorders>
              <w:bottom w:val="nil"/>
            </w:tcBorders>
          </w:tcPr>
          <w:p w:rsidR="003E7971" w:rsidRPr="00D47117" w:rsidRDefault="003E7971" w:rsidP="003D74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D47117">
              <w:rPr>
                <w:bCs/>
                <w:sz w:val="20"/>
                <w:lang w:val="es-ES"/>
              </w:rPr>
              <w:t>Título</w:t>
            </w:r>
          </w:p>
        </w:tc>
      </w:tr>
      <w:tr w:rsidR="003E7971" w:rsidRPr="00D47117" w:rsidTr="003D74B9">
        <w:tc>
          <w:tcPr>
            <w:tcW w:w="1140" w:type="dxa"/>
            <w:tcBorders>
              <w:top w:val="nil"/>
              <w:bottom w:val="nil"/>
            </w:tcBorders>
            <w:shd w:val="clear" w:color="auto" w:fill="auto"/>
          </w:tcPr>
          <w:p w:rsidR="003E7971" w:rsidRPr="00D47117" w:rsidRDefault="003E7971" w:rsidP="003D74B9">
            <w:pPr>
              <w:spacing w:before="30" w:after="30"/>
              <w:ind w:left="57"/>
              <w:jc w:val="left"/>
              <w:rPr>
                <w:b/>
                <w:bCs/>
                <w:sz w:val="20"/>
                <w:lang w:val="es-ES"/>
              </w:rPr>
            </w:pPr>
            <w:r w:rsidRPr="00D47117">
              <w:rPr>
                <w:b/>
                <w:bCs/>
                <w:sz w:val="20"/>
                <w:lang w:val="es-ES"/>
              </w:rPr>
              <w:t>BO</w:t>
            </w:r>
          </w:p>
        </w:tc>
        <w:tc>
          <w:tcPr>
            <w:tcW w:w="8220" w:type="dxa"/>
            <w:tcBorders>
              <w:top w:val="nil"/>
              <w:bottom w:val="nil"/>
            </w:tcBorders>
            <w:shd w:val="clear" w:color="auto" w:fill="auto"/>
          </w:tcPr>
          <w:p w:rsidR="003E7971" w:rsidRPr="00D47117" w:rsidRDefault="003E7971" w:rsidP="003D74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D47117">
              <w:rPr>
                <w:b w:val="0"/>
                <w:sz w:val="20"/>
                <w:lang w:val="es-ES"/>
              </w:rPr>
              <w:t>Distribución por satélite</w:t>
            </w:r>
          </w:p>
        </w:tc>
      </w:tr>
      <w:tr w:rsidR="003E7971" w:rsidRPr="003F5090" w:rsidTr="003D74B9">
        <w:tc>
          <w:tcPr>
            <w:tcW w:w="1140" w:type="dxa"/>
            <w:tcBorders>
              <w:top w:val="nil"/>
              <w:bottom w:val="nil"/>
            </w:tcBorders>
            <w:shd w:val="clear" w:color="auto" w:fill="auto"/>
          </w:tcPr>
          <w:p w:rsidR="003E7971" w:rsidRPr="00D47117" w:rsidRDefault="003E7971" w:rsidP="003D74B9">
            <w:pPr>
              <w:spacing w:before="30" w:after="30"/>
              <w:ind w:left="57"/>
              <w:jc w:val="left"/>
              <w:rPr>
                <w:b/>
                <w:bCs/>
                <w:sz w:val="20"/>
                <w:lang w:val="es-ES"/>
              </w:rPr>
            </w:pPr>
            <w:r w:rsidRPr="00D47117">
              <w:rPr>
                <w:b/>
                <w:bCs/>
                <w:sz w:val="20"/>
                <w:lang w:val="es-ES"/>
              </w:rPr>
              <w:t>BR</w:t>
            </w:r>
          </w:p>
        </w:tc>
        <w:tc>
          <w:tcPr>
            <w:tcW w:w="8220" w:type="dxa"/>
            <w:tcBorders>
              <w:top w:val="nil"/>
              <w:bottom w:val="nil"/>
            </w:tcBorders>
            <w:shd w:val="clear" w:color="auto" w:fill="auto"/>
          </w:tcPr>
          <w:p w:rsidR="003E7971" w:rsidRPr="00D47117" w:rsidRDefault="003E7971" w:rsidP="003D74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D47117">
              <w:rPr>
                <w:b w:val="0"/>
                <w:sz w:val="20"/>
                <w:lang w:val="es-ES"/>
              </w:rPr>
              <w:t>Registro para producción, archivo y reproducción; películas en televisión</w:t>
            </w:r>
          </w:p>
        </w:tc>
      </w:tr>
      <w:tr w:rsidR="003E7971" w:rsidRPr="00D47117" w:rsidTr="003D74B9">
        <w:tc>
          <w:tcPr>
            <w:tcW w:w="1140" w:type="dxa"/>
            <w:tcBorders>
              <w:top w:val="nil"/>
              <w:bottom w:val="nil"/>
            </w:tcBorders>
            <w:shd w:val="clear" w:color="auto" w:fill="auto"/>
          </w:tcPr>
          <w:p w:rsidR="003E7971" w:rsidRPr="00D47117" w:rsidRDefault="003E7971" w:rsidP="003D74B9">
            <w:pPr>
              <w:spacing w:before="30" w:after="30"/>
              <w:ind w:left="57"/>
              <w:jc w:val="left"/>
              <w:rPr>
                <w:b/>
                <w:bCs/>
                <w:sz w:val="20"/>
                <w:lang w:val="es-ES"/>
              </w:rPr>
            </w:pPr>
            <w:r w:rsidRPr="00D47117">
              <w:rPr>
                <w:b/>
                <w:bCs/>
                <w:sz w:val="20"/>
                <w:lang w:val="es-ES"/>
              </w:rPr>
              <w:t>BS</w:t>
            </w:r>
          </w:p>
        </w:tc>
        <w:tc>
          <w:tcPr>
            <w:tcW w:w="8220" w:type="dxa"/>
            <w:tcBorders>
              <w:top w:val="nil"/>
              <w:bottom w:val="nil"/>
            </w:tcBorders>
            <w:shd w:val="clear" w:color="auto" w:fill="auto"/>
          </w:tcPr>
          <w:p w:rsidR="003E7971" w:rsidRPr="00D47117" w:rsidRDefault="003E7971" w:rsidP="003D74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D47117">
              <w:rPr>
                <w:b w:val="0"/>
                <w:sz w:val="20"/>
                <w:lang w:val="es-ES"/>
              </w:rPr>
              <w:t>Servicio de radiodifusión sonora</w:t>
            </w:r>
          </w:p>
        </w:tc>
      </w:tr>
      <w:tr w:rsidR="003E7971" w:rsidRPr="00D47117" w:rsidTr="003D74B9">
        <w:tc>
          <w:tcPr>
            <w:tcW w:w="1140" w:type="dxa"/>
            <w:tcBorders>
              <w:top w:val="nil"/>
              <w:bottom w:val="nil"/>
            </w:tcBorders>
            <w:shd w:val="clear" w:color="auto" w:fill="auto"/>
          </w:tcPr>
          <w:p w:rsidR="003E7971" w:rsidRPr="00D47117" w:rsidRDefault="003E7971" w:rsidP="003D74B9">
            <w:pPr>
              <w:spacing w:before="30" w:after="30"/>
              <w:ind w:left="57"/>
              <w:jc w:val="left"/>
              <w:rPr>
                <w:b/>
                <w:bCs/>
                <w:sz w:val="20"/>
                <w:lang w:val="es-ES"/>
              </w:rPr>
            </w:pPr>
            <w:r w:rsidRPr="00D47117">
              <w:rPr>
                <w:b/>
                <w:bCs/>
                <w:sz w:val="20"/>
                <w:lang w:val="es-ES"/>
              </w:rPr>
              <w:t>BT</w:t>
            </w:r>
          </w:p>
        </w:tc>
        <w:tc>
          <w:tcPr>
            <w:tcW w:w="8220" w:type="dxa"/>
            <w:tcBorders>
              <w:top w:val="nil"/>
              <w:bottom w:val="nil"/>
            </w:tcBorders>
            <w:shd w:val="clear" w:color="auto" w:fill="auto"/>
          </w:tcPr>
          <w:p w:rsidR="003E7971" w:rsidRPr="00D47117" w:rsidRDefault="003E7971" w:rsidP="003D74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D47117">
              <w:rPr>
                <w:b w:val="0"/>
                <w:bCs/>
                <w:sz w:val="20"/>
                <w:lang w:val="es-ES"/>
              </w:rPr>
              <w:t>Servicio de radiodifusión (televisión)</w:t>
            </w:r>
          </w:p>
        </w:tc>
      </w:tr>
      <w:tr w:rsidR="003E7971" w:rsidRPr="00D47117" w:rsidTr="003D74B9">
        <w:tc>
          <w:tcPr>
            <w:tcW w:w="1140" w:type="dxa"/>
            <w:tcBorders>
              <w:top w:val="nil"/>
              <w:bottom w:val="nil"/>
            </w:tcBorders>
            <w:shd w:val="clear" w:color="auto" w:fill="auto"/>
          </w:tcPr>
          <w:p w:rsidR="003E7971" w:rsidRPr="00D47117" w:rsidRDefault="003E7971" w:rsidP="003D74B9">
            <w:pPr>
              <w:spacing w:before="30" w:after="30"/>
              <w:ind w:left="57"/>
              <w:jc w:val="left"/>
              <w:rPr>
                <w:b/>
                <w:bCs/>
                <w:sz w:val="20"/>
                <w:lang w:val="es-ES"/>
              </w:rPr>
            </w:pPr>
            <w:r w:rsidRPr="00D47117">
              <w:rPr>
                <w:b/>
                <w:bCs/>
                <w:sz w:val="20"/>
                <w:lang w:val="es-ES"/>
              </w:rPr>
              <w:t>F</w:t>
            </w:r>
          </w:p>
        </w:tc>
        <w:tc>
          <w:tcPr>
            <w:tcW w:w="8220" w:type="dxa"/>
            <w:tcBorders>
              <w:top w:val="nil"/>
              <w:bottom w:val="nil"/>
            </w:tcBorders>
            <w:shd w:val="clear" w:color="auto" w:fill="auto"/>
          </w:tcPr>
          <w:p w:rsidR="003E7971" w:rsidRPr="00D47117" w:rsidRDefault="003E7971" w:rsidP="003D74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D47117">
              <w:rPr>
                <w:sz w:val="20"/>
                <w:lang w:val="es-ES"/>
              </w:rPr>
              <w:t>Servicio fijo</w:t>
            </w:r>
          </w:p>
        </w:tc>
      </w:tr>
      <w:tr w:rsidR="003E7971" w:rsidRPr="003F5090" w:rsidTr="003D74B9">
        <w:tc>
          <w:tcPr>
            <w:tcW w:w="1140" w:type="dxa"/>
            <w:tcBorders>
              <w:top w:val="nil"/>
              <w:bottom w:val="nil"/>
            </w:tcBorders>
            <w:shd w:val="clear" w:color="auto" w:fill="auto"/>
          </w:tcPr>
          <w:p w:rsidR="003E7971" w:rsidRPr="00D47117" w:rsidRDefault="003E7971" w:rsidP="003D74B9">
            <w:pPr>
              <w:spacing w:before="30" w:after="30"/>
              <w:ind w:left="57"/>
              <w:jc w:val="left"/>
              <w:rPr>
                <w:rFonts w:hAnsi="Times New Roman Bold"/>
                <w:b/>
                <w:bCs/>
                <w:sz w:val="20"/>
                <w:lang w:val="es-ES"/>
              </w:rPr>
            </w:pPr>
            <w:r w:rsidRPr="00D47117">
              <w:rPr>
                <w:rFonts w:hAnsi="Times New Roman Bold"/>
                <w:b/>
                <w:bCs/>
                <w:sz w:val="20"/>
                <w:lang w:val="es-ES"/>
              </w:rPr>
              <w:t>M</w:t>
            </w:r>
          </w:p>
        </w:tc>
        <w:tc>
          <w:tcPr>
            <w:tcW w:w="8220" w:type="dxa"/>
            <w:tcBorders>
              <w:top w:val="nil"/>
              <w:bottom w:val="nil"/>
            </w:tcBorders>
            <w:shd w:val="clear" w:color="auto" w:fill="auto"/>
          </w:tcPr>
          <w:p w:rsidR="003E7971" w:rsidRPr="00D47117" w:rsidRDefault="003E7971" w:rsidP="003D74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
              </w:rPr>
            </w:pPr>
            <w:r w:rsidRPr="00D47117">
              <w:rPr>
                <w:rFonts w:hAnsi="Times New Roman Bold"/>
                <w:b w:val="0"/>
                <w:sz w:val="20"/>
                <w:lang w:val="es-ES"/>
              </w:rPr>
              <w:t>Servicios m</w:t>
            </w:r>
            <w:r w:rsidRPr="00D47117">
              <w:rPr>
                <w:rFonts w:hAnsi="Times New Roman Bold"/>
                <w:b w:val="0"/>
                <w:sz w:val="20"/>
                <w:lang w:val="es-ES"/>
              </w:rPr>
              <w:t>ó</w:t>
            </w:r>
            <w:r w:rsidRPr="00D47117">
              <w:rPr>
                <w:rFonts w:hAnsi="Times New Roman Bold"/>
                <w:b w:val="0"/>
                <w:sz w:val="20"/>
                <w:lang w:val="es-ES"/>
              </w:rPr>
              <w:t>viles, de radiodeterminaci</w:t>
            </w:r>
            <w:r w:rsidRPr="00D47117">
              <w:rPr>
                <w:rFonts w:hAnsi="Times New Roman Bold"/>
                <w:b w:val="0"/>
                <w:sz w:val="20"/>
                <w:lang w:val="es-ES"/>
              </w:rPr>
              <w:t>ó</w:t>
            </w:r>
            <w:r w:rsidRPr="00D47117">
              <w:rPr>
                <w:rFonts w:hAnsi="Times New Roman Bold"/>
                <w:b w:val="0"/>
                <w:sz w:val="20"/>
                <w:lang w:val="es-ES"/>
              </w:rPr>
              <w:t>n, de aficionados y otros servicios por sat</w:t>
            </w:r>
            <w:r w:rsidRPr="00D47117">
              <w:rPr>
                <w:rFonts w:hAnsi="Times New Roman Bold"/>
                <w:b w:val="0"/>
                <w:sz w:val="20"/>
                <w:lang w:val="es-ES"/>
              </w:rPr>
              <w:t>é</w:t>
            </w:r>
            <w:r w:rsidRPr="00D47117">
              <w:rPr>
                <w:rFonts w:hAnsi="Times New Roman Bold"/>
                <w:b w:val="0"/>
                <w:sz w:val="20"/>
                <w:lang w:val="es-ES"/>
              </w:rPr>
              <w:t>lite conexos</w:t>
            </w:r>
          </w:p>
        </w:tc>
      </w:tr>
      <w:tr w:rsidR="003E7971" w:rsidRPr="003F5090" w:rsidTr="003D74B9">
        <w:tc>
          <w:tcPr>
            <w:tcW w:w="1140" w:type="dxa"/>
            <w:tcBorders>
              <w:top w:val="nil"/>
              <w:bottom w:val="nil"/>
            </w:tcBorders>
            <w:shd w:val="clear" w:color="auto" w:fill="F3F3F3"/>
          </w:tcPr>
          <w:p w:rsidR="003E7971" w:rsidRPr="00D47117" w:rsidRDefault="003E7971" w:rsidP="003D74B9">
            <w:pPr>
              <w:spacing w:before="30" w:after="30"/>
              <w:ind w:left="57"/>
              <w:jc w:val="left"/>
              <w:rPr>
                <w:b/>
                <w:bCs/>
                <w:color w:val="000080"/>
                <w:sz w:val="20"/>
                <w:lang w:val="es-ES"/>
              </w:rPr>
            </w:pPr>
            <w:r w:rsidRPr="00D47117">
              <w:rPr>
                <w:b/>
                <w:bCs/>
                <w:color w:val="000080"/>
                <w:sz w:val="20"/>
                <w:lang w:val="es-ES"/>
              </w:rPr>
              <w:t>P</w:t>
            </w:r>
          </w:p>
        </w:tc>
        <w:tc>
          <w:tcPr>
            <w:tcW w:w="8220" w:type="dxa"/>
            <w:tcBorders>
              <w:top w:val="nil"/>
              <w:bottom w:val="nil"/>
            </w:tcBorders>
            <w:shd w:val="clear" w:color="auto" w:fill="F3F3F3"/>
          </w:tcPr>
          <w:p w:rsidR="003E7971" w:rsidRPr="00D47117" w:rsidRDefault="003E7971" w:rsidP="003D74B9">
            <w:pPr>
              <w:spacing w:before="30" w:after="30"/>
              <w:jc w:val="left"/>
              <w:rPr>
                <w:b/>
                <w:bCs/>
                <w:color w:val="000080"/>
                <w:sz w:val="20"/>
                <w:lang w:val="es-ES"/>
              </w:rPr>
            </w:pPr>
            <w:r w:rsidRPr="00D47117">
              <w:rPr>
                <w:b/>
                <w:bCs/>
                <w:color w:val="000080"/>
                <w:sz w:val="20"/>
                <w:lang w:val="es-ES"/>
              </w:rPr>
              <w:t>Propagación de las ondas radioeléctricas</w:t>
            </w:r>
          </w:p>
        </w:tc>
      </w:tr>
      <w:tr w:rsidR="003E7971" w:rsidRPr="00D47117" w:rsidTr="003D74B9">
        <w:tc>
          <w:tcPr>
            <w:tcW w:w="1140" w:type="dxa"/>
            <w:tcBorders>
              <w:top w:val="nil"/>
            </w:tcBorders>
          </w:tcPr>
          <w:p w:rsidR="003E7971" w:rsidRPr="00D47117" w:rsidRDefault="003E7971" w:rsidP="003D74B9">
            <w:pPr>
              <w:spacing w:before="30" w:after="30"/>
              <w:ind w:left="57"/>
              <w:jc w:val="left"/>
              <w:rPr>
                <w:b/>
                <w:bCs/>
                <w:sz w:val="20"/>
                <w:lang w:val="es-ES"/>
              </w:rPr>
            </w:pPr>
            <w:r w:rsidRPr="00D47117">
              <w:rPr>
                <w:b/>
                <w:bCs/>
                <w:sz w:val="20"/>
                <w:lang w:val="es-ES"/>
              </w:rPr>
              <w:t>RA</w:t>
            </w:r>
          </w:p>
        </w:tc>
        <w:tc>
          <w:tcPr>
            <w:tcW w:w="8220" w:type="dxa"/>
            <w:tcBorders>
              <w:top w:val="nil"/>
            </w:tcBorders>
          </w:tcPr>
          <w:p w:rsidR="003E7971" w:rsidRPr="00D47117" w:rsidRDefault="003E7971" w:rsidP="009E04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D47117">
              <w:rPr>
                <w:bCs/>
                <w:sz w:val="20"/>
                <w:lang w:val="es-ES"/>
              </w:rPr>
              <w:t>Radioastronomía</w:t>
            </w:r>
          </w:p>
        </w:tc>
      </w:tr>
      <w:tr w:rsidR="003E7971" w:rsidRPr="003F5090" w:rsidTr="003D74B9">
        <w:tc>
          <w:tcPr>
            <w:tcW w:w="1140" w:type="dxa"/>
          </w:tcPr>
          <w:p w:rsidR="003E7971" w:rsidRPr="00D47117" w:rsidRDefault="003E7971" w:rsidP="003D74B9">
            <w:pPr>
              <w:spacing w:before="30" w:after="30"/>
              <w:ind w:left="57"/>
              <w:jc w:val="left"/>
              <w:rPr>
                <w:b/>
                <w:bCs/>
                <w:sz w:val="20"/>
                <w:lang w:val="es-ES"/>
              </w:rPr>
            </w:pPr>
            <w:r w:rsidRPr="00D47117">
              <w:rPr>
                <w:b/>
                <w:bCs/>
                <w:sz w:val="20"/>
                <w:lang w:val="es-ES"/>
              </w:rPr>
              <w:t>RS</w:t>
            </w:r>
          </w:p>
        </w:tc>
        <w:tc>
          <w:tcPr>
            <w:tcW w:w="8220" w:type="dxa"/>
          </w:tcPr>
          <w:p w:rsidR="003E7971" w:rsidRPr="00D47117" w:rsidRDefault="003E7971" w:rsidP="003D74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D47117">
              <w:rPr>
                <w:bCs/>
                <w:sz w:val="20"/>
                <w:lang w:val="es-ES"/>
              </w:rPr>
              <w:t>Sistemas de detección a distancia</w:t>
            </w:r>
          </w:p>
        </w:tc>
      </w:tr>
      <w:tr w:rsidR="003E7971" w:rsidRPr="00D47117" w:rsidTr="003D74B9">
        <w:tc>
          <w:tcPr>
            <w:tcW w:w="1140" w:type="dxa"/>
          </w:tcPr>
          <w:p w:rsidR="003E7971" w:rsidRPr="00D47117" w:rsidRDefault="003E7971" w:rsidP="003D74B9">
            <w:pPr>
              <w:spacing w:before="30" w:after="30"/>
              <w:ind w:left="57"/>
              <w:jc w:val="left"/>
              <w:rPr>
                <w:b/>
                <w:bCs/>
                <w:sz w:val="20"/>
                <w:lang w:val="es-ES"/>
              </w:rPr>
            </w:pPr>
            <w:r w:rsidRPr="00D47117">
              <w:rPr>
                <w:b/>
                <w:bCs/>
                <w:sz w:val="20"/>
                <w:lang w:val="es-ES"/>
              </w:rPr>
              <w:t>S</w:t>
            </w:r>
          </w:p>
        </w:tc>
        <w:tc>
          <w:tcPr>
            <w:tcW w:w="8220" w:type="dxa"/>
          </w:tcPr>
          <w:p w:rsidR="003E7971" w:rsidRPr="00D47117" w:rsidRDefault="003E7971" w:rsidP="003D74B9">
            <w:pPr>
              <w:spacing w:before="30" w:after="30"/>
              <w:jc w:val="left"/>
              <w:rPr>
                <w:bCs/>
                <w:sz w:val="20"/>
                <w:lang w:val="es-ES"/>
              </w:rPr>
            </w:pPr>
            <w:r w:rsidRPr="00D47117">
              <w:rPr>
                <w:bCs/>
                <w:sz w:val="20"/>
                <w:lang w:val="es-ES"/>
              </w:rPr>
              <w:t>Servicio fijo por satélite</w:t>
            </w:r>
          </w:p>
        </w:tc>
      </w:tr>
      <w:tr w:rsidR="003E7971" w:rsidRPr="00D47117" w:rsidTr="003D74B9">
        <w:tc>
          <w:tcPr>
            <w:tcW w:w="1140" w:type="dxa"/>
          </w:tcPr>
          <w:p w:rsidR="003E7971" w:rsidRPr="00D47117" w:rsidRDefault="003E7971" w:rsidP="003D74B9">
            <w:pPr>
              <w:spacing w:before="30" w:after="30"/>
              <w:ind w:left="57"/>
              <w:jc w:val="left"/>
              <w:rPr>
                <w:b/>
                <w:bCs/>
                <w:sz w:val="20"/>
                <w:lang w:val="es-ES"/>
              </w:rPr>
            </w:pPr>
            <w:r w:rsidRPr="00D47117">
              <w:rPr>
                <w:b/>
                <w:bCs/>
                <w:sz w:val="20"/>
                <w:lang w:val="es-ES"/>
              </w:rPr>
              <w:t>SA</w:t>
            </w:r>
          </w:p>
        </w:tc>
        <w:tc>
          <w:tcPr>
            <w:tcW w:w="8220" w:type="dxa"/>
          </w:tcPr>
          <w:p w:rsidR="003E7971" w:rsidRPr="00D47117" w:rsidRDefault="003E7971" w:rsidP="003D74B9">
            <w:pPr>
              <w:spacing w:before="30" w:after="30"/>
              <w:jc w:val="left"/>
              <w:rPr>
                <w:bCs/>
                <w:sz w:val="20"/>
                <w:lang w:val="es-ES"/>
              </w:rPr>
            </w:pPr>
            <w:r w:rsidRPr="00D47117">
              <w:rPr>
                <w:bCs/>
                <w:sz w:val="20"/>
                <w:lang w:val="es-ES"/>
              </w:rPr>
              <w:t>Aplicaciones espaciales y meteorología</w:t>
            </w:r>
          </w:p>
        </w:tc>
      </w:tr>
      <w:tr w:rsidR="003E7971" w:rsidRPr="003F5090" w:rsidTr="003D74B9">
        <w:tc>
          <w:tcPr>
            <w:tcW w:w="1140" w:type="dxa"/>
          </w:tcPr>
          <w:p w:rsidR="003E7971" w:rsidRPr="00D47117" w:rsidRDefault="003E7971" w:rsidP="003D74B9">
            <w:pPr>
              <w:spacing w:before="30" w:after="30"/>
              <w:ind w:left="57"/>
              <w:jc w:val="left"/>
              <w:rPr>
                <w:b/>
                <w:bCs/>
                <w:sz w:val="20"/>
                <w:lang w:val="es-ES"/>
              </w:rPr>
            </w:pPr>
            <w:r w:rsidRPr="00D47117">
              <w:rPr>
                <w:b/>
                <w:bCs/>
                <w:sz w:val="20"/>
                <w:lang w:val="es-ES"/>
              </w:rPr>
              <w:t>SF</w:t>
            </w:r>
          </w:p>
        </w:tc>
        <w:tc>
          <w:tcPr>
            <w:tcW w:w="8220" w:type="dxa"/>
          </w:tcPr>
          <w:p w:rsidR="003E7971" w:rsidRPr="00D47117" w:rsidRDefault="003E7971" w:rsidP="003D74B9">
            <w:pPr>
              <w:spacing w:before="30" w:after="30"/>
              <w:jc w:val="left"/>
              <w:rPr>
                <w:bCs/>
                <w:sz w:val="20"/>
                <w:lang w:val="es-ES"/>
              </w:rPr>
            </w:pPr>
            <w:r w:rsidRPr="00D47117">
              <w:rPr>
                <w:bCs/>
                <w:sz w:val="20"/>
                <w:lang w:val="es-ES"/>
              </w:rPr>
              <w:t>Compartición de frecuencias y coordinación entre los sistemas del servicio fijo por satélite y del servicio fijo</w:t>
            </w:r>
          </w:p>
        </w:tc>
      </w:tr>
      <w:tr w:rsidR="003E7971" w:rsidRPr="00D47117" w:rsidTr="003D74B9">
        <w:tc>
          <w:tcPr>
            <w:tcW w:w="1140" w:type="dxa"/>
            <w:shd w:val="clear" w:color="auto" w:fill="auto"/>
          </w:tcPr>
          <w:p w:rsidR="003E7971" w:rsidRPr="00D47117" w:rsidRDefault="003E7971" w:rsidP="003D74B9">
            <w:pPr>
              <w:spacing w:before="30" w:after="30"/>
              <w:ind w:left="57"/>
              <w:jc w:val="left"/>
              <w:rPr>
                <w:b/>
                <w:bCs/>
                <w:sz w:val="20"/>
                <w:lang w:val="es-ES"/>
              </w:rPr>
            </w:pPr>
            <w:r w:rsidRPr="00D47117">
              <w:rPr>
                <w:b/>
                <w:bCs/>
                <w:sz w:val="20"/>
                <w:lang w:val="es-ES"/>
              </w:rPr>
              <w:t>SM</w:t>
            </w:r>
          </w:p>
        </w:tc>
        <w:tc>
          <w:tcPr>
            <w:tcW w:w="8220" w:type="dxa"/>
            <w:shd w:val="clear" w:color="auto" w:fill="auto"/>
          </w:tcPr>
          <w:p w:rsidR="003E7971" w:rsidRPr="00D47117" w:rsidRDefault="003E7971" w:rsidP="003D74B9">
            <w:pPr>
              <w:spacing w:before="30" w:after="30"/>
              <w:jc w:val="left"/>
              <w:rPr>
                <w:sz w:val="20"/>
                <w:lang w:val="es-ES"/>
              </w:rPr>
            </w:pPr>
            <w:r w:rsidRPr="00D47117">
              <w:rPr>
                <w:sz w:val="20"/>
                <w:lang w:val="es-ES"/>
              </w:rPr>
              <w:t>Gestión del espectro</w:t>
            </w:r>
          </w:p>
        </w:tc>
      </w:tr>
      <w:tr w:rsidR="003E7971" w:rsidRPr="00D47117" w:rsidTr="003D74B9">
        <w:tc>
          <w:tcPr>
            <w:tcW w:w="1140" w:type="dxa"/>
          </w:tcPr>
          <w:p w:rsidR="003E7971" w:rsidRPr="00D47117" w:rsidRDefault="003E7971" w:rsidP="003D74B9">
            <w:pPr>
              <w:spacing w:before="30" w:after="30"/>
              <w:ind w:left="57"/>
              <w:jc w:val="left"/>
              <w:rPr>
                <w:b/>
                <w:bCs/>
                <w:sz w:val="20"/>
                <w:lang w:val="es-ES"/>
              </w:rPr>
            </w:pPr>
            <w:r w:rsidRPr="00D47117">
              <w:rPr>
                <w:b/>
                <w:bCs/>
                <w:sz w:val="20"/>
                <w:lang w:val="es-ES"/>
              </w:rPr>
              <w:t>SNG</w:t>
            </w:r>
          </w:p>
        </w:tc>
        <w:tc>
          <w:tcPr>
            <w:tcW w:w="8220" w:type="dxa"/>
          </w:tcPr>
          <w:p w:rsidR="003E7971" w:rsidRPr="00D47117" w:rsidRDefault="003E7971" w:rsidP="003D74B9">
            <w:pPr>
              <w:spacing w:before="30" w:after="30"/>
              <w:jc w:val="left"/>
              <w:rPr>
                <w:bCs/>
                <w:sz w:val="20"/>
                <w:lang w:val="es-ES"/>
              </w:rPr>
            </w:pPr>
            <w:r w:rsidRPr="00D47117">
              <w:rPr>
                <w:bCs/>
                <w:sz w:val="20"/>
                <w:lang w:val="es-ES"/>
              </w:rPr>
              <w:t>Periodismo electrónico por satélite</w:t>
            </w:r>
          </w:p>
        </w:tc>
      </w:tr>
      <w:tr w:rsidR="003E7971" w:rsidRPr="003F5090" w:rsidTr="003D74B9">
        <w:tc>
          <w:tcPr>
            <w:tcW w:w="1140" w:type="dxa"/>
          </w:tcPr>
          <w:p w:rsidR="003E7971" w:rsidRPr="00D47117" w:rsidRDefault="003E7971" w:rsidP="003D74B9">
            <w:pPr>
              <w:spacing w:before="30" w:after="30"/>
              <w:ind w:left="57"/>
              <w:jc w:val="left"/>
              <w:rPr>
                <w:b/>
                <w:bCs/>
                <w:sz w:val="20"/>
                <w:lang w:val="es-ES"/>
              </w:rPr>
            </w:pPr>
            <w:r w:rsidRPr="00D47117">
              <w:rPr>
                <w:b/>
                <w:bCs/>
                <w:sz w:val="20"/>
                <w:lang w:val="es-ES"/>
              </w:rPr>
              <w:t>TF</w:t>
            </w:r>
          </w:p>
        </w:tc>
        <w:tc>
          <w:tcPr>
            <w:tcW w:w="8220" w:type="dxa"/>
          </w:tcPr>
          <w:p w:rsidR="003E7971" w:rsidRPr="00D47117" w:rsidRDefault="003E7971" w:rsidP="003D74B9">
            <w:pPr>
              <w:spacing w:before="30" w:after="30"/>
              <w:jc w:val="left"/>
              <w:rPr>
                <w:bCs/>
                <w:sz w:val="20"/>
                <w:lang w:val="es-ES"/>
              </w:rPr>
            </w:pPr>
            <w:r w:rsidRPr="00D47117">
              <w:rPr>
                <w:bCs/>
                <w:sz w:val="20"/>
                <w:lang w:val="es-ES"/>
              </w:rPr>
              <w:t>Emisiones de frecuencias patrón y señales horarias</w:t>
            </w:r>
          </w:p>
        </w:tc>
      </w:tr>
      <w:tr w:rsidR="003E7971" w:rsidRPr="00D47117" w:rsidTr="003D74B9">
        <w:tc>
          <w:tcPr>
            <w:tcW w:w="1140" w:type="dxa"/>
          </w:tcPr>
          <w:p w:rsidR="003E7971" w:rsidRPr="00D47117" w:rsidRDefault="003E7971" w:rsidP="003D74B9">
            <w:pPr>
              <w:spacing w:before="30" w:after="30"/>
              <w:ind w:left="57"/>
              <w:jc w:val="left"/>
              <w:rPr>
                <w:b/>
                <w:bCs/>
                <w:sz w:val="20"/>
                <w:lang w:val="es-ES"/>
              </w:rPr>
            </w:pPr>
            <w:r w:rsidRPr="00D47117">
              <w:rPr>
                <w:b/>
                <w:bCs/>
                <w:sz w:val="20"/>
                <w:lang w:val="es-ES"/>
              </w:rPr>
              <w:t>V</w:t>
            </w:r>
          </w:p>
        </w:tc>
        <w:tc>
          <w:tcPr>
            <w:tcW w:w="8220" w:type="dxa"/>
          </w:tcPr>
          <w:p w:rsidR="003E7971" w:rsidRPr="00D47117" w:rsidRDefault="003E7971" w:rsidP="003D74B9">
            <w:pPr>
              <w:spacing w:before="30" w:after="140"/>
              <w:jc w:val="left"/>
              <w:rPr>
                <w:bCs/>
                <w:sz w:val="20"/>
                <w:lang w:val="es-ES"/>
              </w:rPr>
            </w:pPr>
            <w:r w:rsidRPr="00D47117">
              <w:rPr>
                <w:bCs/>
                <w:sz w:val="20"/>
                <w:lang w:val="es-ES"/>
              </w:rPr>
              <w:t>Vocabulario y cuestiones afines</w:t>
            </w:r>
          </w:p>
        </w:tc>
      </w:tr>
    </w:tbl>
    <w:p w:rsidR="003E7971" w:rsidRPr="00D47117" w:rsidRDefault="003E7971" w:rsidP="003D74B9">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3E7971" w:rsidRPr="00D47117" w:rsidTr="003D74B9">
        <w:tc>
          <w:tcPr>
            <w:tcW w:w="720" w:type="dxa"/>
          </w:tcPr>
          <w:p w:rsidR="003E7971" w:rsidRPr="00D47117" w:rsidRDefault="003E7971" w:rsidP="003D74B9">
            <w:pPr>
              <w:spacing w:before="0"/>
              <w:jc w:val="center"/>
              <w:rPr>
                <w:sz w:val="22"/>
                <w:lang w:val="es-E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E7971" w:rsidRPr="003F5090" w:rsidTr="003D74B9">
        <w:tc>
          <w:tcPr>
            <w:tcW w:w="9360" w:type="dxa"/>
          </w:tcPr>
          <w:p w:rsidR="003E7971" w:rsidRPr="00D47117" w:rsidRDefault="003E7971" w:rsidP="003D74B9">
            <w:pPr>
              <w:spacing w:before="92" w:after="92"/>
              <w:jc w:val="left"/>
              <w:rPr>
                <w:i/>
                <w:iCs/>
                <w:sz w:val="20"/>
                <w:lang w:val="es-ES"/>
              </w:rPr>
            </w:pPr>
            <w:r w:rsidRPr="00D47117">
              <w:rPr>
                <w:b/>
                <w:bCs/>
                <w:i/>
                <w:iCs/>
                <w:sz w:val="20"/>
                <w:lang w:val="es-ES"/>
              </w:rPr>
              <w:t>Nota</w:t>
            </w:r>
            <w:r w:rsidRPr="00D47117">
              <w:rPr>
                <w:i/>
                <w:iCs/>
                <w:sz w:val="20"/>
                <w:lang w:val="es-ES"/>
              </w:rPr>
              <w:t xml:space="preserve">: Esta Recomendación UIT-R fue aprobada en inglés conforme al procedimiento detallado en la </w:t>
            </w:r>
            <w:r w:rsidRPr="00D47117">
              <w:rPr>
                <w:i/>
                <w:iCs/>
                <w:sz w:val="20"/>
                <w:lang w:val="es-ES"/>
              </w:rPr>
              <w:br/>
              <w:t>Resolución UIT-R 1.</w:t>
            </w:r>
          </w:p>
        </w:tc>
      </w:tr>
    </w:tbl>
    <w:p w:rsidR="003E7971" w:rsidRPr="00D47117" w:rsidRDefault="003E7971" w:rsidP="003D74B9">
      <w:pPr>
        <w:spacing w:before="0"/>
        <w:jc w:val="center"/>
        <w:rPr>
          <w:sz w:val="22"/>
          <w:lang w:val="es-ES"/>
        </w:rPr>
      </w:pPr>
    </w:p>
    <w:p w:rsidR="003E7971" w:rsidRPr="00D47117" w:rsidRDefault="003E7971" w:rsidP="003D74B9">
      <w:pPr>
        <w:spacing w:before="60"/>
        <w:jc w:val="right"/>
        <w:rPr>
          <w:i/>
          <w:iCs/>
          <w:sz w:val="20"/>
          <w:lang w:val="es-ES"/>
        </w:rPr>
      </w:pPr>
      <w:r w:rsidRPr="00D47117">
        <w:rPr>
          <w:i/>
          <w:iCs/>
          <w:sz w:val="20"/>
          <w:lang w:val="es-ES"/>
        </w:rPr>
        <w:t>Publicación electrónica</w:t>
      </w:r>
    </w:p>
    <w:p w:rsidR="003E7971" w:rsidRPr="00D47117" w:rsidRDefault="003E7971" w:rsidP="00971B39">
      <w:pPr>
        <w:spacing w:before="0" w:after="40"/>
        <w:jc w:val="right"/>
        <w:rPr>
          <w:sz w:val="20"/>
          <w:lang w:val="es-ES"/>
        </w:rPr>
      </w:pPr>
      <w:r w:rsidRPr="00D47117">
        <w:rPr>
          <w:sz w:val="20"/>
          <w:lang w:val="es-ES"/>
        </w:rPr>
        <w:t>Ginebra, 201</w:t>
      </w:r>
      <w:r w:rsidR="00971B39">
        <w:rPr>
          <w:sz w:val="20"/>
          <w:lang w:val="es-ES"/>
        </w:rPr>
        <w:t>6</w:t>
      </w:r>
    </w:p>
    <w:p w:rsidR="003E7971" w:rsidRPr="00D47117" w:rsidRDefault="003E7971" w:rsidP="003D74B9">
      <w:pPr>
        <w:spacing w:before="0"/>
        <w:jc w:val="center"/>
        <w:rPr>
          <w:sz w:val="22"/>
          <w:lang w:val="es-ES"/>
        </w:rPr>
      </w:pPr>
    </w:p>
    <w:p w:rsidR="003E7971" w:rsidRPr="00D47117" w:rsidRDefault="003E7971" w:rsidP="00971B39">
      <w:pPr>
        <w:spacing w:before="0"/>
        <w:jc w:val="center"/>
        <w:rPr>
          <w:sz w:val="20"/>
          <w:lang w:val="es-ES"/>
        </w:rPr>
      </w:pPr>
      <w:r w:rsidRPr="00D47117">
        <w:rPr>
          <w:sz w:val="20"/>
          <w:lang w:val="es-ES"/>
        </w:rPr>
        <w:sym w:font="Symbol" w:char="F0E3"/>
      </w:r>
      <w:r w:rsidRPr="00D47117">
        <w:rPr>
          <w:sz w:val="20"/>
          <w:lang w:val="es-ES"/>
        </w:rPr>
        <w:t xml:space="preserve"> UIT </w:t>
      </w:r>
      <w:bookmarkStart w:id="1" w:name="iiannee"/>
      <w:bookmarkEnd w:id="1"/>
      <w:r w:rsidRPr="00D47117">
        <w:rPr>
          <w:sz w:val="20"/>
          <w:lang w:val="es-ES"/>
        </w:rPr>
        <w:t>201</w:t>
      </w:r>
      <w:r w:rsidR="00971B39">
        <w:rPr>
          <w:sz w:val="20"/>
          <w:lang w:val="es-ES"/>
        </w:rPr>
        <w:t>6</w:t>
      </w:r>
    </w:p>
    <w:p w:rsidR="003E7971" w:rsidRPr="00D47117" w:rsidRDefault="003E7971" w:rsidP="003D74B9">
      <w:pPr>
        <w:spacing w:before="80"/>
        <w:rPr>
          <w:sz w:val="18"/>
          <w:szCs w:val="18"/>
          <w:lang w:val="es-ES"/>
        </w:rPr>
      </w:pPr>
      <w:r w:rsidRPr="00D47117">
        <w:rPr>
          <w:sz w:val="18"/>
          <w:szCs w:val="18"/>
          <w:lang w:val="es-ES"/>
        </w:rPr>
        <w:t>Reservados todos los derechos. Ninguna parte de esta publicación puede reproducirse por ningún procedimiento sin previa autorización escrita por parte de la UIT.</w:t>
      </w:r>
    </w:p>
    <w:p w:rsidR="003E7971" w:rsidRPr="00D47117" w:rsidRDefault="003E7971" w:rsidP="003D74B9">
      <w:pPr>
        <w:spacing w:before="160"/>
        <w:rPr>
          <w:i/>
          <w:sz w:val="20"/>
          <w:highlight w:val="yellow"/>
          <w:lang w:val="es-ES"/>
        </w:rPr>
        <w:sectPr w:rsidR="003E7971" w:rsidRPr="00D47117" w:rsidSect="000C460D">
          <w:headerReference w:type="even" r:id="rId12"/>
          <w:headerReference w:type="default" r:id="rId13"/>
          <w:pgSz w:w="11907" w:h="16834" w:code="9"/>
          <w:pgMar w:top="1418" w:right="1134" w:bottom="1134" w:left="1134" w:header="720" w:footer="482" w:gutter="0"/>
          <w:pgNumType w:fmt="lowerRoman" w:start="2"/>
          <w:cols w:space="720"/>
          <w:titlePg/>
          <w:docGrid w:linePitch="326"/>
        </w:sectPr>
      </w:pPr>
    </w:p>
    <w:p w:rsidR="003E7971" w:rsidRPr="00D47117" w:rsidRDefault="003E7971" w:rsidP="00CB7CBD">
      <w:pPr>
        <w:pStyle w:val="RecNo"/>
        <w:spacing w:before="0"/>
        <w:rPr>
          <w:lang w:val="es-ES"/>
        </w:rPr>
      </w:pPr>
      <w:bookmarkStart w:id="2" w:name="irecnoe"/>
      <w:bookmarkEnd w:id="2"/>
      <w:r w:rsidRPr="00D47117">
        <w:rPr>
          <w:lang w:val="es-ES"/>
        </w:rPr>
        <w:lastRenderedPageBreak/>
        <w:t xml:space="preserve">RECOMENDACIÓN  </w:t>
      </w:r>
      <w:r w:rsidRPr="00D47117">
        <w:rPr>
          <w:rStyle w:val="href"/>
          <w:lang w:val="es-ES"/>
        </w:rPr>
        <w:t>UIT-R  P.6</w:t>
      </w:r>
      <w:r w:rsidR="00CB7CBD">
        <w:rPr>
          <w:rStyle w:val="href"/>
          <w:lang w:val="es-ES"/>
        </w:rPr>
        <w:t>79</w:t>
      </w:r>
      <w:r w:rsidRPr="00D47117">
        <w:rPr>
          <w:rStyle w:val="href"/>
          <w:lang w:val="es-ES"/>
        </w:rPr>
        <w:t>-</w:t>
      </w:r>
      <w:r w:rsidR="00CB7CBD">
        <w:rPr>
          <w:rStyle w:val="href"/>
          <w:lang w:val="es-ES"/>
        </w:rPr>
        <w:t>4</w:t>
      </w:r>
    </w:p>
    <w:p w:rsidR="00431725" w:rsidRPr="00D47117" w:rsidRDefault="00CB7CBD" w:rsidP="00CB7CBD">
      <w:pPr>
        <w:pStyle w:val="Rectitle"/>
        <w:spacing w:before="300"/>
        <w:rPr>
          <w:lang w:val="es-ES"/>
        </w:rPr>
      </w:pPr>
      <w:r w:rsidRPr="00CB7CBD">
        <w:rPr>
          <w:lang w:val="es-ES"/>
        </w:rPr>
        <w:t>Datos de propagación necesarios para el diseño</w:t>
      </w:r>
      <w:r>
        <w:rPr>
          <w:lang w:val="es-ES"/>
        </w:rPr>
        <w:t xml:space="preserve"> </w:t>
      </w:r>
      <w:r w:rsidRPr="00CB7CBD">
        <w:rPr>
          <w:lang w:val="es-ES"/>
        </w:rPr>
        <w:t xml:space="preserve">de sistemas </w:t>
      </w:r>
      <w:r w:rsidR="003F5090">
        <w:rPr>
          <w:lang w:val="es-ES"/>
        </w:rPr>
        <w:br/>
      </w:r>
      <w:r w:rsidRPr="00CB7CBD">
        <w:rPr>
          <w:lang w:val="es-ES"/>
        </w:rPr>
        <w:t>de radiodifusión por satélite</w:t>
      </w:r>
    </w:p>
    <w:p w:rsidR="00CB7CBD" w:rsidRPr="00505C81" w:rsidRDefault="00CB7CBD" w:rsidP="00CB7CBD">
      <w:pPr>
        <w:keepNext/>
        <w:keepLines/>
        <w:tabs>
          <w:tab w:val="clear" w:pos="794"/>
          <w:tab w:val="clear" w:pos="1191"/>
          <w:tab w:val="clear" w:pos="1588"/>
          <w:tab w:val="clear" w:pos="1985"/>
        </w:tabs>
        <w:jc w:val="center"/>
        <w:rPr>
          <w:lang w:val="es-ES_tradnl"/>
        </w:rPr>
      </w:pPr>
      <w:bookmarkStart w:id="3" w:name="Related_Questions"/>
      <w:r w:rsidRPr="00CB7CBD">
        <w:rPr>
          <w:lang w:val="es-ES"/>
        </w:rPr>
        <w:t>(Cuestión UIT</w:t>
      </w:r>
      <w:r w:rsidRPr="00CB7CBD">
        <w:rPr>
          <w:lang w:val="es-ES"/>
        </w:rPr>
        <w:noBreakHyphen/>
        <w:t>R 206/3)</w:t>
      </w:r>
      <w:bookmarkEnd w:id="3"/>
    </w:p>
    <w:p w:rsidR="00CB7CBD" w:rsidRPr="00505C81" w:rsidRDefault="00CB7CBD" w:rsidP="003F5090">
      <w:pPr>
        <w:pStyle w:val="Recdate"/>
        <w:rPr>
          <w:sz w:val="22"/>
          <w:lang w:val="es-ES_tradnl"/>
        </w:rPr>
      </w:pPr>
      <w:bookmarkStart w:id="4" w:name="Revision_history"/>
      <w:r w:rsidRPr="00505C81">
        <w:rPr>
          <w:lang w:val="es-ES_tradnl"/>
        </w:rPr>
        <w:t>(1990-1992-1999-2001</w:t>
      </w:r>
      <w:r w:rsidR="00FC42F6" w:rsidRPr="00505C81">
        <w:rPr>
          <w:lang w:val="es-ES_tradnl"/>
        </w:rPr>
        <w:t>-2015</w:t>
      </w:r>
      <w:r w:rsidRPr="00505C81">
        <w:rPr>
          <w:lang w:val="es-ES_tradnl"/>
        </w:rPr>
        <w:t>)</w:t>
      </w:r>
      <w:bookmarkEnd w:id="4"/>
    </w:p>
    <w:p w:rsidR="00CB7CBD" w:rsidRPr="00CB7CBD" w:rsidRDefault="00CB7CBD" w:rsidP="003F5090">
      <w:pPr>
        <w:pStyle w:val="Normalaftertitle"/>
        <w:rPr>
          <w:lang w:val="es-ES"/>
        </w:rPr>
      </w:pPr>
      <w:r w:rsidRPr="00CB7CBD">
        <w:rPr>
          <w:lang w:val="es-ES"/>
        </w:rPr>
        <w:t>La Asamblea de Radiocomunicaciones de la UIT,</w:t>
      </w:r>
    </w:p>
    <w:p w:rsidR="00CB7CBD" w:rsidRPr="00CB7CBD" w:rsidRDefault="00CB7CBD" w:rsidP="003F5090">
      <w:pPr>
        <w:pStyle w:val="Call"/>
        <w:rPr>
          <w:lang w:val="es-ES"/>
        </w:rPr>
      </w:pPr>
      <w:r w:rsidRPr="00CB7CBD">
        <w:rPr>
          <w:lang w:val="es-ES"/>
        </w:rPr>
        <w:t>considerando</w:t>
      </w:r>
    </w:p>
    <w:p w:rsidR="00CB7CBD" w:rsidRPr="00CB7CBD" w:rsidRDefault="00CB7CBD" w:rsidP="00CB7CBD">
      <w:pPr>
        <w:rPr>
          <w:lang w:val="es-ES"/>
        </w:rPr>
      </w:pPr>
      <w:r w:rsidRPr="000C460D">
        <w:rPr>
          <w:i/>
          <w:iCs/>
          <w:lang w:val="es-ES"/>
        </w:rPr>
        <w:t>a)</w:t>
      </w:r>
      <w:r w:rsidRPr="00CB7CBD">
        <w:rPr>
          <w:lang w:val="es-ES"/>
        </w:rPr>
        <w:tab/>
        <w:t>que para la planificación adecuada de los sistemas de radiodifusión por satélite es necesario disponer de datos de propagación y métodos de predicción adecuados;</w:t>
      </w:r>
    </w:p>
    <w:p w:rsidR="00CB7CBD" w:rsidRPr="00CB7CBD" w:rsidRDefault="00CB7CBD" w:rsidP="00CB7CBD">
      <w:pPr>
        <w:rPr>
          <w:lang w:val="es-ES"/>
        </w:rPr>
      </w:pPr>
      <w:r w:rsidRPr="000C460D">
        <w:rPr>
          <w:i/>
          <w:iCs/>
          <w:lang w:val="es-ES"/>
        </w:rPr>
        <w:t>b)</w:t>
      </w:r>
      <w:r w:rsidRPr="00CB7CBD">
        <w:rPr>
          <w:lang w:val="es-ES"/>
        </w:rPr>
        <w:tab/>
        <w:t>que se recomiendan los métodos de la Recomendación UIT-R P.618 para la planificación de sistemas de telecomunicación Tierra-espacio;</w:t>
      </w:r>
    </w:p>
    <w:p w:rsidR="00CB7CBD" w:rsidRPr="00CB7CBD" w:rsidRDefault="00CB7CBD" w:rsidP="00CB7CBD">
      <w:pPr>
        <w:rPr>
          <w:lang w:val="es-ES"/>
        </w:rPr>
      </w:pPr>
      <w:r w:rsidRPr="000C460D">
        <w:rPr>
          <w:i/>
          <w:iCs/>
          <w:lang w:val="es-ES"/>
        </w:rPr>
        <w:t>c)</w:t>
      </w:r>
      <w:r w:rsidRPr="00CB7CBD">
        <w:rPr>
          <w:lang w:val="es-ES"/>
        </w:rPr>
        <w:tab/>
        <w:t>que es necesario desarrollar aún más los métodos de predicción para la aplicación específica a sistemas de radiodifusión por satélite con el fin de ofrecer una precisión adecuada para todas las condiciones de explotación;</w:t>
      </w:r>
    </w:p>
    <w:p w:rsidR="00FC42F6" w:rsidRDefault="00CB7CBD" w:rsidP="00CB7CBD">
      <w:pPr>
        <w:rPr>
          <w:lang w:val="es-ES"/>
        </w:rPr>
      </w:pPr>
      <w:r w:rsidRPr="000C460D">
        <w:rPr>
          <w:i/>
          <w:iCs/>
          <w:lang w:val="es-ES"/>
        </w:rPr>
        <w:t>d)</w:t>
      </w:r>
      <w:r w:rsidRPr="00CB7CBD">
        <w:rPr>
          <w:lang w:val="es-ES"/>
        </w:rPr>
        <w:tab/>
        <w:t>que, sin embargo, se dispone de métodos que permiten obtener una precisión suficiente para muchas aplicaciones</w:t>
      </w:r>
      <w:r w:rsidR="00FC42F6">
        <w:rPr>
          <w:lang w:val="es-ES"/>
        </w:rPr>
        <w:t>;</w:t>
      </w:r>
    </w:p>
    <w:p w:rsidR="00CB7CBD" w:rsidRPr="00CB7CBD" w:rsidRDefault="00FC42F6" w:rsidP="00FC42F6">
      <w:pPr>
        <w:rPr>
          <w:lang w:val="es-ES"/>
        </w:rPr>
      </w:pPr>
      <w:r w:rsidRPr="000C460D">
        <w:rPr>
          <w:i/>
          <w:iCs/>
          <w:lang w:val="es-ES"/>
        </w:rPr>
        <w:t>e)</w:t>
      </w:r>
      <w:r>
        <w:rPr>
          <w:lang w:val="es-ES"/>
        </w:rPr>
        <w:tab/>
        <w:t>que la Recomendación UIT-R P.2040 ofrece orientaciones</w:t>
      </w:r>
      <w:r w:rsidRPr="00505C81">
        <w:rPr>
          <w:lang w:val="es-ES_tradnl"/>
        </w:rPr>
        <w:t xml:space="preserve"> </w:t>
      </w:r>
      <w:r>
        <w:rPr>
          <w:lang w:val="es-ES"/>
        </w:rPr>
        <w:t>sobre los e</w:t>
      </w:r>
      <w:r w:rsidRPr="00FC42F6">
        <w:rPr>
          <w:lang w:val="es-ES"/>
        </w:rPr>
        <w:t>fectos de los materiales y estructuras de construcción en la propagación de las ondas radioeléctricas</w:t>
      </w:r>
      <w:r w:rsidR="00CB7CBD" w:rsidRPr="00CB7CBD">
        <w:rPr>
          <w:lang w:val="es-ES"/>
        </w:rPr>
        <w:t>,</w:t>
      </w:r>
    </w:p>
    <w:p w:rsidR="00CB7CBD" w:rsidRPr="00CB7CBD" w:rsidRDefault="00CB7CBD" w:rsidP="003F5090">
      <w:pPr>
        <w:pStyle w:val="Call"/>
        <w:rPr>
          <w:i w:val="0"/>
          <w:lang w:val="es-ES"/>
        </w:rPr>
      </w:pPr>
      <w:r w:rsidRPr="00CB7CBD">
        <w:rPr>
          <w:lang w:val="es-ES"/>
        </w:rPr>
        <w:t>recomienda</w:t>
      </w:r>
    </w:p>
    <w:p w:rsidR="00CB7CBD" w:rsidRPr="00CB7CBD" w:rsidRDefault="00CB7CBD" w:rsidP="00CB7CBD">
      <w:pPr>
        <w:rPr>
          <w:lang w:val="es-ES"/>
        </w:rPr>
      </w:pPr>
      <w:r w:rsidRPr="00CB7CBD">
        <w:rPr>
          <w:b/>
          <w:bCs/>
          <w:lang w:val="es-ES"/>
        </w:rPr>
        <w:t>1</w:t>
      </w:r>
      <w:r w:rsidRPr="00CB7CBD">
        <w:rPr>
          <w:lang w:val="es-ES"/>
        </w:rPr>
        <w:tab/>
        <w:t>que se adopten los datos de propagación presentados en el Anexo 1 al proceder a la planificación de sistemas de radiodifusión por satélite, además de los métodos indicados en la Recomendación UIT-R P.618.</w:t>
      </w:r>
    </w:p>
    <w:p w:rsidR="00CB7CBD" w:rsidRPr="00CB7CBD" w:rsidRDefault="00CB7CBD" w:rsidP="00CB7CBD">
      <w:pPr>
        <w:spacing w:line="0" w:lineRule="atLeast"/>
        <w:rPr>
          <w:lang w:val="es-ES"/>
        </w:rPr>
      </w:pPr>
    </w:p>
    <w:p w:rsidR="00CB7CBD" w:rsidRPr="00CB7CBD" w:rsidRDefault="00CB7CBD" w:rsidP="00CB7CBD">
      <w:pPr>
        <w:spacing w:line="0" w:lineRule="atLeast"/>
        <w:rPr>
          <w:lang w:val="es-ES"/>
        </w:rPr>
      </w:pPr>
    </w:p>
    <w:p w:rsidR="00CB7CBD" w:rsidRPr="00CB7CBD" w:rsidRDefault="00CB7CBD" w:rsidP="000C460D">
      <w:pPr>
        <w:pStyle w:val="AnnexNoTitle"/>
        <w:rPr>
          <w:lang w:val="es-ES"/>
        </w:rPr>
      </w:pPr>
      <w:r w:rsidRPr="00CB7CBD">
        <w:rPr>
          <w:lang w:val="es-ES"/>
        </w:rPr>
        <w:t>A</w:t>
      </w:r>
      <w:r w:rsidR="00FC42F6" w:rsidRPr="00CB7CBD">
        <w:rPr>
          <w:lang w:val="es-ES"/>
        </w:rPr>
        <w:t>nexo</w:t>
      </w:r>
      <w:r w:rsidRPr="00CB7CBD">
        <w:rPr>
          <w:lang w:val="es-ES"/>
        </w:rPr>
        <w:t xml:space="preserve">  1</w:t>
      </w:r>
    </w:p>
    <w:p w:rsidR="00CB7CBD" w:rsidRPr="00CB7CBD" w:rsidRDefault="00CB7CBD" w:rsidP="003F5090">
      <w:pPr>
        <w:pStyle w:val="Heading1"/>
        <w:rPr>
          <w:b w:val="0"/>
          <w:sz w:val="28"/>
          <w:lang w:val="es-ES"/>
        </w:rPr>
      </w:pPr>
      <w:r w:rsidRPr="003F5090">
        <w:rPr>
          <w:szCs w:val="24"/>
          <w:lang w:val="es-ES"/>
        </w:rPr>
        <w:t>1</w:t>
      </w:r>
      <w:r w:rsidRPr="00CB7CBD">
        <w:rPr>
          <w:sz w:val="28"/>
          <w:lang w:val="es-ES"/>
        </w:rPr>
        <w:tab/>
      </w:r>
      <w:r w:rsidRPr="003F5090">
        <w:rPr>
          <w:lang w:val="es-ES"/>
        </w:rPr>
        <w:t>Introducción</w:t>
      </w:r>
    </w:p>
    <w:p w:rsidR="00CB7CBD" w:rsidRPr="00CB7CBD" w:rsidRDefault="00CB7CBD" w:rsidP="00CB7CBD">
      <w:pPr>
        <w:rPr>
          <w:lang w:val="es-ES"/>
        </w:rPr>
      </w:pPr>
      <w:r w:rsidRPr="00CB7CBD">
        <w:rPr>
          <w:lang w:val="es-ES"/>
        </w:rPr>
        <w:t>La radiodifusión por satélite plantea consideraciones de propagación que no son totalmente comparables con las que se dan en el servicio fijo por satélite. Se necesitan datos sobre la atenuación en la dirección espacio-Tierra en forma de valores medios estadísticos y de mapas de contornos de atenuación y despolarización para zonas extensas. Pueden surgir problemas específicos en el límite de la zona de servicio entre sistemas de radiodifusión por satélite y servicios terrenales u otros servicios espaciales. En la Recomendación UIT-R P.618 se presentan métodos generales para la predicción de los efectos de la propagación en el trayecto Tierra-espacio. El presente Anexo incluye la información adicional específica para la planificación de sistemas de radiodifusión por satélite. Debe señalarse que los enlaces de conexión se consideran parte integrante de los servicios fijos por satélite y no de los servicios de radiodifusión.</w:t>
      </w:r>
    </w:p>
    <w:p w:rsidR="00CB7CBD" w:rsidRPr="00CB7CBD" w:rsidRDefault="00CB7CBD" w:rsidP="00CB7CBD">
      <w:pPr>
        <w:spacing w:line="0" w:lineRule="atLeast"/>
        <w:rPr>
          <w:lang w:val="es-ES"/>
        </w:rPr>
      </w:pPr>
      <w:r w:rsidRPr="00CB7CBD">
        <w:rPr>
          <w:lang w:val="es-ES"/>
        </w:rPr>
        <w:t>En el caso de los trayectos espacio-Tierra de sistemas de radiodifusión, hay que contemplar varios efectos de propagación.</w:t>
      </w:r>
    </w:p>
    <w:p w:rsidR="00CB7CBD" w:rsidRPr="00CB7CBD" w:rsidRDefault="00CB7CBD" w:rsidP="00CB7CBD">
      <w:pPr>
        <w:spacing w:line="0" w:lineRule="atLeast"/>
        <w:rPr>
          <w:lang w:val="es-ES"/>
        </w:rPr>
      </w:pPr>
      <w:r w:rsidRPr="00CB7CBD">
        <w:rPr>
          <w:lang w:val="es-ES"/>
        </w:rPr>
        <w:lastRenderedPageBreak/>
        <w:t>Entre tales efectos, cabe citar los siguientes:</w:t>
      </w:r>
    </w:p>
    <w:p w:rsidR="00CB7CBD" w:rsidRPr="00CB7CBD" w:rsidRDefault="00CB7CBD" w:rsidP="003F5090">
      <w:pPr>
        <w:pStyle w:val="enumlev1"/>
        <w:rPr>
          <w:lang w:val="es-ES"/>
        </w:rPr>
      </w:pPr>
      <w:r w:rsidRPr="00CB7CBD">
        <w:rPr>
          <w:lang w:val="es-ES"/>
        </w:rPr>
        <w:t>–</w:t>
      </w:r>
      <w:r w:rsidRPr="00CB7CBD">
        <w:rPr>
          <w:lang w:val="es-ES"/>
        </w:rPr>
        <w:tab/>
        <w:t>los efectos de la propagación troposférica, incluida la absorción por gases y la atenuación y despolarización debidas a la lluvia y a otros hidrometeoros;</w:t>
      </w:r>
    </w:p>
    <w:p w:rsidR="00CB7CBD" w:rsidRPr="00CB7CBD" w:rsidRDefault="00CB7CBD" w:rsidP="003F5090">
      <w:pPr>
        <w:pStyle w:val="enumlev1"/>
        <w:rPr>
          <w:lang w:val="es-ES"/>
        </w:rPr>
      </w:pPr>
      <w:r w:rsidRPr="00CB7CBD">
        <w:rPr>
          <w:lang w:val="es-ES"/>
        </w:rPr>
        <w:t>–</w:t>
      </w:r>
      <w:r w:rsidRPr="00CB7CBD">
        <w:rPr>
          <w:lang w:val="es-ES"/>
        </w:rPr>
        <w:tab/>
        <w:t>los efectos de la propagación ionosférica, como el centelleo y la rotación de Faraday (véase la Recomen</w:t>
      </w:r>
      <w:r w:rsidRPr="00CB7CBD">
        <w:rPr>
          <w:lang w:val="es-ES"/>
        </w:rPr>
        <w:softHyphen/>
        <w:t>dación UIT</w:t>
      </w:r>
      <w:r w:rsidRPr="00CB7CBD">
        <w:rPr>
          <w:lang w:val="es-ES"/>
        </w:rPr>
        <w:noBreakHyphen/>
        <w:t>R P.531);</w:t>
      </w:r>
    </w:p>
    <w:p w:rsidR="00CB7CBD" w:rsidRPr="00CB7CBD" w:rsidRDefault="00CB7CBD" w:rsidP="003F5090">
      <w:pPr>
        <w:pStyle w:val="enumlev1"/>
        <w:rPr>
          <w:lang w:val="es-ES"/>
        </w:rPr>
      </w:pPr>
      <w:r w:rsidRPr="00CB7CBD">
        <w:rPr>
          <w:lang w:val="es-ES"/>
        </w:rPr>
        <w:t>–</w:t>
      </w:r>
      <w:r w:rsidRPr="00CB7CBD">
        <w:rPr>
          <w:lang w:val="es-ES"/>
        </w:rPr>
        <w:tab/>
        <w:t>los efectos ambientales locales, incluida la atenuación debida a edificios y a la vegetación.</w:t>
      </w:r>
    </w:p>
    <w:p w:rsidR="00CB7CBD" w:rsidRPr="00CB7CBD" w:rsidRDefault="00CB7CBD" w:rsidP="00CB7CBD">
      <w:pPr>
        <w:rPr>
          <w:lang w:val="es-ES"/>
        </w:rPr>
      </w:pPr>
      <w:r w:rsidRPr="00CB7CBD">
        <w:rPr>
          <w:lang w:val="es-ES"/>
        </w:rPr>
        <w:t>En este Anexo se examinan esos efectos y se hace referencia a otras Recomendaciones que contienen información adicional. Se requieren más datos para definir las degradaciones causadas por la propagación en los sistemas de radiodifusión por satélite.</w:t>
      </w:r>
    </w:p>
    <w:p w:rsidR="00CB7CBD" w:rsidRPr="00CB7CBD" w:rsidRDefault="00CB7CBD" w:rsidP="003F5090">
      <w:pPr>
        <w:pStyle w:val="Heading1"/>
        <w:rPr>
          <w:lang w:val="es-ES"/>
        </w:rPr>
      </w:pPr>
      <w:r w:rsidRPr="00CB7CBD">
        <w:rPr>
          <w:lang w:val="es-ES"/>
        </w:rPr>
        <w:t>2</w:t>
      </w:r>
      <w:r w:rsidRPr="00CB7CBD">
        <w:rPr>
          <w:lang w:val="es-ES"/>
        </w:rPr>
        <w:tab/>
        <w:t>Efectos troposféricos</w:t>
      </w:r>
    </w:p>
    <w:p w:rsidR="00CB7CBD" w:rsidRPr="00CB7CBD" w:rsidRDefault="00CB7CBD" w:rsidP="00CB7CBD">
      <w:pPr>
        <w:rPr>
          <w:lang w:val="es-ES"/>
        </w:rPr>
      </w:pPr>
      <w:r w:rsidRPr="00CB7CBD">
        <w:rPr>
          <w:lang w:val="es-ES"/>
        </w:rPr>
        <w:t>Las degradaciones de la señal causadas por la troposfera son despreciables en las frecuencias inferiores a 1 GHz aproximadamente y en los ángulos de elevación del trayecto superiores a 10</w:t>
      </w:r>
      <w:r w:rsidRPr="00CB7CBD">
        <w:rPr>
          <w:rFonts w:ascii="Symbol" w:hAnsi="Symbol"/>
        </w:rPr>
        <w:t></w:t>
      </w:r>
      <w:r w:rsidRPr="00CB7CBD">
        <w:rPr>
          <w:lang w:val="es-ES"/>
        </w:rPr>
        <w:t>.</w:t>
      </w:r>
    </w:p>
    <w:p w:rsidR="00CB7CBD" w:rsidRPr="00CB7CBD" w:rsidRDefault="00CB7CBD" w:rsidP="00CB7CBD">
      <w:pPr>
        <w:rPr>
          <w:lang w:val="es-ES"/>
        </w:rPr>
      </w:pPr>
      <w:r w:rsidRPr="00CB7CBD">
        <w:rPr>
          <w:lang w:val="es-ES"/>
        </w:rPr>
        <w:t xml:space="preserve">Cuando la elevación es menor o la frecuencia mayor, esa clase de degradación aumenta, y las fluctuaciones de la amplitud de la señal así como del ángulo de llegada pueden llegar a ser </w:t>
      </w:r>
      <w:r w:rsidR="003F5090">
        <w:rPr>
          <w:lang w:val="es-ES"/>
        </w:rPr>
        <w:t>considerables (véase la Recomen</w:t>
      </w:r>
      <w:r w:rsidRPr="00CB7CBD">
        <w:rPr>
          <w:lang w:val="es-ES"/>
        </w:rPr>
        <w:t>dación UIT</w:t>
      </w:r>
      <w:r w:rsidRPr="00CB7CBD">
        <w:rPr>
          <w:lang w:val="es-ES"/>
        </w:rPr>
        <w:noBreakHyphen/>
        <w:t>R P.618). De esos efectos, el último reviste particular importancia en el caso de las zonas de servicio de elevada latitud. El aumento de la temperatura de ruido del cielo causado por las precipitaciones (véase la Recomen</w:t>
      </w:r>
      <w:r w:rsidRPr="00CB7CBD">
        <w:rPr>
          <w:lang w:val="es-ES"/>
        </w:rPr>
        <w:softHyphen/>
        <w:t>dación UIT</w:t>
      </w:r>
      <w:r w:rsidRPr="00CB7CBD">
        <w:rPr>
          <w:lang w:val="es-ES"/>
        </w:rPr>
        <w:noBreakHyphen/>
        <w:t xml:space="preserve">R P.618) reducirá aún más la relación </w:t>
      </w:r>
      <w:r w:rsidRPr="00CB7CBD">
        <w:rPr>
          <w:i/>
          <w:lang w:val="es-ES"/>
        </w:rPr>
        <w:t>C</w:t>
      </w:r>
      <w:r w:rsidRPr="00CB7CBD">
        <w:rPr>
          <w:lang w:val="es-ES"/>
        </w:rPr>
        <w:t>/</w:t>
      </w:r>
      <w:r w:rsidRPr="00CB7CBD">
        <w:rPr>
          <w:i/>
          <w:lang w:val="es-ES"/>
        </w:rPr>
        <w:t>N</w:t>
      </w:r>
      <w:r w:rsidRPr="00CB7CBD">
        <w:rPr>
          <w:lang w:val="es-ES"/>
        </w:rPr>
        <w:t xml:space="preserve"> de la señal recibida. Además, la acumulación de hielo y nieve en la superficie de los reflectores de las antenas y en sus alimentadores puede degradar sustancialmente la orientación, la ganancia y las características de polarización cruzada de las antenas durante una parte considerable del año.</w:t>
      </w:r>
    </w:p>
    <w:p w:rsidR="00CB7CBD" w:rsidRPr="00CB7CBD" w:rsidRDefault="00CB7CBD" w:rsidP="003F5090">
      <w:pPr>
        <w:pStyle w:val="Heading2"/>
        <w:rPr>
          <w:lang w:val="es-ES"/>
        </w:rPr>
      </w:pPr>
      <w:r w:rsidRPr="00CB7CBD">
        <w:rPr>
          <w:lang w:val="es-ES"/>
        </w:rPr>
        <w:t>2.1</w:t>
      </w:r>
      <w:r w:rsidRPr="00CB7CBD">
        <w:rPr>
          <w:lang w:val="es-ES"/>
        </w:rPr>
        <w:tab/>
        <w:t>Atenuación de la señal en la troposfera</w:t>
      </w:r>
    </w:p>
    <w:p w:rsidR="00CB7CBD" w:rsidRPr="00CB7CBD" w:rsidRDefault="00CB7CBD" w:rsidP="00CB7CBD">
      <w:pPr>
        <w:rPr>
          <w:lang w:val="es-ES"/>
        </w:rPr>
      </w:pPr>
      <w:r w:rsidRPr="00CB7CBD">
        <w:rPr>
          <w:lang w:val="es-ES"/>
        </w:rPr>
        <w:t>Las pérdidas de la señal en la troposfera se deben a la absorción por gases y a la atenuación debida a la lluvia y a otros hidrometeoros. Además, las variaciones a pequeña escala del índice de refracción de la atmósfera causan centelleos de la señal que contribuyen tanto al desvanecimiento como a la intensificación de la señal.</w:t>
      </w:r>
    </w:p>
    <w:p w:rsidR="00CB7CBD" w:rsidRPr="00CB7CBD" w:rsidRDefault="00CB7CBD" w:rsidP="003F5090">
      <w:pPr>
        <w:pStyle w:val="Heading3"/>
        <w:rPr>
          <w:b w:val="0"/>
          <w:lang w:val="es-ES"/>
        </w:rPr>
      </w:pPr>
      <w:r w:rsidRPr="00CB7CBD">
        <w:rPr>
          <w:lang w:val="es-ES"/>
        </w:rPr>
        <w:t>2.1.1</w:t>
      </w:r>
      <w:r w:rsidRPr="00CB7CBD">
        <w:rPr>
          <w:lang w:val="es-ES"/>
        </w:rPr>
        <w:tab/>
        <w:t>Atenuación debida a los gases atmosféricos</w:t>
      </w:r>
    </w:p>
    <w:p w:rsidR="00CB7CBD" w:rsidRPr="00CB7CBD" w:rsidRDefault="00CB7CBD" w:rsidP="00CB7CBD">
      <w:pPr>
        <w:rPr>
          <w:lang w:val="es-ES"/>
        </w:rPr>
      </w:pPr>
      <w:r w:rsidRPr="00CB7CBD">
        <w:rPr>
          <w:lang w:val="es-ES"/>
        </w:rPr>
        <w:t>En la Recomendación UIT-R P.618 figura el método recomendado para predecir la atenuación debida a los gases en los trayectos Tierra</w:t>
      </w:r>
      <w:r w:rsidRPr="00CB7CBD">
        <w:rPr>
          <w:lang w:val="es-ES"/>
        </w:rPr>
        <w:noBreakHyphen/>
        <w:t>satélite. En la mayoría de las frecuencias, la atenuación producida por los gases es poco importante en comparación con la atenuación debida a la lluvia. Sin embargo, en la banda de 22 GHz atribuida al servicio de radiodifusión por satélite en determinadas regiones, la absorción por el vapor de agua puede ser considerable. Por ejemplo, en una ubicación donde la atenuación del trayecto en 22,75 GHz es superior a 9,5 dB durante el 1% del mes más desfavorable, aproximadamente 3 dB del total corresponden a la atenuación por gases.</w:t>
      </w:r>
    </w:p>
    <w:p w:rsidR="00CB7CBD" w:rsidRPr="00CB7CBD" w:rsidRDefault="00CB7CBD" w:rsidP="003F5090">
      <w:pPr>
        <w:pStyle w:val="Heading3"/>
        <w:rPr>
          <w:b w:val="0"/>
          <w:lang w:val="es-ES"/>
        </w:rPr>
      </w:pPr>
      <w:r w:rsidRPr="00CB7CBD">
        <w:rPr>
          <w:lang w:val="es-ES"/>
        </w:rPr>
        <w:t>2.1.2</w:t>
      </w:r>
      <w:r w:rsidRPr="00CB7CBD">
        <w:rPr>
          <w:lang w:val="es-ES"/>
        </w:rPr>
        <w:tab/>
        <w:t>Atenuación producida por las precipitaciones y nubes</w:t>
      </w:r>
    </w:p>
    <w:p w:rsidR="00CB7CBD" w:rsidRPr="00CB7CBD" w:rsidRDefault="00CB7CBD" w:rsidP="003F5090">
      <w:pPr>
        <w:rPr>
          <w:lang w:val="es-ES"/>
        </w:rPr>
      </w:pPr>
      <w:r w:rsidRPr="00CB7CBD">
        <w:rPr>
          <w:lang w:val="es-ES"/>
        </w:rPr>
        <w:t>En la Recomendación UIT-R P.618 se expone un procedimiento para la predicción de la atenuación producida por las precipitaciones y nubes, así como un método sencillo para determinar la variación con la frecuencia de las estadísticas de atenuación medidas. La atenuación debida a las nubes no será grave en las frecuencias inferiores a 30 GHz, pero, en todo caso, se la tiene en cuenta en el método de predicción de la atenuación debida a la lluvia. Si se conoce el contenido de agua líquida se puede estimar la atenuación causada por la niebla y las nubes empleando el método que figura en la Recomendación UIT-R P.840.</w:t>
      </w:r>
    </w:p>
    <w:p w:rsidR="00CB7CBD" w:rsidRPr="00CB7CBD" w:rsidRDefault="00CB7CBD" w:rsidP="003F5090">
      <w:pPr>
        <w:pStyle w:val="Heading3"/>
        <w:rPr>
          <w:b w:val="0"/>
          <w:lang w:val="es-ES"/>
        </w:rPr>
      </w:pPr>
      <w:r w:rsidRPr="00CB7CBD">
        <w:rPr>
          <w:lang w:val="es-ES"/>
        </w:rPr>
        <w:lastRenderedPageBreak/>
        <w:t>2.1.3</w:t>
      </w:r>
      <w:r w:rsidRPr="00CB7CBD">
        <w:rPr>
          <w:lang w:val="es-ES"/>
        </w:rPr>
        <w:tab/>
        <w:t>Atenuación debida a la lluvia durante el mes más desfavorable</w:t>
      </w:r>
    </w:p>
    <w:p w:rsidR="00CB7CBD" w:rsidRPr="00CB7CBD" w:rsidRDefault="00CB7CBD" w:rsidP="00CB7CBD">
      <w:pPr>
        <w:spacing w:line="0" w:lineRule="atLeast"/>
        <w:rPr>
          <w:lang w:val="es-ES"/>
        </w:rPr>
      </w:pPr>
      <w:r w:rsidRPr="00CB7CBD">
        <w:rPr>
          <w:lang w:val="es-ES"/>
        </w:rPr>
        <w:t>En la radiodifusión por satélite, la atenuación debida a la lluvia que se rebasa durante el 1% del mes más desfavorable es generalmente la degradación más importante. En la Recomen</w:t>
      </w:r>
      <w:r w:rsidRPr="00CB7CBD">
        <w:rPr>
          <w:lang w:val="es-ES"/>
        </w:rPr>
        <w:softHyphen/>
        <w:t>dación UIT</w:t>
      </w:r>
      <w:r w:rsidRPr="00CB7CBD">
        <w:rPr>
          <w:lang w:val="es-ES"/>
        </w:rPr>
        <w:noBreakHyphen/>
        <w:t>R P.618 se describe un método que establece la relación entre los porcentajes de tiempo del mes más desfavorable y los porcentajes de tiempo anuales para la atenuación debida a la lluvia. El mes más desfavorable y su fundamento se tratan con detalle en la Recomendación UIT-R P.581.</w:t>
      </w:r>
    </w:p>
    <w:p w:rsidR="00CB7CBD" w:rsidRPr="00CB7CBD" w:rsidRDefault="00CB7CBD" w:rsidP="003F5090">
      <w:pPr>
        <w:spacing w:line="0" w:lineRule="atLeast"/>
        <w:rPr>
          <w:lang w:val="es-ES"/>
        </w:rPr>
      </w:pPr>
      <w:r w:rsidRPr="00CB7CBD">
        <w:rPr>
          <w:lang w:val="es-ES"/>
        </w:rPr>
        <w:t>Los datos disponibles referentes a la atenuación debida a la lluvia en el mes más desfavorable se encuentran compilados en el Cuadro II</w:t>
      </w:r>
      <w:r w:rsidRPr="00CB7CBD">
        <w:rPr>
          <w:lang w:val="es-ES"/>
        </w:rPr>
        <w:noBreakHyphen/>
        <w:t>2 de los bancos de datos de la Comisión de Estudio 3 de Radiocomunicaciones (véase la Recomendación UIT-R P.311).</w:t>
      </w:r>
    </w:p>
    <w:p w:rsidR="00CB7CBD" w:rsidRPr="00CB7CBD" w:rsidRDefault="00CB7CBD" w:rsidP="003F5090">
      <w:pPr>
        <w:pStyle w:val="Heading3"/>
        <w:rPr>
          <w:b w:val="0"/>
          <w:lang w:val="es-ES"/>
        </w:rPr>
      </w:pPr>
      <w:r w:rsidRPr="00CB7CBD">
        <w:rPr>
          <w:lang w:val="es-ES"/>
        </w:rPr>
        <w:t>2.1.4</w:t>
      </w:r>
      <w:r w:rsidRPr="00CB7CBD">
        <w:rPr>
          <w:lang w:val="es-ES"/>
        </w:rPr>
        <w:tab/>
        <w:t>Variación diurna del desvanecimiento</w:t>
      </w:r>
    </w:p>
    <w:p w:rsidR="00CB7CBD" w:rsidRPr="00CB7CBD" w:rsidRDefault="00CB7CBD" w:rsidP="00CB7CBD">
      <w:pPr>
        <w:spacing w:line="0" w:lineRule="atLeast"/>
        <w:rPr>
          <w:lang w:val="es-ES"/>
        </w:rPr>
      </w:pPr>
      <w:r w:rsidRPr="00CB7CBD">
        <w:rPr>
          <w:lang w:val="es-ES"/>
        </w:rPr>
        <w:t>La dependencia del desvanecimiento de la señal respecto de la hora del día es un factor que influye en la prestación de los servicios de radiodifusión por satélite. Los datos sobre desvanecimiento obtenidos en diversas regiones del mundo muestran una tendencia común a que los mayores desvanecimientos se produzcan por la tarde y a primeras horas de la noche. En climas caracterizados por tormentas, la mayor probabilidad de que se produzcan desvanecimientos profundos está relacionada con la hora de máxima actividad de tormentas locales. Las zonas tropicales, en particular, pueden presentar una fuerte asimetría diurna.</w:t>
      </w:r>
    </w:p>
    <w:p w:rsidR="00CB7CBD" w:rsidRPr="00CB7CBD" w:rsidRDefault="00CB7CBD" w:rsidP="00CB7CBD">
      <w:pPr>
        <w:spacing w:line="0" w:lineRule="atLeast"/>
        <w:rPr>
          <w:lang w:val="es-ES"/>
        </w:rPr>
      </w:pPr>
      <w:r w:rsidRPr="00CB7CBD">
        <w:rPr>
          <w:lang w:val="es-ES"/>
        </w:rPr>
        <w:t>Por otra parte, el desvanecimiento de bajo nivel se distribuye de manera más uniforme, tanto entre las estaciones del año como de un día a otro.</w:t>
      </w:r>
    </w:p>
    <w:p w:rsidR="00CB7CBD" w:rsidRPr="00CB7CBD" w:rsidRDefault="00CB7CBD" w:rsidP="003F5090">
      <w:pPr>
        <w:pStyle w:val="Heading3"/>
        <w:rPr>
          <w:lang w:val="es-ES"/>
        </w:rPr>
      </w:pPr>
      <w:r w:rsidRPr="00CB7CBD">
        <w:rPr>
          <w:lang w:val="es-ES"/>
        </w:rPr>
        <w:t>2.1.5</w:t>
      </w:r>
      <w:r w:rsidRPr="00CB7CBD">
        <w:rPr>
          <w:lang w:val="es-ES"/>
        </w:rPr>
        <w:tab/>
        <w:t>Desvanecimiento por centelleo</w:t>
      </w:r>
    </w:p>
    <w:p w:rsidR="00CB7CBD" w:rsidRPr="00CB7CBD" w:rsidRDefault="00CB7CBD" w:rsidP="00CB7CBD">
      <w:pPr>
        <w:rPr>
          <w:lang w:val="es-ES"/>
        </w:rPr>
      </w:pPr>
      <w:r w:rsidRPr="00CB7CBD">
        <w:rPr>
          <w:lang w:val="es-ES"/>
        </w:rPr>
        <w:t>Las irregularidades a pequeña escala del índice de refracción troposférico pueden producir fluctuaciones rápidas de la amplitud de la señal. Por lo general, los centelleos de la señal no influyen en gran medida en la calidad de funcionamiento del sistema en las frecuencias inferiores a unos 10 GHz y con ángulos de elevación del trayecto superiores a 10</w:t>
      </w:r>
      <w:r w:rsidRPr="00CB7CBD">
        <w:rPr>
          <w:rFonts w:ascii="Symbol" w:hAnsi="Symbol"/>
        </w:rPr>
        <w:t></w:t>
      </w:r>
      <w:r w:rsidRPr="00CB7CBD">
        <w:rPr>
          <w:lang w:val="es-ES"/>
        </w:rPr>
        <w:t>, pero puede ser importante en ángulos de elevación bajos o en frecuencias más elevadas, en particular en los enlaces con pequeño margen. La estimación del desvanecimiento por centelleo se obtiene mediante el método descrito en la Recomendación UIT-R P.618.</w:t>
      </w:r>
    </w:p>
    <w:p w:rsidR="00CB7CBD" w:rsidRPr="00CB7CBD" w:rsidRDefault="00CB7CBD" w:rsidP="003F5090">
      <w:pPr>
        <w:pStyle w:val="Heading2"/>
        <w:rPr>
          <w:lang w:val="es-ES"/>
        </w:rPr>
      </w:pPr>
      <w:r w:rsidRPr="00CB7CBD">
        <w:rPr>
          <w:lang w:val="es-ES"/>
        </w:rPr>
        <w:t>2.2</w:t>
      </w:r>
      <w:r w:rsidRPr="00CB7CBD">
        <w:rPr>
          <w:lang w:val="es-ES"/>
        </w:rPr>
        <w:tab/>
        <w:t>Despolarización</w:t>
      </w:r>
    </w:p>
    <w:p w:rsidR="00CB7CBD" w:rsidRPr="00CB7CBD" w:rsidRDefault="00CB7CBD" w:rsidP="00CB7CBD">
      <w:pPr>
        <w:rPr>
          <w:lang w:val="es-ES"/>
        </w:rPr>
      </w:pPr>
      <w:r w:rsidRPr="00CB7CBD">
        <w:rPr>
          <w:lang w:val="es-ES"/>
        </w:rPr>
        <w:t>Los hidrometeoros, principalmente las concentraciones de gotas de lluvia y cristales de hielo, pueden causar una despolarización estadísticamente importante de las señales en las frecuencias por encima de 2 GHz aproximadamente. En la Recomendación UIT-R P.618 figura el procedimiento recomendado para la predicción de estos efectos.</w:t>
      </w:r>
    </w:p>
    <w:p w:rsidR="00CB7CBD" w:rsidRPr="00CB7CBD" w:rsidRDefault="00CB7CBD" w:rsidP="003F5090">
      <w:pPr>
        <w:pStyle w:val="Heading1"/>
        <w:rPr>
          <w:lang w:val="es-ES"/>
        </w:rPr>
      </w:pPr>
      <w:r w:rsidRPr="00CB7CBD">
        <w:rPr>
          <w:lang w:val="es-ES"/>
        </w:rPr>
        <w:t>3</w:t>
      </w:r>
      <w:r w:rsidRPr="00CB7CBD">
        <w:rPr>
          <w:lang w:val="es-ES"/>
        </w:rPr>
        <w:tab/>
        <w:t>Efectos ionosféricos</w:t>
      </w:r>
    </w:p>
    <w:p w:rsidR="00CB7CBD" w:rsidRPr="00CB7CBD" w:rsidRDefault="00CB7CBD" w:rsidP="00CB7CBD">
      <w:pPr>
        <w:rPr>
          <w:lang w:val="es-ES"/>
        </w:rPr>
      </w:pPr>
      <w:r w:rsidRPr="00CB7CBD">
        <w:rPr>
          <w:lang w:val="es-ES"/>
        </w:rPr>
        <w:t>En frecuencias inferiores a 3 GHz aproximadamente, los efectos ionosféricos son importantes en algunos trayectos y algunas ubicaciones. En el Cuadro 1 se resumen los valores máximos estimados de los efectos ionosféricos (según la Recomen</w:t>
      </w:r>
      <w:r w:rsidRPr="00CB7CBD">
        <w:rPr>
          <w:lang w:val="es-ES"/>
        </w:rPr>
        <w:softHyphen/>
        <w:t>dación UIT-R P.531) en diversas frecuencias, para uso general en trabajos técnicos. Normalmente, las degradaciones más importantes son el centelleo de la señal y (sólo en el caso de las ondas con polarización lineal) la rotación de Faraday.</w:t>
      </w:r>
    </w:p>
    <w:p w:rsidR="00CB7CBD" w:rsidRPr="00CB7CBD" w:rsidRDefault="00CB7CBD" w:rsidP="003F5090">
      <w:pPr>
        <w:pStyle w:val="TableNo"/>
        <w:rPr>
          <w:lang w:val="es-ES"/>
        </w:rPr>
      </w:pPr>
      <w:r w:rsidRPr="00CB7CBD">
        <w:rPr>
          <w:lang w:val="es-ES"/>
        </w:rPr>
        <w:lastRenderedPageBreak/>
        <w:t>CUADRO  1</w:t>
      </w:r>
    </w:p>
    <w:p w:rsidR="00CB7CBD" w:rsidRPr="00CB7CBD" w:rsidRDefault="00CB7CBD" w:rsidP="003F5090">
      <w:pPr>
        <w:pStyle w:val="Tabletitle"/>
        <w:rPr>
          <w:lang w:val="es-ES"/>
        </w:rPr>
      </w:pPr>
      <w:r w:rsidRPr="00CB7CBD">
        <w:rPr>
          <w:lang w:val="es-ES"/>
        </w:rPr>
        <w:t>Efectos estimados* de la ionosfera, para un trayecto unidireccional</w:t>
      </w:r>
      <w:r w:rsidRPr="00CB7CBD">
        <w:rPr>
          <w:lang w:val="es-ES"/>
        </w:rPr>
        <w:br/>
        <w:t>con un ángulo de elevación de unos 30</w:t>
      </w:r>
      <w:r w:rsidRPr="00CB7CBD">
        <w:sym w:font="Symbol" w:char="F0B0"/>
      </w:r>
      <w:r w:rsidRPr="00CB7CBD">
        <w:rPr>
          <w:position w:val="4"/>
          <w:sz w:val="14"/>
          <w:lang w:val="es-ES"/>
        </w:rPr>
        <w:t>**</w:t>
      </w:r>
      <w:r w:rsidRPr="00CB7CBD">
        <w:rPr>
          <w:position w:val="4"/>
          <w:sz w:val="14"/>
          <w:lang w:val="es-ES"/>
        </w:rPr>
        <w:br/>
      </w:r>
      <w:r w:rsidRPr="00CB7CBD">
        <w:rPr>
          <w:lang w:val="es-ES"/>
        </w:rPr>
        <w:t>(según la Recomendación UIT-R P.531)</w:t>
      </w:r>
    </w:p>
    <w:tbl>
      <w:tblPr>
        <w:tblW w:w="0" w:type="auto"/>
        <w:jc w:val="center"/>
        <w:tblLayout w:type="fixed"/>
        <w:tblLook w:val="0000" w:firstRow="0" w:lastRow="0" w:firstColumn="0" w:lastColumn="0" w:noHBand="0" w:noVBand="0"/>
      </w:tblPr>
      <w:tblGrid>
        <w:gridCol w:w="2268"/>
        <w:gridCol w:w="1418"/>
        <w:gridCol w:w="1418"/>
        <w:gridCol w:w="1418"/>
        <w:gridCol w:w="1644"/>
        <w:gridCol w:w="1559"/>
        <w:gridCol w:w="8"/>
      </w:tblGrid>
      <w:tr w:rsidR="00CB7CBD" w:rsidRPr="00CB7CBD" w:rsidTr="00FC42F6">
        <w:trPr>
          <w:gridAfter w:val="1"/>
          <w:wAfter w:w="13" w:type="dxa"/>
          <w:cantSplit/>
          <w:jc w:val="center"/>
        </w:trPr>
        <w:tc>
          <w:tcPr>
            <w:tcW w:w="226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keepNext/>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20"/>
              <w:jc w:val="center"/>
              <w:rPr>
                <w:b/>
                <w:sz w:val="22"/>
              </w:rPr>
            </w:pPr>
            <w:r w:rsidRPr="00CB7CBD">
              <w:rPr>
                <w:b/>
                <w:sz w:val="22"/>
                <w:lang w:val="es-ES"/>
              </w:rPr>
              <w:t>Efecto</w:t>
            </w:r>
          </w:p>
        </w:tc>
        <w:tc>
          <w:tcPr>
            <w:tcW w:w="141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keepNext/>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b/>
                <w:sz w:val="22"/>
              </w:rPr>
            </w:pPr>
            <w:r w:rsidRPr="00CB7CBD">
              <w:rPr>
                <w:b/>
                <w:sz w:val="22"/>
                <w:lang w:val="es-ES"/>
              </w:rPr>
              <w:t>Dependencia</w:t>
            </w:r>
            <w:r w:rsidRPr="00CB7CBD">
              <w:rPr>
                <w:b/>
                <w:sz w:val="22"/>
                <w:lang w:val="es-ES"/>
              </w:rPr>
              <w:br/>
              <w:t>de la</w:t>
            </w:r>
            <w:r w:rsidRPr="00CB7CBD">
              <w:rPr>
                <w:b/>
                <w:sz w:val="22"/>
                <w:lang w:val="es-ES"/>
              </w:rPr>
              <w:br/>
              <w:t>frecuencia</w:t>
            </w:r>
          </w:p>
        </w:tc>
        <w:tc>
          <w:tcPr>
            <w:tcW w:w="141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keepNext/>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20"/>
              <w:jc w:val="center"/>
              <w:rPr>
                <w:b/>
                <w:sz w:val="22"/>
              </w:rPr>
            </w:pPr>
            <w:r w:rsidRPr="00CB7CBD">
              <w:rPr>
                <w:b/>
                <w:sz w:val="22"/>
              </w:rPr>
              <w:t>0,5 GHz</w:t>
            </w:r>
          </w:p>
        </w:tc>
        <w:tc>
          <w:tcPr>
            <w:tcW w:w="141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keepNext/>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20"/>
              <w:jc w:val="center"/>
              <w:rPr>
                <w:b/>
                <w:sz w:val="22"/>
              </w:rPr>
            </w:pPr>
            <w:r w:rsidRPr="00CB7CBD">
              <w:rPr>
                <w:b/>
                <w:sz w:val="22"/>
              </w:rPr>
              <w:t>1 GHz</w:t>
            </w:r>
          </w:p>
        </w:tc>
        <w:tc>
          <w:tcPr>
            <w:tcW w:w="1644"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keepNext/>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20"/>
              <w:jc w:val="center"/>
              <w:rPr>
                <w:b/>
                <w:sz w:val="22"/>
              </w:rPr>
            </w:pPr>
            <w:r w:rsidRPr="00CB7CBD">
              <w:rPr>
                <w:b/>
                <w:sz w:val="22"/>
              </w:rPr>
              <w:t>3 GHz</w:t>
            </w:r>
          </w:p>
        </w:tc>
        <w:tc>
          <w:tcPr>
            <w:tcW w:w="1559"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keepNext/>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20"/>
              <w:jc w:val="center"/>
              <w:rPr>
                <w:b/>
                <w:sz w:val="22"/>
              </w:rPr>
            </w:pPr>
            <w:r w:rsidRPr="00CB7CBD">
              <w:rPr>
                <w:b/>
                <w:sz w:val="22"/>
              </w:rPr>
              <w:t>10 GHz</w:t>
            </w:r>
          </w:p>
        </w:tc>
      </w:tr>
      <w:tr w:rsidR="00CB7CBD" w:rsidRPr="00CB7CBD" w:rsidTr="00FC42F6">
        <w:trPr>
          <w:cantSplit/>
          <w:jc w:val="center"/>
        </w:trPr>
        <w:tc>
          <w:tcPr>
            <w:tcW w:w="226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CB7CBD">
              <w:rPr>
                <w:sz w:val="22"/>
                <w:lang w:val="es-ES"/>
              </w:rPr>
              <w:t>Rotación de Faraday</w:t>
            </w:r>
          </w:p>
        </w:tc>
        <w:tc>
          <w:tcPr>
            <w:tcW w:w="1418" w:type="dxa"/>
            <w:tcBorders>
              <w:top w:val="single" w:sz="6" w:space="0" w:color="auto"/>
              <w:bottom w:val="single" w:sz="6" w:space="0" w:color="auto"/>
            </w:tcBorders>
          </w:tcPr>
          <w:p w:rsidR="00CB7CBD" w:rsidRPr="00CB7CBD" w:rsidRDefault="00CB7CBD" w:rsidP="00CB7CBD">
            <w:pPr>
              <w:framePr w:hSpace="181" w:wrap="notBeside" w:vAnchor="text" w:hAnchor="text" w:xAlign="center" w:y="1"/>
              <w:tabs>
                <w:tab w:val="clear" w:pos="1191"/>
                <w:tab w:val="clear" w:pos="1588"/>
                <w:tab w:val="right" w:pos="794"/>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CB7CBD">
              <w:rPr>
                <w:sz w:val="22"/>
              </w:rPr>
              <w:tab/>
              <w:t>1/</w:t>
            </w:r>
            <w:r w:rsidRPr="00CB7CBD">
              <w:rPr>
                <w:i/>
                <w:iCs/>
                <w:sz w:val="22"/>
              </w:rPr>
              <w:t>f</w:t>
            </w:r>
            <w:r w:rsidRPr="00CB7CBD">
              <w:rPr>
                <w:rFonts w:ascii="Tms Rmn" w:hAnsi="Tms Rmn"/>
                <w:i/>
                <w:iCs/>
                <w:sz w:val="12"/>
              </w:rPr>
              <w:t> </w:t>
            </w:r>
            <w:r w:rsidRPr="00CB7CBD">
              <w:rPr>
                <w:position w:val="6"/>
                <w:sz w:val="18"/>
              </w:rPr>
              <w:t>2</w:t>
            </w:r>
          </w:p>
        </w:tc>
        <w:tc>
          <w:tcPr>
            <w:tcW w:w="141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t>1,2 vueltas</w:t>
            </w:r>
          </w:p>
        </w:tc>
        <w:tc>
          <w:tcPr>
            <w:tcW w:w="1418" w:type="dxa"/>
            <w:tcBorders>
              <w:top w:val="single" w:sz="6" w:space="0" w:color="auto"/>
              <w:bottom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t>108°</w:t>
            </w:r>
          </w:p>
        </w:tc>
        <w:tc>
          <w:tcPr>
            <w:tcW w:w="1644"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t>12</w:t>
            </w:r>
            <w:r w:rsidRPr="00CB7CBD">
              <w:rPr>
                <w:rFonts w:ascii="Symbol" w:hAnsi="Symbol"/>
                <w:sz w:val="22"/>
              </w:rPr>
              <w:t></w:t>
            </w:r>
          </w:p>
        </w:tc>
        <w:tc>
          <w:tcPr>
            <w:tcW w:w="1559" w:type="dxa"/>
            <w:gridSpan w:val="2"/>
            <w:tcBorders>
              <w:top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t>1,1°</w:t>
            </w:r>
          </w:p>
        </w:tc>
      </w:tr>
      <w:tr w:rsidR="00CB7CBD" w:rsidRPr="00CB7CBD" w:rsidTr="00FC42F6">
        <w:trPr>
          <w:cantSplit/>
          <w:jc w:val="center"/>
        </w:trPr>
        <w:tc>
          <w:tcPr>
            <w:tcW w:w="226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left"/>
              <w:rPr>
                <w:sz w:val="22"/>
              </w:rPr>
            </w:pPr>
            <w:r w:rsidRPr="00CB7CBD">
              <w:rPr>
                <w:sz w:val="22"/>
                <w:lang w:val="es-ES"/>
              </w:rPr>
              <w:t>Retardo de propagación</w:t>
            </w:r>
          </w:p>
        </w:tc>
        <w:tc>
          <w:tcPr>
            <w:tcW w:w="1418" w:type="dxa"/>
            <w:tcBorders>
              <w:top w:val="single" w:sz="6" w:space="0" w:color="auto"/>
              <w:bottom w:val="single" w:sz="6" w:space="0" w:color="auto"/>
            </w:tcBorders>
          </w:tcPr>
          <w:p w:rsidR="00CB7CBD" w:rsidRPr="00CB7CBD" w:rsidRDefault="00CB7CBD" w:rsidP="00CB7CBD">
            <w:pPr>
              <w:framePr w:hSpace="181" w:wrap="notBeside" w:vAnchor="text" w:hAnchor="text" w:xAlign="center" w:y="1"/>
              <w:tabs>
                <w:tab w:val="clear" w:pos="1191"/>
                <w:tab w:val="clear" w:pos="1588"/>
                <w:tab w:val="right" w:pos="794"/>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CB7CBD">
              <w:rPr>
                <w:sz w:val="22"/>
              </w:rPr>
              <w:tab/>
              <w:t>1/</w:t>
            </w:r>
            <w:r w:rsidRPr="00CB7CBD">
              <w:rPr>
                <w:i/>
                <w:iCs/>
                <w:sz w:val="22"/>
              </w:rPr>
              <w:t>f</w:t>
            </w:r>
            <w:r w:rsidRPr="00CB7CBD">
              <w:rPr>
                <w:rFonts w:ascii="Tms Rmn" w:hAnsi="Tms Rmn"/>
                <w:i/>
                <w:iCs/>
                <w:sz w:val="12"/>
              </w:rPr>
              <w:t> </w:t>
            </w:r>
            <w:r w:rsidRPr="00CB7CBD">
              <w:rPr>
                <w:position w:val="6"/>
                <w:sz w:val="18"/>
              </w:rPr>
              <w:t>2</w:t>
            </w:r>
          </w:p>
        </w:tc>
        <w:tc>
          <w:tcPr>
            <w:tcW w:w="141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t xml:space="preserve">1 </w:t>
            </w:r>
            <w:r w:rsidRPr="00CB7CBD">
              <w:rPr>
                <w:rFonts w:ascii="Symbol" w:hAnsi="Symbol"/>
                <w:sz w:val="22"/>
              </w:rPr>
              <w:t></w:t>
            </w:r>
            <w:r w:rsidRPr="00CB7CBD">
              <w:rPr>
                <w:sz w:val="22"/>
              </w:rPr>
              <w:t>s</w:t>
            </w:r>
          </w:p>
        </w:tc>
        <w:tc>
          <w:tcPr>
            <w:tcW w:w="1418" w:type="dxa"/>
            <w:tcBorders>
              <w:top w:val="single" w:sz="6" w:space="0" w:color="auto"/>
              <w:bottom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t xml:space="preserve">0,25 </w:t>
            </w:r>
            <w:r w:rsidRPr="00CB7CBD">
              <w:rPr>
                <w:rFonts w:ascii="Symbol" w:hAnsi="Symbol"/>
                <w:sz w:val="22"/>
              </w:rPr>
              <w:t></w:t>
            </w:r>
            <w:r w:rsidRPr="00CB7CBD">
              <w:rPr>
                <w:sz w:val="22"/>
              </w:rPr>
              <w:t>s</w:t>
            </w:r>
          </w:p>
        </w:tc>
        <w:tc>
          <w:tcPr>
            <w:tcW w:w="1644"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t xml:space="preserve">0,028 </w:t>
            </w:r>
            <w:r w:rsidRPr="00CB7CBD">
              <w:rPr>
                <w:rFonts w:ascii="Symbol" w:hAnsi="Symbol"/>
                <w:sz w:val="22"/>
              </w:rPr>
              <w:t></w:t>
            </w:r>
            <w:r w:rsidRPr="00CB7CBD">
              <w:rPr>
                <w:sz w:val="22"/>
              </w:rPr>
              <w:t>s</w:t>
            </w:r>
          </w:p>
        </w:tc>
        <w:tc>
          <w:tcPr>
            <w:tcW w:w="1559" w:type="dxa"/>
            <w:gridSpan w:val="2"/>
            <w:tcBorders>
              <w:top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t xml:space="preserve">0,0025 </w:t>
            </w:r>
            <w:r w:rsidRPr="00CB7CBD">
              <w:rPr>
                <w:rFonts w:ascii="Symbol" w:hAnsi="Symbol"/>
                <w:sz w:val="22"/>
              </w:rPr>
              <w:t></w:t>
            </w:r>
            <w:r w:rsidRPr="00CB7CBD">
              <w:rPr>
                <w:sz w:val="22"/>
              </w:rPr>
              <w:t>s</w:t>
            </w:r>
          </w:p>
        </w:tc>
      </w:tr>
      <w:tr w:rsidR="00CB7CBD" w:rsidRPr="00CB7CBD" w:rsidTr="00FC42F6">
        <w:trPr>
          <w:cantSplit/>
          <w:jc w:val="center"/>
        </w:trPr>
        <w:tc>
          <w:tcPr>
            <w:tcW w:w="226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CB7CBD">
              <w:rPr>
                <w:sz w:val="22"/>
                <w:lang w:val="es-ES"/>
              </w:rPr>
              <w:t>Refracción</w:t>
            </w:r>
          </w:p>
        </w:tc>
        <w:tc>
          <w:tcPr>
            <w:tcW w:w="1418" w:type="dxa"/>
            <w:tcBorders>
              <w:top w:val="single" w:sz="6" w:space="0" w:color="auto"/>
              <w:bottom w:val="single" w:sz="6" w:space="0" w:color="auto"/>
            </w:tcBorders>
          </w:tcPr>
          <w:p w:rsidR="00CB7CBD" w:rsidRPr="00CB7CBD" w:rsidRDefault="00CB7CBD" w:rsidP="00CB7CBD">
            <w:pPr>
              <w:framePr w:hSpace="181" w:wrap="notBeside" w:vAnchor="text" w:hAnchor="text" w:xAlign="center" w:y="1"/>
              <w:tabs>
                <w:tab w:val="clear" w:pos="1191"/>
                <w:tab w:val="clear" w:pos="1588"/>
                <w:tab w:val="right" w:pos="794"/>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CB7CBD">
              <w:rPr>
                <w:sz w:val="22"/>
              </w:rPr>
              <w:tab/>
              <w:t>1/</w:t>
            </w:r>
            <w:r w:rsidRPr="00CB7CBD">
              <w:rPr>
                <w:i/>
                <w:iCs/>
                <w:sz w:val="22"/>
              </w:rPr>
              <w:t>f</w:t>
            </w:r>
            <w:r w:rsidRPr="00CB7CBD">
              <w:rPr>
                <w:rFonts w:ascii="Tms Rmn" w:hAnsi="Tms Rmn"/>
                <w:i/>
                <w:iCs/>
                <w:sz w:val="12"/>
              </w:rPr>
              <w:t> </w:t>
            </w:r>
            <w:r w:rsidRPr="00CB7CBD">
              <w:rPr>
                <w:position w:val="6"/>
                <w:sz w:val="18"/>
              </w:rPr>
              <w:t>2</w:t>
            </w:r>
          </w:p>
        </w:tc>
        <w:tc>
          <w:tcPr>
            <w:tcW w:w="141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sym w:font="Symbol" w:char="F03C"/>
            </w:r>
            <w:r w:rsidRPr="00CB7CBD">
              <w:rPr>
                <w:sz w:val="22"/>
              </w:rPr>
              <w:t xml:space="preserve"> 2,4</w:t>
            </w:r>
            <w:r w:rsidRPr="00CB7CBD">
              <w:rPr>
                <w:rFonts w:ascii="Symbol" w:hAnsi="Symbol"/>
                <w:sz w:val="22"/>
              </w:rPr>
              <w:t></w:t>
            </w:r>
          </w:p>
        </w:tc>
        <w:tc>
          <w:tcPr>
            <w:tcW w:w="1418" w:type="dxa"/>
            <w:tcBorders>
              <w:top w:val="single" w:sz="6" w:space="0" w:color="auto"/>
              <w:bottom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sym w:font="Symbol" w:char="F03C"/>
            </w:r>
            <w:r w:rsidRPr="00CB7CBD">
              <w:rPr>
                <w:sz w:val="22"/>
              </w:rPr>
              <w:t xml:space="preserve"> 0,6</w:t>
            </w:r>
            <w:r w:rsidRPr="00CB7CBD">
              <w:rPr>
                <w:rFonts w:ascii="Symbol" w:hAnsi="Symbol"/>
                <w:sz w:val="22"/>
              </w:rPr>
              <w:t></w:t>
            </w:r>
          </w:p>
        </w:tc>
        <w:tc>
          <w:tcPr>
            <w:tcW w:w="1644"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sym w:font="Symbol" w:char="F03C"/>
            </w:r>
            <w:r w:rsidRPr="00CB7CBD">
              <w:rPr>
                <w:sz w:val="22"/>
              </w:rPr>
              <w:t xml:space="preserve"> 4,2</w:t>
            </w:r>
            <w:r w:rsidRPr="00CB7CBD">
              <w:rPr>
                <w:rFonts w:ascii="Symbol" w:hAnsi="Symbol"/>
                <w:sz w:val="22"/>
              </w:rPr>
              <w:t></w:t>
            </w:r>
          </w:p>
        </w:tc>
        <w:tc>
          <w:tcPr>
            <w:tcW w:w="1559" w:type="dxa"/>
            <w:gridSpan w:val="2"/>
            <w:tcBorders>
              <w:top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sym w:font="Symbol" w:char="F03C"/>
            </w:r>
            <w:r w:rsidRPr="00CB7CBD">
              <w:rPr>
                <w:sz w:val="22"/>
              </w:rPr>
              <w:t xml:space="preserve"> 0,36</w:t>
            </w:r>
            <w:r w:rsidRPr="00CB7CBD">
              <w:rPr>
                <w:rFonts w:ascii="Symbol" w:hAnsi="Symbol"/>
                <w:sz w:val="22"/>
              </w:rPr>
              <w:t></w:t>
            </w:r>
          </w:p>
        </w:tc>
      </w:tr>
      <w:tr w:rsidR="00CB7CBD" w:rsidRPr="00CB7CBD" w:rsidTr="00FC42F6">
        <w:trPr>
          <w:cantSplit/>
          <w:jc w:val="center"/>
        </w:trPr>
        <w:tc>
          <w:tcPr>
            <w:tcW w:w="2268" w:type="dxa"/>
            <w:tcBorders>
              <w:top w:val="single" w:sz="6" w:space="0" w:color="auto"/>
              <w:left w:val="single" w:sz="6" w:space="0" w:color="auto"/>
              <w:bottom w:val="single" w:sz="6" w:space="0" w:color="auto"/>
              <w:right w:val="single" w:sz="6" w:space="0" w:color="auto"/>
            </w:tcBorders>
          </w:tcPr>
          <w:p w:rsidR="00CB7CBD" w:rsidRPr="00505C81"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rPr>
            </w:pPr>
            <w:r w:rsidRPr="00CB7CBD">
              <w:rPr>
                <w:sz w:val="22"/>
                <w:lang w:val="es-ES"/>
              </w:rPr>
              <w:t>Variación de la direc</w:t>
            </w:r>
            <w:r w:rsidRPr="00CB7CBD">
              <w:rPr>
                <w:sz w:val="22"/>
                <w:lang w:val="es-ES"/>
              </w:rPr>
              <w:softHyphen/>
              <w:t>ción de llegada (valor cuadrático medio)</w:t>
            </w:r>
          </w:p>
        </w:tc>
        <w:tc>
          <w:tcPr>
            <w:tcW w:w="1418" w:type="dxa"/>
            <w:tcBorders>
              <w:top w:val="single" w:sz="6" w:space="0" w:color="auto"/>
              <w:bottom w:val="single" w:sz="6" w:space="0" w:color="auto"/>
            </w:tcBorders>
          </w:tcPr>
          <w:p w:rsidR="00CB7CBD" w:rsidRPr="00CB7CBD" w:rsidRDefault="00CB7CBD" w:rsidP="00CB7CBD">
            <w:pPr>
              <w:framePr w:hSpace="181" w:wrap="notBeside" w:vAnchor="text" w:hAnchor="text" w:xAlign="center" w:y="1"/>
              <w:tabs>
                <w:tab w:val="clear" w:pos="1191"/>
                <w:tab w:val="clear" w:pos="1588"/>
                <w:tab w:val="right" w:pos="794"/>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505C81">
              <w:rPr>
                <w:rFonts w:ascii="Symbol" w:hAnsi="Symbol"/>
                <w:color w:val="FFFFFF"/>
                <w:sz w:val="22"/>
                <w:lang w:val="es-ES_tradnl"/>
              </w:rPr>
              <w:br/>
            </w:r>
            <w:r w:rsidRPr="00505C81">
              <w:rPr>
                <w:rFonts w:ascii="Symbol" w:hAnsi="Symbol"/>
                <w:color w:val="FFFFFF"/>
                <w:sz w:val="22"/>
                <w:lang w:val="es-ES_tradnl"/>
              </w:rPr>
              <w:tab/>
            </w:r>
            <w:r w:rsidRPr="00CB7CBD">
              <w:rPr>
                <w:sz w:val="22"/>
              </w:rPr>
              <w:t>1/</w:t>
            </w:r>
            <w:r w:rsidRPr="00CB7CBD">
              <w:rPr>
                <w:i/>
                <w:iCs/>
                <w:sz w:val="22"/>
              </w:rPr>
              <w:t>f</w:t>
            </w:r>
            <w:r w:rsidRPr="00CB7CBD">
              <w:rPr>
                <w:rFonts w:ascii="Tms Rmn" w:hAnsi="Tms Rmn"/>
                <w:i/>
                <w:iCs/>
                <w:sz w:val="12"/>
              </w:rPr>
              <w:t> </w:t>
            </w:r>
            <w:r w:rsidRPr="00CB7CBD">
              <w:rPr>
                <w:position w:val="6"/>
                <w:sz w:val="18"/>
              </w:rPr>
              <w:t>2</w:t>
            </w:r>
          </w:p>
        </w:tc>
        <w:tc>
          <w:tcPr>
            <w:tcW w:w="141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br/>
              <w:t>48</w:t>
            </w:r>
            <w:r w:rsidRPr="00CB7CBD">
              <w:rPr>
                <w:rFonts w:ascii="Symbol" w:hAnsi="Symbol"/>
                <w:sz w:val="22"/>
              </w:rPr>
              <w:t></w:t>
            </w:r>
          </w:p>
        </w:tc>
        <w:tc>
          <w:tcPr>
            <w:tcW w:w="1418" w:type="dxa"/>
            <w:tcBorders>
              <w:top w:val="single" w:sz="6" w:space="0" w:color="auto"/>
              <w:bottom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br/>
              <w:t>12</w:t>
            </w:r>
            <w:r w:rsidRPr="00CB7CBD">
              <w:rPr>
                <w:rFonts w:ascii="Symbol" w:hAnsi="Symbol"/>
                <w:sz w:val="22"/>
              </w:rPr>
              <w:t></w:t>
            </w:r>
          </w:p>
        </w:tc>
        <w:tc>
          <w:tcPr>
            <w:tcW w:w="1644"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br/>
              <w:t>1,32</w:t>
            </w:r>
            <w:r w:rsidRPr="00CB7CBD">
              <w:rPr>
                <w:rFonts w:ascii="Symbol" w:hAnsi="Symbol"/>
                <w:sz w:val="22"/>
              </w:rPr>
              <w:t></w:t>
            </w:r>
          </w:p>
        </w:tc>
        <w:tc>
          <w:tcPr>
            <w:tcW w:w="1559" w:type="dxa"/>
            <w:gridSpan w:val="2"/>
            <w:tcBorders>
              <w:top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br/>
              <w:t>0,12</w:t>
            </w:r>
            <w:r w:rsidRPr="00CB7CBD">
              <w:rPr>
                <w:rFonts w:ascii="Symbol" w:hAnsi="Symbol"/>
                <w:sz w:val="22"/>
              </w:rPr>
              <w:t></w:t>
            </w:r>
          </w:p>
        </w:tc>
      </w:tr>
      <w:tr w:rsidR="00CB7CBD" w:rsidRPr="00CB7CBD" w:rsidTr="00FC42F6">
        <w:trPr>
          <w:cantSplit/>
          <w:jc w:val="center"/>
        </w:trPr>
        <w:tc>
          <w:tcPr>
            <w:tcW w:w="2268" w:type="dxa"/>
            <w:tcBorders>
              <w:top w:val="single" w:sz="6" w:space="0" w:color="auto"/>
              <w:left w:val="single" w:sz="6" w:space="0" w:color="auto"/>
              <w:bottom w:val="single" w:sz="6" w:space="0" w:color="auto"/>
              <w:right w:val="single" w:sz="6" w:space="0" w:color="auto"/>
            </w:tcBorders>
          </w:tcPr>
          <w:p w:rsidR="00CB7CBD" w:rsidRPr="00505C81"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rPr>
            </w:pPr>
            <w:r w:rsidRPr="00CB7CBD">
              <w:rPr>
                <w:sz w:val="22"/>
                <w:lang w:val="es-ES"/>
              </w:rPr>
              <w:t xml:space="preserve">Absorción (auroral y/o debida al </w:t>
            </w:r>
            <w:r w:rsidRPr="00CB7CBD">
              <w:rPr>
                <w:sz w:val="22"/>
                <w:lang w:val="es-ES"/>
              </w:rPr>
              <w:br/>
              <w:t>casquete polar)</w:t>
            </w:r>
          </w:p>
        </w:tc>
        <w:tc>
          <w:tcPr>
            <w:tcW w:w="1418" w:type="dxa"/>
            <w:tcBorders>
              <w:top w:val="single" w:sz="6" w:space="0" w:color="auto"/>
              <w:bottom w:val="single" w:sz="6" w:space="0" w:color="auto"/>
            </w:tcBorders>
          </w:tcPr>
          <w:p w:rsidR="00CB7CBD" w:rsidRPr="00CB7CBD" w:rsidRDefault="00CB7CBD" w:rsidP="00CB7CBD">
            <w:pPr>
              <w:framePr w:hSpace="181" w:wrap="notBeside" w:vAnchor="text" w:hAnchor="text" w:xAlign="center" w:y="1"/>
              <w:tabs>
                <w:tab w:val="clear" w:pos="1191"/>
                <w:tab w:val="clear" w:pos="1588"/>
                <w:tab w:val="right" w:pos="794"/>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505C81">
              <w:rPr>
                <w:rFonts w:ascii="Symbol" w:hAnsi="Symbol"/>
                <w:sz w:val="22"/>
                <w:lang w:val="es-ES_tradnl"/>
              </w:rPr>
              <w:br/>
            </w:r>
            <w:r w:rsidRPr="00505C81">
              <w:rPr>
                <w:rFonts w:ascii="Symbol" w:hAnsi="Symbol"/>
                <w:sz w:val="22"/>
                <w:lang w:val="es-ES_tradnl"/>
              </w:rPr>
              <w:tab/>
            </w:r>
            <w:r w:rsidRPr="00CB7CBD">
              <w:rPr>
                <w:rFonts w:ascii="Symbol" w:hAnsi="Symbol"/>
                <w:sz w:val="22"/>
              </w:rPr>
              <w:t></w:t>
            </w:r>
            <w:r w:rsidRPr="00CB7CBD">
              <w:rPr>
                <w:sz w:val="22"/>
              </w:rPr>
              <w:t>1/</w:t>
            </w:r>
            <w:r w:rsidRPr="00CB7CBD">
              <w:rPr>
                <w:i/>
                <w:iCs/>
                <w:sz w:val="22"/>
              </w:rPr>
              <w:t>f</w:t>
            </w:r>
            <w:r w:rsidRPr="00CB7CBD">
              <w:rPr>
                <w:rFonts w:ascii="Tms Rmn" w:hAnsi="Tms Rmn"/>
                <w:i/>
                <w:iCs/>
                <w:sz w:val="12"/>
              </w:rPr>
              <w:t> </w:t>
            </w:r>
            <w:r w:rsidRPr="00CB7CBD">
              <w:rPr>
                <w:position w:val="6"/>
                <w:sz w:val="18"/>
              </w:rPr>
              <w:t>2</w:t>
            </w:r>
          </w:p>
        </w:tc>
        <w:tc>
          <w:tcPr>
            <w:tcW w:w="141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br/>
              <w:t>0,2 dB</w:t>
            </w:r>
          </w:p>
        </w:tc>
        <w:tc>
          <w:tcPr>
            <w:tcW w:w="1418" w:type="dxa"/>
            <w:tcBorders>
              <w:top w:val="single" w:sz="6" w:space="0" w:color="auto"/>
              <w:bottom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br/>
              <w:t>0,05 dB</w:t>
            </w:r>
          </w:p>
        </w:tc>
        <w:tc>
          <w:tcPr>
            <w:tcW w:w="1644"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br/>
              <w:t xml:space="preserve">6 </w:t>
            </w:r>
            <w:r w:rsidRPr="00CB7CBD">
              <w:rPr>
                <w:rFonts w:ascii="Tms Rmn" w:hAnsi="Tms Rmn"/>
                <w:sz w:val="12"/>
              </w:rPr>
              <w:t> </w:t>
            </w:r>
            <w:r w:rsidRPr="00CB7CBD">
              <w:rPr>
                <w:rFonts w:ascii="Symbol" w:hAnsi="Symbol"/>
                <w:sz w:val="22"/>
              </w:rPr>
              <w:t></w:t>
            </w:r>
            <w:r w:rsidRPr="00CB7CBD">
              <w:rPr>
                <w:sz w:val="22"/>
              </w:rPr>
              <w:t xml:space="preserve"> </w:t>
            </w:r>
            <w:r w:rsidRPr="00CB7CBD">
              <w:rPr>
                <w:rFonts w:ascii="Tms Rmn" w:hAnsi="Tms Rmn"/>
                <w:sz w:val="12"/>
              </w:rPr>
              <w:t> </w:t>
            </w:r>
            <w:r w:rsidRPr="00CB7CBD">
              <w:rPr>
                <w:sz w:val="22"/>
              </w:rPr>
              <w:t>10</w:t>
            </w:r>
            <w:r w:rsidRPr="00CB7CBD">
              <w:rPr>
                <w:position w:val="6"/>
                <w:sz w:val="18"/>
              </w:rPr>
              <w:t>–3</w:t>
            </w:r>
            <w:r w:rsidRPr="00CB7CBD">
              <w:rPr>
                <w:sz w:val="22"/>
              </w:rPr>
              <w:t xml:space="preserve"> dB</w:t>
            </w:r>
          </w:p>
        </w:tc>
        <w:tc>
          <w:tcPr>
            <w:tcW w:w="1559" w:type="dxa"/>
            <w:gridSpan w:val="2"/>
            <w:tcBorders>
              <w:top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br/>
              <w:t xml:space="preserve">5 </w:t>
            </w:r>
            <w:r w:rsidRPr="00CB7CBD">
              <w:rPr>
                <w:rFonts w:ascii="Tms Rmn" w:hAnsi="Tms Rmn"/>
                <w:sz w:val="12"/>
              </w:rPr>
              <w:t> </w:t>
            </w:r>
            <w:r w:rsidRPr="00CB7CBD">
              <w:rPr>
                <w:rFonts w:ascii="Symbol" w:hAnsi="Symbol"/>
                <w:sz w:val="22"/>
              </w:rPr>
              <w:t></w:t>
            </w:r>
            <w:r w:rsidRPr="00CB7CBD">
              <w:rPr>
                <w:sz w:val="22"/>
              </w:rPr>
              <w:t xml:space="preserve"> </w:t>
            </w:r>
            <w:r w:rsidRPr="00CB7CBD">
              <w:rPr>
                <w:rFonts w:ascii="Tms Rmn" w:hAnsi="Tms Rmn"/>
                <w:sz w:val="12"/>
              </w:rPr>
              <w:t> </w:t>
            </w:r>
            <w:r w:rsidRPr="00CB7CBD">
              <w:rPr>
                <w:sz w:val="22"/>
              </w:rPr>
              <w:t>10</w:t>
            </w:r>
            <w:r w:rsidRPr="00CB7CBD">
              <w:rPr>
                <w:position w:val="6"/>
                <w:sz w:val="18"/>
              </w:rPr>
              <w:t>–4</w:t>
            </w:r>
            <w:r w:rsidRPr="00CB7CBD">
              <w:rPr>
                <w:sz w:val="22"/>
              </w:rPr>
              <w:t xml:space="preserve"> dB</w:t>
            </w:r>
          </w:p>
        </w:tc>
      </w:tr>
      <w:tr w:rsidR="00CB7CBD" w:rsidRPr="00CB7CBD" w:rsidTr="00FC42F6">
        <w:trPr>
          <w:cantSplit/>
          <w:jc w:val="center"/>
        </w:trPr>
        <w:tc>
          <w:tcPr>
            <w:tcW w:w="226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CB7CBD">
              <w:rPr>
                <w:sz w:val="22"/>
                <w:lang w:val="es-ES"/>
              </w:rPr>
              <w:t>Absorción (en latitudes medias)</w:t>
            </w:r>
          </w:p>
        </w:tc>
        <w:tc>
          <w:tcPr>
            <w:tcW w:w="1418" w:type="dxa"/>
            <w:tcBorders>
              <w:top w:val="single" w:sz="6" w:space="0" w:color="auto"/>
              <w:bottom w:val="single" w:sz="6" w:space="0" w:color="auto"/>
            </w:tcBorders>
          </w:tcPr>
          <w:p w:rsidR="00CB7CBD" w:rsidRPr="00CB7CBD" w:rsidRDefault="00CB7CBD" w:rsidP="00CB7CBD">
            <w:pPr>
              <w:framePr w:hSpace="181" w:wrap="notBeside" w:vAnchor="text" w:hAnchor="text" w:xAlign="center" w:y="1"/>
              <w:tabs>
                <w:tab w:val="clear" w:pos="1191"/>
                <w:tab w:val="clear" w:pos="1588"/>
                <w:tab w:val="right" w:pos="794"/>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CB7CBD">
              <w:rPr>
                <w:rFonts w:ascii="Symbol" w:hAnsi="Symbol"/>
                <w:color w:val="FFFFFF"/>
                <w:sz w:val="22"/>
              </w:rPr>
              <w:tab/>
            </w:r>
            <w:r w:rsidRPr="00CB7CBD">
              <w:rPr>
                <w:sz w:val="22"/>
              </w:rPr>
              <w:t>1/</w:t>
            </w:r>
            <w:r w:rsidRPr="00CB7CBD">
              <w:rPr>
                <w:i/>
                <w:iCs/>
                <w:sz w:val="22"/>
              </w:rPr>
              <w:t>f</w:t>
            </w:r>
            <w:r w:rsidRPr="00CB7CBD">
              <w:rPr>
                <w:rFonts w:ascii="Tms Rmn" w:hAnsi="Tms Rmn"/>
                <w:i/>
                <w:iCs/>
                <w:sz w:val="12"/>
              </w:rPr>
              <w:t> </w:t>
            </w:r>
            <w:r w:rsidRPr="00CB7CBD">
              <w:rPr>
                <w:position w:val="6"/>
                <w:sz w:val="18"/>
              </w:rPr>
              <w:t>2</w:t>
            </w:r>
          </w:p>
        </w:tc>
        <w:tc>
          <w:tcPr>
            <w:tcW w:w="141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rFonts w:ascii="Symbol" w:hAnsi="Symbol"/>
                <w:sz w:val="22"/>
              </w:rPr>
              <w:t></w:t>
            </w:r>
            <w:r w:rsidRPr="00CB7CBD">
              <w:rPr>
                <w:sz w:val="22"/>
              </w:rPr>
              <w:t xml:space="preserve"> 0,04 dB</w:t>
            </w:r>
          </w:p>
        </w:tc>
        <w:tc>
          <w:tcPr>
            <w:tcW w:w="1418" w:type="dxa"/>
            <w:tcBorders>
              <w:top w:val="single" w:sz="6" w:space="0" w:color="auto"/>
              <w:bottom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rFonts w:ascii="Symbol" w:hAnsi="Symbol"/>
                <w:sz w:val="22"/>
              </w:rPr>
              <w:t></w:t>
            </w:r>
            <w:r w:rsidRPr="00CB7CBD">
              <w:rPr>
                <w:sz w:val="22"/>
              </w:rPr>
              <w:t xml:space="preserve"> 0,01 dB</w:t>
            </w:r>
          </w:p>
        </w:tc>
        <w:tc>
          <w:tcPr>
            <w:tcW w:w="1644"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rFonts w:ascii="Symbol" w:hAnsi="Symbol"/>
                <w:sz w:val="22"/>
              </w:rPr>
              <w:t></w:t>
            </w:r>
            <w:r w:rsidRPr="00CB7CBD">
              <w:rPr>
                <w:sz w:val="22"/>
              </w:rPr>
              <w:t xml:space="preserve"> 0,001 dB</w:t>
            </w:r>
          </w:p>
        </w:tc>
        <w:tc>
          <w:tcPr>
            <w:tcW w:w="1559" w:type="dxa"/>
            <w:gridSpan w:val="2"/>
            <w:tcBorders>
              <w:top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rFonts w:ascii="Symbol" w:hAnsi="Symbol"/>
                <w:sz w:val="22"/>
              </w:rPr>
              <w:t></w:t>
            </w:r>
            <w:r w:rsidRPr="00CB7CBD">
              <w:rPr>
                <w:sz w:val="22"/>
              </w:rPr>
              <w:t xml:space="preserve"> 1 </w:t>
            </w:r>
            <w:r w:rsidRPr="00CB7CBD">
              <w:rPr>
                <w:rFonts w:ascii="Symbol" w:hAnsi="Symbol"/>
                <w:sz w:val="22"/>
              </w:rPr>
              <w:t></w:t>
            </w:r>
            <w:r w:rsidRPr="00CB7CBD">
              <w:rPr>
                <w:sz w:val="22"/>
              </w:rPr>
              <w:t xml:space="preserve"> 10</w:t>
            </w:r>
            <w:r w:rsidRPr="00CB7CBD">
              <w:rPr>
                <w:position w:val="6"/>
                <w:sz w:val="18"/>
              </w:rPr>
              <w:t>–4</w:t>
            </w:r>
            <w:r w:rsidRPr="00CB7CBD">
              <w:rPr>
                <w:sz w:val="22"/>
              </w:rPr>
              <w:t xml:space="preserve"> dB</w:t>
            </w:r>
          </w:p>
        </w:tc>
      </w:tr>
      <w:tr w:rsidR="00CB7CBD" w:rsidRPr="00CB7CBD" w:rsidTr="00FC42F6">
        <w:trPr>
          <w:cantSplit/>
          <w:jc w:val="center"/>
        </w:trPr>
        <w:tc>
          <w:tcPr>
            <w:tcW w:w="226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CB7CBD">
              <w:rPr>
                <w:sz w:val="22"/>
                <w:lang w:val="es-ES"/>
              </w:rPr>
              <w:t>Dispersión</w:t>
            </w:r>
          </w:p>
        </w:tc>
        <w:tc>
          <w:tcPr>
            <w:tcW w:w="1418" w:type="dxa"/>
            <w:tcBorders>
              <w:top w:val="single" w:sz="6" w:space="0" w:color="auto"/>
              <w:bottom w:val="single" w:sz="6" w:space="0" w:color="auto"/>
            </w:tcBorders>
          </w:tcPr>
          <w:p w:rsidR="00CB7CBD" w:rsidRPr="00CB7CBD" w:rsidRDefault="00CB7CBD" w:rsidP="00CB7CBD">
            <w:pPr>
              <w:framePr w:hSpace="181" w:wrap="notBeside" w:vAnchor="text" w:hAnchor="text" w:xAlign="center" w:y="1"/>
              <w:tabs>
                <w:tab w:val="clear" w:pos="1191"/>
                <w:tab w:val="clear" w:pos="1588"/>
                <w:tab w:val="right" w:pos="794"/>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CB7CBD">
              <w:rPr>
                <w:sz w:val="22"/>
              </w:rPr>
              <w:tab/>
              <w:t>1/</w:t>
            </w:r>
            <w:r w:rsidRPr="00CB7CBD">
              <w:rPr>
                <w:i/>
                <w:iCs/>
                <w:sz w:val="22"/>
              </w:rPr>
              <w:t>f</w:t>
            </w:r>
            <w:r w:rsidRPr="00CB7CBD">
              <w:rPr>
                <w:rFonts w:ascii="Tms Rmn" w:hAnsi="Tms Rmn"/>
                <w:i/>
                <w:iCs/>
                <w:sz w:val="12"/>
              </w:rPr>
              <w:t> </w:t>
            </w:r>
            <w:r w:rsidRPr="00CB7CBD">
              <w:rPr>
                <w:position w:val="6"/>
                <w:sz w:val="18"/>
              </w:rPr>
              <w:t>3</w:t>
            </w:r>
          </w:p>
        </w:tc>
        <w:tc>
          <w:tcPr>
            <w:tcW w:w="141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t>0,0032 ps/Hz</w:t>
            </w:r>
          </w:p>
        </w:tc>
        <w:tc>
          <w:tcPr>
            <w:tcW w:w="1418" w:type="dxa"/>
            <w:tcBorders>
              <w:top w:val="single" w:sz="6" w:space="0" w:color="auto"/>
              <w:bottom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B7CBD">
              <w:rPr>
                <w:sz w:val="22"/>
              </w:rPr>
              <w:t>0,0004 ps/Hz</w:t>
            </w:r>
          </w:p>
        </w:tc>
        <w:tc>
          <w:tcPr>
            <w:tcW w:w="1644"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22"/>
              </w:rPr>
            </w:pPr>
            <w:r w:rsidRPr="00CB7CBD">
              <w:rPr>
                <w:sz w:val="22"/>
              </w:rPr>
              <w:t xml:space="preserve">1,5 </w:t>
            </w:r>
            <w:r w:rsidRPr="00CB7CBD">
              <w:rPr>
                <w:rFonts w:ascii="Tms Rmn" w:hAnsi="Tms Rmn"/>
                <w:sz w:val="12"/>
              </w:rPr>
              <w:t> </w:t>
            </w:r>
            <w:r w:rsidRPr="00CB7CBD">
              <w:rPr>
                <w:rFonts w:ascii="Symbol" w:hAnsi="Symbol"/>
                <w:sz w:val="22"/>
              </w:rPr>
              <w:t></w:t>
            </w:r>
            <w:r w:rsidRPr="00CB7CBD">
              <w:rPr>
                <w:sz w:val="22"/>
              </w:rPr>
              <w:t xml:space="preserve"> </w:t>
            </w:r>
            <w:r w:rsidRPr="00CB7CBD">
              <w:rPr>
                <w:rFonts w:ascii="Tms Rmn" w:hAnsi="Tms Rmn"/>
                <w:sz w:val="12"/>
              </w:rPr>
              <w:t> </w:t>
            </w:r>
            <w:r w:rsidRPr="00CB7CBD">
              <w:rPr>
                <w:sz w:val="22"/>
              </w:rPr>
              <w:t>10</w:t>
            </w:r>
            <w:r w:rsidRPr="00CB7CBD">
              <w:rPr>
                <w:position w:val="6"/>
                <w:sz w:val="18"/>
              </w:rPr>
              <w:t>–5</w:t>
            </w:r>
            <w:r w:rsidRPr="00CB7CBD">
              <w:rPr>
                <w:sz w:val="22"/>
              </w:rPr>
              <w:t xml:space="preserve"> ps/Hz</w:t>
            </w:r>
          </w:p>
        </w:tc>
        <w:tc>
          <w:tcPr>
            <w:tcW w:w="1559" w:type="dxa"/>
            <w:gridSpan w:val="2"/>
            <w:tcBorders>
              <w:top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22"/>
              </w:rPr>
            </w:pPr>
            <w:r w:rsidRPr="00CB7CBD">
              <w:rPr>
                <w:sz w:val="22"/>
              </w:rPr>
              <w:t xml:space="preserve">4 </w:t>
            </w:r>
            <w:r w:rsidRPr="00CB7CBD">
              <w:rPr>
                <w:rFonts w:ascii="Tms Rmn" w:hAnsi="Tms Rmn"/>
                <w:sz w:val="12"/>
              </w:rPr>
              <w:t> </w:t>
            </w:r>
            <w:r w:rsidRPr="00CB7CBD">
              <w:rPr>
                <w:rFonts w:ascii="Symbol" w:hAnsi="Symbol"/>
                <w:sz w:val="22"/>
              </w:rPr>
              <w:t></w:t>
            </w:r>
            <w:r w:rsidRPr="00CB7CBD">
              <w:rPr>
                <w:sz w:val="22"/>
              </w:rPr>
              <w:t xml:space="preserve"> </w:t>
            </w:r>
            <w:r w:rsidRPr="00CB7CBD">
              <w:rPr>
                <w:rFonts w:ascii="Tms Rmn" w:hAnsi="Tms Rmn"/>
                <w:sz w:val="12"/>
              </w:rPr>
              <w:t> </w:t>
            </w:r>
            <w:r w:rsidRPr="00CB7CBD">
              <w:rPr>
                <w:sz w:val="22"/>
              </w:rPr>
              <w:t>10</w:t>
            </w:r>
            <w:r w:rsidRPr="00CB7CBD">
              <w:rPr>
                <w:position w:val="6"/>
                <w:sz w:val="18"/>
              </w:rPr>
              <w:t>–7</w:t>
            </w:r>
            <w:r w:rsidRPr="00CB7CBD">
              <w:rPr>
                <w:sz w:val="22"/>
              </w:rPr>
              <w:t xml:space="preserve"> ps/Hz</w:t>
            </w:r>
          </w:p>
        </w:tc>
      </w:tr>
      <w:tr w:rsidR="00CB7CBD" w:rsidRPr="00CB7CBD" w:rsidTr="00FC42F6">
        <w:trPr>
          <w:cantSplit/>
          <w:jc w:val="center"/>
        </w:trPr>
        <w:tc>
          <w:tcPr>
            <w:tcW w:w="226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r w:rsidRPr="00CB7CBD">
              <w:rPr>
                <w:sz w:val="22"/>
                <w:lang w:val="en-US"/>
              </w:rPr>
              <w:t xml:space="preserve">Centelleo </w:t>
            </w:r>
            <w:r w:rsidRPr="00CB7CBD">
              <w:rPr>
                <w:position w:val="6"/>
                <w:sz w:val="18"/>
                <w:lang w:val="en-US"/>
              </w:rPr>
              <w:t>(1)</w:t>
            </w:r>
          </w:p>
        </w:tc>
        <w:tc>
          <w:tcPr>
            <w:tcW w:w="1418" w:type="dxa"/>
            <w:tcBorders>
              <w:top w:val="single" w:sz="6" w:space="0" w:color="auto"/>
              <w:bottom w:val="single" w:sz="6" w:space="0" w:color="auto"/>
            </w:tcBorders>
          </w:tcPr>
          <w:p w:rsidR="00CB7CBD" w:rsidRPr="00CB7CBD" w:rsidRDefault="00CB7CBD" w:rsidP="00CB7CBD">
            <w:pPr>
              <w:framePr w:hSpace="181" w:wrap="notBeside" w:vAnchor="text" w:hAnchor="text" w:xAlign="center" w:y="1"/>
              <w:tabs>
                <w:tab w:val="clear" w:pos="1191"/>
                <w:tab w:val="clear" w:pos="1588"/>
                <w:tab w:val="right" w:pos="794"/>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p>
        </w:tc>
        <w:tc>
          <w:tcPr>
            <w:tcW w:w="1418"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p>
        </w:tc>
        <w:tc>
          <w:tcPr>
            <w:tcW w:w="1418" w:type="dxa"/>
            <w:tcBorders>
              <w:top w:val="single" w:sz="6" w:space="0" w:color="auto"/>
              <w:bottom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22"/>
                <w:lang w:val="en-US"/>
              </w:rPr>
            </w:pPr>
            <w:r w:rsidRPr="00CB7CBD">
              <w:rPr>
                <w:sz w:val="22"/>
              </w:rPr>
              <w:sym w:font="Symbol" w:char="F03E"/>
            </w:r>
            <w:r w:rsidRPr="00CB7CBD">
              <w:rPr>
                <w:sz w:val="22"/>
                <w:lang w:val="en-US"/>
              </w:rPr>
              <w:t xml:space="preserve"> 20 dB</w:t>
            </w:r>
            <w:r w:rsidRPr="00CB7CBD">
              <w:rPr>
                <w:sz w:val="22"/>
                <w:lang w:val="en-US"/>
              </w:rPr>
              <w:br/>
              <w:t>cresta a cresta</w:t>
            </w:r>
          </w:p>
        </w:tc>
        <w:tc>
          <w:tcPr>
            <w:tcW w:w="1644" w:type="dxa"/>
            <w:tcBorders>
              <w:top w:val="single" w:sz="6" w:space="0" w:color="auto"/>
              <w:left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CB7CBD">
              <w:rPr>
                <w:sz w:val="22"/>
              </w:rPr>
              <w:sym w:font="Symbol" w:char="F0BB"/>
            </w:r>
            <w:r w:rsidRPr="00CB7CBD">
              <w:rPr>
                <w:sz w:val="22"/>
                <w:lang w:val="en-US"/>
              </w:rPr>
              <w:t xml:space="preserve"> 10 dB</w:t>
            </w:r>
            <w:r w:rsidRPr="00CB7CBD">
              <w:rPr>
                <w:sz w:val="22"/>
                <w:lang w:val="en-US"/>
              </w:rPr>
              <w:br/>
              <w:t>cresta a cresta</w:t>
            </w:r>
          </w:p>
        </w:tc>
        <w:tc>
          <w:tcPr>
            <w:tcW w:w="1559" w:type="dxa"/>
            <w:gridSpan w:val="2"/>
            <w:tcBorders>
              <w:top w:val="single" w:sz="6" w:space="0" w:color="auto"/>
              <w:bottom w:val="single" w:sz="6" w:space="0" w:color="auto"/>
              <w:right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CB7CBD">
              <w:rPr>
                <w:sz w:val="22"/>
              </w:rPr>
              <w:sym w:font="Symbol" w:char="F0BB"/>
            </w:r>
            <w:r w:rsidRPr="00CB7CBD">
              <w:rPr>
                <w:sz w:val="22"/>
                <w:lang w:val="en-US"/>
              </w:rPr>
              <w:t xml:space="preserve"> 4 dB</w:t>
            </w:r>
            <w:r w:rsidRPr="00CB7CBD">
              <w:rPr>
                <w:sz w:val="22"/>
                <w:lang w:val="en-US"/>
              </w:rPr>
              <w:br/>
              <w:t>cresta a cresta</w:t>
            </w:r>
          </w:p>
        </w:tc>
      </w:tr>
      <w:tr w:rsidR="00CB7CBD" w:rsidRPr="003F5090" w:rsidTr="00FC42F6">
        <w:trPr>
          <w:gridAfter w:val="1"/>
          <w:wAfter w:w="8" w:type="dxa"/>
          <w:cantSplit/>
          <w:jc w:val="center"/>
        </w:trPr>
        <w:tc>
          <w:tcPr>
            <w:tcW w:w="9725" w:type="dxa"/>
            <w:gridSpan w:val="6"/>
            <w:tcBorders>
              <w:top w:val="single" w:sz="6" w:space="0" w:color="auto"/>
            </w:tcBorders>
          </w:tcPr>
          <w:p w:rsidR="00CB7CBD" w:rsidRPr="00CB7CBD"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rPr>
                <w:sz w:val="22"/>
                <w:lang w:val="es-ES"/>
              </w:rPr>
            </w:pPr>
            <w:r w:rsidRPr="00505C81">
              <w:rPr>
                <w:sz w:val="22"/>
                <w:lang w:val="es-ES_tradnl"/>
              </w:rPr>
              <w:t>*</w:t>
            </w:r>
            <w:r w:rsidRPr="00505C81">
              <w:rPr>
                <w:sz w:val="22"/>
                <w:lang w:val="es-ES_tradnl"/>
              </w:rPr>
              <w:tab/>
            </w:r>
            <w:r w:rsidRPr="00CB7CBD">
              <w:rPr>
                <w:sz w:val="22"/>
                <w:lang w:val="es-ES"/>
              </w:rPr>
              <w:t>Esta estimación se basa en un contenido total de electrones (TEC) de 10</w:t>
            </w:r>
            <w:r w:rsidRPr="00505C81">
              <w:rPr>
                <w:position w:val="6"/>
                <w:sz w:val="18"/>
                <w:lang w:val="es-ES_tradnl"/>
              </w:rPr>
              <w:t>18</w:t>
            </w:r>
            <w:r w:rsidRPr="00CB7CBD">
              <w:rPr>
                <w:sz w:val="22"/>
                <w:lang w:val="es-ES"/>
              </w:rPr>
              <w:t xml:space="preserve"> electrones/m</w:t>
            </w:r>
            <w:r w:rsidRPr="00505C81">
              <w:rPr>
                <w:position w:val="6"/>
                <w:sz w:val="18"/>
                <w:lang w:val="es-ES_tradnl"/>
              </w:rPr>
              <w:t>2</w:t>
            </w:r>
            <w:r w:rsidRPr="00CB7CBD">
              <w:rPr>
                <w:sz w:val="22"/>
                <w:lang w:val="es-ES"/>
              </w:rPr>
              <w:t>, que es un valor elevado de TEC encontrado a bajas latitudes durante el día con alta actividad solar.</w:t>
            </w:r>
          </w:p>
          <w:p w:rsidR="00CB7CBD" w:rsidRPr="00505C81"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rPr>
                <w:sz w:val="22"/>
                <w:lang w:val="es-ES_tradnl"/>
              </w:rPr>
            </w:pPr>
            <w:r w:rsidRPr="00505C81">
              <w:rPr>
                <w:sz w:val="22"/>
                <w:lang w:val="es-ES_tradnl"/>
              </w:rPr>
              <w:t>**</w:t>
            </w:r>
            <w:r w:rsidRPr="00505C81">
              <w:rPr>
                <w:sz w:val="22"/>
                <w:lang w:val="es-ES_tradnl"/>
              </w:rPr>
              <w:tab/>
            </w:r>
            <w:r w:rsidRPr="00CB7CBD">
              <w:rPr>
                <w:sz w:val="22"/>
                <w:lang w:val="es-ES"/>
              </w:rPr>
              <w:t>Los efectos ionosféricos por encima de 10 GHz son despreciables.</w:t>
            </w:r>
          </w:p>
          <w:p w:rsidR="00CB7CBD" w:rsidRPr="00505C81" w:rsidRDefault="00CB7CBD" w:rsidP="00CB7CBD">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rPr>
                <w:sz w:val="22"/>
                <w:lang w:val="es-ES_tradnl"/>
              </w:rPr>
            </w:pPr>
            <w:r w:rsidRPr="00505C81">
              <w:rPr>
                <w:position w:val="6"/>
                <w:sz w:val="18"/>
                <w:lang w:val="es-ES_tradnl"/>
              </w:rPr>
              <w:t>(1)</w:t>
            </w:r>
            <w:r w:rsidRPr="00505C81">
              <w:rPr>
                <w:sz w:val="22"/>
                <w:lang w:val="es-ES_tradnl"/>
              </w:rPr>
              <w:tab/>
            </w:r>
            <w:r w:rsidRPr="00CB7CBD">
              <w:rPr>
                <w:sz w:val="22"/>
                <w:lang w:val="es-ES"/>
              </w:rPr>
              <w:t>Valores observados cerca del ecuador geomagnético durante las primeras horas de la noche (hora local) en el equinoccio en condiciones de gran número de manchas solares.</w:t>
            </w:r>
          </w:p>
        </w:tc>
      </w:tr>
    </w:tbl>
    <w:p w:rsidR="00CB7CBD" w:rsidRPr="00505C81" w:rsidRDefault="00CB7CBD" w:rsidP="00CB7CBD">
      <w:pPr>
        <w:spacing w:before="0"/>
        <w:rPr>
          <w:sz w:val="20"/>
          <w:lang w:val="es-ES_tradnl"/>
        </w:rPr>
      </w:pPr>
    </w:p>
    <w:p w:rsidR="00CB7CBD" w:rsidRPr="00CB7CBD" w:rsidRDefault="00CB7CBD" w:rsidP="003F5090">
      <w:pPr>
        <w:pStyle w:val="Heading1"/>
        <w:rPr>
          <w:lang w:val="es-ES"/>
        </w:rPr>
      </w:pPr>
      <w:r w:rsidRPr="00CB7CBD">
        <w:rPr>
          <w:lang w:val="es-ES"/>
        </w:rPr>
        <w:t>4</w:t>
      </w:r>
      <w:r w:rsidRPr="00CB7CBD">
        <w:rPr>
          <w:lang w:val="es-ES"/>
        </w:rPr>
        <w:tab/>
        <w:t>Efectos del medio ambiente local</w:t>
      </w:r>
    </w:p>
    <w:p w:rsidR="00CB7CBD" w:rsidRPr="00CB7CBD" w:rsidRDefault="00CB7CBD" w:rsidP="00CB7CBD">
      <w:pPr>
        <w:rPr>
          <w:lang w:val="es-ES"/>
        </w:rPr>
      </w:pPr>
      <w:r w:rsidRPr="00CB7CBD">
        <w:rPr>
          <w:lang w:val="es-ES"/>
        </w:rPr>
        <w:t>En determinadas ubicaciones de recepción, los efectos de las estructuras y la vegetación pueden ser importantes. Los resultados de mediciones recientes en 5 GHz muestran que las pérdidas de entrada en los edificios dependen fuertemente de los ángulos de elevación y del azimut. Estos resultados complementan a los obtenidos de mediciones en las bandas por debajo de 3 GHz. Lamentable</w:t>
      </w:r>
      <w:r w:rsidRPr="00CB7CBD">
        <w:rPr>
          <w:lang w:val="es-ES"/>
        </w:rPr>
        <w:softHyphen/>
        <w:t>mente, los datos aplicables a los sistemas de radiodifusión por satélite son insuficientes para caracterizar plenamente a dichos efectos.</w:t>
      </w:r>
    </w:p>
    <w:p w:rsidR="00CB7CBD" w:rsidRPr="00CB7CBD" w:rsidRDefault="00CB7CBD" w:rsidP="003F5090">
      <w:pPr>
        <w:pStyle w:val="Heading2"/>
        <w:rPr>
          <w:lang w:val="es-ES"/>
        </w:rPr>
      </w:pPr>
      <w:r w:rsidRPr="00CB7CBD">
        <w:rPr>
          <w:lang w:val="es-ES"/>
        </w:rPr>
        <w:t>4.1</w:t>
      </w:r>
      <w:r w:rsidRPr="00CB7CBD">
        <w:rPr>
          <w:lang w:val="es-ES"/>
        </w:rPr>
        <w:tab/>
        <w:t>Pérdidas por entrada en edificios</w:t>
      </w:r>
    </w:p>
    <w:p w:rsidR="00FC42F6" w:rsidRDefault="00FC42F6" w:rsidP="00CB7CBD">
      <w:pPr>
        <w:rPr>
          <w:lang w:val="es-ES"/>
        </w:rPr>
      </w:pPr>
      <w:r w:rsidRPr="00FC42F6">
        <w:rPr>
          <w:lang w:val="es-ES"/>
        </w:rPr>
        <w:t>En la Recomendación UIT-R P.2040 se facilita información relativa a las pérdidas por entrada en edificios</w:t>
      </w:r>
      <w:r>
        <w:rPr>
          <w:lang w:val="es-ES"/>
        </w:rPr>
        <w:t>.</w:t>
      </w:r>
    </w:p>
    <w:p w:rsidR="00CB7CBD" w:rsidRPr="00CB7CBD" w:rsidRDefault="00CB7CBD" w:rsidP="003F5090">
      <w:pPr>
        <w:pStyle w:val="Heading2"/>
        <w:rPr>
          <w:b w:val="0"/>
          <w:lang w:val="es-ES"/>
        </w:rPr>
      </w:pPr>
      <w:r w:rsidRPr="00CB7CBD">
        <w:rPr>
          <w:lang w:val="es-ES"/>
        </w:rPr>
        <w:t>4.2</w:t>
      </w:r>
      <w:r w:rsidRPr="00CB7CBD">
        <w:rPr>
          <w:lang w:val="es-ES"/>
        </w:rPr>
        <w:tab/>
        <w:t>Pérdida por entrada en vehículos</w:t>
      </w:r>
    </w:p>
    <w:p w:rsidR="00CB7CBD" w:rsidRDefault="00CB7CBD" w:rsidP="00CB7CBD">
      <w:pPr>
        <w:rPr>
          <w:lang w:val="es-ES"/>
        </w:rPr>
      </w:pPr>
      <w:r w:rsidRPr="00CB7CBD">
        <w:rPr>
          <w:lang w:val="es-ES"/>
        </w:rPr>
        <w:t>Las mediciones de la penetración de las señales en vehículos son muy escasas y se han obtenido utilizando técnicas con equipo en tierra análogas a las descritas. Se hizo una serie de mediciones a 1</w:t>
      </w:r>
      <w:r w:rsidRPr="00CB7CBD">
        <w:rPr>
          <w:sz w:val="12"/>
          <w:lang w:val="es-ES"/>
        </w:rPr>
        <w:t> </w:t>
      </w:r>
      <w:r w:rsidRPr="00CB7CBD">
        <w:rPr>
          <w:lang w:val="es-ES"/>
        </w:rPr>
        <w:t>600 MHz utilizando trayectos simulados con ángulos de elevación de 8</w:t>
      </w:r>
      <w:r w:rsidRPr="00CB7CBD">
        <w:rPr>
          <w:rFonts w:ascii="Symbol" w:hAnsi="Symbol"/>
        </w:rPr>
        <w:t></w:t>
      </w:r>
      <w:r w:rsidRPr="00CB7CBD">
        <w:rPr>
          <w:lang w:val="es-ES"/>
        </w:rPr>
        <w:t xml:space="preserve"> a 90</w:t>
      </w:r>
      <w:r w:rsidRPr="00CB7CBD">
        <w:rPr>
          <w:rFonts w:ascii="Symbol" w:hAnsi="Symbol"/>
        </w:rPr>
        <w:t></w:t>
      </w:r>
      <w:r w:rsidRPr="00CB7CBD">
        <w:rPr>
          <w:lang w:val="es-ES"/>
        </w:rPr>
        <w:t xml:space="preserve">, dos antenas diferentes (parche «microstrip» y hélice cuadrifilar), distintos tipos de vehículos (que se montaron en </w:t>
      </w:r>
      <w:r w:rsidRPr="00CB7CBD">
        <w:rPr>
          <w:lang w:val="es-ES"/>
        </w:rPr>
        <w:lastRenderedPageBreak/>
        <w:t>una plataforma giratoria para evaluar el nivel de la señal como función de la dirección de llegada) y posiciones distintas del usuario del terminal dentro del vehículo. Se hicieron mediciones con las ventanillas del vehículo bajas. Los valores típicos del</w:t>
      </w:r>
      <w:r w:rsidRPr="00CB7CBD">
        <w:rPr>
          <w:i/>
          <w:lang w:val="es-ES"/>
        </w:rPr>
        <w:t xml:space="preserve"> </w:t>
      </w:r>
      <w:r w:rsidRPr="00CB7CBD">
        <w:rPr>
          <w:iCs/>
          <w:lang w:val="es-ES"/>
        </w:rPr>
        <w:t>exceso de pérdida del trayecto</w:t>
      </w:r>
      <w:r w:rsidRPr="00CB7CBD">
        <w:rPr>
          <w:lang w:val="es-ES"/>
        </w:rPr>
        <w:t xml:space="preserve"> (definido como el nivel medio de la señal medido dentro del vehículo menos la mediana de los niveles de desvanecimiento registrados en campo abierto con las mismas posiciones del cuerpo y de la antena utilizadas para las mediciones dentro del vehículo) oscilaron entre 3 y 8 dB (mediana) y entre 4 y 13 dB (percentil 90).</w:t>
      </w:r>
    </w:p>
    <w:p w:rsidR="00CB7CBD" w:rsidRPr="00CB7CBD" w:rsidRDefault="00CB7CBD" w:rsidP="00CB7CBD">
      <w:pPr>
        <w:rPr>
          <w:lang w:val="es-ES"/>
        </w:rPr>
      </w:pPr>
      <w:r w:rsidRPr="00CB7CBD">
        <w:rPr>
          <w:lang w:val="es-ES"/>
        </w:rPr>
        <w:t>De estos datos pueden extraerse las siguientes observaciones y conclusiones generales:</w:t>
      </w:r>
    </w:p>
    <w:p w:rsidR="00CB7CBD" w:rsidRPr="00CB7CBD" w:rsidRDefault="00CB7CBD" w:rsidP="00CB7CBD">
      <w:pPr>
        <w:spacing w:before="80"/>
        <w:ind w:left="794" w:hanging="794"/>
        <w:rPr>
          <w:lang w:val="es-ES"/>
        </w:rPr>
      </w:pPr>
      <w:r w:rsidRPr="00CB7CBD">
        <w:rPr>
          <w:lang w:val="es-ES"/>
        </w:rPr>
        <w:t>–</w:t>
      </w:r>
      <w:r w:rsidRPr="00CB7CBD">
        <w:rPr>
          <w:lang w:val="es-ES"/>
        </w:rPr>
        <w:tab/>
        <w:t>el nivel de la señal dentro de los vehículos obedece a la distribución de Rayleigh, es decir que típicamente no existe ningún trayecto de propagación directo y que la potencia de la señal se transmite mediante la dispersión de trayectos múltiples desde los bordes de las aperturas del vehículo (por ejemplo, las ventanillas);</w:t>
      </w:r>
    </w:p>
    <w:p w:rsidR="00CB7CBD" w:rsidRPr="00CB7CBD" w:rsidRDefault="00CB7CBD" w:rsidP="00CB7CBD">
      <w:pPr>
        <w:spacing w:before="80"/>
        <w:ind w:left="794" w:hanging="794"/>
        <w:rPr>
          <w:lang w:val="es-ES"/>
        </w:rPr>
      </w:pPr>
      <w:r w:rsidRPr="00CB7CBD">
        <w:rPr>
          <w:lang w:val="es-ES"/>
        </w:rPr>
        <w:t>–</w:t>
      </w:r>
      <w:r w:rsidRPr="00CB7CBD">
        <w:rPr>
          <w:lang w:val="es-ES"/>
        </w:rPr>
        <w:tab/>
        <w:t>las pérdidas en el percentil 90 oscilan entre 15 y 20 dB para todos los ángulos de elevación del trayecto;</w:t>
      </w:r>
    </w:p>
    <w:p w:rsidR="00CB7CBD" w:rsidRPr="00CB7CBD" w:rsidRDefault="00CB7CBD" w:rsidP="00CB7CBD">
      <w:pPr>
        <w:spacing w:before="80"/>
        <w:ind w:left="794" w:hanging="794"/>
        <w:rPr>
          <w:lang w:val="es-ES"/>
        </w:rPr>
      </w:pPr>
      <w:r w:rsidRPr="00CB7CBD">
        <w:rPr>
          <w:lang w:val="es-ES"/>
        </w:rPr>
        <w:t>–</w:t>
      </w:r>
      <w:r w:rsidRPr="00CB7CBD">
        <w:rPr>
          <w:lang w:val="es-ES"/>
        </w:rPr>
        <w:tab/>
        <w:t>la pérdida depende apenas del ángulo de elevación del trayecto, pero la dependencia del ángulo de elevación varía para antenas a nivel de la cadera y antenas a nivel de la cabeza;</w:t>
      </w:r>
    </w:p>
    <w:p w:rsidR="00CB7CBD" w:rsidRPr="00CB7CBD" w:rsidRDefault="00CB7CBD" w:rsidP="00CB7CBD">
      <w:pPr>
        <w:spacing w:before="80"/>
        <w:ind w:left="794" w:hanging="794"/>
        <w:rPr>
          <w:lang w:val="es-ES"/>
        </w:rPr>
      </w:pPr>
      <w:r w:rsidRPr="00CB7CBD">
        <w:rPr>
          <w:lang w:val="es-ES"/>
        </w:rPr>
        <w:t>–</w:t>
      </w:r>
      <w:r w:rsidRPr="00CB7CBD">
        <w:rPr>
          <w:lang w:val="es-ES"/>
        </w:rPr>
        <w:tab/>
        <w:t>el tipo de vehículo no tiene efecto significativo en la pérdida de penetración de la señal;</w:t>
      </w:r>
    </w:p>
    <w:p w:rsidR="00CB7CBD" w:rsidRPr="00CB7CBD" w:rsidRDefault="00CB7CBD" w:rsidP="00CB7CBD">
      <w:pPr>
        <w:spacing w:before="80"/>
        <w:ind w:left="794" w:hanging="794"/>
        <w:rPr>
          <w:lang w:val="es-ES"/>
        </w:rPr>
      </w:pPr>
      <w:r w:rsidRPr="00CB7CBD">
        <w:rPr>
          <w:lang w:val="es-ES"/>
        </w:rPr>
        <w:t>–</w:t>
      </w:r>
      <w:r w:rsidRPr="00CB7CBD">
        <w:rPr>
          <w:lang w:val="es-ES"/>
        </w:rPr>
        <w:tab/>
        <w:t>la posición del usuario del terminal dentro del vehículo no tiene efecto significativo en la pérdida;</w:t>
      </w:r>
    </w:p>
    <w:p w:rsidR="00CB7CBD" w:rsidRPr="00CB7CBD" w:rsidRDefault="00CB7CBD" w:rsidP="00CB7CBD">
      <w:pPr>
        <w:spacing w:before="80"/>
        <w:ind w:left="794" w:hanging="794"/>
        <w:rPr>
          <w:lang w:val="es-ES"/>
        </w:rPr>
      </w:pPr>
      <w:r w:rsidRPr="00CB7CBD">
        <w:rPr>
          <w:lang w:val="es-ES"/>
        </w:rPr>
        <w:t>–</w:t>
      </w:r>
      <w:r w:rsidRPr="00CB7CBD">
        <w:rPr>
          <w:lang w:val="es-ES"/>
        </w:rPr>
        <w:tab/>
        <w:t>la mediana del exceso de pérdida del trayecto (con respecto a las mediciones en campo abierto) tiene una distribución logarítmica normal;</w:t>
      </w:r>
    </w:p>
    <w:p w:rsidR="00CB7CBD" w:rsidRPr="00CB7CBD" w:rsidRDefault="00CB7CBD" w:rsidP="00CB7CBD">
      <w:pPr>
        <w:spacing w:before="80"/>
        <w:ind w:left="794" w:hanging="794"/>
        <w:rPr>
          <w:lang w:val="es-ES"/>
        </w:rPr>
      </w:pPr>
      <w:r w:rsidRPr="00CB7CBD">
        <w:rPr>
          <w:lang w:val="es-ES"/>
        </w:rPr>
        <w:t>–</w:t>
      </w:r>
      <w:r w:rsidRPr="00CB7CBD">
        <w:rPr>
          <w:lang w:val="es-ES"/>
        </w:rPr>
        <w:tab/>
        <w:t>la antena parche produce menos pérdida de trayecto que una antena a nivel de la cabeza (porque la mayor directividad produce mayores pérdidas en campo abierto, que no se agravan demasiado cuando la antena está dentro del vehículo);</w:t>
      </w:r>
    </w:p>
    <w:p w:rsidR="00CB7CBD" w:rsidRPr="00CB7CBD" w:rsidRDefault="00CB7CBD" w:rsidP="00CB7CBD">
      <w:pPr>
        <w:spacing w:before="80"/>
        <w:ind w:left="794" w:hanging="794"/>
        <w:rPr>
          <w:lang w:val="es-ES"/>
        </w:rPr>
      </w:pPr>
      <w:bookmarkStart w:id="5" w:name="dsgno"/>
      <w:bookmarkEnd w:id="5"/>
      <w:r w:rsidRPr="00CB7CBD">
        <w:rPr>
          <w:lang w:val="es-ES"/>
        </w:rPr>
        <w:t>–</w:t>
      </w:r>
      <w:r w:rsidRPr="00CB7CBD">
        <w:rPr>
          <w:lang w:val="es-ES"/>
        </w:rPr>
        <w:tab/>
        <w:t>con un ángulo de elevación de 8º, la mediana promedio del exceso de pérdida del trayecto para todos los vehículos fue de 3,7 dB para una antena a nivel de la cabeza, en comparación con una mediana de 3,2 dB a 900 MHz para la pérdida de un trayecto horizontal en un vehículo sedán grande.</w:t>
      </w:r>
    </w:p>
    <w:p w:rsidR="00CB7CBD" w:rsidRPr="00CB7CBD" w:rsidRDefault="00CB7CBD" w:rsidP="00CB7CBD">
      <w:pPr>
        <w:rPr>
          <w:lang w:val="es-ES"/>
        </w:rPr>
      </w:pPr>
      <w:r w:rsidRPr="00CB7CBD">
        <w:rPr>
          <w:lang w:val="es-ES"/>
        </w:rPr>
        <w:t>Puede suponerse que estos resultados representen las actuales previsiones generales para la penetración de señales en vehículos.</w:t>
      </w:r>
    </w:p>
    <w:p w:rsidR="00CB7CBD" w:rsidRPr="00CB7CBD" w:rsidRDefault="00CB7CBD" w:rsidP="003F5090">
      <w:pPr>
        <w:pStyle w:val="Heading2"/>
        <w:rPr>
          <w:b w:val="0"/>
          <w:lang w:val="es-ES"/>
        </w:rPr>
      </w:pPr>
      <w:r w:rsidRPr="00CB7CBD">
        <w:rPr>
          <w:lang w:val="es-ES"/>
        </w:rPr>
        <w:t>4.3</w:t>
      </w:r>
      <w:r w:rsidRPr="00CB7CBD">
        <w:rPr>
          <w:lang w:val="es-ES"/>
        </w:rPr>
        <w:tab/>
        <w:t>Reflexiones y sombras producidas por edificios</w:t>
      </w:r>
    </w:p>
    <w:p w:rsidR="00CB7CBD" w:rsidRPr="00CB7CBD" w:rsidRDefault="00CB7CBD" w:rsidP="00CB7CBD">
      <w:pPr>
        <w:rPr>
          <w:lang w:val="es-ES"/>
        </w:rPr>
      </w:pPr>
      <w:r w:rsidRPr="00CB7CBD">
        <w:rPr>
          <w:lang w:val="es-ES"/>
        </w:rPr>
        <w:t>Las mediciones hechas mediante la transmisión de señales de radiodifusión sonora MF con polarización circular a 839 MHz y 1</w:t>
      </w:r>
      <w:r w:rsidRPr="00CB7CBD">
        <w:rPr>
          <w:sz w:val="12"/>
          <w:lang w:val="es-ES"/>
        </w:rPr>
        <w:t> </w:t>
      </w:r>
      <w:r w:rsidRPr="00CB7CBD">
        <w:rPr>
          <w:lang w:val="es-ES"/>
        </w:rPr>
        <w:t>504 MHz desde una torre elevada, indican que, con un ángulo de elevación de 20</w:t>
      </w:r>
      <w:r w:rsidRPr="00CB7CBD">
        <w:rPr>
          <w:rFonts w:ascii="Symbol" w:hAnsi="Symbol"/>
        </w:rPr>
        <w:t></w:t>
      </w:r>
      <w:r w:rsidRPr="00CB7CBD">
        <w:rPr>
          <w:lang w:val="es-ES"/>
        </w:rPr>
        <w:t xml:space="preserve"> aproximadamente, las variaciones de un sitio a otro de la intensidad de campo en zonas urbanas a nivel de la calle se aproximan a 15 dB en 839 MHz y a 18 dB en 1</w:t>
      </w:r>
      <w:r w:rsidRPr="00CB7CBD">
        <w:rPr>
          <w:sz w:val="12"/>
          <w:lang w:val="es-ES"/>
        </w:rPr>
        <w:t> </w:t>
      </w:r>
      <w:r w:rsidRPr="00CB7CBD">
        <w:rPr>
          <w:lang w:val="es-ES"/>
        </w:rPr>
        <w:t>504 MHz. Las fluctuaciones son prácticamente las mismas en la recepción con antenas polarizadas horizontalmente o verticalmente. La calidad del sonido resulta levemente deteriorada por las variaciones de la intensidad de campo en las condiciones de propagación por trayectos múltiples, aun en el caso de calles estrechas y desfavorablemente orientadas.</w:t>
      </w:r>
    </w:p>
    <w:p w:rsidR="00CB7CBD" w:rsidRPr="00CB7CBD" w:rsidRDefault="00CB7CBD" w:rsidP="00CB7CBD">
      <w:pPr>
        <w:rPr>
          <w:lang w:val="es-ES"/>
        </w:rPr>
      </w:pPr>
      <w:r w:rsidRPr="00CB7CBD">
        <w:rPr>
          <w:lang w:val="es-ES"/>
        </w:rPr>
        <w:t>En las zonas suburbanas y rurales, las reflexiones en el suelo pueden influir en la elección de la polarización preferida, pues la onda polarizada verticalmente que se refleja en el suelo experimenta un nulo profundo en el seudoángulo de Brewster, lo que no sucede con la onda polarizada horizontalmente. Por ello, la onda polarizada horizontalmente que se refleja en el suelo será por lo general más intensa que la polarizada verticalmente en el caso de una tierra uniforme, y, por tanto, la suma de la onda directa y de las ondas reflejadas en el suelo dará como resultado nulos más profundos y máximos más altos.</w:t>
      </w:r>
    </w:p>
    <w:p w:rsidR="00CB7CBD" w:rsidRPr="003F5090" w:rsidRDefault="00CB7CBD" w:rsidP="003F5090">
      <w:pPr>
        <w:pStyle w:val="Heading1"/>
        <w:rPr>
          <w:b w:val="0"/>
          <w:szCs w:val="24"/>
          <w:lang w:val="es-ES"/>
        </w:rPr>
      </w:pPr>
      <w:r w:rsidRPr="003F5090">
        <w:rPr>
          <w:szCs w:val="24"/>
          <w:lang w:val="es-ES"/>
        </w:rPr>
        <w:lastRenderedPageBreak/>
        <w:t>5</w:t>
      </w:r>
      <w:r w:rsidRPr="003F5090">
        <w:rPr>
          <w:szCs w:val="24"/>
          <w:lang w:val="es-ES"/>
        </w:rPr>
        <w:tab/>
        <w:t>Distribución estadística del nivel de la señal en zonas extensas</w:t>
      </w:r>
    </w:p>
    <w:p w:rsidR="00CB7CBD" w:rsidRPr="00CB7CBD" w:rsidRDefault="00CB7CBD" w:rsidP="00CB7CBD">
      <w:pPr>
        <w:rPr>
          <w:lang w:val="es-ES"/>
        </w:rPr>
      </w:pPr>
      <w:r w:rsidRPr="00CB7CBD">
        <w:rPr>
          <w:lang w:val="es-ES"/>
        </w:rPr>
        <w:t>Un satélite de radiodifusión debe prestar servicio a una zona extensa, preferiblemente con la misma calidad durante un determinado porcentaje de tiempo. Sin embargo, algunas partes de la zona de servicio (por ejemplo, dentro de zonas climáticas distintas) pueden verse afectadas de modo diferente por determinados efectos de la propagación. Tales diferencias se pueden conocer por medio de mediciones coordinadas, hechas en varias ubicaciones de recepción distribuidas a lo largo de la zona de servicio. Dichos datos, aunque son escasos, son útiles tanto para prever los requisitos que ha de reunir el equipo como para determinar las condiciones de interferencia en los límites de la zona de servicio.</w:t>
      </w:r>
    </w:p>
    <w:p w:rsidR="00CB7CBD" w:rsidRPr="00CB7CBD" w:rsidRDefault="00CB7CBD" w:rsidP="00CB7CBD">
      <w:pPr>
        <w:rPr>
          <w:lang w:val="es-ES"/>
        </w:rPr>
      </w:pPr>
      <w:r w:rsidRPr="00CB7CBD">
        <w:rPr>
          <w:lang w:val="es-ES"/>
        </w:rPr>
        <w:t>Los datos disponibles indican que la probabilidad de que existan condiciones de lluvia en forma simultánea en diferentes lugares es de algunas unidades porcentuales para separaciones de hasta 500 km, y que no puede darse por supuesta la independencia estadística para separaciones inferiores a unos 800 km. En pares de emplazamientos separados por 200 km se halló que la probabilidad conjunta de que existan índices de pluviosidad superiores a 5 mm/h puede ser de aproximadamente cinco veces la probabilidad obtenida suponiendo una independencia estadística.</w:t>
      </w:r>
    </w:p>
    <w:p w:rsidR="00CB7CBD" w:rsidRPr="00CB7CBD" w:rsidRDefault="00CB7CBD" w:rsidP="003F5090">
      <w:pPr>
        <w:pStyle w:val="Heading1"/>
        <w:rPr>
          <w:lang w:val="es-ES"/>
        </w:rPr>
      </w:pPr>
      <w:r w:rsidRPr="00CB7CBD">
        <w:rPr>
          <w:lang w:val="es-ES"/>
        </w:rPr>
        <w:t>6</w:t>
      </w:r>
      <w:r w:rsidRPr="00CB7CBD">
        <w:rPr>
          <w:lang w:val="es-ES"/>
        </w:rPr>
        <w:tab/>
        <w:t>Distribuciones estadísticas y correlación de frecuencia de las señales</w:t>
      </w:r>
    </w:p>
    <w:p w:rsidR="00CB7CBD" w:rsidRPr="00CB7CBD" w:rsidRDefault="00CB7CBD" w:rsidP="00CB7CBD">
      <w:pPr>
        <w:rPr>
          <w:lang w:val="es-ES"/>
        </w:rPr>
      </w:pPr>
      <w:r w:rsidRPr="00CB7CBD">
        <w:rPr>
          <w:lang w:val="es-ES"/>
        </w:rPr>
        <w:t>Las mediciones hechas mediante la transmisión de una señal de 567,25 MHz desde lo alto de una torre de 515 m para simular una señal de satélite han demostrado que, en la inmensa mayoría de las ubicaciones de recepción, la distribución de los valores instantáneos de la envolvente de la señal se aproxima a una distribución log-normal. Si las obstrucciones por objetos locales introducen atenuaciones superiores a 15 dB con respecto al nivel mediano, la distribución de los valores instantáneos se aproxima a una distribución de Rayleigh.</w:t>
      </w:r>
    </w:p>
    <w:p w:rsidR="00CB7CBD" w:rsidRPr="00CB7CBD" w:rsidRDefault="00CB7CBD" w:rsidP="00CB7CBD">
      <w:pPr>
        <w:rPr>
          <w:lang w:val="es-ES"/>
        </w:rPr>
      </w:pPr>
      <w:r w:rsidRPr="00CB7CBD">
        <w:rPr>
          <w:lang w:val="es-ES"/>
        </w:rPr>
        <w:t>En el mismo experimento se midieron también las correlaciones de frecuencia entre señales con separaciones de frecuencia de 0,15 MHz, 0,5 MHz, 1,0 MHz, 2,2 MHz, 4,4 MHz y 6,5 MHz. Se observó que la correlación de frecuencia disminuye a medida que aumenta la separación de frecuencia, y que el ángulo de elevación sólo influye en ella en forma ligera e incidental.</w:t>
      </w:r>
    </w:p>
    <w:p w:rsidR="00CB7CBD" w:rsidRPr="00505C81" w:rsidRDefault="00CB7CBD" w:rsidP="00CB7CBD">
      <w:pPr>
        <w:rPr>
          <w:lang w:val="es-ES_tradnl"/>
        </w:rPr>
      </w:pPr>
    </w:p>
    <w:p w:rsidR="00FC42F6" w:rsidRPr="00505C81" w:rsidRDefault="00FC42F6" w:rsidP="00FC42F6">
      <w:pPr>
        <w:pBdr>
          <w:top w:val="single" w:sz="6" w:space="1" w:color="auto"/>
        </w:pBdr>
        <w:tabs>
          <w:tab w:val="clear" w:pos="794"/>
          <w:tab w:val="clear" w:pos="1191"/>
          <w:tab w:val="clear" w:pos="1588"/>
          <w:tab w:val="clear" w:pos="1985"/>
        </w:tabs>
        <w:spacing w:before="240"/>
        <w:ind w:left="3997" w:right="3997"/>
        <w:jc w:val="center"/>
        <w:rPr>
          <w:sz w:val="20"/>
          <w:lang w:val="es-ES_tradnl"/>
        </w:rPr>
      </w:pPr>
    </w:p>
    <w:p w:rsidR="008B0DC5" w:rsidRPr="00D47117" w:rsidRDefault="008B0DC5" w:rsidP="00CB7CBD">
      <w:pPr>
        <w:pStyle w:val="Recref"/>
        <w:jc w:val="both"/>
        <w:rPr>
          <w:lang w:val="es-ES"/>
        </w:rPr>
      </w:pPr>
      <w:bookmarkStart w:id="6" w:name="_GoBack"/>
      <w:bookmarkEnd w:id="6"/>
    </w:p>
    <w:sectPr w:rsidR="008B0DC5" w:rsidRPr="00D47117" w:rsidSect="00971B39">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2F6" w:rsidRDefault="00FC42F6">
      <w:r>
        <w:separator/>
      </w:r>
    </w:p>
  </w:endnote>
  <w:endnote w:type="continuationSeparator" w:id="0">
    <w:p w:rsidR="00FC42F6" w:rsidRDefault="00FC4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2F6" w:rsidRDefault="00FC42F6">
      <w:r>
        <w:separator/>
      </w:r>
    </w:p>
  </w:footnote>
  <w:footnote w:type="continuationSeparator" w:id="0">
    <w:p w:rsidR="00FC42F6" w:rsidRDefault="00FC42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2F6" w:rsidRDefault="00FC42F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2F6" w:rsidRDefault="00FC42F6" w:rsidP="003D74B9">
    <w:pPr>
      <w:pStyle w:val="Header"/>
      <w:ind w:right="360" w:firstLine="360"/>
    </w:pPr>
    <w:r>
      <w:rPr>
        <w:noProof/>
        <w:lang w:val="en-US" w:eastAsia="zh-CN"/>
      </w:rPr>
      <w:drawing>
        <wp:anchor distT="0" distB="0" distL="114300" distR="114300" simplePos="0" relativeHeight="251659264" behindDoc="1" locked="0" layoutInCell="1" allowOverlap="1" wp14:anchorId="57DE0E32" wp14:editId="7CD3699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2F6" w:rsidRDefault="00FC42F6" w:rsidP="003D74B9">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C460D">
      <w:rPr>
        <w:rStyle w:val="PageNumber"/>
        <w:b/>
        <w:bCs/>
        <w:noProof/>
      </w:rPr>
      <w:t>ii</w:t>
    </w:r>
    <w:r>
      <w:rPr>
        <w:rStyle w:val="PageNumber"/>
        <w:b/>
        <w:bCs/>
      </w:rPr>
      <w:fldChar w:fldCharType="end"/>
    </w:r>
    <w:r>
      <w:tab/>
    </w:r>
    <w:r w:rsidR="00620746">
      <w:fldChar w:fldCharType="begin"/>
    </w:r>
    <w:r w:rsidR="00620746">
      <w:instrText xml:space="preserve"> DOCPROPERTY "Header" \* MERGEFORMAT </w:instrText>
    </w:r>
    <w:r w:rsidR="00620746">
      <w:fldChar w:fldCharType="separate"/>
    </w:r>
    <w:r w:rsidR="00620746" w:rsidRPr="00620746">
      <w:rPr>
        <w:b/>
        <w:bCs/>
        <w:lang w:val="en-US"/>
      </w:rPr>
      <w:t xml:space="preserve">Rec. </w:t>
    </w:r>
    <w:r w:rsidR="00620746">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620746">
      <w:rPr>
        <w:b/>
        <w:bCs/>
        <w:noProof/>
      </w:rPr>
      <w:t>UIT-R  P.679-4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2F6" w:rsidRDefault="00FC42F6">
    <w:pPr>
      <w:pStyle w:val="Header"/>
    </w:pPr>
    <w:r>
      <w:tab/>
    </w:r>
    <w:r w:rsidR="00620746">
      <w:fldChar w:fldCharType="begin"/>
    </w:r>
    <w:r w:rsidR="00620746">
      <w:instrText xml:space="preserve"> DOCPROPERTY "Header" \* MERGEFORMAT </w:instrText>
    </w:r>
    <w:r w:rsidR="00620746">
      <w:fldChar w:fldCharType="separate"/>
    </w:r>
    <w:r w:rsidR="00620746" w:rsidRPr="00620746">
      <w:rPr>
        <w:lang w:val="en-US"/>
      </w:rPr>
      <w:t xml:space="preserve">Rec. </w:t>
    </w:r>
    <w:r w:rsidR="00620746">
      <w:rPr>
        <w:lang w:val="en-US"/>
      </w:rPr>
      <w:fldChar w:fldCharType="end"/>
    </w:r>
    <w:r>
      <w:rPr>
        <w:b/>
        <w:bCs/>
      </w:rPr>
      <w:t xml:space="preserve">  </w:t>
    </w:r>
    <w:r>
      <w:rPr>
        <w:b/>
        <w:bCs/>
      </w:rPr>
      <w:fldChar w:fldCharType="begin"/>
    </w:r>
    <w:r>
      <w:rPr>
        <w:b/>
        <w:bCs/>
      </w:rPr>
      <w:instrText>styleref href</w:instrText>
    </w:r>
    <w:r>
      <w:rPr>
        <w:b/>
        <w:bCs/>
      </w:rPr>
      <w:fldChar w:fldCharType="separate"/>
    </w:r>
    <w:r w:rsidR="00620746">
      <w:rPr>
        <w:b/>
        <w:bCs/>
        <w:noProof/>
      </w:rPr>
      <w:t>UIT-R  P.679-4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2F6" w:rsidRDefault="00FC42F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20746">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20746" w:rsidRPr="0062074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20746">
      <w:rPr>
        <w:b/>
        <w:bCs/>
        <w:noProof/>
      </w:rPr>
      <w:t>UIT-R  P.679-4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2F6" w:rsidRDefault="00FC42F6">
    <w:pPr>
      <w:pStyle w:val="Header"/>
    </w:pPr>
    <w:r>
      <w:tab/>
    </w:r>
    <w:r w:rsidR="00620746">
      <w:fldChar w:fldCharType="begin"/>
    </w:r>
    <w:r w:rsidR="00620746">
      <w:instrText xml:space="preserve"> DOCPROPERTY "Header" \* MERGEFORMAT </w:instrText>
    </w:r>
    <w:r w:rsidR="00620746">
      <w:fldChar w:fldCharType="separate"/>
    </w:r>
    <w:r w:rsidR="00620746" w:rsidRPr="00620746">
      <w:rPr>
        <w:b/>
        <w:bCs/>
      </w:rPr>
      <w:t xml:space="preserve">Rec. </w:t>
    </w:r>
    <w:r w:rsidR="00620746">
      <w:rPr>
        <w:b/>
        <w:bCs/>
      </w:rPr>
      <w:fldChar w:fldCharType="end"/>
    </w:r>
    <w:r>
      <w:rPr>
        <w:b/>
        <w:bCs/>
      </w:rPr>
      <w:t xml:space="preserve"> </w:t>
    </w:r>
    <w:r>
      <w:rPr>
        <w:b/>
        <w:bCs/>
      </w:rPr>
      <w:fldChar w:fldCharType="begin"/>
    </w:r>
    <w:r>
      <w:rPr>
        <w:b/>
        <w:bCs/>
      </w:rPr>
      <w:instrText>styleref href</w:instrText>
    </w:r>
    <w:r>
      <w:rPr>
        <w:b/>
        <w:bCs/>
      </w:rPr>
      <w:fldChar w:fldCharType="separate"/>
    </w:r>
    <w:r w:rsidR="00620746">
      <w:rPr>
        <w:b/>
        <w:bCs/>
        <w:noProof/>
      </w:rPr>
      <w:t>UIT-R  P.679-4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20746">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C36CC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CAA3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1EBB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DCA5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28AD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AA8C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E283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96C1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11EF4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2CBC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40D672E"/>
    <w:multiLevelType w:val="multilevel"/>
    <w:tmpl w:val="61405A7C"/>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5C097CC9"/>
    <w:multiLevelType w:val="hybridMultilevel"/>
    <w:tmpl w:val="0F9E9F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971"/>
    <w:rsid w:val="000C460D"/>
    <w:rsid w:val="000C5B2F"/>
    <w:rsid w:val="000D041A"/>
    <w:rsid w:val="0014022C"/>
    <w:rsid w:val="001B0120"/>
    <w:rsid w:val="001B492A"/>
    <w:rsid w:val="001C067E"/>
    <w:rsid w:val="001E3B09"/>
    <w:rsid w:val="001F5DA1"/>
    <w:rsid w:val="00214E92"/>
    <w:rsid w:val="00217EBF"/>
    <w:rsid w:val="00242AEE"/>
    <w:rsid w:val="00246E1D"/>
    <w:rsid w:val="002631B5"/>
    <w:rsid w:val="002B2B00"/>
    <w:rsid w:val="002D42C8"/>
    <w:rsid w:val="002D76C4"/>
    <w:rsid w:val="00337C23"/>
    <w:rsid w:val="00345BC2"/>
    <w:rsid w:val="003B48A5"/>
    <w:rsid w:val="003D74B9"/>
    <w:rsid w:val="003E4AF0"/>
    <w:rsid w:val="003E7971"/>
    <w:rsid w:val="003F5090"/>
    <w:rsid w:val="00416E54"/>
    <w:rsid w:val="00431725"/>
    <w:rsid w:val="004A39C2"/>
    <w:rsid w:val="004C717B"/>
    <w:rsid w:val="004D6E8A"/>
    <w:rsid w:val="005015EE"/>
    <w:rsid w:val="005025EC"/>
    <w:rsid w:val="00505C81"/>
    <w:rsid w:val="0052529D"/>
    <w:rsid w:val="005662FA"/>
    <w:rsid w:val="00585C10"/>
    <w:rsid w:val="005B04F1"/>
    <w:rsid w:val="00607D68"/>
    <w:rsid w:val="00620746"/>
    <w:rsid w:val="006245E9"/>
    <w:rsid w:val="00654DE3"/>
    <w:rsid w:val="0068432B"/>
    <w:rsid w:val="006A2810"/>
    <w:rsid w:val="006B2FD6"/>
    <w:rsid w:val="006C119A"/>
    <w:rsid w:val="006D001D"/>
    <w:rsid w:val="006F7E9B"/>
    <w:rsid w:val="00732C25"/>
    <w:rsid w:val="007468DA"/>
    <w:rsid w:val="00797954"/>
    <w:rsid w:val="007A3941"/>
    <w:rsid w:val="007D619D"/>
    <w:rsid w:val="007E7A6F"/>
    <w:rsid w:val="007F5C13"/>
    <w:rsid w:val="008138FA"/>
    <w:rsid w:val="0082000D"/>
    <w:rsid w:val="008B0DC5"/>
    <w:rsid w:val="008D6FFD"/>
    <w:rsid w:val="009103E4"/>
    <w:rsid w:val="00912979"/>
    <w:rsid w:val="00971241"/>
    <w:rsid w:val="00971B39"/>
    <w:rsid w:val="00976A6C"/>
    <w:rsid w:val="00997BF2"/>
    <w:rsid w:val="009A1C90"/>
    <w:rsid w:val="009E00A8"/>
    <w:rsid w:val="009E041A"/>
    <w:rsid w:val="00A00412"/>
    <w:rsid w:val="00A334D7"/>
    <w:rsid w:val="00A45E57"/>
    <w:rsid w:val="00A6617B"/>
    <w:rsid w:val="00AB0DC8"/>
    <w:rsid w:val="00AD1921"/>
    <w:rsid w:val="00AE0DAF"/>
    <w:rsid w:val="00B040F1"/>
    <w:rsid w:val="00B44E24"/>
    <w:rsid w:val="00B7503B"/>
    <w:rsid w:val="00BB7312"/>
    <w:rsid w:val="00BF3430"/>
    <w:rsid w:val="00C63171"/>
    <w:rsid w:val="00C80C88"/>
    <w:rsid w:val="00CB7CBD"/>
    <w:rsid w:val="00CC4DE0"/>
    <w:rsid w:val="00D00E0B"/>
    <w:rsid w:val="00D47117"/>
    <w:rsid w:val="00D621CB"/>
    <w:rsid w:val="00DB00C4"/>
    <w:rsid w:val="00DF4176"/>
    <w:rsid w:val="00DF5310"/>
    <w:rsid w:val="00E5038D"/>
    <w:rsid w:val="00E778AA"/>
    <w:rsid w:val="00EC64DE"/>
    <w:rsid w:val="00F26EF4"/>
    <w:rsid w:val="00F80434"/>
    <w:rsid w:val="00FC42F6"/>
    <w:rsid w:val="00FE64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66B27C8-AB0B-4E06-80A0-E4690E5F4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E7971"/>
    <w:rPr>
      <w:color w:val="0000FF"/>
      <w:u w:val="single"/>
    </w:rPr>
  </w:style>
  <w:style w:type="character" w:customStyle="1" w:styleId="Heading1Char">
    <w:name w:val="Heading 1 Char"/>
    <w:basedOn w:val="DefaultParagraphFont"/>
    <w:link w:val="Heading1"/>
    <w:rsid w:val="00431725"/>
    <w:rPr>
      <w:b/>
      <w:sz w:val="24"/>
      <w:lang w:val="fr-FR" w:eastAsia="en-US"/>
    </w:rPr>
  </w:style>
  <w:style w:type="character" w:customStyle="1" w:styleId="Heading2Char">
    <w:name w:val="Heading 2 Char"/>
    <w:basedOn w:val="DefaultParagraphFont"/>
    <w:link w:val="Heading2"/>
    <w:rsid w:val="00431725"/>
    <w:rPr>
      <w:b/>
      <w:sz w:val="24"/>
      <w:lang w:val="fr-FR" w:eastAsia="en-US"/>
    </w:rPr>
  </w:style>
  <w:style w:type="character" w:customStyle="1" w:styleId="Heading3Char">
    <w:name w:val="Heading 3 Char"/>
    <w:basedOn w:val="DefaultParagraphFont"/>
    <w:link w:val="Heading3"/>
    <w:rsid w:val="00431725"/>
    <w:rPr>
      <w:b/>
      <w:sz w:val="24"/>
      <w:lang w:val="fr-FR" w:eastAsia="en-US"/>
    </w:rPr>
  </w:style>
  <w:style w:type="character" w:customStyle="1" w:styleId="Heading4Char">
    <w:name w:val="Heading 4 Char"/>
    <w:basedOn w:val="DefaultParagraphFont"/>
    <w:link w:val="Heading4"/>
    <w:rsid w:val="00431725"/>
    <w:rPr>
      <w:b/>
      <w:sz w:val="24"/>
      <w:lang w:val="fr-FR" w:eastAsia="en-US"/>
    </w:rPr>
  </w:style>
  <w:style w:type="character" w:customStyle="1" w:styleId="Heading5Char">
    <w:name w:val="Heading 5 Char"/>
    <w:basedOn w:val="DefaultParagraphFont"/>
    <w:link w:val="Heading5"/>
    <w:rsid w:val="00431725"/>
    <w:rPr>
      <w:b/>
      <w:sz w:val="24"/>
      <w:lang w:val="fr-FR" w:eastAsia="en-US"/>
    </w:rPr>
  </w:style>
  <w:style w:type="character" w:customStyle="1" w:styleId="Heading6Char">
    <w:name w:val="Heading 6 Char"/>
    <w:basedOn w:val="DefaultParagraphFont"/>
    <w:link w:val="Heading6"/>
    <w:rsid w:val="00431725"/>
    <w:rPr>
      <w:b/>
      <w:sz w:val="24"/>
      <w:lang w:val="fr-FR" w:eastAsia="en-US"/>
    </w:rPr>
  </w:style>
  <w:style w:type="character" w:customStyle="1" w:styleId="Heading7Char">
    <w:name w:val="Heading 7 Char"/>
    <w:basedOn w:val="DefaultParagraphFont"/>
    <w:link w:val="Heading7"/>
    <w:rsid w:val="00431725"/>
    <w:rPr>
      <w:b/>
      <w:sz w:val="24"/>
      <w:lang w:val="fr-FR" w:eastAsia="en-US"/>
    </w:rPr>
  </w:style>
  <w:style w:type="character" w:customStyle="1" w:styleId="Heading8Char">
    <w:name w:val="Heading 8 Char"/>
    <w:basedOn w:val="DefaultParagraphFont"/>
    <w:link w:val="Heading8"/>
    <w:rsid w:val="00431725"/>
    <w:rPr>
      <w:b/>
      <w:sz w:val="24"/>
      <w:lang w:val="fr-FR" w:eastAsia="en-US"/>
    </w:rPr>
  </w:style>
  <w:style w:type="character" w:customStyle="1" w:styleId="Heading9Char">
    <w:name w:val="Heading 9 Char"/>
    <w:basedOn w:val="DefaultParagraphFont"/>
    <w:link w:val="Heading9"/>
    <w:rsid w:val="00431725"/>
    <w:rPr>
      <w:b/>
      <w:sz w:val="24"/>
      <w:lang w:val="fr-FR" w:eastAsia="en-US"/>
    </w:rPr>
  </w:style>
  <w:style w:type="character" w:customStyle="1" w:styleId="HeaderChar">
    <w:name w:val="Header Char"/>
    <w:basedOn w:val="DefaultParagraphFont"/>
    <w:link w:val="Header"/>
    <w:rsid w:val="00431725"/>
    <w:rPr>
      <w:sz w:val="24"/>
      <w:lang w:val="fr-FR" w:eastAsia="en-US"/>
    </w:rPr>
  </w:style>
  <w:style w:type="character" w:customStyle="1" w:styleId="FooterChar">
    <w:name w:val="Footer Char"/>
    <w:basedOn w:val="DefaultParagraphFont"/>
    <w:link w:val="Footer"/>
    <w:rsid w:val="00431725"/>
    <w:rPr>
      <w:noProof/>
      <w:sz w:val="18"/>
      <w:lang w:val="fr-FR" w:eastAsia="en-US"/>
    </w:rPr>
  </w:style>
  <w:style w:type="character" w:customStyle="1" w:styleId="FootnoteTextChar">
    <w:name w:val="Footnote Text Char"/>
    <w:basedOn w:val="DefaultParagraphFont"/>
    <w:link w:val="FootnoteText"/>
    <w:semiHidden/>
    <w:rsid w:val="0043172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BE60C-9139-400B-8209-A68955402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8</Pages>
  <Words>3136</Words>
  <Characters>16956</Characters>
  <Application>Microsoft Office Word</Application>
  <DocSecurity>0</DocSecurity>
  <Lines>8478</Lines>
  <Paragraphs>2511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17581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7</cp:revision>
  <cp:lastPrinted>2016-08-05T05:57:00Z</cp:lastPrinted>
  <dcterms:created xsi:type="dcterms:W3CDTF">2016-08-05T05:50:00Z</dcterms:created>
  <dcterms:modified xsi:type="dcterms:W3CDTF">2016-08-05T05:58:00Z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