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96A" w:rsidRDefault="00AE296A" w:rsidP="00AE296A"/>
    <w:p w:rsidR="00AE296A" w:rsidRDefault="00AE296A" w:rsidP="00AE296A"/>
    <w:p w:rsidR="00AE296A" w:rsidRDefault="00AE296A" w:rsidP="00AE296A"/>
    <w:p w:rsidR="00AE296A" w:rsidRDefault="00AE296A" w:rsidP="00AE296A"/>
    <w:p w:rsidR="00AE296A" w:rsidRDefault="00AE296A" w:rsidP="00AE296A"/>
    <w:p w:rsidR="00AE296A" w:rsidRDefault="00AE296A" w:rsidP="00AE296A"/>
    <w:p w:rsidR="00AE296A" w:rsidRDefault="00AE296A" w:rsidP="00AE296A"/>
    <w:p w:rsidR="00AE296A" w:rsidRDefault="00AE296A" w:rsidP="00AE296A"/>
    <w:p w:rsidR="00AE296A" w:rsidRDefault="00AE296A" w:rsidP="00AE296A"/>
    <w:p w:rsidR="00AE296A" w:rsidRDefault="00AE296A" w:rsidP="00AE296A"/>
    <w:p w:rsidR="00AE296A" w:rsidRDefault="00AE296A" w:rsidP="00AE296A"/>
    <w:p w:rsidR="00AE296A" w:rsidRDefault="00AE296A" w:rsidP="00AE296A"/>
    <w:tbl>
      <w:tblPr>
        <w:tblW w:w="10089" w:type="dxa"/>
        <w:tblLook w:val="01E0" w:firstRow="1" w:lastRow="1" w:firstColumn="1" w:lastColumn="1" w:noHBand="0" w:noVBand="0"/>
      </w:tblPr>
      <w:tblGrid>
        <w:gridCol w:w="10089"/>
      </w:tblGrid>
      <w:tr w:rsidR="00AE296A" w:rsidRPr="004F65E4" w:rsidTr="00E170FE">
        <w:tc>
          <w:tcPr>
            <w:tcW w:w="10089" w:type="dxa"/>
          </w:tcPr>
          <w:p w:rsidR="00AE296A" w:rsidRPr="001511A6" w:rsidRDefault="00AE296A" w:rsidP="00E170FE">
            <w:pPr>
              <w:spacing w:before="380" w:line="280" w:lineRule="exact"/>
              <w:jc w:val="right"/>
              <w:rPr>
                <w:rFonts w:ascii="Tahoma" w:hAnsi="Tahoma" w:cs="Tahoma"/>
                <w:b/>
                <w:bCs/>
                <w:iCs/>
                <w:color w:val="243285"/>
                <w:sz w:val="32"/>
                <w:szCs w:val="32"/>
                <w:lang w:val="en-US"/>
              </w:rPr>
            </w:pPr>
          </w:p>
          <w:p w:rsidR="00AE296A" w:rsidRPr="004F65E4" w:rsidRDefault="00AE296A" w:rsidP="00AE296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679-4</w:t>
            </w:r>
          </w:p>
          <w:p w:rsidR="00AE296A" w:rsidRPr="004F65E4" w:rsidRDefault="00AE296A" w:rsidP="00AE296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07</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AE296A" w:rsidRPr="0040140B" w:rsidTr="00E170FE">
        <w:tc>
          <w:tcPr>
            <w:tcW w:w="10089" w:type="dxa"/>
          </w:tcPr>
          <w:p w:rsidR="00AE296A" w:rsidRPr="00AE296A" w:rsidRDefault="00AE296A" w:rsidP="00E170FE">
            <w:pPr>
              <w:spacing w:before="80" w:line="500" w:lineRule="exact"/>
              <w:jc w:val="right"/>
              <w:rPr>
                <w:rFonts w:ascii="Tahoma" w:hAnsi="Tahoma" w:cs="Tahoma"/>
                <w:b/>
                <w:bCs/>
                <w:iCs/>
                <w:color w:val="243285"/>
                <w:sz w:val="44"/>
                <w:szCs w:val="44"/>
                <w:lang w:val="en-US"/>
              </w:rPr>
            </w:pPr>
          </w:p>
          <w:p w:rsidR="00AE296A" w:rsidRPr="001511A6" w:rsidRDefault="00AE296A" w:rsidP="00AE296A">
            <w:pPr>
              <w:spacing w:before="80" w:line="500" w:lineRule="exact"/>
              <w:jc w:val="right"/>
              <w:rPr>
                <w:rFonts w:ascii="Tahoma" w:hAnsi="Tahoma" w:cs="Tahoma"/>
                <w:b/>
                <w:bCs/>
                <w:iCs/>
                <w:color w:val="243285"/>
                <w:sz w:val="44"/>
                <w:szCs w:val="44"/>
                <w:lang w:val="en-US"/>
              </w:rPr>
            </w:pPr>
            <w:r w:rsidRPr="00AE296A">
              <w:rPr>
                <w:rFonts w:ascii="Tahoma" w:hAnsi="Tahoma" w:cs="Tahoma"/>
                <w:b/>
                <w:bCs/>
                <w:iCs/>
                <w:color w:val="243285"/>
                <w:sz w:val="44"/>
                <w:szCs w:val="44"/>
                <w:lang w:val="en-US"/>
              </w:rPr>
              <w:t xml:space="preserve">Propagation data required for the design of </w:t>
            </w:r>
            <w:r w:rsidRPr="00AE296A">
              <w:rPr>
                <w:rFonts w:ascii="Tahoma" w:hAnsi="Tahoma" w:cs="Tahoma"/>
                <w:b/>
                <w:bCs/>
                <w:iCs/>
                <w:color w:val="243285"/>
                <w:sz w:val="44"/>
                <w:szCs w:val="44"/>
                <w:lang w:val="en-US"/>
              </w:rPr>
              <w:br/>
              <w:t>broadcasting-satellite systems</w:t>
            </w:r>
          </w:p>
          <w:p w:rsidR="00AE296A" w:rsidRPr="001511A6" w:rsidRDefault="00AE296A" w:rsidP="00E170FE">
            <w:pPr>
              <w:spacing w:before="80" w:line="500" w:lineRule="exact"/>
              <w:jc w:val="right"/>
              <w:rPr>
                <w:rFonts w:ascii="Tahoma" w:hAnsi="Tahoma" w:cs="Tahoma"/>
                <w:b/>
                <w:bCs/>
                <w:iCs/>
                <w:color w:val="243285"/>
                <w:sz w:val="40"/>
                <w:szCs w:val="40"/>
                <w:lang w:val="en-US"/>
              </w:rPr>
            </w:pPr>
          </w:p>
        </w:tc>
      </w:tr>
      <w:tr w:rsidR="00AE296A" w:rsidTr="00E170FE">
        <w:tc>
          <w:tcPr>
            <w:tcW w:w="10089" w:type="dxa"/>
          </w:tcPr>
          <w:p w:rsidR="00AE296A" w:rsidRPr="00AE296A" w:rsidRDefault="00AE296A" w:rsidP="00E170FE">
            <w:pPr>
              <w:spacing w:before="80" w:line="280" w:lineRule="exact"/>
              <w:ind w:right="640"/>
              <w:rPr>
                <w:rFonts w:ascii="Tahoma" w:hAnsi="Tahoma" w:cs="Tahoma"/>
                <w:b/>
                <w:bCs/>
                <w:iCs/>
                <w:color w:val="243285"/>
                <w:sz w:val="32"/>
                <w:szCs w:val="32"/>
                <w:lang w:val="en-US"/>
              </w:rPr>
            </w:pPr>
          </w:p>
          <w:p w:rsidR="00AE296A" w:rsidRPr="00AE296A" w:rsidRDefault="00AE296A" w:rsidP="00E170FE">
            <w:pPr>
              <w:spacing w:before="80" w:line="280" w:lineRule="exact"/>
              <w:ind w:right="640"/>
              <w:rPr>
                <w:rFonts w:ascii="Tahoma" w:hAnsi="Tahoma" w:cs="Tahoma"/>
                <w:b/>
                <w:bCs/>
                <w:iCs/>
                <w:color w:val="243285"/>
                <w:sz w:val="32"/>
                <w:szCs w:val="32"/>
                <w:lang w:val="en-US"/>
              </w:rPr>
            </w:pPr>
          </w:p>
          <w:p w:rsidR="00AE296A" w:rsidRPr="00AE296A" w:rsidRDefault="00AE296A" w:rsidP="00E170FE">
            <w:pPr>
              <w:spacing w:before="80" w:after="180" w:line="360" w:lineRule="exact"/>
              <w:ind w:right="720"/>
              <w:rPr>
                <w:rFonts w:ascii="Tahoma" w:hAnsi="Tahoma" w:cs="Tahoma"/>
                <w:b/>
                <w:bCs/>
                <w:iCs/>
                <w:color w:val="243285"/>
                <w:sz w:val="36"/>
                <w:szCs w:val="36"/>
                <w:lang w:val="en-US"/>
              </w:rPr>
            </w:pPr>
          </w:p>
          <w:p w:rsidR="00AE296A" w:rsidRPr="001511A6" w:rsidRDefault="00AE296A" w:rsidP="00E170F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AE296A" w:rsidRPr="00FC33E6" w:rsidRDefault="00AE296A" w:rsidP="00E170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E296A" w:rsidRDefault="00AE296A" w:rsidP="00AE296A">
      <w:pPr>
        <w:spacing w:before="80"/>
        <w:rPr>
          <w:i/>
          <w:sz w:val="22"/>
          <w:lang w:val="en-US"/>
        </w:rPr>
      </w:pPr>
    </w:p>
    <w:p w:rsidR="00AE296A" w:rsidRDefault="00AE296A" w:rsidP="00AE296A">
      <w:pPr>
        <w:spacing w:before="80"/>
        <w:rPr>
          <w:i/>
          <w:sz w:val="22"/>
          <w:lang w:val="en-US"/>
        </w:rPr>
      </w:pPr>
    </w:p>
    <w:p w:rsidR="00AE296A" w:rsidRDefault="00AE296A" w:rsidP="00AE296A">
      <w:pPr>
        <w:spacing w:before="80"/>
        <w:rPr>
          <w:i/>
          <w:sz w:val="22"/>
          <w:lang w:val="en-US"/>
        </w:rPr>
      </w:pPr>
    </w:p>
    <w:p w:rsidR="00AE296A" w:rsidRDefault="00AE296A" w:rsidP="00AE296A">
      <w:pPr>
        <w:spacing w:before="80"/>
        <w:rPr>
          <w:i/>
          <w:sz w:val="22"/>
          <w:lang w:val="en-US"/>
        </w:rPr>
      </w:pPr>
    </w:p>
    <w:p w:rsidR="00AE296A" w:rsidRDefault="00AE296A" w:rsidP="00AE296A">
      <w:pPr>
        <w:spacing w:before="80"/>
        <w:rPr>
          <w:i/>
          <w:sz w:val="22"/>
          <w:lang w:val="en-US"/>
        </w:rPr>
      </w:pPr>
    </w:p>
    <w:p w:rsidR="00AE296A" w:rsidRDefault="00AE296A" w:rsidP="00AE296A">
      <w:pPr>
        <w:spacing w:before="80"/>
        <w:rPr>
          <w:i/>
          <w:sz w:val="22"/>
          <w:lang w:val="en-US"/>
        </w:rPr>
      </w:pPr>
    </w:p>
    <w:p w:rsidR="00AE296A" w:rsidRDefault="00AE296A" w:rsidP="00AE296A">
      <w:pPr>
        <w:pStyle w:val="Equation"/>
        <w:tabs>
          <w:tab w:val="clear" w:pos="4820"/>
          <w:tab w:val="clear" w:pos="9639"/>
          <w:tab w:val="left" w:pos="1191"/>
          <w:tab w:val="left" w:pos="1588"/>
          <w:tab w:val="left" w:pos="1985"/>
        </w:tabs>
        <w:rPr>
          <w:rFonts w:ascii="Palatino Linotype" w:hAnsi="Palatino Linotype"/>
          <w:lang w:val="en-US"/>
        </w:rPr>
        <w:sectPr w:rsidR="00AE296A">
          <w:headerReference w:type="even" r:id="rId7"/>
          <w:headerReference w:type="default" r:id="rId8"/>
          <w:pgSz w:w="11907" w:h="16840" w:code="9"/>
          <w:pgMar w:top="1089" w:right="1089" w:bottom="284" w:left="1089" w:header="567" w:footer="284" w:gutter="0"/>
          <w:pgNumType w:start="1"/>
          <w:cols w:space="720"/>
        </w:sectPr>
      </w:pPr>
    </w:p>
    <w:p w:rsidR="00AE296A" w:rsidRPr="00586EF8" w:rsidRDefault="00AE296A" w:rsidP="00AE29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E296A" w:rsidRDefault="00AE296A" w:rsidP="00AE296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E296A" w:rsidRDefault="00AE296A" w:rsidP="00AE296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E296A" w:rsidRPr="00B714F3" w:rsidRDefault="00AE296A" w:rsidP="00AE296A">
      <w:pPr>
        <w:pStyle w:val="Heading1"/>
        <w:spacing w:before="680"/>
        <w:jc w:val="center"/>
        <w:rPr>
          <w:szCs w:val="24"/>
          <w:lang w:val="en-US"/>
        </w:rPr>
      </w:pPr>
      <w:r w:rsidRPr="00B714F3">
        <w:rPr>
          <w:szCs w:val="24"/>
          <w:lang w:val="en-US"/>
        </w:rPr>
        <w:t>Policy on Intellectual Property Right (IPR)</w:t>
      </w:r>
    </w:p>
    <w:p w:rsidR="00AE296A" w:rsidRPr="00B714F3" w:rsidRDefault="00AE296A" w:rsidP="00AE296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E296A" w:rsidRDefault="00AE296A" w:rsidP="00AE296A">
      <w:pPr>
        <w:jc w:val="center"/>
        <w:rPr>
          <w:sz w:val="22"/>
          <w:lang w:val="en-US"/>
        </w:rPr>
      </w:pPr>
    </w:p>
    <w:p w:rsidR="00AE296A" w:rsidRDefault="00AE296A" w:rsidP="00AE296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E296A" w:rsidRPr="0040140B" w:rsidTr="00E170FE">
        <w:tc>
          <w:tcPr>
            <w:tcW w:w="9360" w:type="dxa"/>
            <w:gridSpan w:val="2"/>
          </w:tcPr>
          <w:p w:rsidR="00AE296A" w:rsidRPr="00036EE3" w:rsidRDefault="00AE296A" w:rsidP="00E170F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E296A" w:rsidRPr="00036EE3" w:rsidRDefault="00AE296A"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AE296A" w:rsidRPr="00036EE3" w:rsidTr="00E170FE">
        <w:tc>
          <w:tcPr>
            <w:tcW w:w="1140" w:type="dxa"/>
          </w:tcPr>
          <w:p w:rsidR="00AE296A" w:rsidRPr="00036EE3" w:rsidRDefault="00AE296A" w:rsidP="00E170FE">
            <w:pPr>
              <w:spacing w:before="200" w:after="100"/>
              <w:ind w:left="57"/>
              <w:rPr>
                <w:b/>
                <w:bCs/>
                <w:sz w:val="20"/>
                <w:lang w:val="en-US"/>
              </w:rPr>
            </w:pPr>
            <w:r w:rsidRPr="00036EE3">
              <w:rPr>
                <w:b/>
                <w:bCs/>
                <w:sz w:val="20"/>
                <w:lang w:val="en-US"/>
              </w:rPr>
              <w:t>Series</w:t>
            </w:r>
          </w:p>
        </w:tc>
        <w:tc>
          <w:tcPr>
            <w:tcW w:w="8220" w:type="dxa"/>
          </w:tcPr>
          <w:p w:rsidR="00AE296A" w:rsidRPr="00036EE3" w:rsidRDefault="00AE296A"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E296A" w:rsidRPr="00036EE3" w:rsidTr="00E170FE">
        <w:tc>
          <w:tcPr>
            <w:tcW w:w="1140" w:type="dxa"/>
          </w:tcPr>
          <w:p w:rsidR="00AE296A" w:rsidRPr="00036EE3" w:rsidRDefault="00AE296A" w:rsidP="00E170FE">
            <w:pPr>
              <w:spacing w:before="30" w:after="30"/>
              <w:ind w:left="57"/>
              <w:jc w:val="left"/>
              <w:rPr>
                <w:b/>
                <w:bCs/>
                <w:sz w:val="20"/>
                <w:lang w:val="en-US"/>
              </w:rPr>
            </w:pPr>
            <w:r w:rsidRPr="00036EE3">
              <w:rPr>
                <w:b/>
                <w:bCs/>
                <w:sz w:val="20"/>
                <w:lang w:val="en-US"/>
              </w:rPr>
              <w:t>BO</w:t>
            </w:r>
          </w:p>
        </w:tc>
        <w:tc>
          <w:tcPr>
            <w:tcW w:w="8220" w:type="dxa"/>
          </w:tcPr>
          <w:p w:rsidR="00AE296A" w:rsidRPr="00036EE3" w:rsidRDefault="00AE296A"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E296A" w:rsidRPr="0040140B" w:rsidTr="00E170FE">
        <w:tc>
          <w:tcPr>
            <w:tcW w:w="1140" w:type="dxa"/>
            <w:tcBorders>
              <w:bottom w:val="nil"/>
            </w:tcBorders>
          </w:tcPr>
          <w:p w:rsidR="00AE296A" w:rsidRPr="00036EE3" w:rsidRDefault="00AE296A" w:rsidP="00E170FE">
            <w:pPr>
              <w:spacing w:before="30" w:after="30"/>
              <w:ind w:left="57"/>
              <w:jc w:val="left"/>
              <w:rPr>
                <w:b/>
                <w:bCs/>
                <w:sz w:val="20"/>
                <w:lang w:val="en-US"/>
              </w:rPr>
            </w:pPr>
            <w:r w:rsidRPr="00036EE3">
              <w:rPr>
                <w:b/>
                <w:bCs/>
                <w:sz w:val="20"/>
                <w:lang w:val="en-US"/>
              </w:rPr>
              <w:t>BR</w:t>
            </w:r>
          </w:p>
        </w:tc>
        <w:tc>
          <w:tcPr>
            <w:tcW w:w="8220" w:type="dxa"/>
            <w:tcBorders>
              <w:bottom w:val="nil"/>
            </w:tcBorders>
          </w:tcPr>
          <w:p w:rsidR="00AE296A" w:rsidRPr="00036EE3" w:rsidRDefault="00AE296A"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E296A" w:rsidRPr="00036EE3" w:rsidTr="00E170FE">
        <w:tc>
          <w:tcPr>
            <w:tcW w:w="1140" w:type="dxa"/>
            <w:tcBorders>
              <w:top w:val="nil"/>
              <w:bottom w:val="nil"/>
            </w:tcBorders>
            <w:shd w:val="clear" w:color="auto" w:fill="auto"/>
          </w:tcPr>
          <w:p w:rsidR="00AE296A" w:rsidRPr="007D224F" w:rsidRDefault="00AE296A" w:rsidP="00E170F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E296A" w:rsidRPr="007D224F" w:rsidRDefault="00AE296A"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E296A" w:rsidRPr="00ED2695" w:rsidTr="00E170FE">
        <w:tc>
          <w:tcPr>
            <w:tcW w:w="1140" w:type="dxa"/>
            <w:tcBorders>
              <w:top w:val="nil"/>
              <w:bottom w:val="nil"/>
            </w:tcBorders>
            <w:shd w:val="clear" w:color="auto" w:fill="auto"/>
          </w:tcPr>
          <w:p w:rsidR="00AE296A" w:rsidRPr="00ED2695" w:rsidRDefault="00AE296A" w:rsidP="00E170F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E296A" w:rsidRPr="00ED2695" w:rsidRDefault="00AE296A"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E296A" w:rsidRPr="007D224F" w:rsidTr="00E170FE">
        <w:tc>
          <w:tcPr>
            <w:tcW w:w="1140" w:type="dxa"/>
            <w:tcBorders>
              <w:top w:val="nil"/>
              <w:bottom w:val="nil"/>
            </w:tcBorders>
            <w:shd w:val="clear" w:color="auto" w:fill="auto"/>
          </w:tcPr>
          <w:p w:rsidR="00AE296A" w:rsidRPr="0041667C" w:rsidRDefault="00AE296A" w:rsidP="00E170F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E296A" w:rsidRPr="0041667C" w:rsidRDefault="00AE296A"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E296A" w:rsidRPr="001A7DC3" w:rsidTr="00E170FE">
        <w:tc>
          <w:tcPr>
            <w:tcW w:w="1140" w:type="dxa"/>
            <w:tcBorders>
              <w:top w:val="nil"/>
              <w:bottom w:val="nil"/>
            </w:tcBorders>
            <w:shd w:val="clear" w:color="auto" w:fill="auto"/>
          </w:tcPr>
          <w:p w:rsidR="00AE296A" w:rsidRPr="001A7DC3" w:rsidRDefault="00AE296A" w:rsidP="00E170FE">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E296A" w:rsidRPr="001A7DC3" w:rsidRDefault="00AE296A"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E296A" w:rsidRPr="00036EE3" w:rsidTr="00E170FE">
        <w:tc>
          <w:tcPr>
            <w:tcW w:w="1140" w:type="dxa"/>
            <w:tcBorders>
              <w:top w:val="nil"/>
              <w:bottom w:val="nil"/>
            </w:tcBorders>
            <w:shd w:val="clear" w:color="auto" w:fill="F3F3F3"/>
          </w:tcPr>
          <w:p w:rsidR="00AE296A" w:rsidRPr="006E1148" w:rsidRDefault="00AE296A" w:rsidP="00E170FE">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E296A" w:rsidRPr="006E1148" w:rsidRDefault="00AE296A" w:rsidP="00E170FE">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E296A" w:rsidRPr="00036EE3" w:rsidTr="00E170FE">
        <w:tc>
          <w:tcPr>
            <w:tcW w:w="1140" w:type="dxa"/>
            <w:tcBorders>
              <w:top w:val="nil"/>
            </w:tcBorders>
          </w:tcPr>
          <w:p w:rsidR="00AE296A" w:rsidRPr="00036EE3" w:rsidRDefault="00AE296A" w:rsidP="00E170FE">
            <w:pPr>
              <w:spacing w:before="30" w:after="30"/>
              <w:ind w:left="57"/>
              <w:jc w:val="left"/>
              <w:rPr>
                <w:b/>
                <w:bCs/>
                <w:sz w:val="20"/>
                <w:lang w:val="en-US"/>
              </w:rPr>
            </w:pPr>
            <w:r w:rsidRPr="00036EE3">
              <w:rPr>
                <w:b/>
                <w:bCs/>
                <w:sz w:val="20"/>
                <w:lang w:val="en-US"/>
              </w:rPr>
              <w:t>RA</w:t>
            </w:r>
          </w:p>
        </w:tc>
        <w:tc>
          <w:tcPr>
            <w:tcW w:w="8220" w:type="dxa"/>
            <w:tcBorders>
              <w:top w:val="nil"/>
            </w:tcBorders>
          </w:tcPr>
          <w:p w:rsidR="00AE296A" w:rsidRPr="00036EE3" w:rsidRDefault="00AE296A"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E296A" w:rsidRPr="00036EE3" w:rsidTr="00E170FE">
        <w:tc>
          <w:tcPr>
            <w:tcW w:w="1140" w:type="dxa"/>
          </w:tcPr>
          <w:p w:rsidR="00AE296A" w:rsidRPr="00036EE3" w:rsidRDefault="00AE296A" w:rsidP="00E170FE">
            <w:pPr>
              <w:spacing w:before="30" w:after="30"/>
              <w:ind w:left="57"/>
              <w:jc w:val="left"/>
              <w:rPr>
                <w:b/>
                <w:bCs/>
                <w:sz w:val="20"/>
                <w:lang w:val="en-US"/>
              </w:rPr>
            </w:pPr>
            <w:r w:rsidRPr="00036EE3">
              <w:rPr>
                <w:b/>
                <w:bCs/>
                <w:sz w:val="20"/>
                <w:lang w:val="en-US"/>
              </w:rPr>
              <w:t>RS</w:t>
            </w:r>
          </w:p>
        </w:tc>
        <w:tc>
          <w:tcPr>
            <w:tcW w:w="8220" w:type="dxa"/>
          </w:tcPr>
          <w:p w:rsidR="00AE296A" w:rsidRPr="00036EE3" w:rsidRDefault="00AE296A"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E296A" w:rsidRPr="00036EE3" w:rsidTr="00E170FE">
        <w:tc>
          <w:tcPr>
            <w:tcW w:w="1140" w:type="dxa"/>
          </w:tcPr>
          <w:p w:rsidR="00AE296A" w:rsidRPr="00036EE3" w:rsidRDefault="00AE296A" w:rsidP="00E170FE">
            <w:pPr>
              <w:spacing w:before="30" w:after="30"/>
              <w:ind w:left="57"/>
              <w:jc w:val="left"/>
              <w:rPr>
                <w:b/>
                <w:bCs/>
                <w:sz w:val="20"/>
                <w:lang w:val="en-US"/>
              </w:rPr>
            </w:pPr>
            <w:r w:rsidRPr="00036EE3">
              <w:rPr>
                <w:b/>
                <w:bCs/>
                <w:sz w:val="20"/>
                <w:lang w:val="en-US"/>
              </w:rPr>
              <w:t>S</w:t>
            </w:r>
          </w:p>
        </w:tc>
        <w:tc>
          <w:tcPr>
            <w:tcW w:w="8220" w:type="dxa"/>
          </w:tcPr>
          <w:p w:rsidR="00AE296A" w:rsidRPr="00036EE3" w:rsidRDefault="00AE296A" w:rsidP="00E170FE">
            <w:pPr>
              <w:spacing w:before="30" w:after="30"/>
              <w:jc w:val="left"/>
              <w:rPr>
                <w:sz w:val="20"/>
                <w:lang w:val="en-US"/>
              </w:rPr>
            </w:pPr>
            <w:r w:rsidRPr="00036EE3">
              <w:rPr>
                <w:sz w:val="20"/>
                <w:lang w:val="en-US"/>
              </w:rPr>
              <w:t>Fixed-satellite service</w:t>
            </w:r>
          </w:p>
        </w:tc>
      </w:tr>
      <w:tr w:rsidR="00AE296A" w:rsidRPr="00036EE3" w:rsidTr="00E170FE">
        <w:tc>
          <w:tcPr>
            <w:tcW w:w="1140" w:type="dxa"/>
          </w:tcPr>
          <w:p w:rsidR="00AE296A" w:rsidRPr="00036EE3" w:rsidRDefault="00AE296A" w:rsidP="00E170FE">
            <w:pPr>
              <w:spacing w:before="30" w:after="30"/>
              <w:ind w:left="57"/>
              <w:jc w:val="left"/>
              <w:rPr>
                <w:b/>
                <w:bCs/>
                <w:sz w:val="20"/>
                <w:lang w:val="en-US"/>
              </w:rPr>
            </w:pPr>
            <w:r w:rsidRPr="00036EE3">
              <w:rPr>
                <w:b/>
                <w:bCs/>
                <w:sz w:val="20"/>
                <w:lang w:val="en-US"/>
              </w:rPr>
              <w:t>SA</w:t>
            </w:r>
          </w:p>
        </w:tc>
        <w:tc>
          <w:tcPr>
            <w:tcW w:w="8220" w:type="dxa"/>
          </w:tcPr>
          <w:p w:rsidR="00AE296A" w:rsidRPr="00036EE3" w:rsidRDefault="00AE296A" w:rsidP="00E170FE">
            <w:pPr>
              <w:spacing w:before="30" w:after="30"/>
              <w:jc w:val="left"/>
              <w:rPr>
                <w:sz w:val="20"/>
                <w:lang w:val="en-US"/>
              </w:rPr>
            </w:pPr>
            <w:r w:rsidRPr="00036EE3">
              <w:rPr>
                <w:sz w:val="20"/>
                <w:lang w:val="en-US"/>
              </w:rPr>
              <w:t>Space applications and meteorology</w:t>
            </w:r>
          </w:p>
        </w:tc>
      </w:tr>
      <w:tr w:rsidR="00AE296A" w:rsidRPr="0040140B" w:rsidTr="00E170FE">
        <w:tc>
          <w:tcPr>
            <w:tcW w:w="1140" w:type="dxa"/>
            <w:tcBorders>
              <w:bottom w:val="nil"/>
            </w:tcBorders>
          </w:tcPr>
          <w:p w:rsidR="00AE296A" w:rsidRPr="00036EE3" w:rsidRDefault="00AE296A" w:rsidP="00E170FE">
            <w:pPr>
              <w:spacing w:before="30" w:after="30"/>
              <w:ind w:left="57"/>
              <w:jc w:val="left"/>
              <w:rPr>
                <w:b/>
                <w:bCs/>
                <w:sz w:val="20"/>
                <w:lang w:val="en-US"/>
              </w:rPr>
            </w:pPr>
            <w:r w:rsidRPr="00036EE3">
              <w:rPr>
                <w:b/>
                <w:bCs/>
                <w:sz w:val="20"/>
                <w:lang w:val="en-US"/>
              </w:rPr>
              <w:t>SF</w:t>
            </w:r>
          </w:p>
        </w:tc>
        <w:tc>
          <w:tcPr>
            <w:tcW w:w="8220" w:type="dxa"/>
            <w:tcBorders>
              <w:bottom w:val="nil"/>
            </w:tcBorders>
          </w:tcPr>
          <w:p w:rsidR="00AE296A" w:rsidRPr="00036EE3" w:rsidRDefault="00AE296A" w:rsidP="00E170FE">
            <w:pPr>
              <w:spacing w:before="30" w:after="30"/>
              <w:jc w:val="left"/>
              <w:rPr>
                <w:sz w:val="20"/>
                <w:lang w:val="en-US"/>
              </w:rPr>
            </w:pPr>
            <w:r w:rsidRPr="00036EE3">
              <w:rPr>
                <w:sz w:val="20"/>
                <w:lang w:val="en-US"/>
              </w:rPr>
              <w:t>Frequency sharing and coordination between fixed-satellite and fixed service systems</w:t>
            </w:r>
          </w:p>
        </w:tc>
      </w:tr>
      <w:tr w:rsidR="00AE296A" w:rsidRPr="00036EE3" w:rsidTr="00E170FE">
        <w:tc>
          <w:tcPr>
            <w:tcW w:w="1140" w:type="dxa"/>
            <w:tcBorders>
              <w:top w:val="nil"/>
              <w:bottom w:val="nil"/>
            </w:tcBorders>
            <w:shd w:val="clear" w:color="auto" w:fill="auto"/>
          </w:tcPr>
          <w:p w:rsidR="00AE296A" w:rsidRPr="000A4386" w:rsidRDefault="00AE296A" w:rsidP="00E170F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E296A" w:rsidRPr="000A4386" w:rsidRDefault="00AE296A" w:rsidP="00E170FE">
            <w:pPr>
              <w:spacing w:before="30" w:after="30"/>
              <w:jc w:val="left"/>
              <w:rPr>
                <w:sz w:val="20"/>
                <w:lang w:val="en-US"/>
              </w:rPr>
            </w:pPr>
            <w:r w:rsidRPr="000A4386">
              <w:rPr>
                <w:sz w:val="20"/>
                <w:lang w:val="en-US"/>
              </w:rPr>
              <w:t>Spectrum management</w:t>
            </w:r>
          </w:p>
        </w:tc>
      </w:tr>
      <w:tr w:rsidR="00AE296A" w:rsidRPr="00036EE3" w:rsidTr="00E170FE">
        <w:tc>
          <w:tcPr>
            <w:tcW w:w="1140" w:type="dxa"/>
            <w:tcBorders>
              <w:top w:val="nil"/>
            </w:tcBorders>
          </w:tcPr>
          <w:p w:rsidR="00AE296A" w:rsidRPr="00036EE3" w:rsidRDefault="00AE296A" w:rsidP="00E170FE">
            <w:pPr>
              <w:spacing w:before="30" w:after="30"/>
              <w:ind w:left="57"/>
              <w:jc w:val="left"/>
              <w:rPr>
                <w:b/>
                <w:bCs/>
                <w:sz w:val="20"/>
                <w:lang w:val="en-US"/>
              </w:rPr>
            </w:pPr>
            <w:r w:rsidRPr="00036EE3">
              <w:rPr>
                <w:b/>
                <w:bCs/>
                <w:sz w:val="20"/>
                <w:lang w:val="en-US"/>
              </w:rPr>
              <w:t>SNG</w:t>
            </w:r>
          </w:p>
        </w:tc>
        <w:tc>
          <w:tcPr>
            <w:tcW w:w="8220" w:type="dxa"/>
            <w:tcBorders>
              <w:top w:val="nil"/>
            </w:tcBorders>
          </w:tcPr>
          <w:p w:rsidR="00AE296A" w:rsidRPr="00036EE3" w:rsidRDefault="00AE296A" w:rsidP="00E170FE">
            <w:pPr>
              <w:spacing w:before="30" w:after="30"/>
              <w:jc w:val="left"/>
              <w:rPr>
                <w:sz w:val="20"/>
                <w:lang w:val="en-US"/>
              </w:rPr>
            </w:pPr>
            <w:r w:rsidRPr="00036EE3">
              <w:rPr>
                <w:sz w:val="20"/>
                <w:lang w:val="en-US"/>
              </w:rPr>
              <w:t>Satellite news gathering</w:t>
            </w:r>
          </w:p>
        </w:tc>
      </w:tr>
      <w:tr w:rsidR="00AE296A" w:rsidRPr="0040140B" w:rsidTr="00E170FE">
        <w:tc>
          <w:tcPr>
            <w:tcW w:w="1140" w:type="dxa"/>
          </w:tcPr>
          <w:p w:rsidR="00AE296A" w:rsidRPr="00036EE3" w:rsidRDefault="00AE296A" w:rsidP="00E170FE">
            <w:pPr>
              <w:spacing w:before="30" w:after="30"/>
              <w:ind w:left="57"/>
              <w:jc w:val="left"/>
              <w:rPr>
                <w:b/>
                <w:bCs/>
                <w:sz w:val="20"/>
                <w:lang w:val="en-US"/>
              </w:rPr>
            </w:pPr>
            <w:r w:rsidRPr="00036EE3">
              <w:rPr>
                <w:b/>
                <w:bCs/>
                <w:sz w:val="20"/>
                <w:lang w:val="en-US"/>
              </w:rPr>
              <w:t>TF</w:t>
            </w:r>
          </w:p>
        </w:tc>
        <w:tc>
          <w:tcPr>
            <w:tcW w:w="8220" w:type="dxa"/>
          </w:tcPr>
          <w:p w:rsidR="00AE296A" w:rsidRPr="00036EE3" w:rsidRDefault="00AE296A" w:rsidP="00E170FE">
            <w:pPr>
              <w:spacing w:before="30" w:after="30"/>
              <w:jc w:val="left"/>
              <w:rPr>
                <w:sz w:val="20"/>
                <w:lang w:val="en-US"/>
              </w:rPr>
            </w:pPr>
            <w:r w:rsidRPr="00036EE3">
              <w:rPr>
                <w:sz w:val="20"/>
                <w:lang w:val="en-US"/>
              </w:rPr>
              <w:t>Time signals and frequency standards emissions</w:t>
            </w:r>
          </w:p>
        </w:tc>
      </w:tr>
      <w:tr w:rsidR="00AE296A" w:rsidRPr="00036EE3" w:rsidTr="00E170FE">
        <w:tc>
          <w:tcPr>
            <w:tcW w:w="1140" w:type="dxa"/>
          </w:tcPr>
          <w:p w:rsidR="00AE296A" w:rsidRPr="00036EE3" w:rsidRDefault="00AE296A" w:rsidP="00E170FE">
            <w:pPr>
              <w:spacing w:before="30" w:after="30"/>
              <w:ind w:left="57"/>
              <w:jc w:val="left"/>
              <w:rPr>
                <w:b/>
                <w:bCs/>
                <w:sz w:val="20"/>
                <w:lang w:val="en-US"/>
              </w:rPr>
            </w:pPr>
            <w:r w:rsidRPr="00036EE3">
              <w:rPr>
                <w:b/>
                <w:bCs/>
                <w:sz w:val="20"/>
                <w:lang w:val="en-US"/>
              </w:rPr>
              <w:t>V</w:t>
            </w:r>
          </w:p>
        </w:tc>
        <w:tc>
          <w:tcPr>
            <w:tcW w:w="8220" w:type="dxa"/>
          </w:tcPr>
          <w:p w:rsidR="00AE296A" w:rsidRPr="00036EE3" w:rsidRDefault="00AE296A" w:rsidP="00E170FE">
            <w:pPr>
              <w:spacing w:before="30" w:after="180"/>
              <w:jc w:val="left"/>
              <w:rPr>
                <w:sz w:val="20"/>
                <w:lang w:val="en-US"/>
              </w:rPr>
            </w:pPr>
            <w:r w:rsidRPr="00036EE3">
              <w:rPr>
                <w:sz w:val="20"/>
                <w:lang w:val="en-US"/>
              </w:rPr>
              <w:t>Vocabulary and related subjects</w:t>
            </w:r>
          </w:p>
        </w:tc>
      </w:tr>
    </w:tbl>
    <w:p w:rsidR="00AE296A" w:rsidRPr="00036EE3" w:rsidRDefault="00AE296A" w:rsidP="00AE296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E296A" w:rsidTr="00E170FE">
        <w:tc>
          <w:tcPr>
            <w:tcW w:w="720" w:type="dxa"/>
          </w:tcPr>
          <w:p w:rsidR="00AE296A" w:rsidRDefault="00AE296A" w:rsidP="00E170FE">
            <w:pPr>
              <w:jc w:val="center"/>
              <w:rPr>
                <w:sz w:val="22"/>
                <w:lang w:val="en-US"/>
              </w:rPr>
            </w:pPr>
          </w:p>
        </w:tc>
      </w:tr>
    </w:tbl>
    <w:p w:rsidR="00AE296A" w:rsidRPr="00036EE3" w:rsidRDefault="00AE296A" w:rsidP="00AE296A">
      <w:pPr>
        <w:spacing w:before="0"/>
        <w:jc w:val="center"/>
        <w:rPr>
          <w:sz w:val="22"/>
          <w:lang w:val="en-US"/>
        </w:rPr>
      </w:pPr>
    </w:p>
    <w:tbl>
      <w:tblPr>
        <w:tblW w:w="0" w:type="auto"/>
        <w:tblInd w:w="227"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E296A" w:rsidRPr="0040140B" w:rsidTr="00990D60">
        <w:tc>
          <w:tcPr>
            <w:tcW w:w="9360" w:type="dxa"/>
          </w:tcPr>
          <w:p w:rsidR="00AE296A" w:rsidRPr="002F5199" w:rsidRDefault="00AE296A" w:rsidP="00E170F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E296A" w:rsidRDefault="00AE296A" w:rsidP="00AE296A">
      <w:pPr>
        <w:spacing w:before="0"/>
        <w:jc w:val="center"/>
        <w:rPr>
          <w:sz w:val="22"/>
          <w:lang w:val="en-US"/>
        </w:rPr>
      </w:pPr>
    </w:p>
    <w:p w:rsidR="00AE296A" w:rsidRDefault="00AE296A" w:rsidP="00AE296A">
      <w:pPr>
        <w:spacing w:before="0"/>
        <w:jc w:val="center"/>
        <w:rPr>
          <w:sz w:val="22"/>
          <w:lang w:val="en-US"/>
        </w:rPr>
      </w:pPr>
    </w:p>
    <w:p w:rsidR="00AE296A" w:rsidRPr="002F5199" w:rsidRDefault="00AE296A" w:rsidP="00AE296A">
      <w:pPr>
        <w:spacing w:before="0"/>
        <w:jc w:val="right"/>
        <w:rPr>
          <w:i/>
          <w:iCs/>
          <w:sz w:val="20"/>
          <w:lang w:val="en-US"/>
        </w:rPr>
      </w:pPr>
      <w:r w:rsidRPr="002F5199">
        <w:rPr>
          <w:i/>
          <w:iCs/>
          <w:sz w:val="20"/>
          <w:lang w:val="en-US"/>
        </w:rPr>
        <w:t>Electronic Publication</w:t>
      </w:r>
    </w:p>
    <w:p w:rsidR="00AE296A" w:rsidRPr="002F5199" w:rsidRDefault="00AE296A" w:rsidP="00AE296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AE296A" w:rsidRDefault="00AE296A" w:rsidP="00AE296A">
      <w:pPr>
        <w:jc w:val="center"/>
        <w:rPr>
          <w:sz w:val="22"/>
          <w:lang w:val="en-US"/>
        </w:rPr>
      </w:pPr>
    </w:p>
    <w:p w:rsidR="00AE296A" w:rsidRPr="00470E28" w:rsidRDefault="00AE296A" w:rsidP="00AE296A">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AE296A" w:rsidRPr="00470E28" w:rsidRDefault="00AE296A" w:rsidP="00AE296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E296A" w:rsidRDefault="00AE296A" w:rsidP="00AE296A">
      <w:pPr>
        <w:spacing w:before="160"/>
        <w:rPr>
          <w:i/>
          <w:sz w:val="20"/>
          <w:lang w:val="en-US"/>
        </w:rPr>
        <w:sectPr w:rsidR="00AE296A"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E296A" w:rsidRDefault="00AE296A" w:rsidP="00AE296A">
      <w:pPr>
        <w:pStyle w:val="RecNo"/>
        <w:spacing w:before="0"/>
        <w:rPr>
          <w:lang w:val="en-US"/>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P</w:t>
      </w:r>
      <w:r w:rsidRPr="00BF487A">
        <w:rPr>
          <w:rStyle w:val="href"/>
          <w:lang w:val="en-US"/>
        </w:rPr>
        <w:t>.</w:t>
      </w:r>
      <w:r>
        <w:rPr>
          <w:rStyle w:val="href"/>
          <w:lang w:val="en-US"/>
        </w:rPr>
        <w:t>679-4</w:t>
      </w:r>
      <w:r w:rsidR="00990D60" w:rsidRPr="00990D60">
        <w:rPr>
          <w:rStyle w:val="FootnoteReference"/>
          <w:lang w:val="en-US"/>
        </w:rPr>
        <w:footnoteReference w:customMarkFollows="1" w:id="1"/>
        <w:sym w:font="Symbol" w:char="F02A"/>
      </w:r>
    </w:p>
    <w:p w:rsidR="00AE296A" w:rsidRPr="00463F0C" w:rsidRDefault="00AE296A" w:rsidP="00AE296A">
      <w:pPr>
        <w:pStyle w:val="Rectitle"/>
        <w:rPr>
          <w:lang w:val="en-GB"/>
        </w:rPr>
      </w:pPr>
      <w:r>
        <w:rPr>
          <w:lang w:val="en-US"/>
        </w:rPr>
        <w:t xml:space="preserve">Propagation data required for the design of </w:t>
      </w:r>
      <w:r>
        <w:rPr>
          <w:lang w:val="en-US"/>
        </w:rPr>
        <w:br/>
        <w:t>broadcasting-satellite systems</w:t>
      </w:r>
    </w:p>
    <w:p w:rsidR="008B48BE" w:rsidRPr="008B48BE" w:rsidRDefault="008B48BE" w:rsidP="008B48BE">
      <w:pPr>
        <w:pStyle w:val="Recref"/>
        <w:rPr>
          <w:lang w:val="en-US"/>
        </w:rPr>
      </w:pPr>
      <w:bookmarkStart w:id="3" w:name="Related_Questions"/>
      <w:r w:rsidRPr="008B48BE">
        <w:rPr>
          <w:lang w:val="en-US"/>
        </w:rPr>
        <w:t>(Question ITU-R 206/3)</w:t>
      </w:r>
      <w:bookmarkEnd w:id="3"/>
    </w:p>
    <w:p w:rsidR="008B48BE" w:rsidRDefault="008B48BE" w:rsidP="008B48BE">
      <w:pPr>
        <w:pStyle w:val="Recdate"/>
        <w:rPr>
          <w:lang w:val="en-GB"/>
        </w:rPr>
      </w:pPr>
      <w:bookmarkStart w:id="4" w:name="Revision_history"/>
      <w:r>
        <w:rPr>
          <w:lang w:val="en-GB"/>
        </w:rPr>
        <w:t>(1990-1992-1999-2001</w:t>
      </w:r>
      <w:r w:rsidR="0082038F">
        <w:rPr>
          <w:lang w:val="en-GB"/>
        </w:rPr>
        <w:t>-2015</w:t>
      </w:r>
      <w:r>
        <w:rPr>
          <w:lang w:val="en-GB"/>
        </w:rPr>
        <w:t>)</w:t>
      </w:r>
      <w:bookmarkEnd w:id="4"/>
    </w:p>
    <w:p w:rsidR="008B48BE" w:rsidRDefault="008B48BE" w:rsidP="008B48BE">
      <w:pPr>
        <w:pStyle w:val="Normalaftertitle"/>
        <w:rPr>
          <w:lang w:val="en-GB"/>
        </w:rPr>
      </w:pPr>
      <w:r>
        <w:rPr>
          <w:lang w:val="en-GB"/>
        </w:rPr>
        <w:t>The ITU Radiocommunication Assembly,</w:t>
      </w:r>
    </w:p>
    <w:p w:rsidR="008B48BE" w:rsidRDefault="008B48BE" w:rsidP="008B48BE">
      <w:pPr>
        <w:pStyle w:val="Call"/>
        <w:rPr>
          <w:lang w:val="en-GB"/>
        </w:rPr>
      </w:pPr>
      <w:r>
        <w:rPr>
          <w:lang w:val="en-GB"/>
        </w:rPr>
        <w:t>considering</w:t>
      </w:r>
    </w:p>
    <w:p w:rsidR="008B48BE" w:rsidRDefault="008B48BE" w:rsidP="008B48BE">
      <w:pPr>
        <w:rPr>
          <w:lang w:val="en-GB"/>
        </w:rPr>
      </w:pPr>
      <w:r w:rsidRPr="005C3C42">
        <w:rPr>
          <w:i/>
          <w:iCs/>
          <w:lang w:val="en-GB"/>
        </w:rPr>
        <w:t>a)</w:t>
      </w:r>
      <w:r>
        <w:rPr>
          <w:lang w:val="en-GB"/>
        </w:rPr>
        <w:tab/>
        <w:t>that for the proper planning of broadcasting-satellite systems it is necessary to have appropriate propagation data and prediction methods;</w:t>
      </w:r>
    </w:p>
    <w:p w:rsidR="008B48BE" w:rsidRDefault="008B48BE" w:rsidP="008B48BE">
      <w:pPr>
        <w:rPr>
          <w:lang w:val="en-GB"/>
        </w:rPr>
      </w:pPr>
      <w:r w:rsidRPr="005C3C42">
        <w:rPr>
          <w:i/>
          <w:iCs/>
          <w:lang w:val="en-GB"/>
        </w:rPr>
        <w:t>b)</w:t>
      </w:r>
      <w:r>
        <w:rPr>
          <w:lang w:val="en-GB"/>
        </w:rPr>
        <w:tab/>
        <w:t>that the methods of Recommendation ITU-R P.618 are recommended for the planning of Earth</w:t>
      </w:r>
      <w:r>
        <w:rPr>
          <w:lang w:val="en-GB"/>
        </w:rPr>
        <w:noBreakHyphen/>
        <w:t>space telecommunication systems;</w:t>
      </w:r>
    </w:p>
    <w:p w:rsidR="008B48BE" w:rsidRDefault="008B48BE" w:rsidP="008B48BE">
      <w:pPr>
        <w:rPr>
          <w:lang w:val="en-GB"/>
        </w:rPr>
      </w:pPr>
      <w:r w:rsidRPr="005C3C42">
        <w:rPr>
          <w:i/>
          <w:iCs/>
          <w:lang w:val="en-GB"/>
        </w:rPr>
        <w:t>c)</w:t>
      </w:r>
      <w:r>
        <w:rPr>
          <w:lang w:val="en-GB"/>
        </w:rPr>
        <w:tab/>
        <w:t>that further development of prediction methods for specific application to broadcasting-satellite systems is required to give adequate accuracy for all operational conditions;</w:t>
      </w:r>
    </w:p>
    <w:p w:rsidR="008B48BE" w:rsidRDefault="008B48BE" w:rsidP="008B48BE">
      <w:pPr>
        <w:rPr>
          <w:lang w:val="en-GB"/>
        </w:rPr>
      </w:pPr>
      <w:r w:rsidRPr="005C3C42">
        <w:rPr>
          <w:i/>
          <w:iCs/>
          <w:lang w:val="en-GB"/>
        </w:rPr>
        <w:t>d)</w:t>
      </w:r>
      <w:r>
        <w:rPr>
          <w:lang w:val="en-GB"/>
        </w:rPr>
        <w:tab/>
        <w:t>that, however, methods are available which yield sufficient</w:t>
      </w:r>
      <w:r w:rsidR="000174D5">
        <w:rPr>
          <w:lang w:val="en-GB"/>
        </w:rPr>
        <w:t xml:space="preserve"> accuracy for many applications;</w:t>
      </w:r>
    </w:p>
    <w:p w:rsidR="000174D5" w:rsidRPr="000174D5" w:rsidRDefault="000174D5" w:rsidP="000174D5">
      <w:pPr>
        <w:rPr>
          <w:lang w:val="en-US"/>
        </w:rPr>
      </w:pPr>
      <w:r w:rsidRPr="000174D5">
        <w:rPr>
          <w:i/>
          <w:iCs/>
          <w:lang w:val="en-GB"/>
        </w:rPr>
        <w:t>e)</w:t>
      </w:r>
      <w:r>
        <w:rPr>
          <w:lang w:val="en-GB"/>
        </w:rPr>
        <w:tab/>
      </w:r>
      <w:r w:rsidRPr="000174D5">
        <w:rPr>
          <w:lang w:val="en-US"/>
        </w:rPr>
        <w:t>that Recommendation ITU-R P.2040 provides guidance on the effects of building material properties and structures on radiowave propagation</w:t>
      </w:r>
      <w:r>
        <w:rPr>
          <w:lang w:val="en-US"/>
        </w:rPr>
        <w:t>,</w:t>
      </w:r>
    </w:p>
    <w:p w:rsidR="008B48BE" w:rsidRDefault="008B48BE" w:rsidP="008B48BE">
      <w:pPr>
        <w:pStyle w:val="Call"/>
        <w:rPr>
          <w:lang w:val="en-GB"/>
        </w:rPr>
      </w:pPr>
      <w:r>
        <w:rPr>
          <w:lang w:val="en-GB"/>
        </w:rPr>
        <w:t>recommends</w:t>
      </w:r>
    </w:p>
    <w:p w:rsidR="008B48BE" w:rsidRDefault="008B48BE" w:rsidP="008B48BE">
      <w:pPr>
        <w:rPr>
          <w:lang w:val="en-GB"/>
        </w:rPr>
      </w:pPr>
      <w:r>
        <w:rPr>
          <w:b/>
          <w:bCs/>
          <w:lang w:val="en-GB"/>
        </w:rPr>
        <w:t>1</w:t>
      </w:r>
      <w:r>
        <w:rPr>
          <w:lang w:val="en-GB"/>
        </w:rPr>
        <w:tab/>
        <w:t>that the propagation data contained in Annex 1 be adopted for use in the planning of broadcasting-satellite systems, in addition to the methods recommended in Recommenda</w:t>
      </w:r>
      <w:r>
        <w:rPr>
          <w:lang w:val="en-GB"/>
        </w:rPr>
        <w:softHyphen/>
        <w:t>tion ITU</w:t>
      </w:r>
      <w:r>
        <w:rPr>
          <w:lang w:val="en-GB"/>
        </w:rPr>
        <w:noBreakHyphen/>
        <w:t>R P.618.</w:t>
      </w:r>
    </w:p>
    <w:p w:rsidR="008B48BE" w:rsidRPr="008B48BE" w:rsidRDefault="008B48BE" w:rsidP="008B48BE">
      <w:pPr>
        <w:rPr>
          <w:lang w:val="en-US"/>
        </w:rPr>
      </w:pPr>
    </w:p>
    <w:p w:rsidR="008B48BE" w:rsidRPr="008B48BE" w:rsidRDefault="008B48BE" w:rsidP="008B48BE">
      <w:pPr>
        <w:rPr>
          <w:lang w:val="en-US"/>
        </w:rPr>
      </w:pPr>
    </w:p>
    <w:p w:rsidR="008B48BE" w:rsidRDefault="008B48BE" w:rsidP="005C3C42">
      <w:pPr>
        <w:pStyle w:val="AnnexNoTitle"/>
        <w:rPr>
          <w:lang w:val="en-GB"/>
        </w:rPr>
      </w:pPr>
      <w:r>
        <w:rPr>
          <w:lang w:val="en-GB"/>
        </w:rPr>
        <w:t>A</w:t>
      </w:r>
      <w:r w:rsidR="005C3C42">
        <w:rPr>
          <w:lang w:val="en-GB"/>
        </w:rPr>
        <w:t xml:space="preserve">nnex  </w:t>
      </w:r>
      <w:r>
        <w:rPr>
          <w:lang w:val="en-GB"/>
        </w:rPr>
        <w:t>1</w:t>
      </w:r>
    </w:p>
    <w:p w:rsidR="008B48BE" w:rsidRDefault="008B48BE" w:rsidP="008B48BE">
      <w:pPr>
        <w:pStyle w:val="Heading1"/>
        <w:rPr>
          <w:lang w:val="en-GB"/>
        </w:rPr>
      </w:pPr>
      <w:r>
        <w:rPr>
          <w:lang w:val="en-GB"/>
        </w:rPr>
        <w:t>1</w:t>
      </w:r>
      <w:r>
        <w:rPr>
          <w:lang w:val="en-GB"/>
        </w:rPr>
        <w:tab/>
        <w:t>Introduction</w:t>
      </w:r>
    </w:p>
    <w:p w:rsidR="008B48BE" w:rsidRDefault="008B48BE" w:rsidP="008B48BE">
      <w:pPr>
        <w:rPr>
          <w:lang w:val="en-GB"/>
        </w:rPr>
      </w:pPr>
      <w:r>
        <w:rPr>
          <w:lang w:val="en-GB"/>
        </w:rPr>
        <w:t>Broadcasting by satellite leads to propagation considerations that are not entirely comparable with those occurring in the fixed-satellite service. Attenuation data for the space-to-Earth direction are needed in the form of statistical averages and/or contour maps of attenuation and depolarization for large areas. Specific coordination problems may arise at the margin of the service area between satellite broadcasting systems and terrestrial or other space services. General methods for prediction of Earth-space path propagation effects are presented in Recommendation ITU-R P.618. Additional information specific to satellite broadcasting system planning is treated in this Annex. It should be noted that feeder links are considered to be part of fixed-satellite services, not the broadcasting services.</w:t>
      </w:r>
    </w:p>
    <w:p w:rsidR="008B48BE" w:rsidRDefault="008B48BE" w:rsidP="008B48BE">
      <w:pPr>
        <w:rPr>
          <w:lang w:val="en-GB"/>
        </w:rPr>
      </w:pPr>
      <w:r>
        <w:rPr>
          <w:lang w:val="en-GB"/>
        </w:rPr>
        <w:t>In the case of space-to-Earth paths for broadcasting systems, several propagation effects may require consideration.</w:t>
      </w:r>
    </w:p>
    <w:p w:rsidR="008B48BE" w:rsidRDefault="008B48BE" w:rsidP="008B48BE">
      <w:pPr>
        <w:rPr>
          <w:lang w:val="en-GB"/>
        </w:rPr>
      </w:pPr>
      <w:r>
        <w:rPr>
          <w:lang w:val="en-GB"/>
        </w:rPr>
        <w:br w:type="page"/>
      </w:r>
      <w:r>
        <w:rPr>
          <w:lang w:val="en-GB"/>
        </w:rPr>
        <w:lastRenderedPageBreak/>
        <w:t>Among these are:</w:t>
      </w:r>
    </w:p>
    <w:p w:rsidR="008B48BE" w:rsidRDefault="008B48BE" w:rsidP="008B48BE">
      <w:pPr>
        <w:pStyle w:val="enumlev1"/>
        <w:rPr>
          <w:lang w:val="en-GB"/>
        </w:rPr>
      </w:pPr>
      <w:r>
        <w:rPr>
          <w:lang w:val="en-GB"/>
        </w:rPr>
        <w:t>–</w:t>
      </w:r>
      <w:r>
        <w:rPr>
          <w:lang w:val="en-GB"/>
        </w:rPr>
        <w:tab/>
        <w:t>tropospheric effects, including gaseous absorption, and attenuation and depolarization by rain and other hydrometeors;</w:t>
      </w:r>
    </w:p>
    <w:p w:rsidR="008B48BE" w:rsidRDefault="008B48BE" w:rsidP="008B48BE">
      <w:pPr>
        <w:pStyle w:val="enumlev1"/>
        <w:rPr>
          <w:lang w:val="en-GB"/>
        </w:rPr>
      </w:pPr>
      <w:r>
        <w:rPr>
          <w:lang w:val="en-GB"/>
        </w:rPr>
        <w:t>–</w:t>
      </w:r>
      <w:r>
        <w:rPr>
          <w:lang w:val="en-GB"/>
        </w:rPr>
        <w:tab/>
        <w:t>ionospheric effects such as scintillation and Faraday rotation (see Recommendation ITU</w:t>
      </w:r>
      <w:r>
        <w:rPr>
          <w:lang w:val="en-GB"/>
        </w:rPr>
        <w:noBreakHyphen/>
        <w:t>R P.531);</w:t>
      </w:r>
    </w:p>
    <w:p w:rsidR="008B48BE" w:rsidRDefault="008B48BE" w:rsidP="008B48BE">
      <w:pPr>
        <w:pStyle w:val="enumlev1"/>
        <w:rPr>
          <w:lang w:val="en-GB"/>
        </w:rPr>
      </w:pPr>
      <w:r>
        <w:rPr>
          <w:lang w:val="en-GB"/>
        </w:rPr>
        <w:t>–</w:t>
      </w:r>
      <w:r>
        <w:rPr>
          <w:lang w:val="en-GB"/>
        </w:rPr>
        <w:tab/>
        <w:t>local environmental effects, including attenuation by buildings and vegetation.</w:t>
      </w:r>
    </w:p>
    <w:p w:rsidR="008B48BE" w:rsidRDefault="008B48BE" w:rsidP="008B48BE">
      <w:pPr>
        <w:rPr>
          <w:lang w:val="en-GB"/>
        </w:rPr>
      </w:pPr>
      <w:r>
        <w:rPr>
          <w:lang w:val="en-GB"/>
        </w:rPr>
        <w:t>This Annex discusses these effects and refers to other Recommendations for additional information. More data are needed to characterize propagation impairments for satellite broadcasting systems.</w:t>
      </w:r>
    </w:p>
    <w:p w:rsidR="008B48BE" w:rsidRDefault="008B48BE" w:rsidP="008B48BE">
      <w:pPr>
        <w:pStyle w:val="Heading1"/>
        <w:rPr>
          <w:lang w:val="en-GB"/>
        </w:rPr>
      </w:pPr>
      <w:r>
        <w:rPr>
          <w:lang w:val="en-GB"/>
        </w:rPr>
        <w:t>2</w:t>
      </w:r>
      <w:r>
        <w:rPr>
          <w:lang w:val="en-GB"/>
        </w:rPr>
        <w:tab/>
        <w:t>Tropospheric effects</w:t>
      </w:r>
    </w:p>
    <w:p w:rsidR="008B48BE" w:rsidRDefault="008B48BE" w:rsidP="008B48BE">
      <w:pPr>
        <w:rPr>
          <w:lang w:val="en-GB"/>
        </w:rPr>
      </w:pPr>
      <w:r>
        <w:rPr>
          <w:lang w:val="en-GB"/>
        </w:rPr>
        <w:t>Signal impairments caused by the troposphere are negligible for frequencies below about 1 GHz and path elevation angles exceeding 10</w:t>
      </w:r>
      <w:r>
        <w:rPr>
          <w:lang w:val="en-GB"/>
        </w:rPr>
        <w:sym w:font="Symbol" w:char="F0B0"/>
      </w:r>
      <w:r>
        <w:rPr>
          <w:lang w:val="en-GB"/>
        </w:rPr>
        <w:t>.</w:t>
      </w:r>
    </w:p>
    <w:p w:rsidR="008B48BE" w:rsidRDefault="008B48BE" w:rsidP="008B48BE">
      <w:pPr>
        <w:rPr>
          <w:lang w:val="en-GB"/>
        </w:rPr>
      </w:pPr>
      <w:r>
        <w:rPr>
          <w:lang w:val="en-GB"/>
        </w:rPr>
        <w:t>As elevation decreases and/or frequency increases these impairments become more and more severe and fluctuations of signal amplitude and angle of arrival can be significant (see Recommendation ITU-R P.618). The latter effects are of particular importance for high latitude service areas. Sky-noise temperature increases caused by precipitation (see Recommendation ITU</w:t>
      </w:r>
      <w:r>
        <w:rPr>
          <w:lang w:val="en-GB"/>
        </w:rPr>
        <w:noBreakHyphen/>
        <w:t xml:space="preserve">R P.618) will further reduce </w:t>
      </w:r>
      <w:r>
        <w:rPr>
          <w:i/>
          <w:lang w:val="en-GB"/>
        </w:rPr>
        <w:t>C</w:t>
      </w:r>
      <w:r>
        <w:rPr>
          <w:lang w:val="en-GB"/>
        </w:rPr>
        <w:t>/</w:t>
      </w:r>
      <w:r>
        <w:rPr>
          <w:i/>
          <w:lang w:val="en-GB"/>
        </w:rPr>
        <w:t>N</w:t>
      </w:r>
      <w:r>
        <w:rPr>
          <w:lang w:val="en-GB"/>
        </w:rPr>
        <w:t xml:space="preserve"> of the received signal. In addition, snow and ice accumulations on reflector and feed surfaces of the antenna can seriously degrade antenna pointing, gain and cross</w:t>
      </w:r>
      <w:r>
        <w:rPr>
          <w:lang w:val="en-GB"/>
        </w:rPr>
        <w:noBreakHyphen/>
        <w:t>polar characteristics for significant portions of a year.</w:t>
      </w:r>
    </w:p>
    <w:p w:rsidR="008B48BE" w:rsidRDefault="008B48BE" w:rsidP="008B48BE">
      <w:pPr>
        <w:pStyle w:val="Heading2"/>
        <w:rPr>
          <w:lang w:val="en-GB"/>
        </w:rPr>
      </w:pPr>
      <w:r>
        <w:rPr>
          <w:lang w:val="en-GB"/>
        </w:rPr>
        <w:t>2.1</w:t>
      </w:r>
      <w:r>
        <w:rPr>
          <w:lang w:val="en-GB"/>
        </w:rPr>
        <w:tab/>
        <w:t>Attenuation in the troposphere</w:t>
      </w:r>
    </w:p>
    <w:p w:rsidR="008B48BE" w:rsidRDefault="008B48BE" w:rsidP="008B48BE">
      <w:pPr>
        <w:rPr>
          <w:lang w:val="en-GB"/>
        </w:rPr>
      </w:pPr>
      <w:r>
        <w:rPr>
          <w:lang w:val="en-GB"/>
        </w:rPr>
        <w:t>Signal losses in the troposphere are caused by gaseous absorption and attenuation by rain and other hydrometeors. In addition, small-scale variations in the atmospheric refractive index cause signal scintillations that contribute both to signal fading and enhancements.</w:t>
      </w:r>
    </w:p>
    <w:p w:rsidR="008B48BE" w:rsidRDefault="008B48BE" w:rsidP="008B48BE">
      <w:pPr>
        <w:pStyle w:val="Heading3"/>
        <w:rPr>
          <w:lang w:val="en-GB"/>
        </w:rPr>
      </w:pPr>
      <w:r>
        <w:rPr>
          <w:lang w:val="en-GB"/>
        </w:rPr>
        <w:t>2.1.1</w:t>
      </w:r>
      <w:r>
        <w:rPr>
          <w:lang w:val="en-GB"/>
        </w:rPr>
        <w:tab/>
        <w:t>Attenuation by atmospheric gases</w:t>
      </w:r>
    </w:p>
    <w:p w:rsidR="008B48BE" w:rsidRDefault="008B48BE" w:rsidP="008B48BE">
      <w:pPr>
        <w:rPr>
          <w:lang w:val="en-GB"/>
        </w:rPr>
      </w:pPr>
      <w:r>
        <w:rPr>
          <w:lang w:val="en-GB"/>
        </w:rPr>
        <w:t>The recommended method for predicting gaseous attenuation on Earth-satellite paths is found in Recommendation ITU</w:t>
      </w:r>
      <w:r>
        <w:rPr>
          <w:lang w:val="en-GB"/>
        </w:rPr>
        <w:noBreakHyphen/>
        <w:t>R P.618. For most frequencies, gaseous attenuation is of minor importance in relation to rain attenuation. In the 22 GHz band allocated to the broadcasting-satellite service in some regions, however, water vapour absorption can be quite large. For example, at a location where the 22.75 GHz path attenuation exceeds 9.5 dB for 1% of the worst month, about 3 dB of the total is the result of gaseous attenuation.</w:t>
      </w:r>
    </w:p>
    <w:p w:rsidR="008B48BE" w:rsidRDefault="008B48BE" w:rsidP="008B48BE">
      <w:pPr>
        <w:pStyle w:val="Heading3"/>
        <w:rPr>
          <w:lang w:val="en-GB"/>
        </w:rPr>
      </w:pPr>
      <w:r>
        <w:rPr>
          <w:lang w:val="en-GB"/>
        </w:rPr>
        <w:t>2.1.2</w:t>
      </w:r>
      <w:r>
        <w:rPr>
          <w:lang w:val="en-GB"/>
        </w:rPr>
        <w:tab/>
        <w:t>Precipitation and cloud attenuation</w:t>
      </w:r>
    </w:p>
    <w:p w:rsidR="008B48BE" w:rsidRDefault="008B48BE" w:rsidP="001E1FE1">
      <w:pPr>
        <w:rPr>
          <w:lang w:val="en-GB"/>
        </w:rPr>
      </w:pPr>
      <w:r>
        <w:rPr>
          <w:lang w:val="en-GB"/>
        </w:rPr>
        <w:t>The prediction procedure for precipitation and cloud attenuation is given in Recommendation ITU</w:t>
      </w:r>
      <w:r>
        <w:rPr>
          <w:lang w:val="en-GB"/>
        </w:rPr>
        <w:noBreakHyphen/>
        <w:t>R P.618, along with a simple method for the frequency scaling of measured attenuation statistics. Attenuation due to cloud will not be serious for frequencies below 30 GHz, and is accounted for in the rain attenuation prediction method in any case. Fog and cloud attenuation may be estimated if the liquid-water content is known, using the method contained in Recommendation ITU</w:t>
      </w:r>
      <w:r>
        <w:rPr>
          <w:lang w:val="en-GB"/>
        </w:rPr>
        <w:noBreakHyphen/>
        <w:t>R P.840.</w:t>
      </w:r>
    </w:p>
    <w:p w:rsidR="008B48BE" w:rsidRDefault="008B48BE" w:rsidP="008B48BE">
      <w:pPr>
        <w:pStyle w:val="Heading3"/>
        <w:rPr>
          <w:lang w:val="en-GB"/>
        </w:rPr>
      </w:pPr>
      <w:r>
        <w:rPr>
          <w:lang w:val="en-GB"/>
        </w:rPr>
        <w:t>2.1.3</w:t>
      </w:r>
      <w:r>
        <w:rPr>
          <w:lang w:val="en-GB"/>
        </w:rPr>
        <w:tab/>
        <w:t>Rain attenuation for worst month</w:t>
      </w:r>
    </w:p>
    <w:p w:rsidR="008B48BE" w:rsidRDefault="008B48BE" w:rsidP="008B48BE">
      <w:pPr>
        <w:rPr>
          <w:lang w:val="en-GB"/>
        </w:rPr>
      </w:pPr>
      <w:r>
        <w:rPr>
          <w:lang w:val="en-GB"/>
        </w:rPr>
        <w:t>For satellite broadcast applications, the rain attenuation exceeded for 1% of the worst month is usually of greatest concern. The method for relating worst-month time percentages to annual time percentages for rain attenuation is provided in Recommendation ITU-R P.618. A full treatment of the worst month and its basis is found in Recommendation ITU-R P.581.</w:t>
      </w:r>
    </w:p>
    <w:p w:rsidR="008B48BE" w:rsidRDefault="008B48BE" w:rsidP="008B48BE">
      <w:pPr>
        <w:rPr>
          <w:lang w:val="en-GB"/>
        </w:rPr>
      </w:pPr>
      <w:r>
        <w:rPr>
          <w:lang w:val="en-GB"/>
        </w:rPr>
        <w:t>Available worst-month rain attenuation data are compiled in Table II-2 of the Radiocommunication Study Group 3 data banks (see Recommendation ITU-R P.311).</w:t>
      </w:r>
    </w:p>
    <w:p w:rsidR="008B48BE" w:rsidRDefault="008B48BE" w:rsidP="008B48BE">
      <w:pPr>
        <w:pStyle w:val="Heading3"/>
        <w:rPr>
          <w:lang w:val="en-GB"/>
        </w:rPr>
      </w:pPr>
      <w:r>
        <w:rPr>
          <w:lang w:val="en-GB"/>
        </w:rPr>
        <w:lastRenderedPageBreak/>
        <w:t>2.1.4</w:t>
      </w:r>
      <w:r>
        <w:rPr>
          <w:lang w:val="en-GB"/>
        </w:rPr>
        <w:tab/>
        <w:t>Diurnal variation of fading</w:t>
      </w:r>
    </w:p>
    <w:p w:rsidR="008B48BE" w:rsidRDefault="008B48BE" w:rsidP="008B48BE">
      <w:pPr>
        <w:rPr>
          <w:lang w:val="en-GB"/>
        </w:rPr>
      </w:pPr>
      <w:r>
        <w:rPr>
          <w:lang w:val="en-GB"/>
        </w:rPr>
        <w:t>The dependence of signal fading on the time of day is a significant consideration in the provision of broadcasting</w:t>
      </w:r>
      <w:r>
        <w:rPr>
          <w:lang w:val="en-GB"/>
        </w:rPr>
        <w:noBreakHyphen/>
        <w:t>satellite services. Fading data obtained in various regions of the world exhibit a common tendency for the larger fades to occur in the afternoon and early evening hours. In climates characterized by thunderstorms, an increased probability of occurrence of deep fading is associated with the time of maximum local thunderstorm activity. Tropical locations in particular can show a strong diurnal asymmetry.</w:t>
      </w:r>
    </w:p>
    <w:p w:rsidR="008B48BE" w:rsidRDefault="008B48BE" w:rsidP="008B48BE">
      <w:pPr>
        <w:rPr>
          <w:lang w:val="en-GB"/>
        </w:rPr>
      </w:pPr>
      <w:r>
        <w:rPr>
          <w:lang w:val="en-GB"/>
        </w:rPr>
        <w:t>Low-level fading, on the other hand, is more evenly distributed, both seasonally and diurnally.</w:t>
      </w:r>
    </w:p>
    <w:p w:rsidR="008B48BE" w:rsidRDefault="008B48BE" w:rsidP="008B48BE">
      <w:pPr>
        <w:pStyle w:val="Heading3"/>
        <w:rPr>
          <w:lang w:val="en-GB"/>
        </w:rPr>
      </w:pPr>
      <w:r>
        <w:rPr>
          <w:lang w:val="en-GB"/>
        </w:rPr>
        <w:t>2.1.5</w:t>
      </w:r>
      <w:r>
        <w:rPr>
          <w:lang w:val="en-GB"/>
        </w:rPr>
        <w:tab/>
        <w:t>Scintillation fading</w:t>
      </w:r>
    </w:p>
    <w:p w:rsidR="008B48BE" w:rsidRDefault="008B48BE" w:rsidP="008B48BE">
      <w:pPr>
        <w:rPr>
          <w:lang w:val="en-GB"/>
        </w:rPr>
      </w:pPr>
      <w:r>
        <w:rPr>
          <w:lang w:val="en-GB"/>
        </w:rPr>
        <w:t>Small-scale irregularities in the tropospheric refractive index can induce rapid fluctuations in signal amplitude. Signal scintillations are not generally significant contributors to system performance for frequencies below about 10 GHz and path elevation angles above 10°, but can be important at low elevation angles or higher frequencies, especially for small</w:t>
      </w:r>
      <w:r>
        <w:rPr>
          <w:lang w:val="en-GB"/>
        </w:rPr>
        <w:noBreakHyphen/>
        <w:t>margin links. The method recommended for the estimation of scintillation fading is obtained from Recommendation ITU-R P.618.</w:t>
      </w:r>
    </w:p>
    <w:p w:rsidR="008B48BE" w:rsidRDefault="008B48BE" w:rsidP="008B48BE">
      <w:pPr>
        <w:pStyle w:val="Heading2"/>
        <w:rPr>
          <w:lang w:val="en-GB"/>
        </w:rPr>
      </w:pPr>
      <w:r>
        <w:rPr>
          <w:lang w:val="en-GB"/>
        </w:rPr>
        <w:t>2.2</w:t>
      </w:r>
      <w:r>
        <w:rPr>
          <w:lang w:val="en-GB"/>
        </w:rPr>
        <w:tab/>
        <w:t>Depolarization</w:t>
      </w:r>
    </w:p>
    <w:p w:rsidR="008B48BE" w:rsidRDefault="008B48BE" w:rsidP="008B48BE">
      <w:pPr>
        <w:rPr>
          <w:lang w:val="en-GB"/>
        </w:rPr>
      </w:pPr>
      <w:r>
        <w:rPr>
          <w:lang w:val="en-GB"/>
        </w:rPr>
        <w:t>Hydrometeors, principally concentrations of rain drops and ice crystals, can cause statistically significant depolarization of signals at frequencies above about 2 GHz. The recommended procedure for the prediction of these effects is found in Recommendation ITU</w:t>
      </w:r>
      <w:r>
        <w:rPr>
          <w:lang w:val="en-GB"/>
        </w:rPr>
        <w:noBreakHyphen/>
        <w:t>R P.618.</w:t>
      </w:r>
    </w:p>
    <w:p w:rsidR="008B48BE" w:rsidRDefault="008B48BE" w:rsidP="008B48BE">
      <w:pPr>
        <w:pStyle w:val="Heading1"/>
        <w:rPr>
          <w:lang w:val="en-GB"/>
        </w:rPr>
      </w:pPr>
      <w:r>
        <w:rPr>
          <w:lang w:val="en-GB"/>
        </w:rPr>
        <w:t>3</w:t>
      </w:r>
      <w:r>
        <w:rPr>
          <w:lang w:val="en-GB"/>
        </w:rPr>
        <w:tab/>
        <w:t>Ionospheric effects</w:t>
      </w:r>
    </w:p>
    <w:p w:rsidR="008B48BE" w:rsidRDefault="008B48BE" w:rsidP="008B48BE">
      <w:pPr>
        <w:rPr>
          <w:lang w:val="en-GB"/>
        </w:rPr>
      </w:pPr>
      <w:r>
        <w:rPr>
          <w:lang w:val="en-GB"/>
        </w:rPr>
        <w:t>At frequencies below about 3 GHz, ionospheric effects are important on some paths and at some locations. For general engineering use, estimated maximum values of ionospheric effects (obtained from Recommendation ITU-R P.531) are summarized in Table 1 for various frequencies. The impairments of most concern are typically signal scintillation and (for linearly polarized waves only) Faraday rotation.</w:t>
      </w:r>
    </w:p>
    <w:p w:rsidR="008B48BE" w:rsidRDefault="008B48BE" w:rsidP="008B48BE">
      <w:pPr>
        <w:pStyle w:val="TableNo"/>
        <w:rPr>
          <w:lang w:val="en-GB"/>
        </w:rPr>
      </w:pPr>
      <w:r>
        <w:rPr>
          <w:lang w:val="en-GB"/>
        </w:rPr>
        <w:br w:type="page"/>
      </w:r>
      <w:r>
        <w:rPr>
          <w:lang w:val="en-GB"/>
        </w:rPr>
        <w:lastRenderedPageBreak/>
        <w:t>TABLE  1</w:t>
      </w:r>
    </w:p>
    <w:p w:rsidR="008B48BE" w:rsidRDefault="008B48BE" w:rsidP="008B48BE">
      <w:pPr>
        <w:pStyle w:val="Tabletitle"/>
        <w:rPr>
          <w:lang w:val="en-GB"/>
        </w:rPr>
      </w:pPr>
      <w:r>
        <w:rPr>
          <w:lang w:val="en-GB"/>
        </w:rPr>
        <w:t>Estimated* ionospheric effects for elevation angles of about 30° one-way traversal**</w:t>
      </w:r>
      <w:r>
        <w:rPr>
          <w:lang w:val="en-GB"/>
        </w:rPr>
        <w:br/>
      </w:r>
      <w:r>
        <w:rPr>
          <w:b w:val="0"/>
          <w:lang w:val="en-GB"/>
        </w:rPr>
        <w:t>(derived from Recommendation ITU-R</w:t>
      </w:r>
      <w:r>
        <w:rPr>
          <w:lang w:val="en-GB"/>
        </w:rPr>
        <w:t xml:space="preserve"> </w:t>
      </w:r>
      <w:r>
        <w:rPr>
          <w:b w:val="0"/>
          <w:lang w:val="en-GB"/>
        </w:rPr>
        <w:t>P.531)</w:t>
      </w:r>
    </w:p>
    <w:tbl>
      <w:tblPr>
        <w:tblW w:w="0" w:type="auto"/>
        <w:jc w:val="center"/>
        <w:tblLayout w:type="fixed"/>
        <w:tblLook w:val="0000" w:firstRow="0" w:lastRow="0" w:firstColumn="0" w:lastColumn="0" w:noHBand="0" w:noVBand="0"/>
      </w:tblPr>
      <w:tblGrid>
        <w:gridCol w:w="2268"/>
        <w:gridCol w:w="1418"/>
        <w:gridCol w:w="1418"/>
        <w:gridCol w:w="1418"/>
        <w:gridCol w:w="1644"/>
        <w:gridCol w:w="1559"/>
      </w:tblGrid>
      <w:tr w:rsidR="008B48BE" w:rsidTr="00E170FE">
        <w:trPr>
          <w:cantSplit/>
          <w:jc w:val="center"/>
        </w:trPr>
        <w:tc>
          <w:tcPr>
            <w:tcW w:w="226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head"/>
              <w:framePr w:hSpace="181" w:wrap="notBeside" w:vAnchor="text" w:hAnchor="text" w:xAlign="center" w:y="1"/>
              <w:spacing w:before="160" w:after="0"/>
            </w:pPr>
            <w:r>
              <w:t>Effect</w:t>
            </w: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head"/>
              <w:framePr w:hSpace="181" w:wrap="notBeside" w:vAnchor="text" w:hAnchor="text" w:xAlign="center" w:y="1"/>
              <w:rPr>
                <w:lang w:val="en-GB"/>
              </w:rPr>
            </w:pPr>
            <w:r>
              <w:rPr>
                <w:lang w:val="en-GB"/>
              </w:rPr>
              <w:t>Frequency</w:t>
            </w:r>
            <w:r>
              <w:rPr>
                <w:lang w:val="en-GB"/>
              </w:rPr>
              <w:br/>
              <w:t>dependence</w:t>
            </w: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head"/>
              <w:framePr w:hSpace="181" w:wrap="notBeside" w:vAnchor="text" w:hAnchor="text" w:xAlign="center" w:y="1"/>
              <w:spacing w:before="160" w:after="0"/>
              <w:rPr>
                <w:lang w:val="en-GB"/>
              </w:rPr>
            </w:pPr>
            <w:r>
              <w:rPr>
                <w:lang w:val="en-GB"/>
              </w:rPr>
              <w:t xml:space="preserve">0.5 </w:t>
            </w:r>
            <w:r>
              <w:t>GHz</w:t>
            </w: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head"/>
              <w:framePr w:hSpace="181" w:wrap="notBeside" w:vAnchor="text" w:hAnchor="text" w:xAlign="center" w:y="1"/>
              <w:spacing w:before="160" w:after="0"/>
            </w:pPr>
            <w:r>
              <w:t>1 GHz</w:t>
            </w:r>
          </w:p>
        </w:tc>
        <w:tc>
          <w:tcPr>
            <w:tcW w:w="1644"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head"/>
              <w:framePr w:hSpace="181" w:wrap="notBeside" w:vAnchor="text" w:hAnchor="text" w:xAlign="center" w:y="1"/>
              <w:spacing w:before="160" w:after="0"/>
            </w:pPr>
            <w:r>
              <w:t>3 GHz</w:t>
            </w:r>
          </w:p>
        </w:tc>
        <w:tc>
          <w:tcPr>
            <w:tcW w:w="1559"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head"/>
              <w:framePr w:hSpace="181" w:wrap="notBeside" w:vAnchor="text" w:hAnchor="text" w:xAlign="center" w:y="1"/>
              <w:spacing w:before="160" w:after="0"/>
            </w:pPr>
            <w:r>
              <w:t>10 GHz</w:t>
            </w:r>
          </w:p>
        </w:tc>
      </w:tr>
      <w:tr w:rsidR="008B48BE" w:rsidTr="00E170FE">
        <w:trPr>
          <w:cantSplit/>
          <w:jc w:val="center"/>
        </w:trPr>
        <w:tc>
          <w:tcPr>
            <w:tcW w:w="226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left"/>
              <w:rPr>
                <w:lang w:val="en-GB"/>
              </w:rPr>
            </w:pPr>
            <w:r>
              <w:rPr>
                <w:lang w:val="en-GB"/>
              </w:rPr>
              <w:t>Faraday rotation</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tabs>
                <w:tab w:val="clear" w:pos="284"/>
                <w:tab w:val="clear" w:pos="567"/>
                <w:tab w:val="clear" w:pos="851"/>
                <w:tab w:val="right" w:pos="794"/>
              </w:tabs>
              <w:spacing w:before="80" w:after="80"/>
              <w:jc w:val="left"/>
              <w:rPr>
                <w:lang w:val="en-GB"/>
              </w:rPr>
            </w:pPr>
            <w:r>
              <w:rPr>
                <w:lang w:val="en-GB"/>
              </w:rPr>
              <w:tab/>
              <w:t>1/</w:t>
            </w:r>
            <w:r>
              <w:rPr>
                <w:i/>
                <w:iCs/>
                <w:lang w:val="en-GB"/>
              </w:rPr>
              <w:t>f</w:t>
            </w:r>
            <w:r>
              <w:rPr>
                <w:rFonts w:ascii="Tms Rmn" w:hAnsi="Tms Rmn"/>
                <w:i/>
                <w:iCs/>
                <w:sz w:val="12"/>
                <w:lang w:val="en-GB"/>
              </w:rPr>
              <w:t> </w:t>
            </w:r>
            <w:r>
              <w:rPr>
                <w:position w:val="6"/>
                <w:sz w:val="18"/>
                <w:lang w:val="en-GB"/>
              </w:rPr>
              <w:t>2</w:t>
            </w: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t>1.2 rotation</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spacing w:before="80" w:after="80"/>
              <w:jc w:val="center"/>
            </w:pPr>
            <w:r>
              <w:t>108°</w:t>
            </w:r>
          </w:p>
        </w:tc>
        <w:tc>
          <w:tcPr>
            <w:tcW w:w="1644"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t>12</w:t>
            </w:r>
            <w:r>
              <w:rPr>
                <w:rFonts w:ascii="Symbol" w:hAnsi="Symbol"/>
              </w:rPr>
              <w:t></w:t>
            </w:r>
          </w:p>
        </w:tc>
        <w:tc>
          <w:tcPr>
            <w:tcW w:w="1559" w:type="dxa"/>
            <w:tcBorders>
              <w:top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t>1.1°</w:t>
            </w:r>
          </w:p>
        </w:tc>
      </w:tr>
      <w:tr w:rsidR="008B48BE" w:rsidTr="00E170FE">
        <w:trPr>
          <w:cantSplit/>
          <w:jc w:val="center"/>
        </w:trPr>
        <w:tc>
          <w:tcPr>
            <w:tcW w:w="226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left"/>
            </w:pPr>
            <w:r>
              <w:rPr>
                <w:lang w:val="fr-CH"/>
              </w:rPr>
              <w:t>Propagation delay</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tabs>
                <w:tab w:val="clear" w:pos="284"/>
                <w:tab w:val="clear" w:pos="567"/>
                <w:tab w:val="clear" w:pos="851"/>
                <w:tab w:val="right" w:pos="794"/>
              </w:tabs>
              <w:spacing w:before="80" w:after="80"/>
              <w:jc w:val="left"/>
            </w:pPr>
            <w:r>
              <w:tab/>
              <w:t>1/</w:t>
            </w:r>
            <w:r>
              <w:rPr>
                <w:i/>
                <w:iCs/>
              </w:rPr>
              <w:t>f</w:t>
            </w:r>
            <w:r>
              <w:rPr>
                <w:rFonts w:ascii="Tms Rmn" w:hAnsi="Tms Rmn"/>
                <w:i/>
                <w:iCs/>
                <w:sz w:val="12"/>
              </w:rPr>
              <w:t> </w:t>
            </w:r>
            <w:r>
              <w:rPr>
                <w:position w:val="6"/>
                <w:sz w:val="18"/>
              </w:rPr>
              <w:t>2</w:t>
            </w: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t xml:space="preserve">1 </w:t>
            </w:r>
            <w:r>
              <w:rPr>
                <w:rFonts w:ascii="Symbol" w:hAnsi="Symbol"/>
              </w:rPr>
              <w:t></w:t>
            </w:r>
            <w:r>
              <w:t>s</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spacing w:before="80" w:after="80"/>
              <w:jc w:val="center"/>
            </w:pPr>
            <w:r>
              <w:t xml:space="preserve">0.25 </w:t>
            </w:r>
            <w:r>
              <w:rPr>
                <w:rFonts w:ascii="Symbol" w:hAnsi="Symbol"/>
              </w:rPr>
              <w:t></w:t>
            </w:r>
            <w:r>
              <w:t>s</w:t>
            </w:r>
          </w:p>
        </w:tc>
        <w:tc>
          <w:tcPr>
            <w:tcW w:w="1644"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t xml:space="preserve">0.028 </w:t>
            </w:r>
            <w:r>
              <w:rPr>
                <w:rFonts w:ascii="Symbol" w:hAnsi="Symbol"/>
              </w:rPr>
              <w:t></w:t>
            </w:r>
            <w:r>
              <w:t>s</w:t>
            </w:r>
          </w:p>
        </w:tc>
        <w:tc>
          <w:tcPr>
            <w:tcW w:w="1559" w:type="dxa"/>
            <w:tcBorders>
              <w:top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t xml:space="preserve">0.0025 </w:t>
            </w:r>
            <w:r>
              <w:rPr>
                <w:rFonts w:ascii="Symbol" w:hAnsi="Symbol"/>
              </w:rPr>
              <w:t></w:t>
            </w:r>
            <w:r>
              <w:t>s</w:t>
            </w:r>
          </w:p>
        </w:tc>
      </w:tr>
      <w:tr w:rsidR="008B48BE" w:rsidTr="00E170FE">
        <w:trPr>
          <w:cantSplit/>
          <w:jc w:val="center"/>
        </w:trPr>
        <w:tc>
          <w:tcPr>
            <w:tcW w:w="226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left"/>
            </w:pPr>
            <w:r>
              <w:rPr>
                <w:lang w:val="en-GB"/>
              </w:rPr>
              <w:t>Refraction</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tabs>
                <w:tab w:val="clear" w:pos="284"/>
                <w:tab w:val="clear" w:pos="567"/>
                <w:tab w:val="clear" w:pos="851"/>
                <w:tab w:val="right" w:pos="794"/>
              </w:tabs>
              <w:spacing w:before="80" w:after="80"/>
              <w:jc w:val="left"/>
            </w:pPr>
            <w:r>
              <w:tab/>
              <w:t>1/</w:t>
            </w:r>
            <w:r>
              <w:rPr>
                <w:i/>
                <w:iCs/>
              </w:rPr>
              <w:t>f</w:t>
            </w:r>
            <w:r>
              <w:rPr>
                <w:rFonts w:ascii="Tms Rmn" w:hAnsi="Tms Rmn"/>
                <w:i/>
                <w:iCs/>
                <w:sz w:val="12"/>
              </w:rPr>
              <w:t> </w:t>
            </w:r>
            <w:r>
              <w:rPr>
                <w:position w:val="6"/>
                <w:sz w:val="18"/>
              </w:rPr>
              <w:t>2</w:t>
            </w: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sym w:font="Symbol" w:char="F03C"/>
            </w:r>
            <w:r>
              <w:t xml:space="preserve"> 2.4</w:t>
            </w:r>
            <w:r>
              <w:rPr>
                <w:rFonts w:ascii="Symbol" w:hAnsi="Symbol"/>
              </w:rPr>
              <w:t></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spacing w:before="80" w:after="80"/>
              <w:jc w:val="center"/>
            </w:pPr>
            <w:r>
              <w:sym w:font="Symbol" w:char="F03C"/>
            </w:r>
            <w:r>
              <w:t xml:space="preserve"> 0.6</w:t>
            </w:r>
            <w:r>
              <w:rPr>
                <w:rFonts w:ascii="Symbol" w:hAnsi="Symbol"/>
              </w:rPr>
              <w:t></w:t>
            </w:r>
          </w:p>
        </w:tc>
        <w:tc>
          <w:tcPr>
            <w:tcW w:w="1644"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sym w:font="Symbol" w:char="F03C"/>
            </w:r>
            <w:r>
              <w:t xml:space="preserve"> 4.2</w:t>
            </w:r>
            <w:r>
              <w:rPr>
                <w:rFonts w:ascii="Symbol" w:hAnsi="Symbol"/>
              </w:rPr>
              <w:t></w:t>
            </w:r>
          </w:p>
        </w:tc>
        <w:tc>
          <w:tcPr>
            <w:tcW w:w="1559" w:type="dxa"/>
            <w:tcBorders>
              <w:top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sym w:font="Symbol" w:char="F03C"/>
            </w:r>
            <w:r>
              <w:t xml:space="preserve"> 0.36</w:t>
            </w:r>
            <w:r>
              <w:rPr>
                <w:rFonts w:ascii="Symbol" w:hAnsi="Symbol"/>
              </w:rPr>
              <w:t></w:t>
            </w:r>
          </w:p>
        </w:tc>
      </w:tr>
      <w:tr w:rsidR="008B48BE" w:rsidTr="00E170FE">
        <w:trPr>
          <w:cantSplit/>
          <w:jc w:val="center"/>
        </w:trPr>
        <w:tc>
          <w:tcPr>
            <w:tcW w:w="2268" w:type="dxa"/>
            <w:tcBorders>
              <w:top w:val="single" w:sz="6" w:space="0" w:color="auto"/>
              <w:left w:val="single" w:sz="6" w:space="0" w:color="auto"/>
              <w:bottom w:val="single" w:sz="6" w:space="0" w:color="auto"/>
              <w:right w:val="single" w:sz="6" w:space="0" w:color="auto"/>
            </w:tcBorders>
          </w:tcPr>
          <w:p w:rsidR="008B48BE" w:rsidRPr="008B48BE" w:rsidRDefault="008B48BE" w:rsidP="00E170FE">
            <w:pPr>
              <w:pStyle w:val="Tabletext"/>
              <w:framePr w:hSpace="181" w:wrap="notBeside" w:vAnchor="text" w:hAnchor="text" w:xAlign="center" w:y="1"/>
              <w:spacing w:before="80" w:after="80"/>
              <w:ind w:right="-85"/>
              <w:jc w:val="left"/>
              <w:rPr>
                <w:lang w:val="en-US"/>
              </w:rPr>
            </w:pPr>
            <w:r>
              <w:rPr>
                <w:lang w:val="en-GB"/>
              </w:rPr>
              <w:t>Variation in the direction of arrival (r.m.s. value)</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tabs>
                <w:tab w:val="clear" w:pos="284"/>
                <w:tab w:val="clear" w:pos="567"/>
                <w:tab w:val="clear" w:pos="851"/>
                <w:tab w:val="right" w:pos="794"/>
              </w:tabs>
              <w:spacing w:before="80" w:after="80"/>
              <w:jc w:val="left"/>
            </w:pPr>
            <w:r w:rsidRPr="008B48BE">
              <w:rPr>
                <w:rFonts w:ascii="Symbol" w:hAnsi="Symbol"/>
                <w:color w:val="FFFFFF"/>
                <w:lang w:val="en-US"/>
              </w:rPr>
              <w:br/>
            </w:r>
            <w:r w:rsidRPr="008B48BE">
              <w:rPr>
                <w:rFonts w:ascii="Symbol" w:hAnsi="Symbol"/>
                <w:color w:val="FFFFFF"/>
                <w:lang w:val="en-US"/>
              </w:rPr>
              <w:tab/>
            </w:r>
            <w:r>
              <w:t>1/</w:t>
            </w:r>
            <w:r>
              <w:rPr>
                <w:i/>
                <w:iCs/>
              </w:rPr>
              <w:t>f</w:t>
            </w:r>
            <w:r>
              <w:rPr>
                <w:rFonts w:ascii="Tms Rmn" w:hAnsi="Tms Rmn"/>
                <w:i/>
                <w:iCs/>
                <w:sz w:val="12"/>
              </w:rPr>
              <w:t> </w:t>
            </w:r>
            <w:r>
              <w:rPr>
                <w:position w:val="6"/>
                <w:sz w:val="18"/>
              </w:rPr>
              <w:t>2</w:t>
            </w: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br/>
              <w:t>48</w:t>
            </w:r>
            <w:r>
              <w:rPr>
                <w:rFonts w:ascii="Symbol" w:hAnsi="Symbol"/>
              </w:rPr>
              <w:t></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spacing w:before="80" w:after="80"/>
              <w:jc w:val="center"/>
            </w:pPr>
            <w:r>
              <w:br/>
              <w:t>12</w:t>
            </w:r>
            <w:r>
              <w:rPr>
                <w:rFonts w:ascii="Symbol" w:hAnsi="Symbol"/>
              </w:rPr>
              <w:t></w:t>
            </w:r>
          </w:p>
        </w:tc>
        <w:tc>
          <w:tcPr>
            <w:tcW w:w="1644"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rPr>
                <w:lang w:val="en-GB"/>
              </w:rPr>
            </w:pPr>
            <w:r>
              <w:rPr>
                <w:lang w:val="en-GB"/>
              </w:rPr>
              <w:br/>
              <w:t>1.32</w:t>
            </w:r>
            <w:r>
              <w:rPr>
                <w:rFonts w:ascii="Symbol" w:hAnsi="Symbol"/>
              </w:rPr>
              <w:t></w:t>
            </w:r>
          </w:p>
        </w:tc>
        <w:tc>
          <w:tcPr>
            <w:tcW w:w="1559" w:type="dxa"/>
            <w:tcBorders>
              <w:top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rPr>
                <w:lang w:val="en-GB"/>
              </w:rPr>
            </w:pPr>
            <w:r>
              <w:rPr>
                <w:lang w:val="en-GB"/>
              </w:rPr>
              <w:br/>
              <w:t>0.12</w:t>
            </w:r>
            <w:r>
              <w:rPr>
                <w:rFonts w:ascii="Symbol" w:hAnsi="Symbol"/>
              </w:rPr>
              <w:t></w:t>
            </w:r>
          </w:p>
        </w:tc>
      </w:tr>
      <w:tr w:rsidR="008B48BE" w:rsidTr="00E170FE">
        <w:trPr>
          <w:cantSplit/>
          <w:jc w:val="center"/>
        </w:trPr>
        <w:tc>
          <w:tcPr>
            <w:tcW w:w="226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left"/>
              <w:rPr>
                <w:lang w:val="en-GB"/>
              </w:rPr>
            </w:pPr>
            <w:r>
              <w:rPr>
                <w:lang w:val="en-GB"/>
              </w:rPr>
              <w:t>Absorption (auroral and/or polar cap)</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tabs>
                <w:tab w:val="clear" w:pos="284"/>
                <w:tab w:val="clear" w:pos="567"/>
                <w:tab w:val="clear" w:pos="851"/>
                <w:tab w:val="right" w:pos="794"/>
              </w:tabs>
              <w:spacing w:before="160" w:after="0"/>
              <w:jc w:val="left"/>
              <w:rPr>
                <w:lang w:val="en-GB"/>
              </w:rPr>
            </w:pPr>
            <w:r>
              <w:rPr>
                <w:rFonts w:ascii="Symbol" w:hAnsi="Symbol"/>
                <w:lang w:val="en-GB"/>
              </w:rPr>
              <w:tab/>
            </w:r>
            <w:r>
              <w:rPr>
                <w:rFonts w:ascii="Symbol" w:hAnsi="Symbol"/>
              </w:rPr>
              <w:t></w:t>
            </w:r>
            <w:r>
              <w:rPr>
                <w:lang w:val="en-GB"/>
              </w:rPr>
              <w:t>1/</w:t>
            </w:r>
            <w:r>
              <w:rPr>
                <w:i/>
                <w:iCs/>
                <w:lang w:val="en-GB"/>
              </w:rPr>
              <w:t>f</w:t>
            </w:r>
            <w:r>
              <w:rPr>
                <w:rFonts w:ascii="Tms Rmn" w:hAnsi="Tms Rmn"/>
                <w:i/>
                <w:iCs/>
                <w:sz w:val="12"/>
                <w:lang w:val="en-GB"/>
              </w:rPr>
              <w:t> </w:t>
            </w:r>
            <w:r>
              <w:rPr>
                <w:position w:val="6"/>
                <w:sz w:val="18"/>
                <w:lang w:val="en-GB"/>
              </w:rPr>
              <w:t>2</w:t>
            </w: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160" w:after="0"/>
              <w:jc w:val="center"/>
              <w:rPr>
                <w:lang w:val="en-GB"/>
              </w:rPr>
            </w:pPr>
            <w:r>
              <w:rPr>
                <w:lang w:val="en-GB"/>
              </w:rPr>
              <w:t>0.2 dB</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spacing w:before="160" w:after="0"/>
              <w:jc w:val="center"/>
              <w:rPr>
                <w:lang w:val="en-GB"/>
              </w:rPr>
            </w:pPr>
            <w:r>
              <w:rPr>
                <w:lang w:val="en-GB"/>
              </w:rPr>
              <w:t>0.05 dB</w:t>
            </w:r>
          </w:p>
        </w:tc>
        <w:tc>
          <w:tcPr>
            <w:tcW w:w="1644"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160" w:after="0"/>
              <w:jc w:val="center"/>
              <w:rPr>
                <w:lang w:val="en-GB"/>
              </w:rPr>
            </w:pPr>
            <w:r>
              <w:rPr>
                <w:lang w:val="en-GB"/>
              </w:rPr>
              <w:t xml:space="preserve">6 </w:t>
            </w:r>
            <w:r>
              <w:rPr>
                <w:rFonts w:ascii="Tms Rmn" w:hAnsi="Tms Rmn"/>
                <w:sz w:val="12"/>
                <w:lang w:val="en-GB"/>
              </w:rPr>
              <w:t> </w:t>
            </w:r>
            <w:r>
              <w:rPr>
                <w:rFonts w:ascii="Symbol" w:hAnsi="Symbol"/>
              </w:rPr>
              <w:t></w:t>
            </w:r>
            <w:r>
              <w:rPr>
                <w:lang w:val="en-GB"/>
              </w:rPr>
              <w:t xml:space="preserve"> </w:t>
            </w:r>
            <w:r>
              <w:rPr>
                <w:rFonts w:ascii="Tms Rmn" w:hAnsi="Tms Rmn"/>
                <w:sz w:val="12"/>
                <w:lang w:val="en-GB"/>
              </w:rPr>
              <w:t> </w:t>
            </w:r>
            <w:r>
              <w:rPr>
                <w:lang w:val="en-GB"/>
              </w:rPr>
              <w:t>10</w:t>
            </w:r>
            <w:r>
              <w:rPr>
                <w:position w:val="6"/>
                <w:sz w:val="18"/>
                <w:lang w:val="en-GB"/>
              </w:rPr>
              <w:t>–3</w:t>
            </w:r>
            <w:r>
              <w:rPr>
                <w:lang w:val="en-GB"/>
              </w:rPr>
              <w:t xml:space="preserve"> dB</w:t>
            </w:r>
          </w:p>
        </w:tc>
        <w:tc>
          <w:tcPr>
            <w:tcW w:w="1559" w:type="dxa"/>
            <w:tcBorders>
              <w:top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160" w:after="0"/>
              <w:jc w:val="center"/>
            </w:pPr>
            <w:r>
              <w:t xml:space="preserve">5 </w:t>
            </w:r>
            <w:r>
              <w:rPr>
                <w:rFonts w:ascii="Tms Rmn" w:hAnsi="Tms Rmn"/>
                <w:sz w:val="12"/>
              </w:rPr>
              <w:t> </w:t>
            </w:r>
            <w:r>
              <w:rPr>
                <w:rFonts w:ascii="Symbol" w:hAnsi="Symbol"/>
              </w:rPr>
              <w:t></w:t>
            </w:r>
            <w:r>
              <w:t xml:space="preserve"> </w:t>
            </w:r>
            <w:r>
              <w:rPr>
                <w:rFonts w:ascii="Tms Rmn" w:hAnsi="Tms Rmn"/>
                <w:sz w:val="12"/>
              </w:rPr>
              <w:t> </w:t>
            </w:r>
            <w:r>
              <w:t>10</w:t>
            </w:r>
            <w:r>
              <w:rPr>
                <w:position w:val="6"/>
                <w:sz w:val="18"/>
              </w:rPr>
              <w:t>–4</w:t>
            </w:r>
            <w:r>
              <w:t xml:space="preserve"> dB</w:t>
            </w:r>
          </w:p>
        </w:tc>
      </w:tr>
      <w:tr w:rsidR="008B48BE" w:rsidTr="00E170FE">
        <w:trPr>
          <w:cantSplit/>
          <w:jc w:val="center"/>
        </w:trPr>
        <w:tc>
          <w:tcPr>
            <w:tcW w:w="226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left"/>
            </w:pPr>
            <w:r>
              <w:rPr>
                <w:lang w:val="en-GB"/>
              </w:rPr>
              <w:t>Absorption (mid-latitude)</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tabs>
                <w:tab w:val="clear" w:pos="284"/>
                <w:tab w:val="clear" w:pos="567"/>
                <w:tab w:val="clear" w:pos="851"/>
                <w:tab w:val="right" w:pos="794"/>
              </w:tabs>
              <w:spacing w:before="160" w:after="0"/>
              <w:jc w:val="left"/>
            </w:pPr>
            <w:r>
              <w:rPr>
                <w:rFonts w:ascii="Symbol" w:hAnsi="Symbol"/>
                <w:color w:val="FFFFFF"/>
              </w:rPr>
              <w:tab/>
            </w:r>
            <w:r>
              <w:t>1/</w:t>
            </w:r>
            <w:r>
              <w:rPr>
                <w:i/>
                <w:iCs/>
              </w:rPr>
              <w:t>f</w:t>
            </w:r>
            <w:r>
              <w:rPr>
                <w:rFonts w:ascii="Tms Rmn" w:hAnsi="Tms Rmn"/>
                <w:i/>
                <w:iCs/>
                <w:sz w:val="12"/>
              </w:rPr>
              <w:t> </w:t>
            </w:r>
            <w:r>
              <w:rPr>
                <w:position w:val="6"/>
                <w:sz w:val="18"/>
              </w:rPr>
              <w:t>2</w:t>
            </w: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160" w:after="0"/>
              <w:jc w:val="center"/>
            </w:pPr>
            <w:r>
              <w:rPr>
                <w:rFonts w:ascii="Symbol" w:hAnsi="Symbol"/>
              </w:rPr>
              <w:t></w:t>
            </w:r>
            <w:r>
              <w:t xml:space="preserve"> 0.04 dB</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spacing w:before="160" w:after="0"/>
              <w:jc w:val="center"/>
            </w:pPr>
            <w:r>
              <w:rPr>
                <w:rFonts w:ascii="Symbol" w:hAnsi="Symbol"/>
              </w:rPr>
              <w:t></w:t>
            </w:r>
            <w:r>
              <w:t xml:space="preserve"> 0.01 dB</w:t>
            </w:r>
          </w:p>
        </w:tc>
        <w:tc>
          <w:tcPr>
            <w:tcW w:w="1644"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160" w:after="0"/>
              <w:jc w:val="center"/>
            </w:pPr>
            <w:r>
              <w:rPr>
                <w:rFonts w:ascii="Symbol" w:hAnsi="Symbol"/>
              </w:rPr>
              <w:t></w:t>
            </w:r>
            <w:r>
              <w:t xml:space="preserve"> 0.001 dB</w:t>
            </w:r>
          </w:p>
        </w:tc>
        <w:tc>
          <w:tcPr>
            <w:tcW w:w="1559" w:type="dxa"/>
            <w:tcBorders>
              <w:top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160" w:after="0"/>
              <w:jc w:val="center"/>
            </w:pPr>
            <w:r>
              <w:rPr>
                <w:rFonts w:ascii="Symbol" w:hAnsi="Symbol"/>
              </w:rPr>
              <w:t></w:t>
            </w:r>
            <w:r>
              <w:t xml:space="preserve"> 1 </w:t>
            </w:r>
            <w:r>
              <w:rPr>
                <w:rFonts w:ascii="Symbol" w:hAnsi="Symbol"/>
              </w:rPr>
              <w:t></w:t>
            </w:r>
            <w:r>
              <w:t xml:space="preserve"> 10</w:t>
            </w:r>
            <w:r>
              <w:rPr>
                <w:position w:val="6"/>
                <w:sz w:val="18"/>
              </w:rPr>
              <w:t>–4</w:t>
            </w:r>
            <w:r>
              <w:t xml:space="preserve"> dB</w:t>
            </w:r>
          </w:p>
        </w:tc>
      </w:tr>
      <w:tr w:rsidR="008B48BE" w:rsidTr="00E170FE">
        <w:trPr>
          <w:cantSplit/>
          <w:jc w:val="center"/>
        </w:trPr>
        <w:tc>
          <w:tcPr>
            <w:tcW w:w="226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left"/>
            </w:pPr>
            <w:r>
              <w:t>Dispersion</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tabs>
                <w:tab w:val="clear" w:pos="284"/>
                <w:tab w:val="clear" w:pos="567"/>
                <w:tab w:val="clear" w:pos="851"/>
                <w:tab w:val="right" w:pos="794"/>
              </w:tabs>
              <w:spacing w:before="80" w:after="80"/>
              <w:jc w:val="left"/>
            </w:pPr>
            <w:r>
              <w:tab/>
              <w:t>1/</w:t>
            </w:r>
            <w:r>
              <w:rPr>
                <w:i/>
                <w:iCs/>
              </w:rPr>
              <w:t>f</w:t>
            </w:r>
            <w:r>
              <w:rPr>
                <w:rFonts w:ascii="Tms Rmn" w:hAnsi="Tms Rmn"/>
                <w:i/>
                <w:iCs/>
                <w:sz w:val="12"/>
              </w:rPr>
              <w:t> </w:t>
            </w:r>
            <w:r>
              <w:rPr>
                <w:position w:val="6"/>
                <w:sz w:val="18"/>
              </w:rPr>
              <w:t>3</w:t>
            </w: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r>
              <w:t>0.0032 ps/Hz</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spacing w:before="80" w:after="80"/>
              <w:jc w:val="center"/>
            </w:pPr>
            <w:r>
              <w:t>0.0004 ps/Hz</w:t>
            </w:r>
          </w:p>
        </w:tc>
        <w:tc>
          <w:tcPr>
            <w:tcW w:w="1644"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ind w:left="-57" w:right="-57"/>
              <w:jc w:val="center"/>
            </w:pPr>
            <w:r>
              <w:t xml:space="preserve">1.5 </w:t>
            </w:r>
            <w:r>
              <w:rPr>
                <w:rFonts w:ascii="Tms Rmn" w:hAnsi="Tms Rmn"/>
                <w:sz w:val="12"/>
              </w:rPr>
              <w:t> </w:t>
            </w:r>
            <w:r>
              <w:rPr>
                <w:rFonts w:ascii="Symbol" w:hAnsi="Symbol"/>
              </w:rPr>
              <w:t></w:t>
            </w:r>
            <w:r>
              <w:t xml:space="preserve"> </w:t>
            </w:r>
            <w:r>
              <w:rPr>
                <w:rFonts w:ascii="Tms Rmn" w:hAnsi="Tms Rmn"/>
                <w:sz w:val="12"/>
              </w:rPr>
              <w:t> </w:t>
            </w:r>
            <w:r>
              <w:t>10</w:t>
            </w:r>
            <w:r>
              <w:rPr>
                <w:position w:val="6"/>
                <w:sz w:val="18"/>
              </w:rPr>
              <w:t>–5</w:t>
            </w:r>
            <w:r>
              <w:t xml:space="preserve"> ps/Hz</w:t>
            </w:r>
          </w:p>
        </w:tc>
        <w:tc>
          <w:tcPr>
            <w:tcW w:w="1559" w:type="dxa"/>
            <w:tcBorders>
              <w:top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ind w:left="-57" w:right="-57"/>
              <w:jc w:val="center"/>
            </w:pPr>
            <w:r>
              <w:t xml:space="preserve">4 </w:t>
            </w:r>
            <w:r>
              <w:rPr>
                <w:rFonts w:ascii="Tms Rmn" w:hAnsi="Tms Rmn"/>
                <w:sz w:val="12"/>
              </w:rPr>
              <w:t> </w:t>
            </w:r>
            <w:r>
              <w:rPr>
                <w:rFonts w:ascii="Symbol" w:hAnsi="Symbol"/>
              </w:rPr>
              <w:t></w:t>
            </w:r>
            <w:r>
              <w:t xml:space="preserve"> </w:t>
            </w:r>
            <w:r>
              <w:rPr>
                <w:rFonts w:ascii="Tms Rmn" w:hAnsi="Tms Rmn"/>
                <w:sz w:val="12"/>
              </w:rPr>
              <w:t> </w:t>
            </w:r>
            <w:r>
              <w:t>10</w:t>
            </w:r>
            <w:r>
              <w:rPr>
                <w:position w:val="6"/>
                <w:sz w:val="18"/>
              </w:rPr>
              <w:t>–7</w:t>
            </w:r>
            <w:r>
              <w:t xml:space="preserve"> ps/Hz</w:t>
            </w:r>
          </w:p>
        </w:tc>
      </w:tr>
      <w:tr w:rsidR="008B48BE" w:rsidTr="00E170FE">
        <w:trPr>
          <w:cantSplit/>
          <w:jc w:val="center"/>
        </w:trPr>
        <w:tc>
          <w:tcPr>
            <w:tcW w:w="226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left"/>
            </w:pPr>
            <w:r>
              <w:t xml:space="preserve">Scintillation </w:t>
            </w:r>
            <w:r>
              <w:rPr>
                <w:position w:val="6"/>
                <w:sz w:val="18"/>
              </w:rPr>
              <w:t>(1)</w:t>
            </w: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tabs>
                <w:tab w:val="clear" w:pos="284"/>
                <w:tab w:val="clear" w:pos="567"/>
                <w:tab w:val="clear" w:pos="851"/>
                <w:tab w:val="right" w:pos="794"/>
              </w:tabs>
              <w:spacing w:before="80" w:after="80"/>
              <w:jc w:val="left"/>
            </w:pPr>
          </w:p>
        </w:tc>
        <w:tc>
          <w:tcPr>
            <w:tcW w:w="1418"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pPr>
          </w:p>
        </w:tc>
        <w:tc>
          <w:tcPr>
            <w:tcW w:w="1418" w:type="dxa"/>
            <w:tcBorders>
              <w:top w:val="single" w:sz="6" w:space="0" w:color="auto"/>
              <w:bottom w:val="single" w:sz="6" w:space="0" w:color="auto"/>
            </w:tcBorders>
          </w:tcPr>
          <w:p w:rsidR="008B48BE" w:rsidRDefault="008B48BE" w:rsidP="00E170FE">
            <w:pPr>
              <w:pStyle w:val="Tabletext"/>
              <w:framePr w:hSpace="181" w:wrap="notBeside" w:vAnchor="text" w:hAnchor="text" w:xAlign="center" w:y="1"/>
              <w:spacing w:before="80" w:after="80"/>
              <w:jc w:val="center"/>
              <w:rPr>
                <w:lang w:val="en-GB"/>
              </w:rPr>
            </w:pPr>
            <w:r>
              <w:sym w:font="Symbol" w:char="F03E"/>
            </w:r>
            <w:r>
              <w:rPr>
                <w:lang w:val="en-GB"/>
              </w:rPr>
              <w:t xml:space="preserve"> 20 dB</w:t>
            </w:r>
            <w:r>
              <w:rPr>
                <w:lang w:val="en-GB"/>
              </w:rPr>
              <w:br/>
              <w:t>peak-to-peak</w:t>
            </w:r>
          </w:p>
        </w:tc>
        <w:tc>
          <w:tcPr>
            <w:tcW w:w="1644" w:type="dxa"/>
            <w:tcBorders>
              <w:top w:val="single" w:sz="6" w:space="0" w:color="auto"/>
              <w:left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rPr>
                <w:lang w:val="en-GB"/>
              </w:rPr>
            </w:pPr>
            <w:r>
              <w:sym w:font="Symbol" w:char="F0BB"/>
            </w:r>
            <w:r>
              <w:rPr>
                <w:lang w:val="en-GB"/>
              </w:rPr>
              <w:t xml:space="preserve"> 10 dB</w:t>
            </w:r>
            <w:r>
              <w:rPr>
                <w:lang w:val="en-GB"/>
              </w:rPr>
              <w:br/>
              <w:t>peak-to-peak</w:t>
            </w:r>
          </w:p>
        </w:tc>
        <w:tc>
          <w:tcPr>
            <w:tcW w:w="1559" w:type="dxa"/>
            <w:tcBorders>
              <w:top w:val="single" w:sz="6" w:space="0" w:color="auto"/>
              <w:bottom w:val="single" w:sz="6" w:space="0" w:color="auto"/>
              <w:right w:val="single" w:sz="6" w:space="0" w:color="auto"/>
            </w:tcBorders>
          </w:tcPr>
          <w:p w:rsidR="008B48BE" w:rsidRDefault="008B48BE" w:rsidP="00E170FE">
            <w:pPr>
              <w:pStyle w:val="Tabletext"/>
              <w:framePr w:hSpace="181" w:wrap="notBeside" w:vAnchor="text" w:hAnchor="text" w:xAlign="center" w:y="1"/>
              <w:spacing w:before="80" w:after="80"/>
              <w:jc w:val="center"/>
              <w:rPr>
                <w:lang w:val="en-GB"/>
              </w:rPr>
            </w:pPr>
            <w:r>
              <w:sym w:font="Symbol" w:char="F0BB"/>
            </w:r>
            <w:r>
              <w:rPr>
                <w:lang w:val="en-GB"/>
              </w:rPr>
              <w:t xml:space="preserve"> 4 dB</w:t>
            </w:r>
            <w:r>
              <w:rPr>
                <w:lang w:val="en-GB"/>
              </w:rPr>
              <w:br/>
              <w:t>peak-to-peak</w:t>
            </w:r>
          </w:p>
        </w:tc>
      </w:tr>
      <w:tr w:rsidR="008B48BE" w:rsidRPr="0040140B" w:rsidTr="00E170FE">
        <w:trPr>
          <w:cantSplit/>
          <w:jc w:val="center"/>
        </w:trPr>
        <w:tc>
          <w:tcPr>
            <w:tcW w:w="9725" w:type="dxa"/>
            <w:gridSpan w:val="6"/>
            <w:tcBorders>
              <w:top w:val="single" w:sz="6" w:space="0" w:color="auto"/>
            </w:tcBorders>
          </w:tcPr>
          <w:p w:rsidR="008B48BE" w:rsidRDefault="008B48BE" w:rsidP="00E170FE">
            <w:pPr>
              <w:pStyle w:val="Tabletext"/>
              <w:framePr w:hSpace="181" w:wrap="notBeside" w:vAnchor="text" w:hAnchor="text" w:xAlign="center" w:y="1"/>
              <w:ind w:left="284" w:hanging="284"/>
              <w:rPr>
                <w:lang w:val="en-GB"/>
              </w:rPr>
            </w:pPr>
            <w:r>
              <w:rPr>
                <w:lang w:val="en-GB"/>
              </w:rPr>
              <w:t>*</w:t>
            </w:r>
            <w:r>
              <w:rPr>
                <w:lang w:val="en-GB"/>
              </w:rPr>
              <w:tab/>
              <w:t>This estimate is based on a total electron content (TEC) of 10</w:t>
            </w:r>
            <w:r>
              <w:rPr>
                <w:position w:val="6"/>
                <w:sz w:val="18"/>
                <w:lang w:val="en-GB"/>
              </w:rPr>
              <w:t>18</w:t>
            </w:r>
            <w:r>
              <w:rPr>
                <w:lang w:val="en-GB"/>
              </w:rPr>
              <w:t xml:space="preserve"> electrons/m</w:t>
            </w:r>
            <w:r>
              <w:rPr>
                <w:position w:val="6"/>
                <w:sz w:val="18"/>
                <w:lang w:val="en-GB"/>
              </w:rPr>
              <w:t>2</w:t>
            </w:r>
            <w:r>
              <w:rPr>
                <w:lang w:val="en-GB"/>
              </w:rPr>
              <w:t>, which is a high value of TEC encountered at low latitudes in daytime with high solar activity</w:t>
            </w:r>
          </w:p>
          <w:p w:rsidR="008B48BE" w:rsidRDefault="008B48BE" w:rsidP="00E170FE">
            <w:pPr>
              <w:pStyle w:val="Tabletext"/>
              <w:framePr w:hSpace="181" w:wrap="notBeside" w:vAnchor="text" w:hAnchor="text" w:xAlign="center" w:y="1"/>
              <w:ind w:left="284" w:hanging="284"/>
              <w:rPr>
                <w:lang w:val="en-GB"/>
              </w:rPr>
            </w:pPr>
            <w:r>
              <w:rPr>
                <w:lang w:val="en-GB"/>
              </w:rPr>
              <w:t>**</w:t>
            </w:r>
            <w:r>
              <w:rPr>
                <w:lang w:val="en-GB"/>
              </w:rPr>
              <w:tab/>
              <w:t>Ionospheric effects above 10 GHz are negligible.</w:t>
            </w:r>
          </w:p>
          <w:p w:rsidR="008B48BE" w:rsidRDefault="008B48BE" w:rsidP="00E170FE">
            <w:pPr>
              <w:pStyle w:val="Tabletext"/>
              <w:framePr w:hSpace="181" w:wrap="notBeside" w:vAnchor="text" w:hAnchor="text" w:xAlign="center" w:y="1"/>
              <w:ind w:left="284" w:hanging="284"/>
              <w:rPr>
                <w:lang w:val="en-GB"/>
              </w:rPr>
            </w:pPr>
            <w:r>
              <w:rPr>
                <w:position w:val="6"/>
                <w:sz w:val="18"/>
                <w:lang w:val="en-GB"/>
              </w:rPr>
              <w:t>(1)</w:t>
            </w:r>
            <w:r>
              <w:rPr>
                <w:lang w:val="en-GB"/>
              </w:rPr>
              <w:tab/>
              <w:t>Values observed near the geomagnetic equator during the early night-time hours (local time) at equinox under conditions of high sunspot number.</w:t>
            </w:r>
          </w:p>
        </w:tc>
      </w:tr>
    </w:tbl>
    <w:p w:rsidR="008B48BE" w:rsidRDefault="008B48BE" w:rsidP="008B48BE">
      <w:pPr>
        <w:pStyle w:val="Tablefin"/>
      </w:pPr>
    </w:p>
    <w:p w:rsidR="008B48BE" w:rsidRDefault="008B48BE" w:rsidP="008B48BE">
      <w:pPr>
        <w:pStyle w:val="Heading1"/>
        <w:rPr>
          <w:lang w:val="en-GB"/>
        </w:rPr>
      </w:pPr>
      <w:r>
        <w:rPr>
          <w:lang w:val="en-GB"/>
        </w:rPr>
        <w:t>4</w:t>
      </w:r>
      <w:r>
        <w:rPr>
          <w:lang w:val="en-GB"/>
        </w:rPr>
        <w:tab/>
        <w:t>Effects of local environment</w:t>
      </w:r>
    </w:p>
    <w:p w:rsidR="008B48BE" w:rsidRDefault="008B48BE" w:rsidP="008B48BE">
      <w:pPr>
        <w:rPr>
          <w:lang w:val="en-GB"/>
        </w:rPr>
      </w:pPr>
      <w:r>
        <w:rPr>
          <w:lang w:val="en-GB"/>
        </w:rPr>
        <w:t>In specific receiving locations, effects of local structures and vegetation may be important. Recent measurement results at 5 GHz show a strong dependence of the building entry loss on the elevation and azimuth angles. These results augment results obtained from me</w:t>
      </w:r>
      <w:r w:rsidR="00541AC9">
        <w:rPr>
          <w:lang w:val="en-GB"/>
        </w:rPr>
        <w:t>asurements in the bands below 3 </w:t>
      </w:r>
      <w:r>
        <w:rPr>
          <w:lang w:val="en-GB"/>
        </w:rPr>
        <w:t>GHz. Unfortunately, data for application to satellite broadcasting are insufficient to characterize fully these effects.</w:t>
      </w:r>
    </w:p>
    <w:p w:rsidR="008B48BE" w:rsidRDefault="008B48BE" w:rsidP="008B48BE">
      <w:pPr>
        <w:pStyle w:val="Heading2"/>
        <w:rPr>
          <w:lang w:val="en-GB"/>
        </w:rPr>
      </w:pPr>
      <w:r>
        <w:rPr>
          <w:lang w:val="en-GB"/>
        </w:rPr>
        <w:t>4.1</w:t>
      </w:r>
      <w:r>
        <w:rPr>
          <w:lang w:val="en-GB"/>
        </w:rPr>
        <w:tab/>
        <w:t>Building entry loss</w:t>
      </w:r>
    </w:p>
    <w:p w:rsidR="001E1FE1" w:rsidRPr="001E1FE1" w:rsidRDefault="001E1FE1" w:rsidP="001E1FE1">
      <w:pPr>
        <w:rPr>
          <w:lang w:val="en-US"/>
        </w:rPr>
      </w:pPr>
      <w:r w:rsidRPr="001E1FE1">
        <w:rPr>
          <w:lang w:val="en-US"/>
        </w:rPr>
        <w:t>Material relating to building entry loss can be found in Recommendation ITU</w:t>
      </w:r>
      <w:r w:rsidRPr="001E1FE1">
        <w:rPr>
          <w:lang w:val="en-US"/>
        </w:rPr>
        <w:noBreakHyphen/>
        <w:t>R P.2040</w:t>
      </w:r>
      <w:r>
        <w:rPr>
          <w:lang w:val="en-US"/>
        </w:rPr>
        <w:t>.</w:t>
      </w:r>
    </w:p>
    <w:p w:rsidR="008B48BE" w:rsidRDefault="008B48BE" w:rsidP="008B48BE">
      <w:pPr>
        <w:pStyle w:val="Heading2"/>
        <w:rPr>
          <w:lang w:val="en-GB"/>
        </w:rPr>
      </w:pPr>
      <w:r>
        <w:rPr>
          <w:lang w:val="en-GB"/>
        </w:rPr>
        <w:t>4.2</w:t>
      </w:r>
      <w:r>
        <w:rPr>
          <w:lang w:val="en-GB"/>
        </w:rPr>
        <w:tab/>
        <w:t>Vehicle entry loss</w:t>
      </w:r>
    </w:p>
    <w:p w:rsidR="008B48BE" w:rsidRDefault="008B48BE" w:rsidP="008B48BE">
      <w:pPr>
        <w:rPr>
          <w:lang w:val="en-GB"/>
        </w:rPr>
      </w:pPr>
      <w:r>
        <w:rPr>
          <w:lang w:val="en-GB"/>
        </w:rPr>
        <w:t>Measurements of signal penetration into vehicles are quite scanty, and have been obtained by using ground</w:t>
      </w:r>
      <w:r>
        <w:rPr>
          <w:lang w:val="en-GB"/>
        </w:rPr>
        <w:noBreakHyphen/>
        <w:t>based techniques similar to those described above. One set of measurements was made at 1</w:t>
      </w:r>
      <w:r>
        <w:rPr>
          <w:rFonts w:ascii="Tms Rmn" w:hAnsi="Tms Rmn"/>
          <w:sz w:val="12"/>
          <w:lang w:val="en-GB"/>
        </w:rPr>
        <w:t> </w:t>
      </w:r>
      <w:r>
        <w:rPr>
          <w:lang w:val="en-GB"/>
        </w:rPr>
        <w:t>600 MHz using simulated path elevation angles from 8</w:t>
      </w:r>
      <w:r>
        <w:rPr>
          <w:rFonts w:ascii="Symbol" w:hAnsi="Symbol"/>
          <w:lang w:val="en-GB"/>
        </w:rPr>
        <w:t></w:t>
      </w:r>
      <w:r>
        <w:rPr>
          <w:lang w:val="en-GB"/>
        </w:rPr>
        <w:t xml:space="preserve"> to 90</w:t>
      </w:r>
      <w:r>
        <w:rPr>
          <w:rFonts w:ascii="Symbol" w:hAnsi="Symbol"/>
          <w:lang w:val="en-GB"/>
        </w:rPr>
        <w:t></w:t>
      </w:r>
      <w:r>
        <w:rPr>
          <w:lang w:val="en-GB"/>
        </w:rPr>
        <w:t xml:space="preserve">, two different antennas (microstrip patch and quadrifilar helix), different types of vehicles (which were mounted on a rotating turntable to evaluate signal level as a function of direction of arrival), and different positions of the terminal user within the vehicle. Data were collected with the vehicle windows down. Typical excess path losses (defined as the measured mean signal level inside the vehicle minus the median fade level </w:t>
      </w:r>
      <w:r>
        <w:rPr>
          <w:lang w:val="en-GB"/>
        </w:rPr>
        <w:lastRenderedPageBreak/>
        <w:t>observed in open-field measurements with the same antenna and body position used in the in-vehicle measurements) were found to range from 3 to 8 dB at the median, and from 4 to 13 dB at the 90th percentile level.</w:t>
      </w:r>
    </w:p>
    <w:p w:rsidR="008B48BE" w:rsidRDefault="008B48BE" w:rsidP="008B48BE">
      <w:pPr>
        <w:rPr>
          <w:lang w:val="en-GB"/>
        </w:rPr>
      </w:pPr>
      <w:r>
        <w:rPr>
          <w:lang w:val="en-GB"/>
        </w:rPr>
        <w:t>General observations and conclusions obtained from these data are:</w:t>
      </w:r>
    </w:p>
    <w:p w:rsidR="008B48BE" w:rsidRDefault="008B48BE" w:rsidP="008B48BE">
      <w:pPr>
        <w:pStyle w:val="enumlev1"/>
        <w:rPr>
          <w:lang w:val="en-GB"/>
        </w:rPr>
      </w:pPr>
      <w:r>
        <w:rPr>
          <w:lang w:val="en-GB"/>
        </w:rPr>
        <w:t>–</w:t>
      </w:r>
      <w:r>
        <w:rPr>
          <w:lang w:val="en-GB"/>
        </w:rPr>
        <w:tab/>
        <w:t>the signal level inside the vehicles was found to be Rayleigh distributed, implying that no direct LoS propagation path typically exists, and that the signal power is coupled via multipath scatter from edges of vehicle openings (e.g. windows);</w:t>
      </w:r>
    </w:p>
    <w:p w:rsidR="008B48BE" w:rsidRDefault="008B48BE" w:rsidP="008B48BE">
      <w:pPr>
        <w:pStyle w:val="enumlev1"/>
        <w:rPr>
          <w:lang w:val="en-GB"/>
        </w:rPr>
      </w:pPr>
      <w:r>
        <w:rPr>
          <w:lang w:val="en-GB"/>
        </w:rPr>
        <w:t>–</w:t>
      </w:r>
      <w:r>
        <w:rPr>
          <w:lang w:val="en-GB"/>
        </w:rPr>
        <w:tab/>
        <w:t>losses at the 90</w:t>
      </w:r>
      <w:r w:rsidRPr="008B48BE">
        <w:rPr>
          <w:lang w:val="en-US"/>
        </w:rPr>
        <w:t>th</w:t>
      </w:r>
      <w:r>
        <w:rPr>
          <w:lang w:val="en-GB"/>
        </w:rPr>
        <w:t xml:space="preserve"> percentile are 15-20 dB over all path elevation angles;</w:t>
      </w:r>
    </w:p>
    <w:p w:rsidR="008B48BE" w:rsidRDefault="008B48BE" w:rsidP="008B48BE">
      <w:pPr>
        <w:pStyle w:val="enumlev1"/>
        <w:rPr>
          <w:lang w:val="en-GB"/>
        </w:rPr>
      </w:pPr>
      <w:r>
        <w:rPr>
          <w:lang w:val="en-GB"/>
        </w:rPr>
        <w:t>–</w:t>
      </w:r>
      <w:r>
        <w:rPr>
          <w:lang w:val="en-GB"/>
        </w:rPr>
        <w:tab/>
        <w:t>loss is only weakly dependent on path elevation angle, but the elevation-angle dependence is different for head</w:t>
      </w:r>
      <w:r>
        <w:rPr>
          <w:lang w:val="en-GB"/>
        </w:rPr>
        <w:noBreakHyphen/>
        <w:t>level and hip-level antennas;</w:t>
      </w:r>
    </w:p>
    <w:p w:rsidR="008B48BE" w:rsidRDefault="008B48BE" w:rsidP="008B48BE">
      <w:pPr>
        <w:pStyle w:val="enumlev1"/>
        <w:rPr>
          <w:lang w:val="en-GB"/>
        </w:rPr>
      </w:pPr>
      <w:r>
        <w:rPr>
          <w:lang w:val="en-GB"/>
        </w:rPr>
        <w:t>–</w:t>
      </w:r>
      <w:r>
        <w:rPr>
          <w:lang w:val="en-GB"/>
        </w:rPr>
        <w:tab/>
        <w:t>vehicle type has no significant effect on signal penetration loss;</w:t>
      </w:r>
    </w:p>
    <w:p w:rsidR="008B48BE" w:rsidRDefault="008B48BE" w:rsidP="008B48BE">
      <w:pPr>
        <w:pStyle w:val="enumlev1"/>
        <w:rPr>
          <w:lang w:val="en-GB"/>
        </w:rPr>
      </w:pPr>
      <w:r>
        <w:rPr>
          <w:lang w:val="en-GB"/>
        </w:rPr>
        <w:t>–</w:t>
      </w:r>
      <w:r>
        <w:rPr>
          <w:lang w:val="en-GB"/>
        </w:rPr>
        <w:tab/>
        <w:t>the position of the terminal user inside the vehicle has no significant effect on loss;</w:t>
      </w:r>
    </w:p>
    <w:p w:rsidR="008B48BE" w:rsidRDefault="008B48BE" w:rsidP="008B48BE">
      <w:pPr>
        <w:pStyle w:val="enumlev1"/>
        <w:rPr>
          <w:lang w:val="en-GB"/>
        </w:rPr>
      </w:pPr>
      <w:r>
        <w:rPr>
          <w:lang w:val="en-GB"/>
        </w:rPr>
        <w:t>–</w:t>
      </w:r>
      <w:r>
        <w:rPr>
          <w:lang w:val="en-GB"/>
        </w:rPr>
        <w:tab/>
        <w:t>median excess path loss (with respect to open-field measurements) is log-normally distributed;</w:t>
      </w:r>
    </w:p>
    <w:p w:rsidR="008B48BE" w:rsidRDefault="008B48BE" w:rsidP="008B48BE">
      <w:pPr>
        <w:pStyle w:val="enumlev1"/>
        <w:rPr>
          <w:lang w:val="en-GB"/>
        </w:rPr>
      </w:pPr>
      <w:r>
        <w:rPr>
          <w:lang w:val="en-GB"/>
        </w:rPr>
        <w:t>–</w:t>
      </w:r>
      <w:r>
        <w:rPr>
          <w:lang w:val="en-GB"/>
        </w:rPr>
        <w:tab/>
        <w:t xml:space="preserve">the patch antenna indicates less </w:t>
      </w:r>
      <w:r w:rsidR="00AF31EA">
        <w:rPr>
          <w:lang w:val="en-GB"/>
        </w:rPr>
        <w:t xml:space="preserve">excess </w:t>
      </w:r>
      <w:r>
        <w:rPr>
          <w:lang w:val="en-GB"/>
        </w:rPr>
        <w:t>path loss than a head-level antenna (because the higher directivity causes higher open-field losses, which are not made very much worse when the antenna is inside the vehicle); and</w:t>
      </w:r>
    </w:p>
    <w:p w:rsidR="008B48BE" w:rsidRDefault="008B48BE" w:rsidP="008B48BE">
      <w:pPr>
        <w:pStyle w:val="enumlev1"/>
        <w:rPr>
          <w:lang w:val="en-GB"/>
        </w:rPr>
      </w:pPr>
      <w:bookmarkStart w:id="5" w:name="dsgno"/>
      <w:bookmarkEnd w:id="5"/>
      <w:r>
        <w:rPr>
          <w:lang w:val="en-GB"/>
        </w:rPr>
        <w:t>–</w:t>
      </w:r>
      <w:r>
        <w:rPr>
          <w:lang w:val="en-GB"/>
        </w:rPr>
        <w:tab/>
        <w:t>at an 8</w:t>
      </w:r>
      <w:r>
        <w:rPr>
          <w:rFonts w:ascii="Symbol" w:hAnsi="Symbol"/>
          <w:lang w:val="en-GB"/>
        </w:rPr>
        <w:t></w:t>
      </w:r>
      <w:r>
        <w:rPr>
          <w:lang w:val="en-GB"/>
        </w:rPr>
        <w:t xml:space="preserve"> elevation angle, the all-vehicle average median excess path loss was found to be 3.7 dB for a head</w:t>
      </w:r>
      <w:r>
        <w:rPr>
          <w:lang w:val="en-GB"/>
        </w:rPr>
        <w:noBreakHyphen/>
        <w:t>level antenna, which compares to a median loss of 3.2 dB at 900 MHz reported for a horizontal path into a large sedan vehicle.</w:t>
      </w:r>
    </w:p>
    <w:p w:rsidR="008B48BE" w:rsidRDefault="008B48BE" w:rsidP="008B48BE">
      <w:pPr>
        <w:rPr>
          <w:lang w:val="en-GB"/>
        </w:rPr>
      </w:pPr>
      <w:r>
        <w:rPr>
          <w:lang w:val="en-GB"/>
        </w:rPr>
        <w:t>These results may be assumed to represent current general expectations for signal penetration into vehicles.</w:t>
      </w:r>
    </w:p>
    <w:p w:rsidR="008B48BE" w:rsidRDefault="008B48BE" w:rsidP="008B48BE">
      <w:pPr>
        <w:pStyle w:val="Heading2"/>
        <w:rPr>
          <w:lang w:val="en-GB"/>
        </w:rPr>
      </w:pPr>
      <w:r>
        <w:rPr>
          <w:lang w:val="en-GB"/>
        </w:rPr>
        <w:t>4.3</w:t>
      </w:r>
      <w:r>
        <w:rPr>
          <w:lang w:val="en-GB"/>
        </w:rPr>
        <w:tab/>
        <w:t>Reflections and shadowing by buildings</w:t>
      </w:r>
    </w:p>
    <w:p w:rsidR="008B48BE" w:rsidRDefault="008B48BE" w:rsidP="008B48BE">
      <w:pPr>
        <w:rPr>
          <w:lang w:val="en-GB"/>
        </w:rPr>
      </w:pPr>
      <w:r>
        <w:rPr>
          <w:lang w:val="en-GB"/>
        </w:rPr>
        <w:t>Measurements obtained by transmitting circularly-polarized FM sound broadcast signals at 839 MHz and 1</w:t>
      </w:r>
      <w:r>
        <w:rPr>
          <w:sz w:val="12"/>
          <w:lang w:val="en-GB"/>
        </w:rPr>
        <w:t> </w:t>
      </w:r>
      <w:r>
        <w:rPr>
          <w:lang w:val="en-GB"/>
        </w:rPr>
        <w:t>504 MHz from a tall tower show that at an elevation angle near 20</w:t>
      </w:r>
      <w:r>
        <w:rPr>
          <w:rFonts w:ascii="Symbol" w:hAnsi="Symbol"/>
          <w:lang w:val="en-GB"/>
        </w:rPr>
        <w:t></w:t>
      </w:r>
      <w:r>
        <w:rPr>
          <w:lang w:val="en-GB"/>
        </w:rPr>
        <w:t>, location-to-location variations in field strength near street level in an urban area approach 15 dB at 839 MHz and 18 dB at 1</w:t>
      </w:r>
      <w:r>
        <w:rPr>
          <w:sz w:val="12"/>
          <w:lang w:val="en-GB"/>
        </w:rPr>
        <w:t> </w:t>
      </w:r>
      <w:r>
        <w:rPr>
          <w:lang w:val="en-GB"/>
        </w:rPr>
        <w:t>504 MHz. The fluctuations are practically the same for reception with either vertically- or horizontally-polarized antennas. Sound quality is barely impaired by the field</w:t>
      </w:r>
      <w:r>
        <w:rPr>
          <w:lang w:val="en-GB"/>
        </w:rPr>
        <w:noBreakHyphen/>
        <w:t>strength variations under multipath conditions, even in narrow and unfavourably-oriented streets.</w:t>
      </w:r>
    </w:p>
    <w:p w:rsidR="008B48BE" w:rsidRDefault="008B48BE" w:rsidP="008B48BE">
      <w:pPr>
        <w:rPr>
          <w:lang w:val="en-GB"/>
        </w:rPr>
      </w:pPr>
      <w:r>
        <w:rPr>
          <w:lang w:val="en-GB"/>
        </w:rPr>
        <w:t>In suburban and rural areas, reflections from the ground can be a factor in determining the preferred polarization, as the ground</w:t>
      </w:r>
      <w:r>
        <w:rPr>
          <w:lang w:val="en-GB"/>
        </w:rPr>
        <w:noBreakHyphen/>
        <w:t>reflected vertically-polarized wave experiences a deep null at the pseudo-Brewsters angle but the horizontally</w:t>
      </w:r>
      <w:r>
        <w:rPr>
          <w:lang w:val="en-GB"/>
        </w:rPr>
        <w:noBreakHyphen/>
        <w:t>polarized wave does not. Thus the horizontally-polarized ground-reflected wave will usually be stronger than the vertical wave for the smooth-Earth case, and the sum of the direct and ground-reflected waves will result in both deeper nulls and higher peaks.</w:t>
      </w:r>
    </w:p>
    <w:p w:rsidR="008B48BE" w:rsidRDefault="008B48BE" w:rsidP="008B48BE">
      <w:pPr>
        <w:pStyle w:val="Heading1"/>
        <w:rPr>
          <w:lang w:val="en-GB"/>
        </w:rPr>
      </w:pPr>
      <w:r>
        <w:rPr>
          <w:lang w:val="en-GB"/>
        </w:rPr>
        <w:t>5</w:t>
      </w:r>
      <w:r>
        <w:rPr>
          <w:lang w:val="en-GB"/>
        </w:rPr>
        <w:tab/>
        <w:t>Statistical distribution of signal level for large areas</w:t>
      </w:r>
    </w:p>
    <w:p w:rsidR="008B48BE" w:rsidRDefault="008B48BE" w:rsidP="008B48BE">
      <w:pPr>
        <w:rPr>
          <w:lang w:val="en-GB"/>
        </w:rPr>
      </w:pPr>
      <w:r>
        <w:rPr>
          <w:lang w:val="en-GB"/>
        </w:rPr>
        <w:t>A broadcasting satellite must serve a large area, preferably with the same quality of service throughout for the same time percentage. However, portions of the service area (e.g. within different climatic zones) may be affected differently by certain propagation effects. Such differences can be characterized with coordinated measurements performed at several locations distributed over the service area. Such data are useful both for evaluating subscriber equipment requirements and for determining interference conditions at the borders of the service area, but these data are scarce.</w:t>
      </w:r>
    </w:p>
    <w:p w:rsidR="008B48BE" w:rsidRDefault="008B48BE" w:rsidP="008B48BE">
      <w:pPr>
        <w:rPr>
          <w:lang w:val="en-GB"/>
        </w:rPr>
      </w:pPr>
      <w:r>
        <w:rPr>
          <w:lang w:val="en-GB"/>
        </w:rPr>
        <w:t xml:space="preserve">Available data show that the joint probability of occurrence of rainy conditions at different locations is several per cent for separations up to 500 km, and that statistical independence cannot be assumed </w:t>
      </w:r>
      <w:r>
        <w:rPr>
          <w:lang w:val="en-GB"/>
        </w:rPr>
        <w:lastRenderedPageBreak/>
        <w:t>for separations less than about 800 km. For pairs of sites separated by 200 km, the joint probability for rainfall rates in excess of 5 mm/h can be about five times the probability obtained by assuming statistical independence.</w:t>
      </w:r>
    </w:p>
    <w:p w:rsidR="008B48BE" w:rsidRDefault="008B48BE" w:rsidP="008B48BE">
      <w:pPr>
        <w:pStyle w:val="Heading1"/>
        <w:rPr>
          <w:lang w:val="en-GB"/>
        </w:rPr>
      </w:pPr>
      <w:r>
        <w:rPr>
          <w:lang w:val="en-GB"/>
        </w:rPr>
        <w:t>6</w:t>
      </w:r>
      <w:r>
        <w:rPr>
          <w:lang w:val="en-GB"/>
        </w:rPr>
        <w:tab/>
        <w:t>Statistical distributions and frequency correlation of signals</w:t>
      </w:r>
    </w:p>
    <w:p w:rsidR="008B48BE" w:rsidRDefault="008B48BE" w:rsidP="008B48BE">
      <w:pPr>
        <w:rPr>
          <w:lang w:val="en-GB"/>
        </w:rPr>
      </w:pPr>
      <w:r>
        <w:rPr>
          <w:lang w:val="en-GB"/>
        </w:rPr>
        <w:t xml:space="preserve">Measurements obtained by transmitting a 567.25 MHz signal from a 515 m tower to simulate a satellite signal have shown that, for the vast majority of receiver locations, the distributions of </w:t>
      </w:r>
      <w:bookmarkStart w:id="6" w:name="_GoBack"/>
      <w:bookmarkEnd w:id="6"/>
      <w:r>
        <w:rPr>
          <w:lang w:val="en-GB"/>
        </w:rPr>
        <w:t>instantaneous values of signal envelope are close to a log-normal distribution. If obstructions by local objects introduce attenuation of more than 15 dB with respect to the median level, the distributions of instantaneous values approximate a Rayleigh distribution.</w:t>
      </w:r>
    </w:p>
    <w:p w:rsidR="008B48BE" w:rsidRDefault="008B48BE" w:rsidP="008B48BE">
      <w:pPr>
        <w:rPr>
          <w:lang w:val="en-GB"/>
        </w:rPr>
      </w:pPr>
      <w:r>
        <w:rPr>
          <w:lang w:val="en-GB"/>
        </w:rPr>
        <w:t>In the same experiment, the frequency correlations between signals with frequency separations of 0.15 MHz, 0.5 MHz, 1.0 MHz, 2.2 MHz, 4.4 MHz and 6.5 MHz were also measured. It was observed that the frequency correlation decreases as the frequency separation increases and is only incidentally and slightly affected by the elevation angle.</w:t>
      </w:r>
    </w:p>
    <w:p w:rsidR="008B48BE" w:rsidRPr="008B48BE" w:rsidRDefault="008B48BE" w:rsidP="008B48BE">
      <w:pPr>
        <w:rPr>
          <w:lang w:val="en-US"/>
        </w:rPr>
      </w:pPr>
    </w:p>
    <w:p w:rsidR="00A6617B" w:rsidRPr="00AE296A" w:rsidRDefault="00A6617B" w:rsidP="008B48BE">
      <w:pPr>
        <w:pStyle w:val="Line"/>
      </w:pPr>
    </w:p>
    <w:sectPr w:rsidR="00A6617B" w:rsidRPr="00AE296A" w:rsidSect="00E656BD">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F58" w:rsidRDefault="00326F58">
      <w:r>
        <w:separator/>
      </w:r>
    </w:p>
  </w:endnote>
  <w:endnote w:type="continuationSeparator" w:id="0">
    <w:p w:rsidR="00326F58" w:rsidRDefault="00326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F58" w:rsidRDefault="00326F58">
      <w:r>
        <w:separator/>
      </w:r>
    </w:p>
  </w:footnote>
  <w:footnote w:type="continuationSeparator" w:id="0">
    <w:p w:rsidR="00326F58" w:rsidRDefault="00326F58">
      <w:r>
        <w:continuationSeparator/>
      </w:r>
    </w:p>
  </w:footnote>
  <w:footnote w:id="1">
    <w:p w:rsidR="00990D60" w:rsidRPr="00990D60" w:rsidRDefault="00990D60" w:rsidP="00990D60">
      <w:pPr>
        <w:pStyle w:val="FootnoteText"/>
        <w:rPr>
          <w:lang w:val="en-GB"/>
        </w:rPr>
      </w:pPr>
      <w:r w:rsidRPr="00990D60">
        <w:rPr>
          <w:rStyle w:val="FootnoteReference"/>
        </w:rPr>
        <w:sym w:font="Symbol" w:char="F02A"/>
      </w:r>
      <w:r w:rsidRPr="00990D60">
        <w:rPr>
          <w:lang w:val="en-GB"/>
        </w:rPr>
        <w:t xml:space="preserve"> </w:t>
      </w:r>
      <w:r w:rsidRPr="00990D60">
        <w:rPr>
          <w:lang w:val="en-US"/>
        </w:rPr>
        <w:tab/>
      </w:r>
      <w:r w:rsidRPr="00990D60">
        <w:rPr>
          <w:sz w:val="24"/>
          <w:szCs w:val="24"/>
          <w:lang w:val="en-GB"/>
        </w:rPr>
        <w:t>Radiocommunication Study Group 3 made editorial amendments to this Recommendation in the year 2019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96A" w:rsidRDefault="00AE296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96A" w:rsidRDefault="00AE296A" w:rsidP="00B033C8">
    <w:pPr>
      <w:pStyle w:val="Header"/>
      <w:ind w:right="360" w:firstLine="360"/>
    </w:pPr>
    <w:r>
      <w:rPr>
        <w:noProof/>
        <w:lang w:val="en-GB" w:eastAsia="en-GB"/>
      </w:rPr>
      <w:drawing>
        <wp:anchor distT="0" distB="0" distL="114300" distR="114300" simplePos="0" relativeHeight="251659264" behindDoc="1" locked="0" layoutInCell="1" allowOverlap="1" wp14:anchorId="176E48D9" wp14:editId="7CED640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96A" w:rsidRPr="00FC42AF" w:rsidRDefault="00AE296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0140B">
      <w:rPr>
        <w:rStyle w:val="PageNumber"/>
        <w:b/>
        <w:bCs/>
        <w:noProof/>
      </w:rPr>
      <w:t>ii</w:t>
    </w:r>
    <w:r>
      <w:rPr>
        <w:rStyle w:val="PageNumber"/>
        <w:b/>
        <w:bCs/>
      </w:rPr>
      <w:fldChar w:fldCharType="end"/>
    </w:r>
    <w:r w:rsidRPr="00FC42AF">
      <w:tab/>
    </w:r>
    <w:r w:rsidR="0040140B">
      <w:fldChar w:fldCharType="begin"/>
    </w:r>
    <w:r w:rsidR="0040140B">
      <w:instrText xml:space="preserve"> DOCPROPERTY "Header" \* MERGEFORMAT </w:instrText>
    </w:r>
    <w:r w:rsidR="0040140B">
      <w:fldChar w:fldCharType="separate"/>
    </w:r>
    <w:r w:rsidR="00F505F5" w:rsidRPr="00F505F5">
      <w:rPr>
        <w:b/>
        <w:bCs/>
      </w:rPr>
      <w:t xml:space="preserve">Rec. </w:t>
    </w:r>
    <w:r w:rsidR="0040140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0140B">
      <w:rPr>
        <w:b/>
        <w:bCs/>
        <w:noProof/>
      </w:rPr>
      <w:t>ITU-R  P.679-4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96A" w:rsidRDefault="00AE296A">
    <w:pPr>
      <w:pStyle w:val="Header"/>
    </w:pPr>
    <w:r>
      <w:tab/>
    </w:r>
    <w:r w:rsidR="0040140B">
      <w:fldChar w:fldCharType="begin"/>
    </w:r>
    <w:r w:rsidR="0040140B">
      <w:instrText xml:space="preserve"> DOCPROPERTY "Header" \* MERGEFORMAT </w:instrText>
    </w:r>
    <w:r w:rsidR="0040140B">
      <w:fldChar w:fldCharType="separate"/>
    </w:r>
    <w:r w:rsidR="00F505F5" w:rsidRPr="00F505F5">
      <w:rPr>
        <w:b/>
        <w:bCs/>
      </w:rPr>
      <w:t xml:space="preserve">Rec. </w:t>
    </w:r>
    <w:r w:rsidR="0040140B">
      <w:rPr>
        <w:b/>
        <w:bCs/>
      </w:rPr>
      <w:fldChar w:fldCharType="end"/>
    </w:r>
    <w:r>
      <w:rPr>
        <w:b/>
        <w:bCs/>
      </w:rPr>
      <w:t xml:space="preserve"> </w:t>
    </w:r>
    <w:r>
      <w:rPr>
        <w:b/>
        <w:bCs/>
      </w:rPr>
      <w:fldChar w:fldCharType="begin"/>
    </w:r>
    <w:r>
      <w:rPr>
        <w:b/>
        <w:bCs/>
      </w:rPr>
      <w:instrText>styleref href</w:instrText>
    </w:r>
    <w:r>
      <w:rPr>
        <w:b/>
        <w:bCs/>
      </w:rPr>
      <w:fldChar w:fldCharType="separate"/>
    </w:r>
    <w:r w:rsidR="00990D60">
      <w:rPr>
        <w:b/>
        <w:bCs/>
        <w:noProof/>
      </w:rPr>
      <w:t>ITU-R  P.679-4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90D60">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140B">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505F5" w:rsidRPr="00F505F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0140B">
      <w:rPr>
        <w:b/>
        <w:bCs/>
        <w:noProof/>
        <w:lang w:val="en-US"/>
      </w:rPr>
      <w:t>ITU-R  P.679-4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40140B">
      <w:fldChar w:fldCharType="begin"/>
    </w:r>
    <w:r w:rsidR="0040140B">
      <w:instrText xml:space="preserve"> DOCPROPERTY "Header" \* MERGEFORMAT </w:instrText>
    </w:r>
    <w:r w:rsidR="0040140B">
      <w:fldChar w:fldCharType="separate"/>
    </w:r>
    <w:r w:rsidR="00F505F5" w:rsidRPr="00F505F5">
      <w:rPr>
        <w:b/>
        <w:bCs/>
      </w:rPr>
      <w:t xml:space="preserve">Rec. </w:t>
    </w:r>
    <w:r w:rsidR="0040140B">
      <w:rPr>
        <w:b/>
        <w:bCs/>
      </w:rPr>
      <w:fldChar w:fldCharType="end"/>
    </w:r>
    <w:r>
      <w:rPr>
        <w:b/>
        <w:bCs/>
      </w:rPr>
      <w:t xml:space="preserve"> </w:t>
    </w:r>
    <w:r>
      <w:rPr>
        <w:b/>
        <w:bCs/>
      </w:rPr>
      <w:fldChar w:fldCharType="begin"/>
    </w:r>
    <w:r>
      <w:rPr>
        <w:b/>
        <w:bCs/>
      </w:rPr>
      <w:instrText>styleref href</w:instrText>
    </w:r>
    <w:r>
      <w:rPr>
        <w:b/>
        <w:bCs/>
      </w:rPr>
      <w:fldChar w:fldCharType="separate"/>
    </w:r>
    <w:r w:rsidR="0040140B">
      <w:rPr>
        <w:b/>
        <w:bCs/>
        <w:noProof/>
      </w:rPr>
      <w:t>ITU-R  P.679-4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0140B">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96A"/>
    <w:rsid w:val="000174D5"/>
    <w:rsid w:val="001E1FE1"/>
    <w:rsid w:val="00217EBF"/>
    <w:rsid w:val="00242AEE"/>
    <w:rsid w:val="002D76C4"/>
    <w:rsid w:val="00326F58"/>
    <w:rsid w:val="0040140B"/>
    <w:rsid w:val="0052529D"/>
    <w:rsid w:val="00541AC9"/>
    <w:rsid w:val="005C3C42"/>
    <w:rsid w:val="00607D68"/>
    <w:rsid w:val="006E5626"/>
    <w:rsid w:val="007468DA"/>
    <w:rsid w:val="0082038F"/>
    <w:rsid w:val="008B48BE"/>
    <w:rsid w:val="00990D60"/>
    <w:rsid w:val="009E00A8"/>
    <w:rsid w:val="00A6617B"/>
    <w:rsid w:val="00AB0DC8"/>
    <w:rsid w:val="00AE296A"/>
    <w:rsid w:val="00AF31EA"/>
    <w:rsid w:val="00B44E24"/>
    <w:rsid w:val="00DF4176"/>
    <w:rsid w:val="00E656BD"/>
    <w:rsid w:val="00F505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B80E5C1C-39DB-44F9-A3D7-3EA88D2FF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40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0140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E296A"/>
    <w:rPr>
      <w:b/>
      <w:sz w:val="24"/>
      <w:lang w:val="fr-FR" w:eastAsia="en-US"/>
    </w:rPr>
  </w:style>
  <w:style w:type="character" w:customStyle="1" w:styleId="HeaderChar">
    <w:name w:val="Header Char"/>
    <w:basedOn w:val="DefaultParagraphFont"/>
    <w:link w:val="Header"/>
    <w:rsid w:val="00AE296A"/>
    <w:rPr>
      <w:sz w:val="24"/>
      <w:lang w:val="fr-FR" w:eastAsia="en-US"/>
    </w:rPr>
  </w:style>
  <w:style w:type="character" w:styleId="Hyperlink">
    <w:name w:val="Hyperlink"/>
    <w:basedOn w:val="DefaultParagraphFont"/>
    <w:rsid w:val="00AE296A"/>
    <w:rPr>
      <w:color w:val="0000FF"/>
      <w:u w:val="single"/>
    </w:rPr>
  </w:style>
  <w:style w:type="character" w:customStyle="1" w:styleId="TableheadChar">
    <w:name w:val="Table_head Char"/>
    <w:basedOn w:val="DefaultParagraphFont"/>
    <w:link w:val="Tablehead"/>
    <w:locked/>
    <w:rsid w:val="00AE296A"/>
    <w:rPr>
      <w:b/>
      <w:sz w:val="22"/>
      <w:lang w:val="fr-FR" w:eastAsia="en-US"/>
    </w:rPr>
  </w:style>
  <w:style w:type="character" w:customStyle="1" w:styleId="TabletextChar">
    <w:name w:val="Table_text Char"/>
    <w:basedOn w:val="DefaultParagraphFont"/>
    <w:link w:val="Tabletext"/>
    <w:locked/>
    <w:rsid w:val="00AE296A"/>
    <w:rPr>
      <w:sz w:val="22"/>
      <w:lang w:val="fr-FR" w:eastAsia="en-US"/>
    </w:rPr>
  </w:style>
  <w:style w:type="paragraph" w:customStyle="1" w:styleId="AnnexNo">
    <w:name w:val="Annex_No"/>
    <w:basedOn w:val="Normal"/>
    <w:next w:val="Normal"/>
    <w:rsid w:val="008B48BE"/>
    <w:pPr>
      <w:keepNext/>
      <w:keepLines/>
      <w:spacing w:before="480" w:after="80"/>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05C46-B34C-41C2-8AB0-188CFA1D6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8</Pages>
  <Words>2403</Words>
  <Characters>14128</Characters>
  <Application>Microsoft Office Word</Application>
  <DocSecurity>0</DocSecurity>
  <Lines>403</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cp:revision>
  <cp:lastPrinted>2015-07-06T07:15:00Z</cp:lastPrinted>
  <dcterms:created xsi:type="dcterms:W3CDTF">2019-05-29T08:36:00Z</dcterms:created>
  <dcterms:modified xsi:type="dcterms:W3CDTF">2019-05-31T08:19:00Z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