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CB8" w:rsidRPr="00575CB8" w:rsidRDefault="00B85CB8" w:rsidP="00B85CB8">
      <w:pPr>
        <w:rPr>
          <w:lang w:val="en-US"/>
        </w:rPr>
      </w:pPr>
      <w:bookmarkStart w:id="0" w:name="dbreak"/>
      <w:bookmarkEnd w:id="0"/>
    </w:p>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p w:rsidR="00B85CB8" w:rsidRDefault="00B85CB8" w:rsidP="00B85CB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85CB8" w:rsidRPr="00C91D42" w:rsidTr="00D74E22">
        <w:tc>
          <w:tcPr>
            <w:tcW w:w="10089" w:type="dxa"/>
          </w:tcPr>
          <w:p w:rsidR="00B85CB8" w:rsidRPr="0010336F" w:rsidRDefault="00B85CB8" w:rsidP="00D74E22">
            <w:pPr>
              <w:spacing w:before="380" w:line="280" w:lineRule="exact"/>
              <w:jc w:val="right"/>
              <w:rPr>
                <w:rFonts w:ascii="Tahoma" w:hAnsi="Tahoma" w:cs="Tahoma"/>
                <w:b/>
                <w:bCs/>
                <w:iCs/>
                <w:color w:val="243285"/>
                <w:sz w:val="32"/>
                <w:szCs w:val="32"/>
                <w:lang w:val="en-US"/>
              </w:rPr>
            </w:pPr>
          </w:p>
          <w:p w:rsidR="00B85CB8" w:rsidRPr="0010336F" w:rsidRDefault="00B85CB8" w:rsidP="00D74E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9C33FE">
              <w:rPr>
                <w:rFonts w:ascii="Tahoma" w:hAnsi="Tahoma" w:cs="Tahoma"/>
                <w:b/>
                <w:bCs/>
                <w:iCs/>
                <w:color w:val="243285"/>
                <w:sz w:val="36"/>
                <w:szCs w:val="36"/>
                <w:lang w:val="es-ES_tradnl"/>
              </w:rPr>
              <w:t>678</w:t>
            </w:r>
            <w:r w:rsidR="00C91D42">
              <w:rPr>
                <w:rFonts w:ascii="Tahoma" w:hAnsi="Tahoma" w:cs="Tahoma"/>
                <w:b/>
                <w:bCs/>
                <w:iCs/>
                <w:color w:val="243285"/>
                <w:sz w:val="36"/>
                <w:szCs w:val="36"/>
                <w:lang w:val="es-ES_tradnl"/>
              </w:rPr>
              <w:t>-</w:t>
            </w:r>
            <w:r w:rsidR="009C33FE">
              <w:rPr>
                <w:rFonts w:ascii="Tahoma" w:hAnsi="Tahoma" w:cs="Tahoma"/>
                <w:b/>
                <w:bCs/>
                <w:iCs/>
                <w:color w:val="243285"/>
                <w:sz w:val="36"/>
                <w:szCs w:val="36"/>
                <w:lang w:val="es-ES_tradnl"/>
              </w:rPr>
              <w:t>2</w:t>
            </w:r>
          </w:p>
          <w:p w:rsidR="00B85CB8" w:rsidRPr="0010336F" w:rsidRDefault="00B85CB8" w:rsidP="00C91D4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91D42">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C91D42">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B85CB8" w:rsidRPr="00A73BB8" w:rsidTr="00D74E22">
        <w:tc>
          <w:tcPr>
            <w:tcW w:w="10089" w:type="dxa"/>
          </w:tcPr>
          <w:p w:rsidR="00B85CB8" w:rsidRPr="0010336F" w:rsidRDefault="00B85CB8" w:rsidP="00D74E22">
            <w:pPr>
              <w:spacing w:before="80" w:line="500" w:lineRule="exact"/>
              <w:jc w:val="right"/>
              <w:rPr>
                <w:rFonts w:ascii="Tahoma" w:hAnsi="Tahoma" w:cs="Tahoma"/>
                <w:b/>
                <w:bCs/>
                <w:iCs/>
                <w:color w:val="243285"/>
                <w:sz w:val="44"/>
                <w:szCs w:val="44"/>
                <w:lang w:val="es-ES_tradnl"/>
              </w:rPr>
            </w:pPr>
          </w:p>
          <w:p w:rsidR="00B85CB8" w:rsidRDefault="009C33FE" w:rsidP="00D74E22">
            <w:pPr>
              <w:spacing w:before="80" w:line="500" w:lineRule="exact"/>
              <w:jc w:val="right"/>
              <w:rPr>
                <w:rFonts w:ascii="Tahoma" w:hAnsi="Tahoma" w:cs="Tahoma"/>
                <w:b/>
                <w:bCs/>
                <w:color w:val="243285"/>
                <w:sz w:val="44"/>
                <w:szCs w:val="44"/>
                <w:lang w:val="es-ES_tradnl"/>
              </w:rPr>
            </w:pPr>
            <w:r w:rsidRPr="00E309BA">
              <w:rPr>
                <w:rFonts w:ascii="Tahoma" w:hAnsi="Tahoma" w:cs="Tahoma"/>
                <w:b/>
                <w:bCs/>
                <w:color w:val="243285"/>
                <w:sz w:val="44"/>
                <w:szCs w:val="44"/>
                <w:lang w:val="es-ES_tradnl"/>
              </w:rPr>
              <w:t>Caracterización de la variabilidad</w:t>
            </w:r>
            <w:r>
              <w:rPr>
                <w:rFonts w:ascii="Tahoma" w:hAnsi="Tahoma" w:cs="Tahoma"/>
                <w:b/>
                <w:bCs/>
                <w:color w:val="243285"/>
                <w:sz w:val="44"/>
                <w:szCs w:val="44"/>
                <w:lang w:val="es-ES_tradnl"/>
              </w:rPr>
              <w:br/>
            </w:r>
            <w:r w:rsidRPr="00E309BA">
              <w:rPr>
                <w:rFonts w:ascii="Tahoma" w:hAnsi="Tahoma" w:cs="Tahoma"/>
                <w:b/>
                <w:bCs/>
                <w:color w:val="243285"/>
                <w:sz w:val="44"/>
                <w:szCs w:val="44"/>
                <w:lang w:val="es-ES_tradnl"/>
              </w:rPr>
              <w:t>de los fenómenos de propagación</w:t>
            </w:r>
            <w:r>
              <w:rPr>
                <w:rFonts w:ascii="Tahoma" w:hAnsi="Tahoma" w:cs="Tahoma"/>
                <w:b/>
                <w:bCs/>
                <w:color w:val="243285"/>
                <w:sz w:val="44"/>
                <w:szCs w:val="44"/>
                <w:lang w:val="es-ES_tradnl"/>
              </w:rPr>
              <w:br/>
            </w:r>
            <w:r w:rsidRPr="00E309BA">
              <w:rPr>
                <w:rFonts w:ascii="Tahoma" w:hAnsi="Tahoma" w:cs="Tahoma"/>
                <w:b/>
                <w:bCs/>
                <w:color w:val="243285"/>
                <w:sz w:val="44"/>
                <w:szCs w:val="44"/>
                <w:lang w:val="es-ES_tradnl"/>
              </w:rPr>
              <w:t>y estimación del riesgo asociado</w:t>
            </w:r>
            <w:r>
              <w:rPr>
                <w:rFonts w:ascii="Tahoma" w:hAnsi="Tahoma" w:cs="Tahoma"/>
                <w:b/>
                <w:bCs/>
                <w:color w:val="243285"/>
                <w:sz w:val="44"/>
                <w:szCs w:val="44"/>
                <w:lang w:val="es-ES_tradnl"/>
              </w:rPr>
              <w:br/>
            </w:r>
            <w:r w:rsidRPr="00E309BA">
              <w:rPr>
                <w:rFonts w:ascii="Tahoma" w:hAnsi="Tahoma" w:cs="Tahoma"/>
                <w:b/>
                <w:bCs/>
                <w:color w:val="243285"/>
                <w:sz w:val="44"/>
                <w:szCs w:val="44"/>
                <w:lang w:val="es-ES_tradnl"/>
              </w:rPr>
              <w:t>al margen de propagación</w:t>
            </w:r>
          </w:p>
          <w:p w:rsidR="00B85CB8" w:rsidRPr="0010336F" w:rsidRDefault="00B85CB8" w:rsidP="00D74E22">
            <w:pPr>
              <w:spacing w:before="80" w:line="500" w:lineRule="exact"/>
              <w:jc w:val="right"/>
              <w:rPr>
                <w:rFonts w:ascii="Tahoma" w:hAnsi="Tahoma" w:cs="Tahoma"/>
                <w:b/>
                <w:bCs/>
                <w:iCs/>
                <w:color w:val="243285"/>
                <w:sz w:val="44"/>
                <w:szCs w:val="44"/>
                <w:lang w:val="es-ES_tradnl"/>
              </w:rPr>
            </w:pPr>
          </w:p>
        </w:tc>
      </w:tr>
      <w:tr w:rsidR="00B85CB8" w:rsidRPr="00A73BB8" w:rsidTr="00D74E22">
        <w:tc>
          <w:tcPr>
            <w:tcW w:w="10089" w:type="dxa"/>
          </w:tcPr>
          <w:p w:rsidR="00B85CB8" w:rsidRPr="0010336F" w:rsidRDefault="00B85CB8" w:rsidP="00D74E22">
            <w:pPr>
              <w:spacing w:before="80" w:line="280" w:lineRule="exact"/>
              <w:ind w:right="640"/>
              <w:rPr>
                <w:rFonts w:ascii="Tahoma" w:hAnsi="Tahoma" w:cs="Tahoma"/>
                <w:b/>
                <w:bCs/>
                <w:iCs/>
                <w:color w:val="243285"/>
                <w:sz w:val="32"/>
                <w:szCs w:val="32"/>
                <w:lang w:val="es-ES_tradnl"/>
              </w:rPr>
            </w:pPr>
          </w:p>
          <w:p w:rsidR="00B85CB8" w:rsidRPr="0010336F" w:rsidRDefault="00B85CB8" w:rsidP="00D74E22">
            <w:pPr>
              <w:spacing w:before="80" w:line="280" w:lineRule="exact"/>
              <w:ind w:right="640"/>
              <w:rPr>
                <w:rFonts w:ascii="Tahoma" w:hAnsi="Tahoma" w:cs="Tahoma"/>
                <w:b/>
                <w:bCs/>
                <w:iCs/>
                <w:color w:val="243285"/>
                <w:sz w:val="32"/>
                <w:szCs w:val="32"/>
                <w:lang w:val="es-ES_tradnl"/>
              </w:rPr>
            </w:pPr>
          </w:p>
          <w:p w:rsidR="00B85CB8" w:rsidRPr="0010336F" w:rsidRDefault="00B85CB8" w:rsidP="00D74E22">
            <w:pPr>
              <w:spacing w:before="80" w:after="180" w:line="360" w:lineRule="exact"/>
              <w:ind w:right="720"/>
              <w:rPr>
                <w:rFonts w:ascii="Tahoma" w:hAnsi="Tahoma" w:cs="Tahoma"/>
                <w:b/>
                <w:bCs/>
                <w:iCs/>
                <w:color w:val="243285"/>
                <w:sz w:val="36"/>
                <w:szCs w:val="36"/>
                <w:lang w:val="es-ES_tradnl"/>
              </w:rPr>
            </w:pPr>
          </w:p>
          <w:p w:rsidR="00B85CB8" w:rsidRPr="0010336F" w:rsidRDefault="00B85CB8" w:rsidP="00D74E2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B85CB8" w:rsidRPr="0010336F" w:rsidRDefault="00B85CB8" w:rsidP="00D74E2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spacing w:before="80"/>
        <w:rPr>
          <w:i/>
          <w:sz w:val="22"/>
          <w:lang w:val="es-ES_tradnl"/>
        </w:rPr>
      </w:pPr>
    </w:p>
    <w:p w:rsidR="00B85CB8" w:rsidRPr="0026666F" w:rsidRDefault="00B85CB8" w:rsidP="00B85CB8">
      <w:pPr>
        <w:pStyle w:val="Equation"/>
        <w:tabs>
          <w:tab w:val="clear" w:pos="4820"/>
          <w:tab w:val="clear" w:pos="9639"/>
          <w:tab w:val="left" w:pos="1191"/>
          <w:tab w:val="left" w:pos="1588"/>
          <w:tab w:val="left" w:pos="1985"/>
        </w:tabs>
        <w:rPr>
          <w:rFonts w:ascii="Palatino Linotype" w:hAnsi="Palatino Linotype"/>
          <w:lang w:val="es-ES_tradnl"/>
        </w:rPr>
        <w:sectPr w:rsidR="00B85CB8" w:rsidRPr="0026666F">
          <w:headerReference w:type="even" r:id="rId7"/>
          <w:headerReference w:type="default" r:id="rId8"/>
          <w:pgSz w:w="11907" w:h="16840" w:code="9"/>
          <w:pgMar w:top="1089" w:right="1089" w:bottom="284" w:left="1089" w:header="567" w:footer="284" w:gutter="0"/>
          <w:pgNumType w:start="1"/>
          <w:cols w:space="720"/>
        </w:sectPr>
      </w:pPr>
    </w:p>
    <w:p w:rsidR="00B85CB8" w:rsidRPr="006C718C" w:rsidRDefault="00B85CB8" w:rsidP="00B85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85CB8" w:rsidRPr="006C718C" w:rsidRDefault="00B85CB8" w:rsidP="00B85CB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85CB8" w:rsidRPr="006C718C" w:rsidRDefault="00B85CB8" w:rsidP="00B85CB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85CB8" w:rsidRPr="00021E8A" w:rsidRDefault="00B85CB8" w:rsidP="00B85CB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85CB8" w:rsidRPr="00021E8A" w:rsidRDefault="00B85CB8" w:rsidP="00B85CB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85CB8" w:rsidRPr="007C36CA" w:rsidRDefault="00B85CB8" w:rsidP="00B85CB8">
      <w:pPr>
        <w:spacing w:before="0"/>
        <w:jc w:val="center"/>
        <w:rPr>
          <w:sz w:val="22"/>
          <w:lang w:val="es-ES_tradnl"/>
        </w:rPr>
      </w:pPr>
    </w:p>
    <w:p w:rsidR="00B85CB8" w:rsidRPr="007C36CA" w:rsidRDefault="00B85CB8" w:rsidP="00B85C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85CB8" w:rsidRPr="00A73BB8" w:rsidTr="00D74E22">
        <w:tc>
          <w:tcPr>
            <w:tcW w:w="9360" w:type="dxa"/>
            <w:gridSpan w:val="2"/>
          </w:tcPr>
          <w:p w:rsidR="00B85CB8" w:rsidRPr="00021E8A" w:rsidRDefault="00B85CB8" w:rsidP="00D74E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85CB8" w:rsidRPr="00763D08"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85CB8" w:rsidRPr="00036EE3" w:rsidTr="00D74E22">
        <w:tc>
          <w:tcPr>
            <w:tcW w:w="1140" w:type="dxa"/>
            <w:tcBorders>
              <w:bottom w:val="nil"/>
            </w:tcBorders>
          </w:tcPr>
          <w:p w:rsidR="00B85CB8" w:rsidRPr="00036EE3" w:rsidRDefault="00B85CB8" w:rsidP="00D74E22">
            <w:pPr>
              <w:spacing w:before="180" w:after="100"/>
              <w:ind w:left="57"/>
              <w:rPr>
                <w:b/>
                <w:bCs/>
                <w:sz w:val="20"/>
                <w:lang w:val="en-US"/>
              </w:rPr>
            </w:pPr>
            <w:r w:rsidRPr="00036EE3">
              <w:rPr>
                <w:b/>
                <w:bCs/>
                <w:sz w:val="20"/>
                <w:lang w:val="en-US"/>
              </w:rPr>
              <w:t>Series</w:t>
            </w:r>
          </w:p>
        </w:tc>
        <w:tc>
          <w:tcPr>
            <w:tcW w:w="8220" w:type="dxa"/>
            <w:tcBorders>
              <w:bottom w:val="nil"/>
            </w:tcBorders>
          </w:tcPr>
          <w:p w:rsidR="00B85CB8" w:rsidRPr="00036EE3"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85CB8" w:rsidRPr="004532F7" w:rsidTr="00D74E22">
        <w:tc>
          <w:tcPr>
            <w:tcW w:w="1140" w:type="dxa"/>
            <w:tcBorders>
              <w:top w:val="nil"/>
              <w:bottom w:val="nil"/>
            </w:tcBorders>
            <w:shd w:val="clear" w:color="auto" w:fill="auto"/>
          </w:tcPr>
          <w:p w:rsidR="00B85CB8" w:rsidRPr="004532F7" w:rsidRDefault="00B85CB8" w:rsidP="00D74E2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85CB8" w:rsidRPr="004532F7"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85CB8" w:rsidRPr="00A73BB8" w:rsidTr="00D74E22">
        <w:tc>
          <w:tcPr>
            <w:tcW w:w="1140" w:type="dxa"/>
            <w:tcBorders>
              <w:top w:val="nil"/>
              <w:bottom w:val="nil"/>
            </w:tcBorders>
            <w:shd w:val="clear" w:color="auto" w:fill="auto"/>
          </w:tcPr>
          <w:p w:rsidR="00B85CB8" w:rsidRPr="006B22C3" w:rsidRDefault="00B85CB8" w:rsidP="00D74E2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85CB8" w:rsidRPr="006B22C3"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85CB8" w:rsidRPr="00847DD5" w:rsidTr="00D74E22">
        <w:tc>
          <w:tcPr>
            <w:tcW w:w="1140" w:type="dxa"/>
            <w:tcBorders>
              <w:top w:val="nil"/>
              <w:bottom w:val="nil"/>
            </w:tcBorders>
            <w:shd w:val="clear" w:color="auto" w:fill="auto"/>
          </w:tcPr>
          <w:p w:rsidR="00B85CB8" w:rsidRPr="00847DD5" w:rsidRDefault="00B85CB8" w:rsidP="00D74E2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85CB8" w:rsidRPr="00847DD5"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85CB8" w:rsidRPr="00ED2695" w:rsidTr="00D74E22">
        <w:tc>
          <w:tcPr>
            <w:tcW w:w="1140" w:type="dxa"/>
            <w:tcBorders>
              <w:top w:val="nil"/>
              <w:bottom w:val="nil"/>
            </w:tcBorders>
            <w:shd w:val="clear" w:color="auto" w:fill="auto"/>
          </w:tcPr>
          <w:p w:rsidR="00B85CB8" w:rsidRPr="00ED2695" w:rsidRDefault="00B85CB8" w:rsidP="00D74E2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85CB8" w:rsidRPr="00021E8A"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85CB8" w:rsidRPr="00366CEE" w:rsidTr="00D74E22">
        <w:tc>
          <w:tcPr>
            <w:tcW w:w="1140" w:type="dxa"/>
            <w:tcBorders>
              <w:top w:val="nil"/>
              <w:bottom w:val="nil"/>
            </w:tcBorders>
            <w:shd w:val="clear" w:color="auto" w:fill="auto"/>
          </w:tcPr>
          <w:p w:rsidR="00B85CB8" w:rsidRPr="00366CEE" w:rsidRDefault="00B85CB8" w:rsidP="00D74E2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85CB8" w:rsidRPr="00366CEE"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85CB8" w:rsidRPr="00A73BB8" w:rsidTr="00D74E22">
        <w:tc>
          <w:tcPr>
            <w:tcW w:w="1140" w:type="dxa"/>
            <w:tcBorders>
              <w:top w:val="nil"/>
              <w:bottom w:val="nil"/>
            </w:tcBorders>
            <w:shd w:val="clear" w:color="auto" w:fill="auto"/>
          </w:tcPr>
          <w:p w:rsidR="00B85CB8" w:rsidRPr="0010336F" w:rsidRDefault="00B85CB8" w:rsidP="00D74E2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85CB8" w:rsidRPr="0010336F" w:rsidRDefault="00B85CB8" w:rsidP="00D74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85CB8" w:rsidRPr="00A73BB8" w:rsidTr="00D74E22">
        <w:tc>
          <w:tcPr>
            <w:tcW w:w="1140" w:type="dxa"/>
            <w:tcBorders>
              <w:top w:val="nil"/>
              <w:bottom w:val="nil"/>
            </w:tcBorders>
            <w:shd w:val="clear" w:color="auto" w:fill="F3F3F3"/>
          </w:tcPr>
          <w:p w:rsidR="00B85CB8" w:rsidRPr="00366CEE" w:rsidRDefault="00B85CB8" w:rsidP="00D74E22">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85CB8" w:rsidRPr="00366CEE" w:rsidRDefault="00B85CB8" w:rsidP="00D74E22">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85CB8" w:rsidRPr="00036EE3" w:rsidTr="00D74E22">
        <w:tc>
          <w:tcPr>
            <w:tcW w:w="1140" w:type="dxa"/>
            <w:tcBorders>
              <w:top w:val="nil"/>
            </w:tcBorders>
          </w:tcPr>
          <w:p w:rsidR="00B85CB8" w:rsidRPr="00036EE3" w:rsidRDefault="00B85CB8" w:rsidP="00D74E22">
            <w:pPr>
              <w:spacing w:before="30" w:after="30"/>
              <w:ind w:left="57"/>
              <w:jc w:val="left"/>
              <w:rPr>
                <w:b/>
                <w:bCs/>
                <w:sz w:val="20"/>
                <w:lang w:val="en-US"/>
              </w:rPr>
            </w:pPr>
            <w:r w:rsidRPr="00036EE3">
              <w:rPr>
                <w:b/>
                <w:bCs/>
                <w:sz w:val="20"/>
                <w:lang w:val="en-US"/>
              </w:rPr>
              <w:t>RA</w:t>
            </w:r>
          </w:p>
        </w:tc>
        <w:tc>
          <w:tcPr>
            <w:tcW w:w="8220" w:type="dxa"/>
            <w:tcBorders>
              <w:top w:val="nil"/>
            </w:tcBorders>
          </w:tcPr>
          <w:p w:rsidR="00B85CB8" w:rsidRPr="00021E8A"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B85CB8" w:rsidRPr="00A73BB8"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RS</w:t>
            </w:r>
          </w:p>
        </w:tc>
        <w:tc>
          <w:tcPr>
            <w:tcW w:w="8220" w:type="dxa"/>
          </w:tcPr>
          <w:p w:rsidR="00B85CB8" w:rsidRPr="00021E8A" w:rsidRDefault="00B85CB8" w:rsidP="00D74E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w:t>
            </w:r>
          </w:p>
        </w:tc>
        <w:tc>
          <w:tcPr>
            <w:tcW w:w="8220" w:type="dxa"/>
          </w:tcPr>
          <w:p w:rsidR="00B85CB8" w:rsidRPr="00021E8A" w:rsidRDefault="00B85CB8" w:rsidP="00D74E22">
            <w:pPr>
              <w:spacing w:before="30" w:after="30"/>
              <w:jc w:val="left"/>
              <w:rPr>
                <w:bCs/>
                <w:sz w:val="20"/>
                <w:lang w:val="en-US"/>
              </w:rPr>
            </w:pPr>
            <w:r w:rsidRPr="00021E8A">
              <w:rPr>
                <w:bCs/>
                <w:sz w:val="20"/>
              </w:rPr>
              <w:t>Servicio fijo por satélite</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SA</w:t>
            </w:r>
          </w:p>
        </w:tc>
        <w:tc>
          <w:tcPr>
            <w:tcW w:w="8220" w:type="dxa"/>
          </w:tcPr>
          <w:p w:rsidR="00B85CB8" w:rsidRPr="00021E8A" w:rsidRDefault="00B85CB8" w:rsidP="00D74E22">
            <w:pPr>
              <w:spacing w:before="30" w:after="30"/>
              <w:jc w:val="left"/>
              <w:rPr>
                <w:bCs/>
                <w:sz w:val="20"/>
                <w:lang w:val="en-US"/>
              </w:rPr>
            </w:pPr>
            <w:r w:rsidRPr="00021E8A">
              <w:rPr>
                <w:bCs/>
                <w:sz w:val="20"/>
              </w:rPr>
              <w:t>Aplicaciones espaciales y meteorología</w:t>
            </w:r>
          </w:p>
        </w:tc>
      </w:tr>
      <w:tr w:rsidR="00B85CB8" w:rsidRPr="00A73BB8"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SF</w:t>
            </w:r>
          </w:p>
        </w:tc>
        <w:tc>
          <w:tcPr>
            <w:tcW w:w="8220" w:type="dxa"/>
          </w:tcPr>
          <w:p w:rsidR="00B85CB8" w:rsidRPr="00021E8A" w:rsidRDefault="00B85CB8" w:rsidP="00D74E2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85CB8" w:rsidRPr="00036EE3" w:rsidTr="00D74E22">
        <w:tc>
          <w:tcPr>
            <w:tcW w:w="1140" w:type="dxa"/>
            <w:shd w:val="clear" w:color="auto" w:fill="auto"/>
          </w:tcPr>
          <w:p w:rsidR="00B85CB8" w:rsidRPr="001240BC" w:rsidRDefault="00B85CB8" w:rsidP="00D74E22">
            <w:pPr>
              <w:spacing w:before="30" w:after="30"/>
              <w:ind w:left="57"/>
              <w:jc w:val="left"/>
              <w:rPr>
                <w:b/>
                <w:bCs/>
                <w:sz w:val="20"/>
                <w:lang w:val="en-US"/>
              </w:rPr>
            </w:pPr>
            <w:r w:rsidRPr="001240BC">
              <w:rPr>
                <w:b/>
                <w:bCs/>
                <w:sz w:val="20"/>
                <w:lang w:val="en-US"/>
              </w:rPr>
              <w:t>SM</w:t>
            </w:r>
          </w:p>
        </w:tc>
        <w:tc>
          <w:tcPr>
            <w:tcW w:w="8220" w:type="dxa"/>
            <w:shd w:val="clear" w:color="auto" w:fill="auto"/>
          </w:tcPr>
          <w:p w:rsidR="00B85CB8" w:rsidRPr="001240BC" w:rsidRDefault="00B85CB8" w:rsidP="00D74E22">
            <w:pPr>
              <w:spacing w:before="30" w:after="30"/>
              <w:jc w:val="left"/>
              <w:rPr>
                <w:sz w:val="20"/>
                <w:lang w:val="en-US"/>
              </w:rPr>
            </w:pPr>
            <w:r w:rsidRPr="001240BC">
              <w:rPr>
                <w:sz w:val="20"/>
              </w:rPr>
              <w:t>Gestión del espectro</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SNG</w:t>
            </w:r>
          </w:p>
        </w:tc>
        <w:tc>
          <w:tcPr>
            <w:tcW w:w="8220" w:type="dxa"/>
          </w:tcPr>
          <w:p w:rsidR="00B85CB8" w:rsidRPr="00021E8A" w:rsidRDefault="00B85CB8" w:rsidP="00D74E22">
            <w:pPr>
              <w:spacing w:before="30" w:after="30"/>
              <w:jc w:val="left"/>
              <w:rPr>
                <w:bCs/>
                <w:sz w:val="20"/>
                <w:lang w:val="en-US"/>
              </w:rPr>
            </w:pPr>
            <w:r w:rsidRPr="00021E8A">
              <w:rPr>
                <w:bCs/>
                <w:sz w:val="20"/>
              </w:rPr>
              <w:t>Periodismo electrónico por satélite</w:t>
            </w:r>
          </w:p>
        </w:tc>
      </w:tr>
      <w:tr w:rsidR="00B85CB8" w:rsidRPr="00A73BB8"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TF</w:t>
            </w:r>
          </w:p>
        </w:tc>
        <w:tc>
          <w:tcPr>
            <w:tcW w:w="8220" w:type="dxa"/>
          </w:tcPr>
          <w:p w:rsidR="00B85CB8" w:rsidRPr="00021E8A" w:rsidRDefault="00B85CB8" w:rsidP="00D74E22">
            <w:pPr>
              <w:spacing w:before="30" w:after="30"/>
              <w:jc w:val="left"/>
              <w:rPr>
                <w:bCs/>
                <w:sz w:val="20"/>
                <w:lang w:val="es-ES_tradnl"/>
              </w:rPr>
            </w:pPr>
            <w:r w:rsidRPr="00021E8A">
              <w:rPr>
                <w:bCs/>
                <w:sz w:val="20"/>
                <w:lang w:val="es-ES_tradnl"/>
              </w:rPr>
              <w:t>Emisiones de frecuencias patrón y señales horarias</w:t>
            </w:r>
          </w:p>
        </w:tc>
      </w:tr>
      <w:tr w:rsidR="00B85CB8" w:rsidRPr="00036EE3" w:rsidTr="00D74E22">
        <w:tc>
          <w:tcPr>
            <w:tcW w:w="1140" w:type="dxa"/>
          </w:tcPr>
          <w:p w:rsidR="00B85CB8" w:rsidRPr="00036EE3" w:rsidRDefault="00B85CB8" w:rsidP="00D74E22">
            <w:pPr>
              <w:spacing w:before="30" w:after="30"/>
              <w:ind w:left="57"/>
              <w:jc w:val="left"/>
              <w:rPr>
                <w:b/>
                <w:bCs/>
                <w:sz w:val="20"/>
                <w:lang w:val="en-US"/>
              </w:rPr>
            </w:pPr>
            <w:r w:rsidRPr="00036EE3">
              <w:rPr>
                <w:b/>
                <w:bCs/>
                <w:sz w:val="20"/>
                <w:lang w:val="en-US"/>
              </w:rPr>
              <w:t>V</w:t>
            </w:r>
          </w:p>
        </w:tc>
        <w:tc>
          <w:tcPr>
            <w:tcW w:w="8220" w:type="dxa"/>
          </w:tcPr>
          <w:p w:rsidR="00B85CB8" w:rsidRPr="00021E8A" w:rsidRDefault="00B85CB8" w:rsidP="00D74E22">
            <w:pPr>
              <w:spacing w:before="30" w:after="140"/>
              <w:jc w:val="left"/>
              <w:rPr>
                <w:bCs/>
                <w:sz w:val="20"/>
                <w:lang w:val="en-US"/>
              </w:rPr>
            </w:pPr>
            <w:r w:rsidRPr="00021E8A">
              <w:rPr>
                <w:bCs/>
                <w:sz w:val="20"/>
              </w:rPr>
              <w:t>Vocabulario y cuestiones afines</w:t>
            </w:r>
          </w:p>
        </w:tc>
      </w:tr>
    </w:tbl>
    <w:p w:rsidR="00B85CB8" w:rsidRPr="00036EE3" w:rsidRDefault="00B85CB8" w:rsidP="00B85CB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85CB8" w:rsidTr="00D74E22">
        <w:tc>
          <w:tcPr>
            <w:tcW w:w="720" w:type="dxa"/>
          </w:tcPr>
          <w:p w:rsidR="00B85CB8" w:rsidRDefault="00B85CB8" w:rsidP="00D74E2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85CB8" w:rsidRPr="00A73BB8" w:rsidTr="00D74E22">
        <w:tc>
          <w:tcPr>
            <w:tcW w:w="9360" w:type="dxa"/>
          </w:tcPr>
          <w:p w:rsidR="00B85CB8" w:rsidRPr="00763D08" w:rsidRDefault="00B85CB8" w:rsidP="00D74E2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85CB8" w:rsidRPr="00763D08" w:rsidRDefault="00B85CB8" w:rsidP="00B85CB8">
      <w:pPr>
        <w:spacing w:before="0"/>
        <w:jc w:val="center"/>
        <w:rPr>
          <w:sz w:val="22"/>
          <w:lang w:val="es-ES_tradnl"/>
        </w:rPr>
      </w:pPr>
    </w:p>
    <w:p w:rsidR="00B85CB8" w:rsidRPr="00763D08" w:rsidRDefault="00B85CB8" w:rsidP="00B85CB8">
      <w:pPr>
        <w:spacing w:before="60"/>
        <w:jc w:val="right"/>
        <w:rPr>
          <w:i/>
          <w:iCs/>
          <w:sz w:val="20"/>
          <w:lang w:val="es-ES_tradnl"/>
        </w:rPr>
      </w:pPr>
      <w:r w:rsidRPr="00763D08">
        <w:rPr>
          <w:i/>
          <w:iCs/>
          <w:sz w:val="20"/>
          <w:lang w:val="es-ES_tradnl"/>
        </w:rPr>
        <w:t>Publicación electrónica</w:t>
      </w:r>
    </w:p>
    <w:p w:rsidR="00B85CB8" w:rsidRPr="00763D08" w:rsidRDefault="00B85CB8" w:rsidP="00B85CB8">
      <w:pPr>
        <w:spacing w:before="0" w:after="40"/>
        <w:jc w:val="right"/>
        <w:rPr>
          <w:sz w:val="20"/>
          <w:lang w:val="es-ES_tradnl"/>
        </w:rPr>
      </w:pPr>
      <w:r w:rsidRPr="00763D08">
        <w:rPr>
          <w:sz w:val="20"/>
          <w:lang w:val="es-ES_tradnl"/>
        </w:rPr>
        <w:t>Ginebra, 20</w:t>
      </w:r>
      <w:r>
        <w:rPr>
          <w:sz w:val="20"/>
          <w:lang w:val="es-ES_tradnl"/>
        </w:rPr>
        <w:t>14</w:t>
      </w:r>
    </w:p>
    <w:p w:rsidR="00B85CB8" w:rsidRPr="00763D08" w:rsidRDefault="00B85CB8" w:rsidP="00B85CB8">
      <w:pPr>
        <w:spacing w:before="0"/>
        <w:jc w:val="center"/>
        <w:rPr>
          <w:sz w:val="22"/>
          <w:lang w:val="es-ES_tradnl"/>
        </w:rPr>
      </w:pPr>
    </w:p>
    <w:p w:rsidR="00B85CB8" w:rsidRPr="00763D08" w:rsidRDefault="00B85CB8" w:rsidP="00B85CB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B85CB8" w:rsidRPr="006C718C" w:rsidRDefault="00B85CB8" w:rsidP="00B85CB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85CB8" w:rsidRPr="006C718C" w:rsidRDefault="00B85CB8" w:rsidP="00B85CB8">
      <w:pPr>
        <w:spacing w:before="160"/>
        <w:rPr>
          <w:i/>
          <w:sz w:val="20"/>
          <w:highlight w:val="yellow"/>
          <w:lang w:val="es-ES_tradnl"/>
        </w:rPr>
        <w:sectPr w:rsidR="00B85CB8"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85CB8" w:rsidRPr="006C347C" w:rsidRDefault="00B85CB8" w:rsidP="00B85CB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9C33FE">
        <w:rPr>
          <w:rStyle w:val="href"/>
          <w:lang w:val="es-ES_tradnl"/>
        </w:rPr>
        <w:t>678-2</w:t>
      </w:r>
    </w:p>
    <w:p w:rsidR="00B85CB8" w:rsidRDefault="009C33FE" w:rsidP="00B85CB8">
      <w:pPr>
        <w:pStyle w:val="Rectitle"/>
        <w:rPr>
          <w:lang w:val="es-ES_tradnl"/>
        </w:rPr>
      </w:pPr>
      <w:r w:rsidRPr="00084EC6">
        <w:rPr>
          <w:lang w:val="es-ES_tradnl"/>
        </w:rPr>
        <w:t>Caracterización</w:t>
      </w:r>
      <w:r w:rsidRPr="00E309BA">
        <w:rPr>
          <w:lang w:val="es-ES_tradnl"/>
        </w:rPr>
        <w:t xml:space="preserve"> de la variabilidad de los fenómenos de propagación</w:t>
      </w:r>
      <w:r>
        <w:rPr>
          <w:lang w:val="es-ES_tradnl"/>
        </w:rPr>
        <w:br/>
      </w:r>
      <w:r w:rsidRPr="00E309BA">
        <w:rPr>
          <w:lang w:val="es-ES_tradnl"/>
        </w:rPr>
        <w:t>y estimación del riesgo asociado al margen de propagación</w:t>
      </w:r>
    </w:p>
    <w:p w:rsidR="004350F8" w:rsidRPr="00A73BB8" w:rsidRDefault="004350F8" w:rsidP="004350F8">
      <w:pPr>
        <w:pStyle w:val="Blanc"/>
        <w:rPr>
          <w:lang w:val="es-ES_tradnl"/>
        </w:rPr>
      </w:pPr>
    </w:p>
    <w:p w:rsidR="009C33FE" w:rsidRDefault="009C33FE" w:rsidP="009C33FE">
      <w:pPr>
        <w:pStyle w:val="Recdate"/>
        <w:rPr>
          <w:lang w:val="es-ES_tradnl"/>
        </w:rPr>
      </w:pPr>
      <w:bookmarkStart w:id="4" w:name="Revision_history"/>
      <w:r w:rsidRPr="00BB408D">
        <w:rPr>
          <w:lang w:val="es-ES_tradnl"/>
        </w:rPr>
        <w:t>(1990-1992-</w:t>
      </w:r>
      <w:r>
        <w:rPr>
          <w:lang w:val="es-ES_tradnl"/>
        </w:rPr>
        <w:t>2013</w:t>
      </w:r>
      <w:r w:rsidRPr="00BB408D">
        <w:rPr>
          <w:lang w:val="es-ES_tradnl"/>
        </w:rPr>
        <w:t>)</w:t>
      </w:r>
      <w:bookmarkEnd w:id="4"/>
    </w:p>
    <w:p w:rsidR="004350F8" w:rsidRPr="00A73BB8" w:rsidRDefault="004350F8" w:rsidP="004350F8">
      <w:pPr>
        <w:pStyle w:val="Blanc"/>
        <w:rPr>
          <w:lang w:val="es-ES_tradnl"/>
        </w:rPr>
      </w:pPr>
    </w:p>
    <w:p w:rsidR="009C33FE" w:rsidRDefault="009C33FE" w:rsidP="009C33FE">
      <w:pPr>
        <w:pStyle w:val="HeadingSum"/>
        <w:rPr>
          <w:lang w:val="es-ES"/>
        </w:rPr>
      </w:pPr>
      <w:r w:rsidRPr="00B87085">
        <w:rPr>
          <w:lang w:val="es-ES"/>
        </w:rPr>
        <w:t>Cometido</w:t>
      </w:r>
    </w:p>
    <w:p w:rsidR="009C33FE" w:rsidRDefault="009C33FE" w:rsidP="009C33FE">
      <w:pPr>
        <w:pStyle w:val="Summary"/>
        <w:spacing w:after="0"/>
      </w:pPr>
      <w:r>
        <w:t>Esta Recomendación proporciona tres métodos de predicción de:</w:t>
      </w:r>
    </w:p>
    <w:p w:rsidR="009C33FE" w:rsidRDefault="009C33FE" w:rsidP="009C33FE">
      <w:pPr>
        <w:pStyle w:val="Summary"/>
        <w:spacing w:before="80" w:after="0"/>
        <w:ind w:left="794" w:hanging="794"/>
      </w:pPr>
      <w:r w:rsidRPr="009C33FE">
        <w:t>–</w:t>
      </w:r>
      <w:r>
        <w:tab/>
        <w:t>la variación prevista de un año a otro de la fracción de tiempo de rebasamiento del mes más desfavorable;</w:t>
      </w:r>
    </w:p>
    <w:p w:rsidR="009C33FE" w:rsidRDefault="009C33FE" w:rsidP="009C33FE">
      <w:pPr>
        <w:pStyle w:val="Summary"/>
        <w:spacing w:before="80" w:after="0"/>
      </w:pPr>
      <w:r w:rsidRPr="009C33FE">
        <w:t>–</w:t>
      </w:r>
      <w:r>
        <w:tab/>
        <w:t>la variabilidad interanual de las estadísticas de intensidad de lluvia y atenuación debida a la lluvia;</w:t>
      </w:r>
    </w:p>
    <w:p w:rsidR="009C33FE" w:rsidRDefault="009C33FE" w:rsidP="009C33FE">
      <w:pPr>
        <w:pStyle w:val="Summary"/>
        <w:spacing w:before="80"/>
      </w:pPr>
      <w:r w:rsidRPr="009C33FE">
        <w:t>–</w:t>
      </w:r>
      <w:r>
        <w:tab/>
        <w:t>los parámetros de riesgo asociados a la variación de las estadísticas de atenuación debida a la lluvia.</w:t>
      </w:r>
    </w:p>
    <w:p w:rsidR="009C33FE" w:rsidRDefault="009C33FE" w:rsidP="009C33FE">
      <w:pPr>
        <w:jc w:val="left"/>
        <w:rPr>
          <w:lang w:val="es-ES_tradnl"/>
        </w:rPr>
      </w:pPr>
      <w:r>
        <w:rPr>
          <w:lang w:val="es-ES_tradnl"/>
        </w:rPr>
        <w:t>La Asamblea de Radiocomunicaciones de la UIT,</w:t>
      </w:r>
    </w:p>
    <w:p w:rsidR="009C33FE" w:rsidRDefault="009C33FE" w:rsidP="009C33FE">
      <w:pPr>
        <w:pStyle w:val="Call"/>
        <w:rPr>
          <w:lang w:val="es-ES_tradnl"/>
        </w:rPr>
      </w:pPr>
      <w:r>
        <w:rPr>
          <w:lang w:val="es-ES_tradnl"/>
        </w:rPr>
        <w:t>considerando</w:t>
      </w:r>
    </w:p>
    <w:p w:rsidR="009C33FE" w:rsidRDefault="009C33FE" w:rsidP="009C33FE">
      <w:pPr>
        <w:rPr>
          <w:lang w:val="es-ES_tradnl"/>
        </w:rPr>
      </w:pPr>
      <w:r w:rsidRPr="009C33FE">
        <w:rPr>
          <w:i/>
          <w:lang w:val="es-ES_tradnl"/>
        </w:rPr>
        <w:t>a)</w:t>
      </w:r>
      <w:r>
        <w:rPr>
          <w:lang w:val="es-ES_tradnl"/>
        </w:rPr>
        <w:tab/>
        <w:t>que es necesario conocer la variabilidad natural de los fenómenos de propagación para lograr el adecuado compromiso entre costes y calidad de funcionamiento en el análisis de la fiabilidad, la disponibilidad y la calidad de los sistemas;</w:t>
      </w:r>
    </w:p>
    <w:p w:rsidR="009C33FE" w:rsidRDefault="009C33FE" w:rsidP="009C33FE">
      <w:pPr>
        <w:rPr>
          <w:lang w:val="es-ES_tradnl"/>
        </w:rPr>
      </w:pPr>
      <w:r>
        <w:rPr>
          <w:i/>
          <w:lang w:val="es-ES_tradnl"/>
        </w:rPr>
        <w:t>b</w:t>
      </w:r>
      <w:r w:rsidRPr="009C33FE">
        <w:rPr>
          <w:i/>
          <w:lang w:val="es-ES_tradnl"/>
        </w:rPr>
        <w:t>)</w:t>
      </w:r>
      <w:r>
        <w:rPr>
          <w:lang w:val="es-ES_tradnl"/>
        </w:rPr>
        <w:tab/>
        <w:t>que es preciso establecer un procedimiento de predicción a fin de estimar los parámetros de riesgo asociados con la variación de las estadísticas de propagación para formular los criterios de comportamiento de los sistemas de radiocomunicaciones;</w:t>
      </w:r>
    </w:p>
    <w:p w:rsidR="009C33FE" w:rsidRDefault="009C33FE" w:rsidP="009C33FE">
      <w:pPr>
        <w:rPr>
          <w:lang w:val="es-ES_tradnl"/>
        </w:rPr>
      </w:pPr>
      <w:r>
        <w:rPr>
          <w:i/>
          <w:lang w:val="es-ES_tradnl"/>
        </w:rPr>
        <w:t>c</w:t>
      </w:r>
      <w:r w:rsidRPr="009C33FE">
        <w:rPr>
          <w:i/>
          <w:lang w:val="es-ES_tradnl"/>
        </w:rPr>
        <w:t>)</w:t>
      </w:r>
      <w:r>
        <w:rPr>
          <w:lang w:val="es-ES_tradnl"/>
        </w:rPr>
        <w:tab/>
        <w:t>que existe un procedimiento de predicción para estimar las estadísticas de las variaciones de un año a otro en la fracción de tiempo de rebasamiento del mes más desfavorable del año, definida en la Recomendación UIT-R P.581,</w:t>
      </w:r>
    </w:p>
    <w:p w:rsidR="009C33FE" w:rsidRDefault="009C33FE" w:rsidP="009C33FE">
      <w:pPr>
        <w:pStyle w:val="Call"/>
        <w:rPr>
          <w:lang w:val="es-ES_tradnl"/>
        </w:rPr>
      </w:pPr>
      <w:r>
        <w:rPr>
          <w:lang w:val="es-ES_tradnl"/>
        </w:rPr>
        <w:t>recomienda</w:t>
      </w:r>
    </w:p>
    <w:p w:rsidR="009C33FE" w:rsidRDefault="009C33FE" w:rsidP="009C33FE">
      <w:pPr>
        <w:rPr>
          <w:lang w:val="es-ES_tradnl"/>
        </w:rPr>
      </w:pPr>
      <w:r w:rsidRPr="009C33FE">
        <w:rPr>
          <w:b/>
          <w:lang w:val="es-ES_tradnl"/>
        </w:rPr>
        <w:t>1</w:t>
      </w:r>
      <w:r>
        <w:rPr>
          <w:lang w:val="es-ES_tradnl"/>
        </w:rPr>
        <w:tab/>
        <w:t>que se utilice la Fig. 1 del Anexo 1 para estimar la variación de un año a otro de la fracción de tiempo de rebasamiento del mes más desfavorable del año;</w:t>
      </w:r>
    </w:p>
    <w:p w:rsidR="009C33FE" w:rsidRDefault="009C33FE" w:rsidP="009C33FE">
      <w:pPr>
        <w:rPr>
          <w:lang w:val="es-ES_tradnl"/>
        </w:rPr>
      </w:pPr>
      <w:r>
        <w:rPr>
          <w:b/>
          <w:lang w:val="es-ES_tradnl"/>
        </w:rPr>
        <w:t>2</w:t>
      </w:r>
      <w:r>
        <w:rPr>
          <w:lang w:val="es-ES_tradnl"/>
        </w:rPr>
        <w:tab/>
        <w:t>que la variación prevista alrededor de un valor medio predicho a largo plazo se indique en función del periodo de retorno;</w:t>
      </w:r>
    </w:p>
    <w:p w:rsidR="009C33FE" w:rsidRDefault="009C33FE" w:rsidP="009C33FE">
      <w:pPr>
        <w:rPr>
          <w:lang w:val="es-ES_tradnl"/>
        </w:rPr>
      </w:pPr>
      <w:r>
        <w:rPr>
          <w:b/>
          <w:lang w:val="es-ES_tradnl"/>
        </w:rPr>
        <w:t>3</w:t>
      </w:r>
      <w:r>
        <w:rPr>
          <w:lang w:val="es-ES_tradnl"/>
        </w:rPr>
        <w:tab/>
        <w:t>que la variabilidad interanual de las estadísticas de intensidad de lluvia y atenuación debida a la lluvia en torno a estadísticas medias a largo plazo se calcule mediante el Anexo 2;</w:t>
      </w:r>
    </w:p>
    <w:p w:rsidR="009C33FE" w:rsidRDefault="009C33FE" w:rsidP="009C33FE">
      <w:pPr>
        <w:rPr>
          <w:lang w:val="es-ES_tradnl"/>
        </w:rPr>
      </w:pPr>
      <w:r>
        <w:rPr>
          <w:b/>
          <w:lang w:val="es-ES_tradnl"/>
        </w:rPr>
        <w:t>4</w:t>
      </w:r>
      <w:r>
        <w:rPr>
          <w:lang w:val="es-ES_tradnl"/>
        </w:rPr>
        <w:tab/>
        <w:t xml:space="preserve">que los parámetros de riesgo asociados a la variación de las estadísticas de propagación se </w:t>
      </w:r>
      <w:r w:rsidR="004350F8">
        <w:rPr>
          <w:lang w:val="es-ES_tradnl"/>
        </w:rPr>
        <w:t>calculen con arreglo al Anexo 3.</w:t>
      </w:r>
    </w:p>
    <w:p w:rsidR="009C33FE" w:rsidRDefault="009C33FE" w:rsidP="009C33FE">
      <w:pPr>
        <w:rPr>
          <w:lang w:val="es-ES_tradnl"/>
        </w:rPr>
      </w:pPr>
      <w:r>
        <w:rPr>
          <w:lang w:val="es-ES_tradnl"/>
        </w:rPr>
        <w:t xml:space="preserve">NOTA 1 – El periodo de retorno es el intervalo de tiempo medio transcurrido entre dos ocurrencias consecutivas de un suceso estocástico definido. Para una serie larga de observaciones, el valor del periodo de retorno es </w:t>
      </w:r>
      <w:r w:rsidRPr="00972EDD">
        <w:rPr>
          <w:lang w:val="es-ES_tradnl"/>
        </w:rPr>
        <w:t>1</w:t>
      </w:r>
      <w:r w:rsidRPr="008442C3">
        <w:rPr>
          <w:i/>
          <w:iCs/>
          <w:lang w:val="es-ES_tradnl"/>
        </w:rPr>
        <w:t>/P</w:t>
      </w:r>
      <w:r>
        <w:rPr>
          <w:lang w:val="es-ES_tradnl"/>
        </w:rPr>
        <w:t xml:space="preserve"> (multiplicado por el intervalo medio entre todos los pares de sucesos consecutivos), donde </w:t>
      </w:r>
      <w:r w:rsidRPr="008442C3">
        <w:rPr>
          <w:i/>
          <w:iCs/>
          <w:lang w:val="es-ES_tradnl"/>
        </w:rPr>
        <w:t>P</w:t>
      </w:r>
      <w:r>
        <w:rPr>
          <w:lang w:val="es-ES_tradnl"/>
        </w:rPr>
        <w:t xml:space="preserve"> es la probabilidad de ocurrencia del suceso. Por ejemplo, el valor mediano de una larga serie de valores de fracción de tiempo de rebasamiento del mes más desfavorable del año tendría un periodo de retorno de 2 años.</w:t>
      </w:r>
    </w:p>
    <w:p w:rsidR="009C33FE" w:rsidRDefault="009C33FE" w:rsidP="009C33FE">
      <w:pPr>
        <w:rPr>
          <w:lang w:val="es-ES_tradnl"/>
        </w:rPr>
      </w:pPr>
      <w:r>
        <w:rPr>
          <w:lang w:val="es-ES_tradnl"/>
        </w:rPr>
        <w:t>NOTA 2 – El riesgo se define como la probabilidad de que no se satisfaga la disponibilidad anual garantizada.</w:t>
      </w:r>
    </w:p>
    <w:p w:rsidR="009C33FE" w:rsidRPr="0022339C" w:rsidRDefault="009C33FE" w:rsidP="009C33FE">
      <w:pPr>
        <w:pStyle w:val="AnnexNoTitle"/>
        <w:rPr>
          <w:lang w:val="es-ES_tradnl"/>
        </w:rPr>
      </w:pPr>
      <w:r w:rsidRPr="00A63333">
        <w:rPr>
          <w:lang w:val="es-ES_tradnl"/>
        </w:rPr>
        <w:lastRenderedPageBreak/>
        <w:t>Anexo</w:t>
      </w:r>
      <w:r w:rsidRPr="0022339C">
        <w:rPr>
          <w:lang w:val="es-ES_tradnl"/>
        </w:rPr>
        <w:t xml:space="preserve"> 1</w:t>
      </w:r>
      <w:r w:rsidRPr="0022339C">
        <w:rPr>
          <w:lang w:val="es-ES_tradnl"/>
        </w:rPr>
        <w:br/>
      </w:r>
      <w:r w:rsidRPr="0022339C">
        <w:rPr>
          <w:lang w:val="es-ES_tradnl"/>
        </w:rPr>
        <w:br/>
      </w:r>
      <w:r w:rsidRPr="000D087A">
        <w:rPr>
          <w:lang w:val="es-ES_tradnl"/>
        </w:rPr>
        <w:t>Estimación</w:t>
      </w:r>
      <w:r w:rsidRPr="0022339C">
        <w:rPr>
          <w:lang w:val="es-ES_tradnl"/>
        </w:rPr>
        <w:t xml:space="preserve"> de la </w:t>
      </w:r>
      <w:r w:rsidRPr="000D087A">
        <w:rPr>
          <w:lang w:val="es-ES_tradnl"/>
        </w:rPr>
        <w:t>variación</w:t>
      </w:r>
      <w:r w:rsidRPr="0022339C">
        <w:rPr>
          <w:lang w:val="es-ES_tradnl"/>
        </w:rPr>
        <w:t xml:space="preserve"> </w:t>
      </w:r>
      <w:r w:rsidRPr="000D087A">
        <w:rPr>
          <w:lang w:val="es-ES_tradnl"/>
        </w:rPr>
        <w:t>prevista</w:t>
      </w:r>
      <w:r w:rsidRPr="0022339C">
        <w:rPr>
          <w:lang w:val="es-ES_tradnl"/>
        </w:rPr>
        <w:t xml:space="preserve"> de un </w:t>
      </w:r>
      <w:r w:rsidRPr="000D087A">
        <w:rPr>
          <w:lang w:val="es-ES_tradnl"/>
        </w:rPr>
        <w:t>año</w:t>
      </w:r>
      <w:r w:rsidRPr="0022339C">
        <w:rPr>
          <w:lang w:val="es-ES_tradnl"/>
        </w:rPr>
        <w:t xml:space="preserve"> a </w:t>
      </w:r>
      <w:r w:rsidRPr="000D087A">
        <w:rPr>
          <w:lang w:val="es-ES_tradnl"/>
        </w:rPr>
        <w:t>otro</w:t>
      </w:r>
      <w:r w:rsidRPr="0022339C">
        <w:rPr>
          <w:lang w:val="es-ES_tradnl"/>
        </w:rPr>
        <w:t xml:space="preserve"> de la </w:t>
      </w:r>
      <w:r w:rsidRPr="00A63333">
        <w:rPr>
          <w:lang w:val="es-ES_tradnl"/>
        </w:rPr>
        <w:t>fracción</w:t>
      </w:r>
      <w:r w:rsidRPr="0022339C">
        <w:rPr>
          <w:lang w:val="es-ES_tradnl"/>
        </w:rPr>
        <w:t xml:space="preserve"> </w:t>
      </w:r>
      <w:r w:rsidRPr="0022339C">
        <w:rPr>
          <w:lang w:val="es-ES_tradnl"/>
        </w:rPr>
        <w:br/>
        <w:t xml:space="preserve">de </w:t>
      </w:r>
      <w:r w:rsidRPr="00A63333">
        <w:rPr>
          <w:lang w:val="es-ES_tradnl"/>
        </w:rPr>
        <w:t>tiempo</w:t>
      </w:r>
      <w:r w:rsidRPr="0022339C">
        <w:rPr>
          <w:lang w:val="es-ES_tradnl"/>
        </w:rPr>
        <w:t xml:space="preserve"> de </w:t>
      </w:r>
      <w:r w:rsidRPr="00A63333">
        <w:rPr>
          <w:lang w:val="es-ES_tradnl"/>
        </w:rPr>
        <w:t>rebasamiento</w:t>
      </w:r>
      <w:r w:rsidRPr="0022339C">
        <w:rPr>
          <w:lang w:val="es-ES_tradnl"/>
        </w:rPr>
        <w:t xml:space="preserve"> </w:t>
      </w:r>
      <w:r w:rsidRPr="00A63333">
        <w:rPr>
          <w:lang w:val="es-ES_tradnl"/>
        </w:rPr>
        <w:t>del</w:t>
      </w:r>
      <w:r w:rsidRPr="0022339C">
        <w:rPr>
          <w:lang w:val="es-ES_tradnl"/>
        </w:rPr>
        <w:t xml:space="preserve"> mes </w:t>
      </w:r>
      <w:r w:rsidRPr="00172E78">
        <w:rPr>
          <w:lang w:val="es-ES_tradnl"/>
        </w:rPr>
        <w:t>más</w:t>
      </w:r>
      <w:r w:rsidRPr="0022339C">
        <w:rPr>
          <w:lang w:val="es-ES_tradnl"/>
        </w:rPr>
        <w:t xml:space="preserve"> </w:t>
      </w:r>
      <w:r w:rsidRPr="00A63333">
        <w:rPr>
          <w:lang w:val="es-ES_tradnl"/>
        </w:rPr>
        <w:t>desfavorable</w:t>
      </w:r>
      <w:r w:rsidRPr="0022339C">
        <w:rPr>
          <w:lang w:val="es-ES_tradnl"/>
        </w:rPr>
        <w:t xml:space="preserve"> </w:t>
      </w:r>
      <w:r w:rsidRPr="00A63333">
        <w:rPr>
          <w:lang w:val="es-ES_tradnl"/>
        </w:rPr>
        <w:t>del</w:t>
      </w:r>
      <w:r w:rsidRPr="0022339C">
        <w:rPr>
          <w:lang w:val="es-ES_tradnl"/>
        </w:rPr>
        <w:t xml:space="preserve"> </w:t>
      </w:r>
      <w:r w:rsidRPr="00A63333">
        <w:rPr>
          <w:lang w:val="es-ES_tradnl"/>
        </w:rPr>
        <w:t>año</w:t>
      </w:r>
    </w:p>
    <w:p w:rsidR="009C33FE" w:rsidRPr="0022339C" w:rsidRDefault="009C33FE" w:rsidP="009C33FE">
      <w:pPr>
        <w:rPr>
          <w:lang w:val="es-ES_tradnl"/>
        </w:rPr>
      </w:pPr>
    </w:p>
    <w:p w:rsidR="009C33FE" w:rsidRPr="0022339C" w:rsidRDefault="009C33FE" w:rsidP="009C33FE">
      <w:pPr>
        <w:pStyle w:val="Figure"/>
        <w:rPr>
          <w:lang w:val="es-ES_tradnl"/>
        </w:rPr>
      </w:pPr>
      <w:r w:rsidRPr="0022339C">
        <w:rPr>
          <w:lang w:val="es-ES_tradnl"/>
        </w:rPr>
        <w:t>figurA 1</w:t>
      </w:r>
    </w:p>
    <w:p w:rsidR="009C33FE" w:rsidRPr="00A63333" w:rsidRDefault="009C33FE" w:rsidP="009C33FE">
      <w:pPr>
        <w:pStyle w:val="Figuretitle"/>
        <w:rPr>
          <w:lang w:val="es-ES_tradnl"/>
        </w:rPr>
      </w:pPr>
      <w:r w:rsidRPr="00A63333">
        <w:rPr>
          <w:lang w:val="es-ES_tradnl"/>
        </w:rPr>
        <w:t xml:space="preserve">Dependencia de </w:t>
      </w:r>
      <w:r w:rsidRPr="00A63333">
        <w:rPr>
          <w:i/>
          <w:iCs/>
          <w:lang w:val="es-ES_tradnl"/>
        </w:rPr>
        <w:t>W</w:t>
      </w:r>
      <w:r w:rsidRPr="00A63333">
        <w:rPr>
          <w:i/>
          <w:iCs/>
          <w:vertAlign w:val="subscript"/>
          <w:lang w:val="es-ES_tradnl"/>
        </w:rPr>
        <w:t>R</w:t>
      </w:r>
      <w:r w:rsidRPr="00A63333">
        <w:rPr>
          <w:lang w:val="es-ES_tradnl"/>
        </w:rPr>
        <w:t>/</w:t>
      </w:r>
      <w:r w:rsidRPr="00A63333">
        <w:rPr>
          <w:i/>
          <w:iCs/>
          <w:lang w:val="es-ES_tradnl"/>
        </w:rPr>
        <w:t>P</w:t>
      </w:r>
      <w:r w:rsidRPr="00A63333">
        <w:rPr>
          <w:i/>
          <w:iCs/>
          <w:vertAlign w:val="subscript"/>
          <w:lang w:val="es-ES_tradnl"/>
        </w:rPr>
        <w:t>W</w:t>
      </w:r>
      <w:r w:rsidRPr="00A63333">
        <w:rPr>
          <w:lang w:val="es-ES_tradnl"/>
        </w:rPr>
        <w:t xml:space="preserve"> respecto a </w:t>
      </w:r>
      <w:r w:rsidRPr="00A63333">
        <w:rPr>
          <w:i/>
          <w:iCs/>
          <w:lang w:val="es-ES_tradnl"/>
        </w:rPr>
        <w:t>Q</w:t>
      </w:r>
      <w:r w:rsidRPr="00A63333">
        <w:rPr>
          <w:lang w:val="es-ES_tradnl"/>
        </w:rPr>
        <w:t xml:space="preserve"> para diversos</w:t>
      </w:r>
      <w:r w:rsidR="00DE3B57">
        <w:rPr>
          <w:lang w:val="es-ES_tradnl"/>
        </w:rPr>
        <w:t xml:space="preserve"> </w:t>
      </w:r>
      <w:r w:rsidRPr="00A63333">
        <w:rPr>
          <w:lang w:val="es-ES_tradnl"/>
        </w:rPr>
        <w:t>valores</w:t>
      </w:r>
      <w:r w:rsidR="00DE3B57">
        <w:rPr>
          <w:lang w:val="es-ES_tradnl"/>
        </w:rPr>
        <w:br/>
      </w:r>
      <w:r w:rsidRPr="00A63333">
        <w:rPr>
          <w:lang w:val="es-ES"/>
        </w:rPr>
        <w:t>del</w:t>
      </w:r>
      <w:r w:rsidRPr="00A63333">
        <w:rPr>
          <w:lang w:val="es-ES_tradnl"/>
        </w:rPr>
        <w:t xml:space="preserve"> periodo de retorno </w:t>
      </w:r>
      <w:r w:rsidRPr="00A63333">
        <w:rPr>
          <w:i/>
          <w:iCs/>
          <w:lang w:val="es-ES_tradnl"/>
        </w:rPr>
        <w:t>R</w:t>
      </w:r>
      <w:r w:rsidRPr="00A63333">
        <w:rPr>
          <w:lang w:val="es-ES_tradnl"/>
        </w:rPr>
        <w:t xml:space="preserve"> (</w:t>
      </w:r>
      <w:r>
        <w:rPr>
          <w:lang w:val="es-ES_tradnl"/>
        </w:rPr>
        <w:t>años</w:t>
      </w:r>
      <w:r w:rsidRPr="00A63333">
        <w:rPr>
          <w:lang w:val="es-ES_tradnl"/>
        </w:rPr>
        <w:t>)</w:t>
      </w:r>
    </w:p>
    <w:p w:rsidR="009C33FE" w:rsidRDefault="004708E6" w:rsidP="009C33FE">
      <w:pPr>
        <w:pStyle w:val="Figure"/>
        <w:rPr>
          <w:lang w:val="en-GB"/>
        </w:rPr>
      </w:pPr>
      <w:r>
        <w:rPr>
          <w:lang w:val="en-GB"/>
        </w:rPr>
        <w:object w:dxaOrig="3264" w:dyaOrig="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15pt;height:333pt" o:ole="">
            <v:imagedata r:id="rId13" o:title=""/>
          </v:shape>
          <o:OLEObject Type="Embed" ProgID="CorelDRAW.Graphic.14" ShapeID="_x0000_i1025" DrawAspect="Content" ObjectID="_1469950642" r:id="rId14"/>
        </w:object>
      </w:r>
    </w:p>
    <w:p w:rsidR="009C33FE" w:rsidRDefault="009C33FE" w:rsidP="009C33FE">
      <w:pPr>
        <w:rPr>
          <w:lang w:val="es-ES_tradnl"/>
        </w:rPr>
      </w:pPr>
    </w:p>
    <w:p w:rsidR="00972EDD" w:rsidRPr="00E345FB" w:rsidRDefault="00972EDD" w:rsidP="009C33FE">
      <w:pPr>
        <w:rPr>
          <w:lang w:val="es-ES_tradnl"/>
        </w:rPr>
      </w:pPr>
    </w:p>
    <w:p w:rsidR="009C33FE" w:rsidRDefault="009C33FE" w:rsidP="009C33FE">
      <w:pPr>
        <w:pStyle w:val="AnnexNoTitle"/>
        <w:rPr>
          <w:lang w:val="es-ES_tradnl"/>
        </w:rPr>
      </w:pPr>
      <w:r>
        <w:rPr>
          <w:lang w:val="es-ES_tradnl"/>
        </w:rPr>
        <w:t>Anexo 2</w:t>
      </w:r>
      <w:r w:rsidR="00A73BB8">
        <w:rPr>
          <w:lang w:val="es-ES_tradnl"/>
        </w:rPr>
        <w:br/>
      </w:r>
      <w:r w:rsidR="00A73BB8">
        <w:rPr>
          <w:lang w:val="es-ES_tradnl"/>
        </w:rPr>
        <w:br/>
        <w:t xml:space="preserve">Variabilidad interanual de las estadísticas de intensidad </w:t>
      </w:r>
      <w:r w:rsidR="00A73BB8">
        <w:rPr>
          <w:lang w:val="es-ES_tradnl"/>
        </w:rPr>
        <w:br/>
        <w:t>de lluvia y atenuación debida a la lluvia</w:t>
      </w:r>
    </w:p>
    <w:p w:rsidR="009C33FE" w:rsidRDefault="009C33FE" w:rsidP="00AC21E4">
      <w:pPr>
        <w:pStyle w:val="Normalaftertitle"/>
        <w:rPr>
          <w:lang w:val="es-ES_tradnl"/>
        </w:rPr>
      </w:pPr>
      <w:r>
        <w:rPr>
          <w:lang w:val="es-ES_tradnl"/>
        </w:rPr>
        <w:t xml:space="preserve">Para un emplazamiento deseado, las fluctuaciones interanuales de las estadísticas de intensidad de lluvia y atenuación debida a la lluvia en torno a una función de distribución acumulativa complementaria (CCDF) </w:t>
      </w:r>
      <w:r w:rsidRPr="00C02FB8">
        <w:rPr>
          <w:i/>
          <w:iCs/>
          <w:lang w:val="es-ES_tradnl"/>
        </w:rPr>
        <w:t>p</w:t>
      </w:r>
      <w:r>
        <w:rPr>
          <w:lang w:val="es-ES_tradnl"/>
        </w:rPr>
        <w:t xml:space="preserve"> se distribuyen normalmente con una media </w:t>
      </w:r>
      <w:r w:rsidRPr="00C02FB8">
        <w:rPr>
          <w:i/>
          <w:iCs/>
          <w:lang w:val="es-ES_tradnl"/>
        </w:rPr>
        <w:t>p</w:t>
      </w:r>
      <w:r>
        <w:rPr>
          <w:lang w:val="es-ES_tradnl"/>
        </w:rPr>
        <w:t xml:space="preserve"> y una varianza anual</w:t>
      </w:r>
      <w:r w:rsidR="00551348">
        <w:rPr>
          <w:lang w:val="es-ES_tradnl"/>
        </w:rPr>
        <w:t xml:space="preserve"> </w:t>
      </w:r>
      <w:r w:rsidR="00551348">
        <w:rPr>
          <w:lang w:val="es-ES_tradnl"/>
        </w:rPr>
        <w:sym w:font="Symbol" w:char="F073"/>
      </w:r>
      <w:r w:rsidR="00551348" w:rsidRPr="00551348">
        <w:rPr>
          <w:vertAlign w:val="superscript"/>
          <w:lang w:val="es-ES_tradnl"/>
        </w:rPr>
        <w:t>2</w:t>
      </w:r>
      <w:r>
        <w:rPr>
          <w:lang w:val="es-ES_tradnl"/>
        </w:rPr>
        <w:t xml:space="preserve"> de manera que:</w:t>
      </w:r>
    </w:p>
    <w:p w:rsidR="009C33FE" w:rsidRPr="00240F6B" w:rsidRDefault="009C33FE" w:rsidP="009C33FE">
      <w:pPr>
        <w:pStyle w:val="Equation"/>
        <w:rPr>
          <w:lang w:val="es-ES_tradnl"/>
        </w:rPr>
      </w:pPr>
      <w:r w:rsidRPr="0022339C">
        <w:rPr>
          <w:lang w:val="es-ES_tradnl"/>
        </w:rPr>
        <w:tab/>
      </w:r>
      <w:r w:rsidRPr="0022339C">
        <w:rPr>
          <w:lang w:val="es-ES_tradnl"/>
        </w:rPr>
        <w:tab/>
      </w:r>
      <w:r w:rsidRPr="003576F1">
        <w:rPr>
          <w:position w:val="-12"/>
        </w:rPr>
        <w:object w:dxaOrig="2400" w:dyaOrig="420">
          <v:shape id="_x0000_i1026" type="#_x0000_t75" style="width:120pt;height:22.15pt" o:ole="">
            <v:imagedata r:id="rId15" o:title=""/>
          </v:shape>
          <o:OLEObject Type="Embed" ProgID="Equation.3" ShapeID="_x0000_i1026" DrawAspect="Content" ObjectID="_1469950643" r:id="rId16"/>
        </w:object>
      </w:r>
      <w:r w:rsidRPr="009C33FE">
        <w:rPr>
          <w:lang w:val="es-ES_tradnl"/>
        </w:rPr>
        <w:tab/>
      </w:r>
      <w:r w:rsidRPr="00240F6B">
        <w:rPr>
          <w:lang w:val="es-ES_tradnl"/>
        </w:rPr>
        <w:t>(1)</w:t>
      </w:r>
    </w:p>
    <w:p w:rsidR="009C33FE" w:rsidRDefault="00DE3B57" w:rsidP="00DE3B57">
      <w:pPr>
        <w:keepNext/>
        <w:keepLines/>
        <w:rPr>
          <w:lang w:val="es-ES_tradnl"/>
        </w:rPr>
      </w:pPr>
      <w:r>
        <w:rPr>
          <w:lang w:val="es-ES_tradnl"/>
        </w:rPr>
        <w:lastRenderedPageBreak/>
        <w:t>siendo</w:t>
      </w:r>
      <w:r w:rsidR="009C33FE">
        <w:rPr>
          <w:lang w:val="es-ES_tradnl"/>
        </w:rPr>
        <w:t>:</w:t>
      </w:r>
    </w:p>
    <w:p w:rsidR="009C33FE" w:rsidRPr="00C02FB8" w:rsidRDefault="009C33FE" w:rsidP="009C33FE">
      <w:pPr>
        <w:pStyle w:val="Equationlegend"/>
        <w:rPr>
          <w:lang w:val="es-ES_tradnl"/>
        </w:rPr>
      </w:pPr>
      <w:r w:rsidRPr="00C02FB8">
        <w:rPr>
          <w:lang w:val="es-ES_tradnl"/>
        </w:rPr>
        <w:tab/>
      </w:r>
      <w:r w:rsidRPr="003576F1">
        <w:rPr>
          <w:position w:val="-10"/>
          <w:lang w:val="fr-FR"/>
        </w:rPr>
        <w:object w:dxaOrig="380" w:dyaOrig="400">
          <v:shape id="_x0000_i1027" type="#_x0000_t75" style="width:19.5pt;height:19.15pt" o:ole="">
            <v:imagedata r:id="rId17" o:title=""/>
          </v:shape>
          <o:OLEObject Type="Embed" ProgID="Equation.3" ShapeID="_x0000_i1027" DrawAspect="Content" ObjectID="_1469950644" r:id="rId18"/>
        </w:object>
      </w:r>
      <w:r w:rsidRPr="00C02FB8">
        <w:rPr>
          <w:lang w:val="es-ES_tradnl"/>
        </w:rPr>
        <w:t>:</w:t>
      </w:r>
      <w:r w:rsidRPr="00C02FB8">
        <w:rPr>
          <w:lang w:val="es-ES_tradnl"/>
        </w:rPr>
        <w:tab/>
        <w:t>l</w:t>
      </w:r>
      <w:r>
        <w:rPr>
          <w:lang w:val="es-ES_tradnl"/>
        </w:rPr>
        <w:t>a varianza de la estimación</w:t>
      </w:r>
    </w:p>
    <w:p w:rsidR="009C33FE" w:rsidRPr="00C02FB8" w:rsidRDefault="009C33FE" w:rsidP="009C33FE">
      <w:pPr>
        <w:pStyle w:val="Equationlegend"/>
        <w:rPr>
          <w:lang w:val="es-ES_tradnl"/>
        </w:rPr>
      </w:pPr>
      <w:r w:rsidRPr="00C02FB8">
        <w:rPr>
          <w:lang w:val="es-ES_tradnl"/>
        </w:rPr>
        <w:tab/>
      </w:r>
      <w:r w:rsidRPr="003576F1">
        <w:rPr>
          <w:position w:val="-12"/>
          <w:lang w:val="fr-FR"/>
        </w:rPr>
        <w:object w:dxaOrig="360" w:dyaOrig="420">
          <v:shape id="_x0000_i1028" type="#_x0000_t75" style="width:19.15pt;height:22.15pt" o:ole="">
            <v:imagedata r:id="rId19" o:title=""/>
          </v:shape>
          <o:OLEObject Type="Embed" ProgID="Equation.3" ShapeID="_x0000_i1028" DrawAspect="Content" ObjectID="_1469950645" r:id="rId20"/>
        </w:object>
      </w:r>
      <w:r w:rsidRPr="00C02FB8">
        <w:rPr>
          <w:lang w:val="es-ES_tradnl"/>
        </w:rPr>
        <w:t>:</w:t>
      </w:r>
      <w:r w:rsidRPr="00C02FB8">
        <w:rPr>
          <w:lang w:val="es-ES_tradnl"/>
        </w:rPr>
        <w:tab/>
      </w:r>
      <w:r>
        <w:rPr>
          <w:lang w:val="es-ES_tradnl"/>
        </w:rPr>
        <w:t>la varianza climática interanual</w:t>
      </w:r>
    </w:p>
    <w:p w:rsidR="009C33FE" w:rsidRDefault="009C33FE" w:rsidP="00AC21E4">
      <w:pPr>
        <w:rPr>
          <w:lang w:val="es-ES_tradnl"/>
        </w:rPr>
      </w:pPr>
      <w:r>
        <w:rPr>
          <w:lang w:val="es-ES_tradnl"/>
        </w:rPr>
        <w:t xml:space="preserve">El siguiente método de predicción proporciona un procedimiento paso a paso para calcular el valor de </w:t>
      </w:r>
      <w:r w:rsidRPr="003576F1">
        <w:rPr>
          <w:position w:val="-10"/>
        </w:rPr>
        <w:object w:dxaOrig="660" w:dyaOrig="400">
          <v:shape id="_x0000_i1029" type="#_x0000_t75" style="width:34.15pt;height:19.15pt" o:ole="">
            <v:imagedata r:id="rId21" o:title=""/>
          </v:shape>
          <o:OLEObject Type="Embed" ProgID="Equation.3" ShapeID="_x0000_i1029" DrawAspect="Content" ObjectID="_1469950646" r:id="rId22"/>
        </w:object>
      </w:r>
      <w:r w:rsidRPr="00B2011C">
        <w:rPr>
          <w:lang w:val="es-ES_tradnl"/>
        </w:rPr>
        <w:t xml:space="preserve"> </w:t>
      </w:r>
      <w:r>
        <w:rPr>
          <w:lang w:val="es-ES_tradnl"/>
        </w:rPr>
        <w:t>asociado a la probabilidad de rebasamiento</w:t>
      </w:r>
      <w:r w:rsidRPr="00B2011C">
        <w:rPr>
          <w:lang w:val="es-ES_tradnl"/>
        </w:rPr>
        <w:t xml:space="preserve"> </w:t>
      </w:r>
      <w:r w:rsidRPr="00B2011C">
        <w:rPr>
          <w:i/>
          <w:lang w:val="es-ES_tradnl"/>
        </w:rPr>
        <w:t xml:space="preserve">p </w:t>
      </w:r>
      <w:r w:rsidRPr="00972EDD">
        <w:rPr>
          <w:lang w:val="es-ES_tradnl"/>
        </w:rPr>
        <w:t>(</w:t>
      </w:r>
      <w:r w:rsidRPr="00B2011C">
        <w:rPr>
          <w:iCs/>
          <w:lang w:val="es-ES_tradnl"/>
        </w:rPr>
        <w:t>0</w:t>
      </w:r>
      <w:r w:rsidRPr="00B2011C">
        <w:rPr>
          <w:i/>
          <w:lang w:val="es-ES_tradnl"/>
        </w:rPr>
        <w:t xml:space="preserve"> ≤ p ≤ </w:t>
      </w:r>
      <w:r w:rsidRPr="00B2011C">
        <w:rPr>
          <w:iCs/>
          <w:lang w:val="es-ES_tradnl"/>
        </w:rPr>
        <w:t>1</w:t>
      </w:r>
      <w:r w:rsidRPr="00972EDD">
        <w:rPr>
          <w:lang w:val="es-ES_tradnl"/>
        </w:rPr>
        <w:t>)</w:t>
      </w:r>
      <w:r w:rsidRPr="00B2011C">
        <w:rPr>
          <w:lang w:val="es-ES_tradnl"/>
        </w:rPr>
        <w:t>.</w:t>
      </w:r>
    </w:p>
    <w:p w:rsidR="009C33FE" w:rsidRPr="00B2011C" w:rsidRDefault="009C33FE" w:rsidP="009C33FE">
      <w:pPr>
        <w:keepNext/>
        <w:keepLines/>
        <w:rPr>
          <w:lang w:val="es-ES_tradnl"/>
        </w:rPr>
      </w:pPr>
      <w:r>
        <w:rPr>
          <w:lang w:val="es-ES_tradnl"/>
        </w:rPr>
        <w:t>Se necesita conocer los siguientes parámetros:</w:t>
      </w:r>
    </w:p>
    <w:p w:rsidR="009C33FE" w:rsidRPr="00B2011C" w:rsidRDefault="009C33FE" w:rsidP="009C33FE">
      <w:pPr>
        <w:pStyle w:val="Equationlegend"/>
        <w:rPr>
          <w:lang w:val="es-ES_tradnl"/>
        </w:rPr>
      </w:pPr>
      <w:r w:rsidRPr="00B2011C">
        <w:rPr>
          <w:i/>
          <w:lang w:val="es-ES_tradnl"/>
        </w:rPr>
        <w:tab/>
        <w:t>p</w:t>
      </w:r>
      <w:r w:rsidRPr="00B2011C">
        <w:rPr>
          <w:lang w:val="es-ES_tradnl"/>
        </w:rPr>
        <w:t>:</w:t>
      </w:r>
      <w:r w:rsidRPr="00B2011C">
        <w:rPr>
          <w:lang w:val="es-ES_tradnl"/>
        </w:rPr>
        <w:tab/>
      </w:r>
      <w:r>
        <w:rPr>
          <w:lang w:val="es-ES_tradnl"/>
        </w:rPr>
        <w:t>Probabilidad de rebasamiento (%)</w:t>
      </w:r>
    </w:p>
    <w:p w:rsidR="009C33FE" w:rsidRPr="00B2011C" w:rsidRDefault="009C33FE" w:rsidP="009C33FE">
      <w:pPr>
        <w:pStyle w:val="Equationlegend"/>
        <w:rPr>
          <w:lang w:val="es-ES_tradnl"/>
        </w:rPr>
      </w:pPr>
      <w:r w:rsidRPr="00B2011C">
        <w:rPr>
          <w:i/>
          <w:lang w:val="es-ES_tradnl"/>
        </w:rPr>
        <w:tab/>
        <w:t>r</w:t>
      </w:r>
      <w:r w:rsidRPr="00B2011C">
        <w:rPr>
          <w:i/>
          <w:vertAlign w:val="subscript"/>
          <w:lang w:val="es-ES_tradnl"/>
        </w:rPr>
        <w:t>c</w:t>
      </w:r>
      <w:r w:rsidRPr="00B2011C">
        <w:rPr>
          <w:lang w:val="es-ES_tradnl"/>
        </w:rPr>
        <w:t>:</w:t>
      </w:r>
      <w:r w:rsidRPr="00B2011C">
        <w:rPr>
          <w:lang w:val="es-ES_tradnl"/>
        </w:rPr>
        <w:tab/>
      </w:r>
      <w:r>
        <w:rPr>
          <w:lang w:val="es-ES_tradnl"/>
        </w:rPr>
        <w:t>Relación climática</w:t>
      </w:r>
    </w:p>
    <w:p w:rsidR="009C33FE" w:rsidRDefault="009C33FE" w:rsidP="00AC21E4">
      <w:pPr>
        <w:rPr>
          <w:lang w:val="es-ES_tradnl"/>
        </w:rPr>
      </w:pPr>
      <w:r>
        <w:rPr>
          <w:lang w:val="es-ES_tradnl"/>
        </w:rPr>
        <w:t xml:space="preserve">Los valores de </w:t>
      </w:r>
      <w:r w:rsidRPr="00B2011C">
        <w:rPr>
          <w:i/>
          <w:lang w:val="es-ES_tradnl"/>
        </w:rPr>
        <w:t>r</w:t>
      </w:r>
      <w:r w:rsidRPr="00B2011C">
        <w:rPr>
          <w:i/>
          <w:vertAlign w:val="subscript"/>
          <w:lang w:val="es-ES_tradnl"/>
        </w:rPr>
        <w:t>c</w:t>
      </w:r>
      <w:r>
        <w:rPr>
          <w:lang w:val="es-ES_tradnl"/>
        </w:rPr>
        <w:t xml:space="preserve"> la relación climática, son parte integrante de esta Recomendación y están disponibles en forma de mapas digitales en el fichero </w:t>
      </w:r>
      <w:hyperlink r:id="rId23" w:history="1">
        <w:r w:rsidRPr="00A73BB8">
          <w:rPr>
            <w:rStyle w:val="Hyperlink"/>
            <w:rFonts w:ascii="Arial" w:hAnsi="Arial" w:cs="Arial"/>
            <w:sz w:val="18"/>
            <w:szCs w:val="18"/>
            <w:lang w:val="es-ES_tradnl"/>
          </w:rPr>
          <w:t>R-REC-P.678-2-201309-I!!ZIP-E</w:t>
        </w:r>
      </w:hyperlink>
      <w:r w:rsidRPr="00A73BB8">
        <w:t>.</w:t>
      </w:r>
      <w:r>
        <w:rPr>
          <w:lang w:val="es-ES_tradnl"/>
        </w:rPr>
        <w:t xml:space="preserve"> Estos mapas se obtuvieron recopilando 50 años de datos de la base de datos GPCC.</w:t>
      </w:r>
    </w:p>
    <w:p w:rsidR="009C33FE" w:rsidRDefault="009C33FE" w:rsidP="009C33FE">
      <w:pPr>
        <w:rPr>
          <w:lang w:val="es-ES_tradnl"/>
        </w:rPr>
      </w:pPr>
      <w:r w:rsidRPr="00B2011C">
        <w:rPr>
          <w:b/>
          <w:bCs/>
          <w:lang w:val="es-ES_tradnl"/>
        </w:rPr>
        <w:t>Paso 1</w:t>
      </w:r>
      <w:r>
        <w:rPr>
          <w:lang w:val="es-ES_tradnl"/>
        </w:rPr>
        <w:t xml:space="preserve">: Para la probabilidad de rebasamiento deseada, </w:t>
      </w:r>
      <w:r w:rsidRPr="00B2011C">
        <w:rPr>
          <w:i/>
          <w:iCs/>
          <w:lang w:val="es-ES_tradnl"/>
        </w:rPr>
        <w:t>p</w:t>
      </w:r>
      <w:r>
        <w:rPr>
          <w:lang w:val="es-ES_tradnl"/>
        </w:rPr>
        <w:t>, se calcula.</w:t>
      </w:r>
    </w:p>
    <w:p w:rsidR="009C33FE" w:rsidRPr="00972EDD" w:rsidRDefault="009C33FE" w:rsidP="009C33FE">
      <w:pPr>
        <w:pStyle w:val="Blanc"/>
        <w:rPr>
          <w:lang w:val="es-ES_tradnl"/>
        </w:rPr>
      </w:pPr>
    </w:p>
    <w:p w:rsidR="009C33FE" w:rsidRPr="0022339C" w:rsidRDefault="009C33FE" w:rsidP="009C33FE">
      <w:pPr>
        <w:pStyle w:val="Equation"/>
        <w:rPr>
          <w:lang w:val="es-ES_tradnl"/>
        </w:rPr>
      </w:pPr>
      <w:r w:rsidRPr="0022339C">
        <w:rPr>
          <w:lang w:val="es-ES_tradnl"/>
        </w:rPr>
        <w:tab/>
      </w:r>
      <w:r w:rsidRPr="0022339C">
        <w:rPr>
          <w:lang w:val="es-ES_tradnl"/>
        </w:rPr>
        <w:tab/>
      </w:r>
      <w:r w:rsidRPr="003576F1">
        <w:rPr>
          <w:position w:val="-32"/>
        </w:rPr>
        <w:object w:dxaOrig="1900" w:dyaOrig="760">
          <v:shape id="_x0000_i1030" type="#_x0000_t75" style="width:96pt;height:38.65pt" o:ole="">
            <v:imagedata r:id="rId24" o:title=""/>
          </v:shape>
          <o:OLEObject Type="Embed" ProgID="Equation.3" ShapeID="_x0000_i1030" DrawAspect="Content" ObjectID="_1469950647" r:id="rId25"/>
        </w:object>
      </w:r>
      <w:r w:rsidRPr="0022339C">
        <w:rPr>
          <w:lang w:val="es-ES_tradnl"/>
        </w:rPr>
        <w:tab/>
        <w:t>(2)</w:t>
      </w:r>
    </w:p>
    <w:p w:rsidR="009C33FE" w:rsidRPr="0022339C" w:rsidRDefault="009C33FE" w:rsidP="009C33FE">
      <w:pPr>
        <w:rPr>
          <w:lang w:val="es-ES_tradnl"/>
        </w:rPr>
      </w:pPr>
      <w:r w:rsidRPr="008800F0">
        <w:rPr>
          <w:lang w:val="es-ES_tradnl"/>
        </w:rPr>
        <w:t>siendo</w:t>
      </w:r>
    </w:p>
    <w:p w:rsidR="009C33FE" w:rsidRPr="0022339C" w:rsidRDefault="009C33FE" w:rsidP="009C33FE">
      <w:pPr>
        <w:pStyle w:val="Equation"/>
        <w:rPr>
          <w:lang w:val="es-ES_tradnl"/>
        </w:rPr>
      </w:pPr>
      <w:r w:rsidRPr="0022339C">
        <w:rPr>
          <w:lang w:val="es-ES_tradnl"/>
        </w:rPr>
        <w:tab/>
      </w:r>
      <w:r w:rsidRPr="0022339C">
        <w:rPr>
          <w:lang w:val="es-ES_tradnl"/>
        </w:rPr>
        <w:tab/>
      </w:r>
      <w:r w:rsidRPr="003576F1">
        <w:rPr>
          <w:position w:val="-58"/>
        </w:rPr>
        <w:object w:dxaOrig="2659" w:dyaOrig="1160">
          <v:shape id="_x0000_i1031" type="#_x0000_t75" style="width:132.4pt;height:57pt" o:ole="">
            <v:imagedata r:id="rId26" o:title=""/>
          </v:shape>
          <o:OLEObject Type="Embed" ProgID="Equation.3" ShapeID="_x0000_i1031" DrawAspect="Content" ObjectID="_1469950648" r:id="rId27"/>
        </w:object>
      </w:r>
      <w:r w:rsidRPr="0022339C">
        <w:rPr>
          <w:lang w:val="es-ES_tradnl"/>
        </w:rPr>
        <w:tab/>
        <w:t>(3)</w:t>
      </w:r>
    </w:p>
    <w:p w:rsidR="009C33FE" w:rsidRPr="0022339C" w:rsidRDefault="009C33FE" w:rsidP="009C33FE">
      <w:pPr>
        <w:rPr>
          <w:lang w:val="es-ES_tradnl"/>
        </w:rPr>
      </w:pPr>
      <w:r w:rsidRPr="0022339C">
        <w:rPr>
          <w:lang w:val="es-ES_tradnl"/>
        </w:rPr>
        <w:t>con</w:t>
      </w:r>
    </w:p>
    <w:p w:rsidR="009C33FE" w:rsidRPr="0022339C" w:rsidRDefault="009C33FE" w:rsidP="009C33FE">
      <w:pPr>
        <w:pStyle w:val="Equation"/>
        <w:rPr>
          <w:lang w:val="es-ES_tradnl"/>
        </w:rPr>
      </w:pPr>
      <w:r w:rsidRPr="0022339C">
        <w:rPr>
          <w:lang w:val="es-ES_tradnl"/>
        </w:rPr>
        <w:tab/>
      </w:r>
      <w:r w:rsidRPr="0022339C">
        <w:rPr>
          <w:lang w:val="es-ES_tradnl"/>
        </w:rPr>
        <w:tab/>
      </w:r>
      <w:r w:rsidRPr="003576F1">
        <w:rPr>
          <w:position w:val="-68"/>
        </w:rPr>
        <w:object w:dxaOrig="1660" w:dyaOrig="1480">
          <v:shape id="_x0000_i1032" type="#_x0000_t75" style="width:82.5pt;height:73.5pt" o:ole="">
            <v:imagedata r:id="rId28" o:title=""/>
          </v:shape>
          <o:OLEObject Type="Embed" ProgID="Equation.3" ShapeID="_x0000_i1032" DrawAspect="Content" ObjectID="_1469950649" r:id="rId29"/>
        </w:object>
      </w:r>
      <w:r w:rsidRPr="0022339C">
        <w:rPr>
          <w:lang w:val="es-ES_tradnl"/>
        </w:rPr>
        <w:tab/>
        <w:t>(4)</w:t>
      </w:r>
    </w:p>
    <w:p w:rsidR="009C33FE" w:rsidRPr="00972EDD" w:rsidRDefault="009C33FE" w:rsidP="009C33FE">
      <w:pPr>
        <w:pStyle w:val="Blanc"/>
        <w:rPr>
          <w:lang w:val="es-ES_tradnl"/>
        </w:rPr>
      </w:pPr>
    </w:p>
    <w:p w:rsidR="009C33FE" w:rsidRPr="00F42A24" w:rsidRDefault="009C33FE" w:rsidP="009C33FE">
      <w:pPr>
        <w:rPr>
          <w:lang w:val="es-ES_tradnl"/>
        </w:rPr>
      </w:pPr>
      <w:r w:rsidRPr="00F42A24">
        <w:rPr>
          <w:b/>
          <w:bCs/>
          <w:lang w:val="es-ES_tradnl"/>
        </w:rPr>
        <w:t>Paso 2</w:t>
      </w:r>
      <w:r w:rsidRPr="00972EDD">
        <w:rPr>
          <w:lang w:val="es-ES_tradnl"/>
        </w:rPr>
        <w:t>:</w:t>
      </w:r>
      <w:r w:rsidRPr="00F42A24">
        <w:rPr>
          <w:lang w:val="es-ES_tradnl"/>
        </w:rPr>
        <w:t xml:space="preserve"> </w:t>
      </w:r>
      <w:r>
        <w:rPr>
          <w:lang w:val="es-ES_tradnl"/>
        </w:rPr>
        <w:t>La varianza de la estimación</w:t>
      </w:r>
      <w:r w:rsidRPr="00F42A24">
        <w:rPr>
          <w:lang w:val="es-ES_tradnl"/>
        </w:rPr>
        <w:t xml:space="preserve"> </w:t>
      </w:r>
      <w:r w:rsidRPr="003576F1">
        <w:rPr>
          <w:position w:val="-10"/>
        </w:rPr>
        <w:object w:dxaOrig="360" w:dyaOrig="400">
          <v:shape id="_x0000_i1033" type="#_x0000_t75" style="width:19.15pt;height:19.15pt" o:ole="">
            <v:imagedata r:id="rId30" o:title=""/>
          </v:shape>
          <o:OLEObject Type="Embed" ProgID="Equation.3" ShapeID="_x0000_i1033" DrawAspect="Content" ObjectID="_1469950650" r:id="rId31"/>
        </w:object>
      </w:r>
      <w:r w:rsidRPr="00F42A24">
        <w:rPr>
          <w:lang w:val="es-ES_tradnl"/>
        </w:rPr>
        <w:t xml:space="preserve"> </w:t>
      </w:r>
      <w:r>
        <w:rPr>
          <w:lang w:val="es-ES_tradnl"/>
        </w:rPr>
        <w:t>se calcula como sigue:</w:t>
      </w:r>
    </w:p>
    <w:p w:rsidR="009C33FE" w:rsidRPr="009C33FE" w:rsidRDefault="009C33FE" w:rsidP="009C33FE">
      <w:pPr>
        <w:pStyle w:val="Blanc"/>
        <w:rPr>
          <w:lang w:val="es-ES_tradnl"/>
        </w:rPr>
      </w:pPr>
    </w:p>
    <w:p w:rsidR="009C33FE" w:rsidRPr="0022339C" w:rsidRDefault="009C33FE" w:rsidP="009C33FE">
      <w:pPr>
        <w:pStyle w:val="Equation"/>
        <w:rPr>
          <w:lang w:val="es-ES_tradnl"/>
        </w:rPr>
      </w:pPr>
      <w:r w:rsidRPr="00F42A24">
        <w:rPr>
          <w:lang w:val="es-ES_tradnl"/>
        </w:rPr>
        <w:tab/>
      </w:r>
      <w:r w:rsidRPr="00F42A24">
        <w:rPr>
          <w:lang w:val="es-ES_tradnl"/>
        </w:rPr>
        <w:tab/>
      </w:r>
      <w:r w:rsidRPr="003576F1">
        <w:rPr>
          <w:position w:val="-24"/>
        </w:rPr>
        <w:object w:dxaOrig="2079" w:dyaOrig="620">
          <v:shape id="_x0000_i1034" type="#_x0000_t75" style="width:102.4pt;height:31.15pt" o:ole="">
            <v:imagedata r:id="rId32" o:title=""/>
          </v:shape>
          <o:OLEObject Type="Embed" ProgID="Equation.3" ShapeID="_x0000_i1034" DrawAspect="Content" ObjectID="_1469950651" r:id="rId33"/>
        </w:object>
      </w:r>
      <w:r w:rsidRPr="0022339C">
        <w:rPr>
          <w:lang w:val="es-ES_tradnl"/>
        </w:rPr>
        <w:tab/>
        <w:t>(5)</w:t>
      </w:r>
    </w:p>
    <w:p w:rsidR="009C33FE" w:rsidRPr="00972EDD" w:rsidRDefault="009C33FE" w:rsidP="009C33FE">
      <w:pPr>
        <w:pStyle w:val="Blanc"/>
        <w:rPr>
          <w:lang w:val="es-ES_tradnl"/>
        </w:rPr>
      </w:pPr>
    </w:p>
    <w:p w:rsidR="009C33FE" w:rsidRDefault="009C33FE" w:rsidP="009C33FE">
      <w:pPr>
        <w:rPr>
          <w:lang w:val="es-ES_tradnl"/>
        </w:rPr>
      </w:pPr>
      <w:r w:rsidRPr="00761CC0">
        <w:rPr>
          <w:b/>
          <w:bCs/>
          <w:lang w:val="es-ES_tradnl"/>
        </w:rPr>
        <w:t>Paso 3</w:t>
      </w:r>
      <w:r w:rsidRPr="00972EDD">
        <w:rPr>
          <w:lang w:val="es-ES_tradnl"/>
        </w:rPr>
        <w:t>:</w:t>
      </w:r>
      <w:r>
        <w:rPr>
          <w:lang w:val="es-ES_tradnl"/>
        </w:rPr>
        <w:t xml:space="preserve"> Se extrae la variable </w:t>
      </w:r>
      <w:r w:rsidRPr="00761CC0">
        <w:rPr>
          <w:i/>
          <w:lang w:val="es-ES_tradnl"/>
        </w:rPr>
        <w:t>r</w:t>
      </w:r>
      <w:r w:rsidRPr="00761CC0">
        <w:rPr>
          <w:i/>
          <w:vertAlign w:val="subscript"/>
          <w:lang w:val="es-ES_tradnl"/>
        </w:rPr>
        <w:t>c</w:t>
      </w:r>
      <w:r>
        <w:rPr>
          <w:lang w:val="es-ES_tradnl"/>
        </w:rPr>
        <w:t xml:space="preserve"> para los cuatro puntos más próximos en latitud </w:t>
      </w:r>
      <w:r w:rsidRPr="00F42A24">
        <w:rPr>
          <w:lang w:val="es-ES_tradnl"/>
        </w:rPr>
        <w:t>(</w:t>
      </w:r>
      <w:r w:rsidRPr="00F42A24">
        <w:rPr>
          <w:i/>
          <w:lang w:val="es-ES_tradnl"/>
        </w:rPr>
        <w:t>Lat</w:t>
      </w:r>
      <w:r w:rsidRPr="00F42A24">
        <w:rPr>
          <w:lang w:val="es-ES_tradnl"/>
        </w:rPr>
        <w:t>)</w:t>
      </w:r>
      <w:r>
        <w:rPr>
          <w:lang w:val="es-ES_tradnl"/>
        </w:rPr>
        <w:t xml:space="preserve"> y longitud </w:t>
      </w:r>
      <w:r w:rsidRPr="00761CC0">
        <w:rPr>
          <w:i/>
          <w:iCs/>
          <w:lang w:val="es-ES_tradnl"/>
        </w:rPr>
        <w:t>(Lon)</w:t>
      </w:r>
      <w:r>
        <w:rPr>
          <w:lang w:val="es-ES_tradnl"/>
        </w:rPr>
        <w:t xml:space="preserve"> a las coordenadas geográficas del emplazamiento deseado.</w:t>
      </w:r>
    </w:p>
    <w:p w:rsidR="009C33FE" w:rsidRDefault="009C33FE" w:rsidP="009C33FE">
      <w:pPr>
        <w:rPr>
          <w:lang w:val="es-ES_tradnl"/>
        </w:rPr>
      </w:pPr>
      <w:r w:rsidRPr="00761CC0">
        <w:rPr>
          <w:b/>
          <w:bCs/>
          <w:lang w:val="es-ES_tradnl"/>
        </w:rPr>
        <w:t>Paso 4</w:t>
      </w:r>
      <w:r w:rsidRPr="00972EDD">
        <w:rPr>
          <w:lang w:val="es-ES_tradnl"/>
        </w:rPr>
        <w:t>:</w:t>
      </w:r>
      <w:r>
        <w:rPr>
          <w:lang w:val="es-ES_tradnl"/>
        </w:rPr>
        <w:t xml:space="preserve"> A partir de los valores de </w:t>
      </w:r>
      <w:r w:rsidRPr="00761CC0">
        <w:rPr>
          <w:i/>
          <w:lang w:val="es-ES_tradnl"/>
        </w:rPr>
        <w:t>r</w:t>
      </w:r>
      <w:r w:rsidRPr="00761CC0">
        <w:rPr>
          <w:i/>
          <w:vertAlign w:val="subscript"/>
          <w:lang w:val="es-ES_tradnl"/>
        </w:rPr>
        <w:t>c</w:t>
      </w:r>
      <w:r>
        <w:rPr>
          <w:lang w:val="es-ES_tradnl"/>
        </w:rPr>
        <w:t xml:space="preserve"> en los cuatro puntos de la rejilla, se obtiene el valor de </w:t>
      </w:r>
      <w:r w:rsidRPr="00761CC0">
        <w:rPr>
          <w:i/>
          <w:lang w:val="es-ES_tradnl"/>
        </w:rPr>
        <w:t>r</w:t>
      </w:r>
      <w:r w:rsidRPr="00761CC0">
        <w:rPr>
          <w:i/>
          <w:vertAlign w:val="subscript"/>
          <w:lang w:val="es-ES_tradnl"/>
        </w:rPr>
        <w:t>c</w:t>
      </w:r>
      <w:r w:rsidRPr="00761CC0">
        <w:rPr>
          <w:lang w:val="es-ES_tradnl"/>
        </w:rPr>
        <w:t>(</w:t>
      </w:r>
      <w:r w:rsidRPr="00761CC0">
        <w:rPr>
          <w:i/>
          <w:lang w:val="es-ES_tradnl"/>
        </w:rPr>
        <w:t>Lat</w:t>
      </w:r>
      <w:r>
        <w:rPr>
          <w:lang w:val="es-ES_tradnl"/>
        </w:rPr>
        <w:t>, </w:t>
      </w:r>
      <w:r w:rsidRPr="00761CC0">
        <w:rPr>
          <w:i/>
          <w:lang w:val="es-ES_tradnl"/>
        </w:rPr>
        <w:t>Lon</w:t>
      </w:r>
      <w:r w:rsidRPr="00761CC0">
        <w:rPr>
          <w:lang w:val="es-ES_tradnl"/>
        </w:rPr>
        <w:t>)</w:t>
      </w:r>
      <w:r>
        <w:rPr>
          <w:lang w:val="es-ES_tradnl"/>
        </w:rPr>
        <w:t xml:space="preserve"> en el emplazamiento deseado mediante una interpolación bilineal, como se describe en la Recomendación UIT-R P.1144.</w:t>
      </w:r>
    </w:p>
    <w:p w:rsidR="009C33FE" w:rsidRPr="00761CC0" w:rsidRDefault="009C33FE" w:rsidP="009C33FE">
      <w:pPr>
        <w:rPr>
          <w:lang w:val="es-ES_tradnl"/>
        </w:rPr>
      </w:pPr>
      <w:r w:rsidRPr="00761CC0">
        <w:rPr>
          <w:b/>
          <w:bCs/>
          <w:lang w:val="es-ES_tradnl"/>
        </w:rPr>
        <w:t>Paso 5</w:t>
      </w:r>
      <w:r w:rsidRPr="00972EDD">
        <w:rPr>
          <w:lang w:val="es-ES_tradnl"/>
        </w:rPr>
        <w:t>:</w:t>
      </w:r>
      <w:r>
        <w:rPr>
          <w:lang w:val="es-ES_tradnl"/>
        </w:rPr>
        <w:t xml:space="preserve"> Se determina la varianza climática interanual</w:t>
      </w:r>
      <w:r w:rsidRPr="00761CC0">
        <w:rPr>
          <w:lang w:val="es-ES_tradnl"/>
        </w:rPr>
        <w:t xml:space="preserve"> </w:t>
      </w:r>
      <w:r w:rsidRPr="003576F1">
        <w:rPr>
          <w:position w:val="-12"/>
        </w:rPr>
        <w:object w:dxaOrig="360" w:dyaOrig="420">
          <v:shape id="_x0000_i1035" type="#_x0000_t75" style="width:19.15pt;height:22.15pt" o:ole="">
            <v:imagedata r:id="rId34" o:title=""/>
          </v:shape>
          <o:OLEObject Type="Embed" ProgID="Equation.3" ShapeID="_x0000_i1035" DrawAspect="Content" ObjectID="_1469950652" r:id="rId35"/>
        </w:object>
      </w:r>
      <w:r w:rsidRPr="00761CC0">
        <w:rPr>
          <w:lang w:val="es-ES_tradnl"/>
        </w:rPr>
        <w:t xml:space="preserve"> </w:t>
      </w:r>
      <w:r>
        <w:rPr>
          <w:lang w:val="es-ES_tradnl"/>
        </w:rPr>
        <w:t>de forma que</w:t>
      </w:r>
      <w:r w:rsidRPr="00761CC0">
        <w:rPr>
          <w:lang w:val="es-ES_tradnl"/>
        </w:rPr>
        <w:t>:</w:t>
      </w:r>
    </w:p>
    <w:p w:rsidR="009C33FE" w:rsidRPr="00972EDD" w:rsidRDefault="009C33FE" w:rsidP="009C33FE">
      <w:pPr>
        <w:pStyle w:val="Blanc"/>
        <w:rPr>
          <w:lang w:val="es-ES_tradnl"/>
        </w:rPr>
      </w:pPr>
    </w:p>
    <w:p w:rsidR="009C33FE" w:rsidRPr="0022339C" w:rsidRDefault="009C33FE" w:rsidP="009C33FE">
      <w:pPr>
        <w:pStyle w:val="Equation"/>
        <w:rPr>
          <w:lang w:val="es-ES_tradnl"/>
        </w:rPr>
      </w:pPr>
      <w:r w:rsidRPr="00761CC0">
        <w:rPr>
          <w:lang w:val="es-ES_tradnl"/>
        </w:rPr>
        <w:tab/>
      </w:r>
      <w:r w:rsidRPr="00761CC0">
        <w:rPr>
          <w:lang w:val="es-ES_tradnl"/>
        </w:rPr>
        <w:tab/>
      </w:r>
      <w:r w:rsidRPr="003576F1">
        <w:rPr>
          <w:position w:val="-12"/>
        </w:rPr>
        <w:object w:dxaOrig="2640" w:dyaOrig="420">
          <v:shape id="_x0000_i1036" type="#_x0000_t75" style="width:133.15pt;height:19.9pt" o:ole="">
            <v:imagedata r:id="rId36" o:title=""/>
          </v:shape>
          <o:OLEObject Type="Embed" ProgID="Equation.3" ShapeID="_x0000_i1036" DrawAspect="Content" ObjectID="_1469950653" r:id="rId37"/>
        </w:object>
      </w:r>
      <w:r w:rsidRPr="0022339C">
        <w:rPr>
          <w:lang w:val="es-ES_tradnl"/>
        </w:rPr>
        <w:tab/>
        <w:t>(6)</w:t>
      </w:r>
    </w:p>
    <w:p w:rsidR="009C33FE" w:rsidRDefault="009C33FE" w:rsidP="009C33FE">
      <w:pPr>
        <w:rPr>
          <w:lang w:val="es-ES_tradnl"/>
        </w:rPr>
      </w:pPr>
      <w:r>
        <w:rPr>
          <w:lang w:val="es-ES_tradnl"/>
        </w:rPr>
        <w:lastRenderedPageBreak/>
        <w:t xml:space="preserve">Si se utiliza un valor de CCDF previsto en vez de experimental, dicho valor no coincidirá exactamente con los valores reales de intensidad de lluvia o de atenuación debida a la lluvia (por ejemplo, la CCDF medida de atenuación debida a la lluvia no coincidirá exactamente con la CCDF de la atenuación debida a la lluvia calculada con arreglo a la Recomendación UIT-R P.618). En este caso, debe considerarse un error adicional </w:t>
      </w:r>
      <w:r w:rsidRPr="003576F1">
        <w:rPr>
          <w:position w:val="-10"/>
        </w:rPr>
        <w:object w:dxaOrig="760" w:dyaOrig="400">
          <v:shape id="_x0000_i1037" type="#_x0000_t75" style="width:38.65pt;height:20.65pt" o:ole="">
            <v:imagedata r:id="rId38" o:title=""/>
          </v:shape>
          <o:OLEObject Type="Embed" ProgID="Equation.3" ShapeID="_x0000_i1037" DrawAspect="Content" ObjectID="_1469950654" r:id="rId39"/>
        </w:object>
      </w:r>
      <w:r w:rsidRPr="002C473B">
        <w:rPr>
          <w:lang w:val="es-ES_tradnl"/>
        </w:rPr>
        <w:t xml:space="preserve">, </w:t>
      </w:r>
      <w:r>
        <w:rPr>
          <w:lang w:val="es-ES_tradnl"/>
        </w:rPr>
        <w:t>en cuyo caso la ecuación (1) pasa a ser:</w:t>
      </w:r>
    </w:p>
    <w:p w:rsidR="00042905" w:rsidRPr="0022339C" w:rsidRDefault="00042905" w:rsidP="00042905">
      <w:pPr>
        <w:pStyle w:val="Blanc"/>
        <w:rPr>
          <w:lang w:val="es-ES_tradnl"/>
        </w:rPr>
      </w:pPr>
    </w:p>
    <w:p w:rsidR="009C33FE" w:rsidRPr="0022339C" w:rsidRDefault="009C33FE" w:rsidP="009C33FE">
      <w:pPr>
        <w:pStyle w:val="Equation"/>
        <w:rPr>
          <w:lang w:val="es-ES_tradnl"/>
        </w:rPr>
      </w:pPr>
      <w:r w:rsidRPr="0022339C">
        <w:rPr>
          <w:lang w:val="es-ES_tradnl"/>
        </w:rPr>
        <w:tab/>
      </w:r>
      <w:r w:rsidRPr="0022339C">
        <w:rPr>
          <w:lang w:val="es-ES_tradnl"/>
        </w:rPr>
        <w:tab/>
      </w:r>
      <w:r w:rsidRPr="003576F1">
        <w:rPr>
          <w:position w:val="-12"/>
        </w:rPr>
        <w:object w:dxaOrig="3320" w:dyaOrig="420">
          <v:shape id="_x0000_i1038" type="#_x0000_t75" style="width:167.65pt;height:22.15pt" o:ole="">
            <v:imagedata r:id="rId40" o:title=""/>
          </v:shape>
          <o:OLEObject Type="Embed" ProgID="Equation.3" ShapeID="_x0000_i1038" DrawAspect="Content" ObjectID="_1469950655" r:id="rId41"/>
        </w:object>
      </w:r>
      <w:r w:rsidRPr="0022339C">
        <w:rPr>
          <w:lang w:val="es-ES_tradnl"/>
        </w:rPr>
        <w:tab/>
        <w:t>(7)</w:t>
      </w:r>
    </w:p>
    <w:p w:rsidR="00042905" w:rsidRPr="0022339C" w:rsidRDefault="00042905" w:rsidP="00042905">
      <w:pPr>
        <w:pStyle w:val="Blanc"/>
        <w:rPr>
          <w:lang w:val="es-ES_tradnl"/>
        </w:rPr>
      </w:pPr>
    </w:p>
    <w:p w:rsidR="009C33FE" w:rsidRDefault="009C33FE" w:rsidP="009C33FE">
      <w:pPr>
        <w:rPr>
          <w:lang w:val="es-ES_tradnl"/>
        </w:rPr>
      </w:pPr>
      <w:r w:rsidRPr="002C473B">
        <w:rPr>
          <w:lang w:val="es-ES_tradnl"/>
        </w:rPr>
        <w:t xml:space="preserve">Donde </w:t>
      </w:r>
      <w:r w:rsidRPr="003576F1">
        <w:rPr>
          <w:position w:val="-10"/>
        </w:rPr>
        <w:object w:dxaOrig="760" w:dyaOrig="400">
          <v:shape id="_x0000_i1039" type="#_x0000_t75" style="width:38.65pt;height:20.65pt" o:ole="">
            <v:imagedata r:id="rId42" o:title=""/>
          </v:shape>
          <o:OLEObject Type="Embed" ProgID="Equation.3" ShapeID="_x0000_i1039" DrawAspect="Content" ObjectID="_1469950656" r:id="rId43"/>
        </w:object>
      </w:r>
      <w:r w:rsidRPr="002C473B">
        <w:rPr>
          <w:lang w:val="es-ES_tradnl"/>
        </w:rPr>
        <w:t xml:space="preserve"> </w:t>
      </w:r>
      <w:r>
        <w:rPr>
          <w:lang w:val="es-ES_tradnl"/>
        </w:rPr>
        <w:t xml:space="preserve">es el error en la CCDF prevista. Para evaluar la influencia de la varianza </w:t>
      </w:r>
      <w:r w:rsidRPr="003576F1">
        <w:rPr>
          <w:position w:val="-10"/>
        </w:rPr>
        <w:object w:dxaOrig="660" w:dyaOrig="400">
          <v:shape id="_x0000_i1040" type="#_x0000_t75" style="width:34.15pt;height:20.65pt" o:ole="">
            <v:imagedata r:id="rId44" o:title=""/>
          </v:shape>
          <o:OLEObject Type="Embed" ProgID="Equation.3" ShapeID="_x0000_i1040" DrawAspect="Content" ObjectID="_1469950657" r:id="rId45"/>
        </w:object>
      </w:r>
      <w:r w:rsidRPr="002C473B">
        <w:rPr>
          <w:lang w:val="es-ES_tradnl"/>
        </w:rPr>
        <w:t xml:space="preserve">, </w:t>
      </w:r>
      <w:r>
        <w:rPr>
          <w:lang w:val="es-ES_tradnl"/>
        </w:rPr>
        <w:t xml:space="preserve">es conveniente referirse al intervalo de confianza del </w:t>
      </w:r>
      <w:r w:rsidRPr="002C473B">
        <w:rPr>
          <w:lang w:val="es-ES_tradnl"/>
        </w:rPr>
        <w:t xml:space="preserve">68% </w:t>
      </w:r>
      <w:r w:rsidRPr="003576F1">
        <w:rPr>
          <w:position w:val="-10"/>
        </w:rPr>
        <w:object w:dxaOrig="1980" w:dyaOrig="340">
          <v:shape id="_x0000_i1041" type="#_x0000_t75" style="width:100.5pt;height:17.65pt" o:ole="">
            <v:imagedata r:id="rId46" o:title=""/>
          </v:shape>
          <o:OLEObject Type="Embed" ProgID="Equation.3" ShapeID="_x0000_i1041" DrawAspect="Content" ObjectID="_1469950658" r:id="rId47"/>
        </w:object>
      </w:r>
      <w:r w:rsidRPr="002C473B">
        <w:rPr>
          <w:lang w:val="es-ES_tradnl"/>
        </w:rPr>
        <w:t>, q</w:t>
      </w:r>
      <w:r>
        <w:rPr>
          <w:lang w:val="es-ES_tradnl"/>
        </w:rPr>
        <w:t>ue corresponde a más o menos una desviación típica en torno a la probabilidad de una cantidad con distribución normal.</w:t>
      </w:r>
    </w:p>
    <w:p w:rsidR="009C33FE" w:rsidRPr="002C473B" w:rsidRDefault="009C33FE" w:rsidP="009C33FE">
      <w:pPr>
        <w:rPr>
          <w:lang w:val="es-ES_tradnl"/>
        </w:rPr>
      </w:pPr>
      <w:r>
        <w:rPr>
          <w:lang w:val="es-ES_tradnl"/>
        </w:rPr>
        <w:t>El procedimiento es aplicable para porcentajes de tiempo de rebasamiento del 2% al 0,01% y para la gama de frecuencias de 12 a 50 GHz.</w:t>
      </w:r>
    </w:p>
    <w:p w:rsidR="009C33FE" w:rsidRPr="0022339C" w:rsidRDefault="009C33FE" w:rsidP="009C33FE">
      <w:pPr>
        <w:tabs>
          <w:tab w:val="clear" w:pos="794"/>
          <w:tab w:val="clear" w:pos="1191"/>
          <w:tab w:val="clear" w:pos="1588"/>
          <w:tab w:val="clear" w:pos="1985"/>
        </w:tabs>
        <w:overflowPunct/>
        <w:autoSpaceDE/>
        <w:autoSpaceDN/>
        <w:adjustRightInd/>
        <w:spacing w:before="0"/>
        <w:jc w:val="left"/>
        <w:textAlignment w:val="auto"/>
        <w:rPr>
          <w:lang w:val="es-ES_tradnl"/>
        </w:rPr>
      </w:pPr>
    </w:p>
    <w:p w:rsidR="009C33FE" w:rsidRDefault="009C33FE" w:rsidP="009C33FE">
      <w:pPr>
        <w:tabs>
          <w:tab w:val="clear" w:pos="794"/>
          <w:tab w:val="clear" w:pos="1191"/>
          <w:tab w:val="clear" w:pos="1588"/>
          <w:tab w:val="clear" w:pos="1985"/>
        </w:tabs>
        <w:overflowPunct/>
        <w:autoSpaceDE/>
        <w:autoSpaceDN/>
        <w:adjustRightInd/>
        <w:spacing w:before="0"/>
        <w:jc w:val="left"/>
        <w:textAlignment w:val="auto"/>
        <w:rPr>
          <w:lang w:val="es-ES_tradnl"/>
        </w:rPr>
      </w:pPr>
    </w:p>
    <w:p w:rsidR="00972EDD" w:rsidRPr="0022339C" w:rsidRDefault="00972EDD" w:rsidP="009C33FE">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5" w:name="_GoBack"/>
      <w:bookmarkEnd w:id="5"/>
    </w:p>
    <w:p w:rsidR="009C33FE" w:rsidRDefault="009C33FE" w:rsidP="009C33FE">
      <w:pPr>
        <w:pStyle w:val="AnnexNoTitle"/>
        <w:rPr>
          <w:lang w:val="es-ES_tradnl"/>
        </w:rPr>
      </w:pPr>
      <w:r>
        <w:rPr>
          <w:lang w:val="es-ES_tradnl"/>
        </w:rPr>
        <w:t>Anexo 3</w:t>
      </w:r>
      <w:r w:rsidR="00A73BB8">
        <w:rPr>
          <w:lang w:val="es-ES_tradnl"/>
        </w:rPr>
        <w:br/>
      </w:r>
      <w:r w:rsidR="00A73BB8">
        <w:rPr>
          <w:lang w:val="es-ES_tradnl"/>
        </w:rPr>
        <w:br/>
        <w:t>Estimación del riesgo asociado al margen de propagación</w:t>
      </w:r>
    </w:p>
    <w:p w:rsidR="009C33FE" w:rsidRDefault="00AC21E4" w:rsidP="00AC21E4">
      <w:pPr>
        <w:pStyle w:val="Normalaftertitle"/>
        <w:rPr>
          <w:lang w:val="es-ES_tradnl"/>
        </w:rPr>
      </w:pPr>
      <w:r>
        <w:rPr>
          <w:lang w:val="es-ES_tradnl"/>
        </w:rPr>
        <w:t>D</w:t>
      </w:r>
      <w:r w:rsidR="009C33FE">
        <w:rPr>
          <w:lang w:val="es-ES_tradnl"/>
        </w:rPr>
        <w:t>ada una</w:t>
      </w:r>
      <w:r w:rsidR="009C33FE" w:rsidRPr="00042905">
        <w:rPr>
          <w:lang w:val="es-ES_tradnl"/>
        </w:rPr>
        <w:t xml:space="preserve"> </w:t>
      </w:r>
      <w:r w:rsidR="009C33FE">
        <w:rPr>
          <w:lang w:val="es-ES_tradnl"/>
        </w:rPr>
        <w:t xml:space="preserve">atenuación debida a la lluvia fija </w:t>
      </w:r>
      <w:r w:rsidR="009C33FE" w:rsidRPr="002C473B">
        <w:rPr>
          <w:i/>
          <w:iCs/>
          <w:lang w:val="es-ES_tradnl"/>
        </w:rPr>
        <w:t>A</w:t>
      </w:r>
      <w:r w:rsidR="009C33FE" w:rsidRPr="002C473B">
        <w:rPr>
          <w:i/>
          <w:iCs/>
          <w:vertAlign w:val="subscript"/>
          <w:lang w:val="es-ES_tradnl"/>
        </w:rPr>
        <w:t>r</w:t>
      </w:r>
      <w:r w:rsidR="009C33FE">
        <w:rPr>
          <w:lang w:val="es-ES_tradnl"/>
        </w:rPr>
        <w:t xml:space="preserve"> rebasada para una probabilidad determinada </w:t>
      </w:r>
      <w:r w:rsidR="00CB1A14" w:rsidRPr="003576F1">
        <w:rPr>
          <w:rFonts w:eastAsia="Calibri"/>
          <w:position w:val="-10"/>
        </w:rPr>
        <w:object w:dxaOrig="1280" w:dyaOrig="320">
          <v:shape id="_x0000_i1042" type="#_x0000_t75" style="width:64.9pt;height:16.5pt" o:ole="">
            <v:imagedata r:id="rId48" o:title=""/>
          </v:shape>
          <o:OLEObject Type="Embed" ProgID="Equation.3" ShapeID="_x0000_i1042" DrawAspect="Content" ObjectID="_1469950659" r:id="rId49"/>
        </w:object>
      </w:r>
      <w:r w:rsidR="00CB1A14">
        <w:rPr>
          <w:lang w:val="es-ES_tradnl"/>
        </w:rPr>
        <w:t xml:space="preserve"> </w:t>
      </w:r>
      <w:r w:rsidR="009C33FE">
        <w:rPr>
          <w:lang w:val="es-ES_tradnl"/>
        </w:rPr>
        <w:t xml:space="preserve">tal como </w:t>
      </w:r>
      <w:r w:rsidR="009C33FE" w:rsidRPr="003576F1">
        <w:rPr>
          <w:rFonts w:eastAsia="Calibri"/>
          <w:position w:val="-10"/>
        </w:rPr>
        <w:object w:dxaOrig="1460" w:dyaOrig="340">
          <v:shape id="_x0000_i1043" type="#_x0000_t75" style="width:73.15pt;height:17.65pt" o:ole="">
            <v:imagedata r:id="rId50" o:title=""/>
          </v:shape>
          <o:OLEObject Type="Embed" ProgID="Equation.3" ShapeID="_x0000_i1043" DrawAspect="Content" ObjectID="_1469950660" r:id="rId51"/>
        </w:object>
      </w:r>
      <w:r w:rsidR="00252193">
        <w:rPr>
          <w:lang w:val="es-ES_tradnl"/>
        </w:rPr>
        <w:t xml:space="preserve">, </w:t>
      </w:r>
      <w:r w:rsidR="009C33FE">
        <w:rPr>
          <w:lang w:val="es-ES_tradnl"/>
        </w:rPr>
        <w:t xml:space="preserve">el riesgo </w:t>
      </w:r>
      <w:r w:rsidR="009C33FE" w:rsidRPr="003576F1">
        <w:rPr>
          <w:rFonts w:eastAsia="Calibri"/>
          <w:position w:val="-6"/>
        </w:rPr>
        <w:object w:dxaOrig="260" w:dyaOrig="279">
          <v:shape id="_x0000_i1044" type="#_x0000_t75" style="width:13.5pt;height:14.65pt" o:ole="">
            <v:imagedata r:id="rId52" o:title=""/>
          </v:shape>
          <o:OLEObject Type="Embed" ProgID="Equation.3" ShapeID="_x0000_i1044" DrawAspect="Content" ObjectID="_1469950661" r:id="rId53"/>
        </w:object>
      </w:r>
      <w:r w:rsidR="009C33FE" w:rsidRPr="008800F0">
        <w:rPr>
          <w:lang w:val="es-ES_tradnl"/>
        </w:rPr>
        <w:t xml:space="preserve"> </w:t>
      </w:r>
      <w:r w:rsidR="009C33FE">
        <w:rPr>
          <w:lang w:val="es-ES_tradnl"/>
        </w:rPr>
        <w:t xml:space="preserve">(probabilidad) de que la probabilidad anual </w:t>
      </w:r>
      <w:r w:rsidR="00252193" w:rsidRPr="003576F1">
        <w:rPr>
          <w:rFonts w:eastAsia="Calibri"/>
          <w:position w:val="-12"/>
        </w:rPr>
        <w:object w:dxaOrig="1480" w:dyaOrig="360">
          <v:shape id="_x0000_i1045" type="#_x0000_t75" style="width:72.75pt;height:18pt" o:ole="">
            <v:imagedata r:id="rId54" o:title=""/>
          </v:shape>
          <o:OLEObject Type="Embed" ProgID="Equation.3" ShapeID="_x0000_i1045" DrawAspect="Content" ObjectID="_1469950662" r:id="rId55"/>
        </w:object>
      </w:r>
      <w:r w:rsidR="00551348" w:rsidRPr="00551348">
        <w:rPr>
          <w:rFonts w:eastAsia="Calibri"/>
          <w:lang w:val="es-ES_tradnl"/>
        </w:rPr>
        <w:t xml:space="preserve"> </w:t>
      </w:r>
      <w:r w:rsidR="009C33FE">
        <w:rPr>
          <w:lang w:val="es-ES_tradnl"/>
        </w:rPr>
        <w:t>se rebase, satisface la siguiente ecuación:</w:t>
      </w:r>
    </w:p>
    <w:p w:rsidR="009C33FE" w:rsidRPr="0022339C" w:rsidRDefault="009C33FE" w:rsidP="009C33FE">
      <w:pPr>
        <w:pStyle w:val="Blanc"/>
        <w:rPr>
          <w:lang w:val="es-ES_tradnl"/>
        </w:rPr>
      </w:pPr>
    </w:p>
    <w:p w:rsidR="009C33FE" w:rsidRPr="0022339C" w:rsidRDefault="009C33FE" w:rsidP="009C33FE">
      <w:pPr>
        <w:pStyle w:val="Equation"/>
        <w:rPr>
          <w:lang w:val="es-ES_tradnl"/>
        </w:rPr>
      </w:pPr>
      <w:r w:rsidRPr="0022339C">
        <w:rPr>
          <w:rFonts w:eastAsia="Calibri"/>
          <w:lang w:val="es-ES_tradnl"/>
        </w:rPr>
        <w:tab/>
      </w:r>
      <w:r w:rsidRPr="0022339C">
        <w:rPr>
          <w:rFonts w:eastAsia="Calibri"/>
          <w:lang w:val="es-ES_tradnl"/>
        </w:rPr>
        <w:tab/>
      </w:r>
      <w:r w:rsidRPr="003576F1">
        <w:rPr>
          <w:rFonts w:eastAsia="Calibri"/>
          <w:position w:val="-30"/>
        </w:rPr>
        <w:object w:dxaOrig="1640" w:dyaOrig="720">
          <v:shape id="_x0000_i1046" type="#_x0000_t75" style="width:81.4pt;height:36.4pt" o:ole="">
            <v:imagedata r:id="rId56" o:title=""/>
          </v:shape>
          <o:OLEObject Type="Embed" ProgID="Equation.3" ShapeID="_x0000_i1046" DrawAspect="Content" ObjectID="_1469950663" r:id="rId57"/>
        </w:object>
      </w:r>
      <w:r w:rsidRPr="0022339C">
        <w:rPr>
          <w:lang w:val="es-ES_tradnl"/>
        </w:rPr>
        <w:tab/>
        <w:t>(8)</w:t>
      </w:r>
    </w:p>
    <w:p w:rsidR="009C33FE" w:rsidRDefault="009C33FE" w:rsidP="009C33FE">
      <w:pPr>
        <w:rPr>
          <w:lang w:val="es-ES_tradnl"/>
        </w:rPr>
      </w:pPr>
      <w:r>
        <w:rPr>
          <w:lang w:val="es-ES_tradnl"/>
        </w:rPr>
        <w:t>o, de forma equivalente</w:t>
      </w:r>
      <w:r w:rsidR="0065354C">
        <w:rPr>
          <w:lang w:val="es-ES_tradnl"/>
        </w:rPr>
        <w:t>:</w:t>
      </w:r>
    </w:p>
    <w:p w:rsidR="009C33FE" w:rsidRPr="0022339C" w:rsidRDefault="009C33FE" w:rsidP="009C33FE">
      <w:pPr>
        <w:pStyle w:val="Blanc"/>
        <w:rPr>
          <w:lang w:val="es-ES_tradnl"/>
        </w:rPr>
      </w:pPr>
    </w:p>
    <w:p w:rsidR="009C33FE" w:rsidRPr="0022339C" w:rsidRDefault="009C33FE" w:rsidP="009C33FE">
      <w:pPr>
        <w:pStyle w:val="Equation"/>
        <w:rPr>
          <w:lang w:val="es-ES_tradnl"/>
        </w:rPr>
      </w:pPr>
      <w:r w:rsidRPr="0022339C">
        <w:rPr>
          <w:lang w:val="es-ES_tradnl"/>
        </w:rPr>
        <w:tab/>
      </w:r>
      <w:r w:rsidRPr="0022339C">
        <w:rPr>
          <w:lang w:val="es-ES_tradnl"/>
        </w:rPr>
        <w:tab/>
      </w:r>
      <w:r w:rsidRPr="003576F1">
        <w:rPr>
          <w:rFonts w:eastAsia="Calibri"/>
          <w:position w:val="-12"/>
        </w:rPr>
        <w:object w:dxaOrig="4680" w:dyaOrig="420">
          <v:shape id="_x0000_i1047" type="#_x0000_t75" style="width:234pt;height:22.15pt" o:ole="">
            <v:imagedata r:id="rId58" o:title=""/>
          </v:shape>
          <o:OLEObject Type="Embed" ProgID="Equation.3" ShapeID="_x0000_i1047" DrawAspect="Content" ObjectID="_1469950664" r:id="rId59"/>
        </w:object>
      </w:r>
      <w:r w:rsidRPr="0022339C">
        <w:rPr>
          <w:lang w:val="es-ES_tradnl"/>
        </w:rPr>
        <w:tab/>
        <w:t>(9)</w:t>
      </w:r>
    </w:p>
    <w:p w:rsidR="009C33FE" w:rsidRDefault="009C33FE" w:rsidP="009C33FE">
      <w:pPr>
        <w:rPr>
          <w:lang w:val="es-ES_tradnl"/>
        </w:rPr>
      </w:pPr>
      <w:r w:rsidRPr="008800F0">
        <w:rPr>
          <w:rFonts w:ascii="Times" w:hAnsi="Times" w:cs="CMR12"/>
          <w:szCs w:val="24"/>
          <w:lang w:val="es-ES_tradnl"/>
        </w:rPr>
        <w:t xml:space="preserve">donde </w:t>
      </w:r>
      <w:r w:rsidRPr="003576F1">
        <w:rPr>
          <w:position w:val="-10"/>
        </w:rPr>
        <w:object w:dxaOrig="540" w:dyaOrig="320">
          <v:shape id="_x0000_i1048" type="#_x0000_t75" style="width:28.5pt;height:16.5pt" o:ole="">
            <v:imagedata r:id="rId60" o:title=""/>
          </v:shape>
          <o:OLEObject Type="Embed" ProgID="Equation.3" ShapeID="_x0000_i1048" DrawAspect="Content" ObjectID="_1469950665" r:id="rId61"/>
        </w:object>
      </w:r>
      <w:r w:rsidRPr="008800F0">
        <w:rPr>
          <w:lang w:val="es-ES_tradnl"/>
        </w:rPr>
        <w:t xml:space="preserve"> puede calcularse a partir del Anexo 2 y donde (v</w:t>
      </w:r>
      <w:r>
        <w:rPr>
          <w:lang w:val="es-ES_tradnl"/>
        </w:rPr>
        <w:t>éase</w:t>
      </w:r>
      <w:r w:rsidRPr="008800F0">
        <w:rPr>
          <w:lang w:val="es-ES_tradnl"/>
        </w:rPr>
        <w:t xml:space="preserve"> la Recom</w:t>
      </w:r>
      <w:r>
        <w:rPr>
          <w:lang w:val="es-ES_tradnl"/>
        </w:rPr>
        <w:t>endac</w:t>
      </w:r>
      <w:r w:rsidRPr="008800F0">
        <w:rPr>
          <w:lang w:val="es-ES_tradnl"/>
        </w:rPr>
        <w:t>i</w:t>
      </w:r>
      <w:r>
        <w:rPr>
          <w:lang w:val="es-ES_tradnl"/>
        </w:rPr>
        <w:t>ó</w:t>
      </w:r>
      <w:r w:rsidRPr="008800F0">
        <w:rPr>
          <w:lang w:val="es-ES_tradnl"/>
        </w:rPr>
        <w:t>n UIT</w:t>
      </w:r>
      <w:r>
        <w:rPr>
          <w:lang w:val="es-ES_tradnl"/>
        </w:rPr>
        <w:noBreakHyphen/>
        <w:t>R </w:t>
      </w:r>
      <w:r w:rsidRPr="008800F0">
        <w:rPr>
          <w:lang w:val="es-ES_tradnl"/>
        </w:rPr>
        <w:t>P.1057):</w:t>
      </w:r>
    </w:p>
    <w:p w:rsidR="009C33FE" w:rsidRPr="0022339C" w:rsidRDefault="009C33FE" w:rsidP="009C33FE">
      <w:pPr>
        <w:pStyle w:val="Blanc"/>
        <w:rPr>
          <w:lang w:val="es-ES_tradnl"/>
        </w:rPr>
      </w:pPr>
    </w:p>
    <w:p w:rsidR="009C33FE" w:rsidRPr="003576F1" w:rsidRDefault="009C33FE" w:rsidP="009C33FE">
      <w:pPr>
        <w:pStyle w:val="Equation"/>
      </w:pPr>
      <w:r w:rsidRPr="0022339C">
        <w:rPr>
          <w:lang w:val="es-ES_tradnl"/>
        </w:rPr>
        <w:tab/>
      </w:r>
      <w:r w:rsidRPr="0022339C">
        <w:rPr>
          <w:lang w:val="es-ES_tradnl"/>
        </w:rPr>
        <w:tab/>
      </w:r>
      <w:r w:rsidRPr="003576F1">
        <w:rPr>
          <w:position w:val="-36"/>
        </w:rPr>
        <w:object w:dxaOrig="2200" w:dyaOrig="920">
          <v:shape id="_x0000_i1049" type="#_x0000_t75" style="width:109.9pt;height:43.9pt" o:ole="">
            <v:imagedata r:id="rId62" o:title=""/>
          </v:shape>
          <o:OLEObject Type="Embed" ProgID="Equation.3" ShapeID="_x0000_i1049" DrawAspect="Content" ObjectID="_1469950666" r:id="rId63"/>
        </w:object>
      </w:r>
    </w:p>
    <w:p w:rsidR="009C33FE" w:rsidRPr="0022339C" w:rsidRDefault="009C33FE" w:rsidP="009C33FE">
      <w:pPr>
        <w:pStyle w:val="Blanc"/>
        <w:rPr>
          <w:lang w:val="es-ES_tradnl"/>
        </w:rPr>
      </w:pPr>
    </w:p>
    <w:p w:rsidR="009C33FE" w:rsidRPr="008800F0" w:rsidRDefault="009C33FE" w:rsidP="009C33FE">
      <w:pPr>
        <w:rPr>
          <w:rFonts w:ascii="Times" w:hAnsi="Times" w:cs="CMR12"/>
          <w:szCs w:val="24"/>
          <w:lang w:val="es-ES_tradnl"/>
        </w:rPr>
      </w:pPr>
      <w:r>
        <w:rPr>
          <w:lang w:val="es-ES_tradnl"/>
        </w:rPr>
        <w:t xml:space="preserve">Es importante observar que </w:t>
      </w:r>
      <w:r w:rsidRPr="008800F0">
        <w:rPr>
          <w:rFonts w:ascii="Times" w:hAnsi="Times" w:cs="CMR12"/>
          <w:szCs w:val="24"/>
          <w:lang w:val="es-ES_tradnl"/>
        </w:rPr>
        <w:t xml:space="preserve">si </w:t>
      </w:r>
      <w:r w:rsidR="00972EDD" w:rsidRPr="003576F1">
        <w:rPr>
          <w:rFonts w:ascii="Times" w:eastAsia="Calibri" w:hAnsi="Times" w:cs="CMR12"/>
          <w:position w:val="-12"/>
          <w:szCs w:val="24"/>
        </w:rPr>
        <w:object w:dxaOrig="760" w:dyaOrig="360">
          <v:shape id="_x0000_i1050" type="#_x0000_t75" style="width:34.9pt;height:19.15pt" o:ole="">
            <v:imagedata r:id="rId64" o:title=""/>
          </v:shape>
          <o:OLEObject Type="Embed" ProgID="Equation.3" ShapeID="_x0000_i1050" DrawAspect="Content" ObjectID="_1469950667" r:id="rId65"/>
        </w:object>
      </w:r>
      <w:r w:rsidRPr="008800F0">
        <w:rPr>
          <w:rFonts w:ascii="Times" w:hAnsi="Times" w:cs="CMR12"/>
          <w:szCs w:val="24"/>
          <w:lang w:val="es-ES_tradnl"/>
        </w:rPr>
        <w:t xml:space="preserve"> </w:t>
      </w:r>
      <w:r>
        <w:rPr>
          <w:lang w:val="es-ES_tradnl"/>
        </w:rPr>
        <w:t xml:space="preserve">en la ecuación (8) da lugar, como cabía esperar, a un valor de </w:t>
      </w:r>
      <w:r w:rsidR="00551348" w:rsidRPr="00551348">
        <w:rPr>
          <w:rFonts w:ascii="Times" w:eastAsia="Calibri" w:hAnsi="Times" w:cs="CMR12"/>
          <w:position w:val="-8"/>
          <w:szCs w:val="24"/>
        </w:rPr>
        <w:object w:dxaOrig="780" w:dyaOrig="300">
          <v:shape id="_x0000_i1051" type="#_x0000_t75" style="width:40.5pt;height:16.15pt" o:ole="">
            <v:imagedata r:id="rId66" o:title=""/>
          </v:shape>
          <o:OLEObject Type="Embed" ProgID="Equation.3" ShapeID="_x0000_i1051" DrawAspect="Content" ObjectID="_1469950668" r:id="rId67"/>
        </w:object>
      </w:r>
      <w:r w:rsidRPr="008800F0">
        <w:rPr>
          <w:rFonts w:ascii="Times" w:hAnsi="Times" w:cs="CMR12"/>
          <w:szCs w:val="24"/>
          <w:lang w:val="es-ES_tradnl"/>
        </w:rPr>
        <w:t>.</w:t>
      </w:r>
    </w:p>
    <w:p w:rsidR="00B85CB8" w:rsidRPr="00B0431D" w:rsidRDefault="00B85CB8" w:rsidP="00A73BB8">
      <w:pPr>
        <w:rPr>
          <w:lang w:val="es-ES_tradnl"/>
        </w:rPr>
      </w:pPr>
    </w:p>
    <w:p w:rsidR="00B85CB8" w:rsidRPr="00B0431D" w:rsidRDefault="00B85CB8" w:rsidP="00B85CB8">
      <w:pPr>
        <w:pStyle w:val="Line"/>
        <w:rPr>
          <w:lang w:val="es-ES_tradnl"/>
        </w:rPr>
      </w:pPr>
    </w:p>
    <w:sectPr w:rsidR="00B85CB8" w:rsidRPr="00B0431D" w:rsidSect="00B85CB8">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CB8" w:rsidRDefault="00B85CB8">
      <w:r>
        <w:separator/>
      </w:r>
    </w:p>
  </w:endnote>
  <w:endnote w:type="continuationSeparator" w:id="0">
    <w:p w:rsidR="00B85CB8" w:rsidRDefault="00B8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CB8" w:rsidRDefault="00B85CB8">
      <w:r>
        <w:separator/>
      </w:r>
    </w:p>
  </w:footnote>
  <w:footnote w:type="continuationSeparator" w:id="0">
    <w:p w:rsidR="00B85CB8" w:rsidRDefault="00B85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2442BB9E" wp14:editId="2F246E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9310E">
      <w:rPr>
        <w:rStyle w:val="PageNumber"/>
        <w:b/>
        <w:bCs/>
        <w:noProof/>
      </w:rPr>
      <w:t>ii</w:t>
    </w:r>
    <w:r>
      <w:rPr>
        <w:rStyle w:val="PageNumber"/>
        <w:b/>
        <w:bCs/>
      </w:rPr>
      <w:fldChar w:fldCharType="end"/>
    </w:r>
    <w:r>
      <w:tab/>
    </w:r>
    <w:fldSimple w:instr=" DOCPROPERTY &quot;Header&quot; \* MERGEFORMAT ">
      <w:r w:rsidR="004350F8" w:rsidRPr="004350F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C9310E">
      <w:rPr>
        <w:b/>
        <w:bCs/>
        <w:noProof/>
      </w:rPr>
      <w:t>UIT-R  P.678-2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B8" w:rsidRDefault="00B85CB8">
    <w:pPr>
      <w:pStyle w:val="Header"/>
    </w:pPr>
    <w:r>
      <w:tab/>
    </w:r>
    <w:fldSimple w:instr=" DOCPROPERTY &quot;Header&quot; \* MERGEFORMAT ">
      <w:r w:rsidR="004350F8" w:rsidRPr="004350F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350F8">
      <w:rPr>
        <w:b/>
        <w:bCs/>
        <w:noProof/>
      </w:rPr>
      <w:t>UIT-R  P.678-2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310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350F8" w:rsidRPr="004350F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310E">
      <w:rPr>
        <w:b/>
        <w:bCs/>
        <w:noProof/>
        <w:lang w:val="en-US"/>
      </w:rPr>
      <w:t>UIT-R  P.678-2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350F8" w:rsidRPr="004350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310E">
      <w:rPr>
        <w:b/>
        <w:bCs/>
        <w:noProof/>
      </w:rPr>
      <w:t>UIT-R  P.678-2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310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A939E8"/>
    <w:multiLevelType w:val="hybridMultilevel"/>
    <w:tmpl w:val="D6E48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AE1AC7"/>
    <w:multiLevelType w:val="hybridMultilevel"/>
    <w:tmpl w:val="8BFE3192"/>
    <w:lvl w:ilvl="0" w:tplc="60E223E0">
      <w:numFmt w:val="bullet"/>
      <w:lvlText w:val="-"/>
      <w:lvlJc w:val="left"/>
      <w:pPr>
        <w:ind w:left="600" w:hanging="360"/>
      </w:pPr>
      <w:rPr>
        <w:rFonts w:ascii="Times New Roman" w:eastAsia="SimSu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nsid w:val="75087CFB"/>
    <w:multiLevelType w:val="hybridMultilevel"/>
    <w:tmpl w:val="DD627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CB8"/>
    <w:rsid w:val="00011756"/>
    <w:rsid w:val="00042905"/>
    <w:rsid w:val="00100BA6"/>
    <w:rsid w:val="00217EBF"/>
    <w:rsid w:val="00242AEE"/>
    <w:rsid w:val="00252193"/>
    <w:rsid w:val="002D76C4"/>
    <w:rsid w:val="004350F8"/>
    <w:rsid w:val="004708E6"/>
    <w:rsid w:val="004A435E"/>
    <w:rsid w:val="004E00AD"/>
    <w:rsid w:val="0052529D"/>
    <w:rsid w:val="00551348"/>
    <w:rsid w:val="00607D68"/>
    <w:rsid w:val="0065354C"/>
    <w:rsid w:val="007468DA"/>
    <w:rsid w:val="00972EDD"/>
    <w:rsid w:val="009C33FE"/>
    <w:rsid w:val="009E00A8"/>
    <w:rsid w:val="009E4665"/>
    <w:rsid w:val="00A6617B"/>
    <w:rsid w:val="00A73BB8"/>
    <w:rsid w:val="00AB0DC8"/>
    <w:rsid w:val="00AC21E4"/>
    <w:rsid w:val="00B44E24"/>
    <w:rsid w:val="00B73903"/>
    <w:rsid w:val="00B85CB8"/>
    <w:rsid w:val="00C91D42"/>
    <w:rsid w:val="00C9310E"/>
    <w:rsid w:val="00CB1A14"/>
    <w:rsid w:val="00DE3B5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docId w15:val="{318A5B76-25AE-4EAA-992E-CC54E1CD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C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85CB8"/>
    <w:rPr>
      <w:color w:val="0000FF"/>
      <w:u w:val="single"/>
    </w:rPr>
  </w:style>
  <w:style w:type="table" w:styleId="TableGrid">
    <w:name w:val="Table Grid"/>
    <w:basedOn w:val="TableNormal"/>
    <w:rsid w:val="00B85CB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Char">
    <w:name w:val="Equation Char"/>
    <w:link w:val="Equation"/>
    <w:rsid w:val="009C33FE"/>
    <w:rPr>
      <w:sz w:val="24"/>
      <w:lang w:val="fr-FR" w:eastAsia="en-US"/>
    </w:rPr>
  </w:style>
  <w:style w:type="paragraph" w:customStyle="1" w:styleId="Reasons">
    <w:name w:val="Reasons"/>
    <w:basedOn w:val="Normal"/>
    <w:qFormat/>
    <w:rsid w:val="009C33F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5.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www.itu.int/rec/R-REC-P.678-2-201309-I/en" TargetMode="Externa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128</TotalTime>
  <Pages>6</Pages>
  <Words>1329</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19</cp:revision>
  <cp:lastPrinted>2014-08-18T13:21:00Z</cp:lastPrinted>
  <dcterms:created xsi:type="dcterms:W3CDTF">2014-08-18T12:17:00Z</dcterms:created>
  <dcterms:modified xsi:type="dcterms:W3CDTF">2014-08-19T08:49:00Z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