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p w:rsidR="00821AA3" w:rsidRDefault="00821AA3" w:rsidP="00821AA3"/>
    <w:tbl>
      <w:tblPr>
        <w:tblW w:w="10089" w:type="dxa"/>
        <w:tblLook w:val="01E0" w:firstRow="1" w:lastRow="1" w:firstColumn="1" w:lastColumn="1" w:noHBand="0" w:noVBand="0"/>
      </w:tblPr>
      <w:tblGrid>
        <w:gridCol w:w="10089"/>
      </w:tblGrid>
      <w:tr w:rsidR="00821AA3" w:rsidRPr="00A443C2" w:rsidTr="00D454F9">
        <w:tc>
          <w:tcPr>
            <w:tcW w:w="10089" w:type="dxa"/>
          </w:tcPr>
          <w:p w:rsidR="00821AA3" w:rsidRPr="00B033C8" w:rsidRDefault="00821AA3" w:rsidP="00D454F9">
            <w:pPr>
              <w:spacing w:before="380" w:line="280" w:lineRule="exact"/>
              <w:jc w:val="right"/>
              <w:rPr>
                <w:rFonts w:ascii="Tahoma" w:hAnsi="Tahoma" w:cs="Tahoma"/>
                <w:b/>
                <w:bCs/>
                <w:iCs/>
                <w:color w:val="243285"/>
                <w:sz w:val="32"/>
                <w:szCs w:val="32"/>
                <w:lang w:val="en-US"/>
              </w:rPr>
            </w:pPr>
          </w:p>
          <w:p w:rsidR="00821AA3" w:rsidRPr="00A443C2" w:rsidRDefault="00821AA3" w:rsidP="00E0349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E0349B">
              <w:rPr>
                <w:rFonts w:ascii="Tahoma" w:hAnsi="Tahoma" w:cs="Tahoma"/>
                <w:b/>
                <w:bCs/>
                <w:iCs/>
                <w:color w:val="243285"/>
                <w:sz w:val="36"/>
                <w:szCs w:val="36"/>
              </w:rPr>
              <w:t>678-2</w:t>
            </w:r>
          </w:p>
          <w:p w:rsidR="00821AA3" w:rsidRPr="00A443C2" w:rsidRDefault="00821AA3" w:rsidP="00E034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E0349B">
              <w:rPr>
                <w:rFonts w:ascii="Tahoma" w:hAnsi="Tahoma" w:cs="Tahoma"/>
                <w:b/>
                <w:bCs/>
                <w:iCs/>
                <w:color w:val="243285"/>
                <w:szCs w:val="24"/>
              </w:rPr>
              <w:t>9</w:t>
            </w:r>
            <w:r w:rsidRPr="00A443C2">
              <w:rPr>
                <w:rFonts w:ascii="Tahoma" w:hAnsi="Tahoma" w:cs="Tahoma"/>
                <w:b/>
                <w:bCs/>
                <w:iCs/>
                <w:color w:val="243285"/>
                <w:szCs w:val="24"/>
              </w:rPr>
              <w:t>/</w:t>
            </w:r>
            <w:r w:rsidR="00E0349B">
              <w:rPr>
                <w:rFonts w:ascii="Tahoma" w:hAnsi="Tahoma" w:cs="Tahoma"/>
                <w:b/>
                <w:bCs/>
                <w:iCs/>
                <w:color w:val="243285"/>
                <w:szCs w:val="24"/>
              </w:rPr>
              <w:t>2013</w:t>
            </w:r>
            <w:r w:rsidRPr="00A443C2">
              <w:rPr>
                <w:rFonts w:ascii="Tahoma" w:hAnsi="Tahoma" w:cs="Tahoma"/>
                <w:b/>
                <w:bCs/>
                <w:iCs/>
                <w:color w:val="243285"/>
                <w:szCs w:val="24"/>
              </w:rPr>
              <w:t>)</w:t>
            </w:r>
          </w:p>
        </w:tc>
      </w:tr>
      <w:tr w:rsidR="00821AA3" w:rsidRPr="00F54FBD" w:rsidTr="00D454F9">
        <w:tc>
          <w:tcPr>
            <w:tcW w:w="10089" w:type="dxa"/>
          </w:tcPr>
          <w:p w:rsidR="00821AA3" w:rsidRDefault="00821AA3" w:rsidP="00D454F9">
            <w:pPr>
              <w:spacing w:before="80" w:line="500" w:lineRule="exact"/>
              <w:jc w:val="right"/>
              <w:rPr>
                <w:rFonts w:ascii="Tahoma" w:hAnsi="Tahoma" w:cs="Tahoma"/>
                <w:b/>
                <w:bCs/>
                <w:iCs/>
                <w:color w:val="243285"/>
                <w:sz w:val="44"/>
                <w:szCs w:val="44"/>
              </w:rPr>
            </w:pPr>
          </w:p>
          <w:p w:rsidR="00821AA3" w:rsidRDefault="00E0349B" w:rsidP="00E0349B">
            <w:pPr>
              <w:spacing w:before="80" w:line="500" w:lineRule="exact"/>
              <w:jc w:val="right"/>
              <w:rPr>
                <w:rFonts w:ascii="Tahoma" w:hAnsi="Tahoma" w:cs="Tahoma"/>
                <w:b/>
                <w:bCs/>
                <w:iCs/>
                <w:color w:val="243285"/>
                <w:sz w:val="44"/>
                <w:szCs w:val="44"/>
              </w:rPr>
            </w:pPr>
            <w:r w:rsidRPr="00E0349B">
              <w:rPr>
                <w:rFonts w:ascii="Tahoma" w:hAnsi="Tahoma" w:cs="Tahoma"/>
                <w:b/>
                <w:bCs/>
                <w:iCs/>
                <w:color w:val="243285"/>
                <w:sz w:val="44"/>
                <w:szCs w:val="44"/>
              </w:rPr>
              <w:t>Caractérisation de la variabilité des phénomènes de propagation et</w:t>
            </w:r>
            <w:r w:rsidRPr="00E0349B">
              <w:rPr>
                <w:rFonts w:ascii="Tahoma" w:hAnsi="Tahoma" w:cs="Tahoma"/>
                <w:b/>
                <w:bCs/>
                <w:iCs/>
                <w:color w:val="243285"/>
                <w:sz w:val="44"/>
                <w:szCs w:val="44"/>
              </w:rPr>
              <w:br/>
              <w:t xml:space="preserve">estimation du risque associé </w:t>
            </w:r>
            <w:r>
              <w:rPr>
                <w:rFonts w:ascii="Tahoma" w:hAnsi="Tahoma" w:cs="Tahoma"/>
                <w:b/>
                <w:bCs/>
                <w:iCs/>
                <w:color w:val="243285"/>
                <w:sz w:val="44"/>
                <w:szCs w:val="44"/>
              </w:rPr>
              <w:br/>
            </w:r>
            <w:r w:rsidRPr="00E0349B">
              <w:rPr>
                <w:rFonts w:ascii="Tahoma" w:hAnsi="Tahoma" w:cs="Tahoma"/>
                <w:b/>
                <w:bCs/>
                <w:iCs/>
                <w:color w:val="243285"/>
                <w:sz w:val="44"/>
                <w:szCs w:val="44"/>
              </w:rPr>
              <w:t>à la marge de propagation</w:t>
            </w:r>
          </w:p>
          <w:p w:rsidR="00821AA3" w:rsidRPr="00F54FBD" w:rsidRDefault="00821AA3" w:rsidP="00D454F9">
            <w:pPr>
              <w:spacing w:before="80" w:line="500" w:lineRule="exact"/>
              <w:jc w:val="right"/>
              <w:rPr>
                <w:rFonts w:ascii="Tahoma" w:hAnsi="Tahoma" w:cs="Tahoma"/>
                <w:b/>
                <w:bCs/>
                <w:iCs/>
                <w:color w:val="243285"/>
                <w:sz w:val="44"/>
                <w:szCs w:val="44"/>
              </w:rPr>
            </w:pPr>
          </w:p>
        </w:tc>
      </w:tr>
      <w:tr w:rsidR="00821AA3" w:rsidRPr="00F54FBD" w:rsidTr="00D454F9">
        <w:tc>
          <w:tcPr>
            <w:tcW w:w="10089" w:type="dxa"/>
          </w:tcPr>
          <w:p w:rsidR="00821AA3" w:rsidRPr="00F54FBD" w:rsidRDefault="00821AA3" w:rsidP="00D454F9">
            <w:pPr>
              <w:spacing w:before="80" w:line="280" w:lineRule="exact"/>
              <w:ind w:right="640"/>
              <w:rPr>
                <w:rFonts w:ascii="Tahoma" w:hAnsi="Tahoma" w:cs="Tahoma"/>
                <w:b/>
                <w:bCs/>
                <w:iCs/>
                <w:color w:val="243285"/>
                <w:sz w:val="32"/>
                <w:szCs w:val="32"/>
              </w:rPr>
            </w:pPr>
          </w:p>
          <w:p w:rsidR="00821AA3" w:rsidRPr="00F54FBD" w:rsidRDefault="00821AA3" w:rsidP="00D454F9">
            <w:pPr>
              <w:spacing w:before="80" w:line="280" w:lineRule="exact"/>
              <w:ind w:right="640"/>
              <w:rPr>
                <w:rFonts w:ascii="Tahoma" w:hAnsi="Tahoma" w:cs="Tahoma"/>
                <w:b/>
                <w:bCs/>
                <w:iCs/>
                <w:color w:val="243285"/>
                <w:sz w:val="32"/>
                <w:szCs w:val="32"/>
              </w:rPr>
            </w:pPr>
          </w:p>
          <w:p w:rsidR="00821AA3" w:rsidRPr="00F54FBD" w:rsidRDefault="00821AA3" w:rsidP="00D454F9">
            <w:pPr>
              <w:spacing w:before="80" w:after="180" w:line="360" w:lineRule="exact"/>
              <w:ind w:right="720"/>
              <w:rPr>
                <w:rFonts w:ascii="Tahoma" w:hAnsi="Tahoma" w:cs="Tahoma"/>
                <w:b/>
                <w:bCs/>
                <w:iCs/>
                <w:color w:val="243285"/>
                <w:sz w:val="36"/>
                <w:szCs w:val="36"/>
              </w:rPr>
            </w:pPr>
          </w:p>
          <w:p w:rsidR="00821AA3" w:rsidRPr="00F54FBD" w:rsidRDefault="00821AA3" w:rsidP="00D454F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821AA3" w:rsidRPr="00F54FBD" w:rsidRDefault="00821AA3" w:rsidP="00D454F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spacing w:before="80"/>
        <w:rPr>
          <w:i/>
          <w:sz w:val="22"/>
        </w:rPr>
      </w:pPr>
    </w:p>
    <w:p w:rsidR="00821AA3" w:rsidRPr="00F54FBD" w:rsidRDefault="00821AA3" w:rsidP="00821AA3">
      <w:pPr>
        <w:pStyle w:val="Equation"/>
        <w:tabs>
          <w:tab w:val="clear" w:pos="4820"/>
          <w:tab w:val="clear" w:pos="9639"/>
          <w:tab w:val="left" w:pos="1191"/>
          <w:tab w:val="left" w:pos="1588"/>
          <w:tab w:val="left" w:pos="1985"/>
        </w:tabs>
        <w:rPr>
          <w:rFonts w:ascii="Palatino Linotype" w:hAnsi="Palatino Linotype"/>
        </w:rPr>
        <w:sectPr w:rsidR="00821AA3" w:rsidRPr="00F54FBD">
          <w:headerReference w:type="even" r:id="rId6"/>
          <w:headerReference w:type="default" r:id="rId7"/>
          <w:pgSz w:w="11907" w:h="16840" w:code="9"/>
          <w:pgMar w:top="1089" w:right="1089" w:bottom="284" w:left="1089" w:header="567" w:footer="284" w:gutter="0"/>
          <w:pgNumType w:start="1"/>
          <w:cols w:space="720"/>
        </w:sectPr>
      </w:pPr>
    </w:p>
    <w:p w:rsidR="00821AA3" w:rsidRPr="00F54FBD" w:rsidRDefault="00821AA3" w:rsidP="00821A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21AA3" w:rsidRPr="00F54FBD" w:rsidRDefault="00821AA3" w:rsidP="00821AA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21AA3" w:rsidRPr="00F54FBD" w:rsidRDefault="00821AA3" w:rsidP="00821AA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21AA3" w:rsidRPr="00E44CBB" w:rsidRDefault="00821AA3" w:rsidP="00821AA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21AA3" w:rsidRPr="00E44CBB" w:rsidRDefault="00821AA3" w:rsidP="00821AA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21AA3" w:rsidRPr="00673807" w:rsidRDefault="00821AA3" w:rsidP="00821AA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21AA3" w:rsidRPr="009454F8" w:rsidTr="00D454F9">
        <w:tc>
          <w:tcPr>
            <w:tcW w:w="9360" w:type="dxa"/>
            <w:gridSpan w:val="2"/>
          </w:tcPr>
          <w:p w:rsidR="00821AA3" w:rsidRPr="009454F8" w:rsidRDefault="00821AA3" w:rsidP="00D454F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21AA3" w:rsidRPr="009454F8"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821AA3" w:rsidRPr="00036EE3" w:rsidTr="00D454F9">
        <w:tc>
          <w:tcPr>
            <w:tcW w:w="1140" w:type="dxa"/>
            <w:tcBorders>
              <w:bottom w:val="nil"/>
            </w:tcBorders>
          </w:tcPr>
          <w:p w:rsidR="00821AA3" w:rsidRPr="00614CC6" w:rsidRDefault="00821AA3" w:rsidP="00D454F9">
            <w:pPr>
              <w:spacing w:before="90" w:after="100"/>
              <w:ind w:left="57"/>
              <w:rPr>
                <w:b/>
                <w:bCs/>
                <w:sz w:val="20"/>
                <w:lang w:val="en-US"/>
              </w:rPr>
            </w:pPr>
            <w:r w:rsidRPr="00614CC6">
              <w:rPr>
                <w:b/>
                <w:bCs/>
                <w:sz w:val="20"/>
                <w:lang w:val="en-US"/>
              </w:rPr>
              <w:t>Séries</w:t>
            </w:r>
          </w:p>
        </w:tc>
        <w:tc>
          <w:tcPr>
            <w:tcW w:w="8220" w:type="dxa"/>
            <w:tcBorders>
              <w:bottom w:val="nil"/>
            </w:tcBorders>
          </w:tcPr>
          <w:p w:rsidR="00821AA3" w:rsidRPr="00614CC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21AA3" w:rsidRPr="005E427C" w:rsidTr="00D454F9">
        <w:tc>
          <w:tcPr>
            <w:tcW w:w="1140" w:type="dxa"/>
            <w:tcBorders>
              <w:top w:val="nil"/>
              <w:bottom w:val="nil"/>
            </w:tcBorders>
            <w:shd w:val="clear" w:color="auto" w:fill="auto"/>
          </w:tcPr>
          <w:p w:rsidR="00821AA3" w:rsidRPr="005E427C" w:rsidRDefault="00821AA3" w:rsidP="00D454F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21AA3" w:rsidRPr="005E427C"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21AA3" w:rsidRPr="009454F8" w:rsidTr="00D454F9">
        <w:tc>
          <w:tcPr>
            <w:tcW w:w="1140" w:type="dxa"/>
            <w:tcBorders>
              <w:top w:val="nil"/>
              <w:bottom w:val="nil"/>
            </w:tcBorders>
          </w:tcPr>
          <w:p w:rsidR="00821AA3" w:rsidRPr="00614CC6" w:rsidRDefault="00821AA3" w:rsidP="00D454F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21AA3" w:rsidRPr="00614CC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21AA3" w:rsidRPr="00E80F1D" w:rsidTr="00D454F9">
        <w:tc>
          <w:tcPr>
            <w:tcW w:w="1140" w:type="dxa"/>
            <w:tcBorders>
              <w:top w:val="nil"/>
              <w:bottom w:val="nil"/>
            </w:tcBorders>
            <w:shd w:val="clear" w:color="auto" w:fill="auto"/>
          </w:tcPr>
          <w:p w:rsidR="00821AA3" w:rsidRPr="00E80F1D" w:rsidRDefault="00821AA3" w:rsidP="00D454F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21AA3" w:rsidRPr="00E80F1D"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21AA3" w:rsidRPr="00ED2695" w:rsidTr="00D454F9">
        <w:tc>
          <w:tcPr>
            <w:tcW w:w="1140" w:type="dxa"/>
            <w:tcBorders>
              <w:top w:val="nil"/>
              <w:bottom w:val="nil"/>
            </w:tcBorders>
            <w:shd w:val="clear" w:color="auto" w:fill="auto"/>
          </w:tcPr>
          <w:p w:rsidR="00821AA3" w:rsidRPr="00614CC6" w:rsidRDefault="00821AA3" w:rsidP="00D454F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21AA3" w:rsidRPr="00614CC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21AA3" w:rsidRPr="00DE5EA2" w:rsidTr="00D454F9">
        <w:tc>
          <w:tcPr>
            <w:tcW w:w="1140" w:type="dxa"/>
            <w:tcBorders>
              <w:top w:val="nil"/>
              <w:bottom w:val="nil"/>
            </w:tcBorders>
            <w:shd w:val="clear" w:color="auto" w:fill="auto"/>
          </w:tcPr>
          <w:p w:rsidR="00821AA3" w:rsidRPr="00DE5EA2" w:rsidRDefault="00821AA3" w:rsidP="00D454F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21AA3" w:rsidRPr="00DE5EA2" w:rsidRDefault="00821AA3" w:rsidP="00D454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21AA3" w:rsidRPr="00B21066" w:rsidTr="00D454F9">
        <w:tc>
          <w:tcPr>
            <w:tcW w:w="1140" w:type="dxa"/>
            <w:tcBorders>
              <w:top w:val="nil"/>
              <w:bottom w:val="nil"/>
            </w:tcBorders>
            <w:shd w:val="clear" w:color="auto" w:fill="auto"/>
          </w:tcPr>
          <w:p w:rsidR="00821AA3" w:rsidRPr="00B21066" w:rsidRDefault="00821AA3" w:rsidP="00D454F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21AA3" w:rsidRPr="00B21066" w:rsidRDefault="00821AA3" w:rsidP="00D454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21AA3" w:rsidRPr="00DE5EA2" w:rsidTr="00D454F9">
        <w:tc>
          <w:tcPr>
            <w:tcW w:w="1140" w:type="dxa"/>
            <w:tcBorders>
              <w:top w:val="nil"/>
              <w:bottom w:val="nil"/>
            </w:tcBorders>
            <w:shd w:val="clear" w:color="auto" w:fill="F3F3F3"/>
          </w:tcPr>
          <w:p w:rsidR="00821AA3" w:rsidRPr="00DE5EA2" w:rsidRDefault="00821AA3" w:rsidP="00D454F9">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821AA3" w:rsidRPr="00DE5EA2" w:rsidRDefault="00821AA3" w:rsidP="00D454F9">
            <w:pPr>
              <w:spacing w:before="30" w:after="30"/>
              <w:jc w:val="left"/>
              <w:rPr>
                <w:b/>
                <w:bCs/>
                <w:color w:val="000080"/>
                <w:sz w:val="20"/>
                <w:lang w:val="fr-CH"/>
              </w:rPr>
            </w:pPr>
            <w:r w:rsidRPr="00DE5EA2">
              <w:rPr>
                <w:b/>
                <w:bCs/>
                <w:color w:val="000080"/>
                <w:sz w:val="20"/>
              </w:rPr>
              <w:t>Propagation des ondes radioélectriques</w:t>
            </w:r>
          </w:p>
        </w:tc>
      </w:tr>
      <w:tr w:rsidR="00821AA3" w:rsidRPr="00036EE3" w:rsidTr="00D454F9">
        <w:tc>
          <w:tcPr>
            <w:tcW w:w="1140" w:type="dxa"/>
            <w:tcBorders>
              <w:top w:val="nil"/>
            </w:tcBorders>
          </w:tcPr>
          <w:p w:rsidR="00821AA3" w:rsidRPr="00614CC6" w:rsidRDefault="00821AA3" w:rsidP="00D454F9">
            <w:pPr>
              <w:spacing w:before="30" w:after="30"/>
              <w:ind w:left="57"/>
              <w:jc w:val="left"/>
              <w:rPr>
                <w:b/>
                <w:bCs/>
                <w:sz w:val="20"/>
                <w:lang w:val="en-US"/>
              </w:rPr>
            </w:pPr>
            <w:r w:rsidRPr="00614CC6">
              <w:rPr>
                <w:b/>
                <w:bCs/>
                <w:sz w:val="20"/>
                <w:lang w:val="en-US"/>
              </w:rPr>
              <w:t>RA</w:t>
            </w:r>
          </w:p>
        </w:tc>
        <w:tc>
          <w:tcPr>
            <w:tcW w:w="8220" w:type="dxa"/>
            <w:tcBorders>
              <w:top w:val="nil"/>
            </w:tcBorders>
          </w:tcPr>
          <w:p w:rsidR="00821AA3" w:rsidRPr="00614CC6" w:rsidRDefault="00821AA3" w:rsidP="00D454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RS</w:t>
            </w:r>
          </w:p>
        </w:tc>
        <w:tc>
          <w:tcPr>
            <w:tcW w:w="8220" w:type="dxa"/>
          </w:tcPr>
          <w:p w:rsidR="00821AA3" w:rsidRPr="00614CC6" w:rsidRDefault="00821AA3" w:rsidP="00D454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w:t>
            </w:r>
          </w:p>
        </w:tc>
        <w:tc>
          <w:tcPr>
            <w:tcW w:w="8220" w:type="dxa"/>
          </w:tcPr>
          <w:p w:rsidR="00821AA3" w:rsidRPr="00614CC6" w:rsidRDefault="00821AA3" w:rsidP="00D454F9">
            <w:pPr>
              <w:spacing w:before="30" w:after="30"/>
              <w:jc w:val="left"/>
              <w:rPr>
                <w:sz w:val="20"/>
                <w:lang w:val="en-US"/>
              </w:rPr>
            </w:pPr>
            <w:r w:rsidRPr="00614CC6">
              <w:rPr>
                <w:sz w:val="20"/>
              </w:rPr>
              <w:t>Service fixe par satellite</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SA</w:t>
            </w:r>
          </w:p>
        </w:tc>
        <w:tc>
          <w:tcPr>
            <w:tcW w:w="8220" w:type="dxa"/>
          </w:tcPr>
          <w:p w:rsidR="00821AA3" w:rsidRPr="00614CC6" w:rsidRDefault="00821AA3" w:rsidP="00D454F9">
            <w:pPr>
              <w:spacing w:before="30" w:after="30"/>
              <w:jc w:val="left"/>
              <w:rPr>
                <w:sz w:val="20"/>
                <w:lang w:val="en-US"/>
              </w:rPr>
            </w:pPr>
            <w:r w:rsidRPr="00614CC6">
              <w:rPr>
                <w:sz w:val="20"/>
              </w:rPr>
              <w:t>Applications spatiales et météorologie</w:t>
            </w:r>
          </w:p>
        </w:tc>
      </w:tr>
      <w:tr w:rsidR="00821AA3" w:rsidRPr="00614CC6"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SF</w:t>
            </w:r>
          </w:p>
        </w:tc>
        <w:tc>
          <w:tcPr>
            <w:tcW w:w="8220" w:type="dxa"/>
          </w:tcPr>
          <w:p w:rsidR="00821AA3" w:rsidRPr="00614CC6" w:rsidRDefault="00821AA3" w:rsidP="00D454F9">
            <w:pPr>
              <w:spacing w:before="30" w:after="30"/>
              <w:jc w:val="left"/>
              <w:rPr>
                <w:sz w:val="20"/>
              </w:rPr>
            </w:pPr>
            <w:r w:rsidRPr="00614CC6">
              <w:rPr>
                <w:sz w:val="20"/>
              </w:rPr>
              <w:t>Partage des fréquences et coordination entre les systèmes du service fixe par satellite et du service fixe</w:t>
            </w:r>
          </w:p>
        </w:tc>
      </w:tr>
      <w:tr w:rsidR="00821AA3" w:rsidRPr="00036EE3" w:rsidTr="00D454F9">
        <w:tc>
          <w:tcPr>
            <w:tcW w:w="1140" w:type="dxa"/>
            <w:shd w:val="clear" w:color="auto" w:fill="auto"/>
          </w:tcPr>
          <w:p w:rsidR="00821AA3" w:rsidRPr="00592F9F" w:rsidRDefault="00821AA3" w:rsidP="00D454F9">
            <w:pPr>
              <w:spacing w:before="30" w:after="30"/>
              <w:ind w:left="57"/>
              <w:jc w:val="left"/>
              <w:rPr>
                <w:b/>
                <w:bCs/>
                <w:sz w:val="20"/>
                <w:lang w:val="en-US"/>
              </w:rPr>
            </w:pPr>
            <w:r w:rsidRPr="00592F9F">
              <w:rPr>
                <w:b/>
                <w:bCs/>
                <w:sz w:val="20"/>
                <w:lang w:val="en-US"/>
              </w:rPr>
              <w:t>SM</w:t>
            </w:r>
          </w:p>
        </w:tc>
        <w:tc>
          <w:tcPr>
            <w:tcW w:w="8220" w:type="dxa"/>
            <w:shd w:val="clear" w:color="auto" w:fill="auto"/>
          </w:tcPr>
          <w:p w:rsidR="00821AA3" w:rsidRPr="00592F9F" w:rsidRDefault="00821AA3" w:rsidP="00D454F9">
            <w:pPr>
              <w:spacing w:before="30" w:after="30"/>
              <w:jc w:val="left"/>
              <w:rPr>
                <w:sz w:val="20"/>
                <w:lang w:val="en-US"/>
              </w:rPr>
            </w:pPr>
            <w:r w:rsidRPr="00592F9F">
              <w:rPr>
                <w:sz w:val="20"/>
              </w:rPr>
              <w:t>Gestion du spectre</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SNG</w:t>
            </w:r>
          </w:p>
        </w:tc>
        <w:tc>
          <w:tcPr>
            <w:tcW w:w="8220" w:type="dxa"/>
          </w:tcPr>
          <w:p w:rsidR="00821AA3" w:rsidRPr="00614CC6" w:rsidRDefault="00821AA3" w:rsidP="00D454F9">
            <w:pPr>
              <w:spacing w:before="30" w:after="30"/>
              <w:jc w:val="left"/>
              <w:rPr>
                <w:sz w:val="20"/>
                <w:lang w:val="en-US"/>
              </w:rPr>
            </w:pPr>
            <w:r w:rsidRPr="00614CC6">
              <w:rPr>
                <w:sz w:val="20"/>
              </w:rPr>
              <w:t>Reportage d'actualités par satellite</w:t>
            </w:r>
          </w:p>
        </w:tc>
      </w:tr>
      <w:tr w:rsidR="00821AA3" w:rsidRPr="00614CC6"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TF</w:t>
            </w:r>
          </w:p>
        </w:tc>
        <w:tc>
          <w:tcPr>
            <w:tcW w:w="8220" w:type="dxa"/>
          </w:tcPr>
          <w:p w:rsidR="00821AA3" w:rsidRPr="00614CC6" w:rsidRDefault="00821AA3" w:rsidP="00D454F9">
            <w:pPr>
              <w:spacing w:before="30" w:after="30"/>
              <w:jc w:val="left"/>
              <w:rPr>
                <w:sz w:val="20"/>
              </w:rPr>
            </w:pPr>
            <w:r w:rsidRPr="00614CC6">
              <w:rPr>
                <w:sz w:val="20"/>
              </w:rPr>
              <w:t>Emissions de fréquences étalon et de signaux horaires</w:t>
            </w:r>
          </w:p>
        </w:tc>
      </w:tr>
      <w:tr w:rsidR="00821AA3" w:rsidRPr="00036EE3" w:rsidTr="00D454F9">
        <w:tc>
          <w:tcPr>
            <w:tcW w:w="1140" w:type="dxa"/>
          </w:tcPr>
          <w:p w:rsidR="00821AA3" w:rsidRPr="00614CC6" w:rsidRDefault="00821AA3" w:rsidP="00D454F9">
            <w:pPr>
              <w:spacing w:before="30" w:after="30"/>
              <w:ind w:left="57"/>
              <w:jc w:val="left"/>
              <w:rPr>
                <w:b/>
                <w:bCs/>
                <w:sz w:val="20"/>
                <w:lang w:val="en-US"/>
              </w:rPr>
            </w:pPr>
            <w:r w:rsidRPr="00614CC6">
              <w:rPr>
                <w:b/>
                <w:bCs/>
                <w:sz w:val="20"/>
                <w:lang w:val="en-US"/>
              </w:rPr>
              <w:t>V</w:t>
            </w:r>
          </w:p>
        </w:tc>
        <w:tc>
          <w:tcPr>
            <w:tcW w:w="8220" w:type="dxa"/>
          </w:tcPr>
          <w:p w:rsidR="00821AA3" w:rsidRPr="00614CC6" w:rsidRDefault="00821AA3" w:rsidP="00D454F9">
            <w:pPr>
              <w:spacing w:before="30" w:after="140"/>
              <w:jc w:val="left"/>
              <w:rPr>
                <w:sz w:val="20"/>
                <w:lang w:val="en-US"/>
              </w:rPr>
            </w:pPr>
            <w:r w:rsidRPr="00614CC6">
              <w:rPr>
                <w:sz w:val="20"/>
              </w:rPr>
              <w:t>Vocabulaire et sujets associés</w:t>
            </w:r>
          </w:p>
        </w:tc>
      </w:tr>
    </w:tbl>
    <w:p w:rsidR="00821AA3" w:rsidRPr="00036EE3" w:rsidRDefault="00821AA3" w:rsidP="00821AA3">
      <w:pPr>
        <w:spacing w:before="0"/>
        <w:jc w:val="center"/>
        <w:rPr>
          <w:sz w:val="20"/>
          <w:lang w:val="en-US"/>
        </w:rPr>
      </w:pPr>
    </w:p>
    <w:p w:rsidR="00821AA3" w:rsidRPr="00036EE3" w:rsidRDefault="00821AA3" w:rsidP="00821AA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21AA3" w:rsidRPr="00756B4D" w:rsidTr="00D454F9">
        <w:tc>
          <w:tcPr>
            <w:tcW w:w="9360" w:type="dxa"/>
          </w:tcPr>
          <w:p w:rsidR="00821AA3" w:rsidRPr="00756B4D" w:rsidRDefault="00821AA3" w:rsidP="00D454F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21AA3" w:rsidRPr="00756B4D" w:rsidRDefault="00821AA3" w:rsidP="00821AA3">
      <w:pPr>
        <w:spacing w:before="0"/>
        <w:jc w:val="center"/>
        <w:rPr>
          <w:sz w:val="22"/>
        </w:rPr>
      </w:pPr>
    </w:p>
    <w:p w:rsidR="00821AA3" w:rsidRPr="00614CC6" w:rsidRDefault="00821AA3" w:rsidP="00821AA3">
      <w:pPr>
        <w:spacing w:before="100"/>
        <w:jc w:val="right"/>
        <w:rPr>
          <w:i/>
          <w:iCs/>
          <w:sz w:val="20"/>
        </w:rPr>
      </w:pPr>
      <w:r w:rsidRPr="00614CC6">
        <w:rPr>
          <w:i/>
          <w:iCs/>
          <w:sz w:val="20"/>
        </w:rPr>
        <w:t>Publication électronique</w:t>
      </w:r>
    </w:p>
    <w:p w:rsidR="00821AA3" w:rsidRPr="00614CC6" w:rsidRDefault="00821AA3" w:rsidP="00821AA3">
      <w:pPr>
        <w:spacing w:before="0"/>
        <w:jc w:val="right"/>
        <w:rPr>
          <w:sz w:val="20"/>
        </w:rPr>
      </w:pPr>
      <w:r w:rsidRPr="00614CC6">
        <w:rPr>
          <w:sz w:val="20"/>
        </w:rPr>
        <w:t>Genève, 20</w:t>
      </w:r>
      <w:r>
        <w:rPr>
          <w:sz w:val="20"/>
        </w:rPr>
        <w:t>14</w:t>
      </w:r>
    </w:p>
    <w:p w:rsidR="00821AA3" w:rsidRPr="00614CC6" w:rsidRDefault="00821AA3" w:rsidP="00821AA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821AA3" w:rsidRPr="00614CC6" w:rsidRDefault="00821AA3" w:rsidP="00821AA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21AA3" w:rsidRPr="00614CC6" w:rsidRDefault="00821AA3" w:rsidP="00821AA3">
      <w:pPr>
        <w:spacing w:before="160"/>
        <w:rPr>
          <w:i/>
          <w:sz w:val="20"/>
          <w:highlight w:val="yellow"/>
        </w:rPr>
        <w:sectPr w:rsidR="00821AA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821AA3" w:rsidRPr="00756B4D" w:rsidRDefault="00821AA3" w:rsidP="00821AA3">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678-2</w:t>
      </w:r>
    </w:p>
    <w:p w:rsidR="00CB7E99" w:rsidRPr="003576F1" w:rsidRDefault="00CB7E99" w:rsidP="00CB7E99">
      <w:pPr>
        <w:pStyle w:val="Rectitle"/>
      </w:pPr>
      <w:r w:rsidRPr="003576F1">
        <w:t>Caractérisation de la variabilité des phénomènes de propagation et</w:t>
      </w:r>
      <w:r w:rsidRPr="003576F1">
        <w:br/>
        <w:t xml:space="preserve">estimation du risque </w:t>
      </w:r>
      <w:r>
        <w:t xml:space="preserve">associé </w:t>
      </w:r>
      <w:r w:rsidRPr="003576F1">
        <w:t>à la marge de propagation</w:t>
      </w:r>
    </w:p>
    <w:p w:rsidR="00CB7E99" w:rsidRPr="003576F1" w:rsidRDefault="00CB7E99" w:rsidP="00CB7E99">
      <w:pPr>
        <w:pStyle w:val="Recdate"/>
      </w:pPr>
      <w:bookmarkStart w:id="3" w:name="Revision_history"/>
      <w:r w:rsidRPr="003576F1">
        <w:t>(1990-1992-</w:t>
      </w:r>
      <w:bookmarkEnd w:id="3"/>
      <w:r w:rsidRPr="003576F1">
        <w:t>2013)</w:t>
      </w:r>
    </w:p>
    <w:p w:rsidR="00CB7E99" w:rsidRPr="005F5BCB" w:rsidRDefault="00CB7E99" w:rsidP="00E0349B">
      <w:pPr>
        <w:pStyle w:val="HeadingSum"/>
        <w:rPr>
          <w:lang w:val="fr-CH"/>
        </w:rPr>
      </w:pPr>
      <w:r w:rsidRPr="005F5BCB">
        <w:rPr>
          <w:lang w:val="fr-CH"/>
        </w:rPr>
        <w:t>Champ d'application</w:t>
      </w:r>
    </w:p>
    <w:p w:rsidR="00CB7E99" w:rsidRPr="005F5BCB" w:rsidRDefault="00CB7E99" w:rsidP="00E0349B">
      <w:pPr>
        <w:pStyle w:val="Summary"/>
        <w:rPr>
          <w:lang w:val="fr-CH"/>
        </w:rPr>
      </w:pPr>
      <w:r w:rsidRPr="005F5BCB">
        <w:rPr>
          <w:lang w:val="fr-CH"/>
        </w:rPr>
        <w:t>La présente Recommandation décrit trois méthodes permettant de prévoir:</w:t>
      </w:r>
    </w:p>
    <w:p w:rsidR="00CB7E99" w:rsidRPr="005F5BCB" w:rsidRDefault="00CB7E99" w:rsidP="00E0349B">
      <w:pPr>
        <w:pStyle w:val="Summary"/>
        <w:ind w:left="794" w:hanging="794"/>
        <w:rPr>
          <w:lang w:val="fr-CH"/>
        </w:rPr>
      </w:pPr>
      <w:r w:rsidRPr="005F5BCB">
        <w:rPr>
          <w:lang w:val="fr-CH"/>
        </w:rPr>
        <w:t>–</w:t>
      </w:r>
      <w:r w:rsidRPr="005F5BCB">
        <w:rPr>
          <w:lang w:val="fr-CH"/>
        </w:rPr>
        <w:tab/>
        <w:t>la variation escomptée, d'une année à l'autre, de la fraction du temps de dépassement pendant le mois le plus défavorable;</w:t>
      </w:r>
    </w:p>
    <w:p w:rsidR="00CB7E99" w:rsidRPr="005F5BCB" w:rsidRDefault="00CB7E99" w:rsidP="00E0349B">
      <w:pPr>
        <w:pStyle w:val="Summary"/>
        <w:ind w:left="794" w:hanging="794"/>
        <w:rPr>
          <w:lang w:val="fr-CH"/>
        </w:rPr>
      </w:pPr>
      <w:r w:rsidRPr="005F5BCB">
        <w:rPr>
          <w:lang w:val="fr-CH"/>
        </w:rPr>
        <w:t>–</w:t>
      </w:r>
      <w:r w:rsidRPr="005F5BCB">
        <w:rPr>
          <w:lang w:val="fr-CH"/>
        </w:rPr>
        <w:tab/>
        <w:t>la variabilité, d'une année à l'autre, des statistiques d'intensité de pluie et d'affaiblissement dû à la pluie;</w:t>
      </w:r>
    </w:p>
    <w:p w:rsidR="00CB7E99" w:rsidRPr="005F5BCB" w:rsidRDefault="00CB7E99" w:rsidP="00E0349B">
      <w:pPr>
        <w:pStyle w:val="Summary"/>
        <w:ind w:left="794" w:hanging="794"/>
        <w:rPr>
          <w:lang w:val="fr-CH"/>
        </w:rPr>
      </w:pPr>
      <w:r w:rsidRPr="005F5BCB">
        <w:rPr>
          <w:lang w:val="fr-CH"/>
        </w:rPr>
        <w:t>–</w:t>
      </w:r>
      <w:r w:rsidRPr="005F5BCB">
        <w:rPr>
          <w:lang w:val="fr-CH"/>
        </w:rPr>
        <w:tab/>
        <w:t>les paramètres de risque associés à la variation des statistiques d'affaiblissement dû à la pluie.</w:t>
      </w:r>
    </w:p>
    <w:p w:rsidR="00CB7E99" w:rsidRPr="003576F1" w:rsidRDefault="00CB7E99" w:rsidP="00CB7E99">
      <w:pPr>
        <w:pStyle w:val="Normalaftertitle"/>
      </w:pPr>
      <w:r w:rsidRPr="003576F1">
        <w:t>L'Assemblée des radiocommunications de l'UIT,</w:t>
      </w:r>
    </w:p>
    <w:p w:rsidR="00CB7E99" w:rsidRPr="003576F1" w:rsidRDefault="00CB7E99" w:rsidP="00CB7E99">
      <w:pPr>
        <w:pStyle w:val="Call"/>
      </w:pPr>
      <w:r w:rsidRPr="000D1B28">
        <w:t>considérant</w:t>
      </w:r>
    </w:p>
    <w:p w:rsidR="00CB7E99" w:rsidRPr="003576F1" w:rsidRDefault="00CB7E99" w:rsidP="00CB7E99">
      <w:r w:rsidRPr="00CB7E99">
        <w:rPr>
          <w:i/>
          <w:iCs/>
        </w:rPr>
        <w:t>a)</w:t>
      </w:r>
      <w:r w:rsidRPr="003576F1">
        <w:tab/>
        <w:t>qu'il faut connaître la variabilité des phénomènes de propagation pour pouvoir parvenir à des compromis satisfaisants entre le coût et la qualité de fonctionnement lors de l'analyse de la fiabilité, de la disponibilité et de la qualité des systèmes;</w:t>
      </w:r>
    </w:p>
    <w:p w:rsidR="00CB7E99" w:rsidRPr="003576F1" w:rsidRDefault="00CB7E99" w:rsidP="00CB7E99">
      <w:r w:rsidRPr="00CB7E99">
        <w:rPr>
          <w:i/>
          <w:iCs/>
        </w:rPr>
        <w:t>b)</w:t>
      </w:r>
      <w:r w:rsidRPr="003576F1">
        <w:tab/>
        <w:t xml:space="preserve">qu'une procédure de prévision </w:t>
      </w:r>
      <w:r>
        <w:t>permettant d'estimer l</w:t>
      </w:r>
      <w:r w:rsidRPr="003576F1">
        <w:t>es paramètres de risque associés à la variation des statistiques de propagation est nécessaire pour la formulation des critères de qualité de fonctionnement des systèmes de radiocommunication;</w:t>
      </w:r>
    </w:p>
    <w:p w:rsidR="00CB7E99" w:rsidRPr="003576F1" w:rsidRDefault="00CB7E99" w:rsidP="00CB7E99">
      <w:r w:rsidRPr="00CB7E99">
        <w:rPr>
          <w:i/>
          <w:iCs/>
        </w:rPr>
        <w:t>c)</w:t>
      </w:r>
      <w:r w:rsidRPr="003576F1">
        <w:tab/>
        <w:t xml:space="preserve">qu'il existe une procédure de prévision </w:t>
      </w:r>
      <w:r>
        <w:t>permettant d'estimer l</w:t>
      </w:r>
      <w:r w:rsidRPr="003576F1">
        <w:t>es statistiques des variations</w:t>
      </w:r>
      <w:r>
        <w:t>,</w:t>
      </w:r>
      <w:r w:rsidRPr="003576F1">
        <w:t xml:space="preserve"> d'une année à l'autre</w:t>
      </w:r>
      <w:r>
        <w:t>,</w:t>
      </w:r>
      <w:r w:rsidRPr="003576F1">
        <w:t xml:space="preserve"> de la fraction du temps de dépassement </w:t>
      </w:r>
      <w:r>
        <w:t xml:space="preserve">pendant le </w:t>
      </w:r>
      <w:r w:rsidRPr="003576F1">
        <w:t>mois le plus défavorable de l'année, définie dans la Recommandation UIT-R P.581,</w:t>
      </w:r>
    </w:p>
    <w:p w:rsidR="00CB7E99" w:rsidRPr="003576F1" w:rsidRDefault="00CB7E99" w:rsidP="00CB7E99">
      <w:pPr>
        <w:pStyle w:val="Call"/>
      </w:pPr>
      <w:r w:rsidRPr="003576F1">
        <w:t>recommande</w:t>
      </w:r>
    </w:p>
    <w:p w:rsidR="00CB7E99" w:rsidRPr="003576F1" w:rsidRDefault="00CB7E99" w:rsidP="00CB7E99">
      <w:r w:rsidRPr="003576F1">
        <w:rPr>
          <w:b/>
        </w:rPr>
        <w:t>1</w:t>
      </w:r>
      <w:r w:rsidRPr="003576F1">
        <w:tab/>
        <w:t>que la Fig. 1 de l'Annexe 1 soit utilisée pour l'estimation de la variation escomptée, d'une année à l'autre</w:t>
      </w:r>
      <w:r>
        <w:t>,</w:t>
      </w:r>
      <w:r w:rsidRPr="003576F1">
        <w:t xml:space="preserve"> de la fraction du temps de dépassement pendant le mois le plus défavorable de l'année;</w:t>
      </w:r>
    </w:p>
    <w:p w:rsidR="00CB7E99" w:rsidRPr="003576F1" w:rsidRDefault="00CB7E99" w:rsidP="00CB7E99">
      <w:r w:rsidRPr="003576F1">
        <w:rPr>
          <w:b/>
        </w:rPr>
        <w:t>2</w:t>
      </w:r>
      <w:r w:rsidRPr="003576F1">
        <w:tab/>
        <w:t xml:space="preserve">que la variation </w:t>
      </w:r>
      <w:r>
        <w:t xml:space="preserve">escomptée </w:t>
      </w:r>
      <w:r w:rsidRPr="003576F1">
        <w:t xml:space="preserve">autour d'une valeur moyenne </w:t>
      </w:r>
      <w:r>
        <w:t xml:space="preserve">prédite </w:t>
      </w:r>
      <w:r w:rsidRPr="003576F1">
        <w:t>à long terme soit indiquée en fonction de la période de récurrence;</w:t>
      </w:r>
    </w:p>
    <w:p w:rsidR="00CB7E99" w:rsidRPr="003576F1" w:rsidRDefault="00CB7E99" w:rsidP="00CB7E99">
      <w:r w:rsidRPr="003576F1">
        <w:rPr>
          <w:b/>
        </w:rPr>
        <w:t>3</w:t>
      </w:r>
      <w:r w:rsidRPr="003576F1">
        <w:tab/>
        <w:t xml:space="preserve">que l'Annexe 2 soit utilisée pour le calcul de la variabilité, d'une année à l'autre, des statistiques </w:t>
      </w:r>
      <w:r>
        <w:t>d</w:t>
      </w:r>
      <w:r w:rsidRPr="003576F1">
        <w:t xml:space="preserve">'intensité de pluie et </w:t>
      </w:r>
      <w:r>
        <w:t>d</w:t>
      </w:r>
      <w:r w:rsidRPr="003576F1">
        <w:t>'affaiblissement dû à la pluie autour des statistiques moyennes à long terme;</w:t>
      </w:r>
    </w:p>
    <w:p w:rsidR="00CB7E99" w:rsidRPr="003576F1" w:rsidRDefault="00CB7E99" w:rsidP="00CB7E99">
      <w:r w:rsidRPr="003576F1">
        <w:rPr>
          <w:b/>
        </w:rPr>
        <w:t>4</w:t>
      </w:r>
      <w:r w:rsidRPr="003576F1">
        <w:tab/>
        <w:t>que l'Annexe 3 soit utilisée pour le calcul des paramètres de risque associés à la variation des statistiques de propagation.</w:t>
      </w:r>
    </w:p>
    <w:p w:rsidR="00CB7E99" w:rsidRPr="003576F1" w:rsidRDefault="00CB7E99" w:rsidP="00E0349B">
      <w:r w:rsidRPr="003576F1">
        <w:rPr>
          <w:iCs/>
        </w:rPr>
        <w:t>NOTE 1</w:t>
      </w:r>
      <w:r w:rsidRPr="003576F1">
        <w:t> – La période de récurrence est l'intervalle de temps moyen entre deux apparitions consécutives d'un événement stochastique défini. Dans le cas d'une longue série d'observations, la valeur de la période de récurrence est 1/</w:t>
      </w:r>
      <w:r w:rsidRPr="003576F1">
        <w:rPr>
          <w:i/>
        </w:rPr>
        <w:t>P</w:t>
      </w:r>
      <w:r w:rsidRPr="003576F1">
        <w:t xml:space="preserve"> (multipliée par l'intervalle moyen entre toutes les paires d'événements consécutifs), </w:t>
      </w:r>
      <w:r w:rsidRPr="003576F1">
        <w:rPr>
          <w:i/>
        </w:rPr>
        <w:t>P</w:t>
      </w:r>
      <w:r w:rsidRPr="003576F1">
        <w:t xml:space="preserve"> étant la probabilité d'apparition de l'événement. Par exemple, la valeur médiane d'une longue série de valeurs de fraction du temps de dépassement pendant le mois le plus défavorable de l'année aurait un</w:t>
      </w:r>
      <w:r>
        <w:t>e période de récurrence</w:t>
      </w:r>
      <w:r w:rsidRPr="003576F1">
        <w:t xml:space="preserve"> de </w:t>
      </w:r>
      <w:r>
        <w:t>deux</w:t>
      </w:r>
      <w:r w:rsidRPr="003576F1">
        <w:t xml:space="preserve"> ans.</w:t>
      </w:r>
    </w:p>
    <w:p w:rsidR="00CB7E99" w:rsidRPr="003576F1" w:rsidRDefault="00CB7E99" w:rsidP="00E0349B">
      <w:r w:rsidRPr="003576F1">
        <w:rPr>
          <w:iCs/>
        </w:rPr>
        <w:t>NOTE 2</w:t>
      </w:r>
      <w:r w:rsidRPr="003576F1">
        <w:t xml:space="preserve"> – Le risque est défini comme étant la probabilité que </w:t>
      </w:r>
      <w:r w:rsidRPr="003576F1">
        <w:rPr>
          <w:rFonts w:ascii="Times" w:hAnsi="Times" w:cs="CMR12"/>
          <w:szCs w:val="24"/>
        </w:rPr>
        <w:t>la garantie de disponibilité annuelle ne soit pas respectée.</w:t>
      </w:r>
      <w:r w:rsidRPr="003576F1">
        <w:br w:type="page"/>
      </w:r>
    </w:p>
    <w:p w:rsidR="00CB7E99" w:rsidRDefault="00CB7E99" w:rsidP="00CB7E99">
      <w:pPr>
        <w:pStyle w:val="AnnexNoTitle"/>
      </w:pPr>
      <w:r w:rsidRPr="003576F1">
        <w:lastRenderedPageBreak/>
        <w:t>Annexe 1</w:t>
      </w:r>
      <w:r w:rsidRPr="003576F1">
        <w:br/>
      </w:r>
      <w:r w:rsidRPr="003576F1">
        <w:br/>
        <w:t>Estimation de la variation escomptée, d'une année à l'autre</w:t>
      </w:r>
      <w:r>
        <w:t>,</w:t>
      </w:r>
      <w:r w:rsidRPr="003576F1">
        <w:t xml:space="preserve"> de la fraction du temps de dépassement pendant le mois le plus défavorable de l'année</w:t>
      </w:r>
    </w:p>
    <w:p w:rsidR="00E0349B" w:rsidRPr="00E0349B" w:rsidRDefault="00E0349B" w:rsidP="00E0349B"/>
    <w:p w:rsidR="00CB7E99" w:rsidRPr="00135EB9" w:rsidRDefault="00CB7E99" w:rsidP="00CB7E99">
      <w:pPr>
        <w:pStyle w:val="Figure"/>
        <w:rPr>
          <w:lang w:val="fr-CH"/>
        </w:rPr>
      </w:pPr>
      <w:r w:rsidRPr="00135EB9">
        <w:rPr>
          <w:lang w:val="fr-CH"/>
        </w:rPr>
        <w:t>figure 1</w:t>
      </w:r>
    </w:p>
    <w:p w:rsidR="00CB7E99" w:rsidRPr="00832276" w:rsidRDefault="00CB7E99" w:rsidP="00E0349B">
      <w:pPr>
        <w:pStyle w:val="Figuretitle"/>
        <w:rPr>
          <w:lang w:val="fr-CH"/>
        </w:rPr>
      </w:pPr>
      <w:r w:rsidRPr="00832276">
        <w:rPr>
          <w:lang w:val="fr-CH"/>
        </w:rPr>
        <w:t xml:space="preserve">Dépendance de </w:t>
      </w:r>
      <w:r w:rsidRPr="00832276">
        <w:rPr>
          <w:i/>
          <w:iCs/>
          <w:lang w:val="fr-CH"/>
        </w:rPr>
        <w:t>W</w:t>
      </w:r>
      <w:r w:rsidRPr="00832276">
        <w:rPr>
          <w:i/>
          <w:iCs/>
          <w:vertAlign w:val="subscript"/>
          <w:lang w:val="fr-CH"/>
        </w:rPr>
        <w:t>R</w:t>
      </w:r>
      <w:r w:rsidRPr="00832276">
        <w:rPr>
          <w:lang w:val="fr-CH"/>
        </w:rPr>
        <w:t>/</w:t>
      </w:r>
      <w:r w:rsidRPr="00832276">
        <w:rPr>
          <w:i/>
          <w:iCs/>
          <w:lang w:val="fr-CH"/>
        </w:rPr>
        <w:t>P</w:t>
      </w:r>
      <w:r w:rsidRPr="00832276">
        <w:rPr>
          <w:i/>
          <w:iCs/>
          <w:vertAlign w:val="subscript"/>
          <w:lang w:val="fr-CH"/>
        </w:rPr>
        <w:t>W</w:t>
      </w:r>
      <w:r w:rsidRPr="00832276">
        <w:rPr>
          <w:lang w:val="fr-CH"/>
        </w:rPr>
        <w:t xml:space="preserve"> par rapport à </w:t>
      </w:r>
      <w:r w:rsidRPr="00832276">
        <w:rPr>
          <w:i/>
          <w:iCs/>
          <w:lang w:val="fr-CH"/>
        </w:rPr>
        <w:t>Q</w:t>
      </w:r>
      <w:r w:rsidRPr="00832276">
        <w:rPr>
          <w:lang w:val="fr-CH"/>
        </w:rPr>
        <w:t xml:space="preserve"> pour plusieurs valeur</w:t>
      </w:r>
      <w:r>
        <w:rPr>
          <w:lang w:val="fr-CH"/>
        </w:rPr>
        <w:t>s</w:t>
      </w:r>
      <w:r w:rsidRPr="00832276">
        <w:rPr>
          <w:lang w:val="fr-CH"/>
        </w:rPr>
        <w:br/>
      </w:r>
      <w:r>
        <w:rPr>
          <w:lang w:val="fr-CH"/>
        </w:rPr>
        <w:t>de la</w:t>
      </w:r>
      <w:r w:rsidRPr="00832276">
        <w:rPr>
          <w:lang w:val="fr-CH"/>
        </w:rPr>
        <w:t xml:space="preserve"> p</w:t>
      </w:r>
      <w:r>
        <w:rPr>
          <w:lang w:val="fr-CH"/>
        </w:rPr>
        <w:t>é</w:t>
      </w:r>
      <w:r w:rsidRPr="00832276">
        <w:rPr>
          <w:lang w:val="fr-CH"/>
        </w:rPr>
        <w:t>riod</w:t>
      </w:r>
      <w:r>
        <w:rPr>
          <w:lang w:val="fr-CH"/>
        </w:rPr>
        <w:t>e de récurrence</w:t>
      </w:r>
      <w:r w:rsidRPr="00832276">
        <w:rPr>
          <w:lang w:val="fr-CH"/>
        </w:rPr>
        <w:t xml:space="preserve"> </w:t>
      </w:r>
      <w:r w:rsidRPr="00832276">
        <w:rPr>
          <w:i/>
          <w:iCs/>
          <w:lang w:val="fr-CH"/>
        </w:rPr>
        <w:t>R</w:t>
      </w:r>
      <w:r w:rsidRPr="00832276">
        <w:rPr>
          <w:lang w:val="fr-CH"/>
        </w:rPr>
        <w:t xml:space="preserve"> (a</w:t>
      </w:r>
      <w:r>
        <w:rPr>
          <w:lang w:val="fr-CH"/>
        </w:rPr>
        <w:t>nnée</w:t>
      </w:r>
      <w:r w:rsidRPr="00832276">
        <w:rPr>
          <w:lang w:val="fr-CH"/>
        </w:rPr>
        <w:t>s)</w:t>
      </w:r>
    </w:p>
    <w:p w:rsidR="00CB7E99" w:rsidRDefault="00F01BFA" w:rsidP="00CB7E99">
      <w:pPr>
        <w:pStyle w:val="Figure"/>
        <w:rPr>
          <w:lang w:val="en-GB"/>
        </w:rPr>
      </w:pPr>
      <w:r>
        <w:rPr>
          <w:lang w:val="en-GB"/>
        </w:rPr>
        <w:object w:dxaOrig="3179" w:dyaOrig="3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7pt;height:229.3pt" o:ole="">
            <v:imagedata r:id="rId12" o:title=""/>
          </v:shape>
          <o:OLEObject Type="Embed" ProgID="CorelDRAW.Graphic.14" ShapeID="_x0000_i1025" DrawAspect="Content" ObjectID="_1468066438" r:id="rId13"/>
        </w:object>
      </w:r>
    </w:p>
    <w:p w:rsidR="00CB7E99" w:rsidRPr="00832276" w:rsidRDefault="00CB7E99" w:rsidP="00CB7E99">
      <w:pPr>
        <w:pStyle w:val="Figurelegend"/>
        <w:rPr>
          <w:lang w:val="fr-CH"/>
        </w:rPr>
      </w:pPr>
      <w:r>
        <w:rPr>
          <w:i/>
          <w:iCs/>
          <w:lang w:val="en-GB"/>
        </w:rPr>
        <w:tab/>
      </w:r>
      <w:r>
        <w:rPr>
          <w:i/>
          <w:iCs/>
          <w:lang w:val="en-GB"/>
        </w:rPr>
        <w:tab/>
      </w:r>
      <w:r>
        <w:rPr>
          <w:i/>
          <w:iCs/>
          <w:lang w:val="en-GB"/>
        </w:rPr>
        <w:tab/>
      </w:r>
      <w:r w:rsidRPr="00832276">
        <w:rPr>
          <w:i/>
          <w:iCs/>
          <w:lang w:val="fr-CH"/>
        </w:rPr>
        <w:t xml:space="preserve">Note </w:t>
      </w:r>
      <w:r w:rsidRPr="00832276">
        <w:rPr>
          <w:lang w:val="fr-CH"/>
        </w:rPr>
        <w:t xml:space="preserve">1 – </w:t>
      </w:r>
      <w:r w:rsidRPr="00832276">
        <w:rPr>
          <w:i/>
          <w:iCs/>
          <w:lang w:val="fr-CH"/>
        </w:rPr>
        <w:t>P</w:t>
      </w:r>
      <w:r w:rsidRPr="00832276">
        <w:rPr>
          <w:i/>
          <w:iCs/>
          <w:vertAlign w:val="subscript"/>
          <w:lang w:val="fr-CH"/>
        </w:rPr>
        <w:t>W</w:t>
      </w:r>
      <w:r w:rsidRPr="00832276">
        <w:rPr>
          <w:lang w:val="fr-CH"/>
        </w:rPr>
        <w:t xml:space="preserve">, </w:t>
      </w:r>
      <w:r w:rsidRPr="00832276">
        <w:rPr>
          <w:i/>
          <w:iCs/>
          <w:lang w:val="fr-CH"/>
        </w:rPr>
        <w:t>W</w:t>
      </w:r>
      <w:r w:rsidRPr="00832276">
        <w:rPr>
          <w:i/>
          <w:iCs/>
          <w:vertAlign w:val="subscript"/>
          <w:lang w:val="fr-CH"/>
        </w:rPr>
        <w:t>R</w:t>
      </w:r>
      <w:r w:rsidRPr="00832276">
        <w:rPr>
          <w:lang w:val="fr-CH"/>
        </w:rPr>
        <w:t xml:space="preserve"> et </w:t>
      </w:r>
      <w:r w:rsidRPr="00832276">
        <w:rPr>
          <w:i/>
          <w:iCs/>
          <w:lang w:val="fr-CH"/>
        </w:rPr>
        <w:t>Q</w:t>
      </w:r>
      <w:r w:rsidRPr="00832276">
        <w:rPr>
          <w:lang w:val="fr-CH"/>
        </w:rPr>
        <w:t xml:space="preserve"> devraient se rapporter à la même valeur de seuil, choisie à l'avance.</w:t>
      </w:r>
    </w:p>
    <w:p w:rsidR="00CB7E99" w:rsidRPr="00832276" w:rsidRDefault="00CB7E99" w:rsidP="00CB7E99">
      <w:pPr>
        <w:rPr>
          <w:lang w:val="fr-CH"/>
        </w:rPr>
      </w:pPr>
      <w:r w:rsidRPr="00832276">
        <w:rPr>
          <w:lang w:val="fr-CH"/>
        </w:rPr>
        <w:br w:type="page"/>
      </w:r>
    </w:p>
    <w:p w:rsidR="00CB7E99" w:rsidRPr="003576F1" w:rsidRDefault="00CB7E99" w:rsidP="00CB7E99">
      <w:pPr>
        <w:pStyle w:val="AnnexNoTitle"/>
      </w:pPr>
      <w:r w:rsidRPr="003576F1">
        <w:lastRenderedPageBreak/>
        <w:t>Annexe 2</w:t>
      </w:r>
      <w:r w:rsidRPr="003576F1">
        <w:br/>
      </w:r>
      <w:r w:rsidRPr="003576F1">
        <w:br/>
        <w:t>Variabilité</w:t>
      </w:r>
      <w:r>
        <w:t>,</w:t>
      </w:r>
      <w:r w:rsidRPr="003576F1">
        <w:t xml:space="preserve"> d'une année à l'autre</w:t>
      </w:r>
      <w:r>
        <w:t>,</w:t>
      </w:r>
      <w:r w:rsidRPr="003576F1">
        <w:t xml:space="preserve"> des statistiques </w:t>
      </w:r>
      <w:r>
        <w:t>d</w:t>
      </w:r>
      <w:r w:rsidRPr="003576F1">
        <w:t xml:space="preserve">'intensité de pluie </w:t>
      </w:r>
      <w:r w:rsidRPr="003576F1">
        <w:br/>
        <w:t xml:space="preserve">et </w:t>
      </w:r>
      <w:r>
        <w:t>d</w:t>
      </w:r>
      <w:r w:rsidRPr="003576F1">
        <w:t>'affaiblissement dû à la pluie</w:t>
      </w:r>
    </w:p>
    <w:p w:rsidR="00CB7E99" w:rsidRPr="003576F1" w:rsidRDefault="00CB7E99" w:rsidP="00CB7E99">
      <w:pPr>
        <w:pStyle w:val="Normalaftertitle"/>
      </w:pPr>
      <w:r w:rsidRPr="003576F1">
        <w:t>Pour un emplacement donné, les fluctuations</w:t>
      </w:r>
      <w:r>
        <w:t>,</w:t>
      </w:r>
      <w:r w:rsidRPr="003576F1">
        <w:t xml:space="preserve"> d'une année à l'autre</w:t>
      </w:r>
      <w:r>
        <w:t>,</w:t>
      </w:r>
      <w:r w:rsidRPr="003576F1">
        <w:t xml:space="preserve"> des statistiques </w:t>
      </w:r>
      <w:r>
        <w:t>d</w:t>
      </w:r>
      <w:r w:rsidRPr="003576F1">
        <w:t xml:space="preserve">'intensité de pluie et </w:t>
      </w:r>
      <w:r>
        <w:t>d</w:t>
      </w:r>
      <w:r w:rsidRPr="003576F1">
        <w:t>'affaiblissement dû à la pluie autour de la f</w:t>
      </w:r>
      <w:r>
        <w:t>o</w:t>
      </w:r>
      <w:r w:rsidRPr="003576F1">
        <w:t xml:space="preserve">nction de </w:t>
      </w:r>
      <w:r>
        <w:t xml:space="preserve">distribution cumulative complémentaire à long terme </w:t>
      </w:r>
      <w:r w:rsidRPr="003576F1">
        <w:t xml:space="preserve">(CCDF) </w:t>
      </w:r>
      <w:r w:rsidRPr="003576F1">
        <w:rPr>
          <w:i/>
        </w:rPr>
        <w:t>p</w:t>
      </w:r>
      <w:r w:rsidRPr="003576F1">
        <w:t xml:space="preserve"> suivent une distribution normale de moyenne </w:t>
      </w:r>
      <w:r w:rsidRPr="003576F1">
        <w:rPr>
          <w:i/>
        </w:rPr>
        <w:t>p</w:t>
      </w:r>
      <w:r w:rsidRPr="003576F1">
        <w:t xml:space="preserve"> et de variance </w:t>
      </w:r>
      <w:r>
        <w:t xml:space="preserve">annuelle </w:t>
      </w:r>
      <w:r w:rsidRPr="003576F1">
        <w:rPr>
          <w:position w:val="-6"/>
        </w:rPr>
        <w:object w:dxaOrig="300" w:dyaOrig="279">
          <v:shape id="_x0000_i1026" type="#_x0000_t75" style="width:14.55pt;height:13.3pt" o:ole="">
            <v:imagedata r:id="rId14" o:title=""/>
          </v:shape>
          <o:OLEObject Type="Embed" ProgID="Equation.3" ShapeID="_x0000_i1026" DrawAspect="Content" ObjectID="_1468066439" r:id="rId15"/>
        </w:object>
      </w:r>
      <w:r w:rsidRPr="003576F1">
        <w:t xml:space="preserve"> </w:t>
      </w:r>
      <w:r>
        <w:t>donnée par</w:t>
      </w:r>
      <w:r w:rsidRPr="003576F1">
        <w:t>:</w:t>
      </w:r>
    </w:p>
    <w:p w:rsidR="00CB7E99" w:rsidRPr="003576F1" w:rsidRDefault="00CB7E99" w:rsidP="00CB7E99">
      <w:pPr>
        <w:pStyle w:val="Equation"/>
      </w:pPr>
      <w:r w:rsidRPr="003576F1">
        <w:tab/>
      </w:r>
      <w:r w:rsidRPr="003576F1">
        <w:tab/>
      </w:r>
      <w:r w:rsidRPr="003576F1">
        <w:rPr>
          <w:position w:val="-12"/>
        </w:rPr>
        <w:object w:dxaOrig="2400" w:dyaOrig="420">
          <v:shape id="_x0000_i1027" type="#_x0000_t75" style="width:119.55pt;height:22.3pt" o:ole="">
            <v:imagedata r:id="rId16" o:title=""/>
          </v:shape>
          <o:OLEObject Type="Embed" ProgID="Equation.3" ShapeID="_x0000_i1027" DrawAspect="Content" ObjectID="_1468066440" r:id="rId17"/>
        </w:object>
      </w:r>
      <w:r w:rsidRPr="003576F1">
        <w:tab/>
        <w:t>(1)</w:t>
      </w:r>
    </w:p>
    <w:p w:rsidR="00CB7E99" w:rsidRPr="003576F1" w:rsidRDefault="00CB7E99" w:rsidP="00CB7E99">
      <w:r>
        <w:t>où</w:t>
      </w:r>
      <w:r w:rsidRPr="003576F1">
        <w:t>:</w:t>
      </w:r>
    </w:p>
    <w:p w:rsidR="00CB7E99" w:rsidRPr="003576F1" w:rsidRDefault="00CB7E99" w:rsidP="00CB7E99">
      <w:pPr>
        <w:pStyle w:val="Equationlegend"/>
        <w:rPr>
          <w:lang w:val="fr-FR"/>
        </w:rPr>
      </w:pPr>
      <w:r w:rsidRPr="003576F1">
        <w:rPr>
          <w:lang w:val="fr-FR"/>
        </w:rPr>
        <w:tab/>
      </w:r>
      <w:r w:rsidRPr="003576F1">
        <w:rPr>
          <w:position w:val="-10"/>
          <w:lang w:val="fr-FR"/>
        </w:rPr>
        <w:object w:dxaOrig="380" w:dyaOrig="400">
          <v:shape id="_x0000_i1028" type="#_x0000_t75" style="width:19.7pt;height:18.85pt" o:ole="">
            <v:imagedata r:id="rId18" o:title=""/>
          </v:shape>
          <o:OLEObject Type="Embed" ProgID="Equation.3" ShapeID="_x0000_i1028" DrawAspect="Content" ObjectID="_1468066441" r:id="rId19"/>
        </w:object>
      </w:r>
      <w:r w:rsidRPr="003576F1">
        <w:rPr>
          <w:lang w:val="fr-FR"/>
        </w:rPr>
        <w:t>:</w:t>
      </w:r>
      <w:r w:rsidRPr="003576F1">
        <w:rPr>
          <w:lang w:val="fr-FR"/>
        </w:rPr>
        <w:tab/>
      </w:r>
      <w:r>
        <w:rPr>
          <w:lang w:val="fr-FR"/>
        </w:rPr>
        <w:t xml:space="preserve">est la </w:t>
      </w:r>
      <w:r w:rsidRPr="003576F1">
        <w:rPr>
          <w:lang w:val="fr-FR"/>
        </w:rPr>
        <w:t xml:space="preserve">variance </w:t>
      </w:r>
      <w:r>
        <w:rPr>
          <w:lang w:val="fr-FR"/>
        </w:rPr>
        <w:t>de l'</w:t>
      </w:r>
      <w:r w:rsidRPr="003576F1">
        <w:rPr>
          <w:lang w:val="fr-FR"/>
        </w:rPr>
        <w:t>estimation</w:t>
      </w:r>
    </w:p>
    <w:p w:rsidR="00CB7E99" w:rsidRPr="003576F1" w:rsidRDefault="00CB7E99" w:rsidP="00CB7E99">
      <w:pPr>
        <w:pStyle w:val="Equationlegend"/>
        <w:rPr>
          <w:lang w:val="fr-FR"/>
        </w:rPr>
      </w:pPr>
      <w:r w:rsidRPr="003576F1">
        <w:rPr>
          <w:lang w:val="fr-FR"/>
        </w:rPr>
        <w:tab/>
      </w:r>
      <w:r w:rsidRPr="003576F1">
        <w:rPr>
          <w:position w:val="-12"/>
          <w:lang w:val="fr-FR"/>
        </w:rPr>
        <w:object w:dxaOrig="360" w:dyaOrig="420">
          <v:shape id="_x0000_i1029" type="#_x0000_t75" style="width:18.85pt;height:22.3pt" o:ole="">
            <v:imagedata r:id="rId20" o:title=""/>
          </v:shape>
          <o:OLEObject Type="Embed" ProgID="Equation.3" ShapeID="_x0000_i1029" DrawAspect="Content" ObjectID="_1468066442" r:id="rId21"/>
        </w:object>
      </w:r>
      <w:r w:rsidRPr="003576F1">
        <w:rPr>
          <w:lang w:val="fr-FR"/>
        </w:rPr>
        <w:t>:</w:t>
      </w:r>
      <w:r w:rsidRPr="003576F1">
        <w:rPr>
          <w:lang w:val="fr-FR"/>
        </w:rPr>
        <w:tab/>
      </w:r>
      <w:r>
        <w:rPr>
          <w:lang w:val="fr-FR"/>
        </w:rPr>
        <w:t>est la variance climatique d'une année à l'autre</w:t>
      </w:r>
      <w:r w:rsidRPr="003576F1">
        <w:rPr>
          <w:lang w:val="fr-FR"/>
        </w:rPr>
        <w:t>.</w:t>
      </w:r>
    </w:p>
    <w:p w:rsidR="00CB7E99" w:rsidRPr="003576F1" w:rsidRDefault="00CB7E99" w:rsidP="00CB7E99">
      <w:r>
        <w:t xml:space="preserve">La méthode de prévision ci-après donne les différentes étapes de la procédure à suivre pour calculer </w:t>
      </w:r>
      <w:r w:rsidRPr="003576F1">
        <w:rPr>
          <w:position w:val="-10"/>
        </w:rPr>
        <w:object w:dxaOrig="660" w:dyaOrig="400">
          <v:shape id="_x0000_i1030" type="#_x0000_t75" style="width:34.3pt;height:18.85pt" o:ole="">
            <v:imagedata r:id="rId22" o:title=""/>
          </v:shape>
          <o:OLEObject Type="Embed" ProgID="Equation.3" ShapeID="_x0000_i1030" DrawAspect="Content" ObjectID="_1468066443" r:id="rId23"/>
        </w:object>
      </w:r>
      <w:r w:rsidRPr="003576F1">
        <w:t xml:space="preserve"> associ</w:t>
      </w:r>
      <w:r>
        <w:t xml:space="preserve">ée à la probabilité de dépassement </w:t>
      </w:r>
      <w:r w:rsidRPr="003576F1">
        <w:rPr>
          <w:i/>
        </w:rPr>
        <w:t>p (</w:t>
      </w:r>
      <w:r w:rsidRPr="003576F1">
        <w:rPr>
          <w:iCs/>
        </w:rPr>
        <w:t>0</w:t>
      </w:r>
      <w:r w:rsidRPr="003576F1">
        <w:rPr>
          <w:i/>
        </w:rPr>
        <w:t xml:space="preserve"> ≤ p ≤ </w:t>
      </w:r>
      <w:r w:rsidRPr="003576F1">
        <w:rPr>
          <w:iCs/>
        </w:rPr>
        <w:t>1</w:t>
      </w:r>
      <w:r w:rsidRPr="003576F1">
        <w:rPr>
          <w:i/>
        </w:rPr>
        <w:t>)</w:t>
      </w:r>
      <w:r w:rsidRPr="003576F1">
        <w:t>.</w:t>
      </w:r>
    </w:p>
    <w:p w:rsidR="00CB7E99" w:rsidRPr="003576F1" w:rsidRDefault="00CB7E99" w:rsidP="00CB7E99">
      <w:r>
        <w:t>Les paramètres suivants sont nécessaires</w:t>
      </w:r>
      <w:r w:rsidRPr="003576F1">
        <w:t>:</w:t>
      </w:r>
    </w:p>
    <w:p w:rsidR="00CB7E99" w:rsidRPr="003576F1" w:rsidRDefault="00CB7E99" w:rsidP="00CB7E99">
      <w:pPr>
        <w:pStyle w:val="Equationlegend"/>
        <w:rPr>
          <w:lang w:val="fr-FR"/>
        </w:rPr>
      </w:pPr>
      <w:r w:rsidRPr="003576F1">
        <w:rPr>
          <w:i/>
          <w:lang w:val="fr-FR"/>
        </w:rPr>
        <w:tab/>
        <w:t>p</w:t>
      </w:r>
      <w:r>
        <w:rPr>
          <w:lang w:val="fr-FR"/>
        </w:rPr>
        <w:t>:</w:t>
      </w:r>
      <w:r>
        <w:rPr>
          <w:lang w:val="fr-FR"/>
        </w:rPr>
        <w:tab/>
        <w:t>probabilité</w:t>
      </w:r>
      <w:r w:rsidRPr="003576F1">
        <w:rPr>
          <w:lang w:val="fr-FR"/>
        </w:rPr>
        <w:t xml:space="preserve"> </w:t>
      </w:r>
      <w:r>
        <w:rPr>
          <w:lang w:val="fr-FR"/>
        </w:rPr>
        <w:t xml:space="preserve">de dépassement </w:t>
      </w:r>
      <w:r w:rsidRPr="003576F1">
        <w:rPr>
          <w:lang w:val="fr-FR"/>
        </w:rPr>
        <w:t>(%)</w:t>
      </w:r>
    </w:p>
    <w:p w:rsidR="00CB7E99" w:rsidRPr="003576F1" w:rsidRDefault="00CB7E99" w:rsidP="00CB7E99">
      <w:pPr>
        <w:pStyle w:val="Equationlegend"/>
        <w:rPr>
          <w:lang w:val="fr-FR"/>
        </w:rPr>
      </w:pPr>
      <w:r w:rsidRPr="003576F1">
        <w:rPr>
          <w:i/>
          <w:lang w:val="fr-FR"/>
        </w:rPr>
        <w:tab/>
        <w:t>r</w:t>
      </w:r>
      <w:r w:rsidRPr="003576F1">
        <w:rPr>
          <w:i/>
          <w:vertAlign w:val="subscript"/>
          <w:lang w:val="fr-FR"/>
        </w:rPr>
        <w:t>c</w:t>
      </w:r>
      <w:r w:rsidRPr="003576F1">
        <w:rPr>
          <w:lang w:val="fr-FR"/>
        </w:rPr>
        <w:t>:</w:t>
      </w:r>
      <w:r w:rsidRPr="003576F1">
        <w:rPr>
          <w:lang w:val="fr-FR"/>
        </w:rPr>
        <w:tab/>
      </w:r>
      <w:r>
        <w:rPr>
          <w:lang w:val="fr-FR"/>
        </w:rPr>
        <w:t>coefficient climatique</w:t>
      </w:r>
    </w:p>
    <w:p w:rsidR="00CB7E99" w:rsidRPr="003576F1" w:rsidRDefault="00CB7E99" w:rsidP="00CB7E99">
      <w:r>
        <w:t xml:space="preserve">Les valeurs du coefficient climatique </w:t>
      </w:r>
      <w:r w:rsidRPr="003576F1">
        <w:rPr>
          <w:i/>
        </w:rPr>
        <w:t>r</w:t>
      </w:r>
      <w:r w:rsidRPr="003576F1">
        <w:rPr>
          <w:i/>
          <w:vertAlign w:val="subscript"/>
        </w:rPr>
        <w:t>c</w:t>
      </w:r>
      <w:r w:rsidRPr="003576F1">
        <w:t xml:space="preserve"> </w:t>
      </w:r>
      <w:r>
        <w:rPr>
          <w:noProof/>
        </w:rPr>
        <w:t xml:space="preserve">font partie intégrante de la présente </w:t>
      </w:r>
      <w:r w:rsidRPr="003576F1">
        <w:rPr>
          <w:noProof/>
        </w:rPr>
        <w:t>Recomm</w:t>
      </w:r>
      <w:r>
        <w:rPr>
          <w:noProof/>
        </w:rPr>
        <w:t>a</w:t>
      </w:r>
      <w:r w:rsidRPr="003576F1">
        <w:rPr>
          <w:noProof/>
        </w:rPr>
        <w:t>ndation</w:t>
      </w:r>
      <w:r>
        <w:rPr>
          <w:noProof/>
        </w:rPr>
        <w:t xml:space="preserve">; elles sont fournies sous la forme de cartes numériques dans le fichier </w:t>
      </w:r>
      <w:hyperlink r:id="rId24" w:history="1">
        <w:r w:rsidRPr="003576F1">
          <w:rPr>
            <w:rStyle w:val="Hyperlink"/>
          </w:rPr>
          <w:t>R-REC-P.678-2-201309-I!!ZIP-E</w:t>
        </w:r>
      </w:hyperlink>
      <w:r w:rsidRPr="003576F1">
        <w:rPr>
          <w:noProof/>
        </w:rPr>
        <w:t>.</w:t>
      </w:r>
      <w:r w:rsidRPr="003576F1">
        <w:t xml:space="preserve"> </w:t>
      </w:r>
      <w:r>
        <w:t xml:space="preserve">Ces cartes ont été établies à partir des données de la base de données </w:t>
      </w:r>
      <w:r w:rsidRPr="003576F1">
        <w:t xml:space="preserve">GPCC </w:t>
      </w:r>
      <w:r>
        <w:t>recueillies sur 50 ans</w:t>
      </w:r>
      <w:r w:rsidRPr="003576F1">
        <w:t>.</w:t>
      </w:r>
    </w:p>
    <w:p w:rsidR="00CB7E99" w:rsidRPr="003576F1" w:rsidRDefault="00CB7E99" w:rsidP="00CB7E99">
      <w:r>
        <w:rPr>
          <w:b/>
        </w:rPr>
        <w:t xml:space="preserve">Etape </w:t>
      </w:r>
      <w:r w:rsidRPr="003576F1">
        <w:rPr>
          <w:b/>
        </w:rPr>
        <w:t>1:</w:t>
      </w:r>
      <w:r w:rsidRPr="003576F1">
        <w:t xml:space="preserve"> </w:t>
      </w:r>
      <w:r>
        <w:t>Pour la probabilité de dépassement</w:t>
      </w:r>
      <w:r w:rsidRPr="003576F1">
        <w:t xml:space="preserve"> </w:t>
      </w:r>
      <w:r w:rsidRPr="003576F1">
        <w:rPr>
          <w:i/>
        </w:rPr>
        <w:t>p</w:t>
      </w:r>
      <w:r w:rsidRPr="003576F1">
        <w:t xml:space="preserve"> </w:t>
      </w:r>
      <w:r>
        <w:t>considérée, calculer</w:t>
      </w:r>
      <w:r w:rsidRPr="003576F1">
        <w:t>:</w:t>
      </w:r>
    </w:p>
    <w:p w:rsidR="00CB7E99" w:rsidRPr="003576F1" w:rsidRDefault="00CB7E99" w:rsidP="00CB7E99">
      <w:pPr>
        <w:pStyle w:val="Equation"/>
      </w:pPr>
      <w:r w:rsidRPr="003576F1">
        <w:tab/>
      </w:r>
      <w:r w:rsidRPr="003576F1">
        <w:tab/>
      </w:r>
      <w:r w:rsidRPr="003576F1">
        <w:rPr>
          <w:position w:val="-32"/>
        </w:rPr>
        <w:object w:dxaOrig="1900" w:dyaOrig="760">
          <v:shape id="_x0000_i1031" type="#_x0000_t75" style="width:96.45pt;height:38.55pt" o:ole="">
            <v:imagedata r:id="rId25" o:title=""/>
          </v:shape>
          <o:OLEObject Type="Embed" ProgID="Equation.3" ShapeID="_x0000_i1031" DrawAspect="Content" ObjectID="_1468066444" r:id="rId26"/>
        </w:object>
      </w:r>
      <w:r w:rsidRPr="003576F1">
        <w:tab/>
        <w:t>(2)</w:t>
      </w:r>
    </w:p>
    <w:p w:rsidR="00CB7E99" w:rsidRPr="003576F1" w:rsidRDefault="00CB7E99" w:rsidP="00CB7E99">
      <w:r>
        <w:t>où</w:t>
      </w:r>
    </w:p>
    <w:p w:rsidR="00CB7E99" w:rsidRPr="003576F1" w:rsidRDefault="00CB7E99" w:rsidP="00CB7E99">
      <w:pPr>
        <w:pStyle w:val="Equation"/>
      </w:pPr>
      <w:r w:rsidRPr="003576F1">
        <w:tab/>
      </w:r>
      <w:r w:rsidRPr="003576F1">
        <w:tab/>
      </w:r>
      <w:r w:rsidRPr="003576F1">
        <w:rPr>
          <w:position w:val="-58"/>
        </w:rPr>
        <w:object w:dxaOrig="2659" w:dyaOrig="1160">
          <v:shape id="_x0000_i1032" type="#_x0000_t75" style="width:132.85pt;height:57.45pt" o:ole="">
            <v:imagedata r:id="rId27" o:title=""/>
          </v:shape>
          <o:OLEObject Type="Embed" ProgID="Equation.3" ShapeID="_x0000_i1032" DrawAspect="Content" ObjectID="_1468066445" r:id="rId28"/>
        </w:object>
      </w:r>
      <w:r w:rsidRPr="003576F1">
        <w:tab/>
        <w:t>(3)</w:t>
      </w:r>
    </w:p>
    <w:p w:rsidR="00CB7E99" w:rsidRPr="003576F1" w:rsidRDefault="00CB7E99" w:rsidP="00CB7E99">
      <w:r>
        <w:t>avec</w:t>
      </w:r>
    </w:p>
    <w:p w:rsidR="00CB7E99" w:rsidRPr="003576F1" w:rsidRDefault="00CB7E99" w:rsidP="00CB7E99">
      <w:pPr>
        <w:pStyle w:val="Equation"/>
      </w:pPr>
      <w:r w:rsidRPr="003576F1">
        <w:tab/>
      </w:r>
      <w:r w:rsidRPr="003576F1">
        <w:tab/>
      </w:r>
      <w:r w:rsidRPr="003576F1">
        <w:rPr>
          <w:position w:val="-68"/>
        </w:rPr>
        <w:object w:dxaOrig="1660" w:dyaOrig="1480">
          <v:shape id="_x0000_i1033" type="#_x0000_t75" style="width:82.7pt;height:73.3pt" o:ole="">
            <v:imagedata r:id="rId29" o:title=""/>
          </v:shape>
          <o:OLEObject Type="Embed" ProgID="Equation.3" ShapeID="_x0000_i1033" DrawAspect="Content" ObjectID="_1468066446" r:id="rId30"/>
        </w:object>
      </w:r>
      <w:r w:rsidRPr="003576F1">
        <w:tab/>
        <w:t>(4)</w:t>
      </w:r>
    </w:p>
    <w:p w:rsidR="00CB7E99" w:rsidRPr="003576F1" w:rsidRDefault="00CB7E99" w:rsidP="00CB7E99">
      <w:r>
        <w:rPr>
          <w:b/>
        </w:rPr>
        <w:t xml:space="preserve">Etape </w:t>
      </w:r>
      <w:r w:rsidRPr="003576F1">
        <w:rPr>
          <w:b/>
        </w:rPr>
        <w:t>2:</w:t>
      </w:r>
      <w:r w:rsidRPr="003576F1">
        <w:t xml:space="preserve"> </w:t>
      </w:r>
      <w:r>
        <w:t xml:space="preserve">La </w:t>
      </w:r>
      <w:r w:rsidRPr="003576F1">
        <w:t xml:space="preserve">variance </w:t>
      </w:r>
      <w:r>
        <w:t>de l'</w:t>
      </w:r>
      <w:r w:rsidRPr="003576F1">
        <w:t xml:space="preserve">estimation </w:t>
      </w:r>
      <w:r w:rsidRPr="003576F1">
        <w:rPr>
          <w:position w:val="-10"/>
        </w:rPr>
        <w:object w:dxaOrig="360" w:dyaOrig="400">
          <v:shape id="_x0000_i1034" type="#_x0000_t75" style="width:18.85pt;height:18.85pt" o:ole="">
            <v:imagedata r:id="rId31" o:title=""/>
          </v:shape>
          <o:OLEObject Type="Embed" ProgID="Equation.3" ShapeID="_x0000_i1034" DrawAspect="Content" ObjectID="_1468066447" r:id="rId32"/>
        </w:object>
      </w:r>
      <w:r w:rsidRPr="003576F1">
        <w:t xml:space="preserve"> </w:t>
      </w:r>
      <w:r>
        <w:t>est calculée comme suit</w:t>
      </w:r>
      <w:r w:rsidRPr="003576F1">
        <w:t>:</w:t>
      </w:r>
    </w:p>
    <w:p w:rsidR="00CB7E99" w:rsidRPr="003576F1" w:rsidRDefault="00CB7E99" w:rsidP="00CB7E99">
      <w:pPr>
        <w:pStyle w:val="Equation"/>
      </w:pPr>
      <w:r w:rsidRPr="003576F1">
        <w:tab/>
      </w:r>
      <w:r w:rsidRPr="003576F1">
        <w:tab/>
      </w:r>
      <w:r w:rsidRPr="003576F1">
        <w:rPr>
          <w:position w:val="-24"/>
        </w:rPr>
        <w:object w:dxaOrig="2079" w:dyaOrig="620">
          <v:shape id="_x0000_i1035" type="#_x0000_t75" style="width:102pt;height:30.85pt" o:ole="">
            <v:imagedata r:id="rId33" o:title=""/>
          </v:shape>
          <o:OLEObject Type="Embed" ProgID="Equation.3" ShapeID="_x0000_i1035" DrawAspect="Content" ObjectID="_1468066448" r:id="rId34"/>
        </w:object>
      </w:r>
      <w:r w:rsidRPr="003576F1">
        <w:tab/>
        <w:t>(5)</w:t>
      </w:r>
    </w:p>
    <w:p w:rsidR="00CB7E99" w:rsidRPr="003576F1" w:rsidRDefault="00CB7E99" w:rsidP="00CB7E99">
      <w:r>
        <w:rPr>
          <w:b/>
        </w:rPr>
        <w:lastRenderedPageBreak/>
        <w:t xml:space="preserve">Etape </w:t>
      </w:r>
      <w:r w:rsidRPr="003576F1">
        <w:rPr>
          <w:b/>
        </w:rPr>
        <w:t>3:</w:t>
      </w:r>
      <w:r>
        <w:t xml:space="preserve"> Extraire</w:t>
      </w:r>
      <w:r w:rsidRPr="003576F1">
        <w:t xml:space="preserve"> </w:t>
      </w:r>
      <w:r>
        <w:t xml:space="preserve">la </w:t>
      </w:r>
      <w:r w:rsidRPr="003576F1">
        <w:t xml:space="preserve">variable </w:t>
      </w:r>
      <w:r w:rsidRPr="003576F1">
        <w:rPr>
          <w:i/>
        </w:rPr>
        <w:t>r</w:t>
      </w:r>
      <w:r w:rsidRPr="003576F1">
        <w:rPr>
          <w:i/>
          <w:vertAlign w:val="subscript"/>
        </w:rPr>
        <w:t>c</w:t>
      </w:r>
      <w:r w:rsidRPr="003576F1">
        <w:t xml:space="preserve"> </w:t>
      </w:r>
      <w:r>
        <w:t xml:space="preserve">pour les quatre </w:t>
      </w:r>
      <w:r w:rsidRPr="003576F1">
        <w:t xml:space="preserve">points </w:t>
      </w:r>
      <w:r>
        <w:t xml:space="preserve">les plus proches en </w:t>
      </w:r>
      <w:r w:rsidRPr="003576F1">
        <w:t>latitude (</w:t>
      </w:r>
      <w:r w:rsidRPr="003576F1">
        <w:rPr>
          <w:i/>
        </w:rPr>
        <w:t>Lat</w:t>
      </w:r>
      <w:r w:rsidRPr="003576F1">
        <w:t xml:space="preserve">) </w:t>
      </w:r>
      <w:r>
        <w:t xml:space="preserve">et en </w:t>
      </w:r>
      <w:r w:rsidRPr="003576F1">
        <w:t>longitude (</w:t>
      </w:r>
      <w:r w:rsidRPr="003576F1">
        <w:rPr>
          <w:i/>
        </w:rPr>
        <w:t>Lon</w:t>
      </w:r>
      <w:r w:rsidRPr="003576F1">
        <w:t xml:space="preserve">) </w:t>
      </w:r>
      <w:r>
        <w:t>des coordonnées géographiques de l'emplacement considéré</w:t>
      </w:r>
      <w:r w:rsidRPr="003576F1">
        <w:t xml:space="preserve">. </w:t>
      </w:r>
    </w:p>
    <w:p w:rsidR="00CB7E99" w:rsidRPr="003576F1" w:rsidRDefault="00CB7E99" w:rsidP="00CB7E99">
      <w:r>
        <w:rPr>
          <w:b/>
        </w:rPr>
        <w:t xml:space="preserve">Etape </w:t>
      </w:r>
      <w:r w:rsidRPr="003576F1">
        <w:rPr>
          <w:b/>
        </w:rPr>
        <w:t>4:</w:t>
      </w:r>
      <w:r w:rsidRPr="003576F1">
        <w:rPr>
          <w:i/>
        </w:rPr>
        <w:t xml:space="preserve"> </w:t>
      </w:r>
      <w:r>
        <w:t xml:space="preserve">A partir des valeurs de </w:t>
      </w:r>
      <w:r w:rsidRPr="003576F1">
        <w:rPr>
          <w:i/>
        </w:rPr>
        <w:t>r</w:t>
      </w:r>
      <w:r w:rsidRPr="003576F1">
        <w:rPr>
          <w:i/>
          <w:vertAlign w:val="subscript"/>
        </w:rPr>
        <w:t>c</w:t>
      </w:r>
      <w:r w:rsidRPr="003576F1">
        <w:t xml:space="preserve"> </w:t>
      </w:r>
      <w:r>
        <w:t xml:space="preserve">aux quatre </w:t>
      </w:r>
      <w:r w:rsidRPr="003576F1">
        <w:t>points</w:t>
      </w:r>
      <w:r>
        <w:t xml:space="preserve"> de la grille</w:t>
      </w:r>
      <w:r w:rsidRPr="003576F1">
        <w:t>, obt</w:t>
      </w:r>
      <w:r>
        <w:t xml:space="preserve">enir la </w:t>
      </w:r>
      <w:r w:rsidRPr="003576F1">
        <w:t>val</w:t>
      </w:r>
      <w:r>
        <w:t xml:space="preserve">eur </w:t>
      </w:r>
      <w:r w:rsidRPr="003576F1">
        <w:rPr>
          <w:i/>
        </w:rPr>
        <w:t>r</w:t>
      </w:r>
      <w:r w:rsidRPr="003576F1">
        <w:rPr>
          <w:i/>
          <w:vertAlign w:val="subscript"/>
        </w:rPr>
        <w:t>c</w:t>
      </w:r>
      <w:r w:rsidRPr="003576F1">
        <w:t>(</w:t>
      </w:r>
      <w:r w:rsidRPr="003576F1">
        <w:rPr>
          <w:i/>
        </w:rPr>
        <w:t>Lat</w:t>
      </w:r>
      <w:r w:rsidRPr="003576F1">
        <w:t xml:space="preserve">, </w:t>
      </w:r>
      <w:r w:rsidRPr="003576F1">
        <w:rPr>
          <w:i/>
        </w:rPr>
        <w:t>Lon</w:t>
      </w:r>
      <w:r w:rsidRPr="003576F1">
        <w:t>)</w:t>
      </w:r>
      <w:r w:rsidRPr="003576F1">
        <w:rPr>
          <w:i/>
        </w:rPr>
        <w:t xml:space="preserve"> </w:t>
      </w:r>
      <w:r>
        <w:t xml:space="preserve">à l'emplacement considéré en effectuant une </w:t>
      </w:r>
      <w:r w:rsidRPr="003576F1">
        <w:t>interpolation</w:t>
      </w:r>
      <w:r>
        <w:t xml:space="preserve"> bilinéaire</w:t>
      </w:r>
      <w:r w:rsidRPr="003576F1">
        <w:t xml:space="preserve">, </w:t>
      </w:r>
      <w:r>
        <w:t xml:space="preserve">comme décrit dans la </w:t>
      </w:r>
      <w:r w:rsidRPr="003576F1">
        <w:t>Recomm</w:t>
      </w:r>
      <w:r>
        <w:t>a</w:t>
      </w:r>
      <w:r w:rsidRPr="003576F1">
        <w:t xml:space="preserve">ndation </w:t>
      </w:r>
      <w:r>
        <w:t>UIT</w:t>
      </w:r>
      <w:r w:rsidRPr="003576F1">
        <w:t>-R P.1144.</w:t>
      </w:r>
    </w:p>
    <w:p w:rsidR="00CB7E99" w:rsidRPr="003576F1" w:rsidRDefault="00CB7E99" w:rsidP="00CB7E99">
      <w:r>
        <w:rPr>
          <w:b/>
        </w:rPr>
        <w:t xml:space="preserve">Etape </w:t>
      </w:r>
      <w:r w:rsidRPr="003576F1">
        <w:rPr>
          <w:b/>
        </w:rPr>
        <w:t>5:</w:t>
      </w:r>
      <w:r w:rsidRPr="003576F1">
        <w:rPr>
          <w:i/>
        </w:rPr>
        <w:t xml:space="preserve"> </w:t>
      </w:r>
      <w:r>
        <w:t xml:space="preserve">La variance climatique d'une année à l'autre </w:t>
      </w:r>
      <w:r w:rsidRPr="003576F1">
        <w:rPr>
          <w:position w:val="-12"/>
        </w:rPr>
        <w:object w:dxaOrig="360" w:dyaOrig="420">
          <v:shape id="_x0000_i1036" type="#_x0000_t75" style="width:18.85pt;height:22.3pt" o:ole="">
            <v:imagedata r:id="rId35" o:title=""/>
          </v:shape>
          <o:OLEObject Type="Embed" ProgID="Equation.3" ShapeID="_x0000_i1036" DrawAspect="Content" ObjectID="_1468066449" r:id="rId36"/>
        </w:object>
      </w:r>
      <w:r w:rsidRPr="003576F1">
        <w:t xml:space="preserve"> </w:t>
      </w:r>
      <w:r>
        <w:t>est calculée comme suit</w:t>
      </w:r>
      <w:r w:rsidRPr="003576F1">
        <w:t>:</w:t>
      </w:r>
    </w:p>
    <w:p w:rsidR="00CB7E99" w:rsidRPr="003576F1" w:rsidRDefault="00CB7E99" w:rsidP="00CB7E99">
      <w:pPr>
        <w:pStyle w:val="Equation"/>
      </w:pPr>
      <w:r w:rsidRPr="003576F1">
        <w:tab/>
      </w:r>
      <w:r w:rsidRPr="003576F1">
        <w:tab/>
      </w:r>
      <w:r w:rsidRPr="003576F1">
        <w:rPr>
          <w:position w:val="-12"/>
        </w:rPr>
        <w:object w:dxaOrig="2640" w:dyaOrig="420">
          <v:shape id="_x0000_i1037" type="#_x0000_t75" style="width:133.3pt;height:20.15pt" o:ole="">
            <v:imagedata r:id="rId37" o:title=""/>
          </v:shape>
          <o:OLEObject Type="Embed" ProgID="Equation.3" ShapeID="_x0000_i1037" DrawAspect="Content" ObjectID="_1468066450" r:id="rId38"/>
        </w:object>
      </w:r>
      <w:r w:rsidRPr="003576F1">
        <w:tab/>
        <w:t>(6)</w:t>
      </w:r>
    </w:p>
    <w:p w:rsidR="00CB7E99" w:rsidRPr="003576F1" w:rsidRDefault="00CB7E99" w:rsidP="00CB7E99">
      <w:pPr>
        <w:rPr>
          <w:szCs w:val="24"/>
          <w:lang w:eastAsia="zh-CN"/>
        </w:rPr>
      </w:pPr>
      <w:r>
        <w:t>Si on utilise une fonction CCDF prédite</w:t>
      </w:r>
      <w:r w:rsidRPr="003576F1">
        <w:t xml:space="preserve">, </w:t>
      </w:r>
      <w:r>
        <w:t>et non expérimentale</w:t>
      </w:r>
      <w:r w:rsidRPr="003576F1">
        <w:t xml:space="preserve">, </w:t>
      </w:r>
      <w:r>
        <w:t xml:space="preserve">la fonction </w:t>
      </w:r>
      <w:r w:rsidRPr="003576F1">
        <w:t xml:space="preserve">CCDF </w:t>
      </w:r>
      <w:r>
        <w:t>prédite ne correspondra pas exactement à l'</w:t>
      </w:r>
      <w:r w:rsidRPr="003576F1">
        <w:t xml:space="preserve">intensité de pluie </w:t>
      </w:r>
      <w:r>
        <w:t xml:space="preserve">réelle </w:t>
      </w:r>
      <w:r w:rsidRPr="003576F1">
        <w:t xml:space="preserve">ou </w:t>
      </w:r>
      <w:r>
        <w:t>à l'</w:t>
      </w:r>
      <w:r w:rsidRPr="003576F1">
        <w:t xml:space="preserve">affaiblissement dû à la pluie </w:t>
      </w:r>
      <w:r>
        <w:t xml:space="preserve">réel </w:t>
      </w:r>
      <w:r w:rsidRPr="003576F1">
        <w:t>(</w:t>
      </w:r>
      <w:r>
        <w:t>par exemple</w:t>
      </w:r>
      <w:r w:rsidRPr="003576F1">
        <w:t xml:space="preserve"> </w:t>
      </w:r>
      <w:r>
        <w:t xml:space="preserve">la fonction </w:t>
      </w:r>
      <w:r w:rsidRPr="003576F1">
        <w:t xml:space="preserve">CCDF </w:t>
      </w:r>
      <w:r>
        <w:t xml:space="preserve">mesurée de l'affaiblissement dû à la pluie ne correspondra pas exactement à la fonction </w:t>
      </w:r>
      <w:r w:rsidRPr="003576F1">
        <w:t xml:space="preserve">CCDF </w:t>
      </w:r>
      <w:r>
        <w:t xml:space="preserve">de l'affaiblissement dû à la pluie prédite par la </w:t>
      </w:r>
      <w:r w:rsidRPr="003576F1">
        <w:t>Recomm</w:t>
      </w:r>
      <w:r>
        <w:t>a</w:t>
      </w:r>
      <w:r w:rsidRPr="003576F1">
        <w:t xml:space="preserve">ndation </w:t>
      </w:r>
      <w:r>
        <w:t>UIT</w:t>
      </w:r>
      <w:r w:rsidRPr="003576F1">
        <w:t xml:space="preserve">-R P.618). </w:t>
      </w:r>
      <w:r>
        <w:t>Dans ce cas</w:t>
      </w:r>
      <w:r w:rsidRPr="003576F1">
        <w:t xml:space="preserve">, </w:t>
      </w:r>
      <w:r>
        <w:t>une erreur supplémentaire</w:t>
      </w:r>
      <w:r w:rsidRPr="003576F1">
        <w:t xml:space="preserve">, </w:t>
      </w:r>
      <w:r w:rsidRPr="003576F1">
        <w:rPr>
          <w:position w:val="-10"/>
        </w:rPr>
        <w:object w:dxaOrig="760" w:dyaOrig="400">
          <v:shape id="_x0000_i1038" type="#_x0000_t75" style="width:38.55pt;height:20.15pt" o:ole="">
            <v:imagedata r:id="rId39" o:title=""/>
          </v:shape>
          <o:OLEObject Type="Embed" ProgID="Equation.3" ShapeID="_x0000_i1038" DrawAspect="Content" ObjectID="_1468066451" r:id="rId40"/>
        </w:object>
      </w:r>
      <w:r w:rsidRPr="003576F1">
        <w:t xml:space="preserve">, </w:t>
      </w:r>
      <w:r>
        <w:t xml:space="preserve">doit être prise en compte et la formule </w:t>
      </w:r>
      <w:r w:rsidRPr="003576F1">
        <w:t xml:space="preserve">(1) </w:t>
      </w:r>
      <w:r>
        <w:rPr>
          <w:szCs w:val="24"/>
          <w:lang w:eastAsia="zh-CN"/>
        </w:rPr>
        <w:t>devient</w:t>
      </w:r>
      <w:r w:rsidRPr="003576F1">
        <w:rPr>
          <w:szCs w:val="24"/>
          <w:lang w:eastAsia="zh-CN"/>
        </w:rPr>
        <w:t>:</w:t>
      </w:r>
    </w:p>
    <w:p w:rsidR="00CB7E99" w:rsidRPr="003576F1" w:rsidRDefault="00CB7E99" w:rsidP="00CB7E99">
      <w:pPr>
        <w:pStyle w:val="Equation"/>
      </w:pPr>
      <w:r w:rsidRPr="003576F1">
        <w:tab/>
      </w:r>
      <w:r w:rsidRPr="003576F1">
        <w:tab/>
      </w:r>
      <w:r w:rsidRPr="003576F1">
        <w:rPr>
          <w:position w:val="-12"/>
        </w:rPr>
        <w:object w:dxaOrig="3320" w:dyaOrig="420">
          <v:shape id="_x0000_i1039" type="#_x0000_t75" style="width:168pt;height:22.3pt" o:ole="">
            <v:imagedata r:id="rId41" o:title=""/>
          </v:shape>
          <o:OLEObject Type="Embed" ProgID="Equation.3" ShapeID="_x0000_i1039" DrawAspect="Content" ObjectID="_1468066452" r:id="rId42"/>
        </w:object>
      </w:r>
      <w:r w:rsidRPr="003576F1">
        <w:tab/>
        <w:t>(7)</w:t>
      </w:r>
    </w:p>
    <w:p w:rsidR="00CB7E99" w:rsidRPr="003576F1" w:rsidRDefault="00CB7E99" w:rsidP="00CB7E99">
      <w:r>
        <w:t xml:space="preserve">où </w:t>
      </w:r>
      <w:r w:rsidRPr="003576F1">
        <w:rPr>
          <w:position w:val="-10"/>
        </w:rPr>
        <w:object w:dxaOrig="760" w:dyaOrig="400">
          <v:shape id="_x0000_i1040" type="#_x0000_t75" style="width:38.55pt;height:20.15pt" o:ole="">
            <v:imagedata r:id="rId43" o:title=""/>
          </v:shape>
          <o:OLEObject Type="Embed" ProgID="Equation.3" ShapeID="_x0000_i1040" DrawAspect="Content" ObjectID="_1468066453" r:id="rId44"/>
        </w:object>
      </w:r>
      <w:r>
        <w:t xml:space="preserve">est l'erreur concernant la fonction </w:t>
      </w:r>
      <w:r w:rsidRPr="003576F1">
        <w:t>CCDF</w:t>
      </w:r>
      <w:r>
        <w:t xml:space="preserve"> prédite</w:t>
      </w:r>
      <w:r w:rsidRPr="003576F1">
        <w:t xml:space="preserve">. </w:t>
      </w:r>
      <w:r>
        <w:t xml:space="preserve">Pour évaluer l'incidence de la </w:t>
      </w:r>
      <w:r w:rsidRPr="003576F1">
        <w:t xml:space="preserve">variance </w:t>
      </w:r>
      <w:r w:rsidRPr="003576F1">
        <w:rPr>
          <w:position w:val="-10"/>
        </w:rPr>
        <w:object w:dxaOrig="660" w:dyaOrig="400">
          <v:shape id="_x0000_i1041" type="#_x0000_t75" style="width:34.3pt;height:20.15pt" o:ole="">
            <v:imagedata r:id="rId45" o:title=""/>
          </v:shape>
          <o:OLEObject Type="Embed" ProgID="Equation.3" ShapeID="_x0000_i1041" DrawAspect="Content" ObjectID="_1468066454" r:id="rId46"/>
        </w:object>
      </w:r>
      <w:r w:rsidRPr="003576F1">
        <w:t xml:space="preserve">, </w:t>
      </w:r>
      <w:r>
        <w:t xml:space="preserve">il convient d'utiliser l'intervalle de confiance à </w:t>
      </w:r>
      <w:r w:rsidRPr="003576F1">
        <w:t xml:space="preserve">68% </w:t>
      </w:r>
      <w:r w:rsidRPr="003576F1">
        <w:rPr>
          <w:position w:val="-10"/>
        </w:rPr>
        <w:object w:dxaOrig="1980" w:dyaOrig="340">
          <v:shape id="_x0000_i1042" type="#_x0000_t75" style="width:99.85pt;height:17.55pt" o:ole="">
            <v:imagedata r:id="rId47" o:title=""/>
          </v:shape>
          <o:OLEObject Type="Embed" ProgID="Equation.3" ShapeID="_x0000_i1042" DrawAspect="Content" ObjectID="_1468066455" r:id="rId48"/>
        </w:object>
      </w:r>
      <w:r>
        <w:t>,</w:t>
      </w:r>
      <w:r w:rsidRPr="003576F1">
        <w:t xml:space="preserve"> </w:t>
      </w:r>
      <w:r>
        <w:t>qui correspond</w:t>
      </w:r>
      <w:r w:rsidRPr="003576F1">
        <w:t xml:space="preserve"> </w:t>
      </w:r>
      <w:r>
        <w:t xml:space="preserve">à </w:t>
      </w:r>
      <w:r w:rsidRPr="003576F1">
        <w:t xml:space="preserve">plus </w:t>
      </w:r>
      <w:r>
        <w:t>ou moins un écart type autour de la probabilité</w:t>
      </w:r>
      <w:r w:rsidRPr="003576F1">
        <w:t xml:space="preserve"> </w:t>
      </w:r>
      <w:r>
        <w:t>pour une grandeur à distribution normale</w:t>
      </w:r>
      <w:r w:rsidRPr="003576F1">
        <w:t>.</w:t>
      </w:r>
    </w:p>
    <w:p w:rsidR="00CB7E99" w:rsidRPr="003576F1" w:rsidRDefault="00CB7E99" w:rsidP="00CB7E99">
      <w:r>
        <w:t xml:space="preserve">La </w:t>
      </w:r>
      <w:r w:rsidRPr="003576F1">
        <w:t>proc</w:t>
      </w:r>
      <w:r>
        <w:t>é</w:t>
      </w:r>
      <w:r w:rsidRPr="003576F1">
        <w:t xml:space="preserve">dure </w:t>
      </w:r>
      <w:r>
        <w:t xml:space="preserve">s'applique pour les pourcentages de temps de dépassement compris entre 0,01% et </w:t>
      </w:r>
      <w:r w:rsidRPr="003576F1">
        <w:t xml:space="preserve">2% </w:t>
      </w:r>
      <w:r>
        <w:t>et pour la gamme de fré</w:t>
      </w:r>
      <w:bookmarkStart w:id="4" w:name="_GoBack"/>
      <w:bookmarkEnd w:id="4"/>
      <w:r>
        <w:t xml:space="preserve">quences comprises entre </w:t>
      </w:r>
      <w:r w:rsidRPr="003576F1">
        <w:t xml:space="preserve">12 </w:t>
      </w:r>
      <w:r>
        <w:t xml:space="preserve">et </w:t>
      </w:r>
      <w:r w:rsidRPr="003576F1">
        <w:t>50 GHz.</w:t>
      </w:r>
    </w:p>
    <w:p w:rsidR="00CB7E99" w:rsidRPr="003576F1" w:rsidRDefault="00CB7E99" w:rsidP="00CB7E99">
      <w:pPr>
        <w:overflowPunct/>
        <w:autoSpaceDE/>
        <w:autoSpaceDN/>
        <w:adjustRightInd/>
        <w:textAlignment w:val="auto"/>
      </w:pPr>
    </w:p>
    <w:p w:rsidR="00CB7E99" w:rsidRPr="003576F1" w:rsidRDefault="00CB7E99" w:rsidP="00CB7E99">
      <w:pPr>
        <w:overflowPunct/>
        <w:autoSpaceDE/>
        <w:autoSpaceDN/>
        <w:adjustRightInd/>
        <w:textAlignment w:val="auto"/>
      </w:pPr>
    </w:p>
    <w:p w:rsidR="00CB7E99" w:rsidRPr="003576F1" w:rsidRDefault="00CB7E99" w:rsidP="00CB7E99">
      <w:pPr>
        <w:pStyle w:val="AnnexNoTitle"/>
      </w:pPr>
      <w:r w:rsidRPr="003576F1">
        <w:t>Annexe 3</w:t>
      </w:r>
      <w:r w:rsidRPr="003576F1">
        <w:br/>
      </w:r>
      <w:r w:rsidRPr="003576F1">
        <w:br/>
        <w:t xml:space="preserve">Estimation du risqué associé à la marge de propagation </w:t>
      </w:r>
    </w:p>
    <w:p w:rsidR="00CB7E99" w:rsidRPr="003576F1" w:rsidRDefault="00CB7E99" w:rsidP="00CB7E99">
      <w:pPr>
        <w:pStyle w:val="Normalaftertitle"/>
      </w:pPr>
      <w:r>
        <w:t xml:space="preserve">Etant donné une probabilité </w:t>
      </w:r>
      <w:r w:rsidRPr="003576F1">
        <w:rPr>
          <w:i/>
          <w:iCs/>
        </w:rPr>
        <w:t>p</w:t>
      </w:r>
      <w:r w:rsidRPr="003576F1">
        <w:rPr>
          <w:i/>
          <w:iCs/>
          <w:vertAlign w:val="subscript"/>
        </w:rPr>
        <w:t xml:space="preserve"> </w:t>
      </w:r>
      <w:r w:rsidRPr="003576F1">
        <w:rPr>
          <w:i/>
        </w:rPr>
        <w:t>(</w:t>
      </w:r>
      <w:r w:rsidRPr="003576F1">
        <w:rPr>
          <w:rFonts w:eastAsia="Calibri"/>
          <w:position w:val="-10"/>
        </w:rPr>
        <w:object w:dxaOrig="920" w:dyaOrig="320">
          <v:shape id="_x0000_i1043" type="#_x0000_t75" style="width:46.7pt;height:16.7pt" o:ole="">
            <v:imagedata r:id="rId49" o:title=""/>
          </v:shape>
          <o:OLEObject Type="Embed" ProgID="Equation.3" ShapeID="_x0000_i1043" DrawAspect="Content" ObjectID="_1468066456" r:id="rId50"/>
        </w:object>
      </w:r>
      <w:r w:rsidRPr="003576F1">
        <w:rPr>
          <w:i/>
        </w:rPr>
        <w:t xml:space="preserve">) </w:t>
      </w:r>
      <w:r>
        <w:t>de dépassement d'un affaiblissement dû à la pluie fixe</w:t>
      </w:r>
      <w:r w:rsidRPr="003576F1">
        <w:t xml:space="preserve"> </w:t>
      </w:r>
      <w:r w:rsidRPr="003576F1">
        <w:rPr>
          <w:i/>
          <w:iCs/>
        </w:rPr>
        <w:t>A</w:t>
      </w:r>
      <w:r w:rsidRPr="003576F1">
        <w:rPr>
          <w:i/>
          <w:iCs/>
          <w:vertAlign w:val="subscript"/>
        </w:rPr>
        <w:t>r</w:t>
      </w:r>
      <w:r w:rsidRPr="003576F1">
        <w:rPr>
          <w:iCs/>
        </w:rPr>
        <w:t xml:space="preserve"> </w:t>
      </w:r>
      <w:r>
        <w:rPr>
          <w:iCs/>
        </w:rPr>
        <w:t xml:space="preserve">telle que </w:t>
      </w:r>
      <w:r w:rsidRPr="003576F1">
        <w:rPr>
          <w:rFonts w:eastAsia="Calibri"/>
          <w:position w:val="-10"/>
        </w:rPr>
        <w:object w:dxaOrig="1460" w:dyaOrig="340">
          <v:shape id="_x0000_i1044" type="#_x0000_t75" style="width:73.3pt;height:17.55pt" o:ole="">
            <v:imagedata r:id="rId51" o:title=""/>
          </v:shape>
          <o:OLEObject Type="Embed" ProgID="Equation.3" ShapeID="_x0000_i1044" DrawAspect="Content" ObjectID="_1468066457" r:id="rId52"/>
        </w:object>
      </w:r>
      <w:r w:rsidRPr="003576F1">
        <w:rPr>
          <w:iCs/>
        </w:rPr>
        <w:t>,</w:t>
      </w:r>
      <w:r w:rsidRPr="003576F1">
        <w:rPr>
          <w:i/>
          <w:iCs/>
        </w:rPr>
        <w:t xml:space="preserve"> </w:t>
      </w:r>
      <w:r>
        <w:t xml:space="preserve">le </w:t>
      </w:r>
      <w:r w:rsidRPr="003576F1">
        <w:t>ris</w:t>
      </w:r>
      <w:r>
        <w:t>que</w:t>
      </w:r>
      <w:r w:rsidRPr="003576F1">
        <w:t xml:space="preserve"> </w:t>
      </w:r>
      <w:r w:rsidRPr="003576F1">
        <w:rPr>
          <w:rFonts w:eastAsia="Calibri"/>
          <w:position w:val="-6"/>
        </w:rPr>
        <w:object w:dxaOrig="260" w:dyaOrig="279">
          <v:shape id="_x0000_i1045" type="#_x0000_t75" style="width:13.3pt;height:14.55pt" o:ole="">
            <v:imagedata r:id="rId53" o:title=""/>
          </v:shape>
          <o:OLEObject Type="Embed" ProgID="Equation.3" ShapeID="_x0000_i1045" DrawAspect="Content" ObjectID="_1468066458" r:id="rId54"/>
        </w:object>
      </w:r>
      <w:r w:rsidRPr="003576F1">
        <w:t xml:space="preserve"> (</w:t>
      </w:r>
      <w:r>
        <w:t>à savoir la probabilité</w:t>
      </w:r>
      <w:r w:rsidRPr="003576F1">
        <w:t xml:space="preserve">) </w:t>
      </w:r>
      <w:r>
        <w:t xml:space="preserve">que la probabilité annuelle </w:t>
      </w:r>
      <w:r>
        <w:br/>
      </w:r>
      <w:r w:rsidRPr="003576F1">
        <w:rPr>
          <w:rFonts w:eastAsia="Calibri"/>
          <w:position w:val="-12"/>
        </w:rPr>
        <w:object w:dxaOrig="360" w:dyaOrig="360">
          <v:shape id="_x0000_i1046" type="#_x0000_t75" style="width:18.85pt;height:18pt" o:ole="">
            <v:imagedata r:id="rId55" o:title=""/>
          </v:shape>
          <o:OLEObject Type="Embed" ProgID="Equation.3" ShapeID="_x0000_i1046" DrawAspect="Content" ObjectID="_1468066459" r:id="rId56"/>
        </w:object>
      </w:r>
      <w:r>
        <w:t> </w:t>
      </w:r>
      <w:r w:rsidRPr="003576F1">
        <w:t>(</w:t>
      </w:r>
      <w:r w:rsidRPr="003576F1">
        <w:rPr>
          <w:rFonts w:eastAsia="Calibri"/>
          <w:position w:val="-12"/>
        </w:rPr>
        <w:object w:dxaOrig="1080" w:dyaOrig="360">
          <v:shape id="_x0000_i1047" type="#_x0000_t75" style="width:53.15pt;height:18pt" o:ole="">
            <v:imagedata r:id="rId57" o:title=""/>
          </v:shape>
          <o:OLEObject Type="Embed" ProgID="Equation.3" ShapeID="_x0000_i1047" DrawAspect="Content" ObjectID="_1468066460" r:id="rId58"/>
        </w:object>
      </w:r>
      <w:r w:rsidRPr="003576F1">
        <w:t xml:space="preserve">) </w:t>
      </w:r>
      <w:r>
        <w:t>soit dépassée est donné par</w:t>
      </w:r>
      <w:r w:rsidRPr="003576F1">
        <w:t>:</w:t>
      </w:r>
    </w:p>
    <w:p w:rsidR="00CB7E99" w:rsidRPr="003576F1" w:rsidRDefault="00CB7E99" w:rsidP="00CB7E99">
      <w:pPr>
        <w:pStyle w:val="Blanc"/>
        <w:rPr>
          <w:lang w:val="fr-FR"/>
        </w:rPr>
      </w:pPr>
    </w:p>
    <w:p w:rsidR="00CB7E99" w:rsidRPr="003576F1" w:rsidRDefault="00CB7E99" w:rsidP="00CB7E99">
      <w:pPr>
        <w:pStyle w:val="Equation"/>
      </w:pPr>
      <w:r w:rsidRPr="003576F1">
        <w:rPr>
          <w:rFonts w:eastAsia="Calibri"/>
        </w:rPr>
        <w:tab/>
      </w:r>
      <w:r w:rsidRPr="003576F1">
        <w:rPr>
          <w:rFonts w:eastAsia="Calibri"/>
        </w:rPr>
        <w:tab/>
      </w:r>
      <w:r w:rsidRPr="003576F1">
        <w:rPr>
          <w:rFonts w:eastAsia="Calibri"/>
          <w:position w:val="-30"/>
        </w:rPr>
        <w:object w:dxaOrig="1640" w:dyaOrig="720">
          <v:shape id="_x0000_i1048" type="#_x0000_t75" style="width:81.85pt;height:36.45pt" o:ole="">
            <v:imagedata r:id="rId59" o:title=""/>
          </v:shape>
          <o:OLEObject Type="Embed" ProgID="Equation.3" ShapeID="_x0000_i1048" DrawAspect="Content" ObjectID="_1468066461" r:id="rId60"/>
        </w:object>
      </w:r>
      <w:r w:rsidRPr="003576F1">
        <w:tab/>
        <w:t>(8)</w:t>
      </w:r>
    </w:p>
    <w:p w:rsidR="00CB7E99" w:rsidRPr="003576F1" w:rsidRDefault="00CB7E99" w:rsidP="00CB7E99">
      <w:pPr>
        <w:pStyle w:val="Blanc"/>
        <w:rPr>
          <w:lang w:val="fr-FR"/>
        </w:rPr>
      </w:pPr>
    </w:p>
    <w:p w:rsidR="00CB7E99" w:rsidRPr="003576F1" w:rsidRDefault="00CB7E99" w:rsidP="00CB7E99">
      <w:pPr>
        <w:rPr>
          <w:rFonts w:ascii="Times" w:hAnsi="Times" w:cs="CMR12"/>
          <w:szCs w:val="24"/>
        </w:rPr>
      </w:pPr>
      <w:r>
        <w:rPr>
          <w:rFonts w:ascii="Times" w:hAnsi="Times" w:cs="CMR12"/>
          <w:szCs w:val="24"/>
        </w:rPr>
        <w:t>ce qui équivaut à</w:t>
      </w:r>
      <w:r w:rsidRPr="003576F1">
        <w:rPr>
          <w:rFonts w:ascii="Times" w:hAnsi="Times" w:cs="CMR12"/>
          <w:szCs w:val="24"/>
        </w:rPr>
        <w:t>:</w:t>
      </w:r>
    </w:p>
    <w:p w:rsidR="00CB7E99" w:rsidRPr="003576F1" w:rsidRDefault="00CB7E99" w:rsidP="00CB7E99">
      <w:pPr>
        <w:pStyle w:val="Blanc"/>
        <w:rPr>
          <w:lang w:val="fr-FR"/>
        </w:rPr>
      </w:pPr>
    </w:p>
    <w:p w:rsidR="00CB7E99" w:rsidRPr="003576F1" w:rsidRDefault="00CB7E99" w:rsidP="00CB7E99">
      <w:pPr>
        <w:pStyle w:val="Equation"/>
      </w:pPr>
      <w:r w:rsidRPr="003576F1">
        <w:tab/>
      </w:r>
      <w:r w:rsidRPr="003576F1">
        <w:tab/>
      </w:r>
      <w:r w:rsidRPr="003576F1">
        <w:rPr>
          <w:rFonts w:eastAsia="Calibri"/>
          <w:position w:val="-12"/>
        </w:rPr>
        <w:object w:dxaOrig="4680" w:dyaOrig="420">
          <v:shape id="_x0000_i1049" type="#_x0000_t75" style="width:234.45pt;height:22.3pt" o:ole="">
            <v:imagedata r:id="rId61" o:title=""/>
          </v:shape>
          <o:OLEObject Type="Embed" ProgID="Equation.3" ShapeID="_x0000_i1049" DrawAspect="Content" ObjectID="_1468066462" r:id="rId62"/>
        </w:object>
      </w:r>
      <w:r w:rsidRPr="003576F1">
        <w:tab/>
        <w:t>(9)</w:t>
      </w:r>
    </w:p>
    <w:p w:rsidR="00CB7E99" w:rsidRPr="003576F1" w:rsidRDefault="00CB7E99" w:rsidP="00CB7E99">
      <w:pPr>
        <w:pStyle w:val="Blanc"/>
        <w:rPr>
          <w:lang w:val="fr-FR"/>
        </w:rPr>
      </w:pPr>
    </w:p>
    <w:p w:rsidR="00CB7E99" w:rsidRPr="003576F1" w:rsidRDefault="00CB7E99" w:rsidP="00CB7E99">
      <w:r>
        <w:rPr>
          <w:rFonts w:ascii="Times" w:hAnsi="Times" w:cs="CMR12"/>
          <w:szCs w:val="24"/>
        </w:rPr>
        <w:t xml:space="preserve">où </w:t>
      </w:r>
      <w:r w:rsidRPr="003576F1">
        <w:rPr>
          <w:position w:val="-10"/>
        </w:rPr>
        <w:object w:dxaOrig="540" w:dyaOrig="320">
          <v:shape id="_x0000_i1050" type="#_x0000_t75" style="width:27.85pt;height:16.7pt" o:ole="">
            <v:imagedata r:id="rId63" o:title=""/>
          </v:shape>
          <o:OLEObject Type="Embed" ProgID="Equation.3" ShapeID="_x0000_i1050" DrawAspect="Content" ObjectID="_1468066463" r:id="rId64"/>
        </w:object>
      </w:r>
      <w:r w:rsidRPr="003576F1">
        <w:t xml:space="preserve"> </w:t>
      </w:r>
      <w:r>
        <w:t>peut être calculé conformément à l'</w:t>
      </w:r>
      <w:r w:rsidRPr="003576F1">
        <w:t>Annex</w:t>
      </w:r>
      <w:r>
        <w:t>e</w:t>
      </w:r>
      <w:r w:rsidRPr="003576F1">
        <w:t xml:space="preserve"> 2 </w:t>
      </w:r>
      <w:r>
        <w:t xml:space="preserve">et où </w:t>
      </w:r>
      <w:r w:rsidRPr="003576F1">
        <w:t>(</w:t>
      </w:r>
      <w:r>
        <w:t xml:space="preserve">voir la </w:t>
      </w:r>
      <w:r w:rsidRPr="003576F1">
        <w:t>Recomm</w:t>
      </w:r>
      <w:r>
        <w:t>a</w:t>
      </w:r>
      <w:r w:rsidRPr="003576F1">
        <w:t xml:space="preserve">ndation </w:t>
      </w:r>
      <w:r>
        <w:t>UIT</w:t>
      </w:r>
      <w:r w:rsidRPr="003576F1">
        <w:t>-R P.1057):</w:t>
      </w:r>
    </w:p>
    <w:p w:rsidR="00CB7E99" w:rsidRPr="003576F1" w:rsidRDefault="00CB7E99" w:rsidP="00CB7E99">
      <w:pPr>
        <w:pStyle w:val="Blanc"/>
        <w:rPr>
          <w:lang w:val="fr-FR"/>
        </w:rPr>
      </w:pPr>
    </w:p>
    <w:p w:rsidR="00CB7E99" w:rsidRPr="003576F1" w:rsidRDefault="00CB7E99" w:rsidP="00CB7E99">
      <w:pPr>
        <w:pStyle w:val="Equation"/>
      </w:pPr>
      <w:r w:rsidRPr="003576F1">
        <w:tab/>
      </w:r>
      <w:r w:rsidRPr="003576F1">
        <w:tab/>
      </w:r>
      <w:r w:rsidRPr="003576F1">
        <w:rPr>
          <w:position w:val="-36"/>
        </w:rPr>
        <w:object w:dxaOrig="2200" w:dyaOrig="920">
          <v:shape id="_x0000_i1051" type="#_x0000_t75" style="width:109.7pt;height:44.15pt" o:ole="">
            <v:imagedata r:id="rId65" o:title=""/>
          </v:shape>
          <o:OLEObject Type="Embed" ProgID="Equation.3" ShapeID="_x0000_i1051" DrawAspect="Content" ObjectID="_1468066464" r:id="rId66"/>
        </w:object>
      </w:r>
    </w:p>
    <w:p w:rsidR="00CB7E99" w:rsidRPr="003576F1" w:rsidRDefault="00CB7E99" w:rsidP="00CB7E99">
      <w:pPr>
        <w:pStyle w:val="Blanc"/>
        <w:rPr>
          <w:lang w:val="fr-FR"/>
        </w:rPr>
      </w:pPr>
    </w:p>
    <w:p w:rsidR="00CB7E99" w:rsidRDefault="00CB7E99" w:rsidP="00CB7E99">
      <w:pPr>
        <w:rPr>
          <w:rFonts w:ascii="Times" w:hAnsi="Times" w:cs="CMR12"/>
          <w:szCs w:val="24"/>
        </w:rPr>
      </w:pPr>
      <w:r>
        <w:rPr>
          <w:rFonts w:ascii="Times" w:hAnsi="Times" w:cs="CMR12"/>
          <w:szCs w:val="24"/>
        </w:rPr>
        <w:t xml:space="preserve">Il est important de noter que si </w:t>
      </w:r>
      <w:r w:rsidRPr="003576F1">
        <w:rPr>
          <w:rFonts w:ascii="Times" w:eastAsia="Calibri" w:hAnsi="Times" w:cs="CMR12"/>
          <w:position w:val="-12"/>
          <w:szCs w:val="24"/>
        </w:rPr>
        <w:object w:dxaOrig="360" w:dyaOrig="360">
          <v:shape id="_x0000_i1052" type="#_x0000_t75" style="width:16.7pt;height:18.85pt" o:ole="">
            <v:imagedata r:id="rId67" o:title=""/>
          </v:shape>
          <o:OLEObject Type="Embed" ProgID="Equation.3" ShapeID="_x0000_i1052" DrawAspect="Content" ObjectID="_1468066465" r:id="rId68"/>
        </w:object>
      </w:r>
      <w:r w:rsidRPr="003576F1">
        <w:rPr>
          <w:rFonts w:ascii="Times" w:hAnsi="Times" w:cs="CMR12"/>
          <w:szCs w:val="24"/>
        </w:rPr>
        <w:t>=</w:t>
      </w:r>
      <w:r w:rsidRPr="003576F1">
        <w:rPr>
          <w:rFonts w:ascii="Times" w:eastAsia="Calibri" w:hAnsi="Times" w:cs="CMR12"/>
          <w:position w:val="-10"/>
          <w:szCs w:val="24"/>
        </w:rPr>
        <w:object w:dxaOrig="240" w:dyaOrig="260">
          <v:shape id="_x0000_i1053" type="#_x0000_t75" style="width:12.45pt;height:13.3pt" o:ole="">
            <v:imagedata r:id="rId69" o:title=""/>
          </v:shape>
          <o:OLEObject Type="Embed" ProgID="Equation.3" ShapeID="_x0000_i1053" DrawAspect="Content" ObjectID="_1468066466" r:id="rId70"/>
        </w:object>
      </w:r>
      <w:r w:rsidRPr="003576F1">
        <w:rPr>
          <w:rFonts w:ascii="Times" w:hAnsi="Times" w:cs="CMR12"/>
          <w:szCs w:val="24"/>
        </w:rPr>
        <w:t xml:space="preserve"> </w:t>
      </w:r>
      <w:r>
        <w:rPr>
          <w:rFonts w:ascii="Times" w:hAnsi="Times" w:cs="CMR12"/>
          <w:szCs w:val="24"/>
        </w:rPr>
        <w:t xml:space="preserve">dans la formule </w:t>
      </w:r>
      <w:r w:rsidRPr="003576F1">
        <w:rPr>
          <w:rFonts w:ascii="Times" w:hAnsi="Times" w:cs="CMR12"/>
          <w:szCs w:val="24"/>
        </w:rPr>
        <w:t>(8)</w:t>
      </w:r>
      <w:r>
        <w:rPr>
          <w:rFonts w:ascii="Times" w:hAnsi="Times" w:cs="CMR12"/>
          <w:szCs w:val="24"/>
        </w:rPr>
        <w:t>,</w:t>
      </w:r>
      <w:r w:rsidRPr="003576F1">
        <w:rPr>
          <w:rFonts w:ascii="Times" w:hAnsi="Times" w:cs="CMR12"/>
          <w:szCs w:val="24"/>
        </w:rPr>
        <w:t xml:space="preserve"> </w:t>
      </w:r>
      <w:r>
        <w:rPr>
          <w:rFonts w:ascii="Times" w:hAnsi="Times" w:cs="CMR12"/>
          <w:szCs w:val="24"/>
        </w:rPr>
        <w:t>on obtient</w:t>
      </w:r>
      <w:r w:rsidRPr="003576F1">
        <w:rPr>
          <w:rFonts w:ascii="Times" w:hAnsi="Times" w:cs="CMR12"/>
          <w:szCs w:val="24"/>
        </w:rPr>
        <w:t xml:space="preserve">, </w:t>
      </w:r>
      <w:r>
        <w:rPr>
          <w:rFonts w:ascii="Times" w:hAnsi="Times" w:cs="CMR12"/>
          <w:szCs w:val="24"/>
        </w:rPr>
        <w:t>comme prévu</w:t>
      </w:r>
      <w:r w:rsidRPr="003576F1">
        <w:rPr>
          <w:rFonts w:ascii="Times" w:hAnsi="Times" w:cs="CMR12"/>
          <w:szCs w:val="24"/>
        </w:rPr>
        <w:t xml:space="preserve">, </w:t>
      </w:r>
      <w:r w:rsidRPr="003576F1">
        <w:rPr>
          <w:rFonts w:ascii="Times" w:eastAsia="Calibri" w:hAnsi="Times" w:cs="CMR12"/>
          <w:position w:val="-6"/>
          <w:szCs w:val="24"/>
        </w:rPr>
        <w:object w:dxaOrig="260" w:dyaOrig="279">
          <v:shape id="_x0000_i1054" type="#_x0000_t75" style="width:13.3pt;height:14.55pt" o:ole="">
            <v:imagedata r:id="rId71" o:title=""/>
          </v:shape>
          <o:OLEObject Type="Embed" ProgID="Equation.3" ShapeID="_x0000_i1054" DrawAspect="Content" ObjectID="_1468066467" r:id="rId72"/>
        </w:object>
      </w:r>
      <w:r w:rsidRPr="003576F1">
        <w:rPr>
          <w:rFonts w:ascii="Times" w:hAnsi="Times" w:cs="CMR12"/>
          <w:szCs w:val="24"/>
        </w:rPr>
        <w:t>=</w:t>
      </w:r>
      <w:r>
        <w:rPr>
          <w:rFonts w:ascii="Times" w:hAnsi="Times" w:cs="CMR12"/>
          <w:szCs w:val="24"/>
        </w:rPr>
        <w:t xml:space="preserve"> </w:t>
      </w:r>
      <w:r w:rsidRPr="003576F1">
        <w:rPr>
          <w:rFonts w:ascii="Times" w:hAnsi="Times" w:cs="CMR12"/>
          <w:szCs w:val="24"/>
        </w:rPr>
        <w:t>0</w:t>
      </w:r>
      <w:r>
        <w:rPr>
          <w:rFonts w:ascii="Times" w:hAnsi="Times" w:cs="CMR12"/>
          <w:szCs w:val="24"/>
        </w:rPr>
        <w:t>,</w:t>
      </w:r>
      <w:r w:rsidRPr="003576F1">
        <w:rPr>
          <w:rFonts w:ascii="Times" w:hAnsi="Times" w:cs="CMR12"/>
          <w:szCs w:val="24"/>
        </w:rPr>
        <w:t>5.</w:t>
      </w:r>
    </w:p>
    <w:p w:rsidR="00CB7E99" w:rsidRDefault="00CB7E99" w:rsidP="00CB7E99">
      <w:pPr>
        <w:rPr>
          <w:rFonts w:ascii="Times" w:hAnsi="Times" w:cs="CMR12"/>
          <w:szCs w:val="24"/>
        </w:rPr>
      </w:pPr>
    </w:p>
    <w:p w:rsidR="00CB7E99" w:rsidRDefault="00CB7E99" w:rsidP="00CB7E99">
      <w:pPr>
        <w:rPr>
          <w:rFonts w:ascii="Times" w:hAnsi="Times" w:cs="CMR12"/>
          <w:szCs w:val="24"/>
        </w:rPr>
      </w:pPr>
    </w:p>
    <w:p w:rsidR="00CB7E99" w:rsidRDefault="00CB7E99" w:rsidP="00CB7E99">
      <w:pPr>
        <w:rPr>
          <w:rFonts w:ascii="Times" w:hAnsi="Times" w:cs="CMR12"/>
          <w:szCs w:val="24"/>
        </w:rPr>
      </w:pPr>
    </w:p>
    <w:p w:rsidR="00821AA3" w:rsidRDefault="00CB7E99" w:rsidP="00CB7E99">
      <w:pPr>
        <w:jc w:val="center"/>
        <w:rPr>
          <w:lang w:val="en-US"/>
        </w:rPr>
      </w:pPr>
      <w:r>
        <w:t>______________</w:t>
      </w:r>
    </w:p>
    <w:p w:rsidR="00821AA3" w:rsidRDefault="00821AA3" w:rsidP="00821AA3">
      <w:pPr>
        <w:rPr>
          <w:lang w:val="en-US"/>
        </w:rPr>
      </w:pPr>
    </w:p>
    <w:p w:rsidR="00821AA3" w:rsidRPr="00821AA3" w:rsidRDefault="00821AA3" w:rsidP="00821AA3">
      <w:pPr>
        <w:rPr>
          <w:lang w:val="en-US"/>
        </w:rPr>
      </w:pPr>
    </w:p>
    <w:sectPr w:rsidR="00821AA3" w:rsidRPr="00821AA3" w:rsidSect="00E0349B">
      <w:headerReference w:type="even" r:id="rId73"/>
      <w:headerReference w:type="default" r:id="rId7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AA3" w:rsidRDefault="00821AA3">
      <w:r>
        <w:separator/>
      </w:r>
    </w:p>
  </w:endnote>
  <w:endnote w:type="continuationSeparator" w:id="0">
    <w:p w:rsidR="00821AA3" w:rsidRDefault="0082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MR12">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AA3" w:rsidRDefault="00821AA3">
      <w:r>
        <w:separator/>
      </w:r>
    </w:p>
  </w:footnote>
  <w:footnote w:type="continuationSeparator" w:id="0">
    <w:p w:rsidR="00821AA3" w:rsidRDefault="00821A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Default="00821A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Default="00821AA3" w:rsidP="00C668C8">
    <w:pPr>
      <w:pStyle w:val="Header"/>
      <w:ind w:right="360" w:firstLine="360"/>
    </w:pPr>
    <w:r>
      <w:rPr>
        <w:noProof/>
        <w:lang w:val="en-US"/>
      </w:rPr>
      <w:drawing>
        <wp:anchor distT="0" distB="0" distL="114300" distR="114300" simplePos="0" relativeHeight="251659264" behindDoc="1" locked="0" layoutInCell="1" allowOverlap="1" wp14:anchorId="30A15D3D" wp14:editId="3982C9D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Pr="00837CB5" w:rsidRDefault="00821AA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F5BCB">
      <w:rPr>
        <w:rStyle w:val="PageNumber"/>
        <w:b/>
        <w:bCs/>
        <w:noProof/>
      </w:rPr>
      <w:t>ii</w:t>
    </w:r>
    <w:r>
      <w:rPr>
        <w:rStyle w:val="PageNumber"/>
        <w:b/>
        <w:bCs/>
      </w:rPr>
      <w:fldChar w:fldCharType="end"/>
    </w:r>
    <w:r w:rsidRPr="00837CB5">
      <w:tab/>
    </w:r>
    <w:r w:rsidR="005F5BCB">
      <w:fldChar w:fldCharType="begin"/>
    </w:r>
    <w:r w:rsidR="005F5BCB">
      <w:instrText xml:space="preserve"> DOCPROPERTY "Header" \* MERGEFORMAT </w:instrText>
    </w:r>
    <w:r w:rsidR="005F5BCB">
      <w:fldChar w:fldCharType="separate"/>
    </w:r>
    <w:r>
      <w:rPr>
        <w:b/>
        <w:bCs/>
      </w:rPr>
      <w:t xml:space="preserve">Rec. </w:t>
    </w:r>
    <w:r w:rsidR="005F5BC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F5BCB">
      <w:rPr>
        <w:b/>
        <w:bCs/>
        <w:noProof/>
      </w:rPr>
      <w:t>UIT-R  P.678-2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AA3" w:rsidRDefault="00821AA3">
    <w:pPr>
      <w:pStyle w:val="Header"/>
    </w:pPr>
    <w:r>
      <w:tab/>
    </w:r>
    <w:r w:rsidR="005F5BCB">
      <w:fldChar w:fldCharType="begin"/>
    </w:r>
    <w:r w:rsidR="005F5BCB">
      <w:instrText xml:space="preserve"> DOCPROPERTY "Header" \* MERGEFORMAT </w:instrText>
    </w:r>
    <w:r w:rsidR="005F5BCB">
      <w:fldChar w:fldCharType="separate"/>
    </w:r>
    <w:r>
      <w:rPr>
        <w:b/>
        <w:bCs/>
      </w:rPr>
      <w:t xml:space="preserve">Rec. </w:t>
    </w:r>
    <w:r w:rsidR="005F5BC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5BCB">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21AA3" w:rsidRPr="00821AA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F5BCB">
      <w:rPr>
        <w:b/>
        <w:bCs/>
        <w:noProof/>
      </w:rPr>
      <w:t>UIT-R  P.678-2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5F5BCB">
      <w:fldChar w:fldCharType="begin"/>
    </w:r>
    <w:r w:rsidR="005F5BCB">
      <w:instrText xml:space="preserve"> DOCPROPERTY "Header" \* MERGEFORMAT </w:instrText>
    </w:r>
    <w:r w:rsidR="005F5BCB">
      <w:fldChar w:fldCharType="separate"/>
    </w:r>
    <w:r w:rsidR="00821AA3" w:rsidRPr="00821AA3">
      <w:rPr>
        <w:b/>
        <w:bCs/>
      </w:rPr>
      <w:t xml:space="preserve">Rec. </w:t>
    </w:r>
    <w:r w:rsidR="005F5BCB">
      <w:rPr>
        <w:b/>
        <w:bCs/>
      </w:rPr>
      <w:fldChar w:fldCharType="end"/>
    </w:r>
    <w:r>
      <w:rPr>
        <w:b/>
        <w:bCs/>
      </w:rPr>
      <w:t xml:space="preserve"> </w:t>
    </w:r>
    <w:r>
      <w:rPr>
        <w:b/>
        <w:bCs/>
      </w:rPr>
      <w:fldChar w:fldCharType="begin"/>
    </w:r>
    <w:r>
      <w:rPr>
        <w:b/>
        <w:bCs/>
      </w:rPr>
      <w:instrText>styleref href</w:instrText>
    </w:r>
    <w:r>
      <w:rPr>
        <w:b/>
        <w:bCs/>
      </w:rPr>
      <w:fldChar w:fldCharType="separate"/>
    </w:r>
    <w:r w:rsidR="005F5BCB">
      <w:rPr>
        <w:b/>
        <w:bCs/>
        <w:noProof/>
      </w:rPr>
      <w:t>UIT-R  P.678-2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5BCB">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AA3"/>
    <w:rsid w:val="00217EBF"/>
    <w:rsid w:val="00242AEE"/>
    <w:rsid w:val="002D76C4"/>
    <w:rsid w:val="00520B50"/>
    <w:rsid w:val="0052529D"/>
    <w:rsid w:val="005F5BCB"/>
    <w:rsid w:val="00607D68"/>
    <w:rsid w:val="00612A00"/>
    <w:rsid w:val="00723FA8"/>
    <w:rsid w:val="007468DA"/>
    <w:rsid w:val="00787F22"/>
    <w:rsid w:val="00821AA3"/>
    <w:rsid w:val="009E00A8"/>
    <w:rsid w:val="00A6617B"/>
    <w:rsid w:val="00AB0DC8"/>
    <w:rsid w:val="00B44E24"/>
    <w:rsid w:val="00CB7E99"/>
    <w:rsid w:val="00DF4176"/>
    <w:rsid w:val="00E0349B"/>
    <w:rsid w:val="00F01B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docId w15:val="{DF54CAD6-B086-4DAC-9F72-B3AB7D9E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A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E0349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21AA3"/>
    <w:rPr>
      <w:color w:val="0000FF"/>
      <w:u w:val="single"/>
    </w:rPr>
  </w:style>
  <w:style w:type="character" w:customStyle="1" w:styleId="Heading1Char">
    <w:name w:val="Heading 1 Char"/>
    <w:basedOn w:val="DefaultParagraphFont"/>
    <w:link w:val="Heading1"/>
    <w:rsid w:val="00CB7E99"/>
    <w:rPr>
      <w:b/>
      <w:sz w:val="24"/>
      <w:lang w:val="fr-FR" w:eastAsia="en-US"/>
    </w:rPr>
  </w:style>
  <w:style w:type="character" w:customStyle="1" w:styleId="HeaderChar">
    <w:name w:val="Header Char"/>
    <w:basedOn w:val="DefaultParagraphFont"/>
    <w:link w:val="Header"/>
    <w:uiPriority w:val="99"/>
    <w:rsid w:val="00CB7E99"/>
    <w:rPr>
      <w:sz w:val="24"/>
      <w:lang w:val="fr-FR" w:eastAsia="en-US"/>
    </w:rPr>
  </w:style>
  <w:style w:type="character" w:customStyle="1" w:styleId="EquationChar">
    <w:name w:val="Equation Char"/>
    <w:link w:val="Equation"/>
    <w:rsid w:val="00CB7E9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8.bin"/><Relationship Id="rId76" Type="http://schemas.openxmlformats.org/officeDocument/2006/relationships/theme" Target="theme/theme1.xml"/><Relationship Id="rId7" Type="http://schemas.openxmlformats.org/officeDocument/2006/relationships/header" Target="header2.xml"/><Relationship Id="rId71" Type="http://schemas.openxmlformats.org/officeDocument/2006/relationships/image" Target="media/image31.wmf"/><Relationship Id="rId2" Type="http://schemas.openxmlformats.org/officeDocument/2006/relationships/settings" Target="settings.xml"/><Relationship Id="rId16" Type="http://schemas.openxmlformats.org/officeDocument/2006/relationships/image" Target="media/image4.wmf"/><Relationship Id="rId29" Type="http://schemas.openxmlformats.org/officeDocument/2006/relationships/image" Target="media/image10.wmf"/><Relationship Id="rId11" Type="http://schemas.openxmlformats.org/officeDocument/2006/relationships/header" Target="header4.xml"/><Relationship Id="rId24" Type="http://schemas.openxmlformats.org/officeDocument/2006/relationships/hyperlink" Target="http://www.itu.int/rec/R-REC-P.678-2-201309-I/en" TargetMode="External"/><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8" Type="http://schemas.openxmlformats.org/officeDocument/2006/relationships/hyperlink" Target="http://www.itu.int/ITU-R/go/patents/fr" TargetMode="External"/><Relationship Id="rId51" Type="http://schemas.openxmlformats.org/officeDocument/2006/relationships/image" Target="media/image21.wmf"/><Relationship Id="rId72" Type="http://schemas.openxmlformats.org/officeDocument/2006/relationships/oleObject" Target="embeddings/oleObject30.bin"/><Relationship Id="rId3"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7</Pages>
  <Words>1360</Words>
  <Characters>8548</Characters>
  <Application>Microsoft Office Word</Application>
  <DocSecurity>0</DocSecurity>
  <Lines>198</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Gachet, Christelle</cp:lastModifiedBy>
  <cp:revision>9</cp:revision>
  <cp:lastPrinted>2005-02-10T15:54:00Z</cp:lastPrinted>
  <dcterms:created xsi:type="dcterms:W3CDTF">2014-07-25T08:48:00Z</dcterms:created>
  <dcterms:modified xsi:type="dcterms:W3CDTF">2014-07-28T13:22:00Z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