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462E6"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147D248D" w:rsidR="00B1717A" w:rsidRPr="0010336F" w:rsidRDefault="00B1717A" w:rsidP="00E3040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F1B8B" w:rsidRPr="00DF1B8B">
              <w:rPr>
                <w:rFonts w:ascii="Tahoma" w:hAnsi="Tahoma" w:cs="Tahoma"/>
                <w:b/>
                <w:bCs/>
                <w:iCs/>
                <w:color w:val="243285"/>
                <w:sz w:val="36"/>
                <w:szCs w:val="36"/>
                <w:lang w:val="es-ES_tradnl"/>
              </w:rPr>
              <w:t>P.581-3</w:t>
            </w:r>
          </w:p>
          <w:p w14:paraId="350CA114" w14:textId="3E5D0336"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B77F1">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656AEE">
              <w:rPr>
                <w:rFonts w:ascii="Tahoma" w:hAnsi="Tahoma" w:cs="Tahoma"/>
                <w:b/>
                <w:bCs/>
                <w:iCs/>
                <w:color w:val="243285"/>
                <w:szCs w:val="24"/>
                <w:lang w:val="es-ES_tradnl"/>
              </w:rPr>
              <w:t>20</w:t>
            </w:r>
            <w:r w:rsidR="00DF1B8B">
              <w:rPr>
                <w:rFonts w:ascii="Tahoma" w:hAnsi="Tahoma" w:cs="Tahoma"/>
                <w:b/>
                <w:bCs/>
                <w:iCs/>
                <w:color w:val="243285"/>
                <w:szCs w:val="24"/>
                <w:lang w:val="es-ES_tradnl"/>
              </w:rPr>
              <w:t>22</w:t>
            </w:r>
            <w:r w:rsidRPr="0010336F">
              <w:rPr>
                <w:rFonts w:ascii="Tahoma" w:hAnsi="Tahoma" w:cs="Tahoma"/>
                <w:b/>
                <w:bCs/>
                <w:iCs/>
                <w:color w:val="243285"/>
                <w:szCs w:val="24"/>
                <w:lang w:val="es-ES_tradnl"/>
              </w:rPr>
              <w:t>)</w:t>
            </w:r>
          </w:p>
        </w:tc>
      </w:tr>
      <w:tr w:rsidR="00B1717A" w:rsidRPr="008E5A61"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1DE29409" w:rsidR="00B1717A" w:rsidRDefault="00DF1B8B" w:rsidP="00E3040B">
            <w:pPr>
              <w:spacing w:before="80" w:line="500" w:lineRule="exact"/>
              <w:jc w:val="right"/>
              <w:rPr>
                <w:rFonts w:ascii="Tahoma" w:hAnsi="Tahoma" w:cs="Tahoma"/>
                <w:b/>
                <w:bCs/>
                <w:color w:val="243285"/>
                <w:sz w:val="44"/>
                <w:szCs w:val="44"/>
                <w:lang w:val="es-ES_tradnl"/>
              </w:rPr>
            </w:pPr>
            <w:r w:rsidRPr="00DF1B8B">
              <w:rPr>
                <w:rFonts w:ascii="Tahoma" w:hAnsi="Tahoma" w:cs="Tahoma"/>
                <w:b/>
                <w:bCs/>
                <w:color w:val="243285"/>
                <w:sz w:val="44"/>
                <w:szCs w:val="44"/>
                <w:lang w:val="es-ES_tradnl"/>
              </w:rPr>
              <w:t>Noción de «mes más desfavorable»</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E5A61"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E5A61"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E5A61"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E5A61"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E5A61"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8E5A61"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E5A61"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E5A61"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E5A61"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6F4BBC4E"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w:t>
      </w:r>
      <w:r w:rsidR="00B738C1">
        <w:rPr>
          <w:sz w:val="20"/>
          <w:lang w:val="es-ES_tradnl"/>
        </w:rPr>
        <w:t>3</w:t>
      </w:r>
    </w:p>
    <w:p w14:paraId="70E40BBB" w14:textId="77777777" w:rsidR="00B1717A" w:rsidRPr="00763D08" w:rsidRDefault="00B1717A" w:rsidP="00B1717A">
      <w:pPr>
        <w:spacing w:before="0"/>
        <w:jc w:val="center"/>
        <w:rPr>
          <w:sz w:val="22"/>
          <w:lang w:val="es-ES_tradnl"/>
        </w:rPr>
      </w:pPr>
    </w:p>
    <w:p w14:paraId="77A30894" w14:textId="10D1BBB4"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w:t>
      </w:r>
      <w:r w:rsidR="00B738C1">
        <w:rPr>
          <w:sz w:val="20"/>
          <w:lang w:val="es-ES_tradnl"/>
        </w:rPr>
        <w:t>3</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70AC34B1" w:rsidR="00B1717A" w:rsidRPr="006C347C" w:rsidRDefault="00DF1B8B" w:rsidP="00B738C1">
      <w:pPr>
        <w:pStyle w:val="RecNo"/>
        <w:spacing w:before="0"/>
        <w:rPr>
          <w:lang w:val="es-ES_tradnl"/>
        </w:rPr>
      </w:pPr>
      <w:bookmarkStart w:id="3" w:name="irecnoe"/>
      <w:bookmarkEnd w:id="3"/>
      <w:r w:rsidRPr="0019247E">
        <w:lastRenderedPageBreak/>
        <w:t>RECOMENDACIÓN</w:t>
      </w:r>
      <w:r w:rsidRPr="00DF1B8B">
        <w:rPr>
          <w:lang w:val="es-ES"/>
        </w:rPr>
        <w:t xml:space="preserve">  </w:t>
      </w:r>
      <w:r w:rsidRPr="00DF1B8B">
        <w:rPr>
          <w:rStyle w:val="href"/>
          <w:lang w:val="es-ES"/>
        </w:rPr>
        <w:t xml:space="preserve">UIT-R </w:t>
      </w:r>
      <w:r w:rsidR="0039094C">
        <w:rPr>
          <w:rStyle w:val="href"/>
          <w:lang w:val="es-ES"/>
        </w:rPr>
        <w:t xml:space="preserve"> </w:t>
      </w:r>
      <w:r w:rsidRPr="00DF1B8B">
        <w:rPr>
          <w:rStyle w:val="href"/>
          <w:lang w:val="es-ES"/>
        </w:rPr>
        <w:t>P.581-3</w:t>
      </w:r>
    </w:p>
    <w:p w14:paraId="5E153B87" w14:textId="16AC1BEB" w:rsidR="003462E6" w:rsidRPr="0019247E" w:rsidRDefault="00DF1B8B" w:rsidP="0019247E">
      <w:pPr>
        <w:pStyle w:val="Rectitle"/>
      </w:pPr>
      <w:r w:rsidRPr="0019247E">
        <w:t>Noción de «mes más desfavorable»</w:t>
      </w:r>
    </w:p>
    <w:p w14:paraId="6FC9E23F" w14:textId="64B98901" w:rsidR="003462E6" w:rsidRPr="00105910" w:rsidRDefault="00DF1B8B" w:rsidP="00DF1B8B">
      <w:pPr>
        <w:pStyle w:val="Recdate"/>
        <w:rPr>
          <w:lang w:val="es-ES_tradnl"/>
        </w:rPr>
      </w:pPr>
      <w:r w:rsidRPr="00DF1B8B">
        <w:rPr>
          <w:lang w:val="es-ES"/>
        </w:rPr>
        <w:t>(1982-1986-1990-2022)</w:t>
      </w:r>
    </w:p>
    <w:p w14:paraId="2EF96D92" w14:textId="77777777" w:rsidR="003462E6" w:rsidRPr="00105910" w:rsidRDefault="003462E6" w:rsidP="003462E6">
      <w:pPr>
        <w:pStyle w:val="headfoot"/>
        <w:rPr>
          <w:lang w:val="es-ES_tradnl"/>
        </w:rPr>
      </w:pPr>
      <w:r w:rsidRPr="00105910">
        <w:rPr>
          <w:lang w:val="es-ES_tradnl"/>
        </w:rPr>
        <w:t>Rec. UIT-R PN.310-9</w:t>
      </w:r>
    </w:p>
    <w:p w14:paraId="31ED360F" w14:textId="77777777" w:rsidR="003462E6" w:rsidRPr="00105910" w:rsidRDefault="003462E6" w:rsidP="003462E6">
      <w:pPr>
        <w:pStyle w:val="Normalaftertitle"/>
        <w:rPr>
          <w:lang w:val="es-ES_tradnl"/>
        </w:rPr>
      </w:pPr>
      <w:r w:rsidRPr="00105910">
        <w:rPr>
          <w:lang w:val="es-ES_tradnl"/>
        </w:rPr>
        <w:t>La Asamblea de Radiocomunicaciones de la UIT,</w:t>
      </w:r>
    </w:p>
    <w:p w14:paraId="743FA3E1" w14:textId="77777777" w:rsidR="003462E6" w:rsidRPr="00105910" w:rsidRDefault="003462E6" w:rsidP="0084722D">
      <w:pPr>
        <w:pStyle w:val="Call"/>
        <w:rPr>
          <w:lang w:val="es-ES_tradnl"/>
        </w:rPr>
      </w:pPr>
      <w:r w:rsidRPr="00105910">
        <w:rPr>
          <w:lang w:val="es-ES_tradnl"/>
        </w:rPr>
        <w:t>considerando</w:t>
      </w:r>
    </w:p>
    <w:p w14:paraId="24D8E9C7" w14:textId="77777777" w:rsidR="00DF1B8B" w:rsidRPr="00DF1B8B" w:rsidRDefault="00DF1B8B" w:rsidP="00DF1B8B">
      <w:pPr>
        <w:rPr>
          <w:lang w:val="es-ES_tradnl"/>
        </w:rPr>
      </w:pPr>
      <w:r w:rsidRPr="00DF1B8B">
        <w:rPr>
          <w:i/>
          <w:iCs/>
          <w:lang w:val="es-ES_tradnl"/>
        </w:rPr>
        <w:t>a)</w:t>
      </w:r>
      <w:r w:rsidRPr="00DF1B8B">
        <w:rPr>
          <w:lang w:val="es-ES_tradnl"/>
        </w:rPr>
        <w:tab/>
        <w:t>que los criterios de calidad de funcionamiento aplicables a los sistemas de radiocomunicaciones se refieren a menudo a «cualquier mes» como periodo de referencia;</w:t>
      </w:r>
    </w:p>
    <w:p w14:paraId="308D37F5" w14:textId="77777777" w:rsidR="00DF1B8B" w:rsidRPr="00DF1B8B" w:rsidRDefault="00DF1B8B" w:rsidP="00DF1B8B">
      <w:pPr>
        <w:rPr>
          <w:lang w:val="es-ES_tradnl"/>
        </w:rPr>
      </w:pPr>
      <w:r w:rsidRPr="00DF1B8B">
        <w:rPr>
          <w:i/>
          <w:iCs/>
          <w:lang w:val="es-ES_tradnl"/>
        </w:rPr>
        <w:t>b)</w:t>
      </w:r>
      <w:r w:rsidRPr="00DF1B8B">
        <w:rPr>
          <w:lang w:val="es-ES_tradnl"/>
        </w:rPr>
        <w:tab/>
        <w:t>que para el diseño de esos sistemas es necesario disponer de datos estadísticos sobre los efectos de propagación correspondientes al periodo de referencia de los criterios de calidad de funcionamiento;</w:t>
      </w:r>
    </w:p>
    <w:p w14:paraId="34A8827A" w14:textId="76B96C6E" w:rsidR="00DF1B8B" w:rsidRPr="00DF1B8B" w:rsidRDefault="00DF1B8B" w:rsidP="00DF1B8B">
      <w:pPr>
        <w:rPr>
          <w:lang w:val="es-ES_tradnl"/>
        </w:rPr>
      </w:pPr>
      <w:r w:rsidRPr="00DF1B8B">
        <w:rPr>
          <w:i/>
          <w:iCs/>
          <w:lang w:val="es-ES_tradnl"/>
        </w:rPr>
        <w:t>c)</w:t>
      </w:r>
      <w:r w:rsidRPr="00DF1B8B">
        <w:rPr>
          <w:lang w:val="es-ES_tradnl"/>
        </w:rPr>
        <w:tab/>
        <w:t>que hay necesidad por ello de contar con una definición inequívoca del periodo de referencia;</w:t>
      </w:r>
    </w:p>
    <w:p w14:paraId="3FA25F4F" w14:textId="77777777" w:rsidR="00DF1B8B" w:rsidRPr="00DF1B8B" w:rsidRDefault="00DF1B8B" w:rsidP="00DF1B8B">
      <w:pPr>
        <w:rPr>
          <w:lang w:val="es-ES_tradnl"/>
        </w:rPr>
      </w:pPr>
      <w:r w:rsidRPr="00DF1B8B">
        <w:rPr>
          <w:i/>
          <w:iCs/>
          <w:lang w:val="es-ES_tradnl"/>
        </w:rPr>
        <w:t>d)</w:t>
      </w:r>
      <w:r w:rsidRPr="00DF1B8B">
        <w:rPr>
          <w:lang w:val="es-ES_tradnl"/>
        </w:rPr>
        <w:tab/>
        <w:t>que la distribución de una propagación variable durante un eriodo de tiempo es un proceso aleatorio;</w:t>
      </w:r>
    </w:p>
    <w:p w14:paraId="532F1D22" w14:textId="77777777" w:rsidR="00DF1B8B" w:rsidRPr="00DF1B8B" w:rsidRDefault="00DF1B8B" w:rsidP="00DF1B8B">
      <w:pPr>
        <w:rPr>
          <w:lang w:val="es-ES_tradnl"/>
        </w:rPr>
      </w:pPr>
      <w:r w:rsidRPr="00DF1B8B">
        <w:rPr>
          <w:i/>
          <w:iCs/>
          <w:lang w:val="es-ES_tradnl"/>
        </w:rPr>
        <w:t>e)</w:t>
      </w:r>
      <w:r w:rsidRPr="00DF1B8B">
        <w:rPr>
          <w:lang w:val="es-ES_tradnl"/>
        </w:rPr>
        <w:tab/>
        <w:t>que la fración de tiempo durante la que una variable aleatoria de propagación rebasa un umbral específico (es decir, la fracción de tiempo de rebasamiento) es una variable aleatoria y se conoce como probabilidad de rebasamiento o función de distribución acumulativa complementaria (CCDF);</w:t>
      </w:r>
    </w:p>
    <w:p w14:paraId="517D8D79" w14:textId="2DC562C7" w:rsidR="00DF1B8B" w:rsidRPr="00DF1B8B" w:rsidRDefault="00DF1B8B" w:rsidP="00DF1B8B">
      <w:pPr>
        <w:rPr>
          <w:lang w:val="es-ES_tradnl"/>
        </w:rPr>
      </w:pPr>
      <w:r w:rsidRPr="00DF1B8B">
        <w:rPr>
          <w:i/>
          <w:iCs/>
          <w:lang w:val="es-ES_tradnl"/>
        </w:rPr>
        <w:t>f)</w:t>
      </w:r>
      <w:r w:rsidRPr="00DF1B8B">
        <w:rPr>
          <w:lang w:val="es-ES_tradnl"/>
        </w:rPr>
        <w:tab/>
        <w:t>que la fracción de tiempo durante la que una variable aleatoria de propagación no rebasa (es decir, que es inferior a)</w:t>
      </w:r>
      <w:r w:rsidR="0019247E">
        <w:rPr>
          <w:lang w:val="es-ES_tradnl"/>
        </w:rPr>
        <w:t xml:space="preserve"> </w:t>
      </w:r>
      <w:r w:rsidRPr="00DF1B8B">
        <w:rPr>
          <w:lang w:val="es-ES_tradnl"/>
        </w:rPr>
        <w:t>un umbral especídifco es una variable aleatoria y se conoce como probabilidad acumulativa o función de distribución acumulativa (CDF),</w:t>
      </w:r>
    </w:p>
    <w:p w14:paraId="6EF960AA" w14:textId="77777777" w:rsidR="00DF1B8B" w:rsidRPr="00DF1B8B" w:rsidRDefault="00DF1B8B" w:rsidP="00DF1B8B">
      <w:pPr>
        <w:pStyle w:val="Call"/>
        <w:rPr>
          <w:lang w:val="es-ES_tradnl"/>
        </w:rPr>
      </w:pPr>
      <w:r w:rsidRPr="00DF1B8B">
        <w:rPr>
          <w:lang w:val="es-ES_tradnl"/>
        </w:rPr>
        <w:t>recomienda</w:t>
      </w:r>
    </w:p>
    <w:p w14:paraId="6FFE5D08" w14:textId="79E640CC" w:rsidR="00DF1B8B" w:rsidRPr="00DF1B8B" w:rsidRDefault="00DF1B8B" w:rsidP="00DF1B8B">
      <w:pPr>
        <w:rPr>
          <w:lang w:val="es-ES_tradnl"/>
        </w:rPr>
      </w:pPr>
      <w:r w:rsidRPr="00DF1B8B">
        <w:rPr>
          <w:b/>
          <w:bCs/>
          <w:lang w:val="es-ES_tradnl"/>
        </w:rPr>
        <w:t>1</w:t>
      </w:r>
      <w:r w:rsidRPr="00DF1B8B">
        <w:rPr>
          <w:lang w:val="es-ES_tradnl"/>
        </w:rPr>
        <w:tab/>
      </w:r>
      <w:r w:rsidR="0019247E">
        <w:rPr>
          <w:lang w:val="es-ES_tradnl"/>
        </w:rPr>
        <w:t>q</w:t>
      </w:r>
      <w:r w:rsidRPr="00DF1B8B">
        <w:rPr>
          <w:lang w:val="es-ES_tradnl"/>
        </w:rPr>
        <w:t xml:space="preserve">ue el mes de un año civil durante el que la probabilidad de rebasamiento sea más alta o la probabilidad acumulativa sea más baja para un umbral específico se conozca como </w:t>
      </w:r>
      <w:r w:rsidR="0019247E">
        <w:rPr>
          <w:lang w:val="es-ES_tradnl"/>
        </w:rPr>
        <w:t>«</w:t>
      </w:r>
      <w:r w:rsidRPr="00DF1B8B">
        <w:rPr>
          <w:lang w:val="es-ES_tradnl"/>
        </w:rPr>
        <w:t>mes más desfavorable</w:t>
      </w:r>
      <w:r w:rsidR="0019247E">
        <w:rPr>
          <w:lang w:val="es-ES_tradnl"/>
        </w:rPr>
        <w:t>»</w:t>
      </w:r>
      <w:r w:rsidRPr="00DF1B8B">
        <w:rPr>
          <w:lang w:val="es-ES_tradnl"/>
        </w:rPr>
        <w:t>, que puede ser distinto para cada umbral;</w:t>
      </w:r>
    </w:p>
    <w:p w14:paraId="0C43DEBD" w14:textId="04445A2F" w:rsidR="00DF1B8B" w:rsidRPr="00DF1B8B" w:rsidRDefault="00DF1B8B" w:rsidP="00DF1B8B">
      <w:pPr>
        <w:rPr>
          <w:lang w:val="es-ES_tradnl"/>
        </w:rPr>
      </w:pPr>
      <w:r w:rsidRPr="00DF1B8B">
        <w:rPr>
          <w:b/>
          <w:bCs/>
          <w:lang w:val="es-ES_tradnl"/>
        </w:rPr>
        <w:t>2</w:t>
      </w:r>
      <w:r w:rsidRPr="00DF1B8B">
        <w:rPr>
          <w:lang w:val="es-ES_tradnl"/>
        </w:rPr>
        <w:tab/>
        <w:t xml:space="preserve">que la probabilidad de rebasamiento en el mes más desfavorable de un año se denomine «probabilidad de rebasamiento del mes más desfavorable del año», y que la probabilidad acumulativa en el mes más desfavorable de un año se denomine </w:t>
      </w:r>
      <w:r w:rsidR="0019247E">
        <w:rPr>
          <w:lang w:val="es-ES_tradnl"/>
        </w:rPr>
        <w:t>«</w:t>
      </w:r>
      <w:r w:rsidRPr="00DF1B8B">
        <w:rPr>
          <w:lang w:val="es-ES_tradnl"/>
        </w:rPr>
        <w:t>probabilidad acumulativa del mes más desfavorable del año</w:t>
      </w:r>
      <w:r w:rsidR="0019247E">
        <w:rPr>
          <w:lang w:val="es-ES_tradnl"/>
        </w:rPr>
        <w:t>»;</w:t>
      </w:r>
    </w:p>
    <w:p w14:paraId="22C4C29E" w14:textId="4EC106DE" w:rsidR="00DF1B8B" w:rsidRPr="00DF1B8B" w:rsidRDefault="00DF1B8B" w:rsidP="00DF1B8B">
      <w:pPr>
        <w:rPr>
          <w:lang w:val="es-ES_tradnl"/>
        </w:rPr>
      </w:pPr>
      <w:r w:rsidRPr="00DF1B8B">
        <w:rPr>
          <w:b/>
          <w:bCs/>
          <w:lang w:val="es-ES_tradnl"/>
        </w:rPr>
        <w:t>3</w:t>
      </w:r>
      <w:r w:rsidRPr="00DF1B8B">
        <w:rPr>
          <w:lang w:val="es-ES_tradnl"/>
        </w:rPr>
        <w:tab/>
      </w:r>
      <w:r w:rsidR="0019247E">
        <w:rPr>
          <w:lang w:val="es-ES_tradnl"/>
        </w:rPr>
        <w:t>q</w:t>
      </w:r>
      <w:r w:rsidRPr="00DF1B8B">
        <w:rPr>
          <w:lang w:val="es-ES_tradnl"/>
        </w:rPr>
        <w:t>ue la estadística aplicable a los criterios de calidad de funcionamiento referente a «cualquier mes» sea la media a largo plazo de la probabilidad de rebasamiento o la probabilidad acumulativa del mes más desfavorable del año.</w:t>
      </w:r>
    </w:p>
    <w:p w14:paraId="2CF6A28E" w14:textId="3FEB1B15" w:rsidR="00DF1B8B" w:rsidRPr="00DF1B8B" w:rsidRDefault="00DF1B8B" w:rsidP="00B738C1">
      <w:pPr>
        <w:rPr>
          <w:lang w:val="es-ES_tradnl"/>
        </w:rPr>
      </w:pPr>
      <w:r w:rsidRPr="00DF1B8B">
        <w:rPr>
          <w:lang w:val="es-ES_tradnl"/>
        </w:rPr>
        <w:t xml:space="preserve">NOTA – En la Recomendación UIT-R </w:t>
      </w:r>
      <w:hyperlink r:id="rId13" w:history="1">
        <w:r w:rsidRPr="0019247E">
          <w:rPr>
            <w:lang w:val="es-ES_tradnl"/>
          </w:rPr>
          <w:t>P.841</w:t>
        </w:r>
      </w:hyperlink>
      <w:r w:rsidRPr="00DF1B8B">
        <w:rPr>
          <w:lang w:val="es-ES_tradnl"/>
        </w:rPr>
        <w:t xml:space="preserve"> se presenta un modelo para la conversión de la fracción de tiempo de rebasamiento media anual a la fracción de tiempo de rebasamiento media del mes más desfavorable del año. Se indican los valores globales de los parámetros de este modelo, así como valores más detallados para varias regiones del mundo.</w:t>
      </w:r>
    </w:p>
    <w:p w14:paraId="61D1CEAB" w14:textId="028A3686" w:rsidR="003462E6" w:rsidRDefault="003462E6" w:rsidP="00DF1B8B">
      <w:pPr>
        <w:rPr>
          <w:lang w:val="es-ES_tradnl"/>
        </w:rPr>
      </w:pPr>
    </w:p>
    <w:p w14:paraId="0B5A6051" w14:textId="77777777" w:rsidR="00B738C1" w:rsidRPr="008519BE" w:rsidRDefault="00B738C1" w:rsidP="00B738C1">
      <w:pPr>
        <w:pStyle w:val="Line"/>
      </w:pPr>
    </w:p>
    <w:sectPr w:rsidR="00B738C1" w:rsidRPr="008519BE"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192A7" w14:textId="77777777" w:rsidR="00431839" w:rsidRDefault="00431839">
      <w:r>
        <w:separator/>
      </w:r>
    </w:p>
  </w:endnote>
  <w:endnote w:type="continuationSeparator" w:id="0">
    <w:p w14:paraId="6FDFEF99" w14:textId="77777777"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E79EA" w14:textId="77777777" w:rsidR="00431839" w:rsidRDefault="00431839">
      <w:r>
        <w:separator/>
      </w:r>
    </w:p>
  </w:footnote>
  <w:footnote w:type="continuationSeparator" w:id="0">
    <w:p w14:paraId="68338F6A" w14:textId="77777777" w:rsidR="00431839" w:rsidRDefault="00431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2BB4F96B"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195892">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195892">
      <w:rPr>
        <w:b/>
        <w:bCs/>
        <w:noProof/>
      </w:rPr>
      <w:t>UIT-R  P.581-3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3F96AAD3"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195892">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195892">
      <w:rPr>
        <w:b/>
        <w:bCs/>
        <w:noProof/>
      </w:rPr>
      <w:t>UIT-R  P.581-3</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68EA3CA1"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195892">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195892">
      <w:rPr>
        <w:b/>
        <w:bCs/>
        <w:noProof/>
        <w:lang w:val="en-US"/>
      </w:rPr>
      <w:t>UIT-R  P.581-3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6F4493A3"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195892">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195892">
      <w:rPr>
        <w:b/>
        <w:bCs/>
        <w:noProof/>
      </w:rPr>
      <w:t>UIT-R  P.581-3</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0683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66B8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B2F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C8E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0A4E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B09C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000A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92E3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CD006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042978"/>
    <w:lvl w:ilvl="0">
      <w:start w:val="1"/>
      <w:numFmt w:val="bullet"/>
      <w:lvlText w:val=""/>
      <w:lvlJc w:val="left"/>
      <w:pPr>
        <w:tabs>
          <w:tab w:val="num" w:pos="360"/>
        </w:tabs>
        <w:ind w:left="360" w:hanging="360"/>
      </w:pPr>
      <w:rPr>
        <w:rFonts w:ascii="Symbol" w:hAnsi="Symbol" w:hint="default"/>
      </w:rPr>
    </w:lvl>
  </w:abstractNum>
  <w:num w:numId="1" w16cid:durableId="830215266">
    <w:abstractNumId w:val="9"/>
  </w:num>
  <w:num w:numId="2" w16cid:durableId="1797210434">
    <w:abstractNumId w:val="7"/>
  </w:num>
  <w:num w:numId="3" w16cid:durableId="1287004436">
    <w:abstractNumId w:val="6"/>
  </w:num>
  <w:num w:numId="4" w16cid:durableId="1842815404">
    <w:abstractNumId w:val="5"/>
  </w:num>
  <w:num w:numId="5" w16cid:durableId="865367178">
    <w:abstractNumId w:val="4"/>
  </w:num>
  <w:num w:numId="6" w16cid:durableId="1311592390">
    <w:abstractNumId w:val="8"/>
  </w:num>
  <w:num w:numId="7" w16cid:durableId="1069379353">
    <w:abstractNumId w:val="3"/>
  </w:num>
  <w:num w:numId="8" w16cid:durableId="825630572">
    <w:abstractNumId w:val="2"/>
  </w:num>
  <w:num w:numId="9" w16cid:durableId="1713189044">
    <w:abstractNumId w:val="1"/>
  </w:num>
  <w:num w:numId="10" w16cid:durableId="1838572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1424C"/>
    <w:rsid w:val="0002042E"/>
    <w:rsid w:val="000D5F99"/>
    <w:rsid w:val="000E39C4"/>
    <w:rsid w:val="00110F09"/>
    <w:rsid w:val="0014224E"/>
    <w:rsid w:val="00146728"/>
    <w:rsid w:val="0019247E"/>
    <w:rsid w:val="00195892"/>
    <w:rsid w:val="001D6CE1"/>
    <w:rsid w:val="002D76C4"/>
    <w:rsid w:val="00343D06"/>
    <w:rsid w:val="003462E6"/>
    <w:rsid w:val="00363835"/>
    <w:rsid w:val="00366CEE"/>
    <w:rsid w:val="0037356D"/>
    <w:rsid w:val="003857C3"/>
    <w:rsid w:val="0039094C"/>
    <w:rsid w:val="00431839"/>
    <w:rsid w:val="004532F7"/>
    <w:rsid w:val="004B77F1"/>
    <w:rsid w:val="005A6102"/>
    <w:rsid w:val="005F53A5"/>
    <w:rsid w:val="00607D68"/>
    <w:rsid w:val="006173B0"/>
    <w:rsid w:val="0065216E"/>
    <w:rsid w:val="00654F04"/>
    <w:rsid w:val="00656AEE"/>
    <w:rsid w:val="006B22C3"/>
    <w:rsid w:val="006C347C"/>
    <w:rsid w:val="00715FEE"/>
    <w:rsid w:val="00766C81"/>
    <w:rsid w:val="007C0D3B"/>
    <w:rsid w:val="00812AA7"/>
    <w:rsid w:val="0084722D"/>
    <w:rsid w:val="00847DD5"/>
    <w:rsid w:val="008519BE"/>
    <w:rsid w:val="008978F3"/>
    <w:rsid w:val="008E5A61"/>
    <w:rsid w:val="009159AC"/>
    <w:rsid w:val="009556DF"/>
    <w:rsid w:val="00982220"/>
    <w:rsid w:val="009F01EA"/>
    <w:rsid w:val="00A31D93"/>
    <w:rsid w:val="00A6617B"/>
    <w:rsid w:val="00AB0DC8"/>
    <w:rsid w:val="00AC762C"/>
    <w:rsid w:val="00B1717A"/>
    <w:rsid w:val="00B44E24"/>
    <w:rsid w:val="00B738C1"/>
    <w:rsid w:val="00B87252"/>
    <w:rsid w:val="00BA710C"/>
    <w:rsid w:val="00BF7841"/>
    <w:rsid w:val="00C15E7B"/>
    <w:rsid w:val="00C430D4"/>
    <w:rsid w:val="00D052FC"/>
    <w:rsid w:val="00D42AE3"/>
    <w:rsid w:val="00D62884"/>
    <w:rsid w:val="00D93B36"/>
    <w:rsid w:val="00DC024D"/>
    <w:rsid w:val="00DF1B8B"/>
    <w:rsid w:val="00DF4176"/>
    <w:rsid w:val="00E3040B"/>
    <w:rsid w:val="00E5262C"/>
    <w:rsid w:val="00F0313A"/>
    <w:rsid w:val="00F317F6"/>
    <w:rsid w:val="00FB56BF"/>
    <w:rsid w:val="00FD0414"/>
    <w:rsid w:val="00FF3B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6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462E6"/>
    <w:pPr>
      <w:keepNext/>
      <w:keepLines/>
      <w:spacing w:before="480"/>
      <w:ind w:left="794" w:hanging="794"/>
      <w:outlineLvl w:val="0"/>
    </w:pPr>
    <w:rPr>
      <w:b/>
    </w:rPr>
  </w:style>
  <w:style w:type="paragraph" w:styleId="Heading2">
    <w:name w:val="heading 2"/>
    <w:basedOn w:val="Heading1"/>
    <w:next w:val="Normal"/>
    <w:qFormat/>
    <w:rsid w:val="003462E6"/>
    <w:pPr>
      <w:spacing w:before="320"/>
      <w:outlineLvl w:val="1"/>
    </w:pPr>
  </w:style>
  <w:style w:type="paragraph" w:styleId="Heading3">
    <w:name w:val="heading 3"/>
    <w:basedOn w:val="Heading1"/>
    <w:next w:val="Normal"/>
    <w:qFormat/>
    <w:rsid w:val="003462E6"/>
    <w:pPr>
      <w:spacing w:before="200"/>
      <w:outlineLvl w:val="2"/>
    </w:pPr>
  </w:style>
  <w:style w:type="paragraph" w:styleId="Heading4">
    <w:name w:val="heading 4"/>
    <w:basedOn w:val="Heading3"/>
    <w:next w:val="Normal"/>
    <w:qFormat/>
    <w:rsid w:val="003462E6"/>
    <w:pPr>
      <w:tabs>
        <w:tab w:val="clear" w:pos="794"/>
        <w:tab w:val="left" w:pos="992"/>
      </w:tabs>
      <w:ind w:left="992" w:hanging="992"/>
      <w:outlineLvl w:val="3"/>
    </w:pPr>
  </w:style>
  <w:style w:type="paragraph" w:styleId="Heading5">
    <w:name w:val="heading 5"/>
    <w:basedOn w:val="Heading4"/>
    <w:next w:val="Normal"/>
    <w:qFormat/>
    <w:rsid w:val="003462E6"/>
    <w:pPr>
      <w:outlineLvl w:val="4"/>
    </w:pPr>
  </w:style>
  <w:style w:type="paragraph" w:styleId="Heading6">
    <w:name w:val="heading 6"/>
    <w:basedOn w:val="Heading4"/>
    <w:next w:val="Normal"/>
    <w:qFormat/>
    <w:rsid w:val="003462E6"/>
    <w:pPr>
      <w:tabs>
        <w:tab w:val="clear" w:pos="992"/>
        <w:tab w:val="clear" w:pos="1191"/>
      </w:tabs>
      <w:ind w:left="1588" w:hanging="1588"/>
      <w:outlineLvl w:val="5"/>
    </w:pPr>
  </w:style>
  <w:style w:type="paragraph" w:styleId="Heading7">
    <w:name w:val="heading 7"/>
    <w:basedOn w:val="Heading6"/>
    <w:next w:val="Normal"/>
    <w:qFormat/>
    <w:rsid w:val="003462E6"/>
    <w:pPr>
      <w:outlineLvl w:val="6"/>
    </w:pPr>
  </w:style>
  <w:style w:type="paragraph" w:styleId="Heading8">
    <w:name w:val="heading 8"/>
    <w:basedOn w:val="Heading6"/>
    <w:next w:val="Normal"/>
    <w:qFormat/>
    <w:rsid w:val="003462E6"/>
    <w:pPr>
      <w:outlineLvl w:val="7"/>
    </w:pPr>
  </w:style>
  <w:style w:type="paragraph" w:styleId="Heading9">
    <w:name w:val="heading 9"/>
    <w:basedOn w:val="Heading6"/>
    <w:next w:val="Normal"/>
    <w:qFormat/>
    <w:rsid w:val="003462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462E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462E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462E6"/>
  </w:style>
  <w:style w:type="paragraph" w:customStyle="1" w:styleId="Headingb">
    <w:name w:val="Heading_b"/>
    <w:basedOn w:val="Heading3"/>
    <w:next w:val="Normal"/>
    <w:rsid w:val="003462E6"/>
    <w:pPr>
      <w:spacing w:before="160"/>
      <w:ind w:left="0" w:firstLine="0"/>
      <w:outlineLvl w:val="9"/>
    </w:pPr>
  </w:style>
  <w:style w:type="paragraph" w:customStyle="1" w:styleId="Headingi">
    <w:name w:val="Heading_i"/>
    <w:basedOn w:val="Heading3"/>
    <w:next w:val="Normal"/>
    <w:rsid w:val="003462E6"/>
    <w:pPr>
      <w:spacing w:before="160"/>
      <w:ind w:left="0" w:firstLine="0"/>
    </w:pPr>
    <w:rPr>
      <w:b w:val="0"/>
      <w:i/>
    </w:rPr>
  </w:style>
  <w:style w:type="character" w:customStyle="1" w:styleId="href">
    <w:name w:val="href"/>
    <w:basedOn w:val="DefaultParagraphFont"/>
    <w:rsid w:val="003462E6"/>
  </w:style>
  <w:style w:type="paragraph" w:customStyle="1" w:styleId="enumlev1">
    <w:name w:val="enumlev1"/>
    <w:basedOn w:val="Normal"/>
    <w:rsid w:val="003462E6"/>
    <w:pPr>
      <w:spacing w:before="80"/>
      <w:ind w:left="794" w:hanging="794"/>
    </w:pPr>
  </w:style>
  <w:style w:type="paragraph" w:customStyle="1" w:styleId="enumlev2">
    <w:name w:val="enumlev2"/>
    <w:basedOn w:val="enumlev1"/>
    <w:rsid w:val="003462E6"/>
    <w:pPr>
      <w:ind w:left="1191" w:hanging="397"/>
    </w:pPr>
  </w:style>
  <w:style w:type="paragraph" w:customStyle="1" w:styleId="enumlev3">
    <w:name w:val="enumlev3"/>
    <w:basedOn w:val="enumlev2"/>
    <w:rsid w:val="003462E6"/>
    <w:pPr>
      <w:ind w:left="1588"/>
    </w:pPr>
  </w:style>
  <w:style w:type="paragraph" w:customStyle="1" w:styleId="Normalaftertitle">
    <w:name w:val="Normal_after_title"/>
    <w:basedOn w:val="Normal"/>
    <w:next w:val="Normal"/>
    <w:rsid w:val="003462E6"/>
    <w:pPr>
      <w:spacing w:before="320"/>
    </w:pPr>
  </w:style>
  <w:style w:type="paragraph" w:customStyle="1" w:styleId="Note">
    <w:name w:val="Note"/>
    <w:basedOn w:val="Normal"/>
    <w:rsid w:val="003462E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462E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462E6"/>
    <w:pPr>
      <w:spacing w:before="240"/>
    </w:pPr>
    <w:rPr>
      <w:sz w:val="22"/>
      <w:lang w:val="es-ES_tradnl"/>
    </w:rPr>
  </w:style>
  <w:style w:type="paragraph" w:customStyle="1" w:styleId="Recref">
    <w:name w:val="Rec_ref"/>
    <w:basedOn w:val="Normal"/>
    <w:next w:val="Recdate"/>
    <w:rsid w:val="003462E6"/>
    <w:pPr>
      <w:jc w:val="center"/>
    </w:pPr>
  </w:style>
  <w:style w:type="paragraph" w:customStyle="1" w:styleId="Recdate">
    <w:name w:val="Rec_date"/>
    <w:basedOn w:val="Recref"/>
    <w:next w:val="Normalaftertitle"/>
    <w:rsid w:val="003462E6"/>
    <w:pPr>
      <w:jc w:val="right"/>
    </w:pPr>
  </w:style>
  <w:style w:type="paragraph" w:customStyle="1" w:styleId="AnnexNoTitle">
    <w:name w:val="Annex_NoTitle"/>
    <w:basedOn w:val="Normal"/>
    <w:next w:val="Normalaftertitle"/>
    <w:rsid w:val="003462E6"/>
    <w:pPr>
      <w:keepNext/>
      <w:keepLines/>
      <w:spacing w:before="480" w:after="80"/>
      <w:jc w:val="center"/>
    </w:pPr>
    <w:rPr>
      <w:b/>
      <w:sz w:val="28"/>
    </w:rPr>
  </w:style>
  <w:style w:type="paragraph" w:customStyle="1" w:styleId="AppendixNoTitle">
    <w:name w:val="Appendix_NoTitle"/>
    <w:basedOn w:val="AnnexNoTitle"/>
    <w:next w:val="Normal"/>
    <w:rsid w:val="003462E6"/>
  </w:style>
  <w:style w:type="paragraph" w:customStyle="1" w:styleId="Tablefin">
    <w:name w:val="Table_fin"/>
    <w:basedOn w:val="Normal"/>
    <w:next w:val="Normal"/>
    <w:rsid w:val="003462E6"/>
    <w:pPr>
      <w:spacing w:before="0"/>
    </w:pPr>
    <w:rPr>
      <w:sz w:val="20"/>
      <w:lang w:val="en-GB"/>
    </w:rPr>
  </w:style>
  <w:style w:type="paragraph" w:customStyle="1" w:styleId="Tablehead">
    <w:name w:val="Table_head"/>
    <w:basedOn w:val="Normal"/>
    <w:next w:val="Normal"/>
    <w:rsid w:val="003462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462E6"/>
    <w:pPr>
      <w:keepNext/>
      <w:spacing w:before="360" w:after="120"/>
      <w:jc w:val="center"/>
    </w:pPr>
  </w:style>
  <w:style w:type="paragraph" w:customStyle="1" w:styleId="Tabletext">
    <w:name w:val="Table_text"/>
    <w:basedOn w:val="Normal"/>
    <w:link w:val="TabletextChar"/>
    <w:rsid w:val="003462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462E6"/>
    <w:pPr>
      <w:tabs>
        <w:tab w:val="clear" w:pos="1191"/>
        <w:tab w:val="clear" w:pos="1588"/>
        <w:tab w:val="clear" w:pos="1985"/>
        <w:tab w:val="center" w:pos="4820"/>
        <w:tab w:val="right" w:pos="9639"/>
      </w:tabs>
    </w:pPr>
  </w:style>
  <w:style w:type="paragraph" w:customStyle="1" w:styleId="Equationlegend">
    <w:name w:val="Equation_legend"/>
    <w:basedOn w:val="NormalIndent"/>
    <w:rsid w:val="003462E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462E6"/>
    <w:pPr>
      <w:ind w:left="794"/>
    </w:pPr>
  </w:style>
  <w:style w:type="paragraph" w:customStyle="1" w:styleId="Figurelegend">
    <w:name w:val="Figure_legend"/>
    <w:basedOn w:val="Normal"/>
    <w:rsid w:val="003462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462E6"/>
    <w:pPr>
      <w:keepNext/>
      <w:keepLines/>
      <w:spacing w:before="480" w:after="80"/>
      <w:jc w:val="center"/>
    </w:pPr>
    <w:rPr>
      <w:caps/>
      <w:sz w:val="18"/>
    </w:rPr>
  </w:style>
  <w:style w:type="paragraph" w:customStyle="1" w:styleId="tocpart">
    <w:name w:val="tocpart"/>
    <w:basedOn w:val="Normal"/>
    <w:rsid w:val="003462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462E6"/>
    <w:pPr>
      <w:keepNext/>
      <w:keepLines/>
      <w:spacing w:before="480"/>
      <w:jc w:val="center"/>
    </w:pPr>
    <w:rPr>
      <w:sz w:val="28"/>
    </w:rPr>
  </w:style>
  <w:style w:type="paragraph" w:customStyle="1" w:styleId="Arttitle">
    <w:name w:val="Art_title"/>
    <w:basedOn w:val="Normal"/>
    <w:next w:val="Normalaftertitle"/>
    <w:rsid w:val="003462E6"/>
    <w:pPr>
      <w:keepNext/>
      <w:keepLines/>
      <w:spacing w:before="240"/>
      <w:jc w:val="center"/>
    </w:pPr>
    <w:rPr>
      <w:b/>
      <w:sz w:val="28"/>
    </w:rPr>
  </w:style>
  <w:style w:type="paragraph" w:customStyle="1" w:styleId="Blanc">
    <w:name w:val="Blanc"/>
    <w:basedOn w:val="Normal"/>
    <w:next w:val="Tabletext"/>
    <w:rsid w:val="003462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462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462E6"/>
    <w:pPr>
      <w:keepNext/>
      <w:keepLines/>
      <w:spacing w:before="160"/>
      <w:ind w:left="794"/>
    </w:pPr>
    <w:rPr>
      <w:i/>
    </w:rPr>
  </w:style>
  <w:style w:type="paragraph" w:customStyle="1" w:styleId="ChapNo">
    <w:name w:val="Chap_No"/>
    <w:basedOn w:val="ArtNo"/>
    <w:next w:val="Chaptitle"/>
    <w:rsid w:val="003462E6"/>
    <w:rPr>
      <w:b/>
    </w:rPr>
  </w:style>
  <w:style w:type="paragraph" w:customStyle="1" w:styleId="Chaptitle">
    <w:name w:val="Chap_title"/>
    <w:basedOn w:val="Arttitle"/>
    <w:next w:val="Normalaftertitle"/>
    <w:rsid w:val="003462E6"/>
  </w:style>
  <w:style w:type="character" w:styleId="FootnoteReference">
    <w:name w:val="footnote reference"/>
    <w:basedOn w:val="DefaultParagraphFont"/>
    <w:semiHidden/>
    <w:rsid w:val="003462E6"/>
    <w:rPr>
      <w:position w:val="6"/>
      <w:sz w:val="18"/>
    </w:rPr>
  </w:style>
  <w:style w:type="paragraph" w:styleId="FootnoteText">
    <w:name w:val="footnote text"/>
    <w:basedOn w:val="Normal"/>
    <w:semiHidden/>
    <w:rsid w:val="003462E6"/>
    <w:pPr>
      <w:keepLines/>
      <w:tabs>
        <w:tab w:val="left" w:pos="255"/>
      </w:tabs>
      <w:ind w:left="255" w:hanging="255"/>
    </w:pPr>
    <w:rPr>
      <w:sz w:val="22"/>
    </w:rPr>
  </w:style>
  <w:style w:type="paragraph" w:styleId="Index1">
    <w:name w:val="index 1"/>
    <w:basedOn w:val="Normal"/>
    <w:next w:val="Normal"/>
    <w:semiHidden/>
    <w:rsid w:val="003462E6"/>
  </w:style>
  <w:style w:type="paragraph" w:styleId="Index2">
    <w:name w:val="index 2"/>
    <w:basedOn w:val="Normal"/>
    <w:next w:val="Normal"/>
    <w:semiHidden/>
    <w:rsid w:val="003462E6"/>
    <w:pPr>
      <w:ind w:left="283"/>
    </w:pPr>
  </w:style>
  <w:style w:type="paragraph" w:styleId="Index3">
    <w:name w:val="index 3"/>
    <w:basedOn w:val="Normal"/>
    <w:next w:val="Normal"/>
    <w:semiHidden/>
    <w:rsid w:val="003462E6"/>
    <w:pPr>
      <w:ind w:left="566"/>
    </w:pPr>
  </w:style>
  <w:style w:type="paragraph" w:styleId="IndexHeading">
    <w:name w:val="index heading"/>
    <w:basedOn w:val="Normal"/>
    <w:next w:val="Index1"/>
    <w:semiHidden/>
    <w:rsid w:val="003462E6"/>
  </w:style>
  <w:style w:type="paragraph" w:customStyle="1" w:styleId="Line">
    <w:name w:val="Line"/>
    <w:basedOn w:val="Normal"/>
    <w:next w:val="Normal"/>
    <w:rsid w:val="003462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462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462E6"/>
  </w:style>
  <w:style w:type="paragraph" w:customStyle="1" w:styleId="Partref">
    <w:name w:val="Part_ref"/>
    <w:basedOn w:val="Normal"/>
    <w:next w:val="Normal"/>
    <w:rsid w:val="003462E6"/>
    <w:pPr>
      <w:keepNext/>
      <w:keepLines/>
      <w:spacing w:after="280"/>
      <w:jc w:val="center"/>
    </w:pPr>
  </w:style>
  <w:style w:type="paragraph" w:customStyle="1" w:styleId="Parttitle">
    <w:name w:val="Part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462E6"/>
  </w:style>
  <w:style w:type="paragraph" w:customStyle="1" w:styleId="QuestionNo">
    <w:name w:val="Question_No"/>
    <w:basedOn w:val="RecNo"/>
    <w:next w:val="Normal"/>
    <w:rsid w:val="003462E6"/>
  </w:style>
  <w:style w:type="paragraph" w:customStyle="1" w:styleId="Questionref">
    <w:name w:val="Question_ref"/>
    <w:basedOn w:val="Recref"/>
    <w:next w:val="Questiondate"/>
    <w:rsid w:val="003462E6"/>
  </w:style>
  <w:style w:type="paragraph" w:customStyle="1" w:styleId="Questiontitle">
    <w:name w:val="Question_title"/>
    <w:basedOn w:val="Normal"/>
    <w:next w:val="Questionref"/>
    <w:rsid w:val="003462E6"/>
  </w:style>
  <w:style w:type="paragraph" w:customStyle="1" w:styleId="Reftext">
    <w:name w:val="Ref_text"/>
    <w:basedOn w:val="Normal"/>
    <w:rsid w:val="003462E6"/>
    <w:pPr>
      <w:ind w:left="794" w:hanging="794"/>
    </w:pPr>
    <w:rPr>
      <w:sz w:val="22"/>
    </w:rPr>
  </w:style>
  <w:style w:type="paragraph" w:customStyle="1" w:styleId="Reftitle">
    <w:name w:val="Ref_title"/>
    <w:basedOn w:val="Normal"/>
    <w:next w:val="Reftext"/>
    <w:rsid w:val="003462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462E6"/>
  </w:style>
  <w:style w:type="paragraph" w:customStyle="1" w:styleId="RepNo">
    <w:name w:val="Rep_No"/>
    <w:basedOn w:val="RecNo"/>
    <w:next w:val="Reptitle"/>
    <w:rsid w:val="003462E6"/>
  </w:style>
  <w:style w:type="paragraph" w:customStyle="1" w:styleId="Repref">
    <w:name w:val="Rep_ref"/>
    <w:basedOn w:val="Recref"/>
    <w:next w:val="Repdate"/>
    <w:rsid w:val="003462E6"/>
  </w:style>
  <w:style w:type="paragraph" w:customStyle="1" w:styleId="Reptitle">
    <w:name w:val="Rep_title"/>
    <w:basedOn w:val="Rectitle"/>
    <w:next w:val="Repref"/>
    <w:rsid w:val="003462E6"/>
  </w:style>
  <w:style w:type="paragraph" w:customStyle="1" w:styleId="Resdate">
    <w:name w:val="Res_date"/>
    <w:basedOn w:val="Recdate"/>
    <w:next w:val="Normalaftertitle"/>
    <w:rsid w:val="003462E6"/>
  </w:style>
  <w:style w:type="paragraph" w:customStyle="1" w:styleId="ResNo">
    <w:name w:val="Res_No"/>
    <w:basedOn w:val="RecNo"/>
    <w:next w:val="Restitle"/>
    <w:rsid w:val="003462E6"/>
  </w:style>
  <w:style w:type="paragraph" w:customStyle="1" w:styleId="Resref">
    <w:name w:val="Res_ref"/>
    <w:basedOn w:val="Recref"/>
    <w:next w:val="Resdate"/>
    <w:rsid w:val="003462E6"/>
  </w:style>
  <w:style w:type="paragraph" w:customStyle="1" w:styleId="Restitle">
    <w:name w:val="Res_title"/>
    <w:basedOn w:val="Normal"/>
    <w:next w:val="Resref"/>
    <w:rsid w:val="003462E6"/>
    <w:pPr>
      <w:spacing w:before="240"/>
      <w:jc w:val="center"/>
    </w:pPr>
    <w:rPr>
      <w:b/>
      <w:sz w:val="28"/>
    </w:rPr>
  </w:style>
  <w:style w:type="paragraph" w:customStyle="1" w:styleId="SectionNo">
    <w:name w:val="Section_No"/>
    <w:basedOn w:val="Normal"/>
    <w:next w:val="Normal"/>
    <w:rsid w:val="003462E6"/>
  </w:style>
  <w:style w:type="paragraph" w:customStyle="1" w:styleId="Sectiontitle">
    <w:name w:val="Section_title"/>
    <w:basedOn w:val="Normal"/>
    <w:next w:val="Normalaftertitle"/>
    <w:rsid w:val="003462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462E6"/>
    <w:pPr>
      <w:tabs>
        <w:tab w:val="clear" w:pos="794"/>
        <w:tab w:val="clear" w:pos="1191"/>
        <w:tab w:val="clear" w:pos="1588"/>
        <w:tab w:val="clear" w:pos="1985"/>
        <w:tab w:val="right" w:pos="9611"/>
      </w:tabs>
    </w:pPr>
    <w:rPr>
      <w:i/>
    </w:rPr>
  </w:style>
  <w:style w:type="paragraph" w:styleId="TOC1">
    <w:name w:val="toc 1"/>
    <w:basedOn w:val="Normal"/>
    <w:semiHidden/>
    <w:rsid w:val="003462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462E6"/>
    <w:pPr>
      <w:tabs>
        <w:tab w:val="clear" w:pos="567"/>
        <w:tab w:val="left" w:pos="1276"/>
      </w:tabs>
      <w:spacing w:before="160"/>
      <w:ind w:left="1276" w:hanging="709"/>
    </w:pPr>
  </w:style>
  <w:style w:type="paragraph" w:styleId="TOC3">
    <w:name w:val="toc 3"/>
    <w:basedOn w:val="TOC2"/>
    <w:semiHidden/>
    <w:rsid w:val="003462E6"/>
    <w:pPr>
      <w:tabs>
        <w:tab w:val="clear" w:pos="1276"/>
        <w:tab w:val="left" w:pos="2155"/>
      </w:tabs>
      <w:ind w:left="2155" w:hanging="879"/>
    </w:pPr>
  </w:style>
  <w:style w:type="paragraph" w:styleId="TOC4">
    <w:name w:val="toc 4"/>
    <w:basedOn w:val="TOC3"/>
    <w:semiHidden/>
    <w:rsid w:val="003462E6"/>
    <w:pPr>
      <w:tabs>
        <w:tab w:val="left" w:pos="3261"/>
      </w:tabs>
      <w:spacing w:before="80"/>
      <w:ind w:left="3261" w:hanging="993"/>
    </w:pPr>
  </w:style>
  <w:style w:type="paragraph" w:styleId="TOC5">
    <w:name w:val="toc 5"/>
    <w:basedOn w:val="TOC4"/>
    <w:semiHidden/>
    <w:rsid w:val="003462E6"/>
  </w:style>
  <w:style w:type="paragraph" w:styleId="TOC6">
    <w:name w:val="toc 6"/>
    <w:basedOn w:val="TOC4"/>
    <w:semiHidden/>
    <w:rsid w:val="003462E6"/>
  </w:style>
  <w:style w:type="paragraph" w:styleId="TOC7">
    <w:name w:val="toc 7"/>
    <w:basedOn w:val="TOC4"/>
    <w:semiHidden/>
    <w:rsid w:val="003462E6"/>
  </w:style>
  <w:style w:type="paragraph" w:styleId="TOC8">
    <w:name w:val="toc 8"/>
    <w:basedOn w:val="TOC4"/>
    <w:semiHidden/>
    <w:rsid w:val="003462E6"/>
  </w:style>
  <w:style w:type="paragraph" w:customStyle="1" w:styleId="Rectitle">
    <w:name w:val="Rec_title"/>
    <w:basedOn w:val="Normal"/>
    <w:next w:val="Recref"/>
    <w:rsid w:val="003462E6"/>
    <w:pPr>
      <w:keepNext/>
      <w:keepLines/>
      <w:spacing w:before="240"/>
      <w:jc w:val="center"/>
    </w:pPr>
    <w:rPr>
      <w:b/>
      <w:sz w:val="28"/>
    </w:rPr>
  </w:style>
  <w:style w:type="paragraph" w:customStyle="1" w:styleId="Annexref">
    <w:name w:val="Annex_ref"/>
    <w:basedOn w:val="Normal"/>
    <w:next w:val="Normalaftertitle"/>
    <w:rsid w:val="003462E6"/>
    <w:pPr>
      <w:keepNext/>
      <w:keepLines/>
      <w:spacing w:after="280"/>
      <w:jc w:val="center"/>
    </w:pPr>
  </w:style>
  <w:style w:type="paragraph" w:customStyle="1" w:styleId="Appendixref">
    <w:name w:val="Appendix_ref"/>
    <w:basedOn w:val="Annexref"/>
    <w:next w:val="Normalaftertitle"/>
    <w:rsid w:val="003462E6"/>
  </w:style>
  <w:style w:type="paragraph" w:customStyle="1" w:styleId="Figuretitle">
    <w:name w:val="Figure_title"/>
    <w:basedOn w:val="Normal"/>
    <w:next w:val="Figure"/>
    <w:rsid w:val="003462E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462E6"/>
    <w:pPr>
      <w:keepNext/>
      <w:spacing w:before="0" w:after="120"/>
      <w:jc w:val="center"/>
    </w:pPr>
    <w:rPr>
      <w:b/>
    </w:rPr>
  </w:style>
  <w:style w:type="paragraph" w:customStyle="1" w:styleId="Summary">
    <w:name w:val="Summary"/>
    <w:basedOn w:val="Normal"/>
    <w:next w:val="Normalaftertitle"/>
    <w:autoRedefine/>
    <w:rsid w:val="003462E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3462E6"/>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3462E6"/>
    <w:pPr>
      <w:ind w:left="-85" w:firstLine="0"/>
    </w:pPr>
    <w:rPr>
      <w:lang w:val="en-US"/>
    </w:rPr>
  </w:style>
  <w:style w:type="paragraph" w:customStyle="1" w:styleId="AnnexTitle">
    <w:name w:val="Annex_Title"/>
    <w:basedOn w:val="Normal"/>
    <w:next w:val="Normalaftertitle0"/>
    <w:rsid w:val="003462E6"/>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Title0">
    <w:name w:val="Rec_Title"/>
    <w:basedOn w:val="Normal"/>
    <w:next w:val="RecTitleRef"/>
    <w:rsid w:val="003462E6"/>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Normalaftertitle0">
    <w:name w:val="Normal after title"/>
    <w:basedOn w:val="Normal"/>
    <w:next w:val="Normal"/>
    <w:rsid w:val="003462E6"/>
    <w:pPr>
      <w:spacing w:before="480"/>
    </w:pPr>
    <w:rPr>
      <w:sz w:val="20"/>
      <w:lang w:val="en-GB"/>
    </w:rPr>
  </w:style>
  <w:style w:type="paragraph" w:customStyle="1" w:styleId="call0">
    <w:name w:val="call"/>
    <w:basedOn w:val="Normal"/>
    <w:next w:val="Normal"/>
    <w:rsid w:val="003462E6"/>
    <w:pPr>
      <w:keepNext/>
      <w:keepLines/>
      <w:tabs>
        <w:tab w:val="clear" w:pos="1191"/>
        <w:tab w:val="clear" w:pos="1588"/>
        <w:tab w:val="clear" w:pos="1985"/>
      </w:tabs>
      <w:spacing w:before="227"/>
      <w:ind w:left="794"/>
      <w:jc w:val="left"/>
    </w:pPr>
    <w:rPr>
      <w:i/>
      <w:sz w:val="20"/>
      <w:lang w:val="en-GB"/>
    </w:rPr>
  </w:style>
  <w:style w:type="paragraph" w:customStyle="1" w:styleId="RecTitleRef">
    <w:name w:val="Rec_Title/Ref"/>
    <w:basedOn w:val="RecTitle0"/>
    <w:next w:val="RecTitleDate"/>
    <w:rsid w:val="003462E6"/>
    <w:pPr>
      <w:spacing w:before="136"/>
    </w:pPr>
    <w:rPr>
      <w:b w:val="0"/>
    </w:rPr>
  </w:style>
  <w:style w:type="paragraph" w:customStyle="1" w:styleId="RecTitleDate">
    <w:name w:val="Rec_Title/Date"/>
    <w:basedOn w:val="RecTitleRef"/>
    <w:next w:val="headfoot"/>
    <w:rsid w:val="003462E6"/>
    <w:pPr>
      <w:tabs>
        <w:tab w:val="clear" w:pos="4849"/>
      </w:tabs>
      <w:jc w:val="right"/>
    </w:pPr>
  </w:style>
  <w:style w:type="paragraph" w:customStyle="1" w:styleId="headfoot">
    <w:name w:val="head_foot"/>
    <w:basedOn w:val="Normal"/>
    <w:next w:val="Normalaftertitle0"/>
    <w:rsid w:val="003462E6"/>
    <w:pPr>
      <w:tabs>
        <w:tab w:val="clear" w:pos="794"/>
        <w:tab w:val="clear" w:pos="1191"/>
        <w:tab w:val="clear" w:pos="1588"/>
        <w:tab w:val="clear" w:pos="1985"/>
      </w:tabs>
      <w:spacing w:before="0"/>
    </w:pPr>
    <w:rPr>
      <w:b/>
      <w:color w:val="FFFFFF"/>
      <w:sz w:val="8"/>
      <w:lang w:val="en-GB"/>
    </w:rPr>
  </w:style>
  <w:style w:type="character" w:customStyle="1" w:styleId="TabletextChar">
    <w:name w:val="Table_text Char"/>
    <w:basedOn w:val="DefaultParagraphFont"/>
    <w:link w:val="Tabletext"/>
    <w:locked/>
    <w:rsid w:val="003462E6"/>
    <w:rPr>
      <w:sz w:val="22"/>
      <w:lang w:val="fr-FR" w:eastAsia="en-US"/>
    </w:rPr>
  </w:style>
  <w:style w:type="paragraph" w:customStyle="1" w:styleId="Reasons">
    <w:name w:val="Reasons"/>
    <w:basedOn w:val="Normal"/>
    <w:qFormat/>
    <w:rsid w:val="003462E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UnresolvedMention">
    <w:name w:val="Unresolved Mention"/>
    <w:basedOn w:val="DefaultParagraphFont"/>
    <w:uiPriority w:val="99"/>
    <w:semiHidden/>
    <w:unhideWhenUsed/>
    <w:rsid w:val="0019247E"/>
    <w:rPr>
      <w:color w:val="605E5C"/>
      <w:shd w:val="clear" w:color="auto" w:fill="E1DFDD"/>
    </w:rPr>
  </w:style>
  <w:style w:type="paragraph" w:styleId="Revision">
    <w:name w:val="Revision"/>
    <w:hidden/>
    <w:uiPriority w:val="99"/>
    <w:semiHidden/>
    <w:rsid w:val="0019247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P.841/e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3</Pages>
  <Words>732</Words>
  <Characters>4217</Characters>
  <Application>Microsoft Office Word</Application>
  <DocSecurity>0</DocSecurity>
  <Lines>132</Lines>
  <Paragraphs>68</Paragraphs>
  <ScaleCrop>false</ScaleCrop>
  <HeadingPairs>
    <vt:vector size="2" baseType="variant">
      <vt:variant>
        <vt:lpstr>Title</vt:lpstr>
      </vt:variant>
      <vt:variant>
        <vt:i4>1</vt:i4>
      </vt:variant>
    </vt:vector>
  </HeadingPairs>
  <TitlesOfParts>
    <vt:vector size="1" baseType="lpstr">
      <vt:lpstr>RECOMENDACIÓN  UIT-R  P.581-3 - Noción de «mes más desfavorable»</vt:lpstr>
    </vt:vector>
  </TitlesOfParts>
  <Manager/>
  <Company>ITU</Company>
  <LinksUpToDate>false</LinksUpToDate>
  <CharactersWithSpaces>4885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P.581-3 - Noción de «mes más desfavorable»</dc:title>
  <dc:subject>Serie P = Propagación de las ondas radioeléctricas</dc:subject>
  <dc:creator>Oficina de Radiocomunicaciones del UIT (BR)</dc:creator>
  <cp:keywords>P,581-3</cp:keywords>
  <dc:description>Saez, 30.01.2023, ITU51013874</dc:description>
  <cp:lastModifiedBy>Saez Grau, Ricardo</cp:lastModifiedBy>
  <cp:revision>8</cp:revision>
  <cp:lastPrinted>2023-01-30T15:20:00Z</cp:lastPrinted>
  <dcterms:created xsi:type="dcterms:W3CDTF">2023-01-30T15:06:00Z</dcterms:created>
  <dcterms:modified xsi:type="dcterms:W3CDTF">2023-01-30T15:20:00Z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03 March 2021</vt:lpwstr>
  </property>
</Properties>
</file>