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1581" w14:textId="77777777" w:rsidR="000A5896" w:rsidRDefault="000A5896">
      <w:pPr>
        <w:rPr>
          <w:lang w:eastAsia="zh-CN"/>
        </w:rPr>
      </w:pPr>
      <w:bookmarkStart w:id="0" w:name="_Hlk79686582"/>
      <w:bookmarkStart w:id="1" w:name="c2tope"/>
      <w:bookmarkEnd w:id="0"/>
      <w:bookmarkEnd w:id="1"/>
    </w:p>
    <w:p w14:paraId="290ECDE8" w14:textId="77777777" w:rsidR="000A5896" w:rsidRDefault="000A5896"/>
    <w:p w14:paraId="37FE012B" w14:textId="77777777" w:rsidR="000A5896" w:rsidRDefault="000A5896"/>
    <w:p w14:paraId="267F97D4" w14:textId="77777777" w:rsidR="000A5896" w:rsidRDefault="000A5896"/>
    <w:p w14:paraId="07F06541" w14:textId="77777777" w:rsidR="000A5896" w:rsidRDefault="000A5896"/>
    <w:p w14:paraId="2C691BCC" w14:textId="77777777" w:rsidR="000A5896" w:rsidRDefault="000A5896"/>
    <w:p w14:paraId="575C28E4" w14:textId="77777777" w:rsidR="000A5896" w:rsidRDefault="000A5896"/>
    <w:p w14:paraId="05998D1F" w14:textId="77777777" w:rsidR="000A5896" w:rsidRDefault="000A5896"/>
    <w:p w14:paraId="6EC78D04" w14:textId="77777777" w:rsidR="000A5896" w:rsidRDefault="000A5896"/>
    <w:p w14:paraId="7879B97A" w14:textId="77777777" w:rsidR="000A5896" w:rsidRDefault="000A5896"/>
    <w:p w14:paraId="70CD743B" w14:textId="77777777" w:rsidR="000A5896" w:rsidRDefault="000A5896"/>
    <w:p w14:paraId="14F0DF77" w14:textId="77777777" w:rsidR="000A5896" w:rsidRDefault="000A5896"/>
    <w:tbl>
      <w:tblPr>
        <w:tblW w:w="10089" w:type="dxa"/>
        <w:tblLook w:val="04A0" w:firstRow="1" w:lastRow="0" w:firstColumn="1" w:lastColumn="0" w:noHBand="0" w:noVBand="1"/>
      </w:tblPr>
      <w:tblGrid>
        <w:gridCol w:w="10089"/>
      </w:tblGrid>
      <w:tr w:rsidR="000A5896" w14:paraId="034610FA" w14:textId="77777777">
        <w:tc>
          <w:tcPr>
            <w:tcW w:w="10089" w:type="dxa"/>
          </w:tcPr>
          <w:p w14:paraId="77B99E96" w14:textId="77777777" w:rsidR="000A5896" w:rsidRDefault="000A5896">
            <w:pPr>
              <w:spacing w:before="380" w:line="280" w:lineRule="exact"/>
              <w:jc w:val="right"/>
              <w:rPr>
                <w:rFonts w:ascii="Tahoma" w:hAnsi="Tahoma" w:cs="Tahoma"/>
                <w:b/>
                <w:bCs/>
                <w:iCs/>
                <w:color w:val="243285"/>
                <w:sz w:val="32"/>
                <w:szCs w:val="32"/>
                <w:lang w:val="en-US"/>
              </w:rPr>
            </w:pPr>
          </w:p>
          <w:p w14:paraId="2705CFD6" w14:textId="77777777" w:rsidR="000A5896" w:rsidRDefault="00BA699F">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 xml:space="preserve">ITU-R  </w:t>
            </w:r>
            <w:r>
              <w:rPr>
                <w:rFonts w:ascii="Tahoma" w:hAnsi="Tahoma" w:cs="Tahoma"/>
                <w:b/>
                <w:bCs/>
                <w:iCs/>
                <w:color w:val="243285"/>
                <w:sz w:val="36"/>
                <w:szCs w:val="36"/>
                <w:lang w:val="en-GB"/>
              </w:rPr>
              <w:t>P.581-3</w:t>
            </w:r>
            <w:r>
              <w:rPr>
                <w:rFonts w:ascii="SimHei" w:eastAsia="SimHei" w:hAnsi="Tahoma" w:cs="Tahoma" w:hint="eastAsia"/>
                <w:b/>
                <w:bCs/>
                <w:iCs/>
                <w:color w:val="243285"/>
                <w:sz w:val="36"/>
                <w:szCs w:val="36"/>
                <w:lang w:eastAsia="zh-CN"/>
              </w:rPr>
              <w:t>建议书</w:t>
            </w:r>
          </w:p>
          <w:p w14:paraId="25031B96" w14:textId="77777777" w:rsidR="000A5896" w:rsidRDefault="00BA699F">
            <w:pPr>
              <w:spacing w:before="80" w:line="280" w:lineRule="exact"/>
              <w:jc w:val="right"/>
              <w:rPr>
                <w:rFonts w:ascii="Tahoma" w:hAnsi="Tahoma" w:cs="Tahoma"/>
                <w:b/>
                <w:bCs/>
                <w:iCs/>
                <w:color w:val="243285"/>
                <w:lang w:eastAsia="zh-CN"/>
              </w:rPr>
            </w:pPr>
            <w:r>
              <w:rPr>
                <w:rFonts w:ascii="Tahoma" w:hAnsi="Tahoma" w:cs="Tahoma" w:hint="eastAsia"/>
                <w:b/>
                <w:bCs/>
                <w:iCs/>
                <w:color w:val="243285"/>
                <w:szCs w:val="24"/>
                <w:lang w:val="en-GB" w:eastAsia="zh-CN"/>
              </w:rPr>
              <w:t>（</w:t>
            </w:r>
            <w:r>
              <w:rPr>
                <w:rFonts w:ascii="Tahoma" w:hAnsi="Tahoma" w:cs="Tahoma"/>
                <w:b/>
                <w:bCs/>
                <w:iCs/>
                <w:color w:val="243285"/>
                <w:szCs w:val="24"/>
                <w:lang w:val="en-GB"/>
              </w:rPr>
              <w:t>0</w:t>
            </w:r>
            <w:r>
              <w:rPr>
                <w:rFonts w:ascii="Tahoma" w:hAnsi="Tahoma" w:cs="Tahoma" w:hint="eastAsia"/>
                <w:b/>
                <w:bCs/>
                <w:iCs/>
                <w:color w:val="243285"/>
                <w:szCs w:val="24"/>
                <w:lang w:val="en-US" w:eastAsia="zh-CN"/>
              </w:rPr>
              <w:t>8</w:t>
            </w:r>
            <w:r>
              <w:rPr>
                <w:rFonts w:ascii="Tahoma" w:hAnsi="Tahoma" w:cs="Tahoma"/>
                <w:b/>
                <w:bCs/>
                <w:iCs/>
                <w:color w:val="243285"/>
                <w:szCs w:val="24"/>
                <w:lang w:val="en-GB"/>
              </w:rPr>
              <w:t>/2022</w:t>
            </w:r>
            <w:r>
              <w:rPr>
                <w:rFonts w:ascii="Tahoma" w:hAnsi="Tahoma" w:cs="Tahoma" w:hint="eastAsia"/>
                <w:b/>
                <w:bCs/>
                <w:iCs/>
                <w:color w:val="243285"/>
                <w:szCs w:val="24"/>
                <w:lang w:val="en-GB" w:eastAsia="zh-CN"/>
              </w:rPr>
              <w:t>）</w:t>
            </w:r>
          </w:p>
        </w:tc>
      </w:tr>
      <w:tr w:rsidR="000A5896" w14:paraId="252CA996" w14:textId="77777777">
        <w:tc>
          <w:tcPr>
            <w:tcW w:w="10089" w:type="dxa"/>
          </w:tcPr>
          <w:p w14:paraId="3206053D" w14:textId="77777777" w:rsidR="000A5896" w:rsidRDefault="000A5896">
            <w:pPr>
              <w:spacing w:before="80" w:line="500" w:lineRule="exact"/>
              <w:jc w:val="right"/>
              <w:rPr>
                <w:rFonts w:ascii="Tahoma" w:hAnsi="Tahoma" w:cs="Tahoma"/>
                <w:b/>
                <w:bCs/>
                <w:iCs/>
                <w:color w:val="243285"/>
                <w:sz w:val="44"/>
                <w:szCs w:val="44"/>
                <w:lang w:eastAsia="zh-CN"/>
              </w:rPr>
            </w:pPr>
          </w:p>
          <w:p w14:paraId="2C03B467" w14:textId="77777777" w:rsidR="000A5896" w:rsidRDefault="00BA699F">
            <w:pPr>
              <w:spacing w:before="80" w:line="500" w:lineRule="exact"/>
              <w:jc w:val="right"/>
              <w:rPr>
                <w:rFonts w:ascii="Tahoma" w:hAnsi="Tahoma" w:cs="Tahoma"/>
                <w:b/>
                <w:bCs/>
                <w:iCs/>
                <w:color w:val="243285"/>
                <w:sz w:val="44"/>
                <w:szCs w:val="44"/>
                <w:lang w:val="en-US" w:eastAsia="zh-CN"/>
              </w:rPr>
            </w:pPr>
            <w:r>
              <w:rPr>
                <w:rFonts w:ascii="Tahoma" w:eastAsia="SimHei" w:hAnsi="Tahoma" w:cs="Tahoma" w:hint="eastAsia"/>
                <w:b/>
                <w:bCs/>
                <w:color w:val="243285"/>
                <w:sz w:val="44"/>
                <w:szCs w:val="44"/>
                <w:lang w:val="en-US" w:eastAsia="zh-CN"/>
              </w:rPr>
              <w:t>“最差月份”的概念</w:t>
            </w:r>
            <w:r>
              <w:rPr>
                <w:rFonts w:ascii="Tahoma" w:hAnsi="Tahoma" w:cs="Tahoma"/>
                <w:b/>
                <w:bCs/>
                <w:iCs/>
                <w:color w:val="243285"/>
                <w:sz w:val="44"/>
                <w:szCs w:val="44"/>
                <w:lang w:val="en-US" w:eastAsia="zh-CN"/>
              </w:rPr>
              <w:t xml:space="preserve"> </w:t>
            </w:r>
          </w:p>
        </w:tc>
      </w:tr>
      <w:tr w:rsidR="000A5896" w14:paraId="148D3604" w14:textId="77777777">
        <w:tc>
          <w:tcPr>
            <w:tcW w:w="10089" w:type="dxa"/>
          </w:tcPr>
          <w:p w14:paraId="3D72B4FC" w14:textId="77777777" w:rsidR="000A5896" w:rsidRDefault="000A5896">
            <w:pPr>
              <w:spacing w:before="80" w:line="280" w:lineRule="exact"/>
              <w:ind w:right="640"/>
              <w:rPr>
                <w:rFonts w:ascii="Tahoma" w:hAnsi="Tahoma" w:cs="Tahoma"/>
                <w:b/>
                <w:bCs/>
                <w:iCs/>
                <w:color w:val="243285"/>
                <w:sz w:val="32"/>
                <w:szCs w:val="32"/>
                <w:lang w:val="en-US" w:eastAsia="zh-CN"/>
              </w:rPr>
            </w:pPr>
          </w:p>
          <w:p w14:paraId="74960B0C" w14:textId="77777777" w:rsidR="000A5896" w:rsidRDefault="000A5896">
            <w:pPr>
              <w:spacing w:before="80" w:line="280" w:lineRule="exact"/>
              <w:ind w:right="640"/>
              <w:rPr>
                <w:rFonts w:ascii="Tahoma" w:hAnsi="Tahoma" w:cs="Tahoma"/>
                <w:b/>
                <w:bCs/>
                <w:iCs/>
                <w:color w:val="243285"/>
                <w:sz w:val="32"/>
                <w:szCs w:val="32"/>
                <w:lang w:val="en-US" w:eastAsia="zh-CN"/>
              </w:rPr>
            </w:pPr>
          </w:p>
          <w:p w14:paraId="3B32D3F4" w14:textId="77777777" w:rsidR="000A5896" w:rsidRDefault="000A5896">
            <w:pPr>
              <w:spacing w:before="80" w:after="180" w:line="360" w:lineRule="exact"/>
              <w:ind w:right="720"/>
              <w:rPr>
                <w:rFonts w:ascii="Tahoma" w:hAnsi="Tahoma" w:cs="Tahoma"/>
                <w:b/>
                <w:bCs/>
                <w:iCs/>
                <w:color w:val="243285"/>
                <w:sz w:val="36"/>
                <w:szCs w:val="36"/>
                <w:lang w:val="en-US" w:eastAsia="zh-CN"/>
              </w:rPr>
            </w:pPr>
          </w:p>
          <w:p w14:paraId="27FA1694" w14:textId="77777777" w:rsidR="000A5896" w:rsidRDefault="00BA699F">
            <w:pPr>
              <w:spacing w:before="80" w:after="180" w:line="360" w:lineRule="exact"/>
              <w:jc w:val="right"/>
              <w:rPr>
                <w:rFonts w:ascii="Tahoma" w:hAnsi="Tahoma" w:cs="Tahoma"/>
                <w:b/>
                <w:bCs/>
                <w:iCs/>
                <w:color w:val="243285"/>
                <w:sz w:val="36"/>
                <w:szCs w:val="36"/>
                <w:highlight w:val="yellow"/>
                <w:lang w:val="en-GB"/>
              </w:rPr>
            </w:pPr>
            <w:r>
              <w:rPr>
                <w:rFonts w:ascii="Tahoma" w:hAnsi="Tahoma" w:cs="Tahoma"/>
                <w:b/>
                <w:bCs/>
                <w:iCs/>
                <w:color w:val="243285"/>
                <w:sz w:val="36"/>
                <w:szCs w:val="36"/>
                <w:lang w:eastAsia="zh-CN"/>
              </w:rPr>
              <w:t xml:space="preserve">P </w:t>
            </w:r>
            <w:r>
              <w:rPr>
                <w:rFonts w:ascii="SimHei" w:eastAsia="SimHei" w:hAnsi="Tahoma" w:cs="Tahoma" w:hint="eastAsia"/>
                <w:b/>
                <w:bCs/>
                <w:iCs/>
                <w:color w:val="243285"/>
                <w:sz w:val="36"/>
                <w:szCs w:val="36"/>
                <w:lang w:eastAsia="zh-CN"/>
              </w:rPr>
              <w:t>系列</w:t>
            </w:r>
          </w:p>
          <w:p w14:paraId="4040E490" w14:textId="77777777" w:rsidR="000A5896" w:rsidRDefault="00BA699F">
            <w:pPr>
              <w:spacing w:before="80" w:after="1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eastAsia="zh-CN"/>
              </w:rPr>
              <w:t>无线电波传播</w:t>
            </w:r>
          </w:p>
        </w:tc>
      </w:tr>
    </w:tbl>
    <w:p w14:paraId="085DF8CB" w14:textId="77777777" w:rsidR="000A5896" w:rsidRDefault="000A5896">
      <w:pPr>
        <w:spacing w:before="80"/>
        <w:rPr>
          <w:i/>
          <w:sz w:val="22"/>
          <w:lang w:val="en-US" w:eastAsia="zh-CN"/>
        </w:rPr>
      </w:pPr>
    </w:p>
    <w:p w14:paraId="181E4636" w14:textId="77777777" w:rsidR="000A5896" w:rsidRDefault="000A5896">
      <w:pPr>
        <w:spacing w:before="80"/>
        <w:rPr>
          <w:i/>
          <w:sz w:val="22"/>
          <w:lang w:val="en-US" w:eastAsia="zh-CN"/>
        </w:rPr>
      </w:pPr>
    </w:p>
    <w:p w14:paraId="5C783D83" w14:textId="77777777" w:rsidR="000A5896" w:rsidRDefault="000A5896">
      <w:pPr>
        <w:spacing w:before="80"/>
        <w:rPr>
          <w:i/>
          <w:sz w:val="22"/>
          <w:lang w:val="en-US" w:eastAsia="zh-CN"/>
        </w:rPr>
      </w:pPr>
    </w:p>
    <w:p w14:paraId="0BDCB7C4" w14:textId="77777777" w:rsidR="000A5896" w:rsidRDefault="000A5896">
      <w:pPr>
        <w:spacing w:before="80"/>
        <w:rPr>
          <w:i/>
          <w:sz w:val="22"/>
          <w:lang w:val="en-US" w:eastAsia="zh-CN"/>
        </w:rPr>
      </w:pPr>
    </w:p>
    <w:p w14:paraId="2D828045" w14:textId="77777777" w:rsidR="000A5896" w:rsidRDefault="000A5896">
      <w:pPr>
        <w:spacing w:before="240"/>
        <w:rPr>
          <w:lang w:val="en-US" w:eastAsia="zh-CN"/>
        </w:rPr>
        <w:sectPr w:rsidR="000A5896">
          <w:headerReference w:type="even" r:id="rId8"/>
          <w:headerReference w:type="default" r:id="rId9"/>
          <w:headerReference w:type="first" r:id="rId10"/>
          <w:pgSz w:w="11907" w:h="16834"/>
          <w:pgMar w:top="1089" w:right="1089" w:bottom="284" w:left="1089" w:header="567" w:footer="284" w:gutter="0"/>
          <w:paperSrc w:first="15" w:other="15"/>
          <w:cols w:space="720"/>
        </w:sectPr>
      </w:pPr>
    </w:p>
    <w:p w14:paraId="5877DBB4" w14:textId="77777777" w:rsidR="000A5896" w:rsidRDefault="00BA699F" w:rsidP="007A7AA2">
      <w:pPr>
        <w:pStyle w:val="Heading1"/>
        <w:spacing w:before="240"/>
        <w:jc w:val="center"/>
        <w:rPr>
          <w:b w:val="0"/>
          <w:bCs/>
          <w:lang w:val="en-US"/>
        </w:rPr>
      </w:pPr>
      <w:proofErr w:type="spellStart"/>
      <w:r>
        <w:rPr>
          <w:rFonts w:hint="eastAsia"/>
          <w:bCs/>
          <w:lang w:val="en-US"/>
        </w:rPr>
        <w:lastRenderedPageBreak/>
        <w:t>前言</w:t>
      </w:r>
      <w:proofErr w:type="spellEnd"/>
    </w:p>
    <w:p w14:paraId="09347BB5" w14:textId="77777777" w:rsidR="000A5896" w:rsidRDefault="00BA699F">
      <w:pPr>
        <w:spacing w:before="240"/>
        <w:ind w:firstLineChars="200" w:firstLine="400"/>
        <w:rPr>
          <w:rFonts w:eastAsiaTheme="minorEastAsia"/>
          <w:sz w:val="20"/>
          <w:lang w:val="en-US" w:eastAsia="zh-CN"/>
        </w:rPr>
      </w:pPr>
      <w:r>
        <w:rPr>
          <w:rFonts w:eastAsiaTheme="minorEastAsia"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3D7A9723" w14:textId="77777777" w:rsidR="000A5896" w:rsidRDefault="00BA699F">
      <w:pPr>
        <w:ind w:firstLineChars="200" w:firstLine="400"/>
        <w:rPr>
          <w:rFonts w:eastAsiaTheme="minorEastAsia"/>
          <w:sz w:val="20"/>
          <w:lang w:val="en-US" w:eastAsia="zh-CN"/>
        </w:rPr>
      </w:pPr>
      <w:r>
        <w:rPr>
          <w:rFonts w:eastAsiaTheme="minorEastAsia" w:hint="eastAsia"/>
          <w:sz w:val="20"/>
          <w:lang w:val="en-US" w:eastAsia="zh-CN"/>
        </w:rPr>
        <w:t>无线电通信部门的规则和政策职能由世界和区域无线电通信大会以及无线电通信全会在研究组的支持下履行。</w:t>
      </w:r>
    </w:p>
    <w:p w14:paraId="2304DF07" w14:textId="77777777" w:rsidR="000A5896" w:rsidRDefault="00BA699F" w:rsidP="007A7AA2">
      <w:pPr>
        <w:pStyle w:val="Heading1"/>
        <w:jc w:val="center"/>
        <w:rPr>
          <w:lang w:val="en-US" w:eastAsia="zh-CN"/>
        </w:rPr>
      </w:pPr>
      <w:r>
        <w:rPr>
          <w:rFonts w:hint="eastAsia"/>
          <w:lang w:val="en-US" w:eastAsia="zh-CN"/>
        </w:rPr>
        <w:t>知识产权政策（</w:t>
      </w:r>
      <w:r>
        <w:rPr>
          <w:lang w:val="en-US" w:eastAsia="zh-CN"/>
        </w:rPr>
        <w:t>IPR</w:t>
      </w:r>
      <w:r>
        <w:rPr>
          <w:rFonts w:hint="eastAsia"/>
          <w:lang w:val="en-US" w:eastAsia="zh-CN"/>
        </w:rPr>
        <w:t>）</w:t>
      </w:r>
    </w:p>
    <w:p w14:paraId="0CECC3B2" w14:textId="5B6FB316" w:rsidR="000A5896" w:rsidRDefault="00BA699F">
      <w:pPr>
        <w:tabs>
          <w:tab w:val="clear" w:pos="794"/>
          <w:tab w:val="clear" w:pos="1191"/>
          <w:tab w:val="clear" w:pos="1588"/>
          <w:tab w:val="clear" w:pos="1985"/>
        </w:tabs>
        <w:spacing w:before="240"/>
        <w:ind w:firstLineChars="200" w:firstLine="400"/>
        <w:rPr>
          <w:rFonts w:eastAsiaTheme="minorEastAsia"/>
          <w:sz w:val="20"/>
          <w:lang w:val="en-US" w:eastAsia="zh-CN"/>
        </w:rPr>
      </w:pPr>
      <w:r>
        <w:rPr>
          <w:rFonts w:eastAsiaTheme="minorEastAsia" w:hint="eastAsia"/>
          <w:sz w:val="20"/>
          <w:lang w:val="en-US" w:eastAsia="zh-CN"/>
        </w:rPr>
        <w:t>国际电联无线电通信部门（</w:t>
      </w:r>
      <w:r>
        <w:rPr>
          <w:rFonts w:eastAsiaTheme="minorEastAsia"/>
          <w:sz w:val="20"/>
          <w:lang w:val="en-US" w:eastAsia="zh-CN"/>
        </w:rPr>
        <w:t>ITU-R</w:t>
      </w:r>
      <w:r>
        <w:rPr>
          <w:rFonts w:eastAsiaTheme="minorEastAsia" w:hint="eastAsia"/>
          <w:sz w:val="20"/>
          <w:lang w:val="en-US" w:eastAsia="zh-CN"/>
        </w:rPr>
        <w:t>）的</w:t>
      </w:r>
      <w:r>
        <w:rPr>
          <w:rFonts w:eastAsiaTheme="minorEastAsia"/>
          <w:sz w:val="20"/>
          <w:lang w:val="en-US" w:eastAsia="zh-CN"/>
        </w:rPr>
        <w:t>IPR</w:t>
      </w:r>
      <w:r>
        <w:rPr>
          <w:rFonts w:eastAsiaTheme="minorEastAsia" w:hint="eastAsia"/>
          <w:sz w:val="20"/>
          <w:lang w:val="en-US" w:eastAsia="zh-CN"/>
        </w:rPr>
        <w:t>政策述于</w:t>
      </w:r>
      <w:r>
        <w:rPr>
          <w:rFonts w:eastAsiaTheme="minorEastAsia"/>
          <w:sz w:val="20"/>
          <w:lang w:val="en-US" w:eastAsia="zh-CN"/>
        </w:rPr>
        <w:t>ITU-R</w:t>
      </w:r>
      <w:r>
        <w:rPr>
          <w:rFonts w:eastAsiaTheme="minorEastAsia" w:hint="eastAsia"/>
          <w:sz w:val="20"/>
          <w:lang w:val="en-US" w:eastAsia="zh-CN"/>
        </w:rPr>
        <w:t>第</w:t>
      </w:r>
      <w:r>
        <w:rPr>
          <w:rFonts w:eastAsiaTheme="minorEastAsia" w:hint="eastAsia"/>
          <w:sz w:val="20"/>
          <w:lang w:val="en-US" w:eastAsia="zh-CN"/>
        </w:rPr>
        <w:t>1</w:t>
      </w:r>
      <w:r>
        <w:rPr>
          <w:rFonts w:eastAsiaTheme="minorEastAsia" w:hint="eastAsia"/>
          <w:sz w:val="20"/>
          <w:lang w:val="en-US" w:eastAsia="zh-CN"/>
        </w:rPr>
        <w:t>号决议所参引的《</w:t>
      </w:r>
      <w:r>
        <w:rPr>
          <w:rFonts w:eastAsiaTheme="minorEastAsia"/>
          <w:sz w:val="20"/>
          <w:lang w:val="en-US" w:eastAsia="zh-CN"/>
        </w:rPr>
        <w:t>ITU-T/ITU-R/ISO/IEC</w:t>
      </w:r>
      <w:r>
        <w:rPr>
          <w:rFonts w:eastAsiaTheme="minorEastAsia" w:hint="eastAsia"/>
          <w:sz w:val="20"/>
          <w:lang w:val="en-US" w:eastAsia="zh-CN"/>
        </w:rPr>
        <w:t>的通用专利政策》。专利持有人用于提交专利声明和许可声明的表格可从</w:t>
      </w:r>
      <w:r w:rsidR="007A7AA2">
        <w:fldChar w:fldCharType="begin"/>
      </w:r>
      <w:r w:rsidR="007A7AA2">
        <w:rPr>
          <w:lang w:eastAsia="zh-CN"/>
        </w:rPr>
        <w:instrText xml:space="preserve"> HYPERLINK "http://www.itu.int/ITU-R/go/patents/zh" </w:instrText>
      </w:r>
      <w:r w:rsidR="007A7AA2">
        <w:fldChar w:fldCharType="separate"/>
      </w:r>
      <w:r w:rsidR="00C57BB5">
        <w:rPr>
          <w:rFonts w:eastAsiaTheme="minorEastAsia"/>
          <w:color w:val="0000FF"/>
          <w:sz w:val="20"/>
          <w:u w:val="single"/>
          <w:lang w:val="en-US" w:eastAsia="zh-CN"/>
        </w:rPr>
        <w:t>http://www.itu.int/ITU-R/go/patents/zh</w:t>
      </w:r>
      <w:r w:rsidR="007A7AA2">
        <w:rPr>
          <w:rFonts w:eastAsiaTheme="minorEastAsia"/>
          <w:color w:val="0000FF"/>
          <w:sz w:val="20"/>
          <w:u w:val="single"/>
          <w:lang w:val="en-US" w:eastAsia="zh-CN"/>
        </w:rPr>
        <w:fldChar w:fldCharType="end"/>
      </w:r>
      <w:r>
        <w:rPr>
          <w:rFonts w:eastAsiaTheme="minorEastAsia" w:hint="eastAsia"/>
          <w:sz w:val="20"/>
          <w:lang w:eastAsia="zh-CN"/>
        </w:rPr>
        <w:t>获得</w:t>
      </w:r>
      <w:r>
        <w:rPr>
          <w:rFonts w:eastAsiaTheme="minorEastAsia" w:hint="eastAsia"/>
          <w:sz w:val="20"/>
          <w:lang w:val="en-US" w:eastAsia="zh-CN"/>
        </w:rPr>
        <w:t>，</w:t>
      </w:r>
      <w:r>
        <w:rPr>
          <w:rFonts w:eastAsiaTheme="minorEastAsia" w:hint="eastAsia"/>
          <w:sz w:val="20"/>
          <w:lang w:eastAsia="zh-CN"/>
        </w:rPr>
        <w:t>在此处也可获取</w:t>
      </w:r>
      <w:r>
        <w:rPr>
          <w:rFonts w:eastAsiaTheme="minorEastAsia" w:hint="eastAsia"/>
          <w:sz w:val="20"/>
          <w:lang w:val="en-US" w:eastAsia="zh-CN"/>
        </w:rPr>
        <w:t>《</w:t>
      </w:r>
      <w:r>
        <w:rPr>
          <w:rFonts w:eastAsiaTheme="minorEastAsia"/>
          <w:sz w:val="20"/>
          <w:lang w:val="en-US" w:eastAsia="zh-CN"/>
        </w:rPr>
        <w:t>ITU-T/ITU-R/ISO/IEC</w:t>
      </w:r>
      <w:r>
        <w:rPr>
          <w:rFonts w:eastAsiaTheme="minorEastAsia" w:hint="eastAsia"/>
          <w:sz w:val="20"/>
          <w:lang w:val="en-US" w:eastAsia="zh-CN"/>
        </w:rPr>
        <w:t>的通用专利政策实施指南》和</w:t>
      </w:r>
      <w:r>
        <w:rPr>
          <w:rFonts w:eastAsiaTheme="minorEastAsia"/>
          <w:sz w:val="20"/>
          <w:lang w:val="en-US" w:eastAsia="zh-CN"/>
        </w:rPr>
        <w:t>ITU-R</w:t>
      </w:r>
      <w:r>
        <w:rPr>
          <w:rFonts w:eastAsiaTheme="minorEastAsia" w:hint="eastAsia"/>
          <w:sz w:val="20"/>
          <w:lang w:val="en-US" w:eastAsia="zh-CN"/>
        </w:rPr>
        <w:t>专利信息数据库。</w:t>
      </w:r>
    </w:p>
    <w:p w14:paraId="721C4752" w14:textId="77777777" w:rsidR="000A5896" w:rsidRDefault="000A5896">
      <w:pPr>
        <w:jc w:val="center"/>
        <w:rPr>
          <w:rFonts w:eastAsiaTheme="minorEastAsia"/>
          <w:sz w:val="22"/>
          <w:lang w:val="en-US" w:eastAsia="zh-CN"/>
        </w:rPr>
      </w:pPr>
    </w:p>
    <w:p w14:paraId="41E915D1" w14:textId="77777777" w:rsidR="000A5896" w:rsidRDefault="000A5896">
      <w:pPr>
        <w:jc w:val="center"/>
        <w:rPr>
          <w:rFonts w:eastAsiaTheme="minorEastAsia"/>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57"/>
        <w:gridCol w:w="8572"/>
      </w:tblGrid>
      <w:tr w:rsidR="000A5896" w:rsidRPr="007A7AA2" w14:paraId="6E4F5A92" w14:textId="77777777">
        <w:tc>
          <w:tcPr>
            <w:tcW w:w="9748" w:type="dxa"/>
            <w:gridSpan w:val="2"/>
          </w:tcPr>
          <w:p w14:paraId="25F6C4AD" w14:textId="77777777" w:rsidR="000A5896" w:rsidRDefault="00BA699F">
            <w:pPr>
              <w:keepNext/>
              <w:spacing w:after="40"/>
              <w:jc w:val="center"/>
              <w:rPr>
                <w:rFonts w:eastAsiaTheme="minorEastAsia"/>
                <w:b/>
                <w:bCs/>
                <w:sz w:val="22"/>
                <w:lang w:val="en-US" w:eastAsia="zh-CN"/>
              </w:rPr>
            </w:pPr>
            <w:r>
              <w:rPr>
                <w:rFonts w:eastAsiaTheme="minorEastAsia" w:hint="eastAsia"/>
                <w:b/>
                <w:bCs/>
                <w:sz w:val="22"/>
                <w:lang w:val="en-US" w:eastAsia="zh-CN"/>
              </w:rPr>
              <w:t>ITU-R</w:t>
            </w:r>
            <w:r>
              <w:rPr>
                <w:rFonts w:eastAsiaTheme="minorEastAsia" w:hint="eastAsia"/>
                <w:b/>
                <w:bCs/>
                <w:sz w:val="22"/>
                <w:lang w:val="en-US" w:eastAsia="zh-CN"/>
              </w:rPr>
              <w:t>系列建议书</w:t>
            </w:r>
          </w:p>
          <w:p w14:paraId="06E3DAD9" w14:textId="223E027E" w:rsidR="000A5896" w:rsidRDefault="00BA699F">
            <w:pPr>
              <w:jc w:val="center"/>
              <w:rPr>
                <w:rFonts w:eastAsiaTheme="minorEastAsia"/>
                <w:sz w:val="18"/>
                <w:szCs w:val="18"/>
                <w:lang w:val="en-US" w:eastAsia="zh-CN"/>
              </w:rPr>
            </w:pPr>
            <w:r>
              <w:rPr>
                <w:rFonts w:eastAsiaTheme="minorEastAsia" w:hint="eastAsia"/>
                <w:sz w:val="18"/>
                <w:szCs w:val="18"/>
                <w:lang w:val="en-US" w:eastAsia="zh-CN"/>
              </w:rPr>
              <w:t>（也可在线查询</w:t>
            </w:r>
            <w:r w:rsidR="007A7AA2">
              <w:fldChar w:fldCharType="begin"/>
            </w:r>
            <w:r w:rsidR="007A7AA2" w:rsidRPr="007A7AA2">
              <w:rPr>
                <w:lang w:val="en-US"/>
              </w:rPr>
              <w:instrText xml:space="preserve"> HYPERLINK "http://www.itu.int/publ/R-REC/zh" </w:instrText>
            </w:r>
            <w:r w:rsidR="007A7AA2">
              <w:fldChar w:fldCharType="separate"/>
            </w:r>
            <w:r w:rsidR="00C57BB5">
              <w:rPr>
                <w:rFonts w:eastAsiaTheme="minorEastAsia"/>
                <w:color w:val="0000FF"/>
                <w:sz w:val="18"/>
                <w:szCs w:val="18"/>
                <w:u w:val="single"/>
                <w:lang w:val="en-US"/>
              </w:rPr>
              <w:t>http://www.itu.int/publ/R-REC/zh</w:t>
            </w:r>
            <w:r w:rsidR="007A7AA2">
              <w:rPr>
                <w:rFonts w:eastAsiaTheme="minorEastAsia"/>
                <w:color w:val="0000FF"/>
                <w:sz w:val="18"/>
                <w:szCs w:val="18"/>
                <w:u w:val="single"/>
                <w:lang w:val="en-US"/>
              </w:rPr>
              <w:fldChar w:fldCharType="end"/>
            </w:r>
            <w:r>
              <w:rPr>
                <w:rFonts w:eastAsiaTheme="minorEastAsia" w:hint="eastAsia"/>
                <w:sz w:val="18"/>
                <w:szCs w:val="18"/>
                <w:lang w:val="en-US" w:eastAsia="zh-CN"/>
              </w:rPr>
              <w:t>）</w:t>
            </w:r>
          </w:p>
        </w:tc>
      </w:tr>
      <w:tr w:rsidR="000A5896" w14:paraId="274B3CA4" w14:textId="77777777">
        <w:tc>
          <w:tcPr>
            <w:tcW w:w="960" w:type="dxa"/>
          </w:tcPr>
          <w:p w14:paraId="75528587" w14:textId="77777777" w:rsidR="000A5896" w:rsidRDefault="00BA699F">
            <w:pPr>
              <w:spacing w:after="40"/>
              <w:ind w:left="57"/>
              <w:jc w:val="left"/>
              <w:rPr>
                <w:rFonts w:eastAsiaTheme="minorEastAsia"/>
                <w:b/>
                <w:bCs/>
                <w:sz w:val="20"/>
                <w:lang w:val="en-US"/>
              </w:rPr>
            </w:pPr>
            <w:r>
              <w:rPr>
                <w:rFonts w:ascii="SimSun" w:eastAsiaTheme="minorEastAsia" w:hAnsi="SimSun" w:hint="eastAsia"/>
                <w:b/>
                <w:bCs/>
                <w:sz w:val="20"/>
                <w:lang w:val="en-US" w:eastAsia="zh-CN"/>
              </w:rPr>
              <w:t>系列</w:t>
            </w:r>
          </w:p>
        </w:tc>
        <w:tc>
          <w:tcPr>
            <w:tcW w:w="8788" w:type="dxa"/>
          </w:tcPr>
          <w:p w14:paraId="79D97ADC" w14:textId="77777777" w:rsidR="000A5896" w:rsidRDefault="00BA699F">
            <w:pPr>
              <w:keepNext/>
              <w:spacing w:after="40"/>
              <w:ind w:hanging="1040"/>
              <w:jc w:val="center"/>
              <w:rPr>
                <w:rFonts w:eastAsiaTheme="minorEastAsia"/>
                <w:b/>
                <w:bCs/>
                <w:sz w:val="20"/>
                <w:lang w:val="en-US"/>
              </w:rPr>
            </w:pPr>
            <w:r>
              <w:rPr>
                <w:rFonts w:ascii="SimSun" w:eastAsiaTheme="minorEastAsia" w:hAnsi="SimSun" w:hint="eastAsia"/>
                <w:b/>
                <w:bCs/>
                <w:sz w:val="20"/>
                <w:lang w:val="en-US" w:eastAsia="zh-CN"/>
              </w:rPr>
              <w:t>标题</w:t>
            </w:r>
          </w:p>
        </w:tc>
      </w:tr>
      <w:tr w:rsidR="000A5896" w14:paraId="218CB39F" w14:textId="77777777">
        <w:tc>
          <w:tcPr>
            <w:tcW w:w="960" w:type="dxa"/>
          </w:tcPr>
          <w:p w14:paraId="0C6216A7"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BO</w:t>
            </w:r>
          </w:p>
        </w:tc>
        <w:tc>
          <w:tcPr>
            <w:tcW w:w="8788" w:type="dxa"/>
          </w:tcPr>
          <w:p w14:paraId="2A0BCB8D" w14:textId="77777777" w:rsidR="000A5896" w:rsidRDefault="00BA699F">
            <w:pPr>
              <w:keepNext/>
              <w:spacing w:before="30" w:after="30"/>
              <w:jc w:val="left"/>
              <w:rPr>
                <w:rFonts w:eastAsiaTheme="minorEastAsia"/>
                <w:bCs/>
                <w:sz w:val="20"/>
                <w:lang w:val="en-US"/>
              </w:rPr>
            </w:pPr>
            <w:r>
              <w:rPr>
                <w:rFonts w:eastAsiaTheme="minorEastAsia" w:hint="eastAsia"/>
                <w:bCs/>
                <w:sz w:val="20"/>
                <w:lang w:val="en-US" w:eastAsia="zh-CN"/>
              </w:rPr>
              <w:t>卫星传送</w:t>
            </w:r>
          </w:p>
        </w:tc>
      </w:tr>
      <w:tr w:rsidR="000A5896" w14:paraId="6ED66C79" w14:textId="77777777">
        <w:tc>
          <w:tcPr>
            <w:tcW w:w="960" w:type="dxa"/>
          </w:tcPr>
          <w:p w14:paraId="2DD3949C"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BR</w:t>
            </w:r>
          </w:p>
        </w:tc>
        <w:tc>
          <w:tcPr>
            <w:tcW w:w="8788" w:type="dxa"/>
          </w:tcPr>
          <w:p w14:paraId="28F8E0D7" w14:textId="77777777" w:rsidR="000A5896" w:rsidRDefault="00BA699F">
            <w:pPr>
              <w:keepNext/>
              <w:spacing w:before="30" w:after="30"/>
              <w:jc w:val="left"/>
              <w:rPr>
                <w:rFonts w:eastAsiaTheme="minorEastAsia"/>
                <w:sz w:val="20"/>
                <w:lang w:val="en-US" w:eastAsia="zh-CN"/>
              </w:rPr>
            </w:pPr>
            <w:r>
              <w:rPr>
                <w:rFonts w:eastAsiaTheme="minorEastAsia" w:hint="eastAsia"/>
                <w:sz w:val="20"/>
                <w:lang w:val="en-US" w:eastAsia="zh-CN"/>
              </w:rPr>
              <w:t>用于制作、存档和播出的录制；电视电影</w:t>
            </w:r>
          </w:p>
        </w:tc>
      </w:tr>
      <w:tr w:rsidR="000A5896" w14:paraId="5B188665" w14:textId="77777777">
        <w:tc>
          <w:tcPr>
            <w:tcW w:w="960" w:type="dxa"/>
          </w:tcPr>
          <w:p w14:paraId="330C4C07"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BS</w:t>
            </w:r>
          </w:p>
        </w:tc>
        <w:tc>
          <w:tcPr>
            <w:tcW w:w="8788" w:type="dxa"/>
          </w:tcPr>
          <w:p w14:paraId="79CD7BEF" w14:textId="77777777" w:rsidR="000A5896" w:rsidRDefault="00BA699F">
            <w:pPr>
              <w:keepNext/>
              <w:spacing w:before="30" w:after="30"/>
              <w:jc w:val="left"/>
              <w:rPr>
                <w:rFonts w:eastAsiaTheme="minorEastAsia"/>
                <w:sz w:val="20"/>
                <w:lang w:val="en-US"/>
              </w:rPr>
            </w:pPr>
            <w:r>
              <w:rPr>
                <w:rFonts w:eastAsiaTheme="minorEastAsia" w:hint="eastAsia"/>
                <w:sz w:val="20"/>
                <w:lang w:val="en-US" w:eastAsia="zh-CN"/>
              </w:rPr>
              <w:t>广播业务（声音）</w:t>
            </w:r>
          </w:p>
        </w:tc>
      </w:tr>
      <w:tr w:rsidR="000A5896" w14:paraId="33C8D4F9" w14:textId="77777777">
        <w:tc>
          <w:tcPr>
            <w:tcW w:w="960" w:type="dxa"/>
          </w:tcPr>
          <w:p w14:paraId="56E8B339"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BT</w:t>
            </w:r>
          </w:p>
        </w:tc>
        <w:tc>
          <w:tcPr>
            <w:tcW w:w="8788" w:type="dxa"/>
          </w:tcPr>
          <w:p w14:paraId="38306614" w14:textId="77777777" w:rsidR="000A5896" w:rsidRDefault="00BA699F">
            <w:pPr>
              <w:keepNext/>
              <w:spacing w:before="30" w:after="30"/>
              <w:jc w:val="left"/>
              <w:rPr>
                <w:rFonts w:eastAsiaTheme="minorEastAsia"/>
                <w:sz w:val="20"/>
                <w:lang w:val="en-US"/>
              </w:rPr>
            </w:pPr>
            <w:r>
              <w:rPr>
                <w:rFonts w:eastAsiaTheme="minorEastAsia" w:hint="eastAsia"/>
                <w:sz w:val="20"/>
                <w:lang w:val="en-US" w:eastAsia="zh-CN"/>
              </w:rPr>
              <w:t>广播业务（电视）</w:t>
            </w:r>
          </w:p>
        </w:tc>
      </w:tr>
      <w:tr w:rsidR="000A5896" w14:paraId="6EC4060E" w14:textId="77777777">
        <w:tc>
          <w:tcPr>
            <w:tcW w:w="960" w:type="dxa"/>
          </w:tcPr>
          <w:p w14:paraId="3A9F27C7" w14:textId="77777777" w:rsidR="000A5896" w:rsidRDefault="00BA699F">
            <w:pPr>
              <w:spacing w:before="30" w:after="30"/>
              <w:ind w:left="57"/>
              <w:jc w:val="left"/>
              <w:rPr>
                <w:rFonts w:eastAsiaTheme="minorEastAsia"/>
                <w:b/>
                <w:bCs/>
                <w:sz w:val="20"/>
                <w:lang w:val="fr-CH"/>
              </w:rPr>
            </w:pPr>
            <w:r>
              <w:rPr>
                <w:rFonts w:eastAsiaTheme="minorEastAsia"/>
                <w:b/>
                <w:bCs/>
                <w:sz w:val="20"/>
                <w:lang w:val="fr-CH"/>
              </w:rPr>
              <w:t>F</w:t>
            </w:r>
          </w:p>
        </w:tc>
        <w:tc>
          <w:tcPr>
            <w:tcW w:w="8788" w:type="dxa"/>
          </w:tcPr>
          <w:p w14:paraId="06C5D689" w14:textId="77777777" w:rsidR="000A5896" w:rsidRDefault="00BA699F">
            <w:pPr>
              <w:spacing w:before="30" w:after="30"/>
              <w:jc w:val="left"/>
              <w:rPr>
                <w:rFonts w:eastAsiaTheme="minorEastAsia"/>
                <w:sz w:val="20"/>
                <w:lang w:val="fr-CH"/>
              </w:rPr>
            </w:pPr>
            <w:r>
              <w:rPr>
                <w:rFonts w:eastAsiaTheme="minorEastAsia" w:hint="eastAsia"/>
                <w:sz w:val="20"/>
                <w:lang w:val="fr-CH" w:eastAsia="zh-CN"/>
              </w:rPr>
              <w:t>固定业务</w:t>
            </w:r>
          </w:p>
        </w:tc>
      </w:tr>
      <w:tr w:rsidR="000A5896" w14:paraId="31A3C473" w14:textId="77777777">
        <w:tc>
          <w:tcPr>
            <w:tcW w:w="960" w:type="dxa"/>
          </w:tcPr>
          <w:p w14:paraId="71294171"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M</w:t>
            </w:r>
          </w:p>
        </w:tc>
        <w:tc>
          <w:tcPr>
            <w:tcW w:w="8788" w:type="dxa"/>
          </w:tcPr>
          <w:p w14:paraId="56C07DB7" w14:textId="77777777" w:rsidR="000A5896" w:rsidRDefault="00BA699F">
            <w:pPr>
              <w:keepNext/>
              <w:spacing w:before="30" w:after="30"/>
              <w:jc w:val="left"/>
              <w:rPr>
                <w:rFonts w:eastAsiaTheme="minorEastAsia"/>
                <w:sz w:val="20"/>
                <w:lang w:val="en-US" w:eastAsia="zh-CN"/>
              </w:rPr>
            </w:pPr>
            <w:r>
              <w:rPr>
                <w:rFonts w:eastAsiaTheme="minorEastAsia" w:hint="eastAsia"/>
                <w:sz w:val="20"/>
                <w:lang w:val="en-US" w:eastAsia="zh-CN"/>
              </w:rPr>
              <w:t>移动、无线电定位、业余和相关卫星业务</w:t>
            </w:r>
          </w:p>
        </w:tc>
      </w:tr>
      <w:tr w:rsidR="000A5896" w14:paraId="29FE1175" w14:textId="77777777">
        <w:tc>
          <w:tcPr>
            <w:tcW w:w="960" w:type="dxa"/>
            <w:shd w:val="clear" w:color="auto" w:fill="F3F3F3"/>
          </w:tcPr>
          <w:p w14:paraId="72B449FD" w14:textId="77777777" w:rsidR="000A5896" w:rsidRDefault="00BA699F">
            <w:pPr>
              <w:spacing w:before="30" w:after="30"/>
              <w:ind w:left="57"/>
              <w:jc w:val="left"/>
              <w:rPr>
                <w:rFonts w:eastAsiaTheme="minorEastAsia"/>
                <w:b/>
                <w:bCs/>
                <w:color w:val="000080"/>
                <w:sz w:val="20"/>
                <w:lang w:val="en-US"/>
              </w:rPr>
            </w:pPr>
            <w:r>
              <w:rPr>
                <w:rFonts w:eastAsiaTheme="minorEastAsia"/>
                <w:b/>
                <w:bCs/>
                <w:color w:val="000080"/>
                <w:sz w:val="20"/>
                <w:lang w:val="en-US"/>
              </w:rPr>
              <w:t>P</w:t>
            </w:r>
          </w:p>
        </w:tc>
        <w:tc>
          <w:tcPr>
            <w:tcW w:w="8788" w:type="dxa"/>
            <w:shd w:val="clear" w:color="auto" w:fill="F3F3F3"/>
          </w:tcPr>
          <w:p w14:paraId="0987636D" w14:textId="77777777" w:rsidR="000A5896" w:rsidRDefault="00BA699F">
            <w:pPr>
              <w:spacing w:before="30" w:after="30"/>
              <w:ind w:leftChars="-15" w:left="-4" w:hangingChars="16" w:hanging="32"/>
              <w:jc w:val="left"/>
              <w:rPr>
                <w:rFonts w:eastAsiaTheme="minorEastAsia"/>
                <w:b/>
                <w:bCs/>
                <w:color w:val="000080"/>
                <w:sz w:val="20"/>
                <w:lang w:val="en-US"/>
              </w:rPr>
            </w:pPr>
            <w:proofErr w:type="spellStart"/>
            <w:r>
              <w:rPr>
                <w:rFonts w:eastAsiaTheme="minorEastAsia" w:hint="eastAsia"/>
                <w:b/>
                <w:bCs/>
                <w:color w:val="000080"/>
                <w:sz w:val="20"/>
                <w:lang w:val="en-US"/>
              </w:rPr>
              <w:t>无线电波传播</w:t>
            </w:r>
            <w:proofErr w:type="spellEnd"/>
          </w:p>
        </w:tc>
      </w:tr>
      <w:tr w:rsidR="000A5896" w14:paraId="0903C304" w14:textId="77777777">
        <w:tc>
          <w:tcPr>
            <w:tcW w:w="960" w:type="dxa"/>
          </w:tcPr>
          <w:p w14:paraId="12F08C93"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RA</w:t>
            </w:r>
          </w:p>
        </w:tc>
        <w:tc>
          <w:tcPr>
            <w:tcW w:w="8788" w:type="dxa"/>
          </w:tcPr>
          <w:p w14:paraId="314D996D" w14:textId="77777777" w:rsidR="000A5896" w:rsidRDefault="00BA699F">
            <w:pPr>
              <w:spacing w:before="30" w:after="30"/>
              <w:jc w:val="left"/>
              <w:rPr>
                <w:rFonts w:eastAsiaTheme="minorEastAsia"/>
                <w:sz w:val="20"/>
                <w:lang w:val="en-US"/>
              </w:rPr>
            </w:pPr>
            <w:r>
              <w:rPr>
                <w:rFonts w:eastAsiaTheme="minorEastAsia" w:hint="eastAsia"/>
                <w:sz w:val="20"/>
                <w:lang w:val="en-US" w:eastAsia="zh-CN"/>
              </w:rPr>
              <w:t>射电天文</w:t>
            </w:r>
          </w:p>
        </w:tc>
      </w:tr>
      <w:tr w:rsidR="000A5896" w14:paraId="5E5D9E15" w14:textId="77777777">
        <w:tc>
          <w:tcPr>
            <w:tcW w:w="960" w:type="dxa"/>
          </w:tcPr>
          <w:p w14:paraId="705D30D0"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RS</w:t>
            </w:r>
          </w:p>
        </w:tc>
        <w:tc>
          <w:tcPr>
            <w:tcW w:w="8788" w:type="dxa"/>
          </w:tcPr>
          <w:p w14:paraId="42269CE4" w14:textId="77777777" w:rsidR="000A5896" w:rsidRDefault="00BA699F">
            <w:pPr>
              <w:spacing w:before="30" w:after="30"/>
              <w:jc w:val="left"/>
              <w:rPr>
                <w:rFonts w:eastAsiaTheme="minorEastAsia"/>
                <w:sz w:val="20"/>
                <w:lang w:val="en-US"/>
              </w:rPr>
            </w:pPr>
            <w:r>
              <w:rPr>
                <w:rFonts w:eastAsiaTheme="minorEastAsia" w:hint="eastAsia"/>
                <w:sz w:val="20"/>
                <w:lang w:val="en-US" w:eastAsia="zh-CN"/>
              </w:rPr>
              <w:t>遥感系统</w:t>
            </w:r>
          </w:p>
        </w:tc>
      </w:tr>
      <w:tr w:rsidR="000A5896" w14:paraId="4F0A94A7" w14:textId="77777777">
        <w:tc>
          <w:tcPr>
            <w:tcW w:w="960" w:type="dxa"/>
            <w:shd w:val="clear" w:color="auto" w:fill="FFFFFF"/>
          </w:tcPr>
          <w:p w14:paraId="488681DE"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S</w:t>
            </w:r>
          </w:p>
        </w:tc>
        <w:tc>
          <w:tcPr>
            <w:tcW w:w="8788" w:type="dxa"/>
            <w:shd w:val="clear" w:color="auto" w:fill="FFFFFF"/>
          </w:tcPr>
          <w:p w14:paraId="6B30ED40" w14:textId="77777777" w:rsidR="000A5896" w:rsidRDefault="00BA699F">
            <w:pPr>
              <w:spacing w:before="30" w:after="30"/>
              <w:ind w:leftChars="-2" w:left="-4" w:hanging="1"/>
              <w:jc w:val="left"/>
              <w:rPr>
                <w:rFonts w:eastAsiaTheme="minorEastAsia"/>
                <w:sz w:val="20"/>
                <w:lang w:val="en-US"/>
              </w:rPr>
            </w:pPr>
            <w:proofErr w:type="spellStart"/>
            <w:r>
              <w:rPr>
                <w:rFonts w:eastAsiaTheme="minorEastAsia" w:hint="eastAsia"/>
                <w:sz w:val="20"/>
                <w:lang w:val="en-US"/>
              </w:rPr>
              <w:t>卫星固定业务</w:t>
            </w:r>
            <w:proofErr w:type="spellEnd"/>
          </w:p>
        </w:tc>
      </w:tr>
      <w:tr w:rsidR="000A5896" w14:paraId="534112A3" w14:textId="77777777">
        <w:tc>
          <w:tcPr>
            <w:tcW w:w="960" w:type="dxa"/>
          </w:tcPr>
          <w:p w14:paraId="63F5B3CA"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SA</w:t>
            </w:r>
          </w:p>
        </w:tc>
        <w:tc>
          <w:tcPr>
            <w:tcW w:w="8788" w:type="dxa"/>
          </w:tcPr>
          <w:p w14:paraId="63FF4684" w14:textId="77777777" w:rsidR="000A5896" w:rsidRDefault="00BA699F">
            <w:pPr>
              <w:spacing w:before="30" w:after="30"/>
              <w:jc w:val="left"/>
              <w:rPr>
                <w:rFonts w:eastAsiaTheme="minorEastAsia"/>
                <w:sz w:val="20"/>
                <w:lang w:val="en-US"/>
              </w:rPr>
            </w:pPr>
            <w:r>
              <w:rPr>
                <w:rFonts w:eastAsiaTheme="minorEastAsia" w:hint="eastAsia"/>
                <w:sz w:val="20"/>
                <w:lang w:val="en-US" w:eastAsia="zh-CN"/>
              </w:rPr>
              <w:t>空间应用和气象</w:t>
            </w:r>
          </w:p>
        </w:tc>
      </w:tr>
      <w:tr w:rsidR="000A5896" w14:paraId="506E0A46" w14:textId="77777777">
        <w:tc>
          <w:tcPr>
            <w:tcW w:w="960" w:type="dxa"/>
          </w:tcPr>
          <w:p w14:paraId="0274EB82"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SF</w:t>
            </w:r>
          </w:p>
        </w:tc>
        <w:tc>
          <w:tcPr>
            <w:tcW w:w="8788" w:type="dxa"/>
          </w:tcPr>
          <w:p w14:paraId="5A7B8A1B" w14:textId="77777777" w:rsidR="000A5896" w:rsidRDefault="00BA699F">
            <w:pPr>
              <w:spacing w:before="30" w:after="30"/>
              <w:jc w:val="left"/>
              <w:rPr>
                <w:rFonts w:eastAsiaTheme="minorEastAsia"/>
                <w:sz w:val="20"/>
                <w:lang w:val="en-US" w:eastAsia="zh-CN"/>
              </w:rPr>
            </w:pPr>
            <w:r>
              <w:rPr>
                <w:rFonts w:eastAsiaTheme="minorEastAsia" w:hint="eastAsia"/>
                <w:sz w:val="20"/>
                <w:lang w:val="en-US" w:eastAsia="zh-CN"/>
              </w:rPr>
              <w:t>卫星固定业务和固定业务系统间的频率共用和协调</w:t>
            </w:r>
          </w:p>
        </w:tc>
      </w:tr>
      <w:tr w:rsidR="000A5896" w14:paraId="25FF0560" w14:textId="77777777">
        <w:tc>
          <w:tcPr>
            <w:tcW w:w="960" w:type="dxa"/>
          </w:tcPr>
          <w:p w14:paraId="288CEF74"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SM</w:t>
            </w:r>
          </w:p>
        </w:tc>
        <w:tc>
          <w:tcPr>
            <w:tcW w:w="8788" w:type="dxa"/>
          </w:tcPr>
          <w:p w14:paraId="41CB0EAE" w14:textId="77777777" w:rsidR="000A5896" w:rsidRDefault="00BA699F">
            <w:pPr>
              <w:spacing w:before="30" w:after="30"/>
              <w:jc w:val="left"/>
              <w:rPr>
                <w:rFonts w:eastAsiaTheme="minorEastAsia"/>
                <w:sz w:val="20"/>
                <w:lang w:val="en-US"/>
              </w:rPr>
            </w:pPr>
            <w:r>
              <w:rPr>
                <w:rFonts w:eastAsiaTheme="minorEastAsia" w:hint="eastAsia"/>
                <w:sz w:val="20"/>
                <w:lang w:val="en-US" w:eastAsia="zh-CN"/>
              </w:rPr>
              <w:t>频谱管理</w:t>
            </w:r>
          </w:p>
        </w:tc>
      </w:tr>
      <w:tr w:rsidR="000A5896" w14:paraId="547F2924" w14:textId="77777777">
        <w:tc>
          <w:tcPr>
            <w:tcW w:w="960" w:type="dxa"/>
          </w:tcPr>
          <w:p w14:paraId="437DF763"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SNG</w:t>
            </w:r>
          </w:p>
        </w:tc>
        <w:tc>
          <w:tcPr>
            <w:tcW w:w="8788" w:type="dxa"/>
          </w:tcPr>
          <w:p w14:paraId="52885DB1" w14:textId="77777777" w:rsidR="000A5896" w:rsidRDefault="00BA699F">
            <w:pPr>
              <w:spacing w:before="30" w:after="30"/>
              <w:jc w:val="left"/>
              <w:rPr>
                <w:rFonts w:eastAsiaTheme="minorEastAsia"/>
                <w:sz w:val="20"/>
                <w:lang w:val="en-US"/>
              </w:rPr>
            </w:pPr>
            <w:r>
              <w:rPr>
                <w:rFonts w:eastAsiaTheme="minorEastAsia" w:hint="eastAsia"/>
                <w:sz w:val="20"/>
                <w:lang w:val="en-US" w:eastAsia="zh-CN"/>
              </w:rPr>
              <w:t>卫星新闻采集</w:t>
            </w:r>
          </w:p>
        </w:tc>
      </w:tr>
      <w:tr w:rsidR="000A5896" w14:paraId="6D79294D" w14:textId="77777777">
        <w:tc>
          <w:tcPr>
            <w:tcW w:w="960" w:type="dxa"/>
          </w:tcPr>
          <w:p w14:paraId="2D5A1BC0"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TF</w:t>
            </w:r>
          </w:p>
        </w:tc>
        <w:tc>
          <w:tcPr>
            <w:tcW w:w="8788" w:type="dxa"/>
          </w:tcPr>
          <w:p w14:paraId="74E76E23" w14:textId="77777777" w:rsidR="000A5896" w:rsidRDefault="00BA699F">
            <w:pPr>
              <w:spacing w:before="30" w:after="30"/>
              <w:jc w:val="left"/>
              <w:rPr>
                <w:rFonts w:eastAsiaTheme="minorEastAsia"/>
                <w:sz w:val="20"/>
                <w:lang w:val="en-US" w:eastAsia="zh-CN"/>
              </w:rPr>
            </w:pPr>
            <w:r>
              <w:rPr>
                <w:rFonts w:eastAsiaTheme="minorEastAsia" w:hint="eastAsia"/>
                <w:sz w:val="20"/>
                <w:lang w:val="en-US" w:eastAsia="zh-CN"/>
              </w:rPr>
              <w:t>时间信号和频率标准发射</w:t>
            </w:r>
          </w:p>
        </w:tc>
      </w:tr>
      <w:tr w:rsidR="000A5896" w14:paraId="4D622CA2" w14:textId="77777777">
        <w:tc>
          <w:tcPr>
            <w:tcW w:w="960" w:type="dxa"/>
          </w:tcPr>
          <w:p w14:paraId="5C326116" w14:textId="77777777" w:rsidR="000A5896" w:rsidRDefault="00BA699F">
            <w:pPr>
              <w:spacing w:before="30" w:after="30"/>
              <w:ind w:left="57"/>
              <w:jc w:val="left"/>
              <w:rPr>
                <w:rFonts w:eastAsiaTheme="minorEastAsia"/>
                <w:b/>
                <w:bCs/>
                <w:sz w:val="20"/>
                <w:lang w:val="en-US"/>
              </w:rPr>
            </w:pPr>
            <w:r>
              <w:rPr>
                <w:rFonts w:eastAsiaTheme="minorEastAsia"/>
                <w:b/>
                <w:bCs/>
                <w:sz w:val="20"/>
                <w:lang w:val="en-US"/>
              </w:rPr>
              <w:t>V</w:t>
            </w:r>
          </w:p>
        </w:tc>
        <w:tc>
          <w:tcPr>
            <w:tcW w:w="8788" w:type="dxa"/>
          </w:tcPr>
          <w:p w14:paraId="13C37B69" w14:textId="77777777" w:rsidR="000A5896" w:rsidRDefault="00BA699F">
            <w:pPr>
              <w:spacing w:before="30" w:after="180"/>
              <w:jc w:val="left"/>
              <w:rPr>
                <w:rFonts w:eastAsiaTheme="minorEastAsia"/>
                <w:sz w:val="20"/>
                <w:lang w:val="en-US"/>
              </w:rPr>
            </w:pPr>
            <w:r>
              <w:rPr>
                <w:rFonts w:eastAsiaTheme="minorEastAsia" w:hint="eastAsia"/>
                <w:sz w:val="20"/>
                <w:lang w:val="en-US" w:eastAsia="zh-CN"/>
              </w:rPr>
              <w:t>词汇和相关问题</w:t>
            </w:r>
          </w:p>
        </w:tc>
      </w:tr>
    </w:tbl>
    <w:p w14:paraId="4A571340" w14:textId="77777777" w:rsidR="000A5896" w:rsidRDefault="000A5896">
      <w:pPr>
        <w:spacing w:before="240"/>
        <w:jc w:val="left"/>
        <w:rPr>
          <w:rFonts w:ascii="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9529"/>
      </w:tblGrid>
      <w:tr w:rsidR="000A5896" w14:paraId="1ACFA2A0" w14:textId="77777777">
        <w:tc>
          <w:tcPr>
            <w:tcW w:w="9775" w:type="dxa"/>
          </w:tcPr>
          <w:p w14:paraId="098A5445" w14:textId="77777777" w:rsidR="000A5896" w:rsidRDefault="00BA699F">
            <w:pPr>
              <w:keepLines/>
              <w:spacing w:after="120"/>
              <w:jc w:val="left"/>
              <w:rPr>
                <w:b/>
                <w:sz w:val="20"/>
                <w:lang w:eastAsia="zh-CN"/>
              </w:rPr>
            </w:pPr>
            <w:r>
              <w:rPr>
                <w:rFonts w:eastAsia="STKaiti"/>
                <w:b/>
                <w:sz w:val="20"/>
                <w:lang w:eastAsia="zh-CN"/>
              </w:rPr>
              <w:t>注：</w:t>
            </w:r>
            <w:r>
              <w:rPr>
                <w:rFonts w:eastAsia="STKaiti"/>
                <w:bCs/>
                <w:sz w:val="20"/>
                <w:lang w:eastAsia="zh-CN"/>
              </w:rPr>
              <w:t>该</w:t>
            </w:r>
            <w:r>
              <w:rPr>
                <w:rFonts w:eastAsia="STKaiti"/>
                <w:bCs/>
                <w:sz w:val="20"/>
                <w:lang w:eastAsia="zh-CN"/>
              </w:rPr>
              <w:t>ITU-R</w:t>
            </w:r>
            <w:r>
              <w:rPr>
                <w:rFonts w:eastAsia="STKaiti"/>
                <w:bCs/>
                <w:sz w:val="20"/>
                <w:lang w:eastAsia="zh-CN"/>
              </w:rPr>
              <w:t>建议书的英文版本根据</w:t>
            </w:r>
            <w:r>
              <w:rPr>
                <w:rFonts w:eastAsia="STKaiti"/>
                <w:bCs/>
                <w:sz w:val="20"/>
                <w:lang w:eastAsia="zh-CN"/>
              </w:rPr>
              <w:t>ITU-R</w:t>
            </w:r>
            <w:r>
              <w:rPr>
                <w:rFonts w:eastAsia="STKaiti"/>
                <w:bCs/>
                <w:sz w:val="20"/>
                <w:lang w:eastAsia="zh-CN"/>
              </w:rPr>
              <w:t>第</w:t>
            </w:r>
            <w:r>
              <w:rPr>
                <w:rFonts w:eastAsia="STKaiti"/>
                <w:bCs/>
                <w:sz w:val="20"/>
                <w:lang w:eastAsia="zh-CN"/>
              </w:rPr>
              <w:t>1</w:t>
            </w:r>
            <w:r>
              <w:rPr>
                <w:rFonts w:eastAsia="STKaiti"/>
                <w:bCs/>
                <w:sz w:val="20"/>
                <w:lang w:eastAsia="zh-CN"/>
              </w:rPr>
              <w:t>号决议详述的程序予以批准。</w:t>
            </w:r>
          </w:p>
        </w:tc>
      </w:tr>
    </w:tbl>
    <w:p w14:paraId="2A9E9983" w14:textId="7D56F055" w:rsidR="000A5896" w:rsidRDefault="00BA699F">
      <w:pPr>
        <w:tabs>
          <w:tab w:val="left" w:pos="9540"/>
        </w:tabs>
        <w:spacing w:before="360"/>
        <w:ind w:right="99"/>
        <w:jc w:val="right"/>
        <w:rPr>
          <w:rFonts w:eastAsiaTheme="minorEastAsia"/>
          <w:sz w:val="20"/>
          <w:lang w:eastAsia="zh-CN"/>
        </w:rPr>
      </w:pPr>
      <w:r>
        <w:rPr>
          <w:rFonts w:ascii="STKaiti" w:eastAsia="STKaiti" w:hAnsi="STKaiti" w:cs="STKaiti" w:hint="eastAsia"/>
          <w:sz w:val="20"/>
          <w:lang w:eastAsia="zh-CN"/>
        </w:rPr>
        <w:t>电子出版</w:t>
      </w:r>
      <w:r>
        <w:rPr>
          <w:rFonts w:ascii="STKaiti" w:hAnsi="STKaiti"/>
          <w:sz w:val="20"/>
          <w:lang w:eastAsia="zh-CN"/>
        </w:rPr>
        <w:br/>
      </w:r>
      <w:r>
        <w:rPr>
          <w:rFonts w:eastAsiaTheme="minorEastAsia" w:hint="eastAsia"/>
          <w:sz w:val="20"/>
          <w:lang w:eastAsia="zh-CN"/>
        </w:rPr>
        <w:t>202</w:t>
      </w:r>
      <w:r w:rsidR="00C57BB5">
        <w:rPr>
          <w:rFonts w:eastAsiaTheme="minorEastAsia"/>
          <w:sz w:val="20"/>
          <w:lang w:val="en-US" w:eastAsia="zh-CN"/>
        </w:rPr>
        <w:t>3</w:t>
      </w:r>
      <w:r>
        <w:rPr>
          <w:rFonts w:eastAsiaTheme="minorEastAsia" w:hint="eastAsia"/>
          <w:sz w:val="20"/>
          <w:lang w:eastAsia="zh-CN"/>
        </w:rPr>
        <w:t>年，日内瓦</w:t>
      </w:r>
    </w:p>
    <w:p w14:paraId="2173F1B6" w14:textId="77777777" w:rsidR="000A5896" w:rsidRDefault="000A5896">
      <w:pPr>
        <w:tabs>
          <w:tab w:val="left" w:pos="9540"/>
        </w:tabs>
        <w:ind w:right="99"/>
        <w:jc w:val="right"/>
        <w:rPr>
          <w:rFonts w:eastAsiaTheme="minorEastAsia"/>
          <w:sz w:val="20"/>
          <w:lang w:eastAsia="zh-CN"/>
        </w:rPr>
      </w:pPr>
    </w:p>
    <w:p w14:paraId="780C92A7" w14:textId="7921BB2B" w:rsidR="000A5896" w:rsidRDefault="00BA699F">
      <w:pPr>
        <w:jc w:val="center"/>
        <w:rPr>
          <w:rFonts w:eastAsiaTheme="minorEastAsia"/>
          <w:sz w:val="20"/>
          <w:lang w:val="en-US" w:eastAsia="zh-CN"/>
        </w:rPr>
      </w:pPr>
      <w:r>
        <w:rPr>
          <w:rFonts w:eastAsiaTheme="minorEastAsia"/>
          <w:sz w:val="20"/>
          <w:lang w:val="en-US"/>
        </w:rPr>
        <w:sym w:font="Symbol" w:char="F0E3"/>
      </w:r>
      <w:r>
        <w:rPr>
          <w:rFonts w:eastAsiaTheme="minorEastAsia"/>
          <w:sz w:val="20"/>
          <w:lang w:val="en-US" w:eastAsia="zh-CN"/>
        </w:rPr>
        <w:t xml:space="preserve"> </w:t>
      </w:r>
      <w:r>
        <w:rPr>
          <w:rFonts w:eastAsiaTheme="minorEastAsia" w:hint="eastAsia"/>
          <w:sz w:val="20"/>
          <w:lang w:val="en-US" w:eastAsia="zh-CN"/>
        </w:rPr>
        <w:t>国际电联</w:t>
      </w:r>
      <w:r>
        <w:rPr>
          <w:rFonts w:eastAsiaTheme="minorEastAsia"/>
          <w:sz w:val="20"/>
          <w:lang w:val="en-US" w:eastAsia="zh-CN"/>
        </w:rPr>
        <w:t xml:space="preserve"> 20</w:t>
      </w:r>
      <w:r>
        <w:rPr>
          <w:rFonts w:eastAsiaTheme="minorEastAsia" w:hint="eastAsia"/>
          <w:sz w:val="20"/>
          <w:lang w:val="en-US" w:eastAsia="zh-CN"/>
        </w:rPr>
        <w:t>2</w:t>
      </w:r>
      <w:r w:rsidR="00C57BB5">
        <w:rPr>
          <w:rFonts w:eastAsiaTheme="minorEastAsia"/>
          <w:sz w:val="20"/>
          <w:lang w:val="en-US" w:eastAsia="zh-CN"/>
        </w:rPr>
        <w:t>3</w:t>
      </w:r>
    </w:p>
    <w:p w14:paraId="6A720384" w14:textId="77777777" w:rsidR="00C0510C" w:rsidRDefault="00BA699F">
      <w:pPr>
        <w:ind w:firstLineChars="311" w:firstLine="560"/>
        <w:jc w:val="left"/>
        <w:rPr>
          <w:rFonts w:ascii="SimSun" w:eastAsiaTheme="minorEastAsia" w:hAnsi="SimSun"/>
          <w:sz w:val="18"/>
          <w:szCs w:val="18"/>
          <w:lang w:eastAsia="zh-CN"/>
        </w:rPr>
        <w:sectPr w:rsidR="00C0510C" w:rsidSect="00C0510C">
          <w:headerReference w:type="even" r:id="rId11"/>
          <w:headerReference w:type="default" r:id="rId12"/>
          <w:pgSz w:w="11907" w:h="16834"/>
          <w:pgMar w:top="1418" w:right="1134" w:bottom="1134" w:left="1134" w:header="720" w:footer="482" w:gutter="0"/>
          <w:paperSrc w:first="15" w:other="15"/>
          <w:pgNumType w:fmt="lowerRoman" w:start="2"/>
          <w:cols w:space="720"/>
          <w:docGrid w:linePitch="326"/>
        </w:sectPr>
      </w:pPr>
      <w:r>
        <w:rPr>
          <w:rFonts w:ascii="SimSun" w:eastAsiaTheme="minorEastAsia" w:hAnsi="SimSun" w:hint="eastAsia"/>
          <w:sz w:val="18"/>
          <w:szCs w:val="18"/>
          <w:lang w:val="en-US" w:eastAsia="zh-CN"/>
        </w:rPr>
        <w:t>版权所有。</w:t>
      </w:r>
      <w:r>
        <w:rPr>
          <w:rFonts w:ascii="SimSun" w:eastAsiaTheme="minorEastAsia" w:hAnsi="SimSun"/>
          <w:sz w:val="18"/>
          <w:szCs w:val="18"/>
          <w:lang w:eastAsia="zh-CN"/>
        </w:rPr>
        <w:t>未经国际电联书面许可，不得以任何手段复制本出版物的任何部分</w:t>
      </w:r>
      <w:r>
        <w:rPr>
          <w:rFonts w:ascii="SimSun" w:eastAsiaTheme="minorEastAsia" w:hAnsi="SimSun" w:hint="eastAsia"/>
          <w:sz w:val="18"/>
          <w:szCs w:val="18"/>
          <w:lang w:eastAsia="zh-CN"/>
        </w:rPr>
        <w:t>。</w:t>
      </w:r>
    </w:p>
    <w:p w14:paraId="14B90AB1" w14:textId="77777777" w:rsidR="000A5896" w:rsidRPr="00C57BB5" w:rsidRDefault="00BA699F">
      <w:pPr>
        <w:pStyle w:val="RecNo"/>
        <w:spacing w:before="0"/>
        <w:rPr>
          <w:lang w:val="en-US" w:eastAsia="zh-CN"/>
        </w:rPr>
      </w:pPr>
      <w:bookmarkStart w:id="2" w:name="irecnoe"/>
      <w:bookmarkEnd w:id="2"/>
      <w:r w:rsidRPr="00C57BB5">
        <w:rPr>
          <w:rStyle w:val="href"/>
          <w:lang w:val="en-GB" w:eastAsia="zh-CN"/>
        </w:rPr>
        <w:lastRenderedPageBreak/>
        <w:t>ITU-R  P.581-3</w:t>
      </w:r>
      <w:r w:rsidRPr="00C57BB5">
        <w:rPr>
          <w:rStyle w:val="href"/>
          <w:rFonts w:hint="eastAsia"/>
          <w:lang w:val="en-US" w:eastAsia="zh-CN"/>
        </w:rPr>
        <w:t>建议书</w:t>
      </w:r>
    </w:p>
    <w:p w14:paraId="19DBED16" w14:textId="0203B393" w:rsidR="000A5896" w:rsidRPr="00C57BB5" w:rsidRDefault="00BA699F">
      <w:pPr>
        <w:pStyle w:val="Rectitle"/>
        <w:rPr>
          <w:rFonts w:ascii="Calibri" w:hAnsi="Calibri" w:cs="Calibri"/>
          <w:szCs w:val="28"/>
          <w:lang w:val="en-GB" w:eastAsia="zh-CN"/>
        </w:rPr>
      </w:pPr>
      <w:r w:rsidRPr="00C57BB5">
        <w:rPr>
          <w:rFonts w:eastAsiaTheme="minorEastAsia" w:hint="eastAsia"/>
          <w:bCs/>
          <w:szCs w:val="28"/>
          <w:lang w:val="en-US" w:eastAsia="zh-CN"/>
        </w:rPr>
        <w:t>“最差月份</w:t>
      </w:r>
      <w:r w:rsidR="00670E84" w:rsidRPr="00C57BB5">
        <w:rPr>
          <w:rFonts w:eastAsiaTheme="minorEastAsia" w:hint="eastAsia"/>
          <w:bCs/>
          <w:szCs w:val="28"/>
          <w:lang w:val="en-US" w:eastAsia="zh-CN"/>
        </w:rPr>
        <w:t>”</w:t>
      </w:r>
      <w:r w:rsidRPr="00C57BB5">
        <w:rPr>
          <w:rFonts w:eastAsiaTheme="minorEastAsia" w:hint="eastAsia"/>
          <w:bCs/>
          <w:szCs w:val="28"/>
          <w:lang w:val="en-US" w:eastAsia="zh-CN"/>
        </w:rPr>
        <w:t>的概念</w:t>
      </w:r>
    </w:p>
    <w:p w14:paraId="25233518" w14:textId="77777777" w:rsidR="000A5896" w:rsidRPr="00C57BB5" w:rsidRDefault="00BA699F">
      <w:pPr>
        <w:pStyle w:val="Recdate"/>
        <w:spacing w:before="60"/>
        <w:rPr>
          <w:sz w:val="22"/>
          <w:szCs w:val="22"/>
          <w:lang w:val="en-GB" w:eastAsia="zh-CN"/>
        </w:rPr>
      </w:pPr>
      <w:bookmarkStart w:id="3" w:name="Revision_history"/>
      <w:r w:rsidRPr="00C57BB5">
        <w:rPr>
          <w:rFonts w:hint="eastAsia"/>
          <w:sz w:val="22"/>
          <w:szCs w:val="22"/>
          <w:lang w:val="en-GB" w:eastAsia="zh-CN"/>
        </w:rPr>
        <w:t>（</w:t>
      </w:r>
      <w:r w:rsidRPr="00C57BB5">
        <w:rPr>
          <w:lang w:val="en-GB" w:eastAsia="zh-CN"/>
        </w:rPr>
        <w:t>1982-1986-1990-2022</w:t>
      </w:r>
      <w:bookmarkEnd w:id="3"/>
      <w:r w:rsidRPr="00C57BB5">
        <w:rPr>
          <w:rFonts w:hint="eastAsia"/>
          <w:sz w:val="22"/>
          <w:szCs w:val="22"/>
          <w:lang w:val="en-GB" w:eastAsia="zh-CN"/>
        </w:rPr>
        <w:t>）</w:t>
      </w:r>
    </w:p>
    <w:p w14:paraId="52B893DD" w14:textId="2919604B" w:rsidR="000A5896" w:rsidRPr="00C57BB5" w:rsidRDefault="00BA699F">
      <w:pPr>
        <w:pStyle w:val="Normalaftertitle"/>
        <w:rPr>
          <w:lang w:val="en-GB" w:eastAsia="zh-CN"/>
        </w:rPr>
      </w:pPr>
      <w:r w:rsidRPr="00C57BB5">
        <w:rPr>
          <w:rFonts w:hint="eastAsia"/>
          <w:lang w:eastAsia="zh-CN"/>
        </w:rPr>
        <w:t>国际电联无线电通信全会</w:t>
      </w:r>
      <w:r w:rsidR="00AC0A3F">
        <w:rPr>
          <w:rFonts w:hint="eastAsia"/>
          <w:lang w:val="en-GB" w:eastAsia="zh-CN"/>
        </w:rPr>
        <w:t>，</w:t>
      </w:r>
    </w:p>
    <w:p w14:paraId="0E0D5D54" w14:textId="77777777" w:rsidR="000A5896" w:rsidRPr="00C57BB5" w:rsidRDefault="00BA699F">
      <w:pPr>
        <w:pStyle w:val="Call"/>
        <w:rPr>
          <w:rFonts w:ascii="Calibri" w:hAnsi="Calibri" w:cs="Calibri"/>
          <w:b/>
          <w:sz w:val="22"/>
          <w:lang w:val="en-GB" w:eastAsia="zh-CN"/>
        </w:rPr>
      </w:pPr>
      <w:r w:rsidRPr="00C57BB5">
        <w:rPr>
          <w:rFonts w:ascii="STKaiti" w:eastAsia="STKaiti" w:hAnsi="STKaiti" w:hint="eastAsia"/>
          <w:i w:val="0"/>
          <w:iCs/>
          <w:lang w:val="en-GB" w:eastAsia="zh-CN"/>
        </w:rPr>
        <w:t>考虑到</w:t>
      </w:r>
    </w:p>
    <w:p w14:paraId="31C22367" w14:textId="77777777" w:rsidR="000A5896" w:rsidRDefault="00BA699F">
      <w:pPr>
        <w:rPr>
          <w:lang w:val="en-GB" w:eastAsia="zh-CN"/>
        </w:rPr>
      </w:pPr>
      <w:r w:rsidRPr="00C57BB5">
        <w:rPr>
          <w:i/>
          <w:lang w:val="en-GB" w:eastAsia="zh-CN"/>
        </w:rPr>
        <w:t>a)</w:t>
      </w:r>
      <w:r w:rsidRPr="00C57BB5">
        <w:rPr>
          <w:lang w:val="en-GB" w:eastAsia="zh-CN"/>
        </w:rPr>
        <w:tab/>
      </w:r>
      <w:r w:rsidRPr="00C57BB5">
        <w:rPr>
          <w:rFonts w:hint="eastAsia"/>
          <w:lang w:val="en-GB" w:eastAsia="zh-CN"/>
        </w:rPr>
        <w:t>无线电通信系统的性能标准通常将“任何月份”作为参照期</w:t>
      </w:r>
      <w:r>
        <w:rPr>
          <w:rFonts w:hint="eastAsia"/>
          <w:lang w:val="en-GB" w:eastAsia="zh-CN"/>
        </w:rPr>
        <w:t>；</w:t>
      </w:r>
    </w:p>
    <w:p w14:paraId="7FD4EF9F" w14:textId="77777777" w:rsidR="000A5896" w:rsidRDefault="00BA699F">
      <w:pPr>
        <w:rPr>
          <w:lang w:val="en-GB" w:eastAsia="zh-CN"/>
        </w:rPr>
      </w:pPr>
      <w:r>
        <w:rPr>
          <w:i/>
          <w:lang w:val="en-GB" w:eastAsia="zh-CN"/>
        </w:rPr>
        <w:t>b)</w:t>
      </w:r>
      <w:r>
        <w:rPr>
          <w:lang w:val="en-GB" w:eastAsia="zh-CN"/>
        </w:rPr>
        <w:tab/>
      </w:r>
      <w:r>
        <w:rPr>
          <w:rFonts w:hint="eastAsia"/>
          <w:lang w:val="en-GB" w:eastAsia="zh-CN"/>
        </w:rPr>
        <w:t>对于此类系统的设计，有必要统计与性能标准参照期相关的传播效应；</w:t>
      </w:r>
    </w:p>
    <w:p w14:paraId="26F9925C" w14:textId="77777777" w:rsidR="000A5896" w:rsidRDefault="00BA699F">
      <w:pPr>
        <w:rPr>
          <w:lang w:val="en-GB" w:eastAsia="zh-CN"/>
        </w:rPr>
      </w:pPr>
      <w:r>
        <w:rPr>
          <w:i/>
          <w:lang w:val="en-GB" w:eastAsia="zh-CN"/>
        </w:rPr>
        <w:t>c)</w:t>
      </w:r>
      <w:r>
        <w:rPr>
          <w:lang w:val="en-GB" w:eastAsia="zh-CN"/>
        </w:rPr>
        <w:tab/>
      </w:r>
      <w:r>
        <w:rPr>
          <w:rFonts w:hint="eastAsia"/>
          <w:lang w:val="en-GB" w:eastAsia="zh-CN"/>
        </w:rPr>
        <w:t>因此，需要明确界定参照期；</w:t>
      </w:r>
    </w:p>
    <w:p w14:paraId="4F70A6F7" w14:textId="77777777" w:rsidR="000A5896" w:rsidRDefault="00BA699F">
      <w:pPr>
        <w:rPr>
          <w:lang w:val="en-GB" w:eastAsia="zh-CN"/>
        </w:rPr>
      </w:pPr>
      <w:r>
        <w:rPr>
          <w:i/>
          <w:iCs/>
          <w:lang w:val="en-GB" w:eastAsia="zh-CN"/>
        </w:rPr>
        <w:t>d)</w:t>
      </w:r>
      <w:r>
        <w:rPr>
          <w:lang w:val="en-GB" w:eastAsia="zh-CN"/>
        </w:rPr>
        <w:tab/>
      </w:r>
      <w:r>
        <w:rPr>
          <w:rFonts w:hint="eastAsia"/>
          <w:lang w:val="en-GB" w:eastAsia="zh-CN"/>
        </w:rPr>
        <w:t>传播变量在一段时间内的分布是一个随机过程；</w:t>
      </w:r>
    </w:p>
    <w:p w14:paraId="2FC23FE0" w14:textId="77777777" w:rsidR="000A5896" w:rsidRDefault="00BA699F">
      <w:pPr>
        <w:rPr>
          <w:lang w:val="en-GB" w:eastAsia="zh-CN"/>
        </w:rPr>
      </w:pPr>
      <w:r>
        <w:rPr>
          <w:i/>
          <w:iCs/>
          <w:lang w:val="en-GB" w:eastAsia="zh-CN"/>
        </w:rPr>
        <w:t>e)</w:t>
      </w:r>
      <w:r>
        <w:rPr>
          <w:lang w:val="en-GB" w:eastAsia="zh-CN"/>
        </w:rPr>
        <w:tab/>
      </w:r>
      <w:r>
        <w:rPr>
          <w:rFonts w:hint="eastAsia"/>
          <w:lang w:val="en-GB" w:eastAsia="zh-CN"/>
        </w:rPr>
        <w:t>传播随机变量超过指定阈值的时间分数（即，</w:t>
      </w:r>
      <w:r>
        <w:rPr>
          <w:rFonts w:hint="eastAsia"/>
          <w:lang w:val="en-US" w:eastAsia="zh-CN"/>
        </w:rPr>
        <w:t>超越</w:t>
      </w:r>
      <w:r>
        <w:rPr>
          <w:rFonts w:hint="eastAsia"/>
          <w:lang w:val="en-GB" w:eastAsia="zh-CN"/>
        </w:rPr>
        <w:t>时间分数）是随机变量，并且被称为</w:t>
      </w:r>
      <w:r>
        <w:rPr>
          <w:rFonts w:hint="eastAsia"/>
          <w:lang w:val="en-US" w:eastAsia="zh-CN"/>
        </w:rPr>
        <w:t>超越</w:t>
      </w:r>
      <w:r>
        <w:rPr>
          <w:rFonts w:hint="eastAsia"/>
          <w:lang w:val="en-GB" w:eastAsia="zh-CN"/>
        </w:rPr>
        <w:t>概率或互补累积分布函数（</w:t>
      </w:r>
      <w:r>
        <w:rPr>
          <w:rFonts w:hint="eastAsia"/>
          <w:lang w:val="en-GB" w:eastAsia="zh-CN"/>
        </w:rPr>
        <w:t>CCDF</w:t>
      </w:r>
      <w:r>
        <w:rPr>
          <w:rFonts w:hint="eastAsia"/>
          <w:lang w:val="en-GB" w:eastAsia="zh-CN"/>
        </w:rPr>
        <w:t>）；</w:t>
      </w:r>
    </w:p>
    <w:p w14:paraId="4A194EAA" w14:textId="77777777" w:rsidR="000A5896" w:rsidRDefault="00BA699F">
      <w:pPr>
        <w:rPr>
          <w:lang w:val="en-GB" w:eastAsia="zh-CN"/>
        </w:rPr>
      </w:pPr>
      <w:r>
        <w:rPr>
          <w:i/>
          <w:iCs/>
          <w:lang w:val="en-GB" w:eastAsia="zh-CN"/>
        </w:rPr>
        <w:t>f)</w:t>
      </w:r>
      <w:r>
        <w:rPr>
          <w:lang w:val="en-GB" w:eastAsia="zh-CN"/>
        </w:rPr>
        <w:tab/>
      </w:r>
      <w:r>
        <w:rPr>
          <w:rFonts w:hint="eastAsia"/>
          <w:lang w:val="en-GB" w:eastAsia="zh-CN"/>
        </w:rPr>
        <w:t>传播随机变量不超过（即，小于）指定阈值的时间分数是随机变量，并且被称为累积概率或累积分布函数（</w:t>
      </w:r>
      <w:r>
        <w:rPr>
          <w:rFonts w:hint="eastAsia"/>
          <w:lang w:val="en-GB" w:eastAsia="zh-CN"/>
        </w:rPr>
        <w:t>CDF</w:t>
      </w:r>
      <w:r>
        <w:rPr>
          <w:rFonts w:hint="eastAsia"/>
          <w:lang w:val="en-GB" w:eastAsia="zh-CN"/>
        </w:rPr>
        <w:t>），</w:t>
      </w:r>
    </w:p>
    <w:p w14:paraId="47EBA4E0" w14:textId="77777777" w:rsidR="000A5896" w:rsidRDefault="00BA699F" w:rsidP="00AC0A3F">
      <w:pPr>
        <w:pStyle w:val="Call"/>
        <w:spacing w:before="240"/>
        <w:rPr>
          <w:lang w:val="en-GB" w:eastAsia="zh-CN"/>
        </w:rPr>
      </w:pPr>
      <w:r>
        <w:rPr>
          <w:rFonts w:ascii="STKaiti" w:eastAsia="STKaiti" w:hAnsi="STKaiti" w:cs="STKaiti" w:hint="eastAsia"/>
          <w:i w:val="0"/>
          <w:iCs/>
          <w:lang w:val="en-US" w:eastAsia="zh-CN"/>
        </w:rPr>
        <w:t>做出建议</w:t>
      </w:r>
    </w:p>
    <w:p w14:paraId="36210C67" w14:textId="77777777" w:rsidR="000A5896" w:rsidRDefault="00BA699F">
      <w:pPr>
        <w:rPr>
          <w:lang w:val="en-GB" w:eastAsia="zh-CN"/>
        </w:rPr>
      </w:pPr>
      <w:r>
        <w:rPr>
          <w:rFonts w:hint="eastAsia"/>
          <w:b/>
          <w:bCs/>
          <w:lang w:val="en-US" w:eastAsia="zh-CN"/>
        </w:rPr>
        <w:t>1</w:t>
      </w:r>
      <w:r>
        <w:rPr>
          <w:rFonts w:hint="eastAsia"/>
          <w:lang w:val="en-US" w:eastAsia="zh-CN"/>
        </w:rPr>
        <w:tab/>
      </w:r>
      <w:proofErr w:type="gramStart"/>
      <w:r>
        <w:rPr>
          <w:rFonts w:hint="eastAsia"/>
          <w:lang w:val="en-GB" w:eastAsia="zh-CN"/>
        </w:rPr>
        <w:t>一个日历年中与特定阈值的最高超越概率或最低累积概率相对应的月份被称为“</w:t>
      </w:r>
      <w:proofErr w:type="gramEnd"/>
      <w:r>
        <w:rPr>
          <w:rFonts w:hint="eastAsia"/>
          <w:lang w:val="en-GB" w:eastAsia="zh-CN"/>
        </w:rPr>
        <w:t>最差月份”，对于不同的阈值可能有所不同；</w:t>
      </w:r>
    </w:p>
    <w:p w14:paraId="2CE59BE4" w14:textId="77777777" w:rsidR="000A5896" w:rsidRDefault="00BA699F">
      <w:pPr>
        <w:rPr>
          <w:lang w:val="en-GB" w:eastAsia="zh-CN"/>
        </w:rPr>
      </w:pPr>
      <w:r>
        <w:rPr>
          <w:b/>
          <w:lang w:val="en-GB" w:eastAsia="zh-CN"/>
        </w:rPr>
        <w:t>2</w:t>
      </w:r>
      <w:r>
        <w:rPr>
          <w:lang w:val="en-GB" w:eastAsia="zh-CN"/>
        </w:rPr>
        <w:tab/>
      </w:r>
      <w:r>
        <w:rPr>
          <w:rFonts w:hint="eastAsia"/>
          <w:lang w:val="en-GB" w:eastAsia="zh-CN"/>
        </w:rPr>
        <w:t>一年中最差月份的超越概率称为“</w:t>
      </w:r>
      <w:r>
        <w:rPr>
          <w:rFonts w:hint="eastAsia"/>
          <w:lang w:val="en-US" w:eastAsia="zh-CN"/>
        </w:rPr>
        <w:t>年度</w:t>
      </w:r>
      <w:r>
        <w:rPr>
          <w:rFonts w:hint="eastAsia"/>
          <w:lang w:val="en-GB" w:eastAsia="zh-CN"/>
        </w:rPr>
        <w:t>最差月份超越概率”，而一年中最差月份的累积概率称为“</w:t>
      </w:r>
      <w:r>
        <w:rPr>
          <w:rFonts w:hint="eastAsia"/>
          <w:lang w:val="en-US" w:eastAsia="zh-CN"/>
        </w:rPr>
        <w:t>年度</w:t>
      </w:r>
      <w:r>
        <w:rPr>
          <w:rFonts w:hint="eastAsia"/>
          <w:lang w:val="en-GB" w:eastAsia="zh-CN"/>
        </w:rPr>
        <w:t>最差月份累积概率”；</w:t>
      </w:r>
    </w:p>
    <w:p w14:paraId="7F9A56D0" w14:textId="77777777" w:rsidR="000A5896" w:rsidRPr="00AC0A3F" w:rsidRDefault="00BA699F">
      <w:pPr>
        <w:rPr>
          <w:rFonts w:ascii="Calibri" w:hAnsi="Calibri" w:cs="Calibri"/>
          <w:b/>
          <w:sz w:val="22"/>
          <w:lang w:val="en-GB" w:eastAsia="zh-CN"/>
        </w:rPr>
      </w:pPr>
      <w:r>
        <w:rPr>
          <w:b/>
          <w:lang w:val="en-GB" w:eastAsia="zh-CN"/>
        </w:rPr>
        <w:t>3</w:t>
      </w:r>
      <w:r>
        <w:rPr>
          <w:lang w:val="en-GB" w:eastAsia="zh-CN"/>
        </w:rPr>
        <w:tab/>
      </w:r>
      <w:r>
        <w:rPr>
          <w:rFonts w:hint="eastAsia"/>
          <w:lang w:val="en-GB" w:eastAsia="zh-CN"/>
        </w:rPr>
        <w:t>与涉及</w:t>
      </w:r>
      <w:r w:rsidRPr="00AC0A3F">
        <w:rPr>
          <w:rFonts w:hint="eastAsia"/>
          <w:lang w:val="en-GB" w:eastAsia="zh-CN"/>
        </w:rPr>
        <w:t>“任何月份”的性能标准相关的统计数据是长期平均年度最差</w:t>
      </w:r>
      <w:r w:rsidRPr="00AC0A3F">
        <w:rPr>
          <w:rFonts w:hint="eastAsia"/>
          <w:lang w:val="en-US" w:eastAsia="zh-CN"/>
        </w:rPr>
        <w:t>月份</w:t>
      </w:r>
      <w:r w:rsidRPr="00AC0A3F">
        <w:rPr>
          <w:rFonts w:hint="eastAsia"/>
          <w:lang w:val="en-GB" w:eastAsia="zh-CN"/>
        </w:rPr>
        <w:t>超越概率或累积概率。</w:t>
      </w:r>
    </w:p>
    <w:p w14:paraId="5F01535C" w14:textId="77777777" w:rsidR="000A5896" w:rsidRDefault="00BA699F" w:rsidP="00AC0A3F">
      <w:pPr>
        <w:pStyle w:val="Note"/>
        <w:rPr>
          <w:lang w:val="en-GB" w:eastAsia="zh-CN"/>
        </w:rPr>
      </w:pPr>
      <w:r w:rsidRPr="00AC0A3F">
        <w:rPr>
          <w:rFonts w:hint="eastAsia"/>
          <w:lang w:val="en-GB" w:eastAsia="zh-CN"/>
        </w:rPr>
        <w:t>注</w:t>
      </w:r>
      <w:r w:rsidRPr="00AC0A3F">
        <w:rPr>
          <w:lang w:val="en-GB" w:eastAsia="zh-CN"/>
        </w:rPr>
        <w:t xml:space="preserve"> – </w:t>
      </w:r>
      <w:r w:rsidRPr="00AC0A3F">
        <w:rPr>
          <w:rFonts w:hint="eastAsia"/>
          <w:lang w:val="en-GB" w:eastAsia="zh-CN"/>
        </w:rPr>
        <w:t xml:space="preserve">ITU-R </w:t>
      </w:r>
      <w:hyperlink r:id="rId13" w:history="1">
        <w:r w:rsidRPr="00AC0A3F">
          <w:rPr>
            <w:rStyle w:val="Hyperlink"/>
            <w:color w:val="auto"/>
            <w:u w:val="none"/>
            <w:lang w:val="en-GB" w:eastAsia="zh-CN"/>
          </w:rPr>
          <w:t>P.841</w:t>
        </w:r>
      </w:hyperlink>
      <w:r w:rsidRPr="00AC0A3F">
        <w:rPr>
          <w:rFonts w:hint="eastAsia"/>
          <w:lang w:val="en-GB" w:eastAsia="zh-CN"/>
        </w:rPr>
        <w:t>建议</w:t>
      </w:r>
      <w:r w:rsidRPr="00AC0A3F">
        <w:rPr>
          <w:rFonts w:hint="eastAsia"/>
          <w:lang w:val="en-US" w:eastAsia="zh-CN"/>
        </w:rPr>
        <w:t>书</w:t>
      </w:r>
      <w:r w:rsidRPr="00AC0A3F">
        <w:rPr>
          <w:rFonts w:hint="eastAsia"/>
          <w:lang w:val="en-GB" w:eastAsia="zh-CN"/>
        </w:rPr>
        <w:t>提出了将平均</w:t>
      </w:r>
      <w:r w:rsidRPr="00AC0A3F">
        <w:rPr>
          <w:rFonts w:hint="eastAsia"/>
          <w:lang w:val="en-US" w:eastAsia="zh-CN"/>
        </w:rPr>
        <w:t>年度超越</w:t>
      </w:r>
      <w:r w:rsidRPr="00AC0A3F">
        <w:rPr>
          <w:rFonts w:hint="eastAsia"/>
          <w:lang w:val="en-GB" w:eastAsia="zh-CN"/>
        </w:rPr>
        <w:t>时间</w:t>
      </w:r>
      <w:r w:rsidRPr="00AC0A3F">
        <w:rPr>
          <w:rFonts w:hint="eastAsia"/>
          <w:lang w:val="en-US" w:eastAsia="zh-CN"/>
        </w:rPr>
        <w:t>分数</w:t>
      </w:r>
      <w:r w:rsidRPr="00AC0A3F">
        <w:rPr>
          <w:rFonts w:hint="eastAsia"/>
          <w:lang w:val="en-GB" w:eastAsia="zh-CN"/>
        </w:rPr>
        <w:t>转换为平均</w:t>
      </w:r>
      <w:r w:rsidRPr="00AC0A3F">
        <w:rPr>
          <w:rFonts w:hint="eastAsia"/>
          <w:lang w:val="en-US" w:eastAsia="zh-CN"/>
        </w:rPr>
        <w:t>年度</w:t>
      </w:r>
      <w:r w:rsidRPr="00AC0A3F">
        <w:rPr>
          <w:rFonts w:hint="eastAsia"/>
          <w:lang w:val="en-GB" w:eastAsia="zh-CN"/>
        </w:rPr>
        <w:t>最差</w:t>
      </w:r>
      <w:r w:rsidRPr="00AC0A3F">
        <w:rPr>
          <w:rFonts w:hint="eastAsia"/>
          <w:lang w:val="en-US" w:eastAsia="zh-CN"/>
        </w:rPr>
        <w:t>月份超越</w:t>
      </w:r>
      <w:r w:rsidRPr="00AC0A3F">
        <w:rPr>
          <w:rFonts w:hint="eastAsia"/>
          <w:lang w:val="en-GB" w:eastAsia="zh-CN"/>
        </w:rPr>
        <w:t>时间</w:t>
      </w:r>
      <w:r w:rsidRPr="00AC0A3F">
        <w:rPr>
          <w:rFonts w:hint="eastAsia"/>
          <w:lang w:val="en-US" w:eastAsia="zh-CN"/>
        </w:rPr>
        <w:t>分数</w:t>
      </w:r>
      <w:r w:rsidRPr="00AC0A3F">
        <w:rPr>
          <w:rFonts w:hint="eastAsia"/>
          <w:lang w:val="en-GB" w:eastAsia="zh-CN"/>
        </w:rPr>
        <w:t>的模型，</w:t>
      </w:r>
      <w:r w:rsidRPr="00AC0A3F">
        <w:rPr>
          <w:rFonts w:hint="eastAsia"/>
          <w:lang w:val="en-US" w:eastAsia="zh-CN"/>
        </w:rPr>
        <w:t>并</w:t>
      </w:r>
      <w:r w:rsidRPr="00AC0A3F">
        <w:rPr>
          <w:rFonts w:hint="eastAsia"/>
          <w:lang w:val="en-GB" w:eastAsia="zh-CN"/>
        </w:rPr>
        <w:t>给出了该模型参数的全局值以及</w:t>
      </w:r>
      <w:r w:rsidRPr="00AC0A3F">
        <w:rPr>
          <w:rFonts w:hint="eastAsia"/>
          <w:lang w:val="en-US" w:eastAsia="zh-CN"/>
        </w:rPr>
        <w:t>全球</w:t>
      </w:r>
      <w:r w:rsidRPr="00AC0A3F">
        <w:rPr>
          <w:rFonts w:hint="eastAsia"/>
          <w:lang w:val="en-GB" w:eastAsia="zh-CN"/>
        </w:rPr>
        <w:t>几个区域的更详细</w:t>
      </w:r>
      <w:r w:rsidRPr="00AC0A3F">
        <w:rPr>
          <w:rFonts w:hint="eastAsia"/>
          <w:lang w:val="en-US" w:eastAsia="zh-CN"/>
        </w:rPr>
        <w:t>取</w:t>
      </w:r>
      <w:r w:rsidRPr="00AC0A3F">
        <w:rPr>
          <w:rFonts w:hint="eastAsia"/>
          <w:lang w:val="en-GB" w:eastAsia="zh-CN"/>
        </w:rPr>
        <w:t>值</w:t>
      </w:r>
      <w:r>
        <w:rPr>
          <w:rFonts w:hint="eastAsia"/>
          <w:lang w:val="en-GB" w:eastAsia="zh-CN"/>
        </w:rPr>
        <w:t>。</w:t>
      </w:r>
    </w:p>
    <w:p w14:paraId="50E7DC8B" w14:textId="041415F7" w:rsidR="000A5896" w:rsidRDefault="000A5896">
      <w:pPr>
        <w:rPr>
          <w:lang w:val="en-GB" w:eastAsia="zh-CN"/>
        </w:rPr>
      </w:pPr>
    </w:p>
    <w:p w14:paraId="1E12866C" w14:textId="77777777" w:rsidR="00AC0A3F" w:rsidRDefault="00AC0A3F" w:rsidP="00411C49">
      <w:pPr>
        <w:pStyle w:val="Reasons"/>
        <w:rPr>
          <w:lang w:eastAsia="zh-CN"/>
        </w:rPr>
      </w:pPr>
    </w:p>
    <w:p w14:paraId="47BBAD7C" w14:textId="77777777" w:rsidR="00AC0A3F" w:rsidRDefault="00AC0A3F">
      <w:pPr>
        <w:jc w:val="center"/>
      </w:pPr>
      <w:r>
        <w:t>______________</w:t>
      </w:r>
    </w:p>
    <w:p w14:paraId="119B4CD2" w14:textId="457EBDD1" w:rsidR="00AC0A3F" w:rsidRDefault="00AC0A3F">
      <w:pPr>
        <w:rPr>
          <w:lang w:val="en-GB" w:eastAsia="zh-CN"/>
        </w:rPr>
      </w:pPr>
    </w:p>
    <w:sectPr w:rsidR="00AC0A3F" w:rsidSect="00C0510C">
      <w:pgSz w:w="11907" w:h="16834"/>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2131" w14:textId="77777777" w:rsidR="00366235" w:rsidRDefault="00BA699F">
      <w:pPr>
        <w:spacing w:before="0"/>
      </w:pPr>
      <w:r>
        <w:separator/>
      </w:r>
    </w:p>
  </w:endnote>
  <w:endnote w:type="continuationSeparator" w:id="0">
    <w:p w14:paraId="3CBF195F" w14:textId="77777777" w:rsidR="00366235" w:rsidRDefault="00BA69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AA6E" w14:textId="77777777" w:rsidR="000A5896" w:rsidRDefault="00BA699F">
      <w:pPr>
        <w:spacing w:before="0"/>
      </w:pPr>
      <w:r>
        <w:separator/>
      </w:r>
    </w:p>
  </w:footnote>
  <w:footnote w:type="continuationSeparator" w:id="0">
    <w:p w14:paraId="2F653E6C" w14:textId="77777777" w:rsidR="000A5896" w:rsidRDefault="00BA699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761A" w14:textId="77777777" w:rsidR="000A5896" w:rsidRDefault="00BA699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30</w:t>
    </w:r>
    <w:r>
      <w:rPr>
        <w:rStyle w:val="PageNumber"/>
        <w:b/>
        <w:bCs/>
      </w:rPr>
      <w:fldChar w:fldCharType="end"/>
    </w:r>
    <w:r>
      <w:rPr>
        <w:lang w:val="en-US"/>
      </w:rPr>
      <w:tab/>
    </w:r>
    <w:r>
      <w:rPr>
        <w:b/>
        <w:bCs/>
      </w:rPr>
      <w:t>ITU-</w:t>
    </w:r>
    <w:proofErr w:type="gramStart"/>
    <w:r>
      <w:rPr>
        <w:b/>
        <w:bCs/>
      </w:rPr>
      <w:t>R  S.1844</w:t>
    </w:r>
    <w:proofErr w:type="gramEnd"/>
    <w:r>
      <w:rPr>
        <w:rFonts w:hint="eastAsia"/>
        <w:b/>
        <w:bCs/>
        <w:lang w:eastAsia="zh-CN"/>
      </w:rPr>
      <w:t xml:space="preserve"> </w:t>
    </w:r>
    <w:proofErr w:type="spellStart"/>
    <w:r>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B47D" w14:textId="77777777" w:rsidR="000A5896" w:rsidRDefault="00BA699F">
    <w:pPr>
      <w:pStyle w:val="Header"/>
      <w:jc w:val="left"/>
      <w:rPr>
        <w:lang w:val="en-US" w:eastAsia="zh-CN"/>
      </w:rPr>
    </w:pPr>
    <w:r>
      <w:rPr>
        <w:rFonts w:hint="eastAsia"/>
        <w:b/>
        <w:bCs/>
        <w:lang w:eastAsia="zh-CN"/>
      </w:rPr>
      <w:tab/>
    </w:r>
    <w:r>
      <w:rPr>
        <w:noProof/>
        <w:lang w:val="en-US" w:eastAsia="zh-CN"/>
      </w:rPr>
      <w:drawing>
        <wp:anchor distT="0" distB="0" distL="114300" distR="114300" simplePos="0" relativeHeight="251659264" behindDoc="1" locked="0" layoutInCell="1" allowOverlap="1" wp14:anchorId="2BD41006" wp14:editId="01778622">
          <wp:simplePos x="0" y="0"/>
          <wp:positionH relativeFrom="column">
            <wp:posOffset>-683895</wp:posOffset>
          </wp:positionH>
          <wp:positionV relativeFrom="paragraph">
            <wp:posOffset>-375285</wp:posOffset>
          </wp:positionV>
          <wp:extent cx="7553325" cy="10683240"/>
          <wp:effectExtent l="0" t="0" r="3175" b="10160"/>
          <wp:wrapNone/>
          <wp:docPr id="7" name="Picture 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3325" cy="106832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BBAA" w14:textId="77777777" w:rsidR="000A5896" w:rsidRDefault="00BA699F">
    <w:pPr>
      <w:pStyle w:val="Header"/>
      <w:jc w:val="left"/>
      <w:rPr>
        <w:lang w:val="en-US"/>
      </w:rPr>
    </w:pPr>
    <w:r>
      <w:rPr>
        <w:b/>
        <w:bCs/>
      </w:rPr>
      <w:t>ITU-R  P.676-</w:t>
    </w:r>
    <w:r>
      <w:rPr>
        <w:rFonts w:hint="eastAsia"/>
        <w:b/>
        <w:bCs/>
        <w:lang w:eastAsia="zh-CN"/>
      </w:rPr>
      <w:t xml:space="preserve">8 </w:t>
    </w:r>
    <w:proofErr w:type="spellStart"/>
    <w:r>
      <w:rPr>
        <w:rFonts w:hint="eastAsia"/>
        <w:b/>
        <w:bCs/>
      </w:rPr>
      <w:t>建议书</w:t>
    </w:r>
    <w:proofErr w:type="spellEnd"/>
  </w:p>
  <w:p w14:paraId="18855D46" w14:textId="77777777" w:rsidR="000A5896" w:rsidRDefault="000A5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ECF2" w14:textId="3E0924A4" w:rsidR="000A5896" w:rsidRDefault="00BA699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8</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7A7AA2">
      <w:rPr>
        <w:rFonts w:hint="eastAsia"/>
        <w:b/>
        <w:bCs/>
        <w:noProof/>
        <w:lang w:val="en-US"/>
      </w:rPr>
      <w:t>ITU-R  P.581-3</w:t>
    </w:r>
    <w:r w:rsidR="007A7AA2">
      <w:rPr>
        <w:rFonts w:hint="eastAsia"/>
        <w:b/>
        <w:bCs/>
        <w:noProof/>
        <w:lang w:val="en-US"/>
      </w:rPr>
      <w:t>建议书</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0C3F" w14:textId="3E8392FD" w:rsidR="000A5896" w:rsidRDefault="00C0510C">
    <w:pPr>
      <w:pStyle w:val="Header"/>
    </w:pPr>
    <w:r>
      <w:rPr>
        <w:rStyle w:val="PageNumber"/>
        <w:b/>
        <w:bCs/>
      </w:rPr>
      <w:tab/>
    </w:r>
    <w:r w:rsidR="00BA699F">
      <w:rPr>
        <w:b/>
        <w:bCs/>
      </w:rPr>
      <w:fldChar w:fldCharType="begin"/>
    </w:r>
    <w:r w:rsidR="00BA699F">
      <w:rPr>
        <w:b/>
        <w:bCs/>
      </w:rPr>
      <w:instrText>styleref href</w:instrText>
    </w:r>
    <w:r w:rsidR="00BA699F">
      <w:rPr>
        <w:b/>
        <w:bCs/>
      </w:rPr>
      <w:fldChar w:fldCharType="separate"/>
    </w:r>
    <w:r w:rsidR="007A7AA2">
      <w:rPr>
        <w:rFonts w:hint="eastAsia"/>
        <w:b/>
        <w:bCs/>
        <w:noProof/>
      </w:rPr>
      <w:t>ITU-R  P.581-3</w:t>
    </w:r>
    <w:r w:rsidR="007A7AA2">
      <w:rPr>
        <w:rFonts w:hint="eastAsia"/>
        <w:b/>
        <w:bCs/>
        <w:noProof/>
      </w:rPr>
      <w:t>建议书</w:t>
    </w:r>
    <w:r w:rsidR="00BA699F">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84CF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DC67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7EC6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5AB2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C6A5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5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8262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50F2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EF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CC0E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CC5F09"/>
    <w:rsid w:val="00001196"/>
    <w:rsid w:val="0001191A"/>
    <w:rsid w:val="0001438B"/>
    <w:rsid w:val="0002399D"/>
    <w:rsid w:val="0002462E"/>
    <w:rsid w:val="00026DCA"/>
    <w:rsid w:val="00045FE6"/>
    <w:rsid w:val="00057318"/>
    <w:rsid w:val="00060980"/>
    <w:rsid w:val="00066D34"/>
    <w:rsid w:val="000A5896"/>
    <w:rsid w:val="000C1F5C"/>
    <w:rsid w:val="000C3CBA"/>
    <w:rsid w:val="000D1F89"/>
    <w:rsid w:val="00101000"/>
    <w:rsid w:val="00102B0B"/>
    <w:rsid w:val="0010440F"/>
    <w:rsid w:val="001103BE"/>
    <w:rsid w:val="00116A04"/>
    <w:rsid w:val="00117F98"/>
    <w:rsid w:val="00121F57"/>
    <w:rsid w:val="001316A2"/>
    <w:rsid w:val="001372A2"/>
    <w:rsid w:val="00145EFA"/>
    <w:rsid w:val="00146728"/>
    <w:rsid w:val="00191853"/>
    <w:rsid w:val="001955AF"/>
    <w:rsid w:val="001A08B6"/>
    <w:rsid w:val="001A253C"/>
    <w:rsid w:val="001A3EEB"/>
    <w:rsid w:val="001B5F6A"/>
    <w:rsid w:val="001C23E5"/>
    <w:rsid w:val="001C59C7"/>
    <w:rsid w:val="001D1E4C"/>
    <w:rsid w:val="001D516B"/>
    <w:rsid w:val="001F190B"/>
    <w:rsid w:val="001F2230"/>
    <w:rsid w:val="00205DEC"/>
    <w:rsid w:val="002108E5"/>
    <w:rsid w:val="00217EBF"/>
    <w:rsid w:val="0022068A"/>
    <w:rsid w:val="00221A6E"/>
    <w:rsid w:val="002258B9"/>
    <w:rsid w:val="002325FE"/>
    <w:rsid w:val="00242AEE"/>
    <w:rsid w:val="00253A20"/>
    <w:rsid w:val="00263CB8"/>
    <w:rsid w:val="002800C6"/>
    <w:rsid w:val="00294A62"/>
    <w:rsid w:val="002A4162"/>
    <w:rsid w:val="002A61B2"/>
    <w:rsid w:val="002B06FB"/>
    <w:rsid w:val="002C1B98"/>
    <w:rsid w:val="002C5BDF"/>
    <w:rsid w:val="002D1E03"/>
    <w:rsid w:val="002D76C4"/>
    <w:rsid w:val="002E23AE"/>
    <w:rsid w:val="00321305"/>
    <w:rsid w:val="00331D66"/>
    <w:rsid w:val="00336072"/>
    <w:rsid w:val="003455B0"/>
    <w:rsid w:val="00366235"/>
    <w:rsid w:val="00383D9C"/>
    <w:rsid w:val="00386144"/>
    <w:rsid w:val="0039368B"/>
    <w:rsid w:val="00394560"/>
    <w:rsid w:val="003A0328"/>
    <w:rsid w:val="003A5154"/>
    <w:rsid w:val="003A6A01"/>
    <w:rsid w:val="003B5939"/>
    <w:rsid w:val="003C6583"/>
    <w:rsid w:val="003C78C8"/>
    <w:rsid w:val="003F181C"/>
    <w:rsid w:val="0040219D"/>
    <w:rsid w:val="00404893"/>
    <w:rsid w:val="0041264E"/>
    <w:rsid w:val="00412653"/>
    <w:rsid w:val="0041392D"/>
    <w:rsid w:val="00414762"/>
    <w:rsid w:val="00424F82"/>
    <w:rsid w:val="00457CE0"/>
    <w:rsid w:val="00460334"/>
    <w:rsid w:val="0046279E"/>
    <w:rsid w:val="00473A17"/>
    <w:rsid w:val="00476C2C"/>
    <w:rsid w:val="00483999"/>
    <w:rsid w:val="00493155"/>
    <w:rsid w:val="00494F15"/>
    <w:rsid w:val="004A5E8C"/>
    <w:rsid w:val="004C7891"/>
    <w:rsid w:val="004D1FB5"/>
    <w:rsid w:val="004E7738"/>
    <w:rsid w:val="004F20FB"/>
    <w:rsid w:val="004F7EC2"/>
    <w:rsid w:val="00500339"/>
    <w:rsid w:val="00507441"/>
    <w:rsid w:val="0052529D"/>
    <w:rsid w:val="0052717F"/>
    <w:rsid w:val="00527509"/>
    <w:rsid w:val="005454A8"/>
    <w:rsid w:val="00546570"/>
    <w:rsid w:val="00553C17"/>
    <w:rsid w:val="00572BB8"/>
    <w:rsid w:val="00574028"/>
    <w:rsid w:val="0057605F"/>
    <w:rsid w:val="0059720D"/>
    <w:rsid w:val="005A0DCC"/>
    <w:rsid w:val="005B3A05"/>
    <w:rsid w:val="005B41F6"/>
    <w:rsid w:val="005C7B67"/>
    <w:rsid w:val="005D4184"/>
    <w:rsid w:val="005E4AF2"/>
    <w:rsid w:val="005F5A42"/>
    <w:rsid w:val="005F65AB"/>
    <w:rsid w:val="00607D68"/>
    <w:rsid w:val="0062489A"/>
    <w:rsid w:val="006323E9"/>
    <w:rsid w:val="00640BC0"/>
    <w:rsid w:val="006421ED"/>
    <w:rsid w:val="00653132"/>
    <w:rsid w:val="00654C20"/>
    <w:rsid w:val="0066291E"/>
    <w:rsid w:val="00664F85"/>
    <w:rsid w:val="00670E84"/>
    <w:rsid w:val="00675181"/>
    <w:rsid w:val="0069460C"/>
    <w:rsid w:val="006A27B4"/>
    <w:rsid w:val="006D6838"/>
    <w:rsid w:val="006D7C1A"/>
    <w:rsid w:val="006D7D83"/>
    <w:rsid w:val="00720682"/>
    <w:rsid w:val="00720DD9"/>
    <w:rsid w:val="00727A17"/>
    <w:rsid w:val="007468DA"/>
    <w:rsid w:val="0076108D"/>
    <w:rsid w:val="00781307"/>
    <w:rsid w:val="007839CD"/>
    <w:rsid w:val="007A378B"/>
    <w:rsid w:val="007A726D"/>
    <w:rsid w:val="007A7AA2"/>
    <w:rsid w:val="007C2F79"/>
    <w:rsid w:val="007E6B04"/>
    <w:rsid w:val="007F3919"/>
    <w:rsid w:val="00801F80"/>
    <w:rsid w:val="00805F72"/>
    <w:rsid w:val="0083462D"/>
    <w:rsid w:val="00834DA6"/>
    <w:rsid w:val="00841D24"/>
    <w:rsid w:val="00850DD3"/>
    <w:rsid w:val="00853B7B"/>
    <w:rsid w:val="00864BE5"/>
    <w:rsid w:val="00873693"/>
    <w:rsid w:val="00874817"/>
    <w:rsid w:val="00874EB4"/>
    <w:rsid w:val="00877442"/>
    <w:rsid w:val="00891BBA"/>
    <w:rsid w:val="00895839"/>
    <w:rsid w:val="008A3019"/>
    <w:rsid w:val="008A581F"/>
    <w:rsid w:val="008A5D9D"/>
    <w:rsid w:val="008B0C4A"/>
    <w:rsid w:val="008B41B2"/>
    <w:rsid w:val="008B5D66"/>
    <w:rsid w:val="008B62D9"/>
    <w:rsid w:val="008B77CA"/>
    <w:rsid w:val="008C3822"/>
    <w:rsid w:val="008D027F"/>
    <w:rsid w:val="008D4B04"/>
    <w:rsid w:val="008D5D13"/>
    <w:rsid w:val="008E6BDB"/>
    <w:rsid w:val="008F33E2"/>
    <w:rsid w:val="009014A6"/>
    <w:rsid w:val="00912E3B"/>
    <w:rsid w:val="00913F4F"/>
    <w:rsid w:val="00916C1B"/>
    <w:rsid w:val="00921E57"/>
    <w:rsid w:val="00945760"/>
    <w:rsid w:val="0095250D"/>
    <w:rsid w:val="009547BF"/>
    <w:rsid w:val="00956E7C"/>
    <w:rsid w:val="00970AA6"/>
    <w:rsid w:val="009838C0"/>
    <w:rsid w:val="00983A5E"/>
    <w:rsid w:val="009A6D32"/>
    <w:rsid w:val="009B460E"/>
    <w:rsid w:val="009C38D7"/>
    <w:rsid w:val="009C3EC1"/>
    <w:rsid w:val="009D04CA"/>
    <w:rsid w:val="009E00A8"/>
    <w:rsid w:val="009F40A4"/>
    <w:rsid w:val="009F69AE"/>
    <w:rsid w:val="00A00D34"/>
    <w:rsid w:val="00A14BD8"/>
    <w:rsid w:val="00A35DAB"/>
    <w:rsid w:val="00A36FA2"/>
    <w:rsid w:val="00A44E3D"/>
    <w:rsid w:val="00A450B7"/>
    <w:rsid w:val="00A60942"/>
    <w:rsid w:val="00A6617B"/>
    <w:rsid w:val="00A668B3"/>
    <w:rsid w:val="00A72262"/>
    <w:rsid w:val="00A7531D"/>
    <w:rsid w:val="00A916F1"/>
    <w:rsid w:val="00AA2E68"/>
    <w:rsid w:val="00AA5F53"/>
    <w:rsid w:val="00AB0DC8"/>
    <w:rsid w:val="00AB563C"/>
    <w:rsid w:val="00AC070B"/>
    <w:rsid w:val="00AC0A3F"/>
    <w:rsid w:val="00AC60E6"/>
    <w:rsid w:val="00AD419D"/>
    <w:rsid w:val="00AD7F70"/>
    <w:rsid w:val="00AE3928"/>
    <w:rsid w:val="00AE5C9D"/>
    <w:rsid w:val="00AF6239"/>
    <w:rsid w:val="00B02723"/>
    <w:rsid w:val="00B0522B"/>
    <w:rsid w:val="00B12699"/>
    <w:rsid w:val="00B226F7"/>
    <w:rsid w:val="00B22888"/>
    <w:rsid w:val="00B32854"/>
    <w:rsid w:val="00B44E24"/>
    <w:rsid w:val="00B7144E"/>
    <w:rsid w:val="00B7181B"/>
    <w:rsid w:val="00B770C3"/>
    <w:rsid w:val="00BA089A"/>
    <w:rsid w:val="00BA1EA4"/>
    <w:rsid w:val="00BA699F"/>
    <w:rsid w:val="00BC6509"/>
    <w:rsid w:val="00BC7DC8"/>
    <w:rsid w:val="00BD2F7F"/>
    <w:rsid w:val="00BD43FC"/>
    <w:rsid w:val="00BE13B9"/>
    <w:rsid w:val="00BE60DA"/>
    <w:rsid w:val="00C0510C"/>
    <w:rsid w:val="00C169CC"/>
    <w:rsid w:val="00C23086"/>
    <w:rsid w:val="00C2539C"/>
    <w:rsid w:val="00C4270D"/>
    <w:rsid w:val="00C4580B"/>
    <w:rsid w:val="00C57BB5"/>
    <w:rsid w:val="00C617CB"/>
    <w:rsid w:val="00C618D9"/>
    <w:rsid w:val="00C62979"/>
    <w:rsid w:val="00C73564"/>
    <w:rsid w:val="00C777A8"/>
    <w:rsid w:val="00C81393"/>
    <w:rsid w:val="00C96B4E"/>
    <w:rsid w:val="00CB0467"/>
    <w:rsid w:val="00CB737D"/>
    <w:rsid w:val="00CC02D1"/>
    <w:rsid w:val="00CC0386"/>
    <w:rsid w:val="00CC23E6"/>
    <w:rsid w:val="00CC36CA"/>
    <w:rsid w:val="00CC46B4"/>
    <w:rsid w:val="00CC5F09"/>
    <w:rsid w:val="00CF188B"/>
    <w:rsid w:val="00D17D01"/>
    <w:rsid w:val="00D35CEB"/>
    <w:rsid w:val="00D57376"/>
    <w:rsid w:val="00D61475"/>
    <w:rsid w:val="00D70846"/>
    <w:rsid w:val="00D71296"/>
    <w:rsid w:val="00D715EC"/>
    <w:rsid w:val="00D7466E"/>
    <w:rsid w:val="00D758F2"/>
    <w:rsid w:val="00D774C6"/>
    <w:rsid w:val="00D8072E"/>
    <w:rsid w:val="00D842D3"/>
    <w:rsid w:val="00DA51F9"/>
    <w:rsid w:val="00DF3820"/>
    <w:rsid w:val="00DF4058"/>
    <w:rsid w:val="00DF4176"/>
    <w:rsid w:val="00DF7F30"/>
    <w:rsid w:val="00E05630"/>
    <w:rsid w:val="00E20FB2"/>
    <w:rsid w:val="00E25C0A"/>
    <w:rsid w:val="00E3386C"/>
    <w:rsid w:val="00E36414"/>
    <w:rsid w:val="00E37033"/>
    <w:rsid w:val="00E44847"/>
    <w:rsid w:val="00E464AD"/>
    <w:rsid w:val="00E509AB"/>
    <w:rsid w:val="00E54C04"/>
    <w:rsid w:val="00E91DC6"/>
    <w:rsid w:val="00EA463B"/>
    <w:rsid w:val="00EB6501"/>
    <w:rsid w:val="00EC5DE7"/>
    <w:rsid w:val="00F02BF4"/>
    <w:rsid w:val="00F132C0"/>
    <w:rsid w:val="00F32FF1"/>
    <w:rsid w:val="00F50628"/>
    <w:rsid w:val="00F50A26"/>
    <w:rsid w:val="00F56C75"/>
    <w:rsid w:val="00F775B9"/>
    <w:rsid w:val="00F8004F"/>
    <w:rsid w:val="00F83175"/>
    <w:rsid w:val="00F843AB"/>
    <w:rsid w:val="00F9267D"/>
    <w:rsid w:val="00FA6CD3"/>
    <w:rsid w:val="00FB457E"/>
    <w:rsid w:val="00FB53CD"/>
    <w:rsid w:val="00FD0ACE"/>
    <w:rsid w:val="00FE261C"/>
    <w:rsid w:val="10B53BB0"/>
    <w:rsid w:val="27462BA9"/>
    <w:rsid w:val="30656A38"/>
    <w:rsid w:val="34900B4F"/>
    <w:rsid w:val="3DC2371B"/>
    <w:rsid w:val="416D5C54"/>
    <w:rsid w:val="4FE36185"/>
    <w:rsid w:val="54754BEC"/>
    <w:rsid w:val="54A24721"/>
    <w:rsid w:val="558477DD"/>
    <w:rsid w:val="58584F50"/>
    <w:rsid w:val="5D816B29"/>
    <w:rsid w:val="63ED1FB3"/>
    <w:rsid w:val="67C04F53"/>
    <w:rsid w:val="6F3B4F58"/>
    <w:rsid w:val="78F079E2"/>
    <w:rsid w:val="7CF55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B83B"/>
  <w15:docId w15:val="{BF2425D3-ECFD-4834-A1FC-3A0748C2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8" w:semiHidden="1" w:unhideWhenUsed="1"/>
    <w:lsdException w:name="index 9" w:semiHidden="1" w:unhideWhenUsed="1"/>
    <w:lsdException w:name="toc 1" w:uiPriority="39"/>
    <w:lsdException w:name="toc 2" w:uiPriority="39"/>
    <w:lsdException w:name="toc 9" w:semiHidden="1" w:unhideWhenUsed="1"/>
    <w:lsdException w:name="Normal Indent" w:qFormat="1"/>
    <w:lsdException w:name="footnote text"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tyle>
  <w:style w:type="paragraph" w:styleId="TOC4">
    <w:name w:val="toc 4"/>
    <w:basedOn w:val="TOC3"/>
    <w:next w:val="Normal"/>
    <w:pPr>
      <w:tabs>
        <w:tab w:val="left" w:pos="3261"/>
      </w:tabs>
      <w:spacing w:before="80"/>
      <w:ind w:left="3261" w:hanging="993"/>
    </w:pPr>
  </w:style>
  <w:style w:type="paragraph" w:styleId="TOC3">
    <w:name w:val="toc 3"/>
    <w:basedOn w:val="TOC2"/>
    <w:next w:val="Normal"/>
    <w:pPr>
      <w:tabs>
        <w:tab w:val="left" w:pos="2155"/>
      </w:tabs>
      <w:ind w:left="2155" w:hanging="879"/>
    </w:pPr>
  </w:style>
  <w:style w:type="paragraph" w:styleId="TOC2">
    <w:name w:val="toc 2"/>
    <w:basedOn w:val="TOC1"/>
    <w:next w:val="Normal"/>
    <w:uiPriority w:val="39"/>
    <w:pPr>
      <w:tabs>
        <w:tab w:val="left" w:pos="1276"/>
      </w:tabs>
      <w:spacing w:before="160"/>
      <w:ind w:left="1276" w:hanging="709"/>
    </w:pPr>
  </w:style>
  <w:style w:type="paragraph" w:styleId="TOC1">
    <w:name w:val="toc 1"/>
    <w:basedOn w:val="Normal"/>
    <w:next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qFormat/>
    <w:pPr>
      <w:ind w:left="794"/>
    </w:pPr>
  </w:style>
  <w:style w:type="paragraph" w:styleId="Index5">
    <w:name w:val="index 5"/>
    <w:basedOn w:val="Normal"/>
    <w:next w:val="Normal"/>
    <w:pPr>
      <w:tabs>
        <w:tab w:val="clear" w:pos="794"/>
        <w:tab w:val="clear" w:pos="1191"/>
        <w:tab w:val="clear" w:pos="1588"/>
        <w:tab w:val="clear" w:pos="1985"/>
        <w:tab w:val="left" w:pos="1134"/>
        <w:tab w:val="left" w:pos="1871"/>
        <w:tab w:val="left" w:pos="2268"/>
      </w:tabs>
      <w:ind w:left="1132"/>
      <w:jc w:val="left"/>
    </w:pPr>
    <w:rPr>
      <w:lang w:val="en-GB"/>
    </w:rPr>
  </w:style>
  <w:style w:type="paragraph" w:styleId="CommentText">
    <w:name w:val="annotation text"/>
    <w:basedOn w:val="Normal"/>
    <w:link w:val="CommentTextChar"/>
    <w:rPr>
      <w:sz w:val="20"/>
    </w:rPr>
  </w:style>
  <w:style w:type="paragraph" w:styleId="Index6">
    <w:name w:val="index 6"/>
    <w:basedOn w:val="Normal"/>
    <w:next w:val="Normal"/>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4">
    <w:name w:val="index 4"/>
    <w:basedOn w:val="Normal"/>
    <w:next w:val="Normal"/>
    <w:pPr>
      <w:tabs>
        <w:tab w:val="clear" w:pos="794"/>
        <w:tab w:val="clear" w:pos="1191"/>
        <w:tab w:val="clear" w:pos="1588"/>
        <w:tab w:val="clear" w:pos="1985"/>
        <w:tab w:val="left" w:pos="1134"/>
        <w:tab w:val="left" w:pos="1871"/>
        <w:tab w:val="left" w:pos="2268"/>
      </w:tabs>
      <w:ind w:left="849"/>
      <w:jc w:val="left"/>
    </w:pPr>
    <w:rPr>
      <w:lang w:val="en-GB"/>
    </w:rPr>
  </w:style>
  <w:style w:type="paragraph" w:styleId="TOC5">
    <w:name w:val="toc 5"/>
    <w:basedOn w:val="TOC4"/>
    <w:next w:val="Normal"/>
  </w:style>
  <w:style w:type="paragraph" w:styleId="TOC8">
    <w:name w:val="toc 8"/>
    <w:basedOn w:val="TOC4"/>
    <w:next w:val="Normal"/>
  </w:style>
  <w:style w:type="paragraph" w:styleId="Index3">
    <w:name w:val="index 3"/>
    <w:basedOn w:val="Normal"/>
    <w:next w:val="Normal"/>
    <w:semiHidden/>
    <w:qFormat/>
    <w:pPr>
      <w:ind w:left="566"/>
    </w:pPr>
  </w:style>
  <w:style w:type="paragraph" w:styleId="BalloonText">
    <w:name w:val="Balloon Text"/>
    <w:basedOn w:val="Normal"/>
    <w:link w:val="BalloonTextChar"/>
    <w:pPr>
      <w:spacing w:before="0"/>
    </w:pPr>
    <w:rPr>
      <w:rFonts w:ascii="Tahoma" w:hAnsi="Tahoma" w:cs="Tahoma"/>
      <w:sz w:val="16"/>
      <w:szCs w:val="16"/>
    </w:rPr>
  </w:style>
  <w:style w:type="paragraph" w:styleId="Footer">
    <w:name w:val="footer"/>
    <w:basedOn w:val="Normal"/>
    <w:link w:val="FooterChar"/>
    <w:pPr>
      <w:tabs>
        <w:tab w:val="clear" w:pos="794"/>
        <w:tab w:val="clear" w:pos="1191"/>
        <w:tab w:val="clear" w:pos="1588"/>
        <w:tab w:val="clear" w:pos="1985"/>
      </w:tabs>
      <w:spacing w:before="0"/>
    </w:pPr>
    <w:rPr>
      <w:sz w:val="18"/>
    </w:rPr>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left" w:pos="255"/>
      </w:tabs>
      <w:ind w:left="255" w:hanging="255"/>
    </w:pPr>
    <w:rPr>
      <w:sz w:val="22"/>
    </w:rPr>
  </w:style>
  <w:style w:type="paragraph" w:styleId="TOC6">
    <w:name w:val="toc 6"/>
    <w:basedOn w:val="TOC4"/>
    <w:next w:val="Normal"/>
  </w:style>
  <w:style w:type="paragraph" w:styleId="Index7">
    <w:name w:val="index 7"/>
    <w:basedOn w:val="Normal"/>
    <w:next w:val="Normal"/>
    <w:pPr>
      <w:tabs>
        <w:tab w:val="clear" w:pos="794"/>
        <w:tab w:val="clear" w:pos="1191"/>
        <w:tab w:val="clear" w:pos="1588"/>
        <w:tab w:val="clear" w:pos="1985"/>
        <w:tab w:val="left" w:pos="1134"/>
        <w:tab w:val="left" w:pos="1871"/>
        <w:tab w:val="left" w:pos="2268"/>
      </w:tabs>
      <w:ind w:left="1698"/>
      <w:jc w:val="left"/>
    </w:pPr>
    <w:rPr>
      <w:lang w:val="en-GB"/>
    </w:rPr>
  </w:style>
  <w:style w:type="paragraph" w:styleId="Index2">
    <w:name w:val="index 2"/>
    <w:basedOn w:val="Normal"/>
    <w:next w:val="Normal"/>
    <w:semiHidden/>
    <w:qFormat/>
    <w:pPr>
      <w:ind w:left="283"/>
    </w:pPr>
  </w:style>
  <w:style w:type="paragraph" w:styleId="CommentSubject">
    <w:name w:val="annotation subject"/>
    <w:basedOn w:val="CommentText"/>
    <w:next w:val="CommentText"/>
    <w:link w:val="CommentSubjectChar"/>
    <w:rPr>
      <w:b/>
      <w:bCs/>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basedOn w:val="DefaultParagraphFont"/>
    <w:semiHidden/>
    <w:unhideWhenUsed/>
    <w:rPr>
      <w:color w:val="800080" w:themeColor="followedHyperlink"/>
      <w:u w:val="single"/>
    </w:rPr>
  </w:style>
  <w:style w:type="character" w:styleId="LineNumber">
    <w:name w:val="line number"/>
    <w:basedOn w:val="DefaultParagraphFont"/>
  </w:style>
  <w:style w:type="character" w:styleId="Hyperlink">
    <w:name w:val="Hyperlink"/>
    <w:basedOn w:val="DefaultParagraphFont"/>
    <w:uiPriority w:val="99"/>
    <w:rPr>
      <w:color w:val="0000FF"/>
      <w:u w:val="single"/>
    </w:rPr>
  </w:style>
  <w:style w:type="character" w:styleId="CommentReference">
    <w:name w:val="annotation reference"/>
    <w:rPr>
      <w:sz w:val="16"/>
      <w:szCs w:val="16"/>
    </w:rPr>
  </w:style>
  <w:style w:type="character" w:styleId="FootnoteReference">
    <w:name w:val="footnote reference"/>
    <w:basedOn w:val="DefaultParagraphFont"/>
    <w:qFormat/>
    <w:rPr>
      <w:position w:val="6"/>
      <w:sz w:val="18"/>
    </w:rPr>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HeadingSum">
    <w:name w:val="Heading_Sum"/>
    <w:basedOn w:val="Headingb"/>
    <w:next w:val="Normal"/>
    <w:pPr>
      <w:spacing w:before="240"/>
    </w:pPr>
    <w:rPr>
      <w:sz w:val="22"/>
    </w:r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Indent"/>
    <w:qFormat/>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480" w:after="80"/>
      <w:jc w:val="center"/>
    </w:pPr>
    <w:rPr>
      <w:caps/>
      <w:sz w:val="18"/>
    </w:rPr>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Figure">
    <w:name w:val="Figure"/>
    <w:basedOn w:val="FigureNo"/>
    <w:next w:val="Normal"/>
    <w:pPr>
      <w:keepNext w:val="0"/>
      <w:spacing w:before="0" w:after="240"/>
    </w:pPr>
  </w:style>
  <w:style w:type="paragraph" w:customStyle="1" w:styleId="tocpart">
    <w:name w:val="tocpart"/>
    <w:basedOn w:val="Normal"/>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qFormat/>
    <w:pPr>
      <w:keepNext/>
      <w:keepLines/>
      <w:spacing w:before="160"/>
      <w:ind w:left="794"/>
    </w:pPr>
    <w:rPr>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pPr>
      <w:outlineLvl w:val="0"/>
    </w:pPr>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Normal"/>
    <w:next w:val="Resref"/>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rPr>
  </w:style>
  <w:style w:type="paragraph" w:customStyle="1" w:styleId="TableLegendNote">
    <w:name w:val="Table_Legend_Note"/>
    <w:basedOn w:val="Tablelegend"/>
    <w:next w:val="Tablelegend"/>
    <w:pPr>
      <w:ind w:left="-85" w:firstLine="0"/>
    </w:pPr>
    <w:rPr>
      <w:lang w:val="en-US"/>
    </w:rPr>
  </w:style>
  <w:style w:type="character" w:customStyle="1" w:styleId="Heading1Char">
    <w:name w:val="Heading 1 Char"/>
    <w:basedOn w:val="DefaultParagraphFont"/>
    <w:link w:val="Heading1"/>
    <w:rPr>
      <w:b/>
      <w:sz w:val="24"/>
      <w:lang w:val="fr-FR" w:eastAsia="en-US"/>
    </w:rPr>
  </w:style>
  <w:style w:type="character" w:customStyle="1" w:styleId="HeaderChar">
    <w:name w:val="Header Char"/>
    <w:basedOn w:val="DefaultParagraphFont"/>
    <w:link w:val="Header"/>
    <w:rPr>
      <w:sz w:val="24"/>
      <w:lang w:val="fr-FR" w:eastAsia="en-US"/>
    </w:rPr>
  </w:style>
  <w:style w:type="character" w:customStyle="1" w:styleId="TableheadChar">
    <w:name w:val="Table_head Char"/>
    <w:basedOn w:val="DefaultParagraphFont"/>
    <w:link w:val="Tablehead"/>
    <w:locked/>
    <w:rPr>
      <w:b/>
      <w:sz w:val="22"/>
      <w:lang w:val="fr-FR" w:eastAsia="en-US"/>
    </w:rPr>
  </w:style>
  <w:style w:type="character" w:customStyle="1" w:styleId="TabletextChar">
    <w:name w:val="Table_text Char"/>
    <w:basedOn w:val="DefaultParagraphFont"/>
    <w:link w:val="Tabletext"/>
    <w:locked/>
    <w:rPr>
      <w:sz w:val="22"/>
      <w:lang w:val="fr-FR" w:eastAsia="en-US"/>
    </w:rPr>
  </w:style>
  <w:style w:type="character" w:customStyle="1" w:styleId="FootnoteTextChar">
    <w:name w:val="Footnote Text Char"/>
    <w:basedOn w:val="DefaultParagraphFont"/>
    <w:link w:val="FootnoteText"/>
    <w:rPr>
      <w:sz w:val="22"/>
      <w:lang w:val="fr-FR" w:eastAsia="en-US"/>
    </w:rPr>
  </w:style>
  <w:style w:type="paragraph" w:customStyle="1" w:styleId="Artheading">
    <w:name w:val="Art_heading"/>
    <w:basedOn w:val="Normal"/>
    <w:next w:val="Normal"/>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paragraph" w:customStyle="1" w:styleId="Figurewithouttitle">
    <w:name w:val="Figure_without_title"/>
    <w:basedOn w:val="FigureNo"/>
    <w:next w:val="Normal"/>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pPr>
      <w:overflowPunct/>
      <w:autoSpaceDE/>
      <w:autoSpaceDN/>
      <w:adjustRightInd/>
      <w:spacing w:before="40"/>
      <w:jc w:val="left"/>
      <w:textAlignment w:val="auto"/>
    </w:pPr>
    <w:rPr>
      <w:sz w:val="16"/>
      <w:lang w:val="en-GB"/>
    </w:rPr>
  </w:style>
  <w:style w:type="paragraph" w:customStyle="1" w:styleId="Source">
    <w:name w:val="Source"/>
    <w:basedOn w:val="Normal"/>
    <w:next w:val="Normal"/>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pPr>
      <w:tabs>
        <w:tab w:val="left" w:pos="567"/>
        <w:tab w:val="left" w:pos="1134"/>
        <w:tab w:val="left" w:pos="1701"/>
        <w:tab w:val="left" w:pos="2268"/>
        <w:tab w:val="left" w:pos="2835"/>
        <w:tab w:val="left" w:pos="5954"/>
        <w:tab w:val="right" w:pos="9639"/>
      </w:tabs>
    </w:pPr>
    <w:rPr>
      <w:sz w:val="16"/>
      <w:lang w:val="en-GB"/>
    </w:rPr>
  </w:style>
  <w:style w:type="paragraph" w:customStyle="1" w:styleId="Tableref">
    <w:name w:val="Table_ref"/>
    <w:basedOn w:val="Normal"/>
    <w:next w:val="Normal"/>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pPr>
      <w:tabs>
        <w:tab w:val="left" w:pos="1871"/>
      </w:tabs>
      <w:jc w:val="left"/>
    </w:pPr>
    <w:rPr>
      <w:rFonts w:ascii="Times New Roman Bold" w:hAnsi="Times New Roman Bold"/>
      <w:b w:val="0"/>
      <w:lang w:val="en-GB"/>
    </w:rPr>
  </w:style>
  <w:style w:type="paragraph" w:customStyle="1" w:styleId="Section1">
    <w:name w:val="Section_1"/>
    <w:basedOn w:val="Normal"/>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Pr>
      <w:b w:val="0"/>
      <w:i/>
    </w:rPr>
  </w:style>
  <w:style w:type="paragraph" w:customStyle="1" w:styleId="AnnexNo">
    <w:name w:val="Annex_No"/>
    <w:basedOn w:val="Normal"/>
    <w:next w:val="Normal"/>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sz w:val="20"/>
      <w:lang w:val="en-GB"/>
    </w:rPr>
  </w:style>
  <w:style w:type="paragraph" w:customStyle="1" w:styleId="Normalaftertitle0">
    <w:name w:val="Normal after title"/>
    <w:basedOn w:val="Normal"/>
    <w:next w:val="Normal"/>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
    <w:qFormat/>
    <w:pPr>
      <w:tabs>
        <w:tab w:val="clear" w:pos="794"/>
        <w:tab w:val="clear" w:pos="1191"/>
        <w:tab w:val="left" w:pos="1134"/>
      </w:tabs>
      <w:jc w:val="left"/>
    </w:pPr>
    <w:rPr>
      <w:lang w:val="en-GB"/>
    </w:rPr>
  </w:style>
  <w:style w:type="paragraph" w:customStyle="1" w:styleId="Section3">
    <w:name w:val="Section_3"/>
    <w:basedOn w:val="Section1"/>
    <w:rPr>
      <w:b w:val="0"/>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Pr>
      <w:sz w:val="18"/>
      <w:lang w:val="fr-FR" w:eastAsia="en-US"/>
    </w:rPr>
  </w:style>
  <w:style w:type="paragraph" w:customStyle="1" w:styleId="Normalend">
    <w:name w:val="Normal_end"/>
    <w:basedOn w:val="Normal"/>
    <w:next w:val="Normal"/>
    <w:qFormat/>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b/>
      <w:bCs/>
      <w:sz w:val="28"/>
      <w:szCs w:val="28"/>
      <w:lang w:val="en-GB"/>
    </w:rPr>
  </w:style>
  <w:style w:type="character" w:customStyle="1" w:styleId="TableNoChar">
    <w:name w:val="Table_No Char"/>
    <w:link w:val="TableNo"/>
    <w:locked/>
    <w:rPr>
      <w:sz w:val="24"/>
      <w:lang w:val="fr-FR" w:eastAsia="en-US"/>
    </w:rPr>
  </w:style>
  <w:style w:type="character" w:customStyle="1" w:styleId="TabletitleChar">
    <w:name w:val="Table_title Char"/>
    <w:link w:val="Tabletitle"/>
    <w:locked/>
    <w:rPr>
      <w:b/>
      <w:sz w:val="24"/>
      <w:lang w:val="fr-FR" w:eastAsia="en-US"/>
    </w:rPr>
  </w:style>
  <w:style w:type="character" w:customStyle="1" w:styleId="BalloonTextChar">
    <w:name w:val="Balloon Text Char"/>
    <w:basedOn w:val="DefaultParagraphFont"/>
    <w:link w:val="BalloonText"/>
    <w:rPr>
      <w:rFonts w:ascii="Tahoma" w:hAnsi="Tahoma" w:cs="Tahoma"/>
      <w:sz w:val="16"/>
      <w:szCs w:val="16"/>
      <w:lang w:val="fr-FR" w:eastAsia="en-US"/>
    </w:rPr>
  </w:style>
  <w:style w:type="character" w:customStyle="1" w:styleId="CommentTextChar">
    <w:name w:val="Comment Text Char"/>
    <w:basedOn w:val="DefaultParagraphFont"/>
    <w:link w:val="CommentText"/>
    <w:rPr>
      <w:lang w:val="fr-FR" w:eastAsia="en-US"/>
    </w:rPr>
  </w:style>
  <w:style w:type="character" w:customStyle="1" w:styleId="CommentSubjectChar">
    <w:name w:val="Comment Subject Char"/>
    <w:basedOn w:val="CommentTextChar"/>
    <w:link w:val="CommentSubject"/>
    <w:rPr>
      <w:b/>
      <w:bCs/>
      <w:lang w:val="fr-FR"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rPr>
      <w:b/>
      <w:sz w:val="24"/>
      <w:lang w:val="fr-FR" w:eastAsia="en-US"/>
    </w:rPr>
  </w:style>
  <w:style w:type="character" w:customStyle="1" w:styleId="HeadingbChar">
    <w:name w:val="Heading_b Char"/>
    <w:basedOn w:val="DefaultParagraphFont"/>
    <w:link w:val="Headingb"/>
    <w:locked/>
    <w:rPr>
      <w:b/>
      <w:sz w:val="24"/>
      <w:lang w:val="fr-FR" w:eastAsia="en-US"/>
    </w:rPr>
  </w:style>
  <w:style w:type="character" w:customStyle="1" w:styleId="FiguretitleChar">
    <w:name w:val="Figure_title Char"/>
    <w:basedOn w:val="DefaultParagraphFont"/>
    <w:link w:val="Figuretitle"/>
    <w:rPr>
      <w:rFonts w:ascii="Times New Roman Bold" w:hAnsi="Times New Roman Bold"/>
      <w:b/>
      <w:sz w:val="18"/>
      <w:lang w:val="fr-FR"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GridTable1Light-Accent11">
    <w:name w:val="Grid Table 1 Light - Accent 11"/>
    <w:basedOn w:val="TableNormal"/>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cTitle0">
    <w:name w:val="Rec_Title"/>
    <w:basedOn w:val="Normal"/>
    <w:next w:val="RecTitleRef"/>
    <w:pPr>
      <w:keepNext/>
      <w:keepLines/>
      <w:tabs>
        <w:tab w:val="clear" w:pos="794"/>
        <w:tab w:val="clear" w:pos="1191"/>
        <w:tab w:val="clear" w:pos="1588"/>
        <w:tab w:val="clear" w:pos="1985"/>
        <w:tab w:val="center" w:pos="4849"/>
        <w:tab w:val="right" w:pos="9696"/>
      </w:tabs>
      <w:spacing w:before="180"/>
      <w:jc w:val="center"/>
    </w:pPr>
    <w:rPr>
      <w:b/>
      <w:sz w:val="20"/>
      <w:lang w:val="en-GB"/>
    </w:rPr>
  </w:style>
  <w:style w:type="paragraph" w:customStyle="1" w:styleId="RecTitleRef">
    <w:name w:val="Rec_Title/Ref"/>
    <w:basedOn w:val="RecTitle0"/>
    <w:next w:val="RecTitleDate"/>
    <w:pPr>
      <w:spacing w:before="136"/>
    </w:pPr>
    <w:rPr>
      <w:b w:val="0"/>
    </w:rPr>
  </w:style>
  <w:style w:type="paragraph" w:customStyle="1" w:styleId="RecTitleDate">
    <w:name w:val="Rec_Title/Date"/>
    <w:basedOn w:val="RecTitleRef"/>
    <w:next w:val="Normal"/>
    <w:pPr>
      <w:tabs>
        <w:tab w:val="clear" w:pos="4849"/>
      </w:tabs>
      <w:jc w:val="right"/>
    </w:pPr>
  </w:style>
  <w:style w:type="paragraph" w:customStyle="1" w:styleId="headfoot">
    <w:name w:val="head_foot"/>
    <w:basedOn w:val="Normal"/>
    <w:next w:val="Normal"/>
    <w:pPr>
      <w:tabs>
        <w:tab w:val="clear" w:pos="794"/>
        <w:tab w:val="clear" w:pos="1191"/>
        <w:tab w:val="clear" w:pos="1588"/>
        <w:tab w:val="clear" w:pos="1985"/>
      </w:tabs>
      <w:spacing w:before="0"/>
    </w:pPr>
    <w:rPr>
      <w:b/>
      <w:color w:val="FFFFFF"/>
      <w:sz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rec/R-REC-P.841/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0655A-AE50-48E8-B510-7EC5F13E3B09}">
  <ds:schemaRefs/>
</ds:datastoreItem>
</file>

<file path=docProps/app.xml><?xml version="1.0" encoding="utf-8"?>
<Properties xmlns="http://schemas.openxmlformats.org/officeDocument/2006/extended-properties" xmlns:vt="http://schemas.openxmlformats.org/officeDocument/2006/docPropsVTypes">
  <Template>BR_Rec_2005.dotm</Template>
  <TotalTime>71</TotalTime>
  <Pages>3</Pages>
  <Words>973</Words>
  <Characters>525</Characters>
  <Application>Microsoft Office Word</Application>
  <DocSecurity>0</DocSecurity>
  <Lines>58</Lines>
  <Paragraphs>74</Paragraphs>
  <ScaleCrop>false</ScaleCrop>
  <HeadingPairs>
    <vt:vector size="2" baseType="variant">
      <vt:variant>
        <vt:lpstr>Title</vt:lpstr>
      </vt:variant>
      <vt:variant>
        <vt:i4>1</vt:i4>
      </vt:variant>
    </vt:vector>
  </HeadingPairs>
  <TitlesOfParts>
    <vt:vector size="1" baseType="lpstr">
      <vt:lpstr>RECOMMENDATION  ITU-R  P.581-3 - The concept of “worst month”</vt:lpstr>
    </vt:vector>
  </TitlesOfParts>
  <Company>ITU</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P.581-3建议书（08/2022）“最差月份”的概念</dc:title>
  <dc:subject>P Series = Radiowave propagation</dc:subject>
  <dc:creator>ITU Radiocommunication Bureau (BR)</dc:creator>
  <cp:keywords>P,581-3</cp:keywords>
  <dc:description>Gachetc, 30/06/2022, ITU51013811</dc:description>
  <cp:lastModifiedBy>Liu, Sanping</cp:lastModifiedBy>
  <cp:revision>8</cp:revision>
  <cp:lastPrinted>2019-09-20T06:31:00Z</cp:lastPrinted>
  <dcterms:created xsi:type="dcterms:W3CDTF">2023-01-27T08:47:00Z</dcterms:created>
  <dcterms:modified xsi:type="dcterms:W3CDTF">2023-01-27T15:16:00Z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13 August 2021</vt:lpwstr>
  </property>
  <property fmtid="{D5CDD505-2E9C-101B-9397-08002B2CF9AE}" pid="12" name="KSOProductBuildVer">
    <vt:lpwstr>2052-11.1.0.13703</vt:lpwstr>
  </property>
  <property fmtid="{D5CDD505-2E9C-101B-9397-08002B2CF9AE}" pid="13" name="ICV">
    <vt:lpwstr>B7295AA0DB1242DEB54805E42FFD67EA</vt:lpwstr>
  </property>
</Properties>
</file>