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61F39" w14:textId="77777777" w:rsidR="002B706F" w:rsidRDefault="002B706F" w:rsidP="00197749">
      <w:pPr>
        <w:rPr>
          <w:lang w:bidi="ar-EG"/>
        </w:rPr>
      </w:pPr>
    </w:p>
    <w:p w14:paraId="4BF8C2AB" w14:textId="77777777" w:rsidR="00091A6B" w:rsidRDefault="00091A6B" w:rsidP="00197749">
      <w:pPr>
        <w:rPr>
          <w:rtl/>
        </w:rPr>
      </w:pPr>
    </w:p>
    <w:p w14:paraId="215108B8" w14:textId="41601905" w:rsidR="00091A6B" w:rsidRDefault="00091A6B" w:rsidP="00091A6B">
      <w:pPr>
        <w:pStyle w:val="CoverNumber"/>
      </w:pPr>
      <w:r w:rsidRPr="00091A6B">
        <w:rPr>
          <w:rtl/>
        </w:rPr>
        <w:t xml:space="preserve">التوصيـة  </w:t>
      </w:r>
      <w:r w:rsidR="00B5296E" w:rsidRPr="00B5296E">
        <w:t>ITU-R P.531-16</w:t>
      </w:r>
    </w:p>
    <w:p w14:paraId="3CC83237" w14:textId="09E03B54" w:rsidR="00091A6B" w:rsidRDefault="00B5296E" w:rsidP="00091A6B">
      <w:pPr>
        <w:pStyle w:val="CoverDate"/>
      </w:pPr>
      <w:r w:rsidRPr="00B5296E">
        <w:t>(2025/09)</w:t>
      </w:r>
    </w:p>
    <w:p w14:paraId="673B4ABC"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68AEF792" w14:textId="33F8DB8B" w:rsidR="00091A6B" w:rsidRPr="00EF6496" w:rsidRDefault="00B5296E" w:rsidP="00AA4171">
      <w:pPr>
        <w:pStyle w:val="CoverTitle"/>
        <w:spacing w:before="360"/>
        <w:jc w:val="left"/>
      </w:pPr>
      <w:r>
        <w:rPr>
          <w:rtl/>
        </w:rPr>
        <w:t>بيانات الانتشار الأيونوسفيري</w:t>
      </w:r>
      <w:r w:rsidR="00775C8F">
        <w:rPr>
          <w:rFonts w:hint="cs"/>
          <w:rtl/>
          <w:lang w:bidi="ar-EG"/>
        </w:rPr>
        <w:t xml:space="preserve"> </w:t>
      </w:r>
      <w:r>
        <w:rPr>
          <w:rtl/>
        </w:rPr>
        <w:t>وطرائق التنبؤ المطلوبة</w:t>
      </w:r>
      <w:r w:rsidR="00AA4171">
        <w:rPr>
          <w:rFonts w:hint="cs"/>
          <w:rtl/>
        </w:rPr>
        <w:t xml:space="preserve"> </w:t>
      </w:r>
      <w:r>
        <w:rPr>
          <w:rtl/>
        </w:rPr>
        <w:t>من</w:t>
      </w:r>
      <w:r w:rsidR="00AA4171">
        <w:rPr>
          <w:rFonts w:hint="cs"/>
          <w:rtl/>
        </w:rPr>
        <w:t> </w:t>
      </w:r>
      <w:r>
        <w:rPr>
          <w:rtl/>
        </w:rPr>
        <w:t>أجل</w:t>
      </w:r>
      <w:r w:rsidR="00775C8F">
        <w:rPr>
          <w:rFonts w:hint="cs"/>
          <w:rtl/>
        </w:rPr>
        <w:t xml:space="preserve"> </w:t>
      </w:r>
      <w:r>
        <w:rPr>
          <w:rtl/>
        </w:rPr>
        <w:t>تصميم الشبكات والأنظمة الساتلية</w:t>
      </w:r>
    </w:p>
    <w:p w14:paraId="1B5C7DC0" w14:textId="77777777" w:rsidR="00091A6B" w:rsidRDefault="00091A6B" w:rsidP="007B6A86"/>
    <w:p w14:paraId="4650DCD5" w14:textId="77777777" w:rsidR="00091A6B" w:rsidRPr="007B6A86" w:rsidRDefault="00091A6B" w:rsidP="007B6A86"/>
    <w:p w14:paraId="2734A60E" w14:textId="77777777" w:rsidR="00091A6B" w:rsidRDefault="00091A6B" w:rsidP="007B6A86"/>
    <w:p w14:paraId="29D33649" w14:textId="77777777" w:rsidR="00091A6B" w:rsidRDefault="00091A6B" w:rsidP="007B6A86"/>
    <w:p w14:paraId="26D66823" w14:textId="77777777" w:rsidR="00091A6B" w:rsidRDefault="00A161D3" w:rsidP="007B6A86">
      <w:r>
        <w:rPr>
          <w:noProof/>
        </w:rPr>
        <w:drawing>
          <wp:anchor distT="0" distB="0" distL="114300" distR="114300" simplePos="0" relativeHeight="251659776" behindDoc="0" locked="0" layoutInCell="1" allowOverlap="1" wp14:anchorId="1AFAE73C" wp14:editId="2685AE1C">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0A65C37C"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1751C52" wp14:editId="34CC5FD0">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0CA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DB649B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51C52"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F940CA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DB649B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D092B6F"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3D434C9"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EF9FFC6"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7D63954" w14:textId="77777777" w:rsidR="005E066B" w:rsidRPr="00440F51" w:rsidRDefault="005E066B" w:rsidP="005E066B">
      <w:pPr>
        <w:spacing w:before="0"/>
        <w:rPr>
          <w:spacing w:val="-2"/>
          <w:sz w:val="21"/>
          <w:szCs w:val="28"/>
          <w:lang w:val="ru-RU"/>
        </w:rPr>
      </w:pPr>
    </w:p>
    <w:p w14:paraId="306222A9"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3FD86A63"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822893">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C762C42" w14:textId="77777777" w:rsidR="005E066B" w:rsidRDefault="005E066B" w:rsidP="005E066B">
      <w:pPr>
        <w:spacing w:before="0"/>
        <w:rPr>
          <w:sz w:val="21"/>
          <w:szCs w:val="20"/>
          <w:rtl/>
          <w:lang w:bidi="ar-EG"/>
        </w:rPr>
      </w:pPr>
    </w:p>
    <w:p w14:paraId="0C8CC715"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411E9892"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0FBE21B6"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C1FF59F" w14:textId="72126CB8"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775C8F">
                <w:rPr>
                  <w:rStyle w:val="Hyperlink"/>
                  <w:sz w:val="18"/>
                  <w:szCs w:val="24"/>
                </w:rPr>
                <w:t>https://www.itu.int/publ/R-REC/en</w:t>
              </w:r>
            </w:hyperlink>
            <w:r w:rsidRPr="009C6655">
              <w:rPr>
                <w:rFonts w:hint="cs"/>
                <w:sz w:val="18"/>
                <w:szCs w:val="24"/>
                <w:rtl/>
              </w:rPr>
              <w:t>)</w:t>
            </w:r>
          </w:p>
        </w:tc>
      </w:tr>
      <w:tr w:rsidR="005E066B" w:rsidRPr="00440F51" w14:paraId="6B78D8FE" w14:textId="77777777" w:rsidTr="001E77BC">
        <w:trPr>
          <w:jc w:val="center"/>
        </w:trPr>
        <w:tc>
          <w:tcPr>
            <w:tcW w:w="1480" w:type="dxa"/>
            <w:tcBorders>
              <w:left w:val="single" w:sz="12" w:space="0" w:color="000080"/>
            </w:tcBorders>
          </w:tcPr>
          <w:p w14:paraId="4DD001A3"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FDBB9E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5037DB28"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62979F1"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5A9BD889"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9DF67C0"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48170978"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27CEEAEB"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CA9BA7C"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36D3211A"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77F859D0"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7664114B"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78371462"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0D9A6C3D"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06EF71C4" w14:textId="77777777" w:rsidTr="00AA4171">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7415E497"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3E5D3555"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2AEC17E3"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12F334E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8D3DDDD"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4DF1E2D2"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741AF61"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73B738AC"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5397702C"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21E80B45" w14:textId="77777777" w:rsidTr="001E77BC">
        <w:trPr>
          <w:jc w:val="center"/>
        </w:trPr>
        <w:tc>
          <w:tcPr>
            <w:tcW w:w="9394" w:type="dxa"/>
            <w:gridSpan w:val="2"/>
            <w:tcBorders>
              <w:left w:val="single" w:sz="12" w:space="0" w:color="000080"/>
              <w:right w:val="single" w:sz="12" w:space="0" w:color="000080"/>
            </w:tcBorders>
          </w:tcPr>
          <w:p w14:paraId="570625E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0739D266" w14:textId="77777777" w:rsidTr="001E77BC">
        <w:trPr>
          <w:jc w:val="center"/>
        </w:trPr>
        <w:tc>
          <w:tcPr>
            <w:tcW w:w="9394" w:type="dxa"/>
            <w:gridSpan w:val="2"/>
            <w:tcBorders>
              <w:left w:val="single" w:sz="12" w:space="0" w:color="000080"/>
              <w:right w:val="single" w:sz="12" w:space="0" w:color="000080"/>
            </w:tcBorders>
          </w:tcPr>
          <w:p w14:paraId="5E052A6F"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25298C55" w14:textId="77777777" w:rsidTr="001E77BC">
        <w:trPr>
          <w:jc w:val="center"/>
        </w:trPr>
        <w:tc>
          <w:tcPr>
            <w:tcW w:w="9394" w:type="dxa"/>
            <w:gridSpan w:val="2"/>
            <w:tcBorders>
              <w:left w:val="single" w:sz="12" w:space="0" w:color="000080"/>
              <w:right w:val="single" w:sz="12" w:space="0" w:color="000080"/>
            </w:tcBorders>
          </w:tcPr>
          <w:p w14:paraId="50494003"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9DE9A9F" w14:textId="77777777" w:rsidTr="001E77BC">
        <w:trPr>
          <w:jc w:val="center"/>
        </w:trPr>
        <w:tc>
          <w:tcPr>
            <w:tcW w:w="9394" w:type="dxa"/>
            <w:gridSpan w:val="2"/>
            <w:tcBorders>
              <w:left w:val="single" w:sz="12" w:space="0" w:color="000080"/>
              <w:right w:val="single" w:sz="12" w:space="0" w:color="000080"/>
            </w:tcBorders>
          </w:tcPr>
          <w:p w14:paraId="45F9592B"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EAD640D"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3BDE6AA1"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CE41E17" w14:textId="77777777" w:rsidR="005E066B" w:rsidRPr="00440F51" w:rsidRDefault="005E066B" w:rsidP="005E066B">
      <w:pPr>
        <w:spacing w:before="0"/>
        <w:rPr>
          <w:sz w:val="21"/>
          <w:szCs w:val="20"/>
          <w:rtl/>
        </w:rPr>
      </w:pPr>
    </w:p>
    <w:p w14:paraId="16632A41"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69EC07B8" w14:textId="77777777" w:rsidTr="001E77BC">
        <w:trPr>
          <w:trHeight w:val="720"/>
          <w:jc w:val="center"/>
        </w:trPr>
        <w:tc>
          <w:tcPr>
            <w:tcW w:w="9379" w:type="dxa"/>
          </w:tcPr>
          <w:p w14:paraId="7558C78B"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1EF11129" w14:textId="7777777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4A0A13">
        <w:rPr>
          <w:sz w:val="20"/>
          <w:szCs w:val="26"/>
        </w:rPr>
        <w:t>5</w:t>
      </w:r>
    </w:p>
    <w:p w14:paraId="212C1A47" w14:textId="77777777" w:rsidR="005E066B" w:rsidRPr="00440F51" w:rsidRDefault="005E066B" w:rsidP="003D40E1">
      <w:pPr>
        <w:spacing w:before="0" w:line="120" w:lineRule="auto"/>
        <w:ind w:right="539"/>
        <w:jc w:val="right"/>
        <w:rPr>
          <w:sz w:val="21"/>
          <w:szCs w:val="28"/>
          <w:rtl/>
          <w:lang w:bidi="ar-EG"/>
        </w:rPr>
      </w:pPr>
    </w:p>
    <w:p w14:paraId="33F8DB1A" w14:textId="77777777"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4A0A13">
        <w:rPr>
          <w:sz w:val="21"/>
          <w:szCs w:val="20"/>
        </w:rPr>
        <w:t>5</w:t>
      </w:r>
    </w:p>
    <w:p w14:paraId="6CFA4EF5"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59B3F707"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6818A247" w14:textId="390CBE0C"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B5296E">
        <w:rPr>
          <w:rStyle w:val="href"/>
          <w:rFonts w:eastAsia="Times New Roman" w:cs="Times New Roman"/>
          <w:szCs w:val="20"/>
          <w:lang w:eastAsia="en-US" w:bidi="ar-SA"/>
        </w:rPr>
        <w:t>531-16</w:t>
      </w:r>
    </w:p>
    <w:p w14:paraId="14167CB9" w14:textId="6AF7E936" w:rsidR="002E6ECC" w:rsidRPr="006E3D0D" w:rsidRDefault="00B5296E" w:rsidP="004C09FF">
      <w:pPr>
        <w:pStyle w:val="Rectitle"/>
        <w:rPr>
          <w:rtl/>
        </w:rPr>
      </w:pPr>
      <w:r>
        <w:rPr>
          <w:rtl/>
        </w:rPr>
        <w:t>بيانات الانتشار الأيونوسفيري وطرائق التنبؤ المطلوبة</w:t>
      </w:r>
      <w:r w:rsidR="004C09FF">
        <w:rPr>
          <w:rtl/>
        </w:rPr>
        <w:br/>
      </w:r>
      <w:r>
        <w:rPr>
          <w:rtl/>
        </w:rPr>
        <w:t>من أجل تصميم الشبكات والأنظمة الساتلية</w:t>
      </w:r>
    </w:p>
    <w:p w14:paraId="3DBB9382" w14:textId="20451C72" w:rsidR="002E6ECC" w:rsidRPr="004C09FF" w:rsidRDefault="00B5296E" w:rsidP="004C09FF">
      <w:pPr>
        <w:pStyle w:val="Questionref"/>
        <w:rPr>
          <w:rtl/>
        </w:rPr>
      </w:pPr>
      <w:r w:rsidRPr="004C09FF">
        <w:rPr>
          <w:rtl/>
        </w:rPr>
        <w:t>(</w:t>
      </w:r>
      <w:r w:rsidRPr="00AA4171">
        <w:rPr>
          <w:rtl/>
        </w:rPr>
        <w:t xml:space="preserve">المسألة </w:t>
      </w:r>
      <w:hyperlink r:id="rId15" w:history="1">
        <w:r w:rsidR="00B471FF" w:rsidRPr="00AA4171">
          <w:rPr>
            <w:rStyle w:val="Hyperlink"/>
            <w:iCs/>
            <w:color w:val="auto"/>
            <w:u w:val="none"/>
            <w:lang w:val="en-GB"/>
          </w:rPr>
          <w:t>ITU-R 218/3</w:t>
        </w:r>
      </w:hyperlink>
      <w:r w:rsidRPr="004C09FF">
        <w:rPr>
          <w:rtl/>
        </w:rPr>
        <w:t>)</w:t>
      </w:r>
    </w:p>
    <w:p w14:paraId="6016B4F2" w14:textId="028191B3" w:rsidR="002E6ECC" w:rsidRDefault="00B5296E" w:rsidP="002A5099">
      <w:pPr>
        <w:pStyle w:val="Recdate"/>
      </w:pPr>
      <w:r w:rsidRPr="00B5296E">
        <w:t>(2025-2023-2019-2016-2013-2012-2009-2007-2005-2003-2001-1999-1997-1994-1992-1990-1978)</w:t>
      </w:r>
    </w:p>
    <w:p w14:paraId="7A7934A1" w14:textId="2AA49536" w:rsidR="00B5296E" w:rsidRDefault="00B5296E" w:rsidP="002A5099">
      <w:pPr>
        <w:pStyle w:val="HeadingSum"/>
        <w:rPr>
          <w:rtl/>
        </w:rPr>
      </w:pPr>
      <w:bookmarkStart w:id="0" w:name="_Hlk214356359"/>
      <w:r>
        <w:rPr>
          <w:rtl/>
        </w:rPr>
        <w:t>مجال التطبيق</w:t>
      </w:r>
      <w:bookmarkEnd w:id="0"/>
    </w:p>
    <w:p w14:paraId="16E4FE06" w14:textId="5DE23563" w:rsidR="00B5296E" w:rsidRDefault="00B5296E" w:rsidP="00AA4171">
      <w:pPr>
        <w:pStyle w:val="Summary"/>
        <w:rPr>
          <w:rtl/>
        </w:rPr>
      </w:pPr>
      <w:bookmarkStart w:id="1" w:name="_Hlk214356367"/>
      <w:r>
        <w:rPr>
          <w:rtl/>
        </w:rPr>
        <w:t xml:space="preserve">تصف التوصية </w:t>
      </w:r>
      <w:r>
        <w:t>ITU-R P.531</w:t>
      </w:r>
      <w:r>
        <w:rPr>
          <w:rtl/>
        </w:rPr>
        <w:t xml:space="preserve"> طريقة تقدير آثار الانتشار الأيونوسفيري على المسيرات بين الأرض والفضاء (في الترددات الواقعة بين</w:t>
      </w:r>
      <w:r w:rsidR="00AA4171">
        <w:rPr>
          <w:rFonts w:hint="cs"/>
          <w:rtl/>
        </w:rPr>
        <w:t> </w:t>
      </w:r>
      <w:r>
        <w:t>0,1</w:t>
      </w:r>
      <w:r>
        <w:rPr>
          <w:rtl/>
        </w:rPr>
        <w:t xml:space="preserve"> و</w:t>
      </w:r>
      <w:r>
        <w:t>GHz 12</w:t>
      </w:r>
      <w:r>
        <w:rPr>
          <w:rtl/>
        </w:rPr>
        <w:t>) "أو" (في ترددات فوق التردد الحرج للغلاف الأيونوسفيري، حيث يصبح الأيونوسفير شفافاً للموجات الراديوية، لعدة عشرات من الغيغاهرتزات). وفيما يلي الآثار التي قد تتعرض لها المسيرات بين الأرض والفضاء عند اختراق الإشارة للأيونوسفير:</w:t>
      </w:r>
    </w:p>
    <w:p w14:paraId="69F1F7A1" w14:textId="77777777" w:rsidR="00B5296E" w:rsidRDefault="00B5296E" w:rsidP="004C5067">
      <w:pPr>
        <w:pStyle w:val="enumlev1"/>
        <w:spacing w:line="180" w:lineRule="auto"/>
        <w:rPr>
          <w:rtl/>
        </w:rPr>
      </w:pPr>
      <w:r>
        <w:rPr>
          <w:rtl/>
        </w:rPr>
        <w:t>-</w:t>
      </w:r>
      <w:r>
        <w:rPr>
          <w:rtl/>
        </w:rPr>
        <w:tab/>
        <w:t>دوران الاستقطاب (دوران فاراداي) وسببه تفاعل الموجة الكهرمغنطيسية مع الوسيط المتأين في المجال المغنطيسي للأرض على طول المسير؛</w:t>
      </w:r>
    </w:p>
    <w:p w14:paraId="02B5D853" w14:textId="77777777" w:rsidR="00B5296E" w:rsidRDefault="00B5296E" w:rsidP="004C5067">
      <w:pPr>
        <w:pStyle w:val="enumlev1"/>
        <w:spacing w:line="180" w:lineRule="auto"/>
        <w:rPr>
          <w:rtl/>
        </w:rPr>
      </w:pPr>
      <w:r>
        <w:rPr>
          <w:rtl/>
        </w:rPr>
        <w:t>-</w:t>
      </w:r>
      <w:r>
        <w:rPr>
          <w:rtl/>
        </w:rPr>
        <w:tab/>
        <w:t xml:space="preserve">تأخر زمرة الإشارة وتقدم الطور الناجمان عن المحتوى الإلكتروني الإجمالي </w:t>
      </w:r>
      <w:r>
        <w:t>(TEC)</w:t>
      </w:r>
      <w:r>
        <w:rPr>
          <w:rtl/>
        </w:rPr>
        <w:t xml:space="preserve"> المتراكم على طول المسير؛</w:t>
      </w:r>
    </w:p>
    <w:p w14:paraId="15388CCC" w14:textId="77777777" w:rsidR="00B5296E" w:rsidRDefault="00B5296E" w:rsidP="004C5067">
      <w:pPr>
        <w:pStyle w:val="enumlev1"/>
        <w:spacing w:line="180" w:lineRule="auto"/>
        <w:rPr>
          <w:rtl/>
        </w:rPr>
      </w:pPr>
      <w:r>
        <w:rPr>
          <w:rtl/>
        </w:rPr>
        <w:t>-</w:t>
      </w:r>
      <w:r>
        <w:rPr>
          <w:rtl/>
        </w:rPr>
        <w:tab/>
        <w:t>التغير السريع في اتساع وطور الإشارة (الالتماع) الناتج عن البنى الصغيرة غير المنتظمة في الأيونوسفير؛</w:t>
      </w:r>
    </w:p>
    <w:p w14:paraId="357E1AC5" w14:textId="77777777" w:rsidR="00B5296E" w:rsidRDefault="00B5296E" w:rsidP="004C5067">
      <w:pPr>
        <w:pStyle w:val="enumlev1"/>
        <w:spacing w:line="180" w:lineRule="auto"/>
        <w:rPr>
          <w:rtl/>
        </w:rPr>
      </w:pPr>
      <w:r>
        <w:rPr>
          <w:rtl/>
        </w:rPr>
        <w:t>-</w:t>
      </w:r>
      <w:r>
        <w:rPr>
          <w:rtl/>
        </w:rPr>
        <w:tab/>
        <w:t>تغير في اتجاه زاوية الوصول الناجم عن الانعراج؛</w:t>
      </w:r>
    </w:p>
    <w:p w14:paraId="41D5CBF0" w14:textId="77777777" w:rsidR="00B5296E" w:rsidRDefault="00B5296E" w:rsidP="004C5067">
      <w:pPr>
        <w:pStyle w:val="enumlev1"/>
        <w:spacing w:line="180" w:lineRule="auto"/>
        <w:rPr>
          <w:rtl/>
        </w:rPr>
      </w:pPr>
      <w:r>
        <w:rPr>
          <w:rtl/>
        </w:rPr>
        <w:t>-</w:t>
      </w:r>
      <w:r>
        <w:rPr>
          <w:rtl/>
        </w:rPr>
        <w:tab/>
        <w:t>آثار دوبلر الناجمة عن دورانات الاستقطاب غير الخطية والتأخيرات الزمنية.</w:t>
      </w:r>
    </w:p>
    <w:p w14:paraId="41FD7DE5" w14:textId="77777777" w:rsidR="00B5296E" w:rsidRDefault="00B5296E" w:rsidP="002A5099">
      <w:pPr>
        <w:rPr>
          <w:rtl/>
        </w:rPr>
      </w:pPr>
      <w:r>
        <w:rPr>
          <w:rtl/>
        </w:rPr>
        <w:t>وتصلح البيانات والطرائق التي يرد وصفها في هذه التوصية لتطبيقها من أجل التخطيط للأنظمة الساتلية وفق أمدية الصلاحية الواردة في الملحق.</w:t>
      </w:r>
      <w:bookmarkEnd w:id="1"/>
    </w:p>
    <w:p w14:paraId="34D38D83" w14:textId="77777777" w:rsidR="00B5296E" w:rsidRDefault="00B5296E" w:rsidP="002A5099">
      <w:pPr>
        <w:pStyle w:val="Headingb"/>
        <w:keepNext w:val="0"/>
        <w:rPr>
          <w:rtl/>
        </w:rPr>
      </w:pPr>
      <w:r>
        <w:rPr>
          <w:rtl/>
        </w:rPr>
        <w:t>مصطلحات أساسية</w:t>
      </w:r>
    </w:p>
    <w:p w14:paraId="32E8B3D5" w14:textId="77777777" w:rsidR="00B5296E" w:rsidRDefault="00B5296E" w:rsidP="002A5099">
      <w:pPr>
        <w:rPr>
          <w:rtl/>
        </w:rPr>
      </w:pPr>
      <w:r>
        <w:rPr>
          <w:rtl/>
        </w:rPr>
        <w:t>الانتشار عبر طبقة الأيونوسفير، الالتماع، تأخر الزمرة</w:t>
      </w:r>
    </w:p>
    <w:p w14:paraId="2447B2AB" w14:textId="77777777" w:rsidR="00B5296E" w:rsidRDefault="00B5296E" w:rsidP="002A5099">
      <w:pPr>
        <w:pStyle w:val="Headingb"/>
        <w:rPr>
          <w:rtl/>
        </w:rPr>
      </w:pPr>
      <w:r>
        <w:rPr>
          <w:rtl/>
        </w:rPr>
        <w:t>المختصرات/مسرد مصطلحات</w:t>
      </w:r>
    </w:p>
    <w:p w14:paraId="6D9E1E1D" w14:textId="77777777" w:rsidR="00B5296E" w:rsidRDefault="00B5296E" w:rsidP="002A5099">
      <w:pPr>
        <w:ind w:left="1134" w:hanging="1134"/>
        <w:rPr>
          <w:rtl/>
        </w:rPr>
      </w:pPr>
      <w:r>
        <w:t>MUF</w:t>
      </w:r>
      <w:r>
        <w:rPr>
          <w:rtl/>
        </w:rPr>
        <w:tab/>
        <w:t xml:space="preserve">أقصى تردد قابل للاستعمال </w:t>
      </w:r>
      <w:r>
        <w:t>(</w:t>
      </w:r>
      <w:r w:rsidRPr="00B5296E">
        <w:rPr>
          <w:i/>
          <w:iCs/>
        </w:rPr>
        <w:t>Maximum usable frequency</w:t>
      </w:r>
      <w:r>
        <w:t>)</w:t>
      </w:r>
    </w:p>
    <w:p w14:paraId="65F63020" w14:textId="77777777" w:rsidR="00B5296E" w:rsidRDefault="00B5296E" w:rsidP="002A5099">
      <w:pPr>
        <w:ind w:left="1134" w:hanging="1134"/>
        <w:rPr>
          <w:rtl/>
        </w:rPr>
      </w:pPr>
      <w:r>
        <w:t>TEC</w:t>
      </w:r>
      <w:r>
        <w:rPr>
          <w:rtl/>
        </w:rPr>
        <w:tab/>
        <w:t xml:space="preserve">محتوى الإلكترونات الكلي </w:t>
      </w:r>
      <w:r>
        <w:t>(</w:t>
      </w:r>
      <w:r w:rsidRPr="00B5296E">
        <w:rPr>
          <w:i/>
          <w:iCs/>
        </w:rPr>
        <w:t>Total electron content</w:t>
      </w:r>
      <w:r>
        <w:t>)</w:t>
      </w:r>
    </w:p>
    <w:p w14:paraId="30A1238D" w14:textId="77777777" w:rsidR="00B5296E" w:rsidRDefault="00B5296E" w:rsidP="002A5099">
      <w:pPr>
        <w:ind w:left="1134" w:hanging="1134"/>
        <w:rPr>
          <w:rtl/>
        </w:rPr>
      </w:pPr>
      <w:r>
        <w:t>XPD</w:t>
      </w:r>
      <w:r>
        <w:rPr>
          <w:rtl/>
        </w:rPr>
        <w:tab/>
        <w:t xml:space="preserve">تمييز الاستقطاب المتقاطع </w:t>
      </w:r>
      <w:r>
        <w:t>(</w:t>
      </w:r>
      <w:r w:rsidRPr="00B5296E">
        <w:rPr>
          <w:i/>
          <w:iCs/>
        </w:rPr>
        <w:t>Cross-</w:t>
      </w:r>
      <w:proofErr w:type="spellStart"/>
      <w:r w:rsidRPr="00B5296E">
        <w:rPr>
          <w:i/>
          <w:iCs/>
        </w:rPr>
        <w:t>polarisation</w:t>
      </w:r>
      <w:proofErr w:type="spellEnd"/>
      <w:r w:rsidRPr="00B5296E">
        <w:rPr>
          <w:i/>
          <w:iCs/>
        </w:rPr>
        <w:t xml:space="preserve"> discrimination</w:t>
      </w:r>
      <w:r>
        <w:t>)</w:t>
      </w:r>
    </w:p>
    <w:p w14:paraId="30DDAF97" w14:textId="77777777" w:rsidR="00B5296E" w:rsidRDefault="00B5296E" w:rsidP="002A5099">
      <w:pPr>
        <w:pStyle w:val="Headingb"/>
        <w:rPr>
          <w:rtl/>
        </w:rPr>
      </w:pPr>
      <w:r>
        <w:rPr>
          <w:rtl/>
        </w:rPr>
        <w:t>توصيات وتقارير الاتحاد ذات الصلة</w:t>
      </w:r>
    </w:p>
    <w:p w14:paraId="43A605C1" w14:textId="792DD183" w:rsidR="00B5296E" w:rsidRPr="004C5067" w:rsidRDefault="00B5296E" w:rsidP="002A5099">
      <w:pPr>
        <w:pStyle w:val="Reftext"/>
        <w:rPr>
          <w:rtl/>
        </w:rPr>
      </w:pPr>
      <w:r w:rsidRPr="004C5067">
        <w:rPr>
          <w:rtl/>
        </w:rPr>
        <w:t xml:space="preserve">التوصية </w:t>
      </w:r>
      <w:hyperlink r:id="rId16" w:history="1">
        <w:r w:rsidR="00071BFD" w:rsidRPr="004C5067">
          <w:rPr>
            <w:rStyle w:val="Hyperlink"/>
            <w:color w:val="auto"/>
            <w:u w:val="none"/>
            <w:lang w:val="en-GB"/>
          </w:rPr>
          <w:t>ITU-R P.618</w:t>
        </w:r>
      </w:hyperlink>
      <w:r w:rsidRPr="004C5067">
        <w:rPr>
          <w:rtl/>
        </w:rPr>
        <w:t xml:space="preserve"> - بيانات الانتشار وطرائق التنبؤ المطلوبة لتصميم أنظمة الاتصالات أرض-فضاء</w:t>
      </w:r>
    </w:p>
    <w:p w14:paraId="5337850B" w14:textId="1CB07292" w:rsidR="00B5296E" w:rsidRPr="004C5067" w:rsidRDefault="00B5296E" w:rsidP="002A5099">
      <w:pPr>
        <w:pStyle w:val="Reftext"/>
        <w:rPr>
          <w:rtl/>
        </w:rPr>
      </w:pPr>
      <w:r w:rsidRPr="004C5067">
        <w:rPr>
          <w:rtl/>
        </w:rPr>
        <w:t xml:space="preserve">التوصية </w:t>
      </w:r>
      <w:hyperlink r:id="rId17" w:history="1">
        <w:r w:rsidR="00071BFD" w:rsidRPr="004C5067">
          <w:rPr>
            <w:rStyle w:val="Hyperlink"/>
            <w:color w:val="auto"/>
            <w:u w:val="none"/>
            <w:lang w:val="en-GB"/>
          </w:rPr>
          <w:t>ITU-R P.844</w:t>
        </w:r>
      </w:hyperlink>
      <w:r w:rsidRPr="004C5067">
        <w:rPr>
          <w:rtl/>
        </w:rPr>
        <w:t xml:space="preserve"> - لعوامل الأيونوسفيرية التي تؤثر في تقاسم الترددات ضمن نطاقات الموجات المترية </w:t>
      </w:r>
      <w:r w:rsidRPr="004C5067">
        <w:t>(VHF)</w:t>
      </w:r>
      <w:r w:rsidRPr="004C5067">
        <w:rPr>
          <w:rtl/>
        </w:rPr>
        <w:t xml:space="preserve"> والموجات الديسيمترية </w:t>
      </w:r>
      <w:r w:rsidRPr="004C5067">
        <w:t>(UHF) (GHz 3-MHz 30)</w:t>
      </w:r>
    </w:p>
    <w:p w14:paraId="13F7DF39" w14:textId="24B10849" w:rsidR="00B5296E" w:rsidRPr="004C5067" w:rsidRDefault="00B5296E" w:rsidP="002A5099">
      <w:pPr>
        <w:pStyle w:val="Reftext"/>
        <w:rPr>
          <w:rtl/>
        </w:rPr>
      </w:pPr>
      <w:r w:rsidRPr="004C5067">
        <w:rPr>
          <w:rtl/>
        </w:rPr>
        <w:t xml:space="preserve">التوصية </w:t>
      </w:r>
      <w:hyperlink r:id="rId18" w:history="1">
        <w:r w:rsidR="00071BFD" w:rsidRPr="004C5067">
          <w:rPr>
            <w:rStyle w:val="Hyperlink"/>
            <w:color w:val="auto"/>
            <w:u w:val="none"/>
            <w:lang w:val="en-GB"/>
          </w:rPr>
          <w:t>ITU-R P.1239</w:t>
        </w:r>
      </w:hyperlink>
      <w:r w:rsidRPr="004C5067">
        <w:rPr>
          <w:rtl/>
        </w:rPr>
        <w:t xml:space="preserve"> - الخصائص الأيونوسفيرية المرجعية لقطاع الاتصالات الراديوية</w:t>
      </w:r>
    </w:p>
    <w:p w14:paraId="273B5A96" w14:textId="285F6A2E" w:rsidR="00B5296E" w:rsidRPr="004C5067" w:rsidRDefault="00B5296E" w:rsidP="002A5099">
      <w:pPr>
        <w:pStyle w:val="Reftext"/>
        <w:rPr>
          <w:rtl/>
        </w:rPr>
      </w:pPr>
      <w:r w:rsidRPr="004C5067">
        <w:rPr>
          <w:rtl/>
        </w:rPr>
        <w:t xml:space="preserve">التقرير </w:t>
      </w:r>
      <w:hyperlink r:id="rId19" w:history="1">
        <w:r w:rsidR="00071BFD" w:rsidRPr="004C5067">
          <w:rPr>
            <w:rStyle w:val="Hyperlink"/>
            <w:color w:val="auto"/>
            <w:u w:val="none"/>
            <w:lang w:val="en-GB"/>
          </w:rPr>
          <w:t>ITU-R P.2097</w:t>
        </w:r>
      </w:hyperlink>
      <w:r w:rsidRPr="004C5067">
        <w:rPr>
          <w:rtl/>
        </w:rPr>
        <w:t xml:space="preserve"> - الانتشار الراديوي عبر الأيونوسفير - النموذج العالمي للتَّلأْلُؤ الأيونوسفيري </w:t>
      </w:r>
      <w:r w:rsidRPr="004C5067">
        <w:t>(GISM)</w:t>
      </w:r>
    </w:p>
    <w:p w14:paraId="62289622" w14:textId="2283360A" w:rsidR="0045598B" w:rsidRDefault="00B5296E" w:rsidP="002A5099">
      <w:pPr>
        <w:pStyle w:val="Reftext"/>
        <w:rPr>
          <w:rtl/>
        </w:rPr>
      </w:pPr>
      <w:r w:rsidRPr="004C5067">
        <w:rPr>
          <w:rtl/>
        </w:rPr>
        <w:t xml:space="preserve">التقرير </w:t>
      </w:r>
      <w:hyperlink r:id="rId20" w:history="1">
        <w:r w:rsidR="00071BFD" w:rsidRPr="004C5067">
          <w:rPr>
            <w:rStyle w:val="Hyperlink"/>
            <w:color w:val="auto"/>
            <w:u w:val="none"/>
            <w:lang w:val="en-GB"/>
          </w:rPr>
          <w:t>ITU-R P.2297</w:t>
        </w:r>
      </w:hyperlink>
      <w:r w:rsidRPr="004C5067">
        <w:rPr>
          <w:rtl/>
        </w:rPr>
        <w:t xml:space="preserve"> - نماذج كثافة الإلكترونات وبيانات </w:t>
      </w:r>
      <w:r>
        <w:rPr>
          <w:rtl/>
        </w:rPr>
        <w:t>بشأن الراديو عبر الأيونوسفير</w:t>
      </w:r>
    </w:p>
    <w:p w14:paraId="5CC5FB67" w14:textId="77777777" w:rsidR="00B5296E" w:rsidRPr="00B5296E" w:rsidRDefault="00B5296E" w:rsidP="002A5099">
      <w:pPr>
        <w:pStyle w:val="Note"/>
        <w:rPr>
          <w:rtl/>
          <w:lang w:bidi="ar-EG"/>
        </w:rPr>
      </w:pPr>
      <w:r w:rsidRPr="00B5296E">
        <w:rPr>
          <w:rFonts w:hint="cs"/>
          <w:b/>
          <w:bCs/>
          <w:rtl/>
          <w:lang w:bidi="ar-EG"/>
        </w:rPr>
        <w:t>ملاحظة</w:t>
      </w:r>
      <w:r w:rsidRPr="00B5296E">
        <w:rPr>
          <w:rFonts w:hint="cs"/>
          <w:rtl/>
          <w:lang w:bidi="ar-EG"/>
        </w:rPr>
        <w:t xml:space="preserve"> - </w:t>
      </w:r>
      <w:r w:rsidRPr="00B5296E">
        <w:rPr>
          <w:rtl/>
          <w:lang w:bidi="ar-EG"/>
        </w:rPr>
        <w:t>ينبغي استخدام أحدث طبعة من التوصية/</w:t>
      </w:r>
      <w:r w:rsidRPr="00B5296E">
        <w:rPr>
          <w:rFonts w:hint="cs"/>
          <w:rtl/>
          <w:lang w:bidi="ar-EG"/>
        </w:rPr>
        <w:t>التقرير</w:t>
      </w:r>
      <w:r w:rsidRPr="00B5296E">
        <w:rPr>
          <w:rtl/>
          <w:lang w:bidi="ar-EG"/>
        </w:rPr>
        <w:t>.</w:t>
      </w:r>
    </w:p>
    <w:p w14:paraId="324A76C2" w14:textId="77777777" w:rsidR="00B5296E" w:rsidRPr="00B5296E" w:rsidRDefault="00B5296E" w:rsidP="002A5099">
      <w:pPr>
        <w:pStyle w:val="Normalaftertitle"/>
        <w:rPr>
          <w:rtl/>
        </w:rPr>
      </w:pPr>
      <w:r w:rsidRPr="00B5296E">
        <w:rPr>
          <w:rFonts w:hint="cs"/>
          <w:rtl/>
        </w:rPr>
        <w:lastRenderedPageBreak/>
        <w:t>إن جمعية الاتصالات الراديوية للاتحاد الدولي للاتصالات،</w:t>
      </w:r>
    </w:p>
    <w:p w14:paraId="0E3D6CAC" w14:textId="6479FFB7" w:rsidR="002E6ECC" w:rsidRDefault="00B5296E" w:rsidP="002A5099">
      <w:pPr>
        <w:pStyle w:val="Call"/>
        <w:keepNext w:val="0"/>
        <w:keepLines w:val="0"/>
        <w:rPr>
          <w:rtl/>
        </w:rPr>
      </w:pPr>
      <w:r w:rsidRPr="00B5296E">
        <w:rPr>
          <w:rtl/>
        </w:rPr>
        <w:t>إذ تضع في اعتبارها</w:t>
      </w:r>
    </w:p>
    <w:p w14:paraId="4E1CDE29" w14:textId="3A253261" w:rsidR="00B5296E" w:rsidRPr="00B5296E" w:rsidRDefault="004C09FF" w:rsidP="002A5099">
      <w:pPr>
        <w:rPr>
          <w:rtl/>
        </w:rPr>
      </w:pPr>
      <w:r>
        <w:rPr>
          <w:rFonts w:hint="cs"/>
          <w:i/>
          <w:iCs/>
          <w:rtl/>
        </w:rPr>
        <w:t xml:space="preserve"> </w:t>
      </w:r>
      <w:r w:rsidR="00B5296E" w:rsidRPr="00B5296E">
        <w:rPr>
          <w:rFonts w:hint="cs"/>
          <w:i/>
          <w:iCs/>
          <w:rtl/>
        </w:rPr>
        <w:t>أ )</w:t>
      </w:r>
      <w:r w:rsidR="00B5296E" w:rsidRPr="00B5296E">
        <w:rPr>
          <w:rFonts w:hint="cs"/>
          <w:rtl/>
        </w:rPr>
        <w:tab/>
        <w:t xml:space="preserve">أن الأيونوسفير يتسبب في آثار انتشار كبيرة عند ترددات تصل إلى </w:t>
      </w:r>
      <w:r w:rsidR="00B5296E" w:rsidRPr="00B5296E">
        <w:t>GHz 12</w:t>
      </w:r>
      <w:r w:rsidR="00B5296E" w:rsidRPr="00B5296E">
        <w:rPr>
          <w:rFonts w:hint="cs"/>
          <w:rtl/>
        </w:rPr>
        <w:t xml:space="preserve"> على أقل تقدير؛</w:t>
      </w:r>
    </w:p>
    <w:p w14:paraId="4483A2A3" w14:textId="77777777" w:rsidR="00B5296E" w:rsidRPr="00B5296E" w:rsidRDefault="00B5296E" w:rsidP="002A5099">
      <w:pPr>
        <w:rPr>
          <w:rtl/>
        </w:rPr>
      </w:pPr>
      <w:r w:rsidRPr="00B5296E">
        <w:rPr>
          <w:rFonts w:hint="cs"/>
          <w:i/>
          <w:iCs/>
          <w:rtl/>
        </w:rPr>
        <w:t>ب)</w:t>
      </w:r>
      <w:r w:rsidRPr="00B5296E">
        <w:rPr>
          <w:rFonts w:hint="cs"/>
          <w:rtl/>
        </w:rPr>
        <w:tab/>
        <w:t xml:space="preserve">أن الآثار قد تكون مهمة جداً من أجل خدمات مدار الساتل غير المستقر بالنسبة إلى الأرض تحت </w:t>
      </w:r>
      <w:r w:rsidRPr="00B5296E">
        <w:t>GHz 3</w:t>
      </w:r>
      <w:r w:rsidRPr="00B5296E">
        <w:rPr>
          <w:rFonts w:hint="cs"/>
          <w:rtl/>
        </w:rPr>
        <w:t>؛</w:t>
      </w:r>
    </w:p>
    <w:p w14:paraId="09031598" w14:textId="77777777" w:rsidR="00B5296E" w:rsidRPr="00B5296E" w:rsidRDefault="00B5296E" w:rsidP="002A5099">
      <w:pPr>
        <w:rPr>
          <w:rtl/>
        </w:rPr>
      </w:pPr>
      <w:r w:rsidRPr="00B5296E">
        <w:rPr>
          <w:rFonts w:hint="cs"/>
          <w:i/>
          <w:iCs/>
          <w:rtl/>
        </w:rPr>
        <w:t>ج)</w:t>
      </w:r>
      <w:r w:rsidRPr="00B5296E">
        <w:rPr>
          <w:rFonts w:hint="cs"/>
          <w:rtl/>
        </w:rPr>
        <w:tab/>
        <w:t>أنه قد قدمت بيانات اختبارية و/أو أنه قد أعدت طرائق نمذجة تتيح التنبؤ بمعلمات الانتشار الأيونوسفيري الضرورية للتخطيط للأنظمة الساتلية؛</w:t>
      </w:r>
    </w:p>
    <w:p w14:paraId="56601B8B" w14:textId="77777777" w:rsidR="00B5296E" w:rsidRPr="00B5296E" w:rsidRDefault="00B5296E" w:rsidP="002A5099">
      <w:pPr>
        <w:rPr>
          <w:rtl/>
          <w:lang w:bidi="ar-EG"/>
        </w:rPr>
      </w:pPr>
      <w:r w:rsidRPr="00B5296E">
        <w:rPr>
          <w:rFonts w:hint="cs"/>
          <w:i/>
          <w:iCs/>
          <w:rtl/>
          <w:lang w:bidi="ar-EG"/>
        </w:rPr>
        <w:t>د )</w:t>
      </w:r>
      <w:r w:rsidRPr="00B5296E">
        <w:rPr>
          <w:rFonts w:hint="cs"/>
          <w:rtl/>
          <w:lang w:bidi="ar-EG"/>
        </w:rPr>
        <w:tab/>
        <w:t>أن من الممكن أن تؤثر الآثار الأيونوسفيرية على تصميم أنظمة راديوية تتضمن مركبات فضائية؛</w:t>
      </w:r>
    </w:p>
    <w:p w14:paraId="400D8D98" w14:textId="77777777" w:rsidR="00B5296E" w:rsidRPr="00B5296E" w:rsidRDefault="00B5296E" w:rsidP="002A5099">
      <w:pPr>
        <w:rPr>
          <w:rtl/>
        </w:rPr>
      </w:pPr>
      <w:r w:rsidRPr="00B5296E">
        <w:rPr>
          <w:rFonts w:hint="cs"/>
          <w:i/>
          <w:iCs/>
          <w:rtl/>
        </w:rPr>
        <w:t>ﻫ )</w:t>
      </w:r>
      <w:r w:rsidRPr="00B5296E">
        <w:rPr>
          <w:rFonts w:hint="cs"/>
          <w:rtl/>
        </w:rPr>
        <w:tab/>
        <w:t>أنه قد تبين أن هذه البيانات والطرائق قابلة للتطبيق، في نطاق التغير الطبيعي لظاهرة الانتشار، عند التخطيط لأي شبكات/أنظمة الساتلية،</w:t>
      </w:r>
    </w:p>
    <w:p w14:paraId="62FDE1D9" w14:textId="77777777" w:rsidR="00B5296E" w:rsidRPr="00B5296E" w:rsidRDefault="00B5296E" w:rsidP="002A5099">
      <w:pPr>
        <w:pStyle w:val="Call"/>
        <w:keepNext w:val="0"/>
        <w:keepLines w:val="0"/>
        <w:rPr>
          <w:rtl/>
        </w:rPr>
      </w:pPr>
      <w:r w:rsidRPr="00B5296E">
        <w:rPr>
          <w:rFonts w:hint="cs"/>
          <w:rtl/>
        </w:rPr>
        <w:t>توصي</w:t>
      </w:r>
    </w:p>
    <w:p w14:paraId="40CE35AC" w14:textId="77777777" w:rsidR="00B5296E" w:rsidRPr="00B5296E" w:rsidRDefault="00B5296E" w:rsidP="002A5099">
      <w:pPr>
        <w:rPr>
          <w:rtl/>
        </w:rPr>
      </w:pPr>
      <w:r w:rsidRPr="00B5296E">
        <w:rPr>
          <w:rFonts w:hint="cs"/>
          <w:rtl/>
        </w:rPr>
        <w:t>بضرورة اعتماد البيانات المعدة والطرائق الموضوعة كما ورد في الملحق من أجل التخطيط للأنظمة الساتلية في</w:t>
      </w:r>
      <w:r w:rsidRPr="00B5296E">
        <w:rPr>
          <w:rFonts w:hint="eastAsia"/>
          <w:rtl/>
        </w:rPr>
        <w:t> </w:t>
      </w:r>
      <w:r w:rsidRPr="00B5296E">
        <w:rPr>
          <w:rFonts w:hint="cs"/>
          <w:rtl/>
        </w:rPr>
        <w:t>كلٍ</w:t>
      </w:r>
      <w:r w:rsidRPr="00B5296E">
        <w:rPr>
          <w:rFonts w:hint="eastAsia"/>
          <w:rtl/>
        </w:rPr>
        <w:t> </w:t>
      </w:r>
      <w:r w:rsidRPr="00B5296E">
        <w:rPr>
          <w:rFonts w:hint="cs"/>
          <w:rtl/>
        </w:rPr>
        <w:t>من أمدية الصلاحية المحددة في الملحق.</w:t>
      </w:r>
    </w:p>
    <w:p w14:paraId="58766F0A" w14:textId="375BF14D" w:rsidR="00B5296E" w:rsidRPr="00B5296E" w:rsidRDefault="00A06C49" w:rsidP="008D2C0C">
      <w:pPr>
        <w:pStyle w:val="AnnexNoTitle0"/>
        <w:rPr>
          <w:rtl/>
        </w:rPr>
      </w:pPr>
      <w:bookmarkStart w:id="2" w:name="_Toc404087315"/>
      <w:bookmarkStart w:id="3" w:name="_Toc493768796"/>
      <w:bookmarkStart w:id="4" w:name="_Hlk212621766"/>
      <w:r>
        <w:rPr>
          <w:rFonts w:hint="cs"/>
          <w:rtl/>
        </w:rPr>
        <w:t>ال</w:t>
      </w:r>
      <w:r w:rsidR="00B5296E" w:rsidRPr="00B5296E">
        <w:rPr>
          <w:rFonts w:hint="cs"/>
          <w:rtl/>
        </w:rPr>
        <w:t>ملحق</w:t>
      </w:r>
      <w:bookmarkEnd w:id="2"/>
      <w:bookmarkEnd w:id="3"/>
    </w:p>
    <w:p w14:paraId="528EA86D" w14:textId="77777777" w:rsidR="00B5296E" w:rsidRPr="00B5296E" w:rsidRDefault="00B5296E" w:rsidP="00B5296E">
      <w:pPr>
        <w:pStyle w:val="Heading1"/>
        <w:rPr>
          <w:rtl/>
        </w:rPr>
      </w:pPr>
      <w:bookmarkStart w:id="5" w:name="_Toc404087316"/>
      <w:bookmarkStart w:id="6" w:name="_Toc493768797"/>
      <w:r w:rsidRPr="00B5296E">
        <w:t>1</w:t>
      </w:r>
      <w:r w:rsidRPr="00B5296E">
        <w:rPr>
          <w:rFonts w:hint="cs"/>
          <w:rtl/>
        </w:rPr>
        <w:tab/>
        <w:t>مقدمة</w:t>
      </w:r>
      <w:bookmarkEnd w:id="5"/>
      <w:bookmarkEnd w:id="6"/>
    </w:p>
    <w:p w14:paraId="45E0369D" w14:textId="77777777" w:rsidR="00B5296E" w:rsidRPr="00B5296E" w:rsidRDefault="00B5296E" w:rsidP="00B5296E">
      <w:pPr>
        <w:rPr>
          <w:rtl/>
        </w:rPr>
      </w:pPr>
      <w:r w:rsidRPr="00B5296E">
        <w:rPr>
          <w:rFonts w:hint="cs"/>
          <w:rtl/>
        </w:rPr>
        <w:t>يعالج هذا الملحق آثار الانتشار الأيونوسفيري على ال</w:t>
      </w:r>
      <w:r w:rsidRPr="00B5296E">
        <w:rPr>
          <w:rFonts w:hint="cs"/>
          <w:rtl/>
          <w:lang w:bidi="ar-EG"/>
        </w:rPr>
        <w:t>مسير</w:t>
      </w:r>
      <w:r w:rsidRPr="00B5296E">
        <w:rPr>
          <w:rFonts w:hint="cs"/>
          <w:rtl/>
        </w:rPr>
        <w:t>ات بين الأرض والفضاء.</w:t>
      </w:r>
    </w:p>
    <w:p w14:paraId="459BF6C8" w14:textId="77777777" w:rsidR="00B5296E" w:rsidRPr="00B5296E" w:rsidRDefault="00B5296E" w:rsidP="00D66348">
      <w:pPr>
        <w:rPr>
          <w:rtl/>
        </w:rPr>
      </w:pPr>
      <w:r w:rsidRPr="00B5296E">
        <w:rPr>
          <w:rFonts w:hint="cs"/>
          <w:rtl/>
          <w:lang w:bidi="ar-SY"/>
        </w:rPr>
        <w:t>وحسب</w:t>
      </w:r>
      <w:r w:rsidRPr="00B5296E">
        <w:rPr>
          <w:rtl/>
          <w:lang w:bidi="ar-SY"/>
        </w:rPr>
        <w:t xml:space="preserve"> التطبيق، </w:t>
      </w:r>
      <w:r w:rsidRPr="00B5296E">
        <w:rPr>
          <w:rFonts w:hint="cs"/>
          <w:rtl/>
          <w:lang w:bidi="ar-SY"/>
        </w:rPr>
        <w:t>يمكن أن تُهمَل</w:t>
      </w:r>
      <w:r w:rsidRPr="00B5296E">
        <w:rPr>
          <w:rtl/>
          <w:lang w:bidi="ar-SY"/>
        </w:rPr>
        <w:t xml:space="preserve"> التأثيرات الأيونوسفيرية في ترددات أعلى من حوالي </w:t>
      </w:r>
      <w:r w:rsidRPr="00B5296E">
        <w:t>GHz 12</w:t>
      </w:r>
      <w:r w:rsidRPr="00B5296E">
        <w:rPr>
          <w:rtl/>
          <w:lang w:bidi="ar-SY"/>
        </w:rPr>
        <w:t>.</w:t>
      </w:r>
      <w:r w:rsidRPr="00B5296E">
        <w:rPr>
          <w:rFonts w:hint="cs"/>
          <w:rtl/>
          <w:lang w:bidi="ar-SY"/>
        </w:rPr>
        <w:t xml:space="preserve"> و</w:t>
      </w:r>
      <w:r w:rsidRPr="00B5296E">
        <w:rPr>
          <w:rtl/>
          <w:lang w:bidi="ar-SY"/>
        </w:rPr>
        <w:t>س</w:t>
      </w:r>
      <w:r w:rsidRPr="00B5296E">
        <w:rPr>
          <w:rFonts w:hint="cs"/>
          <w:rtl/>
          <w:lang w:bidi="ar-SY"/>
        </w:rPr>
        <w:t>ت</w:t>
      </w:r>
      <w:r w:rsidRPr="00B5296E">
        <w:rPr>
          <w:rtl/>
          <w:lang w:bidi="ar-SY"/>
        </w:rPr>
        <w:t xml:space="preserve">كون </w:t>
      </w:r>
      <w:r w:rsidRPr="00B5296E">
        <w:rPr>
          <w:rFonts w:hint="cs"/>
          <w:rtl/>
          <w:lang w:bidi="ar-SY"/>
        </w:rPr>
        <w:t xml:space="preserve">قابلية </w:t>
      </w:r>
      <w:r w:rsidRPr="00B5296E">
        <w:rPr>
          <w:rtl/>
          <w:lang w:bidi="ar-SY"/>
        </w:rPr>
        <w:t>تطبيق المعلومات الواردة هنا</w:t>
      </w:r>
      <w:r w:rsidRPr="00B5296E">
        <w:rPr>
          <w:rFonts w:hint="cs"/>
          <w:rtl/>
          <w:lang w:bidi="ar-SY"/>
        </w:rPr>
        <w:t xml:space="preserve"> عند</w:t>
      </w:r>
      <w:r w:rsidRPr="00B5296E">
        <w:rPr>
          <w:rtl/>
          <w:lang w:bidi="ar-SY"/>
        </w:rPr>
        <w:t xml:space="preserve"> التردد المنخفض أعلى إلى حد ما من التردد الحرج للموجة العادية </w:t>
      </w:r>
      <w:r w:rsidRPr="00B5296E">
        <w:rPr>
          <w:rFonts w:hint="cs"/>
          <w:rtl/>
          <w:lang w:bidi="ar-SY"/>
        </w:rPr>
        <w:t>الذي تعطى من أجله</w:t>
      </w:r>
      <w:r w:rsidRPr="00B5296E">
        <w:rPr>
          <w:rtl/>
          <w:lang w:bidi="ar-SY"/>
        </w:rPr>
        <w:t xml:space="preserve"> تقديرات </w:t>
      </w:r>
      <w:r w:rsidRPr="00B5296E">
        <w:rPr>
          <w:rFonts w:hint="cs"/>
          <w:rtl/>
          <w:lang w:bidi="ar-SY"/>
        </w:rPr>
        <w:t>القيم ال</w:t>
      </w:r>
      <w:r w:rsidRPr="00B5296E">
        <w:rPr>
          <w:rtl/>
          <w:lang w:bidi="ar-SY"/>
        </w:rPr>
        <w:t>متوسط</w:t>
      </w:r>
      <w:r w:rsidRPr="00B5296E">
        <w:rPr>
          <w:rFonts w:hint="cs"/>
          <w:rtl/>
          <w:lang w:bidi="ar-SY"/>
        </w:rPr>
        <w:t>ة</w:t>
      </w:r>
      <w:r w:rsidRPr="00B5296E">
        <w:rPr>
          <w:rtl/>
          <w:lang w:bidi="ar-SY"/>
        </w:rPr>
        <w:t xml:space="preserve"> </w:t>
      </w:r>
      <w:r w:rsidRPr="00B5296E">
        <w:rPr>
          <w:rFonts w:hint="cs"/>
          <w:rtl/>
          <w:lang w:bidi="ar-SY"/>
        </w:rPr>
        <w:t>والعشرية</w:t>
      </w:r>
      <w:r w:rsidRPr="00B5296E">
        <w:rPr>
          <w:rtl/>
          <w:lang w:bidi="ar-SY"/>
        </w:rPr>
        <w:t xml:space="preserve"> </w:t>
      </w:r>
      <w:r w:rsidRPr="00B5296E">
        <w:rPr>
          <w:rFonts w:hint="cs"/>
          <w:rtl/>
          <w:lang w:bidi="ar-SY"/>
        </w:rPr>
        <w:t>الشهرية</w:t>
      </w:r>
      <w:r w:rsidRPr="00B5296E">
        <w:rPr>
          <w:rtl/>
          <w:lang w:bidi="ar-SY"/>
        </w:rPr>
        <w:t xml:space="preserve"> </w:t>
      </w:r>
      <w:r w:rsidRPr="00B5296E">
        <w:rPr>
          <w:rFonts w:hint="cs"/>
          <w:rtl/>
          <w:lang w:bidi="ar-SY"/>
        </w:rPr>
        <w:t>في</w:t>
      </w:r>
      <w:r w:rsidRPr="00B5296E">
        <w:rPr>
          <w:rtl/>
          <w:lang w:bidi="ar-SY"/>
        </w:rPr>
        <w:t xml:space="preserve"> </w:t>
      </w:r>
      <w:r w:rsidRPr="00B5296E">
        <w:rPr>
          <w:rFonts w:hint="cs"/>
          <w:rtl/>
          <w:lang w:bidi="ar-SY"/>
        </w:rPr>
        <w:t>التوصية</w:t>
      </w:r>
      <w:r w:rsidRPr="00B5296E">
        <w:rPr>
          <w:rtl/>
          <w:lang w:bidi="ar-SY"/>
        </w:rPr>
        <w:t xml:space="preserve"> </w:t>
      </w:r>
      <w:r w:rsidRPr="00B5296E">
        <w:t>ITU-R P.1239</w:t>
      </w:r>
      <w:r w:rsidRPr="00B5296E">
        <w:rPr>
          <w:rtl/>
          <w:lang w:bidi="ar-SY"/>
        </w:rPr>
        <w:t xml:space="preserve">، </w:t>
      </w:r>
      <w:r w:rsidRPr="00B5296E">
        <w:rPr>
          <w:rFonts w:hint="cs"/>
          <w:rtl/>
          <w:lang w:bidi="ar-SY"/>
        </w:rPr>
        <w:t>حسب</w:t>
      </w:r>
      <w:r w:rsidRPr="00B5296E">
        <w:rPr>
          <w:rtl/>
          <w:lang w:bidi="ar-SY"/>
        </w:rPr>
        <w:t xml:space="preserve"> هندسة المسير.</w:t>
      </w:r>
      <w:r w:rsidRPr="00B5296E">
        <w:rPr>
          <w:rFonts w:hint="cs"/>
          <w:rtl/>
          <w:lang w:bidi="ar-SY"/>
        </w:rPr>
        <w:t xml:space="preserve"> وقد ورد بحث</w:t>
      </w:r>
      <w:r w:rsidRPr="00B5296E">
        <w:rPr>
          <w:rtl/>
          <w:lang w:bidi="ar-SY"/>
        </w:rPr>
        <w:t xml:space="preserve"> الانتشار عبر الأيونوسفير على الموجات الكيلومترية </w:t>
      </w:r>
      <w:r w:rsidRPr="00B5296E">
        <w:t>(LF)</w:t>
      </w:r>
      <w:r w:rsidRPr="00B5296E">
        <w:rPr>
          <w:rtl/>
          <w:lang w:bidi="ar-SY"/>
        </w:rPr>
        <w:t xml:space="preserve"> والترددات </w:t>
      </w:r>
      <w:r w:rsidRPr="00B5296E">
        <w:rPr>
          <w:rFonts w:hint="cs"/>
          <w:rtl/>
          <w:lang w:bidi="ar-SY"/>
        </w:rPr>
        <w:t>الأدنى</w:t>
      </w:r>
      <w:r w:rsidRPr="00B5296E">
        <w:rPr>
          <w:rtl/>
          <w:lang w:bidi="ar-SY"/>
        </w:rPr>
        <w:t xml:space="preserve"> في </w:t>
      </w:r>
      <w:r w:rsidRPr="00B5296E">
        <w:rPr>
          <w:rFonts w:hint="cs"/>
          <w:rtl/>
          <w:lang w:bidi="ar-SY"/>
        </w:rPr>
        <w:t>ال</w:t>
      </w:r>
      <w:r w:rsidRPr="00B5296E">
        <w:rPr>
          <w:rtl/>
          <w:lang w:bidi="ar-SY"/>
        </w:rPr>
        <w:t xml:space="preserve">تقرير </w:t>
      </w:r>
      <w:r w:rsidRPr="00B5296E">
        <w:t>CCIR 262-7</w:t>
      </w:r>
      <w:r w:rsidRPr="00B5296E">
        <w:rPr>
          <w:lang w:bidi="ar-SY"/>
        </w:rPr>
        <w:t xml:space="preserve"> </w:t>
      </w:r>
      <w:r w:rsidRPr="00B5296E">
        <w:t>(1990)</w:t>
      </w:r>
      <w:r w:rsidRPr="00B5296E">
        <w:rPr>
          <w:rFonts w:hint="cs"/>
          <w:rtl/>
          <w:lang w:bidi="ar-SY"/>
        </w:rPr>
        <w:t xml:space="preserve"> ولا يُتطرق إليه هنا.</w:t>
      </w:r>
    </w:p>
    <w:p w14:paraId="0B573704" w14:textId="77777777" w:rsidR="00B5296E" w:rsidRPr="00B5296E" w:rsidRDefault="00B5296E" w:rsidP="00D66348">
      <w:pPr>
        <w:rPr>
          <w:rtl/>
        </w:rPr>
      </w:pPr>
      <w:r w:rsidRPr="00B5296E">
        <w:rPr>
          <w:rFonts w:hint="cs"/>
          <w:rtl/>
        </w:rPr>
        <w:t>ومن وجهة نظر تصميم النظام، يمكن أن يلخص تأثير الآثار الأيونوسفيرية على النحو التالي:</w:t>
      </w:r>
    </w:p>
    <w:p w14:paraId="2BE65E8F" w14:textId="77777777" w:rsidR="00B5296E" w:rsidRPr="00B5296E" w:rsidRDefault="00B5296E" w:rsidP="00DD1CF1">
      <w:pPr>
        <w:pStyle w:val="enumlev1"/>
        <w:rPr>
          <w:rtl/>
        </w:rPr>
      </w:pPr>
      <w:r w:rsidRPr="00B5296E">
        <w:rPr>
          <w:rFonts w:hint="cs"/>
          <w:rtl/>
        </w:rPr>
        <w:t xml:space="preserve"> أ )</w:t>
      </w:r>
      <w:r w:rsidRPr="00B5296E">
        <w:rPr>
          <w:rFonts w:hint="cs"/>
          <w:rtl/>
        </w:rPr>
        <w:tab/>
        <w:t xml:space="preserve">إن المحتوى الإلكتروني الإجمالي </w:t>
      </w:r>
      <w:r w:rsidRPr="00B5296E">
        <w:t>(TEC)</w:t>
      </w:r>
      <w:r w:rsidRPr="00B5296E">
        <w:rPr>
          <w:rFonts w:hint="cs"/>
          <w:rtl/>
        </w:rPr>
        <w:t xml:space="preserve"> المجمع على طول مسير إرسال الخدمة الساتلية الذي يخترق الأيونوسفير يتسبب في دوران استقطاب الموجة (دوران فارداي) وتأخر الإشارة وفي تغير الاتجاه الظاهر للوصول نتيجة للانعكاس؛</w:t>
      </w:r>
    </w:p>
    <w:p w14:paraId="3FC66014" w14:textId="77777777" w:rsidR="00B5296E" w:rsidRPr="00B5296E" w:rsidRDefault="00B5296E" w:rsidP="00DD1CF1">
      <w:pPr>
        <w:pStyle w:val="enumlev1"/>
        <w:rPr>
          <w:rtl/>
        </w:rPr>
      </w:pPr>
      <w:r w:rsidRPr="00B5296E">
        <w:rPr>
          <w:rFonts w:hint="cs"/>
          <w:rtl/>
        </w:rPr>
        <w:t>ب)</w:t>
      </w:r>
      <w:r w:rsidRPr="00B5296E">
        <w:rPr>
          <w:rFonts w:hint="cs"/>
          <w:rtl/>
        </w:rPr>
        <w:tab/>
        <w:t>حدوث بقع أيونوسفيرية عشوائية موضعية توصف عادة بالشذوذ الأيونوسفيري وتؤدي بدورها إلى دوران مفرط ودوران عشوائي وإلى تأخر لا يمكن وصفه إلا بشكل احتمالي؛</w:t>
      </w:r>
    </w:p>
    <w:p w14:paraId="3860A7B9" w14:textId="77777777" w:rsidR="00B5296E" w:rsidRPr="00B5296E" w:rsidRDefault="00B5296E" w:rsidP="00DD1CF1">
      <w:pPr>
        <w:pStyle w:val="enumlev1"/>
        <w:rPr>
          <w:rtl/>
        </w:rPr>
      </w:pPr>
      <w:r w:rsidRPr="00B5296E">
        <w:rPr>
          <w:rFonts w:hint="cs"/>
          <w:rtl/>
        </w:rPr>
        <w:t>ج)</w:t>
      </w:r>
      <w:r w:rsidRPr="00B5296E">
        <w:rPr>
          <w:rFonts w:hint="cs"/>
          <w:rtl/>
        </w:rPr>
        <w:tab/>
        <w:t>نظراً إلى أن عمليات الدوران وحالات التأخر الراجعة إلى الكثافة الإلكترونية لا تتوقف على التردد غير الخطي، فإن الظواهر الموصوفة في إطار أ ) وب) تؤدي إلى التشتت أو تشوه سرعة الزمرة؛</w:t>
      </w:r>
    </w:p>
    <w:p w14:paraId="6F0F307B" w14:textId="77777777" w:rsidR="00B5296E" w:rsidRPr="00B5296E" w:rsidRDefault="00B5296E" w:rsidP="00DD1CF1">
      <w:pPr>
        <w:pStyle w:val="enumlev1"/>
        <w:rPr>
          <w:rtl/>
        </w:rPr>
      </w:pPr>
      <w:r w:rsidRPr="00B5296E">
        <w:rPr>
          <w:rFonts w:hint="cs"/>
          <w:rtl/>
        </w:rPr>
        <w:t>د )</w:t>
      </w:r>
      <w:r w:rsidRPr="00B5296E">
        <w:rPr>
          <w:rFonts w:hint="cs"/>
          <w:rtl/>
        </w:rPr>
        <w:tab/>
        <w:t>إضافة إلى ذلك فإن الشذوذ الأيونوسفيري الموضعي يسلك سلوك العدسات المتقاربة والمتباعدة التي تركز وتزيل التركيز عن الموجات الراديوية. ويشار إلى مثل هذه الآثار عموماً بأنها الالتماعات التي تؤثر على الاتساع وزاوية وصول الإشارة.</w:t>
      </w:r>
      <w:bookmarkEnd w:id="4"/>
    </w:p>
    <w:p w14:paraId="34C3DB71" w14:textId="77777777" w:rsidR="00B5296E" w:rsidRPr="00B5296E" w:rsidRDefault="00B5296E" w:rsidP="00D66348">
      <w:pPr>
        <w:rPr>
          <w:rtl/>
        </w:rPr>
      </w:pPr>
      <w:bookmarkStart w:id="7" w:name="_Hlk212621791"/>
      <w:r w:rsidRPr="00B5296E">
        <w:rPr>
          <w:rFonts w:hint="cs"/>
          <w:rtl/>
        </w:rPr>
        <w:t>ونظراً إلى الطبيعة المعقدة لفيزياء الأيونوسفير، فليس من الممكن دائماً أن تلخص بسرعة وبصيغ تحليلية بسيطة معلمات النظام التي</w:t>
      </w:r>
      <w:r w:rsidRPr="00B5296E">
        <w:rPr>
          <w:rFonts w:hint="eastAsia"/>
          <w:rtl/>
        </w:rPr>
        <w:t> </w:t>
      </w:r>
      <w:r w:rsidRPr="00B5296E">
        <w:rPr>
          <w:rFonts w:hint="cs"/>
          <w:rtl/>
        </w:rPr>
        <w:t>تتأثر بالآثار الأيونوسفيرية كما لوحظت أعلاه. ويعد عرض البيانات ذات الصلة على شكل جداول و/أو رسوم بيانية مع</w:t>
      </w:r>
      <w:r w:rsidRPr="00B5296E">
        <w:rPr>
          <w:rFonts w:hint="eastAsia"/>
          <w:rtl/>
        </w:rPr>
        <w:t> </w:t>
      </w:r>
      <w:r w:rsidRPr="00B5296E">
        <w:rPr>
          <w:rFonts w:hint="cs"/>
          <w:rtl/>
        </w:rPr>
        <w:t>تقديم بيانات على سبيل الوصف أو التحديد أفضل طريقة لتقديم هذه الآثار بالنظر إلى جميع الأغراض العملية.</w:t>
      </w:r>
    </w:p>
    <w:p w14:paraId="58C64229" w14:textId="77777777" w:rsidR="00B5296E" w:rsidRPr="00B5296E" w:rsidRDefault="00B5296E" w:rsidP="00D66348">
      <w:pPr>
        <w:rPr>
          <w:rtl/>
        </w:rPr>
      </w:pPr>
      <w:r w:rsidRPr="00B5296E">
        <w:rPr>
          <w:rFonts w:hint="cs"/>
          <w:rtl/>
        </w:rPr>
        <w:t xml:space="preserve">وينبغي، عند النظر في آثار الانتشار بين الأرض والفضاء على ترددات أقل من </w:t>
      </w:r>
      <w:r w:rsidRPr="00B5296E">
        <w:t>GHz 3</w:t>
      </w:r>
      <w:r w:rsidRPr="00B5296E">
        <w:rPr>
          <w:rFonts w:hint="cs"/>
          <w:rtl/>
        </w:rPr>
        <w:t>، الاعتراف بأن:</w:t>
      </w:r>
    </w:p>
    <w:p w14:paraId="48E4FD01" w14:textId="77777777" w:rsidR="00B5296E" w:rsidRPr="00B5296E" w:rsidRDefault="00B5296E" w:rsidP="00DD1CF1">
      <w:pPr>
        <w:pStyle w:val="enumlev1"/>
        <w:rPr>
          <w:rtl/>
        </w:rPr>
      </w:pPr>
      <w:r w:rsidRPr="00B5296E">
        <w:rPr>
          <w:rFonts w:hint="cs"/>
          <w:rtl/>
        </w:rPr>
        <w:lastRenderedPageBreak/>
        <w:t>ﻫ )</w:t>
      </w:r>
      <w:r w:rsidRPr="00B5296E">
        <w:rPr>
          <w:rFonts w:hint="cs"/>
          <w:rtl/>
        </w:rPr>
        <w:tab/>
        <w:t>ما يسمى عادة بآثار الانتشار بين الأرض والفضاء الناتجة عن الظواهر الجوية المائية ليست مهمة بالنسبة إلى الآثار الواردة في</w:t>
      </w:r>
      <w:r w:rsidRPr="00B5296E">
        <w:rPr>
          <w:rFonts w:hint="eastAsia"/>
          <w:rtl/>
        </w:rPr>
        <w:t> </w:t>
      </w:r>
      <w:r w:rsidRPr="00B5296E">
        <w:rPr>
          <w:rFonts w:hint="cs"/>
          <w:rtl/>
        </w:rPr>
        <w:t>و)؛</w:t>
      </w:r>
    </w:p>
    <w:p w14:paraId="13CAEE9A" w14:textId="77777777" w:rsidR="00B5296E" w:rsidRPr="00B5296E" w:rsidRDefault="00B5296E" w:rsidP="00DD1CF1">
      <w:pPr>
        <w:pStyle w:val="enumlev1"/>
        <w:rPr>
          <w:rtl/>
        </w:rPr>
      </w:pPr>
      <w:r w:rsidRPr="00B5296E">
        <w:rPr>
          <w:rFonts w:hint="cs"/>
          <w:rtl/>
        </w:rPr>
        <w:t>و )</w:t>
      </w:r>
      <w:r w:rsidRPr="00B5296E">
        <w:rPr>
          <w:rFonts w:hint="cs"/>
          <w:rtl/>
        </w:rPr>
        <w:tab/>
        <w:t>آثار المسيرات المتعددة على مقربة من السطح لها دائماً أهمية حاسمة عند وجود عوائق طبيعية أو اصطناعية بزوايا ارتفاع منخفضة؛</w:t>
      </w:r>
    </w:p>
    <w:p w14:paraId="6B303840" w14:textId="77777777" w:rsidR="00B5296E" w:rsidRPr="00B5296E" w:rsidRDefault="00B5296E" w:rsidP="00DD1CF1">
      <w:pPr>
        <w:pStyle w:val="enumlev1"/>
        <w:rPr>
          <w:rtl/>
        </w:rPr>
      </w:pPr>
      <w:r w:rsidRPr="00B5296E">
        <w:rPr>
          <w:rFonts w:hint="cs"/>
          <w:rtl/>
        </w:rPr>
        <w:t>ز )</w:t>
      </w:r>
      <w:r w:rsidRPr="00B5296E">
        <w:rPr>
          <w:rFonts w:hint="cs"/>
          <w:rtl/>
        </w:rPr>
        <w:tab/>
        <w:t>آثار المسيرات المتعددة على مقربة من السطح تتغير من منطقة إلى أخرى وهي لا تسيطر بالتالي على الانتشار الإجمالي بين الأرض والفضاء حين يتعين التعامل مع عوامل الانتشار على الصعيد العالمي.</w:t>
      </w:r>
    </w:p>
    <w:p w14:paraId="33EAD2D5" w14:textId="77777777" w:rsidR="00B5296E" w:rsidRPr="00B5296E" w:rsidRDefault="00B5296E" w:rsidP="00B5296E">
      <w:pPr>
        <w:pStyle w:val="Heading1"/>
        <w:rPr>
          <w:rtl/>
        </w:rPr>
      </w:pPr>
      <w:bookmarkStart w:id="8" w:name="_Toc404087317"/>
      <w:bookmarkStart w:id="9" w:name="_Toc493768798"/>
      <w:r w:rsidRPr="00B5296E">
        <w:t>2</w:t>
      </w:r>
      <w:r w:rsidRPr="00B5296E">
        <w:rPr>
          <w:rFonts w:hint="cs"/>
          <w:rtl/>
        </w:rPr>
        <w:tab/>
        <w:t>الخلفية</w:t>
      </w:r>
      <w:bookmarkEnd w:id="8"/>
      <w:bookmarkEnd w:id="9"/>
    </w:p>
    <w:p w14:paraId="52A6F84A" w14:textId="77777777" w:rsidR="00B5296E" w:rsidRPr="00B5296E" w:rsidRDefault="00B5296E" w:rsidP="00D66348">
      <w:pPr>
        <w:rPr>
          <w:rtl/>
        </w:rPr>
      </w:pPr>
      <w:r w:rsidRPr="00B5296E">
        <w:rPr>
          <w:rFonts w:hint="cs"/>
          <w:rtl/>
        </w:rPr>
        <w:t xml:space="preserve">يتألف الأيونوسفير الأرضي الذي يسببه الإشعاع الشمسي من عدة أقاليم من التأين. ومن أجل كل أهداف الاتصالات العملية، فقد حددت أقاليم الأيونوسفير </w:t>
      </w:r>
      <w:r w:rsidRPr="00B5296E">
        <w:t>D</w:t>
      </w:r>
      <w:r w:rsidRPr="00B5296E">
        <w:rPr>
          <w:rFonts w:hint="cs"/>
          <w:rtl/>
        </w:rPr>
        <w:t xml:space="preserve"> و</w:t>
      </w:r>
      <w:r w:rsidRPr="00B5296E">
        <w:t>E</w:t>
      </w:r>
      <w:r w:rsidRPr="00B5296E">
        <w:rPr>
          <w:rFonts w:hint="cs"/>
          <w:rtl/>
        </w:rPr>
        <w:t xml:space="preserve"> و</w:t>
      </w:r>
      <w:r w:rsidRPr="00B5296E">
        <w:t>F</w:t>
      </w:r>
      <w:r w:rsidRPr="00B5296E">
        <w:rPr>
          <w:rFonts w:hint="cs"/>
          <w:rtl/>
        </w:rPr>
        <w:t xml:space="preserve"> وأقاليم التأين العليا بوصفها تساهم في المحتوى الإلكتروني الإجمالي </w:t>
      </w:r>
      <w:r w:rsidRPr="00B5296E">
        <w:t>(TEC)</w:t>
      </w:r>
      <w:r w:rsidRPr="00B5296E">
        <w:rPr>
          <w:rFonts w:hint="cs"/>
          <w:rtl/>
        </w:rPr>
        <w:t xml:space="preserve"> بين المطاريف الساتلية والأرضية.</w:t>
      </w:r>
    </w:p>
    <w:p w14:paraId="6A901096" w14:textId="77777777" w:rsidR="00B5296E" w:rsidRPr="00B5296E" w:rsidRDefault="00B5296E" w:rsidP="00D66348">
      <w:pPr>
        <w:rPr>
          <w:rtl/>
        </w:rPr>
      </w:pPr>
      <w:r w:rsidRPr="00B5296E">
        <w:rPr>
          <w:rFonts w:hint="cs"/>
          <w:rtl/>
        </w:rPr>
        <w:t>وفي كل إقليم، لا يكون الوسيط المتأين متجانساً في الفضاء أو مستقراً في الزمن. وعموماً يكون للتأين الخلفي تغيرات منتظمة إلى</w:t>
      </w:r>
      <w:r w:rsidRPr="00B5296E">
        <w:rPr>
          <w:rFonts w:hint="eastAsia"/>
          <w:rtl/>
        </w:rPr>
        <w:t> </w:t>
      </w:r>
      <w:r w:rsidRPr="00B5296E">
        <w:rPr>
          <w:rFonts w:hint="cs"/>
          <w:rtl/>
        </w:rPr>
        <w:t xml:space="preserve">حد ما يومية وفصلية ودورية شمسية كل </w:t>
      </w:r>
      <w:r w:rsidRPr="00B5296E">
        <w:t>11</w:t>
      </w:r>
      <w:r w:rsidRPr="00B5296E">
        <w:rPr>
          <w:rFonts w:hint="cs"/>
          <w:rtl/>
        </w:rPr>
        <w:t xml:space="preserve"> عاماً ويتوقف بشكل كبير على المواقع الجغرافية والنشاط المغنطيسي الأرضي. وإضافة إلى التأين الخلفي، هناك دائماً بنى صغيرة عالية الدينامية وغير مستقرة بالنسبة إلى الأرض وتعرف بأنها شاذة. ويؤدي التأين الخلفي والشذوذ كلاهما إلى انحطاط الموجات الراديوية. إضافة إلى ذلك، يتسبب كل من التأين الخلفي والشذوذ في جعل المؤشر الانكساري أكثر اعتماداً على التردد أي أن يصبح الوسط مشتتاً.</w:t>
      </w:r>
    </w:p>
    <w:p w14:paraId="33D9454D" w14:textId="77777777" w:rsidR="00B5296E" w:rsidRPr="00B5296E" w:rsidRDefault="00B5296E" w:rsidP="00B5296E">
      <w:pPr>
        <w:pStyle w:val="Heading1"/>
        <w:rPr>
          <w:rtl/>
          <w:lang w:bidi="ar-EG"/>
        </w:rPr>
      </w:pPr>
      <w:bookmarkStart w:id="10" w:name="_Toc404087318"/>
      <w:bookmarkStart w:id="11" w:name="_Toc493768799"/>
      <w:r w:rsidRPr="00B5296E">
        <w:t>3</w:t>
      </w:r>
      <w:r w:rsidRPr="00B5296E">
        <w:rPr>
          <w:rFonts w:hint="cs"/>
          <w:rtl/>
        </w:rPr>
        <w:tab/>
      </w:r>
      <w:r w:rsidRPr="00B5296E">
        <w:rPr>
          <w:rtl/>
        </w:rPr>
        <w:t xml:space="preserve">اعتبارات انتشار الموجات المترية </w:t>
      </w:r>
      <w:r w:rsidRPr="00B5296E">
        <w:t>(VHF)</w:t>
      </w:r>
      <w:r w:rsidRPr="00B5296E">
        <w:rPr>
          <w:rtl/>
        </w:rPr>
        <w:t xml:space="preserve"> والموجات الديكامترية </w:t>
      </w:r>
      <w:r w:rsidRPr="00B5296E">
        <w:t>(HF)</w:t>
      </w:r>
    </w:p>
    <w:p w14:paraId="314469A6" w14:textId="77777777" w:rsidR="00B5296E" w:rsidRPr="00B5296E" w:rsidRDefault="00B5296E" w:rsidP="00D66348">
      <w:pPr>
        <w:rPr>
          <w:rtl/>
        </w:rPr>
      </w:pPr>
      <w:r w:rsidRPr="00B5296E">
        <w:rPr>
          <w:rFonts w:hint="cs"/>
          <w:rtl/>
          <w:lang w:bidi="ar-SY"/>
        </w:rPr>
        <w:t>في</w:t>
      </w:r>
      <w:r w:rsidRPr="00B5296E">
        <w:rPr>
          <w:rtl/>
          <w:lang w:bidi="ar-SY"/>
        </w:rPr>
        <w:t xml:space="preserve"> إشارات الموجات المترية </w:t>
      </w:r>
      <w:r w:rsidRPr="00B5296E">
        <w:t>(VHF)</w:t>
      </w:r>
      <w:r w:rsidRPr="00B5296E">
        <w:rPr>
          <w:rtl/>
          <w:lang w:bidi="ar-SY"/>
        </w:rPr>
        <w:t xml:space="preserve"> المنتشرة </w:t>
      </w:r>
      <w:r w:rsidRPr="00B5296E">
        <w:rPr>
          <w:rFonts w:hint="cs"/>
          <w:rtl/>
          <w:lang w:bidi="ar-SY"/>
        </w:rPr>
        <w:t>ضمن</w:t>
      </w:r>
      <w:r w:rsidRPr="00B5296E">
        <w:rPr>
          <w:rtl/>
          <w:lang w:bidi="ar-SY"/>
        </w:rPr>
        <w:t xml:space="preserve"> الأيونوسفير وعبره، </w:t>
      </w:r>
      <w:r w:rsidRPr="00B5296E">
        <w:rPr>
          <w:rFonts w:hint="cs"/>
          <w:rtl/>
          <w:lang w:bidi="ar-SY"/>
        </w:rPr>
        <w:t>كلما</w:t>
      </w:r>
      <w:r w:rsidRPr="00B5296E">
        <w:rPr>
          <w:rtl/>
          <w:lang w:bidi="ar-SY"/>
        </w:rPr>
        <w:t xml:space="preserve"> </w:t>
      </w:r>
      <w:r w:rsidRPr="00B5296E">
        <w:rPr>
          <w:rFonts w:hint="cs"/>
          <w:rtl/>
          <w:lang w:bidi="ar-SY"/>
        </w:rPr>
        <w:t>تناقص</w:t>
      </w:r>
      <w:r w:rsidRPr="00B5296E">
        <w:rPr>
          <w:rtl/>
          <w:lang w:bidi="ar-SY"/>
        </w:rPr>
        <w:t xml:space="preserve"> تردد التشغيل </w:t>
      </w:r>
      <w:r w:rsidRPr="00B5296E">
        <w:rPr>
          <w:rFonts w:hint="cs"/>
          <w:rtl/>
          <w:lang w:bidi="ar-SY"/>
        </w:rPr>
        <w:t xml:space="preserve">اشتد </w:t>
      </w:r>
      <w:r w:rsidRPr="00B5296E">
        <w:rPr>
          <w:rtl/>
          <w:lang w:bidi="ar-SY"/>
        </w:rPr>
        <w:t xml:space="preserve">تشوه </w:t>
      </w:r>
      <w:r w:rsidRPr="00B5296E">
        <w:rPr>
          <w:rFonts w:hint="cs"/>
          <w:rtl/>
          <w:lang w:bidi="ar-SY"/>
        </w:rPr>
        <w:t>وتردي</w:t>
      </w:r>
      <w:r w:rsidRPr="00B5296E">
        <w:rPr>
          <w:rtl/>
          <w:lang w:bidi="ar-SY"/>
        </w:rPr>
        <w:t xml:space="preserve"> الإشارة بشكل متزايد </w:t>
      </w:r>
      <w:r w:rsidRPr="00B5296E">
        <w:rPr>
          <w:rFonts w:hint="cs"/>
          <w:rtl/>
          <w:lang w:bidi="ar-SY"/>
        </w:rPr>
        <w:t xml:space="preserve">إلى أن يتعذر </w:t>
      </w:r>
      <w:r w:rsidRPr="00B5296E">
        <w:rPr>
          <w:rtl/>
          <w:lang w:bidi="ar-SY"/>
        </w:rPr>
        <w:t>اختراق الأيونوسفي</w:t>
      </w:r>
      <w:r w:rsidRPr="00B5296E">
        <w:rPr>
          <w:rFonts w:hint="cs"/>
          <w:rtl/>
          <w:lang w:bidi="ar-SY"/>
        </w:rPr>
        <w:t>ر</w:t>
      </w:r>
      <w:r w:rsidRPr="00B5296E">
        <w:rPr>
          <w:rtl/>
          <w:lang w:bidi="ar-SY"/>
        </w:rPr>
        <w:t xml:space="preserve"> و</w:t>
      </w:r>
      <w:r w:rsidRPr="00B5296E">
        <w:rPr>
          <w:rFonts w:hint="cs"/>
          <w:rtl/>
          <w:lang w:bidi="ar-SY"/>
        </w:rPr>
        <w:t>ت</w:t>
      </w:r>
      <w:r w:rsidRPr="00B5296E">
        <w:rPr>
          <w:rtl/>
          <w:lang w:bidi="ar-SY"/>
        </w:rPr>
        <w:t xml:space="preserve">نكسر الإرسالات من المحطات الفضائية </w:t>
      </w:r>
      <w:r w:rsidRPr="00B5296E">
        <w:rPr>
          <w:rFonts w:hint="cs"/>
          <w:rtl/>
          <w:lang w:bidi="ar-SY"/>
        </w:rPr>
        <w:t>نحو</w:t>
      </w:r>
      <w:r w:rsidRPr="00B5296E">
        <w:rPr>
          <w:rtl/>
          <w:lang w:bidi="ar-SY"/>
        </w:rPr>
        <w:t xml:space="preserve"> </w:t>
      </w:r>
      <w:r w:rsidRPr="00B5296E">
        <w:rPr>
          <w:rFonts w:hint="cs"/>
          <w:rtl/>
          <w:lang w:bidi="ar-SY"/>
        </w:rPr>
        <w:t>ال</w:t>
      </w:r>
      <w:r w:rsidRPr="00B5296E">
        <w:rPr>
          <w:rtl/>
          <w:lang w:bidi="ar-SY"/>
        </w:rPr>
        <w:t xml:space="preserve">أعلى أو تنكسر الإرسالات من المحطات الأرضية </w:t>
      </w:r>
      <w:r w:rsidRPr="00B5296E">
        <w:rPr>
          <w:rFonts w:hint="cs"/>
          <w:rtl/>
          <w:lang w:bidi="ar-SY"/>
        </w:rPr>
        <w:t>مرتدةً نحو</w:t>
      </w:r>
      <w:r w:rsidRPr="00B5296E">
        <w:rPr>
          <w:rtl/>
          <w:lang w:bidi="ar-SY"/>
        </w:rPr>
        <w:t xml:space="preserve"> الأرض. وبما أن الأيونوسفير متغير للغاية في البنية والكثافة، فإن التردد الذي سيحدث عنده</w:t>
      </w:r>
      <w:r w:rsidRPr="00B5296E">
        <w:rPr>
          <w:rFonts w:hint="cs"/>
          <w:rtl/>
          <w:lang w:bidi="ar-SY"/>
        </w:rPr>
        <w:t xml:space="preserve"> ذلك</w:t>
      </w:r>
      <w:r w:rsidRPr="00B5296E">
        <w:rPr>
          <w:rtl/>
          <w:lang w:bidi="ar-SY"/>
        </w:rPr>
        <w:t xml:space="preserve"> </w:t>
      </w:r>
      <w:r w:rsidRPr="00B5296E">
        <w:rPr>
          <w:rFonts w:hint="cs"/>
          <w:rtl/>
          <w:lang w:bidi="ar-SY"/>
        </w:rPr>
        <w:t>سيتغير</w:t>
      </w:r>
      <w:r w:rsidRPr="00B5296E">
        <w:rPr>
          <w:rtl/>
          <w:lang w:bidi="ar-SY"/>
        </w:rPr>
        <w:t xml:space="preserve"> أيضاً وسيعتمد أيضاً على هندسة المسير.</w:t>
      </w:r>
    </w:p>
    <w:p w14:paraId="2895D481" w14:textId="74969423" w:rsidR="00B5296E" w:rsidRPr="00B5296E" w:rsidRDefault="00B5296E" w:rsidP="004C09FF">
      <w:pPr>
        <w:rPr>
          <w:rtl/>
        </w:rPr>
      </w:pPr>
      <w:r w:rsidRPr="00B5296E">
        <w:rPr>
          <w:rFonts w:hint="cs"/>
          <w:rtl/>
          <w:lang w:bidi="ar-SY"/>
        </w:rPr>
        <w:t>وفي</w:t>
      </w:r>
      <w:r w:rsidRPr="00B5296E">
        <w:rPr>
          <w:rtl/>
          <w:lang w:bidi="ar-SY"/>
        </w:rPr>
        <w:t xml:space="preserve"> محطة فضائية حيث يضيء الهوائي مسيرات ستصبح ذات </w:t>
      </w:r>
      <w:r w:rsidRPr="00B5296E">
        <w:rPr>
          <w:rFonts w:hint="cs"/>
          <w:rtl/>
          <w:lang w:bidi="ar-SY"/>
        </w:rPr>
        <w:t>مماس</w:t>
      </w:r>
      <w:r w:rsidRPr="00B5296E">
        <w:rPr>
          <w:rtl/>
          <w:lang w:bidi="ar-SY"/>
        </w:rPr>
        <w:t xml:space="preserve"> هندسي </w:t>
      </w:r>
      <w:r w:rsidRPr="00B5296E">
        <w:rPr>
          <w:rFonts w:hint="cs"/>
          <w:rtl/>
          <w:lang w:bidi="ar-SY"/>
        </w:rPr>
        <w:t>ل</w:t>
      </w:r>
      <w:r w:rsidRPr="00B5296E">
        <w:rPr>
          <w:rtl/>
          <w:lang w:bidi="ar-SY"/>
        </w:rPr>
        <w:t xml:space="preserve">لأيونوسفير على ارتفاعات </w:t>
      </w:r>
      <w:r w:rsidRPr="00B5296E">
        <w:rPr>
          <w:rFonts w:hint="cs"/>
          <w:rtl/>
          <w:lang w:bidi="ar-SY"/>
        </w:rPr>
        <w:t>تقارب</w:t>
      </w:r>
      <w:r w:rsidRPr="00B5296E">
        <w:rPr>
          <w:rtl/>
          <w:lang w:bidi="ar-SY"/>
        </w:rPr>
        <w:t xml:space="preserve"> </w:t>
      </w:r>
      <w:r w:rsidRPr="00B5296E">
        <w:t>200</w:t>
      </w:r>
      <w:r w:rsidRPr="00B5296E">
        <w:rPr>
          <w:rtl/>
          <w:lang w:bidi="ar-SY"/>
        </w:rPr>
        <w:noBreakHyphen/>
      </w:r>
      <w:r w:rsidRPr="00B5296E">
        <w:t>300</w:t>
      </w:r>
      <w:r w:rsidRPr="00B5296E">
        <w:rPr>
          <w:rFonts w:hint="cs"/>
          <w:rtl/>
          <w:lang w:bidi="ar-SY"/>
        </w:rPr>
        <w:t> </w:t>
      </w:r>
      <w:r w:rsidRPr="00B5296E">
        <w:rPr>
          <w:lang w:val="en-GB"/>
        </w:rPr>
        <w:t>km</w:t>
      </w:r>
      <w:r w:rsidRPr="00B5296E">
        <w:rPr>
          <w:rtl/>
          <w:lang w:bidi="ar-SY"/>
        </w:rPr>
        <w:t xml:space="preserve">، </w:t>
      </w:r>
      <w:r w:rsidRPr="00B5296E">
        <w:rPr>
          <w:rFonts w:hint="cs"/>
          <w:rtl/>
          <w:lang w:bidi="ar-SY"/>
        </w:rPr>
        <w:t>يعطى</w:t>
      </w:r>
      <w:r w:rsidRPr="00B5296E">
        <w:rPr>
          <w:rtl/>
          <w:lang w:bidi="ar-SY"/>
        </w:rPr>
        <w:t xml:space="preserve"> تردد الاختراق هذا تقريباً </w:t>
      </w:r>
      <w:r w:rsidRPr="00B5296E">
        <w:rPr>
          <w:rFonts w:hint="cs"/>
          <w:rtl/>
          <w:lang w:bidi="ar-SY"/>
        </w:rPr>
        <w:t>بقيمة</w:t>
      </w:r>
      <w:r w:rsidRPr="00B5296E">
        <w:rPr>
          <w:rtl/>
          <w:lang w:bidi="ar-SY"/>
        </w:rPr>
        <w:t xml:space="preserve"> </w:t>
      </w:r>
      <w:r w:rsidRPr="002E3871">
        <w:t>MUF (4000) F2</w:t>
      </w:r>
      <w:r w:rsidRPr="002E3871">
        <w:rPr>
          <w:rtl/>
          <w:lang w:bidi="ar-SY"/>
        </w:rPr>
        <w:t xml:space="preserve"> </w:t>
      </w:r>
      <w:r w:rsidRPr="002E3871">
        <w:rPr>
          <w:rFonts w:hint="cs"/>
          <w:rtl/>
          <w:lang w:bidi="ar-SY"/>
        </w:rPr>
        <w:t xml:space="preserve">تُستخرج من العلاقة </w:t>
      </w:r>
      <w:r w:rsidRPr="002E3871">
        <w:rPr>
          <w:lang w:val="en-GB"/>
        </w:rPr>
        <w:t>(1.1 × M(3000) F2 ×foF2)</w:t>
      </w:r>
      <w:r w:rsidRPr="002E3871">
        <w:rPr>
          <w:rFonts w:hint="cs"/>
          <w:rtl/>
          <w:lang w:bidi="ar-SY"/>
        </w:rPr>
        <w:t>. و</w:t>
      </w:r>
      <w:r w:rsidRPr="002E3871">
        <w:rPr>
          <w:rtl/>
          <w:lang w:bidi="ar-SY"/>
        </w:rPr>
        <w:t>ترد تقديرات</w:t>
      </w:r>
      <w:r w:rsidRPr="002E3871">
        <w:rPr>
          <w:rFonts w:hint="cs"/>
          <w:rtl/>
          <w:lang w:bidi="ar-SY"/>
        </w:rPr>
        <w:t xml:space="preserve"> القيم</w:t>
      </w:r>
      <w:r w:rsidRPr="002E3871">
        <w:rPr>
          <w:rtl/>
          <w:lang w:bidi="ar-SY"/>
        </w:rPr>
        <w:t xml:space="preserve"> المتوسط</w:t>
      </w:r>
      <w:r w:rsidRPr="002E3871">
        <w:rPr>
          <w:rFonts w:hint="cs"/>
          <w:rtl/>
          <w:lang w:bidi="ar-SY"/>
        </w:rPr>
        <w:t>ة</w:t>
      </w:r>
      <w:r w:rsidRPr="002E3871">
        <w:rPr>
          <w:rtl/>
          <w:lang w:bidi="ar-SY"/>
        </w:rPr>
        <w:t xml:space="preserve"> </w:t>
      </w:r>
      <w:r w:rsidRPr="002E3871">
        <w:rPr>
          <w:rFonts w:hint="cs"/>
          <w:rtl/>
          <w:lang w:bidi="ar-SY"/>
        </w:rPr>
        <w:t>والعشرية</w:t>
      </w:r>
      <w:r w:rsidRPr="002E3871">
        <w:rPr>
          <w:rtl/>
          <w:lang w:bidi="ar-SY"/>
        </w:rPr>
        <w:t xml:space="preserve"> </w:t>
      </w:r>
      <w:r w:rsidRPr="002E3871">
        <w:rPr>
          <w:rFonts w:hint="cs"/>
          <w:rtl/>
          <w:lang w:bidi="ar-SY"/>
        </w:rPr>
        <w:t>الشهرية للتمثيلين العدديين</w:t>
      </w:r>
      <w:r w:rsidRPr="002E3871">
        <w:rPr>
          <w:rtl/>
          <w:lang w:bidi="ar-SY"/>
        </w:rPr>
        <w:t xml:space="preserve"> </w:t>
      </w:r>
      <w:r w:rsidRPr="002E3871">
        <w:t>M (3000) F2</w:t>
      </w:r>
      <w:r w:rsidRPr="002E3871">
        <w:rPr>
          <w:rtl/>
          <w:lang w:bidi="ar-SY"/>
        </w:rPr>
        <w:t xml:space="preserve"> و</w:t>
      </w:r>
      <w:r w:rsidRPr="002E3871">
        <w:t>foF2</w:t>
      </w:r>
      <w:r w:rsidRPr="002E3871">
        <w:rPr>
          <w:rtl/>
          <w:lang w:bidi="ar-SY"/>
        </w:rPr>
        <w:t xml:space="preserve"> في التوصية </w:t>
      </w:r>
      <w:hyperlink r:id="rId21" w:history="1">
        <w:r w:rsidR="004C09FF" w:rsidRPr="002E3871">
          <w:rPr>
            <w:rStyle w:val="Hyperlink"/>
            <w:color w:val="auto"/>
            <w:u w:val="none"/>
            <w:lang w:val="en-GB"/>
          </w:rPr>
          <w:t>ITU-R P.1239</w:t>
        </w:r>
      </w:hyperlink>
      <w:r w:rsidRPr="002E3871">
        <w:rPr>
          <w:rtl/>
          <w:lang w:bidi="ar-SY"/>
        </w:rPr>
        <w:t xml:space="preserve">. وترد قيم </w:t>
      </w:r>
      <w:r w:rsidRPr="002E3871">
        <w:t>%1</w:t>
      </w:r>
      <w:r w:rsidRPr="002E3871">
        <w:rPr>
          <w:rFonts w:hint="cs"/>
          <w:rtl/>
          <w:lang w:bidi="ar-SY"/>
        </w:rPr>
        <w:t xml:space="preserve"> ل</w:t>
      </w:r>
      <w:r w:rsidRPr="002E3871">
        <w:rPr>
          <w:rtl/>
          <w:lang w:bidi="ar-SY"/>
        </w:rPr>
        <w:t xml:space="preserve">أقصى تردد مستعمل </w:t>
      </w:r>
      <w:r w:rsidRPr="002E3871">
        <w:t>(MUF)</w:t>
      </w:r>
      <w:r w:rsidRPr="002E3871">
        <w:rPr>
          <w:rtl/>
          <w:lang w:bidi="ar-SY"/>
        </w:rPr>
        <w:t xml:space="preserve"> </w:t>
      </w:r>
      <w:r w:rsidRPr="002E3871">
        <w:rPr>
          <w:rFonts w:hint="cs"/>
          <w:rtl/>
          <w:lang w:bidi="ar-SY"/>
        </w:rPr>
        <w:t>على بعد</w:t>
      </w:r>
      <w:r w:rsidRPr="002E3871">
        <w:rPr>
          <w:rtl/>
          <w:lang w:bidi="ar-SY"/>
        </w:rPr>
        <w:t xml:space="preserve"> </w:t>
      </w:r>
      <w:r w:rsidRPr="002E3871">
        <w:t>4 000</w:t>
      </w:r>
      <w:r w:rsidRPr="002E3871">
        <w:rPr>
          <w:rtl/>
          <w:lang w:bidi="ar-SY"/>
        </w:rPr>
        <w:t xml:space="preserve"> </w:t>
      </w:r>
      <w:r w:rsidRPr="002E3871">
        <w:rPr>
          <w:lang w:val="en-GB"/>
        </w:rPr>
        <w:t>km</w:t>
      </w:r>
      <w:r w:rsidRPr="002E3871">
        <w:rPr>
          <w:rFonts w:hint="cs"/>
          <w:rtl/>
        </w:rPr>
        <w:t xml:space="preserve"> </w:t>
      </w:r>
      <w:r w:rsidRPr="002E3871">
        <w:rPr>
          <w:rtl/>
          <w:lang w:bidi="ar-SY"/>
        </w:rPr>
        <w:t xml:space="preserve">في خرائط في التوصية </w:t>
      </w:r>
      <w:hyperlink r:id="rId22" w:history="1">
        <w:r w:rsidR="004C09FF" w:rsidRPr="002E3871">
          <w:rPr>
            <w:rStyle w:val="Hyperlink"/>
            <w:color w:val="auto"/>
            <w:u w:val="none"/>
            <w:lang w:val="en-GB"/>
          </w:rPr>
          <w:t>ITU-R P.844</w:t>
        </w:r>
      </w:hyperlink>
      <w:r w:rsidRPr="002E3871">
        <w:rPr>
          <w:rtl/>
          <w:lang w:bidi="ar-SY"/>
        </w:rPr>
        <w:t xml:space="preserve">. </w:t>
      </w:r>
      <w:r w:rsidRPr="002E3871">
        <w:rPr>
          <w:rFonts w:hint="cs"/>
          <w:rtl/>
          <w:lang w:bidi="ar-SY"/>
        </w:rPr>
        <w:t>و</w:t>
      </w:r>
      <w:r w:rsidRPr="002E3871">
        <w:rPr>
          <w:rtl/>
          <w:lang w:bidi="ar-SY"/>
        </w:rPr>
        <w:t xml:space="preserve">ليس من الواضح ما </w:t>
      </w:r>
      <w:r w:rsidRPr="002E3871">
        <w:rPr>
          <w:rFonts w:hint="cs"/>
          <w:rtl/>
          <w:lang w:bidi="ar-SY"/>
        </w:rPr>
        <w:t>ت</w:t>
      </w:r>
      <w:r w:rsidRPr="002E3871">
        <w:rPr>
          <w:rtl/>
          <w:lang w:bidi="ar-SY"/>
        </w:rPr>
        <w:t>شير إليه</w:t>
      </w:r>
      <w:r w:rsidRPr="002E3871">
        <w:rPr>
          <w:rFonts w:hint="cs"/>
          <w:rtl/>
          <w:lang w:bidi="ar-SY"/>
        </w:rPr>
        <w:t xml:space="preserve"> نسبة</w:t>
      </w:r>
      <w:r w:rsidRPr="002E3871">
        <w:rPr>
          <w:rtl/>
          <w:lang w:bidi="ar-SY"/>
        </w:rPr>
        <w:t xml:space="preserve"> </w:t>
      </w:r>
      <w:r w:rsidRPr="002E3871">
        <w:t>%1</w:t>
      </w:r>
      <w:r w:rsidRPr="002E3871">
        <w:rPr>
          <w:rtl/>
          <w:lang w:bidi="ar-SY"/>
        </w:rPr>
        <w:t xml:space="preserve">، ولكن </w:t>
      </w:r>
      <w:r w:rsidRPr="002E3871">
        <w:rPr>
          <w:rFonts w:hint="cs"/>
          <w:rtl/>
          <w:lang w:bidi="ar-SY"/>
        </w:rPr>
        <w:t>يمكنها</w:t>
      </w:r>
      <w:r w:rsidRPr="002E3871">
        <w:rPr>
          <w:rtl/>
          <w:lang w:bidi="ar-SY"/>
        </w:rPr>
        <w:t xml:space="preserve"> أن </w:t>
      </w:r>
      <w:r w:rsidRPr="002E3871">
        <w:rPr>
          <w:rFonts w:hint="cs"/>
          <w:rtl/>
          <w:lang w:bidi="ar-SY"/>
        </w:rPr>
        <w:t>تشمل</w:t>
      </w:r>
      <w:r w:rsidRPr="002E3871">
        <w:rPr>
          <w:rtl/>
          <w:lang w:bidi="ar-SY"/>
        </w:rPr>
        <w:t xml:space="preserve"> جميع الساعات في أشهر الحد الأقصى </w:t>
      </w:r>
      <w:r w:rsidRPr="002E3871">
        <w:rPr>
          <w:rFonts w:hint="cs"/>
          <w:rtl/>
          <w:lang w:bidi="ar-SY"/>
        </w:rPr>
        <w:t>للنشاط</w:t>
      </w:r>
      <w:r w:rsidRPr="002E3871">
        <w:rPr>
          <w:rtl/>
          <w:lang w:bidi="ar-SY"/>
        </w:rPr>
        <w:t xml:space="preserve"> الشمسي عام </w:t>
      </w:r>
      <w:r w:rsidRPr="002E3871">
        <w:t>1958</w:t>
      </w:r>
      <w:r w:rsidRPr="002E3871">
        <w:rPr>
          <w:rtl/>
          <w:lang w:bidi="ar-SY"/>
        </w:rPr>
        <w:t>.</w:t>
      </w:r>
      <w:r w:rsidRPr="002E3871">
        <w:rPr>
          <w:rFonts w:hint="cs"/>
          <w:rtl/>
          <w:lang w:bidi="ar-SY"/>
        </w:rPr>
        <w:t xml:space="preserve"> وقد </w:t>
      </w:r>
      <w:r w:rsidRPr="002E3871">
        <w:rPr>
          <w:rtl/>
          <w:lang w:bidi="ar-SY"/>
        </w:rPr>
        <w:t xml:space="preserve">كان </w:t>
      </w:r>
      <w:r w:rsidRPr="002E3871">
        <w:rPr>
          <w:rFonts w:hint="cs"/>
          <w:rtl/>
          <w:lang w:bidi="ar-SY"/>
        </w:rPr>
        <w:t>ذلك</w:t>
      </w:r>
      <w:r w:rsidRPr="002E3871">
        <w:rPr>
          <w:rtl/>
          <w:lang w:bidi="ar-SY"/>
        </w:rPr>
        <w:t xml:space="preserve"> أقصى حد </w:t>
      </w:r>
      <w:r w:rsidRPr="002E3871">
        <w:rPr>
          <w:rFonts w:hint="cs"/>
          <w:rtl/>
          <w:lang w:bidi="ar-SY"/>
        </w:rPr>
        <w:t>متطرف</w:t>
      </w:r>
      <w:r w:rsidRPr="002E3871">
        <w:rPr>
          <w:rtl/>
          <w:lang w:bidi="ar-SY"/>
        </w:rPr>
        <w:t xml:space="preserve"> </w:t>
      </w:r>
      <w:r w:rsidRPr="002E3871">
        <w:rPr>
          <w:rFonts w:hint="cs"/>
          <w:rtl/>
          <w:lang w:bidi="ar-SY"/>
        </w:rPr>
        <w:t>رُصد للنشاط</w:t>
      </w:r>
      <w:r w:rsidRPr="002E3871">
        <w:rPr>
          <w:rtl/>
          <w:lang w:bidi="ar-SY"/>
        </w:rPr>
        <w:t xml:space="preserve"> الشمسي على الإطلاق.</w:t>
      </w:r>
      <w:r w:rsidRPr="002E3871">
        <w:rPr>
          <w:rFonts w:hint="cs"/>
          <w:rtl/>
          <w:lang w:bidi="ar-SY"/>
        </w:rPr>
        <w:t xml:space="preserve"> و</w:t>
      </w:r>
      <w:r w:rsidRPr="002E3871">
        <w:rPr>
          <w:rtl/>
          <w:lang w:bidi="ar-SY"/>
        </w:rPr>
        <w:t xml:space="preserve">لكن مثل هذه الاعتبارات الهندسية </w:t>
      </w:r>
      <w:r w:rsidRPr="002E3871">
        <w:rPr>
          <w:rFonts w:hint="cs"/>
          <w:rtl/>
          <w:lang w:bidi="ar-SY"/>
        </w:rPr>
        <w:t xml:space="preserve">يمكن </w:t>
      </w:r>
      <w:r w:rsidRPr="00B5296E">
        <w:rPr>
          <w:rFonts w:hint="cs"/>
          <w:rtl/>
          <w:lang w:bidi="ar-SY"/>
        </w:rPr>
        <w:t>أن تغالي</w:t>
      </w:r>
      <w:r w:rsidRPr="00B5296E">
        <w:rPr>
          <w:rtl/>
          <w:lang w:bidi="ar-SY"/>
        </w:rPr>
        <w:t xml:space="preserve"> في التبسيط.</w:t>
      </w:r>
      <w:r w:rsidRPr="00B5296E">
        <w:rPr>
          <w:rFonts w:hint="cs"/>
          <w:rtl/>
          <w:lang w:bidi="ar-SY"/>
        </w:rPr>
        <w:t xml:space="preserve"> ويمكن أن</w:t>
      </w:r>
      <w:r w:rsidRPr="00B5296E">
        <w:rPr>
          <w:rtl/>
          <w:lang w:bidi="ar-SY"/>
        </w:rPr>
        <w:t xml:space="preserve"> </w:t>
      </w:r>
      <w:r w:rsidRPr="00B5296E">
        <w:rPr>
          <w:rFonts w:hint="cs"/>
          <w:rtl/>
          <w:lang w:bidi="ar-SY"/>
        </w:rPr>
        <w:t>يحدث</w:t>
      </w:r>
      <w:r w:rsidRPr="00B5296E">
        <w:rPr>
          <w:rtl/>
          <w:lang w:bidi="ar-SY"/>
        </w:rPr>
        <w:t xml:space="preserve"> الانتشار </w:t>
      </w:r>
      <w:r w:rsidRPr="00B5296E">
        <w:rPr>
          <w:rFonts w:hint="cs"/>
          <w:rtl/>
          <w:lang w:bidi="ar-SY"/>
        </w:rPr>
        <w:t>ضمن</w:t>
      </w:r>
      <w:r w:rsidRPr="00B5296E">
        <w:rPr>
          <w:rtl/>
          <w:lang w:bidi="ar-SY"/>
        </w:rPr>
        <w:t xml:space="preserve"> الأيونوسفير </w:t>
      </w:r>
      <w:r w:rsidRPr="00B5296E">
        <w:rPr>
          <w:rFonts w:hint="cs"/>
          <w:rtl/>
          <w:lang w:bidi="ar-SY"/>
        </w:rPr>
        <w:t>ب</w:t>
      </w:r>
      <w:r w:rsidRPr="00B5296E">
        <w:rPr>
          <w:rtl/>
          <w:lang w:bidi="ar-SY"/>
        </w:rPr>
        <w:t xml:space="preserve">زوايا قريبة من المماس ضمن </w:t>
      </w:r>
      <w:r w:rsidRPr="00B5296E">
        <w:rPr>
          <w:rFonts w:hint="cs"/>
          <w:rtl/>
          <w:lang w:bidi="ar-SY"/>
        </w:rPr>
        <w:t>مجرى</w:t>
      </w:r>
      <w:r w:rsidRPr="00B5296E">
        <w:rPr>
          <w:rtl/>
          <w:lang w:bidi="ar-SY"/>
        </w:rPr>
        <w:t xml:space="preserve"> </w:t>
      </w:r>
      <w:r w:rsidRPr="00B5296E">
        <w:rPr>
          <w:rFonts w:hint="cs"/>
          <w:rtl/>
          <w:lang w:bidi="ar-SY"/>
        </w:rPr>
        <w:t>ي</w:t>
      </w:r>
      <w:r w:rsidRPr="00B5296E">
        <w:rPr>
          <w:rtl/>
          <w:lang w:bidi="ar-SY"/>
        </w:rPr>
        <w:t xml:space="preserve">عطي الانتشار إلى </w:t>
      </w:r>
      <w:r w:rsidRPr="00B5296E">
        <w:rPr>
          <w:rFonts w:hint="cs"/>
          <w:rtl/>
          <w:lang w:bidi="ar-SY"/>
        </w:rPr>
        <w:t>مديات</w:t>
      </w:r>
      <w:r w:rsidRPr="00B5296E">
        <w:rPr>
          <w:rtl/>
          <w:lang w:bidi="ar-SY"/>
        </w:rPr>
        <w:t xml:space="preserve"> أطول و</w:t>
      </w:r>
      <w:r w:rsidRPr="00B5296E">
        <w:rPr>
          <w:rFonts w:hint="cs"/>
          <w:rtl/>
          <w:lang w:bidi="ar-SY"/>
        </w:rPr>
        <w:t>ي</w:t>
      </w:r>
      <w:r w:rsidRPr="00B5296E">
        <w:rPr>
          <w:rtl/>
          <w:lang w:bidi="ar-SY"/>
        </w:rPr>
        <w:t xml:space="preserve">كون عرضة </w:t>
      </w:r>
      <w:bookmarkStart w:id="12" w:name="_Hlk37774522"/>
      <w:r w:rsidRPr="00B5296E">
        <w:rPr>
          <w:rFonts w:hint="cs"/>
          <w:rtl/>
          <w:lang w:bidi="ar-SY"/>
        </w:rPr>
        <w:t xml:space="preserve">لمؤثرات </w:t>
      </w:r>
      <w:bookmarkEnd w:id="12"/>
      <w:r w:rsidRPr="00B5296E">
        <w:rPr>
          <w:rFonts w:hint="cs"/>
          <w:rtl/>
          <w:lang w:bidi="ar-SY"/>
        </w:rPr>
        <w:t>ناجمة</w:t>
      </w:r>
      <w:r w:rsidRPr="00B5296E">
        <w:rPr>
          <w:rtl/>
          <w:lang w:bidi="ar-SY"/>
        </w:rPr>
        <w:t xml:space="preserve"> </w:t>
      </w:r>
      <w:r w:rsidRPr="00B5296E">
        <w:rPr>
          <w:rFonts w:hint="cs"/>
          <w:rtl/>
          <w:lang w:bidi="ar-SY"/>
        </w:rPr>
        <w:t>عن أوجه شذوذ في</w:t>
      </w:r>
      <w:r w:rsidRPr="00B5296E">
        <w:rPr>
          <w:rFonts w:hint="eastAsia"/>
          <w:rtl/>
          <w:lang w:bidi="ar-EG"/>
        </w:rPr>
        <w:t> </w:t>
      </w:r>
      <w:r w:rsidRPr="00B5296E">
        <w:rPr>
          <w:rtl/>
          <w:lang w:bidi="ar-SY"/>
        </w:rPr>
        <w:t>الأيونوسفير.</w:t>
      </w:r>
    </w:p>
    <w:p w14:paraId="1706327B" w14:textId="77777777" w:rsidR="00B5296E" w:rsidRPr="00B5296E" w:rsidRDefault="00B5296E" w:rsidP="00D66348">
      <w:pPr>
        <w:rPr>
          <w:rtl/>
        </w:rPr>
      </w:pPr>
      <w:r w:rsidRPr="00B5296E">
        <w:rPr>
          <w:rFonts w:hint="cs"/>
          <w:rtl/>
        </w:rPr>
        <w:t xml:space="preserve">وفي الحالة المتطرفة الأخرى، </w:t>
      </w:r>
      <w:r w:rsidRPr="00B5296E">
        <w:rPr>
          <w:rtl/>
          <w:lang w:bidi="ar-SY"/>
        </w:rPr>
        <w:t xml:space="preserve">سيكون تردد الاختراق هو أقصى تردد للبلازما، </w:t>
      </w:r>
      <w:r w:rsidRPr="00B5296E">
        <w:t>foF2</w:t>
      </w:r>
      <w:r w:rsidRPr="00B5296E">
        <w:rPr>
          <w:rFonts w:hint="cs"/>
          <w:rtl/>
          <w:lang w:bidi="ar-SY"/>
        </w:rPr>
        <w:t xml:space="preserve">، </w:t>
      </w:r>
      <w:r w:rsidRPr="00B5296E">
        <w:rPr>
          <w:rtl/>
          <w:lang w:bidi="ar-SY"/>
        </w:rPr>
        <w:t>بالنسبة للهوائيات الموجهة إلى نظير.</w:t>
      </w:r>
    </w:p>
    <w:p w14:paraId="63CB5573" w14:textId="77777777" w:rsidR="00B5296E" w:rsidRPr="00B5296E" w:rsidRDefault="00B5296E" w:rsidP="00D66348">
      <w:pPr>
        <w:rPr>
          <w:rtl/>
          <w:lang w:bidi="ar-SY"/>
        </w:rPr>
      </w:pPr>
      <w:r w:rsidRPr="00B5296E">
        <w:rPr>
          <w:rFonts w:hint="cs"/>
          <w:rtl/>
          <w:lang w:bidi="ar-SY"/>
        </w:rPr>
        <w:t>ويُستنتج</w:t>
      </w:r>
      <w:r w:rsidRPr="00B5296E">
        <w:rPr>
          <w:rtl/>
          <w:lang w:bidi="ar-SY"/>
        </w:rPr>
        <w:t xml:space="preserve"> بالنسبة </w:t>
      </w:r>
      <w:r w:rsidRPr="00B5296E">
        <w:rPr>
          <w:rFonts w:hint="cs"/>
          <w:rtl/>
          <w:lang w:bidi="ar-SY"/>
        </w:rPr>
        <w:t xml:space="preserve">للمؤثرات </w:t>
      </w:r>
      <w:r w:rsidRPr="00B5296E">
        <w:rPr>
          <w:rtl/>
          <w:lang w:bidi="ar-SY"/>
        </w:rPr>
        <w:t xml:space="preserve">الأيونوسفيرية المدرجة في الجدول </w:t>
      </w:r>
      <w:r w:rsidRPr="00B5296E">
        <w:t>3</w:t>
      </w:r>
      <w:r w:rsidRPr="00B5296E">
        <w:rPr>
          <w:rtl/>
          <w:lang w:bidi="ar-SY"/>
        </w:rPr>
        <w:t xml:space="preserve">، </w:t>
      </w:r>
      <w:r w:rsidRPr="00B5296E">
        <w:rPr>
          <w:rFonts w:hint="cs"/>
          <w:rtl/>
          <w:lang w:bidi="ar-SY"/>
        </w:rPr>
        <w:t xml:space="preserve">أن </w:t>
      </w:r>
      <w:r w:rsidRPr="00B5296E">
        <w:rPr>
          <w:rtl/>
          <w:lang w:bidi="ar-SY"/>
        </w:rPr>
        <w:t xml:space="preserve">الاعتمادات على الترددات ستنطبق على ترددات منخفضة تصل إلى </w:t>
      </w:r>
      <w:r w:rsidRPr="00B5296E">
        <w:t>MHz 100</w:t>
      </w:r>
      <w:r w:rsidRPr="00B5296E">
        <w:rPr>
          <w:rtl/>
          <w:lang w:bidi="ar-SY"/>
        </w:rPr>
        <w:t xml:space="preserve">، ربما باستثناء أوقات ومواقع </w:t>
      </w:r>
      <w:r w:rsidRPr="00B5296E">
        <w:rPr>
          <w:rFonts w:hint="cs"/>
          <w:rtl/>
          <w:lang w:bidi="ar-SY"/>
        </w:rPr>
        <w:t>تتخللها</w:t>
      </w:r>
      <w:r w:rsidRPr="00B5296E">
        <w:rPr>
          <w:rtl/>
          <w:lang w:bidi="ar-SY"/>
        </w:rPr>
        <w:t xml:space="preserve"> اضطرابات شديدة في الأيونوسفير. </w:t>
      </w:r>
      <w:r w:rsidRPr="00B5296E">
        <w:rPr>
          <w:rFonts w:hint="cs"/>
          <w:rtl/>
          <w:lang w:bidi="ar-SY"/>
        </w:rPr>
        <w:t>و</w:t>
      </w:r>
      <w:r w:rsidRPr="00B5296E">
        <w:rPr>
          <w:rtl/>
          <w:lang w:bidi="ar-SY"/>
        </w:rPr>
        <w:t xml:space="preserve">عند الترددات المنخفضة وصولاً إلى الحد الأقصى لتردد البلازما </w:t>
      </w:r>
      <w:r w:rsidRPr="00B5296E">
        <w:t>(foF2)</w:t>
      </w:r>
      <w:r w:rsidRPr="00B5296E">
        <w:rPr>
          <w:rtl/>
          <w:lang w:bidi="ar-SY"/>
        </w:rPr>
        <w:t xml:space="preserve"> لانتشار </w:t>
      </w:r>
      <w:r w:rsidRPr="00B5296E">
        <w:rPr>
          <w:rFonts w:hint="cs"/>
          <w:rtl/>
          <w:lang w:bidi="ar-SY"/>
        </w:rPr>
        <w:t>الورود</w:t>
      </w:r>
      <w:r w:rsidRPr="00B5296E">
        <w:rPr>
          <w:rtl/>
          <w:lang w:bidi="ar-SY"/>
        </w:rPr>
        <w:t xml:space="preserve"> الرأسي، سيظل انتشار أرض-فضاء متوقعاً، لكن </w:t>
      </w:r>
      <w:r w:rsidRPr="00B5296E">
        <w:rPr>
          <w:rFonts w:hint="cs"/>
          <w:rtl/>
          <w:lang w:bidi="ar-SY"/>
        </w:rPr>
        <w:t>الجوانب</w:t>
      </w:r>
      <w:r w:rsidRPr="00B5296E">
        <w:rPr>
          <w:rtl/>
          <w:lang w:bidi="ar-SY"/>
        </w:rPr>
        <w:t xml:space="preserve"> العملية لخدمة الاتصالات الراديوية ستعتمد على تصميم النظام المحدد والتطبيق والموثوقية المطلوبة.</w:t>
      </w:r>
    </w:p>
    <w:p w14:paraId="0A9A0289" w14:textId="77777777" w:rsidR="00B5296E" w:rsidRPr="00B5296E" w:rsidRDefault="00B5296E" w:rsidP="00B5296E">
      <w:pPr>
        <w:pStyle w:val="Heading1"/>
        <w:rPr>
          <w:rtl/>
        </w:rPr>
      </w:pPr>
      <w:r w:rsidRPr="00B5296E">
        <w:lastRenderedPageBreak/>
        <w:t>4</w:t>
      </w:r>
      <w:r w:rsidRPr="00B5296E">
        <w:tab/>
      </w:r>
      <w:r w:rsidRPr="00B5296E">
        <w:rPr>
          <w:rFonts w:hint="cs"/>
          <w:rtl/>
        </w:rPr>
        <w:t>الانحطاطات الأولية الراجعة إلى التأينات الخلفية</w:t>
      </w:r>
      <w:bookmarkEnd w:id="10"/>
      <w:bookmarkEnd w:id="11"/>
    </w:p>
    <w:p w14:paraId="515FE882" w14:textId="68726ECF" w:rsidR="00B5296E" w:rsidRPr="00B5296E" w:rsidRDefault="00B5296E" w:rsidP="00D66348">
      <w:pPr>
        <w:rPr>
          <w:rtl/>
        </w:rPr>
      </w:pPr>
      <w:r w:rsidRPr="00B5296E">
        <w:rPr>
          <w:rFonts w:hint="cs"/>
          <w:rtl/>
        </w:rPr>
        <w:t>إن عدداً من الآثار مثل الانكسار والتشتت وتأخر الزمرة يكون متناسباً من حيث الحجم مباشرة مع المحتوى الإلكتروني الإجمالي</w:t>
      </w:r>
      <w:r w:rsidR="004C09FF">
        <w:rPr>
          <w:rFonts w:hint="eastAsia"/>
          <w:rtl/>
        </w:rPr>
        <w:t> </w:t>
      </w:r>
      <w:r w:rsidRPr="00B5296E">
        <w:t>(TEC)</w:t>
      </w:r>
      <w:r w:rsidRPr="00B5296E">
        <w:rPr>
          <w:rFonts w:hint="cs"/>
          <w:rtl/>
        </w:rPr>
        <w:t xml:space="preserve"> كما يتناسب دوران فاراداي تقريباً مع المساهمات من أجزاء مختلفة من مسير الإشعاع كما يقدر بواسطة المكون الطولي من المجال المغنطيسي. وهكذا تتيح معرفة المحتوى </w:t>
      </w:r>
      <w:r w:rsidRPr="00B5296E">
        <w:t>TEC</w:t>
      </w:r>
      <w:r w:rsidRPr="00B5296E">
        <w:rPr>
          <w:rFonts w:hint="cs"/>
          <w:rtl/>
        </w:rPr>
        <w:t xml:space="preserve"> إجراء تقدير كمي للعديد من الآثار الأيونوسفيرية المهمة.</w:t>
      </w:r>
    </w:p>
    <w:p w14:paraId="6767998B" w14:textId="77777777" w:rsidR="00B5296E" w:rsidRPr="00B5296E" w:rsidRDefault="00B5296E" w:rsidP="00B5296E">
      <w:pPr>
        <w:pStyle w:val="Heading2"/>
        <w:rPr>
          <w:rtl/>
        </w:rPr>
      </w:pPr>
      <w:bookmarkStart w:id="13" w:name="_Toc404087319"/>
      <w:bookmarkStart w:id="14" w:name="_Toc493768800"/>
      <w:r w:rsidRPr="00B5296E">
        <w:t>1.4</w:t>
      </w:r>
      <w:r w:rsidRPr="00B5296E">
        <w:rPr>
          <w:rFonts w:hint="cs"/>
          <w:rtl/>
        </w:rPr>
        <w:tab/>
        <w:t>المحتوى الإلكتروني الإجمالي ‌</w:t>
      </w:r>
      <w:r w:rsidRPr="00B5296E">
        <w:t>(TEC)</w:t>
      </w:r>
      <w:bookmarkEnd w:id="13"/>
      <w:bookmarkEnd w:id="14"/>
    </w:p>
    <w:p w14:paraId="0C7A4CEE" w14:textId="77777777" w:rsidR="00B5296E" w:rsidRPr="00B5296E" w:rsidRDefault="00B5296E" w:rsidP="00D66348">
      <w:pPr>
        <w:rPr>
          <w:rtl/>
        </w:rPr>
      </w:pPr>
      <w:r w:rsidRPr="00B5296E">
        <w:rPr>
          <w:rFonts w:hint="cs"/>
          <w:rtl/>
        </w:rPr>
        <w:t xml:space="preserve">إن المحتوى </w:t>
      </w:r>
      <w:r w:rsidRPr="00B5296E">
        <w:t>TEC</w:t>
      </w:r>
      <w:r w:rsidRPr="00B5296E">
        <w:rPr>
          <w:rFonts w:hint="cs"/>
          <w:rtl/>
        </w:rPr>
        <w:t xml:space="preserve"> الذي يعين بواسطة </w:t>
      </w:r>
      <w:r w:rsidRPr="00B5296E">
        <w:rPr>
          <w:i/>
          <w:iCs/>
        </w:rPr>
        <w:t>N</w:t>
      </w:r>
      <w:r w:rsidRPr="00B5296E">
        <w:rPr>
          <w:i/>
          <w:iCs/>
          <w:vertAlign w:val="subscript"/>
        </w:rPr>
        <w:t>T</w:t>
      </w:r>
      <w:r w:rsidRPr="00B5296E">
        <w:rPr>
          <w:rFonts w:hint="cs"/>
          <w:rtl/>
        </w:rPr>
        <w:t xml:space="preserve"> يمكن تحديد قيمته بالمعادلة لتالية:</w:t>
      </w:r>
      <w:bookmarkEnd w:id="7"/>
    </w:p>
    <w:p w14:paraId="4AE5FB5C" w14:textId="77777777" w:rsidR="00B5296E" w:rsidRPr="00B5296E" w:rsidRDefault="00B5296E" w:rsidP="00D66348">
      <w:pPr>
        <w:pStyle w:val="Equation"/>
        <w:tabs>
          <w:tab w:val="right" w:pos="850"/>
        </w:tabs>
      </w:pPr>
      <w:bookmarkStart w:id="15" w:name="_Hlk212621802"/>
      <w:r w:rsidRPr="00B5296E">
        <w:tab/>
      </w:r>
      <w:r w:rsidRPr="00B5296E">
        <w:tab/>
      </w:r>
      <w:r w:rsidRPr="0092492A">
        <w:rPr>
          <w:position w:val="-20"/>
        </w:rPr>
        <w:object w:dxaOrig="1600" w:dyaOrig="660" w14:anchorId="388D6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3.3pt;mso-width-percent:0;mso-height-percent:0;mso-width-percent:0;mso-height-percent:0" o:ole="">
            <v:imagedata r:id="rId23" o:title=""/>
          </v:shape>
          <o:OLEObject Type="Embed" ProgID="Equation.3" ShapeID="_x0000_i1025" DrawAspect="Content" ObjectID="_1824969396" r:id="rId24"/>
        </w:object>
      </w:r>
      <w:r w:rsidRPr="00B5296E">
        <w:tab/>
        <w:t>(1)</w:t>
      </w:r>
      <w:bookmarkEnd w:id="15"/>
    </w:p>
    <w:p w14:paraId="73E8DB66" w14:textId="77777777" w:rsidR="00B5296E" w:rsidRPr="00B5296E" w:rsidRDefault="00B5296E" w:rsidP="00D66348">
      <w:pPr>
        <w:rPr>
          <w:rtl/>
          <w:lang w:bidi="ar-EG"/>
        </w:rPr>
      </w:pPr>
      <w:bookmarkStart w:id="16" w:name="_Hlk212621826"/>
      <w:r w:rsidRPr="00B5296E">
        <w:rPr>
          <w:rFonts w:hint="cs"/>
          <w:rtl/>
        </w:rPr>
        <w:t>حيث:</w:t>
      </w:r>
      <w:bookmarkEnd w:id="16"/>
    </w:p>
    <w:p w14:paraId="4735D63C" w14:textId="1E4A0AC0" w:rsidR="00B5296E" w:rsidRPr="00B5296E" w:rsidRDefault="00B5296E" w:rsidP="004C09FF">
      <w:pPr>
        <w:pStyle w:val="Equationlegend"/>
        <w:rPr>
          <w:rtl/>
        </w:rPr>
      </w:pPr>
      <w:bookmarkStart w:id="17" w:name="_Hlk212621834"/>
      <w:r w:rsidRPr="00B5296E">
        <w:rPr>
          <w:rFonts w:hint="cs"/>
          <w:i/>
          <w:iCs/>
          <w:rtl/>
        </w:rPr>
        <w:tab/>
      </w:r>
      <w:r w:rsidRPr="00B5296E">
        <w:rPr>
          <w:i/>
          <w:iCs/>
        </w:rPr>
        <w:t>s</w:t>
      </w:r>
      <w:r w:rsidRPr="00B5296E">
        <w:rPr>
          <w:rFonts w:hint="cs"/>
          <w:rtl/>
        </w:rPr>
        <w:t>:</w:t>
      </w:r>
      <w:r w:rsidRPr="00B5296E">
        <w:rPr>
          <w:rtl/>
        </w:rPr>
        <w:tab/>
      </w:r>
      <w:r w:rsidRPr="00B5296E">
        <w:rPr>
          <w:rFonts w:hint="cs"/>
          <w:rtl/>
        </w:rPr>
        <w:t xml:space="preserve">مسير الانتشار </w:t>
      </w:r>
      <w:r w:rsidRPr="00B5296E">
        <w:t>(m)</w:t>
      </w:r>
    </w:p>
    <w:p w14:paraId="77689123" w14:textId="77777777" w:rsidR="00B5296E" w:rsidRPr="00B5296E" w:rsidRDefault="00B5296E" w:rsidP="004C09FF">
      <w:pPr>
        <w:pStyle w:val="Equationlegend"/>
        <w:rPr>
          <w:rtl/>
        </w:rPr>
      </w:pPr>
      <w:r w:rsidRPr="00B5296E">
        <w:rPr>
          <w:rFonts w:hint="cs"/>
          <w:i/>
          <w:iCs/>
          <w:rtl/>
        </w:rPr>
        <w:tab/>
      </w:r>
      <w:r w:rsidRPr="00B5296E">
        <w:rPr>
          <w:i/>
          <w:iCs/>
        </w:rPr>
        <w:t>n</w:t>
      </w:r>
      <w:r w:rsidRPr="00B5296E">
        <w:rPr>
          <w:i/>
          <w:iCs/>
          <w:vertAlign w:val="subscript"/>
        </w:rPr>
        <w:t>e</w:t>
      </w:r>
      <w:r w:rsidRPr="00B5296E">
        <w:rPr>
          <w:rFonts w:hint="cs"/>
          <w:rtl/>
        </w:rPr>
        <w:t>:</w:t>
      </w:r>
      <w:r w:rsidRPr="00B5296E">
        <w:rPr>
          <w:rtl/>
        </w:rPr>
        <w:tab/>
      </w:r>
      <w:r w:rsidRPr="00B5296E">
        <w:rPr>
          <w:rFonts w:hint="cs"/>
          <w:rtl/>
        </w:rPr>
        <w:t xml:space="preserve">تركيز الإلكترونات </w:t>
      </w:r>
      <w:r w:rsidRPr="00B5296E">
        <w:t>(</w:t>
      </w:r>
      <w:proofErr w:type="spellStart"/>
      <w:r w:rsidRPr="00B5296E">
        <w:t>el</w:t>
      </w:r>
      <w:proofErr w:type="spellEnd"/>
      <w:r w:rsidRPr="00B5296E">
        <w:t>/m</w:t>
      </w:r>
      <w:r w:rsidRPr="00B5296E">
        <w:rPr>
          <w:vertAlign w:val="superscript"/>
        </w:rPr>
        <w:t>3</w:t>
      </w:r>
      <w:r w:rsidRPr="00B5296E">
        <w:t>)</w:t>
      </w:r>
      <w:r w:rsidRPr="00B5296E">
        <w:rPr>
          <w:rFonts w:hint="cs"/>
          <w:rtl/>
        </w:rPr>
        <w:t>.</w:t>
      </w:r>
      <w:bookmarkEnd w:id="17"/>
    </w:p>
    <w:p w14:paraId="0194E7A6" w14:textId="77777777" w:rsidR="00B5296E" w:rsidRPr="00B5296E" w:rsidRDefault="00B5296E" w:rsidP="00D66348">
      <w:bookmarkStart w:id="18" w:name="_Hlk212621861"/>
      <w:r w:rsidRPr="00B5296E">
        <w:rPr>
          <w:rFonts w:hint="cs"/>
          <w:rtl/>
        </w:rPr>
        <w:t xml:space="preserve">وحتى حين يكون مسير الانتشار المحدد معروفاً، يكون تحديد قيمة </w:t>
      </w:r>
      <w:r w:rsidRPr="00B5296E">
        <w:rPr>
          <w:i/>
          <w:iCs/>
        </w:rPr>
        <w:t>N</w:t>
      </w:r>
      <w:r w:rsidRPr="00B5296E">
        <w:rPr>
          <w:i/>
          <w:iCs/>
          <w:vertAlign w:val="subscript"/>
        </w:rPr>
        <w:t>T</w:t>
      </w:r>
      <w:r w:rsidRPr="00B5296E">
        <w:rPr>
          <w:rFonts w:hint="cs"/>
          <w:rtl/>
        </w:rPr>
        <w:t xml:space="preserve"> صعباً لأن </w:t>
      </w:r>
      <w:r w:rsidRPr="00B5296E">
        <w:rPr>
          <w:i/>
          <w:lang w:val="en-GB"/>
        </w:rPr>
        <w:t>n</w:t>
      </w:r>
      <w:r w:rsidRPr="00B5296E">
        <w:rPr>
          <w:i/>
          <w:vertAlign w:val="subscript"/>
          <w:lang w:val="en-GB"/>
        </w:rPr>
        <w:t>e</w:t>
      </w:r>
      <w:r w:rsidRPr="00B5296E">
        <w:rPr>
          <w:rFonts w:hint="cs"/>
          <w:rtl/>
        </w:rPr>
        <w:t xml:space="preserve"> تتعرض لتغيرات يومية وفصلية ودورية شمسية.</w:t>
      </w:r>
    </w:p>
    <w:p w14:paraId="48878F90" w14:textId="77777777" w:rsidR="00B5296E" w:rsidRPr="00B5296E" w:rsidRDefault="00B5296E" w:rsidP="00D66348">
      <w:pPr>
        <w:rPr>
          <w:rtl/>
        </w:rPr>
      </w:pPr>
      <w:r w:rsidRPr="00B5296E">
        <w:rPr>
          <w:rFonts w:hint="cs"/>
          <w:rtl/>
        </w:rPr>
        <w:t xml:space="preserve">ومن أجل أغراض النمذجة، تذكر عادة قيمة المحتوى </w:t>
      </w:r>
      <w:r w:rsidRPr="00B5296E">
        <w:t>TEC</w:t>
      </w:r>
      <w:r w:rsidRPr="00B5296E">
        <w:rPr>
          <w:rFonts w:hint="cs"/>
          <w:rtl/>
        </w:rPr>
        <w:t xml:space="preserve"> مرتبطة بمسير سمت له تقاطع مستعرض يبلغ </w:t>
      </w:r>
      <w:r w:rsidRPr="00B5296E">
        <w:rPr>
          <w:vertAlign w:val="superscript"/>
        </w:rPr>
        <w:t>2</w:t>
      </w:r>
      <w:r w:rsidRPr="00B5296E">
        <w:t>m 1</w:t>
      </w:r>
      <w:r w:rsidRPr="00B5296E">
        <w:rPr>
          <w:rFonts w:hint="cs"/>
          <w:rtl/>
        </w:rPr>
        <w:t xml:space="preserve">. ويمكن أن يتغير المحتوى الإلكتروني الإجمالي </w:t>
      </w:r>
      <w:r w:rsidRPr="00B5296E">
        <w:t>(TEC)</w:t>
      </w:r>
      <w:r w:rsidRPr="00B5296E">
        <w:rPr>
          <w:rFonts w:hint="cs"/>
          <w:rtl/>
        </w:rPr>
        <w:t xml:space="preserve"> لهذا العمود الرأسي بين </w:t>
      </w:r>
      <w:r w:rsidRPr="00B5296E">
        <w:rPr>
          <w:vertAlign w:val="superscript"/>
        </w:rPr>
        <w:t>16</w:t>
      </w:r>
      <w:r w:rsidRPr="00B5296E">
        <w:t>10</w:t>
      </w:r>
      <w:r w:rsidRPr="00B5296E">
        <w:rPr>
          <w:rFonts w:hint="cs"/>
          <w:rtl/>
        </w:rPr>
        <w:t xml:space="preserve"> و</w:t>
      </w:r>
      <w:proofErr w:type="spellStart"/>
      <w:r w:rsidRPr="00B5296E">
        <w:t>el</w:t>
      </w:r>
      <w:proofErr w:type="spellEnd"/>
      <w:r w:rsidRPr="00B5296E">
        <w:t>/m</w:t>
      </w:r>
      <w:r w:rsidRPr="00B5296E">
        <w:rPr>
          <w:vertAlign w:val="superscript"/>
        </w:rPr>
        <w:t>2</w:t>
      </w:r>
      <w:r w:rsidRPr="00B5296E">
        <w:t xml:space="preserve"> </w:t>
      </w:r>
      <w:r w:rsidRPr="00B5296E">
        <w:rPr>
          <w:vertAlign w:val="superscript"/>
        </w:rPr>
        <w:t>18</w:t>
      </w:r>
      <w:r w:rsidRPr="00B5296E">
        <w:t>10</w:t>
      </w:r>
      <w:r w:rsidRPr="00B5296E">
        <w:rPr>
          <w:rFonts w:hint="cs"/>
          <w:rtl/>
        </w:rPr>
        <w:t xml:space="preserve"> بحيث تظهر الذروة خلال جزء الإضاءة الشمسية من النهار.</w:t>
      </w:r>
    </w:p>
    <w:p w14:paraId="139B735D" w14:textId="77777777" w:rsidR="00B5296E" w:rsidRPr="00B5296E" w:rsidRDefault="00B5296E" w:rsidP="00D66348">
      <w:pPr>
        <w:rPr>
          <w:rtl/>
          <w:lang w:bidi="ar-SY"/>
        </w:rPr>
      </w:pPr>
      <w:r w:rsidRPr="00B5296E">
        <w:rPr>
          <w:rFonts w:hint="cs"/>
          <w:rtl/>
        </w:rPr>
        <w:t xml:space="preserve">لتقدير قيمة المحتوى </w:t>
      </w:r>
      <w:r w:rsidRPr="00B5296E">
        <w:t>TEC</w:t>
      </w:r>
      <w:r w:rsidRPr="00B5296E">
        <w:rPr>
          <w:rFonts w:hint="cs"/>
          <w:rtl/>
        </w:rPr>
        <w:t xml:space="preserve">، </w:t>
      </w:r>
      <w:r w:rsidRPr="00B5296E">
        <w:rPr>
          <w:rFonts w:hint="cs"/>
          <w:rtl/>
          <w:lang w:bidi="ar-SY"/>
        </w:rPr>
        <w:t>يرد</w:t>
      </w:r>
      <w:r w:rsidRPr="00B5296E">
        <w:rPr>
          <w:rtl/>
          <w:lang w:bidi="ar-SY"/>
        </w:rPr>
        <w:t xml:space="preserve"> وصف إجراء يستند إلى </w:t>
      </w:r>
      <w:r w:rsidRPr="00B5296E">
        <w:rPr>
          <w:rFonts w:hint="cs"/>
          <w:rtl/>
          <w:lang w:bidi="ar-SY"/>
        </w:rPr>
        <w:t>الفقرة</w:t>
      </w:r>
      <w:r w:rsidRPr="00B5296E">
        <w:rPr>
          <w:rtl/>
          <w:lang w:bidi="ar-SY"/>
        </w:rPr>
        <w:t xml:space="preserve"> </w:t>
      </w:r>
      <w:r w:rsidRPr="00B5296E">
        <w:rPr>
          <w:lang w:val="en-GB"/>
        </w:rPr>
        <w:t>1.1.4</w:t>
      </w:r>
      <w:r w:rsidRPr="00B5296E">
        <w:rPr>
          <w:rtl/>
          <w:lang w:bidi="ar-SY"/>
        </w:rPr>
        <w:t xml:space="preserve"> أدناه. </w:t>
      </w:r>
      <w:r w:rsidRPr="00B5296E">
        <w:rPr>
          <w:rFonts w:hint="cs"/>
          <w:rtl/>
          <w:lang w:bidi="ar-SY"/>
        </w:rPr>
        <w:t>وهو</w:t>
      </w:r>
      <w:r w:rsidRPr="00B5296E">
        <w:rPr>
          <w:rtl/>
          <w:lang w:bidi="ar-SY"/>
        </w:rPr>
        <w:t xml:space="preserve"> مناسب أيضاً </w:t>
      </w:r>
      <w:r w:rsidRPr="00B5296E">
        <w:rPr>
          <w:rFonts w:hint="cs"/>
          <w:rtl/>
          <w:lang w:bidi="ar-SY"/>
        </w:rPr>
        <w:t>ل</w:t>
      </w:r>
      <w:r w:rsidRPr="00B5296E">
        <w:rPr>
          <w:rtl/>
          <w:lang w:bidi="ar-SY"/>
        </w:rPr>
        <w:t>لمسير</w:t>
      </w:r>
      <w:r w:rsidRPr="00B5296E">
        <w:rPr>
          <w:rFonts w:hint="cs"/>
          <w:rtl/>
          <w:lang w:bidi="ar-SY"/>
        </w:rPr>
        <w:t xml:space="preserve"> </w:t>
      </w:r>
      <w:r w:rsidRPr="00B5296E">
        <w:rPr>
          <w:rtl/>
          <w:lang w:bidi="ar-SY"/>
        </w:rPr>
        <w:t>المائل</w:t>
      </w:r>
      <w:r w:rsidRPr="00B5296E">
        <w:rPr>
          <w:rFonts w:hint="cs"/>
          <w:rtl/>
        </w:rPr>
        <w:t xml:space="preserve"> لمحتوى </w:t>
      </w:r>
      <w:r w:rsidRPr="00B5296E">
        <w:t>TEC</w:t>
      </w:r>
      <w:r w:rsidRPr="00B5296E">
        <w:rPr>
          <w:rFonts w:hint="cs"/>
          <w:rtl/>
          <w:lang w:bidi="ar-SY"/>
        </w:rPr>
        <w:t>.</w:t>
      </w:r>
    </w:p>
    <w:p w14:paraId="4DA572E1" w14:textId="77777777" w:rsidR="00B5296E" w:rsidRPr="00B5296E" w:rsidRDefault="00B5296E" w:rsidP="0016729E">
      <w:pPr>
        <w:pStyle w:val="Heading3"/>
        <w:rPr>
          <w:rtl/>
        </w:rPr>
      </w:pPr>
      <w:bookmarkStart w:id="19" w:name="_Toc404087321"/>
      <w:bookmarkStart w:id="20" w:name="_Toc493768802"/>
      <w:r w:rsidRPr="00B5296E">
        <w:t>1.1.4</w:t>
      </w:r>
      <w:r w:rsidRPr="00B5296E">
        <w:rPr>
          <w:rFonts w:hint="cs"/>
          <w:rtl/>
        </w:rPr>
        <w:tab/>
        <w:t xml:space="preserve">الطريقة المستندة إلى </w:t>
      </w:r>
      <w:r w:rsidRPr="00B5296E">
        <w:t>NeQuick2</w:t>
      </w:r>
      <w:bookmarkEnd w:id="19"/>
      <w:bookmarkEnd w:id="20"/>
    </w:p>
    <w:p w14:paraId="5F34EF23" w14:textId="52CB7D3E" w:rsidR="00B5296E" w:rsidRPr="00981FB7" w:rsidRDefault="00B5296E" w:rsidP="004C09FF">
      <w:pPr>
        <w:rPr>
          <w:rtl/>
        </w:rPr>
      </w:pPr>
      <w:r w:rsidRPr="00B5296E">
        <w:rPr>
          <w:rFonts w:hint="cs"/>
          <w:rtl/>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B5296E">
        <w:t>F2</w:t>
      </w:r>
      <w:r w:rsidRPr="00B5296E">
        <w:rPr>
          <w:rFonts w:hint="cs"/>
          <w:rtl/>
        </w:rPr>
        <w:t xml:space="preserve">)، والجزء </w:t>
      </w:r>
      <w:r w:rsidRPr="00981FB7">
        <w:rPr>
          <w:rFonts w:hint="cs"/>
          <w:rtl/>
        </w:rPr>
        <w:t>الأعلى (أعلى من الحد الأقصى للطبقة</w:t>
      </w:r>
      <w:r w:rsidR="00981FB7" w:rsidRPr="00981FB7">
        <w:rPr>
          <w:rFonts w:hint="eastAsia"/>
          <w:rtl/>
        </w:rPr>
        <w:t> </w:t>
      </w:r>
      <w:r w:rsidRPr="00981FB7">
        <w:t>F2</w:t>
      </w:r>
      <w:r w:rsidRPr="00981FB7">
        <w:rPr>
          <w:rFonts w:hint="cs"/>
          <w:rtl/>
        </w:rPr>
        <w:t xml:space="preserve">). ويحسب أقصى ارتفاع للطبقة </w:t>
      </w:r>
      <w:r w:rsidRPr="00981FB7">
        <w:t>F2</w:t>
      </w:r>
      <w:r w:rsidRPr="00981FB7">
        <w:rPr>
          <w:rFonts w:hint="cs"/>
          <w:rtl/>
        </w:rPr>
        <w:t xml:space="preserve"> بناءً على قيم </w:t>
      </w:r>
      <w:r w:rsidRPr="00981FB7">
        <w:t>M(3000)F2</w:t>
      </w:r>
      <w:r w:rsidRPr="00981FB7">
        <w:rPr>
          <w:rFonts w:hint="cs"/>
          <w:rtl/>
        </w:rPr>
        <w:t xml:space="preserve"> والنسبة </w:t>
      </w:r>
      <w:r w:rsidRPr="00981FB7">
        <w:t>foF2/</w:t>
      </w:r>
      <w:proofErr w:type="spellStart"/>
      <w:r w:rsidRPr="00981FB7">
        <w:t>foE</w:t>
      </w:r>
      <w:proofErr w:type="spellEnd"/>
      <w:r w:rsidRPr="00981FB7">
        <w:rPr>
          <w:rFonts w:hint="cs"/>
          <w:rtl/>
        </w:rPr>
        <w:t xml:space="preserve"> (انظر التوصية </w:t>
      </w:r>
      <w:r w:rsidR="004C09FF" w:rsidRPr="00981FB7">
        <w:fldChar w:fldCharType="begin"/>
      </w:r>
      <w:r w:rsidR="004C09FF" w:rsidRPr="00981FB7">
        <w:instrText>HYPERLINK "https://www.itu.int/rec/R-REC-P.1239/en"</w:instrText>
      </w:r>
      <w:r w:rsidR="004C09FF" w:rsidRPr="00981FB7">
        <w:fldChar w:fldCharType="separate"/>
      </w:r>
      <w:r w:rsidR="004C09FF" w:rsidRPr="00981FB7">
        <w:rPr>
          <w:rStyle w:val="Hyperlink"/>
          <w:color w:val="auto"/>
          <w:u w:val="none"/>
          <w:lang w:val="en-GB"/>
        </w:rPr>
        <w:t>ITU-R P.1239</w:t>
      </w:r>
      <w:r w:rsidR="004C09FF" w:rsidRPr="00981FB7">
        <w:fldChar w:fldCharType="end"/>
      </w:r>
      <w:r w:rsidRPr="00981FB7">
        <w:rPr>
          <w:rFonts w:hint="cs"/>
          <w:rtl/>
          <w:lang w:bidi="ar-EG"/>
        </w:rPr>
        <w:t>)</w:t>
      </w:r>
      <w:r w:rsidRPr="00981FB7">
        <w:rPr>
          <w:rFonts w:hint="cs"/>
          <w:rtl/>
        </w:rPr>
        <w:t>.</w:t>
      </w:r>
    </w:p>
    <w:p w14:paraId="0CC703E9" w14:textId="77777777" w:rsidR="00B5296E" w:rsidRPr="00B5296E" w:rsidRDefault="00B5296E" w:rsidP="00D66348">
      <w:pPr>
        <w:rPr>
          <w:rtl/>
        </w:rPr>
      </w:pPr>
      <w:r w:rsidRPr="00981FB7">
        <w:rPr>
          <w:rFonts w:hint="cs"/>
          <w:rtl/>
        </w:rPr>
        <w:t xml:space="preserve">ويوصف الجزء الأدنى بطبقات شبه إبستاينية تمثل </w:t>
      </w:r>
      <w:r w:rsidRPr="00981FB7">
        <w:t>E</w:t>
      </w:r>
      <w:r w:rsidRPr="00981FB7">
        <w:rPr>
          <w:rFonts w:hint="cs"/>
          <w:rtl/>
        </w:rPr>
        <w:t xml:space="preserve"> و</w:t>
      </w:r>
      <w:r w:rsidRPr="00981FB7">
        <w:t>F1</w:t>
      </w:r>
      <w:r w:rsidRPr="00981FB7">
        <w:rPr>
          <w:rFonts w:hint="cs"/>
          <w:rtl/>
        </w:rPr>
        <w:t xml:space="preserve"> و</w:t>
      </w:r>
      <w:r w:rsidRPr="00981FB7">
        <w:t>F2</w:t>
      </w:r>
      <w:r w:rsidRPr="00981FB7">
        <w:rPr>
          <w:rFonts w:hint="cs"/>
          <w:rtl/>
        </w:rPr>
        <w:t xml:space="preserve">. أما الجزء الأعلى من الطبقة </w:t>
      </w:r>
      <w:r w:rsidRPr="00981FB7">
        <w:t>F</w:t>
      </w:r>
      <w:r w:rsidRPr="00981FB7">
        <w:rPr>
          <w:rFonts w:hint="cs"/>
          <w:rtl/>
        </w:rPr>
        <w:t xml:space="preserve"> فهو بدوره طبقة </w:t>
      </w:r>
      <w:r w:rsidRPr="00B5296E">
        <w:rPr>
          <w:rFonts w:hint="cs"/>
          <w:rtl/>
        </w:rPr>
        <w:t xml:space="preserve">شبه إبستاينية بمعلمة للثخانة تتوقف على الارتفاع. ويعطي النموذج </w:t>
      </w:r>
      <w:r w:rsidRPr="00B5296E">
        <w:t>NeQuick2 v.P531</w:t>
      </w:r>
      <w:r w:rsidRPr="00B5296E">
        <w:noBreakHyphen/>
        <w:t>12</w:t>
      </w:r>
      <w:r w:rsidRPr="00B5296E">
        <w:rPr>
          <w:rFonts w:hint="cs"/>
          <w:rtl/>
        </w:rPr>
        <w:t xml:space="preserve"> كثافة الإلكترونيات والمحتوى الإلكتروني الإجمالي بطول مسيرات عشوائية من الأرض إلى الساتل أو من الساتل-إلى-الساتل.</w:t>
      </w:r>
    </w:p>
    <w:p w14:paraId="49EDAE3A" w14:textId="504C5605" w:rsidR="00B5296E" w:rsidRPr="00B5296E" w:rsidRDefault="00B5296E" w:rsidP="00A06C49">
      <w:pPr>
        <w:rPr>
          <w:rtl/>
        </w:rPr>
      </w:pPr>
      <w:r w:rsidRPr="00B5296E">
        <w:rPr>
          <w:rFonts w:hint="cs"/>
          <w:rtl/>
        </w:rPr>
        <w:t>ويعد برنامج الحاسوب وملفات البيانات المرتبطة به من النواتج الرقمية المكملة لهذه التوصية وهي متاحة في</w:t>
      </w:r>
      <w:r w:rsidRPr="00B5296E">
        <w:rPr>
          <w:rFonts w:hint="eastAsia"/>
          <w:rtl/>
        </w:rPr>
        <w:t> </w:t>
      </w:r>
      <w:r w:rsidRPr="00B5296E">
        <w:rPr>
          <w:rFonts w:hint="cs"/>
          <w:rtl/>
        </w:rPr>
        <w:t xml:space="preserve">الملف </w:t>
      </w:r>
      <w:r w:rsidR="00A06C49" w:rsidRPr="00A06C49">
        <w:rPr>
          <w:lang w:val="en-GB"/>
        </w:rPr>
        <w:t>Rec P 531-16 Part 1 Supplement ZIP.zip</w:t>
      </w:r>
      <w:r w:rsidR="00A06C49">
        <w:rPr>
          <w:rFonts w:hint="cs"/>
          <w:rtl/>
          <w:lang w:bidi="ar-EG"/>
        </w:rPr>
        <w:t xml:space="preserve"> من ملف الإضافة </w:t>
      </w:r>
      <w:hyperlink r:id="rId25" w:history="1">
        <w:r w:rsidRPr="00B5296E">
          <w:rPr>
            <w:rStyle w:val="Hyperlink"/>
            <w:lang w:val="en-GB"/>
          </w:rPr>
          <w:t>R</w:t>
        </w:r>
        <w:r w:rsidRPr="00B5296E">
          <w:rPr>
            <w:rStyle w:val="Hyperlink"/>
            <w:lang w:val="en-GB"/>
          </w:rPr>
          <w:noBreakHyphen/>
          <w:t>REC</w:t>
        </w:r>
        <w:r w:rsidRPr="00B5296E">
          <w:rPr>
            <w:rStyle w:val="Hyperlink"/>
            <w:lang w:val="en-GB"/>
          </w:rPr>
          <w:noBreakHyphen/>
          <w:t>P.531-16-202509-I!!ZIP-E.zip</w:t>
        </w:r>
      </w:hyperlink>
      <w:r w:rsidRPr="00B5296E">
        <w:rPr>
          <w:rFonts w:hint="cs"/>
          <w:rtl/>
          <w:lang w:bidi="ar-EG"/>
        </w:rPr>
        <w:t>.</w:t>
      </w:r>
    </w:p>
    <w:p w14:paraId="3E41C3D5" w14:textId="77777777" w:rsidR="00B5296E" w:rsidRPr="00B5296E" w:rsidRDefault="00B5296E" w:rsidP="00B5296E">
      <w:pPr>
        <w:pStyle w:val="Heading2"/>
        <w:rPr>
          <w:rtl/>
        </w:rPr>
      </w:pPr>
      <w:r w:rsidRPr="00B5296E">
        <w:rPr>
          <w:lang w:val="en-GB"/>
        </w:rPr>
        <w:t>2.4</w:t>
      </w:r>
      <w:r w:rsidRPr="00B5296E">
        <w:rPr>
          <w:lang w:val="en-GB"/>
        </w:rPr>
        <w:tab/>
      </w:r>
      <w:r w:rsidRPr="00B5296E">
        <w:rPr>
          <w:rtl/>
        </w:rPr>
        <w:t>‏دليل الانكسار الأيونوسفيري</w:t>
      </w:r>
      <w:r w:rsidRPr="00B5296E">
        <w:rPr>
          <w:cs/>
        </w:rPr>
        <w:t>‎</w:t>
      </w:r>
    </w:p>
    <w:p w14:paraId="7C029745" w14:textId="77777777" w:rsidR="00B5296E" w:rsidRPr="00B5296E" w:rsidRDefault="00B5296E" w:rsidP="00D66348">
      <w:pPr>
        <w:rPr>
          <w:rtl/>
        </w:rPr>
      </w:pPr>
      <w:r w:rsidRPr="00B5296E">
        <w:rPr>
          <w:rtl/>
        </w:rPr>
        <w:t xml:space="preserve">‏في بعض التطبيقات المحددة، قد يكون من الضروري حساب معلمات مختلفة باستخدام تتبع الأشعة اعتماداً على </w:t>
      </w:r>
      <w:r w:rsidRPr="00B5296E">
        <w:rPr>
          <w:rFonts w:hint="cs"/>
          <w:rtl/>
        </w:rPr>
        <w:t>مواصفات</w:t>
      </w:r>
      <w:r w:rsidRPr="00B5296E">
        <w:rPr>
          <w:rtl/>
        </w:rPr>
        <w:t xml:space="preserve"> </w:t>
      </w:r>
      <w:r w:rsidRPr="00B5296E">
        <w:rPr>
          <w:rFonts w:hint="cs"/>
          <w:rtl/>
        </w:rPr>
        <w:t>دليل</w:t>
      </w:r>
      <w:r w:rsidRPr="00B5296E">
        <w:rPr>
          <w:rtl/>
        </w:rPr>
        <w:t xml:space="preserve"> الانكسار الأيونوسفيري المقدم. وفي هذه الحالة، يلزم توفر صيغة لحساب </w:t>
      </w:r>
      <w:r w:rsidRPr="00B5296E">
        <w:rPr>
          <w:rFonts w:hint="cs"/>
          <w:rtl/>
        </w:rPr>
        <w:t>دليل</w:t>
      </w:r>
      <w:r w:rsidRPr="00B5296E">
        <w:rPr>
          <w:rtl/>
        </w:rPr>
        <w:t xml:space="preserve"> الانكسار لكل من تقدم الطور أو تأخر </w:t>
      </w:r>
      <w:r w:rsidRPr="00B5296E">
        <w:rPr>
          <w:rFonts w:hint="cs"/>
          <w:rtl/>
        </w:rPr>
        <w:t>الزمرة</w:t>
      </w:r>
      <w:r w:rsidRPr="00B5296E">
        <w:rPr>
          <w:rtl/>
        </w:rPr>
        <w:t xml:space="preserve"> الناتجين عن الأيونوسفير.</w:t>
      </w:r>
    </w:p>
    <w:p w14:paraId="0A722A8E" w14:textId="77777777" w:rsidR="00B5296E" w:rsidRPr="00B5296E" w:rsidRDefault="00B5296E" w:rsidP="00981FB7">
      <w:pPr>
        <w:pStyle w:val="Heading3"/>
        <w:rPr>
          <w:rtl/>
        </w:rPr>
      </w:pPr>
      <w:r w:rsidRPr="00B5296E">
        <w:rPr>
          <w:lang w:val="en-GB"/>
        </w:rPr>
        <w:lastRenderedPageBreak/>
        <w:t>1.2.4</w:t>
      </w:r>
      <w:r w:rsidRPr="00B5296E">
        <w:rPr>
          <w:lang w:val="en-GB"/>
        </w:rPr>
        <w:tab/>
      </w:r>
      <w:r w:rsidRPr="00B5296E">
        <w:rPr>
          <w:rtl/>
        </w:rPr>
        <w:t>‏دليل طور الانكسار الأيونوسفيري</w:t>
      </w:r>
      <w:r w:rsidRPr="00B5296E">
        <w:rPr>
          <w:cs/>
        </w:rPr>
        <w:t>‎</w:t>
      </w:r>
    </w:p>
    <w:p w14:paraId="58D7400F" w14:textId="6759B914" w:rsidR="00B5296E" w:rsidRDefault="00B5296E" w:rsidP="00981FB7">
      <w:pPr>
        <w:keepNext/>
        <w:keepLines/>
        <w:rPr>
          <w:cs/>
        </w:rPr>
      </w:pPr>
      <w:r w:rsidRPr="00B5296E">
        <w:rPr>
          <w:rtl/>
        </w:rPr>
        <w:t xml:space="preserve">‏بالنسبة </w:t>
      </w:r>
      <w:r w:rsidRPr="00B5296E">
        <w:rPr>
          <w:rFonts w:hint="cs"/>
          <w:rtl/>
        </w:rPr>
        <w:t>لدليل</w:t>
      </w:r>
      <w:r w:rsidRPr="00B5296E">
        <w:rPr>
          <w:rtl/>
        </w:rPr>
        <w:t xml:space="preserve"> طور الانكسار الأيونوسفيري </w:t>
      </w:r>
      <w:r w:rsidRPr="00B5296E">
        <w:rPr>
          <w:lang w:val="en-GB"/>
        </w:rPr>
        <w:t>(</w:t>
      </w:r>
      <w:r w:rsidRPr="00B5296E">
        <w:rPr>
          <w:i/>
          <w:iCs/>
          <w:lang w:val="en-GB"/>
        </w:rPr>
        <w:t>n</w:t>
      </w:r>
      <w:r w:rsidRPr="00B5296E">
        <w:rPr>
          <w:i/>
          <w:iCs/>
          <w:vertAlign w:val="subscript"/>
          <w:lang w:val="en-GB"/>
        </w:rPr>
        <w:t>p</w:t>
      </w:r>
      <w:r w:rsidRPr="00B5296E">
        <w:rPr>
          <w:lang w:val="en-GB"/>
        </w:rPr>
        <w:t>)</w:t>
      </w:r>
      <w:r w:rsidRPr="00B5296E">
        <w:rPr>
          <w:rtl/>
        </w:rPr>
        <w:t>، يمكن التعبير عنه على النحو التالي</w:t>
      </w:r>
      <w:r w:rsidRPr="00B5296E">
        <w:rPr>
          <w:rFonts w:hint="cs"/>
          <w:rtl/>
        </w:rPr>
        <w:t>، عند الأخذ في الاعتبار</w:t>
      </w:r>
      <w:r w:rsidRPr="00B5296E">
        <w:rPr>
          <w:rtl/>
        </w:rPr>
        <w:t xml:space="preserve"> </w:t>
      </w:r>
      <w:r w:rsidRPr="00B5296E">
        <w:rPr>
          <w:rFonts w:hint="cs"/>
          <w:rtl/>
        </w:rPr>
        <w:t xml:space="preserve">أن </w:t>
      </w:r>
      <w:r w:rsidRPr="00B5296E">
        <w:rPr>
          <w:rtl/>
        </w:rPr>
        <w:t xml:space="preserve">تردد </w:t>
      </w:r>
      <w:r w:rsidRPr="00B5296E">
        <w:rPr>
          <w:rFonts w:hint="cs"/>
          <w:rtl/>
        </w:rPr>
        <w:t>الدوران</w:t>
      </w:r>
      <w:r w:rsidRPr="00B5296E">
        <w:rPr>
          <w:rtl/>
        </w:rPr>
        <w:t xml:space="preserve"> المغنطيسي </w:t>
      </w:r>
      <w:r w:rsidRPr="00B5296E">
        <w:rPr>
          <w:cs/>
        </w:rPr>
        <w:t>‎</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w:rPr>
            <w:rFonts w:ascii="Cambria Math" w:hAnsi="Cambria Math"/>
            <w:lang w:val="en-GB"/>
          </w:rPr>
          <m:t xml:space="preserve"> </m:t>
        </m:r>
      </m:oMath>
      <w:r w:rsidRPr="00B5296E">
        <w:rPr>
          <w:rtl/>
        </w:rPr>
        <w:t>‏</w:t>
      </w:r>
      <w:r w:rsidRPr="00B5296E">
        <w:rPr>
          <w:rFonts w:hint="cs"/>
          <w:rtl/>
        </w:rPr>
        <w:t xml:space="preserve"> </w:t>
      </w:r>
      <w:r w:rsidRPr="00B5296E">
        <w:rPr>
          <w:rtl/>
        </w:rPr>
        <w:t xml:space="preserve">وتردد الاصطدام </w:t>
      </w:r>
      <w:r w:rsidRPr="00B5296E">
        <w:rPr>
          <w:cs/>
        </w:rPr>
        <w:t>‎</w:t>
      </w:r>
      <w:r w:rsidRPr="00B5296E">
        <w:rPr>
          <w:i/>
          <w:iCs/>
          <w:lang w:val="en-GB"/>
        </w:rPr>
        <w:t>v</w:t>
      </w:r>
      <w:r w:rsidRPr="00B5296E">
        <w:rPr>
          <w:rtl/>
        </w:rPr>
        <w:t xml:space="preserve"> ‏</w:t>
      </w:r>
      <w:r w:rsidRPr="00B5296E">
        <w:rPr>
          <w:rFonts w:hint="cs"/>
          <w:rtl/>
        </w:rPr>
        <w:t xml:space="preserve">كلاهما </w:t>
      </w:r>
      <w:r w:rsidRPr="00B5296E">
        <w:rPr>
          <w:rtl/>
        </w:rPr>
        <w:t xml:space="preserve">أقل من تردد الموجة </w:t>
      </w:r>
      <w:r w:rsidRPr="00B5296E">
        <w:rPr>
          <w:i/>
          <w:iCs/>
          <w:cs/>
        </w:rPr>
        <w:t>‎</w:t>
      </w:r>
      <w:r w:rsidRPr="00B5296E">
        <w:rPr>
          <w:i/>
          <w:iCs/>
          <w:lang w:val="en-GB"/>
        </w:rPr>
        <w:t>f</w:t>
      </w:r>
      <w:r w:rsidRPr="00B5296E">
        <w:rPr>
          <w:rtl/>
        </w:rPr>
        <w:t>‏:</w:t>
      </w:r>
      <w:r w:rsidRPr="00B5296E">
        <w:rPr>
          <w:cs/>
        </w:rPr>
        <w:t>‎</w:t>
      </w:r>
      <w:bookmarkEnd w:id="18"/>
    </w:p>
    <w:p w14:paraId="18D8DA11" w14:textId="7BC9B4DE" w:rsidR="00B5296E" w:rsidRPr="00B5296E" w:rsidRDefault="00B5296E" w:rsidP="00A06C49">
      <w:pPr>
        <w:pStyle w:val="Equation"/>
        <w:rPr>
          <w:lang w:val="en-GB"/>
        </w:rPr>
      </w:pPr>
      <w:r w:rsidRPr="00B5296E">
        <w:rPr>
          <w:lang w:val="en-GB"/>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p</m:t>
            </m:r>
          </m:sub>
        </m:sSub>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1-</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e</m:t>
                    </m:r>
                  </m:sub>
                </m:sSub>
              </m:num>
              <m:den>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e</m:t>
                    </m:r>
                  </m:sub>
                </m:sSub>
                <m:sSup>
                  <m:sSupPr>
                    <m:ctrlPr>
                      <w:rPr>
                        <w:rFonts w:ascii="Cambria Math" w:hAnsi="Cambria Math"/>
                        <w:lang w:val="en-GB"/>
                      </w:rPr>
                    </m:ctrlPr>
                  </m:sSupPr>
                  <m:e>
                    <m:r>
                      <m:rPr>
                        <m:sty m:val="p"/>
                      </m:rPr>
                      <w:rPr>
                        <w:rFonts w:ascii="Cambria Math" w:hAnsi="Cambria Math"/>
                        <w:lang w:val="en-GB"/>
                      </w:rPr>
                      <m:t>ω</m:t>
                    </m:r>
                  </m:e>
                  <m:sup>
                    <m:r>
                      <m:rPr>
                        <m:sty m:val="p"/>
                      </m:rPr>
                      <w:rPr>
                        <w:rFonts w:ascii="Cambria Math" w:hAnsi="Cambria Math"/>
                        <w:lang w:val="en-GB"/>
                      </w:rPr>
                      <m:t>2</m:t>
                    </m:r>
                  </m:sup>
                </m:sSup>
              </m:den>
            </m:f>
          </m:e>
        </m:rad>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80.616×</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-12</m:t>
                    </m:r>
                  </m:sup>
                </m:sSup>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e</m:t>
                    </m:r>
                  </m:sub>
                </m:sSub>
              </m:num>
              <m:den>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2</m:t>
                    </m:r>
                  </m:sup>
                </m:sSup>
              </m:den>
            </m:f>
          </m:e>
        </m:rad>
      </m:oMath>
      <w:r w:rsidRPr="00B5296E">
        <w:rPr>
          <w:lang w:val="en-GB"/>
        </w:rPr>
        <w:tab/>
        <w:t>(2)</w:t>
      </w:r>
    </w:p>
    <w:p w14:paraId="52327506" w14:textId="77777777" w:rsidR="00B5296E" w:rsidRPr="00B5296E" w:rsidRDefault="00B5296E" w:rsidP="00B5296E">
      <w:pPr>
        <w:rPr>
          <w:rtl/>
        </w:rPr>
      </w:pPr>
      <w:r w:rsidRPr="00B5296E">
        <w:rPr>
          <w:rFonts w:hint="cs"/>
          <w:rtl/>
        </w:rPr>
        <w:t>حيث:</w:t>
      </w:r>
    </w:p>
    <w:p w14:paraId="74C03F84" w14:textId="7888DA86" w:rsidR="00B5296E" w:rsidRPr="00B5296E" w:rsidRDefault="00F277DA" w:rsidP="00F277DA">
      <w:pPr>
        <w:pStyle w:val="Equationlegend"/>
        <w:rPr>
          <w:rtl/>
        </w:rPr>
      </w:pPr>
      <w:r>
        <w:rPr>
          <w:lang w:val="en-GB"/>
        </w:rPr>
        <w:tab/>
      </w:r>
      <m:oMath>
        <m:r>
          <w:rPr>
            <w:rFonts w:ascii="Cambria Math" w:eastAsia="SimSun" w:hAnsi="Cambria Math"/>
            <w:lang w:eastAsia="zh-CN"/>
          </w:rPr>
          <m:t>e</m:t>
        </m:r>
      </m:oMath>
      <w:r w:rsidR="00B5296E" w:rsidRPr="00B5296E">
        <w:rPr>
          <w:rtl/>
        </w:rPr>
        <w:t>:</w:t>
      </w:r>
      <w:r w:rsidR="0016729E">
        <w:rPr>
          <w:rtl/>
        </w:rPr>
        <w:tab/>
      </w:r>
      <w:r w:rsidR="00B5296E" w:rsidRPr="00B5296E">
        <w:rPr>
          <w:rtl/>
        </w:rPr>
        <w:t xml:space="preserve">‏القيمة المطلقة للشحنة الكهربائية، </w:t>
      </w:r>
      <m:oMath>
        <m:r>
          <w:rPr>
            <w:rFonts w:ascii="Cambria Math" w:hAnsi="Cambria Math"/>
          </w:rPr>
          <m:t>e</m:t>
        </m:r>
        <m:r>
          <m:rPr>
            <m:sty m:val="p"/>
          </m:rPr>
          <w:rPr>
            <w:rFonts w:ascii="Cambria Math" w:hAnsi="Cambria Math"/>
          </w:rPr>
          <m:t>=1.60217733×</m:t>
        </m:r>
        <m:sSup>
          <m:sSupPr>
            <m:ctrlPr>
              <w:rPr>
                <w:rFonts w:ascii="Cambria Math" w:hAnsi="Cambria Math"/>
              </w:rPr>
            </m:ctrlPr>
          </m:sSupPr>
          <m:e>
            <m:r>
              <m:rPr>
                <m:sty m:val="p"/>
              </m:rPr>
              <w:rPr>
                <w:rFonts w:ascii="Cambria Math" w:hAnsi="Cambria Math"/>
              </w:rPr>
              <m:t>10</m:t>
            </m:r>
          </m:e>
          <m:sup>
            <m:r>
              <w:rPr>
                <w:rFonts w:ascii="Cambria Math" w:hAnsi="Cambria Math"/>
              </w:rPr>
              <m:t>-19</m:t>
            </m:r>
          </m:sup>
        </m:sSup>
        <m:r>
          <w:rPr>
            <w:rFonts w:ascii="Cambria Math" w:hAnsi="Cambria Math"/>
          </w:rPr>
          <m:t xml:space="preserve"> (</m:t>
        </m:r>
        <m:r>
          <m:rPr>
            <m:sty m:val="p"/>
          </m:rPr>
          <w:rPr>
            <w:rFonts w:ascii="Cambria Math" w:hAnsi="Cambria Math"/>
          </w:rPr>
          <m:t>C)</m:t>
        </m:r>
      </m:oMath>
    </w:p>
    <w:p w14:paraId="0E51B114" w14:textId="420BEF63" w:rsidR="00B5296E" w:rsidRPr="00B5296E" w:rsidRDefault="00F277DA" w:rsidP="00F277DA">
      <w:pPr>
        <w:pStyle w:val="Equationlegend"/>
        <w:rPr>
          <w:rtl/>
        </w:rPr>
      </w:pPr>
      <w:r>
        <w:rPr>
          <w:lang w:val="en-GB"/>
        </w:rPr>
        <w:tab/>
      </w:r>
      <m:oMath>
        <m:sSub>
          <m:sSubPr>
            <m:ctrlPr>
              <w:rPr>
                <w:rFonts w:ascii="Cambria Math" w:eastAsia="SimSun" w:hAnsi="Cambria Math"/>
                <w:i/>
                <w:lang w:eastAsia="zh-CN"/>
              </w:rPr>
            </m:ctrlPr>
          </m:sSubPr>
          <m:e>
            <m:r>
              <w:rPr>
                <w:rFonts w:ascii="Cambria Math" w:eastAsia="SimSun" w:hAnsi="Cambria Math"/>
                <w:lang w:eastAsia="zh-CN"/>
              </w:rPr>
              <m:t>m</m:t>
            </m:r>
          </m:e>
          <m:sub>
            <m:r>
              <w:rPr>
                <w:rFonts w:ascii="Cambria Math" w:eastAsia="SimSun" w:hAnsi="Cambria Math"/>
                <w:lang w:eastAsia="zh-CN"/>
              </w:rPr>
              <m:t>e</m:t>
            </m:r>
          </m:sub>
        </m:sSub>
      </m:oMath>
      <w:r w:rsidR="00B5296E" w:rsidRPr="00B5296E">
        <w:rPr>
          <w:rtl/>
        </w:rPr>
        <w:t xml:space="preserve">: </w:t>
      </w:r>
      <w:r w:rsidR="0016729E">
        <w:rPr>
          <w:rtl/>
        </w:rPr>
        <w:tab/>
      </w:r>
      <w:r w:rsidR="00B5296E" w:rsidRPr="00B5296E">
        <w:rPr>
          <w:rtl/>
        </w:rPr>
        <w:t xml:space="preserve">كتلة الإلكترون، </w:t>
      </w:r>
      <m:oMath>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=9.1093897×</m:t>
        </m:r>
        <m:sSup>
          <m:sSupPr>
            <m:ctrlPr>
              <w:rPr>
                <w:rFonts w:ascii="Cambria Math" w:hAnsi="Cambria Math"/>
              </w:rPr>
            </m:ctrlPr>
          </m:sSupPr>
          <m:e>
            <m:r>
              <w:rPr>
                <w:rFonts w:ascii="Cambria Math" w:hAnsi="Cambria Math"/>
              </w:rPr>
              <m:t>10</m:t>
            </m:r>
            <m:ctrlPr>
              <w:rPr>
                <w:rFonts w:ascii="Cambria Math" w:hAnsi="Cambria Math"/>
                <w:i/>
              </w:rPr>
            </m:ctrlPr>
          </m:e>
          <m:sup>
            <m:r>
              <m:rPr>
                <m:sty m:val="p"/>
              </m:rPr>
              <w:rPr>
                <w:rFonts w:ascii="Cambria Math" w:hAnsi="Cambria Math"/>
              </w:rPr>
              <m:t>-31</m:t>
            </m:r>
          </m:sup>
        </m:sSup>
        <m:r>
          <w:rPr>
            <w:rFonts w:ascii="Cambria Math" w:hAnsi="Cambria Math"/>
          </w:rPr>
          <m:t xml:space="preserve"> (</m:t>
        </m:r>
        <m:r>
          <m:rPr>
            <m:sty m:val="p"/>
          </m:rPr>
          <w:rPr>
            <w:rFonts w:ascii="Cambria Math" w:hAnsi="Cambria Math"/>
          </w:rPr>
          <m:t>kg)</m:t>
        </m:r>
      </m:oMath>
    </w:p>
    <w:p w14:paraId="6F030522" w14:textId="5AAE00C0" w:rsidR="00B5296E" w:rsidRPr="00B5296E" w:rsidRDefault="00F277DA" w:rsidP="00F277DA">
      <w:pPr>
        <w:pStyle w:val="Equationlegend"/>
        <w:rPr>
          <w:rtl/>
        </w:rPr>
      </w:pPr>
      <w:r>
        <w:rPr>
          <w:lang w:val="en-GB"/>
        </w:rPr>
        <w:tab/>
      </w:r>
      <m:oMath>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0</m:t>
            </m:r>
          </m:sub>
        </m:sSub>
      </m:oMath>
      <w:r w:rsidR="00B5296E" w:rsidRPr="00B5296E">
        <w:rPr>
          <w:rtl/>
        </w:rPr>
        <w:t xml:space="preserve">: </w:t>
      </w:r>
      <w:r w:rsidR="0016729E">
        <w:rPr>
          <w:rtl/>
        </w:rPr>
        <w:tab/>
      </w:r>
      <w:r w:rsidR="00B5296E" w:rsidRPr="00B5296E">
        <w:rPr>
          <w:rtl/>
        </w:rPr>
        <w:t xml:space="preserve">سماحية الفراغ، </w:t>
      </w:r>
      <m:oMath>
        <m:sSub>
          <m:sSubPr>
            <m:ctrlPr>
              <w:rPr>
                <w:rFonts w:ascii="Cambria Math" w:hAnsi="Cambria Math"/>
                <w:i/>
              </w:rPr>
            </m:ctrlPr>
          </m:sSubPr>
          <m:e>
            <m:r>
              <m:rPr>
                <m:sty m:val="p"/>
              </m:rPr>
              <w:rPr>
                <w:rFonts w:ascii="Cambria Math" w:hAnsi="Cambria Math"/>
              </w:rPr>
              <m:t>ε</m:t>
            </m:r>
          </m:e>
          <m:sub>
            <m:r>
              <w:rPr>
                <w:rFonts w:ascii="Cambria Math" w:hAnsi="Cambria Math"/>
              </w:rPr>
              <m:t>0</m:t>
            </m:r>
          </m:sub>
        </m:sSub>
        <m:r>
          <w:rPr>
            <w:rFonts w:ascii="Cambria Math" w:hAnsi="Cambria Math"/>
          </w:rPr>
          <m:t>=8.854187818×</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m:t>
        </m:r>
        <m:r>
          <m:rPr>
            <m:sty m:val="p"/>
          </m:rPr>
          <w:rPr>
            <w:rFonts w:ascii="Cambria Math" w:hAnsi="Cambria Math"/>
          </w:rPr>
          <m:t>F/m)</m:t>
        </m:r>
      </m:oMath>
    </w:p>
    <w:p w14:paraId="61E8E462" w14:textId="1B954F31" w:rsidR="00B5296E" w:rsidRPr="00B5296E" w:rsidRDefault="00F277DA" w:rsidP="00F277DA">
      <w:pPr>
        <w:pStyle w:val="Equationlegend"/>
        <w:rPr>
          <w:rtl/>
        </w:rPr>
      </w:pPr>
      <w:r>
        <w:rPr>
          <w:lang w:val="en-GB"/>
        </w:rPr>
        <w:tab/>
      </w:r>
      <m:oMath>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e</m:t>
            </m:r>
          </m:sub>
        </m:sSub>
      </m:oMath>
      <w:r w:rsidR="00B5296E" w:rsidRPr="00B5296E">
        <w:rPr>
          <w:rFonts w:hint="cs"/>
          <w:rtl/>
        </w:rPr>
        <w:t>:</w:t>
      </w:r>
      <w:r w:rsidR="00B5296E" w:rsidRPr="00B5296E">
        <w:rPr>
          <w:rtl/>
        </w:rPr>
        <w:t xml:space="preserve"> </w:t>
      </w:r>
      <w:r w:rsidR="0016729E">
        <w:rPr>
          <w:rtl/>
        </w:rPr>
        <w:tab/>
      </w:r>
      <w:r w:rsidR="00B5296E" w:rsidRPr="00B5296E">
        <w:rPr>
          <w:rtl/>
        </w:rPr>
        <w:t xml:space="preserve">تركيز الإلكترونات في وسط متأين </w:t>
      </w:r>
      <w:r w:rsidR="00B5296E" w:rsidRPr="00B5296E">
        <w:rPr>
          <w:lang w:val="en-GB"/>
        </w:rPr>
        <w:t>(</w:t>
      </w:r>
      <w:r w:rsidR="00B5296E" w:rsidRPr="00B5296E">
        <w:rPr>
          <w:cs/>
        </w:rPr>
        <w:t>‎</w:t>
      </w:r>
      <w:r w:rsidR="008C2E28">
        <w:t>e</w:t>
      </w:r>
      <w:r w:rsidR="007C1E9D">
        <w:rPr>
          <w:lang w:val="en-GB"/>
        </w:rPr>
        <w:t>l</w:t>
      </w:r>
      <w:r w:rsidR="00B5296E" w:rsidRPr="00B5296E">
        <w:rPr>
          <w:lang w:val="en-GB"/>
        </w:rPr>
        <w:t>/m</w:t>
      </w:r>
      <w:r w:rsidR="00B5296E" w:rsidRPr="00B5296E">
        <w:rPr>
          <w:vertAlign w:val="superscript"/>
          <w:lang w:val="en-GB"/>
        </w:rPr>
        <w:t>3</w:t>
      </w:r>
      <w:r w:rsidR="00B5296E" w:rsidRPr="00B5296E">
        <w:rPr>
          <w:lang w:val="en-GB"/>
        </w:rPr>
        <w:t>)</w:t>
      </w:r>
    </w:p>
    <w:p w14:paraId="3E8E6755" w14:textId="65D5F2ED" w:rsidR="00B5296E" w:rsidRPr="00B5296E" w:rsidRDefault="00F277DA" w:rsidP="00F277DA">
      <w:pPr>
        <w:pStyle w:val="Equationlegend"/>
        <w:rPr>
          <w:lang w:val="en-GB"/>
        </w:rPr>
      </w:pPr>
      <w:r>
        <w:rPr>
          <w:lang w:val="en-GB"/>
        </w:rPr>
        <w:tab/>
      </w:r>
      <m:oMath>
        <m:r>
          <m:rPr>
            <m:sty m:val="p"/>
          </m:rPr>
          <w:rPr>
            <w:rFonts w:ascii="Cambria Math" w:hAnsi="Cambria Math"/>
            <w:lang w:val="en-GB"/>
          </w:rPr>
          <m:t>ω</m:t>
        </m:r>
      </m:oMath>
      <w:r w:rsidR="00B5296E" w:rsidRPr="00B5296E">
        <w:rPr>
          <w:rFonts w:hint="cs"/>
          <w:rtl/>
        </w:rPr>
        <w:t>:</w:t>
      </w:r>
      <w:r w:rsidR="0016729E">
        <w:rPr>
          <w:rFonts w:hint="cs"/>
          <w:rtl/>
        </w:rPr>
        <w:t xml:space="preserve"> </w:t>
      </w:r>
      <w:r w:rsidR="0016729E">
        <w:rPr>
          <w:rtl/>
        </w:rPr>
        <w:tab/>
      </w:r>
      <w:r w:rsidR="00B5296E" w:rsidRPr="00B5296E">
        <w:rPr>
          <w:rtl/>
        </w:rPr>
        <w:t xml:space="preserve">التردد الزاوي </w:t>
      </w:r>
      <w:r w:rsidR="00B5296E" w:rsidRPr="00B5296E">
        <w:rPr>
          <w:rFonts w:hint="cs"/>
          <w:rtl/>
        </w:rPr>
        <w:t>الراديوي</w:t>
      </w:r>
      <w:r w:rsidR="00B5296E" w:rsidRPr="00B5296E">
        <w:rPr>
          <w:rtl/>
        </w:rPr>
        <w:t xml:space="preserve"> </w:t>
      </w:r>
      <w:r w:rsidR="00B5296E" w:rsidRPr="00B5296E">
        <w:rPr>
          <w:lang w:val="en-GB"/>
        </w:rPr>
        <w:t>(</w:t>
      </w:r>
      <w:r w:rsidR="00B5296E" w:rsidRPr="00B5296E">
        <w:rPr>
          <w:cs/>
        </w:rPr>
        <w:t>‎</w:t>
      </w:r>
      <w:r w:rsidR="00B5296E" w:rsidRPr="00B5296E">
        <w:rPr>
          <w:lang w:val="en-GB"/>
        </w:rPr>
        <w:t>rad/s)</w:t>
      </w:r>
    </w:p>
    <w:p w14:paraId="781EF8A6" w14:textId="57D8F1FC" w:rsidR="00B5296E" w:rsidRPr="00B5296E" w:rsidRDefault="00F277DA" w:rsidP="00F277DA">
      <w:pPr>
        <w:pStyle w:val="Equationlegend"/>
        <w:rPr>
          <w:rtl/>
        </w:rPr>
      </w:pPr>
      <w:r>
        <w:rPr>
          <w:lang w:val="en-GB"/>
        </w:rPr>
        <w:tab/>
      </w:r>
      <m:oMath>
        <m:r>
          <w:rPr>
            <w:rFonts w:ascii="Cambria Math" w:hAnsi="Cambria Math"/>
            <w:lang w:val="en-GB"/>
          </w:rPr>
          <m:t>f</m:t>
        </m:r>
      </m:oMath>
      <w:r w:rsidR="00B5296E" w:rsidRPr="00B5296E">
        <w:rPr>
          <w:rtl/>
        </w:rPr>
        <w:t>:</w:t>
      </w:r>
      <w:r w:rsidR="0016729E">
        <w:rPr>
          <w:rFonts w:hint="cs"/>
          <w:rtl/>
        </w:rPr>
        <w:t xml:space="preserve"> </w:t>
      </w:r>
      <w:r w:rsidR="0016729E">
        <w:rPr>
          <w:rtl/>
        </w:rPr>
        <w:tab/>
      </w:r>
      <w:r w:rsidR="00B5296E" w:rsidRPr="00B5296E">
        <w:rPr>
          <w:rFonts w:hint="cs"/>
          <w:rtl/>
        </w:rPr>
        <w:t>التردد الراديوي</w:t>
      </w:r>
      <w:r w:rsidR="00B5296E" w:rsidRPr="00B5296E">
        <w:rPr>
          <w:rtl/>
        </w:rPr>
        <w:t xml:space="preserve"> </w:t>
      </w:r>
      <w:r w:rsidR="00B5296E" w:rsidRPr="00B5296E">
        <w:rPr>
          <w:lang w:val="en-GB"/>
        </w:rPr>
        <w:t>(</w:t>
      </w:r>
      <w:r w:rsidR="00B5296E" w:rsidRPr="00B5296E">
        <w:rPr>
          <w:cs/>
        </w:rPr>
        <w:t>‎</w:t>
      </w:r>
      <w:r w:rsidR="00B5296E" w:rsidRPr="00B5296E">
        <w:rPr>
          <w:lang w:val="en-GB"/>
        </w:rPr>
        <w:t>MHz)</w:t>
      </w:r>
    </w:p>
    <w:p w14:paraId="5735F12A" w14:textId="62930B37" w:rsidR="00B5296E" w:rsidRPr="00B5296E" w:rsidRDefault="00B5296E" w:rsidP="0016729E">
      <w:pPr>
        <w:pStyle w:val="Heading3"/>
        <w:rPr>
          <w:rtl/>
        </w:rPr>
      </w:pPr>
      <w:r w:rsidRPr="00B5296E">
        <w:rPr>
          <w:lang w:val="en-GB"/>
        </w:rPr>
        <w:t>2.2.4</w:t>
      </w:r>
      <w:r w:rsidRPr="00B5296E">
        <w:rPr>
          <w:lang w:val="en-GB"/>
        </w:rPr>
        <w:tab/>
      </w:r>
      <w:r w:rsidRPr="00B5296E">
        <w:rPr>
          <w:rtl/>
        </w:rPr>
        <w:t>‏دليل زمرة الانكسار الأيونوسفيرية</w:t>
      </w:r>
      <w:r w:rsidRPr="00B5296E">
        <w:rPr>
          <w:cs/>
        </w:rPr>
        <w:t>‎</w:t>
      </w:r>
    </w:p>
    <w:p w14:paraId="4B71B1A6" w14:textId="77777777" w:rsidR="00B5296E" w:rsidRPr="00B5296E" w:rsidRDefault="00B5296E" w:rsidP="0016729E">
      <w:pPr>
        <w:rPr>
          <w:rtl/>
        </w:rPr>
      </w:pPr>
      <w:r w:rsidRPr="00B5296E">
        <w:rPr>
          <w:rtl/>
        </w:rPr>
        <w:t xml:space="preserve">‏بالنسبة </w:t>
      </w:r>
      <w:r w:rsidRPr="00B5296E">
        <w:rPr>
          <w:rFonts w:hint="cs"/>
          <w:rtl/>
        </w:rPr>
        <w:t>لدليل زمرة</w:t>
      </w:r>
      <w:r w:rsidRPr="00B5296E">
        <w:rPr>
          <w:rtl/>
        </w:rPr>
        <w:t xml:space="preserve"> الانكسار الأيونوسفيري </w:t>
      </w:r>
      <w:r w:rsidRPr="00B5296E">
        <w:rPr>
          <w:lang w:val="en-GB"/>
        </w:rPr>
        <w:t>(</w:t>
      </w:r>
      <w:r w:rsidRPr="00B5296E">
        <w:rPr>
          <w:cs/>
        </w:rPr>
        <w:t>‎</w:t>
      </w:r>
      <w:r w:rsidRPr="00B5296E">
        <w:rPr>
          <w:i/>
          <w:iCs/>
          <w:lang w:val="en-GB"/>
        </w:rPr>
        <w:t>n</w:t>
      </w:r>
      <w:r w:rsidRPr="00B5296E">
        <w:rPr>
          <w:i/>
          <w:iCs/>
          <w:vertAlign w:val="subscript"/>
          <w:lang w:val="en-GB"/>
        </w:rPr>
        <w:t>g</w:t>
      </w:r>
      <w:r w:rsidRPr="00B5296E">
        <w:rPr>
          <w:lang w:val="en-GB"/>
        </w:rPr>
        <w:t>)</w:t>
      </w:r>
      <w:r w:rsidRPr="00B5296E">
        <w:rPr>
          <w:rtl/>
        </w:rPr>
        <w:t>‏، يمكن التعبير عنه على النحو التالي</w:t>
      </w:r>
      <w:r w:rsidRPr="00B5296E">
        <w:rPr>
          <w:rFonts w:hint="cs"/>
          <w:rtl/>
        </w:rPr>
        <w:t>، عند الأخذ في الاعتبار</w:t>
      </w:r>
      <w:r w:rsidRPr="00B5296E">
        <w:rPr>
          <w:rtl/>
        </w:rPr>
        <w:t xml:space="preserve"> أن ‏تردد </w:t>
      </w:r>
      <w:r w:rsidRPr="00B5296E">
        <w:rPr>
          <w:rFonts w:hint="cs"/>
          <w:rtl/>
        </w:rPr>
        <w:t>الدوران</w:t>
      </w:r>
      <w:r w:rsidRPr="00B5296E">
        <w:rPr>
          <w:rtl/>
        </w:rPr>
        <w:t xml:space="preserve"> المغنطيسي </w:t>
      </w:r>
      <w:r w:rsidRPr="00B5296E">
        <w:rPr>
          <w:i/>
          <w:iCs/>
          <w:cs/>
        </w:rPr>
        <w:t>‎</w:t>
      </w:r>
      <w:proofErr w:type="spellStart"/>
      <w:r w:rsidRPr="00B5296E">
        <w:rPr>
          <w:i/>
          <w:iCs/>
          <w:lang w:val="en-GB"/>
        </w:rPr>
        <w:t>f</w:t>
      </w:r>
      <w:r w:rsidRPr="00B5296E">
        <w:rPr>
          <w:i/>
          <w:iCs/>
          <w:vertAlign w:val="subscript"/>
          <w:lang w:val="en-GB"/>
        </w:rPr>
        <w:t>H</w:t>
      </w:r>
      <w:proofErr w:type="spellEnd"/>
      <w:r w:rsidRPr="00B5296E">
        <w:rPr>
          <w:rtl/>
        </w:rPr>
        <w:t xml:space="preserve"> وتردد الاصطدام </w:t>
      </w:r>
      <w:r w:rsidRPr="00B5296E">
        <w:rPr>
          <w:i/>
          <w:iCs/>
          <w:cs/>
        </w:rPr>
        <w:t>‎</w:t>
      </w:r>
      <w:r w:rsidRPr="00B5296E">
        <w:rPr>
          <w:i/>
          <w:iCs/>
          <w:lang w:val="en-GB"/>
        </w:rPr>
        <w:t>v</w:t>
      </w:r>
      <w:r w:rsidRPr="00B5296E">
        <w:rPr>
          <w:rtl/>
        </w:rPr>
        <w:t xml:space="preserve"> ‏</w:t>
      </w:r>
      <w:r w:rsidRPr="00B5296E">
        <w:rPr>
          <w:rFonts w:hint="cs"/>
          <w:rtl/>
        </w:rPr>
        <w:t>كلاهما أقل</w:t>
      </w:r>
      <w:r w:rsidRPr="00B5296E">
        <w:rPr>
          <w:rtl/>
        </w:rPr>
        <w:t xml:space="preserve"> من تردد الموجة </w:t>
      </w:r>
      <w:r w:rsidRPr="00B5296E">
        <w:rPr>
          <w:i/>
          <w:iCs/>
          <w:cs/>
        </w:rPr>
        <w:t>‎</w:t>
      </w:r>
      <w:r w:rsidRPr="00B5296E">
        <w:rPr>
          <w:i/>
          <w:iCs/>
          <w:lang w:val="en-GB"/>
        </w:rPr>
        <w:t>f</w:t>
      </w:r>
      <w:r w:rsidRPr="00B5296E">
        <w:rPr>
          <w:rtl/>
        </w:rPr>
        <w:t>‏:</w:t>
      </w:r>
      <w:r w:rsidRPr="00B5296E">
        <w:rPr>
          <w:cs/>
        </w:rPr>
        <w:t>‎</w:t>
      </w:r>
    </w:p>
    <w:p w14:paraId="63B8FB87" w14:textId="3E79A41F" w:rsidR="00B5296E" w:rsidRPr="00B5296E" w:rsidRDefault="00B5296E" w:rsidP="00A06C49">
      <w:pPr>
        <w:pStyle w:val="Equation"/>
        <w:rPr>
          <w:rtl/>
        </w:rPr>
      </w:pPr>
      <w:r w:rsidRPr="00B5296E">
        <w:rPr>
          <w:lang w:val="en-GB"/>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p</m:t>
            </m:r>
          </m:sub>
        </m:sSub>
        <m:r>
          <m:rPr>
            <m:sty m:val="p"/>
          </m:rPr>
          <w:rPr>
            <w:rFonts w:ascii="Cambria Math" w:hAnsi="Cambria Math"/>
            <w:lang w:val="en-GB"/>
          </w:rPr>
          <m:t>+ω∙</m:t>
        </m:r>
        <m:f>
          <m:fPr>
            <m:ctrlPr>
              <w:rPr>
                <w:rFonts w:ascii="Cambria Math" w:hAnsi="Cambria Math"/>
                <w:lang w:val="en-GB"/>
              </w:rPr>
            </m:ctrlPr>
          </m:fPr>
          <m:num>
            <m:r>
              <w:rPr>
                <w:rFonts w:ascii="Cambria Math" w:hAnsi="Cambria Math"/>
                <w:lang w:val="en-GB"/>
              </w:rPr>
              <m:t>d</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p</m:t>
                </m:r>
              </m:sub>
            </m:sSub>
          </m:num>
          <m:den>
            <m:r>
              <w:rPr>
                <w:rFonts w:ascii="Cambria Math" w:hAnsi="Cambria Math"/>
                <w:lang w:val="en-GB"/>
              </w:rPr>
              <m:t>d</m:t>
            </m:r>
            <m:r>
              <m:rPr>
                <m:sty m:val="p"/>
              </m:rPr>
              <w:rPr>
                <w:rFonts w:ascii="Cambria Math" w:hAnsi="Cambria Math"/>
                <w:lang w:val="en-GB"/>
              </w:rPr>
              <m:t>ω</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p</m:t>
                </m:r>
              </m:sub>
            </m:sSub>
          </m:den>
        </m:f>
      </m:oMath>
      <w:r w:rsidRPr="00B5296E">
        <w:rPr>
          <w:lang w:val="en-GB"/>
        </w:rPr>
        <w:tab/>
        <w:t>(3)</w:t>
      </w:r>
    </w:p>
    <w:p w14:paraId="4A965C29" w14:textId="77777777" w:rsidR="00B5296E" w:rsidRPr="00B5296E" w:rsidRDefault="00B5296E" w:rsidP="0016729E">
      <w:pPr>
        <w:pStyle w:val="Heading2"/>
        <w:keepNext w:val="0"/>
        <w:rPr>
          <w:rtl/>
        </w:rPr>
      </w:pPr>
      <w:bookmarkStart w:id="21" w:name="_Toc404087322"/>
      <w:bookmarkStart w:id="22" w:name="_Toc493768803"/>
      <w:r w:rsidRPr="00B5296E">
        <w:t>3.4</w:t>
      </w:r>
      <w:r w:rsidRPr="00B5296E">
        <w:rPr>
          <w:rFonts w:hint="cs"/>
          <w:rtl/>
        </w:rPr>
        <w:tab/>
        <w:t>دوران فاراداي</w:t>
      </w:r>
      <w:bookmarkEnd w:id="21"/>
      <w:bookmarkEnd w:id="22"/>
    </w:p>
    <w:p w14:paraId="055A5CE0" w14:textId="77777777" w:rsidR="00B5296E" w:rsidRPr="00B5296E" w:rsidRDefault="00B5296E" w:rsidP="0016729E">
      <w:pPr>
        <w:rPr>
          <w:rtl/>
        </w:rPr>
      </w:pPr>
      <w:r w:rsidRPr="00B5296E">
        <w:rPr>
          <w:rFonts w:hint="cs"/>
          <w:rtl/>
        </w:rPr>
        <w:t xml:space="preserve">إن الموجة المستقطبة خطياً تتعرض عند انتشارها عبر الأيونوسفير لدوران مستوى استقطابها تدريجياً بسبب وجود المجال المغنطيسي الأرضي ولا تناحي وسيط البلازما. ويتوقف مقدار دوران فاراداي </w:t>
      </w:r>
      <w:r w:rsidRPr="00B5296E">
        <w:sym w:font="Symbol" w:char="F071"/>
      </w:r>
      <w:r w:rsidRPr="00B5296E">
        <w:rPr>
          <w:rFonts w:hint="cs"/>
          <w:rtl/>
        </w:rPr>
        <w:t xml:space="preserve"> على تردد الموجة الراديوية وعلى قوة المجال المغنطيسي وعلى الكثافة الإلكترونية للبلازما على النحو التالي:</w:t>
      </w:r>
    </w:p>
    <w:p w14:paraId="01527E14" w14:textId="6F451C6A" w:rsidR="00A06C49" w:rsidRPr="00A06C49" w:rsidRDefault="00A06C49" w:rsidP="00A06C49">
      <w:pPr>
        <w:pStyle w:val="Equation"/>
        <w:rPr>
          <w:smallCaps/>
          <w:lang w:val="en-GB" w:eastAsia="en-US"/>
        </w:rPr>
      </w:pPr>
      <w:r w:rsidRPr="00A06C49">
        <w:rPr>
          <w:lang w:val="en-GB" w:eastAsia="en-US"/>
        </w:rPr>
        <w:tab/>
      </w:r>
      <m:oMath>
        <m:r>
          <m:rPr>
            <m:sty m:val="p"/>
          </m:rPr>
          <w:rPr>
            <w:rFonts w:ascii="Cambria Math" w:hAnsi="Cambria Math"/>
            <w:lang w:val="en-GB" w:eastAsia="en-US"/>
          </w:rPr>
          <m:t>θ=2.36×</m:t>
        </m:r>
        <m:sSup>
          <m:sSupPr>
            <m:ctrlPr>
              <w:rPr>
                <w:rFonts w:ascii="Cambria Math" w:hAnsi="Cambria Math"/>
                <w:iCs/>
                <w:lang w:val="en-GB" w:eastAsia="en-US"/>
              </w:rPr>
            </m:ctrlPr>
          </m:sSupPr>
          <m:e>
            <m:r>
              <m:rPr>
                <m:sty m:val="p"/>
              </m:rPr>
              <w:rPr>
                <w:rFonts w:ascii="Cambria Math" w:hAnsi="Cambria Math"/>
                <w:lang w:val="en-GB" w:eastAsia="en-US"/>
              </w:rPr>
              <m:t>10</m:t>
            </m:r>
          </m:e>
          <m:sup>
            <m:r>
              <m:rPr>
                <m:sty m:val="p"/>
              </m:rPr>
              <w:rPr>
                <w:rFonts w:ascii="Cambria Math" w:hAnsi="Cambria Math"/>
                <w:lang w:val="en-GB" w:eastAsia="en-US"/>
              </w:rPr>
              <m:t>-14</m:t>
            </m:r>
          </m:sup>
        </m:sSup>
        <m:f>
          <m:fPr>
            <m:ctrlPr>
              <w:rPr>
                <w:rFonts w:ascii="Cambria Math" w:hAnsi="Cambria Math"/>
                <w:iCs/>
                <w:lang w:val="en-GB" w:eastAsia="en-US"/>
              </w:rPr>
            </m:ctrlPr>
          </m:fPr>
          <m:num>
            <m:sSub>
              <m:sSubPr>
                <m:ctrlPr>
                  <w:rPr>
                    <w:rFonts w:ascii="Cambria Math" w:hAnsi="Cambria Math"/>
                    <w:iCs/>
                    <w:lang w:val="en-GB" w:eastAsia="en-US"/>
                  </w:rPr>
                </m:ctrlPr>
              </m:sSubPr>
              <m:e>
                <m:r>
                  <w:rPr>
                    <w:rFonts w:ascii="Cambria Math" w:hAnsi="Cambria Math"/>
                    <w:lang w:val="en-GB" w:eastAsia="en-US"/>
                  </w:rPr>
                  <m:t>B</m:t>
                </m:r>
              </m:e>
              <m:sub>
                <m:r>
                  <w:rPr>
                    <w:rFonts w:ascii="Cambria Math" w:hAnsi="Cambria Math"/>
                    <w:lang w:val="en-GB" w:eastAsia="en-US"/>
                  </w:rPr>
                  <m:t>av</m:t>
                </m:r>
              </m:sub>
            </m:sSub>
            <m:sSub>
              <m:sSubPr>
                <m:ctrlPr>
                  <w:rPr>
                    <w:rFonts w:ascii="Cambria Math" w:hAnsi="Cambria Math"/>
                    <w:iCs/>
                    <w:lang w:val="en-GB" w:eastAsia="en-US"/>
                  </w:rPr>
                </m:ctrlPr>
              </m:sSubPr>
              <m:e>
                <m:r>
                  <w:rPr>
                    <w:rFonts w:ascii="Cambria Math" w:hAnsi="Cambria Math"/>
                    <w:lang w:val="en-GB" w:eastAsia="en-US"/>
                  </w:rPr>
                  <m:t>N</m:t>
                </m:r>
              </m:e>
              <m:sub>
                <m:r>
                  <w:rPr>
                    <w:rFonts w:ascii="Cambria Math" w:hAnsi="Cambria Math"/>
                    <w:lang w:val="en-GB" w:eastAsia="en-US"/>
                  </w:rPr>
                  <m:t>T</m:t>
                </m:r>
              </m:sub>
            </m:sSub>
          </m:num>
          <m:den>
            <m:sSup>
              <m:sSupPr>
                <m:ctrlPr>
                  <w:rPr>
                    <w:rFonts w:ascii="Cambria Math" w:hAnsi="Cambria Math"/>
                    <w:iCs/>
                    <w:lang w:val="en-GB" w:eastAsia="en-US"/>
                  </w:rPr>
                </m:ctrlPr>
              </m:sSupPr>
              <m:e>
                <m:r>
                  <w:rPr>
                    <w:rFonts w:ascii="Cambria Math" w:hAnsi="Cambria Math"/>
                    <w:lang w:val="en-GB" w:eastAsia="en-US"/>
                  </w:rPr>
                  <m:t>f</m:t>
                </m:r>
              </m:e>
              <m:sup>
                <m:r>
                  <m:rPr>
                    <m:sty m:val="p"/>
                  </m:rPr>
                  <w:rPr>
                    <w:rFonts w:ascii="Cambria Math" w:hAnsi="Cambria Math"/>
                    <w:lang w:val="en-GB" w:eastAsia="en-US"/>
                  </w:rPr>
                  <m:t>2</m:t>
                </m:r>
              </m:sup>
            </m:sSup>
          </m:den>
        </m:f>
      </m:oMath>
      <w:r w:rsidRPr="00A06C49">
        <w:rPr>
          <w:vertAlign w:val="superscript"/>
          <w:lang w:val="en-GB" w:eastAsia="en-US"/>
        </w:rPr>
        <w:tab/>
      </w:r>
      <w:r w:rsidRPr="00A06C49">
        <w:rPr>
          <w:lang w:val="en-GB" w:eastAsia="en-US"/>
        </w:rPr>
        <w:t>(4)</w:t>
      </w:r>
    </w:p>
    <w:p w14:paraId="6800A0B5" w14:textId="77777777" w:rsidR="00B5296E" w:rsidRPr="00B5296E" w:rsidRDefault="00B5296E" w:rsidP="0016729E">
      <w:pPr>
        <w:rPr>
          <w:rtl/>
          <w:lang w:bidi="ar-SY"/>
        </w:rPr>
      </w:pPr>
      <w:r w:rsidRPr="00B5296E">
        <w:rPr>
          <w:rFonts w:hint="cs"/>
          <w:rtl/>
        </w:rPr>
        <w:t>حيث:</w:t>
      </w:r>
    </w:p>
    <w:p w14:paraId="7B223BC2" w14:textId="77777777" w:rsidR="00B5296E" w:rsidRPr="00B5296E" w:rsidRDefault="00B5296E" w:rsidP="00F277DA">
      <w:pPr>
        <w:pStyle w:val="Equationlegend"/>
      </w:pPr>
      <w:r w:rsidRPr="00B5296E">
        <w:rPr>
          <w:rtl/>
        </w:rPr>
        <w:tab/>
      </w:r>
      <w:r w:rsidRPr="00B5296E">
        <w:sym w:font="Symbol" w:char="F071"/>
      </w:r>
      <w:r w:rsidRPr="00B5296E">
        <w:rPr>
          <w:rFonts w:hint="cs"/>
          <w:rtl/>
        </w:rPr>
        <w:t>:</w:t>
      </w:r>
      <w:r w:rsidRPr="00B5296E">
        <w:rPr>
          <w:rFonts w:hint="cs"/>
          <w:rtl/>
        </w:rPr>
        <w:tab/>
        <w:t xml:space="preserve">زاوية الدوران </w:t>
      </w:r>
      <w:r w:rsidRPr="00B5296E">
        <w:t>(rad)</w:t>
      </w:r>
    </w:p>
    <w:p w14:paraId="6B5B72EA" w14:textId="77777777" w:rsidR="00B5296E" w:rsidRPr="00B5296E" w:rsidRDefault="00B5296E" w:rsidP="00F277DA">
      <w:pPr>
        <w:pStyle w:val="Equationlegend"/>
        <w:rPr>
          <w:rtl/>
        </w:rPr>
      </w:pPr>
      <w:r w:rsidRPr="00B5296E">
        <w:rPr>
          <w:rFonts w:hint="cs"/>
          <w:i/>
          <w:rtl/>
        </w:rPr>
        <w:tab/>
      </w:r>
      <w:proofErr w:type="spellStart"/>
      <w:proofErr w:type="gramStart"/>
      <w:r w:rsidRPr="00B5296E">
        <w:rPr>
          <w:i/>
          <w:lang w:val="fr-FR"/>
        </w:rPr>
        <w:t>B</w:t>
      </w:r>
      <w:r w:rsidRPr="00B5296E">
        <w:rPr>
          <w:i/>
          <w:vertAlign w:val="subscript"/>
          <w:lang w:val="fr-FR"/>
        </w:rPr>
        <w:t>av</w:t>
      </w:r>
      <w:proofErr w:type="spellEnd"/>
      <w:r w:rsidRPr="00B5296E">
        <w:rPr>
          <w:rFonts w:hint="cs"/>
          <w:rtl/>
        </w:rPr>
        <w:t>:</w:t>
      </w:r>
      <w:proofErr w:type="gramEnd"/>
      <w:r w:rsidRPr="00B5296E">
        <w:rPr>
          <w:rFonts w:hint="cs"/>
          <w:rtl/>
        </w:rPr>
        <w:tab/>
        <w:t>الشدة المتوسطة للمجال المغنطيسي الأرضي (</w:t>
      </w:r>
      <w:r w:rsidRPr="00B5296E">
        <w:t xml:space="preserve">Wb </w:t>
      </w:r>
      <w:r w:rsidRPr="00B5296E">
        <w:sym w:font="Symbol" w:char="F0D7"/>
      </w:r>
      <w:r w:rsidRPr="00B5296E">
        <w:t xml:space="preserve"> m</w:t>
      </w:r>
      <w:r w:rsidRPr="00B5296E">
        <w:rPr>
          <w:vertAlign w:val="superscript"/>
        </w:rPr>
        <w:t>–2</w:t>
      </w:r>
      <w:r w:rsidRPr="00B5296E">
        <w:rPr>
          <w:rFonts w:hint="cs"/>
          <w:rtl/>
        </w:rPr>
        <w:t xml:space="preserve"> أو </w:t>
      </w:r>
      <w:r w:rsidRPr="00B5296E">
        <w:t>T</w:t>
      </w:r>
      <w:r w:rsidRPr="00B5296E">
        <w:rPr>
          <w:rFonts w:hint="cs"/>
          <w:rtl/>
        </w:rPr>
        <w:t>)</w:t>
      </w:r>
    </w:p>
    <w:p w14:paraId="2E547B83" w14:textId="77777777" w:rsidR="00B5296E" w:rsidRPr="00B5296E" w:rsidRDefault="00B5296E" w:rsidP="00F277DA">
      <w:pPr>
        <w:pStyle w:val="Equationlegend"/>
        <w:rPr>
          <w:rtl/>
        </w:rPr>
      </w:pPr>
      <w:r w:rsidRPr="00B5296E">
        <w:rPr>
          <w:i/>
          <w:rtl/>
          <w:lang w:bidi="ar-EG"/>
        </w:rPr>
        <w:tab/>
      </w:r>
      <w:proofErr w:type="gramStart"/>
      <w:r w:rsidRPr="00B5296E">
        <w:rPr>
          <w:i/>
          <w:lang w:val="fr-FR"/>
        </w:rPr>
        <w:t>f</w:t>
      </w:r>
      <w:r w:rsidRPr="00B5296E">
        <w:rPr>
          <w:rFonts w:hint="cs"/>
          <w:rtl/>
        </w:rPr>
        <w:t>:</w:t>
      </w:r>
      <w:proofErr w:type="gramEnd"/>
      <w:r w:rsidRPr="00B5296E">
        <w:rPr>
          <w:rFonts w:hint="cs"/>
          <w:rtl/>
        </w:rPr>
        <w:tab/>
        <w:t xml:space="preserve">التردد </w:t>
      </w:r>
      <w:r w:rsidRPr="00B5296E">
        <w:t>(GHz)</w:t>
      </w:r>
    </w:p>
    <w:p w14:paraId="7A1317D8" w14:textId="77777777" w:rsidR="00B5296E" w:rsidRPr="00B5296E" w:rsidRDefault="00B5296E" w:rsidP="00F277DA">
      <w:pPr>
        <w:pStyle w:val="Equationlegend"/>
        <w:rPr>
          <w:rtl/>
        </w:rPr>
      </w:pPr>
      <w:r w:rsidRPr="00B5296E">
        <w:rPr>
          <w:i/>
          <w:rtl/>
          <w:lang w:bidi="ar-EG"/>
        </w:rPr>
        <w:tab/>
      </w:r>
      <w:r w:rsidRPr="00B5296E">
        <w:rPr>
          <w:i/>
          <w:lang w:val="en-GB"/>
        </w:rPr>
        <w:t>N</w:t>
      </w:r>
      <w:r w:rsidRPr="00B5296E">
        <w:rPr>
          <w:i/>
          <w:vertAlign w:val="subscript"/>
          <w:lang w:val="en-GB"/>
        </w:rPr>
        <w:t>T</w:t>
      </w:r>
      <w:r w:rsidRPr="00B5296E">
        <w:rPr>
          <w:rFonts w:hint="cs"/>
          <w:rtl/>
        </w:rPr>
        <w:t>:</w:t>
      </w:r>
      <w:r w:rsidRPr="00B5296E">
        <w:rPr>
          <w:rFonts w:hint="cs"/>
          <w:rtl/>
        </w:rPr>
        <w:tab/>
      </w:r>
      <w:r w:rsidRPr="00B5296E">
        <w:t>TEC</w:t>
      </w:r>
      <w:r w:rsidRPr="00B5296E">
        <w:rPr>
          <w:rFonts w:hint="cs"/>
          <w:rtl/>
          <w:lang w:bidi="ar-SY"/>
        </w:rPr>
        <w:t xml:space="preserve"> </w:t>
      </w:r>
      <w:r w:rsidRPr="00B5296E">
        <w:t>(</w:t>
      </w:r>
      <w:proofErr w:type="spellStart"/>
      <w:r w:rsidRPr="00B5296E">
        <w:t>el</w:t>
      </w:r>
      <w:proofErr w:type="spellEnd"/>
      <w:r w:rsidRPr="00B5296E">
        <w:t xml:space="preserve"> </w:t>
      </w:r>
      <w:r w:rsidRPr="00B5296E">
        <w:sym w:font="Symbol" w:char="F0D7"/>
      </w:r>
      <w:r w:rsidRPr="00B5296E">
        <w:t xml:space="preserve"> m</w:t>
      </w:r>
      <w:r w:rsidRPr="00B5296E">
        <w:rPr>
          <w:vertAlign w:val="superscript"/>
        </w:rPr>
        <w:t>–2</w:t>
      </w:r>
      <w:r w:rsidRPr="00B5296E">
        <w:t>)</w:t>
      </w:r>
      <w:r w:rsidRPr="00B5296E">
        <w:rPr>
          <w:rFonts w:hint="cs"/>
          <w:rtl/>
        </w:rPr>
        <w:t>.</w:t>
      </w:r>
    </w:p>
    <w:p w14:paraId="4986AFB5" w14:textId="77777777" w:rsidR="00B5296E" w:rsidRPr="00B5296E" w:rsidRDefault="00B5296E" w:rsidP="0016729E">
      <w:pPr>
        <w:rPr>
          <w:rtl/>
        </w:rPr>
      </w:pPr>
      <w:r w:rsidRPr="00B5296E">
        <w:rPr>
          <w:rFonts w:hint="cs"/>
          <w:rtl/>
        </w:rPr>
        <w:t xml:space="preserve">وترد في الشكل </w:t>
      </w:r>
      <w:r w:rsidRPr="00B5296E">
        <w:t>1</w:t>
      </w:r>
      <w:r w:rsidRPr="00B5296E">
        <w:rPr>
          <w:rFonts w:hint="cs"/>
          <w:rtl/>
        </w:rPr>
        <w:t xml:space="preserve"> أمثلة قيم </w:t>
      </w:r>
      <w:r w:rsidRPr="00B5296E">
        <w:rPr>
          <w:rFonts w:hint="cs"/>
        </w:rPr>
        <w:sym w:font="Symbol" w:char="F071"/>
      </w:r>
      <w:r w:rsidRPr="00B5296E">
        <w:rPr>
          <w:rFonts w:hint="cs"/>
          <w:rtl/>
        </w:rPr>
        <w:t xml:space="preserve"> من أجل شدة متوسطة للمجال المغنطيسي الأرضي، </w:t>
      </w:r>
      <w:proofErr w:type="spellStart"/>
      <w:r w:rsidRPr="00B5296E">
        <w:rPr>
          <w:i/>
          <w:lang w:val="fr-FR"/>
        </w:rPr>
        <w:t>B</w:t>
      </w:r>
      <w:r w:rsidRPr="00B5296E">
        <w:rPr>
          <w:i/>
          <w:vertAlign w:val="subscript"/>
          <w:lang w:val="fr-FR"/>
        </w:rPr>
        <w:t>av</w:t>
      </w:r>
      <w:proofErr w:type="spellEnd"/>
      <w:r w:rsidRPr="00B5296E">
        <w:rPr>
          <w:rFonts w:hint="cs"/>
          <w:rtl/>
        </w:rPr>
        <w:t xml:space="preserve">، بقيمة </w:t>
      </w:r>
      <w:r w:rsidRPr="00B5296E">
        <w:t>50</w:t>
      </w:r>
      <w:r w:rsidRPr="00B5296E">
        <w:rPr>
          <w:rFonts w:hint="cs"/>
          <w:rtl/>
        </w:rPr>
        <w:t xml:space="preserve"> </w:t>
      </w:r>
      <w:proofErr w:type="spellStart"/>
      <w:r w:rsidRPr="00B5296E">
        <w:t>μT</w:t>
      </w:r>
      <w:proofErr w:type="spellEnd"/>
      <w:r w:rsidRPr="00B5296E">
        <w:rPr>
          <w:rFonts w:hint="cs"/>
          <w:rtl/>
        </w:rPr>
        <w:t>.</w:t>
      </w:r>
    </w:p>
    <w:p w14:paraId="441B6683" w14:textId="77777777" w:rsidR="00B5296E" w:rsidRPr="00B5296E" w:rsidRDefault="00B5296E" w:rsidP="008A5666">
      <w:pPr>
        <w:pStyle w:val="FigureNo"/>
        <w:rPr>
          <w:rtl/>
        </w:rPr>
      </w:pPr>
      <w:r w:rsidRPr="00B5296E">
        <w:rPr>
          <w:rFonts w:hint="cs"/>
          <w:rtl/>
        </w:rPr>
        <w:lastRenderedPageBreak/>
        <w:t xml:space="preserve">الشـكل </w:t>
      </w:r>
      <w:r w:rsidRPr="00B5296E">
        <w:rPr>
          <w:lang w:bidi="ar-SA"/>
        </w:rPr>
        <w:t>1</w:t>
      </w:r>
    </w:p>
    <w:p w14:paraId="6A3884C8" w14:textId="77777777" w:rsidR="00B5296E" w:rsidRPr="00B5296E" w:rsidRDefault="00B5296E" w:rsidP="008A5666">
      <w:pPr>
        <w:pStyle w:val="Figuretitle"/>
        <w:rPr>
          <w:lang w:bidi="ar-SA"/>
        </w:rPr>
      </w:pPr>
      <w:r w:rsidRPr="00B5296E">
        <w:rPr>
          <w:rFonts w:hint="cs"/>
          <w:rtl/>
        </w:rPr>
        <w:t xml:space="preserve">دوران فاراداي كدالة للمحتوى </w:t>
      </w:r>
      <w:r w:rsidRPr="00B5296E">
        <w:rPr>
          <w:lang w:bidi="ar-SA"/>
        </w:rPr>
        <w:t>TEC</w:t>
      </w:r>
      <w:r w:rsidRPr="00B5296E">
        <w:rPr>
          <w:rFonts w:hint="cs"/>
          <w:rtl/>
        </w:rPr>
        <w:t xml:space="preserve"> والتردد</w:t>
      </w:r>
    </w:p>
    <w:p w14:paraId="54FBBE90" w14:textId="5E40991E" w:rsidR="008157E8" w:rsidRPr="00B5296E" w:rsidRDefault="00533832" w:rsidP="008A5666">
      <w:pPr>
        <w:pStyle w:val="Figure"/>
        <w:keepNext/>
      </w:pPr>
      <w:r>
        <w:rPr>
          <w:noProof/>
        </w:rPr>
        <w:drawing>
          <wp:inline distT="0" distB="0" distL="0" distR="0" wp14:anchorId="7D2CC5CE" wp14:editId="259D2B23">
            <wp:extent cx="4538980" cy="3430321"/>
            <wp:effectExtent l="0" t="0" r="0" b="0"/>
            <wp:docPr id="1255869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b="7028"/>
                    <a:stretch>
                      <a:fillRect/>
                    </a:stretch>
                  </pic:blipFill>
                  <pic:spPr bwMode="auto">
                    <a:xfrm>
                      <a:off x="0" y="0"/>
                      <a:ext cx="4539437" cy="3430666"/>
                    </a:xfrm>
                    <a:prstGeom prst="rect">
                      <a:avLst/>
                    </a:prstGeom>
                    <a:noFill/>
                    <a:ln>
                      <a:noFill/>
                    </a:ln>
                    <a:extLst>
                      <a:ext uri="{53640926-AAD7-44D8-BBD7-CCE9431645EC}">
                        <a14:shadowObscured xmlns:a14="http://schemas.microsoft.com/office/drawing/2010/main"/>
                      </a:ext>
                    </a:extLst>
                  </pic:spPr>
                </pic:pic>
              </a:graphicData>
            </a:graphic>
          </wp:inline>
        </w:drawing>
      </w:r>
    </w:p>
    <w:p w14:paraId="73B30504" w14:textId="77777777" w:rsidR="00B5296E" w:rsidRPr="00B5296E" w:rsidRDefault="00B5296E" w:rsidP="008A5666">
      <w:pPr>
        <w:pStyle w:val="Normalaftertitle"/>
        <w:rPr>
          <w:rtl/>
        </w:rPr>
      </w:pPr>
      <w:r w:rsidRPr="00B5296E">
        <w:rPr>
          <w:rFonts w:hint="cs"/>
          <w:rtl/>
        </w:rPr>
        <w:t>وبناءً على ذلك، يكون دوران فاراداي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فاراداي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أيونوسفيرية متنقلة كبيرة. ولا يمكن التنبؤ بهذه الانحرافات بشكل مسبق. وقد أرجعت التغيرات الحادة والسريعة لزوايا دوران فاراداي عند إشارات الموجات المترية إلى تلألؤ قوي وسريع على التوالي عند مواقع على مقربة من ذرى الشذوذ المداري.</w:t>
      </w:r>
    </w:p>
    <w:p w14:paraId="35D46E2E" w14:textId="77777777" w:rsidR="00B5296E" w:rsidRPr="00B5296E" w:rsidRDefault="00B5296E" w:rsidP="0016729E">
      <w:pPr>
        <w:rPr>
          <w:rtl/>
        </w:rPr>
      </w:pPr>
      <w:r w:rsidRPr="00B5296E">
        <w:rPr>
          <w:rFonts w:hint="cs"/>
          <w:rtl/>
        </w:rPr>
        <w:t xml:space="preserve">ويرتبط تمييز الاستقطاب المتقاطع في حالة الهوائيات المتراصفة </w:t>
      </w:r>
      <w:r w:rsidRPr="00B5296E">
        <w:t>XPD (dB)</w:t>
      </w:r>
      <w:r w:rsidRPr="00B5296E">
        <w:rPr>
          <w:rFonts w:hint="cs"/>
          <w:rtl/>
        </w:rPr>
        <w:t xml:space="preserve"> بزاوية دوران فاراداي </w:t>
      </w:r>
      <w:r w:rsidRPr="00B5296E">
        <w:rPr>
          <w:rFonts w:hint="cs"/>
        </w:rPr>
        <w:sym w:font="Symbol" w:char="F071"/>
      </w:r>
      <w:r w:rsidRPr="00B5296E">
        <w:rPr>
          <w:rFonts w:hint="cs"/>
          <w:rtl/>
        </w:rPr>
        <w:t xml:space="preserve"> عن طريق العلاقة:</w:t>
      </w:r>
    </w:p>
    <w:p w14:paraId="31939AC7" w14:textId="13D0EA94" w:rsidR="00B5296E" w:rsidRPr="00B5296E" w:rsidRDefault="00B5296E" w:rsidP="009051DA">
      <w:pPr>
        <w:pStyle w:val="Equation"/>
      </w:pPr>
      <w:bookmarkStart w:id="23" w:name="_Toc404087323"/>
      <w:bookmarkStart w:id="24" w:name="_Toc493768804"/>
      <w:r w:rsidRPr="00B5296E">
        <w:tab/>
      </w:r>
      <m:oMath>
        <m:r>
          <w:rPr>
            <w:rFonts w:ascii="Cambria Math" w:hAnsi="Cambria Math"/>
          </w:rPr>
          <m:t>XPD</m:t>
        </m:r>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e>
            </m:d>
          </m:e>
        </m:func>
      </m:oMath>
      <w:r w:rsidRPr="00B5296E">
        <w:tab/>
        <w:t>(5)</w:t>
      </w:r>
    </w:p>
    <w:p w14:paraId="06A58363" w14:textId="77777777" w:rsidR="00B5296E" w:rsidRPr="00B5296E" w:rsidRDefault="00B5296E" w:rsidP="0016729E">
      <w:pPr>
        <w:pStyle w:val="Heading2"/>
        <w:keepNext w:val="0"/>
        <w:rPr>
          <w:rtl/>
        </w:rPr>
      </w:pPr>
      <w:r w:rsidRPr="00B5296E">
        <w:t>4.4</w:t>
      </w:r>
      <w:r w:rsidRPr="00B5296E">
        <w:rPr>
          <w:rFonts w:hint="cs"/>
          <w:rtl/>
        </w:rPr>
        <w:tab/>
        <w:t>تأخر الزمرة</w:t>
      </w:r>
      <w:bookmarkEnd w:id="23"/>
      <w:bookmarkEnd w:id="24"/>
    </w:p>
    <w:p w14:paraId="16AE1E32" w14:textId="77777777" w:rsidR="00B5296E" w:rsidRPr="00B5296E" w:rsidRDefault="00B5296E" w:rsidP="0016729E">
      <w:pPr>
        <w:rPr>
          <w:rtl/>
        </w:rPr>
      </w:pPr>
      <w:r w:rsidRPr="00B5296E">
        <w:rPr>
          <w:rFonts w:hint="cs"/>
          <w:rtl/>
        </w:rPr>
        <w:t xml:space="preserve">يؤدي وجود جزيئات مشحونة في الأيونوسفير إلى بطء انتشار الإشارات الراديوية على طول المسير ويسمى التأخر بالنسبة لزمن الانتشار في الفضاء الحر الذي يشار إليه عادة ﺑ </w:t>
      </w:r>
      <w:r w:rsidRPr="00B5296E">
        <w:rPr>
          <w:i/>
          <w:iCs/>
        </w:rPr>
        <w:t>t</w:t>
      </w:r>
      <w:r w:rsidRPr="00B5296E">
        <w:rPr>
          <w:rFonts w:hint="cs"/>
          <w:rtl/>
        </w:rPr>
        <w:t xml:space="preserve"> بتأخر الزمرة. وهو عامل مهم يجب مراعاته في حالة أي شبكة/أنظمة ساتلية. وبطريقة مماثلة، يتقدم الطور بنفس المقدار. ويمكن حساب هذه الكمية كما يلي:</w:t>
      </w:r>
    </w:p>
    <w:p w14:paraId="30C9249B" w14:textId="4618CAED" w:rsidR="00B5296E" w:rsidRPr="00B5296E" w:rsidRDefault="00B5296E" w:rsidP="009051DA">
      <w:pPr>
        <w:pStyle w:val="Equation"/>
      </w:pPr>
      <w:r w:rsidRPr="00B5296E">
        <w:tab/>
      </w:r>
      <m:oMath>
        <m:r>
          <w:rPr>
            <w:rFonts w:ascii="Cambria Math" w:hAnsi="Cambria Math"/>
          </w:rPr>
          <m:t>t</m:t>
        </m:r>
        <m:r>
          <m:rPr>
            <m:sty m:val="p"/>
          </m:rPr>
          <w:rPr>
            <w:rFonts w:ascii="Cambria Math" w:hAnsi="Cambria Math"/>
          </w:rPr>
          <m:t>=1.345∙</m:t>
        </m:r>
        <m:f>
          <m:fPr>
            <m:type m:val="lin"/>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T</m:t>
                </m:r>
              </m:sub>
            </m:sSub>
          </m:num>
          <m:den>
            <m:sSup>
              <m:sSupPr>
                <m:ctrlPr>
                  <w:rPr>
                    <w:rFonts w:ascii="Cambria Math" w:hAnsi="Cambria Math"/>
                  </w:rPr>
                </m:ctrlPr>
              </m:sSupPr>
              <m:e>
                <m:r>
                  <w:rPr>
                    <w:rFonts w:ascii="Cambria Math" w:hAnsi="Cambria Math"/>
                  </w:rPr>
                  <m:t>f</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Pr="00B5296E">
        <w:tab/>
        <w:t>(6)</w:t>
      </w:r>
    </w:p>
    <w:p w14:paraId="2F8E09E1" w14:textId="77777777" w:rsidR="00B5296E" w:rsidRPr="00B5296E" w:rsidRDefault="00B5296E" w:rsidP="009051DA">
      <w:pPr>
        <w:rPr>
          <w:rtl/>
        </w:rPr>
      </w:pPr>
      <w:r w:rsidRPr="00B5296E">
        <w:rPr>
          <w:rFonts w:hint="cs"/>
          <w:rtl/>
        </w:rPr>
        <w:t>حيث:</w:t>
      </w:r>
    </w:p>
    <w:p w14:paraId="771DBFB9" w14:textId="77777777" w:rsidR="00B5296E" w:rsidRPr="00B5296E" w:rsidRDefault="00B5296E" w:rsidP="00F277DA">
      <w:pPr>
        <w:pStyle w:val="Equationlegend"/>
      </w:pPr>
      <w:r w:rsidRPr="00B5296E">
        <w:rPr>
          <w:i/>
          <w:iCs/>
          <w:rtl/>
        </w:rPr>
        <w:tab/>
      </w:r>
      <w:r w:rsidRPr="00B5296E">
        <w:rPr>
          <w:i/>
          <w:iCs/>
        </w:rPr>
        <w:t>t</w:t>
      </w:r>
      <w:r w:rsidRPr="00B5296E">
        <w:rPr>
          <w:rFonts w:hint="cs"/>
          <w:rtl/>
        </w:rPr>
        <w:t>:</w:t>
      </w:r>
      <w:r w:rsidRPr="00B5296E">
        <w:rPr>
          <w:rFonts w:hint="cs"/>
          <w:rtl/>
        </w:rPr>
        <w:tab/>
        <w:t xml:space="preserve">التأخر الزمني </w:t>
      </w:r>
      <w:r w:rsidRPr="00B5296E">
        <w:t>(s)</w:t>
      </w:r>
      <w:r w:rsidRPr="00B5296E">
        <w:rPr>
          <w:rFonts w:hint="cs"/>
          <w:rtl/>
        </w:rPr>
        <w:t xml:space="preserve"> بالنسبة للانتشار في فراغ</w:t>
      </w:r>
    </w:p>
    <w:p w14:paraId="4B5104E2" w14:textId="77777777" w:rsidR="00B5296E" w:rsidRPr="00B5296E" w:rsidRDefault="00B5296E" w:rsidP="00F277DA">
      <w:pPr>
        <w:pStyle w:val="Equationlegend"/>
      </w:pPr>
      <w:r w:rsidRPr="00B5296E">
        <w:rPr>
          <w:i/>
          <w:iCs/>
          <w:rtl/>
          <w:lang w:bidi="ar-EG"/>
        </w:rPr>
        <w:tab/>
      </w:r>
      <w:r w:rsidRPr="00B5296E">
        <w:rPr>
          <w:i/>
          <w:iCs/>
        </w:rPr>
        <w:t>f</w:t>
      </w:r>
      <w:r w:rsidRPr="00B5296E">
        <w:rPr>
          <w:rFonts w:hint="cs"/>
          <w:rtl/>
        </w:rPr>
        <w:t>:</w:t>
      </w:r>
      <w:r w:rsidRPr="00B5296E">
        <w:rPr>
          <w:rFonts w:hint="cs"/>
          <w:rtl/>
        </w:rPr>
        <w:tab/>
        <w:t xml:space="preserve">تردد الانتشار </w:t>
      </w:r>
      <w:r w:rsidRPr="00B5296E">
        <w:t>(Hz)</w:t>
      </w:r>
    </w:p>
    <w:p w14:paraId="7E35227F" w14:textId="77777777" w:rsidR="00B5296E" w:rsidRPr="00B5296E" w:rsidRDefault="00B5296E" w:rsidP="00F277DA">
      <w:pPr>
        <w:pStyle w:val="Equationlegend"/>
        <w:rPr>
          <w:rtl/>
        </w:rPr>
      </w:pPr>
      <w:r w:rsidRPr="00B5296E">
        <w:rPr>
          <w:rFonts w:hint="cs"/>
          <w:i/>
          <w:iCs/>
          <w:rtl/>
        </w:rPr>
        <w:tab/>
      </w:r>
      <w:r w:rsidRPr="00B5296E">
        <w:rPr>
          <w:i/>
          <w:iCs/>
        </w:rPr>
        <w:t>N</w:t>
      </w:r>
      <w:r w:rsidRPr="00B5296E">
        <w:rPr>
          <w:i/>
          <w:iCs/>
          <w:vertAlign w:val="subscript"/>
        </w:rPr>
        <w:t>T</w:t>
      </w:r>
      <w:r w:rsidRPr="00B5296E">
        <w:rPr>
          <w:rFonts w:hint="cs"/>
          <w:rtl/>
        </w:rPr>
        <w:t>:</w:t>
      </w:r>
      <w:r w:rsidRPr="00B5296E">
        <w:rPr>
          <w:rFonts w:hint="cs"/>
          <w:rtl/>
        </w:rPr>
        <w:tab/>
        <w:t>تحدد على طول مسير الانتشار المائل</w:t>
      </w:r>
      <w:r w:rsidRPr="00B5296E">
        <w:rPr>
          <w:rFonts w:hint="cs"/>
          <w:rtl/>
          <w:lang w:bidi="ar-EG"/>
        </w:rPr>
        <w:t xml:space="preserve"> </w:t>
      </w:r>
      <w:r w:rsidRPr="00B5296E">
        <w:rPr>
          <w:lang w:val="fr-FR"/>
        </w:rPr>
        <w:t>(el/m</w:t>
      </w:r>
      <w:r w:rsidRPr="00B5296E">
        <w:rPr>
          <w:vertAlign w:val="superscript"/>
          <w:lang w:val="fr-FR"/>
        </w:rPr>
        <w:t>2</w:t>
      </w:r>
      <w:r w:rsidRPr="00B5296E">
        <w:rPr>
          <w:lang w:val="fr-FR"/>
        </w:rPr>
        <w:t>)</w:t>
      </w:r>
      <w:r w:rsidRPr="00B5296E">
        <w:rPr>
          <w:rFonts w:hint="cs"/>
          <w:rtl/>
        </w:rPr>
        <w:t>.</w:t>
      </w:r>
    </w:p>
    <w:p w14:paraId="57795E84" w14:textId="77777777" w:rsidR="00B5296E" w:rsidRPr="00B5296E" w:rsidRDefault="00B5296E" w:rsidP="0016729E">
      <w:pPr>
        <w:rPr>
          <w:rtl/>
        </w:rPr>
      </w:pPr>
      <w:r w:rsidRPr="00B5296E">
        <w:rPr>
          <w:rFonts w:hint="cs"/>
          <w:rtl/>
        </w:rPr>
        <w:lastRenderedPageBreak/>
        <w:t xml:space="preserve">ويتضمن الشكل </w:t>
      </w:r>
      <w:r w:rsidRPr="00B5296E">
        <w:t>2</w:t>
      </w:r>
      <w:r w:rsidRPr="00B5296E">
        <w:rPr>
          <w:rFonts w:hint="cs"/>
          <w:rtl/>
        </w:rPr>
        <w:t xml:space="preserve"> رسماً بيانياً يمثل تأخر الزمرة </w:t>
      </w:r>
      <w:r w:rsidRPr="00B5296E">
        <w:rPr>
          <w:i/>
          <w:iCs/>
        </w:rPr>
        <w:t>t</w:t>
      </w:r>
      <w:r w:rsidRPr="00B5296E">
        <w:rPr>
          <w:rFonts w:hint="cs"/>
          <w:rtl/>
        </w:rPr>
        <w:t xml:space="preserve">، في مقابل التردد </w:t>
      </w:r>
      <w:r w:rsidRPr="00B5296E">
        <w:rPr>
          <w:i/>
          <w:iCs/>
        </w:rPr>
        <w:t>f</w:t>
      </w:r>
      <w:r w:rsidRPr="00B5296E">
        <w:rPr>
          <w:rFonts w:hint="cs"/>
          <w:rtl/>
        </w:rPr>
        <w:t xml:space="preserve"> بالنسبة لعدة قيم للمحتوى الإلكتروني على طول مسير الشعاع.</w:t>
      </w:r>
    </w:p>
    <w:p w14:paraId="662BDBDF" w14:textId="77777777" w:rsidR="00B5296E" w:rsidRPr="00B5296E" w:rsidRDefault="00B5296E" w:rsidP="0016729E">
      <w:pPr>
        <w:rPr>
          <w:rtl/>
        </w:rPr>
      </w:pPr>
      <w:r w:rsidRPr="00B5296E">
        <w:rPr>
          <w:rFonts w:hint="cs"/>
          <w:rtl/>
        </w:rPr>
        <w:t xml:space="preserve">في حالة نطاق للترددات يقترب من </w:t>
      </w:r>
      <w:r w:rsidRPr="00B5296E">
        <w:t>MHz 1 600</w:t>
      </w:r>
      <w:r w:rsidRPr="00B5296E">
        <w:rPr>
          <w:rFonts w:hint="cs"/>
          <w:rtl/>
        </w:rPr>
        <w:t xml:space="preserve"> يتراوح تأخر زمرة الإشارات بين حوالي </w:t>
      </w:r>
      <w:r w:rsidRPr="00B5296E">
        <w:t>0,5</w:t>
      </w:r>
      <w:r w:rsidRPr="00B5296E">
        <w:rPr>
          <w:rFonts w:hint="cs"/>
          <w:rtl/>
        </w:rPr>
        <w:t xml:space="preserve"> و</w:t>
      </w:r>
      <w:r w:rsidRPr="00B5296E">
        <w:t>ns 500</w:t>
      </w:r>
      <w:r w:rsidRPr="00B5296E">
        <w:rPr>
          <w:rFonts w:hint="cs"/>
          <w:rtl/>
        </w:rPr>
        <w:t xml:space="preserve"> إذا تراوح المحتوى الإلكتروني الإجمالي بين </w:t>
      </w:r>
      <w:r w:rsidRPr="00B5296E">
        <w:rPr>
          <w:vertAlign w:val="superscript"/>
        </w:rPr>
        <w:t>16</w:t>
      </w:r>
      <w:r w:rsidRPr="00B5296E">
        <w:t>10</w:t>
      </w:r>
      <w:r w:rsidRPr="00B5296E">
        <w:rPr>
          <w:rFonts w:hint="cs"/>
          <w:rtl/>
        </w:rPr>
        <w:t xml:space="preserve"> و</w:t>
      </w:r>
      <w:r w:rsidRPr="00B5296E">
        <w:rPr>
          <w:vertAlign w:val="superscript"/>
        </w:rPr>
        <w:t>19</w:t>
      </w:r>
      <w:r w:rsidRPr="00B5296E">
        <w:t>10</w:t>
      </w:r>
      <w:r w:rsidRPr="00B5296E">
        <w:rPr>
          <w:rFonts w:hint="cs"/>
          <w:rtl/>
        </w:rPr>
        <w:t xml:space="preserve"> </w:t>
      </w:r>
      <w:proofErr w:type="spellStart"/>
      <w:r w:rsidRPr="00B5296E">
        <w:t>el</w:t>
      </w:r>
      <w:proofErr w:type="spellEnd"/>
      <w:r w:rsidRPr="00B5296E">
        <w:t>/m</w:t>
      </w:r>
      <w:r w:rsidRPr="00B5296E">
        <w:rPr>
          <w:vertAlign w:val="superscript"/>
        </w:rPr>
        <w:t>2</w:t>
      </w:r>
      <w:r w:rsidRPr="00B5296E">
        <w:rPr>
          <w:rFonts w:hint="cs"/>
          <w:rtl/>
        </w:rPr>
        <w:t xml:space="preserve">. ويبين الشكل </w:t>
      </w:r>
      <w:r w:rsidRPr="00B5296E">
        <w:t>3</w:t>
      </w:r>
      <w:r w:rsidRPr="00B5296E">
        <w:rPr>
          <w:rFonts w:hint="cs"/>
          <w:rtl/>
        </w:rPr>
        <w:t xml:space="preserve"> النسبة المئوية السنوية من ساعات النهار التي يتجاوز خلالها التأخر الزمني</w:t>
      </w:r>
      <w:r w:rsidRPr="00B5296E">
        <w:rPr>
          <w:rFonts w:hint="eastAsia"/>
          <w:rtl/>
        </w:rPr>
        <w:t> </w:t>
      </w:r>
      <w:r w:rsidRPr="00B5296E">
        <w:t>ns 20</w:t>
      </w:r>
      <w:r w:rsidRPr="00B5296E">
        <w:rPr>
          <w:rFonts w:hint="cs"/>
          <w:rtl/>
        </w:rPr>
        <w:t xml:space="preserve"> في فترة من النشاط الشمسي المرتفع نسبياً.</w:t>
      </w:r>
    </w:p>
    <w:p w14:paraId="3B9EE5C2" w14:textId="77777777" w:rsidR="00B5296E" w:rsidRPr="00B5296E" w:rsidRDefault="00B5296E" w:rsidP="0016729E">
      <w:r w:rsidRPr="00B5296E">
        <w:rPr>
          <w:rFonts w:hint="cs"/>
          <w:rtl/>
          <w:lang w:bidi="ar-SY"/>
        </w:rPr>
        <w:t>وتعطي</w:t>
      </w:r>
      <w:r w:rsidRPr="00B5296E">
        <w:rPr>
          <w:rtl/>
          <w:lang w:bidi="ar-SY"/>
        </w:rPr>
        <w:t xml:space="preserve"> </w:t>
      </w:r>
      <w:r w:rsidRPr="00B5296E">
        <w:rPr>
          <w:rFonts w:hint="cs"/>
          <w:rtl/>
          <w:lang w:bidi="ar-SY"/>
        </w:rPr>
        <w:t>المعادلة</w:t>
      </w:r>
      <w:r w:rsidRPr="00B5296E">
        <w:rPr>
          <w:rtl/>
          <w:lang w:bidi="ar-SY"/>
        </w:rPr>
        <w:t xml:space="preserve"> </w:t>
      </w:r>
      <w:r w:rsidRPr="00B5296E">
        <w:t>(6)</w:t>
      </w:r>
      <w:r w:rsidRPr="00B5296E">
        <w:rPr>
          <w:rtl/>
          <w:lang w:bidi="ar-SY"/>
        </w:rPr>
        <w:t xml:space="preserve"> </w:t>
      </w:r>
      <w:r w:rsidRPr="00B5296E">
        <w:rPr>
          <w:rFonts w:hint="cs"/>
          <w:rtl/>
          <w:lang w:bidi="ar-SY"/>
        </w:rPr>
        <w:t>تقدم</w:t>
      </w:r>
      <w:r w:rsidRPr="00B5296E">
        <w:rPr>
          <w:rtl/>
          <w:lang w:bidi="ar-SY"/>
        </w:rPr>
        <w:t xml:space="preserve"> </w:t>
      </w:r>
      <w:r w:rsidRPr="00B5296E">
        <w:rPr>
          <w:rFonts w:hint="cs"/>
          <w:rtl/>
          <w:lang w:bidi="ar-SY"/>
        </w:rPr>
        <w:t>الطور</w:t>
      </w:r>
      <w:r w:rsidRPr="00B5296E">
        <w:rPr>
          <w:rtl/>
          <w:lang w:bidi="ar-SY"/>
        </w:rPr>
        <w:t xml:space="preserve"> </w:t>
      </w:r>
      <w:r w:rsidRPr="00B5296E">
        <w:rPr>
          <w:rFonts w:hint="cs"/>
          <w:rtl/>
          <w:lang w:bidi="ar-SY"/>
        </w:rPr>
        <w:t>ولكن</w:t>
      </w:r>
      <w:r w:rsidRPr="00B5296E">
        <w:rPr>
          <w:rtl/>
          <w:lang w:bidi="ar-SY"/>
        </w:rPr>
        <w:t xml:space="preserve"> </w:t>
      </w:r>
      <w:r w:rsidRPr="00B5296E">
        <w:rPr>
          <w:rFonts w:hint="cs"/>
          <w:rtl/>
          <w:lang w:bidi="ar-SY"/>
        </w:rPr>
        <w:t>بعلامة جبرية</w:t>
      </w:r>
      <w:r w:rsidRPr="00B5296E">
        <w:rPr>
          <w:rtl/>
          <w:lang w:bidi="ar-SY"/>
        </w:rPr>
        <w:t xml:space="preserve"> </w:t>
      </w:r>
      <w:r w:rsidRPr="00B5296E">
        <w:rPr>
          <w:rFonts w:hint="cs"/>
          <w:rtl/>
          <w:lang w:bidi="ar-SY"/>
        </w:rPr>
        <w:t>عكسية.</w:t>
      </w:r>
    </w:p>
    <w:p w14:paraId="59E124F5" w14:textId="77777777" w:rsidR="00B5296E" w:rsidRPr="00B5296E" w:rsidRDefault="00B5296E" w:rsidP="0016729E">
      <w:pPr>
        <w:pStyle w:val="Heading2"/>
        <w:keepNext w:val="0"/>
        <w:rPr>
          <w:rtl/>
        </w:rPr>
      </w:pPr>
      <w:bookmarkStart w:id="25" w:name="_Toc404087324"/>
      <w:bookmarkStart w:id="26" w:name="_Toc493768805"/>
      <w:r w:rsidRPr="00B5296E">
        <w:t>5.4</w:t>
      </w:r>
      <w:r w:rsidRPr="00B5296E">
        <w:rPr>
          <w:rFonts w:hint="cs"/>
          <w:rtl/>
        </w:rPr>
        <w:tab/>
        <w:t>التشتت</w:t>
      </w:r>
      <w:bookmarkEnd w:id="25"/>
      <w:bookmarkEnd w:id="26"/>
    </w:p>
    <w:p w14:paraId="2D53B0E8" w14:textId="448621DD" w:rsidR="00B5296E" w:rsidRPr="00B5296E" w:rsidRDefault="00B5296E" w:rsidP="0016729E">
      <w:pPr>
        <w:rPr>
          <w:rtl/>
        </w:rPr>
      </w:pPr>
      <w:r w:rsidRPr="00B5296E">
        <w:rPr>
          <w:rFonts w:hint="cs"/>
          <w:rtl/>
        </w:rPr>
        <w:t>حين تشغل الإشارات العابرة للأيونوسفير نطاقاً عريضاً للترددات،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الديكامترية. ومثال ذلك أنه كما يرد في</w:t>
      </w:r>
      <w:r w:rsidRPr="00B5296E">
        <w:rPr>
          <w:rFonts w:hint="eastAsia"/>
          <w:rtl/>
        </w:rPr>
        <w:t> </w:t>
      </w:r>
      <w:r w:rsidRPr="00B5296E">
        <w:rPr>
          <w:rFonts w:hint="cs"/>
          <w:rtl/>
        </w:rPr>
        <w:t xml:space="preserve">الشكل </w:t>
      </w:r>
      <w:r w:rsidRPr="00B5296E">
        <w:t>4</w:t>
      </w:r>
      <w:r w:rsidRPr="00B5296E">
        <w:rPr>
          <w:rFonts w:hint="cs"/>
          <w:rtl/>
        </w:rPr>
        <w:t xml:space="preserve"> إذا بلغ المحتوى الإلكتروني المتكامل </w:t>
      </w:r>
      <w:r w:rsidRPr="00B5296E">
        <w:t>5</w:t>
      </w:r>
      <w:r w:rsidRPr="00B5296E">
        <w:rPr>
          <w:rFonts w:hint="cs"/>
          <w:rtl/>
        </w:rPr>
        <w:t xml:space="preserve"> × </w:t>
      </w:r>
      <w:proofErr w:type="spellStart"/>
      <w:r w:rsidRPr="00B5296E">
        <w:t>el</w:t>
      </w:r>
      <w:proofErr w:type="spellEnd"/>
      <w:r w:rsidRPr="00B5296E">
        <w:t>/m</w:t>
      </w:r>
      <w:r w:rsidRPr="00B5296E">
        <w:rPr>
          <w:vertAlign w:val="superscript"/>
        </w:rPr>
        <w:t>2</w:t>
      </w:r>
      <w:r w:rsidRPr="00B5296E">
        <w:t xml:space="preserve"> </w:t>
      </w:r>
      <w:r w:rsidRPr="00B5296E">
        <w:rPr>
          <w:vertAlign w:val="superscript"/>
        </w:rPr>
        <w:t>17</w:t>
      </w:r>
      <w:r w:rsidRPr="00B5296E">
        <w:t>10</w:t>
      </w:r>
      <w:r w:rsidRPr="00B5296E">
        <w:rPr>
          <w:rFonts w:hint="cs"/>
          <w:rtl/>
        </w:rPr>
        <w:t xml:space="preserve">، فإن إشارة بطول نبضي قدره </w:t>
      </w:r>
      <w:r w:rsidRPr="00B5296E">
        <w:sym w:font="Symbol" w:char="F06D"/>
      </w:r>
      <w:r w:rsidRPr="00B5296E">
        <w:t>s 1</w:t>
      </w:r>
      <w:r w:rsidRPr="00B5296E">
        <w:rPr>
          <w:rFonts w:hint="cs"/>
          <w:rtl/>
        </w:rPr>
        <w:t xml:space="preserve"> تتعرض لتأخر تفاضلي قدره </w:t>
      </w:r>
      <w:r w:rsidRPr="00B5296E">
        <w:sym w:font="Symbol" w:char="F06D"/>
      </w:r>
      <w:r w:rsidRPr="00B5296E">
        <w:t>s 0,02</w:t>
      </w:r>
      <w:r w:rsidRPr="00B5296E">
        <w:rPr>
          <w:rFonts w:hint="cs"/>
          <w:rtl/>
        </w:rPr>
        <w:t>، عند</w:t>
      </w:r>
      <w:r w:rsidR="00F277DA">
        <w:rPr>
          <w:rFonts w:hint="eastAsia"/>
          <w:rtl/>
        </w:rPr>
        <w:t> </w:t>
      </w:r>
      <w:r w:rsidRPr="00B5296E">
        <w:t>MHz 200</w:t>
      </w:r>
      <w:r w:rsidRPr="00B5296E">
        <w:rPr>
          <w:rFonts w:hint="cs"/>
          <w:rtl/>
        </w:rPr>
        <w:t xml:space="preserve"> في</w:t>
      </w:r>
      <w:r w:rsidRPr="00B5296E">
        <w:rPr>
          <w:rFonts w:hint="eastAsia"/>
          <w:rtl/>
        </w:rPr>
        <w:t> </w:t>
      </w:r>
      <w:r w:rsidRPr="00B5296E">
        <w:rPr>
          <w:rFonts w:hint="cs"/>
          <w:rtl/>
        </w:rPr>
        <w:t xml:space="preserve">حين أن التأخر عند </w:t>
      </w:r>
      <w:r w:rsidRPr="00B5296E">
        <w:t>MHz 600</w:t>
      </w:r>
      <w:r w:rsidRPr="00B5296E">
        <w:rPr>
          <w:rFonts w:hint="cs"/>
          <w:rtl/>
        </w:rPr>
        <w:t xml:space="preserve"> لن يتجاوز </w:t>
      </w:r>
      <w:r w:rsidRPr="00B5296E">
        <w:sym w:font="Symbol" w:char="F06D"/>
      </w:r>
      <w:r w:rsidRPr="00B5296E">
        <w:t>s 0,00074</w:t>
      </w:r>
      <w:r w:rsidRPr="00B5296E">
        <w:rPr>
          <w:rFonts w:hint="cs"/>
          <w:rtl/>
        </w:rPr>
        <w:t xml:space="preserve"> (انظر الشكل </w:t>
      </w:r>
      <w:r w:rsidRPr="00B5296E">
        <w:t>4</w:t>
      </w:r>
      <w:r w:rsidRPr="00B5296E">
        <w:rPr>
          <w:rFonts w:hint="cs"/>
          <w:rtl/>
        </w:rPr>
        <w:t>).</w:t>
      </w:r>
    </w:p>
    <w:p w14:paraId="7EB68F51" w14:textId="2315A7BC" w:rsidR="00B5296E" w:rsidRPr="00B5296E" w:rsidRDefault="00B5296E" w:rsidP="0016729E">
      <w:pPr>
        <w:pStyle w:val="Heading2"/>
        <w:keepNext w:val="0"/>
        <w:rPr>
          <w:rtl/>
        </w:rPr>
      </w:pPr>
      <w:bookmarkStart w:id="27" w:name="_Toc404087325"/>
      <w:bookmarkStart w:id="28" w:name="_Toc493768806"/>
      <w:r w:rsidRPr="00B5296E">
        <w:t>6.4</w:t>
      </w:r>
      <w:r w:rsidRPr="00B5296E">
        <w:rPr>
          <w:rFonts w:hint="cs"/>
          <w:rtl/>
        </w:rPr>
        <w:tab/>
        <w:t xml:space="preserve">معدل تغير المحتوى </w:t>
      </w:r>
      <w:r w:rsidRPr="00B5296E">
        <w:t>TEC</w:t>
      </w:r>
      <w:bookmarkEnd w:id="27"/>
      <w:bookmarkEnd w:id="28"/>
    </w:p>
    <w:p w14:paraId="657EC385" w14:textId="264A7D0C" w:rsidR="002E6ECC" w:rsidRDefault="00B5296E" w:rsidP="0016729E">
      <w:r w:rsidRPr="00B5296E">
        <w:rPr>
          <w:rFonts w:hint="cs"/>
          <w:rtl/>
        </w:rPr>
        <w:t xml:space="preserve">إن معدل تغير المحتوى الإلكتروني </w:t>
      </w:r>
      <w:r w:rsidRPr="00B5296E">
        <w:t>TEC</w:t>
      </w:r>
      <w:r w:rsidRPr="00B5296E">
        <w:rPr>
          <w:rFonts w:hint="cs"/>
          <w:rtl/>
        </w:rPr>
        <w:t xml:space="preserve"> المشاهد في حالة ساتل في مداره يرجع في جانب منه إلى تغير اتجاه مسير الشعاع كما يرجع في جانب آخر إلى تغير في الأيونوسفير نفسه. وفي حالة ساتل يتحرك على ارتفاع </w:t>
      </w:r>
      <w:r w:rsidRPr="00B5296E">
        <w:t>km 22 000</w:t>
      </w:r>
      <w:r w:rsidRPr="00B5296E">
        <w:rPr>
          <w:rFonts w:hint="cs"/>
          <w:rtl/>
        </w:rPr>
        <w:t xml:space="preserve"> عابراً منطقة الشفق، رصد معدل أقصى للتغير بلغ </w:t>
      </w:r>
      <w:r w:rsidRPr="00B5296E">
        <w:t>0,7</w:t>
      </w:r>
      <w:r w:rsidRPr="00B5296E">
        <w:rPr>
          <w:rFonts w:hint="cs"/>
          <w:rtl/>
        </w:rPr>
        <w:t xml:space="preserve"> × </w:t>
      </w:r>
      <w:proofErr w:type="spellStart"/>
      <w:r w:rsidRPr="00B5296E">
        <w:t>el</w:t>
      </w:r>
      <w:proofErr w:type="spellEnd"/>
      <w:r w:rsidRPr="00B5296E">
        <w:t>/m</w:t>
      </w:r>
      <w:r w:rsidRPr="00B5296E">
        <w:rPr>
          <w:vertAlign w:val="superscript"/>
        </w:rPr>
        <w:t>2</w:t>
      </w:r>
      <w:r w:rsidRPr="00B5296E">
        <w:t xml:space="preserve">/s </w:t>
      </w:r>
      <w:r w:rsidRPr="00B5296E">
        <w:rPr>
          <w:vertAlign w:val="superscript"/>
        </w:rPr>
        <w:t>16</w:t>
      </w:r>
      <w:r w:rsidRPr="00B5296E">
        <w:t>10</w:t>
      </w:r>
      <w:r w:rsidRPr="00B5296E">
        <w:rPr>
          <w:rFonts w:hint="cs"/>
          <w:rtl/>
        </w:rPr>
        <w:t xml:space="preserve">. ولأغراض الملاحة، يقابل معدل التغير هذا سرعة ظاهرة تبلغ </w:t>
      </w:r>
      <w:r w:rsidRPr="00B5296E">
        <w:t>m/s 0,11</w:t>
      </w:r>
      <w:r w:rsidRPr="00B5296E">
        <w:rPr>
          <w:rFonts w:hint="cs"/>
          <w:rtl/>
        </w:rPr>
        <w:t>.</w:t>
      </w:r>
    </w:p>
    <w:p w14:paraId="6CCAC1AB" w14:textId="77777777" w:rsidR="00B5296E" w:rsidRPr="00B5296E" w:rsidRDefault="00B5296E" w:rsidP="00D66348">
      <w:pPr>
        <w:pStyle w:val="FigureNo"/>
        <w:rPr>
          <w:lang w:bidi="ar-SA"/>
        </w:rPr>
      </w:pPr>
      <w:r w:rsidRPr="00B5296E">
        <w:rPr>
          <w:rFonts w:hint="cs"/>
          <w:rtl/>
        </w:rPr>
        <w:t xml:space="preserve">الشـكل </w:t>
      </w:r>
      <w:r w:rsidRPr="00B5296E">
        <w:rPr>
          <w:lang w:bidi="ar-SA"/>
        </w:rPr>
        <w:t>2</w:t>
      </w:r>
    </w:p>
    <w:p w14:paraId="3974B78E" w14:textId="77777777" w:rsidR="00B5296E" w:rsidRPr="00B5296E" w:rsidRDefault="00B5296E" w:rsidP="00D66348">
      <w:pPr>
        <w:pStyle w:val="Figuretitle"/>
        <w:rPr>
          <w:lang w:bidi="ar-SA"/>
        </w:rPr>
      </w:pPr>
      <w:r w:rsidRPr="008157E8">
        <w:rPr>
          <w:rFonts w:hint="cs"/>
          <w:rtl/>
        </w:rPr>
        <w:t>التأخر الزمني الأيونوسفيري في مقابل التردد بالنسبة لعدة قيم للمحتوى الإلكتروني</w:t>
      </w:r>
    </w:p>
    <w:p w14:paraId="4DB294EE" w14:textId="3DAEF5EC" w:rsidR="00B5296E" w:rsidRDefault="008157E8" w:rsidP="0016729E">
      <w:pPr>
        <w:pStyle w:val="Figure"/>
        <w:rPr>
          <w:rtl/>
        </w:rPr>
      </w:pPr>
      <w:r>
        <w:rPr>
          <w:noProof/>
        </w:rPr>
        <w:drawing>
          <wp:inline distT="0" distB="0" distL="0" distR="0" wp14:anchorId="29E7F427" wp14:editId="24FA516B">
            <wp:extent cx="5478140" cy="3636000"/>
            <wp:effectExtent l="0" t="0" r="8890" b="3175"/>
            <wp:docPr id="590103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140" cy="3636000"/>
                    </a:xfrm>
                    <a:prstGeom prst="rect">
                      <a:avLst/>
                    </a:prstGeom>
                    <a:noFill/>
                  </pic:spPr>
                </pic:pic>
              </a:graphicData>
            </a:graphic>
          </wp:inline>
        </w:drawing>
      </w:r>
    </w:p>
    <w:p w14:paraId="57086033" w14:textId="77777777" w:rsidR="00B5296E" w:rsidRPr="00B5296E" w:rsidRDefault="00B5296E" w:rsidP="00D66348">
      <w:pPr>
        <w:pStyle w:val="FigureNo"/>
        <w:rPr>
          <w:rtl/>
        </w:rPr>
      </w:pPr>
      <w:r w:rsidRPr="00B5296E">
        <w:rPr>
          <w:rFonts w:hint="cs"/>
          <w:rtl/>
        </w:rPr>
        <w:lastRenderedPageBreak/>
        <w:t xml:space="preserve">الشـكل </w:t>
      </w:r>
      <w:r w:rsidRPr="00B5296E">
        <w:rPr>
          <w:lang w:bidi="ar-SA"/>
        </w:rPr>
        <w:t>3</w:t>
      </w:r>
    </w:p>
    <w:p w14:paraId="775F7A63" w14:textId="77777777" w:rsidR="00B5296E" w:rsidRPr="00B5296E" w:rsidRDefault="00B5296E" w:rsidP="00D66348">
      <w:pPr>
        <w:pStyle w:val="Figuretitle"/>
        <w:rPr>
          <w:lang w:bidi="ar-SA"/>
        </w:rPr>
      </w:pPr>
      <w:r w:rsidRPr="00B5296E">
        <w:rPr>
          <w:rFonts w:hint="cs"/>
          <w:rtl/>
        </w:rPr>
        <w:t>أكفة النسبة المئوية للمتوسط السنوي لعدد ساعات النهار التي يتجاوز خلالها التأخر الزمني</w:t>
      </w:r>
      <w:r w:rsidRPr="00B5296E">
        <w:rPr>
          <w:rtl/>
        </w:rPr>
        <w:br/>
      </w:r>
      <w:r w:rsidRPr="00B5296E">
        <w:rPr>
          <w:rFonts w:hint="cs"/>
          <w:rtl/>
        </w:rPr>
        <w:t xml:space="preserve">في حالة ورود رأسي عند </w:t>
      </w:r>
      <w:r w:rsidRPr="00B5296E">
        <w:rPr>
          <w:lang w:bidi="ar-SA"/>
        </w:rPr>
        <w:t>GHz 1,6</w:t>
      </w:r>
      <w:r w:rsidRPr="00B5296E">
        <w:rPr>
          <w:rFonts w:hint="cs"/>
          <w:rtl/>
        </w:rPr>
        <w:t xml:space="preserve"> </w:t>
      </w:r>
      <w:r w:rsidRPr="00B5296E">
        <w:rPr>
          <w:lang w:bidi="ar-SA"/>
        </w:rPr>
        <w:t>ns 20</w:t>
      </w:r>
      <w:r w:rsidRPr="00B5296E">
        <w:rPr>
          <w:rFonts w:hint="cs"/>
          <w:rtl/>
        </w:rPr>
        <w:t xml:space="preserve"> (عدد البقع الشمسية = </w:t>
      </w:r>
      <w:r w:rsidRPr="00B5296E">
        <w:rPr>
          <w:lang w:bidi="ar-SA"/>
        </w:rPr>
        <w:t>140</w:t>
      </w:r>
      <w:r w:rsidRPr="00B5296E">
        <w:rPr>
          <w:rFonts w:hint="cs"/>
          <w:rtl/>
        </w:rPr>
        <w:t>)</w:t>
      </w:r>
    </w:p>
    <w:p w14:paraId="24E71D74" w14:textId="77777777" w:rsidR="00B5296E" w:rsidRPr="00B5296E" w:rsidRDefault="00B5296E" w:rsidP="0016729E">
      <w:pPr>
        <w:pStyle w:val="Figure"/>
      </w:pPr>
      <w:r w:rsidRPr="00B5296E">
        <w:rPr>
          <w:noProof/>
        </w:rPr>
        <w:drawing>
          <wp:inline distT="0" distB="0" distL="0" distR="0" wp14:anchorId="1618CBA8" wp14:editId="7366D8EB">
            <wp:extent cx="5824740" cy="3145542"/>
            <wp:effectExtent l="0" t="0" r="0" b="0"/>
            <wp:docPr id="45" name="Picture 45" descr="A graph showing the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showing the weather forecas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4740" cy="3145542"/>
                    </a:xfrm>
                    <a:prstGeom prst="rect">
                      <a:avLst/>
                    </a:prstGeom>
                  </pic:spPr>
                </pic:pic>
              </a:graphicData>
            </a:graphic>
          </wp:inline>
        </w:drawing>
      </w:r>
    </w:p>
    <w:p w14:paraId="5161BDC9" w14:textId="77777777" w:rsidR="00B5296E" w:rsidRPr="00B5296E" w:rsidRDefault="00B5296E" w:rsidP="00D66348">
      <w:pPr>
        <w:pStyle w:val="FigureNo"/>
        <w:rPr>
          <w:lang w:bidi="ar-SA"/>
        </w:rPr>
      </w:pPr>
      <w:r w:rsidRPr="00B5296E">
        <w:rPr>
          <w:rFonts w:hint="cs"/>
          <w:rtl/>
        </w:rPr>
        <w:t xml:space="preserve">الشـكل </w:t>
      </w:r>
      <w:r w:rsidRPr="00B5296E">
        <w:rPr>
          <w:lang w:bidi="ar-SA"/>
        </w:rPr>
        <w:t>4</w:t>
      </w:r>
    </w:p>
    <w:p w14:paraId="2DBAAF46" w14:textId="77777777" w:rsidR="00B5296E" w:rsidRPr="00B5296E" w:rsidRDefault="00B5296E" w:rsidP="00D66348">
      <w:pPr>
        <w:pStyle w:val="Figuretitle"/>
        <w:rPr>
          <w:rtl/>
        </w:rPr>
      </w:pPr>
      <w:r w:rsidRPr="00B5296E">
        <w:rPr>
          <w:rFonts w:hint="cs"/>
          <w:rtl/>
        </w:rPr>
        <w:t xml:space="preserve">الفارق في التأخر الزمني بين الترددات الدنيا والعليا لطيف نبضة يبلغ عرضها </w:t>
      </w:r>
      <w:r w:rsidRPr="00B5296E">
        <w:rPr>
          <w:rFonts w:hint="cs"/>
          <w:lang w:bidi="ar-SA"/>
        </w:rPr>
        <w:sym w:font="Symbol" w:char="F074"/>
      </w:r>
      <w:r w:rsidRPr="00B5296E">
        <w:rPr>
          <w:rtl/>
        </w:rPr>
        <w:br/>
      </w:r>
      <w:r w:rsidRPr="00B5296E">
        <w:rPr>
          <w:rFonts w:hint="cs"/>
          <w:rtl/>
        </w:rPr>
        <w:t xml:space="preserve">وتنتشر في الأيونوسفير على مسير وحيد الاتجاه مع كون </w:t>
      </w:r>
      <w:r w:rsidRPr="00B5296E">
        <w:rPr>
          <w:lang w:bidi="ar-SA"/>
        </w:rPr>
        <w:t>TEC</w:t>
      </w:r>
      <w:r w:rsidRPr="00B5296E">
        <w:rPr>
          <w:rFonts w:hint="cs"/>
          <w:rtl/>
        </w:rPr>
        <w:t xml:space="preserve"> مساوياً </w:t>
      </w:r>
      <w:r w:rsidRPr="00B5296E">
        <w:rPr>
          <w:lang w:bidi="ar-SA"/>
        </w:rPr>
        <w:t>5</w:t>
      </w:r>
      <w:r w:rsidRPr="00B5296E">
        <w:rPr>
          <w:rFonts w:hint="cs"/>
          <w:rtl/>
        </w:rPr>
        <w:t xml:space="preserve"> </w:t>
      </w:r>
      <w:r w:rsidRPr="00B5296E">
        <w:rPr>
          <w:lang w:bidi="ar-SA"/>
        </w:rPr>
        <w:t>x</w:t>
      </w:r>
      <w:r w:rsidRPr="00B5296E">
        <w:rPr>
          <w:rFonts w:hint="cs"/>
          <w:rtl/>
        </w:rPr>
        <w:t xml:space="preserve"> </w:t>
      </w:r>
      <w:r w:rsidRPr="00B5296E">
        <w:rPr>
          <w:vertAlign w:val="superscript"/>
          <w:lang w:bidi="ar-SA"/>
        </w:rPr>
        <w:t>17</w:t>
      </w:r>
      <w:r w:rsidRPr="00B5296E">
        <w:rPr>
          <w:lang w:bidi="ar-SA"/>
        </w:rPr>
        <w:t>10</w:t>
      </w:r>
      <w:r w:rsidRPr="00B5296E">
        <w:rPr>
          <w:rFonts w:hint="cs"/>
          <w:rtl/>
        </w:rPr>
        <w:t xml:space="preserve"> </w:t>
      </w:r>
      <w:r w:rsidRPr="00B5296E">
        <w:rPr>
          <w:lang w:bidi="ar-SA"/>
        </w:rPr>
        <w:t>el/m</w:t>
      </w:r>
      <w:r w:rsidRPr="00B5296E">
        <w:rPr>
          <w:vertAlign w:val="superscript"/>
          <w:lang w:bidi="ar-SA"/>
        </w:rPr>
        <w:t>2</w:t>
      </w:r>
    </w:p>
    <w:p w14:paraId="6DE2CF71" w14:textId="77777777" w:rsidR="00B5296E" w:rsidRPr="00B5296E" w:rsidRDefault="00B5296E" w:rsidP="0016729E">
      <w:pPr>
        <w:pStyle w:val="Figure"/>
        <w:rPr>
          <w:rtl/>
        </w:rPr>
      </w:pPr>
      <w:r w:rsidRPr="00B5296E">
        <w:rPr>
          <w:noProof/>
        </w:rPr>
        <w:drawing>
          <wp:inline distT="0" distB="0" distL="0" distR="0" wp14:anchorId="3581587E" wp14:editId="3E2CA228">
            <wp:extent cx="4510405" cy="384302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0405" cy="3843020"/>
                    </a:xfrm>
                    <a:prstGeom prst="rect">
                      <a:avLst/>
                    </a:prstGeom>
                    <a:noFill/>
                    <a:ln>
                      <a:noFill/>
                    </a:ln>
                  </pic:spPr>
                </pic:pic>
              </a:graphicData>
            </a:graphic>
          </wp:inline>
        </w:drawing>
      </w:r>
    </w:p>
    <w:p w14:paraId="313D190A" w14:textId="77777777" w:rsidR="00B5296E" w:rsidRPr="00B5296E" w:rsidRDefault="00B5296E" w:rsidP="00D66348">
      <w:pPr>
        <w:pStyle w:val="Heading1"/>
        <w:rPr>
          <w:rtl/>
        </w:rPr>
      </w:pPr>
      <w:bookmarkStart w:id="29" w:name="_Toc404087326"/>
      <w:bookmarkStart w:id="30" w:name="_Toc493768807"/>
      <w:r w:rsidRPr="00B5296E">
        <w:rPr>
          <w:lang w:val="en-GB"/>
        </w:rPr>
        <w:lastRenderedPageBreak/>
        <w:t>5</w:t>
      </w:r>
      <w:r w:rsidRPr="00B5296E">
        <w:rPr>
          <w:rFonts w:hint="cs"/>
          <w:rtl/>
        </w:rPr>
        <w:tab/>
        <w:t>الانحطاط الرئيسي نتيجة لحالات الشذوذ</w:t>
      </w:r>
      <w:bookmarkEnd w:id="29"/>
      <w:bookmarkEnd w:id="30"/>
    </w:p>
    <w:p w14:paraId="0FF65932" w14:textId="77777777" w:rsidR="00B5296E" w:rsidRPr="00B5296E" w:rsidRDefault="00B5296E" w:rsidP="00D66348">
      <w:pPr>
        <w:pStyle w:val="Heading2"/>
        <w:rPr>
          <w:rtl/>
          <w:lang w:bidi="ar-EG"/>
        </w:rPr>
      </w:pPr>
      <w:bookmarkStart w:id="31" w:name="_Toc404087327"/>
      <w:bookmarkStart w:id="32" w:name="_Toc493768808"/>
      <w:r w:rsidRPr="00B5296E">
        <w:t>1.5</w:t>
      </w:r>
      <w:r w:rsidRPr="00B5296E">
        <w:rPr>
          <w:rFonts w:hint="cs"/>
          <w:rtl/>
        </w:rPr>
        <w:tab/>
        <w:t>الالتماع</w:t>
      </w:r>
      <w:bookmarkEnd w:id="31"/>
      <w:bookmarkEnd w:id="32"/>
    </w:p>
    <w:p w14:paraId="78C88E5B" w14:textId="7B24E72F" w:rsidR="00B5296E" w:rsidRPr="00B5296E" w:rsidRDefault="00B5296E" w:rsidP="0016729E">
      <w:pPr>
        <w:rPr>
          <w:rtl/>
        </w:rPr>
      </w:pPr>
      <w:r w:rsidRPr="00B5296E">
        <w:rPr>
          <w:rFonts w:hint="cs"/>
          <w:rtl/>
        </w:rPr>
        <w:t>يتسبب الالتماع الأيونوسفيري في أحد أهم الاضطرابات على طول مسير الانتشار عبر الأيونوسفير في حالة الإشارات التي تقل عن</w:t>
      </w:r>
      <w:r w:rsidR="00F277DA">
        <w:rPr>
          <w:rFonts w:hint="eastAsia"/>
          <w:rtl/>
        </w:rPr>
        <w:t> </w:t>
      </w:r>
      <w:r w:rsidRPr="00B5296E">
        <w:t>GHz 3</w:t>
      </w:r>
      <w:r w:rsidRPr="00B5296E">
        <w:rPr>
          <w:rFonts w:hint="cs"/>
          <w:rtl/>
        </w:rPr>
        <w:t xml:space="preserve">. ويمكن رصد آثار الالتماع الأيونوسفيري من وقت لآخر حتى في مدى يصل إلى </w:t>
      </w:r>
      <w:r w:rsidRPr="00B5296E">
        <w:t>GHz 10</w:t>
      </w:r>
      <w:r w:rsidRPr="00B5296E">
        <w:rPr>
          <w:rFonts w:hint="cs"/>
          <w:rtl/>
          <w:lang w:bidi="ar-EG"/>
        </w:rPr>
        <w:t>. وتنتج الالتماعات عن تراوحات مؤشرات الانكسار الذي يسببه عدم تجانس الوسيط. أو في المستقبِل فتُظهر الإشارة اتساعاً سريعاً وتراوحات طور وتغيرات في</w:t>
      </w:r>
      <w:r w:rsidRPr="00B5296E">
        <w:rPr>
          <w:rFonts w:hint="eastAsia"/>
          <w:rtl/>
          <w:lang w:bidi="ar-EG"/>
        </w:rPr>
        <w:t> </w:t>
      </w:r>
      <w:r w:rsidRPr="00B5296E">
        <w:rPr>
          <w:rFonts w:hint="cs"/>
          <w:rtl/>
          <w:lang w:bidi="ar-EG"/>
        </w:rPr>
        <w:t>خصائص اتساق الوقت فيها.</w:t>
      </w:r>
      <w:r w:rsidRPr="00B5296E">
        <w:rPr>
          <w:rFonts w:hint="cs"/>
          <w:rtl/>
        </w:rPr>
        <w:t xml:space="preserve"> ويحدث عن طريق آليات الانتثار والانعراج بصفة خاصة أن تتسبب بنى صغيرة غير منتظمة في</w:t>
      </w:r>
      <w:r w:rsidRPr="00B5296E">
        <w:rPr>
          <w:rFonts w:hint="eastAsia"/>
          <w:rtl/>
        </w:rPr>
        <w:t> </w:t>
      </w:r>
      <w:r w:rsidRPr="00B5296E">
        <w:rPr>
          <w:rFonts w:hint="cs"/>
          <w:rtl/>
        </w:rPr>
        <w:t>كثافة التأين في</w:t>
      </w:r>
      <w:r w:rsidRPr="00B5296E">
        <w:rPr>
          <w:rFonts w:hint="eastAsia"/>
          <w:rtl/>
        </w:rPr>
        <w:t> </w:t>
      </w:r>
      <w:r w:rsidRPr="00B5296E">
        <w:rPr>
          <w:rFonts w:hint="cs"/>
          <w:rtl/>
        </w:rPr>
        <w:t xml:space="preserve">ظواهر التماعية تحل فيها محل الإشارة الثابتة عند المستقبل إشارة يتغير اتساعها وطورها والاتجاه الظاهر لوصولها. وتؤثر جوانب عدة من الالتماع على أداء النظام تأثيراً يختلف باختلاف تشكيله. والمعلمة الأشيع استخداماً في تمييز تقلبات الشدة هي مؤشر الالتماع </w:t>
      </w:r>
      <w:r w:rsidRPr="00B5296E">
        <w:rPr>
          <w:i/>
          <w:iCs/>
        </w:rPr>
        <w:t>S</w:t>
      </w:r>
      <w:r w:rsidRPr="00B5296E">
        <w:rPr>
          <w:vertAlign w:val="subscript"/>
        </w:rPr>
        <w:t>4</w:t>
      </w:r>
      <w:r w:rsidRPr="00B5296E">
        <w:rPr>
          <w:rFonts w:hint="cs"/>
          <w:rtl/>
        </w:rPr>
        <w:t xml:space="preserve"> الذي يحدد عن طريق المعادلة </w:t>
      </w:r>
      <w:r w:rsidRPr="00B5296E">
        <w:t>(7)</w:t>
      </w:r>
      <w:r w:rsidRPr="00B5296E">
        <w:rPr>
          <w:rFonts w:hint="cs"/>
          <w:rtl/>
        </w:rPr>
        <w:t>:</w:t>
      </w:r>
    </w:p>
    <w:p w14:paraId="410A25EE" w14:textId="1C342581" w:rsidR="00B5296E" w:rsidRPr="00B5296E" w:rsidRDefault="00B5296E" w:rsidP="009051DA">
      <w:pPr>
        <w:pStyle w:val="Equation"/>
      </w:pPr>
      <w:r w:rsidRPr="00B5296E">
        <w:tab/>
      </w:r>
      <m:oMath>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w:rPr>
                                <w:rFonts w:ascii="Cambria Math" w:hAnsi="Cambria Math"/>
                              </w:rPr>
                              <m:t>I</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I</m:t>
                            </m:r>
                          </m:e>
                        </m:d>
                      </m:e>
                      <m:sup>
                        <m:r>
                          <m:rPr>
                            <m:sty m:val="p"/>
                          </m:rPr>
                          <w:rPr>
                            <w:rFonts w:ascii="Cambria Math" w:hAnsi="Cambria Math"/>
                          </w:rPr>
                          <m:t>2</m:t>
                        </m:r>
                      </m:sup>
                    </m:sSup>
                  </m:num>
                  <m:den>
                    <m:sSup>
                      <m:sSupPr>
                        <m:ctrlPr>
                          <w:rPr>
                            <w:rFonts w:ascii="Cambria Math" w:hAnsi="Cambria Math"/>
                          </w:rPr>
                        </m:ctrlPr>
                      </m:sSupPr>
                      <m:e>
                        <m:d>
                          <m:dPr>
                            <m:begChr m:val="〈"/>
                            <m:endChr m:val="〉"/>
                            <m:ctrlPr>
                              <w:rPr>
                                <w:rFonts w:ascii="Cambria Math" w:hAnsi="Cambria Math"/>
                              </w:rPr>
                            </m:ctrlPr>
                          </m:dPr>
                          <m:e>
                            <m:r>
                              <w:rPr>
                                <w:rFonts w:ascii="Cambria Math" w:hAnsi="Cambria Math"/>
                              </w:rPr>
                              <m:t>I</m:t>
                            </m:r>
                          </m:e>
                        </m:d>
                      </m:e>
                      <m:sup>
                        <m:r>
                          <m:rPr>
                            <m:sty m:val="p"/>
                          </m:rPr>
                          <w:rPr>
                            <w:rFonts w:ascii="Cambria Math" w:hAnsi="Cambria Math"/>
                          </w:rPr>
                          <m:t>2</m:t>
                        </m:r>
                      </m:sup>
                    </m:sSup>
                  </m:den>
                </m:f>
              </m:e>
            </m:d>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sidRPr="00B5296E">
        <w:tab/>
        <w:t>(7)</w:t>
      </w:r>
    </w:p>
    <w:p w14:paraId="3D5DF274" w14:textId="4EAF0A80" w:rsidR="00B5296E" w:rsidRPr="00B5296E" w:rsidRDefault="00B5296E" w:rsidP="0016729E">
      <w:pPr>
        <w:rPr>
          <w:rtl/>
        </w:rPr>
      </w:pPr>
      <w:r w:rsidRPr="00B5296E">
        <w:rPr>
          <w:rFonts w:hint="cs"/>
          <w:rtl/>
        </w:rPr>
        <w:t xml:space="preserve">حيث </w:t>
      </w:r>
      <w:r w:rsidRPr="00B5296E">
        <w:rPr>
          <w:i/>
          <w:iCs/>
        </w:rPr>
        <w:t>I</w:t>
      </w:r>
      <w:r w:rsidRPr="00B5296E">
        <w:rPr>
          <w:rFonts w:hint="cs"/>
          <w:rtl/>
        </w:rPr>
        <w:t xml:space="preserve"> هي شدة الإشارة (التناسبية مع جذر اتساع الإشارة) بينما تشير العلامة </w:t>
      </w:r>
      <w:r w:rsidR="00D66348" w:rsidRPr="00761F65">
        <w:rPr>
          <w:rFonts w:ascii="Symbol" w:eastAsia="SimSun" w:hAnsi="Symbol"/>
          <w:lang w:eastAsia="zh-CN"/>
        </w:rPr>
        <w:t></w:t>
      </w:r>
      <w:r w:rsidR="00D66348" w:rsidRPr="00761F65">
        <w:rPr>
          <w:rFonts w:eastAsia="SimSun"/>
          <w:lang w:val="en-GB" w:eastAsia="zh-CN"/>
        </w:rPr>
        <w:t> </w:t>
      </w:r>
      <w:r w:rsidR="00D66348" w:rsidRPr="00761F65">
        <w:rPr>
          <w:rFonts w:ascii="Symbol" w:eastAsia="SimSun" w:hAnsi="Symbol"/>
          <w:lang w:eastAsia="zh-CN"/>
        </w:rPr>
        <w:t></w:t>
      </w:r>
      <w:r w:rsidRPr="00B5296E">
        <w:rPr>
          <w:rFonts w:hint="cs"/>
          <w:rtl/>
        </w:rPr>
        <w:t xml:space="preserve"> إلى المتوسط.</w:t>
      </w:r>
    </w:p>
    <w:p w14:paraId="582B218F" w14:textId="77777777" w:rsidR="00B5296E" w:rsidRPr="00B5296E" w:rsidRDefault="00B5296E" w:rsidP="0016729E">
      <w:r w:rsidRPr="00B5296E">
        <w:rPr>
          <w:rFonts w:hint="cs"/>
          <w:rtl/>
        </w:rPr>
        <w:t xml:space="preserve">ويرتبط مؤشر الالتماع </w:t>
      </w:r>
      <w:r w:rsidRPr="00B5296E">
        <w:rPr>
          <w:i/>
          <w:iCs/>
        </w:rPr>
        <w:t>S</w:t>
      </w:r>
      <w:r w:rsidRPr="00B5296E">
        <w:rPr>
          <w:vertAlign w:val="subscript"/>
        </w:rPr>
        <w:t>4</w:t>
      </w:r>
      <w:r w:rsidRPr="00B5296E">
        <w:rPr>
          <w:rFonts w:hint="cs"/>
          <w:rtl/>
        </w:rPr>
        <w:t xml:space="preserve"> بتقلبات الشدة من ذروة-إلى-ذروة. وتتوقف العلاقة الدقيقة بين مؤشر الالتماع، </w:t>
      </w:r>
      <w:r w:rsidRPr="00B5296E">
        <w:rPr>
          <w:i/>
          <w:iCs/>
        </w:rPr>
        <w:t>S</w:t>
      </w:r>
      <w:r w:rsidRPr="00B5296E">
        <w:rPr>
          <w:vertAlign w:val="subscript"/>
        </w:rPr>
        <w:t>4</w:t>
      </w:r>
      <w:r w:rsidRPr="00B5296E">
        <w:rPr>
          <w:rFonts w:hint="cs"/>
          <w:rtl/>
        </w:rPr>
        <w:t xml:space="preserve">، والتقلبات من ذروة إلى أخرى على توزيع الشدة. وعلى خوارزمية معالجة الشدة المتعلقة بعملية حساب الدليل </w:t>
      </w:r>
      <w:r w:rsidRPr="00B5296E">
        <w:rPr>
          <w:i/>
          <w:iCs/>
        </w:rPr>
        <w:t>S</w:t>
      </w:r>
      <w:r w:rsidRPr="00B5296E">
        <w:rPr>
          <w:vertAlign w:val="subscript"/>
        </w:rPr>
        <w:t>4</w:t>
      </w:r>
      <w:r w:rsidRPr="00B5296E">
        <w:rPr>
          <w:rFonts w:hint="cs"/>
          <w:rtl/>
        </w:rPr>
        <w:t xml:space="preserve">. ويوصف توزيع الشدة على أفضل وجه بواسطة توزيع </w:t>
      </w:r>
      <w:r w:rsidRPr="00B5296E">
        <w:t>Nakagami</w:t>
      </w:r>
      <w:r w:rsidRPr="00B5296E">
        <w:rPr>
          <w:rFonts w:hint="cs"/>
          <w:rtl/>
        </w:rPr>
        <w:t xml:space="preserve"> في حالة مدى واسع من قيم</w:t>
      </w:r>
      <w:r w:rsidRPr="00B5296E">
        <w:rPr>
          <w:rFonts w:hint="eastAsia"/>
          <w:rtl/>
        </w:rPr>
        <w:t> </w:t>
      </w:r>
      <w:r w:rsidRPr="00B5296E">
        <w:rPr>
          <w:i/>
          <w:iCs/>
        </w:rPr>
        <w:t>S</w:t>
      </w:r>
      <w:r w:rsidRPr="00B5296E">
        <w:rPr>
          <w:vertAlign w:val="subscript"/>
        </w:rPr>
        <w:t>4</w:t>
      </w:r>
      <w:r w:rsidRPr="00B5296E">
        <w:rPr>
          <w:rFonts w:hint="cs"/>
          <w:rtl/>
        </w:rPr>
        <w:t>.</w:t>
      </w:r>
    </w:p>
    <w:p w14:paraId="09B3477D" w14:textId="77777777" w:rsidR="00B5296E" w:rsidRPr="00B5296E" w:rsidRDefault="00B5296E" w:rsidP="0016729E">
      <w:pPr>
        <w:rPr>
          <w:rtl/>
          <w:lang w:bidi="ar-EG"/>
        </w:rPr>
      </w:pPr>
      <w:r w:rsidRPr="00B5296E">
        <w:rPr>
          <w:rFonts w:hint="cs"/>
          <w:rtl/>
        </w:rPr>
        <w:t>ويمكن تصنيف قوة اللمعان الأغراض التبسيط في</w:t>
      </w:r>
      <w:r w:rsidRPr="00B5296E">
        <w:rPr>
          <w:rFonts w:hint="eastAsia"/>
          <w:rtl/>
        </w:rPr>
        <w:t> </w:t>
      </w:r>
      <w:r w:rsidRPr="00B5296E">
        <w:rPr>
          <w:rFonts w:hint="cs"/>
          <w:rtl/>
        </w:rPr>
        <w:t xml:space="preserve">ثلاثة أنواع: منخفضة أو معتدلة أو مرتفعة. وتعادل القيم المنخفضة </w:t>
      </w:r>
      <w:r w:rsidRPr="00B5296E">
        <w:rPr>
          <w:i/>
          <w:iCs/>
        </w:rPr>
        <w:t>S</w:t>
      </w:r>
      <w:r w:rsidRPr="00B5296E">
        <w:rPr>
          <w:i/>
          <w:iCs/>
          <w:vertAlign w:val="subscript"/>
        </w:rPr>
        <w:t>4</w:t>
      </w:r>
      <w:r w:rsidRPr="00B5296E">
        <w:rPr>
          <w:rFonts w:hint="cs"/>
          <w:rtl/>
        </w:rPr>
        <w:t xml:space="preserve"> </w:t>
      </w:r>
      <w:r w:rsidRPr="00B5296E">
        <w:t>&gt;</w:t>
      </w:r>
      <w:r w:rsidRPr="00B5296E">
        <w:rPr>
          <w:rFonts w:hint="cs"/>
          <w:rtl/>
        </w:rPr>
        <w:t xml:space="preserve"> </w:t>
      </w:r>
      <w:r w:rsidRPr="00B5296E">
        <w:t>0,3</w:t>
      </w:r>
      <w:r w:rsidRPr="00B5296E">
        <w:rPr>
          <w:rFonts w:hint="cs"/>
          <w:rtl/>
          <w:lang w:bidi="ar-EG"/>
        </w:rPr>
        <w:t xml:space="preserve">، والمعتدلة من </w:t>
      </w:r>
      <w:r w:rsidRPr="00B5296E">
        <w:t>0,3</w:t>
      </w:r>
      <w:r w:rsidRPr="00B5296E">
        <w:rPr>
          <w:rFonts w:hint="cs"/>
          <w:rtl/>
          <w:lang w:bidi="ar-EG"/>
        </w:rPr>
        <w:t xml:space="preserve"> إلى </w:t>
      </w:r>
      <w:r w:rsidRPr="00B5296E">
        <w:t>0,6</w:t>
      </w:r>
      <w:r w:rsidRPr="00B5296E">
        <w:rPr>
          <w:rFonts w:hint="cs"/>
          <w:rtl/>
          <w:lang w:bidi="ar-EG"/>
        </w:rPr>
        <w:t xml:space="preserve"> والمرتفعة </w:t>
      </w:r>
      <w:r w:rsidRPr="00B5296E">
        <w:rPr>
          <w:i/>
          <w:iCs/>
        </w:rPr>
        <w:t>S</w:t>
      </w:r>
      <w:r w:rsidRPr="00B5296E">
        <w:rPr>
          <w:i/>
          <w:iCs/>
          <w:vertAlign w:val="subscript"/>
        </w:rPr>
        <w:t>4</w:t>
      </w:r>
      <w:r w:rsidRPr="00B5296E">
        <w:rPr>
          <w:rFonts w:hint="cs"/>
          <w:rtl/>
          <w:lang w:bidi="ar-EG"/>
        </w:rPr>
        <w:t> </w:t>
      </w:r>
      <w:r w:rsidRPr="00B5296E">
        <w:t>&lt;</w:t>
      </w:r>
      <w:r w:rsidRPr="00B5296E">
        <w:rPr>
          <w:rFonts w:hint="cs"/>
          <w:rtl/>
          <w:lang w:bidi="ar-EG"/>
        </w:rPr>
        <w:t> </w:t>
      </w:r>
      <w:r w:rsidRPr="00B5296E">
        <w:t>0,6</w:t>
      </w:r>
      <w:r w:rsidRPr="00B5296E">
        <w:rPr>
          <w:rFonts w:hint="cs"/>
          <w:rtl/>
          <w:lang w:bidi="ar-EG"/>
        </w:rPr>
        <w:t>.</w:t>
      </w:r>
    </w:p>
    <w:p w14:paraId="3DCA4666" w14:textId="27401278" w:rsidR="00B5296E" w:rsidRPr="00B5296E" w:rsidRDefault="00B5296E" w:rsidP="0016729E">
      <w:pPr>
        <w:rPr>
          <w:rtl/>
          <w:lang w:bidi="ar-EG"/>
        </w:rPr>
      </w:pPr>
      <w:r w:rsidRPr="00B5296E">
        <w:rPr>
          <w:rFonts w:hint="cs"/>
          <w:rtl/>
          <w:lang w:bidi="ar-EG"/>
        </w:rPr>
        <w:t xml:space="preserve">ويظهر المؤشر </w:t>
      </w:r>
      <w:r w:rsidRPr="00B5296E">
        <w:rPr>
          <w:i/>
          <w:iCs/>
        </w:rPr>
        <w:t>S</w:t>
      </w:r>
      <w:r w:rsidRPr="00B5296E">
        <w:rPr>
          <w:vertAlign w:val="subscript"/>
        </w:rPr>
        <w:t>4</w:t>
      </w:r>
      <w:r w:rsidRPr="00B5296E">
        <w:rPr>
          <w:rFonts w:hint="cs"/>
          <w:rtl/>
          <w:lang w:bidi="ar-EG"/>
        </w:rPr>
        <w:t xml:space="preserve"> في الحالتين المنخفضة والمعتدلة اعتماداً دائماً على التردد </w:t>
      </w:r>
      <w:r w:rsidR="00C12551" w:rsidRPr="00E226A0">
        <w:rPr>
          <w:rFonts w:eastAsia="SimSun"/>
          <w:i/>
        </w:rPr>
        <w:t>f</w:t>
      </w:r>
      <w:r w:rsidR="00C12551" w:rsidRPr="00E226A0">
        <w:rPr>
          <w:rFonts w:eastAsia="SimSun"/>
          <w:sz w:val="12"/>
        </w:rPr>
        <w:t> </w:t>
      </w:r>
      <w:r w:rsidR="00C12551" w:rsidRPr="00E226A0">
        <w:rPr>
          <w:rFonts w:eastAsia="SimSun"/>
          <w:vertAlign w:val="superscript"/>
        </w:rPr>
        <w:t>–</w:t>
      </w:r>
      <w:r w:rsidR="00C12551">
        <w:rPr>
          <w:rFonts w:ascii="Symbol" w:hAnsi="Symbol"/>
          <w:vertAlign w:val="superscript"/>
        </w:rPr>
        <w:t></w:t>
      </w:r>
      <w:r w:rsidRPr="00B5296E">
        <w:rPr>
          <w:rFonts w:hint="cs"/>
          <w:rtl/>
        </w:rPr>
        <w:t xml:space="preserve"> علماً بأن </w:t>
      </w:r>
      <w:r w:rsidRPr="00B5296E">
        <w:rPr>
          <w:lang w:val="fr-FR"/>
        </w:rPr>
        <w:sym w:font="Symbol" w:char="F075"/>
      </w:r>
      <w:r w:rsidRPr="00B5296E">
        <w:rPr>
          <w:rFonts w:hint="cs"/>
          <w:rtl/>
        </w:rPr>
        <w:t xml:space="preserve"> تساوي </w:t>
      </w:r>
      <w:r w:rsidRPr="00B5296E">
        <w:t>1,5</w:t>
      </w:r>
      <w:r w:rsidRPr="00B5296E">
        <w:rPr>
          <w:rFonts w:hint="cs"/>
          <w:rtl/>
          <w:lang w:bidi="ar-EG"/>
        </w:rPr>
        <w:t xml:space="preserve"> في معظم عمليات الرصد متعدد الترددات. كما أن الاتساع في حالات القيم المنخفضة يتبع توزيعاً لوغاريتمياً عادياً.</w:t>
      </w:r>
    </w:p>
    <w:p w14:paraId="13FB958B" w14:textId="77777777" w:rsidR="00B5296E" w:rsidRPr="00B5296E" w:rsidRDefault="00B5296E" w:rsidP="0016729E">
      <w:pPr>
        <w:rPr>
          <w:rtl/>
          <w:lang w:bidi="ar-EG"/>
        </w:rPr>
      </w:pPr>
      <w:r w:rsidRPr="00B5296E">
        <w:rPr>
          <w:rFonts w:hint="cs"/>
          <w:rtl/>
          <w:lang w:bidi="ar-EG"/>
        </w:rPr>
        <w:t xml:space="preserve">وفي حالة القيم المرتفعة، رصد تناقص العامل </w:t>
      </w:r>
      <w:r w:rsidRPr="00B5296E">
        <w:rPr>
          <w:lang w:val="fr-FR"/>
        </w:rPr>
        <w:sym w:font="Symbol" w:char="F075"/>
      </w:r>
      <w:r w:rsidRPr="00B5296E">
        <w:rPr>
          <w:rFonts w:hint="cs"/>
          <w:rtl/>
          <w:lang w:bidi="ar-EG"/>
        </w:rPr>
        <w:t xml:space="preserve">. وذلك بسبب تشبع اللمعان الناجم عن التأثير القوي للانتشار المتعدد. </w:t>
      </w:r>
      <w:r w:rsidRPr="00B5296E">
        <w:rPr>
          <w:rFonts w:hint="cs"/>
          <w:rtl/>
        </w:rPr>
        <w:t xml:space="preserve">وعندما تقترب </w:t>
      </w:r>
      <w:r w:rsidRPr="00B5296E">
        <w:rPr>
          <w:i/>
          <w:iCs/>
        </w:rPr>
        <w:t>S</w:t>
      </w:r>
      <w:r w:rsidRPr="00B5296E">
        <w:rPr>
          <w:vertAlign w:val="subscript"/>
        </w:rPr>
        <w:t>4</w:t>
      </w:r>
      <w:r w:rsidRPr="00B5296E">
        <w:rPr>
          <w:rFonts w:hint="cs"/>
          <w:rtl/>
        </w:rPr>
        <w:t xml:space="preserve"> من </w:t>
      </w:r>
      <w:r w:rsidRPr="00B5296E">
        <w:t>1,0</w:t>
      </w:r>
      <w:r w:rsidRPr="00B5296E">
        <w:rPr>
          <w:rFonts w:hint="cs"/>
          <w:rtl/>
        </w:rPr>
        <w:t xml:space="preserve">، فإن التوزيع يقترب من توزيع رايلي </w:t>
      </w:r>
      <w:r w:rsidRPr="00B5296E">
        <w:t>(Rayleigh)</w:t>
      </w:r>
      <w:r w:rsidRPr="00B5296E">
        <w:rPr>
          <w:rFonts w:hint="cs"/>
          <w:rtl/>
        </w:rPr>
        <w:t xml:space="preserve">. وقد يحدث من وقت إلى آخر أن تزيد </w:t>
      </w:r>
      <w:r w:rsidRPr="00B5296E">
        <w:rPr>
          <w:i/>
          <w:iCs/>
        </w:rPr>
        <w:t>S</w:t>
      </w:r>
      <w:r w:rsidRPr="00B5296E">
        <w:rPr>
          <w:vertAlign w:val="subscript"/>
        </w:rPr>
        <w:t>4</w:t>
      </w:r>
      <w:r w:rsidRPr="00B5296E">
        <w:rPr>
          <w:rFonts w:hint="cs"/>
          <w:rtl/>
        </w:rPr>
        <w:t xml:space="preserve"> عن </w:t>
      </w:r>
      <w:r w:rsidRPr="00B5296E">
        <w:t>1</w:t>
      </w:r>
      <w:r w:rsidRPr="00B5296E">
        <w:rPr>
          <w:rFonts w:hint="cs"/>
          <w:rtl/>
        </w:rPr>
        <w:t xml:space="preserve"> بحيث تصل قيمتها إلى </w:t>
      </w:r>
      <w:r w:rsidRPr="00B5296E">
        <w:t>1,5</w:t>
      </w:r>
      <w:r w:rsidRPr="00B5296E">
        <w:rPr>
          <w:rFonts w:hint="cs"/>
          <w:rtl/>
        </w:rPr>
        <w:t xml:space="preserve">. ويبين الشكل </w:t>
      </w:r>
      <w:r w:rsidRPr="00B5296E">
        <w:t>5</w:t>
      </w:r>
      <w:r w:rsidRPr="00B5296E">
        <w:rPr>
          <w:rFonts w:hint="cs"/>
          <w:rtl/>
          <w:lang w:bidi="ar-EG"/>
        </w:rPr>
        <w:t xml:space="preserve"> مثالاً لتبعية المؤشر </w:t>
      </w:r>
      <w:r w:rsidRPr="00B5296E">
        <w:rPr>
          <w:i/>
          <w:iCs/>
        </w:rPr>
        <w:t>S</w:t>
      </w:r>
      <w:r w:rsidRPr="00B5296E">
        <w:rPr>
          <w:vertAlign w:val="subscript"/>
        </w:rPr>
        <w:t>4</w:t>
      </w:r>
      <w:r w:rsidRPr="00B5296E">
        <w:rPr>
          <w:rFonts w:hint="cs"/>
          <w:rtl/>
          <w:lang w:bidi="ar-EG"/>
        </w:rPr>
        <w:t xml:space="preserve"> للتردد في الموجات </w:t>
      </w:r>
      <w:r w:rsidRPr="00B5296E">
        <w:t>VHF</w:t>
      </w:r>
      <w:r w:rsidRPr="00B5296E">
        <w:rPr>
          <w:rFonts w:hint="cs"/>
          <w:rtl/>
          <w:lang w:bidi="ar-EG"/>
        </w:rPr>
        <w:t xml:space="preserve"> و</w:t>
      </w:r>
      <w:r w:rsidRPr="00B5296E">
        <w:t>UHF</w:t>
      </w:r>
      <w:r w:rsidRPr="00B5296E">
        <w:rPr>
          <w:rFonts w:hint="cs"/>
          <w:rtl/>
          <w:lang w:bidi="ar-EG"/>
        </w:rPr>
        <w:t xml:space="preserve"> في ثلاث محطات للمنطقة الشفقية المنخفضة والمعتدلة والمرتفعة الالتماع.</w:t>
      </w:r>
    </w:p>
    <w:p w14:paraId="35A4AAD9" w14:textId="77777777" w:rsidR="00B5296E" w:rsidRPr="00B5296E" w:rsidRDefault="00B5296E" w:rsidP="0016729E">
      <w:pPr>
        <w:rPr>
          <w:rtl/>
          <w:lang w:bidi="ar-EG"/>
        </w:rPr>
      </w:pPr>
      <w:r w:rsidRPr="00B5296E">
        <w:rPr>
          <w:rFonts w:hint="cs"/>
          <w:rtl/>
        </w:rPr>
        <w:t xml:space="preserve">تتبع التماعات الطور التوزيع الغوسي بمتوسط صفر. ويستعمل الانحراف المعياري لوصف التماعات الطور </w:t>
      </w:r>
      <w:r w:rsidRPr="00B5296E">
        <w:t>(</w:t>
      </w:r>
      <w:proofErr w:type="spellStart"/>
      <w:r w:rsidRPr="00B5296E">
        <w:rPr>
          <w:lang w:val="fr-FR"/>
        </w:rPr>
        <w:t>σ</w:t>
      </w:r>
      <w:r w:rsidRPr="00B5296E">
        <w:rPr>
          <w:vertAlign w:val="subscript"/>
          <w:lang w:val="fr-FR"/>
        </w:rPr>
        <w:t>φ</w:t>
      </w:r>
      <w:proofErr w:type="spellEnd"/>
      <w:r w:rsidRPr="00B5296E">
        <w:t>)</w:t>
      </w:r>
      <w:r w:rsidRPr="00B5296E">
        <w:rPr>
          <w:rFonts w:hint="cs"/>
          <w:rtl/>
        </w:rPr>
        <w:t xml:space="preserve">. ومعظم عمليات الرصد في المناطق الاستوائية بالنسبة إلى القيم المنخفضة والقيم المعتدلة تشير إلى أن طور الالتماع وكثافته مترابطان ترابطاً وثيقاً وأن المؤشر </w:t>
      </w:r>
      <w:r w:rsidRPr="00B5296E">
        <w:rPr>
          <w:i/>
          <w:iCs/>
        </w:rPr>
        <w:t>S</w:t>
      </w:r>
      <w:r w:rsidRPr="00B5296E">
        <w:rPr>
          <w:vertAlign w:val="subscript"/>
        </w:rPr>
        <w:t>4</w:t>
      </w:r>
      <w:r w:rsidRPr="00B5296E">
        <w:rPr>
          <w:rFonts w:hint="cs"/>
          <w:rtl/>
        </w:rPr>
        <w:t xml:space="preserve"> والقيمة </w:t>
      </w:r>
      <w:proofErr w:type="spellStart"/>
      <w:r w:rsidRPr="00B5296E">
        <w:rPr>
          <w:lang w:val="fr-FR"/>
        </w:rPr>
        <w:t>σ</w:t>
      </w:r>
      <w:r w:rsidRPr="00B5296E">
        <w:rPr>
          <w:vertAlign w:val="subscript"/>
          <w:lang w:val="fr-FR"/>
        </w:rPr>
        <w:t>φ</w:t>
      </w:r>
      <w:proofErr w:type="spellEnd"/>
      <w:r w:rsidRPr="00B5296E">
        <w:rPr>
          <w:rFonts w:hint="cs"/>
          <w:rtl/>
        </w:rPr>
        <w:t xml:space="preserve"> (عند ما يعبر عنها بالراديان) لهما نفس القيمة.</w:t>
      </w:r>
    </w:p>
    <w:p w14:paraId="093B06E6" w14:textId="77777777" w:rsidR="00B5296E" w:rsidRPr="00B5296E" w:rsidRDefault="00B5296E" w:rsidP="00D66348">
      <w:pPr>
        <w:pStyle w:val="FigureNo"/>
        <w:rPr>
          <w:rtl/>
        </w:rPr>
      </w:pPr>
      <w:r w:rsidRPr="00B5296E">
        <w:rPr>
          <w:rFonts w:hint="cs"/>
          <w:rtl/>
        </w:rPr>
        <w:lastRenderedPageBreak/>
        <w:t xml:space="preserve">الشـكل </w:t>
      </w:r>
      <w:r w:rsidRPr="00B5296E">
        <w:rPr>
          <w:lang w:bidi="ar-SA"/>
        </w:rPr>
        <w:t>5</w:t>
      </w:r>
    </w:p>
    <w:p w14:paraId="388464A5" w14:textId="77777777" w:rsidR="00B5296E" w:rsidRPr="00B5296E" w:rsidRDefault="00B5296E" w:rsidP="00D66348">
      <w:pPr>
        <w:pStyle w:val="Figuretitle"/>
        <w:rPr>
          <w:rtl/>
        </w:rPr>
      </w:pPr>
      <w:r w:rsidRPr="00B5296E">
        <w:rPr>
          <w:rFonts w:hint="cs"/>
          <w:rtl/>
        </w:rPr>
        <w:t xml:space="preserve">مؤشرات التماع جرى قياسها في كيرونا </w:t>
      </w:r>
      <w:r w:rsidRPr="00B5296E">
        <w:rPr>
          <w:lang w:bidi="ar-SA"/>
        </w:rPr>
        <w:t>(a)</w:t>
      </w:r>
      <w:r w:rsidRPr="00B5296E">
        <w:rPr>
          <w:rFonts w:hint="cs"/>
          <w:rtl/>
        </w:rPr>
        <w:t xml:space="preserve"> ولوليا </w:t>
      </w:r>
      <w:r w:rsidRPr="00B5296E">
        <w:rPr>
          <w:lang w:bidi="ar-SA"/>
        </w:rPr>
        <w:t>(b)</w:t>
      </w:r>
      <w:r w:rsidRPr="00B5296E">
        <w:rPr>
          <w:rFonts w:hint="cs"/>
          <w:rtl/>
        </w:rPr>
        <w:t xml:space="preserve"> وكوككولا </w:t>
      </w:r>
      <w:r w:rsidRPr="00B5296E">
        <w:rPr>
          <w:lang w:bidi="ar-SA"/>
        </w:rPr>
        <w:t>(c)</w:t>
      </w:r>
      <w:r w:rsidRPr="00B5296E">
        <w:rPr>
          <w:rFonts w:hint="cs"/>
          <w:rtl/>
        </w:rPr>
        <w:t xml:space="preserve"> عند التردد </w:t>
      </w:r>
      <w:r w:rsidRPr="00B5296E">
        <w:rPr>
          <w:lang w:bidi="ar-SA"/>
        </w:rPr>
        <w:t>MHz 150</w:t>
      </w:r>
      <w:r w:rsidRPr="00B5296E">
        <w:rPr>
          <w:rtl/>
        </w:rPr>
        <w:br/>
      </w:r>
      <w:r w:rsidRPr="00B5296E">
        <w:rPr>
          <w:rFonts w:hint="cs"/>
          <w:rtl/>
        </w:rPr>
        <w:t>(خط النقط) و</w:t>
      </w:r>
      <w:r w:rsidRPr="00B5296E">
        <w:rPr>
          <w:lang w:bidi="ar-SA"/>
        </w:rPr>
        <w:t>MHz 400</w:t>
      </w:r>
      <w:r w:rsidRPr="00B5296E">
        <w:rPr>
          <w:rFonts w:hint="cs"/>
          <w:rtl/>
        </w:rPr>
        <w:t xml:space="preserve"> (خط الشرطات) وسجلت من سواتل المدار القطبي </w:t>
      </w:r>
      <w:r w:rsidRPr="00B5296E">
        <w:rPr>
          <w:lang w:bidi="ar-SA"/>
        </w:rPr>
        <w:t xml:space="preserve">LEO </w:t>
      </w:r>
      <w:proofErr w:type="spellStart"/>
      <w:r w:rsidRPr="00B5296E">
        <w:rPr>
          <w:lang w:bidi="ar-SA"/>
        </w:rPr>
        <w:t>Tsykada</w:t>
      </w:r>
      <w:proofErr w:type="spellEnd"/>
      <w:r w:rsidRPr="00B5296E">
        <w:rPr>
          <w:rtl/>
        </w:rPr>
        <w:br/>
      </w:r>
      <w:r w:rsidRPr="00B5296E">
        <w:rPr>
          <w:rFonts w:hint="cs"/>
          <w:rtl/>
        </w:rPr>
        <w:t xml:space="preserve">في ظروف جوية سيئة في </w:t>
      </w:r>
      <w:r w:rsidRPr="00B5296E">
        <w:rPr>
          <w:lang w:bidi="ar-SA"/>
        </w:rPr>
        <w:t>30</w:t>
      </w:r>
      <w:r w:rsidRPr="00B5296E">
        <w:rPr>
          <w:rFonts w:hint="cs"/>
          <w:rtl/>
        </w:rPr>
        <w:t xml:space="preserve"> أكتوبر </w:t>
      </w:r>
      <w:r w:rsidRPr="00B5296E">
        <w:rPr>
          <w:lang w:bidi="ar-SA"/>
        </w:rPr>
        <w:t>2003</w:t>
      </w:r>
    </w:p>
    <w:p w14:paraId="4A15E588" w14:textId="244A51CE" w:rsidR="00B5296E" w:rsidRPr="00B5296E" w:rsidRDefault="009051DA" w:rsidP="0016729E">
      <w:pPr>
        <w:pStyle w:val="Figure"/>
        <w:rPr>
          <w:rtl/>
          <w:lang w:bidi="ar-EG"/>
        </w:rPr>
      </w:pPr>
      <w:r>
        <w:rPr>
          <w:noProof/>
          <w:rtl/>
          <w:lang w:val="ar-EG" w:bidi="ar-EG"/>
        </w:rPr>
        <w:drawing>
          <wp:inline distT="0" distB="0" distL="0" distR="0" wp14:anchorId="52310934" wp14:editId="192BF1D6">
            <wp:extent cx="4297689" cy="3651511"/>
            <wp:effectExtent l="0" t="0" r="7620" b="6350"/>
            <wp:docPr id="16" name="Picture 16" descr="A line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ine graph of a number of data&#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7689" cy="3651511"/>
                    </a:xfrm>
                    <a:prstGeom prst="rect">
                      <a:avLst/>
                    </a:prstGeom>
                  </pic:spPr>
                </pic:pic>
              </a:graphicData>
            </a:graphic>
          </wp:inline>
        </w:drawing>
      </w:r>
    </w:p>
    <w:p w14:paraId="45137935" w14:textId="77777777" w:rsidR="00B5296E" w:rsidRPr="00B5296E" w:rsidRDefault="00B5296E" w:rsidP="004A5456">
      <w:pPr>
        <w:pStyle w:val="Normalaftertitle"/>
        <w:rPr>
          <w:rtl/>
        </w:rPr>
      </w:pPr>
      <w:r w:rsidRPr="00B5296E">
        <w:rPr>
          <w:rFonts w:hint="cs"/>
          <w:rtl/>
        </w:rPr>
        <w:t xml:space="preserve">ومن الناحية التجريبية، يقدم الجدول </w:t>
      </w:r>
      <w:r w:rsidRPr="00B5296E">
        <w:t>1</w:t>
      </w:r>
      <w:r w:rsidRPr="00B5296E">
        <w:rPr>
          <w:rFonts w:hint="cs"/>
          <w:rtl/>
        </w:rPr>
        <w:t xml:space="preserve"> طريقة عملية في التحويل بين قيم </w:t>
      </w:r>
      <w:r w:rsidRPr="00B5296E">
        <w:rPr>
          <w:i/>
          <w:iCs/>
        </w:rPr>
        <w:t>S</w:t>
      </w:r>
      <w:r w:rsidRPr="00B5296E">
        <w:rPr>
          <w:vertAlign w:val="subscript"/>
        </w:rPr>
        <w:t>4</w:t>
      </w:r>
      <w:r w:rsidRPr="00B5296E">
        <w:rPr>
          <w:rFonts w:hint="cs"/>
          <w:rtl/>
        </w:rPr>
        <w:t xml:space="preserve"> والتقلبات التقريبية من ذروة-إلى-ذروة </w:t>
      </w:r>
      <w:proofErr w:type="spellStart"/>
      <w:r w:rsidRPr="00B5296E">
        <w:rPr>
          <w:i/>
          <w:iCs/>
        </w:rPr>
        <w:t>P</w:t>
      </w:r>
      <w:r w:rsidRPr="00B5296E">
        <w:rPr>
          <w:i/>
          <w:iCs/>
          <w:vertAlign w:val="subscript"/>
        </w:rPr>
        <w:t>fluc</w:t>
      </w:r>
      <w:proofErr w:type="spellEnd"/>
      <w:r w:rsidRPr="00B5296E">
        <w:rPr>
          <w:rFonts w:hint="cs"/>
          <w:rtl/>
        </w:rPr>
        <w:t xml:space="preserve"> </w:t>
      </w:r>
      <w:r w:rsidRPr="00B5296E">
        <w:t>(dB)</w:t>
      </w:r>
      <w:r w:rsidRPr="00B5296E">
        <w:rPr>
          <w:rFonts w:hint="cs"/>
          <w:rtl/>
        </w:rPr>
        <w:t xml:space="preserve">، وذلك عندما لا يزيد الدليل </w:t>
      </w:r>
      <w:r w:rsidRPr="00B5296E">
        <w:rPr>
          <w:i/>
          <w:iCs/>
        </w:rPr>
        <w:t>S</w:t>
      </w:r>
      <w:r w:rsidRPr="00B5296E">
        <w:rPr>
          <w:vertAlign w:val="subscript"/>
        </w:rPr>
        <w:t>4</w:t>
      </w:r>
      <w:r w:rsidRPr="00B5296E">
        <w:rPr>
          <w:rFonts w:hint="cs"/>
          <w:rtl/>
        </w:rPr>
        <w:t xml:space="preserve"> عن </w:t>
      </w:r>
      <w:r w:rsidRPr="00B5296E">
        <w:t>1,0</w:t>
      </w:r>
      <w:r w:rsidRPr="00B5296E">
        <w:rPr>
          <w:rFonts w:hint="cs"/>
          <w:rtl/>
        </w:rPr>
        <w:t>. ومن الممكن التعبير عن هذه العلاقة على نحو تقريب‍ي كما يلي:</w:t>
      </w:r>
    </w:p>
    <w:p w14:paraId="682FD8E7" w14:textId="53ED02FD" w:rsidR="00E73B13" w:rsidRPr="003B3F51" w:rsidRDefault="00E73B13" w:rsidP="00E73B13">
      <w:pPr>
        <w:pStyle w:val="Equation"/>
      </w:pPr>
      <w:r>
        <w:tab/>
      </w:r>
      <m:oMath>
        <m:sSub>
          <m:sSubPr>
            <m:ctrlPr>
              <w:rPr>
                <w:rFonts w:ascii="Cambria Math" w:hAnsi="Cambria Math"/>
                <w:i/>
              </w:rPr>
            </m:ctrlPr>
          </m:sSubPr>
          <m:e>
            <m:r>
              <w:rPr>
                <w:rFonts w:ascii="Cambria Math" w:hAnsi="Cambria Math"/>
              </w:rPr>
              <m:t>P</m:t>
            </m:r>
          </m:e>
          <m:sub>
            <m:r>
              <w:rPr>
                <w:rFonts w:ascii="Cambria Math" w:hAnsi="Cambria Math"/>
              </w:rPr>
              <m:t>fluc</m:t>
            </m:r>
          </m:sub>
        </m:sSub>
        <m:r>
          <w:rPr>
            <w:rFonts w:ascii="Cambria Math" w:hAnsi="Cambria Math"/>
          </w:rPr>
          <m:t>=27.5∙</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4</m:t>
                </m:r>
              </m:sub>
            </m:sSub>
          </m:e>
          <m:sup>
            <m:r>
              <w:rPr>
                <w:rFonts w:ascii="Cambria Math" w:hAnsi="Cambria Math"/>
              </w:rPr>
              <m:t>1.26</m:t>
            </m:r>
          </m:sup>
        </m:sSup>
      </m:oMath>
      <w:r w:rsidRPr="003B3F51">
        <w:tab/>
        <w:t>(</w:t>
      </w:r>
      <w:r w:rsidRPr="00A51F6D">
        <w:t>8)</w:t>
      </w:r>
    </w:p>
    <w:p w14:paraId="6C959C6C" w14:textId="77777777" w:rsidR="00B5296E" w:rsidRPr="00B5296E" w:rsidRDefault="00B5296E" w:rsidP="0016729E">
      <w:pPr>
        <w:rPr>
          <w:rtl/>
          <w:lang w:bidi="ar-EG"/>
        </w:rPr>
      </w:pPr>
      <w:r w:rsidRPr="00B5296E">
        <w:rPr>
          <w:rFonts w:hint="cs"/>
          <w:rtl/>
        </w:rPr>
        <w:t xml:space="preserve">حيث </w:t>
      </w:r>
      <w:r w:rsidRPr="00B5296E">
        <w:t xml:space="preserve">1,0 ≥ </w:t>
      </w:r>
      <w:r w:rsidRPr="00B5296E">
        <w:rPr>
          <w:i/>
          <w:iCs/>
        </w:rPr>
        <w:t>S</w:t>
      </w:r>
      <w:r w:rsidRPr="00B5296E">
        <w:rPr>
          <w:vertAlign w:val="subscript"/>
        </w:rPr>
        <w:t>4</w:t>
      </w:r>
      <w:r w:rsidRPr="00B5296E">
        <w:t xml:space="preserve"> ≥ 0,0</w:t>
      </w:r>
      <w:r w:rsidRPr="00B5296E">
        <w:rPr>
          <w:rFonts w:hint="cs"/>
          <w:rtl/>
          <w:lang w:bidi="ar-EG"/>
        </w:rPr>
        <w:t>.</w:t>
      </w:r>
    </w:p>
    <w:p w14:paraId="429EC3E9" w14:textId="77777777" w:rsidR="00B5296E" w:rsidRPr="00B5296E" w:rsidRDefault="00B5296E" w:rsidP="00D66348">
      <w:pPr>
        <w:pStyle w:val="TableNo"/>
        <w:rPr>
          <w:rtl/>
        </w:rPr>
      </w:pPr>
      <w:r w:rsidRPr="00B5296E">
        <w:rPr>
          <w:rFonts w:hint="cs"/>
          <w:rtl/>
        </w:rPr>
        <w:t xml:space="preserve">الجـدول </w:t>
      </w:r>
      <w:r w:rsidRPr="00B5296E">
        <w:rPr>
          <w:lang w:bidi="ar-SA"/>
        </w:rPr>
        <w:t>1</w:t>
      </w:r>
    </w:p>
    <w:p w14:paraId="5FCE920A" w14:textId="77777777" w:rsidR="00B5296E" w:rsidRPr="00B5296E" w:rsidRDefault="00B5296E" w:rsidP="00D66348">
      <w:pPr>
        <w:pStyle w:val="Tabletitle"/>
        <w:rPr>
          <w:rtl/>
        </w:rPr>
      </w:pPr>
      <w:r w:rsidRPr="00B5296E">
        <w:rPr>
          <w:rFonts w:hint="cs"/>
          <w:rtl/>
        </w:rPr>
        <w:t>جدول التحويل التجريب‍ي لمؤشرات الالتماع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B5296E" w:rsidRPr="00B5296E" w14:paraId="7653AB78" w14:textId="77777777" w:rsidTr="00DD4D14">
        <w:trPr>
          <w:cantSplit/>
          <w:jc w:val="center"/>
        </w:trPr>
        <w:tc>
          <w:tcPr>
            <w:tcW w:w="2552" w:type="dxa"/>
            <w:vAlign w:val="center"/>
          </w:tcPr>
          <w:p w14:paraId="12C58604" w14:textId="77777777" w:rsidR="00B5296E" w:rsidRPr="00B5296E" w:rsidRDefault="00B5296E" w:rsidP="004A5456">
            <w:pPr>
              <w:pStyle w:val="Tablehead"/>
              <w:spacing w:line="220" w:lineRule="exact"/>
              <w:rPr>
                <w:lang w:val="en-GB"/>
              </w:rPr>
            </w:pPr>
            <w:r w:rsidRPr="00B5296E">
              <w:rPr>
                <w:i/>
                <w:lang w:val="en-GB"/>
              </w:rPr>
              <w:t>S</w:t>
            </w:r>
            <w:r w:rsidRPr="00B5296E">
              <w:rPr>
                <w:vertAlign w:val="subscript"/>
                <w:lang w:val="fr-FR"/>
              </w:rPr>
              <w:t>4</w:t>
            </w:r>
          </w:p>
        </w:tc>
        <w:tc>
          <w:tcPr>
            <w:tcW w:w="2552" w:type="dxa"/>
            <w:vAlign w:val="center"/>
          </w:tcPr>
          <w:p w14:paraId="3EB30F03" w14:textId="74ED4489" w:rsidR="00B5296E" w:rsidRPr="00B5296E" w:rsidRDefault="00E73B13" w:rsidP="004A5456">
            <w:pPr>
              <w:pStyle w:val="Tablehead"/>
              <w:spacing w:line="220" w:lineRule="exact"/>
              <w:rPr>
                <w:lang w:val="en-GB"/>
              </w:rPr>
            </w:pPr>
            <w:proofErr w:type="spellStart"/>
            <w:r w:rsidRPr="003B3F51">
              <w:rPr>
                <w:i/>
              </w:rPr>
              <w:t>P</w:t>
            </w:r>
            <w:r w:rsidRPr="003B3F51">
              <w:rPr>
                <w:i/>
                <w:iCs/>
                <w:vertAlign w:val="subscript"/>
              </w:rPr>
              <w:t>fluc</w:t>
            </w:r>
            <w:proofErr w:type="spellEnd"/>
            <w:r w:rsidR="00B5296E" w:rsidRPr="00B5296E">
              <w:rPr>
                <w:i/>
                <w:lang w:val="en-GB"/>
              </w:rPr>
              <w:br/>
            </w:r>
            <w:r w:rsidR="00B5296E" w:rsidRPr="00B5296E">
              <w:rPr>
                <w:lang w:val="en-GB"/>
              </w:rPr>
              <w:t>(dB)</w:t>
            </w:r>
          </w:p>
        </w:tc>
      </w:tr>
      <w:tr w:rsidR="00B5296E" w:rsidRPr="00B5296E" w14:paraId="688D43C4" w14:textId="77777777" w:rsidTr="00DD4D14">
        <w:trPr>
          <w:cantSplit/>
          <w:jc w:val="center"/>
        </w:trPr>
        <w:tc>
          <w:tcPr>
            <w:tcW w:w="2552" w:type="dxa"/>
            <w:tcBorders>
              <w:bottom w:val="nil"/>
            </w:tcBorders>
            <w:vAlign w:val="center"/>
          </w:tcPr>
          <w:p w14:paraId="02E62271" w14:textId="77777777" w:rsidR="00B5296E" w:rsidRPr="00B5296E" w:rsidRDefault="00B5296E" w:rsidP="004A5456">
            <w:pPr>
              <w:pStyle w:val="Tabletext"/>
              <w:spacing w:line="220" w:lineRule="exact"/>
              <w:jc w:val="center"/>
              <w:rPr>
                <w:lang w:val="en-GB"/>
              </w:rPr>
            </w:pPr>
            <w:r w:rsidRPr="00B5296E">
              <w:rPr>
                <w:lang w:val="en-GB"/>
              </w:rPr>
              <w:t>0,1</w:t>
            </w:r>
          </w:p>
        </w:tc>
        <w:tc>
          <w:tcPr>
            <w:tcW w:w="2552" w:type="dxa"/>
            <w:tcBorders>
              <w:bottom w:val="nil"/>
            </w:tcBorders>
            <w:vAlign w:val="center"/>
          </w:tcPr>
          <w:p w14:paraId="51C408AA" w14:textId="77777777" w:rsidR="00B5296E" w:rsidRPr="00B5296E" w:rsidRDefault="00B5296E" w:rsidP="004A5456">
            <w:pPr>
              <w:pStyle w:val="Tabletext"/>
              <w:spacing w:line="220" w:lineRule="exact"/>
              <w:jc w:val="center"/>
              <w:rPr>
                <w:lang w:val="en-GB"/>
              </w:rPr>
            </w:pPr>
            <w:r w:rsidRPr="00B5296E">
              <w:rPr>
                <w:lang w:val="en-GB"/>
              </w:rPr>
              <w:t>1,5</w:t>
            </w:r>
          </w:p>
        </w:tc>
      </w:tr>
      <w:tr w:rsidR="00B5296E" w:rsidRPr="00B5296E" w14:paraId="28891020" w14:textId="77777777" w:rsidTr="00DD4D14">
        <w:trPr>
          <w:cantSplit/>
          <w:jc w:val="center"/>
        </w:trPr>
        <w:tc>
          <w:tcPr>
            <w:tcW w:w="2552" w:type="dxa"/>
            <w:tcBorders>
              <w:top w:val="nil"/>
              <w:bottom w:val="nil"/>
            </w:tcBorders>
            <w:vAlign w:val="center"/>
          </w:tcPr>
          <w:p w14:paraId="0E6D972A" w14:textId="77777777" w:rsidR="00B5296E" w:rsidRPr="00B5296E" w:rsidRDefault="00B5296E" w:rsidP="004A5456">
            <w:pPr>
              <w:pStyle w:val="Tabletext"/>
              <w:spacing w:line="220" w:lineRule="exact"/>
              <w:jc w:val="center"/>
              <w:rPr>
                <w:lang w:val="en-GB"/>
              </w:rPr>
            </w:pPr>
            <w:r w:rsidRPr="00B5296E">
              <w:rPr>
                <w:lang w:val="en-GB"/>
              </w:rPr>
              <w:t>0,2</w:t>
            </w:r>
          </w:p>
        </w:tc>
        <w:tc>
          <w:tcPr>
            <w:tcW w:w="2552" w:type="dxa"/>
            <w:tcBorders>
              <w:top w:val="nil"/>
              <w:bottom w:val="nil"/>
            </w:tcBorders>
            <w:vAlign w:val="center"/>
          </w:tcPr>
          <w:p w14:paraId="1D4CDB62" w14:textId="77777777" w:rsidR="00B5296E" w:rsidRPr="00B5296E" w:rsidRDefault="00B5296E" w:rsidP="004A5456">
            <w:pPr>
              <w:pStyle w:val="Tabletext"/>
              <w:spacing w:line="220" w:lineRule="exact"/>
              <w:jc w:val="center"/>
              <w:rPr>
                <w:lang w:val="en-GB"/>
              </w:rPr>
            </w:pPr>
            <w:r w:rsidRPr="00B5296E">
              <w:rPr>
                <w:lang w:val="en-GB"/>
              </w:rPr>
              <w:t>3,5</w:t>
            </w:r>
          </w:p>
        </w:tc>
      </w:tr>
      <w:tr w:rsidR="00B5296E" w:rsidRPr="00B5296E" w14:paraId="3EFF374D" w14:textId="77777777" w:rsidTr="00DD4D14">
        <w:trPr>
          <w:cantSplit/>
          <w:jc w:val="center"/>
        </w:trPr>
        <w:tc>
          <w:tcPr>
            <w:tcW w:w="2552" w:type="dxa"/>
            <w:tcBorders>
              <w:top w:val="nil"/>
              <w:bottom w:val="nil"/>
            </w:tcBorders>
            <w:vAlign w:val="center"/>
          </w:tcPr>
          <w:p w14:paraId="2D3C6714" w14:textId="77777777" w:rsidR="00B5296E" w:rsidRPr="00B5296E" w:rsidRDefault="00B5296E" w:rsidP="004A5456">
            <w:pPr>
              <w:pStyle w:val="Tabletext"/>
              <w:spacing w:line="220" w:lineRule="exact"/>
              <w:jc w:val="center"/>
              <w:rPr>
                <w:lang w:val="en-GB"/>
              </w:rPr>
            </w:pPr>
            <w:r w:rsidRPr="00B5296E">
              <w:rPr>
                <w:lang w:val="en-GB"/>
              </w:rPr>
              <w:t>0,3</w:t>
            </w:r>
          </w:p>
        </w:tc>
        <w:tc>
          <w:tcPr>
            <w:tcW w:w="2552" w:type="dxa"/>
            <w:tcBorders>
              <w:top w:val="nil"/>
              <w:bottom w:val="nil"/>
            </w:tcBorders>
            <w:vAlign w:val="center"/>
          </w:tcPr>
          <w:p w14:paraId="014B40BD" w14:textId="77777777" w:rsidR="00B5296E" w:rsidRPr="00B5296E" w:rsidRDefault="00B5296E" w:rsidP="004A5456">
            <w:pPr>
              <w:pStyle w:val="Tabletext"/>
              <w:spacing w:line="220" w:lineRule="exact"/>
              <w:jc w:val="center"/>
              <w:rPr>
                <w:lang w:val="en-GB"/>
              </w:rPr>
            </w:pPr>
            <w:r w:rsidRPr="00B5296E">
              <w:rPr>
                <w:lang w:val="en-GB"/>
              </w:rPr>
              <w:t>6</w:t>
            </w:r>
          </w:p>
        </w:tc>
      </w:tr>
      <w:tr w:rsidR="00B5296E" w:rsidRPr="00B5296E" w14:paraId="677FB659" w14:textId="77777777" w:rsidTr="00DD4D14">
        <w:trPr>
          <w:cantSplit/>
          <w:jc w:val="center"/>
        </w:trPr>
        <w:tc>
          <w:tcPr>
            <w:tcW w:w="2552" w:type="dxa"/>
            <w:tcBorders>
              <w:top w:val="nil"/>
              <w:bottom w:val="nil"/>
            </w:tcBorders>
            <w:vAlign w:val="center"/>
          </w:tcPr>
          <w:p w14:paraId="5FF957FE" w14:textId="77777777" w:rsidR="00B5296E" w:rsidRPr="00B5296E" w:rsidRDefault="00B5296E" w:rsidP="004A5456">
            <w:pPr>
              <w:pStyle w:val="Tabletext"/>
              <w:spacing w:line="220" w:lineRule="exact"/>
              <w:jc w:val="center"/>
              <w:rPr>
                <w:lang w:val="en-GB"/>
              </w:rPr>
            </w:pPr>
            <w:r w:rsidRPr="00B5296E">
              <w:rPr>
                <w:lang w:val="en-GB"/>
              </w:rPr>
              <w:t>0,4</w:t>
            </w:r>
          </w:p>
        </w:tc>
        <w:tc>
          <w:tcPr>
            <w:tcW w:w="2552" w:type="dxa"/>
            <w:tcBorders>
              <w:top w:val="nil"/>
              <w:bottom w:val="nil"/>
            </w:tcBorders>
            <w:vAlign w:val="center"/>
          </w:tcPr>
          <w:p w14:paraId="7BB19A77" w14:textId="77777777" w:rsidR="00B5296E" w:rsidRPr="00B5296E" w:rsidRDefault="00B5296E" w:rsidP="004A5456">
            <w:pPr>
              <w:pStyle w:val="Tabletext"/>
              <w:spacing w:line="220" w:lineRule="exact"/>
              <w:jc w:val="center"/>
              <w:rPr>
                <w:lang w:val="en-GB"/>
              </w:rPr>
            </w:pPr>
            <w:r w:rsidRPr="00B5296E">
              <w:rPr>
                <w:lang w:val="en-GB"/>
              </w:rPr>
              <w:t>8,5</w:t>
            </w:r>
          </w:p>
        </w:tc>
      </w:tr>
      <w:tr w:rsidR="00B5296E" w:rsidRPr="00B5296E" w14:paraId="4246D46E" w14:textId="77777777" w:rsidTr="00DD4D14">
        <w:trPr>
          <w:cantSplit/>
          <w:jc w:val="center"/>
        </w:trPr>
        <w:tc>
          <w:tcPr>
            <w:tcW w:w="2552" w:type="dxa"/>
            <w:tcBorders>
              <w:top w:val="nil"/>
              <w:bottom w:val="nil"/>
            </w:tcBorders>
            <w:vAlign w:val="center"/>
          </w:tcPr>
          <w:p w14:paraId="29835C8F" w14:textId="77777777" w:rsidR="00B5296E" w:rsidRPr="00B5296E" w:rsidRDefault="00B5296E" w:rsidP="004A5456">
            <w:pPr>
              <w:pStyle w:val="Tabletext"/>
              <w:spacing w:line="220" w:lineRule="exact"/>
              <w:jc w:val="center"/>
              <w:rPr>
                <w:lang w:val="en-GB"/>
              </w:rPr>
            </w:pPr>
            <w:r w:rsidRPr="00B5296E">
              <w:rPr>
                <w:lang w:val="en-GB"/>
              </w:rPr>
              <w:t>0,5</w:t>
            </w:r>
          </w:p>
        </w:tc>
        <w:tc>
          <w:tcPr>
            <w:tcW w:w="2552" w:type="dxa"/>
            <w:tcBorders>
              <w:top w:val="nil"/>
              <w:bottom w:val="nil"/>
            </w:tcBorders>
            <w:vAlign w:val="center"/>
          </w:tcPr>
          <w:p w14:paraId="2F82A6D4" w14:textId="77777777" w:rsidR="00B5296E" w:rsidRPr="00B5296E" w:rsidRDefault="00B5296E" w:rsidP="004A5456">
            <w:pPr>
              <w:pStyle w:val="Tabletext"/>
              <w:spacing w:line="220" w:lineRule="exact"/>
              <w:jc w:val="center"/>
              <w:rPr>
                <w:lang w:val="en-GB"/>
              </w:rPr>
            </w:pPr>
            <w:r w:rsidRPr="00B5296E">
              <w:rPr>
                <w:lang w:val="en-GB"/>
              </w:rPr>
              <w:t>11</w:t>
            </w:r>
          </w:p>
        </w:tc>
      </w:tr>
      <w:tr w:rsidR="00B5296E" w:rsidRPr="00B5296E" w14:paraId="53EDD1C6" w14:textId="77777777" w:rsidTr="00DD4D14">
        <w:trPr>
          <w:cantSplit/>
          <w:jc w:val="center"/>
        </w:trPr>
        <w:tc>
          <w:tcPr>
            <w:tcW w:w="2552" w:type="dxa"/>
            <w:tcBorders>
              <w:top w:val="nil"/>
              <w:bottom w:val="nil"/>
            </w:tcBorders>
            <w:vAlign w:val="center"/>
          </w:tcPr>
          <w:p w14:paraId="32504964" w14:textId="77777777" w:rsidR="00B5296E" w:rsidRPr="00B5296E" w:rsidRDefault="00B5296E" w:rsidP="004A5456">
            <w:pPr>
              <w:pStyle w:val="Tabletext"/>
              <w:spacing w:line="220" w:lineRule="exact"/>
              <w:jc w:val="center"/>
              <w:rPr>
                <w:lang w:val="en-GB"/>
              </w:rPr>
            </w:pPr>
            <w:r w:rsidRPr="00B5296E">
              <w:rPr>
                <w:lang w:val="en-GB"/>
              </w:rPr>
              <w:t>0,6</w:t>
            </w:r>
          </w:p>
        </w:tc>
        <w:tc>
          <w:tcPr>
            <w:tcW w:w="2552" w:type="dxa"/>
            <w:tcBorders>
              <w:top w:val="nil"/>
              <w:bottom w:val="nil"/>
            </w:tcBorders>
            <w:vAlign w:val="center"/>
          </w:tcPr>
          <w:p w14:paraId="4D1C5B77" w14:textId="77777777" w:rsidR="00B5296E" w:rsidRPr="00B5296E" w:rsidRDefault="00B5296E" w:rsidP="004A5456">
            <w:pPr>
              <w:pStyle w:val="Tabletext"/>
              <w:spacing w:line="220" w:lineRule="exact"/>
              <w:jc w:val="center"/>
              <w:rPr>
                <w:lang w:val="en-GB"/>
              </w:rPr>
            </w:pPr>
            <w:r w:rsidRPr="00B5296E">
              <w:rPr>
                <w:lang w:val="en-GB"/>
              </w:rPr>
              <w:t>14</w:t>
            </w:r>
          </w:p>
        </w:tc>
      </w:tr>
      <w:tr w:rsidR="00B5296E" w:rsidRPr="00B5296E" w14:paraId="1A8C6748" w14:textId="77777777" w:rsidTr="00DD4D14">
        <w:trPr>
          <w:cantSplit/>
          <w:jc w:val="center"/>
        </w:trPr>
        <w:tc>
          <w:tcPr>
            <w:tcW w:w="2552" w:type="dxa"/>
            <w:tcBorders>
              <w:top w:val="nil"/>
              <w:bottom w:val="nil"/>
            </w:tcBorders>
            <w:vAlign w:val="center"/>
          </w:tcPr>
          <w:p w14:paraId="65958832" w14:textId="77777777" w:rsidR="00B5296E" w:rsidRPr="00B5296E" w:rsidRDefault="00B5296E" w:rsidP="004A5456">
            <w:pPr>
              <w:pStyle w:val="Tabletext"/>
              <w:spacing w:line="220" w:lineRule="exact"/>
              <w:jc w:val="center"/>
              <w:rPr>
                <w:lang w:val="en-GB"/>
              </w:rPr>
            </w:pPr>
            <w:r w:rsidRPr="00B5296E">
              <w:rPr>
                <w:lang w:val="en-GB"/>
              </w:rPr>
              <w:t>0,7</w:t>
            </w:r>
          </w:p>
        </w:tc>
        <w:tc>
          <w:tcPr>
            <w:tcW w:w="2552" w:type="dxa"/>
            <w:tcBorders>
              <w:top w:val="nil"/>
              <w:bottom w:val="nil"/>
            </w:tcBorders>
            <w:vAlign w:val="center"/>
          </w:tcPr>
          <w:p w14:paraId="3496DC41" w14:textId="77777777" w:rsidR="00B5296E" w:rsidRPr="00B5296E" w:rsidRDefault="00B5296E" w:rsidP="004A5456">
            <w:pPr>
              <w:pStyle w:val="Tabletext"/>
              <w:spacing w:line="220" w:lineRule="exact"/>
              <w:jc w:val="center"/>
              <w:rPr>
                <w:lang w:val="en-GB"/>
              </w:rPr>
            </w:pPr>
            <w:r w:rsidRPr="00B5296E">
              <w:rPr>
                <w:lang w:val="en-GB"/>
              </w:rPr>
              <w:t>17</w:t>
            </w:r>
          </w:p>
        </w:tc>
      </w:tr>
      <w:tr w:rsidR="00B5296E" w:rsidRPr="00B5296E" w14:paraId="1224A0A1" w14:textId="77777777" w:rsidTr="00DD4D14">
        <w:trPr>
          <w:cantSplit/>
          <w:jc w:val="center"/>
        </w:trPr>
        <w:tc>
          <w:tcPr>
            <w:tcW w:w="2552" w:type="dxa"/>
            <w:tcBorders>
              <w:top w:val="nil"/>
              <w:bottom w:val="nil"/>
            </w:tcBorders>
            <w:vAlign w:val="center"/>
          </w:tcPr>
          <w:p w14:paraId="1762FB71" w14:textId="77777777" w:rsidR="00B5296E" w:rsidRPr="00B5296E" w:rsidRDefault="00B5296E" w:rsidP="004A5456">
            <w:pPr>
              <w:pStyle w:val="Tabletext"/>
              <w:spacing w:line="220" w:lineRule="exact"/>
              <w:jc w:val="center"/>
              <w:rPr>
                <w:lang w:val="en-GB"/>
              </w:rPr>
            </w:pPr>
            <w:r w:rsidRPr="00B5296E">
              <w:rPr>
                <w:lang w:val="en-GB"/>
              </w:rPr>
              <w:t>0,8</w:t>
            </w:r>
          </w:p>
        </w:tc>
        <w:tc>
          <w:tcPr>
            <w:tcW w:w="2552" w:type="dxa"/>
            <w:tcBorders>
              <w:top w:val="nil"/>
              <w:bottom w:val="nil"/>
            </w:tcBorders>
            <w:vAlign w:val="center"/>
          </w:tcPr>
          <w:p w14:paraId="4B54E010" w14:textId="77777777" w:rsidR="00B5296E" w:rsidRPr="00B5296E" w:rsidRDefault="00B5296E" w:rsidP="004A5456">
            <w:pPr>
              <w:pStyle w:val="Tabletext"/>
              <w:spacing w:line="220" w:lineRule="exact"/>
              <w:jc w:val="center"/>
              <w:rPr>
                <w:lang w:val="en-GB"/>
              </w:rPr>
            </w:pPr>
            <w:r w:rsidRPr="00B5296E">
              <w:rPr>
                <w:lang w:val="en-GB"/>
              </w:rPr>
              <w:t>20</w:t>
            </w:r>
          </w:p>
        </w:tc>
      </w:tr>
      <w:tr w:rsidR="00B5296E" w:rsidRPr="00B5296E" w14:paraId="6323E47F" w14:textId="77777777" w:rsidTr="00DD4D14">
        <w:trPr>
          <w:cantSplit/>
          <w:jc w:val="center"/>
        </w:trPr>
        <w:tc>
          <w:tcPr>
            <w:tcW w:w="2552" w:type="dxa"/>
            <w:tcBorders>
              <w:top w:val="nil"/>
              <w:bottom w:val="nil"/>
            </w:tcBorders>
            <w:vAlign w:val="center"/>
          </w:tcPr>
          <w:p w14:paraId="2232F9A9" w14:textId="77777777" w:rsidR="00B5296E" w:rsidRPr="00B5296E" w:rsidRDefault="00B5296E" w:rsidP="004A5456">
            <w:pPr>
              <w:pStyle w:val="Tabletext"/>
              <w:spacing w:line="220" w:lineRule="exact"/>
              <w:jc w:val="center"/>
              <w:rPr>
                <w:lang w:val="en-GB"/>
              </w:rPr>
            </w:pPr>
            <w:r w:rsidRPr="00B5296E">
              <w:rPr>
                <w:lang w:val="en-GB"/>
              </w:rPr>
              <w:t>0,9</w:t>
            </w:r>
          </w:p>
        </w:tc>
        <w:tc>
          <w:tcPr>
            <w:tcW w:w="2552" w:type="dxa"/>
            <w:tcBorders>
              <w:top w:val="nil"/>
              <w:bottom w:val="nil"/>
            </w:tcBorders>
            <w:vAlign w:val="center"/>
          </w:tcPr>
          <w:p w14:paraId="18A09294" w14:textId="77777777" w:rsidR="00B5296E" w:rsidRPr="00B5296E" w:rsidRDefault="00B5296E" w:rsidP="004A5456">
            <w:pPr>
              <w:pStyle w:val="Tabletext"/>
              <w:spacing w:line="220" w:lineRule="exact"/>
              <w:jc w:val="center"/>
              <w:rPr>
                <w:lang w:val="en-GB"/>
              </w:rPr>
            </w:pPr>
            <w:r w:rsidRPr="00B5296E">
              <w:rPr>
                <w:lang w:val="en-GB"/>
              </w:rPr>
              <w:t>24</w:t>
            </w:r>
          </w:p>
        </w:tc>
      </w:tr>
      <w:tr w:rsidR="00B5296E" w:rsidRPr="00B5296E" w14:paraId="78EF11A2" w14:textId="77777777" w:rsidTr="00DD4D14">
        <w:trPr>
          <w:cantSplit/>
          <w:jc w:val="center"/>
        </w:trPr>
        <w:tc>
          <w:tcPr>
            <w:tcW w:w="2552" w:type="dxa"/>
            <w:tcBorders>
              <w:top w:val="nil"/>
            </w:tcBorders>
            <w:vAlign w:val="center"/>
          </w:tcPr>
          <w:p w14:paraId="7301C6D5" w14:textId="77777777" w:rsidR="00B5296E" w:rsidRPr="00B5296E" w:rsidRDefault="00B5296E" w:rsidP="004A5456">
            <w:pPr>
              <w:pStyle w:val="Tabletext"/>
              <w:spacing w:line="220" w:lineRule="exact"/>
              <w:jc w:val="center"/>
              <w:rPr>
                <w:lang w:val="en-GB"/>
              </w:rPr>
            </w:pPr>
            <w:r w:rsidRPr="00B5296E">
              <w:rPr>
                <w:lang w:val="en-GB"/>
              </w:rPr>
              <w:t>1,0</w:t>
            </w:r>
          </w:p>
        </w:tc>
        <w:tc>
          <w:tcPr>
            <w:tcW w:w="2552" w:type="dxa"/>
            <w:tcBorders>
              <w:top w:val="nil"/>
            </w:tcBorders>
            <w:vAlign w:val="center"/>
          </w:tcPr>
          <w:p w14:paraId="2635CC65" w14:textId="77777777" w:rsidR="00B5296E" w:rsidRPr="00B5296E" w:rsidRDefault="00B5296E" w:rsidP="004A5456">
            <w:pPr>
              <w:pStyle w:val="Tabletext"/>
              <w:spacing w:line="220" w:lineRule="exact"/>
              <w:jc w:val="center"/>
              <w:rPr>
                <w:lang w:val="en-GB"/>
              </w:rPr>
            </w:pPr>
            <w:r w:rsidRPr="00B5296E">
              <w:rPr>
                <w:lang w:val="en-GB"/>
              </w:rPr>
              <w:t>27,5</w:t>
            </w:r>
          </w:p>
        </w:tc>
      </w:tr>
    </w:tbl>
    <w:p w14:paraId="068476FB" w14:textId="77777777" w:rsidR="00B5296E" w:rsidRPr="00B5296E" w:rsidRDefault="00B5296E" w:rsidP="0016729E">
      <w:pPr>
        <w:rPr>
          <w:rtl/>
          <w:lang w:bidi="ar-EG"/>
        </w:rPr>
      </w:pPr>
      <w:r w:rsidRPr="00B5296E">
        <w:rPr>
          <w:rFonts w:hint="cs"/>
          <w:rtl/>
        </w:rPr>
        <w:lastRenderedPageBreak/>
        <w:t xml:space="preserve">ويمكن لأي دراسات لاحقة تغيير صلاحية المعادلة </w:t>
      </w:r>
      <w:r w:rsidRPr="00B5296E">
        <w:t>(8)</w:t>
      </w:r>
      <w:r w:rsidRPr="00B5296E">
        <w:rPr>
          <w:rFonts w:hint="cs"/>
          <w:rtl/>
          <w:lang w:bidi="ar-EG"/>
        </w:rPr>
        <w:t xml:space="preserve"> ومداها.</w:t>
      </w:r>
    </w:p>
    <w:p w14:paraId="22D529DE" w14:textId="77777777" w:rsidR="00B5296E" w:rsidRPr="00B5296E" w:rsidRDefault="00B5296E" w:rsidP="00DD0463">
      <w:pPr>
        <w:pStyle w:val="Heading2"/>
        <w:rPr>
          <w:rtl/>
        </w:rPr>
      </w:pPr>
      <w:bookmarkStart w:id="33" w:name="_Toc493768809"/>
      <w:r w:rsidRPr="00B5296E">
        <w:t>2.5</w:t>
      </w:r>
      <w:r w:rsidRPr="00B5296E">
        <w:rPr>
          <w:rFonts w:hint="cs"/>
          <w:rtl/>
        </w:rPr>
        <w:tab/>
        <w:t>اعتماد الالتماعات على الجغرافيا والاعتدال والتوقيت المحلي والشمس</w:t>
      </w:r>
      <w:bookmarkEnd w:id="33"/>
    </w:p>
    <w:p w14:paraId="66B3E357" w14:textId="77777777" w:rsidR="00B5296E" w:rsidRPr="00B5296E" w:rsidRDefault="00B5296E" w:rsidP="00DD0463">
      <w:pPr>
        <w:pStyle w:val="Heading3"/>
        <w:rPr>
          <w:rtl/>
        </w:rPr>
      </w:pPr>
      <w:r w:rsidRPr="00B5296E">
        <w:rPr>
          <w:lang w:val="en-GB"/>
        </w:rPr>
        <w:t>1.2.5</w:t>
      </w:r>
      <w:r w:rsidRPr="00B5296E">
        <w:rPr>
          <w:lang w:val="en-GB"/>
        </w:rPr>
        <w:tab/>
      </w:r>
      <w:r w:rsidRPr="00B5296E">
        <w:rPr>
          <w:rFonts w:hint="cs"/>
          <w:rtl/>
        </w:rPr>
        <w:t>اعتماد الالتماع على الجغرافيا</w:t>
      </w:r>
    </w:p>
    <w:p w14:paraId="1E257B91" w14:textId="77777777" w:rsidR="00B5296E" w:rsidRPr="00B5296E" w:rsidRDefault="00B5296E" w:rsidP="0016729E">
      <w:pPr>
        <w:rPr>
          <w:rtl/>
        </w:rPr>
      </w:pPr>
      <w:r w:rsidRPr="00B5296E">
        <w:rPr>
          <w:rFonts w:hint="cs"/>
          <w:rtl/>
        </w:rPr>
        <w:t xml:space="preserve">هناك، من الناحية الجغرافية، منطقتان للالتماع الشديد: الأولى عند خطوط العرض العالية والأخرى متمركزة عند </w:t>
      </w:r>
      <w:r w:rsidRPr="00B5296E">
        <w:sym w:font="Symbol" w:char="F0B0"/>
      </w:r>
      <w:r w:rsidRPr="00B5296E">
        <w:t>20</w:t>
      </w:r>
      <w:r w:rsidRPr="00B5296E">
        <w:sym w:font="Symbol" w:char="F0B1"/>
      </w:r>
      <w:r w:rsidRPr="00B5296E">
        <w:rPr>
          <w:rFonts w:hint="cs"/>
          <w:rtl/>
        </w:rPr>
        <w:t xml:space="preserve"> من خط الاستواء المغنطيسي كما يتضح من الشكل </w:t>
      </w:r>
      <w:r w:rsidRPr="00B5296E">
        <w:t>6</w:t>
      </w:r>
      <w:r w:rsidRPr="00B5296E">
        <w:rPr>
          <w:rFonts w:hint="cs"/>
          <w:rtl/>
        </w:rPr>
        <w:t>. ولقد تم رصد التماع حاد يصل إلى ترددات بالميغاهرتز في هذين القطاعين في</w:t>
      </w:r>
      <w:r w:rsidRPr="00B5296E">
        <w:rPr>
          <w:rFonts w:hint="eastAsia"/>
          <w:rtl/>
        </w:rPr>
        <w:t> </w:t>
      </w:r>
      <w:r w:rsidRPr="00B5296E">
        <w:rPr>
          <w:rFonts w:hint="cs"/>
          <w:rtl/>
        </w:rPr>
        <w:t xml:space="preserve">حين أن الالتماع في خطوط العرض الوسطى يؤثر أساساً على إشارات الموجات المترية. وفي كل القطاعات الاستوائية، يوجد نشاط أقصى واضح في ساعات الليل كما هو مبين أيضاً في الشكلين </w:t>
      </w:r>
      <w:r w:rsidRPr="00B5296E">
        <w:t>6</w:t>
      </w:r>
      <w:r w:rsidRPr="00B5296E">
        <w:rPr>
          <w:rFonts w:hint="cs"/>
          <w:rtl/>
          <w:lang w:bidi="ar-EG"/>
        </w:rPr>
        <w:t xml:space="preserve"> و</w:t>
      </w:r>
      <w:r w:rsidRPr="00B5296E">
        <w:t>7</w:t>
      </w:r>
      <w:r w:rsidRPr="00B5296E">
        <w:rPr>
          <w:rFonts w:hint="cs"/>
          <w:rtl/>
        </w:rPr>
        <w:t xml:space="preserve">. </w:t>
      </w:r>
    </w:p>
    <w:p w14:paraId="1F021FED" w14:textId="77777777" w:rsidR="00B5296E" w:rsidRPr="00B5296E" w:rsidRDefault="00B5296E" w:rsidP="00DD0463">
      <w:pPr>
        <w:pStyle w:val="Heading3"/>
        <w:rPr>
          <w:rtl/>
        </w:rPr>
      </w:pPr>
      <w:r w:rsidRPr="00B5296E">
        <w:rPr>
          <w:lang w:val="en-GB"/>
        </w:rPr>
        <w:t>2.2.5</w:t>
      </w:r>
      <w:r w:rsidRPr="00B5296E">
        <w:rPr>
          <w:rtl/>
        </w:rPr>
        <w:tab/>
      </w:r>
      <w:r w:rsidRPr="00B5296E">
        <w:rPr>
          <w:rFonts w:hint="cs"/>
          <w:rtl/>
        </w:rPr>
        <w:t>اعتماد الالتماعات على الاعتدال والتوقيت المحلي والشمس</w:t>
      </w:r>
    </w:p>
    <w:p w14:paraId="2F8F8E0E" w14:textId="77777777" w:rsidR="00B5296E" w:rsidRPr="00B5296E" w:rsidRDefault="00B5296E" w:rsidP="0016729E">
      <w:pPr>
        <w:rPr>
          <w:rtl/>
        </w:rPr>
      </w:pPr>
      <w:r w:rsidRPr="00B5296E">
        <w:rPr>
          <w:rFonts w:hint="cs"/>
          <w:rtl/>
        </w:rPr>
        <w:t>في حالة الالتماع المداري بالجيغاهرتز، رصد نشاط أقصى على مقربة من الاعتدال الربيعي ونشاط مرتفع عند الاعتدال الخريفي.</w:t>
      </w:r>
    </w:p>
    <w:p w14:paraId="31498973" w14:textId="77777777" w:rsidR="00B5296E" w:rsidRPr="00B5296E" w:rsidRDefault="00B5296E" w:rsidP="0016729E">
      <w:pPr>
        <w:rPr>
          <w:rtl/>
        </w:rPr>
      </w:pPr>
      <w:r w:rsidRPr="00B5296E">
        <w:rPr>
          <w:rFonts w:hint="cs"/>
          <w:rtl/>
        </w:rPr>
        <w:t xml:space="preserve">وتقع حادثة الالتماع النمطية بعد الغروب الأيونوسفيري وقد تستغرق الحادثة ثلاثين دقيقة أو عدة ساعات. وفي حالة المحطات الاستوائية خلال سنوات النشاط الشمسي الأقصى، يظهر الالتماع الأيونوسفيري كل مساء تقريباً بعد غروب الشمس، وعندئذ تتجاوز التقلبات من الذروة إلى الذروة في مستوى الإشارة البالغ </w:t>
      </w:r>
      <w:r w:rsidRPr="00B5296E">
        <w:t>GHz 4</w:t>
      </w:r>
      <w:r w:rsidRPr="00B5296E">
        <w:rPr>
          <w:rFonts w:hint="cs"/>
          <w:rtl/>
        </w:rPr>
        <w:t xml:space="preserve">، </w:t>
      </w:r>
      <w:r w:rsidRPr="00B5296E">
        <w:t>dB 10</w:t>
      </w:r>
      <w:r w:rsidRPr="00B5296E">
        <w:rPr>
          <w:rFonts w:hint="cs"/>
          <w:rtl/>
        </w:rPr>
        <w:t>.</w:t>
      </w:r>
    </w:p>
    <w:p w14:paraId="6D2ADCDD" w14:textId="77777777" w:rsidR="00B5296E" w:rsidRPr="00B5296E" w:rsidRDefault="00B5296E" w:rsidP="00DD0463">
      <w:pPr>
        <w:pStyle w:val="Heading2"/>
        <w:rPr>
          <w:rtl/>
        </w:rPr>
      </w:pPr>
      <w:bookmarkStart w:id="34" w:name="_Toc404087329"/>
      <w:bookmarkStart w:id="35" w:name="_Toc493768810"/>
      <w:r w:rsidRPr="00B5296E">
        <w:t>3.5</w:t>
      </w:r>
      <w:r w:rsidRPr="00B5296E">
        <w:rPr>
          <w:rFonts w:hint="cs"/>
          <w:rtl/>
        </w:rPr>
        <w:tab/>
        <w:t>نموذج الالتماع الأيونوسفيري</w:t>
      </w:r>
      <w:bookmarkEnd w:id="34"/>
      <w:bookmarkEnd w:id="35"/>
    </w:p>
    <w:p w14:paraId="2067ED31" w14:textId="4CF59E4D" w:rsidR="00B5296E" w:rsidRPr="00B5296E" w:rsidRDefault="00B5296E" w:rsidP="0016729E">
      <w:pPr>
        <w:rPr>
          <w:rtl/>
        </w:rPr>
      </w:pPr>
      <w:r w:rsidRPr="00B5296E">
        <w:rPr>
          <w:rFonts w:hint="cs"/>
          <w:rtl/>
        </w:rPr>
        <w:t>يحسن من أجل التنبؤ بشدة الالتماع الأيونوسفيري على المسيرات من الأرض إلى الفضاء استخدام نموذج الالتماع الأيونوسفيري العالمي</w:t>
      </w:r>
      <w:r w:rsidR="00F277DA">
        <w:rPr>
          <w:rFonts w:hint="eastAsia"/>
          <w:rtl/>
        </w:rPr>
        <w:t> </w:t>
      </w:r>
      <w:r w:rsidRPr="00B5296E">
        <w:t>(GISM)</w:t>
      </w:r>
      <w:r w:rsidRPr="00B5296E">
        <w:rPr>
          <w:rFonts w:hint="cs"/>
          <w:rtl/>
        </w:rPr>
        <w:t xml:space="preserve">. ويتيح هذا النموذج التنبؤ بقيمة المؤشر </w:t>
      </w:r>
      <w:r w:rsidRPr="00B5296E">
        <w:rPr>
          <w:i/>
          <w:iCs/>
        </w:rPr>
        <w:t>S</w:t>
      </w:r>
      <w:r w:rsidRPr="00B5296E">
        <w:rPr>
          <w:vertAlign w:val="subscript"/>
        </w:rPr>
        <w:t>4</w:t>
      </w:r>
      <w:r w:rsidRPr="00B5296E">
        <w:rPr>
          <w:rFonts w:hint="cs"/>
          <w:rtl/>
        </w:rPr>
        <w:t xml:space="preserve"> وعمق خبو الاتساع وقيم جذر متوسط التربيع لزحزحة الطور والانحرافات الزاوية بسبب الالتماع حسب مواقع الساتل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14:paraId="4E0341A6" w14:textId="485E514E" w:rsidR="00B5296E" w:rsidRPr="00B5296E" w:rsidRDefault="00B5296E" w:rsidP="00FC3D02">
      <w:pPr>
        <w:pStyle w:val="enumlev1"/>
        <w:rPr>
          <w:rtl/>
        </w:rPr>
      </w:pPr>
      <w:r w:rsidRPr="00B5296E">
        <w:t>–</w:t>
      </w:r>
      <w:r w:rsidRPr="00B5296E">
        <w:rPr>
          <w:rFonts w:hint="cs"/>
          <w:rtl/>
        </w:rPr>
        <w:tab/>
        <w:t xml:space="preserve">منحنى طيف الشدة، </w:t>
      </w:r>
      <w:r w:rsidRPr="00B5296E">
        <w:rPr>
          <w:i/>
          <w:iCs/>
        </w:rPr>
        <w:t>p</w:t>
      </w:r>
      <w:r w:rsidRPr="00B5296E">
        <w:rPr>
          <w:rFonts w:hint="cs"/>
          <w:rtl/>
        </w:rPr>
        <w:t xml:space="preserve"> </w:t>
      </w:r>
      <w:r w:rsidR="00F277DA" w:rsidRPr="00F277DA">
        <w:t>=</w:t>
      </w:r>
      <w:r w:rsidRPr="00B5296E">
        <w:rPr>
          <w:rFonts w:hint="cs"/>
          <w:rtl/>
        </w:rPr>
        <w:t xml:space="preserve"> </w:t>
      </w:r>
      <w:r w:rsidRPr="00B5296E">
        <w:t>3</w:t>
      </w:r>
    </w:p>
    <w:p w14:paraId="6DFA56C4" w14:textId="77777777" w:rsidR="00B5296E" w:rsidRPr="00B5296E" w:rsidRDefault="00B5296E" w:rsidP="00FC3D02">
      <w:pPr>
        <w:pStyle w:val="enumlev1"/>
        <w:rPr>
          <w:rtl/>
        </w:rPr>
      </w:pPr>
      <w:r w:rsidRPr="00B5296E">
        <w:t>–</w:t>
      </w:r>
      <w:r w:rsidRPr="00B5296E">
        <w:rPr>
          <w:rFonts w:hint="cs"/>
          <w:rtl/>
        </w:rPr>
        <w:tab/>
        <w:t xml:space="preserve">متوسط حجم حالات الشذوذ </w:t>
      </w:r>
      <w:r w:rsidRPr="00B5296E">
        <w:t xml:space="preserve">km 500 = </w:t>
      </w:r>
      <w:r w:rsidRPr="00B5296E">
        <w:rPr>
          <w:i/>
          <w:iCs/>
        </w:rPr>
        <w:t>L</w:t>
      </w:r>
      <w:r w:rsidRPr="00B5296E">
        <w:rPr>
          <w:vertAlign w:val="subscript"/>
        </w:rPr>
        <w:t>0</w:t>
      </w:r>
    </w:p>
    <w:p w14:paraId="37DF98C3" w14:textId="4CF76062" w:rsidR="00B5296E" w:rsidRPr="00B5296E" w:rsidRDefault="00B5296E" w:rsidP="00FC3D02">
      <w:pPr>
        <w:pStyle w:val="enumlev1"/>
        <w:rPr>
          <w:rtl/>
        </w:rPr>
      </w:pPr>
      <w:r w:rsidRPr="00B5296E">
        <w:t>–</w:t>
      </w:r>
      <w:r w:rsidRPr="00B5296E">
        <w:rPr>
          <w:rFonts w:hint="cs"/>
          <w:rtl/>
        </w:rPr>
        <w:tab/>
        <w:t xml:space="preserve">الانحراف النمطي لتقلبات الكثافة الإلكترونية </w:t>
      </w:r>
      <w:r w:rsidRPr="00B5296E">
        <w:t xml:space="preserve">0,2 </w:t>
      </w:r>
      <w:r w:rsidR="00F277DA" w:rsidRPr="00F277DA">
        <w:t>=</w:t>
      </w:r>
      <w:r w:rsidRPr="00B5296E">
        <w:t xml:space="preserve"> </w:t>
      </w:r>
      <w:r w:rsidRPr="00B5296E">
        <w:sym w:font="Symbol" w:char="F073"/>
      </w:r>
      <w:r w:rsidRPr="00B5296E">
        <w:rPr>
          <w:i/>
          <w:iCs/>
          <w:vertAlign w:val="subscript"/>
        </w:rPr>
        <w:t>Ne</w:t>
      </w:r>
      <w:r w:rsidRPr="00B5296E">
        <w:rPr>
          <w:rFonts w:hint="cs"/>
          <w:i/>
          <w:iCs/>
          <w:rtl/>
        </w:rPr>
        <w:t>.</w:t>
      </w:r>
    </w:p>
    <w:p w14:paraId="17F4388D" w14:textId="51F23C39" w:rsidR="00B5296E" w:rsidRPr="00B5296E" w:rsidRDefault="00B5296E" w:rsidP="00E73B13">
      <w:pPr>
        <w:rPr>
          <w:rtl/>
          <w:lang w:bidi="ar-EG"/>
        </w:rPr>
      </w:pPr>
      <w:r w:rsidRPr="00B5296E">
        <w:rPr>
          <w:rFonts w:hint="cs"/>
          <w:rtl/>
        </w:rPr>
        <w:t xml:space="preserve">ويراعى انحناء الأشعة، وتحسب خصائص الأيونوسفير البعيد في برنامج فرعي يستخدم النموذج الأيونوسفيري </w:t>
      </w:r>
      <w:proofErr w:type="spellStart"/>
      <w:r w:rsidRPr="00B5296E">
        <w:t>NeQuick</w:t>
      </w:r>
      <w:proofErr w:type="spellEnd"/>
      <w:r w:rsidRPr="00B5296E">
        <w:rPr>
          <w:rFonts w:hint="cs"/>
          <w:rtl/>
        </w:rPr>
        <w:t xml:space="preserve">. وتعد شفرة المصدر الخاصة بالنموذج </w:t>
      </w:r>
      <w:r w:rsidRPr="00B5296E">
        <w:t>GISM</w:t>
      </w:r>
      <w:r w:rsidRPr="00B5296E">
        <w:rPr>
          <w:rFonts w:hint="cs"/>
          <w:rtl/>
        </w:rPr>
        <w:t xml:space="preserve"> وبرنامجه من النواتج الرقمية المكملة لهذه التوصية وهي متاحة في الملف </w:t>
      </w:r>
      <w:r w:rsidR="00E73B13" w:rsidRPr="00E73B13">
        <w:rPr>
          <w:lang w:val="en-GB"/>
        </w:rPr>
        <w:t>Rec P.531-14 Part 2 Supplement ZIP.zip</w:t>
      </w:r>
      <w:r w:rsidR="00E73B13">
        <w:rPr>
          <w:rFonts w:hint="cs"/>
          <w:rtl/>
          <w:lang w:val="en-GB" w:bidi="ar-EG"/>
        </w:rPr>
        <w:t xml:space="preserve"> من ملف الإضافة </w:t>
      </w:r>
      <w:r>
        <w:fldChar w:fldCharType="begin"/>
      </w:r>
      <w:r>
        <w:instrText>HYPERLINK "https://www.itu.int/rec/R-REC-P.531-16-202509-I/en"</w:instrText>
      </w:r>
      <w:r>
        <w:fldChar w:fldCharType="separate"/>
      </w:r>
      <w:r w:rsidRPr="00B5296E">
        <w:rPr>
          <w:rStyle w:val="Hyperlink"/>
          <w:lang w:val="en-GB"/>
        </w:rPr>
        <w:t>R</w:t>
      </w:r>
      <w:r w:rsidRPr="00B5296E">
        <w:rPr>
          <w:rStyle w:val="Hyperlink"/>
          <w:lang w:val="en-GB"/>
        </w:rPr>
        <w:noBreakHyphen/>
        <w:t>REC</w:t>
      </w:r>
      <w:r w:rsidRPr="00B5296E">
        <w:rPr>
          <w:rStyle w:val="Hyperlink"/>
          <w:lang w:val="en-GB"/>
        </w:rPr>
        <w:noBreakHyphen/>
        <w:t>P.531</w:t>
      </w:r>
      <w:r w:rsidR="00673270">
        <w:rPr>
          <w:rStyle w:val="Hyperlink"/>
          <w:lang w:val="en-GB"/>
        </w:rPr>
        <w:noBreakHyphen/>
      </w:r>
      <w:r w:rsidRPr="00B5296E">
        <w:rPr>
          <w:rStyle w:val="Hyperlink"/>
          <w:lang w:val="en-GB"/>
        </w:rPr>
        <w:t>16</w:t>
      </w:r>
      <w:r w:rsidR="00673270">
        <w:rPr>
          <w:rStyle w:val="Hyperlink"/>
          <w:lang w:val="en-GB"/>
        </w:rPr>
        <w:noBreakHyphen/>
      </w:r>
      <w:r w:rsidRPr="00B5296E">
        <w:rPr>
          <w:rStyle w:val="Hyperlink"/>
          <w:lang w:val="en-GB"/>
        </w:rPr>
        <w:t>202509-I!!ZIP-E.zip</w:t>
      </w:r>
      <w:r>
        <w:fldChar w:fldCharType="end"/>
      </w:r>
      <w:r w:rsidRPr="00B5296E">
        <w:rPr>
          <w:rFonts w:hint="cs"/>
          <w:rtl/>
          <w:lang w:bidi="ar-EG"/>
        </w:rPr>
        <w:t>.</w:t>
      </w:r>
    </w:p>
    <w:p w14:paraId="0F2A262F" w14:textId="77777777" w:rsidR="00B5296E" w:rsidRPr="00B5296E" w:rsidRDefault="00B5296E" w:rsidP="00DD0463">
      <w:pPr>
        <w:pStyle w:val="Heading2"/>
        <w:rPr>
          <w:rtl/>
        </w:rPr>
      </w:pPr>
      <w:bookmarkStart w:id="36" w:name="_Toc404087330"/>
      <w:bookmarkStart w:id="37" w:name="_Toc493768811"/>
      <w:r w:rsidRPr="00B5296E">
        <w:t>4.5</w:t>
      </w:r>
      <w:r w:rsidRPr="00B5296E">
        <w:rPr>
          <w:rFonts w:hint="cs"/>
          <w:rtl/>
        </w:rPr>
        <w:tab/>
        <w:t>الإحصائيات الآنية وسلوك الطيف</w:t>
      </w:r>
      <w:bookmarkEnd w:id="36"/>
      <w:bookmarkEnd w:id="37"/>
    </w:p>
    <w:p w14:paraId="5F078BF3" w14:textId="77777777" w:rsidR="00B5296E" w:rsidRPr="00B5296E" w:rsidRDefault="00B5296E" w:rsidP="00DD0463">
      <w:pPr>
        <w:pStyle w:val="Heading3"/>
        <w:rPr>
          <w:rtl/>
          <w:lang w:bidi="ar-EG"/>
        </w:rPr>
      </w:pPr>
      <w:bookmarkStart w:id="38" w:name="_Toc404087331"/>
      <w:bookmarkStart w:id="39" w:name="_Toc493768812"/>
      <w:r w:rsidRPr="00B5296E">
        <w:rPr>
          <w:lang w:val="en-GB"/>
        </w:rPr>
        <w:t>1.4.5</w:t>
      </w:r>
      <w:r w:rsidRPr="00B5296E">
        <w:rPr>
          <w:rFonts w:hint="cs"/>
          <w:rtl/>
        </w:rPr>
        <w:tab/>
        <w:t>الإحصائيات الآنية</w:t>
      </w:r>
      <w:bookmarkEnd w:id="38"/>
      <w:bookmarkEnd w:id="39"/>
    </w:p>
    <w:p w14:paraId="3F90CFEE" w14:textId="77777777" w:rsidR="00B5296E" w:rsidRPr="00B5296E" w:rsidRDefault="00B5296E" w:rsidP="0016729E">
      <w:r w:rsidRPr="00B5296E">
        <w:rPr>
          <w:rFonts w:hint="cs"/>
          <w:rtl/>
        </w:rPr>
        <w:t xml:space="preserve">من المعتقد أن دالة كثافة </w:t>
      </w:r>
      <w:r w:rsidRPr="00B5296E">
        <w:t>Nakagami</w:t>
      </w:r>
      <w:r w:rsidRPr="00B5296E">
        <w:rPr>
          <w:rFonts w:hint="cs"/>
          <w:rtl/>
        </w:rPr>
        <w:t xml:space="preserve"> تصف بطريقة مرضية المعلمات الإحصائية للتغير الآني للاتساع أثناء حدوث ظاهرة الالتماع الأيونوسفيري. وتعرض دالة الكثافة لشدة الإشارة كما يلي:</w:t>
      </w:r>
    </w:p>
    <w:p w14:paraId="2737FF98" w14:textId="7FA8A5CD" w:rsidR="00E73B13" w:rsidRPr="003B3F51" w:rsidRDefault="00E73B13" w:rsidP="00E73B13">
      <w:pPr>
        <w:pStyle w:val="Equation"/>
      </w:pPr>
      <w:r>
        <w:tab/>
      </w:r>
      <m:oMath>
        <m:r>
          <w:rPr>
            <w:rFonts w:ascii="Cambria Math" w:hAnsi="Cambria Math"/>
          </w:rPr>
          <m:t>p</m:t>
        </m:r>
        <m:d>
          <m:dPr>
            <m:ctrlPr>
              <w:rPr>
                <w:rFonts w:ascii="Cambria Math" w:hAnsi="Cambria Math"/>
                <w:i/>
              </w:rPr>
            </m:ctrlPr>
          </m:dPr>
          <m:e>
            <m:r>
              <w:rPr>
                <w:rFonts w:ascii="Cambria Math" w:hAnsi="Cambria Math"/>
              </w:rPr>
              <m:t>I</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m</m:t>
                </m:r>
              </m:sup>
            </m:sSup>
          </m:num>
          <m:den>
            <m:r>
              <m:rPr>
                <m:sty m:val="p"/>
              </m:rPr>
              <w:rPr>
                <w:rFonts w:ascii="Cambria Math" w:hAnsi="Cambria Math"/>
              </w:rPr>
              <m:t>Γ</m:t>
            </m:r>
            <m:d>
              <m:dPr>
                <m:ctrlPr>
                  <w:rPr>
                    <w:rFonts w:ascii="Cambria Math" w:hAnsi="Cambria Math"/>
                    <w:i/>
                  </w:rPr>
                </m:ctrlPr>
              </m:dPr>
              <m:e>
                <m:r>
                  <w:rPr>
                    <w:rFonts w:ascii="Cambria Math" w:hAnsi="Cambria Math"/>
                  </w:rPr>
                  <m:t>m</m:t>
                </m:r>
              </m:e>
            </m:d>
          </m:den>
        </m:f>
        <m:sSup>
          <m:sSupPr>
            <m:ctrlPr>
              <w:rPr>
                <w:rFonts w:ascii="Cambria Math" w:hAnsi="Cambria Math"/>
                <w:i/>
              </w:rPr>
            </m:ctrlPr>
          </m:sSupPr>
          <m:e>
            <m:r>
              <w:rPr>
                <w:rFonts w:ascii="Cambria Math" w:hAnsi="Cambria Math"/>
              </w:rPr>
              <m:t>I</m:t>
            </m:r>
          </m:e>
          <m:sup>
            <m:r>
              <w:rPr>
                <w:rFonts w:ascii="Cambria Math" w:hAnsi="Cambria Math"/>
              </w:rPr>
              <m:t>m-1</m:t>
            </m:r>
          </m:sup>
        </m:sSup>
        <m:r>
          <m:rPr>
            <m:sty m:val="p"/>
          </m:rPr>
          <w:rPr>
            <w:rFonts w:ascii="Cambria Math" w:hAnsi="Cambria Math"/>
          </w:rPr>
          <m:t xml:space="preserve"> exp</m:t>
        </m:r>
        <m:d>
          <m:dPr>
            <m:ctrlPr>
              <w:rPr>
                <w:rFonts w:ascii="Cambria Math" w:hAnsi="Cambria Math"/>
                <w:i/>
              </w:rPr>
            </m:ctrlPr>
          </m:dPr>
          <m:e>
            <m:r>
              <w:rPr>
                <w:rFonts w:ascii="Cambria Math" w:hAnsi="Cambria Math"/>
              </w:rPr>
              <m:t>-mI</m:t>
            </m:r>
          </m:e>
        </m:d>
      </m:oMath>
      <w:r w:rsidRPr="003B3F51">
        <w:tab/>
        <w:t>(</w:t>
      </w:r>
      <w:r>
        <w:t>9</w:t>
      </w:r>
      <w:r w:rsidRPr="003B3F51">
        <w:t>)</w:t>
      </w:r>
    </w:p>
    <w:p w14:paraId="70F5A0BB" w14:textId="77777777" w:rsidR="00B5296E" w:rsidRPr="00B5296E" w:rsidRDefault="00B5296E" w:rsidP="00DD0463">
      <w:pPr>
        <w:pStyle w:val="FigureNo"/>
        <w:rPr>
          <w:rtl/>
        </w:rPr>
      </w:pPr>
      <w:r w:rsidRPr="00B5296E">
        <w:rPr>
          <w:rFonts w:hint="cs"/>
          <w:rtl/>
        </w:rPr>
        <w:lastRenderedPageBreak/>
        <w:t xml:space="preserve">الشـكل </w:t>
      </w:r>
      <w:r w:rsidRPr="00B5296E">
        <w:rPr>
          <w:lang w:bidi="ar-SA"/>
        </w:rPr>
        <w:t>6</w:t>
      </w:r>
    </w:p>
    <w:p w14:paraId="1A240DDD" w14:textId="572B2FA7" w:rsidR="00B5296E" w:rsidRPr="00B5296E" w:rsidRDefault="00B5296E" w:rsidP="00DD0463">
      <w:pPr>
        <w:pStyle w:val="Figuretitle"/>
        <w:rPr>
          <w:rtl/>
        </w:rPr>
      </w:pPr>
      <w:r w:rsidRPr="00B5296E">
        <w:rPr>
          <w:rFonts w:hint="cs"/>
          <w:rtl/>
        </w:rPr>
        <w:t xml:space="preserve">عمق الخبو الناتج عن الالتماع (المتناسب مع كثافة التنقيط) في النطاق </w:t>
      </w:r>
      <w:r w:rsidRPr="00B5296E">
        <w:rPr>
          <w:lang w:bidi="ar-SA"/>
        </w:rPr>
        <w:t>GHz 1</w:t>
      </w:r>
      <w:r w:rsidR="00E73B13">
        <w:rPr>
          <w:lang w:val="en-US" w:bidi="ar-SA"/>
        </w:rPr>
        <w:t>,</w:t>
      </w:r>
      <w:r w:rsidRPr="00B5296E">
        <w:rPr>
          <w:lang w:bidi="ar-SA"/>
        </w:rPr>
        <w:t>5</w:t>
      </w:r>
      <w:r w:rsidRPr="00B5296E">
        <w:rPr>
          <w:rtl/>
        </w:rPr>
        <w:br/>
      </w:r>
      <w:r w:rsidRPr="00B5296E">
        <w:rPr>
          <w:rFonts w:hint="cs"/>
          <w:rtl/>
        </w:rPr>
        <w:t>خلال سنوات النشاط الشمسي الأقصى والأدنى</w:t>
      </w:r>
    </w:p>
    <w:p w14:paraId="7434885C" w14:textId="77777777" w:rsidR="00B5296E" w:rsidRPr="00B5296E" w:rsidRDefault="00B5296E" w:rsidP="0016729E">
      <w:pPr>
        <w:pStyle w:val="Figure"/>
        <w:rPr>
          <w:rtl/>
        </w:rPr>
      </w:pPr>
      <w:r w:rsidRPr="00B5296E">
        <w:rPr>
          <w:noProof/>
          <w:rtl/>
        </w:rPr>
        <w:drawing>
          <wp:inline distT="0" distB="0" distL="0" distR="0" wp14:anchorId="5F51666C" wp14:editId="50D317E6">
            <wp:extent cx="5087122" cy="2459741"/>
            <wp:effectExtent l="0" t="0" r="0" b="0"/>
            <wp:docPr id="47" name="Picture 47" descr="A diagram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iagram of the eart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87122" cy="2459741"/>
                    </a:xfrm>
                    <a:prstGeom prst="rect">
                      <a:avLst/>
                    </a:prstGeom>
                  </pic:spPr>
                </pic:pic>
              </a:graphicData>
            </a:graphic>
          </wp:inline>
        </w:drawing>
      </w:r>
    </w:p>
    <w:p w14:paraId="1E6030A7" w14:textId="77777777" w:rsidR="00B5296E" w:rsidRPr="00B5296E" w:rsidRDefault="00B5296E" w:rsidP="00DD0463">
      <w:pPr>
        <w:pStyle w:val="FigureNo"/>
        <w:rPr>
          <w:rtl/>
        </w:rPr>
      </w:pPr>
      <w:r w:rsidRPr="00B5296E">
        <w:rPr>
          <w:rFonts w:hint="cs"/>
          <w:rtl/>
        </w:rPr>
        <w:t xml:space="preserve">الشـكل </w:t>
      </w:r>
      <w:r w:rsidRPr="00B5296E">
        <w:rPr>
          <w:lang w:bidi="ar-SA"/>
        </w:rPr>
        <w:t>7</w:t>
      </w:r>
    </w:p>
    <w:p w14:paraId="6B373AA0" w14:textId="77777777" w:rsidR="00B5296E" w:rsidRPr="00B5296E" w:rsidRDefault="00B5296E" w:rsidP="00DD0463">
      <w:pPr>
        <w:pStyle w:val="Figuretitle"/>
        <w:rPr>
          <w:rtl/>
        </w:rPr>
      </w:pPr>
      <w:r w:rsidRPr="00B5296E">
        <w:rPr>
          <w:rFonts w:hint="cs"/>
          <w:rtl/>
        </w:rPr>
        <w:t xml:space="preserve">توزيع أحداث الالتماع على مدى سنة في كايين من </w:t>
      </w:r>
      <w:r w:rsidRPr="00B5296E">
        <w:rPr>
          <w:lang w:bidi="ar-SA"/>
        </w:rPr>
        <w:t>6</w:t>
      </w:r>
      <w:r w:rsidRPr="00B5296E">
        <w:rPr>
          <w:rFonts w:hint="cs"/>
          <w:rtl/>
        </w:rPr>
        <w:t xml:space="preserve"> يونيو إلى </w:t>
      </w:r>
      <w:r w:rsidRPr="00B5296E">
        <w:rPr>
          <w:lang w:bidi="ar-SA"/>
        </w:rPr>
        <w:t>7</w:t>
      </w:r>
      <w:r w:rsidRPr="00B5296E">
        <w:rPr>
          <w:rFonts w:hint="cs"/>
          <w:rtl/>
        </w:rPr>
        <w:t xml:space="preserve"> يوليو؛ مستوى المؤشر </w:t>
      </w:r>
      <w:r w:rsidRPr="00B5296E">
        <w:rPr>
          <w:lang w:bidi="ar-SA"/>
        </w:rPr>
        <w:t>S4</w:t>
      </w:r>
      <w:r w:rsidRPr="00B5296E">
        <w:rPr>
          <w:rtl/>
        </w:rPr>
        <w:br/>
      </w:r>
      <w:r w:rsidRPr="00B5296E">
        <w:rPr>
          <w:rFonts w:hint="cs"/>
          <w:rtl/>
        </w:rPr>
        <w:t xml:space="preserve">منخفض (في الأعلى) ومعتدل (في الوسط) ومرتفع (في الأسفل) وفي زوايا ارتفاع </w:t>
      </w:r>
      <w:r w:rsidRPr="00B5296E">
        <w:rPr>
          <w:lang w:bidi="ar-SA"/>
        </w:rPr>
        <w:t>&lt;</w:t>
      </w:r>
      <w:r w:rsidRPr="00B5296E">
        <w:rPr>
          <w:rFonts w:hint="cs"/>
          <w:rtl/>
        </w:rPr>
        <w:t xml:space="preserve"> </w:t>
      </w:r>
      <w:r w:rsidRPr="00B5296E">
        <w:rPr>
          <w:vertAlign w:val="superscript"/>
          <w:lang w:bidi="ar-SA"/>
        </w:rPr>
        <w:t>°</w:t>
      </w:r>
      <w:r w:rsidRPr="00B5296E">
        <w:rPr>
          <w:lang w:bidi="ar-SA"/>
        </w:rPr>
        <w:t>20</w:t>
      </w:r>
    </w:p>
    <w:p w14:paraId="40D102A9" w14:textId="77777777" w:rsidR="00B5296E" w:rsidRPr="00B5296E" w:rsidRDefault="00B5296E" w:rsidP="00DD0463">
      <w:pPr>
        <w:pStyle w:val="Figure"/>
        <w:rPr>
          <w:rtl/>
          <w:lang w:bidi="ar-EG"/>
        </w:rPr>
      </w:pPr>
      <w:r w:rsidRPr="00B5296E">
        <w:rPr>
          <w:noProof/>
          <w:rtl/>
          <w:lang w:bidi="ar-EG"/>
        </w:rPr>
        <w:drawing>
          <wp:inline distT="0" distB="0" distL="0" distR="0" wp14:anchorId="4D48A427" wp14:editId="2DA022E1">
            <wp:extent cx="5952756" cy="2398781"/>
            <wp:effectExtent l="0" t="0" r="0" b="1905"/>
            <wp:docPr id="19" name="Picture 1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2756" cy="2398781"/>
                    </a:xfrm>
                    <a:prstGeom prst="rect">
                      <a:avLst/>
                    </a:prstGeom>
                  </pic:spPr>
                </pic:pic>
              </a:graphicData>
            </a:graphic>
          </wp:inline>
        </w:drawing>
      </w:r>
    </w:p>
    <w:p w14:paraId="2D5FF506" w14:textId="77777777" w:rsidR="00B5296E" w:rsidRPr="00B5296E" w:rsidRDefault="00B5296E" w:rsidP="00D91702">
      <w:pPr>
        <w:pStyle w:val="Normalaftertitle"/>
        <w:rPr>
          <w:rtl/>
        </w:rPr>
      </w:pPr>
      <w:r w:rsidRPr="00B5296E">
        <w:rPr>
          <w:rFonts w:hint="cs"/>
          <w:rtl/>
        </w:rPr>
        <w:t xml:space="preserve">حيث تكون علاقة "المعامل </w:t>
      </w:r>
      <w:r w:rsidRPr="00B5296E">
        <w:rPr>
          <w:i/>
          <w:iCs/>
        </w:rPr>
        <w:t>m</w:t>
      </w:r>
      <w:r w:rsidRPr="00B5296E">
        <w:rPr>
          <w:rFonts w:hint="cs"/>
          <w:rtl/>
        </w:rPr>
        <w:t xml:space="preserve">" </w:t>
      </w:r>
      <w:r w:rsidRPr="00B5296E">
        <w:t>Nakagami</w:t>
      </w:r>
      <w:r w:rsidRPr="00B5296E">
        <w:rPr>
          <w:rFonts w:hint="cs"/>
          <w:rtl/>
        </w:rPr>
        <w:t xml:space="preserve"> بمؤشر الالتماع </w:t>
      </w:r>
      <w:r w:rsidRPr="00B5296E">
        <w:rPr>
          <w:i/>
          <w:iCs/>
        </w:rPr>
        <w:t>S</w:t>
      </w:r>
      <w:r w:rsidRPr="00B5296E">
        <w:rPr>
          <w:vertAlign w:val="subscript"/>
        </w:rPr>
        <w:t>4</w:t>
      </w:r>
      <w:r w:rsidRPr="00B5296E">
        <w:rPr>
          <w:rFonts w:hint="cs"/>
          <w:rtl/>
        </w:rPr>
        <w:t xml:space="preserve"> كما يلي:</w:t>
      </w:r>
    </w:p>
    <w:p w14:paraId="5282EED0" w14:textId="3C6AC618" w:rsidR="00E73B13" w:rsidRPr="003B3F51" w:rsidRDefault="00E73B13" w:rsidP="00E73B13">
      <w:pPr>
        <w:pStyle w:val="Equation"/>
      </w:pPr>
      <w:r w:rsidRPr="003B3F51">
        <w:tab/>
      </w:r>
      <m:oMath>
        <m:r>
          <w:rPr>
            <w:rFonts w:ascii="Cambria Math" w:hAnsi="Cambria Math"/>
          </w:rPr>
          <m:t>m</m:t>
        </m:r>
        <m:r>
          <m:rPr>
            <m:sty m:val="p"/>
          </m:rPr>
          <w:rPr>
            <w:rFonts w:ascii="Cambria Math" w:hAnsi="Cambria Math"/>
          </w:rPr>
          <m:t>=exp⁡(5.69*exp</m:t>
        </m:r>
        <m:d>
          <m:dPr>
            <m:ctrlPr>
              <w:rPr>
                <w:rFonts w:ascii="Cambria Math" w:hAnsi="Cambria Math"/>
              </w:rPr>
            </m:ctrlPr>
          </m:dPr>
          <m:e>
            <m:r>
              <m:rPr>
                <m:sty m:val="p"/>
              </m:rPr>
              <w:rPr>
                <w:rFonts w:ascii="Cambria Math" w:hAnsi="Cambria Math"/>
              </w:rPr>
              <m:t>-3.055×</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+0.292*exp</m:t>
        </m:r>
        <m:d>
          <m:dPr>
            <m:ctrlPr>
              <w:rPr>
                <w:rFonts w:ascii="Cambria Math" w:hAnsi="Cambria Math"/>
              </w:rPr>
            </m:ctrlPr>
          </m:dPr>
          <m:e>
            <m:r>
              <m:rPr>
                <m:sty m:val="p"/>
              </m:rPr>
              <w:rPr>
                <w:rFonts w:ascii="Cambria Math" w:hAnsi="Cambria Math"/>
              </w:rPr>
              <m:t>0.344×</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m:t>
        </m:r>
      </m:oMath>
      <w:r w:rsidRPr="003B3F51">
        <w:tab/>
        <w:t>(</w:t>
      </w:r>
      <w:r>
        <w:t>10</w:t>
      </w:r>
      <w:r w:rsidRPr="003B3F51">
        <w:t>)</w:t>
      </w:r>
    </w:p>
    <w:p w14:paraId="383882DE" w14:textId="0B10D364" w:rsidR="00B5296E" w:rsidRPr="00B5296E" w:rsidRDefault="00B5296E" w:rsidP="0016729E">
      <w:pPr>
        <w:rPr>
          <w:rtl/>
          <w:lang w:bidi="ar-EG"/>
        </w:rPr>
      </w:pPr>
      <w:r w:rsidRPr="00B5296E">
        <w:rPr>
          <w:rFonts w:hint="cs"/>
          <w:rtl/>
          <w:lang w:bidi="ar-EG"/>
        </w:rPr>
        <w:t xml:space="preserve">حيث </w:t>
      </w:r>
      <m:oMath>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4</m:t>
            </m:r>
          </m:sub>
        </m:sSub>
        <m:r>
          <m:rPr>
            <m:sty m:val="p"/>
          </m:rPr>
          <w:rPr>
            <w:rFonts w:ascii="Cambria Math" w:hAnsi="Cambria Math"/>
            <w:lang w:val="en-GB"/>
          </w:rPr>
          <m:t>≤1.0</m:t>
        </m:r>
      </m:oMath>
      <w:r w:rsidRPr="00B5296E">
        <w:rPr>
          <w:rFonts w:hint="cs"/>
          <w:rtl/>
          <w:lang w:bidi="ar-EG"/>
        </w:rPr>
        <w:t>.</w:t>
      </w:r>
    </w:p>
    <w:p w14:paraId="6B014514" w14:textId="77777777" w:rsidR="00B5296E" w:rsidRPr="00B5296E" w:rsidRDefault="00B5296E" w:rsidP="0016729E">
      <w:pPr>
        <w:rPr>
          <w:rtl/>
          <w:lang w:bidi="ar-EG"/>
        </w:rPr>
      </w:pPr>
      <w:r w:rsidRPr="00B5296E">
        <w:rPr>
          <w:rFonts w:hint="cs"/>
          <w:rtl/>
        </w:rPr>
        <w:t xml:space="preserve">وعند صياغة المعادلة </w:t>
      </w:r>
      <w:r w:rsidRPr="00B5296E">
        <w:t>(9)</w:t>
      </w:r>
      <w:r w:rsidRPr="00B5296E">
        <w:rPr>
          <w:rFonts w:hint="cs"/>
          <w:rtl/>
        </w:rPr>
        <w:t xml:space="preserve"> تتم معايرة متوسط مستوى شدة </w:t>
      </w:r>
      <w:r w:rsidRPr="00B5296E">
        <w:rPr>
          <w:i/>
          <w:iCs/>
        </w:rPr>
        <w:t>I</w:t>
      </w:r>
      <w:r w:rsidRPr="00B5296E">
        <w:rPr>
          <w:rFonts w:hint="cs"/>
          <w:rtl/>
        </w:rPr>
        <w:t xml:space="preserve"> بحيث يبلغ </w:t>
      </w:r>
      <w:r w:rsidRPr="00B5296E">
        <w:t>1,0</w:t>
      </w:r>
      <w:r w:rsidRPr="00B5296E">
        <w:rPr>
          <w:rFonts w:hint="cs"/>
          <w:rtl/>
        </w:rPr>
        <w:t xml:space="preserve">. ويسهل إلى حد كبير حساب الكسر الزمني الذي تكون الإشارة خلاله أعلى أو أدنى من عتبة ما لأن دالة التوزيع التي تقابل كثافة </w:t>
      </w:r>
      <w:r w:rsidRPr="00B5296E">
        <w:t>Nakagami</w:t>
      </w:r>
      <w:r w:rsidRPr="00B5296E">
        <w:rPr>
          <w:rFonts w:hint="cs"/>
          <w:rtl/>
        </w:rPr>
        <w:t xml:space="preserve"> يعبر عنها بصيغة محدودة كما</w:t>
      </w:r>
      <w:r w:rsidRPr="00B5296E">
        <w:rPr>
          <w:rFonts w:hint="eastAsia"/>
          <w:rtl/>
        </w:rPr>
        <w:t> </w:t>
      </w:r>
      <w:r w:rsidRPr="00B5296E">
        <w:rPr>
          <w:rFonts w:hint="cs"/>
          <w:rtl/>
        </w:rPr>
        <w:t>يلي:</w:t>
      </w:r>
    </w:p>
    <w:p w14:paraId="07A369EE" w14:textId="1516B10B" w:rsidR="00E73B13" w:rsidRPr="003B3F51" w:rsidRDefault="00E73B13" w:rsidP="00E73B13">
      <w:pPr>
        <w:pStyle w:val="Equation"/>
        <w:keepLines/>
      </w:pPr>
      <w:r w:rsidRPr="003B3F51">
        <w:tab/>
      </w:r>
      <w:r w:rsidRPr="003B3F51">
        <w:rPr>
          <w:position w:val="-38"/>
        </w:rPr>
        <w:object w:dxaOrig="2840" w:dyaOrig="880" w14:anchorId="21990D64">
          <v:shape id="_x0000_i1026" type="#_x0000_t75" alt="" style="width:137.75pt;height:42.05pt;mso-width-percent:0;mso-height-percent:0;mso-width-percent:0;mso-height-percent:0" o:ole="">
            <v:imagedata r:id="rId33" o:title=""/>
          </v:shape>
          <o:OLEObject Type="Embed" ProgID="Equation.3" ShapeID="_x0000_i1026" DrawAspect="Content" ObjectID="_1824969397" r:id="rId34"/>
        </w:object>
      </w:r>
      <w:r w:rsidRPr="003B3F51">
        <w:tab/>
        <w:t>(</w:t>
      </w:r>
      <w:r>
        <w:t>11</w:t>
      </w:r>
      <w:r w:rsidRPr="003B3F51">
        <w:t>)</w:t>
      </w:r>
    </w:p>
    <w:p w14:paraId="3D3D2E69" w14:textId="77777777" w:rsidR="00B5296E" w:rsidRPr="00B5296E" w:rsidRDefault="00B5296E" w:rsidP="0016729E">
      <w:pPr>
        <w:rPr>
          <w:rtl/>
        </w:rPr>
      </w:pPr>
      <w:r w:rsidRPr="00B5296E">
        <w:rPr>
          <w:rFonts w:hint="cs"/>
          <w:rtl/>
        </w:rPr>
        <w:lastRenderedPageBreak/>
        <w:t xml:space="preserve">حيث يكون كل من </w:t>
      </w:r>
      <w:r w:rsidRPr="00B5296E">
        <w:sym w:font="Symbol" w:char="F047"/>
      </w:r>
      <w:r w:rsidRPr="00B5296E">
        <w:t>(</w:t>
      </w:r>
      <w:r w:rsidRPr="00B5296E">
        <w:rPr>
          <w:i/>
          <w:iCs/>
        </w:rPr>
        <w:t xml:space="preserve">m, </w:t>
      </w:r>
      <w:proofErr w:type="spellStart"/>
      <w:r w:rsidRPr="00B5296E">
        <w:rPr>
          <w:i/>
          <w:iCs/>
        </w:rPr>
        <w:t>mI</w:t>
      </w:r>
      <w:proofErr w:type="spellEnd"/>
      <w:r w:rsidRPr="00B5296E">
        <w:t>)</w:t>
      </w:r>
      <w:r w:rsidRPr="00B5296E">
        <w:rPr>
          <w:rFonts w:hint="cs"/>
          <w:rtl/>
        </w:rPr>
        <w:t xml:space="preserve"> و</w:t>
      </w:r>
      <w:r w:rsidRPr="00B5296E">
        <w:sym w:font="Symbol" w:char="F047"/>
      </w:r>
      <w:r w:rsidRPr="00B5296E">
        <w:t>(</w:t>
      </w:r>
      <w:r w:rsidRPr="00B5296E">
        <w:rPr>
          <w:i/>
          <w:iCs/>
        </w:rPr>
        <w:t>m</w:t>
      </w:r>
      <w:r w:rsidRPr="00B5296E">
        <w:t>)</w:t>
      </w:r>
      <w:r w:rsidRPr="00B5296E">
        <w:rPr>
          <w:rFonts w:hint="cs"/>
          <w:rtl/>
        </w:rPr>
        <w:t xml:space="preserve"> دالة غاما غير الكاملة ودالة غاما، على التوالي. وباستعمال المعادلة </w:t>
      </w:r>
      <w:r w:rsidRPr="00B5296E">
        <w:t>(11)</w:t>
      </w:r>
      <w:r w:rsidRPr="00B5296E">
        <w:rPr>
          <w:rFonts w:hint="cs"/>
          <w:rtl/>
        </w:rPr>
        <w:t xml:space="preserve">، يكون بالإمكان حساب الكسر الزمني الذي تكون الإشارة خلاله أعلى أو أدنى من عتبة ما خلال حدث أيونوسفيري. ومثال ذلك أن الكسر الزمني الذي تكون الإشارة خلاله دون المتوسط بمقدار يفوق </w:t>
      </w:r>
      <w:r w:rsidRPr="00B5296E">
        <w:rPr>
          <w:i/>
          <w:iCs/>
        </w:rPr>
        <w:t>X</w:t>
      </w:r>
      <w:r w:rsidRPr="00B5296E">
        <w:rPr>
          <w:rFonts w:hint="cs"/>
          <w:rtl/>
        </w:rPr>
        <w:t xml:space="preserve"> </w:t>
      </w:r>
      <w:r w:rsidRPr="00B5296E">
        <w:t>dB</w:t>
      </w:r>
      <w:r w:rsidRPr="00B5296E">
        <w:rPr>
          <w:rFonts w:hint="cs"/>
          <w:rtl/>
        </w:rPr>
        <w:t xml:space="preserve"> يعبر عنه بواسطة </w:t>
      </w:r>
      <w:r w:rsidRPr="00B5296E">
        <w:rPr>
          <w:i/>
          <w:lang w:val="en-GB"/>
        </w:rPr>
        <w:t>P</w:t>
      </w:r>
      <w:r w:rsidRPr="00B5296E">
        <w:rPr>
          <w:lang w:val="en-GB"/>
        </w:rPr>
        <w:t> (10 </w:t>
      </w:r>
      <w:r w:rsidRPr="00B5296E">
        <w:rPr>
          <w:vertAlign w:val="superscript"/>
          <w:lang w:val="en-GB"/>
        </w:rPr>
        <w:t>–</w:t>
      </w:r>
      <w:r w:rsidRPr="00B5296E">
        <w:rPr>
          <w:i/>
          <w:vertAlign w:val="superscript"/>
          <w:lang w:val="en-GB"/>
        </w:rPr>
        <w:t>X</w:t>
      </w:r>
      <w:r w:rsidRPr="00B5296E">
        <w:rPr>
          <w:lang w:val="en-GB"/>
        </w:rPr>
        <w:t> </w:t>
      </w:r>
      <w:r w:rsidRPr="00B5296E">
        <w:rPr>
          <w:vertAlign w:val="superscript"/>
          <w:lang w:val="en-GB"/>
        </w:rPr>
        <w:t>/</w:t>
      </w:r>
      <w:r w:rsidRPr="00B5296E">
        <w:rPr>
          <w:lang w:val="en-GB"/>
        </w:rPr>
        <w:t> </w:t>
      </w:r>
      <w:r w:rsidRPr="00B5296E">
        <w:rPr>
          <w:vertAlign w:val="superscript"/>
          <w:lang w:val="en-GB"/>
        </w:rPr>
        <w:t>10</w:t>
      </w:r>
      <w:r w:rsidRPr="00B5296E">
        <w:rPr>
          <w:lang w:val="en-GB"/>
        </w:rPr>
        <w:t>)</w:t>
      </w:r>
      <w:r w:rsidRPr="00B5296E">
        <w:rPr>
          <w:rFonts w:hint="cs"/>
          <w:rtl/>
        </w:rPr>
        <w:t xml:space="preserve"> بينما يعبر عن الكسر الزمني الذي تكون الإشارة خلاله فوق المتوسط بمقدار يفوق </w:t>
      </w:r>
      <w:r w:rsidRPr="00B5296E">
        <w:rPr>
          <w:i/>
          <w:iCs/>
        </w:rPr>
        <w:t>Y</w:t>
      </w:r>
      <w:r w:rsidRPr="00B5296E">
        <w:rPr>
          <w:rFonts w:hint="cs"/>
          <w:rtl/>
        </w:rPr>
        <w:t xml:space="preserve"> </w:t>
      </w:r>
      <w:r w:rsidRPr="00B5296E">
        <w:t>dB</w:t>
      </w:r>
      <w:r w:rsidRPr="00B5296E">
        <w:rPr>
          <w:rFonts w:hint="cs"/>
          <w:rtl/>
        </w:rPr>
        <w:t xml:space="preserve"> بواسطة </w:t>
      </w:r>
      <w:r w:rsidRPr="00B5296E">
        <w:rPr>
          <w:lang w:val="en-GB"/>
        </w:rPr>
        <w:t>1 – </w:t>
      </w:r>
      <w:r w:rsidRPr="00B5296E">
        <w:rPr>
          <w:i/>
          <w:lang w:val="en-GB"/>
        </w:rPr>
        <w:t>P</w:t>
      </w:r>
      <w:r w:rsidRPr="00B5296E">
        <w:rPr>
          <w:lang w:val="en-GB"/>
        </w:rPr>
        <w:t>(10</w:t>
      </w:r>
      <w:r w:rsidRPr="00B5296E">
        <w:rPr>
          <w:i/>
          <w:vertAlign w:val="superscript"/>
          <w:lang w:val="en-GB"/>
        </w:rPr>
        <w:t>Y</w:t>
      </w:r>
      <w:r w:rsidRPr="00B5296E">
        <w:rPr>
          <w:lang w:val="en-GB"/>
        </w:rPr>
        <w:t> </w:t>
      </w:r>
      <w:r w:rsidRPr="00B5296E">
        <w:rPr>
          <w:vertAlign w:val="superscript"/>
          <w:lang w:val="en-GB"/>
        </w:rPr>
        <w:t>/</w:t>
      </w:r>
      <w:r w:rsidRPr="00B5296E">
        <w:rPr>
          <w:lang w:val="en-GB"/>
        </w:rPr>
        <w:t> </w:t>
      </w:r>
      <w:r w:rsidRPr="00B5296E">
        <w:rPr>
          <w:vertAlign w:val="superscript"/>
          <w:lang w:val="en-GB"/>
        </w:rPr>
        <w:t>10</w:t>
      </w:r>
      <w:r w:rsidRPr="00B5296E">
        <w:rPr>
          <w:lang w:val="en-GB"/>
        </w:rPr>
        <w:t>)</w:t>
      </w:r>
      <w:r w:rsidRPr="00B5296E">
        <w:rPr>
          <w:rFonts w:hint="cs"/>
          <w:rtl/>
        </w:rPr>
        <w:t>.</w:t>
      </w:r>
    </w:p>
    <w:p w14:paraId="6F2A5965" w14:textId="77777777" w:rsidR="00B5296E" w:rsidRPr="00B5296E" w:rsidRDefault="00B5296E" w:rsidP="00C12551">
      <w:pPr>
        <w:pStyle w:val="Heading3"/>
        <w:rPr>
          <w:rtl/>
          <w:lang w:bidi="ar-EG"/>
        </w:rPr>
      </w:pPr>
      <w:bookmarkStart w:id="40" w:name="_Toc404087332"/>
      <w:bookmarkStart w:id="41" w:name="_Toc493768813"/>
      <w:r w:rsidRPr="00B5296E">
        <w:rPr>
          <w:lang w:val="en-GB"/>
        </w:rPr>
        <w:t>2.4.5</w:t>
      </w:r>
      <w:r w:rsidRPr="00B5296E">
        <w:rPr>
          <w:rFonts w:hint="cs"/>
          <w:rtl/>
        </w:rPr>
        <w:tab/>
        <w:t>سلوك الطيف</w:t>
      </w:r>
      <w:bookmarkEnd w:id="40"/>
      <w:bookmarkEnd w:id="41"/>
    </w:p>
    <w:p w14:paraId="46B45D12" w14:textId="4F16CF8A" w:rsidR="00B5296E" w:rsidRPr="00B5296E" w:rsidRDefault="00B5296E" w:rsidP="0016729E">
      <w:pPr>
        <w:rPr>
          <w:rtl/>
          <w:lang w:bidi="ar-EG"/>
        </w:rPr>
      </w:pPr>
      <w:r w:rsidRPr="00B5296E">
        <w:rPr>
          <w:rFonts w:hint="cs"/>
          <w:rtl/>
        </w:rPr>
        <w:t xml:space="preserve">يتراوح معدل خبو الالتماع الأيونوسفيري من حيث الخصائص الزمنية بين </w:t>
      </w:r>
      <w:r w:rsidRPr="00B5296E">
        <w:t>0,1</w:t>
      </w:r>
      <w:r w:rsidRPr="00B5296E">
        <w:rPr>
          <w:rFonts w:hint="cs"/>
          <w:rtl/>
          <w:lang w:bidi="ar-EG"/>
        </w:rPr>
        <w:t xml:space="preserve"> و</w:t>
      </w:r>
      <w:r w:rsidRPr="00B5296E">
        <w:t>Hz 1</w:t>
      </w:r>
      <w:r w:rsidRPr="00B5296E">
        <w:rPr>
          <w:rFonts w:hint="cs"/>
          <w:rtl/>
        </w:rPr>
        <w:t xml:space="preserve">. وكنتيجة لذلك تتضمن أطياف القدرة مدى واسعاً من المنحنيات من </w:t>
      </w:r>
      <w:r w:rsidRPr="00B5296E">
        <w:rPr>
          <w:vertAlign w:val="superscript"/>
        </w:rPr>
        <w:t>1–</w:t>
      </w:r>
      <w:r w:rsidRPr="00B5296E">
        <w:rPr>
          <w:i/>
          <w:iCs/>
        </w:rPr>
        <w:t>f</w:t>
      </w:r>
      <w:r w:rsidRPr="00B5296E">
        <w:rPr>
          <w:rFonts w:hint="cs"/>
          <w:rtl/>
        </w:rPr>
        <w:t xml:space="preserve"> إلى </w:t>
      </w:r>
      <w:r w:rsidRPr="00B5296E">
        <w:rPr>
          <w:vertAlign w:val="superscript"/>
        </w:rPr>
        <w:t>6–</w:t>
      </w:r>
      <w:r w:rsidRPr="00B5296E">
        <w:rPr>
          <w:i/>
          <w:iCs/>
        </w:rPr>
        <w:t>f</w:t>
      </w:r>
      <w:r w:rsidRPr="00B5296E">
        <w:rPr>
          <w:rFonts w:hint="cs"/>
          <w:rtl/>
        </w:rPr>
        <w:t xml:space="preserve"> كما تبين من عمليات رصد مختلفة. ويعرض الشكل </w:t>
      </w:r>
      <w:r w:rsidRPr="00B5296E">
        <w:t>8</w:t>
      </w:r>
      <w:r w:rsidRPr="00B5296E">
        <w:rPr>
          <w:rFonts w:hint="cs"/>
          <w:rtl/>
        </w:rPr>
        <w:t xml:space="preserve"> سلوكاً نمطياً للطيف ويوصى بالمنحنى</w:t>
      </w:r>
      <w:r w:rsidRPr="00B5296E">
        <w:rPr>
          <w:rFonts w:hint="eastAsia"/>
          <w:rtl/>
        </w:rPr>
        <w:t> </w:t>
      </w:r>
      <w:r w:rsidRPr="00B5296E">
        <w:rPr>
          <w:vertAlign w:val="superscript"/>
        </w:rPr>
        <w:t>3</w:t>
      </w:r>
      <w:r w:rsidR="00694AED">
        <w:rPr>
          <w:vertAlign w:val="superscript"/>
        </w:rPr>
        <w:noBreakHyphen/>
      </w:r>
      <w:r w:rsidRPr="00B5296E">
        <w:rPr>
          <w:i/>
          <w:iCs/>
        </w:rPr>
        <w:t>f</w:t>
      </w:r>
      <w:r w:rsidRPr="00B5296E">
        <w:rPr>
          <w:rFonts w:hint="cs"/>
          <w:rtl/>
        </w:rPr>
        <w:t xml:space="preserve"> كما يظهر في الشكل في تطبيقات الأنظمة عندما لا تتوافر نتائج القياس المباشر. وتمثل هذه القيمة أحداث التماع تتراوح بين</w:t>
      </w:r>
      <w:r w:rsidRPr="00B5296E">
        <w:rPr>
          <w:rFonts w:hint="eastAsia"/>
          <w:rtl/>
        </w:rPr>
        <w:t> </w:t>
      </w:r>
      <w:r w:rsidRPr="00B5296E">
        <w:rPr>
          <w:rFonts w:hint="cs"/>
          <w:rtl/>
        </w:rPr>
        <w:t>منخفضة ومعتدلة.</w:t>
      </w:r>
    </w:p>
    <w:p w14:paraId="10634C3D" w14:textId="77777777" w:rsidR="00B5296E" w:rsidRPr="00B5296E" w:rsidRDefault="00B5296E" w:rsidP="0016729E">
      <w:pPr>
        <w:rPr>
          <w:rtl/>
          <w:lang w:bidi="ar-EG"/>
        </w:rPr>
      </w:pPr>
      <w:r w:rsidRPr="00B5296E">
        <w:rPr>
          <w:rFonts w:hint="cs"/>
          <w:rtl/>
        </w:rPr>
        <w:t xml:space="preserve">يختلف تردد القطع باختلاف التماع الاتساع والتماع الطور كما يبين الشكل </w:t>
      </w:r>
      <w:r w:rsidRPr="00B5296E">
        <w:t>9</w:t>
      </w:r>
      <w:r w:rsidRPr="00B5296E">
        <w:rPr>
          <w:rFonts w:hint="cs"/>
          <w:rtl/>
          <w:lang w:bidi="ar-EG"/>
        </w:rPr>
        <w:t>. ويمثل التماع الطور مكونات تردد منخفض أكثر حدة من التماع الاتساع.</w:t>
      </w:r>
    </w:p>
    <w:p w14:paraId="4C708BB0" w14:textId="77777777" w:rsidR="00B5296E" w:rsidRPr="00B5296E" w:rsidRDefault="00B5296E" w:rsidP="00C12551">
      <w:pPr>
        <w:pStyle w:val="Heading2"/>
        <w:rPr>
          <w:rtl/>
        </w:rPr>
      </w:pPr>
      <w:bookmarkStart w:id="42" w:name="_Toc404087333"/>
      <w:bookmarkStart w:id="43" w:name="_Toc493768814"/>
      <w:r w:rsidRPr="00B5296E">
        <w:t>5.5</w:t>
      </w:r>
      <w:r w:rsidRPr="00B5296E">
        <w:rPr>
          <w:rFonts w:hint="cs"/>
          <w:rtl/>
        </w:rPr>
        <w:tab/>
        <w:t>الاعتبارات الهندسية</w:t>
      </w:r>
      <w:bookmarkEnd w:id="42"/>
      <w:bookmarkEnd w:id="43"/>
    </w:p>
    <w:p w14:paraId="14ABBC60" w14:textId="77777777" w:rsidR="00B5296E" w:rsidRPr="00B5296E" w:rsidRDefault="00B5296E" w:rsidP="00C12551">
      <w:pPr>
        <w:pStyle w:val="Heading3"/>
        <w:rPr>
          <w:rtl/>
        </w:rPr>
      </w:pPr>
      <w:bookmarkStart w:id="44" w:name="_Toc404087334"/>
      <w:bookmarkStart w:id="45" w:name="_Toc493768815"/>
      <w:r w:rsidRPr="00B5296E">
        <w:rPr>
          <w:lang w:val="en-GB"/>
        </w:rPr>
        <w:t>1.5.5</w:t>
      </w:r>
      <w:r w:rsidRPr="00B5296E">
        <w:rPr>
          <w:rFonts w:hint="cs"/>
          <w:rtl/>
        </w:rPr>
        <w:tab/>
        <w:t>الاعتماد على زاوية السمت</w:t>
      </w:r>
      <w:bookmarkEnd w:id="44"/>
      <w:bookmarkEnd w:id="45"/>
    </w:p>
    <w:p w14:paraId="1B6675C2" w14:textId="04F85E03" w:rsidR="00B5296E" w:rsidRPr="00B5296E" w:rsidRDefault="00B5296E" w:rsidP="0016729E">
      <w:pPr>
        <w:rPr>
          <w:rtl/>
        </w:rPr>
      </w:pPr>
      <w:r w:rsidRPr="00B5296E">
        <w:rPr>
          <w:rFonts w:hint="cs"/>
          <w:rtl/>
        </w:rPr>
        <w:t xml:space="preserve">في معظم النماذج تبدو </w:t>
      </w:r>
      <w:r w:rsidR="00694AED" w:rsidRPr="003B3F51">
        <w:rPr>
          <w:position w:val="-20"/>
        </w:rPr>
        <w:object w:dxaOrig="340" w:dyaOrig="520" w14:anchorId="7B479A53">
          <v:shape id="_x0000_i1027" type="#_x0000_t75" alt="" style="width:11.25pt;height:22.45pt;mso-width-percent:0;mso-height-percent:0;mso-width-percent:0;mso-height-percent:0" o:ole="">
            <v:imagedata r:id="rId35" o:title=""/>
          </v:shape>
          <o:OLEObject Type="Embed" ProgID="Equation.3" ShapeID="_x0000_i1027" DrawAspect="Content" ObjectID="_1824969398" r:id="rId36"/>
        </w:object>
      </w:r>
      <w:r w:rsidRPr="00B5296E">
        <w:rPr>
          <w:rFonts w:hint="cs"/>
          <w:rtl/>
        </w:rPr>
        <w:t xml:space="preserve"> متناسبة مع قاطع زاوية السمت </w:t>
      </w:r>
      <w:proofErr w:type="spellStart"/>
      <w:r w:rsidRPr="00B5296E">
        <w:rPr>
          <w:i/>
          <w:iCs/>
        </w:rPr>
        <w:t>i</w:t>
      </w:r>
      <w:proofErr w:type="spellEnd"/>
      <w:r w:rsidRPr="00B5296E">
        <w:rPr>
          <w:rFonts w:hint="cs"/>
          <w:rtl/>
        </w:rPr>
        <w:t xml:space="preserve"> لمسير الانتشار. ومن المعتقد أن العلاقة صالحة طالما كانت </w:t>
      </w:r>
      <w:proofErr w:type="spellStart"/>
      <w:r w:rsidRPr="00B5296E">
        <w:rPr>
          <w:i/>
          <w:lang w:val="en-GB"/>
        </w:rPr>
        <w:t>i</w:t>
      </w:r>
      <w:proofErr w:type="spellEnd"/>
      <w:r w:rsidRPr="00B5296E">
        <w:rPr>
          <w:lang w:val="en-GB"/>
        </w:rPr>
        <w:t> </w:t>
      </w:r>
      <w:r w:rsidRPr="00B5296E">
        <w:t>≈</w:t>
      </w:r>
      <w:r w:rsidRPr="00B5296E">
        <w:rPr>
          <w:lang w:val="en-GB"/>
        </w:rPr>
        <w:t> 70</w:t>
      </w:r>
      <w:r w:rsidR="005D6C2A">
        <w:rPr>
          <w:rFonts w:ascii="Symbol" w:hAnsi="Symbol"/>
        </w:rPr>
        <w:t></w:t>
      </w:r>
      <w:r w:rsidRPr="00B5296E">
        <w:rPr>
          <w:rFonts w:hint="cs"/>
          <w:rtl/>
        </w:rPr>
        <w:t xml:space="preserve"> لمستوى الالتماع المنخفض والمعتدل. أما إذا كانت الزاوية أكبر من ذلك، فيحسن استخدام علاقة تقترن بقدرة</w:t>
      </w:r>
      <w:r w:rsidRPr="00B5296E">
        <w:rPr>
          <w:rFonts w:hint="eastAsia"/>
          <w:rtl/>
          <w:lang w:bidi="ar-EG"/>
        </w:rPr>
        <w:t> </w:t>
      </w:r>
      <w:r w:rsidRPr="00B5296E">
        <w:t xml:space="preserve">sec </w:t>
      </w:r>
      <w:proofErr w:type="spellStart"/>
      <w:r w:rsidRPr="00B5296E">
        <w:rPr>
          <w:i/>
          <w:iCs/>
        </w:rPr>
        <w:t>i</w:t>
      </w:r>
      <w:proofErr w:type="spellEnd"/>
      <w:r w:rsidRPr="00B5296E">
        <w:rPr>
          <w:rFonts w:hint="cs"/>
          <w:i/>
          <w:iCs/>
          <w:rtl/>
        </w:rPr>
        <w:t xml:space="preserve"> </w:t>
      </w:r>
      <w:r w:rsidRPr="00B5296E">
        <w:rPr>
          <w:rFonts w:hint="cs"/>
          <w:rtl/>
        </w:rPr>
        <w:t>تتراوح بين</w:t>
      </w:r>
      <w:r w:rsidRPr="00B5296E">
        <w:rPr>
          <w:rFonts w:hint="eastAsia"/>
          <w:rtl/>
        </w:rPr>
        <w:t> </w:t>
      </w:r>
      <w:r w:rsidRPr="00B5296E">
        <w:t>1/2</w:t>
      </w:r>
      <w:r w:rsidR="003E5B5E">
        <w:rPr>
          <w:rFonts w:hint="eastAsia"/>
          <w:rtl/>
        </w:rPr>
        <w:t> </w:t>
      </w:r>
      <w:r w:rsidRPr="00B5296E">
        <w:rPr>
          <w:rFonts w:hint="cs"/>
          <w:rtl/>
        </w:rPr>
        <w:t>و</w:t>
      </w:r>
      <w:r w:rsidRPr="00B5296E">
        <w:t>1</w:t>
      </w:r>
      <w:r w:rsidRPr="00B5296E">
        <w:rPr>
          <w:rFonts w:hint="cs"/>
          <w:rtl/>
        </w:rPr>
        <w:t>.</w:t>
      </w:r>
    </w:p>
    <w:p w14:paraId="44C066DF" w14:textId="77777777" w:rsidR="00B5296E" w:rsidRPr="00B5296E" w:rsidRDefault="00B5296E" w:rsidP="00C12551">
      <w:pPr>
        <w:pStyle w:val="Heading3"/>
        <w:rPr>
          <w:rtl/>
        </w:rPr>
      </w:pPr>
      <w:bookmarkStart w:id="46" w:name="_Toc404087335"/>
      <w:bookmarkStart w:id="47" w:name="_Toc493768816"/>
      <w:r w:rsidRPr="00B5296E">
        <w:rPr>
          <w:lang w:val="en-GB"/>
        </w:rPr>
        <w:t>2.5.5</w:t>
      </w:r>
      <w:r w:rsidRPr="00B5296E">
        <w:rPr>
          <w:rFonts w:hint="cs"/>
          <w:rtl/>
        </w:rPr>
        <w:tab/>
        <w:t>الاعتماد على الفصل وخط الطول</w:t>
      </w:r>
      <w:bookmarkEnd w:id="46"/>
      <w:bookmarkEnd w:id="47"/>
    </w:p>
    <w:p w14:paraId="24375939" w14:textId="77777777" w:rsidR="00B5296E" w:rsidRPr="00B5296E" w:rsidRDefault="00B5296E" w:rsidP="0016729E">
      <w:pPr>
        <w:rPr>
          <w:rtl/>
        </w:rPr>
      </w:pPr>
      <w:r w:rsidRPr="00B5296E">
        <w:rPr>
          <w:rFonts w:hint="cs"/>
          <w:rtl/>
        </w:rPr>
        <w:t xml:space="preserve">يعتمد احتمال ظهور الالتماع ومقدار </w:t>
      </w:r>
      <w:r w:rsidRPr="00B5296E">
        <w:rPr>
          <w:i/>
          <w:iCs/>
        </w:rPr>
        <w:t>S</w:t>
      </w:r>
      <w:r w:rsidRPr="00B5296E">
        <w:rPr>
          <w:vertAlign w:val="subscript"/>
        </w:rPr>
        <w:t>4</w:t>
      </w:r>
      <w:r w:rsidRPr="00B5296E">
        <w:rPr>
          <w:rFonts w:hint="cs"/>
          <w:rtl/>
        </w:rPr>
        <w:t xml:space="preserve"> على خط الطول والفصل توقفاً يمكن معلمته بواسطة الزاوية </w:t>
      </w:r>
      <w:r w:rsidRPr="00B5296E">
        <w:rPr>
          <w:rFonts w:hint="cs"/>
        </w:rPr>
        <w:sym w:font="Symbol" w:char="F062"/>
      </w:r>
      <w:r w:rsidRPr="00B5296E">
        <w:rPr>
          <w:rFonts w:hint="cs"/>
          <w:rtl/>
        </w:rPr>
        <w:t xml:space="preserve"> المبينة في الشكل </w:t>
      </w:r>
      <w:r w:rsidRPr="00B5296E">
        <w:t>11</w:t>
      </w:r>
      <w:r w:rsidRPr="00B5296E">
        <w:rPr>
          <w:rFonts w:hint="cs"/>
          <w:rtl/>
        </w:rPr>
        <w:t xml:space="preserve"> وهي الزاوية الواقعة بين منهي غروب الشمس وخط الزوال المغنطيسي المحلي عند أوج خط المجال الذي يمر عبر مسير ارتفاع الشذوذ. وتبين دالة التوزين في حالة الاعتماد على خط الطول والفصل كما يلي:</w:t>
      </w:r>
    </w:p>
    <w:p w14:paraId="4E44D565" w14:textId="7D7442EC" w:rsidR="00E73B13" w:rsidRPr="003B3F51" w:rsidRDefault="00E73B13" w:rsidP="00E73B13">
      <w:pPr>
        <w:pStyle w:val="Equation"/>
      </w:pPr>
      <w:r>
        <w:tab/>
      </w: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r>
          <m:rPr>
            <m:sty m:val="p"/>
          </m:rPr>
          <w:rPr>
            <w:rFonts w:ascii="Cambria Math" w:hAnsi="Cambria Math"/>
          </w:rPr>
          <m:t>exp</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β</m:t>
                        </m:r>
                      </m:num>
                      <m:den>
                        <m:r>
                          <w:rPr>
                            <w:rFonts w:ascii="Cambria Math" w:hAnsi="Cambria Math"/>
                          </w:rPr>
                          <m:t>W</m:t>
                        </m:r>
                      </m:den>
                    </m:f>
                  </m:e>
                </m:d>
              </m:e>
              <m:sup>
                <m:r>
                  <w:rPr>
                    <w:rFonts w:ascii="Cambria Math" w:hAnsi="Cambria Math"/>
                  </w:rPr>
                  <m:t>2</m:t>
                </m:r>
              </m:sup>
            </m:sSup>
          </m:e>
        </m:d>
      </m:oMath>
      <w:r w:rsidRPr="003B3F51">
        <w:tab/>
        <w:t>(1</w:t>
      </w:r>
      <w:r>
        <w:t>2</w:t>
      </w:r>
      <w:r w:rsidRPr="003B3F51">
        <w:t>)</w:t>
      </w:r>
    </w:p>
    <w:p w14:paraId="12ABEC0F" w14:textId="76E5359B" w:rsidR="00B5296E" w:rsidRDefault="00B5296E" w:rsidP="0016729E">
      <w:r w:rsidRPr="00B5296E">
        <w:rPr>
          <w:rFonts w:hint="cs"/>
          <w:rtl/>
        </w:rPr>
        <w:t xml:space="preserve">حيث تكون </w:t>
      </w:r>
      <w:r w:rsidRPr="00B5296E">
        <w:rPr>
          <w:i/>
          <w:iCs/>
        </w:rPr>
        <w:t>W</w:t>
      </w:r>
      <w:r w:rsidRPr="00B5296E">
        <w:rPr>
          <w:rFonts w:hint="cs"/>
          <w:rtl/>
        </w:rPr>
        <w:t xml:space="preserve"> ثابت توزين يتوقف على الموقع وعلى اليوم التقويمي من السنة. ومثال ذلك أن من الممكن باستخدام البيانات المتاحة من تانغوا و</w:t>
      </w:r>
      <w:r w:rsidRPr="00B5296E">
        <w:rPr>
          <w:rtl/>
        </w:rPr>
        <w:t xml:space="preserve"> هونغ كونغ</w:t>
      </w:r>
      <w:r w:rsidRPr="00B5296E">
        <w:rPr>
          <w:rFonts w:hint="cs"/>
          <w:rtl/>
        </w:rPr>
        <w:t xml:space="preserve"> وكواجالين نمذجة القيمة الرقمية لثابت التوزين كما هو مبين في الشكل</w:t>
      </w:r>
      <w:r w:rsidRPr="00B5296E">
        <w:rPr>
          <w:rFonts w:hint="eastAsia"/>
          <w:rtl/>
        </w:rPr>
        <w:t> </w:t>
      </w:r>
      <w:r w:rsidRPr="00B5296E">
        <w:t>12</w:t>
      </w:r>
      <w:r w:rsidRPr="00B5296E">
        <w:rPr>
          <w:rFonts w:hint="cs"/>
          <w:rtl/>
        </w:rPr>
        <w:t>.</w:t>
      </w:r>
    </w:p>
    <w:p w14:paraId="45CAF3D6" w14:textId="77777777" w:rsidR="00B5296E" w:rsidRPr="00B5296E" w:rsidRDefault="00B5296E" w:rsidP="00C12551">
      <w:pPr>
        <w:pStyle w:val="FigureNo"/>
        <w:rPr>
          <w:rtl/>
        </w:rPr>
      </w:pPr>
      <w:r w:rsidRPr="00B5296E">
        <w:rPr>
          <w:rFonts w:hint="cs"/>
          <w:rtl/>
        </w:rPr>
        <w:lastRenderedPageBreak/>
        <w:t xml:space="preserve">الشـكل </w:t>
      </w:r>
      <w:r w:rsidRPr="00B5296E">
        <w:rPr>
          <w:lang w:bidi="ar-SA"/>
        </w:rPr>
        <w:t>8</w:t>
      </w:r>
    </w:p>
    <w:p w14:paraId="15F92F36" w14:textId="77777777" w:rsidR="00B5296E" w:rsidRPr="00B5296E" w:rsidRDefault="00B5296E" w:rsidP="00C12551">
      <w:pPr>
        <w:pStyle w:val="Figuretitle"/>
        <w:rPr>
          <w:lang w:bidi="ar-SA"/>
        </w:rPr>
      </w:pPr>
      <w:r w:rsidRPr="00B5296E">
        <w:rPr>
          <w:rFonts w:hint="cs"/>
          <w:rtl/>
        </w:rPr>
        <w:t xml:space="preserve">تقديرات الكثافة الطيفية للقدرة في حالة ساتل مستقر بالنسبة إلى الأرض (إنتلسات </w:t>
      </w:r>
      <w:r w:rsidRPr="00B5296E">
        <w:rPr>
          <w:lang w:bidi="ar-SA"/>
        </w:rPr>
        <w:t>IV</w:t>
      </w:r>
      <w:r w:rsidRPr="00B5296E">
        <w:rPr>
          <w:rFonts w:hint="cs"/>
          <w:rtl/>
        </w:rPr>
        <w:t xml:space="preserve">) عند </w:t>
      </w:r>
      <w:r w:rsidRPr="00B5296E">
        <w:rPr>
          <w:lang w:bidi="ar-SA"/>
        </w:rPr>
        <w:t>GHz 4</w:t>
      </w:r>
    </w:p>
    <w:p w14:paraId="1394F5A0" w14:textId="77777777" w:rsidR="00B5296E" w:rsidRPr="00B5296E" w:rsidRDefault="00B5296E" w:rsidP="0016729E">
      <w:pPr>
        <w:pStyle w:val="Figure"/>
      </w:pPr>
      <w:r w:rsidRPr="00B5296E">
        <w:rPr>
          <w:noProof/>
        </w:rPr>
        <w:drawing>
          <wp:inline distT="0" distB="0" distL="0" distR="0" wp14:anchorId="42C7DFB6" wp14:editId="08DE15ED">
            <wp:extent cx="5315723" cy="7354839"/>
            <wp:effectExtent l="0" t="0" r="0" b="0"/>
            <wp:docPr id="51" name="Picture 5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with lines and numb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15723" cy="7354839"/>
                    </a:xfrm>
                    <a:prstGeom prst="rect">
                      <a:avLst/>
                    </a:prstGeom>
                  </pic:spPr>
                </pic:pic>
              </a:graphicData>
            </a:graphic>
          </wp:inline>
        </w:drawing>
      </w:r>
    </w:p>
    <w:p w14:paraId="549FA7C8" w14:textId="77777777" w:rsidR="00B5296E" w:rsidRPr="00B5296E" w:rsidRDefault="00B5296E" w:rsidP="00C12551">
      <w:pPr>
        <w:pStyle w:val="FigureNo"/>
        <w:rPr>
          <w:rtl/>
        </w:rPr>
      </w:pPr>
      <w:r w:rsidRPr="00B5296E">
        <w:rPr>
          <w:rFonts w:hint="cs"/>
          <w:rtl/>
        </w:rPr>
        <w:lastRenderedPageBreak/>
        <w:t xml:space="preserve">الشـكل </w:t>
      </w:r>
      <w:r w:rsidRPr="00B5296E">
        <w:rPr>
          <w:lang w:bidi="ar-SA"/>
        </w:rPr>
        <w:t>9</w:t>
      </w:r>
    </w:p>
    <w:p w14:paraId="0BF48764" w14:textId="77777777" w:rsidR="00B5296E" w:rsidRPr="00B5296E" w:rsidRDefault="00B5296E" w:rsidP="00C12551">
      <w:pPr>
        <w:pStyle w:val="Figuretitle"/>
        <w:rPr>
          <w:rtl/>
        </w:rPr>
      </w:pPr>
      <w:r w:rsidRPr="00B5296E">
        <w:rPr>
          <w:rFonts w:hint="cs"/>
          <w:rtl/>
        </w:rPr>
        <w:t>الشدة العادية وطيف الطور</w:t>
      </w:r>
    </w:p>
    <w:p w14:paraId="3EFAB1BD" w14:textId="63BCC82C" w:rsidR="00B5296E" w:rsidRPr="00B5296E" w:rsidRDefault="00B5296E" w:rsidP="0016729E">
      <w:pPr>
        <w:pStyle w:val="Figure"/>
        <w:rPr>
          <w:rtl/>
          <w:lang w:bidi="ar-EG"/>
        </w:rPr>
      </w:pPr>
      <w:r w:rsidRPr="00B5296E">
        <w:rPr>
          <w:noProof/>
        </w:rPr>
        <w:drawing>
          <wp:inline distT="0" distB="0" distL="0" distR="0" wp14:anchorId="4AFBD02E" wp14:editId="396E5F8F">
            <wp:extent cx="4723765" cy="3511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3765" cy="3511550"/>
                    </a:xfrm>
                    <a:prstGeom prst="rect">
                      <a:avLst/>
                    </a:prstGeom>
                    <a:noFill/>
                    <a:ln>
                      <a:noFill/>
                    </a:ln>
                  </pic:spPr>
                </pic:pic>
              </a:graphicData>
            </a:graphic>
          </wp:inline>
        </w:drawing>
      </w:r>
    </w:p>
    <w:p w14:paraId="32817228" w14:textId="77777777" w:rsidR="00B5296E" w:rsidRPr="00B5296E" w:rsidRDefault="00B5296E" w:rsidP="00C12551">
      <w:pPr>
        <w:pStyle w:val="FigureNo"/>
        <w:rPr>
          <w:rtl/>
        </w:rPr>
      </w:pPr>
      <w:r w:rsidRPr="00B5296E">
        <w:rPr>
          <w:rFonts w:hint="cs"/>
          <w:rtl/>
        </w:rPr>
        <w:t xml:space="preserve">الشـكل </w:t>
      </w:r>
      <w:r w:rsidRPr="00B5296E">
        <w:rPr>
          <w:lang w:bidi="ar-SA"/>
        </w:rPr>
        <w:t>10</w:t>
      </w:r>
    </w:p>
    <w:p w14:paraId="2B0541D9" w14:textId="77777777" w:rsidR="00B5296E" w:rsidRPr="00B5296E" w:rsidRDefault="00B5296E" w:rsidP="00C12551">
      <w:pPr>
        <w:pStyle w:val="Figuretitle"/>
        <w:rPr>
          <w:rtl/>
        </w:rPr>
      </w:pPr>
      <w:r w:rsidRPr="00B5296E">
        <w:rPr>
          <w:rFonts w:hint="cs"/>
          <w:rtl/>
        </w:rPr>
        <w:t xml:space="preserve">تقاطع مسير الانتشار مع خط من المجال المغنطيسي عند ارتفاع الإقليم </w:t>
      </w:r>
      <w:r w:rsidRPr="00B5296E">
        <w:rPr>
          <w:lang w:bidi="ar-SA"/>
        </w:rPr>
        <w:t>F</w:t>
      </w:r>
    </w:p>
    <w:p w14:paraId="03BBE918" w14:textId="77777777" w:rsidR="00B5296E" w:rsidRPr="00B5296E" w:rsidRDefault="00B5296E" w:rsidP="0016729E">
      <w:pPr>
        <w:pStyle w:val="Figure"/>
        <w:rPr>
          <w:rtl/>
          <w:lang w:bidi="ar-EG"/>
        </w:rPr>
      </w:pPr>
      <w:r w:rsidRPr="00B5296E">
        <w:rPr>
          <w:noProof/>
          <w:rtl/>
          <w:lang w:bidi="ar-EG"/>
        </w:rPr>
        <w:drawing>
          <wp:inline distT="0" distB="0" distL="0" distR="0" wp14:anchorId="5A54CB89" wp14:editId="021137C4">
            <wp:extent cx="4568961" cy="2703582"/>
            <wp:effectExtent l="0" t="0" r="3175" b="1905"/>
            <wp:docPr id="53" name="Picture 53"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lack and white drawing of a circ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8961" cy="2703582"/>
                    </a:xfrm>
                    <a:prstGeom prst="rect">
                      <a:avLst/>
                    </a:prstGeom>
                  </pic:spPr>
                </pic:pic>
              </a:graphicData>
            </a:graphic>
          </wp:inline>
        </w:drawing>
      </w:r>
    </w:p>
    <w:p w14:paraId="5AE9E73A" w14:textId="77777777" w:rsidR="00B5296E" w:rsidRPr="00B5296E" w:rsidRDefault="00B5296E" w:rsidP="00C12551">
      <w:pPr>
        <w:pStyle w:val="FigureNo"/>
        <w:rPr>
          <w:rtl/>
        </w:rPr>
      </w:pPr>
      <w:r w:rsidRPr="00B5296E">
        <w:rPr>
          <w:rFonts w:hint="cs"/>
          <w:rtl/>
        </w:rPr>
        <w:lastRenderedPageBreak/>
        <w:t xml:space="preserve">الشـكل </w:t>
      </w:r>
      <w:r w:rsidRPr="00B5296E">
        <w:rPr>
          <w:lang w:bidi="ar-SA"/>
        </w:rPr>
        <w:t>11</w:t>
      </w:r>
    </w:p>
    <w:p w14:paraId="5A588E09" w14:textId="77777777" w:rsidR="00B5296E" w:rsidRPr="00B5296E" w:rsidRDefault="00B5296E" w:rsidP="00C12551">
      <w:pPr>
        <w:pStyle w:val="Figuretitle"/>
        <w:rPr>
          <w:rtl/>
        </w:rPr>
      </w:pPr>
      <w:r w:rsidRPr="00B5296E">
        <w:rPr>
          <w:rFonts w:hint="cs"/>
          <w:rtl/>
        </w:rPr>
        <w:t>الزاوية بين خط الزوال المغنطيسي المحلي عند ذروة خط المجال</w:t>
      </w:r>
      <w:r w:rsidRPr="00B5296E">
        <w:rPr>
          <w:rtl/>
        </w:rPr>
        <w:br/>
      </w:r>
      <w:r w:rsidRPr="00B5296E">
        <w:rPr>
          <w:rFonts w:hint="cs"/>
          <w:rtl/>
        </w:rPr>
        <w:t xml:space="preserve">المبين في الشكل </w:t>
      </w:r>
      <w:r w:rsidRPr="00B5296E">
        <w:rPr>
          <w:lang w:bidi="ar-SA"/>
        </w:rPr>
        <w:t>10</w:t>
      </w:r>
      <w:r w:rsidRPr="00B5296E">
        <w:rPr>
          <w:rFonts w:hint="cs"/>
          <w:rtl/>
        </w:rPr>
        <w:t xml:space="preserve"> ومنهي غروب الشمس</w:t>
      </w:r>
    </w:p>
    <w:p w14:paraId="124DD3AD" w14:textId="77777777" w:rsidR="00B5296E" w:rsidRPr="00B5296E" w:rsidRDefault="00B5296E" w:rsidP="0016729E">
      <w:pPr>
        <w:pStyle w:val="Figure"/>
      </w:pPr>
      <w:r w:rsidRPr="00B5296E">
        <w:rPr>
          <w:noProof/>
        </w:rPr>
        <w:drawing>
          <wp:inline distT="0" distB="0" distL="0" distR="0" wp14:anchorId="69950A61" wp14:editId="15BC2394">
            <wp:extent cx="3560071" cy="2648717"/>
            <wp:effectExtent l="0" t="0" r="2540" b="0"/>
            <wp:docPr id="54" name="Picture 54" descr="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circ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60071" cy="2648717"/>
                    </a:xfrm>
                    <a:prstGeom prst="rect">
                      <a:avLst/>
                    </a:prstGeom>
                  </pic:spPr>
                </pic:pic>
              </a:graphicData>
            </a:graphic>
          </wp:inline>
        </w:drawing>
      </w:r>
    </w:p>
    <w:p w14:paraId="4EBE569C" w14:textId="77777777" w:rsidR="00B5296E" w:rsidRPr="00B5296E" w:rsidRDefault="00B5296E" w:rsidP="00C12551">
      <w:pPr>
        <w:pStyle w:val="FigureNo"/>
        <w:rPr>
          <w:rtl/>
        </w:rPr>
      </w:pPr>
      <w:r w:rsidRPr="00B5296E">
        <w:rPr>
          <w:rFonts w:hint="cs"/>
          <w:rtl/>
        </w:rPr>
        <w:t xml:space="preserve">الشـكل </w:t>
      </w:r>
      <w:r w:rsidRPr="00B5296E">
        <w:rPr>
          <w:lang w:bidi="ar-SA"/>
        </w:rPr>
        <w:t>12</w:t>
      </w:r>
    </w:p>
    <w:p w14:paraId="770D7270" w14:textId="77777777" w:rsidR="00B5296E" w:rsidRPr="00B5296E" w:rsidRDefault="00B5296E" w:rsidP="00C12551">
      <w:pPr>
        <w:pStyle w:val="Figuretitle"/>
        <w:rPr>
          <w:rtl/>
        </w:rPr>
      </w:pPr>
      <w:r w:rsidRPr="00B5296E">
        <w:rPr>
          <w:rFonts w:hint="cs"/>
          <w:rtl/>
        </w:rPr>
        <w:t>دوال التوزين الفصلية في حالة المحطات الموجودة في قطاعات مختلفة من خط الطول</w:t>
      </w:r>
    </w:p>
    <w:p w14:paraId="59EC35BC" w14:textId="3D2EB895" w:rsidR="00B5296E" w:rsidRPr="00B5296E" w:rsidRDefault="00B5296E" w:rsidP="0016729E">
      <w:pPr>
        <w:pStyle w:val="Figure"/>
        <w:rPr>
          <w:rtl/>
        </w:rPr>
      </w:pPr>
      <w:r w:rsidRPr="00B436C3">
        <w:rPr>
          <w:noProof/>
        </w:rPr>
        <w:drawing>
          <wp:inline distT="0" distB="0" distL="0" distR="0" wp14:anchorId="6DADA44D" wp14:editId="39851F60">
            <wp:extent cx="4297680" cy="3200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inline>
        </w:drawing>
      </w:r>
    </w:p>
    <w:p w14:paraId="55D661A9" w14:textId="77777777" w:rsidR="00B5296E" w:rsidRPr="00B5296E" w:rsidRDefault="00B5296E" w:rsidP="00C12551">
      <w:pPr>
        <w:pStyle w:val="Heading2"/>
        <w:rPr>
          <w:rtl/>
        </w:rPr>
      </w:pPr>
      <w:bookmarkStart w:id="48" w:name="_Toc404087336"/>
      <w:bookmarkStart w:id="49" w:name="_Toc493768817"/>
      <w:r w:rsidRPr="00B5296E">
        <w:t>6.5</w:t>
      </w:r>
      <w:r w:rsidRPr="00B5296E">
        <w:rPr>
          <w:rFonts w:hint="cs"/>
          <w:rtl/>
        </w:rPr>
        <w:tab/>
        <w:t>الإحصائيات التراكمية</w:t>
      </w:r>
      <w:bookmarkEnd w:id="48"/>
      <w:bookmarkEnd w:id="49"/>
    </w:p>
    <w:p w14:paraId="1C6D6D9C" w14:textId="77777777" w:rsidR="00B5296E" w:rsidRPr="00B5296E" w:rsidRDefault="00B5296E" w:rsidP="0016729E">
      <w:pPr>
        <w:rPr>
          <w:rtl/>
        </w:rPr>
      </w:pPr>
      <w:r w:rsidRPr="00B5296E">
        <w:rPr>
          <w:rFonts w:hint="cs"/>
          <w:rtl/>
        </w:rPr>
        <w:t xml:space="preserve">عند تصميم أنظمة الاتصالات الراديوية الساتلية وتقدير تقاسم الترددات،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تتضمن ساتلاً مستقراً بالنسبة إلى الأرض، وهو ما يعد أبسط تشكيل لنظام راديوي، يوصى بالشكلين </w:t>
      </w:r>
      <w:r w:rsidRPr="00B5296E">
        <w:t>13</w:t>
      </w:r>
      <w:r w:rsidRPr="00B5296E">
        <w:rPr>
          <w:rFonts w:hint="cs"/>
          <w:rtl/>
        </w:rPr>
        <w:t xml:space="preserve"> و</w:t>
      </w:r>
      <w:r w:rsidRPr="00B5296E">
        <w:t>14</w:t>
      </w:r>
      <w:r w:rsidRPr="00B5296E">
        <w:rPr>
          <w:rFonts w:hint="cs"/>
          <w:rtl/>
        </w:rPr>
        <w:t xml:space="preserve"> لتقدير وتدريج إحصائيات الحدوث. وتمثل أرقام البقع الشمسية المذكورة متوسط عدد البقع الشمسية خلال </w:t>
      </w:r>
      <w:r w:rsidRPr="00B5296E">
        <w:t>12</w:t>
      </w:r>
      <w:r w:rsidRPr="00B5296E">
        <w:rPr>
          <w:rFonts w:hint="eastAsia"/>
          <w:rtl/>
        </w:rPr>
        <w:t> </w:t>
      </w:r>
      <w:r w:rsidRPr="00B5296E">
        <w:rPr>
          <w:rFonts w:hint="cs"/>
          <w:rtl/>
        </w:rPr>
        <w:t>شهراً.</w:t>
      </w:r>
    </w:p>
    <w:p w14:paraId="2D12ABA7" w14:textId="77777777" w:rsidR="00B5296E" w:rsidRPr="00B5296E" w:rsidRDefault="00B5296E" w:rsidP="0016729E">
      <w:pPr>
        <w:rPr>
          <w:rtl/>
        </w:rPr>
      </w:pPr>
      <w:r w:rsidRPr="00B5296E">
        <w:rPr>
          <w:rFonts w:hint="cs"/>
          <w:rtl/>
        </w:rPr>
        <w:lastRenderedPageBreak/>
        <w:t xml:space="preserve">ومن الممكن استخلاص التوزيع التراكمي طويل الأجل، </w:t>
      </w:r>
      <w:r w:rsidRPr="00B5296E">
        <w:rPr>
          <w:i/>
          <w:iCs/>
        </w:rPr>
        <w:t>P</w:t>
      </w:r>
      <w:r w:rsidRPr="00B5296E">
        <w:t>(</w:t>
      </w:r>
      <w:r w:rsidRPr="00B5296E">
        <w:rPr>
          <w:i/>
          <w:iCs/>
        </w:rPr>
        <w:t>I</w:t>
      </w:r>
      <w:r w:rsidRPr="00B5296E">
        <w:t>)</w:t>
      </w:r>
      <w:r w:rsidRPr="00B5296E">
        <w:rPr>
          <w:rFonts w:hint="cs"/>
          <w:rtl/>
        </w:rPr>
        <w:t xml:space="preserve">، لشدة الإشارة بالنسبة لمتوسط قيمتها من الإحصائيات التراكمية طويلة الأجل، </w:t>
      </w:r>
      <w:r w:rsidRPr="00B5296E">
        <w:t>F(</w:t>
      </w:r>
      <w:r w:rsidRPr="00B5296E">
        <w:sym w:font="Symbol" w:char="F078"/>
      </w:r>
      <w:r w:rsidRPr="00B5296E">
        <w:t>)</w:t>
      </w:r>
      <w:r w:rsidRPr="00B5296E">
        <w:rPr>
          <w:rFonts w:hint="cs"/>
          <w:rtl/>
        </w:rPr>
        <w:t xml:space="preserve">، للتقلب من الذروة إلى الذروة، </w:t>
      </w:r>
      <w:r w:rsidRPr="00B5296E">
        <w:sym w:font="Symbol" w:char="F078"/>
      </w:r>
      <w:r w:rsidRPr="00B5296E">
        <w:rPr>
          <w:rFonts w:hint="cs"/>
          <w:rtl/>
        </w:rPr>
        <w:t xml:space="preserve">، وذلك مثل الإحصاءات المبينة في الشكل </w:t>
      </w:r>
      <w:r w:rsidRPr="00B5296E">
        <w:t>14</w:t>
      </w:r>
      <w:r w:rsidRPr="00B5296E">
        <w:rPr>
          <w:rFonts w:hint="cs"/>
          <w:rtl/>
        </w:rPr>
        <w:t xml:space="preserve"> كما يلي:</w:t>
      </w:r>
    </w:p>
    <w:p w14:paraId="2D140FB9" w14:textId="32CA9025" w:rsidR="00E73B13" w:rsidRPr="003B3F51" w:rsidRDefault="00E73B13" w:rsidP="00E73B13">
      <w:pPr>
        <w:pStyle w:val="Equation"/>
      </w:pPr>
      <w:r>
        <w:tab/>
      </w:r>
      <m:oMath>
        <m:r>
          <w:rPr>
            <w:rFonts w:ascii="Cambria Math" w:hAnsi="Cambria Math"/>
          </w:rPr>
          <m:t>P</m:t>
        </m:r>
        <m:d>
          <m:dPr>
            <m:ctrlPr>
              <w:rPr>
                <w:rFonts w:ascii="Cambria Math" w:hAnsi="Cambria Math"/>
                <w:i/>
              </w:rPr>
            </m:ctrlPr>
          </m:dPr>
          <m:e>
            <m:r>
              <w:rPr>
                <w:rFonts w:ascii="Cambria Math" w:hAnsi="Cambria Math"/>
              </w:rPr>
              <m:t>I</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I</m:t>
                </m:r>
              </m:e>
            </m:d>
          </m:e>
        </m:nary>
      </m:oMath>
      <w:r w:rsidRPr="003B3F51">
        <w:tab/>
        <w:t>(1</w:t>
      </w:r>
      <w:r>
        <w:t>3</w:t>
      </w:r>
      <w:r w:rsidRPr="003B3F51">
        <w:t>)</w:t>
      </w:r>
    </w:p>
    <w:p w14:paraId="532D47E5" w14:textId="77777777" w:rsidR="00B5296E" w:rsidRPr="00B5296E" w:rsidRDefault="00B5296E" w:rsidP="0016729E">
      <w:pPr>
        <w:rPr>
          <w:rtl/>
        </w:rPr>
      </w:pPr>
      <w:r w:rsidRPr="00B5296E">
        <w:rPr>
          <w:rFonts w:hint="cs"/>
          <w:rtl/>
        </w:rPr>
        <w:t>حيث تكون:</w:t>
      </w:r>
    </w:p>
    <w:p w14:paraId="6B18F8A7" w14:textId="0DA1A4AA" w:rsidR="00E73B13" w:rsidRPr="003B3F51" w:rsidRDefault="00E73B13" w:rsidP="00E73B13">
      <w:pPr>
        <w:pStyle w:val="Equation"/>
      </w:pPr>
      <w:r w:rsidRPr="003B3F51">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r>
          <m:rPr>
            <m:sty m:val="p"/>
          </m:rPr>
          <w:rPr>
            <w:rFonts w:ascii="Cambria Math" w:hAnsi="Cambria Math"/>
          </w:rPr>
          <m:t>F</m:t>
        </m:r>
        <m:d>
          <m:dPr>
            <m:ctrlPr>
              <w:rPr>
                <w:rFonts w:ascii="Cambria Math" w:hAnsi="Cambria Math"/>
                <w:i/>
              </w:rPr>
            </m:ctrlPr>
          </m:dPr>
          <m:e>
            <m:r>
              <m:rPr>
                <m:sty m:val="p"/>
              </m:rPr>
              <w:rPr>
                <w:rFonts w:ascii="Cambria Math" w:hAnsi="Cambria Math"/>
              </w:rPr>
              <m:t>ξ</m:t>
            </m:r>
            <m:r>
              <w:rPr>
                <w:rFonts w:ascii="Cambria Math" w:hAnsi="Cambria Math"/>
              </w:rPr>
              <m:t>&lt;</m:t>
            </m:r>
            <m:sSub>
              <m:sSubPr>
                <m:ctrlPr>
                  <w:rPr>
                    <w:rFonts w:ascii="Cambria Math" w:hAnsi="Cambria Math"/>
                    <w:i/>
                  </w:rPr>
                </m:ctrlPr>
              </m:sSubPr>
              <m:e>
                <m:r>
                  <m:rPr>
                    <m:sty m:val="p"/>
                  </m:rPr>
                  <w:rPr>
                    <w:rFonts w:ascii="Cambria Math" w:hAnsi="Cambria Math"/>
                  </w:rPr>
                  <m:t>ξ</m:t>
                </m:r>
              </m:e>
              <m:sub>
                <m:r>
                  <w:rPr>
                    <w:rFonts w:ascii="Cambria Math" w:hAnsi="Cambria Math"/>
                  </w:rPr>
                  <m:t>1</m:t>
                </m:r>
              </m:sub>
            </m:sSub>
          </m:e>
        </m:d>
      </m:oMath>
      <w:r w:rsidRPr="003B3F51">
        <w:tab/>
        <w:t>(1</w:t>
      </w:r>
      <w:r>
        <w:t>3</w:t>
      </w:r>
      <w:r w:rsidRPr="003B3F51">
        <w:t>a)</w:t>
      </w:r>
    </w:p>
    <w:p w14:paraId="38080B51" w14:textId="651EE105" w:rsidR="00E73B13" w:rsidRPr="00152D6E" w:rsidRDefault="00E73B13" w:rsidP="00E73B13">
      <w:pPr>
        <w:pStyle w:val="Equation"/>
        <w:tabs>
          <w:tab w:val="left" w:pos="6840"/>
        </w:tabs>
        <w:rPr>
          <w:lang w:val="it-IT"/>
        </w:rPr>
      </w:pPr>
      <w:r w:rsidRPr="003B3F51">
        <w:tab/>
      </w: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r>
          <m:rPr>
            <m:sty m:val="p"/>
          </m:rPr>
          <w:rPr>
            <w:rFonts w:ascii="Cambria Math" w:hAnsi="Cambria Math"/>
          </w:rPr>
          <m:t>F</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ξ</m:t>
                </m:r>
              </m:e>
              <m:sub>
                <m:r>
                  <w:rPr>
                    <w:rFonts w:ascii="Cambria Math" w:hAnsi="Cambria Math"/>
                  </w:rPr>
                  <m:t>1</m:t>
                </m:r>
              </m:sub>
            </m:sSub>
            <m:r>
              <w:rPr>
                <w:rFonts w:ascii="Cambria Math" w:hAnsi="Cambria Math"/>
              </w:rPr>
              <m:t>≤</m:t>
            </m:r>
            <m:r>
              <m:rPr>
                <m:sty m:val="p"/>
              </m:rPr>
              <w:rPr>
                <w:rFonts w:ascii="Cambria Math" w:hAnsi="Cambria Math"/>
              </w:rPr>
              <m:t>ξ&lt;</m:t>
            </m:r>
            <m:sSub>
              <m:sSubPr>
                <m:ctrlPr>
                  <w:rPr>
                    <w:rFonts w:ascii="Cambria Math" w:hAnsi="Cambria Math"/>
                    <w:i/>
                  </w:rPr>
                </m:ctrlPr>
              </m:sSubPr>
              <m:e>
                <m:r>
                  <m:rPr>
                    <m:sty m:val="p"/>
                  </m:rPr>
                  <w:rPr>
                    <w:rFonts w:ascii="Cambria Math" w:hAnsi="Cambria Math"/>
                  </w:rPr>
                  <m:t>ξ</m:t>
                </m:r>
              </m:e>
              <m:sub>
                <m:r>
                  <w:rPr>
                    <w:rFonts w:ascii="Cambria Math" w:hAnsi="Cambria Math"/>
                  </w:rPr>
                  <m:t>i+1</m:t>
                </m:r>
              </m:sub>
            </m:sSub>
          </m:e>
        </m:d>
      </m:oMath>
      <w:r w:rsidRPr="003B3F51">
        <w:tab/>
      </w:r>
      <w:r w:rsidRPr="00872995">
        <w:rPr>
          <w:lang w:val="it-IT"/>
        </w:rPr>
        <w:t>(</w:t>
      </w:r>
      <w:r w:rsidRPr="00CF5D03">
        <w:rPr>
          <w:i/>
          <w:lang w:val="it-IT"/>
        </w:rPr>
        <w:t>i</w:t>
      </w:r>
      <w:r w:rsidRPr="00CF5D03">
        <w:rPr>
          <w:lang w:val="it-IT"/>
        </w:rPr>
        <w:t xml:space="preserve"> </w:t>
      </w:r>
      <w:r>
        <w:rPr>
          <w:lang w:val="it-IT"/>
        </w:rPr>
        <w:t>=</w:t>
      </w:r>
      <w:r w:rsidRPr="00CF5D03">
        <w:rPr>
          <w:lang w:val="it-IT"/>
        </w:rPr>
        <w:t xml:space="preserve"> 1, 2, …, </w:t>
      </w:r>
      <w:r w:rsidRPr="00CF5D03">
        <w:rPr>
          <w:i/>
          <w:lang w:val="it-IT"/>
        </w:rPr>
        <w:t>n</w:t>
      </w:r>
      <w:r w:rsidRPr="00CF5D03">
        <w:rPr>
          <w:lang w:val="it-IT"/>
        </w:rPr>
        <w:t xml:space="preserve"> – 1)</w:t>
      </w:r>
      <w:r w:rsidRPr="00CF5D03">
        <w:rPr>
          <w:lang w:val="it-IT"/>
        </w:rPr>
        <w:tab/>
        <w:t>(</w:t>
      </w:r>
      <w:r w:rsidRPr="00872995">
        <w:rPr>
          <w:lang w:val="it-IT"/>
        </w:rPr>
        <w:t>13b</w:t>
      </w:r>
      <w:r w:rsidRPr="00152D6E">
        <w:rPr>
          <w:lang w:val="it-IT"/>
        </w:rPr>
        <w:t>)</w:t>
      </w:r>
    </w:p>
    <w:p w14:paraId="27A6E497" w14:textId="749AF028" w:rsidR="00E73B13" w:rsidRPr="00CF5D03" w:rsidRDefault="00E73B13" w:rsidP="00E73B13">
      <w:pPr>
        <w:pStyle w:val="Equation"/>
        <w:rPr>
          <w:lang w:val="it-IT"/>
        </w:rPr>
      </w:pPr>
      <w:r>
        <w:rPr>
          <w:lang w:val="it-IT"/>
        </w:rPr>
        <w:tab/>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r>
          <m:rPr>
            <m:sty m:val="p"/>
          </m:rPr>
          <w:rPr>
            <w:rFonts w:ascii="Cambria Math" w:hAnsi="Cambria Math"/>
          </w:rPr>
          <m:t>F</m:t>
        </m:r>
        <m:d>
          <m:dPr>
            <m:ctrlPr>
              <w:rPr>
                <w:rFonts w:ascii="Cambria Math" w:hAnsi="Cambria Math"/>
                <w:i/>
              </w:rPr>
            </m:ctrlPr>
          </m:dPr>
          <m:e>
            <m:r>
              <m:rPr>
                <m:sty m:val="p"/>
              </m:rPr>
              <w:rPr>
                <w:rFonts w:ascii="Cambria Math" w:hAnsi="Cambria Math"/>
              </w:rPr>
              <m:t>ξ</m:t>
            </m:r>
            <m:r>
              <w:rPr>
                <w:rFonts w:ascii="Cambria Math" w:hAnsi="Cambria Math"/>
              </w:rPr>
              <m:t>≥</m:t>
            </m:r>
            <m:sSub>
              <m:sSubPr>
                <m:ctrlPr>
                  <w:rPr>
                    <w:rFonts w:ascii="Cambria Math" w:hAnsi="Cambria Math"/>
                    <w:i/>
                  </w:rPr>
                </m:ctrlPr>
              </m:sSubPr>
              <m:e>
                <m:r>
                  <m:rPr>
                    <m:sty m:val="p"/>
                  </m:rPr>
                  <w:rPr>
                    <w:rFonts w:ascii="Cambria Math" w:hAnsi="Cambria Math"/>
                  </w:rPr>
                  <m:t>ξ</m:t>
                </m:r>
              </m:e>
              <m:sub>
                <m:r>
                  <w:rPr>
                    <w:rFonts w:ascii="Cambria Math" w:hAnsi="Cambria Math"/>
                  </w:rPr>
                  <m:t>n</m:t>
                </m:r>
              </m:sub>
            </m:sSub>
          </m:e>
        </m:d>
      </m:oMath>
      <w:r w:rsidRPr="00872995">
        <w:rPr>
          <w:lang w:val="it-IT"/>
        </w:rPr>
        <w:tab/>
        <w:t>(13c)</w:t>
      </w:r>
    </w:p>
    <w:p w14:paraId="2496C770" w14:textId="77777777" w:rsidR="00A70A0E" w:rsidRPr="00A70A0E" w:rsidRDefault="00A70A0E" w:rsidP="00A70A0E">
      <w:pPr>
        <w:tabs>
          <w:tab w:val="decimal" w:pos="4500"/>
        </w:tabs>
        <w:overflowPunct/>
        <w:autoSpaceDE/>
        <w:autoSpaceDN/>
        <w:adjustRightInd/>
        <w:textAlignment w:val="auto"/>
        <w:rPr>
          <w:rFonts w:eastAsia="SimSun"/>
          <w:rtl/>
          <w:lang w:eastAsia="zh-CN"/>
        </w:rPr>
      </w:pPr>
      <w:r w:rsidRPr="00A70A0E">
        <w:rPr>
          <w:rFonts w:eastAsia="SimSun" w:hint="cs"/>
          <w:rtl/>
          <w:lang w:eastAsia="zh-CN"/>
        </w:rPr>
        <w:t>و</w:t>
      </w:r>
      <w:r w:rsidRPr="00A70A0E">
        <w:rPr>
          <w:rFonts w:eastAsia="SimSun"/>
          <w:lang w:eastAsia="zh-CN"/>
        </w:rPr>
        <w:sym w:font="Symbol" w:char="F078"/>
      </w:r>
      <w:r w:rsidRPr="00A70A0E">
        <w:rPr>
          <w:rFonts w:eastAsia="SimSun"/>
          <w:vertAlign w:val="subscript"/>
          <w:lang w:eastAsia="zh-CN"/>
        </w:rPr>
        <w:t>1</w:t>
      </w:r>
      <w:r w:rsidRPr="00A70A0E">
        <w:rPr>
          <w:rFonts w:eastAsia="SimSun" w:hint="cs"/>
          <w:rtl/>
          <w:lang w:eastAsia="zh-CN"/>
        </w:rPr>
        <w:t xml:space="preserve"> و</w:t>
      </w:r>
      <w:r w:rsidRPr="00A70A0E">
        <w:rPr>
          <w:rFonts w:eastAsia="SimSun"/>
          <w:lang w:eastAsia="zh-CN"/>
        </w:rPr>
        <w:sym w:font="Symbol" w:char="F078"/>
      </w:r>
      <w:r w:rsidRPr="00A70A0E">
        <w:rPr>
          <w:rFonts w:eastAsia="SimSun"/>
          <w:i/>
          <w:iCs/>
          <w:vertAlign w:val="subscript"/>
          <w:lang w:eastAsia="zh-CN"/>
        </w:rPr>
        <w:t>n</w:t>
      </w:r>
      <w:r w:rsidRPr="00A70A0E">
        <w:rPr>
          <w:rFonts w:eastAsia="SimSun" w:hint="cs"/>
          <w:rtl/>
          <w:lang w:eastAsia="zh-CN"/>
        </w:rPr>
        <w:t xml:space="preserve"> هما القيمتان القصوى والدنيا على التوالي للتقلب من الذروة إلى الذروة، وتكون </w:t>
      </w:r>
      <w:r w:rsidRPr="00A70A0E">
        <w:rPr>
          <w:rFonts w:eastAsia="SimSun"/>
          <w:i/>
          <w:iCs/>
          <w:lang w:eastAsia="zh-CN"/>
        </w:rPr>
        <w:t>n</w:t>
      </w:r>
      <w:r w:rsidRPr="00A70A0E">
        <w:rPr>
          <w:rFonts w:eastAsia="SimSun" w:hint="cs"/>
          <w:rtl/>
          <w:lang w:eastAsia="zh-CN"/>
        </w:rPr>
        <w:t xml:space="preserve"> هي رقم الفترة </w:t>
      </w:r>
      <w:r w:rsidRPr="00A70A0E">
        <w:rPr>
          <w:rFonts w:eastAsia="SimSun"/>
          <w:lang w:eastAsia="zh-CN"/>
        </w:rPr>
        <w:sym w:font="Symbol" w:char="F078"/>
      </w:r>
      <w:r w:rsidRPr="00A70A0E">
        <w:rPr>
          <w:rFonts w:eastAsia="SimSun" w:hint="cs"/>
          <w:rtl/>
          <w:lang w:eastAsia="zh-CN"/>
        </w:rPr>
        <w:t xml:space="preserve"> التي تهم المستخدم:</w:t>
      </w:r>
    </w:p>
    <w:p w14:paraId="25E70F2C" w14:textId="559FE804" w:rsidR="00E73B13" w:rsidRPr="00D44AEC" w:rsidRDefault="00E73B13" w:rsidP="00E73B13">
      <w:pPr>
        <w:pStyle w:val="Equation"/>
        <w:rPr>
          <w:lang w:val="it-IT"/>
        </w:rPr>
      </w:pPr>
      <w:r>
        <w:tab/>
      </w:r>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m:t>
        </m:r>
        <m:f>
          <m:fPr>
            <m:type m:val="lin"/>
            <m:ctrlPr>
              <w:rPr>
                <w:rFonts w:ascii="Cambria Math" w:hAnsi="Cambria Math"/>
                <w:i/>
              </w:rPr>
            </m:ctrlPr>
          </m:fPr>
          <m:num>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I</m:t>
                </m:r>
              </m:e>
            </m:d>
          </m:num>
          <m:den>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den>
        </m:f>
      </m:oMath>
      <w:r w:rsidRPr="003B3F51">
        <w:tab/>
      </w:r>
      <w:r w:rsidRPr="00D44AEC">
        <w:rPr>
          <w:lang w:val="it-IT"/>
        </w:rPr>
        <w:t>(1</w:t>
      </w:r>
      <w:r>
        <w:rPr>
          <w:lang w:val="it-IT"/>
        </w:rPr>
        <w:t>3</w:t>
      </w:r>
      <w:r w:rsidRPr="00D44AEC">
        <w:rPr>
          <w:lang w:val="it-IT"/>
        </w:rPr>
        <w:t>d)</w:t>
      </w:r>
    </w:p>
    <w:p w14:paraId="2C3DDC35" w14:textId="4E9BB9FE" w:rsidR="00E73B13" w:rsidRPr="009E341B" w:rsidRDefault="00E73B13" w:rsidP="00E73B13">
      <w:pPr>
        <w:pStyle w:val="Equation"/>
        <w:rPr>
          <w:lang w:val="de-CH"/>
        </w:rPr>
      </w:pPr>
      <w:r w:rsidRPr="00D44AEC">
        <w:rPr>
          <w:lang w:val="it-IT"/>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5.69exp</m:t>
            </m:r>
            <m:d>
              <m:dPr>
                <m:ctrlPr>
                  <w:rPr>
                    <w:rFonts w:ascii="Cambria Math" w:hAnsi="Cambria Math"/>
                  </w:rPr>
                </m:ctrlPr>
              </m:dPr>
              <m:e>
                <m:r>
                  <m:rPr>
                    <m:sty m:val="p"/>
                  </m:rPr>
                  <w:rPr>
                    <w:rFonts w:ascii="Cambria Math" w:hAnsi="Cambria Math"/>
                    <w:lang w:val="de-CH"/>
                  </w:rPr>
                  <m:t>-3.055</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r>
              <m:rPr>
                <m:sty m:val="p"/>
              </m:rPr>
              <w:rPr>
                <w:rFonts w:ascii="Cambria Math" w:hAnsi="Cambria Math"/>
                <w:lang w:val="de-CH"/>
              </w:rPr>
              <m:t>+0.292exp</m:t>
            </m:r>
            <m:d>
              <m:dPr>
                <m:ctrlPr>
                  <w:rPr>
                    <w:rFonts w:ascii="Cambria Math" w:hAnsi="Cambria Math"/>
                  </w:rPr>
                </m:ctrlPr>
              </m:dPr>
              <m:e>
                <m:r>
                  <m:rPr>
                    <m:sty m:val="p"/>
                  </m:rPr>
                  <w:rPr>
                    <w:rFonts w:ascii="Cambria Math" w:hAnsi="Cambria Math"/>
                    <w:lang w:val="de-CH"/>
                  </w:rPr>
                  <m:t>0.344</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e>
        </m:d>
      </m:oMath>
      <w:r w:rsidRPr="009E341B">
        <w:rPr>
          <w:lang w:val="de-CH"/>
        </w:rPr>
        <w:tab/>
      </w:r>
      <w:r w:rsidRPr="003B3F51">
        <w:rPr>
          <w:position w:val="-10"/>
        </w:rPr>
        <w:object w:dxaOrig="180" w:dyaOrig="320" w14:anchorId="658B9442">
          <v:shape id="_x0000_i1028" type="#_x0000_t75" alt="" style="width:7.5pt;height:14.55pt;mso-width-percent:0;mso-height-percent:0;mso-width-percent:0;mso-height-percent:0" o:ole="">
            <v:imagedata r:id="rId42" o:title=""/>
          </v:shape>
          <o:OLEObject Type="Embed" ProgID="Equation.2" ShapeID="_x0000_i1028" DrawAspect="Content" ObjectID="_1824969399" r:id="rId43"/>
        </w:object>
      </w:r>
      <w:r w:rsidRPr="009E341B">
        <w:rPr>
          <w:lang w:val="de-CH"/>
        </w:rPr>
        <w:t>(1</w:t>
      </w:r>
      <w:r>
        <w:rPr>
          <w:lang w:val="de-CH"/>
        </w:rPr>
        <w:t>3</w:t>
      </w:r>
      <w:r w:rsidRPr="009E341B">
        <w:rPr>
          <w:lang w:val="de-CH"/>
        </w:rPr>
        <w:t>e)</w:t>
      </w:r>
    </w:p>
    <w:p w14:paraId="5C35B332" w14:textId="68FC2DB6" w:rsidR="00E73B13" w:rsidRPr="009E341B" w:rsidRDefault="00E73B13" w:rsidP="00E73B13">
      <w:pPr>
        <w:pStyle w:val="Equation"/>
        <w:rPr>
          <w:lang w:val="de-CH"/>
        </w:rPr>
      </w:pPr>
      <w:r w:rsidRPr="009E341B">
        <w:rPr>
          <w:lang w:val="de-CH"/>
        </w:rPr>
        <w:tab/>
      </w:r>
      <w:r w:rsidRPr="003B3F51">
        <w:rPr>
          <w:position w:val="-28"/>
        </w:rPr>
        <w:object w:dxaOrig="2220" w:dyaOrig="760" w14:anchorId="36C39479">
          <v:shape id="_x0000_i1029" type="#_x0000_t75" alt="" style="width:116.55pt;height:34.95pt;mso-width-percent:0;mso-height-percent:0;mso-width-percent:0;mso-height-percent:0" o:ole="">
            <v:imagedata r:id="rId44" o:title=""/>
          </v:shape>
          <o:OLEObject Type="Embed" ProgID="Equation.3" ShapeID="_x0000_i1029" DrawAspect="Content" ObjectID="_1824969400" r:id="rId45"/>
        </w:object>
      </w:r>
      <w:r w:rsidRPr="009E341B">
        <w:rPr>
          <w:lang w:val="de-CH"/>
        </w:rPr>
        <w:tab/>
        <w:t>(</w:t>
      </w:r>
      <w:r w:rsidRPr="004D08FB">
        <w:rPr>
          <w:lang w:val="de-CH"/>
        </w:rPr>
        <w:t>13f</w:t>
      </w:r>
      <w:r w:rsidRPr="009E341B">
        <w:rPr>
          <w:lang w:val="de-CH"/>
        </w:rPr>
        <w:t>)</w:t>
      </w:r>
    </w:p>
    <w:p w14:paraId="13286C1E" w14:textId="7E45519F" w:rsidR="00E73B13" w:rsidRPr="003B3F51" w:rsidRDefault="00E73B13" w:rsidP="00E73B13">
      <w:pPr>
        <w:pStyle w:val="Equation"/>
        <w:tabs>
          <w:tab w:val="left" w:pos="6840"/>
        </w:tabs>
      </w:pPr>
      <w:r w:rsidRPr="009E341B">
        <w:rPr>
          <w:lang w:val="de-CH"/>
        </w:rPr>
        <w:tab/>
      </w:r>
      <w:r w:rsidRPr="003B3F51">
        <w:rPr>
          <w:position w:val="-32"/>
        </w:rPr>
        <w:object w:dxaOrig="2880" w:dyaOrig="840" w14:anchorId="0823C066">
          <v:shape id="_x0000_i1030" type="#_x0000_t75" alt="" style="width:2in;height:42.45pt;mso-width-percent:0;mso-height-percent:0;mso-width-percent:0;mso-height-percent:0" o:ole="">
            <v:imagedata r:id="rId46" o:title=""/>
          </v:shape>
          <o:OLEObject Type="Embed" ProgID="Equation.3" ShapeID="_x0000_i1030" DrawAspect="Content" ObjectID="_1824969401" r:id="rId47"/>
        </w:object>
      </w:r>
      <w:r w:rsidRPr="003B3F51">
        <w:tab/>
        <w:t>(</w:t>
      </w:r>
      <w:proofErr w:type="spellStart"/>
      <w:r w:rsidRPr="003B3F51">
        <w:rPr>
          <w:i/>
        </w:rPr>
        <w:t>i</w:t>
      </w:r>
      <w:proofErr w:type="spellEnd"/>
      <w:r w:rsidRPr="003B3F51">
        <w:t xml:space="preserve"> </w:t>
      </w:r>
      <w:r>
        <w:t>=</w:t>
      </w:r>
      <w:r w:rsidRPr="003B3F51">
        <w:t xml:space="preserve"> 1, 2, … </w:t>
      </w:r>
      <w:r w:rsidRPr="003B3F51">
        <w:rPr>
          <w:i/>
        </w:rPr>
        <w:t>n</w:t>
      </w:r>
      <w:r w:rsidRPr="003B3F51">
        <w:t xml:space="preserve"> – 1)</w:t>
      </w:r>
      <w:r w:rsidRPr="003B3F51">
        <w:tab/>
        <w:t>(1</w:t>
      </w:r>
      <w:r>
        <w:t>3</w:t>
      </w:r>
      <w:r w:rsidRPr="003B3F51">
        <w:t>g)</w:t>
      </w:r>
    </w:p>
    <w:p w14:paraId="10C88468" w14:textId="30885FA2" w:rsidR="00E73B13" w:rsidRPr="003B3F51" w:rsidRDefault="00E73B13" w:rsidP="00E73B13">
      <w:pPr>
        <w:pStyle w:val="Equation"/>
      </w:pPr>
      <w:r w:rsidRPr="003B3F51">
        <w:tab/>
      </w:r>
      <w:r w:rsidRPr="003B3F51">
        <w:rPr>
          <w:position w:val="-32"/>
          <w:sz w:val="28"/>
        </w:rPr>
        <w:object w:dxaOrig="3180" w:dyaOrig="840" w14:anchorId="5E98C5BF">
          <v:shape id="_x0000_i1031" type="#_x0000_t75" alt="" style="width:157.75pt;height:42.45pt;mso-width-percent:0;mso-height-percent:0;mso-width-percent:0;mso-height-percent:0" o:ole="">
            <v:imagedata r:id="rId48" o:title=""/>
          </v:shape>
          <o:OLEObject Type="Embed" ProgID="Equation.3" ShapeID="_x0000_i1031" DrawAspect="Content" ObjectID="_1824969402" r:id="rId49"/>
        </w:object>
      </w:r>
      <w:r w:rsidRPr="003B3F51">
        <w:tab/>
        <w:t>(1</w:t>
      </w:r>
      <w:r>
        <w:t>3</w:t>
      </w:r>
      <w:r w:rsidRPr="003B3F51">
        <w:t>h)</w:t>
      </w:r>
    </w:p>
    <w:p w14:paraId="535729B5" w14:textId="57378011" w:rsidR="00B5296E" w:rsidRPr="00B5296E" w:rsidRDefault="00B5296E" w:rsidP="005E3D1A">
      <w:pPr>
        <w:rPr>
          <w:rtl/>
        </w:rPr>
      </w:pPr>
      <w:r w:rsidRPr="00B5296E">
        <w:rPr>
          <w:rFonts w:hint="cs"/>
          <w:rtl/>
        </w:rPr>
        <w:t xml:space="preserve">ويبين الشكل </w:t>
      </w:r>
      <w:r w:rsidRPr="00B5296E">
        <w:t>15</w:t>
      </w:r>
      <w:r w:rsidRPr="00B5296E">
        <w:rPr>
          <w:rFonts w:hint="cs"/>
          <w:rtl/>
        </w:rPr>
        <w:t xml:space="preserve"> مثالاً للتوزيع التراكمي طويل الأجل لشدة الإشارة والذي يستخلص من المنحنى </w:t>
      </w:r>
      <w:r w:rsidRPr="00B5296E">
        <w:t>P6</w:t>
      </w:r>
      <w:r w:rsidRPr="00B5296E">
        <w:rPr>
          <w:rFonts w:hint="cs"/>
          <w:rtl/>
        </w:rPr>
        <w:t xml:space="preserve"> في الشكل</w:t>
      </w:r>
      <w:r w:rsidRPr="00B5296E">
        <w:rPr>
          <w:rFonts w:hint="eastAsia"/>
          <w:rtl/>
        </w:rPr>
        <w:t> </w:t>
      </w:r>
      <w:r w:rsidRPr="00B5296E">
        <w:t>14</w:t>
      </w:r>
      <w:r w:rsidRPr="00B5296E">
        <w:rPr>
          <w:rFonts w:hint="cs"/>
          <w:rtl/>
        </w:rPr>
        <w:t>.</w:t>
      </w:r>
    </w:p>
    <w:p w14:paraId="51E7F6CB" w14:textId="77777777" w:rsidR="00B5296E" w:rsidRPr="00B5296E" w:rsidRDefault="00B5296E" w:rsidP="00C12551">
      <w:pPr>
        <w:pStyle w:val="Heading2"/>
        <w:rPr>
          <w:rtl/>
        </w:rPr>
      </w:pPr>
      <w:bookmarkStart w:id="50" w:name="_Toc404087337"/>
      <w:bookmarkStart w:id="51" w:name="_Toc493768818"/>
      <w:r w:rsidRPr="00B5296E">
        <w:t>7.5</w:t>
      </w:r>
      <w:r w:rsidRPr="00B5296E">
        <w:rPr>
          <w:rFonts w:hint="cs"/>
          <w:rtl/>
        </w:rPr>
        <w:tab/>
        <w:t>حدوث الالتماع الأيونوسفيري وخبو المطر في آن معاً</w:t>
      </w:r>
      <w:bookmarkEnd w:id="50"/>
      <w:bookmarkEnd w:id="51"/>
    </w:p>
    <w:p w14:paraId="4AF3B51E" w14:textId="64536262" w:rsidR="00B5296E" w:rsidRPr="00B5296E" w:rsidRDefault="00B5296E" w:rsidP="0016729E">
      <w:pPr>
        <w:rPr>
          <w:rtl/>
        </w:rPr>
      </w:pPr>
      <w:r w:rsidRPr="00B5296E">
        <w:rPr>
          <w:rFonts w:hint="cs"/>
          <w:rtl/>
        </w:rPr>
        <w:t>يعد الالتماع الأيونوسفيري والخبو الناتج عن المطر عاملي انحطاط يرجعان إلى مصدرين ماديين مختلفين تمام الاختلاف. ولكن قد</w:t>
      </w:r>
      <w:r w:rsidRPr="00B5296E">
        <w:rPr>
          <w:rFonts w:hint="eastAsia"/>
          <w:rtl/>
        </w:rPr>
        <w:t> </w:t>
      </w:r>
      <w:r w:rsidRPr="00B5296E">
        <w:rPr>
          <w:rFonts w:hint="cs"/>
          <w:rtl/>
        </w:rPr>
        <w:t xml:space="preserve">يحدث في المناطق المدارية خلال السنوات التي يكون فيها عدد البقع الشمسية عالياً أن يكون لوقوع الظاهرتين في وقت واحد نسبة مئوية زمنية سنوية ذات أهمية بالنسبة لتصميم الأنظمة. ولقد بلغ زمن الحدوث الآني المتراكم </w:t>
      </w:r>
      <w:r w:rsidRPr="00B5296E">
        <w:t>%0,06</w:t>
      </w:r>
      <w:r w:rsidRPr="00B5296E">
        <w:rPr>
          <w:rFonts w:hint="cs"/>
          <w:rtl/>
        </w:rPr>
        <w:t xml:space="preserve"> سنوياً كما لوحظ عند</w:t>
      </w:r>
      <w:r w:rsidR="005E3D1A">
        <w:rPr>
          <w:rFonts w:hint="eastAsia"/>
          <w:rtl/>
        </w:rPr>
        <w:t> </w:t>
      </w:r>
      <w:r w:rsidRPr="00B5296E">
        <w:t>GHz 4</w:t>
      </w:r>
      <w:r w:rsidRPr="00B5296E">
        <w:rPr>
          <w:rFonts w:hint="cs"/>
          <w:rtl/>
        </w:rPr>
        <w:t xml:space="preserve"> في محطة الأرض في جوتيلوهار بإندونيسيا.</w:t>
      </w:r>
    </w:p>
    <w:p w14:paraId="027824E8" w14:textId="77777777" w:rsidR="00B5296E" w:rsidRPr="00B5296E" w:rsidRDefault="00B5296E" w:rsidP="0016729E">
      <w:pPr>
        <w:rPr>
          <w:rtl/>
        </w:rPr>
      </w:pPr>
      <w:r w:rsidRPr="00B5296E">
        <w:rPr>
          <w:rFonts w:hint="cs"/>
          <w:rtl/>
        </w:rPr>
        <w:t>وللأحداث المتآونة توقيعات كثيراً ما تكون شديدة الاختلاف عن الأحداث التي لا تنطوي إلا على عامل انحطاط واحد؛ فإما الالتماع أو المطر. وفي حين أن الالتماع الأيونوسفيري وحده لا يشكل ظاهرة لإزالة الاستقطاب وأن الخبو بسبب المطر لا</w:t>
      </w:r>
      <w:r w:rsidRPr="00B5296E">
        <w:rPr>
          <w:rFonts w:hint="eastAsia"/>
          <w:rtl/>
        </w:rPr>
        <w:t> </w:t>
      </w:r>
      <w:r w:rsidRPr="00B5296E">
        <w:rPr>
          <w:rFonts w:hint="cs"/>
          <w:rtl/>
        </w:rPr>
        <w:t>يشكل بمفرده عامل تقلب في الإشارة (ولو أنه قد يسبب تقلبات استقطاب خفيفة للالتماعات من معتدلة إلى قوية)، فإن الأحداث المتآونة تؤدي إلى قدر كبير من تقلبات الإشارة في قناة الاستقطاب المتقاطع. وهناك حاجة للتعرف على هذه الأحداث المتآونة في حالة التطبيقات على الشبكات/الأنظمة الراديوية من الساتل إلى الأرض التي تتطلب درجة عالية من التيسر.</w:t>
      </w:r>
    </w:p>
    <w:p w14:paraId="562C8610" w14:textId="47AC87ED" w:rsidR="00B5296E" w:rsidRPr="00D91702" w:rsidRDefault="00B5296E" w:rsidP="005E3D1A">
      <w:pPr>
        <w:rPr>
          <w:rtl/>
        </w:rPr>
      </w:pPr>
      <w:r w:rsidRPr="00D91702">
        <w:rPr>
          <w:rFonts w:hint="cs"/>
          <w:rtl/>
        </w:rPr>
        <w:t xml:space="preserve">ويرد وصف التنبؤ بالخبو الناجم عن المطر في التوصية </w:t>
      </w:r>
      <w:hyperlink r:id="rId50" w:history="1">
        <w:r w:rsidR="005E3D1A" w:rsidRPr="00D91702">
          <w:rPr>
            <w:rStyle w:val="Hyperlink"/>
            <w:color w:val="auto"/>
            <w:u w:val="none"/>
            <w:lang w:val="en-GB"/>
          </w:rPr>
          <w:t>ITU-R P.618</w:t>
        </w:r>
      </w:hyperlink>
      <w:r w:rsidRPr="00D91702">
        <w:rPr>
          <w:rFonts w:hint="cs"/>
          <w:rtl/>
          <w:lang w:bidi="ar-EG"/>
        </w:rPr>
        <w:t>.</w:t>
      </w:r>
    </w:p>
    <w:p w14:paraId="051FECFC" w14:textId="77777777" w:rsidR="00B5296E" w:rsidRPr="00B5296E" w:rsidRDefault="00B5296E" w:rsidP="00C12551">
      <w:pPr>
        <w:pStyle w:val="FigureNo"/>
        <w:rPr>
          <w:rtl/>
        </w:rPr>
      </w:pPr>
      <w:r w:rsidRPr="00B5296E">
        <w:rPr>
          <w:rFonts w:hint="cs"/>
          <w:rtl/>
        </w:rPr>
        <w:lastRenderedPageBreak/>
        <w:t xml:space="preserve">الشـكل </w:t>
      </w:r>
      <w:r w:rsidRPr="00B5296E">
        <w:rPr>
          <w:lang w:bidi="ar-SA"/>
        </w:rPr>
        <w:t>13</w:t>
      </w:r>
    </w:p>
    <w:p w14:paraId="34D32982" w14:textId="77777777" w:rsidR="00B5296E" w:rsidRPr="00B5296E" w:rsidRDefault="00B5296E" w:rsidP="00C12551">
      <w:pPr>
        <w:pStyle w:val="Figuretitle"/>
        <w:rPr>
          <w:rtl/>
        </w:rPr>
      </w:pPr>
      <w:r w:rsidRPr="00B5296E">
        <w:rPr>
          <w:rFonts w:hint="cs"/>
          <w:rtl/>
        </w:rPr>
        <w:t>تأثير الرقم الشهري المتوسط للبقع الشمسية على</w:t>
      </w:r>
      <w:r w:rsidRPr="00B5296E">
        <w:rPr>
          <w:rtl/>
        </w:rPr>
        <w:br/>
      </w:r>
      <w:r w:rsidRPr="00B5296E">
        <w:rPr>
          <w:rFonts w:hint="cs"/>
          <w:rtl/>
        </w:rPr>
        <w:t xml:space="preserve">الالتماعات الأيونوسفيرية الاستوائية عند </w:t>
      </w:r>
      <w:r w:rsidRPr="00B5296E">
        <w:rPr>
          <w:lang w:bidi="ar-SA"/>
        </w:rPr>
        <w:t>GHz 4</w:t>
      </w:r>
    </w:p>
    <w:p w14:paraId="23EC2F47" w14:textId="77777777" w:rsidR="00B5296E" w:rsidRPr="00B5296E" w:rsidRDefault="00B5296E" w:rsidP="0016729E">
      <w:pPr>
        <w:pStyle w:val="Figure"/>
        <w:rPr>
          <w:rtl/>
        </w:rPr>
      </w:pPr>
      <w:r w:rsidRPr="00B5296E">
        <w:rPr>
          <w:noProof/>
        </w:rPr>
        <w:drawing>
          <wp:inline distT="0" distB="0" distL="0" distR="0" wp14:anchorId="43117406" wp14:editId="21DCC5E2">
            <wp:extent cx="3335020" cy="5697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5020" cy="5697855"/>
                    </a:xfrm>
                    <a:prstGeom prst="rect">
                      <a:avLst/>
                    </a:prstGeom>
                    <a:noFill/>
                    <a:ln>
                      <a:noFill/>
                    </a:ln>
                  </pic:spPr>
                </pic:pic>
              </a:graphicData>
            </a:graphic>
          </wp:inline>
        </w:drawing>
      </w:r>
    </w:p>
    <w:p w14:paraId="36DE8279" w14:textId="77777777" w:rsidR="00B5296E" w:rsidRPr="00B5296E" w:rsidRDefault="00B5296E" w:rsidP="00C12551">
      <w:pPr>
        <w:pStyle w:val="Heading2"/>
        <w:rPr>
          <w:rtl/>
        </w:rPr>
      </w:pPr>
      <w:bookmarkStart w:id="52" w:name="_Toc404087338"/>
      <w:bookmarkStart w:id="53" w:name="_Toc493768819"/>
      <w:r w:rsidRPr="00B5296E">
        <w:t>8.5</w:t>
      </w:r>
      <w:r w:rsidRPr="00B5296E">
        <w:rPr>
          <w:rFonts w:hint="cs"/>
          <w:rtl/>
        </w:rPr>
        <w:tab/>
        <w:t xml:space="preserve">نموذج الالتماع بالوحدات </w:t>
      </w:r>
      <w:r w:rsidRPr="00B5296E">
        <w:t>GHz</w:t>
      </w:r>
      <w:bookmarkEnd w:id="52"/>
      <w:bookmarkEnd w:id="53"/>
    </w:p>
    <w:p w14:paraId="114020F8" w14:textId="77777777" w:rsidR="00B5296E" w:rsidRPr="00B5296E" w:rsidRDefault="00B5296E" w:rsidP="0016729E">
      <w:pPr>
        <w:rPr>
          <w:rtl/>
        </w:rPr>
      </w:pPr>
      <w:r w:rsidRPr="00B5296E">
        <w:rPr>
          <w:rFonts w:hint="cs"/>
          <w:rtl/>
        </w:rPr>
        <w:t>يمكن أن تستخدم الخطوات التالية من أجل تقييم آثار الالتماع التي يمكن توقعها في حالة ما:</w:t>
      </w:r>
    </w:p>
    <w:p w14:paraId="643D88BB" w14:textId="363CD54C" w:rsidR="00B5296E" w:rsidRPr="00B5296E" w:rsidRDefault="00B5296E" w:rsidP="0016729E">
      <w:pPr>
        <w:rPr>
          <w:rtl/>
        </w:rPr>
      </w:pPr>
      <w:r w:rsidRPr="00B5296E">
        <w:rPr>
          <w:rFonts w:hint="cs"/>
          <w:i/>
          <w:iCs/>
          <w:rtl/>
        </w:rPr>
        <w:t xml:space="preserve">الخطوة </w:t>
      </w:r>
      <w:r w:rsidRPr="00B5296E">
        <w:rPr>
          <w:i/>
          <w:iCs/>
        </w:rPr>
        <w:t>1</w:t>
      </w:r>
      <w:r w:rsidRPr="00B5296E">
        <w:rPr>
          <w:rFonts w:hint="cs"/>
          <w:rtl/>
        </w:rPr>
        <w:t xml:space="preserve">: يقدم الشكل </w:t>
      </w:r>
      <w:r w:rsidRPr="00B5296E">
        <w:t>14</w:t>
      </w:r>
      <w:r w:rsidRPr="00B5296E">
        <w:rPr>
          <w:rFonts w:hint="cs"/>
          <w:rtl/>
        </w:rPr>
        <w:t xml:space="preserve"> إحصائيات لأحداث التماع في مسيرات أيونوسفيرية مدارية: تقلبات الاتساع من ذروة إلى ذروة</w:t>
      </w:r>
      <w:r w:rsidR="005E3D1A">
        <w:rPr>
          <w:rFonts w:hint="eastAsia"/>
          <w:rtl/>
        </w:rPr>
        <w:t> </w:t>
      </w:r>
      <w:r w:rsidRPr="00B5296E">
        <w:t>(dB) </w:t>
      </w:r>
      <w:proofErr w:type="spellStart"/>
      <w:r w:rsidRPr="00B5296E">
        <w:rPr>
          <w:i/>
          <w:iCs/>
        </w:rPr>
        <w:t>P</w:t>
      </w:r>
      <w:r w:rsidRPr="00B5296E">
        <w:rPr>
          <w:i/>
          <w:iCs/>
          <w:vertAlign w:val="subscript"/>
        </w:rPr>
        <w:t>fluc</w:t>
      </w:r>
      <w:proofErr w:type="spellEnd"/>
      <w:r w:rsidRPr="00B5296E">
        <w:rPr>
          <w:rFonts w:hint="cs"/>
          <w:rtl/>
        </w:rPr>
        <w:t xml:space="preserve">، من أجل استقبال </w:t>
      </w:r>
      <w:r w:rsidRPr="00B5296E">
        <w:t>GHz 4</w:t>
      </w:r>
      <w:r w:rsidRPr="00B5296E">
        <w:rPr>
          <w:rFonts w:hint="cs"/>
          <w:rtl/>
        </w:rPr>
        <w:t xml:space="preserve"> من سواتل في الشرق عند زوايا ارتفاع تبلغ حوالي </w:t>
      </w:r>
      <w:r w:rsidRPr="00B5296E">
        <w:t>20</w:t>
      </w:r>
      <w:r w:rsidRPr="00B5296E">
        <w:rPr>
          <w:rFonts w:hint="cs"/>
          <w:rtl/>
        </w:rPr>
        <w:t xml:space="preserve"> درجة (المنحنيات </w:t>
      </w:r>
      <w:r w:rsidRPr="00B5296E">
        <w:t>P</w:t>
      </w:r>
      <w:r w:rsidRPr="00B5296E">
        <w:rPr>
          <w:rFonts w:hint="cs"/>
          <w:rtl/>
        </w:rPr>
        <w:t xml:space="preserve"> بخط متصل) وفي</w:t>
      </w:r>
      <w:r w:rsidRPr="00B5296E">
        <w:rPr>
          <w:rFonts w:hint="eastAsia"/>
          <w:rtl/>
        </w:rPr>
        <w:t> </w:t>
      </w:r>
      <w:r w:rsidRPr="00B5296E">
        <w:rPr>
          <w:rFonts w:hint="cs"/>
          <w:rtl/>
        </w:rPr>
        <w:t xml:space="preserve">الغرب عند زاوية ارتفاع تبلغ حوالي </w:t>
      </w:r>
      <w:r w:rsidRPr="00B5296E">
        <w:t>30</w:t>
      </w:r>
      <w:r w:rsidRPr="00B5296E">
        <w:rPr>
          <w:rFonts w:hint="cs"/>
          <w:rtl/>
        </w:rPr>
        <w:t xml:space="preserve"> درجة (المنحنيات </w:t>
      </w:r>
      <w:r w:rsidRPr="00B5296E">
        <w:t>I</w:t>
      </w:r>
      <w:r w:rsidRPr="00B5296E">
        <w:rPr>
          <w:rFonts w:hint="cs"/>
          <w:rtl/>
        </w:rPr>
        <w:t xml:space="preserve"> بخط منقط). وتعطى البيانات بالنسبة لأوقات مختلفة من السنة وأعداد مختلفة من البقع الشمسية.</w:t>
      </w:r>
    </w:p>
    <w:p w14:paraId="27B36871" w14:textId="77777777" w:rsidR="00B5296E" w:rsidRPr="00B5296E" w:rsidRDefault="00B5296E" w:rsidP="0016729E">
      <w:pPr>
        <w:rPr>
          <w:rtl/>
        </w:rPr>
      </w:pPr>
      <w:r w:rsidRPr="00B5296E">
        <w:rPr>
          <w:rFonts w:hint="cs"/>
          <w:i/>
          <w:iCs/>
          <w:rtl/>
        </w:rPr>
        <w:t xml:space="preserve">الخطوة </w:t>
      </w:r>
      <w:r w:rsidRPr="00B5296E">
        <w:rPr>
          <w:i/>
          <w:iCs/>
        </w:rPr>
        <w:t>2</w:t>
      </w:r>
      <w:r w:rsidRPr="00B5296E">
        <w:rPr>
          <w:rFonts w:hint="cs"/>
          <w:rtl/>
        </w:rPr>
        <w:t xml:space="preserve">: نظراً إلى أن الشكل </w:t>
      </w:r>
      <w:r w:rsidRPr="00B5296E">
        <w:t>14</w:t>
      </w:r>
      <w:r w:rsidRPr="00B5296E">
        <w:rPr>
          <w:rFonts w:hint="cs"/>
          <w:rtl/>
        </w:rPr>
        <w:t xml:space="preserve"> يتعلق بتردد قدره </w:t>
      </w:r>
      <w:r w:rsidRPr="00B5296E">
        <w:t>GHz 4</w:t>
      </w:r>
      <w:r w:rsidRPr="00B5296E">
        <w:rPr>
          <w:rFonts w:hint="cs"/>
          <w:rtl/>
        </w:rPr>
        <w:t xml:space="preserve">، فإن من الممكن الحصول على القيم الخاصة بترددات أخرى عن طريق ضرب هذه القيم في </w:t>
      </w:r>
      <w:r w:rsidRPr="00B5296E">
        <w:rPr>
          <w:lang w:val="en-GB"/>
        </w:rPr>
        <w:t>( </w:t>
      </w:r>
      <w:r w:rsidRPr="00B5296E">
        <w:rPr>
          <w:i/>
          <w:lang w:val="en-GB"/>
        </w:rPr>
        <w:t>f</w:t>
      </w:r>
      <w:r w:rsidRPr="00B5296E">
        <w:rPr>
          <w:lang w:val="en-GB"/>
        </w:rPr>
        <w:t> /4)</w:t>
      </w:r>
      <w:r w:rsidRPr="00B5296E">
        <w:rPr>
          <w:vertAlign w:val="superscript"/>
          <w:lang w:val="en-GB"/>
        </w:rPr>
        <w:t>–1,5</w:t>
      </w:r>
      <w:r w:rsidRPr="00B5296E">
        <w:rPr>
          <w:rFonts w:hint="cs"/>
          <w:rtl/>
        </w:rPr>
        <w:t xml:space="preserve"> حيث تمثل </w:t>
      </w:r>
      <w:r w:rsidRPr="00B5296E">
        <w:rPr>
          <w:i/>
          <w:iCs/>
        </w:rPr>
        <w:t>f</w:t>
      </w:r>
      <w:r w:rsidRPr="00B5296E">
        <w:rPr>
          <w:rFonts w:hint="cs"/>
          <w:rtl/>
        </w:rPr>
        <w:t xml:space="preserve"> التردد المعني </w:t>
      </w:r>
      <w:r w:rsidRPr="00B5296E">
        <w:t>(GHz)</w:t>
      </w:r>
      <w:r w:rsidRPr="00B5296E">
        <w:rPr>
          <w:rFonts w:hint="cs"/>
          <w:rtl/>
        </w:rPr>
        <w:t>.</w:t>
      </w:r>
    </w:p>
    <w:p w14:paraId="28BA9038" w14:textId="77777777" w:rsidR="00B5296E" w:rsidRPr="00B5296E" w:rsidRDefault="00B5296E" w:rsidP="0016729E">
      <w:pPr>
        <w:rPr>
          <w:rtl/>
        </w:rPr>
      </w:pPr>
      <w:r w:rsidRPr="00B5296E">
        <w:rPr>
          <w:rFonts w:hint="cs"/>
          <w:i/>
          <w:iCs/>
          <w:rtl/>
        </w:rPr>
        <w:lastRenderedPageBreak/>
        <w:t xml:space="preserve">الخطوة </w:t>
      </w:r>
      <w:r w:rsidRPr="00B5296E">
        <w:rPr>
          <w:i/>
          <w:iCs/>
        </w:rPr>
        <w:t>3</w:t>
      </w:r>
      <w:r w:rsidRPr="00B5296E">
        <w:rPr>
          <w:rFonts w:hint="cs"/>
          <w:rtl/>
        </w:rPr>
        <w:t>:</w:t>
      </w:r>
      <w:r w:rsidRPr="00B5296E">
        <w:rPr>
          <w:rFonts w:hint="cs"/>
          <w:i/>
          <w:iCs/>
          <w:rtl/>
        </w:rPr>
        <w:t xml:space="preserve"> </w:t>
      </w:r>
      <w:r w:rsidRPr="00B5296E">
        <w:rPr>
          <w:rFonts w:hint="cs"/>
          <w:rtl/>
        </w:rPr>
        <w:t xml:space="preserve">يمكن عن طريق الشكل </w:t>
      </w:r>
      <w:r w:rsidRPr="00B5296E">
        <w:t>6</w:t>
      </w:r>
      <w:r w:rsidRPr="00B5296E">
        <w:rPr>
          <w:rFonts w:hint="cs"/>
          <w:rtl/>
        </w:rPr>
        <w:t xml:space="preserve"> تقدير </w:t>
      </w:r>
      <w:proofErr w:type="spellStart"/>
      <w:r w:rsidRPr="00B5296E">
        <w:rPr>
          <w:i/>
          <w:iCs/>
        </w:rPr>
        <w:t>P</w:t>
      </w:r>
      <w:r w:rsidRPr="00B5296E">
        <w:rPr>
          <w:i/>
          <w:iCs/>
          <w:vertAlign w:val="subscript"/>
        </w:rPr>
        <w:t>fluc</w:t>
      </w:r>
      <w:proofErr w:type="spellEnd"/>
      <w:r w:rsidRPr="00B5296E">
        <w:rPr>
          <w:rFonts w:hint="cs"/>
          <w:rtl/>
        </w:rPr>
        <w:t xml:space="preserve"> بحسب الموقع الجغرافي والحدوث اليومي تقديراً كيفياً.</w:t>
      </w:r>
    </w:p>
    <w:p w14:paraId="183B6DAB" w14:textId="77777777" w:rsidR="00B5296E" w:rsidRPr="00B5296E" w:rsidRDefault="00B5296E" w:rsidP="0016729E">
      <w:pPr>
        <w:rPr>
          <w:rtl/>
          <w:lang w:bidi="ar-SY"/>
        </w:rPr>
      </w:pPr>
      <w:r w:rsidRPr="00B5296E">
        <w:rPr>
          <w:rFonts w:hint="cs"/>
          <w:i/>
          <w:iCs/>
          <w:rtl/>
        </w:rPr>
        <w:t xml:space="preserve">الخطوة </w:t>
      </w:r>
      <w:r w:rsidRPr="00B5296E">
        <w:rPr>
          <w:i/>
          <w:iCs/>
        </w:rPr>
        <w:t>4</w:t>
      </w:r>
      <w:r w:rsidRPr="00B5296E">
        <w:rPr>
          <w:rFonts w:hint="cs"/>
          <w:rtl/>
        </w:rPr>
        <w:t xml:space="preserve">: لما كان المتغير </w:t>
      </w:r>
      <w:proofErr w:type="spellStart"/>
      <w:r w:rsidRPr="00B5296E">
        <w:rPr>
          <w:i/>
          <w:iCs/>
        </w:rPr>
        <w:t>P</w:t>
      </w:r>
      <w:r w:rsidRPr="00B5296E">
        <w:rPr>
          <w:i/>
          <w:iCs/>
          <w:vertAlign w:val="subscript"/>
        </w:rPr>
        <w:t>fluc</w:t>
      </w:r>
      <w:proofErr w:type="spellEnd"/>
      <w:r w:rsidRPr="00B5296E">
        <w:rPr>
          <w:rFonts w:hint="cs"/>
          <w:rtl/>
        </w:rPr>
        <w:t xml:space="preserve"> عنصراً واحداً في حسابات ميزانية الوصلة، فإنه يرتبط بضعف الإشارة </w:t>
      </w:r>
      <w:r w:rsidRPr="00B5296E">
        <w:rPr>
          <w:i/>
          <w:iCs/>
        </w:rPr>
        <w:t>L</w:t>
      </w:r>
      <w:r w:rsidRPr="00B5296E">
        <w:rPr>
          <w:i/>
          <w:iCs/>
          <w:vertAlign w:val="subscript"/>
        </w:rPr>
        <w:t>P</w:t>
      </w:r>
      <w:r w:rsidRPr="00B5296E">
        <w:rPr>
          <w:rFonts w:hint="cs"/>
          <w:rtl/>
        </w:rPr>
        <w:t xml:space="preserve"> وفقاً للعلاقة </w:t>
      </w:r>
      <w:r w:rsidRPr="00B5296E">
        <w:rPr>
          <w:lang w:val="es-ES_tradnl"/>
        </w:rPr>
        <w:object w:dxaOrig="1440" w:dyaOrig="460" w14:anchorId="54FB3FC9">
          <v:shape id="_x0000_i1032" type="#_x0000_t75" alt="" style="width:1in;height:22.45pt;mso-width-percent:0;mso-height-percent:0;mso-width-percent:0;mso-height-percent:0" o:ole="">
            <v:imagedata r:id="rId52" o:title=""/>
          </v:shape>
          <o:OLEObject Type="Embed" ProgID="Equation.3" ShapeID="_x0000_i1032" DrawAspect="Content" ObjectID="_1824969403" r:id="rId53"/>
        </w:object>
      </w:r>
      <w:r w:rsidRPr="00B5296E">
        <w:rPr>
          <w:rFonts w:hint="cs"/>
          <w:rtl/>
        </w:rPr>
        <w:t>.</w:t>
      </w:r>
    </w:p>
    <w:p w14:paraId="3AEAEAE0" w14:textId="77777777" w:rsidR="00B5296E" w:rsidRPr="00B5296E" w:rsidRDefault="00B5296E" w:rsidP="0016729E">
      <w:pPr>
        <w:rPr>
          <w:rtl/>
        </w:rPr>
      </w:pPr>
      <w:r w:rsidRPr="00B5296E">
        <w:rPr>
          <w:rFonts w:hint="cs"/>
          <w:i/>
          <w:iCs/>
          <w:rtl/>
        </w:rPr>
        <w:t xml:space="preserve">الخطوة </w:t>
      </w:r>
      <w:r w:rsidRPr="00B5296E">
        <w:rPr>
          <w:i/>
          <w:iCs/>
        </w:rPr>
        <w:t>5</w:t>
      </w:r>
      <w:r w:rsidRPr="00B5296E">
        <w:rPr>
          <w:rFonts w:hint="cs"/>
          <w:rtl/>
        </w:rPr>
        <w:t xml:space="preserve">: يرد في الفقرة </w:t>
      </w:r>
      <w:r w:rsidRPr="00B5296E">
        <w:t>1.5</w:t>
      </w:r>
      <w:r w:rsidRPr="00B5296E">
        <w:rPr>
          <w:rFonts w:hint="cs"/>
          <w:rtl/>
        </w:rPr>
        <w:t xml:space="preserve"> تعريف مؤشر الالتماع </w:t>
      </w:r>
      <w:r w:rsidRPr="00B5296E">
        <w:rPr>
          <w:i/>
          <w:iCs/>
        </w:rPr>
        <w:t>S</w:t>
      </w:r>
      <w:r w:rsidRPr="00B5296E">
        <w:rPr>
          <w:vertAlign w:val="subscript"/>
        </w:rPr>
        <w:t>4</w:t>
      </w:r>
      <w:r w:rsidRPr="00B5296E">
        <w:rPr>
          <w:rFonts w:hint="cs"/>
          <w:rtl/>
        </w:rPr>
        <w:t>، وهو المعلمة الأشيع استعمالاً لوصف الالتماع. ويمكن الحصول عليه من</w:t>
      </w:r>
      <w:r w:rsidRPr="00B5296E">
        <w:rPr>
          <w:rFonts w:hint="eastAsia"/>
          <w:rtl/>
        </w:rPr>
        <w:t> </w:t>
      </w:r>
      <w:proofErr w:type="spellStart"/>
      <w:r w:rsidRPr="00B5296E">
        <w:rPr>
          <w:i/>
          <w:iCs/>
        </w:rPr>
        <w:t>P</w:t>
      </w:r>
      <w:r w:rsidRPr="00B5296E">
        <w:rPr>
          <w:i/>
          <w:iCs/>
          <w:vertAlign w:val="subscript"/>
        </w:rPr>
        <w:t>fluc</w:t>
      </w:r>
      <w:proofErr w:type="spellEnd"/>
      <w:r w:rsidRPr="00B5296E">
        <w:rPr>
          <w:rFonts w:hint="cs"/>
          <w:rtl/>
        </w:rPr>
        <w:t xml:space="preserve"> باستخدام الجدول </w:t>
      </w:r>
      <w:r w:rsidRPr="00B5296E">
        <w:t>1</w:t>
      </w:r>
      <w:r w:rsidRPr="00B5296E">
        <w:rPr>
          <w:rFonts w:hint="cs"/>
          <w:rtl/>
        </w:rPr>
        <w:t>.</w:t>
      </w:r>
    </w:p>
    <w:p w14:paraId="61415E3A" w14:textId="77777777" w:rsidR="00B5296E" w:rsidRPr="00B5296E" w:rsidRDefault="00B5296E" w:rsidP="00C12551">
      <w:pPr>
        <w:pStyle w:val="FigureNo"/>
        <w:rPr>
          <w:rtl/>
        </w:rPr>
      </w:pPr>
      <w:r w:rsidRPr="00B5296E">
        <w:rPr>
          <w:rFonts w:hint="cs"/>
          <w:rtl/>
        </w:rPr>
        <w:t xml:space="preserve">الشـكل </w:t>
      </w:r>
      <w:r w:rsidRPr="00B5296E">
        <w:rPr>
          <w:lang w:bidi="ar-SA"/>
        </w:rPr>
        <w:t>14</w:t>
      </w:r>
    </w:p>
    <w:p w14:paraId="23C8C285" w14:textId="77777777" w:rsidR="00B5296E" w:rsidRPr="00B5296E" w:rsidRDefault="00B5296E" w:rsidP="00C12551">
      <w:pPr>
        <w:pStyle w:val="Figuretitle"/>
        <w:rPr>
          <w:lang w:bidi="ar-SA"/>
        </w:rPr>
      </w:pPr>
      <w:r w:rsidRPr="00B5296E">
        <w:rPr>
          <w:rFonts w:hint="cs"/>
          <w:rtl/>
        </w:rPr>
        <w:t>الإحصائيات السنوية للتقلبات من ذروة إلى ذروة المرصودة في محطة الأرض في هونغ كونغ</w:t>
      </w:r>
      <w:r w:rsidRPr="00B5296E">
        <w:rPr>
          <w:rFonts w:hint="cs"/>
          <w:rtl/>
        </w:rPr>
        <w:br/>
        <w:t xml:space="preserve">(المنحنيات </w:t>
      </w:r>
      <w:r w:rsidRPr="00B5296E">
        <w:rPr>
          <w:lang w:bidi="ar-SA"/>
        </w:rPr>
        <w:t>I1</w:t>
      </w:r>
      <w:r w:rsidRPr="00B5296E">
        <w:rPr>
          <w:rFonts w:hint="cs"/>
          <w:rtl/>
        </w:rPr>
        <w:t xml:space="preserve"> و</w:t>
      </w:r>
      <w:r w:rsidRPr="00B5296E">
        <w:rPr>
          <w:lang w:bidi="ar-SA"/>
        </w:rPr>
        <w:t>P1</w:t>
      </w:r>
      <w:r w:rsidRPr="00B5296E">
        <w:rPr>
          <w:rFonts w:hint="cs"/>
          <w:rtl/>
        </w:rPr>
        <w:t xml:space="preserve"> و</w:t>
      </w:r>
      <w:r w:rsidRPr="00B5296E">
        <w:rPr>
          <w:lang w:bidi="ar-SA"/>
        </w:rPr>
        <w:t>I6-I3</w:t>
      </w:r>
      <w:r w:rsidRPr="00B5296E">
        <w:rPr>
          <w:rFonts w:hint="cs"/>
          <w:rtl/>
        </w:rPr>
        <w:t xml:space="preserve"> و</w:t>
      </w:r>
      <w:r w:rsidRPr="00B5296E">
        <w:rPr>
          <w:lang w:bidi="ar-SA"/>
        </w:rPr>
        <w:t>P6-P3</w:t>
      </w:r>
      <w:r w:rsidRPr="00B5296E">
        <w:rPr>
          <w:rFonts w:hint="cs"/>
          <w:rtl/>
        </w:rPr>
        <w:t xml:space="preserve">) ومحطة الأرض في تايبيه (المنحنيان </w:t>
      </w:r>
      <w:r w:rsidRPr="00B5296E">
        <w:rPr>
          <w:lang w:bidi="ar-SA"/>
        </w:rPr>
        <w:t>P2</w:t>
      </w:r>
      <w:r w:rsidRPr="00B5296E">
        <w:rPr>
          <w:rFonts w:hint="cs"/>
          <w:rtl/>
        </w:rPr>
        <w:t xml:space="preserve"> و</w:t>
      </w:r>
      <w:r w:rsidRPr="00B5296E">
        <w:rPr>
          <w:lang w:bidi="ar-SA"/>
        </w:rPr>
        <w:t>I2</w:t>
      </w:r>
      <w:r w:rsidRPr="00B5296E">
        <w:rPr>
          <w:rFonts w:hint="cs"/>
          <w:rtl/>
        </w:rPr>
        <w:t>)</w:t>
      </w:r>
    </w:p>
    <w:p w14:paraId="67DB2DEC" w14:textId="77777777" w:rsidR="00B5296E" w:rsidRPr="00B5296E" w:rsidRDefault="00B5296E" w:rsidP="0016729E">
      <w:pPr>
        <w:pStyle w:val="Figure"/>
        <w:rPr>
          <w:rtl/>
        </w:rPr>
      </w:pPr>
      <w:r w:rsidRPr="00B5296E">
        <w:rPr>
          <w:noProof/>
        </w:rPr>
        <w:drawing>
          <wp:inline distT="0" distB="0" distL="0" distR="0" wp14:anchorId="137C679E" wp14:editId="269FD28B">
            <wp:extent cx="5681980" cy="6090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1980" cy="6090285"/>
                    </a:xfrm>
                    <a:prstGeom prst="rect">
                      <a:avLst/>
                    </a:prstGeom>
                    <a:noFill/>
                  </pic:spPr>
                </pic:pic>
              </a:graphicData>
            </a:graphic>
          </wp:inline>
        </w:drawing>
      </w:r>
    </w:p>
    <w:p w14:paraId="5E7DAD1F" w14:textId="77777777" w:rsidR="00B5296E" w:rsidRPr="00B5296E" w:rsidRDefault="00B5296E" w:rsidP="00C12551">
      <w:pPr>
        <w:pStyle w:val="FigureNo"/>
        <w:rPr>
          <w:rtl/>
        </w:rPr>
      </w:pPr>
      <w:r w:rsidRPr="00B5296E">
        <w:rPr>
          <w:rFonts w:hint="cs"/>
          <w:rtl/>
        </w:rPr>
        <w:lastRenderedPageBreak/>
        <w:t xml:space="preserve">الشـكل </w:t>
      </w:r>
      <w:r w:rsidRPr="00B5296E">
        <w:rPr>
          <w:lang w:bidi="ar-SA"/>
        </w:rPr>
        <w:t>15</w:t>
      </w:r>
    </w:p>
    <w:p w14:paraId="166757CE" w14:textId="77777777" w:rsidR="00B5296E" w:rsidRPr="00B5296E" w:rsidRDefault="00B5296E" w:rsidP="00C12551">
      <w:pPr>
        <w:pStyle w:val="Figuretitle"/>
        <w:rPr>
          <w:rtl/>
        </w:rPr>
      </w:pPr>
      <w:r w:rsidRPr="00B5296E">
        <w:rPr>
          <w:rFonts w:hint="cs"/>
          <w:rtl/>
        </w:rPr>
        <w:t>مثال للإحصائيات التراكمية طويلة الأجل لشدة الإشارة (</w:t>
      </w:r>
      <w:r w:rsidRPr="00B5296E">
        <w:rPr>
          <w:lang w:bidi="ar-SA"/>
        </w:rPr>
        <w:t>GHz 4</w:t>
      </w:r>
      <w:r w:rsidRPr="00B5296E">
        <w:rPr>
          <w:rFonts w:hint="cs"/>
          <w:rtl/>
        </w:rPr>
        <w:t xml:space="preserve">، ارتفاع </w:t>
      </w:r>
      <w:r w:rsidRPr="00B5296E">
        <w:rPr>
          <w:vertAlign w:val="superscript"/>
          <w:lang w:bidi="ar-SA"/>
        </w:rPr>
        <w:t>°</w:t>
      </w:r>
      <w:r w:rsidRPr="00B5296E">
        <w:rPr>
          <w:lang w:bidi="ar-SA"/>
        </w:rPr>
        <w:t>20</w:t>
      </w:r>
      <w:r w:rsidRPr="00B5296E">
        <w:rPr>
          <w:rFonts w:hint="cs"/>
          <w:rtl/>
        </w:rPr>
        <w:t>)</w:t>
      </w:r>
    </w:p>
    <w:p w14:paraId="15A02FA3" w14:textId="77777777" w:rsidR="00B5296E" w:rsidRPr="00B5296E" w:rsidRDefault="00B5296E" w:rsidP="0016729E">
      <w:pPr>
        <w:pStyle w:val="Figure"/>
        <w:rPr>
          <w:lang w:val="en-GB"/>
        </w:rPr>
      </w:pPr>
      <w:r w:rsidRPr="00B5296E">
        <w:rPr>
          <w:noProof/>
        </w:rPr>
        <w:drawing>
          <wp:inline distT="0" distB="0" distL="0" distR="0" wp14:anchorId="5C5CF689" wp14:editId="3C0EE10F">
            <wp:extent cx="5632450" cy="3765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32450" cy="3765550"/>
                    </a:xfrm>
                    <a:prstGeom prst="rect">
                      <a:avLst/>
                    </a:prstGeom>
                    <a:noFill/>
                    <a:ln>
                      <a:noFill/>
                    </a:ln>
                  </pic:spPr>
                </pic:pic>
              </a:graphicData>
            </a:graphic>
          </wp:inline>
        </w:drawing>
      </w:r>
    </w:p>
    <w:p w14:paraId="3D5043BA" w14:textId="77777777" w:rsidR="00B5296E" w:rsidRPr="00B5296E" w:rsidRDefault="00B5296E" w:rsidP="00C12551">
      <w:pPr>
        <w:pStyle w:val="Heading1"/>
        <w:rPr>
          <w:rtl/>
        </w:rPr>
      </w:pPr>
      <w:bookmarkStart w:id="54" w:name="_Toc404087339"/>
      <w:bookmarkStart w:id="55" w:name="_Toc493768820"/>
      <w:r w:rsidRPr="00B5296E">
        <w:rPr>
          <w:lang w:val="en-GB"/>
        </w:rPr>
        <w:t>6</w:t>
      </w:r>
      <w:r w:rsidRPr="00B5296E">
        <w:rPr>
          <w:rFonts w:hint="cs"/>
          <w:rtl/>
        </w:rPr>
        <w:tab/>
        <w:t>الامتصاص</w:t>
      </w:r>
      <w:bookmarkEnd w:id="54"/>
      <w:bookmarkEnd w:id="55"/>
    </w:p>
    <w:p w14:paraId="4B43034C" w14:textId="77777777" w:rsidR="00B5296E" w:rsidRPr="00B5296E" w:rsidRDefault="00B5296E" w:rsidP="0016729E">
      <w:pPr>
        <w:rPr>
          <w:rtl/>
        </w:rPr>
      </w:pPr>
      <w:r w:rsidRPr="00B5296E">
        <w:rPr>
          <w:rFonts w:hint="cs"/>
          <w:rtl/>
        </w:rPr>
        <w:t>من الممكن عندما لا تتوافر المعلومات المباشرة تقدير الخسارة الناجمة عن الامتصاص الأيونوسفيري بناءً على النماذج المتاحة في</w:t>
      </w:r>
      <w:r w:rsidRPr="00B5296E">
        <w:rPr>
          <w:rFonts w:hint="eastAsia"/>
          <w:rtl/>
        </w:rPr>
        <w:t> </w:t>
      </w:r>
      <w:r w:rsidRPr="00B5296E">
        <w:rPr>
          <w:rFonts w:hint="cs"/>
          <w:rtl/>
        </w:rPr>
        <w:t xml:space="preserve">الوقت الحاضر طبقاً للعلاقة </w:t>
      </w:r>
      <w:r w:rsidRPr="00B5296E">
        <w:rPr>
          <w:vertAlign w:val="superscript"/>
        </w:rPr>
        <w:t>2</w:t>
      </w:r>
      <w:r w:rsidRPr="00B5296E">
        <w:rPr>
          <w:i/>
          <w:iCs/>
        </w:rPr>
        <w:t>f</w:t>
      </w:r>
      <w:r w:rsidRPr="00B5296E">
        <w:t xml:space="preserve">/(sec </w:t>
      </w:r>
      <w:proofErr w:type="spellStart"/>
      <w:r w:rsidRPr="00B5296E">
        <w:rPr>
          <w:i/>
          <w:iCs/>
        </w:rPr>
        <w:t>i</w:t>
      </w:r>
      <w:proofErr w:type="spellEnd"/>
      <w:r w:rsidRPr="00B5296E">
        <w:t>)</w:t>
      </w:r>
      <w:r w:rsidRPr="00B5296E">
        <w:rPr>
          <w:rFonts w:hint="cs"/>
          <w:rtl/>
        </w:rPr>
        <w:t xml:space="preserve"> في حالة الترددات التي تفوق </w:t>
      </w:r>
      <w:r w:rsidRPr="00B5296E">
        <w:t>MHz 30</w:t>
      </w:r>
      <w:r w:rsidRPr="00B5296E">
        <w:rPr>
          <w:rFonts w:hint="cs"/>
          <w:rtl/>
        </w:rPr>
        <w:t xml:space="preserve"> حيث تكون </w:t>
      </w:r>
      <w:proofErr w:type="spellStart"/>
      <w:r w:rsidRPr="00B5296E">
        <w:rPr>
          <w:i/>
          <w:iCs/>
        </w:rPr>
        <w:t>i</w:t>
      </w:r>
      <w:proofErr w:type="spellEnd"/>
      <w:r w:rsidRPr="00B5296E">
        <w:rPr>
          <w:rFonts w:hint="cs"/>
          <w:rtl/>
        </w:rPr>
        <w:t xml:space="preserve"> هي الزاوية السمتية لمسير الانتشار في الأيونوسفير. وفي حالة المناطق المدارية والواقعة على منتصف خط الطول، فإن الموجات الراديوية التي تفوق </w:t>
      </w:r>
      <w:r w:rsidRPr="00B5296E">
        <w:t>MHz 70</w:t>
      </w:r>
      <w:r w:rsidRPr="00B5296E">
        <w:rPr>
          <w:rFonts w:hint="cs"/>
          <w:rtl/>
        </w:rPr>
        <w:t xml:space="preserve"> تكفل اختراق الأيونوسفير دون قدر كبير من الامتصاص.</w:t>
      </w:r>
    </w:p>
    <w:p w14:paraId="64E25472" w14:textId="77777777" w:rsidR="00B5296E" w:rsidRPr="00B5296E" w:rsidRDefault="00B5296E" w:rsidP="0016729E">
      <w:pPr>
        <w:rPr>
          <w:rtl/>
        </w:rPr>
      </w:pPr>
      <w:r w:rsidRPr="00B5296E">
        <w:rPr>
          <w:rFonts w:hint="cs"/>
          <w:rtl/>
        </w:rPr>
        <w:t xml:space="preserve">وتدل القياسات في وسط خطوط الطول أن الامتصاص عند </w:t>
      </w:r>
      <w:r w:rsidRPr="00B5296E">
        <w:t>MHz 30</w:t>
      </w:r>
      <w:r w:rsidRPr="00B5296E">
        <w:rPr>
          <w:rFonts w:hint="cs"/>
          <w:rtl/>
        </w:rPr>
        <w:t xml:space="preserve"> في حالة عبور الأيونوسفير في اتجاه واحد في ظل ورود رأسي يتراوح عادة في الأحوال العادية بين </w:t>
      </w:r>
      <w:r w:rsidRPr="00B5296E">
        <w:t>0,2</w:t>
      </w:r>
      <w:r w:rsidRPr="00B5296E">
        <w:rPr>
          <w:rFonts w:hint="cs"/>
          <w:rtl/>
        </w:rPr>
        <w:t xml:space="preserve"> و</w:t>
      </w:r>
      <w:r w:rsidRPr="00B5296E">
        <w:t>dB 0,5</w:t>
      </w:r>
      <w:r w:rsidRPr="00B5296E">
        <w:rPr>
          <w:rFonts w:hint="cs"/>
          <w:rtl/>
        </w:rPr>
        <w:t>. ومن شأن الامتصاص أن يزيد خلال الاندفاعات الشمسية، ولكنه يقل عندئذ عن</w:t>
      </w:r>
      <w:r w:rsidRPr="00B5296E">
        <w:rPr>
          <w:rFonts w:hint="eastAsia"/>
          <w:rtl/>
        </w:rPr>
        <w:t> </w:t>
      </w:r>
      <w:r w:rsidRPr="00B5296E">
        <w:t>dB 5</w:t>
      </w:r>
      <w:r w:rsidRPr="00B5296E">
        <w:rPr>
          <w:rFonts w:hint="cs"/>
          <w:rtl/>
        </w:rPr>
        <w:t>. ومن الممكن أن يتعزز الامتصاص عند خطوط العرض المرتفعة بسبب القلنسوة القطبية أو أحداث شفقية. وتحدث هاتان الظاهرتان في فترات عشوائية وتستمر لفترات مختلفة، وتتوقف آثارها على مواقع المطاريف وارتفاع زاوية المسير. وبناءً على ذلك، ينبغي للتوصل إلى أنجع تصميم للنظم معالجة هاتين الظاهرتين بطريقة إحصائية على أن يراعى أن مدد الامتصاص الشفقي تصل إلى ساعات بينما تصل في حالة القلنسوة القطبية إلى أيام.</w:t>
      </w:r>
    </w:p>
    <w:p w14:paraId="59CE9173" w14:textId="77777777" w:rsidR="00B5296E" w:rsidRPr="00B5296E" w:rsidRDefault="00B5296E" w:rsidP="00C12551">
      <w:pPr>
        <w:pStyle w:val="Heading2"/>
        <w:rPr>
          <w:rtl/>
        </w:rPr>
      </w:pPr>
      <w:bookmarkStart w:id="56" w:name="_Toc404087340"/>
      <w:bookmarkStart w:id="57" w:name="_Toc493768821"/>
      <w:r w:rsidRPr="00B5296E">
        <w:t>1.6</w:t>
      </w:r>
      <w:r w:rsidRPr="00B5296E">
        <w:rPr>
          <w:rFonts w:hint="cs"/>
          <w:rtl/>
        </w:rPr>
        <w:tab/>
        <w:t>الامتصاص الشفقي</w:t>
      </w:r>
      <w:bookmarkEnd w:id="56"/>
      <w:bookmarkEnd w:id="57"/>
    </w:p>
    <w:p w14:paraId="64AEC22A" w14:textId="77777777" w:rsidR="00B5296E" w:rsidRPr="00B5296E" w:rsidRDefault="00B5296E" w:rsidP="0016729E">
      <w:pPr>
        <w:rPr>
          <w:rtl/>
        </w:rPr>
      </w:pPr>
      <w:r w:rsidRPr="00B5296E">
        <w:rPr>
          <w:rFonts w:hint="cs"/>
          <w:rtl/>
        </w:rPr>
        <w:t xml:space="preserve">ينتج الامتصاص الشفقي عن زيادات في التركيز الإلكتروني في الإقليمين </w:t>
      </w:r>
      <w:r w:rsidRPr="00B5296E">
        <w:t>D</w:t>
      </w:r>
      <w:r w:rsidRPr="00B5296E">
        <w:rPr>
          <w:rFonts w:hint="cs"/>
          <w:rtl/>
        </w:rPr>
        <w:t xml:space="preserve"> و</w:t>
      </w:r>
      <w:r w:rsidRPr="00B5296E">
        <w:t>E</w:t>
      </w:r>
      <w:r w:rsidRPr="00B5296E">
        <w:rPr>
          <w:rFonts w:hint="cs"/>
          <w:rtl/>
        </w:rPr>
        <w:t xml:space="preserve"> تقع نتيجة لورود إلكترونات نشطة. ويتم رصد الامتصاص على مدى يتراوح بين </w:t>
      </w:r>
      <w:r w:rsidRPr="00B5296E">
        <w:sym w:font="Symbol" w:char="F0B0"/>
      </w:r>
      <w:r w:rsidRPr="00B5296E">
        <w:t>10</w:t>
      </w:r>
      <w:r w:rsidRPr="00B5296E">
        <w:rPr>
          <w:rFonts w:hint="cs"/>
          <w:rtl/>
        </w:rPr>
        <w:t xml:space="preserve"> و</w:t>
      </w:r>
      <w:r w:rsidRPr="00B5296E">
        <w:sym w:font="Symbol" w:char="F0B0"/>
      </w:r>
      <w:r w:rsidRPr="00B5296E">
        <w:t>20</w:t>
      </w:r>
      <w:r w:rsidRPr="00B5296E">
        <w:rPr>
          <w:rFonts w:hint="cs"/>
          <w:rtl/>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مدة متوسطة تبلغ </w:t>
      </w:r>
      <w:r w:rsidRPr="00B5296E">
        <w:t>30</w:t>
      </w:r>
      <w:r w:rsidRPr="00B5296E">
        <w:rPr>
          <w:rFonts w:hint="cs"/>
          <w:rtl/>
        </w:rPr>
        <w:t xml:space="preserve"> دقيقة، وتتسم ببنية زمنية غير منتظمة. وتتكون التعزيزات الليلية عادة من ارتفاعات سريعة سلسة وانخفاضات ضعيفة. ويبين الجدول </w:t>
      </w:r>
      <w:r w:rsidRPr="00B5296E">
        <w:t>2</w:t>
      </w:r>
      <w:r w:rsidRPr="00B5296E">
        <w:rPr>
          <w:rFonts w:hint="cs"/>
          <w:rtl/>
        </w:rPr>
        <w:t xml:space="preserve"> مقادير نمطية عند </w:t>
      </w:r>
      <w:r w:rsidRPr="00B5296E">
        <w:t>MHz 127</w:t>
      </w:r>
      <w:r w:rsidRPr="00B5296E">
        <w:rPr>
          <w:rFonts w:hint="cs"/>
          <w:rtl/>
        </w:rPr>
        <w:t>.</w:t>
      </w:r>
    </w:p>
    <w:p w14:paraId="1F5BB9D9" w14:textId="77777777" w:rsidR="00B5296E" w:rsidRPr="00B5296E" w:rsidRDefault="00B5296E" w:rsidP="0016729E">
      <w:pPr>
        <w:pStyle w:val="TableNo"/>
        <w:keepNext w:val="0"/>
        <w:rPr>
          <w:lang w:bidi="ar-SA"/>
        </w:rPr>
      </w:pPr>
      <w:r w:rsidRPr="00B5296E">
        <w:rPr>
          <w:rFonts w:hint="cs"/>
          <w:rtl/>
        </w:rPr>
        <w:lastRenderedPageBreak/>
        <w:t xml:space="preserve">الجـدول </w:t>
      </w:r>
      <w:r w:rsidRPr="00B5296E">
        <w:rPr>
          <w:lang w:bidi="ar-SA"/>
        </w:rPr>
        <w:t>2</w:t>
      </w:r>
    </w:p>
    <w:p w14:paraId="1CF58596" w14:textId="77777777" w:rsidR="00B5296E" w:rsidRPr="00B5296E" w:rsidRDefault="00B5296E" w:rsidP="0016729E">
      <w:pPr>
        <w:pStyle w:val="Tabletitle"/>
        <w:keepNext w:val="0"/>
        <w:rPr>
          <w:lang w:bidi="ar-SA"/>
        </w:rPr>
      </w:pPr>
      <w:r w:rsidRPr="00B5296E">
        <w:rPr>
          <w:rFonts w:hint="cs"/>
          <w:rtl/>
        </w:rPr>
        <w:t xml:space="preserve">الامتصاص الشفقي عند </w:t>
      </w:r>
      <w:r w:rsidRPr="00B5296E">
        <w:rPr>
          <w:lang w:bidi="ar-SA"/>
        </w:rPr>
        <w:t>(dB) MHz 127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B5296E" w:rsidRPr="00B5296E" w14:paraId="1D1097D8" w14:textId="77777777" w:rsidTr="00DD4D14">
        <w:trPr>
          <w:cantSplit/>
          <w:jc w:val="center"/>
        </w:trPr>
        <w:tc>
          <w:tcPr>
            <w:tcW w:w="1985" w:type="dxa"/>
            <w:vMerge w:val="restart"/>
            <w:vAlign w:val="center"/>
          </w:tcPr>
          <w:p w14:paraId="12129779" w14:textId="77777777" w:rsidR="00B5296E" w:rsidRPr="00B5296E" w:rsidRDefault="00B5296E" w:rsidP="00F71847">
            <w:pPr>
              <w:pStyle w:val="Tablehead"/>
              <w:rPr>
                <w:rtl/>
              </w:rPr>
            </w:pPr>
            <w:r w:rsidRPr="00B5296E">
              <w:rPr>
                <w:rFonts w:hint="cs"/>
                <w:rtl/>
              </w:rPr>
              <w:t>النسبة المئوية</w:t>
            </w:r>
            <w:r w:rsidRPr="00B5296E">
              <w:rPr>
                <w:rtl/>
              </w:rPr>
              <w:br/>
            </w:r>
            <w:r w:rsidRPr="00B5296E">
              <w:rPr>
                <w:rFonts w:hint="cs"/>
                <w:rtl/>
              </w:rPr>
              <w:t>الزمنية</w:t>
            </w:r>
          </w:p>
        </w:tc>
        <w:tc>
          <w:tcPr>
            <w:tcW w:w="2836" w:type="dxa"/>
            <w:gridSpan w:val="2"/>
            <w:vAlign w:val="center"/>
          </w:tcPr>
          <w:p w14:paraId="6E49B779" w14:textId="77777777" w:rsidR="00B5296E" w:rsidRPr="00B5296E" w:rsidRDefault="00B5296E" w:rsidP="00F71847">
            <w:pPr>
              <w:pStyle w:val="Tablehead"/>
            </w:pPr>
            <w:r w:rsidRPr="00B5296E">
              <w:rPr>
                <w:rFonts w:hint="cs"/>
                <w:rtl/>
              </w:rPr>
              <w:t>زاوية الارتفاع</w:t>
            </w:r>
          </w:p>
        </w:tc>
      </w:tr>
      <w:tr w:rsidR="00B5296E" w:rsidRPr="00B5296E" w14:paraId="452460F9" w14:textId="77777777" w:rsidTr="002104C3">
        <w:trPr>
          <w:cantSplit/>
          <w:trHeight w:val="508"/>
          <w:jc w:val="center"/>
        </w:trPr>
        <w:tc>
          <w:tcPr>
            <w:tcW w:w="1985" w:type="dxa"/>
            <w:vMerge/>
            <w:vAlign w:val="center"/>
          </w:tcPr>
          <w:p w14:paraId="209DE8C0" w14:textId="77777777" w:rsidR="00B5296E" w:rsidRPr="00B5296E" w:rsidRDefault="00B5296E" w:rsidP="00F71847">
            <w:pPr>
              <w:pStyle w:val="Tablehead"/>
            </w:pPr>
          </w:p>
        </w:tc>
        <w:tc>
          <w:tcPr>
            <w:tcW w:w="1418" w:type="dxa"/>
            <w:vAlign w:val="center"/>
          </w:tcPr>
          <w:p w14:paraId="64F6D8D4" w14:textId="77777777" w:rsidR="00B5296E" w:rsidRPr="00B5296E" w:rsidRDefault="00B5296E" w:rsidP="00F71847">
            <w:pPr>
              <w:pStyle w:val="Tablehead"/>
            </w:pPr>
            <w:r w:rsidRPr="00B5296E">
              <w:sym w:font="Symbol" w:char="F0B0"/>
            </w:r>
            <w:r w:rsidRPr="00B5296E">
              <w:t>20</w:t>
            </w:r>
          </w:p>
        </w:tc>
        <w:tc>
          <w:tcPr>
            <w:tcW w:w="1418" w:type="dxa"/>
            <w:vAlign w:val="center"/>
          </w:tcPr>
          <w:p w14:paraId="6CE91701" w14:textId="77777777" w:rsidR="00B5296E" w:rsidRPr="00B5296E" w:rsidRDefault="00B5296E" w:rsidP="00F71847">
            <w:pPr>
              <w:pStyle w:val="Tablehead"/>
            </w:pPr>
            <w:r w:rsidRPr="00B5296E">
              <w:sym w:font="Symbol" w:char="F0B0"/>
            </w:r>
            <w:r w:rsidRPr="00B5296E">
              <w:t>5</w:t>
            </w:r>
          </w:p>
        </w:tc>
      </w:tr>
      <w:tr w:rsidR="00B5296E" w:rsidRPr="00B5296E" w14:paraId="12957791" w14:textId="77777777" w:rsidTr="002104C3">
        <w:trPr>
          <w:cantSplit/>
          <w:jc w:val="center"/>
        </w:trPr>
        <w:tc>
          <w:tcPr>
            <w:tcW w:w="1985" w:type="dxa"/>
            <w:vAlign w:val="center"/>
          </w:tcPr>
          <w:p w14:paraId="1FA9019B" w14:textId="77777777" w:rsidR="00B5296E" w:rsidRPr="00B5296E" w:rsidRDefault="00B5296E" w:rsidP="00F71847">
            <w:pPr>
              <w:pStyle w:val="Tabletext"/>
              <w:jc w:val="center"/>
              <w:rPr>
                <w:lang w:val="en-GB"/>
              </w:rPr>
            </w:pPr>
            <w:r w:rsidRPr="00B5296E">
              <w:rPr>
                <w:lang w:val="en-GB"/>
              </w:rPr>
              <w:t>0</w:t>
            </w:r>
            <w:r w:rsidRPr="00B5296E">
              <w:t>,</w:t>
            </w:r>
            <w:r w:rsidRPr="00B5296E">
              <w:rPr>
                <w:lang w:val="en-GB"/>
              </w:rPr>
              <w:t>1</w:t>
            </w:r>
          </w:p>
        </w:tc>
        <w:tc>
          <w:tcPr>
            <w:tcW w:w="1418" w:type="dxa"/>
            <w:vAlign w:val="center"/>
          </w:tcPr>
          <w:p w14:paraId="31AF6649" w14:textId="77777777" w:rsidR="00B5296E" w:rsidRPr="00B5296E" w:rsidRDefault="00B5296E" w:rsidP="00F71847">
            <w:pPr>
              <w:pStyle w:val="Tabletext"/>
              <w:jc w:val="center"/>
              <w:rPr>
                <w:lang w:val="en-GB"/>
              </w:rPr>
            </w:pPr>
            <w:r w:rsidRPr="00B5296E">
              <w:rPr>
                <w:lang w:val="en-GB"/>
              </w:rPr>
              <w:t>1,5</w:t>
            </w:r>
          </w:p>
        </w:tc>
        <w:tc>
          <w:tcPr>
            <w:tcW w:w="1418" w:type="dxa"/>
            <w:vAlign w:val="center"/>
          </w:tcPr>
          <w:p w14:paraId="30F3C33B" w14:textId="77777777" w:rsidR="00B5296E" w:rsidRPr="00B5296E" w:rsidRDefault="00B5296E" w:rsidP="00F71847">
            <w:pPr>
              <w:pStyle w:val="Tabletext"/>
              <w:jc w:val="center"/>
              <w:rPr>
                <w:lang w:val="en-GB"/>
              </w:rPr>
            </w:pPr>
            <w:r w:rsidRPr="00B5296E">
              <w:rPr>
                <w:lang w:val="en-GB"/>
              </w:rPr>
              <w:t>2,9</w:t>
            </w:r>
          </w:p>
        </w:tc>
      </w:tr>
      <w:tr w:rsidR="00B5296E" w:rsidRPr="00B5296E" w14:paraId="6BE11E8F" w14:textId="77777777" w:rsidTr="002104C3">
        <w:trPr>
          <w:cantSplit/>
          <w:jc w:val="center"/>
        </w:trPr>
        <w:tc>
          <w:tcPr>
            <w:tcW w:w="1985" w:type="dxa"/>
            <w:vAlign w:val="center"/>
          </w:tcPr>
          <w:p w14:paraId="0B18B3F2" w14:textId="77777777" w:rsidR="00B5296E" w:rsidRPr="00B5296E" w:rsidRDefault="00B5296E" w:rsidP="00F71847">
            <w:pPr>
              <w:pStyle w:val="Tabletext"/>
              <w:jc w:val="center"/>
              <w:rPr>
                <w:rtl/>
                <w:lang w:bidi="ar-EG"/>
              </w:rPr>
            </w:pPr>
            <w:r w:rsidRPr="00B5296E">
              <w:rPr>
                <w:lang w:val="en-GB"/>
              </w:rPr>
              <w:t>1</w:t>
            </w:r>
          </w:p>
        </w:tc>
        <w:tc>
          <w:tcPr>
            <w:tcW w:w="1418" w:type="dxa"/>
            <w:vAlign w:val="center"/>
          </w:tcPr>
          <w:p w14:paraId="4DBBFC37" w14:textId="77777777" w:rsidR="00B5296E" w:rsidRPr="00B5296E" w:rsidRDefault="00B5296E" w:rsidP="00F71847">
            <w:pPr>
              <w:pStyle w:val="Tabletext"/>
              <w:jc w:val="center"/>
              <w:rPr>
                <w:lang w:val="en-GB"/>
              </w:rPr>
            </w:pPr>
            <w:r w:rsidRPr="00B5296E">
              <w:rPr>
                <w:lang w:val="en-GB"/>
              </w:rPr>
              <w:t>0,9</w:t>
            </w:r>
          </w:p>
        </w:tc>
        <w:tc>
          <w:tcPr>
            <w:tcW w:w="1418" w:type="dxa"/>
            <w:vAlign w:val="center"/>
          </w:tcPr>
          <w:p w14:paraId="3FC7B7C0" w14:textId="77777777" w:rsidR="00B5296E" w:rsidRPr="00B5296E" w:rsidRDefault="00B5296E" w:rsidP="00F71847">
            <w:pPr>
              <w:pStyle w:val="Tabletext"/>
              <w:jc w:val="center"/>
              <w:rPr>
                <w:lang w:val="en-GB"/>
              </w:rPr>
            </w:pPr>
            <w:r w:rsidRPr="00B5296E">
              <w:rPr>
                <w:lang w:val="en-GB"/>
              </w:rPr>
              <w:t>1,7</w:t>
            </w:r>
          </w:p>
        </w:tc>
      </w:tr>
      <w:tr w:rsidR="00B5296E" w:rsidRPr="00B5296E" w14:paraId="58C0C56C" w14:textId="77777777" w:rsidTr="002104C3">
        <w:trPr>
          <w:cantSplit/>
          <w:jc w:val="center"/>
        </w:trPr>
        <w:tc>
          <w:tcPr>
            <w:tcW w:w="1985" w:type="dxa"/>
            <w:vAlign w:val="center"/>
          </w:tcPr>
          <w:p w14:paraId="365E3DAD" w14:textId="77777777" w:rsidR="00B5296E" w:rsidRPr="00B5296E" w:rsidRDefault="00B5296E" w:rsidP="00F71847">
            <w:pPr>
              <w:pStyle w:val="Tabletext"/>
              <w:jc w:val="center"/>
              <w:rPr>
                <w:rtl/>
                <w:lang w:bidi="ar-EG"/>
              </w:rPr>
            </w:pPr>
            <w:r w:rsidRPr="00B5296E">
              <w:rPr>
                <w:lang w:val="en-GB"/>
              </w:rPr>
              <w:t>2</w:t>
            </w:r>
          </w:p>
        </w:tc>
        <w:tc>
          <w:tcPr>
            <w:tcW w:w="1418" w:type="dxa"/>
            <w:vAlign w:val="center"/>
          </w:tcPr>
          <w:p w14:paraId="5870D4B6" w14:textId="77777777" w:rsidR="00B5296E" w:rsidRPr="00B5296E" w:rsidRDefault="00B5296E" w:rsidP="00F71847">
            <w:pPr>
              <w:pStyle w:val="Tabletext"/>
              <w:jc w:val="center"/>
              <w:rPr>
                <w:lang w:val="en-GB"/>
              </w:rPr>
            </w:pPr>
            <w:r w:rsidRPr="00B5296E">
              <w:rPr>
                <w:lang w:val="en-GB"/>
              </w:rPr>
              <w:t>0,7</w:t>
            </w:r>
          </w:p>
        </w:tc>
        <w:tc>
          <w:tcPr>
            <w:tcW w:w="1418" w:type="dxa"/>
            <w:vAlign w:val="center"/>
          </w:tcPr>
          <w:p w14:paraId="7B9D332A" w14:textId="77777777" w:rsidR="00B5296E" w:rsidRPr="00B5296E" w:rsidRDefault="00B5296E" w:rsidP="00F71847">
            <w:pPr>
              <w:pStyle w:val="Tabletext"/>
              <w:jc w:val="center"/>
              <w:rPr>
                <w:lang w:val="en-GB"/>
              </w:rPr>
            </w:pPr>
            <w:r w:rsidRPr="00B5296E">
              <w:rPr>
                <w:lang w:val="en-GB"/>
              </w:rPr>
              <w:t>1,4</w:t>
            </w:r>
          </w:p>
        </w:tc>
      </w:tr>
      <w:tr w:rsidR="00B5296E" w:rsidRPr="00B5296E" w14:paraId="46278908" w14:textId="77777777" w:rsidTr="002104C3">
        <w:trPr>
          <w:cantSplit/>
          <w:jc w:val="center"/>
        </w:trPr>
        <w:tc>
          <w:tcPr>
            <w:tcW w:w="1985" w:type="dxa"/>
            <w:vAlign w:val="center"/>
          </w:tcPr>
          <w:p w14:paraId="7662A11D" w14:textId="77777777" w:rsidR="00B5296E" w:rsidRPr="00B5296E" w:rsidRDefault="00B5296E" w:rsidP="00F71847">
            <w:pPr>
              <w:pStyle w:val="Tabletext"/>
              <w:jc w:val="center"/>
              <w:rPr>
                <w:lang w:val="en-GB"/>
              </w:rPr>
            </w:pPr>
            <w:r w:rsidRPr="00B5296E">
              <w:rPr>
                <w:lang w:val="en-GB"/>
              </w:rPr>
              <w:t>5</w:t>
            </w:r>
          </w:p>
        </w:tc>
        <w:tc>
          <w:tcPr>
            <w:tcW w:w="1418" w:type="dxa"/>
            <w:vAlign w:val="center"/>
          </w:tcPr>
          <w:p w14:paraId="40CBD06B" w14:textId="77777777" w:rsidR="00B5296E" w:rsidRPr="00B5296E" w:rsidRDefault="00B5296E" w:rsidP="00F71847">
            <w:pPr>
              <w:pStyle w:val="Tabletext"/>
              <w:jc w:val="center"/>
              <w:rPr>
                <w:lang w:val="en-GB"/>
              </w:rPr>
            </w:pPr>
            <w:r w:rsidRPr="00B5296E">
              <w:rPr>
                <w:lang w:val="en-GB"/>
              </w:rPr>
              <w:t>0,6</w:t>
            </w:r>
          </w:p>
        </w:tc>
        <w:tc>
          <w:tcPr>
            <w:tcW w:w="1418" w:type="dxa"/>
            <w:vAlign w:val="center"/>
          </w:tcPr>
          <w:p w14:paraId="66076E83" w14:textId="77777777" w:rsidR="00B5296E" w:rsidRPr="00B5296E" w:rsidRDefault="00B5296E" w:rsidP="00F71847">
            <w:pPr>
              <w:pStyle w:val="Tabletext"/>
              <w:jc w:val="center"/>
              <w:rPr>
                <w:lang w:val="en-GB"/>
              </w:rPr>
            </w:pPr>
            <w:r w:rsidRPr="00B5296E">
              <w:rPr>
                <w:lang w:val="en-GB"/>
              </w:rPr>
              <w:t>1,1</w:t>
            </w:r>
          </w:p>
        </w:tc>
      </w:tr>
      <w:tr w:rsidR="00B5296E" w:rsidRPr="00B5296E" w14:paraId="21D42CBD" w14:textId="77777777" w:rsidTr="002104C3">
        <w:trPr>
          <w:cantSplit/>
          <w:jc w:val="center"/>
        </w:trPr>
        <w:tc>
          <w:tcPr>
            <w:tcW w:w="1985" w:type="dxa"/>
            <w:vAlign w:val="center"/>
          </w:tcPr>
          <w:p w14:paraId="75C0D1E4" w14:textId="77777777" w:rsidR="00B5296E" w:rsidRPr="00B5296E" w:rsidRDefault="00B5296E" w:rsidP="00F71847">
            <w:pPr>
              <w:pStyle w:val="Tabletext"/>
              <w:jc w:val="center"/>
              <w:rPr>
                <w:lang w:val="en-GB"/>
              </w:rPr>
            </w:pPr>
            <w:r w:rsidRPr="00B5296E">
              <w:rPr>
                <w:lang w:val="en-GB"/>
              </w:rPr>
              <w:t>50</w:t>
            </w:r>
          </w:p>
        </w:tc>
        <w:tc>
          <w:tcPr>
            <w:tcW w:w="1418" w:type="dxa"/>
            <w:vAlign w:val="center"/>
          </w:tcPr>
          <w:p w14:paraId="01411DCE" w14:textId="77777777" w:rsidR="00B5296E" w:rsidRPr="00B5296E" w:rsidRDefault="00B5296E" w:rsidP="00F71847">
            <w:pPr>
              <w:pStyle w:val="Tabletext"/>
              <w:jc w:val="center"/>
              <w:rPr>
                <w:lang w:val="en-GB"/>
              </w:rPr>
            </w:pPr>
            <w:r w:rsidRPr="00B5296E">
              <w:rPr>
                <w:lang w:val="en-GB"/>
              </w:rPr>
              <w:t>0,2</w:t>
            </w:r>
          </w:p>
        </w:tc>
        <w:tc>
          <w:tcPr>
            <w:tcW w:w="1418" w:type="dxa"/>
            <w:vAlign w:val="center"/>
          </w:tcPr>
          <w:p w14:paraId="3A21129F" w14:textId="77777777" w:rsidR="00B5296E" w:rsidRPr="00B5296E" w:rsidRDefault="00B5296E" w:rsidP="00F71847">
            <w:pPr>
              <w:pStyle w:val="Tabletext"/>
              <w:jc w:val="center"/>
              <w:rPr>
                <w:lang w:val="en-GB"/>
              </w:rPr>
            </w:pPr>
            <w:r w:rsidRPr="00B5296E">
              <w:rPr>
                <w:lang w:val="en-GB"/>
              </w:rPr>
              <w:t>0,4</w:t>
            </w:r>
          </w:p>
        </w:tc>
      </w:tr>
    </w:tbl>
    <w:p w14:paraId="63C51ED5" w14:textId="77777777" w:rsidR="00B5296E" w:rsidRPr="00B5296E" w:rsidRDefault="00B5296E" w:rsidP="00C12551">
      <w:pPr>
        <w:pStyle w:val="Heading2"/>
        <w:rPr>
          <w:rtl/>
        </w:rPr>
      </w:pPr>
      <w:bookmarkStart w:id="58" w:name="_Toc404087341"/>
      <w:bookmarkStart w:id="59" w:name="_Toc493768822"/>
      <w:r w:rsidRPr="00B5296E">
        <w:t>2.6</w:t>
      </w:r>
      <w:r w:rsidRPr="00B5296E">
        <w:rPr>
          <w:rFonts w:hint="cs"/>
          <w:rtl/>
        </w:rPr>
        <w:tab/>
        <w:t>الامتصاص في حالة القلنسوة القطبية</w:t>
      </w:r>
      <w:bookmarkEnd w:id="58"/>
      <w:bookmarkEnd w:id="59"/>
    </w:p>
    <w:p w14:paraId="1C3CB8DB" w14:textId="77777777" w:rsidR="00B5296E" w:rsidRPr="00B5296E" w:rsidRDefault="00B5296E" w:rsidP="0016729E">
      <w:pPr>
        <w:rPr>
          <w:rtl/>
        </w:rPr>
      </w:pPr>
      <w:r w:rsidRPr="00B5296E">
        <w:rPr>
          <w:rFonts w:hint="cs"/>
          <w:rtl/>
        </w:rPr>
        <w:t xml:space="preserve">إن الامتصاص في حالة القلنسوة القطبية الذي قد يحدث في فترات النشاط الشمسي المرتفع يقع عند خطوط عرض مغنطيسية أرضية أعلى من </w:t>
      </w:r>
      <w:r w:rsidRPr="00B5296E">
        <w:t>64</w:t>
      </w:r>
      <w:r w:rsidRPr="00B5296E">
        <w:rPr>
          <w:rFonts w:hint="cs"/>
          <w:rtl/>
        </w:rPr>
        <w:t xml:space="preserve"> درجة. ويحدث الامتصاص نتيجة للتأين على ارتفاعات تفوق </w:t>
      </w:r>
      <w:r w:rsidRPr="00B5296E">
        <w:t>km 30</w:t>
      </w:r>
      <w:r w:rsidRPr="00B5296E">
        <w:rPr>
          <w:rFonts w:hint="cs"/>
          <w:rtl/>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القلنسوات القطبية المضاءة بالشمس. ويحدث امتصاص القلنسوة القطبية عادة خلال ذروة دورة البقع الشمسية حيث من الممكن أن يكون هناك من </w:t>
      </w:r>
      <w:r w:rsidRPr="00B5296E">
        <w:t>10</w:t>
      </w:r>
      <w:r w:rsidRPr="00B5296E">
        <w:rPr>
          <w:rFonts w:hint="cs"/>
          <w:rtl/>
        </w:rPr>
        <w:t xml:space="preserve"> إلى </w:t>
      </w:r>
      <w:r w:rsidRPr="00B5296E">
        <w:t>12</w:t>
      </w:r>
      <w:r w:rsidRPr="00B5296E">
        <w:rPr>
          <w:rFonts w:hint="cs"/>
          <w:rtl/>
        </w:rPr>
        <w:t xml:space="preserve"> حدثاً سنوياً. ومن الممكن أن يدوم مثل هذا الحدث لعدة أيام، وهو ما يتعارض مع الامتصاص الشفقي الذي غالباً ما يكون في موقع محدد مع تغيرات لا تدوم إلا دقائق.</w:t>
      </w:r>
    </w:p>
    <w:p w14:paraId="608C7D7A" w14:textId="77777777" w:rsidR="00B5296E" w:rsidRPr="00B5296E" w:rsidRDefault="00B5296E" w:rsidP="0016729E">
      <w:pPr>
        <w:rPr>
          <w:rtl/>
        </w:rPr>
      </w:pPr>
      <w:r w:rsidRPr="00B5296E">
        <w:rPr>
          <w:rFonts w:hint="cs"/>
          <w:rtl/>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Pr="00B5296E">
        <w:t>16</w:t>
      </w:r>
      <w:r w:rsidRPr="00B5296E">
        <w:rPr>
          <w:rFonts w:hint="cs"/>
          <w:rtl/>
        </w:rPr>
        <w:t xml:space="preserve"> نموذجاً افتراضياً للتغير اليومي للامتصاص عند القلنسوة القطبية عقب اندفاع شمسي كبير، وهو يستند إلى عمليات رصد بمقياس العتامة عند خطوط عرض مختلفة.</w:t>
      </w:r>
    </w:p>
    <w:p w14:paraId="08B69BF2" w14:textId="77777777" w:rsidR="00B5296E" w:rsidRPr="00B5296E" w:rsidRDefault="00B5296E" w:rsidP="00C12551">
      <w:pPr>
        <w:pStyle w:val="FigureNo"/>
        <w:rPr>
          <w:rtl/>
        </w:rPr>
      </w:pPr>
      <w:r w:rsidRPr="00B5296E">
        <w:rPr>
          <w:rFonts w:hint="cs"/>
          <w:rtl/>
        </w:rPr>
        <w:lastRenderedPageBreak/>
        <w:t xml:space="preserve">الشـكل </w:t>
      </w:r>
      <w:r w:rsidRPr="00B5296E">
        <w:rPr>
          <w:lang w:bidi="ar-SA"/>
        </w:rPr>
        <w:t>16</w:t>
      </w:r>
    </w:p>
    <w:p w14:paraId="60895899" w14:textId="77777777" w:rsidR="00B5296E" w:rsidRPr="00B5296E" w:rsidRDefault="00B5296E" w:rsidP="00C12551">
      <w:pPr>
        <w:pStyle w:val="Figuretitle"/>
        <w:rPr>
          <w:lang w:bidi="ar-SA"/>
        </w:rPr>
      </w:pPr>
      <w:r w:rsidRPr="00B5296E">
        <w:rPr>
          <w:rFonts w:hint="cs"/>
          <w:rtl/>
        </w:rPr>
        <w:t>نموذج افتراضي يبين الامتصاص عند القلنسوة القطبية بعد اندفاع شمسي كبير</w:t>
      </w:r>
      <w:r w:rsidRPr="00B5296E">
        <w:rPr>
          <w:rFonts w:hint="cs"/>
          <w:rtl/>
        </w:rPr>
        <w:br/>
        <w:t xml:space="preserve">كما يمكن توقع رصده بمقاييس العتامة عند </w:t>
      </w:r>
      <w:r w:rsidRPr="00B5296E">
        <w:rPr>
          <w:lang w:bidi="ar-SA"/>
        </w:rPr>
        <w:t>MHz 30</w:t>
      </w:r>
      <w:r w:rsidRPr="00B5296E">
        <w:rPr>
          <w:rFonts w:hint="cs"/>
          <w:rtl/>
        </w:rPr>
        <w:t xml:space="preserve"> تقريباً</w:t>
      </w:r>
    </w:p>
    <w:p w14:paraId="1018BC94" w14:textId="77777777" w:rsidR="00B5296E" w:rsidRPr="00B5296E" w:rsidRDefault="00B5296E" w:rsidP="0016729E">
      <w:pPr>
        <w:pStyle w:val="Figure"/>
      </w:pPr>
      <w:r w:rsidRPr="00B5296E">
        <w:rPr>
          <w:noProof/>
        </w:rPr>
        <w:drawing>
          <wp:inline distT="0" distB="0" distL="0" distR="0" wp14:anchorId="1DBB1906" wp14:editId="2DBBC07D">
            <wp:extent cx="5157226" cy="5986284"/>
            <wp:effectExtent l="0" t="0" r="5715" b="0"/>
            <wp:docPr id="63" name="Picture 6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of a function&#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200728D3" w14:textId="77777777" w:rsidR="00B5296E" w:rsidRPr="00B5296E" w:rsidRDefault="00B5296E" w:rsidP="00C12551">
      <w:pPr>
        <w:pStyle w:val="Heading1"/>
        <w:rPr>
          <w:rtl/>
          <w:lang w:bidi="ar-EG"/>
        </w:rPr>
      </w:pPr>
      <w:bookmarkStart w:id="60" w:name="_Toc404087342"/>
      <w:bookmarkStart w:id="61" w:name="_Toc493768823"/>
      <w:r w:rsidRPr="00B5296E">
        <w:rPr>
          <w:lang w:val="en-GB"/>
        </w:rPr>
        <w:t>7</w:t>
      </w:r>
      <w:r w:rsidRPr="00B5296E">
        <w:rPr>
          <w:rFonts w:hint="cs"/>
          <w:rtl/>
        </w:rPr>
        <w:tab/>
        <w:t>ملخص</w:t>
      </w:r>
      <w:bookmarkEnd w:id="60"/>
      <w:bookmarkEnd w:id="61"/>
    </w:p>
    <w:p w14:paraId="4DB5DCD3" w14:textId="77777777" w:rsidR="00B5296E" w:rsidRPr="00B5296E" w:rsidRDefault="00B5296E" w:rsidP="0016729E">
      <w:pPr>
        <w:rPr>
          <w:rtl/>
        </w:rPr>
      </w:pPr>
      <w:r w:rsidRPr="00B5296E">
        <w:rPr>
          <w:rFonts w:hint="cs"/>
          <w:rtl/>
        </w:rPr>
        <w:t xml:space="preserve">يتضمن الجدول </w:t>
      </w:r>
      <w:r w:rsidRPr="00B5296E">
        <w:t>3</w:t>
      </w:r>
      <w:r w:rsidRPr="00B5296E">
        <w:rPr>
          <w:rFonts w:hint="cs"/>
          <w:rtl/>
        </w:rPr>
        <w:t xml:space="preserve"> تقديرات للقيم القصوى للآثار الأيونوسفيرية عند تردد قدره </w:t>
      </w:r>
      <w:r w:rsidRPr="00B5296E">
        <w:t>GHz 1</w:t>
      </w:r>
      <w:r w:rsidRPr="00B5296E">
        <w:rPr>
          <w:rFonts w:hint="cs"/>
          <w:rtl/>
        </w:rPr>
        <w:t xml:space="preserve">. ويفترض أن المحتوى الإلكتروني الرأسي الإجمالي للأيونوسفير هو عمود قدره </w:t>
      </w:r>
      <w:proofErr w:type="spellStart"/>
      <w:r w:rsidRPr="00B5296E">
        <w:t>el</w:t>
      </w:r>
      <w:proofErr w:type="spellEnd"/>
      <w:r w:rsidRPr="00B5296E">
        <w:t>/m</w:t>
      </w:r>
      <w:r w:rsidRPr="00B5296E">
        <w:rPr>
          <w:vertAlign w:val="superscript"/>
        </w:rPr>
        <w:t>2</w:t>
      </w:r>
      <w:r w:rsidRPr="00852791">
        <w:t xml:space="preserve"> </w:t>
      </w:r>
      <w:r w:rsidRPr="00B5296E">
        <w:rPr>
          <w:vertAlign w:val="superscript"/>
        </w:rPr>
        <w:t>18</w:t>
      </w:r>
      <w:r w:rsidRPr="00B5296E">
        <w:t>10</w:t>
      </w:r>
      <w:r w:rsidRPr="00B5296E">
        <w:rPr>
          <w:rFonts w:hint="cs"/>
          <w:rtl/>
        </w:rPr>
        <w:t xml:space="preserve">. وتفترض كذلك زاوية ارتفاع تبلغ </w:t>
      </w:r>
      <w:r w:rsidRPr="00B5296E">
        <w:t>30</w:t>
      </w:r>
      <w:r w:rsidRPr="00B5296E">
        <w:rPr>
          <w:rFonts w:hint="cs"/>
          <w:rtl/>
        </w:rPr>
        <w:t xml:space="preserve"> درجة. والقيم المبينة خاصة بانتشار الموجات في</w:t>
      </w:r>
      <w:r w:rsidRPr="00B5296E">
        <w:rPr>
          <w:rFonts w:hint="eastAsia"/>
          <w:rtl/>
        </w:rPr>
        <w:t> </w:t>
      </w:r>
      <w:r w:rsidRPr="00B5296E">
        <w:rPr>
          <w:rFonts w:hint="cs"/>
          <w:rtl/>
        </w:rPr>
        <w:t>اتجاه واحد عبر الأيونوسفير.</w:t>
      </w:r>
    </w:p>
    <w:p w14:paraId="54E57101" w14:textId="77777777" w:rsidR="00B5296E" w:rsidRPr="00B5296E" w:rsidRDefault="00B5296E" w:rsidP="00C12551">
      <w:pPr>
        <w:pStyle w:val="TableNo"/>
        <w:rPr>
          <w:rtl/>
        </w:rPr>
      </w:pPr>
      <w:r w:rsidRPr="00B5296E">
        <w:rPr>
          <w:rFonts w:hint="cs"/>
          <w:rtl/>
        </w:rPr>
        <w:lastRenderedPageBreak/>
        <w:t xml:space="preserve">الجـدول </w:t>
      </w:r>
      <w:r w:rsidRPr="00B5296E">
        <w:rPr>
          <w:lang w:bidi="ar-SA"/>
        </w:rPr>
        <w:t>3</w:t>
      </w:r>
    </w:p>
    <w:p w14:paraId="012D11DA" w14:textId="77777777" w:rsidR="00B5296E" w:rsidRPr="00B5296E" w:rsidRDefault="00B5296E" w:rsidP="00C12551">
      <w:pPr>
        <w:pStyle w:val="Tabletitle"/>
        <w:rPr>
          <w:rtl/>
        </w:rPr>
      </w:pPr>
      <w:r w:rsidRPr="00B5296E">
        <w:rPr>
          <w:rFonts w:hint="cs"/>
          <w:rtl/>
        </w:rPr>
        <w:t xml:space="preserve">الآثار الأيونوسفيرية القصوى المقدرة عند </w:t>
      </w:r>
      <w:r w:rsidRPr="00B5296E">
        <w:rPr>
          <w:lang w:bidi="ar-SA"/>
        </w:rPr>
        <w:t>GHz 1</w:t>
      </w:r>
      <w:r w:rsidRPr="00B5296E">
        <w:rPr>
          <w:rFonts w:hint="cs"/>
          <w:rtl/>
        </w:rPr>
        <w:t xml:space="preserve"> مع افتراض زوايا ارتفاع</w:t>
      </w:r>
      <w:r w:rsidRPr="00B5296E">
        <w:rPr>
          <w:rtl/>
        </w:rPr>
        <w:br/>
      </w:r>
      <w:r w:rsidRPr="00B5296E">
        <w:rPr>
          <w:rFonts w:hint="cs"/>
          <w:rtl/>
        </w:rPr>
        <w:t xml:space="preserve">قدرها حوالي </w:t>
      </w:r>
      <w:r w:rsidRPr="00B5296E">
        <w:rPr>
          <w:lang w:bidi="ar-SA"/>
        </w:rPr>
        <w:t>30</w:t>
      </w:r>
      <w:r w:rsidRPr="00B5296E">
        <w:rPr>
          <w:rFonts w:hint="cs"/>
          <w:rtl/>
        </w:rPr>
        <w:t xml:space="preserve"> درجة في حالة الانتشار في اتجاه واحد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02"/>
        <w:gridCol w:w="1843"/>
        <w:gridCol w:w="1842"/>
      </w:tblGrid>
      <w:tr w:rsidR="00B5296E" w:rsidRPr="00B5296E" w14:paraId="7397F73D" w14:textId="77777777" w:rsidTr="00A406D7">
        <w:trPr>
          <w:cantSplit/>
          <w:jc w:val="center"/>
        </w:trPr>
        <w:tc>
          <w:tcPr>
            <w:tcW w:w="3802" w:type="dxa"/>
            <w:vAlign w:val="center"/>
          </w:tcPr>
          <w:p w14:paraId="39128D8C" w14:textId="77777777" w:rsidR="00B5296E" w:rsidRPr="00B5296E" w:rsidRDefault="00B5296E" w:rsidP="00F71847">
            <w:pPr>
              <w:pStyle w:val="Tablehead"/>
              <w:rPr>
                <w:lang w:val="fr-FR"/>
              </w:rPr>
            </w:pPr>
            <w:r w:rsidRPr="00B5296E">
              <w:rPr>
                <w:rFonts w:hint="cs"/>
                <w:rtl/>
              </w:rPr>
              <w:t>الأثر</w:t>
            </w:r>
          </w:p>
        </w:tc>
        <w:tc>
          <w:tcPr>
            <w:tcW w:w="1843" w:type="dxa"/>
            <w:vAlign w:val="center"/>
          </w:tcPr>
          <w:p w14:paraId="17CCF3ED" w14:textId="77777777" w:rsidR="00B5296E" w:rsidRPr="00B5296E" w:rsidRDefault="00B5296E" w:rsidP="00F71847">
            <w:pPr>
              <w:pStyle w:val="Tablehead"/>
              <w:rPr>
                <w:lang w:val="en-GB"/>
              </w:rPr>
            </w:pPr>
            <w:r w:rsidRPr="00B5296E">
              <w:rPr>
                <w:rFonts w:hint="cs"/>
                <w:rtl/>
              </w:rPr>
              <w:t>المقدار</w:t>
            </w:r>
          </w:p>
        </w:tc>
        <w:tc>
          <w:tcPr>
            <w:tcW w:w="1842" w:type="dxa"/>
            <w:vAlign w:val="center"/>
          </w:tcPr>
          <w:p w14:paraId="2CB695A7" w14:textId="77777777" w:rsidR="00B5296E" w:rsidRPr="00B5296E" w:rsidRDefault="00B5296E" w:rsidP="00F71847">
            <w:pPr>
              <w:pStyle w:val="Tablehead"/>
              <w:rPr>
                <w:lang w:val="en-GB"/>
              </w:rPr>
            </w:pPr>
            <w:r w:rsidRPr="00B5296E">
              <w:rPr>
                <w:rFonts w:hint="cs"/>
                <w:rtl/>
              </w:rPr>
              <w:t>التغير بحسب التردد</w:t>
            </w:r>
          </w:p>
        </w:tc>
      </w:tr>
      <w:tr w:rsidR="00F71847" w:rsidRPr="00B5296E" w14:paraId="2B7C002C" w14:textId="77777777" w:rsidTr="00A406D7">
        <w:trPr>
          <w:cantSplit/>
          <w:jc w:val="center"/>
        </w:trPr>
        <w:tc>
          <w:tcPr>
            <w:tcW w:w="3802" w:type="dxa"/>
            <w:vAlign w:val="center"/>
          </w:tcPr>
          <w:p w14:paraId="27F4DB9E" w14:textId="77777777" w:rsidR="00F71847" w:rsidRPr="00B5296E" w:rsidRDefault="00F71847" w:rsidP="00F71847">
            <w:pPr>
              <w:pStyle w:val="Tabletext"/>
              <w:jc w:val="both"/>
              <w:rPr>
                <w:lang w:val="en-GB"/>
              </w:rPr>
            </w:pPr>
            <w:r w:rsidRPr="00B5296E">
              <w:rPr>
                <w:rFonts w:hint="cs"/>
                <w:rtl/>
              </w:rPr>
              <w:t>دوران فاراداي</w:t>
            </w:r>
          </w:p>
        </w:tc>
        <w:tc>
          <w:tcPr>
            <w:tcW w:w="1843" w:type="dxa"/>
            <w:vAlign w:val="center"/>
          </w:tcPr>
          <w:p w14:paraId="779A0AFF" w14:textId="08BD8EE3" w:rsidR="00F71847" w:rsidRPr="00B5296E" w:rsidRDefault="00F71847" w:rsidP="00F71847">
            <w:pPr>
              <w:pStyle w:val="Tabletext"/>
              <w:jc w:val="center"/>
              <w:rPr>
                <w:lang w:val="en-GB"/>
              </w:rPr>
            </w:pPr>
            <w:r w:rsidRPr="005B6F3D">
              <w:rPr>
                <w:rFonts w:ascii="Symbol" w:hAnsi="Symbol"/>
                <w:lang w:val="fr-FR" w:eastAsia="zh-CN"/>
              </w:rPr>
              <w:t></w:t>
            </w:r>
            <w:r w:rsidRPr="005B6F3D">
              <w:rPr>
                <w:lang w:val="en-GB" w:eastAsia="zh-CN"/>
              </w:rPr>
              <w:t>108</w:t>
            </w:r>
          </w:p>
        </w:tc>
        <w:tc>
          <w:tcPr>
            <w:tcW w:w="1842" w:type="dxa"/>
            <w:vAlign w:val="center"/>
          </w:tcPr>
          <w:p w14:paraId="6BA4C73B" w14:textId="2CE0D27F" w:rsidR="00F71847" w:rsidRPr="00B5296E" w:rsidRDefault="00F71847" w:rsidP="00F71847">
            <w:pPr>
              <w:pStyle w:val="Tabletext"/>
              <w:jc w:val="center"/>
              <w:rPr>
                <w:lang w:val="en-GB"/>
              </w:rPr>
            </w:pPr>
            <w:r w:rsidRPr="00BE0BC2">
              <w:rPr>
                <w:position w:val="11"/>
                <w:sz w:val="16"/>
                <w:szCs w:val="16"/>
                <w:lang w:val="fr-FR" w:eastAsia="zh-CN"/>
              </w:rPr>
              <w:t>2</w:t>
            </w:r>
            <w:r>
              <w:rPr>
                <w:position w:val="11"/>
                <w:sz w:val="16"/>
                <w:szCs w:val="16"/>
                <w:lang w:val="fr-FR" w:eastAsia="zh-CN"/>
              </w:rPr>
              <w:t xml:space="preserve"> </w:t>
            </w:r>
            <w:r w:rsidRPr="005B6F3D">
              <w:rPr>
                <w:i/>
                <w:lang w:val="en-GB" w:eastAsia="zh-CN"/>
              </w:rPr>
              <w:t>f</w:t>
            </w:r>
            <w:r w:rsidRPr="00F97233">
              <w:t>/1</w:t>
            </w:r>
          </w:p>
        </w:tc>
      </w:tr>
      <w:tr w:rsidR="00F71847" w:rsidRPr="00B5296E" w14:paraId="1AC57D50" w14:textId="77777777" w:rsidTr="00A406D7">
        <w:trPr>
          <w:cantSplit/>
          <w:jc w:val="center"/>
        </w:trPr>
        <w:tc>
          <w:tcPr>
            <w:tcW w:w="3802" w:type="dxa"/>
            <w:vAlign w:val="center"/>
          </w:tcPr>
          <w:p w14:paraId="4F1F5473" w14:textId="77777777" w:rsidR="00F71847" w:rsidRPr="00B5296E" w:rsidRDefault="00F71847" w:rsidP="00F71847">
            <w:pPr>
              <w:pStyle w:val="Tabletext"/>
              <w:jc w:val="both"/>
              <w:rPr>
                <w:lang w:val="fr-FR"/>
              </w:rPr>
            </w:pPr>
            <w:r w:rsidRPr="00B5296E">
              <w:rPr>
                <w:rFonts w:hint="cs"/>
                <w:rtl/>
              </w:rPr>
              <w:t>مدة الانتشار</w:t>
            </w:r>
          </w:p>
        </w:tc>
        <w:tc>
          <w:tcPr>
            <w:tcW w:w="1843" w:type="dxa"/>
            <w:vAlign w:val="center"/>
          </w:tcPr>
          <w:p w14:paraId="7FF7B004" w14:textId="166B6B1E" w:rsidR="00F71847" w:rsidRPr="00B5296E" w:rsidRDefault="00F71847" w:rsidP="00F71847">
            <w:pPr>
              <w:pStyle w:val="Tabletext"/>
              <w:jc w:val="center"/>
              <w:rPr>
                <w:lang w:val="fr-FR"/>
              </w:rPr>
            </w:pPr>
            <w:r w:rsidRPr="005B6F3D">
              <w:rPr>
                <w:rFonts w:ascii="Symbol" w:hAnsi="Symbol"/>
                <w:lang w:val="fr-FR" w:eastAsia="zh-CN"/>
              </w:rPr>
              <w:t></w:t>
            </w:r>
            <w:r w:rsidRPr="005B6F3D">
              <w:rPr>
                <w:lang w:val="fr-FR" w:eastAsia="zh-CN"/>
              </w:rPr>
              <w:t>s 0</w:t>
            </w:r>
            <w:r>
              <w:rPr>
                <w:lang w:val="fr-FR" w:eastAsia="zh-CN"/>
              </w:rPr>
              <w:t>,</w:t>
            </w:r>
            <w:r w:rsidRPr="005B6F3D">
              <w:rPr>
                <w:lang w:val="fr-FR" w:eastAsia="zh-CN"/>
              </w:rPr>
              <w:t>25</w:t>
            </w:r>
          </w:p>
        </w:tc>
        <w:tc>
          <w:tcPr>
            <w:tcW w:w="1842" w:type="dxa"/>
          </w:tcPr>
          <w:p w14:paraId="5C288D67" w14:textId="3B16A1CE" w:rsidR="00F71847" w:rsidRPr="00B5296E" w:rsidRDefault="00F71847" w:rsidP="00F71847">
            <w:pPr>
              <w:pStyle w:val="Tabletext"/>
              <w:jc w:val="center"/>
              <w:rPr>
                <w:lang w:val="en-GB"/>
              </w:rPr>
            </w:pPr>
            <w:r w:rsidRPr="00BE0BC2">
              <w:rPr>
                <w:position w:val="11"/>
                <w:sz w:val="16"/>
                <w:szCs w:val="16"/>
                <w:lang w:val="fr-FR" w:eastAsia="zh-CN"/>
              </w:rPr>
              <w:t>2</w:t>
            </w:r>
            <w:r w:rsidRPr="00D37B85">
              <w:rPr>
                <w:position w:val="11"/>
                <w:sz w:val="16"/>
                <w:szCs w:val="16"/>
                <w:lang w:val="fr-FR" w:eastAsia="zh-CN"/>
              </w:rPr>
              <w:t xml:space="preserve"> </w:t>
            </w:r>
            <w:r w:rsidRPr="00760E12">
              <w:rPr>
                <w:i/>
                <w:lang w:val="en-GB" w:eastAsia="zh-CN"/>
              </w:rPr>
              <w:t>f</w:t>
            </w:r>
            <w:r w:rsidRPr="00760E12">
              <w:t>/1</w:t>
            </w:r>
          </w:p>
        </w:tc>
      </w:tr>
      <w:tr w:rsidR="00F71847" w:rsidRPr="00B5296E" w14:paraId="56C4AE3A" w14:textId="77777777" w:rsidTr="00A406D7">
        <w:trPr>
          <w:cantSplit/>
          <w:jc w:val="center"/>
        </w:trPr>
        <w:tc>
          <w:tcPr>
            <w:tcW w:w="3802" w:type="dxa"/>
            <w:vAlign w:val="center"/>
          </w:tcPr>
          <w:p w14:paraId="25653830" w14:textId="77777777" w:rsidR="00F71847" w:rsidRPr="00B5296E" w:rsidRDefault="00F71847" w:rsidP="00F71847">
            <w:pPr>
              <w:pStyle w:val="Tabletext"/>
              <w:jc w:val="both"/>
              <w:rPr>
                <w:lang w:val="en-GB"/>
              </w:rPr>
            </w:pPr>
            <w:r w:rsidRPr="00B5296E">
              <w:rPr>
                <w:rFonts w:hint="cs"/>
                <w:rtl/>
              </w:rPr>
              <w:t>الانكسار</w:t>
            </w:r>
          </w:p>
        </w:tc>
        <w:tc>
          <w:tcPr>
            <w:tcW w:w="1843" w:type="dxa"/>
            <w:vAlign w:val="center"/>
          </w:tcPr>
          <w:p w14:paraId="37293FE9" w14:textId="3124F212" w:rsidR="00F71847" w:rsidRPr="00B5296E" w:rsidRDefault="00F71847" w:rsidP="00F71847">
            <w:pPr>
              <w:pStyle w:val="Tabletext"/>
              <w:jc w:val="center"/>
              <w:rPr>
                <w:lang w:val="en-GB"/>
              </w:rPr>
            </w:pPr>
            <w:proofErr w:type="spellStart"/>
            <w:r w:rsidRPr="005B6F3D">
              <w:rPr>
                <w:lang w:val="en-GB" w:eastAsia="zh-CN"/>
              </w:rPr>
              <w:t>mrad</w:t>
            </w:r>
            <w:proofErr w:type="spellEnd"/>
            <w:r w:rsidRPr="005B6F3D">
              <w:rPr>
                <w:lang w:val="en-GB" w:eastAsia="zh-CN"/>
              </w:rPr>
              <w:t xml:space="preserve"> 0</w:t>
            </w:r>
            <w:r>
              <w:rPr>
                <w:lang w:val="en-GB" w:eastAsia="zh-CN"/>
              </w:rPr>
              <w:t>,</w:t>
            </w:r>
            <w:r w:rsidRPr="005B6F3D">
              <w:rPr>
                <w:lang w:val="en-GB" w:eastAsia="zh-CN"/>
              </w:rPr>
              <w:t xml:space="preserve">17 </w:t>
            </w:r>
            <w:r w:rsidRPr="005B6F3D">
              <w:rPr>
                <w:lang w:eastAsia="zh-CN"/>
              </w:rPr>
              <w:t>&gt;</w:t>
            </w:r>
          </w:p>
        </w:tc>
        <w:tc>
          <w:tcPr>
            <w:tcW w:w="1842" w:type="dxa"/>
          </w:tcPr>
          <w:p w14:paraId="4485A982" w14:textId="282CC4CF" w:rsidR="00F71847" w:rsidRPr="00B5296E" w:rsidRDefault="00F71847" w:rsidP="00F71847">
            <w:pPr>
              <w:pStyle w:val="Tabletext"/>
              <w:jc w:val="center"/>
              <w:rPr>
                <w:lang w:val="en-GB"/>
              </w:rPr>
            </w:pPr>
            <w:r w:rsidRPr="00BE0BC2">
              <w:rPr>
                <w:position w:val="11"/>
                <w:sz w:val="16"/>
                <w:szCs w:val="16"/>
                <w:lang w:val="fr-FR" w:eastAsia="zh-CN"/>
              </w:rPr>
              <w:t>2</w:t>
            </w:r>
            <w:r>
              <w:rPr>
                <w:position w:val="11"/>
                <w:sz w:val="16"/>
                <w:szCs w:val="16"/>
                <w:lang w:val="fr-FR" w:eastAsia="zh-CN"/>
              </w:rPr>
              <w:t xml:space="preserve"> </w:t>
            </w:r>
            <w:r w:rsidRPr="00760E12">
              <w:rPr>
                <w:i/>
                <w:lang w:val="en-GB" w:eastAsia="zh-CN"/>
              </w:rPr>
              <w:t>f</w:t>
            </w:r>
            <w:r w:rsidRPr="00760E12">
              <w:t>/1</w:t>
            </w:r>
          </w:p>
        </w:tc>
      </w:tr>
      <w:tr w:rsidR="00F71847" w:rsidRPr="00B5296E" w14:paraId="69282146" w14:textId="77777777" w:rsidTr="00A406D7">
        <w:trPr>
          <w:cantSplit/>
          <w:jc w:val="center"/>
        </w:trPr>
        <w:tc>
          <w:tcPr>
            <w:tcW w:w="3802" w:type="dxa"/>
            <w:vAlign w:val="center"/>
          </w:tcPr>
          <w:p w14:paraId="525CC448" w14:textId="77777777" w:rsidR="00F71847" w:rsidRPr="00B5296E" w:rsidRDefault="00F71847" w:rsidP="00F71847">
            <w:pPr>
              <w:pStyle w:val="Tabletext"/>
              <w:jc w:val="both"/>
            </w:pPr>
            <w:r w:rsidRPr="00B5296E">
              <w:rPr>
                <w:rFonts w:hint="cs"/>
                <w:rtl/>
              </w:rPr>
              <w:t>التغير في اتجاه الوصول</w:t>
            </w:r>
          </w:p>
        </w:tc>
        <w:tc>
          <w:tcPr>
            <w:tcW w:w="1843" w:type="dxa"/>
            <w:vAlign w:val="center"/>
          </w:tcPr>
          <w:p w14:paraId="4BE2D67F" w14:textId="503A4095" w:rsidR="00F71847" w:rsidRPr="00B5296E" w:rsidRDefault="00F71847" w:rsidP="00F71847">
            <w:pPr>
              <w:pStyle w:val="Tabletext"/>
              <w:jc w:val="center"/>
              <w:rPr>
                <w:rtl/>
                <w:lang w:bidi="ar-EG"/>
              </w:rPr>
            </w:pPr>
            <w:r w:rsidRPr="005B6F3D">
              <w:rPr>
                <w:lang w:eastAsia="zh-CN"/>
              </w:rPr>
              <w:t>0</w:t>
            </w:r>
            <w:r>
              <w:rPr>
                <w:lang w:eastAsia="zh-CN"/>
              </w:rPr>
              <w:t>,</w:t>
            </w:r>
            <w:r w:rsidRPr="005B6F3D">
              <w:rPr>
                <w:lang w:eastAsia="zh-CN"/>
              </w:rPr>
              <w:t>2</w:t>
            </w:r>
            <w:r w:rsidRPr="005B6F3D">
              <w:rPr>
                <w:rFonts w:hint="cs"/>
                <w:rtl/>
                <w:lang w:eastAsia="zh-CN" w:bidi="ar-EG"/>
              </w:rPr>
              <w:t xml:space="preserve"> دقيقة من القوس</w:t>
            </w:r>
          </w:p>
        </w:tc>
        <w:tc>
          <w:tcPr>
            <w:tcW w:w="1842" w:type="dxa"/>
          </w:tcPr>
          <w:p w14:paraId="584BA5E5" w14:textId="6DDA5DD1" w:rsidR="00F71847" w:rsidRPr="00B5296E" w:rsidRDefault="00F71847" w:rsidP="00F71847">
            <w:pPr>
              <w:pStyle w:val="Tabletext"/>
              <w:jc w:val="center"/>
              <w:rPr>
                <w:lang w:val="en-GB"/>
              </w:rPr>
            </w:pPr>
            <w:r w:rsidRPr="00BE0BC2">
              <w:rPr>
                <w:position w:val="11"/>
                <w:sz w:val="16"/>
                <w:szCs w:val="16"/>
                <w:lang w:val="fr-FR" w:eastAsia="zh-CN"/>
              </w:rPr>
              <w:t>2</w:t>
            </w:r>
            <w:r>
              <w:rPr>
                <w:position w:val="11"/>
                <w:sz w:val="16"/>
                <w:szCs w:val="16"/>
                <w:lang w:val="fr-FR" w:eastAsia="zh-CN"/>
              </w:rPr>
              <w:t xml:space="preserve"> </w:t>
            </w:r>
            <w:r w:rsidRPr="00760E12">
              <w:rPr>
                <w:i/>
                <w:lang w:val="en-GB" w:eastAsia="zh-CN"/>
              </w:rPr>
              <w:t>f</w:t>
            </w:r>
            <w:r w:rsidRPr="00760E12">
              <w:t>/1</w:t>
            </w:r>
          </w:p>
        </w:tc>
      </w:tr>
      <w:tr w:rsidR="00F71847" w:rsidRPr="00B5296E" w14:paraId="0D7A13DD" w14:textId="77777777" w:rsidTr="00A406D7">
        <w:trPr>
          <w:cantSplit/>
          <w:jc w:val="center"/>
        </w:trPr>
        <w:tc>
          <w:tcPr>
            <w:tcW w:w="3802" w:type="dxa"/>
            <w:vAlign w:val="center"/>
          </w:tcPr>
          <w:p w14:paraId="43916786" w14:textId="77777777" w:rsidR="00F71847" w:rsidRPr="00B5296E" w:rsidRDefault="00F71847" w:rsidP="00F71847">
            <w:pPr>
              <w:pStyle w:val="Tabletext"/>
              <w:jc w:val="both"/>
              <w:rPr>
                <w:rtl/>
              </w:rPr>
            </w:pPr>
            <w:r w:rsidRPr="00B5296E">
              <w:rPr>
                <w:rFonts w:hint="cs"/>
                <w:rtl/>
              </w:rPr>
              <w:t>الامتصاص</w:t>
            </w:r>
          </w:p>
          <w:p w14:paraId="3C3D6B81" w14:textId="77777777" w:rsidR="00F71847" w:rsidRPr="00B5296E" w:rsidRDefault="00F71847" w:rsidP="0006685E">
            <w:pPr>
              <w:pStyle w:val="Tabletext"/>
              <w:ind w:left="296"/>
              <w:jc w:val="both"/>
            </w:pPr>
            <w:r w:rsidRPr="00B5296E">
              <w:rPr>
                <w:rFonts w:hint="cs"/>
                <w:rtl/>
              </w:rPr>
              <w:t>(الامتصاص في حالة القلنسوة القطبية)</w:t>
            </w:r>
          </w:p>
        </w:tc>
        <w:tc>
          <w:tcPr>
            <w:tcW w:w="1843" w:type="dxa"/>
            <w:vAlign w:val="center"/>
          </w:tcPr>
          <w:p w14:paraId="1B51F5F4" w14:textId="659F3353" w:rsidR="00F71847" w:rsidRPr="00B5296E" w:rsidRDefault="00F71847" w:rsidP="00F71847">
            <w:pPr>
              <w:pStyle w:val="Tabletext"/>
              <w:jc w:val="center"/>
            </w:pPr>
            <w:r w:rsidRPr="005B6F3D">
              <w:rPr>
                <w:lang w:eastAsia="zh-CN"/>
              </w:rPr>
              <w:t>dB 0</w:t>
            </w:r>
            <w:r>
              <w:rPr>
                <w:lang w:eastAsia="zh-CN"/>
              </w:rPr>
              <w:t>,</w:t>
            </w:r>
            <w:r w:rsidRPr="005B6F3D">
              <w:rPr>
                <w:lang w:eastAsia="zh-CN"/>
              </w:rPr>
              <w:t>04</w:t>
            </w:r>
          </w:p>
        </w:tc>
        <w:tc>
          <w:tcPr>
            <w:tcW w:w="1842" w:type="dxa"/>
            <w:vAlign w:val="center"/>
          </w:tcPr>
          <w:p w14:paraId="32554D0F" w14:textId="1542E1E9" w:rsidR="00F71847" w:rsidRPr="00B5296E" w:rsidRDefault="00F71847" w:rsidP="00F71847">
            <w:pPr>
              <w:pStyle w:val="Tabletext"/>
              <w:jc w:val="center"/>
            </w:pPr>
            <w:r w:rsidRPr="00BE0BC2">
              <w:rPr>
                <w:position w:val="11"/>
                <w:sz w:val="16"/>
                <w:szCs w:val="16"/>
                <w:lang w:val="fr-FR" w:eastAsia="zh-CN"/>
              </w:rPr>
              <w:t>2</w:t>
            </w:r>
            <w:r>
              <w:rPr>
                <w:position w:val="11"/>
                <w:sz w:val="16"/>
                <w:szCs w:val="16"/>
                <w:lang w:val="fr-FR" w:eastAsia="zh-CN"/>
              </w:rPr>
              <w:t xml:space="preserve"> </w:t>
            </w:r>
            <w:r w:rsidRPr="00760E12">
              <w:rPr>
                <w:i/>
                <w:lang w:val="en-GB" w:eastAsia="zh-CN"/>
              </w:rPr>
              <w:t>f</w:t>
            </w:r>
            <w:r w:rsidRPr="00760E12">
              <w:t>/1</w:t>
            </w:r>
            <w:r w:rsidRPr="005B6F3D">
              <w:rPr>
                <w:rFonts w:ascii="Symbol" w:hAnsi="Symbol"/>
                <w:lang w:val="fr-FR" w:eastAsia="zh-CN"/>
              </w:rPr>
              <w:t></w:t>
            </w:r>
          </w:p>
        </w:tc>
      </w:tr>
      <w:tr w:rsidR="00F71847" w:rsidRPr="00B5296E" w14:paraId="257CB88D" w14:textId="77777777" w:rsidTr="00A406D7">
        <w:trPr>
          <w:cantSplit/>
          <w:jc w:val="center"/>
        </w:trPr>
        <w:tc>
          <w:tcPr>
            <w:tcW w:w="3802" w:type="dxa"/>
            <w:vAlign w:val="center"/>
          </w:tcPr>
          <w:p w14:paraId="1F58CFD7" w14:textId="77777777" w:rsidR="00F71847" w:rsidRPr="00B5296E" w:rsidRDefault="00F71847" w:rsidP="00F71847">
            <w:pPr>
              <w:pStyle w:val="Tabletext"/>
              <w:jc w:val="both"/>
              <w:rPr>
                <w:rtl/>
              </w:rPr>
            </w:pPr>
            <w:r w:rsidRPr="00B5296E">
              <w:rPr>
                <w:rFonts w:hint="cs"/>
                <w:rtl/>
              </w:rPr>
              <w:t>الامتصاص</w:t>
            </w:r>
          </w:p>
          <w:p w14:paraId="2D2A3AAE" w14:textId="77777777" w:rsidR="00F71847" w:rsidRPr="00B5296E" w:rsidRDefault="00F71847" w:rsidP="0006685E">
            <w:pPr>
              <w:pStyle w:val="Tabletext"/>
              <w:ind w:left="296"/>
              <w:jc w:val="both"/>
            </w:pPr>
            <w:r w:rsidRPr="00B5296E">
              <w:rPr>
                <w:rFonts w:hint="cs"/>
                <w:rtl/>
              </w:rPr>
              <w:t>(الشفقي + الامتصاص في حالة القلنسوة القطبية)</w:t>
            </w:r>
          </w:p>
        </w:tc>
        <w:tc>
          <w:tcPr>
            <w:tcW w:w="1843" w:type="dxa"/>
            <w:vAlign w:val="center"/>
          </w:tcPr>
          <w:p w14:paraId="4819FB4E" w14:textId="014899B5" w:rsidR="00F71847" w:rsidRPr="00B5296E" w:rsidRDefault="00F71847" w:rsidP="00F71847">
            <w:pPr>
              <w:pStyle w:val="Tabletext"/>
              <w:jc w:val="center"/>
            </w:pPr>
            <w:r w:rsidRPr="005B6F3D">
              <w:rPr>
                <w:lang w:eastAsia="zh-CN"/>
              </w:rPr>
              <w:t>dB 0</w:t>
            </w:r>
            <w:r>
              <w:rPr>
                <w:lang w:eastAsia="zh-CN"/>
              </w:rPr>
              <w:t>,</w:t>
            </w:r>
            <w:r w:rsidRPr="005B6F3D">
              <w:rPr>
                <w:lang w:eastAsia="zh-CN"/>
              </w:rPr>
              <w:t>05</w:t>
            </w:r>
          </w:p>
        </w:tc>
        <w:tc>
          <w:tcPr>
            <w:tcW w:w="1842" w:type="dxa"/>
            <w:vAlign w:val="center"/>
          </w:tcPr>
          <w:p w14:paraId="27CAADDD" w14:textId="2544608E" w:rsidR="00F71847" w:rsidRPr="00B5296E" w:rsidRDefault="00F71847" w:rsidP="00F71847">
            <w:pPr>
              <w:pStyle w:val="Tabletext"/>
              <w:jc w:val="center"/>
            </w:pPr>
            <w:r w:rsidRPr="00BE0BC2">
              <w:rPr>
                <w:position w:val="11"/>
                <w:sz w:val="16"/>
                <w:szCs w:val="16"/>
                <w:lang w:val="fr-FR" w:eastAsia="zh-CN"/>
              </w:rPr>
              <w:t>2</w:t>
            </w:r>
            <w:r>
              <w:rPr>
                <w:position w:val="11"/>
                <w:sz w:val="16"/>
                <w:szCs w:val="16"/>
                <w:lang w:val="fr-FR" w:eastAsia="zh-CN"/>
              </w:rPr>
              <w:t xml:space="preserve"> </w:t>
            </w:r>
            <w:r w:rsidRPr="00760E12">
              <w:rPr>
                <w:i/>
                <w:lang w:val="en-GB" w:eastAsia="zh-CN"/>
              </w:rPr>
              <w:t>f</w:t>
            </w:r>
            <w:r w:rsidRPr="00760E12">
              <w:t>/1</w:t>
            </w:r>
            <w:r w:rsidRPr="005B6F3D">
              <w:rPr>
                <w:rFonts w:ascii="Symbol" w:hAnsi="Symbol"/>
                <w:lang w:val="fr-FR" w:eastAsia="zh-CN"/>
              </w:rPr>
              <w:t></w:t>
            </w:r>
          </w:p>
        </w:tc>
      </w:tr>
      <w:tr w:rsidR="00F71847" w:rsidRPr="00B5296E" w14:paraId="3C375651" w14:textId="77777777" w:rsidTr="00A406D7">
        <w:trPr>
          <w:cantSplit/>
          <w:jc w:val="center"/>
        </w:trPr>
        <w:tc>
          <w:tcPr>
            <w:tcW w:w="3802" w:type="dxa"/>
            <w:vAlign w:val="center"/>
          </w:tcPr>
          <w:p w14:paraId="3CC0B4B7" w14:textId="77777777" w:rsidR="00F71847" w:rsidRPr="00B5296E" w:rsidRDefault="00F71847" w:rsidP="00F71847">
            <w:pPr>
              <w:pStyle w:val="Tabletext"/>
              <w:jc w:val="both"/>
              <w:rPr>
                <w:rtl/>
              </w:rPr>
            </w:pPr>
            <w:r w:rsidRPr="00B5296E">
              <w:rPr>
                <w:rFonts w:hint="cs"/>
                <w:rtl/>
              </w:rPr>
              <w:t>الامتصاص</w:t>
            </w:r>
          </w:p>
          <w:p w14:paraId="47E1B2DC" w14:textId="77777777" w:rsidR="00F71847" w:rsidRPr="00B5296E" w:rsidRDefault="00F71847" w:rsidP="0006685E">
            <w:pPr>
              <w:pStyle w:val="Tabletext"/>
              <w:ind w:left="296"/>
              <w:jc w:val="both"/>
            </w:pPr>
            <w:r w:rsidRPr="00B5296E">
              <w:rPr>
                <w:rFonts w:hint="cs"/>
                <w:rtl/>
              </w:rPr>
              <w:t>(في منتصف خط العرض)</w:t>
            </w:r>
          </w:p>
        </w:tc>
        <w:tc>
          <w:tcPr>
            <w:tcW w:w="1843" w:type="dxa"/>
            <w:vAlign w:val="center"/>
          </w:tcPr>
          <w:p w14:paraId="38978EB8" w14:textId="624F42EB" w:rsidR="00F71847" w:rsidRPr="00B5296E" w:rsidRDefault="00F71847" w:rsidP="00F71847">
            <w:pPr>
              <w:pStyle w:val="Tabletext"/>
              <w:jc w:val="center"/>
            </w:pPr>
            <w:r w:rsidRPr="005B6F3D">
              <w:rPr>
                <w:lang w:eastAsia="zh-CN"/>
              </w:rPr>
              <w:t>dB 0</w:t>
            </w:r>
            <w:r>
              <w:rPr>
                <w:lang w:eastAsia="zh-CN"/>
              </w:rPr>
              <w:t>,</w:t>
            </w:r>
            <w:r w:rsidRPr="005B6F3D">
              <w:rPr>
                <w:lang w:eastAsia="zh-CN"/>
              </w:rPr>
              <w:t>01 &gt;</w:t>
            </w:r>
          </w:p>
        </w:tc>
        <w:tc>
          <w:tcPr>
            <w:tcW w:w="1842" w:type="dxa"/>
            <w:vAlign w:val="center"/>
          </w:tcPr>
          <w:p w14:paraId="294AF8CB" w14:textId="12982AAD" w:rsidR="00F71847" w:rsidRPr="00B5296E" w:rsidRDefault="00F71847" w:rsidP="00F71847">
            <w:pPr>
              <w:pStyle w:val="Tabletext"/>
              <w:jc w:val="center"/>
            </w:pPr>
            <w:r w:rsidRPr="00BE0BC2">
              <w:rPr>
                <w:position w:val="11"/>
                <w:sz w:val="16"/>
                <w:szCs w:val="16"/>
                <w:lang w:val="fr-FR" w:eastAsia="zh-CN"/>
              </w:rPr>
              <w:t>2</w:t>
            </w:r>
            <w:r>
              <w:rPr>
                <w:position w:val="11"/>
                <w:sz w:val="16"/>
                <w:szCs w:val="16"/>
                <w:lang w:val="fr-FR" w:eastAsia="zh-CN"/>
              </w:rPr>
              <w:t xml:space="preserve"> </w:t>
            </w:r>
            <w:r w:rsidRPr="00760E12">
              <w:rPr>
                <w:i/>
                <w:lang w:val="en-GB" w:eastAsia="zh-CN"/>
              </w:rPr>
              <w:t>f</w:t>
            </w:r>
            <w:r w:rsidRPr="00760E12">
              <w:t>/1</w:t>
            </w:r>
          </w:p>
        </w:tc>
      </w:tr>
      <w:tr w:rsidR="00F71847" w:rsidRPr="00B5296E" w14:paraId="1AFD7572" w14:textId="77777777" w:rsidTr="00A406D7">
        <w:trPr>
          <w:cantSplit/>
          <w:jc w:val="center"/>
        </w:trPr>
        <w:tc>
          <w:tcPr>
            <w:tcW w:w="3802" w:type="dxa"/>
            <w:vAlign w:val="center"/>
          </w:tcPr>
          <w:p w14:paraId="31F741B6" w14:textId="77777777" w:rsidR="00F71847" w:rsidRPr="00B5296E" w:rsidRDefault="00F71847" w:rsidP="00F71847">
            <w:pPr>
              <w:pStyle w:val="Tabletext"/>
              <w:jc w:val="both"/>
            </w:pPr>
            <w:r w:rsidRPr="00B5296E">
              <w:rPr>
                <w:rFonts w:hint="cs"/>
                <w:rtl/>
              </w:rPr>
              <w:t>التشتت</w:t>
            </w:r>
          </w:p>
        </w:tc>
        <w:tc>
          <w:tcPr>
            <w:tcW w:w="1843" w:type="dxa"/>
            <w:vAlign w:val="center"/>
          </w:tcPr>
          <w:p w14:paraId="75A0A640" w14:textId="7C986216" w:rsidR="00F71847" w:rsidRPr="00B5296E" w:rsidRDefault="00F71847" w:rsidP="00F71847">
            <w:pPr>
              <w:pStyle w:val="Tabletext"/>
              <w:jc w:val="center"/>
              <w:rPr>
                <w:lang w:val="fr-FR"/>
              </w:rPr>
            </w:pPr>
            <w:proofErr w:type="gramStart"/>
            <w:r w:rsidRPr="005B6F3D">
              <w:rPr>
                <w:lang w:val="fr-FR" w:eastAsia="zh-CN"/>
              </w:rPr>
              <w:t>ns</w:t>
            </w:r>
            <w:proofErr w:type="gramEnd"/>
            <w:r w:rsidRPr="005B6F3D">
              <w:rPr>
                <w:lang w:val="fr-FR" w:eastAsia="zh-CN"/>
              </w:rPr>
              <w:t>/MHz 4-0</w:t>
            </w:r>
          </w:p>
        </w:tc>
        <w:tc>
          <w:tcPr>
            <w:tcW w:w="1842" w:type="dxa"/>
            <w:vAlign w:val="center"/>
          </w:tcPr>
          <w:p w14:paraId="2F16DBDD" w14:textId="4B0DB784" w:rsidR="00F71847" w:rsidRPr="00B5296E" w:rsidRDefault="00F71847" w:rsidP="00F71847">
            <w:pPr>
              <w:pStyle w:val="Tabletext"/>
              <w:jc w:val="center"/>
              <w:rPr>
                <w:lang w:val="fr-FR"/>
              </w:rPr>
            </w:pPr>
            <w:r>
              <w:rPr>
                <w:position w:val="11"/>
                <w:sz w:val="16"/>
                <w:szCs w:val="16"/>
                <w:lang w:val="fr-FR" w:eastAsia="zh-CN"/>
              </w:rPr>
              <w:t>3</w:t>
            </w:r>
            <w:r>
              <w:rPr>
                <w:position w:val="11"/>
                <w:sz w:val="16"/>
                <w:szCs w:val="16"/>
                <w:lang w:eastAsia="zh-CN"/>
              </w:rPr>
              <w:t xml:space="preserve"> </w:t>
            </w:r>
            <w:r w:rsidRPr="00760E12">
              <w:rPr>
                <w:i/>
                <w:lang w:val="en-GB" w:eastAsia="zh-CN"/>
              </w:rPr>
              <w:t>f</w:t>
            </w:r>
            <w:r w:rsidRPr="00760E12">
              <w:t>/1</w:t>
            </w:r>
          </w:p>
        </w:tc>
      </w:tr>
      <w:tr w:rsidR="00F71847" w:rsidRPr="00B5296E" w14:paraId="0266F4BE" w14:textId="77777777" w:rsidTr="00A406D7">
        <w:trPr>
          <w:cantSplit/>
          <w:jc w:val="center"/>
        </w:trPr>
        <w:tc>
          <w:tcPr>
            <w:tcW w:w="3802" w:type="dxa"/>
            <w:vAlign w:val="center"/>
          </w:tcPr>
          <w:p w14:paraId="088F46D2" w14:textId="77777777" w:rsidR="00F71847" w:rsidRPr="00B5296E" w:rsidRDefault="00F71847" w:rsidP="00F71847">
            <w:pPr>
              <w:pStyle w:val="Tabletext"/>
              <w:jc w:val="both"/>
            </w:pPr>
            <w:r w:rsidRPr="00B5296E">
              <w:rPr>
                <w:rFonts w:hint="cs"/>
                <w:rtl/>
              </w:rPr>
              <w:t>الالتماع</w:t>
            </w:r>
          </w:p>
        </w:tc>
        <w:tc>
          <w:tcPr>
            <w:tcW w:w="1843" w:type="dxa"/>
            <w:vAlign w:val="center"/>
          </w:tcPr>
          <w:p w14:paraId="7B9CA6CD" w14:textId="67550C30" w:rsidR="00F71847" w:rsidRPr="00B5296E" w:rsidRDefault="00F71847" w:rsidP="00F71847">
            <w:pPr>
              <w:pStyle w:val="Tabletext"/>
              <w:jc w:val="center"/>
              <w:rPr>
                <w:rtl/>
              </w:rPr>
            </w:pPr>
            <w:r w:rsidRPr="005B6F3D">
              <w:rPr>
                <w:rFonts w:hint="cs"/>
                <w:rtl/>
                <w:lang w:eastAsia="zh-CN"/>
              </w:rPr>
              <w:t xml:space="preserve">انظر الفقرة </w:t>
            </w:r>
            <w:r>
              <w:rPr>
                <w:lang w:eastAsia="zh-CN"/>
              </w:rPr>
              <w:t>5</w:t>
            </w:r>
          </w:p>
        </w:tc>
        <w:tc>
          <w:tcPr>
            <w:tcW w:w="1842" w:type="dxa"/>
            <w:vAlign w:val="center"/>
          </w:tcPr>
          <w:p w14:paraId="43B7EF5F" w14:textId="4EBA3164" w:rsidR="00F71847" w:rsidRPr="00B5296E" w:rsidRDefault="00F71847" w:rsidP="00F71847">
            <w:pPr>
              <w:pStyle w:val="Tabletext"/>
              <w:jc w:val="center"/>
            </w:pPr>
            <w:r w:rsidRPr="005B6F3D">
              <w:rPr>
                <w:rFonts w:hint="cs"/>
                <w:rtl/>
                <w:lang w:eastAsia="zh-CN"/>
              </w:rPr>
              <w:t xml:space="preserve">انظر الفقرة </w:t>
            </w:r>
            <w:r>
              <w:rPr>
                <w:lang w:eastAsia="zh-CN"/>
              </w:rPr>
              <w:t>5</w:t>
            </w:r>
          </w:p>
        </w:tc>
      </w:tr>
    </w:tbl>
    <w:p w14:paraId="1E0B1FDE" w14:textId="77777777" w:rsidR="00775C8F" w:rsidRPr="00775C8F" w:rsidRDefault="00775C8F" w:rsidP="00775C8F">
      <w:pPr>
        <w:tabs>
          <w:tab w:val="left" w:pos="794"/>
        </w:tabs>
        <w:overflowPunct/>
        <w:autoSpaceDE/>
        <w:autoSpaceDN/>
        <w:adjustRightInd/>
        <w:spacing w:before="600" w:after="120"/>
        <w:jc w:val="center"/>
        <w:textAlignment w:val="auto"/>
        <w:rPr>
          <w:rFonts w:ascii="Dubai" w:eastAsia="SimSun" w:hAnsi="Dubai" w:cs="Dubai"/>
          <w:szCs w:val="22"/>
          <w:rtl/>
          <w:lang w:eastAsia="zh-CN" w:bidi="ar-EG"/>
        </w:rPr>
      </w:pPr>
      <w:r w:rsidRPr="00775C8F">
        <w:rPr>
          <w:rFonts w:ascii="Dubai" w:eastAsia="SimSun" w:hAnsi="Dubai" w:cs="Dubai" w:hint="cs"/>
          <w:szCs w:val="22"/>
          <w:rtl/>
          <w:lang w:eastAsia="zh-CN" w:bidi="ar-EG"/>
        </w:rPr>
        <w:t>ــــــــــــــــــــــــــــــــــــــــــــــــــــــــــــــــــــــــــــــــــــــــــــــــ</w:t>
      </w:r>
    </w:p>
    <w:sectPr w:rsidR="00775C8F" w:rsidRPr="00775C8F" w:rsidSect="0045598B">
      <w:headerReference w:type="even" r:id="rId57"/>
      <w:headerReference w:type="default" r:id="rId58"/>
      <w:footerReference w:type="even" r:id="rId59"/>
      <w:footerReference w:type="default" r:id="rId60"/>
      <w:headerReference w:type="first" r:id="rId61"/>
      <w:footerReference w:type="first" r:id="rId62"/>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D9FEC" w14:textId="77777777" w:rsidR="008836E7" w:rsidRDefault="008836E7">
      <w:r>
        <w:separator/>
      </w:r>
    </w:p>
  </w:endnote>
  <w:endnote w:type="continuationSeparator" w:id="0">
    <w:p w14:paraId="7AC31611" w14:textId="77777777" w:rsidR="008836E7" w:rsidRDefault="0088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7EDD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5D8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0B109" w14:textId="4088A725"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696363">
      <w:rPr>
        <w:lang w:val="fr-FR"/>
      </w:rPr>
      <w:t>P:\QPUB\BR\REC\P\531-16\P531-16A.docx</w:t>
    </w:r>
    <w:r>
      <w:fldChar w:fldCharType="end"/>
    </w:r>
    <w:r w:rsidRPr="002E6ECC">
      <w:rPr>
        <w:lang w:val="fr-FR"/>
      </w:rPr>
      <w:tab/>
    </w:r>
    <w:r>
      <w:fldChar w:fldCharType="begin"/>
    </w:r>
    <w:r>
      <w:instrText xml:space="preserve"> savedate \@ dd.MM.yy </w:instrText>
    </w:r>
    <w:r>
      <w:fldChar w:fldCharType="separate"/>
    </w:r>
    <w:r w:rsidR="00696363">
      <w:t>18.11.25</w:t>
    </w:r>
    <w:r>
      <w:fldChar w:fldCharType="end"/>
    </w:r>
    <w:r w:rsidRPr="002E6ECC">
      <w:rPr>
        <w:lang w:val="fr-FR"/>
      </w:rPr>
      <w:tab/>
    </w:r>
    <w:r>
      <w:fldChar w:fldCharType="begin"/>
    </w:r>
    <w:r>
      <w:instrText xml:space="preserve"> printdate \@ dd.MM.yy </w:instrText>
    </w:r>
    <w:r>
      <w:fldChar w:fldCharType="separate"/>
    </w:r>
    <w:r w:rsidR="00696363">
      <w:t>18.11.25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A807C" w14:textId="77777777" w:rsidR="008836E7" w:rsidRDefault="008836E7" w:rsidP="00E1601B">
      <w:pPr>
        <w:spacing w:line="240" w:lineRule="auto"/>
      </w:pPr>
      <w:r>
        <w:t>____________________</w:t>
      </w:r>
    </w:p>
  </w:footnote>
  <w:footnote w:type="continuationSeparator" w:id="0">
    <w:p w14:paraId="261BD416" w14:textId="77777777" w:rsidR="008836E7" w:rsidRDefault="00883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ACA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7DD7317A" w14:textId="77777777" w:rsidTr="00BF0907">
      <w:tc>
        <w:tcPr>
          <w:tcW w:w="5972" w:type="dxa"/>
        </w:tcPr>
        <w:p w14:paraId="573C8F0B"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49488305"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0826C0FC" w14:textId="77777777" w:rsidTr="00BF0907">
      <w:tc>
        <w:tcPr>
          <w:tcW w:w="5972" w:type="dxa"/>
        </w:tcPr>
        <w:p w14:paraId="43920D48"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551455A7"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51C64ACE"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435831B9" wp14:editId="29786FA2">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0C5F6323" wp14:editId="426ADB8E">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8AB8"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875A603" wp14:editId="746E893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CA4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C61B8" w14:textId="1A0BD6D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96363">
      <w:rPr>
        <w:rFonts w:ascii="Times New Roman Bold" w:hAnsi="Times New Roman Bold"/>
        <w:b/>
        <w:bCs/>
        <w:noProof/>
      </w:rPr>
      <w:t>ITU-R P.531-16</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BE02"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70C3" w14:textId="2FBC7DA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96363">
      <w:rPr>
        <w:rFonts w:ascii="Times New Roman Bold" w:hAnsi="Times New Roman Bold"/>
        <w:b/>
        <w:bCs/>
        <w:noProof/>
      </w:rPr>
      <w:t>ITU-R P.531-16</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3D9B" w14:textId="7B725F4F"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96363">
      <w:rPr>
        <w:rFonts w:ascii="Times New Roman Bold" w:hAnsi="Times New Roman Bold"/>
        <w:b/>
        <w:bCs/>
        <w:noProof/>
      </w:rPr>
      <w:t>ITU-R P.531-16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13DC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87440775">
    <w:abstractNumId w:val="13"/>
  </w:num>
  <w:num w:numId="2" w16cid:durableId="4326570">
    <w:abstractNumId w:val="6"/>
  </w:num>
  <w:num w:numId="3" w16cid:durableId="657466284">
    <w:abstractNumId w:val="5"/>
  </w:num>
  <w:num w:numId="4" w16cid:durableId="1734304524">
    <w:abstractNumId w:val="4"/>
  </w:num>
  <w:num w:numId="5" w16cid:durableId="1006130798">
    <w:abstractNumId w:val="8"/>
  </w:num>
  <w:num w:numId="6" w16cid:durableId="142821083">
    <w:abstractNumId w:val="3"/>
  </w:num>
  <w:num w:numId="7" w16cid:durableId="759716069">
    <w:abstractNumId w:val="2"/>
  </w:num>
  <w:num w:numId="8" w16cid:durableId="1018653489">
    <w:abstractNumId w:val="1"/>
  </w:num>
  <w:num w:numId="9" w16cid:durableId="1908807527">
    <w:abstractNumId w:val="0"/>
  </w:num>
  <w:num w:numId="10" w16cid:durableId="184758467">
    <w:abstractNumId w:val="9"/>
  </w:num>
  <w:num w:numId="11" w16cid:durableId="1256354954">
    <w:abstractNumId w:val="7"/>
  </w:num>
  <w:num w:numId="12" w16cid:durableId="1630361159">
    <w:abstractNumId w:val="12"/>
  </w:num>
  <w:num w:numId="13" w16cid:durableId="781456342">
    <w:abstractNumId w:val="21"/>
  </w:num>
  <w:num w:numId="14" w16cid:durableId="1578708687">
    <w:abstractNumId w:val="20"/>
  </w:num>
  <w:num w:numId="15" w16cid:durableId="286131844">
    <w:abstractNumId w:val="15"/>
  </w:num>
  <w:num w:numId="16" w16cid:durableId="2134445082">
    <w:abstractNumId w:val="10"/>
  </w:num>
  <w:num w:numId="17" w16cid:durableId="1139879777">
    <w:abstractNumId w:val="11"/>
  </w:num>
  <w:num w:numId="18" w16cid:durableId="1232616782">
    <w:abstractNumId w:val="16"/>
  </w:num>
  <w:num w:numId="19" w16cid:durableId="902760920">
    <w:abstractNumId w:val="18"/>
  </w:num>
  <w:num w:numId="20" w16cid:durableId="403986932">
    <w:abstractNumId w:val="19"/>
  </w:num>
  <w:num w:numId="21" w16cid:durableId="1785345455">
    <w:abstractNumId w:val="17"/>
  </w:num>
  <w:num w:numId="22" w16cid:durableId="15028191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96E"/>
    <w:rsid w:val="00002849"/>
    <w:rsid w:val="00004474"/>
    <w:rsid w:val="00027907"/>
    <w:rsid w:val="000473FF"/>
    <w:rsid w:val="000522D1"/>
    <w:rsid w:val="0006685E"/>
    <w:rsid w:val="00067954"/>
    <w:rsid w:val="0007100B"/>
    <w:rsid w:val="00071BFD"/>
    <w:rsid w:val="00081122"/>
    <w:rsid w:val="00091A6B"/>
    <w:rsid w:val="00096F01"/>
    <w:rsid w:val="000A079C"/>
    <w:rsid w:val="000B30D7"/>
    <w:rsid w:val="000B4F10"/>
    <w:rsid w:val="000D02E3"/>
    <w:rsid w:val="000F312E"/>
    <w:rsid w:val="000F6D38"/>
    <w:rsid w:val="001048FC"/>
    <w:rsid w:val="00113EE4"/>
    <w:rsid w:val="001231D6"/>
    <w:rsid w:val="00132731"/>
    <w:rsid w:val="00134026"/>
    <w:rsid w:val="00140B98"/>
    <w:rsid w:val="00152BFD"/>
    <w:rsid w:val="001568ED"/>
    <w:rsid w:val="00160047"/>
    <w:rsid w:val="00160200"/>
    <w:rsid w:val="0016729E"/>
    <w:rsid w:val="0017413D"/>
    <w:rsid w:val="00174247"/>
    <w:rsid w:val="00182385"/>
    <w:rsid w:val="00183CAB"/>
    <w:rsid w:val="00196389"/>
    <w:rsid w:val="00196D7F"/>
    <w:rsid w:val="00197749"/>
    <w:rsid w:val="001B03B8"/>
    <w:rsid w:val="001B35D5"/>
    <w:rsid w:val="001D2146"/>
    <w:rsid w:val="001E0B6B"/>
    <w:rsid w:val="001E77BC"/>
    <w:rsid w:val="001F23C7"/>
    <w:rsid w:val="00201143"/>
    <w:rsid w:val="002104C3"/>
    <w:rsid w:val="002137FD"/>
    <w:rsid w:val="002144CB"/>
    <w:rsid w:val="00230502"/>
    <w:rsid w:val="00234F52"/>
    <w:rsid w:val="002434E6"/>
    <w:rsid w:val="00255B10"/>
    <w:rsid w:val="00271843"/>
    <w:rsid w:val="00285017"/>
    <w:rsid w:val="002971E7"/>
    <w:rsid w:val="002A5099"/>
    <w:rsid w:val="002B261D"/>
    <w:rsid w:val="002B706F"/>
    <w:rsid w:val="002C0F17"/>
    <w:rsid w:val="002C1FE8"/>
    <w:rsid w:val="002D0B5B"/>
    <w:rsid w:val="002D3483"/>
    <w:rsid w:val="002E3871"/>
    <w:rsid w:val="002E6ECC"/>
    <w:rsid w:val="002E7058"/>
    <w:rsid w:val="00302F99"/>
    <w:rsid w:val="00303491"/>
    <w:rsid w:val="00304728"/>
    <w:rsid w:val="0030719D"/>
    <w:rsid w:val="00314E5F"/>
    <w:rsid w:val="00340205"/>
    <w:rsid w:val="00357A29"/>
    <w:rsid w:val="00374B5D"/>
    <w:rsid w:val="00380511"/>
    <w:rsid w:val="00390B1B"/>
    <w:rsid w:val="00393745"/>
    <w:rsid w:val="003D017C"/>
    <w:rsid w:val="003D307E"/>
    <w:rsid w:val="003D40E1"/>
    <w:rsid w:val="003E5B5E"/>
    <w:rsid w:val="003F15D8"/>
    <w:rsid w:val="00402F6B"/>
    <w:rsid w:val="004044EE"/>
    <w:rsid w:val="00422D17"/>
    <w:rsid w:val="0042647B"/>
    <w:rsid w:val="0044201D"/>
    <w:rsid w:val="0045598B"/>
    <w:rsid w:val="0047085B"/>
    <w:rsid w:val="004910A2"/>
    <w:rsid w:val="004A0A13"/>
    <w:rsid w:val="004A5456"/>
    <w:rsid w:val="004B094A"/>
    <w:rsid w:val="004C09FF"/>
    <w:rsid w:val="004C5067"/>
    <w:rsid w:val="004D79B4"/>
    <w:rsid w:val="004E1620"/>
    <w:rsid w:val="004E7D1E"/>
    <w:rsid w:val="00506547"/>
    <w:rsid w:val="00511801"/>
    <w:rsid w:val="00527EAF"/>
    <w:rsid w:val="00533832"/>
    <w:rsid w:val="005425A3"/>
    <w:rsid w:val="005514CA"/>
    <w:rsid w:val="005570BF"/>
    <w:rsid w:val="0056060A"/>
    <w:rsid w:val="005702A4"/>
    <w:rsid w:val="00577803"/>
    <w:rsid w:val="00584B8F"/>
    <w:rsid w:val="0059020C"/>
    <w:rsid w:val="00591053"/>
    <w:rsid w:val="005960C8"/>
    <w:rsid w:val="005A018F"/>
    <w:rsid w:val="005A750D"/>
    <w:rsid w:val="005B530B"/>
    <w:rsid w:val="005C397A"/>
    <w:rsid w:val="005C43CD"/>
    <w:rsid w:val="005C462C"/>
    <w:rsid w:val="005D6161"/>
    <w:rsid w:val="005D6A35"/>
    <w:rsid w:val="005D6C2A"/>
    <w:rsid w:val="005E066B"/>
    <w:rsid w:val="005E3D1A"/>
    <w:rsid w:val="005E5B3E"/>
    <w:rsid w:val="005F01A2"/>
    <w:rsid w:val="005F24EB"/>
    <w:rsid w:val="005F3E06"/>
    <w:rsid w:val="005F3FD2"/>
    <w:rsid w:val="00607FA9"/>
    <w:rsid w:val="00617A19"/>
    <w:rsid w:val="00631E7D"/>
    <w:rsid w:val="00637189"/>
    <w:rsid w:val="006405DD"/>
    <w:rsid w:val="00665EBF"/>
    <w:rsid w:val="00667806"/>
    <w:rsid w:val="00667C08"/>
    <w:rsid w:val="00673270"/>
    <w:rsid w:val="006774BF"/>
    <w:rsid w:val="00680CA6"/>
    <w:rsid w:val="00686ACA"/>
    <w:rsid w:val="00692B31"/>
    <w:rsid w:val="00694AED"/>
    <w:rsid w:val="00694D11"/>
    <w:rsid w:val="00696363"/>
    <w:rsid w:val="006D24D6"/>
    <w:rsid w:val="006F0DD4"/>
    <w:rsid w:val="007362CE"/>
    <w:rsid w:val="00741E9C"/>
    <w:rsid w:val="007445DA"/>
    <w:rsid w:val="00775C8F"/>
    <w:rsid w:val="00794E1C"/>
    <w:rsid w:val="00796478"/>
    <w:rsid w:val="00796F0C"/>
    <w:rsid w:val="007B1739"/>
    <w:rsid w:val="007B6A86"/>
    <w:rsid w:val="007C1E9D"/>
    <w:rsid w:val="007C58FE"/>
    <w:rsid w:val="007D7E68"/>
    <w:rsid w:val="007E0379"/>
    <w:rsid w:val="007F1856"/>
    <w:rsid w:val="00802B34"/>
    <w:rsid w:val="00811188"/>
    <w:rsid w:val="008113E9"/>
    <w:rsid w:val="008157E8"/>
    <w:rsid w:val="00815E12"/>
    <w:rsid w:val="00822893"/>
    <w:rsid w:val="0083115C"/>
    <w:rsid w:val="00846C0D"/>
    <w:rsid w:val="00852791"/>
    <w:rsid w:val="008656C3"/>
    <w:rsid w:val="0087705A"/>
    <w:rsid w:val="008836E7"/>
    <w:rsid w:val="00894394"/>
    <w:rsid w:val="00897041"/>
    <w:rsid w:val="008A5666"/>
    <w:rsid w:val="008B76A0"/>
    <w:rsid w:val="008C2E28"/>
    <w:rsid w:val="008C5CCB"/>
    <w:rsid w:val="008C6A66"/>
    <w:rsid w:val="008C733D"/>
    <w:rsid w:val="008D2C0C"/>
    <w:rsid w:val="008E173E"/>
    <w:rsid w:val="00904910"/>
    <w:rsid w:val="009051DA"/>
    <w:rsid w:val="009067BA"/>
    <w:rsid w:val="00912A86"/>
    <w:rsid w:val="0092492A"/>
    <w:rsid w:val="00925FAA"/>
    <w:rsid w:val="00930F9D"/>
    <w:rsid w:val="009352F6"/>
    <w:rsid w:val="00936CB4"/>
    <w:rsid w:val="009533AE"/>
    <w:rsid w:val="0096112A"/>
    <w:rsid w:val="009643BD"/>
    <w:rsid w:val="00964A11"/>
    <w:rsid w:val="00972570"/>
    <w:rsid w:val="00981FB7"/>
    <w:rsid w:val="009845C0"/>
    <w:rsid w:val="009C6655"/>
    <w:rsid w:val="00A0453F"/>
    <w:rsid w:val="00A06C49"/>
    <w:rsid w:val="00A161D3"/>
    <w:rsid w:val="00A163C1"/>
    <w:rsid w:val="00A177D7"/>
    <w:rsid w:val="00A2420C"/>
    <w:rsid w:val="00A35603"/>
    <w:rsid w:val="00A406D7"/>
    <w:rsid w:val="00A56CCF"/>
    <w:rsid w:val="00A70A0E"/>
    <w:rsid w:val="00A70D90"/>
    <w:rsid w:val="00A96D62"/>
    <w:rsid w:val="00AA1ACD"/>
    <w:rsid w:val="00AA4171"/>
    <w:rsid w:val="00AB0789"/>
    <w:rsid w:val="00AB2BD9"/>
    <w:rsid w:val="00AE09F4"/>
    <w:rsid w:val="00AE2234"/>
    <w:rsid w:val="00AE46C8"/>
    <w:rsid w:val="00AE7C5A"/>
    <w:rsid w:val="00AF5F81"/>
    <w:rsid w:val="00AF6ABB"/>
    <w:rsid w:val="00B16E8C"/>
    <w:rsid w:val="00B22D33"/>
    <w:rsid w:val="00B244FA"/>
    <w:rsid w:val="00B312BE"/>
    <w:rsid w:val="00B40B90"/>
    <w:rsid w:val="00B436C3"/>
    <w:rsid w:val="00B452E5"/>
    <w:rsid w:val="00B471FF"/>
    <w:rsid w:val="00B5296E"/>
    <w:rsid w:val="00B60FFE"/>
    <w:rsid w:val="00B978E1"/>
    <w:rsid w:val="00B97F45"/>
    <w:rsid w:val="00BA7F1F"/>
    <w:rsid w:val="00BB3971"/>
    <w:rsid w:val="00BC3412"/>
    <w:rsid w:val="00BC37CA"/>
    <w:rsid w:val="00BE0D0E"/>
    <w:rsid w:val="00BE3014"/>
    <w:rsid w:val="00BE5AAE"/>
    <w:rsid w:val="00BF0907"/>
    <w:rsid w:val="00BF0FE6"/>
    <w:rsid w:val="00BF3DD6"/>
    <w:rsid w:val="00C04244"/>
    <w:rsid w:val="00C1100F"/>
    <w:rsid w:val="00C12551"/>
    <w:rsid w:val="00C46925"/>
    <w:rsid w:val="00C50B28"/>
    <w:rsid w:val="00C53F27"/>
    <w:rsid w:val="00C71576"/>
    <w:rsid w:val="00C71721"/>
    <w:rsid w:val="00C93F89"/>
    <w:rsid w:val="00C94B6E"/>
    <w:rsid w:val="00CA603A"/>
    <w:rsid w:val="00CB4BE8"/>
    <w:rsid w:val="00CC48AA"/>
    <w:rsid w:val="00CC6EA6"/>
    <w:rsid w:val="00CD2510"/>
    <w:rsid w:val="00CD71D4"/>
    <w:rsid w:val="00CF545E"/>
    <w:rsid w:val="00CF6960"/>
    <w:rsid w:val="00CF73A8"/>
    <w:rsid w:val="00D172A1"/>
    <w:rsid w:val="00D2107D"/>
    <w:rsid w:val="00D231CE"/>
    <w:rsid w:val="00D23D39"/>
    <w:rsid w:val="00D30FE6"/>
    <w:rsid w:val="00D34703"/>
    <w:rsid w:val="00D441D0"/>
    <w:rsid w:val="00D53BE6"/>
    <w:rsid w:val="00D66348"/>
    <w:rsid w:val="00D85FA6"/>
    <w:rsid w:val="00D91702"/>
    <w:rsid w:val="00DA348F"/>
    <w:rsid w:val="00DB3D2A"/>
    <w:rsid w:val="00DC46DB"/>
    <w:rsid w:val="00DC7E91"/>
    <w:rsid w:val="00DD0463"/>
    <w:rsid w:val="00DD1CF1"/>
    <w:rsid w:val="00DD670F"/>
    <w:rsid w:val="00DF4E37"/>
    <w:rsid w:val="00E103BB"/>
    <w:rsid w:val="00E12EB0"/>
    <w:rsid w:val="00E15CD6"/>
    <w:rsid w:val="00E1601B"/>
    <w:rsid w:val="00E16062"/>
    <w:rsid w:val="00E27A46"/>
    <w:rsid w:val="00E3032C"/>
    <w:rsid w:val="00E3773B"/>
    <w:rsid w:val="00E45AFF"/>
    <w:rsid w:val="00E577A6"/>
    <w:rsid w:val="00E6418C"/>
    <w:rsid w:val="00E650A3"/>
    <w:rsid w:val="00E726E9"/>
    <w:rsid w:val="00E736B4"/>
    <w:rsid w:val="00E73B13"/>
    <w:rsid w:val="00E9048A"/>
    <w:rsid w:val="00E964C9"/>
    <w:rsid w:val="00EC2BCA"/>
    <w:rsid w:val="00EC44EE"/>
    <w:rsid w:val="00EF0744"/>
    <w:rsid w:val="00EF6496"/>
    <w:rsid w:val="00EF7CB5"/>
    <w:rsid w:val="00F03CE4"/>
    <w:rsid w:val="00F1320B"/>
    <w:rsid w:val="00F15682"/>
    <w:rsid w:val="00F171D0"/>
    <w:rsid w:val="00F22C87"/>
    <w:rsid w:val="00F277DA"/>
    <w:rsid w:val="00F3359B"/>
    <w:rsid w:val="00F40BC5"/>
    <w:rsid w:val="00F57E90"/>
    <w:rsid w:val="00F615CE"/>
    <w:rsid w:val="00F71847"/>
    <w:rsid w:val="00F82FD6"/>
    <w:rsid w:val="00F87972"/>
    <w:rsid w:val="00F939BC"/>
    <w:rsid w:val="00F95755"/>
    <w:rsid w:val="00FA3938"/>
    <w:rsid w:val="00FC3D02"/>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00D4E78F"/>
  <w15:docId w15:val="{BC8B7D19-11DB-4DB7-BFF7-8CED720F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417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AA4171"/>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AA4171"/>
    <w:pPr>
      <w:spacing w:before="240"/>
      <w:outlineLvl w:val="1"/>
    </w:pPr>
    <w:rPr>
      <w:sz w:val="24"/>
      <w:szCs w:val="32"/>
    </w:rPr>
  </w:style>
  <w:style w:type="paragraph" w:styleId="Heading3">
    <w:name w:val="heading 3"/>
    <w:basedOn w:val="Heading1"/>
    <w:next w:val="Normal"/>
    <w:qFormat/>
    <w:rsid w:val="00AA4171"/>
    <w:pPr>
      <w:spacing w:before="180"/>
      <w:outlineLvl w:val="2"/>
    </w:pPr>
    <w:rPr>
      <w:sz w:val="22"/>
      <w:szCs w:val="30"/>
    </w:rPr>
  </w:style>
  <w:style w:type="paragraph" w:styleId="Heading4">
    <w:name w:val="heading 4"/>
    <w:basedOn w:val="Heading3"/>
    <w:next w:val="Normal"/>
    <w:qFormat/>
    <w:rsid w:val="00AA4171"/>
    <w:pPr>
      <w:ind w:left="1021" w:hanging="1021"/>
      <w:outlineLvl w:val="3"/>
    </w:pPr>
  </w:style>
  <w:style w:type="paragraph" w:styleId="Heading5">
    <w:name w:val="heading 5"/>
    <w:basedOn w:val="Heading4"/>
    <w:next w:val="Normal"/>
    <w:qFormat/>
    <w:rsid w:val="00AA4171"/>
    <w:pPr>
      <w:outlineLvl w:val="4"/>
    </w:pPr>
  </w:style>
  <w:style w:type="paragraph" w:styleId="Heading6">
    <w:name w:val="heading 6"/>
    <w:basedOn w:val="Heading4"/>
    <w:next w:val="Normal"/>
    <w:qFormat/>
    <w:rsid w:val="00AA4171"/>
    <w:pPr>
      <w:ind w:left="1588" w:right="1588" w:hanging="1588"/>
      <w:outlineLvl w:val="5"/>
    </w:pPr>
  </w:style>
  <w:style w:type="paragraph" w:styleId="Heading7">
    <w:name w:val="heading 7"/>
    <w:basedOn w:val="Heading6"/>
    <w:next w:val="Normal"/>
    <w:qFormat/>
    <w:rsid w:val="00AA4171"/>
    <w:pPr>
      <w:outlineLvl w:val="6"/>
    </w:pPr>
  </w:style>
  <w:style w:type="paragraph" w:styleId="Heading8">
    <w:name w:val="heading 8"/>
    <w:basedOn w:val="Heading6"/>
    <w:next w:val="Normal"/>
    <w:qFormat/>
    <w:rsid w:val="00AA4171"/>
    <w:pPr>
      <w:outlineLvl w:val="7"/>
    </w:pPr>
  </w:style>
  <w:style w:type="paragraph" w:styleId="Heading9">
    <w:name w:val="heading 9"/>
    <w:basedOn w:val="Heading6"/>
    <w:next w:val="Normal"/>
    <w:qFormat/>
    <w:rsid w:val="00AA4171"/>
    <w:pPr>
      <w:outlineLvl w:val="8"/>
    </w:pPr>
  </w:style>
  <w:style w:type="character" w:default="1" w:styleId="DefaultParagraphFont">
    <w:name w:val="Default Paragraph Font"/>
    <w:uiPriority w:val="1"/>
    <w:semiHidden/>
    <w:unhideWhenUsed/>
    <w:rsid w:val="00AA41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A4171"/>
  </w:style>
  <w:style w:type="character" w:customStyle="1" w:styleId="Heading1Char">
    <w:name w:val="Heading 1 Char"/>
    <w:basedOn w:val="DefaultParagraphFont"/>
    <w:link w:val="Heading1"/>
    <w:rsid w:val="00AA4171"/>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A4171"/>
    <w:pPr>
      <w:spacing w:before="480"/>
      <w:jc w:val="center"/>
    </w:pPr>
    <w:rPr>
      <w:b/>
      <w:sz w:val="28"/>
    </w:rPr>
  </w:style>
  <w:style w:type="paragraph" w:customStyle="1" w:styleId="Normalaftertitle">
    <w:name w:val="Normal_after_title"/>
    <w:basedOn w:val="Normal"/>
    <w:next w:val="Normal"/>
    <w:rsid w:val="00AA4171"/>
    <w:pPr>
      <w:spacing w:before="360"/>
    </w:pPr>
  </w:style>
  <w:style w:type="character" w:customStyle="1" w:styleId="ArtheadingChar">
    <w:name w:val="Art_heading Char"/>
    <w:basedOn w:val="DefaultParagraphFont"/>
    <w:link w:val="Artheading"/>
    <w:rsid w:val="00AA4171"/>
    <w:rPr>
      <w:rFonts w:ascii="Times New Roman" w:hAnsi="Times New Roman" w:cs="Traditional Arabic"/>
      <w:b/>
      <w:sz w:val="28"/>
      <w:szCs w:val="30"/>
      <w:lang w:eastAsia="fr-FR"/>
    </w:rPr>
  </w:style>
  <w:style w:type="paragraph" w:customStyle="1" w:styleId="ChapNo">
    <w:name w:val="Chap_No"/>
    <w:basedOn w:val="Normal"/>
    <w:next w:val="Chaptitle"/>
    <w:rsid w:val="00AA4171"/>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A4171"/>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AA4171"/>
  </w:style>
  <w:style w:type="paragraph" w:customStyle="1" w:styleId="AnnexNotitle">
    <w:name w:val="Annex_No &amp; title"/>
    <w:basedOn w:val="Heading1"/>
    <w:next w:val="Normalaftertitle"/>
    <w:rsid w:val="00AA4171"/>
    <w:pPr>
      <w:spacing w:before="240"/>
      <w:ind w:left="0" w:firstLine="0"/>
      <w:jc w:val="center"/>
    </w:pPr>
    <w:rPr>
      <w:rFonts w:eastAsia="SimSun"/>
      <w:lang w:bidi="ar-EG"/>
    </w:rPr>
  </w:style>
  <w:style w:type="paragraph" w:customStyle="1" w:styleId="ASN1">
    <w:name w:val="ASN.1"/>
    <w:basedOn w:val="Normal"/>
    <w:semiHidden/>
    <w:rsid w:val="00AA4171"/>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A4171"/>
    <w:pPr>
      <w:keepNext/>
      <w:spacing w:before="160"/>
    </w:pPr>
    <w:rPr>
      <w:i/>
    </w:rPr>
  </w:style>
  <w:style w:type="paragraph" w:customStyle="1" w:styleId="ArtNo">
    <w:name w:val="Art_No"/>
    <w:basedOn w:val="Normal"/>
    <w:next w:val="Arttitle"/>
    <w:rsid w:val="00AA4171"/>
    <w:pPr>
      <w:keepNext/>
      <w:keepLines/>
      <w:spacing w:before="480"/>
      <w:jc w:val="center"/>
    </w:pPr>
    <w:rPr>
      <w:caps/>
      <w:sz w:val="26"/>
      <w:szCs w:val="36"/>
    </w:rPr>
  </w:style>
  <w:style w:type="paragraph" w:customStyle="1" w:styleId="Arttitle">
    <w:name w:val="Art_title"/>
    <w:basedOn w:val="Normal"/>
    <w:next w:val="Normalaftertitle"/>
    <w:rsid w:val="00AA4171"/>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AA4171"/>
    <w:pPr>
      <w:keepNext/>
      <w:keepLines/>
      <w:spacing w:before="160"/>
      <w:ind w:left="794"/>
    </w:pPr>
    <w:rPr>
      <w:i/>
      <w:iCs/>
      <w:lang w:eastAsia="en-US" w:bidi="ar-EG"/>
    </w:rPr>
  </w:style>
  <w:style w:type="paragraph" w:customStyle="1" w:styleId="enumlev1">
    <w:name w:val="enumlev1"/>
    <w:basedOn w:val="Normal"/>
    <w:rsid w:val="00AA4171"/>
    <w:pPr>
      <w:spacing w:before="80"/>
      <w:ind w:left="794" w:hanging="794"/>
    </w:pPr>
    <w:rPr>
      <w:lang w:bidi="ar-EG"/>
    </w:rPr>
  </w:style>
  <w:style w:type="paragraph" w:customStyle="1" w:styleId="enumlev2">
    <w:name w:val="enumlev2"/>
    <w:basedOn w:val="enumlev1"/>
    <w:rsid w:val="00AA4171"/>
    <w:pPr>
      <w:spacing w:before="60"/>
      <w:ind w:left="1248" w:hanging="454"/>
    </w:pPr>
  </w:style>
  <w:style w:type="paragraph" w:customStyle="1" w:styleId="enumlev3">
    <w:name w:val="enumlev3"/>
    <w:basedOn w:val="enumlev2"/>
    <w:rsid w:val="00AA4171"/>
    <w:pPr>
      <w:ind w:left="1701"/>
    </w:pPr>
  </w:style>
  <w:style w:type="paragraph" w:customStyle="1" w:styleId="Equation">
    <w:name w:val="Equation"/>
    <w:basedOn w:val="Normal"/>
    <w:rsid w:val="00AA4171"/>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AA4171"/>
    <w:pPr>
      <w:tabs>
        <w:tab w:val="right" w:pos="1814"/>
      </w:tabs>
      <w:spacing w:before="80"/>
      <w:ind w:left="1985" w:hanging="1985"/>
    </w:pPr>
  </w:style>
  <w:style w:type="paragraph" w:customStyle="1" w:styleId="Figurelegend">
    <w:name w:val="Figure_legend"/>
    <w:basedOn w:val="Normal"/>
    <w:rsid w:val="00AA4171"/>
    <w:pPr>
      <w:keepNext/>
      <w:keepLines/>
      <w:spacing w:before="20" w:after="20"/>
    </w:pPr>
    <w:rPr>
      <w:sz w:val="18"/>
    </w:rPr>
  </w:style>
  <w:style w:type="character" w:styleId="PageNumber">
    <w:name w:val="page number"/>
    <w:basedOn w:val="DefaultParagraphFont"/>
    <w:rsid w:val="00AA4171"/>
  </w:style>
  <w:style w:type="paragraph" w:customStyle="1" w:styleId="Tabletext">
    <w:name w:val="Table_text"/>
    <w:basedOn w:val="Normal"/>
    <w:rsid w:val="00AA4171"/>
    <w:pPr>
      <w:spacing w:before="20" w:after="60" w:line="260" w:lineRule="exact"/>
      <w:jc w:val="left"/>
    </w:pPr>
    <w:rPr>
      <w:sz w:val="20"/>
      <w:szCs w:val="26"/>
    </w:rPr>
  </w:style>
  <w:style w:type="paragraph" w:styleId="Footer">
    <w:name w:val="footer"/>
    <w:aliases w:val="pie de página,fo"/>
    <w:basedOn w:val="Normal"/>
    <w:link w:val="FooterChar"/>
    <w:rsid w:val="00AA4171"/>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AA4171"/>
    <w:rPr>
      <w:rFonts w:ascii="Times New Roman" w:hAnsi="Times New Roman" w:cs="Traditional Arabic"/>
      <w:caps/>
      <w:noProof/>
      <w:sz w:val="16"/>
      <w:szCs w:val="30"/>
      <w:lang w:eastAsia="fr-FR"/>
    </w:rPr>
  </w:style>
  <w:style w:type="character" w:styleId="FootnoteReference">
    <w:name w:val="footnote reference"/>
    <w:basedOn w:val="DefaultParagraphFont"/>
    <w:rsid w:val="00AA4171"/>
    <w:rPr>
      <w:rFonts w:ascii="Times New Roman" w:hAnsi="Times New Roman" w:cs="Times New Roman"/>
      <w:position w:val="6"/>
      <w:sz w:val="18"/>
      <w:szCs w:val="18"/>
      <w:vertAlign w:val="baseline"/>
    </w:rPr>
  </w:style>
  <w:style w:type="paragraph" w:styleId="FootnoteText">
    <w:name w:val="footnote text"/>
    <w:basedOn w:val="Note"/>
    <w:link w:val="FootnoteTextChar"/>
    <w:rsid w:val="00AA4171"/>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AA4171"/>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A4171"/>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AA4171"/>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AA4171"/>
    <w:rPr>
      <w:rFonts w:ascii="Times New Roman Bold" w:hAnsi="Times New Roman Bold" w:cs="Traditional Arabic"/>
      <w:b/>
      <w:bCs/>
      <w:sz w:val="22"/>
      <w:szCs w:val="30"/>
      <w:lang w:eastAsia="fr-FR"/>
    </w:rPr>
  </w:style>
  <w:style w:type="paragraph" w:styleId="Index1">
    <w:name w:val="index 1"/>
    <w:basedOn w:val="Normal"/>
    <w:next w:val="Normal"/>
    <w:semiHidden/>
    <w:rsid w:val="00AA4171"/>
  </w:style>
  <w:style w:type="paragraph" w:styleId="Index2">
    <w:name w:val="index 2"/>
    <w:basedOn w:val="Normal"/>
    <w:next w:val="Normal"/>
    <w:semiHidden/>
    <w:rsid w:val="00AA4171"/>
    <w:pPr>
      <w:ind w:left="283" w:right="283"/>
    </w:pPr>
  </w:style>
  <w:style w:type="paragraph" w:styleId="Index3">
    <w:name w:val="index 3"/>
    <w:basedOn w:val="Normal"/>
    <w:next w:val="Normal"/>
    <w:semiHidden/>
    <w:rsid w:val="00AA4171"/>
    <w:pPr>
      <w:ind w:left="566" w:right="566"/>
    </w:pPr>
  </w:style>
  <w:style w:type="paragraph" w:customStyle="1" w:styleId="PartNo">
    <w:name w:val="Part_No"/>
    <w:basedOn w:val="Normal"/>
    <w:next w:val="Partref"/>
    <w:rsid w:val="00AA4171"/>
    <w:pPr>
      <w:keepNext/>
      <w:keepLines/>
      <w:spacing w:before="480" w:after="80"/>
      <w:jc w:val="center"/>
    </w:pPr>
    <w:rPr>
      <w:caps/>
      <w:sz w:val="28"/>
      <w:szCs w:val="40"/>
    </w:rPr>
  </w:style>
  <w:style w:type="paragraph" w:customStyle="1" w:styleId="Partref">
    <w:name w:val="Part_ref"/>
    <w:basedOn w:val="Normal"/>
    <w:next w:val="Parttitle"/>
    <w:rsid w:val="00AA4171"/>
    <w:pPr>
      <w:keepNext/>
      <w:keepLines/>
      <w:spacing w:before="280"/>
      <w:jc w:val="center"/>
    </w:pPr>
  </w:style>
  <w:style w:type="paragraph" w:customStyle="1" w:styleId="Parttitle">
    <w:name w:val="Part_title"/>
    <w:basedOn w:val="Normal"/>
    <w:next w:val="Normalaftertitle"/>
    <w:rsid w:val="00AA4171"/>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A4171"/>
    <w:pPr>
      <w:spacing w:before="624"/>
      <w:jc w:val="center"/>
    </w:pPr>
    <w:rPr>
      <w:b/>
    </w:rPr>
  </w:style>
  <w:style w:type="paragraph" w:customStyle="1" w:styleId="Recref">
    <w:name w:val="Rec_ref"/>
    <w:basedOn w:val="Normal"/>
    <w:next w:val="Recdate"/>
    <w:semiHidden/>
    <w:rsid w:val="00AA4171"/>
    <w:pPr>
      <w:keepNext/>
      <w:keepLines/>
      <w:jc w:val="center"/>
    </w:pPr>
    <w:rPr>
      <w:i/>
    </w:rPr>
  </w:style>
  <w:style w:type="paragraph" w:customStyle="1" w:styleId="Recdate">
    <w:name w:val="Rec_date"/>
    <w:basedOn w:val="Normal"/>
    <w:next w:val="Normalaftertitle"/>
    <w:rsid w:val="00AA4171"/>
    <w:pPr>
      <w:keepNext/>
      <w:keepLines/>
      <w:jc w:val="right"/>
    </w:pPr>
  </w:style>
  <w:style w:type="paragraph" w:customStyle="1" w:styleId="Questiondate">
    <w:name w:val="Question_date"/>
    <w:basedOn w:val="Recdate"/>
    <w:next w:val="Normalaftertitle"/>
    <w:rsid w:val="00AA4171"/>
  </w:style>
  <w:style w:type="paragraph" w:customStyle="1" w:styleId="QuestionNo">
    <w:name w:val="Question_No"/>
    <w:basedOn w:val="RecNo"/>
    <w:next w:val="Questiontitle"/>
    <w:rsid w:val="00AA4171"/>
    <w:rPr>
      <w:rFonts w:ascii="Times New Roman Bold" w:hAnsi="Times New Roman Bold"/>
      <w:sz w:val="26"/>
      <w:szCs w:val="36"/>
    </w:rPr>
  </w:style>
  <w:style w:type="paragraph" w:customStyle="1" w:styleId="RecNo">
    <w:name w:val="Rec_No"/>
    <w:basedOn w:val="Normal"/>
    <w:next w:val="Rectitle"/>
    <w:link w:val="RecNoChar"/>
    <w:qFormat/>
    <w:rsid w:val="00AA4171"/>
    <w:pPr>
      <w:keepNext/>
      <w:keepLines/>
      <w:spacing w:before="0"/>
      <w:jc w:val="center"/>
    </w:pPr>
    <w:rPr>
      <w:rFonts w:eastAsia="NSimSun"/>
      <w:sz w:val="28"/>
      <w:szCs w:val="40"/>
      <w:lang w:bidi="ar-EG"/>
    </w:rPr>
  </w:style>
  <w:style w:type="paragraph" w:customStyle="1" w:styleId="Rectitle">
    <w:name w:val="Rec_title"/>
    <w:basedOn w:val="Normal"/>
    <w:next w:val="Normalaftertitle"/>
    <w:rsid w:val="00AA4171"/>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A4171"/>
  </w:style>
  <w:style w:type="paragraph" w:customStyle="1" w:styleId="Questionref">
    <w:name w:val="Question_ref"/>
    <w:basedOn w:val="Recref"/>
    <w:next w:val="Questiondate"/>
    <w:rsid w:val="00AA4171"/>
    <w:rPr>
      <w:i w:val="0"/>
    </w:rPr>
  </w:style>
  <w:style w:type="paragraph" w:customStyle="1" w:styleId="Reftext">
    <w:name w:val="Ref_text"/>
    <w:basedOn w:val="Normal"/>
    <w:rsid w:val="00AA4171"/>
    <w:pPr>
      <w:ind w:left="794" w:right="794" w:hanging="794"/>
    </w:pPr>
  </w:style>
  <w:style w:type="paragraph" w:customStyle="1" w:styleId="Repdate">
    <w:name w:val="Rep_date"/>
    <w:basedOn w:val="Recdate"/>
    <w:next w:val="Normalaftertitle"/>
    <w:rsid w:val="00AA4171"/>
  </w:style>
  <w:style w:type="paragraph" w:customStyle="1" w:styleId="RepNo">
    <w:name w:val="Rep_No"/>
    <w:basedOn w:val="RecNo"/>
    <w:next w:val="Reptitle"/>
    <w:semiHidden/>
    <w:rsid w:val="00AA4171"/>
  </w:style>
  <w:style w:type="paragraph" w:customStyle="1" w:styleId="Reptitle">
    <w:name w:val="Rep_title"/>
    <w:basedOn w:val="Rectitle"/>
    <w:next w:val="Repref"/>
    <w:semiHidden/>
    <w:rsid w:val="00AA4171"/>
  </w:style>
  <w:style w:type="paragraph" w:customStyle="1" w:styleId="Repref">
    <w:name w:val="Rep_ref"/>
    <w:basedOn w:val="Recref"/>
    <w:next w:val="Repdate"/>
    <w:semiHidden/>
    <w:rsid w:val="00AA4171"/>
  </w:style>
  <w:style w:type="paragraph" w:customStyle="1" w:styleId="Resdate">
    <w:name w:val="Res_date"/>
    <w:basedOn w:val="Recdate"/>
    <w:next w:val="Normalaftertitle"/>
    <w:rsid w:val="00AA4171"/>
  </w:style>
  <w:style w:type="paragraph" w:customStyle="1" w:styleId="ResNo">
    <w:name w:val="Res_No"/>
    <w:basedOn w:val="RecNo"/>
    <w:next w:val="Restitle"/>
    <w:rsid w:val="00AA4171"/>
  </w:style>
  <w:style w:type="paragraph" w:customStyle="1" w:styleId="Restitle">
    <w:name w:val="Res_title"/>
    <w:basedOn w:val="Rectitle"/>
    <w:next w:val="Resref"/>
    <w:rsid w:val="00AA4171"/>
  </w:style>
  <w:style w:type="paragraph" w:customStyle="1" w:styleId="Resref">
    <w:name w:val="Res_ref"/>
    <w:basedOn w:val="Recref"/>
    <w:next w:val="Resdate"/>
    <w:semiHidden/>
    <w:rsid w:val="00AA4171"/>
  </w:style>
  <w:style w:type="paragraph" w:customStyle="1" w:styleId="SectionNo">
    <w:name w:val="Section_No"/>
    <w:basedOn w:val="Normal"/>
    <w:next w:val="Sectiontitle"/>
    <w:rsid w:val="00AA4171"/>
    <w:pPr>
      <w:keepNext/>
      <w:keepLines/>
      <w:spacing w:before="480" w:after="80"/>
      <w:jc w:val="center"/>
    </w:pPr>
    <w:rPr>
      <w:caps/>
      <w:sz w:val="28"/>
      <w:szCs w:val="40"/>
    </w:rPr>
  </w:style>
  <w:style w:type="paragraph" w:customStyle="1" w:styleId="Sectiontitle">
    <w:name w:val="Section_title"/>
    <w:basedOn w:val="Normal"/>
    <w:next w:val="Normalaftertitle"/>
    <w:rsid w:val="00AA4171"/>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A4171"/>
    <w:pPr>
      <w:spacing w:before="840" w:after="200"/>
      <w:jc w:val="center"/>
    </w:pPr>
    <w:rPr>
      <w:rFonts w:ascii="Times New Roman Bold" w:hAnsi="Times New Roman Bold"/>
      <w:b/>
      <w:sz w:val="28"/>
      <w:szCs w:val="40"/>
    </w:rPr>
  </w:style>
  <w:style w:type="paragraph" w:customStyle="1" w:styleId="SpecialFooter">
    <w:name w:val="Special Footer"/>
    <w:basedOn w:val="Footer"/>
    <w:rsid w:val="00AA4171"/>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AA4171"/>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A41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A4171"/>
    <w:rPr>
      <w:vertAlign w:val="superscript"/>
    </w:rPr>
  </w:style>
  <w:style w:type="paragraph" w:customStyle="1" w:styleId="TableNo">
    <w:name w:val="Table No"/>
    <w:basedOn w:val="Normal"/>
    <w:rsid w:val="00AA4171"/>
    <w:pPr>
      <w:keepNext/>
      <w:keepLines/>
      <w:spacing w:before="240"/>
      <w:jc w:val="center"/>
    </w:pPr>
    <w:rPr>
      <w:lang w:bidi="ar-EG"/>
    </w:rPr>
  </w:style>
  <w:style w:type="paragraph" w:customStyle="1" w:styleId="Title1">
    <w:name w:val="Title 1"/>
    <w:basedOn w:val="Source"/>
    <w:next w:val="Title2"/>
    <w:rsid w:val="00AA4171"/>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A4171"/>
  </w:style>
  <w:style w:type="paragraph" w:customStyle="1" w:styleId="Title3">
    <w:name w:val="Title 3"/>
    <w:basedOn w:val="Title2"/>
    <w:next w:val="Title4"/>
    <w:rsid w:val="00AA4171"/>
    <w:rPr>
      <w:caps w:val="0"/>
    </w:rPr>
  </w:style>
  <w:style w:type="paragraph" w:customStyle="1" w:styleId="Title4">
    <w:name w:val="Title 4"/>
    <w:basedOn w:val="Title3"/>
    <w:next w:val="Heading1"/>
    <w:rsid w:val="00AA4171"/>
    <w:rPr>
      <w:b/>
    </w:rPr>
  </w:style>
  <w:style w:type="paragraph" w:styleId="TOC1">
    <w:name w:val="toc 1"/>
    <w:basedOn w:val="Normal"/>
    <w:uiPriority w:val="39"/>
    <w:rsid w:val="00AA4171"/>
    <w:pPr>
      <w:tabs>
        <w:tab w:val="right" w:leader="dot" w:pos="8788"/>
        <w:tab w:val="right" w:pos="9497"/>
      </w:tabs>
      <w:ind w:left="663" w:right="851" w:hanging="663"/>
    </w:pPr>
    <w:rPr>
      <w:lang w:bidi="ar-SY"/>
    </w:rPr>
  </w:style>
  <w:style w:type="paragraph" w:styleId="TOC2">
    <w:name w:val="toc 2"/>
    <w:basedOn w:val="TOC1"/>
    <w:rsid w:val="00AA4171"/>
    <w:pPr>
      <w:spacing w:before="60"/>
      <w:ind w:left="1309" w:hanging="629"/>
    </w:pPr>
  </w:style>
  <w:style w:type="paragraph" w:styleId="TOC3">
    <w:name w:val="toc 3"/>
    <w:basedOn w:val="TOC2"/>
    <w:rsid w:val="00AA4171"/>
    <w:pPr>
      <w:spacing w:before="0"/>
      <w:ind w:left="2035" w:hanging="754"/>
    </w:pPr>
  </w:style>
  <w:style w:type="paragraph" w:styleId="TOC4">
    <w:name w:val="toc 4"/>
    <w:basedOn w:val="TOC3"/>
    <w:semiHidden/>
    <w:rsid w:val="00AA4171"/>
  </w:style>
  <w:style w:type="paragraph" w:styleId="TOC5">
    <w:name w:val="toc 5"/>
    <w:basedOn w:val="TOC4"/>
    <w:semiHidden/>
    <w:rsid w:val="00AA4171"/>
  </w:style>
  <w:style w:type="paragraph" w:styleId="TOC6">
    <w:name w:val="toc 6"/>
    <w:basedOn w:val="TOC4"/>
    <w:semiHidden/>
    <w:rsid w:val="00AA4171"/>
  </w:style>
  <w:style w:type="paragraph" w:styleId="TOC7">
    <w:name w:val="toc 7"/>
    <w:basedOn w:val="TOC4"/>
    <w:semiHidden/>
    <w:rsid w:val="00AA4171"/>
  </w:style>
  <w:style w:type="paragraph" w:styleId="TOC8">
    <w:name w:val="toc 8"/>
    <w:basedOn w:val="TOC4"/>
    <w:semiHidden/>
    <w:rsid w:val="00AA4171"/>
  </w:style>
  <w:style w:type="character" w:customStyle="1" w:styleId="Appdef">
    <w:name w:val="App_def"/>
    <w:basedOn w:val="DefaultParagraphFont"/>
    <w:semiHidden/>
    <w:rsid w:val="00AA4171"/>
    <w:rPr>
      <w:rFonts w:ascii="Times New Roman" w:hAnsi="Times New Roman"/>
      <w:b/>
    </w:rPr>
  </w:style>
  <w:style w:type="character" w:customStyle="1" w:styleId="Appref">
    <w:name w:val="App_ref"/>
    <w:basedOn w:val="DefaultParagraphFont"/>
    <w:semiHidden/>
    <w:rsid w:val="00AA4171"/>
  </w:style>
  <w:style w:type="character" w:customStyle="1" w:styleId="Artdef">
    <w:name w:val="Art_def"/>
    <w:basedOn w:val="DefaultParagraphFont"/>
    <w:semiHidden/>
    <w:rsid w:val="00AA4171"/>
    <w:rPr>
      <w:rFonts w:ascii="Times New Roman" w:hAnsi="Times New Roman"/>
      <w:b/>
    </w:rPr>
  </w:style>
  <w:style w:type="paragraph" w:customStyle="1" w:styleId="FigureNo">
    <w:name w:val="Figure_No"/>
    <w:basedOn w:val="Normal"/>
    <w:rsid w:val="00AA4171"/>
    <w:pPr>
      <w:keepNext/>
      <w:keepLines/>
      <w:spacing w:before="240" w:after="80"/>
      <w:jc w:val="center"/>
    </w:pPr>
    <w:rPr>
      <w:rFonts w:hAnsi="Times New Roman Bold"/>
      <w:lang w:val="fr-FR" w:bidi="ar-EG"/>
    </w:rPr>
  </w:style>
  <w:style w:type="paragraph" w:customStyle="1" w:styleId="Reftitle">
    <w:name w:val="Ref_title"/>
    <w:basedOn w:val="Normal"/>
    <w:next w:val="Reftext"/>
    <w:rsid w:val="00AA4171"/>
    <w:pPr>
      <w:spacing w:before="480"/>
      <w:jc w:val="center"/>
    </w:pPr>
    <w:rPr>
      <w:b/>
    </w:rPr>
  </w:style>
  <w:style w:type="character" w:customStyle="1" w:styleId="Resdef">
    <w:name w:val="Res_def"/>
    <w:basedOn w:val="DefaultParagraphFont"/>
    <w:semiHidden/>
    <w:rsid w:val="00AA4171"/>
    <w:rPr>
      <w:rFonts w:ascii="Times New Roman" w:hAnsi="Times New Roman"/>
      <w:b/>
    </w:rPr>
  </w:style>
  <w:style w:type="character" w:customStyle="1" w:styleId="Tablefreq">
    <w:name w:val="Table_freq"/>
    <w:basedOn w:val="DefaultParagraphFont"/>
    <w:semiHidden/>
    <w:rsid w:val="00AA4171"/>
    <w:rPr>
      <w:b/>
      <w:color w:val="auto"/>
    </w:rPr>
  </w:style>
  <w:style w:type="paragraph" w:customStyle="1" w:styleId="Formal">
    <w:name w:val="Formal"/>
    <w:basedOn w:val="ASN1"/>
    <w:semiHidden/>
    <w:rsid w:val="00AA4171"/>
    <w:rPr>
      <w:b w:val="0"/>
    </w:rPr>
  </w:style>
  <w:style w:type="paragraph" w:customStyle="1" w:styleId="Headingb">
    <w:name w:val="Heading_b"/>
    <w:basedOn w:val="Normal"/>
    <w:next w:val="Normal"/>
    <w:rsid w:val="00AA4171"/>
    <w:pPr>
      <w:keepNext/>
      <w:spacing w:before="180"/>
    </w:pPr>
    <w:rPr>
      <w:rFonts w:ascii="Times New Roman Bold" w:hAnsi="Times New Roman Bold"/>
      <w:b/>
      <w:bCs/>
    </w:rPr>
  </w:style>
  <w:style w:type="paragraph" w:customStyle="1" w:styleId="Section2">
    <w:name w:val="Section_2"/>
    <w:basedOn w:val="Normal"/>
    <w:next w:val="Normal"/>
    <w:semiHidden/>
    <w:rsid w:val="00AA4171"/>
    <w:pPr>
      <w:spacing w:before="240"/>
      <w:jc w:val="center"/>
    </w:pPr>
    <w:rPr>
      <w:i/>
    </w:rPr>
  </w:style>
  <w:style w:type="paragraph" w:customStyle="1" w:styleId="RecNoBR">
    <w:name w:val="Rec_No_BR"/>
    <w:basedOn w:val="Normal"/>
    <w:next w:val="Rectitle"/>
    <w:rsid w:val="00AA4171"/>
    <w:pPr>
      <w:keepNext/>
      <w:keepLines/>
      <w:spacing w:before="480"/>
      <w:jc w:val="center"/>
    </w:pPr>
    <w:rPr>
      <w:caps/>
      <w:sz w:val="28"/>
      <w:szCs w:val="40"/>
    </w:rPr>
  </w:style>
  <w:style w:type="paragraph" w:customStyle="1" w:styleId="QuestionNoBR">
    <w:name w:val="Question_No_BR"/>
    <w:basedOn w:val="RecNoBR"/>
    <w:next w:val="Questiontitle"/>
    <w:rsid w:val="00AA4171"/>
  </w:style>
  <w:style w:type="paragraph" w:customStyle="1" w:styleId="RepNoBR">
    <w:name w:val="Rep_No_BR"/>
    <w:basedOn w:val="RecNoBR"/>
    <w:next w:val="Reptitle"/>
    <w:semiHidden/>
    <w:rsid w:val="00AA4171"/>
  </w:style>
  <w:style w:type="paragraph" w:customStyle="1" w:styleId="ResNoBR">
    <w:name w:val="Res_No_BR"/>
    <w:basedOn w:val="RecNoBR"/>
    <w:next w:val="Restitle"/>
    <w:rsid w:val="00AA4171"/>
  </w:style>
  <w:style w:type="paragraph" w:customStyle="1" w:styleId="Tabletitle">
    <w:name w:val="Table_title"/>
    <w:basedOn w:val="TableNo"/>
    <w:rsid w:val="00AA4171"/>
    <w:pPr>
      <w:spacing w:before="120" w:after="80"/>
    </w:pPr>
    <w:rPr>
      <w:rFonts w:ascii="Times New Roman Bold" w:hAnsi="Times New Roman Bold"/>
      <w:b/>
      <w:bCs/>
    </w:rPr>
  </w:style>
  <w:style w:type="paragraph" w:customStyle="1" w:styleId="Tableref">
    <w:name w:val="Table_ref"/>
    <w:basedOn w:val="Normal"/>
    <w:next w:val="Normal"/>
    <w:semiHidden/>
    <w:rsid w:val="00AA4171"/>
    <w:pPr>
      <w:keepNext/>
      <w:spacing w:before="0" w:after="120"/>
      <w:jc w:val="center"/>
    </w:pPr>
  </w:style>
  <w:style w:type="character" w:customStyle="1" w:styleId="Recdef">
    <w:name w:val="Rec_def"/>
    <w:basedOn w:val="DefaultParagraphFont"/>
    <w:semiHidden/>
    <w:rsid w:val="00AA4171"/>
    <w:rPr>
      <w:b/>
    </w:rPr>
  </w:style>
  <w:style w:type="paragraph" w:styleId="BlockText">
    <w:name w:val="Block Text"/>
    <w:basedOn w:val="Normal"/>
    <w:semiHidden/>
    <w:rsid w:val="00AA4171"/>
    <w:pPr>
      <w:widowControl w:val="0"/>
      <w:ind w:left="-1" w:firstLine="721"/>
    </w:pPr>
    <w:rPr>
      <w:szCs w:val="26"/>
    </w:rPr>
  </w:style>
  <w:style w:type="paragraph" w:styleId="BodyTextIndent">
    <w:name w:val="Body Text Indent"/>
    <w:basedOn w:val="Normal"/>
    <w:link w:val="BodyTextIndentChar"/>
    <w:semiHidden/>
    <w:rsid w:val="00AA4171"/>
    <w:pPr>
      <w:tabs>
        <w:tab w:val="left" w:pos="849"/>
      </w:tabs>
      <w:ind w:left="720"/>
    </w:pPr>
    <w:rPr>
      <w:b/>
      <w:bCs/>
      <w:sz w:val="32"/>
      <w:szCs w:val="32"/>
    </w:rPr>
  </w:style>
  <w:style w:type="paragraph" w:styleId="BodyTextIndent2">
    <w:name w:val="Body Text Indent 2"/>
    <w:basedOn w:val="Normal"/>
    <w:semiHidden/>
    <w:rsid w:val="00AA4171"/>
    <w:pPr>
      <w:tabs>
        <w:tab w:val="left" w:pos="849"/>
      </w:tabs>
      <w:ind w:left="360"/>
    </w:pPr>
    <w:rPr>
      <w:b/>
      <w:bCs/>
      <w:sz w:val="32"/>
      <w:szCs w:val="32"/>
    </w:rPr>
  </w:style>
  <w:style w:type="character" w:styleId="Hyperlink">
    <w:name w:val="Hyperlink"/>
    <w:basedOn w:val="DefaultParagraphFont"/>
    <w:uiPriority w:val="99"/>
    <w:rsid w:val="00AA4171"/>
    <w:rPr>
      <w:color w:val="0000FF"/>
      <w:u w:val="single"/>
    </w:rPr>
  </w:style>
  <w:style w:type="table" w:styleId="TableGrid">
    <w:name w:val="Table Grid"/>
    <w:basedOn w:val="TableNormal"/>
    <w:rsid w:val="00AA4171"/>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A5666"/>
    <w:pPr>
      <w:spacing w:before="120"/>
    </w:pPr>
    <w:rPr>
      <w:rFonts w:ascii="Times New Roman Bold"/>
      <w:b/>
      <w:bCs/>
      <w:sz w:val="20"/>
      <w:szCs w:val="26"/>
    </w:rPr>
  </w:style>
  <w:style w:type="character" w:styleId="FollowedHyperlink">
    <w:name w:val="FollowedHyperlink"/>
    <w:basedOn w:val="DefaultParagraphFont"/>
    <w:rsid w:val="00AA4171"/>
    <w:rPr>
      <w:color w:val="800080"/>
      <w:u w:val="single"/>
    </w:rPr>
  </w:style>
  <w:style w:type="paragraph" w:customStyle="1" w:styleId="IPR">
    <w:name w:val="IPR"/>
    <w:basedOn w:val="Normal"/>
    <w:qFormat/>
    <w:rsid w:val="00AA4171"/>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AA4171"/>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AA4171"/>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4171"/>
  </w:style>
  <w:style w:type="character" w:styleId="UnresolvedMention">
    <w:name w:val="Unresolved Mention"/>
    <w:basedOn w:val="DefaultParagraphFont"/>
    <w:uiPriority w:val="99"/>
    <w:semiHidden/>
    <w:unhideWhenUsed/>
    <w:rsid w:val="00B5296E"/>
    <w:rPr>
      <w:color w:val="605E5C"/>
      <w:shd w:val="clear" w:color="auto" w:fill="E1DFDD"/>
    </w:rPr>
  </w:style>
  <w:style w:type="paragraph" w:customStyle="1" w:styleId="AnnexNoTitle0">
    <w:name w:val="Annex_NoTitle"/>
    <w:basedOn w:val="Normal"/>
    <w:next w:val="Normalaftertitle"/>
    <w:rsid w:val="008D2C0C"/>
    <w:pPr>
      <w:keepNext/>
      <w:keepLines/>
      <w:spacing w:before="240"/>
      <w:jc w:val="center"/>
      <w:outlineLvl w:val="0"/>
    </w:pPr>
    <w:rPr>
      <w:rFonts w:ascii="Times New Roman Bold" w:hAnsi="Times New Roman Bold"/>
      <w:b/>
      <w:bCs/>
      <w:sz w:val="26"/>
      <w:szCs w:val="36"/>
    </w:rPr>
  </w:style>
  <w:style w:type="paragraph" w:customStyle="1" w:styleId="Figure">
    <w:name w:val="Figure"/>
    <w:basedOn w:val="Normal"/>
    <w:rsid w:val="00AA4171"/>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HeadingSum">
    <w:name w:val="Heading_Sum"/>
    <w:basedOn w:val="Headingb"/>
    <w:rsid w:val="002A5099"/>
  </w:style>
  <w:style w:type="paragraph" w:customStyle="1" w:styleId="Annexno">
    <w:name w:val="Annex_no"/>
    <w:basedOn w:val="Normal"/>
    <w:qFormat/>
    <w:rsid w:val="00AA4171"/>
    <w:pPr>
      <w:keepNext/>
      <w:keepLines/>
      <w:spacing w:before="360" w:after="120"/>
      <w:jc w:val="center"/>
    </w:pPr>
    <w:rPr>
      <w:sz w:val="28"/>
      <w:szCs w:val="40"/>
      <w:lang w:bidi="ar-EG"/>
    </w:rPr>
  </w:style>
  <w:style w:type="paragraph" w:customStyle="1" w:styleId="Annextitle">
    <w:name w:val="Annex_title"/>
    <w:basedOn w:val="Annexno"/>
    <w:qFormat/>
    <w:rsid w:val="00AA4171"/>
    <w:pPr>
      <w:spacing w:before="120" w:after="360"/>
    </w:pPr>
    <w:rPr>
      <w:rFonts w:ascii="Times New Roman Bold" w:hAnsi="Times New Roman Bold"/>
      <w:b/>
      <w:bCs/>
    </w:rPr>
  </w:style>
  <w:style w:type="paragraph" w:styleId="BodyText">
    <w:name w:val="Body Text"/>
    <w:basedOn w:val="Normal"/>
    <w:link w:val="BodyTextChar"/>
    <w:rsid w:val="00AA4171"/>
    <w:pPr>
      <w:widowControl w:val="0"/>
      <w:spacing w:before="240"/>
    </w:pPr>
    <w:rPr>
      <w:szCs w:val="26"/>
    </w:rPr>
  </w:style>
  <w:style w:type="character" w:customStyle="1" w:styleId="BodyTextChar">
    <w:name w:val="Body Text Char"/>
    <w:basedOn w:val="DefaultParagraphFont"/>
    <w:link w:val="BodyText"/>
    <w:rsid w:val="00AA4171"/>
    <w:rPr>
      <w:rFonts w:ascii="Times New Roman" w:hAnsi="Times New Roman" w:cs="Traditional Arabic"/>
      <w:sz w:val="22"/>
      <w:szCs w:val="26"/>
      <w:lang w:eastAsia="fr-FR"/>
    </w:rPr>
  </w:style>
  <w:style w:type="paragraph" w:styleId="BodyText2">
    <w:name w:val="Body Text 2"/>
    <w:basedOn w:val="Normal"/>
    <w:link w:val="BodyText2Char"/>
    <w:rsid w:val="00AA4171"/>
    <w:pPr>
      <w:tabs>
        <w:tab w:val="left" w:pos="849"/>
      </w:tabs>
    </w:pPr>
    <w:rPr>
      <w:b/>
      <w:bCs/>
      <w:sz w:val="32"/>
      <w:szCs w:val="32"/>
    </w:rPr>
  </w:style>
  <w:style w:type="character" w:customStyle="1" w:styleId="BodyText2Char">
    <w:name w:val="Body Text 2 Char"/>
    <w:basedOn w:val="DefaultParagraphFont"/>
    <w:link w:val="BodyText2"/>
    <w:rsid w:val="00AA4171"/>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AA417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A4171"/>
    <w:rPr>
      <w:rFonts w:ascii="Times New Roman" w:eastAsiaTheme="minorEastAsia" w:hAnsi="Times New Roman" w:cs="Traditional Arabic"/>
      <w:sz w:val="22"/>
      <w:szCs w:val="30"/>
    </w:rPr>
  </w:style>
  <w:style w:type="paragraph" w:styleId="DocumentMap">
    <w:name w:val="Document Map"/>
    <w:basedOn w:val="Normal"/>
    <w:link w:val="DocumentMapChar"/>
    <w:rsid w:val="00AA4171"/>
    <w:rPr>
      <w:rFonts w:ascii="Tahoma" w:hAnsi="Tahoma" w:cs="Tahoma"/>
      <w:sz w:val="16"/>
      <w:szCs w:val="16"/>
    </w:rPr>
  </w:style>
  <w:style w:type="character" w:customStyle="1" w:styleId="DocumentMapChar">
    <w:name w:val="Document Map Char"/>
    <w:basedOn w:val="DefaultParagraphFont"/>
    <w:link w:val="DocumentMap"/>
    <w:rsid w:val="00AA4171"/>
    <w:rPr>
      <w:rFonts w:ascii="Tahoma" w:hAnsi="Tahoma" w:cs="Tahoma"/>
      <w:sz w:val="16"/>
      <w:szCs w:val="16"/>
      <w:lang w:eastAsia="fr-FR"/>
    </w:rPr>
  </w:style>
  <w:style w:type="paragraph" w:customStyle="1" w:styleId="FirstFooter">
    <w:name w:val="FirstFooter"/>
    <w:basedOn w:val="Footer"/>
    <w:rsid w:val="00AA4171"/>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AA4171"/>
    <w:pPr>
      <w:tabs>
        <w:tab w:val="left" w:pos="907"/>
        <w:tab w:val="right" w:pos="8789"/>
        <w:tab w:val="right" w:pos="9639"/>
      </w:tabs>
      <w:spacing w:before="0"/>
    </w:pPr>
    <w:rPr>
      <w:b/>
    </w:rPr>
  </w:style>
  <w:style w:type="paragraph" w:customStyle="1" w:styleId="Headingsum0">
    <w:name w:val="Heading sum"/>
    <w:basedOn w:val="Heading1"/>
    <w:rsid w:val="00AA4171"/>
    <w:pPr>
      <w:tabs>
        <w:tab w:val="left" w:pos="907"/>
      </w:tabs>
      <w:spacing w:before="240"/>
    </w:pPr>
    <w:rPr>
      <w:rFonts w:eastAsia="SimSun"/>
      <w:sz w:val="24"/>
      <w:szCs w:val="32"/>
      <w:lang w:eastAsia="en-US" w:bidi="ar-EG"/>
    </w:rPr>
  </w:style>
  <w:style w:type="paragraph" w:customStyle="1" w:styleId="Normal13">
    <w:name w:val="Normal 13"/>
    <w:basedOn w:val="Normal"/>
    <w:qFormat/>
    <w:rsid w:val="00AA4171"/>
    <w:rPr>
      <w:sz w:val="20"/>
      <w:szCs w:val="26"/>
    </w:rPr>
  </w:style>
  <w:style w:type="paragraph" w:customStyle="1" w:styleId="Normalaftertitle0">
    <w:name w:val="Normal after title"/>
    <w:basedOn w:val="Normal"/>
    <w:qFormat/>
    <w:rsid w:val="00AA417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character" w:customStyle="1" w:styleId="RecNoChar">
    <w:name w:val="Rec_No Char"/>
    <w:link w:val="RecNo"/>
    <w:locked/>
    <w:rsid w:val="00AA4171"/>
    <w:rPr>
      <w:rFonts w:ascii="Times New Roman" w:eastAsia="NSimSun" w:hAnsi="Times New Roman" w:cs="Traditional Arabic"/>
      <w:sz w:val="28"/>
      <w:szCs w:val="40"/>
      <w:lang w:eastAsia="fr-FR" w:bidi="ar-EG"/>
    </w:rPr>
  </w:style>
  <w:style w:type="paragraph" w:customStyle="1" w:styleId="Summary">
    <w:name w:val="Summary"/>
    <w:basedOn w:val="Normal"/>
    <w:qFormat/>
    <w:rsid w:val="00AA4171"/>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P.1239/en"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s://www.itu.int/rec/R-REC-P.1239/en" TargetMode="External"/><Relationship Id="rId34" Type="http://schemas.openxmlformats.org/officeDocument/2006/relationships/oleObject" Target="embeddings/oleObject2.bin"/><Relationship Id="rId42" Type="http://schemas.openxmlformats.org/officeDocument/2006/relationships/image" Target="media/image18.wmf"/><Relationship Id="rId47" Type="http://schemas.openxmlformats.org/officeDocument/2006/relationships/oleObject" Target="embeddings/oleObject6.bin"/><Relationship Id="rId50" Type="http://schemas.openxmlformats.org/officeDocument/2006/relationships/hyperlink" Target="https://www.itu.int/rec/R-REC-P.618/en" TargetMode="External"/><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618/en" TargetMode="External"/><Relationship Id="rId29" Type="http://schemas.openxmlformats.org/officeDocument/2006/relationships/image" Target="media/image7.png"/><Relationship Id="rId11" Type="http://schemas.openxmlformats.org/officeDocument/2006/relationships/hyperlink" Target="https://www.itu.int/ITU-R/go/patents/en" TargetMode="External"/><Relationship Id="rId24"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oleObject" Target="embeddings/oleObject5.bin"/><Relationship Id="rId53" Type="http://schemas.openxmlformats.org/officeDocument/2006/relationships/oleObject" Target="embeddings/oleObject8.bin"/><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s://www.itu.int/pub/R-REP-P.2097" TargetMode="External"/><Relationship Id="rId14" Type="http://schemas.openxmlformats.org/officeDocument/2006/relationships/header" Target="header4.xml"/><Relationship Id="rId22" Type="http://schemas.openxmlformats.org/officeDocument/2006/relationships/hyperlink" Target="https://www.itu.int/rec/R-REC-P.844/e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wmf"/><Relationship Id="rId43" Type="http://schemas.openxmlformats.org/officeDocument/2006/relationships/oleObject" Target="embeddings/oleObject4.bin"/><Relationship Id="rId48" Type="http://schemas.openxmlformats.org/officeDocument/2006/relationships/image" Target="media/image21.wmf"/><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itu.int/publ/R-REC/ar" TargetMode="External"/><Relationship Id="rId17" Type="http://schemas.openxmlformats.org/officeDocument/2006/relationships/hyperlink" Target="https://www.itu.int/rec/R-REC-P.844/en" TargetMode="External"/><Relationship Id="rId25" Type="http://schemas.openxmlformats.org/officeDocument/2006/relationships/hyperlink" Target="https://www.itu.int/rec/R-REC-P.531-16-202509-I/en" TargetMode="External"/><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20.wmf"/><Relationship Id="rId59" Type="http://schemas.openxmlformats.org/officeDocument/2006/relationships/footer" Target="footer1.xml"/><Relationship Id="rId20" Type="http://schemas.openxmlformats.org/officeDocument/2006/relationships/hyperlink" Target="https://www.itu.int/pub/R-REP-P.2297" TargetMode="External"/><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3.218" TargetMode="External"/><Relationship Id="rId23" Type="http://schemas.openxmlformats.org/officeDocument/2006/relationships/image" Target="media/image3.wmf"/><Relationship Id="rId28" Type="http://schemas.openxmlformats.org/officeDocument/2006/relationships/image" Target="media/image6.png"/><Relationship Id="rId36" Type="http://schemas.openxmlformats.org/officeDocument/2006/relationships/oleObject" Target="embeddings/oleObject3.bin"/><Relationship Id="rId49" Type="http://schemas.openxmlformats.org/officeDocument/2006/relationships/oleObject" Target="embeddings/oleObject7.bin"/><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5\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76</TotalTime>
  <Pages>25</Pages>
  <Words>5199</Words>
  <Characters>28075</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التوصيـة  ITU-R P.531-16  (2025/09) بيانات الانتشار الأيونوسفيري وطرائق التنبؤ المطلوبة من أجل تصميم الشبكات والأنظمة الساتلية</vt:lpstr>
    </vt:vector>
  </TitlesOfParts>
  <Company>ITU</Company>
  <LinksUpToDate>false</LinksUpToDate>
  <CharactersWithSpaces>33208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P.531-16  (2025/09) بيانات الانتشار الأيونوسفيري وطرائق التنبؤ المطلوبة من أجل تصميم الشبكات والأنظمة الساتلية</dc:title>
  <dc:creator>Kamaleldin, Mohamed</dc:creator>
  <cp:keywords>الانتشار عبر طبقة الأيونوسفير، الالتماع، تأخر الزمرة</cp:keywords>
  <cp:lastModifiedBy>Gergis, Mina</cp:lastModifiedBy>
  <cp:revision>22</cp:revision>
  <cp:lastPrinted>2025-11-18T10:01:00Z</cp:lastPrinted>
  <dcterms:created xsi:type="dcterms:W3CDTF">2025-11-17T11:39:00Z</dcterms:created>
  <dcterms:modified xsi:type="dcterms:W3CDTF">2025-11-18T10:06:00Z</dcterms:modified>
</cp:coreProperties>
</file>