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9D9" w:rsidRDefault="002579D9" w:rsidP="002579D9"/>
    <w:p w:rsidR="002579D9" w:rsidRDefault="002579D9" w:rsidP="002579D9"/>
    <w:p w:rsidR="002579D9" w:rsidRDefault="002579D9" w:rsidP="002579D9"/>
    <w:p w:rsidR="002579D9" w:rsidRDefault="002579D9" w:rsidP="002579D9"/>
    <w:p w:rsidR="002579D9" w:rsidRDefault="002579D9" w:rsidP="002579D9"/>
    <w:p w:rsidR="002579D9" w:rsidRDefault="002579D9" w:rsidP="002579D9"/>
    <w:p w:rsidR="002579D9" w:rsidRDefault="002579D9" w:rsidP="002579D9"/>
    <w:p w:rsidR="002579D9" w:rsidRDefault="002579D9" w:rsidP="002579D9"/>
    <w:p w:rsidR="002579D9" w:rsidRDefault="002579D9" w:rsidP="002579D9"/>
    <w:p w:rsidR="002579D9" w:rsidRDefault="002579D9" w:rsidP="002579D9"/>
    <w:p w:rsidR="002579D9" w:rsidRDefault="002579D9" w:rsidP="002579D9"/>
    <w:p w:rsidR="002579D9" w:rsidRDefault="002579D9" w:rsidP="002579D9"/>
    <w:tbl>
      <w:tblPr>
        <w:tblW w:w="10089" w:type="dxa"/>
        <w:tblLook w:val="01E0" w:firstRow="1" w:lastRow="1" w:firstColumn="1" w:lastColumn="1" w:noHBand="0" w:noVBand="0"/>
      </w:tblPr>
      <w:tblGrid>
        <w:gridCol w:w="10089"/>
      </w:tblGrid>
      <w:tr w:rsidR="002579D9" w:rsidRPr="004F65E4" w:rsidTr="006909C1">
        <w:tc>
          <w:tcPr>
            <w:tcW w:w="10089" w:type="dxa"/>
          </w:tcPr>
          <w:p w:rsidR="002579D9" w:rsidRPr="001511A6" w:rsidRDefault="002579D9" w:rsidP="006909C1">
            <w:pPr>
              <w:spacing w:before="380" w:line="280" w:lineRule="exact"/>
              <w:jc w:val="right"/>
              <w:rPr>
                <w:rFonts w:ascii="Tahoma" w:hAnsi="Tahoma" w:cs="Tahoma"/>
                <w:b/>
                <w:bCs/>
                <w:iCs/>
                <w:color w:val="243285"/>
                <w:sz w:val="32"/>
                <w:szCs w:val="32"/>
                <w:lang w:val="en-US"/>
              </w:rPr>
            </w:pPr>
          </w:p>
          <w:p w:rsidR="002579D9" w:rsidRPr="004F65E4" w:rsidRDefault="002579D9" w:rsidP="0088090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531-1</w:t>
            </w:r>
            <w:r w:rsidR="00880908">
              <w:rPr>
                <w:rFonts w:ascii="Tahoma" w:hAnsi="Tahoma" w:cs="Tahoma"/>
                <w:b/>
                <w:bCs/>
                <w:iCs/>
                <w:color w:val="243285"/>
                <w:sz w:val="36"/>
                <w:szCs w:val="36"/>
              </w:rPr>
              <w:t>3</w:t>
            </w:r>
          </w:p>
          <w:p w:rsidR="002579D9" w:rsidRPr="004F65E4" w:rsidRDefault="002579D9" w:rsidP="0088090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B6F6B">
              <w:rPr>
                <w:rFonts w:ascii="Tahoma" w:hAnsi="Tahoma" w:cs="Tahoma"/>
                <w:b/>
                <w:bCs/>
                <w:iCs/>
                <w:color w:val="243285"/>
                <w:szCs w:val="24"/>
              </w:rPr>
              <w:t>09</w:t>
            </w:r>
            <w:r w:rsidRPr="004F65E4">
              <w:rPr>
                <w:rFonts w:ascii="Tahoma" w:hAnsi="Tahoma" w:cs="Tahoma"/>
                <w:b/>
                <w:bCs/>
                <w:iCs/>
                <w:color w:val="243285"/>
                <w:szCs w:val="24"/>
              </w:rPr>
              <w:t>/</w:t>
            </w:r>
            <w:r w:rsidR="002B6F6B">
              <w:rPr>
                <w:rFonts w:ascii="Tahoma" w:hAnsi="Tahoma" w:cs="Tahoma"/>
                <w:b/>
                <w:bCs/>
                <w:iCs/>
                <w:color w:val="243285"/>
                <w:szCs w:val="24"/>
              </w:rPr>
              <w:t>201</w:t>
            </w:r>
            <w:r w:rsidR="00880908">
              <w:rPr>
                <w:rFonts w:ascii="Tahoma" w:hAnsi="Tahoma" w:cs="Tahoma"/>
                <w:b/>
                <w:bCs/>
                <w:iCs/>
                <w:color w:val="243285"/>
                <w:szCs w:val="24"/>
              </w:rPr>
              <w:t>6</w:t>
            </w:r>
            <w:r w:rsidRPr="004F65E4">
              <w:rPr>
                <w:rFonts w:ascii="Tahoma" w:hAnsi="Tahoma" w:cs="Tahoma"/>
                <w:b/>
                <w:bCs/>
                <w:iCs/>
                <w:color w:val="243285"/>
                <w:szCs w:val="24"/>
              </w:rPr>
              <w:t>)</w:t>
            </w:r>
          </w:p>
        </w:tc>
      </w:tr>
      <w:tr w:rsidR="002579D9" w:rsidRPr="00DB691F" w:rsidTr="006909C1">
        <w:tc>
          <w:tcPr>
            <w:tcW w:w="10089" w:type="dxa"/>
          </w:tcPr>
          <w:p w:rsidR="002579D9" w:rsidRPr="00B83149" w:rsidRDefault="002579D9" w:rsidP="006909C1">
            <w:pPr>
              <w:spacing w:before="80" w:line="500" w:lineRule="exact"/>
              <w:jc w:val="right"/>
              <w:rPr>
                <w:rFonts w:ascii="Tahoma" w:hAnsi="Tahoma" w:cs="Tahoma"/>
                <w:b/>
                <w:bCs/>
                <w:iCs/>
                <w:color w:val="243285"/>
                <w:sz w:val="44"/>
                <w:szCs w:val="44"/>
                <w:lang w:val="en-US"/>
              </w:rPr>
            </w:pPr>
          </w:p>
          <w:p w:rsidR="002579D9" w:rsidRPr="001511A6" w:rsidRDefault="002B6F6B" w:rsidP="002B6F6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Ionospheric propagation data and prediction methods required for</w:t>
            </w:r>
            <w:r>
              <w:rPr>
                <w:rFonts w:ascii="Tahoma" w:hAnsi="Tahoma" w:cs="Tahoma"/>
                <w:b/>
                <w:bCs/>
                <w:iCs/>
                <w:color w:val="243285"/>
                <w:sz w:val="44"/>
                <w:szCs w:val="44"/>
                <w:lang w:val="en-US"/>
              </w:rPr>
              <w:br/>
              <w:t>the design of satellite services</w:t>
            </w:r>
            <w:r>
              <w:rPr>
                <w:rFonts w:ascii="Tahoma" w:hAnsi="Tahoma" w:cs="Tahoma"/>
                <w:b/>
                <w:bCs/>
                <w:iCs/>
                <w:color w:val="243285"/>
                <w:sz w:val="44"/>
                <w:szCs w:val="44"/>
                <w:lang w:val="en-US"/>
              </w:rPr>
              <w:br/>
              <w:t>and systems</w:t>
            </w:r>
          </w:p>
          <w:p w:rsidR="002579D9" w:rsidRPr="001511A6" w:rsidRDefault="002579D9" w:rsidP="006909C1">
            <w:pPr>
              <w:spacing w:before="80" w:line="500" w:lineRule="exact"/>
              <w:jc w:val="right"/>
              <w:rPr>
                <w:rFonts w:ascii="Tahoma" w:hAnsi="Tahoma" w:cs="Tahoma"/>
                <w:b/>
                <w:bCs/>
                <w:iCs/>
                <w:color w:val="243285"/>
                <w:sz w:val="40"/>
                <w:szCs w:val="40"/>
                <w:lang w:val="en-US"/>
              </w:rPr>
            </w:pPr>
          </w:p>
        </w:tc>
      </w:tr>
      <w:tr w:rsidR="002579D9" w:rsidTr="006909C1">
        <w:tc>
          <w:tcPr>
            <w:tcW w:w="10089" w:type="dxa"/>
          </w:tcPr>
          <w:p w:rsidR="002579D9" w:rsidRPr="00B83149" w:rsidRDefault="002579D9" w:rsidP="006909C1">
            <w:pPr>
              <w:spacing w:before="80" w:line="280" w:lineRule="exact"/>
              <w:ind w:right="640"/>
              <w:rPr>
                <w:rFonts w:ascii="Tahoma" w:hAnsi="Tahoma" w:cs="Tahoma"/>
                <w:b/>
                <w:bCs/>
                <w:iCs/>
                <w:color w:val="243285"/>
                <w:sz w:val="32"/>
                <w:szCs w:val="32"/>
                <w:lang w:val="en-US"/>
              </w:rPr>
            </w:pPr>
          </w:p>
          <w:p w:rsidR="002579D9" w:rsidRPr="00B83149" w:rsidRDefault="002579D9" w:rsidP="006909C1">
            <w:pPr>
              <w:spacing w:before="80" w:line="280" w:lineRule="exact"/>
              <w:ind w:right="640"/>
              <w:rPr>
                <w:rFonts w:ascii="Tahoma" w:hAnsi="Tahoma" w:cs="Tahoma"/>
                <w:b/>
                <w:bCs/>
                <w:iCs/>
                <w:color w:val="243285"/>
                <w:sz w:val="32"/>
                <w:szCs w:val="32"/>
                <w:lang w:val="en-US"/>
              </w:rPr>
            </w:pPr>
          </w:p>
          <w:p w:rsidR="002579D9" w:rsidRPr="00B83149" w:rsidRDefault="002579D9" w:rsidP="006909C1">
            <w:pPr>
              <w:spacing w:before="80" w:after="180" w:line="360" w:lineRule="exact"/>
              <w:ind w:right="720"/>
              <w:rPr>
                <w:rFonts w:ascii="Tahoma" w:hAnsi="Tahoma" w:cs="Tahoma"/>
                <w:b/>
                <w:bCs/>
                <w:iCs/>
                <w:color w:val="243285"/>
                <w:sz w:val="36"/>
                <w:szCs w:val="36"/>
                <w:lang w:val="en-US"/>
              </w:rPr>
            </w:pPr>
          </w:p>
          <w:p w:rsidR="002579D9" w:rsidRPr="001511A6" w:rsidRDefault="002579D9" w:rsidP="006909C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2579D9" w:rsidRPr="00FC33E6" w:rsidRDefault="002579D9" w:rsidP="006909C1">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2579D9" w:rsidRDefault="002579D9" w:rsidP="002579D9">
      <w:pPr>
        <w:spacing w:before="80"/>
        <w:rPr>
          <w:i/>
          <w:sz w:val="22"/>
          <w:lang w:val="en-US"/>
        </w:rPr>
      </w:pPr>
    </w:p>
    <w:p w:rsidR="002579D9" w:rsidRDefault="002579D9" w:rsidP="002579D9">
      <w:pPr>
        <w:spacing w:before="80"/>
        <w:rPr>
          <w:i/>
          <w:sz w:val="22"/>
          <w:lang w:val="en-US"/>
        </w:rPr>
      </w:pPr>
    </w:p>
    <w:p w:rsidR="002579D9" w:rsidRDefault="002579D9" w:rsidP="002579D9">
      <w:pPr>
        <w:spacing w:before="80"/>
        <w:rPr>
          <w:i/>
          <w:sz w:val="22"/>
          <w:lang w:val="en-US"/>
        </w:rPr>
      </w:pPr>
    </w:p>
    <w:p w:rsidR="002579D9" w:rsidRDefault="002579D9" w:rsidP="002579D9">
      <w:pPr>
        <w:spacing w:before="80"/>
        <w:rPr>
          <w:i/>
          <w:sz w:val="22"/>
          <w:lang w:val="en-US"/>
        </w:rPr>
      </w:pPr>
    </w:p>
    <w:p w:rsidR="002579D9" w:rsidRDefault="002579D9" w:rsidP="002579D9">
      <w:pPr>
        <w:spacing w:before="80"/>
        <w:rPr>
          <w:i/>
          <w:sz w:val="22"/>
          <w:lang w:val="en-US"/>
        </w:rPr>
      </w:pPr>
    </w:p>
    <w:p w:rsidR="002579D9" w:rsidRDefault="002579D9" w:rsidP="002579D9">
      <w:pPr>
        <w:spacing w:before="80"/>
        <w:rPr>
          <w:i/>
          <w:sz w:val="22"/>
          <w:lang w:val="en-US"/>
        </w:rPr>
      </w:pPr>
    </w:p>
    <w:p w:rsidR="002579D9" w:rsidRDefault="002579D9" w:rsidP="002579D9">
      <w:pPr>
        <w:pStyle w:val="Equation"/>
        <w:tabs>
          <w:tab w:val="clear" w:pos="4820"/>
          <w:tab w:val="clear" w:pos="9639"/>
          <w:tab w:val="left" w:pos="1191"/>
          <w:tab w:val="left" w:pos="1588"/>
          <w:tab w:val="left" w:pos="1985"/>
        </w:tabs>
        <w:rPr>
          <w:rFonts w:ascii="Palatino Linotype" w:hAnsi="Palatino Linotype"/>
          <w:lang w:val="en-US"/>
        </w:rPr>
        <w:sectPr w:rsidR="002579D9">
          <w:headerReference w:type="even" r:id="rId6"/>
          <w:headerReference w:type="default" r:id="rId7"/>
          <w:pgSz w:w="11907" w:h="16840" w:code="9"/>
          <w:pgMar w:top="1089" w:right="1089" w:bottom="284" w:left="1089" w:header="567" w:footer="284" w:gutter="0"/>
          <w:pgNumType w:start="1"/>
          <w:cols w:space="720"/>
        </w:sectPr>
      </w:pPr>
    </w:p>
    <w:p w:rsidR="002579D9" w:rsidRPr="00586EF8" w:rsidRDefault="002579D9" w:rsidP="002579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2579D9" w:rsidRDefault="002579D9" w:rsidP="002579D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579D9" w:rsidRDefault="002579D9" w:rsidP="002579D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579D9" w:rsidRPr="00B714F3" w:rsidRDefault="002579D9" w:rsidP="002579D9">
      <w:pPr>
        <w:pStyle w:val="Heading1"/>
        <w:spacing w:before="680"/>
        <w:jc w:val="center"/>
        <w:rPr>
          <w:szCs w:val="24"/>
          <w:lang w:val="en-US"/>
        </w:rPr>
      </w:pPr>
      <w:r w:rsidRPr="00B714F3">
        <w:rPr>
          <w:szCs w:val="24"/>
          <w:lang w:val="en-US"/>
        </w:rPr>
        <w:t>Policy on Intellectual Property Right (IPR)</w:t>
      </w:r>
    </w:p>
    <w:p w:rsidR="002579D9" w:rsidRPr="00B714F3" w:rsidRDefault="002579D9" w:rsidP="002579D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579D9" w:rsidRDefault="002579D9" w:rsidP="002579D9">
      <w:pPr>
        <w:jc w:val="center"/>
        <w:rPr>
          <w:sz w:val="22"/>
          <w:lang w:val="en-US"/>
        </w:rPr>
      </w:pPr>
    </w:p>
    <w:p w:rsidR="002579D9" w:rsidRDefault="002579D9" w:rsidP="002579D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579D9" w:rsidRPr="00DB691F" w:rsidTr="006909C1">
        <w:tc>
          <w:tcPr>
            <w:tcW w:w="9360" w:type="dxa"/>
            <w:gridSpan w:val="2"/>
          </w:tcPr>
          <w:p w:rsidR="002579D9" w:rsidRPr="00036EE3" w:rsidRDefault="002579D9" w:rsidP="006909C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579D9" w:rsidRPr="00036EE3" w:rsidRDefault="002579D9" w:rsidP="00690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2579D9" w:rsidRPr="00036EE3" w:rsidTr="006909C1">
        <w:tc>
          <w:tcPr>
            <w:tcW w:w="1140" w:type="dxa"/>
          </w:tcPr>
          <w:p w:rsidR="002579D9" w:rsidRPr="00036EE3" w:rsidRDefault="002579D9" w:rsidP="006909C1">
            <w:pPr>
              <w:spacing w:before="200" w:after="100"/>
              <w:ind w:left="57"/>
              <w:rPr>
                <w:b/>
                <w:bCs/>
                <w:sz w:val="20"/>
                <w:lang w:val="en-US"/>
              </w:rPr>
            </w:pPr>
            <w:r w:rsidRPr="00036EE3">
              <w:rPr>
                <w:b/>
                <w:bCs/>
                <w:sz w:val="20"/>
                <w:lang w:val="en-US"/>
              </w:rPr>
              <w:t>Series</w:t>
            </w:r>
          </w:p>
        </w:tc>
        <w:tc>
          <w:tcPr>
            <w:tcW w:w="8220" w:type="dxa"/>
          </w:tcPr>
          <w:p w:rsidR="002579D9" w:rsidRPr="00036EE3" w:rsidRDefault="002579D9" w:rsidP="00690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579D9" w:rsidRPr="00036EE3" w:rsidTr="006909C1">
        <w:tc>
          <w:tcPr>
            <w:tcW w:w="1140" w:type="dxa"/>
          </w:tcPr>
          <w:p w:rsidR="002579D9" w:rsidRPr="00036EE3" w:rsidRDefault="002579D9" w:rsidP="006909C1">
            <w:pPr>
              <w:spacing w:before="30" w:after="30"/>
              <w:ind w:left="57"/>
              <w:jc w:val="left"/>
              <w:rPr>
                <w:b/>
                <w:bCs/>
                <w:sz w:val="20"/>
                <w:lang w:val="en-US"/>
              </w:rPr>
            </w:pPr>
            <w:r w:rsidRPr="00036EE3">
              <w:rPr>
                <w:b/>
                <w:bCs/>
                <w:sz w:val="20"/>
                <w:lang w:val="en-US"/>
              </w:rPr>
              <w:t>BO</w:t>
            </w:r>
          </w:p>
        </w:tc>
        <w:tc>
          <w:tcPr>
            <w:tcW w:w="8220" w:type="dxa"/>
          </w:tcPr>
          <w:p w:rsidR="002579D9" w:rsidRPr="00036EE3" w:rsidRDefault="002579D9" w:rsidP="00690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579D9" w:rsidRPr="00DB691F" w:rsidTr="006909C1">
        <w:tc>
          <w:tcPr>
            <w:tcW w:w="1140" w:type="dxa"/>
            <w:tcBorders>
              <w:bottom w:val="nil"/>
            </w:tcBorders>
          </w:tcPr>
          <w:p w:rsidR="002579D9" w:rsidRPr="00036EE3" w:rsidRDefault="002579D9" w:rsidP="006909C1">
            <w:pPr>
              <w:spacing w:before="30" w:after="30"/>
              <w:ind w:left="57"/>
              <w:jc w:val="left"/>
              <w:rPr>
                <w:b/>
                <w:bCs/>
                <w:sz w:val="20"/>
                <w:lang w:val="en-US"/>
              </w:rPr>
            </w:pPr>
            <w:r w:rsidRPr="00036EE3">
              <w:rPr>
                <w:b/>
                <w:bCs/>
                <w:sz w:val="20"/>
                <w:lang w:val="en-US"/>
              </w:rPr>
              <w:t>BR</w:t>
            </w:r>
          </w:p>
        </w:tc>
        <w:tc>
          <w:tcPr>
            <w:tcW w:w="8220" w:type="dxa"/>
            <w:tcBorders>
              <w:bottom w:val="nil"/>
            </w:tcBorders>
          </w:tcPr>
          <w:p w:rsidR="002579D9" w:rsidRPr="00036EE3" w:rsidRDefault="002579D9" w:rsidP="00690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579D9" w:rsidRPr="00036EE3" w:rsidTr="006909C1">
        <w:tc>
          <w:tcPr>
            <w:tcW w:w="1140" w:type="dxa"/>
            <w:tcBorders>
              <w:top w:val="nil"/>
              <w:bottom w:val="nil"/>
            </w:tcBorders>
            <w:shd w:val="clear" w:color="auto" w:fill="auto"/>
          </w:tcPr>
          <w:p w:rsidR="002579D9" w:rsidRPr="007D224F" w:rsidRDefault="002579D9" w:rsidP="006909C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579D9" w:rsidRPr="007D224F" w:rsidRDefault="002579D9" w:rsidP="00690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579D9" w:rsidRPr="00ED2695" w:rsidTr="006909C1">
        <w:tc>
          <w:tcPr>
            <w:tcW w:w="1140" w:type="dxa"/>
            <w:tcBorders>
              <w:top w:val="nil"/>
              <w:bottom w:val="nil"/>
            </w:tcBorders>
            <w:shd w:val="clear" w:color="auto" w:fill="auto"/>
          </w:tcPr>
          <w:p w:rsidR="002579D9" w:rsidRPr="00ED2695" w:rsidRDefault="002579D9" w:rsidP="006909C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579D9" w:rsidRPr="00ED2695" w:rsidRDefault="002579D9" w:rsidP="00690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579D9" w:rsidRPr="007D224F" w:rsidTr="006909C1">
        <w:tc>
          <w:tcPr>
            <w:tcW w:w="1140" w:type="dxa"/>
            <w:tcBorders>
              <w:top w:val="nil"/>
              <w:bottom w:val="nil"/>
            </w:tcBorders>
            <w:shd w:val="clear" w:color="auto" w:fill="auto"/>
          </w:tcPr>
          <w:p w:rsidR="002579D9" w:rsidRPr="0041667C" w:rsidRDefault="002579D9" w:rsidP="006909C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579D9" w:rsidRPr="0041667C" w:rsidRDefault="002579D9" w:rsidP="006909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579D9" w:rsidRPr="001A7DC3" w:rsidTr="006909C1">
        <w:tc>
          <w:tcPr>
            <w:tcW w:w="1140" w:type="dxa"/>
            <w:tcBorders>
              <w:top w:val="nil"/>
              <w:bottom w:val="nil"/>
            </w:tcBorders>
            <w:shd w:val="clear" w:color="auto" w:fill="auto"/>
          </w:tcPr>
          <w:p w:rsidR="002579D9" w:rsidRPr="001A7DC3" w:rsidRDefault="002579D9" w:rsidP="006909C1">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2579D9" w:rsidRPr="001A7DC3" w:rsidRDefault="002579D9" w:rsidP="00690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2579D9" w:rsidRPr="00036EE3" w:rsidTr="006909C1">
        <w:tc>
          <w:tcPr>
            <w:tcW w:w="1140" w:type="dxa"/>
            <w:tcBorders>
              <w:top w:val="nil"/>
              <w:bottom w:val="nil"/>
            </w:tcBorders>
            <w:shd w:val="clear" w:color="auto" w:fill="F3F3F3"/>
          </w:tcPr>
          <w:p w:rsidR="002579D9" w:rsidRPr="006E1148" w:rsidRDefault="002579D9" w:rsidP="006909C1">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2579D9" w:rsidRPr="006E1148" w:rsidRDefault="002579D9" w:rsidP="006909C1">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2579D9" w:rsidRPr="00036EE3" w:rsidTr="006909C1">
        <w:tc>
          <w:tcPr>
            <w:tcW w:w="1140" w:type="dxa"/>
            <w:tcBorders>
              <w:top w:val="nil"/>
            </w:tcBorders>
          </w:tcPr>
          <w:p w:rsidR="002579D9" w:rsidRPr="00036EE3" w:rsidRDefault="002579D9" w:rsidP="006909C1">
            <w:pPr>
              <w:spacing w:before="30" w:after="30"/>
              <w:ind w:left="57"/>
              <w:jc w:val="left"/>
              <w:rPr>
                <w:b/>
                <w:bCs/>
                <w:sz w:val="20"/>
                <w:lang w:val="en-US"/>
              </w:rPr>
            </w:pPr>
            <w:r w:rsidRPr="00036EE3">
              <w:rPr>
                <w:b/>
                <w:bCs/>
                <w:sz w:val="20"/>
                <w:lang w:val="en-US"/>
              </w:rPr>
              <w:t>RA</w:t>
            </w:r>
          </w:p>
        </w:tc>
        <w:tc>
          <w:tcPr>
            <w:tcW w:w="8220" w:type="dxa"/>
            <w:tcBorders>
              <w:top w:val="nil"/>
            </w:tcBorders>
          </w:tcPr>
          <w:p w:rsidR="002579D9" w:rsidRPr="00036EE3" w:rsidRDefault="002579D9" w:rsidP="006909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579D9" w:rsidRPr="00036EE3" w:rsidTr="006909C1">
        <w:tc>
          <w:tcPr>
            <w:tcW w:w="1140" w:type="dxa"/>
          </w:tcPr>
          <w:p w:rsidR="002579D9" w:rsidRPr="00036EE3" w:rsidRDefault="002579D9" w:rsidP="006909C1">
            <w:pPr>
              <w:spacing w:before="30" w:after="30"/>
              <w:ind w:left="57"/>
              <w:jc w:val="left"/>
              <w:rPr>
                <w:b/>
                <w:bCs/>
                <w:sz w:val="20"/>
                <w:lang w:val="en-US"/>
              </w:rPr>
            </w:pPr>
            <w:r w:rsidRPr="00036EE3">
              <w:rPr>
                <w:b/>
                <w:bCs/>
                <w:sz w:val="20"/>
                <w:lang w:val="en-US"/>
              </w:rPr>
              <w:t>RS</w:t>
            </w:r>
          </w:p>
        </w:tc>
        <w:tc>
          <w:tcPr>
            <w:tcW w:w="8220" w:type="dxa"/>
          </w:tcPr>
          <w:p w:rsidR="002579D9" w:rsidRPr="00036EE3" w:rsidRDefault="002579D9" w:rsidP="006909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579D9" w:rsidRPr="00036EE3" w:rsidTr="006909C1">
        <w:tc>
          <w:tcPr>
            <w:tcW w:w="1140" w:type="dxa"/>
          </w:tcPr>
          <w:p w:rsidR="002579D9" w:rsidRPr="00036EE3" w:rsidRDefault="002579D9" w:rsidP="006909C1">
            <w:pPr>
              <w:spacing w:before="30" w:after="30"/>
              <w:ind w:left="57"/>
              <w:jc w:val="left"/>
              <w:rPr>
                <w:b/>
                <w:bCs/>
                <w:sz w:val="20"/>
                <w:lang w:val="en-US"/>
              </w:rPr>
            </w:pPr>
            <w:r w:rsidRPr="00036EE3">
              <w:rPr>
                <w:b/>
                <w:bCs/>
                <w:sz w:val="20"/>
                <w:lang w:val="en-US"/>
              </w:rPr>
              <w:t>S</w:t>
            </w:r>
          </w:p>
        </w:tc>
        <w:tc>
          <w:tcPr>
            <w:tcW w:w="8220" w:type="dxa"/>
          </w:tcPr>
          <w:p w:rsidR="002579D9" w:rsidRPr="00036EE3" w:rsidRDefault="002579D9" w:rsidP="006909C1">
            <w:pPr>
              <w:spacing w:before="30" w:after="30"/>
              <w:jc w:val="left"/>
              <w:rPr>
                <w:sz w:val="20"/>
                <w:lang w:val="en-US"/>
              </w:rPr>
            </w:pPr>
            <w:r w:rsidRPr="00036EE3">
              <w:rPr>
                <w:sz w:val="20"/>
                <w:lang w:val="en-US"/>
              </w:rPr>
              <w:t>Fixed-satellite service</w:t>
            </w:r>
          </w:p>
        </w:tc>
      </w:tr>
      <w:tr w:rsidR="002579D9" w:rsidRPr="00036EE3" w:rsidTr="006909C1">
        <w:tc>
          <w:tcPr>
            <w:tcW w:w="1140" w:type="dxa"/>
          </w:tcPr>
          <w:p w:rsidR="002579D9" w:rsidRPr="00036EE3" w:rsidRDefault="002579D9" w:rsidP="006909C1">
            <w:pPr>
              <w:spacing w:before="30" w:after="30"/>
              <w:ind w:left="57"/>
              <w:jc w:val="left"/>
              <w:rPr>
                <w:b/>
                <w:bCs/>
                <w:sz w:val="20"/>
                <w:lang w:val="en-US"/>
              </w:rPr>
            </w:pPr>
            <w:r w:rsidRPr="00036EE3">
              <w:rPr>
                <w:b/>
                <w:bCs/>
                <w:sz w:val="20"/>
                <w:lang w:val="en-US"/>
              </w:rPr>
              <w:t>SA</w:t>
            </w:r>
          </w:p>
        </w:tc>
        <w:tc>
          <w:tcPr>
            <w:tcW w:w="8220" w:type="dxa"/>
          </w:tcPr>
          <w:p w:rsidR="002579D9" w:rsidRPr="00036EE3" w:rsidRDefault="002579D9" w:rsidP="006909C1">
            <w:pPr>
              <w:spacing w:before="30" w:after="30"/>
              <w:jc w:val="left"/>
              <w:rPr>
                <w:sz w:val="20"/>
                <w:lang w:val="en-US"/>
              </w:rPr>
            </w:pPr>
            <w:r w:rsidRPr="00036EE3">
              <w:rPr>
                <w:sz w:val="20"/>
                <w:lang w:val="en-US"/>
              </w:rPr>
              <w:t>Space applications and meteorology</w:t>
            </w:r>
          </w:p>
        </w:tc>
      </w:tr>
      <w:tr w:rsidR="002579D9" w:rsidRPr="00DB691F" w:rsidTr="006909C1">
        <w:tc>
          <w:tcPr>
            <w:tcW w:w="1140" w:type="dxa"/>
            <w:tcBorders>
              <w:bottom w:val="nil"/>
            </w:tcBorders>
          </w:tcPr>
          <w:p w:rsidR="002579D9" w:rsidRPr="00036EE3" w:rsidRDefault="002579D9" w:rsidP="006909C1">
            <w:pPr>
              <w:spacing w:before="30" w:after="30"/>
              <w:ind w:left="57"/>
              <w:jc w:val="left"/>
              <w:rPr>
                <w:b/>
                <w:bCs/>
                <w:sz w:val="20"/>
                <w:lang w:val="en-US"/>
              </w:rPr>
            </w:pPr>
            <w:r w:rsidRPr="00036EE3">
              <w:rPr>
                <w:b/>
                <w:bCs/>
                <w:sz w:val="20"/>
                <w:lang w:val="en-US"/>
              </w:rPr>
              <w:t>SF</w:t>
            </w:r>
          </w:p>
        </w:tc>
        <w:tc>
          <w:tcPr>
            <w:tcW w:w="8220" w:type="dxa"/>
            <w:tcBorders>
              <w:bottom w:val="nil"/>
            </w:tcBorders>
          </w:tcPr>
          <w:p w:rsidR="002579D9" w:rsidRPr="00036EE3" w:rsidRDefault="002579D9" w:rsidP="006909C1">
            <w:pPr>
              <w:spacing w:before="30" w:after="30"/>
              <w:jc w:val="left"/>
              <w:rPr>
                <w:sz w:val="20"/>
                <w:lang w:val="en-US"/>
              </w:rPr>
            </w:pPr>
            <w:r w:rsidRPr="00036EE3">
              <w:rPr>
                <w:sz w:val="20"/>
                <w:lang w:val="en-US"/>
              </w:rPr>
              <w:t>Frequency sharing and coordination between fixed-satellite and fixed service systems</w:t>
            </w:r>
          </w:p>
        </w:tc>
      </w:tr>
      <w:tr w:rsidR="002579D9" w:rsidRPr="00036EE3" w:rsidTr="006909C1">
        <w:tc>
          <w:tcPr>
            <w:tcW w:w="1140" w:type="dxa"/>
            <w:tcBorders>
              <w:top w:val="nil"/>
              <w:bottom w:val="nil"/>
            </w:tcBorders>
            <w:shd w:val="clear" w:color="auto" w:fill="auto"/>
          </w:tcPr>
          <w:p w:rsidR="002579D9" w:rsidRPr="000A4386" w:rsidRDefault="002579D9" w:rsidP="006909C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579D9" w:rsidRPr="000A4386" w:rsidRDefault="002579D9" w:rsidP="006909C1">
            <w:pPr>
              <w:spacing w:before="30" w:after="30"/>
              <w:jc w:val="left"/>
              <w:rPr>
                <w:sz w:val="20"/>
                <w:lang w:val="en-US"/>
              </w:rPr>
            </w:pPr>
            <w:r w:rsidRPr="000A4386">
              <w:rPr>
                <w:sz w:val="20"/>
                <w:lang w:val="en-US"/>
              </w:rPr>
              <w:t>Spectrum management</w:t>
            </w:r>
          </w:p>
        </w:tc>
      </w:tr>
      <w:tr w:rsidR="002579D9" w:rsidRPr="00036EE3" w:rsidTr="006909C1">
        <w:tc>
          <w:tcPr>
            <w:tcW w:w="1140" w:type="dxa"/>
            <w:tcBorders>
              <w:top w:val="nil"/>
            </w:tcBorders>
          </w:tcPr>
          <w:p w:rsidR="002579D9" w:rsidRPr="00036EE3" w:rsidRDefault="002579D9" w:rsidP="006909C1">
            <w:pPr>
              <w:spacing w:before="30" w:after="30"/>
              <w:ind w:left="57"/>
              <w:jc w:val="left"/>
              <w:rPr>
                <w:b/>
                <w:bCs/>
                <w:sz w:val="20"/>
                <w:lang w:val="en-US"/>
              </w:rPr>
            </w:pPr>
            <w:r w:rsidRPr="00036EE3">
              <w:rPr>
                <w:b/>
                <w:bCs/>
                <w:sz w:val="20"/>
                <w:lang w:val="en-US"/>
              </w:rPr>
              <w:t>SNG</w:t>
            </w:r>
          </w:p>
        </w:tc>
        <w:tc>
          <w:tcPr>
            <w:tcW w:w="8220" w:type="dxa"/>
            <w:tcBorders>
              <w:top w:val="nil"/>
            </w:tcBorders>
          </w:tcPr>
          <w:p w:rsidR="002579D9" w:rsidRPr="00036EE3" w:rsidRDefault="002579D9" w:rsidP="006909C1">
            <w:pPr>
              <w:spacing w:before="30" w:after="30"/>
              <w:jc w:val="left"/>
              <w:rPr>
                <w:sz w:val="20"/>
                <w:lang w:val="en-US"/>
              </w:rPr>
            </w:pPr>
            <w:r w:rsidRPr="00036EE3">
              <w:rPr>
                <w:sz w:val="20"/>
                <w:lang w:val="en-US"/>
              </w:rPr>
              <w:t>Satellite news gathering</w:t>
            </w:r>
          </w:p>
        </w:tc>
      </w:tr>
      <w:tr w:rsidR="002579D9" w:rsidRPr="00DB691F" w:rsidTr="006909C1">
        <w:tc>
          <w:tcPr>
            <w:tcW w:w="1140" w:type="dxa"/>
          </w:tcPr>
          <w:p w:rsidR="002579D9" w:rsidRPr="00036EE3" w:rsidRDefault="002579D9" w:rsidP="006909C1">
            <w:pPr>
              <w:spacing w:before="30" w:after="30"/>
              <w:ind w:left="57"/>
              <w:jc w:val="left"/>
              <w:rPr>
                <w:b/>
                <w:bCs/>
                <w:sz w:val="20"/>
                <w:lang w:val="en-US"/>
              </w:rPr>
            </w:pPr>
            <w:r w:rsidRPr="00036EE3">
              <w:rPr>
                <w:b/>
                <w:bCs/>
                <w:sz w:val="20"/>
                <w:lang w:val="en-US"/>
              </w:rPr>
              <w:t>TF</w:t>
            </w:r>
          </w:p>
        </w:tc>
        <w:tc>
          <w:tcPr>
            <w:tcW w:w="8220" w:type="dxa"/>
          </w:tcPr>
          <w:p w:rsidR="002579D9" w:rsidRPr="00036EE3" w:rsidRDefault="002579D9" w:rsidP="006909C1">
            <w:pPr>
              <w:spacing w:before="30" w:after="30"/>
              <w:jc w:val="left"/>
              <w:rPr>
                <w:sz w:val="20"/>
                <w:lang w:val="en-US"/>
              </w:rPr>
            </w:pPr>
            <w:r w:rsidRPr="00036EE3">
              <w:rPr>
                <w:sz w:val="20"/>
                <w:lang w:val="en-US"/>
              </w:rPr>
              <w:t>Time signals and frequency standards emissions</w:t>
            </w:r>
          </w:p>
        </w:tc>
      </w:tr>
      <w:tr w:rsidR="002579D9" w:rsidRPr="00036EE3" w:rsidTr="006909C1">
        <w:tc>
          <w:tcPr>
            <w:tcW w:w="1140" w:type="dxa"/>
          </w:tcPr>
          <w:p w:rsidR="002579D9" w:rsidRPr="00036EE3" w:rsidRDefault="002579D9" w:rsidP="006909C1">
            <w:pPr>
              <w:spacing w:before="30" w:after="30"/>
              <w:ind w:left="57"/>
              <w:jc w:val="left"/>
              <w:rPr>
                <w:b/>
                <w:bCs/>
                <w:sz w:val="20"/>
                <w:lang w:val="en-US"/>
              </w:rPr>
            </w:pPr>
            <w:r w:rsidRPr="00036EE3">
              <w:rPr>
                <w:b/>
                <w:bCs/>
                <w:sz w:val="20"/>
                <w:lang w:val="en-US"/>
              </w:rPr>
              <w:t>V</w:t>
            </w:r>
          </w:p>
        </w:tc>
        <w:tc>
          <w:tcPr>
            <w:tcW w:w="8220" w:type="dxa"/>
          </w:tcPr>
          <w:p w:rsidR="002579D9" w:rsidRPr="00036EE3" w:rsidRDefault="002579D9" w:rsidP="006909C1">
            <w:pPr>
              <w:spacing w:before="30" w:after="180"/>
              <w:jc w:val="left"/>
              <w:rPr>
                <w:sz w:val="20"/>
                <w:lang w:val="en-US"/>
              </w:rPr>
            </w:pPr>
            <w:r w:rsidRPr="00036EE3">
              <w:rPr>
                <w:sz w:val="20"/>
                <w:lang w:val="en-US"/>
              </w:rPr>
              <w:t>Vocabulary and related subjects</w:t>
            </w:r>
          </w:p>
        </w:tc>
      </w:tr>
    </w:tbl>
    <w:p w:rsidR="002579D9" w:rsidRPr="00036EE3" w:rsidRDefault="002579D9" w:rsidP="002579D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579D9" w:rsidTr="006909C1">
        <w:tc>
          <w:tcPr>
            <w:tcW w:w="720" w:type="dxa"/>
          </w:tcPr>
          <w:p w:rsidR="002579D9" w:rsidRDefault="002579D9" w:rsidP="006909C1">
            <w:pPr>
              <w:jc w:val="center"/>
              <w:rPr>
                <w:sz w:val="22"/>
                <w:lang w:val="en-US"/>
              </w:rPr>
            </w:pPr>
          </w:p>
        </w:tc>
      </w:tr>
    </w:tbl>
    <w:p w:rsidR="002579D9" w:rsidRPr="00036EE3" w:rsidRDefault="002579D9" w:rsidP="002579D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579D9" w:rsidRPr="00DB691F" w:rsidTr="006909C1">
        <w:tc>
          <w:tcPr>
            <w:tcW w:w="9360" w:type="dxa"/>
          </w:tcPr>
          <w:p w:rsidR="002579D9" w:rsidRPr="002F5199" w:rsidRDefault="002579D9" w:rsidP="006909C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579D9" w:rsidRDefault="002579D9" w:rsidP="002579D9">
      <w:pPr>
        <w:spacing w:before="0"/>
        <w:jc w:val="center"/>
        <w:rPr>
          <w:sz w:val="22"/>
          <w:lang w:val="en-US"/>
        </w:rPr>
      </w:pPr>
    </w:p>
    <w:p w:rsidR="002579D9" w:rsidRDefault="002579D9" w:rsidP="002579D9">
      <w:pPr>
        <w:spacing w:before="0"/>
        <w:jc w:val="center"/>
        <w:rPr>
          <w:sz w:val="22"/>
          <w:lang w:val="en-US"/>
        </w:rPr>
      </w:pPr>
    </w:p>
    <w:p w:rsidR="002579D9" w:rsidRPr="002F5199" w:rsidRDefault="002579D9" w:rsidP="002579D9">
      <w:pPr>
        <w:spacing w:before="0"/>
        <w:jc w:val="right"/>
        <w:rPr>
          <w:i/>
          <w:iCs/>
          <w:sz w:val="20"/>
          <w:lang w:val="en-US"/>
        </w:rPr>
      </w:pPr>
      <w:r w:rsidRPr="002F5199">
        <w:rPr>
          <w:i/>
          <w:iCs/>
          <w:sz w:val="20"/>
          <w:lang w:val="en-US"/>
        </w:rPr>
        <w:t>Electronic Publication</w:t>
      </w:r>
    </w:p>
    <w:p w:rsidR="002579D9" w:rsidRPr="002F5199" w:rsidRDefault="002579D9" w:rsidP="002579D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80908">
        <w:rPr>
          <w:sz w:val="20"/>
          <w:lang w:val="en-US"/>
        </w:rPr>
        <w:t>16</w:t>
      </w:r>
    </w:p>
    <w:p w:rsidR="002579D9" w:rsidRDefault="002579D9" w:rsidP="002579D9">
      <w:pPr>
        <w:jc w:val="center"/>
        <w:rPr>
          <w:sz w:val="22"/>
          <w:lang w:val="en-US"/>
        </w:rPr>
      </w:pPr>
    </w:p>
    <w:p w:rsidR="002579D9" w:rsidRPr="00470E28" w:rsidRDefault="002579D9" w:rsidP="0088090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880908">
        <w:rPr>
          <w:sz w:val="20"/>
          <w:lang w:val="en-US"/>
        </w:rPr>
        <w:t>6</w:t>
      </w:r>
    </w:p>
    <w:p w:rsidR="002579D9" w:rsidRPr="00470E28" w:rsidRDefault="002579D9" w:rsidP="002579D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579D9" w:rsidRDefault="002579D9" w:rsidP="002579D9">
      <w:pPr>
        <w:spacing w:before="160"/>
        <w:rPr>
          <w:i/>
          <w:sz w:val="20"/>
          <w:lang w:val="en-US"/>
        </w:rPr>
        <w:sectPr w:rsidR="002579D9"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2579D9" w:rsidRPr="00BF487A" w:rsidRDefault="002579D9" w:rsidP="0088090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7028BB">
        <w:rPr>
          <w:rStyle w:val="href"/>
          <w:lang w:val="en-US"/>
        </w:rPr>
        <w:t>531-1</w:t>
      </w:r>
      <w:r w:rsidR="00880908">
        <w:rPr>
          <w:rStyle w:val="href"/>
          <w:lang w:val="en-US"/>
        </w:rPr>
        <w:t>3</w:t>
      </w:r>
    </w:p>
    <w:p w:rsidR="007028BB" w:rsidRDefault="007028BB" w:rsidP="007028BB">
      <w:pPr>
        <w:pStyle w:val="Rectitle"/>
        <w:rPr>
          <w:lang w:val="en-US"/>
        </w:rPr>
      </w:pPr>
      <w:bookmarkStart w:id="3" w:name="Pre_title"/>
      <w:r>
        <w:rPr>
          <w:caps/>
          <w:lang w:val="en-US"/>
        </w:rPr>
        <w:t>I</w:t>
      </w:r>
      <w:r>
        <w:rPr>
          <w:lang w:val="en-US"/>
        </w:rPr>
        <w:t>onospheric propagation data and prediction methods required</w:t>
      </w:r>
      <w:r>
        <w:rPr>
          <w:lang w:val="en-US"/>
        </w:rPr>
        <w:br/>
        <w:t>for the design of satellite services and systems</w:t>
      </w:r>
      <w:bookmarkEnd w:id="3"/>
    </w:p>
    <w:p w:rsidR="007028BB" w:rsidRDefault="007028BB" w:rsidP="007028BB">
      <w:pPr>
        <w:pStyle w:val="Recref"/>
        <w:rPr>
          <w:lang w:val="en-US"/>
        </w:rPr>
      </w:pPr>
      <w:bookmarkStart w:id="4" w:name="Related_Questions"/>
      <w:r w:rsidRPr="00F915F4">
        <w:rPr>
          <w:lang w:val="en-US"/>
        </w:rPr>
        <w:t>(Question ITU-R 218/3)</w:t>
      </w:r>
      <w:bookmarkEnd w:id="4"/>
    </w:p>
    <w:p w:rsidR="007028BB" w:rsidRPr="0096738A" w:rsidRDefault="007028BB" w:rsidP="007028BB">
      <w:pPr>
        <w:pStyle w:val="Recdate"/>
        <w:rPr>
          <w:lang w:val="en-US"/>
        </w:rPr>
      </w:pPr>
    </w:p>
    <w:p w:rsidR="007028BB" w:rsidRDefault="007028BB" w:rsidP="007028BB">
      <w:pPr>
        <w:pStyle w:val="Recdate"/>
        <w:rPr>
          <w:lang w:val="en-US"/>
        </w:rPr>
      </w:pPr>
      <w:bookmarkStart w:id="5" w:name="Revision_history"/>
      <w:r>
        <w:rPr>
          <w:lang w:val="en-US"/>
        </w:rPr>
        <w:t>(1978-1990-1992-1994-1997-1999-2001-2003-2005-2007-2009-2012</w:t>
      </w:r>
      <w:r w:rsidR="003F2C1D">
        <w:rPr>
          <w:lang w:val="en-US"/>
        </w:rPr>
        <w:t>-2013</w:t>
      </w:r>
      <w:r w:rsidR="00880908">
        <w:rPr>
          <w:lang w:val="en-US"/>
        </w:rPr>
        <w:t>-2016</w:t>
      </w:r>
      <w:r>
        <w:rPr>
          <w:lang w:val="en-US"/>
        </w:rPr>
        <w:t>)</w:t>
      </w:r>
      <w:bookmarkEnd w:id="5"/>
    </w:p>
    <w:p w:rsidR="007028BB" w:rsidRDefault="007028BB" w:rsidP="007028BB">
      <w:pPr>
        <w:rPr>
          <w:lang w:val="en-US"/>
        </w:rPr>
      </w:pPr>
    </w:p>
    <w:p w:rsidR="007028BB" w:rsidRPr="001262EB" w:rsidRDefault="007028BB" w:rsidP="007028BB">
      <w:pPr>
        <w:pStyle w:val="HeadingSum"/>
        <w:rPr>
          <w:lang w:val="en-US"/>
        </w:rPr>
      </w:pPr>
      <w:r w:rsidRPr="001262EB">
        <w:rPr>
          <w:lang w:val="en-US"/>
        </w:rPr>
        <w:t>Scope</w:t>
      </w:r>
    </w:p>
    <w:p w:rsidR="007028BB" w:rsidRPr="006867A8" w:rsidRDefault="007028BB" w:rsidP="007028BB">
      <w:pPr>
        <w:pStyle w:val="Summary"/>
        <w:spacing w:after="0"/>
        <w:rPr>
          <w:lang w:val="en-US"/>
        </w:rPr>
      </w:pPr>
      <w:r w:rsidRPr="001262EB">
        <w:rPr>
          <w:lang w:val="en-US"/>
        </w:rPr>
        <w:t xml:space="preserve">Recommendation ITU-R P.531 describes a method for evaluating of the ionospheric propagation effects on Earth-space paths at frequencies from 0.1 to 12 GHz. </w:t>
      </w:r>
      <w:r w:rsidRPr="006867A8">
        <w:rPr>
          <w:rFonts w:eastAsia="MS Mincho"/>
          <w:lang w:val="en-GB" w:eastAsia="ja-JP"/>
        </w:rPr>
        <w:t>The following effects may take place on an Earth</w:t>
      </w:r>
      <w:r>
        <w:rPr>
          <w:rFonts w:eastAsia="MS Mincho"/>
          <w:lang w:val="en-GB" w:eastAsia="ja-JP"/>
        </w:rPr>
        <w:t>-</w:t>
      </w:r>
      <w:r w:rsidRPr="006867A8">
        <w:rPr>
          <w:rFonts w:eastAsia="MS Mincho"/>
          <w:lang w:val="en-GB" w:eastAsia="ja-JP"/>
        </w:rPr>
        <w:t>space path when the signal is passing through the ionosphere</w:t>
      </w:r>
      <w:r w:rsidRPr="006867A8">
        <w:rPr>
          <w:lang w:val="en-US"/>
        </w:rPr>
        <w:t>:</w:t>
      </w:r>
    </w:p>
    <w:p w:rsidR="007028BB" w:rsidRPr="000D176F" w:rsidRDefault="007028BB" w:rsidP="007028BB">
      <w:pPr>
        <w:pStyle w:val="Summary"/>
        <w:spacing w:after="0"/>
        <w:ind w:left="794" w:hanging="794"/>
        <w:rPr>
          <w:lang w:val="en-US"/>
        </w:rPr>
      </w:pPr>
      <w:r w:rsidRPr="000D176F">
        <w:rPr>
          <w:lang w:val="en-US"/>
        </w:rPr>
        <w:t>–</w:t>
      </w:r>
      <w:r w:rsidRPr="000D176F">
        <w:rPr>
          <w:lang w:val="en-US"/>
        </w:rPr>
        <w:tab/>
        <w:t xml:space="preserve">rotation of the polarization (Faraday rotation) due to the interaction of the electromagnetic wave with </w:t>
      </w:r>
      <w:r w:rsidR="00592949">
        <w:rPr>
          <w:lang w:val="en-US"/>
        </w:rPr>
        <w:t>the ionized medium in the Earth’</w:t>
      </w:r>
      <w:r w:rsidRPr="000D176F">
        <w:rPr>
          <w:lang w:val="en-US"/>
        </w:rPr>
        <w:t>s magnetic field along the path;</w:t>
      </w:r>
    </w:p>
    <w:p w:rsidR="007028BB" w:rsidRPr="000D176F" w:rsidRDefault="007028BB" w:rsidP="007028BB">
      <w:pPr>
        <w:pStyle w:val="Summary"/>
        <w:spacing w:after="0"/>
        <w:ind w:left="794" w:hanging="794"/>
        <w:rPr>
          <w:lang w:val="en-US"/>
        </w:rPr>
      </w:pPr>
      <w:r w:rsidRPr="000D176F">
        <w:rPr>
          <w:lang w:val="en-US"/>
        </w:rPr>
        <w:t>–</w:t>
      </w:r>
      <w:r w:rsidRPr="000D176F">
        <w:rPr>
          <w:lang w:val="en-US"/>
        </w:rPr>
        <w:tab/>
        <w:t>group delay and phase advance of the signal due to the total electron content (TEC) accumulated along the path;</w:t>
      </w:r>
    </w:p>
    <w:p w:rsidR="007028BB" w:rsidRPr="000D176F" w:rsidRDefault="007028BB" w:rsidP="007028BB">
      <w:pPr>
        <w:pStyle w:val="Summary"/>
        <w:spacing w:after="0"/>
        <w:ind w:left="794" w:hanging="794"/>
        <w:rPr>
          <w:lang w:val="en-US"/>
        </w:rPr>
      </w:pPr>
      <w:r w:rsidRPr="000D176F">
        <w:rPr>
          <w:lang w:val="en-US"/>
        </w:rPr>
        <w:t>–</w:t>
      </w:r>
      <w:r w:rsidRPr="000D176F">
        <w:rPr>
          <w:lang w:val="en-US"/>
        </w:rPr>
        <w:tab/>
        <w:t>rapid variation of amplitude and phase (scintillations) of the signal due to small-scale irregular structures in the ionosphere;</w:t>
      </w:r>
    </w:p>
    <w:p w:rsidR="007028BB" w:rsidRPr="000D176F" w:rsidRDefault="007028BB" w:rsidP="007028BB">
      <w:pPr>
        <w:pStyle w:val="Summary"/>
        <w:spacing w:after="0"/>
        <w:ind w:left="794" w:hanging="794"/>
        <w:rPr>
          <w:lang w:val="en-US"/>
        </w:rPr>
      </w:pPr>
      <w:r w:rsidRPr="000D176F">
        <w:rPr>
          <w:lang w:val="en-US"/>
        </w:rPr>
        <w:t>–</w:t>
      </w:r>
      <w:r w:rsidRPr="000D176F">
        <w:rPr>
          <w:lang w:val="en-US"/>
        </w:rPr>
        <w:tab/>
        <w:t>a change in the apparent direction of arrival due to refraction;</w:t>
      </w:r>
    </w:p>
    <w:p w:rsidR="007028BB" w:rsidRPr="000D176F" w:rsidRDefault="007028BB" w:rsidP="007028BB">
      <w:pPr>
        <w:pStyle w:val="Summary"/>
        <w:spacing w:after="0"/>
        <w:ind w:left="794" w:hanging="794"/>
        <w:rPr>
          <w:lang w:val="en-US"/>
        </w:rPr>
      </w:pPr>
      <w:r w:rsidRPr="000D176F">
        <w:rPr>
          <w:lang w:val="en-US"/>
        </w:rPr>
        <w:t>–</w:t>
      </w:r>
      <w:r w:rsidRPr="000D176F">
        <w:rPr>
          <w:lang w:val="en-US"/>
        </w:rPr>
        <w:tab/>
        <w:t>Doppler effects due to non-linear polarization rotations and time delays.</w:t>
      </w:r>
    </w:p>
    <w:p w:rsidR="007028BB" w:rsidRDefault="007028BB" w:rsidP="007028BB">
      <w:pPr>
        <w:pStyle w:val="Summary"/>
        <w:rPr>
          <w:lang w:val="en-US"/>
        </w:rPr>
      </w:pPr>
      <w:r w:rsidRPr="000D176F">
        <w:rPr>
          <w:lang w:val="en-US"/>
        </w:rPr>
        <w:t>The data and methods described in this Recommendation are applicable for planning satellite systems, in respective ranges of validity indicated in Annex 1.</w:t>
      </w:r>
    </w:p>
    <w:p w:rsidR="00880908" w:rsidRPr="00880908" w:rsidRDefault="00880908" w:rsidP="00880908">
      <w:pPr>
        <w:pStyle w:val="Normalaftertitle"/>
        <w:rPr>
          <w:lang w:val="en-US"/>
        </w:rPr>
      </w:pPr>
      <w:r w:rsidRPr="00880908">
        <w:rPr>
          <w:b/>
          <w:bCs/>
          <w:lang w:val="en-US"/>
        </w:rPr>
        <w:t>Keywords</w:t>
      </w:r>
      <w:r w:rsidRPr="00880908">
        <w:rPr>
          <w:lang w:val="en-US"/>
        </w:rPr>
        <w:t>: Trans-ionospheric propagation, scintillation, group delay</w:t>
      </w:r>
    </w:p>
    <w:p w:rsidR="007028BB" w:rsidRDefault="007028BB" w:rsidP="007028BB">
      <w:pPr>
        <w:pStyle w:val="Normalaftertitle"/>
        <w:rPr>
          <w:lang w:val="en-US"/>
        </w:rPr>
      </w:pPr>
      <w:r>
        <w:rPr>
          <w:lang w:val="en-US"/>
        </w:rPr>
        <w:t>The ITU Radiocommunication Assembly,</w:t>
      </w:r>
    </w:p>
    <w:p w:rsidR="007028BB" w:rsidRDefault="007028BB" w:rsidP="007028BB">
      <w:pPr>
        <w:pStyle w:val="Call"/>
        <w:rPr>
          <w:lang w:val="en-US"/>
        </w:rPr>
      </w:pPr>
      <w:r>
        <w:rPr>
          <w:lang w:val="en-US"/>
        </w:rPr>
        <w:t>considering</w:t>
      </w:r>
    </w:p>
    <w:p w:rsidR="007028BB" w:rsidRDefault="007028BB" w:rsidP="007028BB">
      <w:pPr>
        <w:rPr>
          <w:lang w:val="en-US"/>
        </w:rPr>
      </w:pPr>
      <w:r>
        <w:rPr>
          <w:lang w:val="en-US"/>
        </w:rPr>
        <w:t>a)</w:t>
      </w:r>
      <w:r>
        <w:rPr>
          <w:lang w:val="en-US"/>
        </w:rPr>
        <w:tab/>
        <w:t>that the ionosphere causes significant propagation effects at frequencies up to at least 12 GHz;</w:t>
      </w:r>
    </w:p>
    <w:p w:rsidR="007028BB" w:rsidRDefault="007028BB" w:rsidP="007028BB">
      <w:pPr>
        <w:rPr>
          <w:lang w:val="en-US"/>
        </w:rPr>
      </w:pPr>
      <w:r>
        <w:rPr>
          <w:lang w:val="en-US"/>
        </w:rPr>
        <w:t>b)</w:t>
      </w:r>
      <w:r>
        <w:rPr>
          <w:lang w:val="en-US"/>
        </w:rPr>
        <w:tab/>
        <w:t>that effects may be particularly significant for non-geostationary-satellite orbit services below 3 GHz;</w:t>
      </w:r>
    </w:p>
    <w:p w:rsidR="007028BB" w:rsidRDefault="007028BB" w:rsidP="007028BB">
      <w:pPr>
        <w:rPr>
          <w:lang w:val="en-US"/>
        </w:rPr>
      </w:pPr>
      <w:r>
        <w:rPr>
          <w:lang w:val="en-US"/>
        </w:rPr>
        <w:t>c)</w:t>
      </w:r>
      <w:r>
        <w:rPr>
          <w:lang w:val="en-US"/>
        </w:rPr>
        <w:tab/>
        <w:t>that experimental data have been presented and/or modelling methods have been developed that allow the prediction of the ionospheric propagation parameters needed in planning satellite systems;</w:t>
      </w:r>
    </w:p>
    <w:p w:rsidR="007028BB" w:rsidRDefault="007028BB" w:rsidP="007028BB">
      <w:pPr>
        <w:rPr>
          <w:lang w:val="en-US"/>
        </w:rPr>
      </w:pPr>
      <w:r>
        <w:rPr>
          <w:lang w:val="en-US"/>
        </w:rPr>
        <w:t>d)</w:t>
      </w:r>
      <w:r>
        <w:rPr>
          <w:lang w:val="en-US"/>
        </w:rPr>
        <w:tab/>
        <w:t>that ionospheric effects may influence the design and performance of radio systems involving spacecraft;</w:t>
      </w:r>
    </w:p>
    <w:p w:rsidR="007028BB" w:rsidRDefault="007028BB" w:rsidP="007028BB">
      <w:pPr>
        <w:rPr>
          <w:lang w:val="en-US"/>
        </w:rPr>
      </w:pPr>
      <w:r>
        <w:rPr>
          <w:lang w:val="en-US"/>
        </w:rPr>
        <w:t>e)</w:t>
      </w:r>
      <w:r>
        <w:rPr>
          <w:lang w:val="en-US"/>
        </w:rPr>
        <w:tab/>
        <w:t>that these data and methods have been found to be applicable, within the natural variability of propagation phenomena, for applications in satellite system planning,</w:t>
      </w:r>
    </w:p>
    <w:p w:rsidR="007028BB" w:rsidRDefault="007028BB" w:rsidP="007028BB">
      <w:pPr>
        <w:pStyle w:val="Call"/>
        <w:rPr>
          <w:lang w:val="en-US"/>
        </w:rPr>
      </w:pPr>
      <w:r>
        <w:rPr>
          <w:lang w:val="en-US"/>
        </w:rPr>
        <w:t>recommends</w:t>
      </w:r>
    </w:p>
    <w:p w:rsidR="007028BB" w:rsidRDefault="007028BB" w:rsidP="007028BB">
      <w:pPr>
        <w:rPr>
          <w:lang w:val="en-US"/>
        </w:rPr>
      </w:pPr>
      <w:r>
        <w:rPr>
          <w:b/>
          <w:lang w:val="en-US"/>
        </w:rPr>
        <w:t>1</w:t>
      </w:r>
      <w:r>
        <w:rPr>
          <w:lang w:val="en-US"/>
        </w:rPr>
        <w:tab/>
        <w:t>that the data prepared and methods developed as set out in Annex 1 should be adopted for planning satellite systems, in the respective ranges of validity indicated in Annex 1.</w:t>
      </w:r>
    </w:p>
    <w:p w:rsidR="007028BB" w:rsidRDefault="007028BB" w:rsidP="007028BB">
      <w:pPr>
        <w:pStyle w:val="AnnexNoTitle"/>
        <w:rPr>
          <w:lang w:val="en-US"/>
        </w:rPr>
      </w:pPr>
      <w:bookmarkStart w:id="6" w:name="_Toc101234722"/>
      <w:bookmarkStart w:id="7" w:name="_Toc101235038"/>
      <w:bookmarkStart w:id="8" w:name="_Toc101261542"/>
      <w:bookmarkStart w:id="9" w:name="_Toc115521878"/>
      <w:r>
        <w:rPr>
          <w:lang w:val="en-US"/>
        </w:rPr>
        <w:lastRenderedPageBreak/>
        <w:t>Annex 1</w:t>
      </w:r>
      <w:bookmarkEnd w:id="6"/>
      <w:bookmarkEnd w:id="7"/>
      <w:bookmarkEnd w:id="8"/>
      <w:bookmarkEnd w:id="9"/>
    </w:p>
    <w:p w:rsidR="007028BB" w:rsidRDefault="007028BB" w:rsidP="007028BB">
      <w:pPr>
        <w:pStyle w:val="Heading1"/>
        <w:rPr>
          <w:lang w:val="en-US"/>
        </w:rPr>
      </w:pPr>
      <w:bookmarkStart w:id="10" w:name="_Toc392319718"/>
      <w:bookmarkStart w:id="11" w:name="_Toc101234723"/>
      <w:bookmarkStart w:id="12" w:name="_Toc101235039"/>
      <w:bookmarkStart w:id="13" w:name="_Toc101261543"/>
      <w:bookmarkStart w:id="14" w:name="_Toc115521879"/>
      <w:r>
        <w:rPr>
          <w:lang w:val="en-US"/>
        </w:rPr>
        <w:t>1</w:t>
      </w:r>
      <w:r>
        <w:rPr>
          <w:lang w:val="en-US"/>
        </w:rPr>
        <w:tab/>
        <w:t>Introduction</w:t>
      </w:r>
      <w:bookmarkEnd w:id="10"/>
      <w:bookmarkEnd w:id="11"/>
      <w:bookmarkEnd w:id="12"/>
      <w:bookmarkEnd w:id="13"/>
      <w:bookmarkEnd w:id="14"/>
    </w:p>
    <w:p w:rsidR="007028BB" w:rsidRDefault="007028BB" w:rsidP="007028BB">
      <w:pPr>
        <w:rPr>
          <w:lang w:val="en-US"/>
        </w:rPr>
      </w:pPr>
      <w:r>
        <w:rPr>
          <w:lang w:val="en-US"/>
        </w:rPr>
        <w:t>This annex deals with the ionospheric propagation effects on Earth-space paths. From a system design viewpoint, the impact of ionospheric effects can be summarized as follows:</w:t>
      </w:r>
    </w:p>
    <w:p w:rsidR="007028BB" w:rsidRDefault="007028BB" w:rsidP="007028BB">
      <w:pPr>
        <w:pStyle w:val="enumlev1"/>
        <w:rPr>
          <w:lang w:val="en-US"/>
        </w:rPr>
      </w:pPr>
      <w:r>
        <w:rPr>
          <w:lang w:val="en-US"/>
        </w:rPr>
        <w:t>a)</w:t>
      </w:r>
      <w:r>
        <w:rPr>
          <w:lang w:val="en-US"/>
        </w:rPr>
        <w:tab/>
        <w:t>the total electron content (TEC) accumulated along a mobile</w:t>
      </w:r>
      <w:r>
        <w:rPr>
          <w:lang w:val="en-US"/>
        </w:rPr>
        <w:noBreakHyphen/>
        <w:t>satellite service (MSS) transmission path penetrating the ionosphere causes rotation of the polarization (Faraday rotation) of the MSS carrier, time delay of the signal, and a change in the apparent direction of arrival due to refraction;</w:t>
      </w:r>
    </w:p>
    <w:p w:rsidR="007028BB" w:rsidRDefault="007028BB" w:rsidP="007028BB">
      <w:pPr>
        <w:pStyle w:val="enumlev1"/>
        <w:rPr>
          <w:lang w:val="en-US"/>
        </w:rPr>
      </w:pPr>
      <w:r>
        <w:rPr>
          <w:lang w:val="en-US"/>
        </w:rPr>
        <w:t>b)</w:t>
      </w:r>
      <w:r>
        <w:rPr>
          <w:lang w:val="en-US"/>
        </w:rPr>
        <w:tab/>
        <w:t>localized random ionospheric patches, commonly referred to as ionospheric irregularities, further cause excess and random rotations and time delays, which can only be described in stochastic terms;</w:t>
      </w:r>
    </w:p>
    <w:p w:rsidR="007028BB" w:rsidRDefault="007028BB" w:rsidP="007028BB">
      <w:pPr>
        <w:pStyle w:val="enumlev1"/>
        <w:rPr>
          <w:lang w:val="en-US"/>
        </w:rPr>
      </w:pPr>
      <w:r>
        <w:rPr>
          <w:lang w:val="en-US"/>
        </w:rPr>
        <w:t>c)</w:t>
      </w:r>
      <w:r>
        <w:rPr>
          <w:lang w:val="en-US"/>
        </w:rPr>
        <w:tab/>
        <w:t>because the rotations and time delays relating to electron density are non</w:t>
      </w:r>
      <w:r>
        <w:rPr>
          <w:lang w:val="en-US"/>
        </w:rPr>
        <w:noBreakHyphen/>
        <w:t>linearly frequency dependent, both a) and b) further result in dispersion or group velocity distortion of the MSS carriers;</w:t>
      </w:r>
    </w:p>
    <w:p w:rsidR="007028BB" w:rsidRDefault="007028BB" w:rsidP="007028BB">
      <w:pPr>
        <w:pStyle w:val="enumlev1"/>
        <w:rPr>
          <w:lang w:val="en-US"/>
        </w:rPr>
      </w:pPr>
      <w:r>
        <w:rPr>
          <w:lang w:val="en-US"/>
        </w:rPr>
        <w:t>d)</w:t>
      </w:r>
      <w:r>
        <w:rPr>
          <w:lang w:val="en-US"/>
        </w:rPr>
        <w:tab/>
        <w:t>furthermore, localized ionospheric irregularities also act like convergent and divergent lens which focus and defocus the radio waves. Such effects are commonly referred to as the scintillations which affect amplitude, phase and angle-of-arrival of the MSS signal.</w:t>
      </w:r>
    </w:p>
    <w:p w:rsidR="007028BB" w:rsidRDefault="007028BB" w:rsidP="007028BB">
      <w:pPr>
        <w:rPr>
          <w:lang w:val="en-US"/>
        </w:rPr>
      </w:pPr>
      <w:r>
        <w:rPr>
          <w:lang w:val="en-US"/>
        </w:rPr>
        <w:t>Due to the complex nature of ionospheric physics, system parameters affected by ionospheric effects as noted above cannot always be succinctly summarized in simple analytic formulae. Relevant data edited in terms of tables and/or graphs, supplemented with further descriptive or qualifying statements, are for all practical purposes the best way to present the effects.</w:t>
      </w:r>
    </w:p>
    <w:p w:rsidR="007028BB" w:rsidRDefault="007028BB" w:rsidP="007028BB">
      <w:pPr>
        <w:rPr>
          <w:lang w:val="en-US"/>
        </w:rPr>
      </w:pPr>
      <w:r>
        <w:rPr>
          <w:lang w:val="en-US"/>
        </w:rPr>
        <w:t>In considering propagation effects in the design of MSS at frequencies below 3 GHz, one has to recognize that:</w:t>
      </w:r>
    </w:p>
    <w:p w:rsidR="007028BB" w:rsidRDefault="007028BB" w:rsidP="007028BB">
      <w:pPr>
        <w:pStyle w:val="enumlev1"/>
        <w:rPr>
          <w:lang w:val="en-US"/>
        </w:rPr>
      </w:pPr>
      <w:r>
        <w:rPr>
          <w:lang w:val="en-US"/>
        </w:rPr>
        <w:t>e)</w:t>
      </w:r>
      <w:r>
        <w:rPr>
          <w:lang w:val="en-US"/>
        </w:rPr>
        <w:tab/>
        <w:t>the normally known space</w:t>
      </w:r>
      <w:r>
        <w:rPr>
          <w:lang w:val="en-US"/>
        </w:rPr>
        <w:noBreakHyphen/>
        <w:t>Earth propagation effects caused by hydrometeors are not significant relative to effects of § f) and h);</w:t>
      </w:r>
    </w:p>
    <w:p w:rsidR="007028BB" w:rsidRDefault="007028BB" w:rsidP="007028BB">
      <w:pPr>
        <w:pStyle w:val="enumlev1"/>
        <w:rPr>
          <w:lang w:val="en-US"/>
        </w:rPr>
      </w:pPr>
      <w:r>
        <w:rPr>
          <w:lang w:val="en-US"/>
        </w:rPr>
        <w:t>f)</w:t>
      </w:r>
      <w:r>
        <w:rPr>
          <w:lang w:val="en-US"/>
        </w:rPr>
        <w:tab/>
        <w:t>the near surface multipath effects, in the presence of natural or man-made obstacles and/or at low elevation angles, are always critical;</w:t>
      </w:r>
    </w:p>
    <w:p w:rsidR="007028BB" w:rsidRDefault="007028BB" w:rsidP="007028BB">
      <w:pPr>
        <w:pStyle w:val="enumlev1"/>
        <w:rPr>
          <w:lang w:val="en-US"/>
        </w:rPr>
      </w:pPr>
      <w:r>
        <w:rPr>
          <w:lang w:val="en-US"/>
        </w:rPr>
        <w:t>g)</w:t>
      </w:r>
      <w:r>
        <w:rPr>
          <w:lang w:val="en-US"/>
        </w:rPr>
        <w:tab/>
        <w:t>the near surface multipath effects vary from locality to locality, and therefore they do not dominate the overall design of the MSS system when global scale propagation factors are to be dealt with;</w:t>
      </w:r>
    </w:p>
    <w:p w:rsidR="007028BB" w:rsidRDefault="007028BB" w:rsidP="007028BB">
      <w:pPr>
        <w:pStyle w:val="enumlev1"/>
        <w:rPr>
          <w:lang w:val="en-US"/>
        </w:rPr>
      </w:pPr>
      <w:r>
        <w:rPr>
          <w:lang w:val="en-US"/>
        </w:rPr>
        <w:t>h)</w:t>
      </w:r>
      <w:r>
        <w:rPr>
          <w:lang w:val="en-US"/>
        </w:rPr>
        <w:tab/>
        <w:t>ionospheric effects are the most significant propagation effects to be considered in the MSS system design in global scale considerations.</w:t>
      </w:r>
    </w:p>
    <w:p w:rsidR="007028BB" w:rsidRDefault="007028BB" w:rsidP="007028BB">
      <w:pPr>
        <w:pStyle w:val="Heading1"/>
        <w:rPr>
          <w:lang w:val="en-US"/>
        </w:rPr>
      </w:pPr>
      <w:bookmarkStart w:id="15" w:name="_Toc392319751"/>
      <w:bookmarkStart w:id="16" w:name="_Toc101234724"/>
      <w:bookmarkStart w:id="17" w:name="_Toc101235040"/>
      <w:bookmarkStart w:id="18" w:name="_Toc101261544"/>
      <w:bookmarkStart w:id="19" w:name="_Toc115521880"/>
      <w:r>
        <w:rPr>
          <w:lang w:val="en-US"/>
        </w:rPr>
        <w:t>2</w:t>
      </w:r>
      <w:r>
        <w:rPr>
          <w:lang w:val="en-US"/>
        </w:rPr>
        <w:tab/>
        <w:t>Background</w:t>
      </w:r>
      <w:bookmarkEnd w:id="15"/>
      <w:bookmarkEnd w:id="16"/>
      <w:bookmarkEnd w:id="17"/>
      <w:bookmarkEnd w:id="18"/>
      <w:bookmarkEnd w:id="19"/>
    </w:p>
    <w:p w:rsidR="007028BB" w:rsidRDefault="007028BB" w:rsidP="007028BB">
      <w:pPr>
        <w:rPr>
          <w:lang w:val="en-US"/>
        </w:rPr>
      </w:pPr>
      <w:r>
        <w:rPr>
          <w:lang w:val="en-US"/>
        </w:rPr>
        <w:t>Caused by solar radiation, the Earth’s ionosphere consists of several regions of ionization. For all practical communi</w:t>
      </w:r>
      <w:r>
        <w:rPr>
          <w:lang w:val="en-US"/>
        </w:rPr>
        <w:softHyphen/>
        <w:t>cations purposes, regions of the ionosphere, D, E, F and top-side ionization have been identified as contributing to the TEC between satellite and ground terminals.</w:t>
      </w:r>
    </w:p>
    <w:p w:rsidR="007028BB" w:rsidRDefault="007028BB" w:rsidP="007028BB">
      <w:pPr>
        <w:rPr>
          <w:lang w:val="en-US"/>
        </w:rPr>
      </w:pPr>
      <w:r>
        <w:rPr>
          <w:lang w:val="en-US"/>
        </w:rPr>
        <w:t>In each region, the ionized medium is neither homogeneous in space nor stationary in time. Generally speaking, the background ionization has relatively regular diurnal, seasonal and 11</w:t>
      </w:r>
      <w:r>
        <w:rPr>
          <w:lang w:val="en-US"/>
        </w:rPr>
        <w:noBreakHyphen/>
        <w:t>year solar cycle variations, and is dependent strongly on geographical locations and geomagnetic activity. In addition to the background ionization, there are always highly dynamic, small</w:t>
      </w:r>
      <w:r>
        <w:rPr>
          <w:lang w:val="en-US"/>
        </w:rPr>
        <w:noBreakHyphen/>
        <w:t>scale non</w:t>
      </w:r>
      <w:r>
        <w:rPr>
          <w:lang w:val="en-US"/>
        </w:rPr>
        <w:noBreakHyphen/>
        <w:t>stationary structures known as irregularities. Both the background ionization and irregularities degrade radiowaves. Furthermore, the refractive index is frequency dependent, i.e. the medium is dispersive.</w:t>
      </w:r>
    </w:p>
    <w:p w:rsidR="007028BB" w:rsidRDefault="007028BB" w:rsidP="007028BB">
      <w:pPr>
        <w:pStyle w:val="Heading1"/>
        <w:rPr>
          <w:lang w:val="en-US"/>
        </w:rPr>
      </w:pPr>
      <w:bookmarkStart w:id="20" w:name="_Toc101234725"/>
      <w:bookmarkStart w:id="21" w:name="_Toc101235041"/>
      <w:bookmarkStart w:id="22" w:name="_Toc101261545"/>
      <w:bookmarkStart w:id="23" w:name="_Toc115521881"/>
      <w:bookmarkStart w:id="24" w:name="_Toc392319752"/>
      <w:r>
        <w:rPr>
          <w:lang w:val="en-US"/>
        </w:rPr>
        <w:lastRenderedPageBreak/>
        <w:t>3</w:t>
      </w:r>
      <w:r>
        <w:rPr>
          <w:lang w:val="en-US"/>
        </w:rPr>
        <w:tab/>
        <w:t>Prime degradations due to background ionizations</w:t>
      </w:r>
      <w:bookmarkEnd w:id="20"/>
      <w:bookmarkEnd w:id="21"/>
      <w:bookmarkEnd w:id="22"/>
      <w:bookmarkEnd w:id="23"/>
    </w:p>
    <w:p w:rsidR="007028BB" w:rsidRDefault="007028BB" w:rsidP="007028BB">
      <w:pPr>
        <w:rPr>
          <w:lang w:val="en-US"/>
        </w:rPr>
      </w:pPr>
      <w:r>
        <w:rPr>
          <w:lang w:val="en-US"/>
        </w:rPr>
        <w:t>A number of effects, such as refraction, dispersion and group delay, are in magnitude directly proportional to the TEC; Faraday rotation is also approximately proportional to TEC, with the contributions from different parts of the ray path weighted by the longitudinal component of magnetic field. A knowledge of the TEC thus enables many important ionospheric effects to be estimated quantitatively.</w:t>
      </w:r>
    </w:p>
    <w:p w:rsidR="007028BB" w:rsidRDefault="007028BB" w:rsidP="007028BB">
      <w:pPr>
        <w:pStyle w:val="Heading2"/>
        <w:rPr>
          <w:lang w:val="en-US"/>
        </w:rPr>
      </w:pPr>
      <w:bookmarkStart w:id="25" w:name="_Toc101234726"/>
      <w:bookmarkStart w:id="26" w:name="_Toc101235042"/>
      <w:bookmarkStart w:id="27" w:name="_Toc101261546"/>
      <w:bookmarkStart w:id="28" w:name="_Toc115521882"/>
      <w:r>
        <w:rPr>
          <w:lang w:val="en-US"/>
        </w:rPr>
        <w:t>3.1</w:t>
      </w:r>
      <w:r>
        <w:rPr>
          <w:lang w:val="en-US"/>
        </w:rPr>
        <w:tab/>
        <w:t>TEC</w:t>
      </w:r>
      <w:bookmarkEnd w:id="25"/>
      <w:bookmarkEnd w:id="26"/>
      <w:bookmarkEnd w:id="27"/>
      <w:bookmarkEnd w:id="28"/>
    </w:p>
    <w:p w:rsidR="007028BB" w:rsidRDefault="007028BB" w:rsidP="007028BB">
      <w:pPr>
        <w:rPr>
          <w:lang w:val="en-US"/>
        </w:rPr>
      </w:pPr>
      <w:r>
        <w:rPr>
          <w:lang w:val="en-US"/>
        </w:rPr>
        <w:t xml:space="preserve">Denoted as </w:t>
      </w:r>
      <w:r>
        <w:rPr>
          <w:i/>
          <w:lang w:val="en-US"/>
        </w:rPr>
        <w:t>N</w:t>
      </w:r>
      <w:r>
        <w:rPr>
          <w:i/>
          <w:iCs/>
          <w:vertAlign w:val="subscript"/>
          <w:lang w:val="en-US"/>
        </w:rPr>
        <w:t>T</w:t>
      </w:r>
      <w:r>
        <w:rPr>
          <w:lang w:val="en-US"/>
        </w:rPr>
        <w:t>, the TEC can be evaluated by:</w:t>
      </w:r>
    </w:p>
    <w:p w:rsidR="007028BB" w:rsidRDefault="007028BB" w:rsidP="007028BB">
      <w:pPr>
        <w:pStyle w:val="Blanc"/>
      </w:pPr>
    </w:p>
    <w:p w:rsidR="007028BB" w:rsidRDefault="007028BB" w:rsidP="007028BB">
      <w:pPr>
        <w:pStyle w:val="Equation"/>
        <w:rPr>
          <w:lang w:val="en-US"/>
        </w:rPr>
      </w:pPr>
      <w:r>
        <w:rPr>
          <w:lang w:val="en-US"/>
        </w:rPr>
        <w:tab/>
      </w:r>
      <w:r>
        <w:rPr>
          <w:lang w:val="en-US"/>
        </w:rPr>
        <w:tab/>
      </w:r>
      <w:r>
        <w:rPr>
          <w:position w:val="-3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32.8pt" o:ole="">
            <v:imagedata r:id="rId12" o:title=""/>
          </v:shape>
          <o:OLEObject Type="Embed" ProgID="Equation.3" ShapeID="_x0000_i1025" DrawAspect="Content" ObjectID="_1545741294" r:id="rId13"/>
        </w:object>
      </w:r>
      <w:r>
        <w:rPr>
          <w:lang w:val="en-US"/>
        </w:rPr>
        <w:tab/>
        <w:t>(1)</w:t>
      </w:r>
    </w:p>
    <w:p w:rsidR="007028BB" w:rsidRDefault="007028BB" w:rsidP="007028BB">
      <w:pPr>
        <w:pStyle w:val="Blanc"/>
      </w:pPr>
    </w:p>
    <w:p w:rsidR="007028BB" w:rsidRDefault="007028BB" w:rsidP="007028BB">
      <w:pPr>
        <w:rPr>
          <w:lang w:val="en-US"/>
        </w:rPr>
      </w:pPr>
      <w:r>
        <w:rPr>
          <w:lang w:val="en-US"/>
        </w:rPr>
        <w:t>where:</w:t>
      </w:r>
    </w:p>
    <w:p w:rsidR="007028BB" w:rsidRDefault="007028BB" w:rsidP="007028BB">
      <w:pPr>
        <w:pStyle w:val="Equationlegend"/>
      </w:pPr>
      <w:r>
        <w:tab/>
      </w:r>
      <w:r>
        <w:rPr>
          <w:i/>
        </w:rPr>
        <w:t>s</w:t>
      </w:r>
      <w:r>
        <w:rPr>
          <w:rFonts w:ascii="Tms Rmn" w:hAnsi="Tms Rmn"/>
          <w:sz w:val="12"/>
        </w:rPr>
        <w:t> </w:t>
      </w:r>
      <w:r>
        <w:t>:</w:t>
      </w:r>
      <w:r>
        <w:tab/>
        <w:t>propagation path (m)</w:t>
      </w:r>
    </w:p>
    <w:p w:rsidR="007028BB" w:rsidRDefault="007028BB" w:rsidP="007028BB">
      <w:pPr>
        <w:pStyle w:val="Equationlegend"/>
      </w:pPr>
      <w:r>
        <w:rPr>
          <w:i/>
        </w:rPr>
        <w:tab/>
        <w:t>n</w:t>
      </w:r>
      <w:r>
        <w:rPr>
          <w:i/>
          <w:vertAlign w:val="subscript"/>
        </w:rPr>
        <w:t>e</w:t>
      </w:r>
      <w:r>
        <w:rPr>
          <w:rFonts w:ascii="Tms Rmn" w:hAnsi="Tms Rmn"/>
          <w:sz w:val="12"/>
        </w:rPr>
        <w:t> </w:t>
      </w:r>
      <w:r>
        <w:t>:</w:t>
      </w:r>
      <w:r>
        <w:tab/>
        <w:t>electron concentration (el/m</w:t>
      </w:r>
      <w:r>
        <w:rPr>
          <w:vertAlign w:val="superscript"/>
        </w:rPr>
        <w:t>3</w:t>
      </w:r>
      <w:r>
        <w:t>).</w:t>
      </w:r>
    </w:p>
    <w:p w:rsidR="007028BB" w:rsidRDefault="007028BB" w:rsidP="007028BB">
      <w:pPr>
        <w:rPr>
          <w:lang w:val="en-US"/>
        </w:rPr>
      </w:pPr>
      <w:r>
        <w:rPr>
          <w:lang w:val="en-US"/>
        </w:rPr>
        <w:t xml:space="preserve">Even when the precise propagation path is known, the evaluation of </w:t>
      </w:r>
      <w:r>
        <w:rPr>
          <w:i/>
          <w:lang w:val="en-US"/>
        </w:rPr>
        <w:t>N</w:t>
      </w:r>
      <w:r>
        <w:rPr>
          <w:i/>
          <w:vertAlign w:val="subscript"/>
          <w:lang w:val="en-US"/>
        </w:rPr>
        <w:t>T</w:t>
      </w:r>
      <w:r>
        <w:rPr>
          <w:lang w:val="en-US"/>
        </w:rPr>
        <w:t xml:space="preserve"> is difficult because </w:t>
      </w:r>
      <w:r>
        <w:rPr>
          <w:i/>
          <w:lang w:val="en-US"/>
        </w:rPr>
        <w:t>n</w:t>
      </w:r>
      <w:r>
        <w:rPr>
          <w:i/>
          <w:vertAlign w:val="subscript"/>
          <w:lang w:val="en-US"/>
        </w:rPr>
        <w:t>e</w:t>
      </w:r>
      <w:r>
        <w:rPr>
          <w:lang w:val="en-US"/>
        </w:rPr>
        <w:t xml:space="preserve"> has diurnal, seasonal and solar cycle variations.</w:t>
      </w:r>
    </w:p>
    <w:p w:rsidR="007028BB" w:rsidRDefault="007028BB" w:rsidP="007028BB">
      <w:pPr>
        <w:rPr>
          <w:lang w:val="en-US"/>
        </w:rPr>
      </w:pPr>
      <w:r>
        <w:rPr>
          <w:lang w:val="en-US"/>
        </w:rPr>
        <w:t>For modelling purposes, the TEC value is usually quoted for a zenith path having a cross-section of 1 m</w:t>
      </w:r>
      <w:r>
        <w:rPr>
          <w:vertAlign w:val="superscript"/>
          <w:lang w:val="en-US"/>
        </w:rPr>
        <w:t>2</w:t>
      </w:r>
      <w:r>
        <w:rPr>
          <w:lang w:val="en-US"/>
        </w:rPr>
        <w:t>. The TEC of this vertical column can vary between 10</w:t>
      </w:r>
      <w:r>
        <w:rPr>
          <w:vertAlign w:val="superscript"/>
          <w:lang w:val="en-US"/>
        </w:rPr>
        <w:t>16</w:t>
      </w:r>
      <w:r>
        <w:rPr>
          <w:lang w:val="en-US"/>
        </w:rPr>
        <w:t xml:space="preserve"> and 10</w:t>
      </w:r>
      <w:r>
        <w:rPr>
          <w:vertAlign w:val="superscript"/>
          <w:lang w:val="en-US"/>
        </w:rPr>
        <w:t>18</w:t>
      </w:r>
      <w:r>
        <w:rPr>
          <w:lang w:val="en-US"/>
        </w:rPr>
        <w:t xml:space="preserve"> el/m</w:t>
      </w:r>
      <w:r>
        <w:rPr>
          <w:vertAlign w:val="superscript"/>
          <w:lang w:val="en-US"/>
        </w:rPr>
        <w:t>2</w:t>
      </w:r>
      <w:r>
        <w:rPr>
          <w:lang w:val="en-US"/>
        </w:rPr>
        <w:t xml:space="preserve"> with the peak occurring during the sunlit portion of the day.</w:t>
      </w:r>
    </w:p>
    <w:p w:rsidR="007028BB" w:rsidRDefault="007028BB" w:rsidP="007028BB">
      <w:pPr>
        <w:rPr>
          <w:lang w:val="en-US"/>
        </w:rPr>
      </w:pPr>
      <w:r>
        <w:rPr>
          <w:lang w:val="en-US"/>
        </w:rPr>
        <w:t>For estimating the TEC, either a procedure based on the International Reference Ionosphere (IRI</w:t>
      </w:r>
      <w:r>
        <w:rPr>
          <w:lang w:val="en-US"/>
        </w:rPr>
        <w:noBreakHyphen/>
        <w:t>2012) or a more flexible procedure, also suitable for slant TEC evaluation and based on NeQuick2 v.P531-12, are available. Both procedures are provided below.</w:t>
      </w:r>
    </w:p>
    <w:p w:rsidR="007028BB" w:rsidRDefault="007028BB" w:rsidP="007028BB">
      <w:pPr>
        <w:pStyle w:val="Heading3"/>
        <w:rPr>
          <w:lang w:val="en-US"/>
        </w:rPr>
      </w:pPr>
      <w:r>
        <w:rPr>
          <w:lang w:val="en-US"/>
        </w:rPr>
        <w:t>3.1.1</w:t>
      </w:r>
      <w:r>
        <w:rPr>
          <w:lang w:val="en-US"/>
        </w:rPr>
        <w:tab/>
        <w:t>IRI-2012-based method</w:t>
      </w:r>
    </w:p>
    <w:p w:rsidR="007028BB" w:rsidRDefault="007028BB" w:rsidP="00AF5B05">
      <w:pPr>
        <w:rPr>
          <w:lang w:val="en-US"/>
        </w:rPr>
      </w:pPr>
      <w:r>
        <w:rPr>
          <w:lang w:val="en-US"/>
        </w:rPr>
        <w:t xml:space="preserve">The standard monthly median ionosphere is the COSPAR-URSI IRI-2012. Under conditions of low to moderate solar activity numerical techniques may be used to derive values for any location, time and chosen set of heights up to </w:t>
      </w:r>
      <w:r w:rsidRPr="00B83149">
        <w:rPr>
          <w:lang w:val="en-US"/>
        </w:rPr>
        <w:t>2</w:t>
      </w:r>
      <w:r w:rsidR="00AF5B05" w:rsidRPr="00B83149">
        <w:rPr>
          <w:lang w:val="en-US"/>
        </w:rPr>
        <w:t> </w:t>
      </w:r>
      <w:r w:rsidRPr="00B83149">
        <w:rPr>
          <w:lang w:val="en-US"/>
        </w:rPr>
        <w:t>000</w:t>
      </w:r>
      <w:r>
        <w:rPr>
          <w:lang w:val="en-US"/>
        </w:rPr>
        <w:t xml:space="preserve"> km. Under conditions of high solar activity, problems may arise with values of electron content derived from IRI</w:t>
      </w:r>
      <w:r>
        <w:rPr>
          <w:lang w:val="en-US"/>
        </w:rPr>
        <w:noBreakHyphen/>
        <w:t>2012. For many purposes it is sufficient to estimate electron content by multiplication of the peak electron density with an equivalent slab thickness value of 300 km.</w:t>
      </w:r>
    </w:p>
    <w:p w:rsidR="007028BB" w:rsidRDefault="007028BB" w:rsidP="007028BB">
      <w:pPr>
        <w:pStyle w:val="Heading3"/>
        <w:rPr>
          <w:lang w:val="en-US"/>
        </w:rPr>
      </w:pPr>
      <w:r>
        <w:rPr>
          <w:lang w:val="en-US"/>
        </w:rPr>
        <w:t>3.1.2</w:t>
      </w:r>
      <w:r>
        <w:rPr>
          <w:lang w:val="en-US"/>
        </w:rPr>
        <w:tab/>
        <w:t>NeQuick2-based method</w:t>
      </w:r>
    </w:p>
    <w:p w:rsidR="007028BB" w:rsidRDefault="007028BB" w:rsidP="007028BB">
      <w:pPr>
        <w:rPr>
          <w:lang w:val="en-US"/>
        </w:rPr>
      </w:pPr>
      <w:r>
        <w:rPr>
          <w:lang w:val="en-US"/>
        </w:rPr>
        <w:t>The electron density distribution given by the model is represented by a continuous function that is also continuous in all spatial first derivatives. It consists of two parts, the bottom-side part (below the peak of the F2-layer) and the top-side part (above the F2-layer peak). The peak height of the F2</w:t>
      </w:r>
      <w:r>
        <w:rPr>
          <w:lang w:val="en-US"/>
        </w:rPr>
        <w:noBreakHyphen/>
        <w:t>layer is calculated from M(3000)F2 and the ratio foF2/foE (see Recommendation ITU</w:t>
      </w:r>
      <w:r>
        <w:rPr>
          <w:lang w:val="en-US"/>
        </w:rPr>
        <w:noBreakHyphen/>
        <w:t>R P.1239).</w:t>
      </w:r>
    </w:p>
    <w:p w:rsidR="007028BB" w:rsidRDefault="007028BB" w:rsidP="007028BB">
      <w:pPr>
        <w:rPr>
          <w:lang w:val="en-US"/>
        </w:rPr>
      </w:pPr>
      <w:r>
        <w:rPr>
          <w:lang w:val="en-US"/>
        </w:rPr>
        <w:t>The bottom-side is described by semi-Epstein layers for representing E, F1 and F2. The top-side F layer is again a semi-Epstein layer with a height dependent thickness parameter. The NeQuick2 v.P531-12 model gives the electron density and TEC along arbitrary ground-to-satellite or satellite-to-satellite paths.</w:t>
      </w:r>
    </w:p>
    <w:p w:rsidR="007028BB" w:rsidRDefault="007028BB" w:rsidP="00DB691F">
      <w:pPr>
        <w:rPr>
          <w:lang w:val="en-US"/>
        </w:rPr>
      </w:pPr>
      <w:r>
        <w:rPr>
          <w:lang w:val="en-US"/>
        </w:rPr>
        <w:t xml:space="preserve">The computer program and associated data files are integral digital products to </w:t>
      </w:r>
      <w:r w:rsidR="007466AA" w:rsidRPr="000D176F">
        <w:rPr>
          <w:lang w:val="en-US"/>
        </w:rPr>
        <w:t>this Recommendation</w:t>
      </w:r>
      <w:r>
        <w:rPr>
          <w:lang w:val="en-US"/>
        </w:rPr>
        <w:t xml:space="preserve"> and are available in the file</w:t>
      </w:r>
      <w:r w:rsidR="00730DE2">
        <w:rPr>
          <w:lang w:val="en-US"/>
        </w:rPr>
        <w:t xml:space="preserve"> </w:t>
      </w:r>
      <w:hyperlink r:id="rId14" w:history="1">
        <w:r w:rsidR="00730DE2" w:rsidRPr="00730DE2">
          <w:rPr>
            <w:rStyle w:val="Hyperlink"/>
            <w:lang w:val="en-US"/>
          </w:rPr>
          <w:t>R-REC-P.53</w:t>
        </w:r>
        <w:r w:rsidR="00730DE2" w:rsidRPr="00730DE2">
          <w:rPr>
            <w:rStyle w:val="Hyperlink"/>
            <w:lang w:val="en-US"/>
          </w:rPr>
          <w:t>1</w:t>
        </w:r>
        <w:r w:rsidR="00730DE2" w:rsidRPr="00730DE2">
          <w:rPr>
            <w:rStyle w:val="Hyperlink"/>
            <w:lang w:val="en-US"/>
          </w:rPr>
          <w:t>-1</w:t>
        </w:r>
        <w:r w:rsidR="00DB691F">
          <w:rPr>
            <w:rStyle w:val="Hyperlink"/>
            <w:lang w:val="en-US"/>
          </w:rPr>
          <w:t>3</w:t>
        </w:r>
        <w:r w:rsidR="00730DE2" w:rsidRPr="00730DE2">
          <w:rPr>
            <w:rStyle w:val="Hyperlink"/>
            <w:lang w:val="en-US"/>
          </w:rPr>
          <w:t>-201</w:t>
        </w:r>
        <w:r w:rsidR="00DB691F">
          <w:rPr>
            <w:rStyle w:val="Hyperlink"/>
            <w:lang w:val="en-US"/>
          </w:rPr>
          <w:t>6</w:t>
        </w:r>
        <w:r w:rsidR="00730DE2" w:rsidRPr="00730DE2">
          <w:rPr>
            <w:rStyle w:val="Hyperlink"/>
            <w:lang w:val="en-US"/>
          </w:rPr>
          <w:t>09-I!!ZIP-E</w:t>
        </w:r>
      </w:hyperlink>
      <w:r w:rsidR="00DB691F">
        <w:rPr>
          <w:lang w:val="en-US"/>
        </w:rPr>
        <w:t xml:space="preserve"> (Part 1).</w:t>
      </w:r>
    </w:p>
    <w:p w:rsidR="007028BB" w:rsidRDefault="007028BB" w:rsidP="007028BB">
      <w:pPr>
        <w:pStyle w:val="Heading2"/>
        <w:rPr>
          <w:lang w:val="en-US"/>
        </w:rPr>
      </w:pPr>
      <w:bookmarkStart w:id="29" w:name="_Toc101234727"/>
      <w:bookmarkStart w:id="30" w:name="_Toc101235043"/>
      <w:bookmarkStart w:id="31" w:name="_Toc101261547"/>
      <w:bookmarkStart w:id="32" w:name="_Toc115521883"/>
      <w:r>
        <w:rPr>
          <w:lang w:val="en-US"/>
        </w:rPr>
        <w:lastRenderedPageBreak/>
        <w:t>3.2</w:t>
      </w:r>
      <w:r>
        <w:rPr>
          <w:lang w:val="en-US"/>
        </w:rPr>
        <w:tab/>
        <w:t>Faraday rotation</w:t>
      </w:r>
      <w:bookmarkEnd w:id="29"/>
      <w:bookmarkEnd w:id="30"/>
      <w:bookmarkEnd w:id="31"/>
      <w:bookmarkEnd w:id="32"/>
    </w:p>
    <w:p w:rsidR="007028BB" w:rsidRDefault="007028BB" w:rsidP="007028BB">
      <w:pPr>
        <w:rPr>
          <w:lang w:val="en-US"/>
        </w:rPr>
      </w:pPr>
      <w:r>
        <w:rPr>
          <w:lang w:val="en-US"/>
        </w:rPr>
        <w:t xml:space="preserve">When propagating through the ionosphere, a linearly polarized wave will suffer a gradual rotation of its plane of polarization due to the presence of the geomagnetic field and the anisotropy of the plasma medium. The magnitude of Faraday rotation, </w:t>
      </w:r>
      <w:r>
        <w:rPr>
          <w:rFonts w:ascii="Symbol" w:hAnsi="Symbol"/>
        </w:rPr>
        <w:t></w:t>
      </w:r>
      <w:r>
        <w:rPr>
          <w:lang w:val="en-US"/>
        </w:rPr>
        <w:t>, will depend on the frequency of the radiowave, the magnetic field strength, and the electron density of the plasma as:</w:t>
      </w:r>
    </w:p>
    <w:p w:rsidR="007028BB" w:rsidRDefault="007028BB" w:rsidP="007028BB">
      <w:pPr>
        <w:pStyle w:val="Blanc"/>
      </w:pPr>
    </w:p>
    <w:p w:rsidR="007028BB" w:rsidRDefault="007028BB" w:rsidP="007028BB">
      <w:pPr>
        <w:pStyle w:val="Equation"/>
        <w:rPr>
          <w:smallCaps/>
          <w:lang w:val="en-US"/>
        </w:rPr>
      </w:pPr>
      <w:r>
        <w:rPr>
          <w:lang w:val="en-US"/>
        </w:rPr>
        <w:tab/>
      </w:r>
      <w:r>
        <w:rPr>
          <w:lang w:val="en-US"/>
        </w:rPr>
        <w:tab/>
      </w:r>
      <w:r w:rsidRPr="009D5A35">
        <w:rPr>
          <w:position w:val="-32"/>
        </w:rPr>
        <w:object w:dxaOrig="2360" w:dyaOrig="700">
          <v:shape id="_x0000_i1026" type="#_x0000_t75" style="width:117.65pt;height:35.45pt" o:ole="">
            <v:imagedata r:id="rId15" o:title=""/>
          </v:shape>
          <o:OLEObject Type="Embed" ProgID="Equation.3" ShapeID="_x0000_i1026" DrawAspect="Content" ObjectID="_1545741295" r:id="rId16"/>
        </w:object>
      </w:r>
      <w:r>
        <w:rPr>
          <w:vertAlign w:val="superscript"/>
          <w:lang w:val="en-US"/>
        </w:rPr>
        <w:tab/>
      </w:r>
      <w:r>
        <w:rPr>
          <w:lang w:val="en-US"/>
        </w:rPr>
        <w:t>(2)</w:t>
      </w:r>
    </w:p>
    <w:p w:rsidR="007028BB" w:rsidRDefault="007028BB" w:rsidP="007028BB">
      <w:pPr>
        <w:pStyle w:val="Blanc"/>
      </w:pPr>
    </w:p>
    <w:p w:rsidR="007028BB" w:rsidRDefault="007028BB" w:rsidP="007028BB">
      <w:pPr>
        <w:rPr>
          <w:lang w:val="en-US"/>
        </w:rPr>
      </w:pPr>
      <w:r>
        <w:rPr>
          <w:lang w:val="en-US"/>
        </w:rPr>
        <w:t>where:</w:t>
      </w:r>
    </w:p>
    <w:p w:rsidR="007028BB" w:rsidRDefault="007028BB" w:rsidP="007028BB">
      <w:pPr>
        <w:pStyle w:val="Equationlegend"/>
      </w:pPr>
      <w:r>
        <w:rPr>
          <w:rFonts w:ascii="Symbol" w:hAnsi="Symbol"/>
        </w:rPr>
        <w:tab/>
      </w:r>
      <w:r>
        <w:rPr>
          <w:rFonts w:ascii="Symbol" w:hAnsi="Symbol"/>
        </w:rPr>
        <w:t></w:t>
      </w:r>
      <w:r>
        <w:rPr>
          <w:sz w:val="12"/>
        </w:rPr>
        <w:t> </w:t>
      </w:r>
      <w:r>
        <w:t>:</w:t>
      </w:r>
      <w:r>
        <w:tab/>
        <w:t>angle of rotation (rad)</w:t>
      </w:r>
    </w:p>
    <w:p w:rsidR="007028BB" w:rsidRDefault="007028BB" w:rsidP="007028BB">
      <w:pPr>
        <w:pStyle w:val="Equationlegend"/>
      </w:pPr>
      <w:r>
        <w:tab/>
      </w:r>
      <w:r>
        <w:rPr>
          <w:i/>
        </w:rPr>
        <w:t>B</w:t>
      </w:r>
      <w:r>
        <w:rPr>
          <w:i/>
          <w:vertAlign w:val="subscript"/>
        </w:rPr>
        <w:t>av</w:t>
      </w:r>
      <w:r>
        <w:rPr>
          <w:sz w:val="12"/>
        </w:rPr>
        <w:t> </w:t>
      </w:r>
      <w:r>
        <w:t>:</w:t>
      </w:r>
      <w:r>
        <w:tab/>
        <w:t>average Earth magnetic field (</w:t>
      </w:r>
      <w:r w:rsidRPr="00F33AC1">
        <w:t>Wb</w:t>
      </w:r>
      <w:r>
        <w:t xml:space="preserve"> </w:t>
      </w:r>
      <w:r>
        <w:sym w:font="Symbol" w:char="F0D7"/>
      </w:r>
      <w:r>
        <w:t xml:space="preserve"> </w:t>
      </w:r>
      <w:r w:rsidRPr="00F33AC1">
        <w:t>m</w:t>
      </w:r>
      <w:r>
        <w:rPr>
          <w:vertAlign w:val="superscript"/>
        </w:rPr>
        <w:t>–</w:t>
      </w:r>
      <w:r w:rsidRPr="00F33AC1">
        <w:rPr>
          <w:vertAlign w:val="superscript"/>
        </w:rPr>
        <w:t xml:space="preserve">2 </w:t>
      </w:r>
      <w:r w:rsidRPr="00F33AC1">
        <w:t>or Teslas</w:t>
      </w:r>
      <w:r>
        <w:t>)</w:t>
      </w:r>
    </w:p>
    <w:p w:rsidR="007028BB" w:rsidRDefault="007028BB" w:rsidP="007028BB">
      <w:pPr>
        <w:pStyle w:val="Equationlegend"/>
      </w:pPr>
      <w:r>
        <w:tab/>
      </w:r>
      <w:r>
        <w:rPr>
          <w:i/>
        </w:rPr>
        <w:t>f</w:t>
      </w:r>
      <w:r>
        <w:rPr>
          <w:sz w:val="12"/>
        </w:rPr>
        <w:t> </w:t>
      </w:r>
      <w:r>
        <w:t>:</w:t>
      </w:r>
      <w:r>
        <w:tab/>
        <w:t>frequency (GHz)</w:t>
      </w:r>
    </w:p>
    <w:p w:rsidR="007028BB" w:rsidRDefault="007028BB" w:rsidP="007028BB">
      <w:pPr>
        <w:pStyle w:val="Equationlegend"/>
        <w:rPr>
          <w:lang w:val="en-GB"/>
        </w:rPr>
      </w:pPr>
      <w:r>
        <w:tab/>
      </w:r>
      <w:r>
        <w:rPr>
          <w:i/>
          <w:lang w:val="en-GB"/>
        </w:rPr>
        <w:t>N</w:t>
      </w:r>
      <w:r>
        <w:rPr>
          <w:i/>
          <w:vertAlign w:val="subscript"/>
          <w:lang w:val="en-GB"/>
        </w:rPr>
        <w:t>T</w:t>
      </w:r>
      <w:r>
        <w:rPr>
          <w:sz w:val="12"/>
          <w:lang w:val="en-GB"/>
        </w:rPr>
        <w:t> </w:t>
      </w:r>
      <w:r>
        <w:rPr>
          <w:lang w:val="en-GB"/>
        </w:rPr>
        <w:t>:</w:t>
      </w:r>
      <w:r>
        <w:rPr>
          <w:lang w:val="en-GB"/>
        </w:rPr>
        <w:tab/>
        <w:t>TEC (</w:t>
      </w:r>
      <w:r w:rsidRPr="00F33AC1">
        <w:t xml:space="preserve">electrons </w:t>
      </w:r>
      <w:r>
        <w:sym w:font="Symbol" w:char="F0D7"/>
      </w:r>
      <w:r>
        <w:t xml:space="preserve"> </w:t>
      </w:r>
      <w:r w:rsidRPr="00F33AC1">
        <w:t>m</w:t>
      </w:r>
      <w:r>
        <w:rPr>
          <w:vertAlign w:val="superscript"/>
        </w:rPr>
        <w:t>–</w:t>
      </w:r>
      <w:r w:rsidRPr="00F33AC1">
        <w:rPr>
          <w:vertAlign w:val="superscript"/>
        </w:rPr>
        <w:t>2</w:t>
      </w:r>
      <w:r>
        <w:rPr>
          <w:lang w:val="en-GB"/>
        </w:rPr>
        <w:t>).</w:t>
      </w:r>
    </w:p>
    <w:p w:rsidR="007028BB" w:rsidRDefault="007028BB" w:rsidP="007028BB">
      <w:pPr>
        <w:rPr>
          <w:lang w:val="en-GB"/>
        </w:rPr>
      </w:pPr>
      <w:r>
        <w:rPr>
          <w:lang w:val="en-GB"/>
        </w:rPr>
        <w:t xml:space="preserve">Typical values of </w:t>
      </w:r>
      <w:r>
        <w:rPr>
          <w:rFonts w:ascii="Symbol" w:hAnsi="Symbol"/>
        </w:rPr>
        <w:sym w:font="Symbol" w:char="F071"/>
      </w:r>
      <w:r>
        <w:rPr>
          <w:lang w:val="en-GB"/>
        </w:rPr>
        <w:t xml:space="preserve"> are shown in Fig. 1.</w:t>
      </w:r>
    </w:p>
    <w:p w:rsidR="007028BB" w:rsidRDefault="007028BB" w:rsidP="007028BB">
      <w:pPr>
        <w:pStyle w:val="FigureNo"/>
        <w:rPr>
          <w:lang w:val="en-GB"/>
        </w:rPr>
      </w:pPr>
      <w:r>
        <w:rPr>
          <w:lang w:val="en-GB"/>
        </w:rPr>
        <w:t>FIGURE 1</w:t>
      </w:r>
    </w:p>
    <w:p w:rsidR="007028BB" w:rsidRPr="00130F3B" w:rsidRDefault="007028BB" w:rsidP="007028BB">
      <w:pPr>
        <w:pStyle w:val="Figuretitle"/>
        <w:rPr>
          <w:lang w:val="en-GB"/>
        </w:rPr>
      </w:pPr>
      <w:r>
        <w:rPr>
          <w:lang w:val="en-GB"/>
        </w:rPr>
        <w:t>Faraday rotation as a function of TEC and frequency</w:t>
      </w:r>
    </w:p>
    <w:p w:rsidR="007028BB" w:rsidRDefault="007028BB" w:rsidP="007028BB">
      <w:pPr>
        <w:pStyle w:val="Figure"/>
        <w:rPr>
          <w:lang w:val="en-GB"/>
        </w:rPr>
      </w:pPr>
      <w:r>
        <w:rPr>
          <w:noProof/>
          <w:lang w:val="en-US" w:eastAsia="zh-CN"/>
        </w:rPr>
        <w:drawing>
          <wp:inline distT="0" distB="0" distL="0" distR="0" wp14:anchorId="38822E53" wp14:editId="753805FC">
            <wp:extent cx="4853940" cy="27889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3940" cy="2788920"/>
                    </a:xfrm>
                    <a:prstGeom prst="rect">
                      <a:avLst/>
                    </a:prstGeom>
                    <a:noFill/>
                    <a:ln>
                      <a:noFill/>
                    </a:ln>
                  </pic:spPr>
                </pic:pic>
              </a:graphicData>
            </a:graphic>
          </wp:inline>
        </w:drawing>
      </w:r>
    </w:p>
    <w:p w:rsidR="007028BB" w:rsidRDefault="007028BB" w:rsidP="007028BB">
      <w:pPr>
        <w:rPr>
          <w:lang w:val="en-GB"/>
        </w:rPr>
      </w:pPr>
    </w:p>
    <w:p w:rsidR="007028BB" w:rsidRDefault="007028BB" w:rsidP="00592949">
      <w:pPr>
        <w:rPr>
          <w:lang w:val="en-GB"/>
        </w:rPr>
      </w:pPr>
      <w:r>
        <w:rPr>
          <w:lang w:val="en-GB"/>
        </w:rPr>
        <w:t>The Faraday rotation is thus inversely proportional to the square of frequency and directly proportional to the integrated product of the electron density and the component of the Earth</w:t>
      </w:r>
      <w:r w:rsidR="00592949">
        <w:rPr>
          <w:lang w:val="en-GB"/>
        </w:rPr>
        <w:t>’</w:t>
      </w:r>
      <w:r>
        <w:rPr>
          <w:lang w:val="en-GB"/>
        </w:rPr>
        <w:t>s magnetic field along the propagation path. Its median value at a given frequency exhibits a very regular diurnal, seasonal, and solar cyclical behaviour that can be predicted. This regular component of the Faraday rotation can therefore be compensated for by a manual adjustment of the polarization tilt angle at the earth-station antennas. However, large deviations from this regular behaviour can occur for small percentages of the time as a result of geomagnetic storms and, to a lesser extent, large-scale travelling ionospheric disturbances. These deviations cannot be predicted in advance. Intense and fast fluctuations of the Faraday rotation angles of VHF signals have been associated with strong and fast amplitude scintillations respectively, at locations situated near the crests of the equatorial anomaly.</w:t>
      </w:r>
    </w:p>
    <w:p w:rsidR="007028BB" w:rsidRDefault="007028BB" w:rsidP="007028BB">
      <w:pPr>
        <w:rPr>
          <w:lang w:val="en-GB"/>
        </w:rPr>
      </w:pPr>
      <w:r>
        <w:rPr>
          <w:lang w:val="en-GB"/>
        </w:rPr>
        <w:lastRenderedPageBreak/>
        <w:t>The cross-polarization discrimination for aligned antennas, XPD (dB), is related to the Faraday rotation angle, </w:t>
      </w:r>
      <w:r>
        <w:rPr>
          <w:rFonts w:ascii="Symbol" w:hAnsi="Symbol"/>
        </w:rPr>
        <w:t></w:t>
      </w:r>
      <w:r>
        <w:rPr>
          <w:lang w:val="en-GB"/>
        </w:rPr>
        <w:t>, by:</w:t>
      </w:r>
    </w:p>
    <w:p w:rsidR="007028BB" w:rsidRDefault="007028BB" w:rsidP="007028BB">
      <w:pPr>
        <w:pStyle w:val="Blanc"/>
      </w:pPr>
    </w:p>
    <w:p w:rsidR="007028BB" w:rsidRPr="00F915F4" w:rsidRDefault="007028BB" w:rsidP="007028BB">
      <w:pPr>
        <w:pStyle w:val="Equation"/>
        <w:rPr>
          <w:lang w:val="en-US"/>
        </w:rPr>
      </w:pPr>
      <w:r>
        <w:rPr>
          <w:lang w:val="en-GB"/>
        </w:rPr>
        <w:tab/>
      </w:r>
      <w:r>
        <w:rPr>
          <w:lang w:val="en-GB"/>
        </w:rPr>
        <w:tab/>
      </w:r>
      <w:r w:rsidRPr="00F915F4">
        <w:rPr>
          <w:i/>
          <w:lang w:val="en-US"/>
        </w:rPr>
        <w:t>XPD</w:t>
      </w:r>
      <w:r w:rsidRPr="00F915F4">
        <w:rPr>
          <w:lang w:val="en-US"/>
        </w:rPr>
        <w:t xml:space="preserve"> </w:t>
      </w:r>
      <w:r>
        <w:rPr>
          <w:rFonts w:ascii="Symbol" w:hAnsi="Symbol"/>
        </w:rPr>
        <w:t></w:t>
      </w:r>
      <w:r w:rsidRPr="00F915F4">
        <w:rPr>
          <w:lang w:val="en-US"/>
        </w:rPr>
        <w:t xml:space="preserve"> –20 log (tan </w:t>
      </w:r>
      <w:r>
        <w:rPr>
          <w:rFonts w:ascii="Symbol" w:hAnsi="Symbol"/>
        </w:rPr>
        <w:t></w:t>
      </w:r>
      <w:r w:rsidRPr="00F915F4">
        <w:rPr>
          <w:lang w:val="en-US"/>
        </w:rPr>
        <w:t>)</w:t>
      </w:r>
      <w:r w:rsidRPr="00F915F4">
        <w:rPr>
          <w:lang w:val="en-US"/>
        </w:rPr>
        <w:tab/>
        <w:t>(3)</w:t>
      </w:r>
    </w:p>
    <w:p w:rsidR="007028BB" w:rsidRDefault="007028BB" w:rsidP="007028BB">
      <w:pPr>
        <w:pStyle w:val="Blanc"/>
      </w:pPr>
      <w:bookmarkStart w:id="33" w:name="_Toc101234728"/>
      <w:bookmarkStart w:id="34" w:name="_Toc101235044"/>
      <w:bookmarkStart w:id="35" w:name="_Toc101261548"/>
      <w:bookmarkStart w:id="36" w:name="_Toc115521884"/>
    </w:p>
    <w:p w:rsidR="007028BB" w:rsidRDefault="007028BB" w:rsidP="007028BB">
      <w:pPr>
        <w:pStyle w:val="Heading2"/>
        <w:rPr>
          <w:lang w:val="en-GB"/>
        </w:rPr>
      </w:pPr>
      <w:r>
        <w:rPr>
          <w:lang w:val="en-GB"/>
        </w:rPr>
        <w:t>3.3</w:t>
      </w:r>
      <w:r>
        <w:rPr>
          <w:lang w:val="en-GB"/>
        </w:rPr>
        <w:tab/>
        <w:t>Group delay</w:t>
      </w:r>
      <w:bookmarkEnd w:id="33"/>
      <w:bookmarkEnd w:id="34"/>
      <w:bookmarkEnd w:id="35"/>
      <w:bookmarkEnd w:id="36"/>
    </w:p>
    <w:p w:rsidR="007028BB" w:rsidRDefault="007028BB" w:rsidP="007028BB">
      <w:pPr>
        <w:rPr>
          <w:lang w:val="en-GB"/>
        </w:rPr>
      </w:pPr>
      <w:r>
        <w:rPr>
          <w:lang w:val="en-GB"/>
        </w:rPr>
        <w:t xml:space="preserve">The presence of charged particles in the ionosphere slows down the propagation of radio signals along the path. The time delay in excess of the propagation time in free space, commonly denoted as </w:t>
      </w:r>
      <w:r>
        <w:rPr>
          <w:i/>
          <w:lang w:val="en-GB"/>
        </w:rPr>
        <w:t>t</w:t>
      </w:r>
      <w:r>
        <w:rPr>
          <w:lang w:val="en-GB"/>
        </w:rPr>
        <w:t>, is called the group delay. It is an important factor to be considered for MSS systems. Likewise, the phase is advanced by the same amount. This quantity can be computed as follows:</w:t>
      </w:r>
    </w:p>
    <w:p w:rsidR="007028BB" w:rsidRDefault="007028BB" w:rsidP="007028BB">
      <w:pPr>
        <w:pStyle w:val="Blanc"/>
      </w:pPr>
    </w:p>
    <w:p w:rsidR="007028BB" w:rsidRPr="00F915F4" w:rsidRDefault="007028BB" w:rsidP="007028BB">
      <w:pPr>
        <w:pStyle w:val="Equation"/>
        <w:rPr>
          <w:lang w:val="en-US"/>
        </w:rPr>
      </w:pPr>
      <w:r>
        <w:rPr>
          <w:lang w:val="en-GB"/>
        </w:rPr>
        <w:tab/>
      </w:r>
      <w:r>
        <w:rPr>
          <w:lang w:val="en-GB"/>
        </w:rPr>
        <w:tab/>
      </w:r>
      <w:r w:rsidRPr="00F915F4">
        <w:rPr>
          <w:i/>
          <w:lang w:val="en-US"/>
        </w:rPr>
        <w:t>t</w:t>
      </w:r>
      <w:r w:rsidRPr="00F915F4">
        <w:rPr>
          <w:lang w:val="en-US"/>
        </w:rPr>
        <w:t xml:space="preserve"> </w:t>
      </w:r>
      <w:r>
        <w:rPr>
          <w:rFonts w:ascii="Symbol" w:hAnsi="Symbol"/>
        </w:rPr>
        <w:t></w:t>
      </w:r>
      <w:r w:rsidRPr="00F915F4">
        <w:rPr>
          <w:lang w:val="en-US"/>
        </w:rPr>
        <w:t xml:space="preserve"> 1.345 </w:t>
      </w:r>
      <w:r w:rsidRPr="00F915F4">
        <w:rPr>
          <w:i/>
          <w:lang w:val="en-US"/>
        </w:rPr>
        <w:t>N</w:t>
      </w:r>
      <w:r w:rsidRPr="00F915F4">
        <w:rPr>
          <w:i/>
          <w:vertAlign w:val="subscript"/>
          <w:lang w:val="en-US"/>
        </w:rPr>
        <w:t>T</w:t>
      </w:r>
      <w:r w:rsidRPr="00F915F4">
        <w:rPr>
          <w:sz w:val="12"/>
          <w:lang w:val="en-US"/>
        </w:rPr>
        <w:t> </w:t>
      </w:r>
      <w:r w:rsidRPr="00F915F4">
        <w:rPr>
          <w:smallCaps/>
          <w:lang w:val="en-US"/>
        </w:rPr>
        <w:t>/</w:t>
      </w:r>
      <w:r w:rsidRPr="00F915F4">
        <w:rPr>
          <w:smallCaps/>
          <w:sz w:val="12"/>
          <w:lang w:val="en-US"/>
        </w:rPr>
        <w:t> </w:t>
      </w:r>
      <w:r w:rsidRPr="00F915F4">
        <w:rPr>
          <w:i/>
          <w:lang w:val="en-US"/>
        </w:rPr>
        <w:t>f</w:t>
      </w:r>
      <w:r w:rsidRPr="00F915F4">
        <w:rPr>
          <w:lang w:val="en-US"/>
        </w:rPr>
        <w:t xml:space="preserve"> </w:t>
      </w:r>
      <w:r w:rsidRPr="00F915F4">
        <w:rPr>
          <w:vertAlign w:val="superscript"/>
          <w:lang w:val="en-US"/>
        </w:rPr>
        <w:t>2</w:t>
      </w:r>
      <w:r w:rsidRPr="00F915F4">
        <w:rPr>
          <w:lang w:val="en-US"/>
        </w:rPr>
        <w:t xml:space="preserve"> </w:t>
      </w:r>
      <w:r>
        <w:rPr>
          <w:rFonts w:ascii="Symbol" w:hAnsi="Symbol"/>
        </w:rPr>
        <w:t></w:t>
      </w:r>
      <w:r w:rsidRPr="00F915F4">
        <w:rPr>
          <w:lang w:val="en-US"/>
        </w:rPr>
        <w:t xml:space="preserve"> 10</w:t>
      </w:r>
      <w:r w:rsidRPr="00F915F4">
        <w:rPr>
          <w:vertAlign w:val="superscript"/>
          <w:lang w:val="en-US"/>
        </w:rPr>
        <w:t>–7</w:t>
      </w:r>
      <w:r w:rsidRPr="00F915F4">
        <w:rPr>
          <w:lang w:val="en-US"/>
        </w:rPr>
        <w:tab/>
        <w:t>(4)</w:t>
      </w:r>
    </w:p>
    <w:p w:rsidR="007028BB" w:rsidRDefault="007028BB" w:rsidP="007028BB">
      <w:pPr>
        <w:pStyle w:val="Blanc"/>
      </w:pPr>
    </w:p>
    <w:p w:rsidR="007028BB" w:rsidRDefault="007028BB" w:rsidP="007028BB">
      <w:pPr>
        <w:rPr>
          <w:lang w:val="en-GB"/>
        </w:rPr>
      </w:pPr>
      <w:r>
        <w:rPr>
          <w:lang w:val="en-GB"/>
        </w:rPr>
        <w:t>where:</w:t>
      </w:r>
    </w:p>
    <w:p w:rsidR="007028BB" w:rsidRDefault="007028BB" w:rsidP="007028BB">
      <w:pPr>
        <w:pStyle w:val="Equationlegend"/>
      </w:pPr>
      <w:r>
        <w:rPr>
          <w:i/>
        </w:rPr>
        <w:tab/>
        <w:t>t</w:t>
      </w:r>
      <w:r>
        <w:rPr>
          <w:sz w:val="12"/>
        </w:rPr>
        <w:t> </w:t>
      </w:r>
      <w:r>
        <w:t>:</w:t>
      </w:r>
      <w:r>
        <w:tab/>
        <w:t>delay time (s) with reference to propagation in a vacuum</w:t>
      </w:r>
    </w:p>
    <w:p w:rsidR="007028BB" w:rsidRDefault="007028BB" w:rsidP="007028BB">
      <w:pPr>
        <w:pStyle w:val="Equationlegend"/>
      </w:pPr>
      <w:r>
        <w:rPr>
          <w:i/>
        </w:rPr>
        <w:tab/>
        <w:t>f</w:t>
      </w:r>
      <w:r>
        <w:rPr>
          <w:sz w:val="12"/>
        </w:rPr>
        <w:t> </w:t>
      </w:r>
      <w:r>
        <w:t>:</w:t>
      </w:r>
      <w:r>
        <w:tab/>
        <w:t>frequency of propagation (Hz)</w:t>
      </w:r>
    </w:p>
    <w:p w:rsidR="007028BB" w:rsidRDefault="007028BB" w:rsidP="007028BB">
      <w:pPr>
        <w:pStyle w:val="Equationlegend"/>
      </w:pPr>
      <w:r>
        <w:rPr>
          <w:i/>
        </w:rPr>
        <w:tab/>
        <w:t>N</w:t>
      </w:r>
      <w:r>
        <w:rPr>
          <w:i/>
          <w:vertAlign w:val="subscript"/>
        </w:rPr>
        <w:t>T</w:t>
      </w:r>
      <w:r>
        <w:rPr>
          <w:sz w:val="12"/>
        </w:rPr>
        <w:t> </w:t>
      </w:r>
      <w:r>
        <w:t>:</w:t>
      </w:r>
      <w:r>
        <w:tab/>
        <w:t>determined along the slant propagation path.</w:t>
      </w:r>
    </w:p>
    <w:p w:rsidR="007028BB" w:rsidRDefault="007028BB" w:rsidP="007028BB">
      <w:pPr>
        <w:rPr>
          <w:lang w:val="en-GB"/>
        </w:rPr>
      </w:pPr>
      <w:r>
        <w:rPr>
          <w:lang w:val="en-GB"/>
        </w:rPr>
        <w:t xml:space="preserve">Figure 2 is a plot of time delay, </w:t>
      </w:r>
      <w:r>
        <w:rPr>
          <w:i/>
          <w:lang w:val="en-GB"/>
        </w:rPr>
        <w:t>t</w:t>
      </w:r>
      <w:r>
        <w:rPr>
          <w:lang w:val="en-GB"/>
        </w:rPr>
        <w:t xml:space="preserve">, versus frequency, </w:t>
      </w:r>
      <w:r>
        <w:rPr>
          <w:sz w:val="12"/>
          <w:lang w:val="en-GB"/>
        </w:rPr>
        <w:t> </w:t>
      </w:r>
      <w:r>
        <w:rPr>
          <w:i/>
          <w:lang w:val="en-GB"/>
        </w:rPr>
        <w:t>f</w:t>
      </w:r>
      <w:r>
        <w:rPr>
          <w:lang w:val="en-GB"/>
        </w:rPr>
        <w:t>, for several values of electron content along the ray path.</w:t>
      </w:r>
    </w:p>
    <w:p w:rsidR="007028BB" w:rsidRDefault="007028BB" w:rsidP="00AF5B05">
      <w:pPr>
        <w:rPr>
          <w:lang w:val="en-GB"/>
        </w:rPr>
      </w:pPr>
      <w:r>
        <w:rPr>
          <w:lang w:val="en-GB"/>
        </w:rPr>
        <w:t xml:space="preserve">For a band of frequencies around </w:t>
      </w:r>
      <w:r w:rsidRPr="00B83149">
        <w:rPr>
          <w:lang w:val="en-US"/>
        </w:rPr>
        <w:t>1</w:t>
      </w:r>
      <w:r w:rsidR="00AF5B05" w:rsidRPr="00B83149">
        <w:rPr>
          <w:lang w:val="en-US"/>
        </w:rPr>
        <w:t> </w:t>
      </w:r>
      <w:r w:rsidRPr="00B83149">
        <w:rPr>
          <w:lang w:val="en-US"/>
        </w:rPr>
        <w:t>600</w:t>
      </w:r>
      <w:r>
        <w:rPr>
          <w:lang w:val="en-GB"/>
        </w:rPr>
        <w:t xml:space="preserve"> MHz the signal group delay varies from approximately 0.5 to 500 ns, for TEC from 10</w:t>
      </w:r>
      <w:r>
        <w:rPr>
          <w:vertAlign w:val="superscript"/>
          <w:lang w:val="en-GB"/>
        </w:rPr>
        <w:t>16</w:t>
      </w:r>
      <w:r>
        <w:rPr>
          <w:lang w:val="en-GB"/>
        </w:rPr>
        <w:t xml:space="preserve"> to 10</w:t>
      </w:r>
      <w:r>
        <w:rPr>
          <w:vertAlign w:val="superscript"/>
          <w:lang w:val="en-GB"/>
        </w:rPr>
        <w:t>19</w:t>
      </w:r>
      <w:r>
        <w:rPr>
          <w:lang w:val="en-GB"/>
        </w:rPr>
        <w:t xml:space="preserve"> el/m</w:t>
      </w:r>
      <w:r>
        <w:rPr>
          <w:vertAlign w:val="superscript"/>
          <w:lang w:val="en-GB"/>
        </w:rPr>
        <w:t>2</w:t>
      </w:r>
      <w:r>
        <w:rPr>
          <w:lang w:val="en-GB"/>
        </w:rPr>
        <w:t>. Figure 3 shows the yearly percentage of daytime hours that the time delay will exceed 20 ns at a period of relatively high solar activity.</w:t>
      </w:r>
    </w:p>
    <w:p w:rsidR="007028BB" w:rsidRDefault="007028BB" w:rsidP="007028BB">
      <w:pPr>
        <w:pStyle w:val="Heading2"/>
        <w:rPr>
          <w:lang w:val="en-GB"/>
        </w:rPr>
      </w:pPr>
      <w:bookmarkStart w:id="37" w:name="_Toc101234729"/>
      <w:bookmarkStart w:id="38" w:name="_Toc101235045"/>
      <w:bookmarkStart w:id="39" w:name="_Toc101261549"/>
      <w:bookmarkStart w:id="40" w:name="_Toc115521885"/>
      <w:r>
        <w:rPr>
          <w:lang w:val="en-GB"/>
        </w:rPr>
        <w:t>3.4</w:t>
      </w:r>
      <w:r>
        <w:rPr>
          <w:lang w:val="en-GB"/>
        </w:rPr>
        <w:tab/>
        <w:t>Dispersion</w:t>
      </w:r>
      <w:bookmarkEnd w:id="37"/>
      <w:bookmarkEnd w:id="38"/>
      <w:bookmarkEnd w:id="39"/>
      <w:bookmarkEnd w:id="40"/>
    </w:p>
    <w:p w:rsidR="007028BB" w:rsidRDefault="007028BB" w:rsidP="007028BB">
      <w:pPr>
        <w:rPr>
          <w:lang w:val="en-GB"/>
        </w:rPr>
      </w:pPr>
      <w:r>
        <w:rPr>
          <w:lang w:val="en-GB"/>
        </w:rPr>
        <w:t>When trans-ionospheric signals occupy a significant bandwidth the propagation delay (being a function of frequency) introduces dispersion. The differential delay across the bandwidth is proportional to the integrated electron density along the ray path. For a fixed bandwidth the relative dispersion is inversely proportional to frequency cubed. Thus, systems involving wideband transmissions must take this effect into account at VHF and possibly UHF. For example, as shown in Fig. 4 for an integrated electron content of 5 </w:t>
      </w:r>
      <w:r>
        <w:rPr>
          <w:rFonts w:ascii="Symbol" w:hAnsi="Symbol"/>
        </w:rPr>
        <w:t></w:t>
      </w:r>
      <w:r>
        <w:rPr>
          <w:lang w:val="en-GB"/>
        </w:rPr>
        <w:t> 10</w:t>
      </w:r>
      <w:r>
        <w:rPr>
          <w:vertAlign w:val="superscript"/>
          <w:lang w:val="en-GB"/>
        </w:rPr>
        <w:t>17</w:t>
      </w:r>
      <w:r>
        <w:rPr>
          <w:lang w:val="en-GB"/>
        </w:rPr>
        <w:t xml:space="preserve"> el/m</w:t>
      </w:r>
      <w:r>
        <w:rPr>
          <w:vertAlign w:val="superscript"/>
          <w:lang w:val="en-GB"/>
        </w:rPr>
        <w:t>2</w:t>
      </w:r>
      <w:r>
        <w:rPr>
          <w:sz w:val="18"/>
          <w:lang w:val="en-GB"/>
        </w:rPr>
        <w:t>,</w:t>
      </w:r>
      <w:r>
        <w:rPr>
          <w:lang w:val="en-GB"/>
        </w:rPr>
        <w:t xml:space="preserve"> a signal with a pulse length of 1 </w:t>
      </w:r>
      <w:r>
        <w:rPr>
          <w:rFonts w:ascii="Symbol" w:hAnsi="Symbol"/>
        </w:rPr>
        <w:t></w:t>
      </w:r>
      <w:r>
        <w:rPr>
          <w:lang w:val="en-GB"/>
        </w:rPr>
        <w:t>s will sustain a differential delay of 0.02 </w:t>
      </w:r>
      <w:r>
        <w:rPr>
          <w:rFonts w:ascii="Symbol" w:hAnsi="Symbol"/>
        </w:rPr>
        <w:t></w:t>
      </w:r>
      <w:r>
        <w:rPr>
          <w:lang w:val="en-GB"/>
        </w:rPr>
        <w:t>s at 200 MHz while at 600 MHz the delay would be only 0.00074 </w:t>
      </w:r>
      <w:r>
        <w:rPr>
          <w:rFonts w:ascii="Symbol" w:hAnsi="Symbol"/>
        </w:rPr>
        <w:t></w:t>
      </w:r>
      <w:r>
        <w:rPr>
          <w:lang w:val="en-GB"/>
        </w:rPr>
        <w:t>s (see Fig. 4).</w:t>
      </w:r>
    </w:p>
    <w:p w:rsidR="007028BB" w:rsidRDefault="007028BB" w:rsidP="007028BB">
      <w:pPr>
        <w:pStyle w:val="Heading2"/>
        <w:rPr>
          <w:lang w:val="en-GB"/>
        </w:rPr>
      </w:pPr>
      <w:bookmarkStart w:id="41" w:name="_Toc101234730"/>
      <w:bookmarkStart w:id="42" w:name="_Toc101235046"/>
      <w:bookmarkStart w:id="43" w:name="_Toc101261550"/>
      <w:bookmarkStart w:id="44" w:name="_Toc115521886"/>
      <w:r>
        <w:rPr>
          <w:lang w:val="en-GB"/>
        </w:rPr>
        <w:t>3.5</w:t>
      </w:r>
      <w:r>
        <w:rPr>
          <w:lang w:val="en-GB"/>
        </w:rPr>
        <w:tab/>
        <w:t>TEC rate of change</w:t>
      </w:r>
      <w:bookmarkEnd w:id="41"/>
      <w:bookmarkEnd w:id="42"/>
      <w:bookmarkEnd w:id="43"/>
      <w:bookmarkEnd w:id="44"/>
    </w:p>
    <w:p w:rsidR="007028BB" w:rsidRDefault="007028BB" w:rsidP="00AF5B05">
      <w:pPr>
        <w:rPr>
          <w:lang w:val="en-GB"/>
        </w:rPr>
      </w:pPr>
      <w:r>
        <w:rPr>
          <w:lang w:val="en-GB"/>
        </w:rPr>
        <w:t xml:space="preserve">With an orbiting satellite the observed rate of change of TEC is due in part to the change of direction of the ray path and in part to a change in the ionosphere itself. For a satellite at a height of </w:t>
      </w:r>
      <w:r w:rsidRPr="00B83149">
        <w:rPr>
          <w:lang w:val="en-US"/>
        </w:rPr>
        <w:t>22</w:t>
      </w:r>
      <w:r w:rsidR="00AF5B05" w:rsidRPr="00B83149">
        <w:rPr>
          <w:lang w:val="en-US"/>
        </w:rPr>
        <w:t> </w:t>
      </w:r>
      <w:r w:rsidRPr="00B83149">
        <w:rPr>
          <w:lang w:val="en-US"/>
        </w:rPr>
        <w:t>000</w:t>
      </w:r>
      <w:r>
        <w:rPr>
          <w:lang w:val="en-GB"/>
        </w:rPr>
        <w:t> km traversing the auroral zone, a maximum rate of change of 0.7 </w:t>
      </w:r>
      <w:r>
        <w:rPr>
          <w:rFonts w:ascii="Symbol" w:hAnsi="Symbol"/>
        </w:rPr>
        <w:t></w:t>
      </w:r>
      <w:r>
        <w:rPr>
          <w:lang w:val="en-GB"/>
        </w:rPr>
        <w:t> 10</w:t>
      </w:r>
      <w:r>
        <w:rPr>
          <w:vertAlign w:val="superscript"/>
          <w:lang w:val="en-GB"/>
        </w:rPr>
        <w:t>16</w:t>
      </w:r>
      <w:r>
        <w:rPr>
          <w:lang w:val="en-GB"/>
        </w:rPr>
        <w:t xml:space="preserve"> el/m</w:t>
      </w:r>
      <w:r>
        <w:rPr>
          <w:vertAlign w:val="superscript"/>
          <w:lang w:val="en-GB"/>
        </w:rPr>
        <w:t>2</w:t>
      </w:r>
      <w:r>
        <w:rPr>
          <w:lang w:val="en-GB"/>
        </w:rPr>
        <w:t>/s has been observed. For navigation purposes, such a rate of change corresponds to an apparent velocity of 0.11 m/s.</w:t>
      </w:r>
    </w:p>
    <w:p w:rsidR="007028BB" w:rsidRDefault="007028BB" w:rsidP="007028BB">
      <w:pPr>
        <w:pStyle w:val="FigureNo"/>
        <w:rPr>
          <w:lang w:val="en-GB"/>
        </w:rPr>
      </w:pPr>
      <w:r>
        <w:rPr>
          <w:lang w:val="en-GB"/>
        </w:rPr>
        <w:lastRenderedPageBreak/>
        <w:t>FIGURE 2</w:t>
      </w:r>
    </w:p>
    <w:p w:rsidR="007028BB" w:rsidRPr="00130F3B" w:rsidRDefault="007028BB" w:rsidP="007028BB">
      <w:pPr>
        <w:pStyle w:val="Figuretitle"/>
        <w:rPr>
          <w:lang w:val="en-GB"/>
        </w:rPr>
      </w:pPr>
      <w:r>
        <w:rPr>
          <w:lang w:val="en-GB"/>
        </w:rPr>
        <w:t>Ionospheric time delay versus frequency for various values of electron content</w:t>
      </w:r>
    </w:p>
    <w:p w:rsidR="007028BB" w:rsidRDefault="007028BB" w:rsidP="007028BB">
      <w:pPr>
        <w:pStyle w:val="Blanc"/>
      </w:pPr>
    </w:p>
    <w:p w:rsidR="007028BB" w:rsidRDefault="007028BB" w:rsidP="007028BB">
      <w:pPr>
        <w:pStyle w:val="Figure"/>
        <w:rPr>
          <w:lang w:val="en-GB"/>
        </w:rPr>
      </w:pPr>
      <w:r>
        <w:rPr>
          <w:noProof/>
          <w:lang w:val="en-US" w:eastAsia="zh-CN"/>
        </w:rPr>
        <w:drawing>
          <wp:inline distT="0" distB="0" distL="0" distR="0" wp14:anchorId="014A7A9A" wp14:editId="214E28B5">
            <wp:extent cx="4960620" cy="495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0620" cy="4953000"/>
                    </a:xfrm>
                    <a:prstGeom prst="rect">
                      <a:avLst/>
                    </a:prstGeom>
                    <a:noFill/>
                    <a:ln>
                      <a:noFill/>
                    </a:ln>
                  </pic:spPr>
                </pic:pic>
              </a:graphicData>
            </a:graphic>
          </wp:inline>
        </w:drawing>
      </w:r>
    </w:p>
    <w:p w:rsidR="007028BB" w:rsidRPr="00B746FC" w:rsidRDefault="007028BB" w:rsidP="007028BB">
      <w:pPr>
        <w:pStyle w:val="FigureNo"/>
        <w:rPr>
          <w:lang w:val="en-US"/>
        </w:rPr>
      </w:pPr>
      <w:r w:rsidRPr="00B746FC">
        <w:rPr>
          <w:lang w:val="en-US"/>
        </w:rPr>
        <w:lastRenderedPageBreak/>
        <w:t>FIGURE 3</w:t>
      </w:r>
    </w:p>
    <w:p w:rsidR="007028BB" w:rsidRPr="00B746FC" w:rsidRDefault="007028BB" w:rsidP="007028BB">
      <w:pPr>
        <w:pStyle w:val="Figuretitle"/>
        <w:rPr>
          <w:lang w:val="en-US"/>
        </w:rPr>
      </w:pPr>
      <w:r w:rsidRPr="00B746FC">
        <w:rPr>
          <w:lang w:val="en-US"/>
        </w:rPr>
        <w:t>Contours of percentage of yearly average daytime hours when time delay</w:t>
      </w:r>
      <w:r>
        <w:rPr>
          <w:lang w:val="en-US"/>
        </w:rPr>
        <w:t xml:space="preserve"> </w:t>
      </w:r>
      <w:r w:rsidRPr="00B746FC">
        <w:rPr>
          <w:lang w:val="en-US"/>
        </w:rPr>
        <w:t>at vertical incidence</w:t>
      </w:r>
      <w:r>
        <w:rPr>
          <w:lang w:val="en-US"/>
        </w:rPr>
        <w:br/>
      </w:r>
      <w:r w:rsidRPr="00B746FC">
        <w:rPr>
          <w:lang w:val="en-US"/>
        </w:rPr>
        <w:t>at 1.6 GHz exceeds 20 ns (sunspot number = 140)</w:t>
      </w:r>
    </w:p>
    <w:p w:rsidR="007028BB" w:rsidRDefault="007028BB" w:rsidP="007028BB">
      <w:pPr>
        <w:pStyle w:val="Figure"/>
      </w:pPr>
      <w:r>
        <w:rPr>
          <w:noProof/>
          <w:lang w:val="en-US" w:eastAsia="zh-CN"/>
        </w:rPr>
        <w:drawing>
          <wp:inline distT="0" distB="0" distL="0" distR="0" wp14:anchorId="4E7C7B86" wp14:editId="189BABDF">
            <wp:extent cx="5791200" cy="3230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3230880"/>
                    </a:xfrm>
                    <a:prstGeom prst="rect">
                      <a:avLst/>
                    </a:prstGeom>
                    <a:noFill/>
                    <a:ln>
                      <a:noFill/>
                    </a:ln>
                  </pic:spPr>
                </pic:pic>
              </a:graphicData>
            </a:graphic>
          </wp:inline>
        </w:drawing>
      </w:r>
    </w:p>
    <w:p w:rsidR="007028BB" w:rsidRDefault="007028BB" w:rsidP="007028BB">
      <w:pPr>
        <w:rPr>
          <w:lang w:val="en-GB"/>
        </w:rPr>
      </w:pPr>
    </w:p>
    <w:p w:rsidR="007028BB" w:rsidRDefault="007028BB" w:rsidP="007028BB">
      <w:pPr>
        <w:pStyle w:val="FigureNo"/>
        <w:rPr>
          <w:lang w:val="en-GB"/>
        </w:rPr>
      </w:pPr>
      <w:r>
        <w:rPr>
          <w:lang w:val="en-GB"/>
        </w:rPr>
        <w:t>FIGURE 4</w:t>
      </w:r>
    </w:p>
    <w:p w:rsidR="007028BB" w:rsidRPr="00130F3B" w:rsidRDefault="007028BB" w:rsidP="007028BB">
      <w:pPr>
        <w:pStyle w:val="Figuretitle"/>
        <w:rPr>
          <w:lang w:val="en-GB"/>
        </w:rPr>
      </w:pPr>
      <w:r>
        <w:rPr>
          <w:lang w:val="en-GB"/>
        </w:rPr>
        <w:t>Difference in the time delay between the lower and upper frequencies</w:t>
      </w:r>
      <w:r>
        <w:rPr>
          <w:lang w:val="en-GB"/>
        </w:rPr>
        <w:br/>
        <w:t xml:space="preserve">of the spectrum of a pulse of width, </w:t>
      </w:r>
      <w:r>
        <w:rPr>
          <w:lang w:val="en-GB"/>
        </w:rPr>
        <w:sym w:font="Symbol" w:char="F074"/>
      </w:r>
      <w:r>
        <w:rPr>
          <w:lang w:val="en-GB"/>
        </w:rPr>
        <w:t>, transmitted through</w:t>
      </w:r>
      <w:r>
        <w:rPr>
          <w:lang w:val="en-GB"/>
        </w:rPr>
        <w:br/>
        <w:t>the ionosphere, one way traversal</w:t>
      </w:r>
    </w:p>
    <w:p w:rsidR="007028BB" w:rsidRDefault="007028BB" w:rsidP="007028BB">
      <w:pPr>
        <w:pStyle w:val="Figure"/>
        <w:rPr>
          <w:lang w:val="en-GB"/>
        </w:rPr>
      </w:pPr>
      <w:r>
        <w:rPr>
          <w:noProof/>
          <w:lang w:val="en-US" w:eastAsia="zh-CN"/>
        </w:rPr>
        <w:drawing>
          <wp:inline distT="0" distB="0" distL="0" distR="0" wp14:anchorId="271D4043" wp14:editId="2837114C">
            <wp:extent cx="4884420" cy="3779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4420" cy="3779520"/>
                    </a:xfrm>
                    <a:prstGeom prst="rect">
                      <a:avLst/>
                    </a:prstGeom>
                    <a:noFill/>
                    <a:ln>
                      <a:noFill/>
                    </a:ln>
                  </pic:spPr>
                </pic:pic>
              </a:graphicData>
            </a:graphic>
          </wp:inline>
        </w:drawing>
      </w:r>
    </w:p>
    <w:p w:rsidR="007028BB" w:rsidRPr="002A5617" w:rsidRDefault="007028BB" w:rsidP="007028BB">
      <w:pPr>
        <w:pStyle w:val="Heading1"/>
        <w:rPr>
          <w:lang w:val="en-US"/>
        </w:rPr>
      </w:pPr>
      <w:bookmarkStart w:id="45" w:name="_Toc392319758"/>
      <w:bookmarkStart w:id="46" w:name="_Toc101234731"/>
      <w:bookmarkStart w:id="47" w:name="_Toc101235047"/>
      <w:bookmarkStart w:id="48" w:name="_Toc101261551"/>
      <w:bookmarkStart w:id="49" w:name="_Toc115521887"/>
      <w:bookmarkEnd w:id="24"/>
      <w:r w:rsidRPr="002A5617">
        <w:rPr>
          <w:lang w:val="en-US"/>
        </w:rPr>
        <w:lastRenderedPageBreak/>
        <w:t>4</w:t>
      </w:r>
      <w:r w:rsidRPr="002A5617">
        <w:rPr>
          <w:lang w:val="en-US"/>
        </w:rPr>
        <w:tab/>
        <w:t>Principal degradation due to irregularities</w:t>
      </w:r>
      <w:bookmarkEnd w:id="45"/>
      <w:bookmarkEnd w:id="46"/>
      <w:bookmarkEnd w:id="47"/>
      <w:bookmarkEnd w:id="48"/>
      <w:bookmarkEnd w:id="49"/>
    </w:p>
    <w:p w:rsidR="007028BB" w:rsidRPr="002A5617" w:rsidRDefault="007028BB" w:rsidP="007028BB">
      <w:pPr>
        <w:pStyle w:val="Heading2"/>
        <w:rPr>
          <w:lang w:val="en-US"/>
        </w:rPr>
      </w:pPr>
      <w:bookmarkStart w:id="50" w:name="_Toc392319759"/>
      <w:bookmarkStart w:id="51" w:name="_Toc101234732"/>
      <w:bookmarkStart w:id="52" w:name="_Toc101235048"/>
      <w:bookmarkStart w:id="53" w:name="_Toc101261552"/>
      <w:bookmarkStart w:id="54" w:name="_Toc115521888"/>
      <w:r w:rsidRPr="002A5617">
        <w:rPr>
          <w:lang w:val="en-US"/>
        </w:rPr>
        <w:t>4.1</w:t>
      </w:r>
      <w:r w:rsidRPr="002A5617">
        <w:rPr>
          <w:lang w:val="en-US"/>
        </w:rPr>
        <w:tab/>
        <w:t>Scintillation</w:t>
      </w:r>
      <w:bookmarkEnd w:id="50"/>
      <w:bookmarkEnd w:id="51"/>
      <w:bookmarkEnd w:id="52"/>
      <w:bookmarkEnd w:id="53"/>
      <w:bookmarkEnd w:id="54"/>
    </w:p>
    <w:p w:rsidR="007028BB" w:rsidRPr="002A5617" w:rsidRDefault="007028BB" w:rsidP="007C25EE">
      <w:pPr>
        <w:rPr>
          <w:lang w:val="en-US"/>
        </w:rPr>
      </w:pPr>
      <w:r w:rsidRPr="002A5617">
        <w:rPr>
          <w:lang w:val="en-US"/>
        </w:rPr>
        <w:t xml:space="preserve">One of the most severe disruptions along a trans-ionospheric propagation path for signals below 3 GHz is caused by ionospheric scintillation. </w:t>
      </w:r>
      <w:r w:rsidRPr="002A5617">
        <w:rPr>
          <w:szCs w:val="24"/>
          <w:lang w:val="en-US"/>
        </w:rPr>
        <w:t>Ionospheric scintillation effects may be observed occasionally up to 10</w:t>
      </w:r>
      <w:r w:rsidR="007C25EE">
        <w:rPr>
          <w:szCs w:val="24"/>
          <w:lang w:val="en-US"/>
        </w:rPr>
        <w:t> </w:t>
      </w:r>
      <w:r w:rsidRPr="002A5617">
        <w:rPr>
          <w:szCs w:val="24"/>
          <w:lang w:val="en-US"/>
        </w:rPr>
        <w:t xml:space="preserve">GHz. </w:t>
      </w:r>
      <w:r w:rsidRPr="002A5617">
        <w:rPr>
          <w:szCs w:val="22"/>
          <w:lang w:val="en-US"/>
        </w:rPr>
        <w:t xml:space="preserve">Scintillations are created by fluctuations of the refractive index, which are caused by inhomogeneities in the medium. At the receiver, the signal exhibits rapid amplitude and phase fluctuations, and modifications to its time coherence properties. </w:t>
      </w:r>
      <w:r w:rsidRPr="002A5617">
        <w:rPr>
          <w:lang w:val="en-US"/>
        </w:rPr>
        <w:t>Principally through the mechanisms of forward scattering and diffraction, small-scale irregular structures in the ionization density cause scintil</w:t>
      </w:r>
      <w:r w:rsidRPr="002A5617">
        <w:rPr>
          <w:lang w:val="en-US"/>
        </w:rPr>
        <w:softHyphen/>
        <w:t xml:space="preserve">lation phenomena in which the steady signal at the receiver is replaced by one which is fluctuating in amplitude, phase and apparent direction of arrival. Depending on the modulation of the system, various aspects of scintillation affect the system performance differently. The most commonly used parameter characterizing the intensity fluctuations is the scintillation index </w:t>
      </w:r>
      <w:r w:rsidRPr="002A5617">
        <w:rPr>
          <w:i/>
          <w:lang w:val="en-US"/>
        </w:rPr>
        <w:t>S</w:t>
      </w:r>
      <w:r w:rsidRPr="002A5617">
        <w:rPr>
          <w:vertAlign w:val="subscript"/>
          <w:lang w:val="en-US"/>
        </w:rPr>
        <w:t>4</w:t>
      </w:r>
      <w:r w:rsidRPr="002A5617">
        <w:rPr>
          <w:lang w:val="en-US"/>
        </w:rPr>
        <w:t>, defined by equation (5):</w:t>
      </w:r>
    </w:p>
    <w:p w:rsidR="007028BB" w:rsidRDefault="007028BB" w:rsidP="007028BB">
      <w:pPr>
        <w:pStyle w:val="Blanc"/>
      </w:pPr>
    </w:p>
    <w:p w:rsidR="007028BB" w:rsidRPr="002A5617" w:rsidRDefault="007028BB" w:rsidP="007028BB">
      <w:pPr>
        <w:pStyle w:val="Equation"/>
        <w:rPr>
          <w:lang w:val="en-US"/>
        </w:rPr>
      </w:pPr>
      <w:r w:rsidRPr="002A5617">
        <w:rPr>
          <w:lang w:val="en-US"/>
        </w:rPr>
        <w:tab/>
      </w:r>
      <w:r w:rsidRPr="002A5617">
        <w:rPr>
          <w:lang w:val="en-US"/>
        </w:rPr>
        <w:tab/>
      </w:r>
      <w:r>
        <w:rPr>
          <w:position w:val="-48"/>
        </w:rPr>
        <w:object w:dxaOrig="2240" w:dyaOrig="1200">
          <v:shape id="_x0000_i1027" type="#_x0000_t75" style="width:111.75pt;height:60.2pt" o:ole="">
            <v:imagedata r:id="rId21" o:title=""/>
          </v:shape>
          <o:OLEObject Type="Embed" ProgID="Equation.3" ShapeID="_x0000_i1027" DrawAspect="Content" ObjectID="_1545741296" r:id="rId22"/>
        </w:object>
      </w:r>
      <w:r w:rsidRPr="002A5617">
        <w:rPr>
          <w:lang w:val="en-US"/>
        </w:rPr>
        <w:tab/>
        <w:t>(5)</w:t>
      </w:r>
    </w:p>
    <w:p w:rsidR="007028BB" w:rsidRDefault="007028BB" w:rsidP="007028BB">
      <w:pPr>
        <w:pStyle w:val="Blanc"/>
      </w:pPr>
    </w:p>
    <w:p w:rsidR="007028BB" w:rsidRPr="002A5617" w:rsidRDefault="007028BB" w:rsidP="00AF5B05">
      <w:pPr>
        <w:rPr>
          <w:lang w:val="en-US"/>
        </w:rPr>
      </w:pPr>
      <w:r w:rsidRPr="002A5617">
        <w:rPr>
          <w:lang w:val="en-US"/>
        </w:rPr>
        <w:t xml:space="preserve">where </w:t>
      </w:r>
      <w:r w:rsidRPr="002A5617">
        <w:rPr>
          <w:i/>
          <w:lang w:val="en-US"/>
        </w:rPr>
        <w:t>I</w:t>
      </w:r>
      <w:r w:rsidR="00AF5B05" w:rsidRPr="00B83149">
        <w:rPr>
          <w:lang w:val="en-US"/>
        </w:rPr>
        <w:t xml:space="preserve"> </w:t>
      </w:r>
      <w:r w:rsidRPr="002A5617">
        <w:rPr>
          <w:lang w:val="en-US"/>
        </w:rPr>
        <w:t xml:space="preserve">is the intensity of the signal (proportional to the square of the signal amplitude) and </w:t>
      </w:r>
      <w:r>
        <w:rPr>
          <w:rFonts w:ascii="Symbol" w:hAnsi="Symbol"/>
        </w:rPr>
        <w:t></w:t>
      </w:r>
      <w:r w:rsidRPr="002A5617">
        <w:rPr>
          <w:rFonts w:hint="eastAsia"/>
          <w:lang w:val="en-US"/>
        </w:rPr>
        <w:t> </w:t>
      </w:r>
      <w:r>
        <w:rPr>
          <w:rFonts w:ascii="Symbol" w:hAnsi="Symbol"/>
        </w:rPr>
        <w:t></w:t>
      </w:r>
      <w:r w:rsidRPr="002A5617">
        <w:rPr>
          <w:lang w:val="en-US"/>
        </w:rPr>
        <w:t xml:space="preserve"> denotes averaging.</w:t>
      </w:r>
    </w:p>
    <w:p w:rsidR="007028BB" w:rsidRPr="00880908" w:rsidRDefault="00880908" w:rsidP="007028BB">
      <w:pPr>
        <w:rPr>
          <w:lang w:val="en-US"/>
        </w:rPr>
      </w:pPr>
      <w:r w:rsidRPr="00880908">
        <w:rPr>
          <w:lang w:val="en-US"/>
        </w:rPr>
        <w:t xml:space="preserve">The scintillation index </w:t>
      </w:r>
      <w:r w:rsidRPr="00880908">
        <w:rPr>
          <w:i/>
          <w:lang w:val="en-US"/>
        </w:rPr>
        <w:t>S</w:t>
      </w:r>
      <w:r w:rsidRPr="00880908">
        <w:rPr>
          <w:vertAlign w:val="subscript"/>
          <w:lang w:val="en-US"/>
        </w:rPr>
        <w:t>4</w:t>
      </w:r>
      <w:r w:rsidRPr="00880908">
        <w:rPr>
          <w:lang w:val="en-US"/>
        </w:rPr>
        <w:t xml:space="preserve"> is related to the peak-to-peak fluctuations of the intensity. The exact relationship between </w:t>
      </w:r>
      <w:r w:rsidRPr="00880908">
        <w:rPr>
          <w:lang w:val="en-US" w:eastAsia="zh-CN"/>
        </w:rPr>
        <w:t xml:space="preserve">the scintillation index </w:t>
      </w:r>
      <w:r w:rsidRPr="00880908">
        <w:rPr>
          <w:i/>
          <w:lang w:val="en-US" w:eastAsia="zh-CN"/>
        </w:rPr>
        <w:t>S</w:t>
      </w:r>
      <w:r w:rsidRPr="00880908">
        <w:rPr>
          <w:vertAlign w:val="subscript"/>
          <w:lang w:val="en-US" w:eastAsia="zh-CN"/>
        </w:rPr>
        <w:t>4</w:t>
      </w:r>
      <w:r w:rsidRPr="00880908">
        <w:rPr>
          <w:lang w:val="en-US" w:eastAsia="zh-CN"/>
        </w:rPr>
        <w:t xml:space="preserve"> and the peak-to-peak fluctuations of the intensity</w:t>
      </w:r>
      <w:r w:rsidRPr="00880908">
        <w:rPr>
          <w:lang w:val="en-US"/>
        </w:rPr>
        <w:t xml:space="preserve"> depends on the distribution of the intensity </w:t>
      </w:r>
      <w:r w:rsidRPr="00880908">
        <w:rPr>
          <w:lang w:val="en-US" w:eastAsia="zh-CN"/>
        </w:rPr>
        <w:t xml:space="preserve">and the detrending algorithm for the intensity related to </w:t>
      </w:r>
      <w:r w:rsidRPr="00880908">
        <w:rPr>
          <w:lang w:val="en-US"/>
        </w:rPr>
        <w:t>the</w:t>
      </w:r>
      <w:r w:rsidRPr="00880908">
        <w:rPr>
          <w:lang w:val="en-US" w:eastAsia="zh-CN"/>
        </w:rPr>
        <w:t xml:space="preserve"> computation procedure of the scintillation index </w:t>
      </w:r>
      <w:r w:rsidRPr="00880908">
        <w:rPr>
          <w:i/>
          <w:lang w:val="en-US" w:eastAsia="zh-CN"/>
        </w:rPr>
        <w:t>S</w:t>
      </w:r>
      <w:r w:rsidRPr="00880908">
        <w:rPr>
          <w:vertAlign w:val="subscript"/>
          <w:lang w:val="en-US" w:eastAsia="zh-CN"/>
        </w:rPr>
        <w:t>4</w:t>
      </w:r>
      <w:r w:rsidRPr="00880908">
        <w:rPr>
          <w:lang w:val="en-US"/>
        </w:rPr>
        <w:t xml:space="preserve">. The intensity distribution is best described by the Nakagami distribution for a wide range of </w:t>
      </w:r>
      <w:r w:rsidRPr="00880908">
        <w:rPr>
          <w:i/>
          <w:lang w:val="en-US"/>
        </w:rPr>
        <w:t>S</w:t>
      </w:r>
      <w:r w:rsidRPr="00880908">
        <w:rPr>
          <w:vertAlign w:val="subscript"/>
          <w:lang w:val="en-US"/>
        </w:rPr>
        <w:t>4</w:t>
      </w:r>
      <w:r w:rsidRPr="00880908">
        <w:rPr>
          <w:lang w:val="en-US"/>
        </w:rPr>
        <w:t xml:space="preserve"> values.</w:t>
      </w:r>
    </w:p>
    <w:p w:rsidR="007028BB" w:rsidRPr="002A5617" w:rsidRDefault="007028BB" w:rsidP="007028BB">
      <w:pPr>
        <w:rPr>
          <w:lang w:val="en-US"/>
        </w:rPr>
      </w:pPr>
      <w:r w:rsidRPr="002A5617">
        <w:rPr>
          <w:lang w:val="en-US"/>
        </w:rPr>
        <w:t xml:space="preserve">Scintillation strength may, for convenience, be classified into three regimes: weak, moderate or strong. The weak values correspond to </w:t>
      </w:r>
      <w:r w:rsidRPr="002A5617">
        <w:rPr>
          <w:i/>
          <w:iCs/>
          <w:lang w:val="en-US"/>
        </w:rPr>
        <w:t>S</w:t>
      </w:r>
      <w:r w:rsidRPr="002A5617">
        <w:rPr>
          <w:vertAlign w:val="subscript"/>
          <w:lang w:val="en-US"/>
        </w:rPr>
        <w:t>4</w:t>
      </w:r>
      <w:r w:rsidRPr="002A5617">
        <w:rPr>
          <w:lang w:val="en-US"/>
        </w:rPr>
        <w:t xml:space="preserve"> &lt; 0.3, the moderate values from 0.3 to 0.6 and the strong case for </w:t>
      </w:r>
      <w:r w:rsidRPr="002A5617">
        <w:rPr>
          <w:i/>
          <w:iCs/>
          <w:lang w:val="en-US"/>
        </w:rPr>
        <w:t>S</w:t>
      </w:r>
      <w:r w:rsidRPr="002A5617">
        <w:rPr>
          <w:vertAlign w:val="subscript"/>
          <w:lang w:val="en-US"/>
        </w:rPr>
        <w:t>4</w:t>
      </w:r>
      <w:r w:rsidRPr="002A5617">
        <w:rPr>
          <w:lang w:val="en-US"/>
        </w:rPr>
        <w:t xml:space="preserve"> &gt; 0.6.</w:t>
      </w:r>
    </w:p>
    <w:p w:rsidR="007028BB" w:rsidRPr="00BF0170" w:rsidRDefault="007028BB" w:rsidP="007028BB">
      <w:pPr>
        <w:rPr>
          <w:lang w:val="en-US"/>
        </w:rPr>
      </w:pPr>
      <w:r w:rsidRPr="002A5617">
        <w:rPr>
          <w:lang w:val="en-US"/>
        </w:rPr>
        <w:t xml:space="preserve">For weak and moderate regimes, </w:t>
      </w:r>
      <w:r w:rsidRPr="002A5617">
        <w:rPr>
          <w:i/>
          <w:lang w:val="en-US"/>
        </w:rPr>
        <w:t>S</w:t>
      </w:r>
      <w:r w:rsidRPr="002A5617">
        <w:rPr>
          <w:vertAlign w:val="subscript"/>
          <w:lang w:val="en-US"/>
        </w:rPr>
        <w:t xml:space="preserve">4 </w:t>
      </w:r>
      <w:r w:rsidRPr="002A5617">
        <w:rPr>
          <w:lang w:val="en-US"/>
        </w:rPr>
        <w:t xml:space="preserve">shows a consistent </w:t>
      </w:r>
      <w:r w:rsidRPr="002A5617">
        <w:rPr>
          <w:i/>
          <w:lang w:val="en-US"/>
        </w:rPr>
        <w:t>f</w:t>
      </w:r>
      <w:r w:rsidRPr="002A5617">
        <w:rPr>
          <w:sz w:val="12"/>
          <w:lang w:val="en-US"/>
        </w:rPr>
        <w:t> </w:t>
      </w:r>
      <w:r w:rsidRPr="002A5617">
        <w:rPr>
          <w:vertAlign w:val="superscript"/>
          <w:lang w:val="en-US"/>
        </w:rPr>
        <w:t>–</w:t>
      </w:r>
      <w:r>
        <w:rPr>
          <w:rFonts w:ascii="Symbol" w:hAnsi="Symbol"/>
          <w:vertAlign w:val="superscript"/>
        </w:rPr>
        <w:t></w:t>
      </w:r>
      <w:r w:rsidRPr="002A5617">
        <w:rPr>
          <w:lang w:val="en-US"/>
        </w:rPr>
        <w:t xml:space="preserve"> frequency dependence, with </w:t>
      </w:r>
      <w:r>
        <w:sym w:font="Symbol" w:char="F075"/>
      </w:r>
      <w:r w:rsidRPr="002A5617">
        <w:rPr>
          <w:lang w:val="en-US"/>
        </w:rPr>
        <w:t xml:space="preserve"> being 1.5 for most multifrequency observations. </w:t>
      </w:r>
      <w:r w:rsidRPr="00BF0170">
        <w:rPr>
          <w:lang w:val="en-US"/>
        </w:rPr>
        <w:t xml:space="preserve">In addition for weak regimes the amplitude follows a log-normal distribution. </w:t>
      </w:r>
    </w:p>
    <w:p w:rsidR="007028BB" w:rsidRPr="002A5617" w:rsidRDefault="007028BB" w:rsidP="007028BB">
      <w:pPr>
        <w:rPr>
          <w:lang w:val="en-US"/>
        </w:rPr>
      </w:pPr>
      <w:r w:rsidRPr="002A5617">
        <w:rPr>
          <w:lang w:val="en-US"/>
        </w:rPr>
        <w:t xml:space="preserve">In the strong regime, it has been observed that the </w:t>
      </w:r>
      <w:r>
        <w:sym w:font="Symbol" w:char="F075"/>
      </w:r>
      <w:r w:rsidRPr="002A5617">
        <w:rPr>
          <w:lang w:val="en-US"/>
        </w:rPr>
        <w:t xml:space="preserve"> factor decreases. This is due to the saturation </w:t>
      </w:r>
      <w:r w:rsidRPr="002A5617">
        <w:rPr>
          <w:lang w:val="en-US"/>
        </w:rPr>
        <w:br/>
        <w:t xml:space="preserve">of scintillation under the strong influence of multiple scattering. As </w:t>
      </w:r>
      <w:r w:rsidRPr="002A5617">
        <w:rPr>
          <w:i/>
          <w:lang w:val="en-US"/>
        </w:rPr>
        <w:t>S</w:t>
      </w:r>
      <w:r w:rsidRPr="002A5617">
        <w:rPr>
          <w:vertAlign w:val="subscript"/>
          <w:lang w:val="en-US"/>
        </w:rPr>
        <w:t>4</w:t>
      </w:r>
      <w:r w:rsidRPr="002A5617">
        <w:rPr>
          <w:lang w:val="en-US"/>
        </w:rPr>
        <w:t xml:space="preserve"> approaches 1.0, the intensity follows a Rayleigh distribution. Occasionally, </w:t>
      </w:r>
      <w:r w:rsidRPr="002A5617">
        <w:rPr>
          <w:i/>
          <w:lang w:val="en-US"/>
        </w:rPr>
        <w:t>S</w:t>
      </w:r>
      <w:r w:rsidRPr="002A5617">
        <w:rPr>
          <w:vertAlign w:val="subscript"/>
          <w:lang w:val="en-US"/>
        </w:rPr>
        <w:t xml:space="preserve">4 </w:t>
      </w:r>
      <w:r w:rsidRPr="002A5617">
        <w:rPr>
          <w:lang w:val="en-US"/>
        </w:rPr>
        <w:t xml:space="preserve">may exceed 1, reaching values as high as 1.5. </w:t>
      </w:r>
      <w:r w:rsidRPr="002A5617">
        <w:rPr>
          <w:szCs w:val="24"/>
          <w:lang w:val="en-US"/>
        </w:rPr>
        <w:t xml:space="preserve">Figure 5 shows an example of the frequency dependence of </w:t>
      </w:r>
      <w:r w:rsidRPr="002A5617">
        <w:rPr>
          <w:i/>
          <w:lang w:val="en-US"/>
        </w:rPr>
        <w:t>S</w:t>
      </w:r>
      <w:r w:rsidRPr="002A5617">
        <w:rPr>
          <w:vertAlign w:val="subscript"/>
          <w:lang w:val="en-US"/>
        </w:rPr>
        <w:t>4</w:t>
      </w:r>
      <w:r w:rsidRPr="002A5617">
        <w:rPr>
          <w:szCs w:val="24"/>
          <w:lang w:val="en-US"/>
        </w:rPr>
        <w:t xml:space="preserve"> at VHF and UHF for three auroral stations for weak, moderate and strong scintillations.</w:t>
      </w:r>
      <w:r w:rsidRPr="002A5617">
        <w:rPr>
          <w:lang w:val="en-US"/>
        </w:rPr>
        <w:t xml:space="preserve"> </w:t>
      </w:r>
    </w:p>
    <w:p w:rsidR="007028BB" w:rsidRDefault="007028BB" w:rsidP="007028BB">
      <w:pPr>
        <w:rPr>
          <w:lang w:val="en-US"/>
        </w:rPr>
      </w:pPr>
      <w:r w:rsidRPr="002A5617">
        <w:rPr>
          <w:lang w:val="en-US"/>
        </w:rPr>
        <w:t>The phase scintillations follow a Gaussian distribution with zero mean. The standard deviation is used to characterize the phase scintillations (</w:t>
      </w:r>
      <w:r>
        <w:t>σ</w:t>
      </w:r>
      <w:r w:rsidRPr="00D06EF5">
        <w:rPr>
          <w:vertAlign w:val="subscript"/>
        </w:rPr>
        <w:t>φ</w:t>
      </w:r>
      <w:r w:rsidRPr="002A5617">
        <w:rPr>
          <w:lang w:val="en-US"/>
        </w:rPr>
        <w:t>).</w:t>
      </w:r>
      <w:r w:rsidRPr="002A5617">
        <w:rPr>
          <w:szCs w:val="24"/>
          <w:lang w:val="en-US"/>
        </w:rPr>
        <w:t xml:space="preserve"> For weak and moderate regimes, </w:t>
      </w:r>
      <w:r w:rsidRPr="002A5617">
        <w:rPr>
          <w:lang w:val="en-US"/>
        </w:rPr>
        <w:t xml:space="preserve">most observations in equatorial regions indicate that phase and intensity scintillation are strongly correlated; </w:t>
      </w:r>
      <w:r w:rsidRPr="002A5617">
        <w:rPr>
          <w:i/>
          <w:iCs/>
          <w:lang w:val="en-US"/>
        </w:rPr>
        <w:t>S</w:t>
      </w:r>
      <w:r w:rsidRPr="002A5617">
        <w:rPr>
          <w:vertAlign w:val="subscript"/>
          <w:lang w:val="en-US"/>
        </w:rPr>
        <w:t>4</w:t>
      </w:r>
      <w:r w:rsidRPr="002A5617">
        <w:rPr>
          <w:lang w:val="en-US"/>
        </w:rPr>
        <w:t xml:space="preserve"> and </w:t>
      </w:r>
      <w:r>
        <w:t>σ</w:t>
      </w:r>
      <w:r w:rsidRPr="00D06EF5">
        <w:rPr>
          <w:vertAlign w:val="subscript"/>
        </w:rPr>
        <w:t>φ</w:t>
      </w:r>
      <w:r w:rsidRPr="002A5617">
        <w:rPr>
          <w:vertAlign w:val="subscript"/>
          <w:lang w:val="en-US"/>
        </w:rPr>
        <w:t xml:space="preserve">  </w:t>
      </w:r>
      <w:r w:rsidRPr="002A5617">
        <w:rPr>
          <w:lang w:val="en-US"/>
        </w:rPr>
        <w:t>(when expressed in radians) have similar values.</w:t>
      </w:r>
    </w:p>
    <w:p w:rsidR="007028BB" w:rsidRPr="002A5617" w:rsidRDefault="007028BB" w:rsidP="007028BB">
      <w:pPr>
        <w:pStyle w:val="FigureNo"/>
        <w:rPr>
          <w:lang w:val="en-US"/>
        </w:rPr>
      </w:pPr>
      <w:r w:rsidRPr="002A5617">
        <w:rPr>
          <w:lang w:val="en-US"/>
        </w:rPr>
        <w:lastRenderedPageBreak/>
        <w:t>FIGURE 5</w:t>
      </w:r>
    </w:p>
    <w:p w:rsidR="007028BB" w:rsidRPr="002A5617" w:rsidRDefault="007028BB" w:rsidP="007028BB">
      <w:pPr>
        <w:pStyle w:val="Figuretitle"/>
        <w:rPr>
          <w:lang w:val="en-US" w:eastAsia="en-GB"/>
        </w:rPr>
      </w:pPr>
      <w:r w:rsidRPr="002A5617">
        <w:rPr>
          <w:lang w:val="en-US" w:eastAsia="en-GB"/>
        </w:rPr>
        <w:t xml:space="preserve">Scintillation indices measured at Kiruna (a), Lulea (b), and Kokkola (c) at 150 MHz </w:t>
      </w:r>
      <w:r w:rsidRPr="002A5617">
        <w:rPr>
          <w:lang w:val="en-US" w:eastAsia="en-GB"/>
        </w:rPr>
        <w:br/>
        <w:t xml:space="preserve">(dotted line) and 400 MHz (dashed line), as recorded from polar orbiting </w:t>
      </w:r>
      <w:r w:rsidRPr="002A5617">
        <w:rPr>
          <w:lang w:val="en-US" w:eastAsia="en-GB"/>
        </w:rPr>
        <w:br/>
        <w:t>LEO Tsykada satellites during disturbed conditions on 30 Oct</w:t>
      </w:r>
      <w:r>
        <w:rPr>
          <w:lang w:val="en-US" w:eastAsia="en-GB"/>
        </w:rPr>
        <w:t>ober</w:t>
      </w:r>
      <w:r w:rsidRPr="002A5617">
        <w:rPr>
          <w:lang w:val="en-US" w:eastAsia="en-GB"/>
        </w:rPr>
        <w:t xml:space="preserve"> 2003</w:t>
      </w:r>
    </w:p>
    <w:p w:rsidR="007028BB" w:rsidRPr="007C079D" w:rsidRDefault="007028BB" w:rsidP="007028BB">
      <w:pPr>
        <w:pStyle w:val="Figure"/>
        <w:rPr>
          <w:b/>
          <w:color w:val="000000"/>
          <w:lang w:eastAsia="en-GB"/>
        </w:rPr>
      </w:pPr>
      <w:r>
        <w:rPr>
          <w:noProof/>
          <w:lang w:val="en-US" w:eastAsia="zh-CN"/>
        </w:rPr>
        <w:drawing>
          <wp:inline distT="0" distB="0" distL="0" distR="0" wp14:anchorId="639F6AF9" wp14:editId="75D7AE8A">
            <wp:extent cx="4221480" cy="36347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1480" cy="3634740"/>
                    </a:xfrm>
                    <a:prstGeom prst="rect">
                      <a:avLst/>
                    </a:prstGeom>
                    <a:noFill/>
                    <a:ln>
                      <a:noFill/>
                    </a:ln>
                  </pic:spPr>
                </pic:pic>
              </a:graphicData>
            </a:graphic>
          </wp:inline>
        </w:drawing>
      </w:r>
    </w:p>
    <w:p w:rsidR="007028BB" w:rsidRDefault="00880908" w:rsidP="007028BB">
      <w:pPr>
        <w:rPr>
          <w:lang w:val="en-GB"/>
        </w:rPr>
      </w:pPr>
      <w:r w:rsidRPr="00880908">
        <w:rPr>
          <w:lang w:val="en-US"/>
        </w:rPr>
        <w:t xml:space="preserve">Empirically, Table 1 provides a convenient conversion between </w:t>
      </w:r>
      <w:r w:rsidRPr="00880908">
        <w:rPr>
          <w:i/>
          <w:lang w:val="en-US"/>
        </w:rPr>
        <w:t>S</w:t>
      </w:r>
      <w:r w:rsidRPr="00880908">
        <w:rPr>
          <w:vertAlign w:val="subscript"/>
          <w:lang w:val="en-US"/>
        </w:rPr>
        <w:t>4</w:t>
      </w:r>
      <w:r w:rsidRPr="00880908">
        <w:rPr>
          <w:lang w:val="en-US"/>
        </w:rPr>
        <w:t xml:space="preserve"> and the approximate peak</w:t>
      </w:r>
      <w:r w:rsidRPr="00880908">
        <w:rPr>
          <w:lang w:val="en-US"/>
        </w:rPr>
        <w:noBreakHyphen/>
        <w:t>to</w:t>
      </w:r>
      <w:r w:rsidRPr="00880908">
        <w:rPr>
          <w:lang w:val="en-US"/>
        </w:rPr>
        <w:noBreakHyphen/>
        <w:t xml:space="preserve">peak fluctuations </w:t>
      </w:r>
      <w:r w:rsidRPr="00880908">
        <w:rPr>
          <w:i/>
          <w:lang w:val="en-US"/>
        </w:rPr>
        <w:t>P</w:t>
      </w:r>
      <w:r w:rsidRPr="00880908">
        <w:rPr>
          <w:i/>
          <w:vertAlign w:val="subscript"/>
          <w:lang w:val="en-US"/>
        </w:rPr>
        <w:t>fluc</w:t>
      </w:r>
      <w:r w:rsidRPr="00880908">
        <w:rPr>
          <w:lang w:val="en-US"/>
        </w:rPr>
        <w:t xml:space="preserve"> (dB), </w:t>
      </w:r>
      <w:r>
        <w:rPr>
          <w:lang w:val="en-US" w:eastAsia="zh-CN"/>
        </w:rPr>
        <w:t>w</w:t>
      </w:r>
      <w:r>
        <w:rPr>
          <w:rFonts w:hint="eastAsia"/>
          <w:lang w:val="en-US" w:eastAsia="zh-CN"/>
        </w:rPr>
        <w:t xml:space="preserve">hen </w:t>
      </w:r>
      <w:r>
        <w:rPr>
          <w:lang w:val="en-US" w:eastAsia="zh-CN"/>
        </w:rPr>
        <w:t xml:space="preserve">the </w:t>
      </w:r>
      <w:r w:rsidRPr="00880908">
        <w:rPr>
          <w:rFonts w:hint="eastAsia"/>
          <w:i/>
          <w:iCs/>
          <w:lang w:val="en-US" w:eastAsia="zh-CN"/>
        </w:rPr>
        <w:t>S</w:t>
      </w:r>
      <w:r w:rsidRPr="005316E8">
        <w:rPr>
          <w:rFonts w:hint="eastAsia"/>
          <w:vertAlign w:val="subscript"/>
          <w:lang w:val="en-US" w:eastAsia="zh-CN"/>
        </w:rPr>
        <w:t>4</w:t>
      </w:r>
      <w:r>
        <w:rPr>
          <w:rFonts w:hint="eastAsia"/>
          <w:lang w:val="en-US" w:eastAsia="zh-CN"/>
        </w:rPr>
        <w:t xml:space="preserve"> index is not greater</w:t>
      </w:r>
      <w:r>
        <w:rPr>
          <w:lang w:val="en-US" w:eastAsia="zh-CN"/>
        </w:rPr>
        <w:t xml:space="preserve"> </w:t>
      </w:r>
      <w:r>
        <w:rPr>
          <w:rFonts w:hint="eastAsia"/>
          <w:lang w:val="en-US" w:eastAsia="zh-CN"/>
        </w:rPr>
        <w:t>than 1.0</w:t>
      </w:r>
      <w:r w:rsidRPr="00880908">
        <w:rPr>
          <w:lang w:val="en-US"/>
        </w:rPr>
        <w:t xml:space="preserve">. </w:t>
      </w:r>
      <w:r w:rsidRPr="00DB691F">
        <w:rPr>
          <w:lang w:val="en-US"/>
        </w:rPr>
        <w:t>This relationship can be approximated by:</w:t>
      </w:r>
    </w:p>
    <w:p w:rsidR="007028BB" w:rsidRDefault="007028BB" w:rsidP="007028BB">
      <w:pPr>
        <w:pStyle w:val="Blanc"/>
      </w:pPr>
    </w:p>
    <w:p w:rsidR="007028BB" w:rsidRDefault="007028BB" w:rsidP="007028BB">
      <w:pPr>
        <w:pStyle w:val="Equation"/>
        <w:rPr>
          <w:lang w:val="en-GB"/>
        </w:rPr>
      </w:pPr>
      <w:r>
        <w:rPr>
          <w:lang w:val="en-GB"/>
        </w:rPr>
        <w:tab/>
      </w:r>
      <w:r>
        <w:rPr>
          <w:lang w:val="en-GB"/>
        </w:rPr>
        <w:tab/>
      </w:r>
      <w:r>
        <w:rPr>
          <w:i/>
          <w:lang w:val="en-GB"/>
        </w:rPr>
        <w:t>P</w:t>
      </w:r>
      <w:r>
        <w:rPr>
          <w:i/>
          <w:vertAlign w:val="subscript"/>
          <w:lang w:val="en-GB"/>
        </w:rPr>
        <w:t>fluc</w:t>
      </w:r>
      <w:r>
        <w:rPr>
          <w:lang w:val="en-GB"/>
        </w:rPr>
        <w:t xml:space="preserve"> </w:t>
      </w:r>
      <w:r>
        <w:rPr>
          <w:rFonts w:ascii="Symbol" w:hAnsi="Symbol"/>
        </w:rPr>
        <w:t></w:t>
      </w:r>
      <w:r>
        <w:rPr>
          <w:lang w:val="en-GB"/>
        </w:rPr>
        <w:t xml:space="preserve"> 27.5 </w:t>
      </w:r>
      <w:r>
        <w:rPr>
          <w:i/>
          <w:lang w:val="en-GB"/>
        </w:rPr>
        <w:t>S</w:t>
      </w:r>
      <w:r>
        <w:rPr>
          <w:vertAlign w:val="subscript"/>
          <w:lang w:val="en-GB"/>
        </w:rPr>
        <w:t>4</w:t>
      </w:r>
      <w:r>
        <w:rPr>
          <w:vertAlign w:val="superscript"/>
          <w:lang w:val="en-GB"/>
        </w:rPr>
        <w:t>1.26</w:t>
      </w:r>
      <w:r>
        <w:rPr>
          <w:lang w:val="en-GB"/>
        </w:rPr>
        <w:tab/>
        <w:t>(6)</w:t>
      </w:r>
    </w:p>
    <w:p w:rsidR="00880908" w:rsidRPr="008A6F9E" w:rsidRDefault="00066AD3" w:rsidP="00880908">
      <w:pPr>
        <w:pStyle w:val="Equation"/>
        <w:rPr>
          <w:lang w:val="en-US" w:eastAsia="zh-CN"/>
        </w:rPr>
      </w:pPr>
      <w:r w:rsidRPr="00DB691F">
        <w:rPr>
          <w:lang w:val="en-US" w:eastAsia="zh-CN"/>
        </w:rPr>
        <w:t>w</w:t>
      </w:r>
      <w:r w:rsidR="00880908" w:rsidRPr="00DB691F">
        <w:rPr>
          <w:rFonts w:hint="eastAsia"/>
          <w:lang w:val="en-US" w:eastAsia="zh-CN"/>
        </w:rPr>
        <w:t>here 0.0</w:t>
      </w:r>
      <w:r w:rsidR="00880908" w:rsidRPr="00DB691F">
        <w:rPr>
          <w:lang w:val="en-US" w:eastAsia="zh-CN"/>
        </w:rPr>
        <w:t xml:space="preserve"> </w:t>
      </w:r>
      <w:r w:rsidR="00880908">
        <w:rPr>
          <w:rFonts w:hint="eastAsia"/>
          <w:lang w:eastAsia="zh-CN"/>
        </w:rPr>
        <w:sym w:font="Symbol" w:char="F0A3"/>
      </w:r>
      <w:r w:rsidR="00880908" w:rsidRPr="00DB691F">
        <w:rPr>
          <w:rFonts w:hint="eastAsia"/>
          <w:lang w:val="en-US" w:eastAsia="zh-CN"/>
        </w:rPr>
        <w:t xml:space="preserve"> </w:t>
      </w:r>
      <w:r w:rsidR="00880908" w:rsidRPr="00DB691F">
        <w:rPr>
          <w:i/>
          <w:lang w:val="en-US" w:eastAsia="zh-CN"/>
        </w:rPr>
        <w:t>S</w:t>
      </w:r>
      <w:r w:rsidR="00880908" w:rsidRPr="00DB691F">
        <w:rPr>
          <w:vertAlign w:val="subscript"/>
          <w:lang w:val="en-US" w:eastAsia="zh-CN"/>
        </w:rPr>
        <w:t>4</w:t>
      </w:r>
      <w:r w:rsidR="00880908" w:rsidRPr="00DB691F">
        <w:rPr>
          <w:rFonts w:hint="eastAsia"/>
          <w:lang w:val="en-US" w:eastAsia="zh-CN"/>
        </w:rPr>
        <w:t xml:space="preserve"> </w:t>
      </w:r>
      <w:r w:rsidR="00880908">
        <w:rPr>
          <w:rFonts w:hint="eastAsia"/>
          <w:lang w:eastAsia="zh-CN"/>
        </w:rPr>
        <w:sym w:font="Symbol" w:char="F0A3"/>
      </w:r>
      <w:r w:rsidR="00880908" w:rsidRPr="00DB691F">
        <w:rPr>
          <w:rFonts w:hint="eastAsia"/>
          <w:lang w:val="en-US" w:eastAsia="zh-CN"/>
        </w:rPr>
        <w:t xml:space="preserve"> 1.0.</w:t>
      </w:r>
    </w:p>
    <w:p w:rsidR="007028BB" w:rsidRDefault="007028BB" w:rsidP="007028BB">
      <w:pPr>
        <w:pStyle w:val="TableNo"/>
        <w:rPr>
          <w:lang w:val="en-GB"/>
        </w:rPr>
      </w:pPr>
      <w:r>
        <w:rPr>
          <w:lang w:val="en-GB"/>
        </w:rPr>
        <w:t>TABLE 1</w:t>
      </w:r>
    </w:p>
    <w:p w:rsidR="007028BB" w:rsidRDefault="007028BB" w:rsidP="007028BB">
      <w:pPr>
        <w:pStyle w:val="Tabletitle"/>
        <w:rPr>
          <w:lang w:val="en-GB"/>
        </w:rPr>
      </w:pPr>
      <w:r>
        <w:rPr>
          <w:lang w:val="en-GB"/>
        </w:rPr>
        <w:t>Empirical conversion table for scintillation indices</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7028BB" w:rsidTr="006909C1">
        <w:trPr>
          <w:cantSplit/>
          <w:jc w:val="center"/>
        </w:trPr>
        <w:tc>
          <w:tcPr>
            <w:tcW w:w="2552" w:type="dxa"/>
            <w:tcBorders>
              <w:bottom w:val="single" w:sz="4" w:space="0" w:color="auto"/>
            </w:tcBorders>
            <w:vAlign w:val="center"/>
          </w:tcPr>
          <w:p w:rsidR="007028BB" w:rsidRDefault="007028BB" w:rsidP="006909C1">
            <w:pPr>
              <w:pStyle w:val="Tablehead"/>
              <w:rPr>
                <w:lang w:val="en-GB"/>
              </w:rPr>
            </w:pPr>
            <w:bookmarkStart w:id="55" w:name="_Toc392319760"/>
            <w:r>
              <w:rPr>
                <w:i/>
                <w:lang w:val="en-GB"/>
              </w:rPr>
              <w:t>S</w:t>
            </w:r>
            <w:r>
              <w:rPr>
                <w:vertAlign w:val="subscript"/>
                <w:lang w:val="en-GB"/>
              </w:rPr>
              <w:t>4</w:t>
            </w:r>
          </w:p>
        </w:tc>
        <w:tc>
          <w:tcPr>
            <w:tcW w:w="2552" w:type="dxa"/>
            <w:tcBorders>
              <w:bottom w:val="single" w:sz="4" w:space="0" w:color="auto"/>
            </w:tcBorders>
            <w:vAlign w:val="center"/>
          </w:tcPr>
          <w:p w:rsidR="007028BB" w:rsidRDefault="007028BB" w:rsidP="006909C1">
            <w:pPr>
              <w:pStyle w:val="Tablehead"/>
              <w:rPr>
                <w:lang w:val="en-GB"/>
              </w:rPr>
            </w:pPr>
            <w:r>
              <w:rPr>
                <w:i/>
                <w:lang w:val="en-GB"/>
              </w:rPr>
              <w:t>P</w:t>
            </w:r>
            <w:r>
              <w:rPr>
                <w:i/>
                <w:iCs/>
                <w:vertAlign w:val="subscript"/>
                <w:lang w:val="en-GB"/>
              </w:rPr>
              <w:t>fluc</w:t>
            </w:r>
            <w:r>
              <w:rPr>
                <w:i/>
                <w:position w:val="-4"/>
                <w:sz w:val="14"/>
                <w:lang w:val="en-GB"/>
              </w:rPr>
              <w:br/>
            </w:r>
            <w:r>
              <w:rPr>
                <w:lang w:val="en-GB"/>
              </w:rPr>
              <w:t>(dB)</w:t>
            </w:r>
          </w:p>
        </w:tc>
      </w:tr>
      <w:tr w:rsidR="007028BB" w:rsidTr="006909C1">
        <w:trPr>
          <w:cantSplit/>
          <w:jc w:val="center"/>
        </w:trPr>
        <w:tc>
          <w:tcPr>
            <w:tcW w:w="2552" w:type="dxa"/>
            <w:tcBorders>
              <w:top w:val="single" w:sz="4" w:space="0" w:color="auto"/>
              <w:bottom w:val="nil"/>
            </w:tcBorders>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0.1</w:t>
            </w:r>
          </w:p>
        </w:tc>
        <w:tc>
          <w:tcPr>
            <w:tcW w:w="2552" w:type="dxa"/>
            <w:tcBorders>
              <w:top w:val="single" w:sz="4" w:space="0" w:color="auto"/>
              <w:bottom w:val="nil"/>
            </w:tcBorders>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1.5</w:t>
            </w:r>
          </w:p>
        </w:tc>
      </w:tr>
      <w:tr w:rsidR="007028BB" w:rsidTr="006909C1">
        <w:trPr>
          <w:cantSplit/>
          <w:jc w:val="center"/>
        </w:trPr>
        <w:tc>
          <w:tcPr>
            <w:tcW w:w="2552" w:type="dxa"/>
            <w:tcBorders>
              <w:top w:val="nil"/>
            </w:tcBorders>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0.2</w:t>
            </w:r>
          </w:p>
        </w:tc>
        <w:tc>
          <w:tcPr>
            <w:tcW w:w="2552" w:type="dxa"/>
            <w:tcBorders>
              <w:top w:val="nil"/>
            </w:tcBorders>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3.5</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0.3</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6</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0.4</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8.5</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0.5</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11</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0.6</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14</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0.7</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17</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0.8</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20</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0.9</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24</w:t>
            </w:r>
          </w:p>
        </w:tc>
      </w:tr>
      <w:tr w:rsidR="007028BB" w:rsidTr="006909C1">
        <w:trPr>
          <w:cantSplit/>
          <w:jc w:val="center"/>
        </w:trPr>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1.0</w:t>
            </w:r>
          </w:p>
        </w:tc>
        <w:tc>
          <w:tcPr>
            <w:tcW w:w="2552" w:type="dxa"/>
          </w:tcPr>
          <w:p w:rsidR="007028BB" w:rsidRDefault="007028BB" w:rsidP="006909C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27.5</w:t>
            </w:r>
          </w:p>
        </w:tc>
      </w:tr>
    </w:tbl>
    <w:p w:rsidR="007028BB" w:rsidRDefault="007028BB" w:rsidP="007028BB">
      <w:pPr>
        <w:pStyle w:val="Tablefin"/>
      </w:pPr>
    </w:p>
    <w:p w:rsidR="00880908" w:rsidRPr="00880908" w:rsidRDefault="00880908" w:rsidP="00880908">
      <w:pPr>
        <w:rPr>
          <w:lang w:val="en-US"/>
        </w:rPr>
      </w:pPr>
      <w:r w:rsidRPr="00880908">
        <w:rPr>
          <w:lang w:val="en-US"/>
        </w:rPr>
        <w:lastRenderedPageBreak/>
        <w:t>Future studies could change the validity and range of equation (6).</w:t>
      </w:r>
    </w:p>
    <w:p w:rsidR="007028BB" w:rsidRDefault="007028BB" w:rsidP="007028BB">
      <w:pPr>
        <w:pStyle w:val="Heading2"/>
        <w:rPr>
          <w:lang w:val="en-GB"/>
        </w:rPr>
      </w:pPr>
      <w:bookmarkStart w:id="56" w:name="_Toc101234733"/>
      <w:bookmarkStart w:id="57" w:name="_Toc101235049"/>
      <w:bookmarkStart w:id="58" w:name="_Toc101261553"/>
      <w:bookmarkStart w:id="59" w:name="_Toc115521889"/>
      <w:r>
        <w:rPr>
          <w:lang w:val="en-GB"/>
        </w:rPr>
        <w:t>4.2</w:t>
      </w:r>
      <w:r>
        <w:rPr>
          <w:lang w:val="en-GB"/>
        </w:rPr>
        <w:tab/>
        <w:t>Geographic, seasonal and solar dependence of scintillations</w:t>
      </w:r>
      <w:bookmarkEnd w:id="55"/>
      <w:bookmarkEnd w:id="56"/>
      <w:bookmarkEnd w:id="57"/>
      <w:bookmarkEnd w:id="58"/>
      <w:bookmarkEnd w:id="59"/>
    </w:p>
    <w:p w:rsidR="007028BB" w:rsidRDefault="007028BB" w:rsidP="007C25EE">
      <w:pPr>
        <w:rPr>
          <w:lang w:val="en-GB"/>
        </w:rPr>
      </w:pPr>
      <w:r>
        <w:rPr>
          <w:lang w:val="en-GB"/>
        </w:rPr>
        <w:t xml:space="preserve">Geographically, there are two intense zones of scintillation, one at high latitudes and the other centred within </w:t>
      </w:r>
      <w:r>
        <w:rPr>
          <w:rFonts w:ascii="Symbol" w:hAnsi="Symbol"/>
        </w:rPr>
        <w:t></w:t>
      </w:r>
      <w:r>
        <w:rPr>
          <w:lang w:val="en-GB"/>
        </w:rPr>
        <w:t> 20</w:t>
      </w:r>
      <w:r>
        <w:rPr>
          <w:rFonts w:ascii="Symbol" w:hAnsi="Symbol"/>
        </w:rPr>
        <w:t></w:t>
      </w:r>
      <w:r>
        <w:rPr>
          <w:lang w:val="en-GB"/>
        </w:rPr>
        <w:t xml:space="preserve"> of the magnetic equator as shown in Fig. 6. Severe scintillation has been observed up to gigahertz frequencies in these two sectors, while in the middle latitudes scintillation occurs exceptionally, such as during geomagnetic storms. In the equatorial sector, there is a pronounced night-time maximum of activity as also indicated in Figs</w:t>
      </w:r>
      <w:r w:rsidR="007C25EE">
        <w:rPr>
          <w:lang w:val="en-GB"/>
        </w:rPr>
        <w:t> </w:t>
      </w:r>
      <w:r>
        <w:rPr>
          <w:lang w:val="en-GB"/>
        </w:rPr>
        <w:t>6 and 7. For equatorial gigahertz scintillation, peak activity around the vernal equinox and high activity at the autumnal equinox have been observed.</w:t>
      </w:r>
    </w:p>
    <w:p w:rsidR="007028BB" w:rsidRDefault="007028BB" w:rsidP="007C25EE">
      <w:pPr>
        <w:rPr>
          <w:lang w:val="en-GB"/>
        </w:rPr>
      </w:pPr>
      <w:r>
        <w:rPr>
          <w:lang w:val="en-GB"/>
        </w:rPr>
        <w:t>A typical scintillation event has its on-set after local ionospheric sunset and an event can last from 30 min to hours. For equatorial stations in years of solar maximum, ionospheric scintillation occurs almost every evening after sunset, with the peak</w:t>
      </w:r>
      <w:r w:rsidR="007C25EE">
        <w:rPr>
          <w:lang w:val="en-GB"/>
        </w:rPr>
        <w:t>-</w:t>
      </w:r>
      <w:r>
        <w:rPr>
          <w:lang w:val="en-GB"/>
        </w:rPr>
        <w:t>to</w:t>
      </w:r>
      <w:r w:rsidR="007C25EE">
        <w:rPr>
          <w:lang w:val="en-GB"/>
        </w:rPr>
        <w:t>-</w:t>
      </w:r>
      <w:r>
        <w:rPr>
          <w:lang w:val="en-GB"/>
        </w:rPr>
        <w:t>peak fluctuations of signal level at 4 GHz exceeding 10 dB in magnitude.</w:t>
      </w:r>
    </w:p>
    <w:p w:rsidR="007028BB" w:rsidRDefault="007028BB" w:rsidP="007028BB">
      <w:pPr>
        <w:pStyle w:val="Heading2"/>
        <w:rPr>
          <w:lang w:val="en-GB"/>
        </w:rPr>
      </w:pPr>
      <w:bookmarkStart w:id="60" w:name="_Toc101234734"/>
      <w:bookmarkStart w:id="61" w:name="_Toc101235050"/>
      <w:bookmarkStart w:id="62" w:name="_Toc101261554"/>
      <w:bookmarkStart w:id="63" w:name="_Toc115521890"/>
      <w:bookmarkStart w:id="64" w:name="_Toc392319761"/>
      <w:r>
        <w:rPr>
          <w:lang w:val="en-GB"/>
        </w:rPr>
        <w:t>4.3</w:t>
      </w:r>
      <w:r>
        <w:rPr>
          <w:lang w:val="en-GB"/>
        </w:rPr>
        <w:tab/>
        <w:t>Ionospheric scintillation model</w:t>
      </w:r>
      <w:bookmarkEnd w:id="60"/>
      <w:bookmarkEnd w:id="61"/>
      <w:bookmarkEnd w:id="62"/>
      <w:bookmarkEnd w:id="63"/>
    </w:p>
    <w:p w:rsidR="007C25EE" w:rsidRPr="00B83149" w:rsidRDefault="007C25EE" w:rsidP="007C25EE">
      <w:pPr>
        <w:rPr>
          <w:lang w:val="en-US"/>
        </w:rPr>
      </w:pPr>
      <w:r w:rsidRPr="00B83149">
        <w:rPr>
          <w:lang w:val="en-US"/>
        </w:rPr>
        <w:t>In order to predict the intensity of ionospheric scintillation on Earth-space paths, it is recommended that the Global Ionospheric Scintillation Model (GISM) be used. The GISM</w:t>
      </w:r>
      <w:r>
        <w:rPr>
          <w:lang w:val="en-US"/>
        </w:rPr>
        <w:t xml:space="preserve"> </w:t>
      </w:r>
      <w:r w:rsidRPr="00B83149">
        <w:rPr>
          <w:lang w:val="en-US"/>
        </w:rPr>
        <w:t xml:space="preserve">permits one to predict the </w:t>
      </w:r>
      <w:r w:rsidRPr="00B83149">
        <w:rPr>
          <w:i/>
          <w:iCs/>
          <w:lang w:val="en-US"/>
        </w:rPr>
        <w:t>S</w:t>
      </w:r>
      <w:r w:rsidRPr="00B83149">
        <w:rPr>
          <w:vertAlign w:val="subscript"/>
          <w:lang w:val="en-US"/>
        </w:rPr>
        <w:t>4</w:t>
      </w:r>
      <w:r w:rsidRPr="00B83149">
        <w:rPr>
          <w:lang w:val="en-US"/>
        </w:rPr>
        <w:t xml:space="preserve"> index, the depth of amplitude fading as well as the rms phase and angular deviations due to scintillation as a function of satellite and ground station locations, date, time and working frequency. The model is based on the multiple phase screen method. The main internal parameters of the model are set to the following default values:</w:t>
      </w:r>
    </w:p>
    <w:p w:rsidR="007C25EE" w:rsidRPr="00B83149" w:rsidRDefault="007C25EE" w:rsidP="007C25EE">
      <w:pPr>
        <w:pStyle w:val="enumlev1"/>
        <w:rPr>
          <w:lang w:val="en-US"/>
        </w:rPr>
      </w:pPr>
      <w:r>
        <w:sym w:font="Symbol" w:char="F02D"/>
      </w:r>
      <w:r w:rsidRPr="00B83149">
        <w:rPr>
          <w:lang w:val="en-US"/>
        </w:rPr>
        <w:tab/>
        <w:t xml:space="preserve">Slope of the intensity spectrum, </w:t>
      </w:r>
      <w:r w:rsidRPr="00B83149">
        <w:rPr>
          <w:i/>
          <w:iCs/>
          <w:lang w:val="en-US"/>
        </w:rPr>
        <w:t>p</w:t>
      </w:r>
      <w:r w:rsidRPr="00B83149">
        <w:rPr>
          <w:lang w:val="en-US"/>
        </w:rPr>
        <w:t xml:space="preserve"> = 3</w:t>
      </w:r>
    </w:p>
    <w:p w:rsidR="007C25EE" w:rsidRPr="00B83149" w:rsidRDefault="007C25EE" w:rsidP="007C25EE">
      <w:pPr>
        <w:pStyle w:val="enumlev1"/>
        <w:rPr>
          <w:lang w:val="en-US"/>
        </w:rPr>
      </w:pPr>
      <w:r>
        <w:sym w:font="Symbol" w:char="F02D"/>
      </w:r>
      <w:r w:rsidRPr="00B83149">
        <w:rPr>
          <w:lang w:val="en-US"/>
        </w:rPr>
        <w:tab/>
        <w:t xml:space="preserve">Average size of the irregularities, </w:t>
      </w:r>
      <w:r w:rsidRPr="00B83149">
        <w:rPr>
          <w:i/>
          <w:iCs/>
          <w:lang w:val="en-US"/>
        </w:rPr>
        <w:t>L</w:t>
      </w:r>
      <w:r w:rsidRPr="00B83149">
        <w:rPr>
          <w:rFonts w:ascii="Times" w:hAnsi="Times"/>
          <w:vertAlign w:val="subscript"/>
          <w:lang w:val="en-US"/>
        </w:rPr>
        <w:t>0</w:t>
      </w:r>
      <w:r w:rsidRPr="00B83149">
        <w:rPr>
          <w:lang w:val="en-US"/>
        </w:rPr>
        <w:t xml:space="preserve"> = 500 km</w:t>
      </w:r>
    </w:p>
    <w:p w:rsidR="007C25EE" w:rsidRPr="00B83149" w:rsidRDefault="007C25EE" w:rsidP="007C25EE">
      <w:pPr>
        <w:pStyle w:val="enumlev1"/>
        <w:rPr>
          <w:lang w:val="en-US"/>
        </w:rPr>
      </w:pPr>
      <w:r>
        <w:sym w:font="Symbol" w:char="F02D"/>
      </w:r>
      <w:r w:rsidRPr="00B83149">
        <w:rPr>
          <w:lang w:val="en-US"/>
        </w:rPr>
        <w:tab/>
        <w:t>Standard dev</w:t>
      </w:r>
      <w:bookmarkStart w:id="65" w:name="_GoBack"/>
      <w:bookmarkEnd w:id="65"/>
      <w:r w:rsidRPr="00B83149">
        <w:rPr>
          <w:lang w:val="en-US"/>
        </w:rPr>
        <w:t xml:space="preserve">iation of the electron density fluctuations, </w:t>
      </w:r>
      <w:r>
        <w:rPr>
          <w:rFonts w:ascii="Symbol" w:hAnsi="Symbol"/>
        </w:rPr>
        <w:t></w:t>
      </w:r>
      <w:r w:rsidRPr="00B83149">
        <w:rPr>
          <w:i/>
          <w:iCs/>
          <w:vertAlign w:val="subscript"/>
          <w:lang w:val="en-US"/>
        </w:rPr>
        <w:t>Ne</w:t>
      </w:r>
      <w:r w:rsidRPr="00B83149">
        <w:rPr>
          <w:rFonts w:ascii="Times" w:hAnsi="Times"/>
          <w:lang w:val="en-US"/>
        </w:rPr>
        <w:t xml:space="preserve"> = 0.2.</w:t>
      </w:r>
    </w:p>
    <w:p w:rsidR="007028BB" w:rsidRDefault="007C25EE" w:rsidP="00562ADF">
      <w:pPr>
        <w:rPr>
          <w:lang w:val="en-GB"/>
        </w:rPr>
      </w:pPr>
      <w:r w:rsidRPr="00B83149">
        <w:rPr>
          <w:lang w:val="en-US"/>
        </w:rPr>
        <w:t>The bending of the rays is taken into account and the characteristics of the background ionosphere are computed in a sub-routine which uses the NeQuick ionospheric model. The source code and program of the GISM</w:t>
      </w:r>
      <w:r>
        <w:rPr>
          <w:lang w:val="en-US"/>
        </w:rPr>
        <w:t xml:space="preserve"> </w:t>
      </w:r>
      <w:r w:rsidRPr="00B83149">
        <w:rPr>
          <w:lang w:val="en-US"/>
        </w:rPr>
        <w:t xml:space="preserve">is an integral digital product to </w:t>
      </w:r>
      <w:r w:rsidR="007466AA" w:rsidRPr="000D176F">
        <w:rPr>
          <w:lang w:val="en-US"/>
        </w:rPr>
        <w:t>this Recommendation</w:t>
      </w:r>
      <w:r w:rsidRPr="00B83149">
        <w:rPr>
          <w:lang w:val="en-US"/>
        </w:rPr>
        <w:t xml:space="preserve"> and is available in the file </w:t>
      </w:r>
      <w:hyperlink r:id="rId24" w:history="1">
        <w:r w:rsidR="00562ADF" w:rsidRPr="00730DE2">
          <w:rPr>
            <w:rStyle w:val="Hyperlink"/>
            <w:lang w:val="en-US"/>
          </w:rPr>
          <w:t>R-REC-P.531-1</w:t>
        </w:r>
        <w:r w:rsidR="00562ADF">
          <w:rPr>
            <w:rStyle w:val="Hyperlink"/>
            <w:lang w:val="en-US"/>
          </w:rPr>
          <w:t>3</w:t>
        </w:r>
        <w:r w:rsidR="00562ADF" w:rsidRPr="00730DE2">
          <w:rPr>
            <w:rStyle w:val="Hyperlink"/>
            <w:lang w:val="en-US"/>
          </w:rPr>
          <w:t>-201</w:t>
        </w:r>
        <w:r w:rsidR="00562ADF">
          <w:rPr>
            <w:rStyle w:val="Hyperlink"/>
            <w:lang w:val="en-US"/>
          </w:rPr>
          <w:t>6</w:t>
        </w:r>
        <w:r w:rsidR="00562ADF" w:rsidRPr="00730DE2">
          <w:rPr>
            <w:rStyle w:val="Hyperlink"/>
            <w:lang w:val="en-US"/>
          </w:rPr>
          <w:t>09-I!!ZIP-E</w:t>
        </w:r>
      </w:hyperlink>
      <w:r w:rsidR="00DB691F" w:rsidRPr="00DB691F">
        <w:rPr>
          <w:lang w:val="en-US"/>
        </w:rPr>
        <w:t xml:space="preserve"> (Part 2)</w:t>
      </w:r>
      <w:r w:rsidRPr="00B83149">
        <w:rPr>
          <w:lang w:val="en-US"/>
        </w:rPr>
        <w:t>.</w:t>
      </w:r>
    </w:p>
    <w:p w:rsidR="007028BB" w:rsidRDefault="007028BB" w:rsidP="007028BB">
      <w:pPr>
        <w:pStyle w:val="Heading2"/>
        <w:rPr>
          <w:lang w:val="en-GB"/>
        </w:rPr>
      </w:pPr>
      <w:bookmarkStart w:id="66" w:name="_Toc101234735"/>
      <w:bookmarkStart w:id="67" w:name="_Toc101235051"/>
      <w:bookmarkStart w:id="68" w:name="_Toc101261555"/>
      <w:bookmarkStart w:id="69" w:name="_Toc115521891"/>
      <w:r>
        <w:rPr>
          <w:lang w:val="en-GB"/>
        </w:rPr>
        <w:t>4.4</w:t>
      </w:r>
      <w:r>
        <w:rPr>
          <w:lang w:val="en-GB"/>
        </w:rPr>
        <w:tab/>
        <w:t>Instantaneous statistics and spectrum behaviour</w:t>
      </w:r>
      <w:bookmarkEnd w:id="64"/>
      <w:bookmarkEnd w:id="66"/>
      <w:bookmarkEnd w:id="67"/>
      <w:bookmarkEnd w:id="68"/>
      <w:bookmarkEnd w:id="69"/>
    </w:p>
    <w:p w:rsidR="007028BB" w:rsidRDefault="007028BB" w:rsidP="007028BB">
      <w:pPr>
        <w:pStyle w:val="Heading3"/>
        <w:rPr>
          <w:lang w:val="en-GB"/>
        </w:rPr>
      </w:pPr>
      <w:bookmarkStart w:id="70" w:name="_Toc392319762"/>
      <w:r>
        <w:rPr>
          <w:lang w:val="en-GB"/>
        </w:rPr>
        <w:t>4.4.1</w:t>
      </w:r>
      <w:r>
        <w:rPr>
          <w:lang w:val="en-GB"/>
        </w:rPr>
        <w:tab/>
        <w:t>Instantaneous statistics</w:t>
      </w:r>
      <w:bookmarkEnd w:id="70"/>
    </w:p>
    <w:p w:rsidR="007028BB" w:rsidRDefault="007028BB" w:rsidP="007028BB">
      <w:pPr>
        <w:rPr>
          <w:lang w:val="en-GB"/>
        </w:rPr>
      </w:pPr>
      <w:r>
        <w:rPr>
          <w:lang w:val="en-GB"/>
        </w:rPr>
        <w:t>During an ionospheric scintillation event, the Nakagami density function is believed to be adequately close for describing the statistics of the instantaneous variation of amplitude. The density function for the intensity of the signal is given by:</w:t>
      </w:r>
    </w:p>
    <w:p w:rsidR="007028BB" w:rsidRDefault="007028BB" w:rsidP="007028BB">
      <w:pPr>
        <w:pStyle w:val="Blanc"/>
      </w:pPr>
    </w:p>
    <w:p w:rsidR="007028BB" w:rsidRDefault="007028BB" w:rsidP="007028BB">
      <w:pPr>
        <w:pStyle w:val="Equation"/>
        <w:rPr>
          <w:lang w:val="en-GB"/>
        </w:rPr>
      </w:pPr>
      <w:r>
        <w:rPr>
          <w:lang w:val="en-GB"/>
        </w:rPr>
        <w:tab/>
      </w:r>
      <w:r>
        <w:rPr>
          <w:lang w:val="en-GB"/>
        </w:rPr>
        <w:tab/>
      </w:r>
      <w:r>
        <w:rPr>
          <w:position w:val="-28"/>
        </w:rPr>
        <w:object w:dxaOrig="2880" w:dyaOrig="740">
          <v:shape id="_x0000_i1028" type="#_x0000_t75" style="width:2in;height:38.15pt" o:ole="">
            <v:imagedata r:id="rId25" o:title=""/>
          </v:shape>
          <o:OLEObject Type="Embed" ProgID="Equation.3" ShapeID="_x0000_i1028" DrawAspect="Content" ObjectID="_1545741297" r:id="rId26"/>
        </w:object>
      </w:r>
      <w:r>
        <w:rPr>
          <w:lang w:val="en-GB"/>
        </w:rPr>
        <w:tab/>
        <w:t>(7)</w:t>
      </w:r>
    </w:p>
    <w:p w:rsidR="007028BB" w:rsidRPr="00EF2657" w:rsidRDefault="007028BB" w:rsidP="007028BB">
      <w:pPr>
        <w:pStyle w:val="FigureNo"/>
        <w:rPr>
          <w:lang w:val="en-US"/>
        </w:rPr>
      </w:pPr>
      <w:r w:rsidRPr="00EF2657">
        <w:rPr>
          <w:lang w:val="en-US"/>
        </w:rPr>
        <w:lastRenderedPageBreak/>
        <w:t>FIGURE 6</w:t>
      </w:r>
    </w:p>
    <w:p w:rsidR="007028BB" w:rsidRPr="00EF2657" w:rsidRDefault="007028BB" w:rsidP="007028BB">
      <w:pPr>
        <w:pStyle w:val="Figuretitle"/>
        <w:rPr>
          <w:lang w:val="en-US"/>
        </w:rPr>
      </w:pPr>
      <w:r w:rsidRPr="00EF2657">
        <w:rPr>
          <w:lang w:val="en-US"/>
        </w:rPr>
        <w:t xml:space="preserve">Depth of scintillation fading (proportional to density of cross-hatching) </w:t>
      </w:r>
      <w:r w:rsidRPr="00EF2657">
        <w:rPr>
          <w:lang w:val="en-US"/>
        </w:rPr>
        <w:br/>
        <w:t>at 1.5 GHz during solar maximum and minimum years</w:t>
      </w:r>
    </w:p>
    <w:p w:rsidR="007028BB" w:rsidRDefault="007028BB" w:rsidP="007028BB">
      <w:pPr>
        <w:pStyle w:val="Figure"/>
      </w:pPr>
      <w:r>
        <w:object w:dxaOrig="10540" w:dyaOrig="5051">
          <v:shape id="_x0000_i1029" type="#_x0000_t75" style="width:390.65pt;height:186.45pt" o:ole="">
            <v:imagedata r:id="rId27" o:title=""/>
          </v:shape>
          <o:OLEObject Type="Embed" ProgID="CorelDRAW.Graphic.14" ShapeID="_x0000_i1029" DrawAspect="Content" ObjectID="_1545741298" r:id="rId28"/>
        </w:object>
      </w:r>
    </w:p>
    <w:p w:rsidR="007028BB" w:rsidRDefault="007028BB" w:rsidP="007028BB">
      <w:pPr>
        <w:rPr>
          <w:lang w:val="en-US"/>
        </w:rPr>
      </w:pPr>
    </w:p>
    <w:p w:rsidR="007028BB" w:rsidRDefault="007028BB" w:rsidP="007028BB">
      <w:pPr>
        <w:rPr>
          <w:lang w:val="en-US"/>
        </w:rPr>
      </w:pPr>
    </w:p>
    <w:p w:rsidR="007028BB" w:rsidRPr="00EF2657" w:rsidRDefault="007028BB" w:rsidP="007028BB">
      <w:pPr>
        <w:pStyle w:val="FigureNo"/>
        <w:rPr>
          <w:lang w:val="en-US"/>
        </w:rPr>
      </w:pPr>
      <w:r w:rsidRPr="00EF2657">
        <w:rPr>
          <w:lang w:val="en-US"/>
        </w:rPr>
        <w:t>FIGURE 7</w:t>
      </w:r>
    </w:p>
    <w:p w:rsidR="007028BB" w:rsidRPr="00EF2657" w:rsidRDefault="007028BB" w:rsidP="007C25EE">
      <w:pPr>
        <w:pStyle w:val="Figuretitle"/>
        <w:rPr>
          <w:lang w:val="en-US"/>
        </w:rPr>
      </w:pPr>
      <w:r w:rsidRPr="00EF2657">
        <w:rPr>
          <w:lang w:val="en-US"/>
        </w:rPr>
        <w:t xml:space="preserve">Distribution of one year scintillation events at </w:t>
      </w:r>
      <w:smartTag w:uri="urn:schemas-microsoft-com:office:smarttags" w:element="place">
        <w:smartTag w:uri="urn:schemas-microsoft-com:office:smarttags" w:element="PlaceName">
          <w:smartTag w:uri="urn:schemas-microsoft-com:office:smarttags" w:element="City">
            <w:r w:rsidRPr="00EF2657">
              <w:rPr>
                <w:lang w:val="en-US"/>
              </w:rPr>
              <w:t>Cayenne</w:t>
            </w:r>
          </w:smartTag>
        </w:smartTag>
      </w:smartTag>
      <w:r w:rsidRPr="00EF2657">
        <w:rPr>
          <w:lang w:val="en-US"/>
        </w:rPr>
        <w:t xml:space="preserve"> during Jun</w:t>
      </w:r>
      <w:r>
        <w:rPr>
          <w:lang w:val="en-US"/>
        </w:rPr>
        <w:t xml:space="preserve">e 06 to </w:t>
      </w:r>
      <w:r w:rsidRPr="00EF2657">
        <w:rPr>
          <w:lang w:val="en-US"/>
        </w:rPr>
        <w:t>Jul</w:t>
      </w:r>
      <w:r>
        <w:rPr>
          <w:lang w:val="en-US"/>
        </w:rPr>
        <w:t>y</w:t>
      </w:r>
      <w:r w:rsidRPr="00EF2657">
        <w:rPr>
          <w:lang w:val="en-US"/>
        </w:rPr>
        <w:t xml:space="preserve"> 07;</w:t>
      </w:r>
      <w:r w:rsidR="007C25EE">
        <w:rPr>
          <w:lang w:val="en-US"/>
        </w:rPr>
        <w:br/>
      </w:r>
      <w:r w:rsidRPr="00EF2657">
        <w:rPr>
          <w:i/>
          <w:iCs/>
          <w:lang w:val="en-US"/>
        </w:rPr>
        <w:t>S</w:t>
      </w:r>
      <w:r w:rsidRPr="00EF2657">
        <w:rPr>
          <w:vertAlign w:val="subscript"/>
          <w:lang w:val="en-US"/>
        </w:rPr>
        <w:t>4</w:t>
      </w:r>
      <w:r w:rsidRPr="00EF2657">
        <w:rPr>
          <w:lang w:val="en-US"/>
        </w:rPr>
        <w:t xml:space="preserve"> level weak (top); moderate (middle); strong (bottom)</w:t>
      </w:r>
      <w:r w:rsidR="007C25EE">
        <w:rPr>
          <w:lang w:val="en-US"/>
        </w:rPr>
        <w:t xml:space="preserve"> </w:t>
      </w:r>
      <w:r w:rsidRPr="00EF2657">
        <w:rPr>
          <w:lang w:val="en-US"/>
        </w:rPr>
        <w:t>for elevation angles &gt; 20°</w:t>
      </w:r>
    </w:p>
    <w:p w:rsidR="007028BB" w:rsidRPr="00EF2657" w:rsidRDefault="007028BB" w:rsidP="007028BB">
      <w:pPr>
        <w:pStyle w:val="Figure"/>
        <w:spacing w:after="60"/>
      </w:pPr>
      <w:r>
        <w:object w:dxaOrig="12305" w:dyaOrig="4848">
          <v:shape id="_x0000_i1030" type="#_x0000_t75" style="width:454.05pt;height:176.8pt" o:ole="">
            <v:imagedata r:id="rId29" o:title=""/>
          </v:shape>
          <o:OLEObject Type="Embed" ProgID="CorelDRAW.Graphic.14" ShapeID="_x0000_i1030" DrawAspect="Content" ObjectID="_1545741299" r:id="rId30"/>
        </w:object>
      </w:r>
    </w:p>
    <w:p w:rsidR="007028BB" w:rsidRDefault="007028BB" w:rsidP="007028BB">
      <w:pPr>
        <w:pStyle w:val="Figurelegend"/>
        <w:keepNext w:val="0"/>
        <w:jc w:val="center"/>
        <w:rPr>
          <w:lang w:val="en-US"/>
        </w:rPr>
      </w:pPr>
      <w:r w:rsidRPr="00EF2657">
        <w:rPr>
          <w:lang w:val="en-US"/>
        </w:rPr>
        <w:t>Local time</w:t>
      </w:r>
    </w:p>
    <w:p w:rsidR="007C25EE" w:rsidRPr="00EF2657" w:rsidRDefault="007C25EE" w:rsidP="007028BB">
      <w:pPr>
        <w:pStyle w:val="Figurelegend"/>
        <w:keepNext w:val="0"/>
        <w:jc w:val="center"/>
        <w:rPr>
          <w:lang w:val="en-US"/>
        </w:rPr>
      </w:pPr>
    </w:p>
    <w:p w:rsidR="007028BB" w:rsidRDefault="007028BB" w:rsidP="007028BB">
      <w:pPr>
        <w:rPr>
          <w:lang w:val="en-GB"/>
        </w:rPr>
      </w:pPr>
      <w:r>
        <w:rPr>
          <w:lang w:val="en-GB"/>
        </w:rPr>
        <w:t>where the Nakagami “</w:t>
      </w:r>
      <w:r>
        <w:rPr>
          <w:i/>
          <w:lang w:val="en-GB"/>
        </w:rPr>
        <w:t>m</w:t>
      </w:r>
      <w:r>
        <w:rPr>
          <w:lang w:val="en-GB"/>
        </w:rPr>
        <w:t xml:space="preserve">-coefficient” is related to the scintillation index, </w:t>
      </w:r>
      <w:r>
        <w:rPr>
          <w:i/>
          <w:lang w:val="en-GB"/>
        </w:rPr>
        <w:t>S</w:t>
      </w:r>
      <w:r>
        <w:rPr>
          <w:vertAlign w:val="subscript"/>
          <w:lang w:val="en-GB"/>
        </w:rPr>
        <w:t>4</w:t>
      </w:r>
      <w:r>
        <w:rPr>
          <w:lang w:val="en-GB"/>
        </w:rPr>
        <w:t xml:space="preserve"> by:</w:t>
      </w:r>
    </w:p>
    <w:p w:rsidR="007028BB" w:rsidRDefault="007028BB" w:rsidP="007028BB">
      <w:pPr>
        <w:pStyle w:val="Equation"/>
        <w:rPr>
          <w:lang w:val="en-GB"/>
        </w:rPr>
      </w:pPr>
      <w:r>
        <w:rPr>
          <w:lang w:val="en-GB"/>
        </w:rPr>
        <w:tab/>
      </w:r>
      <w:r>
        <w:rPr>
          <w:lang w:val="en-GB"/>
        </w:rPr>
        <w:tab/>
      </w:r>
      <w:r>
        <w:rPr>
          <w:position w:val="-20"/>
        </w:rPr>
        <w:object w:dxaOrig="980" w:dyaOrig="520">
          <v:shape id="_x0000_i1031" type="#_x0000_t75" style="width:48.9pt;height:26.35pt" o:ole="">
            <v:imagedata r:id="rId31" o:title=""/>
          </v:shape>
          <o:OLEObject Type="Embed" ProgID="Equation.3" ShapeID="_x0000_i1031" DrawAspect="Content" ObjectID="_1545741300" r:id="rId32"/>
        </w:object>
      </w:r>
      <w:r>
        <w:rPr>
          <w:lang w:val="en-GB"/>
        </w:rPr>
        <w:tab/>
        <w:t>(8)</w:t>
      </w:r>
    </w:p>
    <w:p w:rsidR="007028BB" w:rsidRDefault="007028BB" w:rsidP="007C25EE">
      <w:pPr>
        <w:keepNext/>
        <w:keepLines/>
        <w:rPr>
          <w:lang w:val="en-GB"/>
        </w:rPr>
      </w:pPr>
      <w:r>
        <w:rPr>
          <w:lang w:val="en-GB"/>
        </w:rPr>
        <w:lastRenderedPageBreak/>
        <w:t xml:space="preserve">In formulating equation (7) the average intensity level of </w:t>
      </w:r>
      <w:r>
        <w:rPr>
          <w:i/>
          <w:lang w:val="en-GB"/>
        </w:rPr>
        <w:t>I</w:t>
      </w:r>
      <w:r>
        <w:rPr>
          <w:lang w:val="en-GB"/>
        </w:rPr>
        <w:t xml:space="preserve"> is normalized to be 1.0. The calculation of the fraction of time that the signal is above or below a given threshold is greatly facilitated by the fact that the distribution function corresponding to the Nakagami density has a closed form expression which is given by:</w:t>
      </w:r>
    </w:p>
    <w:p w:rsidR="007028BB" w:rsidRDefault="007028BB" w:rsidP="007C25EE">
      <w:pPr>
        <w:pStyle w:val="Equation"/>
        <w:keepNext/>
        <w:keepLines/>
        <w:rPr>
          <w:lang w:val="en-GB"/>
        </w:rPr>
      </w:pPr>
      <w:r>
        <w:rPr>
          <w:lang w:val="en-GB"/>
        </w:rPr>
        <w:tab/>
      </w:r>
      <w:r>
        <w:rPr>
          <w:lang w:val="en-GB"/>
        </w:rPr>
        <w:tab/>
      </w:r>
      <w:r>
        <w:rPr>
          <w:position w:val="-38"/>
        </w:rPr>
        <w:object w:dxaOrig="2840" w:dyaOrig="880">
          <v:shape id="_x0000_i1032" type="#_x0000_t75" style="width:142.4pt;height:44.05pt" o:ole="">
            <v:imagedata r:id="rId33" o:title=""/>
          </v:shape>
          <o:OLEObject Type="Embed" ProgID="Equation.3" ShapeID="_x0000_i1032" DrawAspect="Content" ObjectID="_1545741301" r:id="rId34"/>
        </w:object>
      </w:r>
      <w:r>
        <w:rPr>
          <w:lang w:val="en-GB"/>
        </w:rPr>
        <w:tab/>
        <w:t>(9)</w:t>
      </w:r>
    </w:p>
    <w:p w:rsidR="007028BB" w:rsidRDefault="007028BB" w:rsidP="007028BB">
      <w:pPr>
        <w:rPr>
          <w:lang w:val="en-GB"/>
        </w:rPr>
      </w:pPr>
      <w:r>
        <w:rPr>
          <w:lang w:val="en-GB"/>
        </w:rPr>
        <w:t xml:space="preserve">where </w:t>
      </w:r>
      <w:r>
        <w:rPr>
          <w:rFonts w:ascii="Symbol" w:hAnsi="Symbol"/>
        </w:rPr>
        <w:t></w:t>
      </w:r>
      <w:r>
        <w:rPr>
          <w:lang w:val="en-GB"/>
        </w:rPr>
        <w:t>(</w:t>
      </w:r>
      <w:r>
        <w:rPr>
          <w:i/>
          <w:lang w:val="en-GB"/>
        </w:rPr>
        <w:t>m</w:t>
      </w:r>
      <w:r>
        <w:rPr>
          <w:lang w:val="en-GB"/>
        </w:rPr>
        <w:t xml:space="preserve">, </w:t>
      </w:r>
      <w:r>
        <w:rPr>
          <w:i/>
          <w:lang w:val="en-GB"/>
        </w:rPr>
        <w:t>mI</w:t>
      </w:r>
      <w:r>
        <w:rPr>
          <w:sz w:val="12"/>
          <w:lang w:val="en-GB"/>
        </w:rPr>
        <w:t> </w:t>
      </w:r>
      <w:r>
        <w:rPr>
          <w:lang w:val="en-GB"/>
        </w:rPr>
        <w:t xml:space="preserve">) and </w:t>
      </w:r>
      <w:r>
        <w:rPr>
          <w:rFonts w:ascii="Symbol" w:hAnsi="Symbol"/>
        </w:rPr>
        <w:t></w:t>
      </w:r>
      <w:r>
        <w:rPr>
          <w:lang w:val="en-GB"/>
        </w:rPr>
        <w:t>(</w:t>
      </w:r>
      <w:r>
        <w:rPr>
          <w:i/>
          <w:lang w:val="en-GB"/>
        </w:rPr>
        <w:t>m</w:t>
      </w:r>
      <w:r>
        <w:rPr>
          <w:lang w:val="en-GB"/>
        </w:rPr>
        <w:t xml:space="preserve">) are the incomplete gamma function and gamma function, respectively. Using equation (9), it is possible to compute the fraction of time that the signal is above or below a given threshold during an ionospheric event. For example, the fraction of time that the signal is more than </w:t>
      </w:r>
      <w:r>
        <w:rPr>
          <w:i/>
          <w:lang w:val="en-GB"/>
        </w:rPr>
        <w:t>X</w:t>
      </w:r>
      <w:r>
        <w:rPr>
          <w:lang w:val="en-GB"/>
        </w:rPr>
        <w:t xml:space="preserve"> dB below the mean is given by </w:t>
      </w:r>
      <w:r>
        <w:rPr>
          <w:i/>
          <w:lang w:val="en-GB"/>
        </w:rPr>
        <w:t>P</w:t>
      </w:r>
      <w:r>
        <w:rPr>
          <w:rFonts w:ascii="Tms Rmn" w:hAnsi="Tms Rmn"/>
          <w:sz w:val="12"/>
          <w:lang w:val="en-GB"/>
        </w:rPr>
        <w:t> </w:t>
      </w:r>
      <w:r>
        <w:rPr>
          <w:lang w:val="en-GB"/>
        </w:rPr>
        <w:t>(10</w:t>
      </w:r>
      <w:r>
        <w:rPr>
          <w:position w:val="5"/>
          <w:sz w:val="12"/>
          <w:lang w:val="en-GB"/>
        </w:rPr>
        <w:t> </w:t>
      </w:r>
      <w:r>
        <w:rPr>
          <w:vertAlign w:val="superscript"/>
          <w:lang w:val="en-GB"/>
        </w:rPr>
        <w:t>–</w:t>
      </w:r>
      <w:r>
        <w:rPr>
          <w:i/>
          <w:vertAlign w:val="superscript"/>
          <w:lang w:val="en-GB"/>
        </w:rPr>
        <w:t>X</w:t>
      </w:r>
      <w:r>
        <w:rPr>
          <w:position w:val="6"/>
          <w:sz w:val="16"/>
          <w:lang w:val="en-GB"/>
        </w:rPr>
        <w:t> </w:t>
      </w:r>
      <w:r>
        <w:rPr>
          <w:vertAlign w:val="superscript"/>
          <w:lang w:val="en-GB"/>
        </w:rPr>
        <w:t>/</w:t>
      </w:r>
      <w:r>
        <w:rPr>
          <w:position w:val="6"/>
          <w:sz w:val="16"/>
          <w:lang w:val="en-GB"/>
        </w:rPr>
        <w:t> </w:t>
      </w:r>
      <w:r>
        <w:rPr>
          <w:vertAlign w:val="superscript"/>
          <w:lang w:val="en-GB"/>
        </w:rPr>
        <w:t>10</w:t>
      </w:r>
      <w:r>
        <w:rPr>
          <w:lang w:val="en-GB"/>
        </w:rPr>
        <w:t xml:space="preserve">) and the fraction of time that the signal is more than </w:t>
      </w:r>
      <w:r>
        <w:rPr>
          <w:i/>
          <w:lang w:val="en-GB"/>
        </w:rPr>
        <w:t>Y</w:t>
      </w:r>
      <w:r>
        <w:rPr>
          <w:lang w:val="en-GB"/>
        </w:rPr>
        <w:t xml:space="preserve"> dB above the mean is given by 1 – </w:t>
      </w:r>
      <w:r>
        <w:rPr>
          <w:i/>
          <w:lang w:val="en-GB"/>
        </w:rPr>
        <w:t>P</w:t>
      </w:r>
      <w:r>
        <w:rPr>
          <w:lang w:val="en-GB"/>
        </w:rPr>
        <w:t>(10</w:t>
      </w:r>
      <w:r>
        <w:rPr>
          <w:i/>
          <w:vertAlign w:val="superscript"/>
          <w:lang w:val="en-GB"/>
        </w:rPr>
        <w:t>Y</w:t>
      </w:r>
      <w:r>
        <w:rPr>
          <w:position w:val="6"/>
          <w:sz w:val="16"/>
          <w:lang w:val="en-GB"/>
        </w:rPr>
        <w:t> </w:t>
      </w:r>
      <w:r>
        <w:rPr>
          <w:vertAlign w:val="superscript"/>
          <w:lang w:val="en-GB"/>
        </w:rPr>
        <w:t>/</w:t>
      </w:r>
      <w:r>
        <w:rPr>
          <w:position w:val="6"/>
          <w:sz w:val="16"/>
          <w:lang w:val="en-GB"/>
        </w:rPr>
        <w:t> </w:t>
      </w:r>
      <w:r>
        <w:rPr>
          <w:vertAlign w:val="superscript"/>
          <w:lang w:val="en-GB"/>
        </w:rPr>
        <w:t>10</w:t>
      </w:r>
      <w:r>
        <w:rPr>
          <w:lang w:val="en-GB"/>
        </w:rPr>
        <w:t>).</w:t>
      </w:r>
    </w:p>
    <w:p w:rsidR="007028BB" w:rsidRPr="00EF2657" w:rsidRDefault="007028BB" w:rsidP="007028BB">
      <w:pPr>
        <w:pStyle w:val="Heading3"/>
        <w:rPr>
          <w:lang w:val="en-US"/>
        </w:rPr>
      </w:pPr>
      <w:bookmarkStart w:id="71" w:name="_Toc392319763"/>
      <w:bookmarkStart w:id="72" w:name="_Toc392319764"/>
      <w:bookmarkStart w:id="73" w:name="_Toc101234736"/>
      <w:bookmarkStart w:id="74" w:name="_Toc101235052"/>
      <w:bookmarkStart w:id="75" w:name="_Toc101261556"/>
      <w:bookmarkStart w:id="76" w:name="_Toc115521892"/>
      <w:r w:rsidRPr="00EF2657">
        <w:rPr>
          <w:lang w:val="en-US"/>
        </w:rPr>
        <w:t>4.4.2</w:t>
      </w:r>
      <w:r w:rsidRPr="00EF2657">
        <w:rPr>
          <w:lang w:val="en-US"/>
        </w:rPr>
        <w:tab/>
        <w:t>Spectrum behaviour</w:t>
      </w:r>
      <w:bookmarkEnd w:id="71"/>
    </w:p>
    <w:p w:rsidR="007028BB" w:rsidRPr="00EF2657" w:rsidRDefault="007028BB" w:rsidP="007028BB">
      <w:pPr>
        <w:rPr>
          <w:szCs w:val="24"/>
          <w:lang w:val="en-US"/>
        </w:rPr>
      </w:pPr>
      <w:r w:rsidRPr="00EF2657">
        <w:rPr>
          <w:lang w:val="en-US"/>
        </w:rPr>
        <w:t xml:space="preserve">In terms of temporal characteristics, the fading rate of ionospheric scintillation is about 0.1 to 1 Hz. The spatial and temporal power spectra exhibit a wide range of slopes, from </w:t>
      </w:r>
      <w:r w:rsidRPr="00EF2657">
        <w:rPr>
          <w:i/>
          <w:lang w:val="en-US"/>
        </w:rPr>
        <w:t>f</w:t>
      </w:r>
      <w:r w:rsidRPr="00EF2657">
        <w:rPr>
          <w:sz w:val="12"/>
          <w:lang w:val="en-US"/>
        </w:rPr>
        <w:t> </w:t>
      </w:r>
      <w:r w:rsidRPr="00EF2657">
        <w:rPr>
          <w:vertAlign w:val="superscript"/>
          <w:lang w:val="en-US"/>
        </w:rPr>
        <w:t>–1</w:t>
      </w:r>
      <w:r w:rsidRPr="00EF2657">
        <w:rPr>
          <w:position w:val="6"/>
          <w:lang w:val="en-US"/>
        </w:rPr>
        <w:t xml:space="preserve"> </w:t>
      </w:r>
      <w:r w:rsidRPr="00EF2657">
        <w:rPr>
          <w:lang w:val="en-US"/>
        </w:rPr>
        <w:t xml:space="preserve">to </w:t>
      </w:r>
      <w:r w:rsidRPr="00EF2657">
        <w:rPr>
          <w:i/>
          <w:lang w:val="en-US"/>
        </w:rPr>
        <w:t>f</w:t>
      </w:r>
      <w:r w:rsidRPr="00EF2657">
        <w:rPr>
          <w:sz w:val="12"/>
          <w:lang w:val="en-US"/>
        </w:rPr>
        <w:t> </w:t>
      </w:r>
      <w:r w:rsidRPr="00EF2657">
        <w:rPr>
          <w:vertAlign w:val="superscript"/>
          <w:lang w:val="en-US"/>
        </w:rPr>
        <w:t>–6</w:t>
      </w:r>
      <w:r w:rsidRPr="00EF2657">
        <w:rPr>
          <w:lang w:val="en-US"/>
        </w:rPr>
        <w:t xml:space="preserve"> as have been reported from different observations. A typical spectrum behaviour is shown in Fig. 8. The </w:t>
      </w:r>
      <w:r w:rsidRPr="00EF2657">
        <w:rPr>
          <w:i/>
          <w:lang w:val="en-US"/>
        </w:rPr>
        <w:t>f</w:t>
      </w:r>
      <w:r w:rsidRPr="00EF2657">
        <w:rPr>
          <w:sz w:val="12"/>
          <w:lang w:val="en-US"/>
        </w:rPr>
        <w:t> </w:t>
      </w:r>
      <w:r w:rsidRPr="00EF2657">
        <w:rPr>
          <w:vertAlign w:val="superscript"/>
          <w:lang w:val="en-US"/>
        </w:rPr>
        <w:t>–3</w:t>
      </w:r>
      <w:r w:rsidRPr="00EF2657">
        <w:rPr>
          <w:lang w:val="en-US"/>
        </w:rPr>
        <w:t xml:space="preserve"> slope as shown is recommended for system applications if direct measurement results are not available. </w:t>
      </w:r>
      <w:r w:rsidRPr="00EF2657">
        <w:rPr>
          <w:szCs w:val="24"/>
          <w:lang w:val="en-US"/>
        </w:rPr>
        <w:t>This value is representative of weak to moderate scintillation events.</w:t>
      </w:r>
    </w:p>
    <w:p w:rsidR="007028BB" w:rsidRPr="00EF2657" w:rsidRDefault="007028BB" w:rsidP="007028BB">
      <w:pPr>
        <w:rPr>
          <w:szCs w:val="24"/>
          <w:lang w:val="en-US"/>
        </w:rPr>
      </w:pPr>
      <w:r w:rsidRPr="00EF2657">
        <w:rPr>
          <w:szCs w:val="24"/>
          <w:lang w:val="en-US"/>
        </w:rPr>
        <w:t>The roll-off frequency differs from amplitude and phase scintillation as shown in Fig. 9. Phase scintillation presents more pronounced low frequency components than amplitude scintillation.</w:t>
      </w:r>
    </w:p>
    <w:p w:rsidR="007028BB" w:rsidRDefault="007028BB" w:rsidP="007028BB">
      <w:pPr>
        <w:pStyle w:val="Heading2"/>
        <w:rPr>
          <w:lang w:val="en-GB"/>
        </w:rPr>
      </w:pPr>
      <w:r>
        <w:rPr>
          <w:lang w:val="en-GB"/>
        </w:rPr>
        <w:t>4.5</w:t>
      </w:r>
      <w:r>
        <w:rPr>
          <w:lang w:val="en-GB"/>
        </w:rPr>
        <w:tab/>
        <w:t>Geometric consideration</w:t>
      </w:r>
      <w:bookmarkEnd w:id="72"/>
      <w:bookmarkEnd w:id="73"/>
      <w:bookmarkEnd w:id="74"/>
      <w:bookmarkEnd w:id="75"/>
      <w:bookmarkEnd w:id="76"/>
    </w:p>
    <w:p w:rsidR="007028BB" w:rsidRDefault="007028BB" w:rsidP="007028BB">
      <w:pPr>
        <w:pStyle w:val="Heading3"/>
        <w:rPr>
          <w:lang w:val="en-GB"/>
        </w:rPr>
      </w:pPr>
      <w:bookmarkStart w:id="77" w:name="_Toc392319765"/>
      <w:r>
        <w:rPr>
          <w:lang w:val="en-GB"/>
        </w:rPr>
        <w:t>4.5.1</w:t>
      </w:r>
      <w:r>
        <w:rPr>
          <w:lang w:val="en-GB"/>
        </w:rPr>
        <w:tab/>
        <w:t>Zenith angle dependence</w:t>
      </w:r>
      <w:bookmarkEnd w:id="77"/>
    </w:p>
    <w:p w:rsidR="007028BB" w:rsidRDefault="007028BB" w:rsidP="007028BB">
      <w:pPr>
        <w:rPr>
          <w:lang w:val="en-GB"/>
        </w:rPr>
      </w:pPr>
      <w:r>
        <w:rPr>
          <w:lang w:val="en-GB"/>
        </w:rPr>
        <w:t xml:space="preserve">In most models, </w:t>
      </w:r>
      <w:r>
        <w:rPr>
          <w:position w:val="-20"/>
          <w:lang w:val="es-ES_tradnl"/>
        </w:rPr>
        <w:object w:dxaOrig="340" w:dyaOrig="520">
          <v:shape id="_x0000_i1033" type="#_x0000_t75" style="width:17.2pt;height:26.35pt" o:ole="">
            <v:imagedata r:id="rId35" o:title=""/>
          </v:shape>
          <o:OLEObject Type="Embed" ProgID="Equation.3" ShapeID="_x0000_i1033" DrawAspect="Content" ObjectID="_1545741302" r:id="rId36"/>
        </w:object>
      </w:r>
      <w:r>
        <w:rPr>
          <w:lang w:val="en-GB"/>
        </w:rPr>
        <w:t xml:space="preserve"> is shown to be proportional to the secant of the zenith angle, </w:t>
      </w:r>
      <w:r>
        <w:rPr>
          <w:i/>
          <w:lang w:val="en-GB"/>
        </w:rPr>
        <w:t>i</w:t>
      </w:r>
      <w:r>
        <w:rPr>
          <w:lang w:val="en-GB"/>
        </w:rPr>
        <w:t xml:space="preserve">, of the propagation path. This relationship is believed to be valid up to </w:t>
      </w:r>
      <w:r>
        <w:rPr>
          <w:i/>
          <w:lang w:val="en-GB"/>
        </w:rPr>
        <w:t>i</w:t>
      </w:r>
      <w:r>
        <w:rPr>
          <w:lang w:val="en-GB"/>
        </w:rPr>
        <w:t> </w:t>
      </w:r>
      <w:r>
        <w:rPr>
          <w:rFonts w:ascii="Symbol" w:hAnsi="Symbol"/>
        </w:rPr>
        <w:t></w:t>
      </w:r>
      <w:r>
        <w:rPr>
          <w:lang w:val="en-GB"/>
        </w:rPr>
        <w:t> 70</w:t>
      </w:r>
      <w:r>
        <w:rPr>
          <w:rFonts w:ascii="Symbol" w:hAnsi="Symbol"/>
        </w:rPr>
        <w:t></w:t>
      </w:r>
      <w:r w:rsidRPr="004E6930">
        <w:rPr>
          <w:lang w:val="en-US"/>
        </w:rPr>
        <w:t xml:space="preserve"> </w:t>
      </w:r>
      <w:r>
        <w:rPr>
          <w:lang w:val="en-GB"/>
        </w:rPr>
        <w:t xml:space="preserve">for weak and moderate scintillation levels. At greater zenith angles, a dependence ranging between 1/2 and first power of sec </w:t>
      </w:r>
      <w:r>
        <w:rPr>
          <w:i/>
          <w:lang w:val="en-GB"/>
        </w:rPr>
        <w:t>i</w:t>
      </w:r>
      <w:r>
        <w:rPr>
          <w:lang w:val="en-GB"/>
        </w:rPr>
        <w:t xml:space="preserve"> should be used.</w:t>
      </w:r>
    </w:p>
    <w:p w:rsidR="007028BB" w:rsidRDefault="007028BB" w:rsidP="007028BB">
      <w:pPr>
        <w:pStyle w:val="Heading3"/>
        <w:rPr>
          <w:lang w:val="en-GB"/>
        </w:rPr>
      </w:pPr>
      <w:bookmarkStart w:id="78" w:name="_Toc392319766"/>
      <w:r>
        <w:rPr>
          <w:lang w:val="en-GB"/>
        </w:rPr>
        <w:t>4.5.2</w:t>
      </w:r>
      <w:r>
        <w:rPr>
          <w:lang w:val="en-GB"/>
        </w:rPr>
        <w:tab/>
        <w:t>Seasonal-longitudinal dependence</w:t>
      </w:r>
      <w:bookmarkEnd w:id="78"/>
    </w:p>
    <w:p w:rsidR="007028BB" w:rsidRDefault="007028BB" w:rsidP="007028BB">
      <w:pPr>
        <w:rPr>
          <w:lang w:val="en-GB"/>
        </w:rPr>
      </w:pPr>
      <w:r>
        <w:rPr>
          <w:lang w:val="en-GB"/>
        </w:rPr>
        <w:t xml:space="preserve">The occurrence of scintillations and magnitude of </w:t>
      </w:r>
      <w:r>
        <w:rPr>
          <w:i/>
          <w:lang w:val="en-GB"/>
        </w:rPr>
        <w:t>S</w:t>
      </w:r>
      <w:r>
        <w:rPr>
          <w:vertAlign w:val="subscript"/>
          <w:lang w:val="en-GB"/>
        </w:rPr>
        <w:t>4</w:t>
      </w:r>
      <w:r>
        <w:rPr>
          <w:lang w:val="en-GB"/>
        </w:rPr>
        <w:t xml:space="preserve"> have a longitudinal as well as seasonal dependence that can be parameterized by the angle, </w:t>
      </w:r>
      <w:r>
        <w:rPr>
          <w:rFonts w:ascii="Symbol" w:hAnsi="Symbol"/>
        </w:rPr>
        <w:t></w:t>
      </w:r>
      <w:r>
        <w:rPr>
          <w:lang w:val="en-GB"/>
        </w:rPr>
        <w:t>, shown in Fig. 9b. It is the angle between the sunset terminator and local magnetic meridian at the apex of the field line passing through the line</w:t>
      </w:r>
      <w:r>
        <w:rPr>
          <w:lang w:val="en-GB"/>
        </w:rPr>
        <w:noBreakHyphen/>
        <w:t>of</w:t>
      </w:r>
      <w:r>
        <w:rPr>
          <w:lang w:val="en-GB"/>
        </w:rPr>
        <w:noBreakHyphen/>
        <w:t>sight at the height of the irregularity slab. The weighting function for seasonal-longitudinal dependence is given by:</w:t>
      </w:r>
    </w:p>
    <w:p w:rsidR="007028BB" w:rsidRDefault="007028BB" w:rsidP="007028BB">
      <w:pPr>
        <w:pStyle w:val="Blanc"/>
      </w:pPr>
    </w:p>
    <w:p w:rsidR="007028BB" w:rsidRDefault="007028BB" w:rsidP="007028BB">
      <w:pPr>
        <w:pStyle w:val="Equation"/>
        <w:rPr>
          <w:lang w:val="en-GB"/>
        </w:rPr>
      </w:pPr>
      <w:r>
        <w:rPr>
          <w:lang w:val="en-GB"/>
        </w:rPr>
        <w:tab/>
      </w:r>
      <w:r>
        <w:rPr>
          <w:lang w:val="en-GB"/>
        </w:rPr>
        <w:tab/>
      </w:r>
      <w:r>
        <w:rPr>
          <w:position w:val="-28"/>
        </w:rPr>
        <w:object w:dxaOrig="1620" w:dyaOrig="680">
          <v:shape id="_x0000_i1034" type="#_x0000_t75" style="width:81.15pt;height:35.45pt" o:ole="">
            <v:imagedata r:id="rId37" o:title=""/>
          </v:shape>
          <o:OLEObject Type="Embed" ProgID="Equation.3" ShapeID="_x0000_i1034" DrawAspect="Content" ObjectID="_1545741303" r:id="rId38"/>
        </w:object>
      </w:r>
      <w:r>
        <w:rPr>
          <w:lang w:val="en-GB"/>
        </w:rPr>
        <w:tab/>
        <w:t>(10)</w:t>
      </w:r>
    </w:p>
    <w:p w:rsidR="007028BB" w:rsidRDefault="007028BB" w:rsidP="007028BB">
      <w:pPr>
        <w:pStyle w:val="Blanc"/>
      </w:pPr>
    </w:p>
    <w:p w:rsidR="007028BB" w:rsidRDefault="007028BB" w:rsidP="007028BB">
      <w:pPr>
        <w:rPr>
          <w:lang w:val="en-GB"/>
        </w:rPr>
      </w:pPr>
      <w:r>
        <w:rPr>
          <w:lang w:val="en-GB"/>
        </w:rPr>
        <w:t xml:space="preserve">where </w:t>
      </w:r>
      <w:r>
        <w:rPr>
          <w:i/>
          <w:lang w:val="en-GB"/>
        </w:rPr>
        <w:t>W</w:t>
      </w:r>
      <w:r>
        <w:rPr>
          <w:lang w:val="en-GB"/>
        </w:rPr>
        <w:t xml:space="preserve"> is a weighting constant depending on location as well as calendar day of the year. As an example, using the data available from Tangua, Hong Kong and </w:t>
      </w:r>
      <w:smartTag w:uri="urn:schemas-microsoft-com:office:smarttags" w:element="PlaceName">
        <w:r>
          <w:rPr>
            <w:lang w:val="en-GB"/>
          </w:rPr>
          <w:t>Kwajalein</w:t>
        </w:r>
      </w:smartTag>
      <w:r>
        <w:rPr>
          <w:lang w:val="en-GB"/>
        </w:rPr>
        <w:t>, the numerical value of the weighting constant can be modelled as shown in Fig. 10.</w:t>
      </w:r>
    </w:p>
    <w:p w:rsidR="007028BB" w:rsidRPr="00130F3B" w:rsidRDefault="007028BB" w:rsidP="007028BB">
      <w:pPr>
        <w:pStyle w:val="FigureNo"/>
        <w:rPr>
          <w:lang w:val="en-US"/>
        </w:rPr>
      </w:pPr>
      <w:r w:rsidRPr="00130F3B">
        <w:rPr>
          <w:lang w:val="en-US"/>
        </w:rPr>
        <w:lastRenderedPageBreak/>
        <w:t>FIGURE 8</w:t>
      </w:r>
    </w:p>
    <w:p w:rsidR="007028BB" w:rsidRPr="00130F3B" w:rsidRDefault="007028BB" w:rsidP="007028BB">
      <w:pPr>
        <w:pStyle w:val="Figuretitle"/>
        <w:rPr>
          <w:lang w:val="en-US"/>
        </w:rPr>
      </w:pPr>
      <w:r w:rsidRPr="00130F3B">
        <w:rPr>
          <w:lang w:val="en-US"/>
        </w:rPr>
        <w:t>Power spectral density estimates for a geostationary satellite (Inte</w:t>
      </w:r>
      <w:r>
        <w:rPr>
          <w:lang w:val="en-US"/>
        </w:rPr>
        <w:t>lsat</w:t>
      </w:r>
      <w:r w:rsidRPr="00130F3B">
        <w:rPr>
          <w:lang w:val="en-US"/>
        </w:rPr>
        <w:t>-IV) at 4 GHz</w:t>
      </w:r>
    </w:p>
    <w:p w:rsidR="007028BB" w:rsidRPr="004C671F" w:rsidRDefault="007028BB" w:rsidP="007028BB">
      <w:pPr>
        <w:pStyle w:val="Figure"/>
        <w:rPr>
          <w:lang w:val="en-US"/>
        </w:rPr>
      </w:pPr>
      <w:r>
        <w:rPr>
          <w:noProof/>
          <w:lang w:val="en-US" w:eastAsia="zh-CN"/>
        </w:rPr>
        <w:drawing>
          <wp:inline distT="0" distB="0" distL="0" distR="0" wp14:anchorId="6E4FED66" wp14:editId="0B535945">
            <wp:extent cx="5181600" cy="716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7162800"/>
                    </a:xfrm>
                    <a:prstGeom prst="rect">
                      <a:avLst/>
                    </a:prstGeom>
                    <a:noFill/>
                    <a:ln>
                      <a:noFill/>
                    </a:ln>
                  </pic:spPr>
                </pic:pic>
              </a:graphicData>
            </a:graphic>
          </wp:inline>
        </w:drawing>
      </w:r>
    </w:p>
    <w:p w:rsidR="007028BB" w:rsidRPr="00733BEC" w:rsidRDefault="007028BB" w:rsidP="007028BB">
      <w:pPr>
        <w:pStyle w:val="FigureNo"/>
        <w:rPr>
          <w:lang w:val="en-US"/>
        </w:rPr>
      </w:pPr>
      <w:r w:rsidRPr="00733BEC">
        <w:rPr>
          <w:lang w:val="en-US"/>
        </w:rPr>
        <w:lastRenderedPageBreak/>
        <w:t>Figure 9</w:t>
      </w:r>
    </w:p>
    <w:p w:rsidR="007028BB" w:rsidRPr="00733BEC" w:rsidRDefault="007028BB" w:rsidP="007028BB">
      <w:pPr>
        <w:pStyle w:val="Figuretitle"/>
        <w:rPr>
          <w:lang w:val="en-US"/>
        </w:rPr>
      </w:pPr>
      <w:r w:rsidRPr="00733BEC">
        <w:rPr>
          <w:lang w:val="en-US"/>
        </w:rPr>
        <w:t>Typical intensity and phase spectrum</w:t>
      </w:r>
    </w:p>
    <w:p w:rsidR="007028BB" w:rsidRDefault="007028BB" w:rsidP="007028BB">
      <w:pPr>
        <w:pStyle w:val="Blanc"/>
      </w:pPr>
    </w:p>
    <w:p w:rsidR="007028BB" w:rsidRPr="004C671F" w:rsidRDefault="007028BB" w:rsidP="007028BB">
      <w:pPr>
        <w:pStyle w:val="Figure"/>
        <w:rPr>
          <w:lang w:val="en-US"/>
        </w:rPr>
      </w:pPr>
      <w:r>
        <w:rPr>
          <w:noProof/>
          <w:lang w:val="en-US" w:eastAsia="zh-CN"/>
        </w:rPr>
        <w:drawing>
          <wp:inline distT="0" distB="0" distL="0" distR="0" wp14:anchorId="17945F3F" wp14:editId="3216A9B0">
            <wp:extent cx="4648200"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8200" cy="3581400"/>
                    </a:xfrm>
                    <a:prstGeom prst="rect">
                      <a:avLst/>
                    </a:prstGeom>
                    <a:noFill/>
                    <a:ln>
                      <a:noFill/>
                    </a:ln>
                  </pic:spPr>
                </pic:pic>
              </a:graphicData>
            </a:graphic>
          </wp:inline>
        </w:drawing>
      </w:r>
    </w:p>
    <w:p w:rsidR="007028BB" w:rsidRPr="004C671F" w:rsidRDefault="007028BB" w:rsidP="007028BB">
      <w:pPr>
        <w:rPr>
          <w:lang w:val="en-US"/>
        </w:rPr>
      </w:pPr>
    </w:p>
    <w:p w:rsidR="007028BB" w:rsidRPr="004C671F" w:rsidRDefault="007028BB" w:rsidP="007028BB">
      <w:pPr>
        <w:rPr>
          <w:lang w:val="en-US"/>
        </w:rPr>
      </w:pPr>
    </w:p>
    <w:p w:rsidR="007028BB" w:rsidRPr="004C671F" w:rsidRDefault="007028BB" w:rsidP="007028BB">
      <w:pPr>
        <w:rPr>
          <w:lang w:val="en-US"/>
        </w:rPr>
      </w:pPr>
    </w:p>
    <w:p w:rsidR="007028BB" w:rsidRPr="00BF0170" w:rsidRDefault="007028BB" w:rsidP="007028BB">
      <w:pPr>
        <w:pStyle w:val="FigureNo"/>
        <w:keepNext w:val="0"/>
        <w:rPr>
          <w:caps w:val="0"/>
          <w:lang w:val="en-US"/>
        </w:rPr>
      </w:pPr>
      <w:r w:rsidRPr="00BF0170">
        <w:rPr>
          <w:lang w:val="en-US"/>
        </w:rPr>
        <w:t>FIGURE 9</w:t>
      </w:r>
      <w:r w:rsidRPr="00BF0170">
        <w:rPr>
          <w:caps w:val="0"/>
          <w:lang w:val="en-US"/>
        </w:rPr>
        <w:t>a</w:t>
      </w:r>
    </w:p>
    <w:p w:rsidR="007028BB" w:rsidRPr="00130F3B" w:rsidRDefault="007028BB" w:rsidP="007028BB">
      <w:pPr>
        <w:pStyle w:val="Figuretitle"/>
        <w:rPr>
          <w:lang w:val="en-US"/>
        </w:rPr>
      </w:pPr>
      <w:r w:rsidRPr="00130F3B">
        <w:rPr>
          <w:lang w:val="en-US"/>
        </w:rPr>
        <w:t>Intersection of the propagation path with a magnetic field line at the F-region height</w:t>
      </w:r>
    </w:p>
    <w:p w:rsidR="007028BB" w:rsidRPr="008464F3" w:rsidRDefault="007028BB" w:rsidP="007028BB">
      <w:pPr>
        <w:pStyle w:val="Figure"/>
      </w:pPr>
      <w:r>
        <w:rPr>
          <w:noProof/>
          <w:lang w:val="en-US" w:eastAsia="zh-CN"/>
        </w:rPr>
        <w:drawing>
          <wp:inline distT="0" distB="0" distL="0" distR="0" wp14:anchorId="2A788873" wp14:editId="6D177080">
            <wp:extent cx="4495800"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5800" cy="2667000"/>
                    </a:xfrm>
                    <a:prstGeom prst="rect">
                      <a:avLst/>
                    </a:prstGeom>
                    <a:noFill/>
                    <a:ln>
                      <a:noFill/>
                    </a:ln>
                  </pic:spPr>
                </pic:pic>
              </a:graphicData>
            </a:graphic>
          </wp:inline>
        </w:drawing>
      </w:r>
    </w:p>
    <w:p w:rsidR="007028BB" w:rsidRPr="00733BEC" w:rsidRDefault="007028BB" w:rsidP="007028BB">
      <w:pPr>
        <w:pStyle w:val="FigureNo"/>
        <w:rPr>
          <w:lang w:val="en-US"/>
        </w:rPr>
      </w:pPr>
      <w:r w:rsidRPr="00733BEC">
        <w:rPr>
          <w:lang w:val="en-US"/>
        </w:rPr>
        <w:lastRenderedPageBreak/>
        <w:t>FIGURE 9</w:t>
      </w:r>
      <w:r w:rsidRPr="00733BEC">
        <w:rPr>
          <w:caps w:val="0"/>
          <w:lang w:val="en-US"/>
        </w:rPr>
        <w:t>b</w:t>
      </w:r>
    </w:p>
    <w:p w:rsidR="007028BB" w:rsidRPr="00733BEC" w:rsidRDefault="007028BB" w:rsidP="007028BB">
      <w:pPr>
        <w:pStyle w:val="Figuretitle"/>
        <w:rPr>
          <w:lang w:val="en-US"/>
        </w:rPr>
      </w:pPr>
      <w:r w:rsidRPr="00733BEC">
        <w:rPr>
          <w:lang w:val="en-US"/>
        </w:rPr>
        <w:t>Angle between the local magnetic meridian at the apex of the field line</w:t>
      </w:r>
      <w:r w:rsidRPr="00733BEC">
        <w:rPr>
          <w:lang w:val="en-US"/>
        </w:rPr>
        <w:br/>
        <w:t>shown in Fig. 9a and the sunset terminator</w:t>
      </w:r>
    </w:p>
    <w:p w:rsidR="007028BB" w:rsidRDefault="007028BB" w:rsidP="007028BB">
      <w:pPr>
        <w:pStyle w:val="Figure"/>
      </w:pPr>
      <w:r>
        <w:rPr>
          <w:noProof/>
          <w:lang w:val="en-US" w:eastAsia="zh-CN"/>
        </w:rPr>
        <w:drawing>
          <wp:inline distT="0" distB="0" distL="0" distR="0" wp14:anchorId="3743DEB4" wp14:editId="41C37123">
            <wp:extent cx="320040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667000"/>
                    </a:xfrm>
                    <a:prstGeom prst="rect">
                      <a:avLst/>
                    </a:prstGeom>
                    <a:noFill/>
                    <a:ln>
                      <a:noFill/>
                    </a:ln>
                  </pic:spPr>
                </pic:pic>
              </a:graphicData>
            </a:graphic>
          </wp:inline>
        </w:drawing>
      </w:r>
    </w:p>
    <w:p w:rsidR="007028BB" w:rsidRDefault="007028BB" w:rsidP="007028BB"/>
    <w:p w:rsidR="007028BB" w:rsidRPr="002C61C3" w:rsidRDefault="007028BB" w:rsidP="007028BB"/>
    <w:p w:rsidR="007028BB" w:rsidRPr="00130F3B" w:rsidRDefault="007028BB" w:rsidP="007028BB">
      <w:pPr>
        <w:pStyle w:val="FigureNo"/>
        <w:rPr>
          <w:bCs/>
          <w:lang w:val="en-US"/>
        </w:rPr>
      </w:pPr>
      <w:r w:rsidRPr="00130F3B">
        <w:rPr>
          <w:bCs/>
          <w:lang w:val="en-US"/>
        </w:rPr>
        <w:t>FIGURE 10</w:t>
      </w:r>
    </w:p>
    <w:p w:rsidR="007028BB" w:rsidRPr="00130F3B" w:rsidRDefault="007028BB" w:rsidP="007028BB">
      <w:pPr>
        <w:pStyle w:val="Figuretitle"/>
        <w:rPr>
          <w:lang w:val="en-US"/>
        </w:rPr>
      </w:pPr>
      <w:r w:rsidRPr="00130F3B">
        <w:rPr>
          <w:lang w:val="en-US"/>
        </w:rPr>
        <w:t>Seasonal weighting functions for station</w:t>
      </w:r>
      <w:r>
        <w:rPr>
          <w:lang w:val="en-US"/>
        </w:rPr>
        <w:t>s in different longitude sector</w:t>
      </w:r>
      <w:r w:rsidRPr="00130F3B">
        <w:rPr>
          <w:lang w:val="en-US"/>
        </w:rPr>
        <w:t>s</w:t>
      </w:r>
    </w:p>
    <w:p w:rsidR="007028BB" w:rsidRDefault="007028BB" w:rsidP="007028BB">
      <w:pPr>
        <w:pStyle w:val="Figure"/>
        <w:rPr>
          <w:lang w:val="en-GB"/>
        </w:rPr>
      </w:pPr>
      <w:r>
        <w:rPr>
          <w:noProof/>
          <w:lang w:val="en-US" w:eastAsia="zh-CN"/>
        </w:rPr>
        <w:drawing>
          <wp:inline distT="0" distB="0" distL="0" distR="0" wp14:anchorId="01D82C14" wp14:editId="5D1F9F01">
            <wp:extent cx="46482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4114800"/>
                    </a:xfrm>
                    <a:prstGeom prst="rect">
                      <a:avLst/>
                    </a:prstGeom>
                    <a:noFill/>
                    <a:ln>
                      <a:noFill/>
                    </a:ln>
                  </pic:spPr>
                </pic:pic>
              </a:graphicData>
            </a:graphic>
          </wp:inline>
        </w:drawing>
      </w:r>
    </w:p>
    <w:p w:rsidR="007028BB" w:rsidRDefault="007028BB" w:rsidP="007028BB">
      <w:pPr>
        <w:pStyle w:val="Heading2"/>
        <w:rPr>
          <w:lang w:val="en-GB"/>
        </w:rPr>
      </w:pPr>
      <w:bookmarkStart w:id="79" w:name="_Toc101234737"/>
      <w:bookmarkStart w:id="80" w:name="_Toc101235053"/>
      <w:bookmarkStart w:id="81" w:name="_Toc101261557"/>
      <w:bookmarkStart w:id="82" w:name="_Toc115521893"/>
      <w:r>
        <w:rPr>
          <w:lang w:val="en-GB"/>
        </w:rPr>
        <w:lastRenderedPageBreak/>
        <w:t>4.6</w:t>
      </w:r>
      <w:r>
        <w:rPr>
          <w:lang w:val="en-GB"/>
        </w:rPr>
        <w:tab/>
        <w:t>Cumulative statistics</w:t>
      </w:r>
      <w:bookmarkEnd w:id="79"/>
      <w:bookmarkEnd w:id="80"/>
      <w:bookmarkEnd w:id="81"/>
      <w:bookmarkEnd w:id="82"/>
    </w:p>
    <w:p w:rsidR="007028BB" w:rsidRDefault="007028BB" w:rsidP="007028BB">
      <w:pPr>
        <w:rPr>
          <w:lang w:val="en-GB"/>
        </w:rPr>
      </w:pPr>
      <w:r>
        <w:rPr>
          <w:lang w:val="en-GB"/>
        </w:rPr>
        <w:t>When considering the design of satellite radiocommunication systems and the assessment of frequency sharing, communications engineers have concerns not only with the system degradation and interference during an event but also with the long</w:t>
      </w:r>
      <w:r>
        <w:rPr>
          <w:lang w:val="en-GB"/>
        </w:rPr>
        <w:noBreakHyphen/>
        <w:t>term cumulative occurrence statistics. For communications systems involving a geostationary satellite, which is the simplest radio system configuration, Figs 11 and 12 are recommended for the assessment and scaling of occurrence statistics. The sunspot numbers cited are the 12 month averaged sunspot numbers.</w:t>
      </w:r>
    </w:p>
    <w:p w:rsidR="007028BB" w:rsidRDefault="007028BB" w:rsidP="007028BB">
      <w:pPr>
        <w:rPr>
          <w:lang w:val="en-GB"/>
        </w:rPr>
      </w:pPr>
      <w:r>
        <w:rPr>
          <w:lang w:val="en-GB"/>
        </w:rPr>
        <w:t xml:space="preserve">The long-term cumulative distribution, </w:t>
      </w:r>
      <w:r>
        <w:rPr>
          <w:i/>
          <w:lang w:val="en-GB"/>
        </w:rPr>
        <w:t>P</w:t>
      </w:r>
      <w:r>
        <w:rPr>
          <w:lang w:val="en-GB"/>
        </w:rPr>
        <w:t>(</w:t>
      </w:r>
      <w:r>
        <w:rPr>
          <w:i/>
          <w:lang w:val="en-GB"/>
        </w:rPr>
        <w:t>I</w:t>
      </w:r>
      <w:r>
        <w:rPr>
          <w:lang w:val="en-GB"/>
        </w:rPr>
        <w:t>), of the signal intensity relative to its mean value can be derived from the long-term cumulative statistics, F(</w:t>
      </w:r>
      <w:r>
        <w:sym w:font="Symbol" w:char="F078"/>
      </w:r>
      <w:r>
        <w:rPr>
          <w:lang w:val="en-GB"/>
        </w:rPr>
        <w:t xml:space="preserve">), of the peak-to-peak fluctuation, </w:t>
      </w:r>
      <w:r>
        <w:sym w:font="Symbol" w:char="F078"/>
      </w:r>
      <w:r>
        <w:rPr>
          <w:lang w:val="en-GB"/>
        </w:rPr>
        <w:t>, such as those found in Fig. 11, as follows:</w:t>
      </w:r>
    </w:p>
    <w:p w:rsidR="007028BB" w:rsidRDefault="007028BB" w:rsidP="007028BB">
      <w:pPr>
        <w:pStyle w:val="Equation"/>
        <w:rPr>
          <w:lang w:val="en-GB"/>
        </w:rPr>
      </w:pPr>
      <w:r>
        <w:rPr>
          <w:lang w:val="en-GB"/>
        </w:rPr>
        <w:tab/>
      </w:r>
      <w:r>
        <w:rPr>
          <w:lang w:val="en-GB"/>
        </w:rPr>
        <w:tab/>
      </w:r>
      <w:r w:rsidRPr="00E01D50">
        <w:rPr>
          <w:position w:val="-36"/>
        </w:rPr>
        <w:object w:dxaOrig="1820" w:dyaOrig="800">
          <v:shape id="_x0000_i1035" type="#_x0000_t75" style="width:90.8pt;height:40.3pt" o:ole="">
            <v:imagedata r:id="rId44" o:title=""/>
          </v:shape>
          <o:OLEObject Type="Embed" ProgID="Equation.3" ShapeID="_x0000_i1035" DrawAspect="Content" ObjectID="_1545741304" r:id="rId45"/>
        </w:object>
      </w:r>
      <w:r>
        <w:rPr>
          <w:lang w:val="en-GB"/>
        </w:rPr>
        <w:tab/>
        <w:t>(11)</w:t>
      </w:r>
    </w:p>
    <w:p w:rsidR="007028BB" w:rsidRDefault="007028BB" w:rsidP="007028BB">
      <w:pPr>
        <w:spacing w:before="0"/>
        <w:rPr>
          <w:lang w:val="en-GB"/>
        </w:rPr>
      </w:pPr>
      <w:r>
        <w:rPr>
          <w:lang w:val="en-GB"/>
        </w:rPr>
        <w:t>where:</w:t>
      </w:r>
    </w:p>
    <w:p w:rsidR="007028BB" w:rsidRDefault="007028BB" w:rsidP="007028BB">
      <w:pPr>
        <w:pStyle w:val="Equation"/>
        <w:rPr>
          <w:lang w:val="en-GB"/>
        </w:rPr>
      </w:pPr>
      <w:r>
        <w:rPr>
          <w:lang w:val="en-GB"/>
        </w:rPr>
        <w:tab/>
      </w:r>
      <w:r>
        <w:rPr>
          <w:lang w:val="en-GB"/>
        </w:rPr>
        <w:tab/>
      </w:r>
      <w:r>
        <w:rPr>
          <w:i/>
          <w:lang w:val="en-GB"/>
        </w:rPr>
        <w:t>f</w:t>
      </w:r>
      <w:r>
        <w:rPr>
          <w:vertAlign w:val="subscript"/>
          <w:lang w:val="en-GB"/>
        </w:rPr>
        <w:t>0</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vertAlign w:val="subscript"/>
          <w:lang w:val="en-GB"/>
        </w:rPr>
        <w:t>1</w:t>
      </w:r>
      <w:r>
        <w:rPr>
          <w:lang w:val="en-GB"/>
        </w:rPr>
        <w:t>)</w:t>
      </w:r>
      <w:r>
        <w:rPr>
          <w:lang w:val="en-GB"/>
        </w:rPr>
        <w:tab/>
        <w:t>(11a)</w:t>
      </w:r>
    </w:p>
    <w:p w:rsidR="007028BB" w:rsidRDefault="007028BB" w:rsidP="007028BB">
      <w:pPr>
        <w:pStyle w:val="Equation"/>
        <w:tabs>
          <w:tab w:val="left" w:pos="6840"/>
        </w:tabs>
        <w:rPr>
          <w:lang w:val="en-GB"/>
        </w:rPr>
      </w:pPr>
      <w:r>
        <w:rPr>
          <w:lang w:val="en-GB"/>
        </w:rPr>
        <w:tab/>
      </w:r>
      <w:r>
        <w:rPr>
          <w:lang w:val="en-GB"/>
        </w:rPr>
        <w:tab/>
      </w:r>
      <w:r>
        <w:rPr>
          <w:i/>
          <w:lang w:val="en-GB"/>
        </w:rPr>
        <w:t>f</w:t>
      </w:r>
      <w:r>
        <w:rPr>
          <w:i/>
          <w:vertAlign w:val="subscript"/>
          <w:lang w:val="en-GB"/>
        </w:rPr>
        <w:t>i</w:t>
      </w:r>
      <w:r>
        <w:rPr>
          <w:lang w:val="en-GB"/>
        </w:rPr>
        <w:t xml:space="preserve"> </w:t>
      </w:r>
      <w:r>
        <w:rPr>
          <w:rFonts w:ascii="Symbol" w:hAnsi="Symbol"/>
          <w:lang w:val="es-ES_tradnl"/>
        </w:rPr>
        <w:t></w:t>
      </w:r>
      <w:r>
        <w:rPr>
          <w:lang w:val="en-GB"/>
        </w:rPr>
        <w:t xml:space="preserve"> F (</w:t>
      </w:r>
      <w:r>
        <w:rPr>
          <w:lang w:val="es-ES_tradnl"/>
        </w:rPr>
        <w:sym w:font="Symbol" w:char="F078"/>
      </w:r>
      <w:r>
        <w:rPr>
          <w:i/>
          <w:vertAlign w:val="subscript"/>
          <w:lang w:val="en-GB"/>
        </w:rPr>
        <w:t>i</w:t>
      </w:r>
      <w:r>
        <w:rPr>
          <w:vertAlign w:val="subscript"/>
          <w:lang w:val="en-GB"/>
        </w:rPr>
        <w:t xml:space="preserve"> </w:t>
      </w:r>
      <w:r>
        <w:rPr>
          <w:lang w:val="en-GB"/>
        </w:rPr>
        <w:t xml:space="preserve"> </w:t>
      </w:r>
      <w:r>
        <w:rPr>
          <w:rFonts w:ascii="Symbol" w:hAnsi="Symbol"/>
          <w:lang w:val="es-ES_tradnl"/>
        </w:rPr>
        <w:sym w:font="Symbol" w:char="F0A3"/>
      </w:r>
      <w:r>
        <w:rPr>
          <w:lang w:val="en-GB"/>
        </w:rPr>
        <w:t xml:space="preserve">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i/>
          <w:vertAlign w:val="subscript"/>
          <w:lang w:val="en-GB"/>
        </w:rPr>
        <w:t>i</w:t>
      </w:r>
      <w:r>
        <w:rPr>
          <w:rFonts w:ascii="Tms Rmn" w:hAnsi="Tms Rmn"/>
          <w:i/>
          <w:position w:val="-4"/>
          <w:sz w:val="12"/>
          <w:lang w:val="en-GB"/>
        </w:rPr>
        <w:t> </w:t>
      </w:r>
      <w:r>
        <w:rPr>
          <w:rFonts w:ascii="Symbol" w:hAnsi="Symbol"/>
          <w:vertAlign w:val="subscript"/>
          <w:lang w:val="es-ES_tradnl"/>
        </w:rPr>
        <w:t></w:t>
      </w:r>
      <w:r>
        <w:rPr>
          <w:rFonts w:ascii="Tms Rmn" w:hAnsi="Tms Rmn"/>
          <w:position w:val="-4"/>
          <w:sz w:val="12"/>
          <w:lang w:val="en-GB"/>
        </w:rPr>
        <w:t> </w:t>
      </w:r>
      <w:r>
        <w:rPr>
          <w:vertAlign w:val="subscript"/>
          <w:lang w:val="en-GB"/>
        </w:rPr>
        <w:t>1</w:t>
      </w:r>
      <w:r>
        <w:rPr>
          <w:lang w:val="en-GB"/>
        </w:rPr>
        <w:t>)</w: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(11b)</w:t>
      </w:r>
    </w:p>
    <w:p w:rsidR="007028BB" w:rsidRDefault="007028BB" w:rsidP="007028BB">
      <w:pPr>
        <w:pStyle w:val="Equation"/>
        <w:rPr>
          <w:lang w:val="en-GB"/>
        </w:rPr>
      </w:pPr>
      <w:r>
        <w:rPr>
          <w:lang w:val="en-GB"/>
        </w:rPr>
        <w:tab/>
      </w:r>
      <w:r>
        <w:rPr>
          <w:lang w:val="en-GB"/>
        </w:rPr>
        <w:tab/>
      </w:r>
      <w:r>
        <w:rPr>
          <w:i/>
          <w:lang w:val="en-GB"/>
        </w:rPr>
        <w:t>f</w:t>
      </w:r>
      <w:r>
        <w:rPr>
          <w:i/>
          <w:vertAlign w:val="subscript"/>
          <w:lang w:val="en-GB"/>
        </w:rPr>
        <w:t>n</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sym w:font="Symbol" w:char="F0B3"/>
      </w:r>
      <w:r>
        <w:rPr>
          <w:lang w:val="en-GB"/>
        </w:rPr>
        <w:t xml:space="preserve"> </w:t>
      </w:r>
      <w:r>
        <w:rPr>
          <w:lang w:val="es-ES_tradnl"/>
        </w:rPr>
        <w:sym w:font="Symbol" w:char="F078"/>
      </w:r>
      <w:r>
        <w:rPr>
          <w:i/>
          <w:vertAlign w:val="subscript"/>
          <w:lang w:val="en-GB"/>
        </w:rPr>
        <w:t>n</w:t>
      </w:r>
      <w:r>
        <w:rPr>
          <w:sz w:val="8"/>
          <w:vertAlign w:val="subscript"/>
          <w:lang w:val="en-GB"/>
        </w:rPr>
        <w:t xml:space="preserve"> </w:t>
      </w:r>
      <w:r>
        <w:rPr>
          <w:lang w:val="en-GB"/>
        </w:rPr>
        <w:t>)</w:t>
      </w:r>
      <w:r>
        <w:rPr>
          <w:lang w:val="en-GB"/>
        </w:rPr>
        <w:tab/>
        <w:t>(11c)</w:t>
      </w:r>
    </w:p>
    <w:p w:rsidR="007028BB" w:rsidRDefault="007028BB" w:rsidP="007028BB">
      <w:pPr>
        <w:rPr>
          <w:lang w:val="en-GB"/>
        </w:rPr>
      </w:pPr>
      <w:r>
        <w:rPr>
          <w:lang w:val="en-GB"/>
        </w:rPr>
        <w:t xml:space="preserve">and </w:t>
      </w:r>
      <w:r>
        <w:rPr>
          <w:rFonts w:ascii="Symbol" w:hAnsi="Symbol"/>
        </w:rPr>
        <w:sym w:font="Symbol" w:char="F078"/>
      </w:r>
      <w:r>
        <w:rPr>
          <w:vertAlign w:val="subscript"/>
          <w:lang w:val="en-GB"/>
        </w:rPr>
        <w:t>1</w:t>
      </w:r>
      <w:r>
        <w:rPr>
          <w:lang w:val="en-GB"/>
        </w:rPr>
        <w:t xml:space="preserve"> and </w:t>
      </w:r>
      <w:r>
        <w:rPr>
          <w:rFonts w:ascii="Symbol" w:hAnsi="Symbol"/>
        </w:rPr>
        <w:sym w:font="Symbol" w:char="F078"/>
      </w:r>
      <w:r>
        <w:rPr>
          <w:i/>
          <w:iCs/>
          <w:vertAlign w:val="subscript"/>
          <w:lang w:val="en-GB"/>
        </w:rPr>
        <w:t>n</w:t>
      </w:r>
      <w:r>
        <w:rPr>
          <w:lang w:val="en-GB"/>
        </w:rPr>
        <w:t xml:space="preserve"> are the minimum and maximum peak-to-peak fluctuation values, respectively, and </w:t>
      </w:r>
      <w:r>
        <w:rPr>
          <w:i/>
          <w:lang w:val="en-GB"/>
        </w:rPr>
        <w:t>n</w:t>
      </w:r>
      <w:r>
        <w:rPr>
          <w:lang w:val="en-GB"/>
        </w:rPr>
        <w:t xml:space="preserve"> is the interval number of </w:t>
      </w:r>
      <w:r>
        <w:rPr>
          <w:rFonts w:ascii="Symbol" w:hAnsi="Symbol"/>
        </w:rPr>
        <w:sym w:font="Symbol" w:char="F078"/>
      </w:r>
      <w:r>
        <w:rPr>
          <w:lang w:val="en-GB"/>
        </w:rPr>
        <w:t xml:space="preserve"> of interest to the user:</w:t>
      </w:r>
    </w:p>
    <w:p w:rsidR="007028BB" w:rsidRDefault="007028BB" w:rsidP="007028BB">
      <w:pPr>
        <w:pStyle w:val="Equation"/>
        <w:rPr>
          <w:lang w:val="es-ES_tradnl"/>
        </w:rPr>
      </w:pPr>
      <w:r>
        <w:rPr>
          <w:lang w:val="en-GB"/>
        </w:rPr>
        <w:tab/>
      </w:r>
      <w:r>
        <w:rPr>
          <w:lang w:val="en-GB"/>
        </w:rPr>
        <w:tab/>
      </w:r>
      <w:r w:rsidRPr="008B7A8C">
        <w:rPr>
          <w:i/>
          <w:lang w:val="es-ES"/>
        </w:rPr>
        <w:t>P</w:t>
      </w:r>
      <w:r w:rsidRPr="008B7A8C">
        <w:rPr>
          <w:i/>
          <w:vertAlign w:val="subscript"/>
          <w:lang w:val="es-ES"/>
        </w:rPr>
        <w:t>i</w:t>
      </w:r>
      <w:r w:rsidRPr="008B7A8C">
        <w:rPr>
          <w:lang w:val="es-ES"/>
        </w:rPr>
        <w:t>(</w:t>
      </w:r>
      <w:r w:rsidRPr="008B7A8C">
        <w:rPr>
          <w:i/>
          <w:lang w:val="es-ES"/>
        </w:rPr>
        <w:t>I</w:t>
      </w:r>
      <w:r w:rsidRPr="008B7A8C">
        <w:rPr>
          <w:lang w:val="es-ES"/>
        </w:rPr>
        <w:t xml:space="preserve">) </w:t>
      </w:r>
      <w:r w:rsidRPr="00AE3FE2">
        <w:rPr>
          <w:rFonts w:ascii="Symbol" w:hAnsi="Symbol"/>
        </w:rPr>
        <w:t></w:t>
      </w:r>
      <w:r w:rsidRPr="008B7A8C">
        <w:rPr>
          <w:lang w:val="es-ES"/>
        </w:rPr>
        <w:t xml:space="preserve"> </w:t>
      </w:r>
      <w:r w:rsidRPr="00AE3FE2">
        <w:sym w:font="Symbol" w:char="F047"/>
      </w:r>
      <w:r w:rsidRPr="008B7A8C">
        <w:rPr>
          <w:lang w:val="es-ES"/>
        </w:rPr>
        <w:t xml:space="preserve"> (</w:t>
      </w:r>
      <w:r w:rsidRPr="008B7A8C">
        <w:rPr>
          <w:i/>
          <w:lang w:val="es-ES"/>
        </w:rPr>
        <w:t>m</w:t>
      </w:r>
      <w:r w:rsidRPr="008B7A8C">
        <w:rPr>
          <w:i/>
          <w:vertAlign w:val="subscript"/>
          <w:lang w:val="es-ES"/>
        </w:rPr>
        <w:t>i</w:t>
      </w:r>
      <w:r w:rsidRPr="008B7A8C">
        <w:rPr>
          <w:lang w:val="es-ES"/>
        </w:rPr>
        <w:t xml:space="preserve">, </w:t>
      </w:r>
      <w:r w:rsidRPr="008B7A8C">
        <w:rPr>
          <w:i/>
          <w:lang w:val="es-ES"/>
        </w:rPr>
        <w:t>m</w:t>
      </w:r>
      <w:r w:rsidRPr="008B7A8C">
        <w:rPr>
          <w:i/>
          <w:vertAlign w:val="subscript"/>
          <w:lang w:val="es-ES"/>
        </w:rPr>
        <w:t>i</w:t>
      </w:r>
      <w:r w:rsidRPr="008B7A8C">
        <w:rPr>
          <w:i/>
          <w:lang w:val="es-ES"/>
        </w:rPr>
        <w:t>I</w:t>
      </w:r>
      <w:r w:rsidRPr="008B7A8C">
        <w:rPr>
          <w:lang w:val="es-ES"/>
        </w:rPr>
        <w:t xml:space="preserve">) / </w:t>
      </w:r>
      <w:r w:rsidRPr="00AE3FE2">
        <w:sym w:font="Symbol" w:char="F047"/>
      </w:r>
      <w:r w:rsidRPr="008B7A8C">
        <w:rPr>
          <w:lang w:val="es-ES"/>
        </w:rPr>
        <w:t>(</w:t>
      </w:r>
      <w:r w:rsidRPr="008B7A8C">
        <w:rPr>
          <w:i/>
          <w:lang w:val="es-ES"/>
        </w:rPr>
        <w:t>m</w:t>
      </w:r>
      <w:r w:rsidRPr="008B7A8C">
        <w:rPr>
          <w:i/>
          <w:vertAlign w:val="subscript"/>
          <w:lang w:val="es-ES"/>
        </w:rPr>
        <w:t>i</w:t>
      </w:r>
      <w:r w:rsidRPr="008B7A8C">
        <w:rPr>
          <w:lang w:val="es-ES"/>
        </w:rPr>
        <w:t>)</w:t>
      </w:r>
      <w:r>
        <w:rPr>
          <w:lang w:val="es-ES_tradnl"/>
        </w:rPr>
        <w:tab/>
        <w:t>(11d)</w:t>
      </w:r>
    </w:p>
    <w:p w:rsidR="007028BB" w:rsidRDefault="007028BB" w:rsidP="007028BB">
      <w:pPr>
        <w:pStyle w:val="Equation"/>
        <w:rPr>
          <w:lang w:val="en-GB"/>
        </w:rPr>
      </w:pPr>
      <w:r>
        <w:rPr>
          <w:lang w:val="es-ES_tradnl"/>
        </w:rPr>
        <w:tab/>
      </w:r>
      <w:r>
        <w:rPr>
          <w:lang w:val="es-ES_tradnl"/>
        </w:rPr>
        <w:tab/>
      </w:r>
      <w:r>
        <w:rPr>
          <w:position w:val="-12"/>
          <w:lang w:val="es-ES_tradnl"/>
        </w:rPr>
        <w:object w:dxaOrig="999" w:dyaOrig="440">
          <v:shape id="_x0000_i1036" type="#_x0000_t75" style="width:50.5pt;height:23.1pt" o:ole="">
            <v:imagedata r:id="rId46" o:title=""/>
          </v:shape>
          <o:OLEObject Type="Embed" ProgID="Equation.3" ShapeID="_x0000_i1036" DrawAspect="Content" ObjectID="_1545741305" r:id="rId47"/>
        </w:object>
      </w:r>
      <w:r>
        <w:rPr>
          <w:lang w:val="en-GB"/>
        </w:rPr>
        <w:tab/>
      </w:r>
      <w:r>
        <w:rPr>
          <w:position w:val="-10"/>
          <w:lang w:val="es-ES_tradnl"/>
        </w:rPr>
        <w:object w:dxaOrig="180" w:dyaOrig="320">
          <v:shape id="_x0000_i1037" type="#_x0000_t75" style="width:8.05pt;height:16.65pt" o:ole="">
            <v:imagedata r:id="rId48" o:title=""/>
          </v:shape>
          <o:OLEObject Type="Embed" ProgID="Equation.2" ShapeID="_x0000_i1037" DrawAspect="Content" ObjectID="_1545741306" r:id="rId49"/>
        </w:object>
      </w:r>
      <w:r>
        <w:rPr>
          <w:position w:val="-10"/>
          <w:lang w:val="es-ES_tradnl"/>
        </w:rPr>
        <w:object w:dxaOrig="180" w:dyaOrig="320">
          <v:shape id="_x0000_i1038" type="#_x0000_t75" style="width:8.05pt;height:16.65pt" o:ole="">
            <v:imagedata r:id="rId48" o:title=""/>
          </v:shape>
          <o:OLEObject Type="Embed" ProgID="Equation.2" ShapeID="_x0000_i1038" DrawAspect="Content" ObjectID="_1545741307" r:id="rId50"/>
        </w:object>
      </w:r>
      <w:r>
        <w:rPr>
          <w:lang w:val="en-GB"/>
        </w:rPr>
        <w:t>(11e)</w:t>
      </w:r>
    </w:p>
    <w:p w:rsidR="007028BB" w:rsidRDefault="007028BB" w:rsidP="007028BB">
      <w:pPr>
        <w:pStyle w:val="Equation"/>
        <w:rPr>
          <w:lang w:val="en-GB"/>
        </w:rPr>
      </w:pPr>
      <w:r>
        <w:rPr>
          <w:lang w:val="en-GB"/>
        </w:rPr>
        <w:tab/>
      </w:r>
      <w:r>
        <w:rPr>
          <w:lang w:val="en-GB"/>
        </w:rPr>
        <w:tab/>
      </w:r>
      <w:r>
        <w:rPr>
          <w:position w:val="-28"/>
          <w:lang w:val="es-ES_tradnl"/>
        </w:rPr>
        <w:object w:dxaOrig="2220" w:dyaOrig="760">
          <v:shape id="_x0000_i1039" type="#_x0000_t75" style="width:111.2pt;height:38.15pt" o:ole="">
            <v:imagedata r:id="rId51" o:title=""/>
          </v:shape>
          <o:OLEObject Type="Embed" ProgID="Equation.3" ShapeID="_x0000_i1039" DrawAspect="Content" ObjectID="_1545741308" r:id="rId52"/>
        </w:object>
      </w:r>
      <w:r>
        <w:rPr>
          <w:lang w:val="en-GB"/>
        </w:rPr>
        <w:tab/>
        <w:t>(11f)</w:t>
      </w:r>
    </w:p>
    <w:p w:rsidR="007028BB" w:rsidRDefault="007028BB" w:rsidP="007028BB">
      <w:pPr>
        <w:pStyle w:val="Equation"/>
        <w:tabs>
          <w:tab w:val="left" w:pos="6840"/>
        </w:tabs>
        <w:rPr>
          <w:lang w:val="en-GB"/>
        </w:rPr>
      </w:pPr>
      <w:r>
        <w:rPr>
          <w:lang w:val="en-GB"/>
        </w:rPr>
        <w:tab/>
      </w:r>
      <w:r>
        <w:rPr>
          <w:lang w:val="en-GB"/>
        </w:rPr>
        <w:tab/>
      </w:r>
      <w:r>
        <w:rPr>
          <w:position w:val="-32"/>
          <w:lang w:val="es-ES_tradnl"/>
        </w:rPr>
        <w:object w:dxaOrig="2880" w:dyaOrig="840">
          <v:shape id="_x0000_i1040" type="#_x0000_t75" style="width:2in;height:41.9pt" o:ole="">
            <v:imagedata r:id="rId53" o:title=""/>
          </v:shape>
          <o:OLEObject Type="Embed" ProgID="Equation.3" ShapeID="_x0000_i1040" DrawAspect="Content" ObjectID="_1545741309" r:id="rId54"/>
        </w:objec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(11g)</w:t>
      </w:r>
    </w:p>
    <w:p w:rsidR="007028BB" w:rsidRDefault="007028BB" w:rsidP="007028BB">
      <w:pPr>
        <w:pStyle w:val="Equation"/>
        <w:rPr>
          <w:lang w:val="en-GB"/>
        </w:rPr>
      </w:pPr>
      <w:bookmarkStart w:id="83" w:name="_Toc392319767"/>
      <w:r>
        <w:rPr>
          <w:lang w:val="en-US"/>
        </w:rPr>
        <w:tab/>
      </w:r>
      <w:r>
        <w:rPr>
          <w:lang w:val="en-US"/>
        </w:rPr>
        <w:tab/>
      </w:r>
      <w:r>
        <w:rPr>
          <w:position w:val="-32"/>
          <w:sz w:val="28"/>
        </w:rPr>
        <w:object w:dxaOrig="3180" w:dyaOrig="840">
          <v:shape id="_x0000_i1041" type="#_x0000_t75" style="width:159.05pt;height:41.9pt" o:ole="">
            <v:imagedata r:id="rId55" o:title=""/>
          </v:shape>
          <o:OLEObject Type="Embed" ProgID="Equation.3" ShapeID="_x0000_i1041" DrawAspect="Content" ObjectID="_1545741310" r:id="rId56"/>
        </w:object>
      </w:r>
      <w:r>
        <w:rPr>
          <w:lang w:val="en-GB"/>
        </w:rPr>
        <w:tab/>
        <w:t>(11h)</w:t>
      </w:r>
    </w:p>
    <w:p w:rsidR="007028BB" w:rsidRDefault="007028BB" w:rsidP="007028BB">
      <w:pPr>
        <w:rPr>
          <w:lang w:val="en-GB"/>
        </w:rPr>
      </w:pPr>
      <w:r>
        <w:rPr>
          <w:lang w:val="en-GB"/>
        </w:rPr>
        <w:t>Figure 12 shows an example of long-term cumulative distribution of signal intensity derived from the curve P6 of Fig. 11.</w:t>
      </w:r>
    </w:p>
    <w:p w:rsidR="007028BB" w:rsidRPr="00D7583D" w:rsidRDefault="007028BB" w:rsidP="007028BB">
      <w:pPr>
        <w:pStyle w:val="Heading2"/>
        <w:rPr>
          <w:lang w:val="en-US"/>
        </w:rPr>
      </w:pPr>
      <w:bookmarkStart w:id="84" w:name="_Toc101234738"/>
      <w:bookmarkStart w:id="85" w:name="_Toc101235054"/>
      <w:bookmarkStart w:id="86" w:name="_Toc101261558"/>
      <w:bookmarkStart w:id="87" w:name="_Toc115521894"/>
      <w:bookmarkStart w:id="88" w:name="_Toc101234739"/>
      <w:bookmarkStart w:id="89" w:name="_Toc101235055"/>
      <w:bookmarkStart w:id="90" w:name="_Toc101261559"/>
      <w:bookmarkStart w:id="91" w:name="_Toc115521895"/>
      <w:bookmarkEnd w:id="83"/>
      <w:r w:rsidRPr="00D7583D">
        <w:rPr>
          <w:lang w:val="en-US"/>
        </w:rPr>
        <w:t>4.7</w:t>
      </w:r>
      <w:r w:rsidRPr="00D7583D">
        <w:rPr>
          <w:lang w:val="en-US"/>
        </w:rPr>
        <w:tab/>
        <w:t>Simultaneous occurrence of ionospheric scintillation and rain fading</w:t>
      </w:r>
      <w:bookmarkEnd w:id="84"/>
      <w:bookmarkEnd w:id="85"/>
      <w:bookmarkEnd w:id="86"/>
      <w:bookmarkEnd w:id="87"/>
    </w:p>
    <w:p w:rsidR="007028BB" w:rsidRPr="00D7583D" w:rsidRDefault="007028BB" w:rsidP="007028BB">
      <w:pPr>
        <w:rPr>
          <w:lang w:val="en-US"/>
        </w:rPr>
      </w:pPr>
      <w:r w:rsidRPr="00D7583D">
        <w:rPr>
          <w:lang w:val="en-US"/>
        </w:rPr>
        <w:t xml:space="preserve">Ionospheric scintillation and rain fading are two impairments of completely different physical origin. However, in equatorial regions at years of high sunspot number, the simultaneous occurrence of the two effects may have an annual percentage time that is significant to system design. The cumulative simultaneous occurrence time was about 0.06% annually as noted at 4 GHz at Djutiluhar earth station in </w:t>
      </w:r>
      <w:smartTag w:uri="urn:schemas-microsoft-com:office:smarttags" w:element="PlaceName">
        <w:smartTag w:uri="urn:schemas-microsoft-com:office:smarttags" w:element="country-region">
          <w:r w:rsidRPr="00D7583D">
            <w:rPr>
              <w:lang w:val="en-US"/>
            </w:rPr>
            <w:t>Indonesia</w:t>
          </w:r>
        </w:smartTag>
      </w:smartTag>
      <w:r w:rsidRPr="00D7583D">
        <w:rPr>
          <w:lang w:val="en-US"/>
        </w:rPr>
        <w:t xml:space="preserve">. </w:t>
      </w:r>
    </w:p>
    <w:p w:rsidR="007028BB" w:rsidRPr="00D7583D" w:rsidRDefault="007028BB" w:rsidP="007028BB">
      <w:pPr>
        <w:rPr>
          <w:lang w:val="en-US"/>
        </w:rPr>
      </w:pPr>
      <w:r w:rsidRPr="00D7583D">
        <w:rPr>
          <w:lang w:val="en-US"/>
        </w:rPr>
        <w:t xml:space="preserve">The simultaneous events have signatures that are often vastly different from those when only a single impairment, either scintillation or rain alone, is present. While ionospheric scintillation alone is not a depolarization phenomenon, and rain fading alone is not a signal fluctuation phenomenon </w:t>
      </w:r>
      <w:r w:rsidRPr="00D7583D">
        <w:rPr>
          <w:szCs w:val="24"/>
          <w:lang w:val="en-US"/>
        </w:rPr>
        <w:t>(although it may cause slight fluctuations of polarization for moderate to strong scintillations)</w:t>
      </w:r>
      <w:r w:rsidRPr="00D7583D">
        <w:rPr>
          <w:lang w:val="en-US"/>
        </w:rPr>
        <w:t xml:space="preserve">, the simultaneous events produce a significant amount of signal fluctuations in the cross-polarization </w:t>
      </w:r>
      <w:r w:rsidRPr="00D7583D">
        <w:rPr>
          <w:lang w:val="en-US"/>
        </w:rPr>
        <w:lastRenderedPageBreak/>
        <w:t>channel. Recognition of these simultaneous events is needed for applications to satellite</w:t>
      </w:r>
      <w:r w:rsidRPr="00D7583D">
        <w:rPr>
          <w:lang w:val="en-US"/>
        </w:rPr>
        <w:noBreakHyphen/>
        <w:t>Earth radio systems which require high availability.</w:t>
      </w:r>
    </w:p>
    <w:p w:rsidR="007028BB" w:rsidRPr="00D7583D" w:rsidRDefault="007028BB" w:rsidP="007028BB">
      <w:pPr>
        <w:rPr>
          <w:szCs w:val="24"/>
          <w:lang w:val="en-US"/>
        </w:rPr>
      </w:pPr>
      <w:r w:rsidRPr="00D7583D">
        <w:rPr>
          <w:szCs w:val="24"/>
          <w:lang w:val="en-US"/>
        </w:rPr>
        <w:t>The prediction of rain fading is described in Recommendation ITU-R P.618.</w:t>
      </w:r>
    </w:p>
    <w:p w:rsidR="007028BB" w:rsidRPr="00D7583D" w:rsidRDefault="007028BB" w:rsidP="007028BB">
      <w:pPr>
        <w:pStyle w:val="FigureNo"/>
        <w:rPr>
          <w:lang w:val="en-US"/>
        </w:rPr>
      </w:pPr>
      <w:r w:rsidRPr="00D7583D">
        <w:rPr>
          <w:lang w:val="en-US"/>
        </w:rPr>
        <w:t>FIGURE 11</w:t>
      </w:r>
    </w:p>
    <w:p w:rsidR="007028BB" w:rsidRPr="00D7583D" w:rsidRDefault="007028BB" w:rsidP="007028BB">
      <w:pPr>
        <w:pStyle w:val="Figuretitle"/>
        <w:rPr>
          <w:lang w:val="en-US"/>
        </w:rPr>
      </w:pPr>
      <w:r w:rsidRPr="00D7583D">
        <w:rPr>
          <w:lang w:val="en-US"/>
        </w:rPr>
        <w:t>Dependence of 4 GHz equatorial ionospheric scintillations</w:t>
      </w:r>
      <w:r w:rsidRPr="00D7583D">
        <w:rPr>
          <w:lang w:val="en-US"/>
        </w:rPr>
        <w:br/>
        <w:t>on monthly mean sunspot number</w:t>
      </w:r>
    </w:p>
    <w:p w:rsidR="007028BB" w:rsidRDefault="007028BB" w:rsidP="007028BB">
      <w:pPr>
        <w:pStyle w:val="Figure"/>
      </w:pPr>
      <w:r>
        <w:rPr>
          <w:noProof/>
          <w:lang w:val="en-US" w:eastAsia="zh-CN"/>
        </w:rPr>
        <w:drawing>
          <wp:inline distT="0" distB="0" distL="0" distR="0" wp14:anchorId="2123DBDC" wp14:editId="77B64004">
            <wp:extent cx="3276600" cy="571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0" cy="5715000"/>
                    </a:xfrm>
                    <a:prstGeom prst="rect">
                      <a:avLst/>
                    </a:prstGeom>
                    <a:noFill/>
                    <a:ln>
                      <a:noFill/>
                    </a:ln>
                  </pic:spPr>
                </pic:pic>
              </a:graphicData>
            </a:graphic>
          </wp:inline>
        </w:drawing>
      </w:r>
    </w:p>
    <w:p w:rsidR="007028BB" w:rsidRDefault="007028BB" w:rsidP="007028BB">
      <w:pPr>
        <w:pStyle w:val="Heading2"/>
        <w:rPr>
          <w:lang w:val="en-GB"/>
        </w:rPr>
      </w:pPr>
      <w:r>
        <w:rPr>
          <w:lang w:val="en-GB"/>
        </w:rPr>
        <w:t>4.8</w:t>
      </w:r>
      <w:r>
        <w:rPr>
          <w:lang w:val="en-GB"/>
        </w:rPr>
        <w:tab/>
        <w:t>Gigahertz scintillation model</w:t>
      </w:r>
      <w:bookmarkEnd w:id="88"/>
      <w:bookmarkEnd w:id="89"/>
      <w:bookmarkEnd w:id="90"/>
      <w:bookmarkEnd w:id="91"/>
    </w:p>
    <w:p w:rsidR="007028BB" w:rsidRDefault="007028BB" w:rsidP="007028BB">
      <w:pPr>
        <w:rPr>
          <w:lang w:val="en-GB"/>
        </w:rPr>
      </w:pPr>
      <w:r>
        <w:rPr>
          <w:lang w:val="en-GB"/>
        </w:rPr>
        <w:t>To evaluate the scintillation effects that can be expected in a given situation the following steps may be used:</w:t>
      </w:r>
    </w:p>
    <w:p w:rsidR="007028BB" w:rsidRDefault="007028BB" w:rsidP="007028BB">
      <w:pPr>
        <w:rPr>
          <w:lang w:val="en-GB"/>
        </w:rPr>
      </w:pPr>
      <w:r>
        <w:rPr>
          <w:i/>
          <w:lang w:val="en-GB"/>
        </w:rPr>
        <w:t>Step 1</w:t>
      </w:r>
      <w:r>
        <w:rPr>
          <w:lang w:val="en-GB"/>
        </w:rPr>
        <w:t>:  Figure 12 provides scintillation occurrence statistics on equatorial ionospheric paths: peak</w:t>
      </w:r>
      <w:r>
        <w:rPr>
          <w:lang w:val="en-GB"/>
        </w:rPr>
        <w:noBreakHyphen/>
        <w:t xml:space="preserve">to-peak amplitude fluctuations, </w:t>
      </w:r>
      <w:r>
        <w:rPr>
          <w:i/>
          <w:lang w:val="en-GB"/>
        </w:rPr>
        <w:t>P</w:t>
      </w:r>
      <w:r>
        <w:rPr>
          <w:i/>
          <w:vertAlign w:val="subscript"/>
          <w:lang w:val="en-GB"/>
        </w:rPr>
        <w:t>fluc</w:t>
      </w:r>
      <w:r>
        <w:rPr>
          <w:lang w:val="en-GB"/>
        </w:rPr>
        <w:t>, (dB), for 4 GHz reception from satellites in the East at elevation angles of about 20</w:t>
      </w:r>
      <w:r>
        <w:rPr>
          <w:rFonts w:ascii="Symbol" w:hAnsi="Symbol"/>
        </w:rPr>
        <w:t></w:t>
      </w:r>
      <w:r>
        <w:rPr>
          <w:lang w:val="en-GB"/>
        </w:rPr>
        <w:t xml:space="preserve"> (P solid curves) and in the West at about 30</w:t>
      </w:r>
      <w:r>
        <w:rPr>
          <w:rFonts w:ascii="Symbol" w:hAnsi="Symbol"/>
        </w:rPr>
        <w:t></w:t>
      </w:r>
      <w:r>
        <w:rPr>
          <w:lang w:val="en-GB"/>
        </w:rPr>
        <w:t xml:space="preserve"> elevation (I dotted curves). The data are given for different times of year and sunspot number.</w:t>
      </w:r>
    </w:p>
    <w:p w:rsidR="007028BB" w:rsidRDefault="007028BB" w:rsidP="007028BB">
      <w:pPr>
        <w:rPr>
          <w:lang w:val="en-GB"/>
        </w:rPr>
      </w:pPr>
      <w:r>
        <w:rPr>
          <w:i/>
          <w:lang w:val="en-GB"/>
        </w:rPr>
        <w:lastRenderedPageBreak/>
        <w:t>Step 2</w:t>
      </w:r>
      <w:r>
        <w:rPr>
          <w:lang w:val="en-GB"/>
        </w:rPr>
        <w:t>:  Since Fig. 12 relates to 4 GHz, values for other frequencies are found by multiplying these values by (</w:t>
      </w:r>
      <w:r>
        <w:rPr>
          <w:rFonts w:ascii="Tms Rmn" w:hAnsi="Tms Rmn"/>
          <w:sz w:val="12"/>
          <w:lang w:val="en-GB"/>
        </w:rPr>
        <w:t> </w:t>
      </w:r>
      <w:r>
        <w:rPr>
          <w:i/>
          <w:lang w:val="en-GB"/>
        </w:rPr>
        <w:t>f</w:t>
      </w:r>
      <w:r>
        <w:rPr>
          <w:sz w:val="12"/>
          <w:lang w:val="en-GB"/>
        </w:rPr>
        <w:t> </w:t>
      </w:r>
      <w:r>
        <w:rPr>
          <w:lang w:val="en-GB"/>
        </w:rPr>
        <w:t>/4)</w:t>
      </w:r>
      <w:r>
        <w:rPr>
          <w:vertAlign w:val="superscript"/>
          <w:lang w:val="en-GB"/>
        </w:rPr>
        <w:t>–1.5</w:t>
      </w:r>
      <w:r>
        <w:rPr>
          <w:position w:val="6"/>
          <w:sz w:val="16"/>
          <w:lang w:val="en-GB"/>
        </w:rPr>
        <w:t xml:space="preserve"> </w:t>
      </w:r>
      <w:r>
        <w:rPr>
          <w:lang w:val="en-GB"/>
        </w:rPr>
        <w:t xml:space="preserve">where </w:t>
      </w:r>
      <w:r>
        <w:rPr>
          <w:i/>
          <w:lang w:val="en-GB"/>
        </w:rPr>
        <w:t>f</w:t>
      </w:r>
      <w:r>
        <w:rPr>
          <w:lang w:val="en-GB"/>
        </w:rPr>
        <w:t xml:space="preserve"> is the frequency of interest (GHz).</w:t>
      </w:r>
    </w:p>
    <w:p w:rsidR="007028BB" w:rsidRDefault="007028BB" w:rsidP="007028BB">
      <w:pPr>
        <w:rPr>
          <w:lang w:val="en-GB"/>
        </w:rPr>
      </w:pPr>
      <w:r>
        <w:rPr>
          <w:i/>
          <w:lang w:val="en-GB"/>
        </w:rPr>
        <w:t>Step 3</w:t>
      </w:r>
      <w:r>
        <w:rPr>
          <w:lang w:val="en-GB"/>
        </w:rPr>
        <w:t xml:space="preserve">:  The variation of </w:t>
      </w:r>
      <w:r>
        <w:rPr>
          <w:i/>
          <w:lang w:val="en-GB"/>
        </w:rPr>
        <w:t>P</w:t>
      </w:r>
      <w:r>
        <w:rPr>
          <w:i/>
          <w:iCs/>
          <w:vertAlign w:val="subscript"/>
          <w:lang w:val="en-GB"/>
        </w:rPr>
        <w:t>fluc</w:t>
      </w:r>
      <w:r>
        <w:rPr>
          <w:lang w:val="en-GB"/>
        </w:rPr>
        <w:t xml:space="preserve"> with geographical location and diurnal occurrence can be qualitatively estimated from Fig. 5.</w:t>
      </w:r>
    </w:p>
    <w:p w:rsidR="007028BB" w:rsidRDefault="007028BB" w:rsidP="007028BB">
      <w:pPr>
        <w:rPr>
          <w:lang w:val="en-GB"/>
        </w:rPr>
      </w:pPr>
      <w:r>
        <w:rPr>
          <w:i/>
          <w:lang w:val="en-GB"/>
        </w:rPr>
        <w:t>Step 4</w:t>
      </w:r>
      <w:r>
        <w:rPr>
          <w:lang w:val="en-GB"/>
        </w:rPr>
        <w:t xml:space="preserve">:  As one element of link budget calculations, </w:t>
      </w:r>
      <w:r>
        <w:rPr>
          <w:i/>
          <w:lang w:val="en-GB"/>
        </w:rPr>
        <w:t>P</w:t>
      </w:r>
      <w:r>
        <w:rPr>
          <w:i/>
          <w:iCs/>
          <w:vertAlign w:val="subscript"/>
          <w:lang w:val="en-GB"/>
        </w:rPr>
        <w:t>fluc</w:t>
      </w:r>
      <w:r>
        <w:rPr>
          <w:lang w:val="en-GB"/>
        </w:rPr>
        <w:t xml:space="preserve"> is related to signal loss </w:t>
      </w:r>
      <w:r>
        <w:rPr>
          <w:i/>
          <w:lang w:val="en-GB"/>
        </w:rPr>
        <w:t>L</w:t>
      </w:r>
      <w:r>
        <w:rPr>
          <w:i/>
          <w:iCs/>
          <w:vertAlign w:val="subscript"/>
          <w:lang w:val="en-GB"/>
        </w:rPr>
        <w:t>p</w:t>
      </w:r>
      <w:r>
        <w:rPr>
          <w:lang w:val="en-GB"/>
        </w:rPr>
        <w:t xml:space="preserve"> by </w:t>
      </w:r>
      <w:r>
        <w:rPr>
          <w:position w:val="-18"/>
          <w:lang w:val="es-ES_tradnl"/>
        </w:rPr>
        <w:object w:dxaOrig="1540" w:dyaOrig="460">
          <v:shape id="_x0000_i1042" type="#_x0000_t75" style="width:76.3pt;height:21.5pt" o:ole="">
            <v:imagedata r:id="rId58" o:title=""/>
          </v:shape>
          <o:OLEObject Type="Embed" ProgID="Equation.3" ShapeID="_x0000_i1042" DrawAspect="Content" ObjectID="_1545741311" r:id="rId59"/>
        </w:object>
      </w:r>
    </w:p>
    <w:p w:rsidR="007028BB" w:rsidRDefault="007028BB" w:rsidP="007028BB">
      <w:pPr>
        <w:rPr>
          <w:lang w:val="en-GB"/>
        </w:rPr>
      </w:pPr>
      <w:r>
        <w:rPr>
          <w:i/>
          <w:lang w:val="en-GB"/>
        </w:rPr>
        <w:t>Step 5</w:t>
      </w:r>
      <w:r>
        <w:rPr>
          <w:lang w:val="en-GB"/>
        </w:rPr>
        <w:t xml:space="preserve">: The scintillation index </w:t>
      </w:r>
      <w:r>
        <w:rPr>
          <w:i/>
          <w:lang w:val="en-GB"/>
        </w:rPr>
        <w:t>S</w:t>
      </w:r>
      <w:r>
        <w:rPr>
          <w:vertAlign w:val="subscript"/>
          <w:lang w:val="en-GB"/>
        </w:rPr>
        <w:t>4</w:t>
      </w:r>
      <w:r>
        <w:rPr>
          <w:lang w:val="en-GB"/>
        </w:rPr>
        <w:t xml:space="preserve">, the most widely used parameter in describing scintillation, is defined in § 4.1 and may be obtained from </w:t>
      </w:r>
      <w:r>
        <w:rPr>
          <w:i/>
          <w:lang w:val="en-GB"/>
        </w:rPr>
        <w:t>P</w:t>
      </w:r>
      <w:r>
        <w:rPr>
          <w:i/>
          <w:iCs/>
          <w:vertAlign w:val="subscript"/>
          <w:lang w:val="en-GB"/>
        </w:rPr>
        <w:t>fluc</w:t>
      </w:r>
      <w:r>
        <w:rPr>
          <w:lang w:val="en-GB"/>
        </w:rPr>
        <w:t xml:space="preserve"> using Table 1.</w:t>
      </w:r>
    </w:p>
    <w:p w:rsidR="007028BB" w:rsidRPr="00C13435" w:rsidRDefault="007028BB" w:rsidP="007028BB">
      <w:pPr>
        <w:pStyle w:val="FigureNo"/>
        <w:rPr>
          <w:lang w:val="en-US"/>
        </w:rPr>
      </w:pPr>
      <w:r w:rsidRPr="00C13435">
        <w:rPr>
          <w:lang w:val="en-US"/>
        </w:rPr>
        <w:t>FIGURE 12</w:t>
      </w:r>
    </w:p>
    <w:p w:rsidR="007028BB" w:rsidRPr="00C13435" w:rsidRDefault="007028BB" w:rsidP="007028BB">
      <w:pPr>
        <w:pStyle w:val="Figuretitle"/>
        <w:rPr>
          <w:lang w:val="en-US"/>
        </w:rPr>
      </w:pPr>
      <w:r w:rsidRPr="00C13435">
        <w:rPr>
          <w:lang w:val="en-US"/>
        </w:rPr>
        <w:t>Annual statistics of peak-to-peak fluctuations observed at</w:t>
      </w:r>
      <w:r w:rsidRPr="00C13435">
        <w:rPr>
          <w:lang w:val="en-US"/>
        </w:rPr>
        <w:br/>
        <w:t>Hong Kong earth station (Curves I1, P1, I3-I6, P3-P6)</w:t>
      </w:r>
      <w:r w:rsidRPr="00C13435">
        <w:rPr>
          <w:lang w:val="en-US"/>
        </w:rPr>
        <w:br/>
        <w:t xml:space="preserve">and </w:t>
      </w:r>
      <w:smartTag w:uri="urn:schemas-microsoft-com:office:smarttags" w:element="place">
        <w:smartTag w:uri="urn:schemas-microsoft-com:office:smarttags" w:element="City">
          <w:smartTag w:uri="urn:schemas-microsoft-com:office:smarttags" w:element="PlaceName">
            <w:r w:rsidRPr="00C13435">
              <w:rPr>
                <w:lang w:val="en-US"/>
              </w:rPr>
              <w:t>Taipei</w:t>
            </w:r>
          </w:smartTag>
        </w:smartTag>
      </w:smartTag>
      <w:r w:rsidRPr="00C13435">
        <w:rPr>
          <w:lang w:val="en-US"/>
        </w:rPr>
        <w:t xml:space="preserve"> earth station (Curves P2 and I2)</w:t>
      </w:r>
    </w:p>
    <w:p w:rsidR="007028BB" w:rsidRDefault="007028BB" w:rsidP="007028BB">
      <w:pPr>
        <w:pStyle w:val="Figure"/>
      </w:pPr>
      <w:r>
        <w:rPr>
          <w:noProof/>
          <w:lang w:val="en-US" w:eastAsia="zh-CN"/>
        </w:rPr>
        <w:drawing>
          <wp:inline distT="0" distB="0" distL="0" distR="0" wp14:anchorId="25C2C307" wp14:editId="3BC0BAD6">
            <wp:extent cx="5638800" cy="601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8800" cy="6019800"/>
                    </a:xfrm>
                    <a:prstGeom prst="rect">
                      <a:avLst/>
                    </a:prstGeom>
                    <a:noFill/>
                    <a:ln>
                      <a:noFill/>
                    </a:ln>
                  </pic:spPr>
                </pic:pic>
              </a:graphicData>
            </a:graphic>
          </wp:inline>
        </w:drawing>
      </w:r>
    </w:p>
    <w:p w:rsidR="007028BB" w:rsidRPr="00130F3B" w:rsidRDefault="007028BB" w:rsidP="007028BB">
      <w:pPr>
        <w:pStyle w:val="FigureNo"/>
        <w:rPr>
          <w:lang w:val="en-US"/>
        </w:rPr>
      </w:pPr>
      <w:r w:rsidRPr="00130F3B">
        <w:rPr>
          <w:lang w:val="en-US"/>
        </w:rPr>
        <w:lastRenderedPageBreak/>
        <w:t>figure 13</w:t>
      </w:r>
    </w:p>
    <w:p w:rsidR="007028BB" w:rsidRPr="00130F3B" w:rsidRDefault="007028BB" w:rsidP="007028BB">
      <w:pPr>
        <w:pStyle w:val="Figuretitle"/>
        <w:rPr>
          <w:lang w:val="en-US"/>
        </w:rPr>
      </w:pPr>
      <w:r w:rsidRPr="00130F3B">
        <w:rPr>
          <w:lang w:val="en-US"/>
        </w:rPr>
        <w:t>An example of long-term cumulative statistics of signal intensity (4 GHz, 20</w:t>
      </w:r>
      <w:r>
        <w:rPr>
          <w:lang w:val="en-US"/>
        </w:rPr>
        <w:t>° elevation)</w:t>
      </w:r>
    </w:p>
    <w:p w:rsidR="007028BB" w:rsidRPr="008B7A8C" w:rsidRDefault="007028BB" w:rsidP="007028BB">
      <w:pPr>
        <w:pStyle w:val="Figure"/>
      </w:pPr>
      <w:r>
        <w:rPr>
          <w:noProof/>
          <w:lang w:val="en-US" w:eastAsia="zh-CN"/>
        </w:rPr>
        <w:drawing>
          <wp:inline distT="0" distB="0" distL="0" distR="0" wp14:anchorId="6BCC6EAB" wp14:editId="1CBE888A">
            <wp:extent cx="5562600" cy="373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2600" cy="3733800"/>
                    </a:xfrm>
                    <a:prstGeom prst="rect">
                      <a:avLst/>
                    </a:prstGeom>
                    <a:noFill/>
                    <a:ln>
                      <a:noFill/>
                    </a:ln>
                  </pic:spPr>
                </pic:pic>
              </a:graphicData>
            </a:graphic>
          </wp:inline>
        </w:drawing>
      </w:r>
    </w:p>
    <w:p w:rsidR="007028BB" w:rsidRDefault="007028BB" w:rsidP="007028BB">
      <w:pPr>
        <w:rPr>
          <w:lang w:val="en-GB"/>
        </w:rPr>
      </w:pPr>
      <w:bookmarkStart w:id="92" w:name="_Toc392319770"/>
      <w:bookmarkStart w:id="93" w:name="_Toc101234740"/>
      <w:bookmarkStart w:id="94" w:name="_Toc101235056"/>
      <w:bookmarkStart w:id="95" w:name="_Toc101261560"/>
      <w:bookmarkStart w:id="96" w:name="_Toc115521896"/>
    </w:p>
    <w:p w:rsidR="007028BB" w:rsidRDefault="007028BB" w:rsidP="007028BB">
      <w:pPr>
        <w:pStyle w:val="Heading1"/>
        <w:rPr>
          <w:lang w:val="en-GB"/>
        </w:rPr>
      </w:pPr>
      <w:r>
        <w:rPr>
          <w:lang w:val="en-GB"/>
        </w:rPr>
        <w:t>5</w:t>
      </w:r>
      <w:r>
        <w:rPr>
          <w:lang w:val="en-GB"/>
        </w:rPr>
        <w:tab/>
        <w:t>Absorption</w:t>
      </w:r>
      <w:bookmarkEnd w:id="92"/>
      <w:bookmarkEnd w:id="93"/>
      <w:bookmarkEnd w:id="94"/>
      <w:bookmarkEnd w:id="95"/>
      <w:bookmarkEnd w:id="96"/>
    </w:p>
    <w:p w:rsidR="007028BB" w:rsidRDefault="007028BB" w:rsidP="007028BB">
      <w:pPr>
        <w:rPr>
          <w:lang w:val="en-GB"/>
        </w:rPr>
      </w:pPr>
      <w:r>
        <w:rPr>
          <w:lang w:val="en-GB"/>
        </w:rPr>
        <w:t>When direct information is not available, ionospheric absorption loss can be estimated from available models according to the (sec </w:t>
      </w:r>
      <w:r>
        <w:rPr>
          <w:i/>
          <w:lang w:val="en-GB"/>
        </w:rPr>
        <w:t>i</w:t>
      </w:r>
      <w:r>
        <w:rPr>
          <w:rFonts w:ascii="Tms Rmn" w:hAnsi="Tms Rmn"/>
          <w:i/>
          <w:sz w:val="10"/>
          <w:lang w:val="en-GB"/>
        </w:rPr>
        <w:t> </w:t>
      </w:r>
      <w:r>
        <w:rPr>
          <w:lang w:val="en-GB"/>
        </w:rPr>
        <w:t>)</w:t>
      </w:r>
      <w:r>
        <w:rPr>
          <w:sz w:val="12"/>
          <w:lang w:val="en-GB"/>
        </w:rPr>
        <w:t> </w:t>
      </w:r>
      <w:r>
        <w:rPr>
          <w:lang w:val="en-GB"/>
        </w:rPr>
        <w:t>/</w:t>
      </w:r>
      <w:r>
        <w:rPr>
          <w:sz w:val="12"/>
          <w:lang w:val="en-GB"/>
        </w:rPr>
        <w:t> </w:t>
      </w:r>
      <w:r>
        <w:rPr>
          <w:i/>
          <w:lang w:val="en-GB"/>
        </w:rPr>
        <w:t>f</w:t>
      </w:r>
      <w:r>
        <w:rPr>
          <w:rFonts w:ascii="Tms Rmn" w:hAnsi="Tms Rmn"/>
          <w:i/>
          <w:sz w:val="22"/>
          <w:lang w:val="en-GB"/>
        </w:rPr>
        <w:t> </w:t>
      </w:r>
      <w:r>
        <w:rPr>
          <w:vertAlign w:val="superscript"/>
          <w:lang w:val="en-GB"/>
        </w:rPr>
        <w:t>2</w:t>
      </w:r>
      <w:r>
        <w:rPr>
          <w:lang w:val="en-GB"/>
        </w:rPr>
        <w:t xml:space="preserve"> relationship for frequencies above 30 MHz, where </w:t>
      </w:r>
      <w:r>
        <w:rPr>
          <w:i/>
          <w:lang w:val="en-GB"/>
        </w:rPr>
        <w:t>i</w:t>
      </w:r>
      <w:r>
        <w:rPr>
          <w:lang w:val="en-GB"/>
        </w:rPr>
        <w:t xml:space="preserve"> is the zenith angle of the propagation path in the ionosphere. For equatorial and mid</w:t>
      </w:r>
      <w:r>
        <w:rPr>
          <w:lang w:val="en-GB"/>
        </w:rPr>
        <w:noBreakHyphen/>
        <w:t>latitude regions, radiowaves of frequencies above 70 MHz will assure penetration of the ionosphere without significant absorption.</w:t>
      </w:r>
    </w:p>
    <w:p w:rsidR="007028BB" w:rsidRDefault="007028BB" w:rsidP="007028BB">
      <w:pPr>
        <w:rPr>
          <w:lang w:val="en-GB"/>
        </w:rPr>
      </w:pPr>
      <w:r>
        <w:rPr>
          <w:lang w:val="en-GB"/>
        </w:rPr>
        <w:t>Measurements at middle latitudes indicate that, for a one-way traverse of the ionosphere at vertical incidence, the absorption at 30 MHz under normal conditions is typically 0.2 to 0.5 dB. During a solar flare, the absorption will increase but will be less than 5 dB. Enhanced absorption can occur at high latitudes due to polar cap and auroral events; these two phenomena occur at random intervals, last for different periods of time, and their effects are functions of the locations of the terminals and the elevation angle of the path. Therefore for the most effective system design these phenomena should be treated statistically bearing in mind that the durations for auroral absorption are of the order of hours and for polar cap absorption are of the order of days.</w:t>
      </w:r>
    </w:p>
    <w:p w:rsidR="007028BB" w:rsidRDefault="007028BB" w:rsidP="007028BB">
      <w:pPr>
        <w:pStyle w:val="Heading2"/>
        <w:rPr>
          <w:lang w:val="en-GB"/>
        </w:rPr>
      </w:pPr>
      <w:bookmarkStart w:id="97" w:name="_Toc392319771"/>
      <w:bookmarkStart w:id="98" w:name="_Toc101234741"/>
      <w:bookmarkStart w:id="99" w:name="_Toc101235057"/>
      <w:bookmarkStart w:id="100" w:name="_Toc101261561"/>
      <w:bookmarkStart w:id="101" w:name="_Toc115521897"/>
      <w:r>
        <w:rPr>
          <w:lang w:val="en-GB"/>
        </w:rPr>
        <w:t>5.1</w:t>
      </w:r>
      <w:r>
        <w:rPr>
          <w:lang w:val="en-GB"/>
        </w:rPr>
        <w:tab/>
        <w:t>Auroral absorption</w:t>
      </w:r>
      <w:bookmarkEnd w:id="97"/>
      <w:bookmarkEnd w:id="98"/>
      <w:bookmarkEnd w:id="99"/>
      <w:bookmarkEnd w:id="100"/>
      <w:bookmarkEnd w:id="101"/>
    </w:p>
    <w:p w:rsidR="007028BB" w:rsidRDefault="007028BB" w:rsidP="007028BB">
      <w:pPr>
        <w:keepLines/>
        <w:rPr>
          <w:lang w:val="en-GB"/>
        </w:rPr>
      </w:pPr>
      <w:r>
        <w:rPr>
          <w:lang w:val="en-GB"/>
        </w:rPr>
        <w:t>Auroral absorption results from increases of electron concentration in the D and E regions produced by incident energetic electrons. The absorption is observed over a range of 10</w:t>
      </w:r>
      <w:r>
        <w:rPr>
          <w:rFonts w:ascii="Symbol" w:hAnsi="Symbol"/>
        </w:rPr>
        <w:t></w:t>
      </w:r>
      <w:r>
        <w:rPr>
          <w:lang w:val="en-GB"/>
        </w:rPr>
        <w:t xml:space="preserve"> to 20</w:t>
      </w:r>
      <w:r>
        <w:rPr>
          <w:rFonts w:ascii="Symbol" w:hAnsi="Symbol"/>
        </w:rPr>
        <w:t></w:t>
      </w:r>
      <w:r>
        <w:rPr>
          <w:lang w:val="en-GB"/>
        </w:rPr>
        <w:t xml:space="preserve"> latitude centred close to the latitude of maximum occurrence of visual aurorae. It occurs as a series of discrete absorption enhancements each of relatively short duration, i.e. from minutes up to a few hours, with an average duration of about 30 min, and usually showing an irregular time structure. Night enhancements tend to consist of smooth fast rises and slow decays. Typical magnitudes at 127 MHz are shown in Table 2.</w:t>
      </w:r>
    </w:p>
    <w:p w:rsidR="007028BB" w:rsidRDefault="007028BB" w:rsidP="007028BB">
      <w:pPr>
        <w:pStyle w:val="TableNo"/>
        <w:rPr>
          <w:lang w:val="en-GB"/>
        </w:rPr>
      </w:pPr>
      <w:r>
        <w:rPr>
          <w:lang w:val="en-GB"/>
        </w:rPr>
        <w:lastRenderedPageBreak/>
        <w:t>TABLE 2</w:t>
      </w:r>
    </w:p>
    <w:p w:rsidR="007028BB" w:rsidRDefault="007028BB" w:rsidP="007028BB">
      <w:pPr>
        <w:pStyle w:val="Tabletitle"/>
        <w:rPr>
          <w:lang w:val="en-GB"/>
        </w:rPr>
      </w:pPr>
      <w:r>
        <w:rPr>
          <w:lang w:val="en-GB"/>
        </w:rPr>
        <w:t>Auroral absorption at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7028BB" w:rsidTr="006909C1">
        <w:trPr>
          <w:cantSplit/>
          <w:jc w:val="center"/>
        </w:trPr>
        <w:tc>
          <w:tcPr>
            <w:tcW w:w="1985" w:type="dxa"/>
            <w:vMerge w:val="restart"/>
            <w:tcBorders>
              <w:top w:val="single" w:sz="6" w:space="0" w:color="auto"/>
              <w:left w:val="single" w:sz="6" w:space="0" w:color="auto"/>
              <w:right w:val="single" w:sz="6" w:space="0" w:color="auto"/>
            </w:tcBorders>
            <w:vAlign w:val="center"/>
          </w:tcPr>
          <w:p w:rsidR="007028BB" w:rsidRDefault="007028BB" w:rsidP="006909C1">
            <w:pPr>
              <w:pStyle w:val="Tablehead"/>
              <w:rPr>
                <w:lang w:val="en-GB"/>
              </w:rPr>
            </w:pPr>
            <w:r>
              <w:rPr>
                <w:lang w:val="en-GB"/>
              </w:rPr>
              <w:t>Percentage</w:t>
            </w:r>
            <w:r>
              <w:rPr>
                <w:lang w:val="en-GB"/>
              </w:rPr>
              <w:br/>
              <w:t>of the time</w:t>
            </w:r>
          </w:p>
        </w:tc>
        <w:tc>
          <w:tcPr>
            <w:tcW w:w="2836" w:type="dxa"/>
            <w:gridSpan w:val="2"/>
            <w:tcBorders>
              <w:top w:val="single" w:sz="6" w:space="0" w:color="auto"/>
              <w:left w:val="single" w:sz="6" w:space="0" w:color="auto"/>
              <w:bottom w:val="single" w:sz="6" w:space="0" w:color="auto"/>
              <w:right w:val="single" w:sz="6" w:space="0" w:color="auto"/>
            </w:tcBorders>
          </w:tcPr>
          <w:p w:rsidR="007028BB" w:rsidRDefault="007028BB" w:rsidP="006909C1">
            <w:pPr>
              <w:pStyle w:val="Tablehead"/>
              <w:rPr>
                <w:lang w:val="en-GB"/>
              </w:rPr>
            </w:pPr>
            <w:r>
              <w:rPr>
                <w:lang w:val="en-GB"/>
              </w:rPr>
              <w:t>Angle of elevation</w:t>
            </w:r>
          </w:p>
        </w:tc>
      </w:tr>
      <w:tr w:rsidR="007028BB" w:rsidTr="006909C1">
        <w:trPr>
          <w:cantSplit/>
          <w:jc w:val="center"/>
        </w:trPr>
        <w:tc>
          <w:tcPr>
            <w:tcW w:w="1985" w:type="dxa"/>
            <w:vMerge/>
            <w:tcBorders>
              <w:left w:val="single" w:sz="6" w:space="0" w:color="auto"/>
              <w:bottom w:val="single" w:sz="6" w:space="0" w:color="auto"/>
              <w:right w:val="single" w:sz="6" w:space="0" w:color="auto"/>
            </w:tcBorders>
          </w:tcPr>
          <w:p w:rsidR="007028BB" w:rsidRDefault="007028BB" w:rsidP="006909C1">
            <w:pPr>
              <w:pStyle w:val="Tablehead"/>
              <w:rPr>
                <w:lang w:val="en-GB"/>
              </w:rPr>
            </w:pPr>
          </w:p>
        </w:tc>
        <w:tc>
          <w:tcPr>
            <w:tcW w:w="1418" w:type="dxa"/>
            <w:tcBorders>
              <w:top w:val="single" w:sz="6" w:space="0" w:color="auto"/>
              <w:left w:val="single" w:sz="6" w:space="0" w:color="auto"/>
              <w:bottom w:val="single" w:sz="6" w:space="0" w:color="auto"/>
              <w:right w:val="single" w:sz="6" w:space="0" w:color="auto"/>
            </w:tcBorders>
          </w:tcPr>
          <w:p w:rsidR="007028BB" w:rsidRDefault="007028BB" w:rsidP="006909C1">
            <w:pPr>
              <w:pStyle w:val="Tablehead"/>
              <w:rPr>
                <w:lang w:val="en-GB"/>
              </w:rPr>
            </w:pPr>
            <w:r>
              <w:rPr>
                <w:lang w:val="en-GB"/>
              </w:rPr>
              <w:t>20</w:t>
            </w:r>
            <w:r>
              <w:rPr>
                <w:rFonts w:ascii="Symbol" w:hAnsi="Symbol"/>
              </w:rPr>
              <w:t></w:t>
            </w:r>
          </w:p>
        </w:tc>
        <w:tc>
          <w:tcPr>
            <w:tcW w:w="1418" w:type="dxa"/>
            <w:tcBorders>
              <w:top w:val="single" w:sz="6" w:space="0" w:color="auto"/>
              <w:left w:val="single" w:sz="6" w:space="0" w:color="auto"/>
              <w:bottom w:val="single" w:sz="6" w:space="0" w:color="auto"/>
              <w:right w:val="single" w:sz="6" w:space="0" w:color="auto"/>
            </w:tcBorders>
          </w:tcPr>
          <w:p w:rsidR="007028BB" w:rsidRDefault="007028BB" w:rsidP="006909C1">
            <w:pPr>
              <w:pStyle w:val="Tablehead"/>
              <w:rPr>
                <w:lang w:val="en-GB"/>
              </w:rPr>
            </w:pPr>
            <w:r>
              <w:rPr>
                <w:lang w:val="en-GB"/>
              </w:rPr>
              <w:t>5</w:t>
            </w:r>
            <w:r>
              <w:rPr>
                <w:rFonts w:ascii="Symbol" w:hAnsi="Symbol"/>
              </w:rPr>
              <w:t></w:t>
            </w:r>
          </w:p>
        </w:tc>
      </w:tr>
      <w:tr w:rsidR="007028BB" w:rsidTr="006909C1">
        <w:trPr>
          <w:cantSplit/>
          <w:jc w:val="center"/>
        </w:trPr>
        <w:tc>
          <w:tcPr>
            <w:tcW w:w="1985" w:type="dxa"/>
            <w:tcBorders>
              <w:top w:val="single" w:sz="6" w:space="0" w:color="auto"/>
              <w:left w:val="single" w:sz="6" w:space="0" w:color="auto"/>
              <w:right w:val="single" w:sz="6" w:space="0" w:color="auto"/>
            </w:tcBorders>
          </w:tcPr>
          <w:p w:rsidR="007028BB" w:rsidRDefault="007028BB" w:rsidP="006909C1">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0.1</w:t>
            </w:r>
          </w:p>
        </w:tc>
        <w:tc>
          <w:tcPr>
            <w:tcW w:w="1418" w:type="dxa"/>
            <w:tcBorders>
              <w:top w:val="single" w:sz="6" w:space="0" w:color="auto"/>
              <w:left w:val="single" w:sz="6" w:space="0" w:color="auto"/>
              <w:right w:val="single" w:sz="6" w:space="0" w:color="auto"/>
            </w:tcBorders>
          </w:tcPr>
          <w:p w:rsidR="007028BB" w:rsidRDefault="007028BB" w:rsidP="006909C1">
            <w:pPr>
              <w:pStyle w:val="Tabletext"/>
              <w:jc w:val="center"/>
              <w:rPr>
                <w:lang w:val="en-GB"/>
              </w:rPr>
            </w:pPr>
            <w:r>
              <w:rPr>
                <w:lang w:val="en-GB"/>
              </w:rPr>
              <w:t>1.5</w:t>
            </w:r>
          </w:p>
        </w:tc>
        <w:tc>
          <w:tcPr>
            <w:tcW w:w="1418" w:type="dxa"/>
            <w:tcBorders>
              <w:top w:val="single" w:sz="6" w:space="0" w:color="auto"/>
              <w:left w:val="single" w:sz="6" w:space="0" w:color="auto"/>
              <w:right w:val="single" w:sz="6" w:space="0" w:color="auto"/>
            </w:tcBorders>
          </w:tcPr>
          <w:p w:rsidR="007028BB" w:rsidRDefault="007028BB" w:rsidP="006909C1">
            <w:pPr>
              <w:pStyle w:val="Tabletext"/>
              <w:jc w:val="center"/>
              <w:rPr>
                <w:lang w:val="en-GB"/>
              </w:rPr>
            </w:pPr>
            <w:r>
              <w:rPr>
                <w:lang w:val="en-GB"/>
              </w:rPr>
              <w:t>2.9</w:t>
            </w:r>
          </w:p>
        </w:tc>
      </w:tr>
      <w:tr w:rsidR="007028BB" w:rsidTr="006909C1">
        <w:trPr>
          <w:cantSplit/>
          <w:jc w:val="center"/>
        </w:trPr>
        <w:tc>
          <w:tcPr>
            <w:tcW w:w="1985" w:type="dxa"/>
            <w:tcBorders>
              <w:left w:val="single" w:sz="6" w:space="0" w:color="auto"/>
              <w:right w:val="single" w:sz="6" w:space="0" w:color="auto"/>
            </w:tcBorders>
          </w:tcPr>
          <w:p w:rsidR="007028BB" w:rsidRDefault="007028BB" w:rsidP="006909C1">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1</w:t>
            </w:r>
          </w:p>
        </w:tc>
        <w:tc>
          <w:tcPr>
            <w:tcW w:w="1418" w:type="dxa"/>
            <w:tcBorders>
              <w:left w:val="single" w:sz="6" w:space="0" w:color="auto"/>
              <w:right w:val="single" w:sz="6" w:space="0" w:color="auto"/>
            </w:tcBorders>
          </w:tcPr>
          <w:p w:rsidR="007028BB" w:rsidRDefault="007028BB" w:rsidP="006909C1">
            <w:pPr>
              <w:pStyle w:val="Tabletext"/>
              <w:jc w:val="center"/>
              <w:rPr>
                <w:lang w:val="en-GB"/>
              </w:rPr>
            </w:pPr>
            <w:r>
              <w:rPr>
                <w:lang w:val="en-GB"/>
              </w:rPr>
              <w:t>0.9</w:t>
            </w:r>
          </w:p>
        </w:tc>
        <w:tc>
          <w:tcPr>
            <w:tcW w:w="1418" w:type="dxa"/>
            <w:tcBorders>
              <w:left w:val="single" w:sz="6" w:space="0" w:color="auto"/>
              <w:right w:val="single" w:sz="6" w:space="0" w:color="auto"/>
            </w:tcBorders>
          </w:tcPr>
          <w:p w:rsidR="007028BB" w:rsidRDefault="007028BB" w:rsidP="006909C1">
            <w:pPr>
              <w:pStyle w:val="Tabletext"/>
              <w:jc w:val="center"/>
              <w:rPr>
                <w:lang w:val="en-GB"/>
              </w:rPr>
            </w:pPr>
            <w:r>
              <w:rPr>
                <w:lang w:val="en-GB"/>
              </w:rPr>
              <w:t>1.7</w:t>
            </w:r>
          </w:p>
        </w:tc>
      </w:tr>
      <w:tr w:rsidR="007028BB" w:rsidTr="006909C1">
        <w:trPr>
          <w:cantSplit/>
          <w:jc w:val="center"/>
        </w:trPr>
        <w:tc>
          <w:tcPr>
            <w:tcW w:w="1985" w:type="dxa"/>
            <w:tcBorders>
              <w:left w:val="single" w:sz="6" w:space="0" w:color="auto"/>
              <w:right w:val="single" w:sz="6" w:space="0" w:color="auto"/>
            </w:tcBorders>
          </w:tcPr>
          <w:p w:rsidR="007028BB" w:rsidRDefault="007028BB" w:rsidP="006909C1">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2</w:t>
            </w:r>
          </w:p>
        </w:tc>
        <w:tc>
          <w:tcPr>
            <w:tcW w:w="1418" w:type="dxa"/>
            <w:tcBorders>
              <w:left w:val="single" w:sz="6" w:space="0" w:color="auto"/>
              <w:right w:val="single" w:sz="6" w:space="0" w:color="auto"/>
            </w:tcBorders>
          </w:tcPr>
          <w:p w:rsidR="007028BB" w:rsidRDefault="007028BB" w:rsidP="006909C1">
            <w:pPr>
              <w:pStyle w:val="Tabletext"/>
              <w:jc w:val="center"/>
              <w:rPr>
                <w:lang w:val="en-GB"/>
              </w:rPr>
            </w:pPr>
            <w:r>
              <w:rPr>
                <w:lang w:val="en-GB"/>
              </w:rPr>
              <w:t>0.7</w:t>
            </w:r>
          </w:p>
        </w:tc>
        <w:tc>
          <w:tcPr>
            <w:tcW w:w="1418" w:type="dxa"/>
            <w:tcBorders>
              <w:left w:val="single" w:sz="6" w:space="0" w:color="auto"/>
              <w:right w:val="single" w:sz="6" w:space="0" w:color="auto"/>
            </w:tcBorders>
          </w:tcPr>
          <w:p w:rsidR="007028BB" w:rsidRDefault="007028BB" w:rsidP="006909C1">
            <w:pPr>
              <w:pStyle w:val="Tabletext"/>
              <w:jc w:val="center"/>
              <w:rPr>
                <w:lang w:val="en-GB"/>
              </w:rPr>
            </w:pPr>
            <w:r>
              <w:rPr>
                <w:lang w:val="en-GB"/>
              </w:rPr>
              <w:t>1.4</w:t>
            </w:r>
          </w:p>
        </w:tc>
      </w:tr>
      <w:tr w:rsidR="007028BB" w:rsidTr="006909C1">
        <w:trPr>
          <w:cantSplit/>
          <w:jc w:val="center"/>
        </w:trPr>
        <w:tc>
          <w:tcPr>
            <w:tcW w:w="1985" w:type="dxa"/>
            <w:tcBorders>
              <w:left w:val="single" w:sz="6" w:space="0" w:color="auto"/>
              <w:right w:val="single" w:sz="6" w:space="0" w:color="auto"/>
            </w:tcBorders>
          </w:tcPr>
          <w:p w:rsidR="007028BB" w:rsidRDefault="007028BB" w:rsidP="006909C1">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5</w:t>
            </w:r>
          </w:p>
        </w:tc>
        <w:tc>
          <w:tcPr>
            <w:tcW w:w="1418" w:type="dxa"/>
            <w:tcBorders>
              <w:left w:val="single" w:sz="6" w:space="0" w:color="auto"/>
              <w:right w:val="single" w:sz="6" w:space="0" w:color="auto"/>
            </w:tcBorders>
          </w:tcPr>
          <w:p w:rsidR="007028BB" w:rsidRDefault="007028BB" w:rsidP="006909C1">
            <w:pPr>
              <w:pStyle w:val="Tabletext"/>
              <w:jc w:val="center"/>
              <w:rPr>
                <w:lang w:val="en-GB"/>
              </w:rPr>
            </w:pPr>
            <w:r>
              <w:rPr>
                <w:lang w:val="en-GB"/>
              </w:rPr>
              <w:t>0.6</w:t>
            </w:r>
          </w:p>
        </w:tc>
        <w:tc>
          <w:tcPr>
            <w:tcW w:w="1418" w:type="dxa"/>
            <w:tcBorders>
              <w:left w:val="single" w:sz="6" w:space="0" w:color="auto"/>
              <w:right w:val="single" w:sz="6" w:space="0" w:color="auto"/>
            </w:tcBorders>
          </w:tcPr>
          <w:p w:rsidR="007028BB" w:rsidRDefault="007028BB" w:rsidP="006909C1">
            <w:pPr>
              <w:pStyle w:val="Tabletext"/>
              <w:jc w:val="center"/>
              <w:rPr>
                <w:lang w:val="en-GB"/>
              </w:rPr>
            </w:pPr>
            <w:r>
              <w:rPr>
                <w:lang w:val="en-GB"/>
              </w:rPr>
              <w:t>1.1</w:t>
            </w:r>
          </w:p>
        </w:tc>
      </w:tr>
      <w:tr w:rsidR="007028BB" w:rsidTr="006909C1">
        <w:trPr>
          <w:cantSplit/>
          <w:jc w:val="center"/>
        </w:trPr>
        <w:tc>
          <w:tcPr>
            <w:tcW w:w="1985" w:type="dxa"/>
            <w:tcBorders>
              <w:left w:val="single" w:sz="6" w:space="0" w:color="auto"/>
              <w:bottom w:val="single" w:sz="6" w:space="0" w:color="auto"/>
              <w:right w:val="single" w:sz="6" w:space="0" w:color="auto"/>
            </w:tcBorders>
          </w:tcPr>
          <w:p w:rsidR="007028BB" w:rsidRDefault="007028BB" w:rsidP="006909C1">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50</w:t>
            </w:r>
          </w:p>
        </w:tc>
        <w:tc>
          <w:tcPr>
            <w:tcW w:w="1418" w:type="dxa"/>
            <w:tcBorders>
              <w:left w:val="single" w:sz="6" w:space="0" w:color="auto"/>
              <w:bottom w:val="single" w:sz="6" w:space="0" w:color="auto"/>
              <w:right w:val="single" w:sz="6" w:space="0" w:color="auto"/>
            </w:tcBorders>
          </w:tcPr>
          <w:p w:rsidR="007028BB" w:rsidRDefault="007028BB" w:rsidP="006909C1">
            <w:pPr>
              <w:pStyle w:val="Tabletext"/>
              <w:jc w:val="center"/>
              <w:rPr>
                <w:lang w:val="en-GB"/>
              </w:rPr>
            </w:pPr>
            <w:r>
              <w:rPr>
                <w:lang w:val="en-GB"/>
              </w:rPr>
              <w:t>0.2</w:t>
            </w:r>
          </w:p>
        </w:tc>
        <w:tc>
          <w:tcPr>
            <w:tcW w:w="1418" w:type="dxa"/>
            <w:tcBorders>
              <w:left w:val="single" w:sz="6" w:space="0" w:color="auto"/>
              <w:bottom w:val="single" w:sz="6" w:space="0" w:color="auto"/>
              <w:right w:val="single" w:sz="6" w:space="0" w:color="auto"/>
            </w:tcBorders>
          </w:tcPr>
          <w:p w:rsidR="007028BB" w:rsidRDefault="007028BB" w:rsidP="006909C1">
            <w:pPr>
              <w:pStyle w:val="Tabletext"/>
              <w:jc w:val="center"/>
              <w:rPr>
                <w:lang w:val="en-GB"/>
              </w:rPr>
            </w:pPr>
            <w:r>
              <w:rPr>
                <w:lang w:val="en-GB"/>
              </w:rPr>
              <w:t>0.4</w:t>
            </w:r>
          </w:p>
        </w:tc>
      </w:tr>
    </w:tbl>
    <w:p w:rsidR="007028BB" w:rsidRDefault="007028BB" w:rsidP="007028BB">
      <w:pPr>
        <w:pStyle w:val="Tablefin"/>
      </w:pPr>
    </w:p>
    <w:p w:rsidR="007028BB" w:rsidRPr="007172BC" w:rsidRDefault="007028BB" w:rsidP="007028BB">
      <w:pPr>
        <w:rPr>
          <w:lang w:val="en-GB"/>
        </w:rPr>
      </w:pPr>
    </w:p>
    <w:p w:rsidR="007028BB" w:rsidRDefault="007028BB" w:rsidP="007028BB">
      <w:pPr>
        <w:pStyle w:val="Heading2"/>
        <w:rPr>
          <w:lang w:val="en-GB"/>
        </w:rPr>
      </w:pPr>
      <w:bookmarkStart w:id="102" w:name="_Toc392319772"/>
      <w:bookmarkStart w:id="103" w:name="_Toc101234742"/>
      <w:bookmarkStart w:id="104" w:name="_Toc101235058"/>
      <w:bookmarkStart w:id="105" w:name="_Toc101261562"/>
      <w:bookmarkStart w:id="106" w:name="_Toc115521898"/>
      <w:r>
        <w:rPr>
          <w:lang w:val="en-GB"/>
        </w:rPr>
        <w:t>5.2</w:t>
      </w:r>
      <w:r>
        <w:rPr>
          <w:lang w:val="en-GB"/>
        </w:rPr>
        <w:tab/>
        <w:t>Polar cap absorption</w:t>
      </w:r>
      <w:bookmarkEnd w:id="102"/>
      <w:bookmarkEnd w:id="103"/>
      <w:bookmarkEnd w:id="104"/>
      <w:bookmarkEnd w:id="105"/>
      <w:bookmarkEnd w:id="106"/>
    </w:p>
    <w:p w:rsidR="007028BB" w:rsidRDefault="007028BB" w:rsidP="007028BB">
      <w:pPr>
        <w:rPr>
          <w:lang w:val="en-GB"/>
        </w:rPr>
      </w:pPr>
      <w:r>
        <w:rPr>
          <w:lang w:val="en-GB"/>
        </w:rPr>
        <w:t>Polar cap absorption which may occur at times of high solar activity, does so at geomagnetic latitudes greater than 64</w:t>
      </w:r>
      <w:r>
        <w:rPr>
          <w:rFonts w:ascii="Symbol" w:hAnsi="Symbol"/>
        </w:rPr>
        <w:t></w:t>
      </w:r>
      <w:r>
        <w:rPr>
          <w:lang w:val="en-GB"/>
        </w:rPr>
        <w:t>. The absorption is produced by ionization at heights greater than about 30 km. It usually occurs in discrete, though sometimes overlapping, events which are nearly always associated with discrete solar events. The absorption is long-lasting and is detectable over the sunlit polar caps. Polar cap absorption occurs most usually during the peak of the sunspot cycle, when there may be 10 to 12 events per year. Such an event may last up to a few days. This is in contrast to auroral absorption, which is frequently quite localized, with variations in periods of minutes.</w:t>
      </w:r>
    </w:p>
    <w:p w:rsidR="007028BB" w:rsidRDefault="007028BB" w:rsidP="007028BB">
      <w:pPr>
        <w:rPr>
          <w:lang w:val="en-GB"/>
        </w:rPr>
      </w:pPr>
      <w:r>
        <w:rPr>
          <w:lang w:val="en-GB"/>
        </w:rPr>
        <w:t>A remarkable feature of a polar cap absorption event is the great reduction in the absorption during hours of darkness for a given rate of electron production. Figure 14 is a hypothetical model of the diurnal variation of polar cap absorption following a major solar flare based upon riometer observations at various latitudes.</w:t>
      </w:r>
    </w:p>
    <w:p w:rsidR="007028BB" w:rsidRPr="00C13435" w:rsidRDefault="007028BB" w:rsidP="007028BB">
      <w:pPr>
        <w:pStyle w:val="FigureNo"/>
        <w:rPr>
          <w:lang w:val="en-US"/>
        </w:rPr>
      </w:pPr>
      <w:r w:rsidRPr="00C13435">
        <w:rPr>
          <w:lang w:val="en-US"/>
        </w:rPr>
        <w:lastRenderedPageBreak/>
        <w:t>FIGURE 14</w:t>
      </w:r>
    </w:p>
    <w:p w:rsidR="007028BB" w:rsidRPr="00C13435" w:rsidRDefault="007028BB" w:rsidP="007028BB">
      <w:pPr>
        <w:pStyle w:val="Figuretitle"/>
        <w:rPr>
          <w:lang w:val="en-US"/>
        </w:rPr>
      </w:pPr>
      <w:r w:rsidRPr="00C13435">
        <w:rPr>
          <w:lang w:val="en-US"/>
        </w:rPr>
        <w:t>Hypothetical model showing polar cap absorption following a major solar flare</w:t>
      </w:r>
      <w:r w:rsidRPr="00C13435">
        <w:rPr>
          <w:lang w:val="en-US"/>
        </w:rPr>
        <w:br/>
        <w:t>as expected to be observed on riometers at approximately 30 MHz</w:t>
      </w:r>
    </w:p>
    <w:p w:rsidR="007028BB" w:rsidRPr="008B7A8C" w:rsidRDefault="007028BB" w:rsidP="007028BB">
      <w:pPr>
        <w:pStyle w:val="Figure"/>
      </w:pPr>
      <w:r>
        <w:rPr>
          <w:noProof/>
          <w:lang w:val="en-US" w:eastAsia="zh-CN"/>
        </w:rPr>
        <w:drawing>
          <wp:inline distT="0" distB="0" distL="0" distR="0" wp14:anchorId="5488D7B2" wp14:editId="20C79F08">
            <wp:extent cx="5105400" cy="586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5400" cy="5867400"/>
                    </a:xfrm>
                    <a:prstGeom prst="rect">
                      <a:avLst/>
                    </a:prstGeom>
                    <a:noFill/>
                    <a:ln>
                      <a:noFill/>
                    </a:ln>
                  </pic:spPr>
                </pic:pic>
              </a:graphicData>
            </a:graphic>
          </wp:inline>
        </w:drawing>
      </w:r>
    </w:p>
    <w:p w:rsidR="007028BB" w:rsidRDefault="007028BB" w:rsidP="007028BB">
      <w:pPr>
        <w:rPr>
          <w:lang w:val="en-GB"/>
        </w:rPr>
      </w:pPr>
      <w:bookmarkStart w:id="107" w:name="_Toc392319773"/>
      <w:bookmarkStart w:id="108" w:name="_Toc101234743"/>
      <w:bookmarkStart w:id="109" w:name="_Toc101235059"/>
      <w:bookmarkStart w:id="110" w:name="_Toc101261563"/>
      <w:bookmarkStart w:id="111" w:name="_Toc115521899"/>
    </w:p>
    <w:p w:rsidR="007028BB" w:rsidRDefault="007028BB" w:rsidP="007028BB">
      <w:pPr>
        <w:pStyle w:val="Heading1"/>
        <w:rPr>
          <w:lang w:val="en-GB"/>
        </w:rPr>
      </w:pPr>
      <w:r>
        <w:rPr>
          <w:lang w:val="en-GB"/>
        </w:rPr>
        <w:t>6</w:t>
      </w:r>
      <w:r>
        <w:rPr>
          <w:lang w:val="en-GB"/>
        </w:rPr>
        <w:tab/>
        <w:t>Summary</w:t>
      </w:r>
      <w:bookmarkEnd w:id="107"/>
      <w:bookmarkEnd w:id="108"/>
      <w:bookmarkEnd w:id="109"/>
      <w:bookmarkEnd w:id="110"/>
      <w:bookmarkEnd w:id="111"/>
    </w:p>
    <w:p w:rsidR="007028BB" w:rsidRDefault="007028BB" w:rsidP="007028BB">
      <w:pPr>
        <w:rPr>
          <w:lang w:val="en-GB"/>
        </w:rPr>
      </w:pPr>
      <w:r>
        <w:rPr>
          <w:lang w:val="en-GB"/>
        </w:rPr>
        <w:t>Table 3 estimates maximum values for ionospheric effects at a frequency of 1 GHz. It is assumed that the total vertical electron content of the ionosphere is 10</w:t>
      </w:r>
      <w:r>
        <w:rPr>
          <w:vertAlign w:val="superscript"/>
          <w:lang w:val="en-GB"/>
        </w:rPr>
        <w:t>18</w:t>
      </w:r>
      <w:r>
        <w:rPr>
          <w:lang w:val="en-GB"/>
        </w:rPr>
        <w:t xml:space="preserve"> el/m</w:t>
      </w:r>
      <w:r>
        <w:rPr>
          <w:vertAlign w:val="superscript"/>
          <w:lang w:val="en-GB"/>
        </w:rPr>
        <w:t>2</w:t>
      </w:r>
      <w:r>
        <w:rPr>
          <w:lang w:val="en-GB"/>
        </w:rPr>
        <w:t xml:space="preserve"> column. An elevation angle of about 30</w:t>
      </w:r>
      <w:r>
        <w:rPr>
          <w:rFonts w:ascii="Symbol" w:hAnsi="Symbol"/>
        </w:rPr>
        <w:t></w:t>
      </w:r>
      <w:r>
        <w:rPr>
          <w:lang w:val="en-GB"/>
        </w:rPr>
        <w:t xml:space="preserve"> is also assumed. The values given are for the one-way traversal of the waves through the ionosphere.</w:t>
      </w:r>
    </w:p>
    <w:p w:rsidR="007028BB" w:rsidRDefault="007028BB" w:rsidP="007028BB">
      <w:pPr>
        <w:pStyle w:val="TableNo"/>
        <w:rPr>
          <w:lang w:val="en-GB"/>
        </w:rPr>
      </w:pPr>
      <w:r>
        <w:rPr>
          <w:lang w:val="en-GB"/>
        </w:rPr>
        <w:lastRenderedPageBreak/>
        <w:t>TABLE 3</w:t>
      </w:r>
    </w:p>
    <w:p w:rsidR="007028BB" w:rsidRDefault="007028BB" w:rsidP="007028BB">
      <w:pPr>
        <w:pStyle w:val="Tabletitle"/>
        <w:rPr>
          <w:lang w:val="en-GB"/>
        </w:rPr>
      </w:pPr>
      <w:r>
        <w:rPr>
          <w:lang w:val="en-GB"/>
        </w:rPr>
        <w:t>Estimated maximum ionospheric effects at 1 GHz for elevation angles</w:t>
      </w:r>
      <w:r>
        <w:rPr>
          <w:lang w:val="en-GB"/>
        </w:rPr>
        <w:br/>
        <w:t>of about 30</w:t>
      </w:r>
      <w:r>
        <w:rPr>
          <w:rFonts w:ascii="Symbol" w:hAnsi="Symbol"/>
        </w:rPr>
        <w:t></w:t>
      </w:r>
      <w:r>
        <w:rPr>
          <w:lang w:val="en-GB"/>
        </w:rPr>
        <w:t xml:space="preserve"> one-way traversal</w:t>
      </w:r>
    </w:p>
    <w:tbl>
      <w:tblPr>
        <w:tblW w:w="0" w:type="auto"/>
        <w:jc w:val="center"/>
        <w:tblLayout w:type="fixed"/>
        <w:tblCellMar>
          <w:left w:w="107" w:type="dxa"/>
          <w:right w:w="107" w:type="dxa"/>
        </w:tblCellMar>
        <w:tblLook w:val="0000" w:firstRow="0" w:lastRow="0" w:firstColumn="0" w:lastColumn="0" w:noHBand="0" w:noVBand="0"/>
      </w:tblPr>
      <w:tblGrid>
        <w:gridCol w:w="3402"/>
        <w:gridCol w:w="2340"/>
        <w:gridCol w:w="2167"/>
      </w:tblGrid>
      <w:tr w:rsidR="007028BB" w:rsidTr="007C25EE">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028BB" w:rsidRDefault="007028BB" w:rsidP="006909C1">
            <w:pPr>
              <w:pStyle w:val="Tablehead"/>
              <w:rPr>
                <w:lang w:val="en-GB"/>
              </w:rPr>
            </w:pPr>
            <w:r>
              <w:rPr>
                <w:lang w:val="en-GB"/>
              </w:rPr>
              <w:t>Effect</w:t>
            </w:r>
          </w:p>
        </w:tc>
        <w:tc>
          <w:tcPr>
            <w:tcW w:w="2340" w:type="dxa"/>
            <w:tcBorders>
              <w:top w:val="single" w:sz="6" w:space="0" w:color="auto"/>
              <w:left w:val="single" w:sz="6" w:space="0" w:color="auto"/>
              <w:bottom w:val="single" w:sz="6" w:space="0" w:color="auto"/>
              <w:right w:val="single" w:sz="6" w:space="0" w:color="auto"/>
            </w:tcBorders>
            <w:vAlign w:val="center"/>
          </w:tcPr>
          <w:p w:rsidR="007028BB" w:rsidRDefault="007028BB" w:rsidP="006909C1">
            <w:pPr>
              <w:pStyle w:val="Tablehead"/>
              <w:rPr>
                <w:lang w:val="en-GB"/>
              </w:rPr>
            </w:pPr>
            <w:r>
              <w:rPr>
                <w:lang w:val="en-GB"/>
              </w:rPr>
              <w:t>Magnitude</w:t>
            </w:r>
          </w:p>
        </w:tc>
        <w:tc>
          <w:tcPr>
            <w:tcW w:w="2167" w:type="dxa"/>
            <w:tcBorders>
              <w:top w:val="single" w:sz="6" w:space="0" w:color="auto"/>
              <w:left w:val="single" w:sz="6" w:space="0" w:color="auto"/>
              <w:bottom w:val="single" w:sz="6" w:space="0" w:color="auto"/>
              <w:right w:val="single" w:sz="6" w:space="0" w:color="auto"/>
            </w:tcBorders>
            <w:vAlign w:val="center"/>
          </w:tcPr>
          <w:p w:rsidR="007028BB" w:rsidRDefault="007028BB" w:rsidP="006909C1">
            <w:pPr>
              <w:pStyle w:val="Tablehead"/>
              <w:rPr>
                <w:lang w:val="en-GB"/>
              </w:rPr>
            </w:pPr>
            <w:r>
              <w:rPr>
                <w:lang w:val="en-GB"/>
              </w:rPr>
              <w:t>Frequency</w:t>
            </w:r>
            <w:r>
              <w:rPr>
                <w:lang w:val="en-GB"/>
              </w:rPr>
              <w:br/>
              <w:t>dependence</w:t>
            </w:r>
          </w:p>
        </w:tc>
      </w:tr>
      <w:tr w:rsidR="007028BB" w:rsidTr="007C25EE">
        <w:trPr>
          <w:cantSplit/>
          <w:jc w:val="center"/>
        </w:trPr>
        <w:tc>
          <w:tcPr>
            <w:tcW w:w="3402" w:type="dxa"/>
            <w:tcBorders>
              <w:top w:val="single" w:sz="6" w:space="0" w:color="auto"/>
              <w:left w:val="single" w:sz="6" w:space="0" w:color="auto"/>
              <w:right w:val="single" w:sz="6" w:space="0" w:color="auto"/>
            </w:tcBorders>
          </w:tcPr>
          <w:p w:rsidR="007028BB" w:rsidRDefault="007028BB" w:rsidP="006909C1">
            <w:pPr>
              <w:pStyle w:val="Tabletext"/>
              <w:jc w:val="left"/>
              <w:rPr>
                <w:lang w:val="en-GB"/>
              </w:rPr>
            </w:pPr>
            <w:r>
              <w:rPr>
                <w:lang w:val="en-GB"/>
              </w:rPr>
              <w:t>Faraday rotation</w:t>
            </w:r>
          </w:p>
        </w:tc>
        <w:tc>
          <w:tcPr>
            <w:tcW w:w="2340" w:type="dxa"/>
            <w:tcBorders>
              <w:top w:val="single" w:sz="6" w:space="0" w:color="auto"/>
              <w:left w:val="single" w:sz="6" w:space="0" w:color="auto"/>
              <w:right w:val="single" w:sz="6" w:space="0" w:color="auto"/>
            </w:tcBorders>
          </w:tcPr>
          <w:p w:rsidR="007028BB" w:rsidRDefault="007028BB" w:rsidP="006909C1">
            <w:pPr>
              <w:pStyle w:val="Tabletext"/>
              <w:jc w:val="center"/>
              <w:rPr>
                <w:lang w:val="en-GB"/>
              </w:rPr>
            </w:pPr>
            <w:r>
              <w:rPr>
                <w:lang w:val="en-GB"/>
              </w:rPr>
              <w:t>108</w:t>
            </w:r>
            <w:r>
              <w:rPr>
                <w:rFonts w:ascii="Symbol" w:hAnsi="Symbol"/>
              </w:rPr>
              <w:t></w:t>
            </w:r>
          </w:p>
        </w:tc>
        <w:tc>
          <w:tcPr>
            <w:tcW w:w="2167" w:type="dxa"/>
            <w:tcBorders>
              <w:top w:val="single" w:sz="6" w:space="0" w:color="auto"/>
              <w:left w:val="single" w:sz="6" w:space="0" w:color="auto"/>
              <w:right w:val="single" w:sz="6" w:space="0" w:color="auto"/>
            </w:tcBorders>
          </w:tcPr>
          <w:p w:rsidR="007028BB" w:rsidRDefault="007028BB" w:rsidP="006909C1">
            <w:pPr>
              <w:pStyle w:val="Tabletext"/>
              <w:jc w:val="center"/>
              <w:rPr>
                <w:lang w:val="en-GB"/>
              </w:rPr>
            </w:pPr>
            <w:r>
              <w:rPr>
                <w:lang w:val="en-GB"/>
              </w:rPr>
              <w:t>1/</w:t>
            </w:r>
            <w:r>
              <w:rPr>
                <w:i/>
                <w:lang w:val="en-GB"/>
              </w:rPr>
              <w:t>f</w:t>
            </w:r>
            <w:r>
              <w:rPr>
                <w:rFonts w:ascii="Tms Rmn" w:hAnsi="Tms Rmn"/>
                <w:i/>
                <w:lang w:val="en-GB"/>
              </w:rPr>
              <w:t> </w:t>
            </w:r>
            <w:r>
              <w:rPr>
                <w:vertAlign w:val="superscript"/>
                <w:lang w:val="en-GB"/>
              </w:rPr>
              <w:t>2</w:t>
            </w:r>
          </w:p>
        </w:tc>
      </w:tr>
      <w:tr w:rsidR="007028BB" w:rsidTr="007C25EE">
        <w:trPr>
          <w:cantSplit/>
          <w:jc w:val="center"/>
        </w:trPr>
        <w:tc>
          <w:tcPr>
            <w:tcW w:w="3402" w:type="dxa"/>
            <w:tcBorders>
              <w:left w:val="single" w:sz="6" w:space="0" w:color="auto"/>
              <w:right w:val="single" w:sz="6" w:space="0" w:color="auto"/>
            </w:tcBorders>
          </w:tcPr>
          <w:p w:rsidR="007028BB" w:rsidRDefault="007028BB" w:rsidP="006909C1">
            <w:pPr>
              <w:pStyle w:val="Tabletext"/>
              <w:jc w:val="left"/>
            </w:pPr>
            <w:r>
              <w:t>Propagation delay</w:t>
            </w:r>
          </w:p>
        </w:tc>
        <w:tc>
          <w:tcPr>
            <w:tcW w:w="2340" w:type="dxa"/>
            <w:tcBorders>
              <w:left w:val="single" w:sz="6" w:space="0" w:color="auto"/>
              <w:right w:val="single" w:sz="6" w:space="0" w:color="auto"/>
            </w:tcBorders>
          </w:tcPr>
          <w:p w:rsidR="007028BB" w:rsidRDefault="007028BB" w:rsidP="006909C1">
            <w:pPr>
              <w:pStyle w:val="Tabletext"/>
              <w:jc w:val="center"/>
            </w:pPr>
            <w:r>
              <w:t xml:space="preserve">0.25 </w:t>
            </w:r>
            <w:r>
              <w:rPr>
                <w:rFonts w:ascii="Symbol" w:hAnsi="Symbol"/>
              </w:rPr>
              <w:t></w:t>
            </w:r>
            <w:r>
              <w:t>s</w:t>
            </w:r>
          </w:p>
        </w:tc>
        <w:tc>
          <w:tcPr>
            <w:tcW w:w="2167" w:type="dxa"/>
            <w:tcBorders>
              <w:left w:val="single" w:sz="6" w:space="0" w:color="auto"/>
              <w:right w:val="single" w:sz="6" w:space="0" w:color="auto"/>
            </w:tcBorders>
          </w:tcPr>
          <w:p w:rsidR="007028BB" w:rsidRDefault="007028BB" w:rsidP="006909C1">
            <w:pPr>
              <w:pStyle w:val="Tabletext"/>
              <w:jc w:val="center"/>
              <w:rPr>
                <w:lang w:val="en-GB"/>
              </w:rPr>
            </w:pPr>
            <w:r>
              <w:rPr>
                <w:lang w:val="en-GB"/>
              </w:rPr>
              <w:t>1/</w:t>
            </w:r>
            <w:r>
              <w:rPr>
                <w:i/>
                <w:lang w:val="en-GB"/>
              </w:rPr>
              <w:t>f</w:t>
            </w:r>
            <w:r>
              <w:rPr>
                <w:rFonts w:ascii="Tms Rmn" w:hAnsi="Tms Rmn"/>
                <w:i/>
                <w:lang w:val="en-GB"/>
              </w:rPr>
              <w:t> </w:t>
            </w:r>
            <w:r>
              <w:rPr>
                <w:vertAlign w:val="superscript"/>
                <w:lang w:val="en-GB"/>
              </w:rPr>
              <w:t>2</w:t>
            </w:r>
          </w:p>
        </w:tc>
      </w:tr>
      <w:tr w:rsidR="007028BB" w:rsidTr="007C25EE">
        <w:trPr>
          <w:cantSplit/>
          <w:jc w:val="center"/>
        </w:trPr>
        <w:tc>
          <w:tcPr>
            <w:tcW w:w="3402" w:type="dxa"/>
            <w:tcBorders>
              <w:left w:val="single" w:sz="6" w:space="0" w:color="auto"/>
              <w:right w:val="single" w:sz="6" w:space="0" w:color="auto"/>
            </w:tcBorders>
          </w:tcPr>
          <w:p w:rsidR="007028BB" w:rsidRDefault="007028BB" w:rsidP="006909C1">
            <w:pPr>
              <w:pStyle w:val="Tabletext"/>
              <w:jc w:val="left"/>
              <w:rPr>
                <w:lang w:val="en-GB"/>
              </w:rPr>
            </w:pPr>
            <w:r>
              <w:rPr>
                <w:lang w:val="en-GB"/>
              </w:rPr>
              <w:t>Refraction</w:t>
            </w:r>
          </w:p>
        </w:tc>
        <w:tc>
          <w:tcPr>
            <w:tcW w:w="2340" w:type="dxa"/>
            <w:tcBorders>
              <w:left w:val="single" w:sz="6" w:space="0" w:color="auto"/>
              <w:right w:val="single" w:sz="6" w:space="0" w:color="auto"/>
            </w:tcBorders>
          </w:tcPr>
          <w:p w:rsidR="007028BB" w:rsidRDefault="007028BB" w:rsidP="006909C1">
            <w:pPr>
              <w:pStyle w:val="Tabletext"/>
              <w:jc w:val="center"/>
              <w:rPr>
                <w:lang w:val="en-GB"/>
              </w:rPr>
            </w:pPr>
            <w:r>
              <w:rPr>
                <w:rFonts w:ascii="Symbol" w:hAnsi="Symbol"/>
              </w:rPr>
              <w:t></w:t>
            </w:r>
            <w:r>
              <w:rPr>
                <w:lang w:val="en-GB"/>
              </w:rPr>
              <w:t xml:space="preserve"> 0.17 mrad</w:t>
            </w:r>
          </w:p>
        </w:tc>
        <w:tc>
          <w:tcPr>
            <w:tcW w:w="2167" w:type="dxa"/>
            <w:tcBorders>
              <w:left w:val="single" w:sz="6" w:space="0" w:color="auto"/>
              <w:right w:val="single" w:sz="6" w:space="0" w:color="auto"/>
            </w:tcBorders>
          </w:tcPr>
          <w:p w:rsidR="007028BB" w:rsidRDefault="007028BB" w:rsidP="006909C1">
            <w:pPr>
              <w:pStyle w:val="Tabletext"/>
              <w:jc w:val="center"/>
              <w:rPr>
                <w:lang w:val="en-GB"/>
              </w:rPr>
            </w:pPr>
            <w:r>
              <w:rPr>
                <w:lang w:val="en-GB"/>
              </w:rPr>
              <w:t>1/</w:t>
            </w:r>
            <w:r>
              <w:rPr>
                <w:i/>
                <w:lang w:val="en-GB"/>
              </w:rPr>
              <w:t>f</w:t>
            </w:r>
            <w:r>
              <w:rPr>
                <w:rFonts w:ascii="Tms Rmn" w:hAnsi="Tms Rmn"/>
                <w:i/>
                <w:lang w:val="en-GB"/>
              </w:rPr>
              <w:t> </w:t>
            </w:r>
            <w:r>
              <w:rPr>
                <w:vertAlign w:val="superscript"/>
                <w:lang w:val="en-US"/>
              </w:rPr>
              <w:t>2</w:t>
            </w:r>
          </w:p>
        </w:tc>
      </w:tr>
      <w:tr w:rsidR="007028BB" w:rsidTr="007C25EE">
        <w:trPr>
          <w:cantSplit/>
          <w:jc w:val="center"/>
        </w:trPr>
        <w:tc>
          <w:tcPr>
            <w:tcW w:w="3402" w:type="dxa"/>
            <w:tcBorders>
              <w:left w:val="single" w:sz="6" w:space="0" w:color="auto"/>
              <w:right w:val="single" w:sz="6" w:space="0" w:color="auto"/>
            </w:tcBorders>
          </w:tcPr>
          <w:p w:rsidR="007028BB" w:rsidRDefault="007028BB" w:rsidP="006909C1">
            <w:pPr>
              <w:pStyle w:val="Tabletext"/>
              <w:jc w:val="left"/>
              <w:rPr>
                <w:lang w:val="en-US"/>
              </w:rPr>
            </w:pPr>
            <w:r>
              <w:rPr>
                <w:lang w:val="en-US"/>
              </w:rPr>
              <w:t>Variation in the direction of arrival</w:t>
            </w:r>
          </w:p>
        </w:tc>
        <w:tc>
          <w:tcPr>
            <w:tcW w:w="2340" w:type="dxa"/>
            <w:tcBorders>
              <w:left w:val="single" w:sz="6" w:space="0" w:color="auto"/>
              <w:right w:val="single" w:sz="6" w:space="0" w:color="auto"/>
            </w:tcBorders>
          </w:tcPr>
          <w:p w:rsidR="007028BB" w:rsidRDefault="007028BB" w:rsidP="006909C1">
            <w:pPr>
              <w:pStyle w:val="Tabletext"/>
              <w:jc w:val="center"/>
              <w:rPr>
                <w:lang w:val="en-US"/>
              </w:rPr>
            </w:pPr>
            <w:r>
              <w:rPr>
                <w:lang w:val="en-US"/>
              </w:rPr>
              <w:t>0.2 min of arc</w:t>
            </w:r>
          </w:p>
        </w:tc>
        <w:tc>
          <w:tcPr>
            <w:tcW w:w="2167" w:type="dxa"/>
            <w:tcBorders>
              <w:left w:val="single" w:sz="6" w:space="0" w:color="auto"/>
              <w:right w:val="single" w:sz="6" w:space="0" w:color="auto"/>
            </w:tcBorders>
          </w:tcPr>
          <w:p w:rsidR="007028BB" w:rsidRDefault="007028BB" w:rsidP="006909C1">
            <w:pPr>
              <w:pStyle w:val="Tabletext"/>
              <w:jc w:val="center"/>
              <w:rPr>
                <w:lang w:val="en-GB"/>
              </w:rPr>
            </w:pPr>
            <w:r>
              <w:rPr>
                <w:lang w:val="en-GB"/>
              </w:rPr>
              <w:t>1/</w:t>
            </w:r>
            <w:r>
              <w:rPr>
                <w:i/>
                <w:lang w:val="en-GB"/>
              </w:rPr>
              <w:t>f</w:t>
            </w:r>
            <w:r>
              <w:rPr>
                <w:rFonts w:ascii="Tms Rmn" w:hAnsi="Tms Rmn"/>
                <w:i/>
                <w:lang w:val="en-GB"/>
              </w:rPr>
              <w:t> </w:t>
            </w:r>
            <w:r>
              <w:rPr>
                <w:vertAlign w:val="superscript"/>
                <w:lang w:val="en-US"/>
              </w:rPr>
              <w:t>2</w:t>
            </w:r>
          </w:p>
        </w:tc>
      </w:tr>
      <w:tr w:rsidR="007028BB" w:rsidTr="007C25EE">
        <w:trPr>
          <w:cantSplit/>
          <w:jc w:val="center"/>
        </w:trPr>
        <w:tc>
          <w:tcPr>
            <w:tcW w:w="3402" w:type="dxa"/>
            <w:tcBorders>
              <w:left w:val="single" w:sz="6" w:space="0" w:color="auto"/>
              <w:right w:val="single" w:sz="6" w:space="0" w:color="auto"/>
            </w:tcBorders>
          </w:tcPr>
          <w:p w:rsidR="007028BB" w:rsidRDefault="007028BB" w:rsidP="006909C1">
            <w:pPr>
              <w:pStyle w:val="Tabletext"/>
              <w:jc w:val="left"/>
              <w:rPr>
                <w:lang w:val="en-US"/>
              </w:rPr>
            </w:pPr>
            <w:r>
              <w:rPr>
                <w:lang w:val="en-US"/>
              </w:rPr>
              <w:t>Absorption</w:t>
            </w:r>
            <w:r>
              <w:rPr>
                <w:lang w:val="en-US"/>
              </w:rPr>
              <w:br/>
              <w:t>  (polar cap absorption)</w:t>
            </w:r>
          </w:p>
        </w:tc>
        <w:tc>
          <w:tcPr>
            <w:tcW w:w="2340" w:type="dxa"/>
            <w:tcBorders>
              <w:left w:val="single" w:sz="6" w:space="0" w:color="auto"/>
              <w:right w:val="single" w:sz="6" w:space="0" w:color="auto"/>
            </w:tcBorders>
            <w:vAlign w:val="center"/>
          </w:tcPr>
          <w:p w:rsidR="007028BB" w:rsidRDefault="007028BB" w:rsidP="007C25EE">
            <w:pPr>
              <w:pStyle w:val="Tabletext"/>
              <w:jc w:val="center"/>
              <w:rPr>
                <w:lang w:val="en-US"/>
              </w:rPr>
            </w:pPr>
            <w:r>
              <w:rPr>
                <w:lang w:val="en-US"/>
              </w:rPr>
              <w:t>0.04 dB</w:t>
            </w:r>
          </w:p>
        </w:tc>
        <w:tc>
          <w:tcPr>
            <w:tcW w:w="2167" w:type="dxa"/>
            <w:tcBorders>
              <w:left w:val="single" w:sz="6" w:space="0" w:color="auto"/>
              <w:right w:val="single" w:sz="6" w:space="0" w:color="auto"/>
            </w:tcBorders>
            <w:vAlign w:val="center"/>
          </w:tcPr>
          <w:p w:rsidR="007028BB" w:rsidRDefault="007028BB" w:rsidP="007C25EE">
            <w:pPr>
              <w:pStyle w:val="Tabletext"/>
              <w:jc w:val="center"/>
              <w:rPr>
                <w:lang w:val="en-US"/>
              </w:rPr>
            </w:pPr>
            <w:r>
              <w:rPr>
                <w:rFonts w:ascii="Symbol" w:hAnsi="Symbol"/>
              </w:rPr>
              <w:t></w:t>
            </w:r>
            <w:r>
              <w:rPr>
                <w:lang w:val="en-US"/>
              </w:rPr>
              <w:t>1/</w:t>
            </w:r>
            <w:r>
              <w:rPr>
                <w:i/>
                <w:lang w:val="en-US"/>
              </w:rPr>
              <w:t>f</w:t>
            </w:r>
            <w:r>
              <w:rPr>
                <w:rFonts w:ascii="Tms Rmn" w:hAnsi="Tms Rmn"/>
                <w:i/>
                <w:lang w:val="en-GB"/>
              </w:rPr>
              <w:t> </w:t>
            </w:r>
            <w:r>
              <w:rPr>
                <w:vertAlign w:val="superscript"/>
                <w:lang w:val="en-US"/>
              </w:rPr>
              <w:t>2</w:t>
            </w:r>
          </w:p>
        </w:tc>
      </w:tr>
      <w:tr w:rsidR="007028BB" w:rsidTr="007C25EE">
        <w:trPr>
          <w:cantSplit/>
          <w:jc w:val="center"/>
        </w:trPr>
        <w:tc>
          <w:tcPr>
            <w:tcW w:w="3402" w:type="dxa"/>
            <w:tcBorders>
              <w:left w:val="single" w:sz="6" w:space="0" w:color="auto"/>
              <w:right w:val="single" w:sz="6" w:space="0" w:color="auto"/>
            </w:tcBorders>
          </w:tcPr>
          <w:p w:rsidR="007028BB" w:rsidRDefault="007028BB" w:rsidP="006909C1">
            <w:pPr>
              <w:pStyle w:val="Tabletext"/>
              <w:jc w:val="left"/>
              <w:rPr>
                <w:lang w:val="en-US"/>
              </w:rPr>
            </w:pPr>
            <w:r>
              <w:rPr>
                <w:lang w:val="en-US"/>
              </w:rPr>
              <w:t>Absorption</w:t>
            </w:r>
            <w:r>
              <w:rPr>
                <w:lang w:val="en-US"/>
              </w:rPr>
              <w:br/>
              <w:t xml:space="preserve">  (auroral </w:t>
            </w:r>
            <w:r>
              <w:rPr>
                <w:rFonts w:ascii="Symbol" w:hAnsi="Symbol"/>
              </w:rPr>
              <w:t></w:t>
            </w:r>
            <w:r>
              <w:rPr>
                <w:lang w:val="en-US"/>
              </w:rPr>
              <w:t xml:space="preserve"> polar cap absorption)</w:t>
            </w:r>
          </w:p>
        </w:tc>
        <w:tc>
          <w:tcPr>
            <w:tcW w:w="2340" w:type="dxa"/>
            <w:tcBorders>
              <w:left w:val="single" w:sz="6" w:space="0" w:color="auto"/>
              <w:right w:val="single" w:sz="6" w:space="0" w:color="auto"/>
            </w:tcBorders>
            <w:vAlign w:val="center"/>
          </w:tcPr>
          <w:p w:rsidR="007028BB" w:rsidRDefault="007028BB" w:rsidP="007C25EE">
            <w:pPr>
              <w:pStyle w:val="Tabletext"/>
              <w:jc w:val="center"/>
              <w:rPr>
                <w:lang w:val="en-US"/>
              </w:rPr>
            </w:pPr>
            <w:r>
              <w:rPr>
                <w:lang w:val="en-US"/>
              </w:rPr>
              <w:t>0.05 dB</w:t>
            </w:r>
          </w:p>
        </w:tc>
        <w:tc>
          <w:tcPr>
            <w:tcW w:w="2167" w:type="dxa"/>
            <w:tcBorders>
              <w:left w:val="single" w:sz="6" w:space="0" w:color="auto"/>
              <w:right w:val="single" w:sz="6" w:space="0" w:color="auto"/>
            </w:tcBorders>
            <w:vAlign w:val="center"/>
          </w:tcPr>
          <w:p w:rsidR="007028BB" w:rsidRDefault="007028BB" w:rsidP="007C25EE">
            <w:pPr>
              <w:pStyle w:val="Tabletext"/>
              <w:jc w:val="center"/>
              <w:rPr>
                <w:lang w:val="en-US"/>
              </w:rPr>
            </w:pPr>
            <w:r>
              <w:rPr>
                <w:rFonts w:ascii="Symbol" w:hAnsi="Symbol"/>
              </w:rPr>
              <w:t></w:t>
            </w:r>
            <w:r>
              <w:rPr>
                <w:lang w:val="en-US"/>
              </w:rPr>
              <w:t>1/</w:t>
            </w:r>
            <w:r>
              <w:rPr>
                <w:i/>
                <w:lang w:val="en-US"/>
              </w:rPr>
              <w:t>f</w:t>
            </w:r>
            <w:r>
              <w:rPr>
                <w:rFonts w:ascii="Tms Rmn" w:hAnsi="Tms Rmn"/>
                <w:i/>
                <w:lang w:val="en-GB"/>
              </w:rPr>
              <w:t> </w:t>
            </w:r>
            <w:r>
              <w:rPr>
                <w:vertAlign w:val="superscript"/>
                <w:lang w:val="en-US"/>
              </w:rPr>
              <w:t>2</w:t>
            </w:r>
          </w:p>
        </w:tc>
      </w:tr>
      <w:tr w:rsidR="007028BB" w:rsidTr="007C25EE">
        <w:trPr>
          <w:cantSplit/>
          <w:jc w:val="center"/>
        </w:trPr>
        <w:tc>
          <w:tcPr>
            <w:tcW w:w="3402" w:type="dxa"/>
            <w:tcBorders>
              <w:left w:val="single" w:sz="6" w:space="0" w:color="auto"/>
              <w:right w:val="single" w:sz="6" w:space="0" w:color="auto"/>
            </w:tcBorders>
          </w:tcPr>
          <w:p w:rsidR="007028BB" w:rsidRDefault="007028BB" w:rsidP="006909C1">
            <w:pPr>
              <w:pStyle w:val="Tabletext"/>
              <w:jc w:val="left"/>
              <w:rPr>
                <w:lang w:val="en-US"/>
              </w:rPr>
            </w:pPr>
            <w:r>
              <w:rPr>
                <w:lang w:val="en-US"/>
              </w:rPr>
              <w:t>Absorption</w:t>
            </w:r>
            <w:r>
              <w:rPr>
                <w:lang w:val="en-US"/>
              </w:rPr>
              <w:br/>
              <w:t>  (mid-latitude)</w:t>
            </w:r>
          </w:p>
        </w:tc>
        <w:tc>
          <w:tcPr>
            <w:tcW w:w="2340" w:type="dxa"/>
            <w:tcBorders>
              <w:left w:val="single" w:sz="6" w:space="0" w:color="auto"/>
              <w:right w:val="single" w:sz="6" w:space="0" w:color="auto"/>
            </w:tcBorders>
            <w:vAlign w:val="center"/>
          </w:tcPr>
          <w:p w:rsidR="007028BB" w:rsidRDefault="007028BB" w:rsidP="007C25EE">
            <w:pPr>
              <w:pStyle w:val="Tabletext"/>
              <w:jc w:val="center"/>
              <w:rPr>
                <w:lang w:val="en-US"/>
              </w:rPr>
            </w:pPr>
            <w:r>
              <w:rPr>
                <w:rFonts w:ascii="Symbol" w:hAnsi="Symbol"/>
              </w:rPr>
              <w:t></w:t>
            </w:r>
            <w:r>
              <w:rPr>
                <w:lang w:val="en-US"/>
              </w:rPr>
              <w:t xml:space="preserve"> 0.01 dB</w:t>
            </w:r>
          </w:p>
        </w:tc>
        <w:tc>
          <w:tcPr>
            <w:tcW w:w="2167" w:type="dxa"/>
            <w:tcBorders>
              <w:left w:val="single" w:sz="6" w:space="0" w:color="auto"/>
              <w:right w:val="single" w:sz="6" w:space="0" w:color="auto"/>
            </w:tcBorders>
            <w:vAlign w:val="center"/>
          </w:tcPr>
          <w:p w:rsidR="007028BB" w:rsidRDefault="007028BB" w:rsidP="007C25EE">
            <w:pPr>
              <w:pStyle w:val="Tabletext"/>
              <w:jc w:val="center"/>
              <w:rPr>
                <w:lang w:val="en-US"/>
              </w:rPr>
            </w:pPr>
            <w:r>
              <w:rPr>
                <w:lang w:val="en-US"/>
              </w:rPr>
              <w:t>1/</w:t>
            </w:r>
            <w:r>
              <w:rPr>
                <w:i/>
                <w:lang w:val="en-US"/>
              </w:rPr>
              <w:t>f</w:t>
            </w:r>
            <w:r>
              <w:rPr>
                <w:rFonts w:ascii="Tms Rmn" w:hAnsi="Tms Rmn"/>
                <w:i/>
                <w:lang w:val="en-GB"/>
              </w:rPr>
              <w:t> </w:t>
            </w:r>
            <w:r>
              <w:rPr>
                <w:vertAlign w:val="superscript"/>
                <w:lang w:val="en-US"/>
              </w:rPr>
              <w:t>2</w:t>
            </w:r>
          </w:p>
        </w:tc>
      </w:tr>
      <w:tr w:rsidR="007028BB" w:rsidTr="007C25EE">
        <w:trPr>
          <w:cantSplit/>
          <w:jc w:val="center"/>
        </w:trPr>
        <w:tc>
          <w:tcPr>
            <w:tcW w:w="3402" w:type="dxa"/>
            <w:tcBorders>
              <w:left w:val="single" w:sz="6" w:space="0" w:color="auto"/>
              <w:right w:val="single" w:sz="6" w:space="0" w:color="auto"/>
            </w:tcBorders>
          </w:tcPr>
          <w:p w:rsidR="007028BB" w:rsidRDefault="007028BB" w:rsidP="006909C1">
            <w:pPr>
              <w:pStyle w:val="Tabletext"/>
              <w:jc w:val="left"/>
            </w:pPr>
            <w:r>
              <w:t>Dispersion</w:t>
            </w:r>
          </w:p>
        </w:tc>
        <w:tc>
          <w:tcPr>
            <w:tcW w:w="2340" w:type="dxa"/>
            <w:tcBorders>
              <w:left w:val="single" w:sz="6" w:space="0" w:color="auto"/>
              <w:right w:val="single" w:sz="6" w:space="0" w:color="auto"/>
            </w:tcBorders>
          </w:tcPr>
          <w:p w:rsidR="007028BB" w:rsidRDefault="007028BB" w:rsidP="006909C1">
            <w:pPr>
              <w:pStyle w:val="Tabletext"/>
              <w:jc w:val="center"/>
            </w:pPr>
            <w:r>
              <w:t>0-4 ns/MHz</w:t>
            </w:r>
          </w:p>
        </w:tc>
        <w:tc>
          <w:tcPr>
            <w:tcW w:w="2167" w:type="dxa"/>
            <w:tcBorders>
              <w:left w:val="single" w:sz="6" w:space="0" w:color="auto"/>
              <w:right w:val="single" w:sz="6" w:space="0" w:color="auto"/>
            </w:tcBorders>
          </w:tcPr>
          <w:p w:rsidR="007028BB" w:rsidRDefault="007028BB" w:rsidP="006909C1">
            <w:pPr>
              <w:pStyle w:val="Tabletext"/>
              <w:jc w:val="center"/>
              <w:rPr>
                <w:lang w:val="en-US"/>
              </w:rPr>
            </w:pPr>
            <w:r>
              <w:rPr>
                <w:lang w:val="en-US"/>
              </w:rPr>
              <w:t>1/</w:t>
            </w:r>
            <w:r>
              <w:rPr>
                <w:i/>
                <w:lang w:val="en-US"/>
              </w:rPr>
              <w:t>f</w:t>
            </w:r>
            <w:r>
              <w:rPr>
                <w:rFonts w:ascii="Tms Rmn" w:hAnsi="Tms Rmn"/>
                <w:i/>
                <w:lang w:val="en-US"/>
              </w:rPr>
              <w:t> </w:t>
            </w:r>
            <w:r>
              <w:rPr>
                <w:vertAlign w:val="superscript"/>
                <w:lang w:val="en-US"/>
              </w:rPr>
              <w:t>3</w:t>
            </w:r>
          </w:p>
        </w:tc>
      </w:tr>
      <w:tr w:rsidR="007028BB" w:rsidTr="007C25EE">
        <w:trPr>
          <w:cantSplit/>
          <w:jc w:val="center"/>
        </w:trPr>
        <w:tc>
          <w:tcPr>
            <w:tcW w:w="3402" w:type="dxa"/>
            <w:tcBorders>
              <w:left w:val="single" w:sz="6" w:space="0" w:color="auto"/>
              <w:bottom w:val="single" w:sz="6" w:space="0" w:color="auto"/>
              <w:right w:val="single" w:sz="6" w:space="0" w:color="auto"/>
            </w:tcBorders>
          </w:tcPr>
          <w:p w:rsidR="007028BB" w:rsidRDefault="007028BB" w:rsidP="006909C1">
            <w:pPr>
              <w:pStyle w:val="Tabletext"/>
              <w:jc w:val="left"/>
              <w:rPr>
                <w:lang w:val="en-US"/>
              </w:rPr>
            </w:pPr>
            <w:r>
              <w:rPr>
                <w:lang w:val="en-US"/>
              </w:rPr>
              <w:t>Scintillation</w:t>
            </w:r>
          </w:p>
        </w:tc>
        <w:tc>
          <w:tcPr>
            <w:tcW w:w="2340" w:type="dxa"/>
            <w:tcBorders>
              <w:left w:val="single" w:sz="6" w:space="0" w:color="auto"/>
              <w:bottom w:val="single" w:sz="6" w:space="0" w:color="auto"/>
              <w:right w:val="single" w:sz="6" w:space="0" w:color="auto"/>
            </w:tcBorders>
          </w:tcPr>
          <w:p w:rsidR="007028BB" w:rsidRDefault="007028BB" w:rsidP="006909C1">
            <w:pPr>
              <w:pStyle w:val="Tabletext"/>
              <w:jc w:val="center"/>
              <w:rPr>
                <w:lang w:val="en-US"/>
              </w:rPr>
            </w:pPr>
            <w:r>
              <w:rPr>
                <w:lang w:val="en-US"/>
              </w:rPr>
              <w:t>See § 4</w:t>
            </w:r>
          </w:p>
        </w:tc>
        <w:tc>
          <w:tcPr>
            <w:tcW w:w="2167" w:type="dxa"/>
            <w:tcBorders>
              <w:left w:val="single" w:sz="6" w:space="0" w:color="auto"/>
              <w:bottom w:val="single" w:sz="6" w:space="0" w:color="auto"/>
              <w:right w:val="single" w:sz="6" w:space="0" w:color="auto"/>
            </w:tcBorders>
          </w:tcPr>
          <w:p w:rsidR="007028BB" w:rsidRDefault="007028BB" w:rsidP="006909C1">
            <w:pPr>
              <w:pStyle w:val="Tabletext"/>
              <w:jc w:val="center"/>
              <w:rPr>
                <w:lang w:val="en-US"/>
              </w:rPr>
            </w:pPr>
            <w:r>
              <w:rPr>
                <w:lang w:val="en-US"/>
              </w:rPr>
              <w:t>See § 4</w:t>
            </w:r>
          </w:p>
        </w:tc>
      </w:tr>
    </w:tbl>
    <w:p w:rsidR="007028BB" w:rsidRDefault="007028BB" w:rsidP="007028BB">
      <w:pPr>
        <w:pStyle w:val="Tablefin"/>
      </w:pPr>
    </w:p>
    <w:p w:rsidR="007028BB" w:rsidRDefault="007028BB" w:rsidP="007028BB">
      <w:pPr>
        <w:rPr>
          <w:lang w:val="en-US"/>
        </w:rPr>
      </w:pPr>
    </w:p>
    <w:p w:rsidR="007028BB" w:rsidRDefault="007028BB" w:rsidP="007028BB">
      <w:pPr>
        <w:rPr>
          <w:lang w:val="en-US"/>
        </w:rPr>
      </w:pPr>
    </w:p>
    <w:p w:rsidR="007028BB" w:rsidRPr="000D176F" w:rsidRDefault="007028BB" w:rsidP="007028BB">
      <w:pPr>
        <w:pStyle w:val="Line"/>
      </w:pPr>
    </w:p>
    <w:p w:rsidR="00A6617B" w:rsidRPr="00A6617B" w:rsidRDefault="00A6617B" w:rsidP="007028BB"/>
    <w:sectPr w:rsidR="00A6617B" w:rsidRPr="00A6617B" w:rsidSect="007028BB">
      <w:headerReference w:type="even" r:id="rId63"/>
      <w:headerReference w:type="default" r:id="rId6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9D9" w:rsidRDefault="002579D9">
      <w:r>
        <w:separator/>
      </w:r>
    </w:p>
  </w:endnote>
  <w:endnote w:type="continuationSeparator" w:id="0">
    <w:p w:rsidR="002579D9" w:rsidRDefault="0025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9D9" w:rsidRDefault="002579D9">
      <w:r>
        <w:separator/>
      </w:r>
    </w:p>
  </w:footnote>
  <w:footnote w:type="continuationSeparator" w:id="0">
    <w:p w:rsidR="002579D9" w:rsidRDefault="002579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D9" w:rsidRDefault="002579D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D9" w:rsidRDefault="002579D9" w:rsidP="00B033C8">
    <w:pPr>
      <w:pStyle w:val="Header"/>
      <w:ind w:right="360" w:firstLine="360"/>
    </w:pPr>
    <w:r>
      <w:rPr>
        <w:noProof/>
        <w:lang w:val="en-US" w:eastAsia="zh-CN"/>
      </w:rPr>
      <w:drawing>
        <wp:anchor distT="0" distB="0" distL="114300" distR="114300" simplePos="0" relativeHeight="251659776" behindDoc="1" locked="0" layoutInCell="1" allowOverlap="1" wp14:anchorId="65E4E545" wp14:editId="193C7EF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D9" w:rsidRPr="00FC42AF" w:rsidRDefault="002579D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C3DF7">
      <w:rPr>
        <w:rStyle w:val="PageNumber"/>
        <w:b/>
        <w:bCs/>
        <w:noProof/>
      </w:rPr>
      <w:t>ii</w:t>
    </w:r>
    <w:r>
      <w:rPr>
        <w:rStyle w:val="PageNumber"/>
        <w:b/>
        <w:bCs/>
      </w:rPr>
      <w:fldChar w:fldCharType="end"/>
    </w:r>
    <w:r w:rsidRPr="00FC42AF">
      <w:tab/>
    </w:r>
    <w:fldSimple w:instr=" DOCPROPERTY &quot;Header&quot; \* MERGEFORMAT ">
      <w:r w:rsidR="00EC3DF7" w:rsidRPr="00EC3DF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C3DF7">
      <w:rPr>
        <w:b/>
        <w:bCs/>
        <w:noProof/>
      </w:rPr>
      <w:t>ITU-R  P.531-13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D9" w:rsidRDefault="002579D9">
    <w:pPr>
      <w:pStyle w:val="Header"/>
    </w:pPr>
    <w:r>
      <w:tab/>
    </w:r>
    <w:fldSimple w:instr=" DOCPROPERTY &quot;Header&quot; \* MERGEFORMAT ">
      <w:r w:rsidR="00EC3DF7" w:rsidRPr="00EC3DF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C3DF7">
      <w:rPr>
        <w:b/>
        <w:bCs/>
        <w:noProof/>
      </w:rPr>
      <w:t>ITU-R  P.531-13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C3DF7">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C3DF7" w:rsidRPr="00EC3DF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C3DF7">
      <w:rPr>
        <w:b/>
        <w:bCs/>
        <w:noProof/>
      </w:rPr>
      <w:t>ITU-R  P.531-13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C3DF7" w:rsidRPr="00EC3DF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C3DF7">
      <w:rPr>
        <w:b/>
        <w:bCs/>
        <w:noProof/>
      </w:rPr>
      <w:t>ITU-R  P.531-13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C3DF7">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9D9"/>
    <w:rsid w:val="00066AD3"/>
    <w:rsid w:val="000F5FC5"/>
    <w:rsid w:val="00217EBF"/>
    <w:rsid w:val="00242AEE"/>
    <w:rsid w:val="002579D9"/>
    <w:rsid w:val="002B6F6B"/>
    <w:rsid w:val="002D76C4"/>
    <w:rsid w:val="003438A8"/>
    <w:rsid w:val="003F2C1D"/>
    <w:rsid w:val="0052529D"/>
    <w:rsid w:val="00551658"/>
    <w:rsid w:val="00562ADF"/>
    <w:rsid w:val="00592949"/>
    <w:rsid w:val="00607D68"/>
    <w:rsid w:val="007028BB"/>
    <w:rsid w:val="00730DE2"/>
    <w:rsid w:val="007466AA"/>
    <w:rsid w:val="007468DA"/>
    <w:rsid w:val="007C25EE"/>
    <w:rsid w:val="00864406"/>
    <w:rsid w:val="00880908"/>
    <w:rsid w:val="009E00A8"/>
    <w:rsid w:val="00A6617B"/>
    <w:rsid w:val="00A67A08"/>
    <w:rsid w:val="00AB0DC8"/>
    <w:rsid w:val="00AF5B05"/>
    <w:rsid w:val="00B44E24"/>
    <w:rsid w:val="00B83149"/>
    <w:rsid w:val="00C876F9"/>
    <w:rsid w:val="00CF5546"/>
    <w:rsid w:val="00DA4B24"/>
    <w:rsid w:val="00DB691F"/>
    <w:rsid w:val="00DF4176"/>
    <w:rsid w:val="00EC3D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1044"/>
    <o:shapelayout v:ext="edit">
      <o:idmap v:ext="edit" data="1"/>
    </o:shapelayout>
  </w:shapeDefaults>
  <w:decimalSymbol w:val="."/>
  <w:listSeparator w:val=";"/>
  <w15:docId w15:val="{C730C046-6EA8-4867-9C37-A914B4E3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9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579D9"/>
    <w:rPr>
      <w:color w:val="0000FF"/>
      <w:u w:val="single"/>
    </w:rPr>
  </w:style>
  <w:style w:type="character" w:customStyle="1" w:styleId="FigureNoChar">
    <w:name w:val="Figure_No Char"/>
    <w:link w:val="FigureNo"/>
    <w:rsid w:val="007028BB"/>
    <w:rPr>
      <w:caps/>
      <w:sz w:val="18"/>
      <w:lang w:val="fr-FR" w:eastAsia="en-US"/>
    </w:rPr>
  </w:style>
  <w:style w:type="character" w:customStyle="1" w:styleId="FiguretitleChar">
    <w:name w:val="Figure_title Char"/>
    <w:link w:val="Figuretitle"/>
    <w:rsid w:val="007028BB"/>
    <w:rPr>
      <w:rFonts w:ascii="Times New Roman Bold" w:hAnsi="Times New Roman Bold"/>
      <w:b/>
      <w:sz w:val="18"/>
      <w:lang w:val="fr-FR" w:eastAsia="en-US"/>
    </w:rPr>
  </w:style>
  <w:style w:type="character" w:customStyle="1" w:styleId="enumlev1Char">
    <w:name w:val="enumlev1 Char"/>
    <w:link w:val="enumlev1"/>
    <w:rsid w:val="007C25EE"/>
    <w:rPr>
      <w:sz w:val="24"/>
      <w:lang w:val="fr-FR" w:eastAsia="en-US"/>
    </w:rPr>
  </w:style>
  <w:style w:type="character" w:styleId="FollowedHyperlink">
    <w:name w:val="FollowedHyperlink"/>
    <w:basedOn w:val="DefaultParagraphFont"/>
    <w:semiHidden/>
    <w:unhideWhenUsed/>
    <w:rsid w:val="00DB69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oleObject" Target="embeddings/oleObject4.bin"/><Relationship Id="rId39" Type="http://schemas.openxmlformats.org/officeDocument/2006/relationships/image" Target="media/image17.emf"/><Relationship Id="rId21" Type="http://schemas.openxmlformats.org/officeDocument/2006/relationships/image" Target="media/image8.wmf"/><Relationship Id="rId34" Type="http://schemas.openxmlformats.org/officeDocument/2006/relationships/oleObject" Target="embeddings/oleObject8.bin"/><Relationship Id="rId42" Type="http://schemas.openxmlformats.org/officeDocument/2006/relationships/image" Target="media/image20.emf"/><Relationship Id="rId47" Type="http://schemas.openxmlformats.org/officeDocument/2006/relationships/oleObject" Target="embeddings/oleObject12.bin"/><Relationship Id="rId50" Type="http://schemas.openxmlformats.org/officeDocument/2006/relationships/oleObject" Target="embeddings/oleObject14.bin"/><Relationship Id="rId55" Type="http://schemas.openxmlformats.org/officeDocument/2006/relationships/image" Target="media/image27.wmf"/><Relationship Id="rId63" Type="http://schemas.openxmlformats.org/officeDocument/2006/relationships/header" Target="header5.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image" Target="media/image19.emf"/><Relationship Id="rId54" Type="http://schemas.openxmlformats.org/officeDocument/2006/relationships/oleObject" Target="embeddings/oleObject16.bin"/><Relationship Id="rId62" Type="http://schemas.openxmlformats.org/officeDocument/2006/relationships/image" Target="media/image32.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www.itu.int/rec/R-REC-P.531-13-201609-I/en" TargetMode="External"/><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image" Target="media/image18.emf"/><Relationship Id="rId45" Type="http://schemas.openxmlformats.org/officeDocument/2006/relationships/oleObject" Target="embeddings/oleObject11.bin"/><Relationship Id="rId53" Type="http://schemas.openxmlformats.org/officeDocument/2006/relationships/image" Target="media/image26.wmf"/><Relationship Id="rId58" Type="http://schemas.openxmlformats.org/officeDocument/2006/relationships/image" Target="media/image29.wmf"/><Relationship Id="rId66"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9.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3.bin"/><Relationship Id="rId57" Type="http://schemas.openxmlformats.org/officeDocument/2006/relationships/image" Target="media/image28.emf"/><Relationship Id="rId61" Type="http://schemas.openxmlformats.org/officeDocument/2006/relationships/image" Target="media/image31.emf"/><Relationship Id="rId10" Type="http://schemas.openxmlformats.org/officeDocument/2006/relationships/header" Target="header3.xml"/><Relationship Id="rId19" Type="http://schemas.openxmlformats.org/officeDocument/2006/relationships/image" Target="media/image6.emf"/><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image" Target="media/image30.emf"/><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www.itu.int/rec/R-REC-P.531-13-201609-I/en" TargetMode="External"/><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wmf"/><Relationship Id="rId43" Type="http://schemas.openxmlformats.org/officeDocument/2006/relationships/image" Target="media/image21.emf"/><Relationship Id="rId48" Type="http://schemas.openxmlformats.org/officeDocument/2006/relationships/image" Target="media/image24.wmf"/><Relationship Id="rId56" Type="http://schemas.openxmlformats.org/officeDocument/2006/relationships/oleObject" Target="embeddings/oleObject17.bin"/><Relationship Id="rId64" Type="http://schemas.openxmlformats.org/officeDocument/2006/relationships/header" Target="header6.xml"/><Relationship Id="rId8" Type="http://schemas.openxmlformats.org/officeDocument/2006/relationships/hyperlink" Target="http://www.itu.int/ITU-R/go/patents/en" TargetMode="External"/><Relationship Id="rId51" Type="http://schemas.openxmlformats.org/officeDocument/2006/relationships/image" Target="media/image25.wmf"/><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4.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image" Target="media/image23.wmf"/><Relationship Id="rId59" Type="http://schemas.openxmlformats.org/officeDocument/2006/relationships/oleObject" Target="embeddings/oleObject1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24</Pages>
  <Words>4885</Words>
  <Characters>27847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RECOMMENDATION  ITU-R  P.531-12 - Ionospheric propagation data and prediction methods required for the design of satellite services and systems</vt:lpstr>
    </vt:vector>
  </TitlesOfParts>
  <Manager/>
  <Company>ITU</Company>
  <LinksUpToDate>false</LinksUpToDate>
  <CharactersWithSpaces>32667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P.531-12 - Ionospheric propagation data and prediction methods required for the design of satellite services and systems</dc:title>
  <dc:subject>P Series = Radiowave propagation</dc:subject>
  <dc:creator>ITU Radiocommunication Bureau (BR)</dc:creator>
  <cp:keywords>P,531-12</cp:keywords>
  <dc:description>Soby, 11.11.2013, ITU51007790</dc:description>
  <cp:lastModifiedBy>Gachet, Christelle</cp:lastModifiedBy>
  <cp:revision>23</cp:revision>
  <cp:lastPrinted>2017-01-12T14:44:00Z</cp:lastPrinted>
  <dcterms:created xsi:type="dcterms:W3CDTF">2013-08-28T08:09:00Z</dcterms:created>
  <dcterms:modified xsi:type="dcterms:W3CDTF">2017-01-12T14:45:00Z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11. novembre 2013</vt:lpwstr>
  </property>
</Properties>
</file>