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EC1810" w:rsidRDefault="00FE79FE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p w:rsidR="00013002" w:rsidRPr="00EC1810" w:rsidRDefault="00013002">
      <w:pPr>
        <w:rPr>
          <w:lang w:val="ru-RU"/>
        </w:rPr>
      </w:pPr>
    </w:p>
    <w:p w:rsidR="00013002" w:rsidRPr="00EC1810" w:rsidRDefault="00013002">
      <w:pPr>
        <w:rPr>
          <w:lang w:val="ru-RU"/>
        </w:rPr>
      </w:pPr>
    </w:p>
    <w:p w:rsidR="00013002" w:rsidRPr="00EC1810" w:rsidRDefault="00013002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p w:rsidR="00FE79FE" w:rsidRPr="00EC1810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C1810">
        <w:tc>
          <w:tcPr>
            <w:tcW w:w="10089" w:type="dxa"/>
          </w:tcPr>
          <w:p w:rsidR="00276D21" w:rsidRPr="00EC181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F4709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26B45"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531-1</w:t>
            </w:r>
            <w:r w:rsidR="00EF47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:rsidR="00FE79FE" w:rsidRPr="00EC1810" w:rsidRDefault="00FE79FE" w:rsidP="00EB367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26B45" w:rsidRPr="00EC18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B367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="00226B45" w:rsidRPr="00EC18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/2013</w:t>
            </w: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90566">
        <w:tc>
          <w:tcPr>
            <w:tcW w:w="10089" w:type="dxa"/>
          </w:tcPr>
          <w:p w:rsidR="00013002" w:rsidRPr="00EC181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EC1810" w:rsidRDefault="00226B45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Данные об ионосферном распространении радиоволн и методы прогнозирования, необходимые для проектирования спутниковых </w:t>
            </w:r>
            <w:r w:rsidR="006F094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служб и систем</w:t>
            </w: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</w:p>
        </w:tc>
      </w:tr>
      <w:tr w:rsidR="00FE79FE" w:rsidRPr="006F094C">
        <w:tc>
          <w:tcPr>
            <w:tcW w:w="10089" w:type="dxa"/>
          </w:tcPr>
          <w:p w:rsidR="009E3058" w:rsidRPr="00EC181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C181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C181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EC181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C1810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EC1810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C181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EC181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C1810" w:rsidRDefault="00A71FE5" w:rsidP="00CD659B">
      <w:pPr>
        <w:spacing w:before="80"/>
        <w:rPr>
          <w:i/>
          <w:lang w:val="ru-RU"/>
        </w:rPr>
      </w:pPr>
    </w:p>
    <w:p w:rsidR="00FE79FE" w:rsidRPr="00EC1810" w:rsidRDefault="00FE79FE" w:rsidP="00CD659B">
      <w:pPr>
        <w:spacing w:before="80"/>
        <w:rPr>
          <w:i/>
          <w:lang w:val="ru-RU"/>
        </w:rPr>
      </w:pPr>
    </w:p>
    <w:p w:rsidR="00FE79FE" w:rsidRPr="00EC1810" w:rsidRDefault="00FE79FE" w:rsidP="00CD659B">
      <w:pPr>
        <w:spacing w:before="80"/>
        <w:rPr>
          <w:i/>
          <w:lang w:val="ru-RU"/>
        </w:rPr>
      </w:pPr>
    </w:p>
    <w:p w:rsidR="00FE79FE" w:rsidRPr="00EC1810" w:rsidRDefault="00FE79FE" w:rsidP="00CD659B">
      <w:pPr>
        <w:spacing w:before="80"/>
        <w:rPr>
          <w:i/>
          <w:lang w:val="ru-RU"/>
        </w:rPr>
      </w:pPr>
    </w:p>
    <w:p w:rsidR="00FE79FE" w:rsidRPr="00EC1810" w:rsidRDefault="00FE79FE" w:rsidP="00CD659B">
      <w:pPr>
        <w:spacing w:before="80"/>
        <w:rPr>
          <w:i/>
          <w:lang w:val="ru-RU"/>
        </w:rPr>
      </w:pPr>
    </w:p>
    <w:p w:rsidR="00A71FE5" w:rsidRPr="00EC1810" w:rsidRDefault="00A71FE5" w:rsidP="00CD659B">
      <w:pPr>
        <w:spacing w:before="80"/>
        <w:rPr>
          <w:i/>
          <w:lang w:val="ru-RU"/>
        </w:rPr>
      </w:pPr>
    </w:p>
    <w:p w:rsidR="00CD659B" w:rsidRPr="00EC181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C181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EC1810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C1810">
        <w:rPr>
          <w:b/>
          <w:bCs/>
          <w:szCs w:val="22"/>
          <w:lang w:val="ru-RU"/>
        </w:rPr>
        <w:lastRenderedPageBreak/>
        <w:t>Предисловие</w:t>
      </w:r>
    </w:p>
    <w:p w:rsidR="00343B8D" w:rsidRPr="00EC1810" w:rsidRDefault="00343B8D" w:rsidP="00343B8D">
      <w:pPr>
        <w:rPr>
          <w:sz w:val="20"/>
          <w:lang w:val="ru-RU"/>
        </w:rPr>
      </w:pPr>
      <w:r w:rsidRPr="00EC181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EC1810" w:rsidRDefault="00343B8D" w:rsidP="00343B8D">
      <w:pPr>
        <w:rPr>
          <w:sz w:val="20"/>
          <w:lang w:val="ru-RU"/>
        </w:rPr>
      </w:pPr>
      <w:r w:rsidRPr="00EC181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EC1810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EC181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EC1810" w:rsidRDefault="00343B8D" w:rsidP="00F3236A">
      <w:pPr>
        <w:rPr>
          <w:sz w:val="20"/>
          <w:lang w:val="ru-RU"/>
        </w:rPr>
      </w:pPr>
      <w:r w:rsidRPr="00EC1810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EC1810">
        <w:rPr>
          <w:sz w:val="20"/>
          <w:lang w:val="ru-RU"/>
        </w:rPr>
        <w:t xml:space="preserve"> 1</w:t>
      </w:r>
      <w:r w:rsidRPr="00EC1810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C181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C181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EC1810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C90566" w:rsidTr="00226B45">
        <w:trPr>
          <w:jc w:val="center"/>
        </w:trPr>
        <w:tc>
          <w:tcPr>
            <w:tcW w:w="8856" w:type="dxa"/>
            <w:gridSpan w:val="2"/>
          </w:tcPr>
          <w:p w:rsidR="00343B8D" w:rsidRPr="00EC1810" w:rsidRDefault="00343B8D" w:rsidP="00226B4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C181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EC1810" w:rsidRDefault="00343B8D" w:rsidP="00226B4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C181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EC181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C1810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EC1810" w:rsidRDefault="00343B8D" w:rsidP="00226B4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C90566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EC1810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EC1810" w:rsidRDefault="00343B8D" w:rsidP="00226B4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EC1810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EC1810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EC1810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C90566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EC1810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C1810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EC1810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C1810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EC1810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C90566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EC1810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C90566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C90566" w:rsidTr="00226B45">
        <w:trPr>
          <w:jc w:val="center"/>
        </w:trPr>
        <w:tc>
          <w:tcPr>
            <w:tcW w:w="1188" w:type="dxa"/>
          </w:tcPr>
          <w:p w:rsidR="00343B8D" w:rsidRPr="00EC1810" w:rsidRDefault="00343B8D" w:rsidP="00226B4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C18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EC1810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C18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EC1810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C90566" w:rsidTr="00226B45">
        <w:trPr>
          <w:jc w:val="center"/>
        </w:trPr>
        <w:tc>
          <w:tcPr>
            <w:tcW w:w="8856" w:type="dxa"/>
          </w:tcPr>
          <w:p w:rsidR="00343B8D" w:rsidRPr="00EC1810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C18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C18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EC1810">
              <w:rPr>
                <w:i/>
                <w:iCs/>
                <w:sz w:val="20"/>
                <w:lang w:val="ru-RU"/>
              </w:rPr>
              <w:t> </w:t>
            </w:r>
            <w:r w:rsidRPr="00EC18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EC1810">
              <w:rPr>
                <w:i/>
                <w:iCs/>
                <w:sz w:val="20"/>
                <w:lang w:val="ru-RU"/>
              </w:rPr>
              <w:t xml:space="preserve"> 1</w:t>
            </w:r>
            <w:r w:rsidRPr="00EC18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EC1810" w:rsidRDefault="00343B8D" w:rsidP="00C759B7">
      <w:pPr>
        <w:spacing w:before="360"/>
        <w:jc w:val="right"/>
        <w:rPr>
          <w:sz w:val="20"/>
          <w:lang w:val="ru-RU"/>
        </w:rPr>
      </w:pPr>
      <w:r w:rsidRPr="00EC1810">
        <w:rPr>
          <w:i/>
          <w:iCs/>
          <w:sz w:val="20"/>
          <w:lang w:val="ru-RU"/>
        </w:rPr>
        <w:t>Электронная публикация</w:t>
      </w:r>
      <w:r w:rsidRPr="00EC1810">
        <w:rPr>
          <w:i/>
          <w:iCs/>
          <w:sz w:val="20"/>
          <w:lang w:val="ru-RU"/>
        </w:rPr>
        <w:br/>
      </w:r>
      <w:r w:rsidRPr="00EC1810">
        <w:rPr>
          <w:sz w:val="20"/>
          <w:lang w:val="ru-RU"/>
        </w:rPr>
        <w:t>Женева, 201</w:t>
      </w:r>
      <w:r w:rsidR="00C759B7" w:rsidRPr="00EC1810">
        <w:rPr>
          <w:sz w:val="20"/>
          <w:lang w:val="ru-RU"/>
        </w:rPr>
        <w:t>4</w:t>
      </w:r>
      <w:r w:rsidRPr="00EC1810">
        <w:rPr>
          <w:sz w:val="20"/>
          <w:lang w:val="ru-RU"/>
        </w:rPr>
        <w:t xml:space="preserve"> г.</w:t>
      </w:r>
    </w:p>
    <w:p w:rsidR="00343B8D" w:rsidRPr="00EC1810" w:rsidRDefault="005F6F21" w:rsidP="00C759B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C1810">
        <w:rPr>
          <w:sz w:val="20"/>
          <w:lang w:val="ru-RU"/>
        </w:rPr>
        <w:sym w:font="Symbol" w:char="F0E3"/>
      </w:r>
      <w:r w:rsidRPr="00EC1810">
        <w:rPr>
          <w:sz w:val="20"/>
          <w:lang w:val="ru-RU"/>
        </w:rPr>
        <w:t xml:space="preserve"> ITU </w:t>
      </w:r>
      <w:bookmarkStart w:id="1" w:name="iiannee"/>
      <w:bookmarkEnd w:id="1"/>
      <w:r w:rsidRPr="00EC1810">
        <w:rPr>
          <w:sz w:val="20"/>
          <w:lang w:val="ru-RU"/>
        </w:rPr>
        <w:t>201</w:t>
      </w:r>
      <w:r w:rsidR="00C759B7" w:rsidRPr="00EC1810">
        <w:rPr>
          <w:sz w:val="20"/>
          <w:lang w:val="ru-RU"/>
        </w:rPr>
        <w:t>4</w:t>
      </w:r>
    </w:p>
    <w:p w:rsidR="005F6F21" w:rsidRPr="00EC1810" w:rsidRDefault="00343B8D" w:rsidP="005F6F21">
      <w:pPr>
        <w:rPr>
          <w:sz w:val="18"/>
          <w:szCs w:val="18"/>
          <w:lang w:val="ru-RU"/>
        </w:rPr>
      </w:pPr>
      <w:r w:rsidRPr="00EC18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EC1810" w:rsidRDefault="005F6F21" w:rsidP="005F6F21">
      <w:pPr>
        <w:spacing w:before="160"/>
        <w:rPr>
          <w:i/>
          <w:sz w:val="20"/>
          <w:lang w:val="ru-RU"/>
        </w:rPr>
        <w:sectPr w:rsidR="005F6F21" w:rsidRPr="00EC181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26B45" w:rsidRPr="00C90566" w:rsidRDefault="00226B45" w:rsidP="00226B45">
      <w:pPr>
        <w:pStyle w:val="RecNo"/>
        <w:spacing w:before="0"/>
        <w:rPr>
          <w:lang w:val="ru-RU"/>
        </w:rPr>
      </w:pPr>
      <w:bookmarkStart w:id="2" w:name="irecnoe"/>
      <w:bookmarkEnd w:id="2"/>
      <w:r w:rsidRPr="00EC1810">
        <w:rPr>
          <w:lang w:val="ru-RU"/>
        </w:rPr>
        <w:lastRenderedPageBreak/>
        <w:t xml:space="preserve">РЕКОМЕНДАЦИЯ  </w:t>
      </w:r>
      <w:r w:rsidRPr="00EC1810">
        <w:rPr>
          <w:rStyle w:val="href"/>
          <w:lang w:val="ru-RU"/>
        </w:rPr>
        <w:t>МСЭ-R  P.531-1</w:t>
      </w:r>
      <w:r w:rsidR="00EF4709" w:rsidRPr="00C90566">
        <w:rPr>
          <w:rStyle w:val="href"/>
          <w:lang w:val="ru-RU"/>
        </w:rPr>
        <w:t>2</w:t>
      </w:r>
    </w:p>
    <w:p w:rsidR="00226B45" w:rsidRPr="00EC1810" w:rsidRDefault="00226B45" w:rsidP="00C17B28">
      <w:pPr>
        <w:pStyle w:val="Rectitle"/>
        <w:rPr>
          <w:lang w:val="ru-RU"/>
        </w:rPr>
      </w:pPr>
      <w:r w:rsidRPr="00EC1810">
        <w:rPr>
          <w:lang w:val="ru-RU"/>
        </w:rPr>
        <w:t xml:space="preserve">Данные об ионосферном распространении радиоволн и методы прогнозирования, необходимые для проектирования </w:t>
      </w:r>
      <w:r w:rsidR="00C17B28">
        <w:rPr>
          <w:lang w:val="ru-RU"/>
        </w:rPr>
        <w:br/>
      </w:r>
      <w:r w:rsidRPr="00EC1810">
        <w:rPr>
          <w:lang w:val="ru-RU"/>
        </w:rPr>
        <w:t>спутниковых служб и систем</w:t>
      </w:r>
    </w:p>
    <w:p w:rsidR="00226B45" w:rsidRPr="00EC1810" w:rsidRDefault="00226B45" w:rsidP="00226B45">
      <w:pPr>
        <w:pStyle w:val="Recref"/>
        <w:rPr>
          <w:lang w:val="ru-RU"/>
        </w:rPr>
      </w:pPr>
      <w:r w:rsidRPr="00EC1810">
        <w:rPr>
          <w:lang w:val="ru-RU"/>
        </w:rPr>
        <w:t>(Вопрос МСЭ-R 218/3)</w:t>
      </w:r>
    </w:p>
    <w:p w:rsidR="00226B45" w:rsidRPr="00EC1810" w:rsidRDefault="00226B45" w:rsidP="00226B45">
      <w:pPr>
        <w:pStyle w:val="Recdate"/>
        <w:rPr>
          <w:lang w:val="ru-RU"/>
        </w:rPr>
      </w:pPr>
    </w:p>
    <w:p w:rsidR="00226B45" w:rsidRPr="00EC1810" w:rsidRDefault="00226B45" w:rsidP="00226B45">
      <w:pPr>
        <w:pStyle w:val="Recdate"/>
        <w:rPr>
          <w:lang w:val="ru-RU"/>
        </w:rPr>
      </w:pPr>
      <w:bookmarkStart w:id="3" w:name="Revision_history"/>
      <w:r w:rsidRPr="00EC1810">
        <w:rPr>
          <w:lang w:val="ru-RU"/>
        </w:rPr>
        <w:t>(1978-1990-1992-1994-1997-1999-2001-2003-2005-2007-2009-2012-2013)</w:t>
      </w:r>
      <w:bookmarkEnd w:id="3"/>
    </w:p>
    <w:p w:rsidR="00226B45" w:rsidRPr="00EC1810" w:rsidRDefault="00226B45" w:rsidP="00226B45">
      <w:pPr>
        <w:pStyle w:val="HeadingSum"/>
        <w:rPr>
          <w:lang w:val="ru-RU"/>
        </w:rPr>
      </w:pPr>
      <w:r w:rsidRPr="00EC1810">
        <w:rPr>
          <w:lang w:val="ru-RU"/>
        </w:rPr>
        <w:t>Сфера применения</w:t>
      </w:r>
    </w:p>
    <w:p w:rsidR="00226B45" w:rsidRPr="00EC1810" w:rsidRDefault="00226B45" w:rsidP="00226B45">
      <w:pPr>
        <w:pStyle w:val="Summary"/>
        <w:spacing w:after="0"/>
        <w:rPr>
          <w:lang w:val="ru-RU"/>
        </w:rPr>
      </w:pPr>
      <w:r w:rsidRPr="00EC1810">
        <w:rPr>
          <w:lang w:val="ru-RU"/>
        </w:rPr>
        <w:t>В Рекомендации МСЭ-R Р.531 описываются методы оценки эффектов ионосферного распространения радиоволн на трассах Земля-космос на частотах от 0,1 до 12 ГГц. На трассе Земля</w:t>
      </w:r>
      <w:r w:rsidRPr="00EC1810">
        <w:rPr>
          <w:lang w:val="ru-RU"/>
        </w:rPr>
        <w:noBreakHyphen/>
        <w:t>космос, когда сигнал проходит через ионосферу, могут возникать следующие эффекты: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>вращение плоскости поляризации (фарадеевское вращение), вызываемое взаимодействием электромагнитной волны с ионизированной средой магнитного поля Земли вдоль трассы;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>групповая задержка сигнала и опережение по фазе, вызванные полным содержанием электронов (ПСЭ), накопившимся вдоль трассы;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>быстрое изменение сигнала по амплитуде и фазе (мерцание), вызванное маломасштабными неоднородностями ионосферы;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>изменение очевидного направления прибытия, вызванное рефракцией;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>допплеровский эффект, вызванный нелинейным характером вращения плоскости поляризации и временными задержками.</w:t>
      </w:r>
    </w:p>
    <w:p w:rsidR="00226B45" w:rsidRPr="00EC1810" w:rsidRDefault="00226B45" w:rsidP="00226B45">
      <w:pPr>
        <w:pStyle w:val="Summary"/>
        <w:rPr>
          <w:lang w:val="ru-RU"/>
        </w:rPr>
      </w:pPr>
      <w:r w:rsidRPr="00EC1810">
        <w:rPr>
          <w:lang w:val="ru-RU"/>
        </w:rPr>
        <w:t>Данные и методы, описанные в настоящей Рекомендации, применяются для планирования спутниковых систем в соответствующих действующих параметрах, указанных в Приложении 1.</w:t>
      </w:r>
    </w:p>
    <w:p w:rsidR="00226B45" w:rsidRPr="00EC1810" w:rsidRDefault="00226B45" w:rsidP="00226B45">
      <w:pPr>
        <w:pStyle w:val="Normalaftertitle"/>
        <w:rPr>
          <w:lang w:val="ru-RU"/>
        </w:rPr>
      </w:pPr>
      <w:r w:rsidRPr="00EC1810">
        <w:rPr>
          <w:lang w:val="ru-RU"/>
        </w:rPr>
        <w:t>Ассамблея радиосвязи МСЭ,</w:t>
      </w:r>
    </w:p>
    <w:p w:rsidR="00226B45" w:rsidRPr="00EC1810" w:rsidRDefault="00226B45" w:rsidP="00226B45">
      <w:pPr>
        <w:pStyle w:val="Call"/>
        <w:rPr>
          <w:lang w:val="ru-RU"/>
        </w:rPr>
      </w:pPr>
      <w:r w:rsidRPr="00EC1810">
        <w:rPr>
          <w:lang w:val="ru-RU"/>
        </w:rPr>
        <w:t>учитывая</w:t>
      </w:r>
      <w:r w:rsidRPr="00EC1810">
        <w:rPr>
          <w:i w:val="0"/>
          <w:iCs/>
          <w:lang w:val="ru-RU"/>
        </w:rPr>
        <w:t>,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lang w:val="ru-RU"/>
        </w:rPr>
        <w:t>a)</w:t>
      </w:r>
      <w:r w:rsidRPr="00EC1810">
        <w:rPr>
          <w:lang w:val="ru-RU"/>
        </w:rPr>
        <w:tab/>
        <w:t>что ионосферные эффекты оказывают существенное влияние на распространение радиоволн на частотах по меньшей мере до 12 ГГц;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lang w:val="ru-RU"/>
        </w:rPr>
        <w:t>b)</w:t>
      </w:r>
      <w:r w:rsidRPr="00EC1810">
        <w:rPr>
          <w:lang w:val="ru-RU"/>
        </w:rPr>
        <w:tab/>
        <w:t>что эти эффекты могут быть особенно существенны для спутниковых служб, использующих негеостационарную орбиту и работающих на частотах ниже 3 ГГц;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lang w:val="ru-RU"/>
        </w:rPr>
        <w:t>c)</w:t>
      </w:r>
      <w:r w:rsidRPr="00EC1810">
        <w:rPr>
          <w:lang w:val="ru-RU"/>
        </w:rPr>
        <w:tab/>
        <w:t>что были представлены экспериментальные данные и/или разработаны методы моделирования, которые позволяют прогнозировать параметры ионосферного распространения, необходимые для планирования спутниковых систем;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lang w:val="ru-RU"/>
        </w:rPr>
        <w:t>d)</w:t>
      </w:r>
      <w:r w:rsidRPr="00EC1810">
        <w:rPr>
          <w:lang w:val="ru-RU"/>
        </w:rPr>
        <w:tab/>
        <w:t>что ионосферные эффекты могут оказывать влияние на проектирование и качество радиосистем, в состав которых входят космические аппараты;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lang w:val="ru-RU"/>
        </w:rPr>
        <w:t>e)</w:t>
      </w:r>
      <w:r w:rsidRPr="00EC1810">
        <w:rPr>
          <w:lang w:val="ru-RU"/>
        </w:rPr>
        <w:tab/>
        <w:t>что эти данные и методы оказались совместимыми с естественной изменчивостью явлений распространения радиоволн и, следовательно, их можно использовать при планировании спутниковых систем,</w:t>
      </w:r>
    </w:p>
    <w:p w:rsidR="00226B45" w:rsidRPr="00EC1810" w:rsidRDefault="00226B45" w:rsidP="00226B45">
      <w:pPr>
        <w:pStyle w:val="Call"/>
        <w:rPr>
          <w:lang w:val="ru-RU"/>
        </w:rPr>
      </w:pPr>
      <w:r w:rsidRPr="00EC1810">
        <w:rPr>
          <w:lang w:val="ru-RU"/>
        </w:rPr>
        <w:t>рекомендует</w:t>
      </w:r>
      <w:r w:rsidRPr="00EC1810">
        <w:rPr>
          <w:i w:val="0"/>
          <w:iCs/>
          <w:lang w:val="ru-RU"/>
        </w:rPr>
        <w:t>,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b/>
          <w:bCs/>
          <w:lang w:val="ru-RU"/>
        </w:rPr>
        <w:t>1</w:t>
      </w:r>
      <w:r w:rsidRPr="00EC1810">
        <w:rPr>
          <w:lang w:val="ru-RU"/>
        </w:rPr>
        <w:tab/>
        <w:t>чтобы данные и методы, представленные в Приложении 1, использовались при планировании спутниковых систем с учетом диапазонов их действительности, указанных в этом Приложении.</w:t>
      </w:r>
    </w:p>
    <w:p w:rsidR="00226B45" w:rsidRPr="00EC1810" w:rsidRDefault="00226B45" w:rsidP="00226B45">
      <w:pPr>
        <w:pStyle w:val="AnnexNoTitle"/>
        <w:spacing w:line="236" w:lineRule="exact"/>
        <w:rPr>
          <w:lang w:val="ru-RU"/>
        </w:rPr>
      </w:pPr>
      <w:r w:rsidRPr="00EC1810">
        <w:rPr>
          <w:lang w:val="ru-RU"/>
        </w:rPr>
        <w:lastRenderedPageBreak/>
        <w:t>Приложение 1</w:t>
      </w:r>
    </w:p>
    <w:p w:rsidR="00226B45" w:rsidRPr="00EC1810" w:rsidRDefault="00226B45" w:rsidP="00226B45">
      <w:pPr>
        <w:pStyle w:val="Heading1"/>
        <w:spacing w:line="236" w:lineRule="exact"/>
        <w:rPr>
          <w:lang w:val="ru-RU"/>
        </w:rPr>
      </w:pPr>
      <w:r w:rsidRPr="00EC1810">
        <w:rPr>
          <w:lang w:val="ru-RU"/>
        </w:rPr>
        <w:t>1</w:t>
      </w:r>
      <w:r w:rsidRPr="00EC1810">
        <w:rPr>
          <w:lang w:val="ru-RU"/>
        </w:rPr>
        <w:tab/>
        <w:t>Введение</w:t>
      </w:r>
    </w:p>
    <w:p w:rsidR="00226B45" w:rsidRPr="00EC1810" w:rsidRDefault="00226B45" w:rsidP="00D7285B">
      <w:pPr>
        <w:rPr>
          <w:lang w:val="ru-RU"/>
        </w:rPr>
      </w:pPr>
      <w:r w:rsidRPr="00EC1810">
        <w:rPr>
          <w:lang w:val="ru-RU"/>
        </w:rPr>
        <w:t>В настоящем Приложении рассматриваются эффекты ионосферного распространения на трассах Земля-космос. С точки зрения проектирования систем воздействие ионосферы можно свести к следующему:</w:t>
      </w:r>
    </w:p>
    <w:p w:rsidR="00226B45" w:rsidRPr="00EC1810" w:rsidRDefault="00226B45" w:rsidP="00D7285B">
      <w:pPr>
        <w:pStyle w:val="enumlev1"/>
        <w:rPr>
          <w:lang w:val="ru-RU"/>
        </w:rPr>
      </w:pPr>
      <w:r w:rsidRPr="00EC1810">
        <w:rPr>
          <w:lang w:val="ru-RU"/>
        </w:rPr>
        <w:t>a)</w:t>
      </w:r>
      <w:r w:rsidRPr="00EC1810">
        <w:rPr>
          <w:lang w:val="ru-RU"/>
        </w:rPr>
        <w:tab/>
        <w:t>полное содержание электронов (ПСЭ) вдоль ионосферной трассы распространения подвижной спутниковой службы (ПСС) вызывает вращение плоскости поляризации (фарадеевское вращение) несущей ПСС и временную задержку сигнала, а также изменение наблюдаемого направления прихода волны из-за рефракции;</w:t>
      </w:r>
    </w:p>
    <w:p w:rsidR="00226B45" w:rsidRPr="00EC1810" w:rsidRDefault="00226B45" w:rsidP="00D7285B">
      <w:pPr>
        <w:pStyle w:val="enumlev1"/>
        <w:rPr>
          <w:lang w:val="ru-RU"/>
        </w:rPr>
      </w:pPr>
      <w:r w:rsidRPr="00EC1810">
        <w:rPr>
          <w:lang w:val="ru-RU"/>
        </w:rPr>
        <w:t>b)</w:t>
      </w:r>
      <w:r w:rsidRPr="00EC1810">
        <w:rPr>
          <w:lang w:val="ru-RU"/>
        </w:rPr>
        <w:tab/>
        <w:t>локализованные участки ионосферы, возникающие случайным образом и обычно называемые ионосферными неоднородностями, приводят к избыточному и случайному вращению поляризации и увеличению временной задержки, причем процесс этот может быть описан только стохастически;</w:t>
      </w:r>
    </w:p>
    <w:p w:rsidR="00226B45" w:rsidRPr="00EC1810" w:rsidRDefault="00226B45" w:rsidP="00D7285B">
      <w:pPr>
        <w:pStyle w:val="enumlev1"/>
        <w:rPr>
          <w:lang w:val="ru-RU"/>
        </w:rPr>
      </w:pPr>
      <w:r w:rsidRPr="00EC1810">
        <w:rPr>
          <w:lang w:val="ru-RU"/>
        </w:rPr>
        <w:t>c)</w:t>
      </w:r>
      <w:r w:rsidRPr="00EC1810">
        <w:rPr>
          <w:lang w:val="ru-RU"/>
        </w:rPr>
        <w:tab/>
        <w:t>из-за того, что вращения и временные задержки, связанные с плотностью электронов, зависят от частоты нелинейно, эффекты a) и b) ведут в свою очередь к дисперсии или изменению групповой скорости несущих ПСС;</w:t>
      </w:r>
    </w:p>
    <w:p w:rsidR="00226B45" w:rsidRPr="00EC1810" w:rsidRDefault="00226B45" w:rsidP="00D7285B">
      <w:pPr>
        <w:pStyle w:val="enumlev1"/>
        <w:rPr>
          <w:lang w:val="ru-RU"/>
        </w:rPr>
      </w:pPr>
      <w:r w:rsidRPr="00EC1810">
        <w:rPr>
          <w:lang w:val="ru-RU"/>
        </w:rPr>
        <w:t>d)</w:t>
      </w:r>
      <w:r w:rsidRPr="00EC1810">
        <w:rPr>
          <w:lang w:val="ru-RU"/>
        </w:rPr>
        <w:tab/>
        <w:t>кроме того, локализованные ионосферные неоднородности могут также действовать как собирающая или рассеивающая линза, фокусируя или рассеивая радиоволны. Такие явления обычно называют мерцаниями, и они воздействуют на амплитуду, фазу и угол прихода сигнала ПСС.</w:t>
      </w:r>
    </w:p>
    <w:p w:rsidR="00226B45" w:rsidRPr="00EC1810" w:rsidRDefault="00226B45" w:rsidP="00D7285B">
      <w:pPr>
        <w:rPr>
          <w:lang w:val="ru-RU"/>
        </w:rPr>
      </w:pPr>
      <w:r w:rsidRPr="00EC1810">
        <w:rPr>
          <w:lang w:val="ru-RU"/>
        </w:rPr>
        <w:t>Из-за сложной физической природы ионосферы ионосферные эффекты, влияющие на параметры системы, как уже говорилось выше, не всегда можно описать с помощью простых аналитических формул. Соответствующие данные, представленные в виде таблиц и/или графиков и дополненные описательными или ограничивающими утверждениями, являются по всем практическим соображениям наилучшим способом представления этих эффектов.</w:t>
      </w:r>
    </w:p>
    <w:p w:rsidR="00226B45" w:rsidRPr="00EC1810" w:rsidRDefault="00226B45" w:rsidP="00D7285B">
      <w:pPr>
        <w:rPr>
          <w:lang w:val="ru-RU"/>
        </w:rPr>
      </w:pPr>
      <w:r w:rsidRPr="00EC1810">
        <w:rPr>
          <w:lang w:val="ru-RU"/>
        </w:rPr>
        <w:t>Говоря об эффектах распространения при проектировании ПСС на частотах ниже 3 ГГц, следует признать, что:</w:t>
      </w:r>
    </w:p>
    <w:p w:rsidR="00226B45" w:rsidRPr="00EC1810" w:rsidRDefault="00226B45" w:rsidP="00B314B7">
      <w:pPr>
        <w:pStyle w:val="enumlev1"/>
        <w:rPr>
          <w:lang w:val="ru-RU"/>
        </w:rPr>
      </w:pPr>
      <w:r w:rsidRPr="00EC1810">
        <w:rPr>
          <w:lang w:val="ru-RU"/>
        </w:rPr>
        <w:t>e)</w:t>
      </w:r>
      <w:r w:rsidRPr="00EC1810">
        <w:rPr>
          <w:lang w:val="ru-RU"/>
        </w:rPr>
        <w:tab/>
        <w:t>известные явления распространения на трассах космос-Земля, вызываемые воздействием гидрометеоров, не играют существенной роли в случаях пп. f) и h);</w:t>
      </w:r>
    </w:p>
    <w:p w:rsidR="00226B45" w:rsidRPr="00EC1810" w:rsidRDefault="00226B45" w:rsidP="00B314B7">
      <w:pPr>
        <w:pStyle w:val="enumlev1"/>
        <w:rPr>
          <w:lang w:val="ru-RU"/>
        </w:rPr>
      </w:pPr>
      <w:r w:rsidRPr="00EC1810">
        <w:rPr>
          <w:lang w:val="ru-RU"/>
        </w:rPr>
        <w:t>f)</w:t>
      </w:r>
      <w:r w:rsidRPr="00EC1810">
        <w:rPr>
          <w:lang w:val="ru-RU"/>
        </w:rPr>
        <w:tab/>
        <w:t>эффекты многолучевости вблизи поверхности Земли, наблюдающиеся в присутствии естественных или искусственных препятствий и/или при низких углах места, всегда являются критическими;</w:t>
      </w:r>
    </w:p>
    <w:p w:rsidR="00226B45" w:rsidRPr="00EC1810" w:rsidRDefault="00226B45" w:rsidP="00B314B7">
      <w:pPr>
        <w:pStyle w:val="enumlev1"/>
        <w:rPr>
          <w:lang w:val="ru-RU"/>
        </w:rPr>
      </w:pPr>
      <w:r w:rsidRPr="00EC1810">
        <w:rPr>
          <w:lang w:val="ru-RU"/>
        </w:rPr>
        <w:t>g)</w:t>
      </w:r>
      <w:r w:rsidRPr="00EC1810">
        <w:rPr>
          <w:lang w:val="ru-RU"/>
        </w:rPr>
        <w:tab/>
        <w:t>эффекты многолучевости вблизи поверхности Земли могут меняться в зависимости от местоположения и, следовательно, не являются определяющим фактором при проектировании систем ПСС, если речь идет о факторах распространения в глобальных масштабах;</w:t>
      </w:r>
    </w:p>
    <w:p w:rsidR="00226B45" w:rsidRPr="00EC1810" w:rsidRDefault="00226B45" w:rsidP="00B314B7">
      <w:pPr>
        <w:pStyle w:val="enumlev1"/>
        <w:rPr>
          <w:lang w:val="ru-RU"/>
        </w:rPr>
      </w:pPr>
      <w:r w:rsidRPr="00EC1810">
        <w:rPr>
          <w:lang w:val="ru-RU"/>
        </w:rPr>
        <w:t>h)</w:t>
      </w:r>
      <w:r w:rsidRPr="00EC1810">
        <w:rPr>
          <w:lang w:val="ru-RU"/>
        </w:rPr>
        <w:tab/>
        <w:t>ионосферные эффекты являются наиболее важными факторами распространения, которые следует учитывать при проектировании систем ПСС в глобальных масштабах.</w:t>
      </w:r>
    </w:p>
    <w:p w:rsidR="00226B45" w:rsidRPr="00EC1810" w:rsidRDefault="00226B45" w:rsidP="00B314B7">
      <w:pPr>
        <w:pStyle w:val="Heading1"/>
        <w:rPr>
          <w:lang w:val="ru-RU"/>
        </w:rPr>
      </w:pPr>
      <w:r w:rsidRPr="00EC1810">
        <w:rPr>
          <w:lang w:val="ru-RU"/>
        </w:rPr>
        <w:t>2</w:t>
      </w:r>
      <w:r w:rsidRPr="00EC1810">
        <w:rPr>
          <w:lang w:val="ru-RU"/>
        </w:rPr>
        <w:tab/>
        <w:t>Базовая информация</w:t>
      </w:r>
    </w:p>
    <w:p w:rsidR="00226B45" w:rsidRPr="00EC1810" w:rsidRDefault="00226B45" w:rsidP="00B314B7">
      <w:pPr>
        <w:rPr>
          <w:lang w:val="ru-RU"/>
        </w:rPr>
      </w:pPr>
      <w:r w:rsidRPr="00EC1810">
        <w:rPr>
          <w:lang w:val="ru-RU"/>
        </w:rPr>
        <w:t>Из-за влияния солнечной радиации ионосфера Земли состоит из нескольких областей ионизации. Для всех практических целей применительно к связи области ионосферы D, E, F и ионизация верхних слоев считаются источниками существенного вклада в ПСЭ между оконечной станцией спутника и наземной оконечной станцией.</w:t>
      </w:r>
    </w:p>
    <w:p w:rsidR="00226B45" w:rsidRPr="00EC1810" w:rsidRDefault="00226B45" w:rsidP="00B314B7">
      <w:pPr>
        <w:rPr>
          <w:lang w:val="ru-RU"/>
        </w:rPr>
      </w:pPr>
      <w:r w:rsidRPr="00EC1810">
        <w:rPr>
          <w:lang w:val="ru-RU"/>
        </w:rPr>
        <w:t xml:space="preserve">В каждой области ионизированная среда не является ни однородной в пространстве, ни стационарной во времени. Вообще говоря, процесс фоновой ионизации характеризуется относительно регулярными колебаниями по времени суток, времени года и 11-годовому циклу солнечной активности и в значительной мере зависит от географического местоположения и геомагнитной активности. </w:t>
      </w:r>
      <w:r w:rsidRPr="00EC1810">
        <w:rPr>
          <w:lang w:val="ru-RU"/>
        </w:rPr>
        <w:lastRenderedPageBreak/>
        <w:t>Помимо фоновой ионизации всегда существуют высокодинамичные маломасштабные нестационарные структуры, так называемые неоднородности. Как фоновая ионизация, так и эти неоднородности способствуют искажению радиоволн. Кроме того, показатель преломления является частотнозависимым, т. е. среда передачи – диспергирующая.</w:t>
      </w:r>
    </w:p>
    <w:p w:rsidR="00226B45" w:rsidRPr="00EC1810" w:rsidRDefault="00226B45" w:rsidP="00DE2167">
      <w:pPr>
        <w:pStyle w:val="Heading1"/>
        <w:spacing w:line="240" w:lineRule="exact"/>
        <w:rPr>
          <w:lang w:val="ru-RU"/>
        </w:rPr>
      </w:pPr>
      <w:r w:rsidRPr="00EC1810">
        <w:rPr>
          <w:lang w:val="ru-RU"/>
        </w:rPr>
        <w:t>3</w:t>
      </w:r>
      <w:r w:rsidRPr="00EC1810">
        <w:rPr>
          <w:lang w:val="ru-RU"/>
        </w:rPr>
        <w:tab/>
        <w:t>Первичные искажения, вызванные фоновой ионизацией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>Ряд эффектов, таких как рефракция, дисперсия и групповая задержка, по своей величине прямо пропорциональны ПСЭ; фарадеевское вращение также приблизительно пропорционально ПСЭ, причем различные участки траектории луча вносят в него свой вклад с весом, зависящим от продольной составляющей магнитного поля. Таким образом, информация о ПСЭ позволяет количественно оценить многие важные ионосферные явления.</w:t>
      </w:r>
    </w:p>
    <w:p w:rsidR="00226B45" w:rsidRPr="00EC1810" w:rsidRDefault="00226B45" w:rsidP="00DE2167">
      <w:pPr>
        <w:pStyle w:val="Heading2"/>
        <w:spacing w:line="240" w:lineRule="exact"/>
        <w:rPr>
          <w:lang w:val="ru-RU"/>
        </w:rPr>
      </w:pPr>
      <w:r w:rsidRPr="00EC1810">
        <w:rPr>
          <w:lang w:val="ru-RU"/>
        </w:rPr>
        <w:t>3.1</w:t>
      </w:r>
      <w:r w:rsidRPr="00EC1810">
        <w:rPr>
          <w:lang w:val="ru-RU"/>
        </w:rPr>
        <w:tab/>
        <w:t>ПСЭ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 xml:space="preserve">Полное содержание электронов, обозначаемое как </w:t>
      </w:r>
      <w:r w:rsidRPr="00EC1810">
        <w:rPr>
          <w:i/>
          <w:iCs/>
          <w:lang w:val="ru-RU"/>
        </w:rPr>
        <w:t>N</w:t>
      </w:r>
      <w:r w:rsidRPr="00EC1810">
        <w:rPr>
          <w:i/>
          <w:iCs/>
          <w:vertAlign w:val="subscript"/>
          <w:lang w:val="ru-RU"/>
        </w:rPr>
        <w:t>T</w:t>
      </w:r>
      <w:r w:rsidRPr="00EC1810">
        <w:rPr>
          <w:lang w:val="ru-RU"/>
        </w:rPr>
        <w:t>, можно определить по формуле: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="00DE2167" w:rsidRPr="00DE2167">
        <w:rPr>
          <w:position w:val="-32"/>
          <w:lang w:val="ru-RU"/>
        </w:rPr>
        <w:object w:dxaOrig="14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5pt;height:32.55pt" o:ole="">
            <v:imagedata r:id="rId14" o:title=""/>
          </v:shape>
          <o:OLEObject Type="Embed" ProgID="Equation.3" ShapeID="_x0000_i1025" DrawAspect="Content" ObjectID="_1470661993" r:id="rId15"/>
        </w:object>
      </w:r>
      <w:r w:rsidRPr="00EC1810">
        <w:rPr>
          <w:lang w:val="ru-RU"/>
        </w:rPr>
        <w:t>,</w:t>
      </w:r>
      <w:r w:rsidRPr="00EC1810">
        <w:rPr>
          <w:lang w:val="ru-RU"/>
        </w:rPr>
        <w:tab/>
        <w:t>(1)</w:t>
      </w:r>
    </w:p>
    <w:p w:rsidR="00226B45" w:rsidRPr="00EC1810" w:rsidRDefault="00226B45" w:rsidP="00DE2167">
      <w:pPr>
        <w:spacing w:before="0" w:line="240" w:lineRule="exact"/>
        <w:rPr>
          <w:lang w:val="ru-RU"/>
        </w:rPr>
      </w:pPr>
      <w:r w:rsidRPr="00EC1810">
        <w:rPr>
          <w:lang w:val="ru-RU"/>
        </w:rPr>
        <w:t>где:</w:t>
      </w:r>
    </w:p>
    <w:p w:rsidR="00226B45" w:rsidRPr="00EC1810" w:rsidRDefault="00226B45" w:rsidP="00DE2167">
      <w:pPr>
        <w:pStyle w:val="Equationlegend"/>
        <w:spacing w:line="240" w:lineRule="exact"/>
        <w:rPr>
          <w:lang w:val="ru-RU"/>
        </w:rPr>
      </w:pP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s</w:t>
      </w:r>
      <w:r w:rsidRPr="00EC1810">
        <w:rPr>
          <w:lang w:val="ru-RU"/>
        </w:rPr>
        <w:t> :</w:t>
      </w:r>
      <w:r w:rsidRPr="00EC1810">
        <w:rPr>
          <w:lang w:val="ru-RU"/>
        </w:rPr>
        <w:tab/>
        <w:t>трасса распространения (м);</w:t>
      </w:r>
    </w:p>
    <w:p w:rsidR="00226B45" w:rsidRPr="00EC1810" w:rsidRDefault="00226B45" w:rsidP="00DE2167">
      <w:pPr>
        <w:pStyle w:val="Equationlegend"/>
        <w:spacing w:line="240" w:lineRule="exact"/>
        <w:rPr>
          <w:lang w:val="ru-RU"/>
        </w:rPr>
      </w:pP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n</w:t>
      </w:r>
      <w:r w:rsidRPr="00EC1810">
        <w:rPr>
          <w:i/>
          <w:iCs/>
          <w:vertAlign w:val="subscript"/>
          <w:lang w:val="ru-RU"/>
        </w:rPr>
        <w:t>e</w:t>
      </w:r>
      <w:r w:rsidRPr="00EC1810">
        <w:rPr>
          <w:lang w:val="ru-RU"/>
        </w:rPr>
        <w:t> :</w:t>
      </w:r>
      <w:r w:rsidRPr="00EC1810">
        <w:rPr>
          <w:lang w:val="ru-RU"/>
        </w:rPr>
        <w:tab/>
        <w:t>концентрация электронов (эл/м</w:t>
      </w:r>
      <w:r w:rsidRPr="00EC1810">
        <w:rPr>
          <w:vertAlign w:val="superscript"/>
          <w:lang w:val="ru-RU"/>
        </w:rPr>
        <w:t>3</w:t>
      </w:r>
      <w:r w:rsidRPr="00EC1810">
        <w:rPr>
          <w:lang w:val="ru-RU"/>
        </w:rPr>
        <w:t>).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 xml:space="preserve">Даже если геометрия трассы распространения точно известна, определение </w:t>
      </w:r>
      <w:r w:rsidRPr="00EC1810">
        <w:rPr>
          <w:i/>
          <w:iCs/>
          <w:lang w:val="ru-RU"/>
        </w:rPr>
        <w:t>N</w:t>
      </w:r>
      <w:r w:rsidRPr="00EC1810">
        <w:rPr>
          <w:i/>
          <w:iCs/>
          <w:vertAlign w:val="subscript"/>
          <w:lang w:val="ru-RU"/>
        </w:rPr>
        <w:t>T</w:t>
      </w:r>
      <w:r w:rsidRPr="00EC1810">
        <w:rPr>
          <w:lang w:val="ru-RU"/>
        </w:rPr>
        <w:t xml:space="preserve"> оказывается затруднительно, поскольку </w:t>
      </w:r>
      <w:r w:rsidRPr="00EC1810">
        <w:rPr>
          <w:i/>
          <w:iCs/>
          <w:lang w:val="ru-RU"/>
        </w:rPr>
        <w:t>n</w:t>
      </w:r>
      <w:r w:rsidRPr="00EC1810">
        <w:rPr>
          <w:i/>
          <w:iCs/>
          <w:vertAlign w:val="subscript"/>
          <w:lang w:val="ru-RU"/>
        </w:rPr>
        <w:t>e</w:t>
      </w:r>
      <w:r w:rsidRPr="00EC1810">
        <w:rPr>
          <w:lang w:val="ru-RU"/>
        </w:rPr>
        <w:t xml:space="preserve"> меняется в зависимости от времени суток, времени года и цикла солнечной активности.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>Для целей моделирования величина ПСЭ обычно оценивается для зенитных трасс с поперечным сечением 1 м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>. ПСЭ в таком вертикальном столбце может колебаться от 10</w:t>
      </w:r>
      <w:r w:rsidRPr="00EC1810">
        <w:rPr>
          <w:vertAlign w:val="superscript"/>
          <w:lang w:val="ru-RU"/>
        </w:rPr>
        <w:t>16</w:t>
      </w:r>
      <w:r w:rsidRPr="00EC1810">
        <w:rPr>
          <w:lang w:val="ru-RU"/>
        </w:rPr>
        <w:t xml:space="preserve"> до 10</w:t>
      </w:r>
      <w:r w:rsidRPr="00EC1810">
        <w:rPr>
          <w:vertAlign w:val="superscript"/>
          <w:lang w:val="ru-RU"/>
        </w:rPr>
        <w:t>18</w:t>
      </w:r>
      <w:r w:rsidRPr="00EC1810">
        <w:rPr>
          <w:lang w:val="ru-RU"/>
        </w:rPr>
        <w:t> эл/м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>, достигая максимального значения в то время суток, когда светит солнце.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>Для оценки величины ПСЭ можно использовать либо процедуру, основанную на Международной эталонной ионосфере (IRI-2012), либо более гибкую процедуру, также применимую для определения ПСЭ на наклонных трассах и основанную на модели NeQuick2 v.P531-12. Обе эти процедуры представлены ниже.</w:t>
      </w:r>
    </w:p>
    <w:p w:rsidR="00226B45" w:rsidRPr="0022266F" w:rsidRDefault="00226B45" w:rsidP="0022266F">
      <w:pPr>
        <w:pStyle w:val="Heading3"/>
        <w:spacing w:line="240" w:lineRule="exact"/>
        <w:rPr>
          <w:lang w:val="ru-RU"/>
        </w:rPr>
      </w:pPr>
      <w:r w:rsidRPr="00EC1810">
        <w:rPr>
          <w:lang w:val="ru-RU"/>
        </w:rPr>
        <w:t>3.1.1</w:t>
      </w:r>
      <w:r w:rsidRPr="00EC1810">
        <w:rPr>
          <w:lang w:val="ru-RU"/>
        </w:rPr>
        <w:tab/>
        <w:t>Метод, основанный на модели IRI-20</w:t>
      </w:r>
      <w:r w:rsidR="0022266F" w:rsidRPr="0022266F">
        <w:rPr>
          <w:lang w:val="ru-RU"/>
        </w:rPr>
        <w:t>12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>За стандартную месячную медианную ионосферу принимается Международная эталонная ионосфера IRI-2012, разработанная COSPAR-URSI. В условиях низкой и умеренной солнечной активности можно использовать численные методы, которые позволяют получить искомые значения для любого места, времени и выбранных высот вплоть до 2000 км. Если солнечная активность высока, то оценка содержания электронов с помощью модели IRI-2012 может оказаться затруднительной. Для многих целей с приемлемой точностью можно определить содержание электронов, умножив максимальное значение их плотности на эквивалентную толщину слоя воздуха, равную 300 км.</w:t>
      </w:r>
    </w:p>
    <w:p w:rsidR="00226B45" w:rsidRPr="00EC1810" w:rsidRDefault="00226B45" w:rsidP="00DE2167">
      <w:pPr>
        <w:pStyle w:val="Heading3"/>
        <w:spacing w:line="240" w:lineRule="exact"/>
        <w:rPr>
          <w:lang w:val="ru-RU"/>
        </w:rPr>
      </w:pPr>
      <w:r w:rsidRPr="00EC1810">
        <w:rPr>
          <w:lang w:val="ru-RU"/>
        </w:rPr>
        <w:t>3.1.2</w:t>
      </w:r>
      <w:r w:rsidRPr="00EC1810">
        <w:rPr>
          <w:lang w:val="ru-RU"/>
        </w:rPr>
        <w:tab/>
        <w:t>Метод, основанный на модели NeQuick2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>Распределение плотности электронов, определяемое данной моделью, представляется в виде непрерывной функции, которая также непрерывна для всех пространственных первых производных. Оно состоит из двух частей: нижней (ниже максимальной высоты слоя F2) и верхней (выше максимальной высоты слоя F2). Максимальная высота слоя F2 вычисляется из величины M(3000)F2 и отношения foF2/foE (см. Рекомендацию МСЭ-R P.1239).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>Нижняя часть описывается с помощью полуслоев Эпштейна для представления слоев E, F1 и F2. Верхняя часть слоя F опять же представляет собой полуслой Эпштейна, параметр толщины которого зависит от высоты. Модель NeQuick2 v.P531-1</w:t>
      </w:r>
      <w:r w:rsidR="00EF4709" w:rsidRPr="00EF4709">
        <w:rPr>
          <w:lang w:val="ru-RU"/>
        </w:rPr>
        <w:t>2</w:t>
      </w:r>
      <w:r w:rsidRPr="00EC1810">
        <w:rPr>
          <w:lang w:val="ru-RU"/>
        </w:rPr>
        <w:t xml:space="preserve"> позволяет определить величины плотности электронов и ПСЭ на произвольных трассах Земля-спутник и спутник-спутник.</w:t>
      </w:r>
    </w:p>
    <w:p w:rsidR="00226B45" w:rsidRPr="00EC1810" w:rsidRDefault="00226B45" w:rsidP="00DE2167">
      <w:pPr>
        <w:spacing w:line="240" w:lineRule="exact"/>
        <w:rPr>
          <w:lang w:val="ru-RU"/>
        </w:rPr>
      </w:pPr>
      <w:r w:rsidRPr="00EC1810">
        <w:rPr>
          <w:lang w:val="ru-RU"/>
        </w:rPr>
        <w:t xml:space="preserve">Компьютерная программа и связанные с ней файлы данных являются неотъемлемыми цифровыми продуктами настоящей Рекомендации, которые доступны в файле </w:t>
      </w:r>
      <w:hyperlink r:id="rId16" w:history="1">
        <w:r w:rsidRPr="00EC1810">
          <w:rPr>
            <w:rStyle w:val="Hyperlink"/>
            <w:lang w:val="ru-RU"/>
          </w:rPr>
          <w:t>R-REC-P.531-12-201309-I!!ZIP-E</w:t>
        </w:r>
      </w:hyperlink>
      <w:r w:rsidRPr="00EC1810">
        <w:rPr>
          <w:lang w:val="ru-RU"/>
        </w:rPr>
        <w:t>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lastRenderedPageBreak/>
        <w:t>3.2</w:t>
      </w:r>
      <w:r w:rsidRPr="00EC1810">
        <w:rPr>
          <w:lang w:val="ru-RU"/>
        </w:rPr>
        <w:tab/>
        <w:t>Фарадеевское вращение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При пересечении ионосферы плоскость поляризации линейно поляризованной волны постепенно поворачивается под влиянием геомагнитного поля и анизотропии плазмы. Величина фарадеевского вращения, θ, будет зависеть от частоты волны, напряженности магнитного поля и плотности электронов плазмы:</w:t>
      </w:r>
    </w:p>
    <w:p w:rsidR="00C90566" w:rsidRDefault="00C90566" w:rsidP="00C90566">
      <w:pPr>
        <w:pStyle w:val="Blanc"/>
      </w:pP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28"/>
          <w:lang w:val="ru-RU"/>
        </w:rPr>
        <w:object w:dxaOrig="2040" w:dyaOrig="639">
          <v:shape id="_x0000_i1026" type="#_x0000_t75" style="width:100.15pt;height:28.8pt" o:ole="">
            <v:imagedata r:id="rId17" o:title=""/>
          </v:shape>
          <o:OLEObject Type="Embed" ProgID="Equation.3" ShapeID="_x0000_i1026" DrawAspect="Content" ObjectID="_1470661994" r:id="rId18"/>
        </w:object>
      </w:r>
      <w:r w:rsidRPr="00EC1810">
        <w:rPr>
          <w:lang w:val="ru-RU"/>
        </w:rPr>
        <w:t>,</w:t>
      </w:r>
      <w:r w:rsidRPr="00EC1810">
        <w:rPr>
          <w:lang w:val="ru-RU"/>
        </w:rPr>
        <w:tab/>
        <w:t>(2)</w:t>
      </w:r>
    </w:p>
    <w:p w:rsidR="00C90566" w:rsidRDefault="00C90566" w:rsidP="00C90566">
      <w:pPr>
        <w:pStyle w:val="Blanc"/>
      </w:pP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где:</w:t>
      </w:r>
    </w:p>
    <w:p w:rsidR="00226B45" w:rsidRPr="00EC1810" w:rsidRDefault="00226B45" w:rsidP="00226B45">
      <w:pPr>
        <w:pStyle w:val="Equationlegend"/>
        <w:rPr>
          <w:lang w:val="ru-RU"/>
        </w:rPr>
      </w:pPr>
      <w:r w:rsidRPr="00EC1810">
        <w:rPr>
          <w:lang w:val="ru-RU"/>
        </w:rPr>
        <w:tab/>
        <w:t>θ:</w:t>
      </w:r>
      <w:r w:rsidRPr="00EC1810">
        <w:rPr>
          <w:lang w:val="ru-RU"/>
        </w:rPr>
        <w:tab/>
        <w:t>угол вращения (рад);</w:t>
      </w:r>
    </w:p>
    <w:p w:rsidR="00226B45" w:rsidRPr="00EC1810" w:rsidRDefault="00226B45" w:rsidP="00226B45">
      <w:pPr>
        <w:pStyle w:val="Equationlegend"/>
        <w:rPr>
          <w:lang w:val="ru-RU"/>
        </w:rPr>
      </w:pP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B</w:t>
      </w:r>
      <w:r w:rsidRPr="00EC1810">
        <w:rPr>
          <w:i/>
          <w:iCs/>
          <w:vertAlign w:val="subscript"/>
          <w:lang w:val="ru-RU"/>
        </w:rPr>
        <w:t>av</w:t>
      </w:r>
      <w:r w:rsidRPr="00EC1810">
        <w:rPr>
          <w:lang w:val="ru-RU"/>
        </w:rPr>
        <w:t>:</w:t>
      </w:r>
      <w:r w:rsidRPr="00EC1810">
        <w:rPr>
          <w:lang w:val="ru-RU"/>
        </w:rPr>
        <w:tab/>
        <w:t xml:space="preserve">средний уровень магнитного поля Земли (Wb </w:t>
      </w:r>
      <w:r w:rsidRPr="00EC1810">
        <w:rPr>
          <w:lang w:val="ru-RU"/>
        </w:rPr>
        <w:sym w:font="Symbol" w:char="F0D7"/>
      </w:r>
      <w:r w:rsidRPr="00EC1810">
        <w:rPr>
          <w:lang w:val="ru-RU"/>
        </w:rPr>
        <w:t xml:space="preserve"> m</w:t>
      </w:r>
      <w:r w:rsidRPr="00EC1810">
        <w:rPr>
          <w:vertAlign w:val="superscript"/>
          <w:lang w:val="ru-RU"/>
        </w:rPr>
        <w:t>–2</w:t>
      </w:r>
      <w:r w:rsidRPr="00EC1810">
        <w:rPr>
          <w:lang w:val="ru-RU"/>
        </w:rPr>
        <w:t xml:space="preserve"> или тесла);</w:t>
      </w:r>
    </w:p>
    <w:p w:rsidR="00226B45" w:rsidRPr="00EC1810" w:rsidRDefault="00226B45" w:rsidP="00226B45">
      <w:pPr>
        <w:pStyle w:val="Equationlegend"/>
        <w:rPr>
          <w:lang w:val="ru-RU"/>
        </w:rPr>
      </w:pPr>
      <w:r w:rsidRPr="00EC1810">
        <w:rPr>
          <w:lang w:val="ru-RU"/>
          <w:rPrChange w:id="4" w:author="POOL" w:date="2006-11-30T13:59:00Z">
            <w:rPr>
              <w:b/>
              <w:lang w:val="ru-RU"/>
            </w:rPr>
          </w:rPrChange>
        </w:rPr>
        <w:tab/>
      </w:r>
      <w:r w:rsidRPr="00EC1810">
        <w:rPr>
          <w:i/>
          <w:iCs/>
          <w:lang w:val="ru-RU"/>
        </w:rPr>
        <w:t>f</w:t>
      </w:r>
      <w:r w:rsidRPr="00EC1810">
        <w:rPr>
          <w:lang w:val="ru-RU"/>
        </w:rPr>
        <w:t>:</w:t>
      </w:r>
      <w:r w:rsidRPr="00EC1810">
        <w:rPr>
          <w:lang w:val="ru-RU"/>
          <w:rPrChange w:id="5" w:author="POOL" w:date="2006-11-30T13:59:00Z">
            <w:rPr>
              <w:b/>
              <w:lang w:val="ru-RU"/>
            </w:rPr>
          </w:rPrChange>
        </w:rPr>
        <w:tab/>
        <w:t>частота (ГГц)</w:t>
      </w:r>
      <w:r w:rsidRPr="00EC1810">
        <w:rPr>
          <w:lang w:val="ru-RU"/>
        </w:rPr>
        <w:t>;</w:t>
      </w:r>
    </w:p>
    <w:p w:rsidR="00226B45" w:rsidRPr="00EC1810" w:rsidRDefault="00226B45" w:rsidP="00226B45">
      <w:pPr>
        <w:pStyle w:val="Equationlegend"/>
        <w:rPr>
          <w:lang w:val="ru-RU"/>
        </w:rPr>
      </w:pPr>
      <w:r w:rsidRPr="00EC1810">
        <w:rPr>
          <w:lang w:val="ru-RU"/>
          <w:rPrChange w:id="6" w:author="POOL" w:date="2006-11-30T13:59:00Z">
            <w:rPr>
              <w:b/>
              <w:lang w:val="ru-RU"/>
            </w:rPr>
          </w:rPrChange>
        </w:rPr>
        <w:tab/>
      </w:r>
      <w:r w:rsidRPr="00EC1810">
        <w:rPr>
          <w:i/>
          <w:iCs/>
          <w:lang w:val="ru-RU"/>
        </w:rPr>
        <w:t>N</w:t>
      </w:r>
      <w:r w:rsidRPr="00EC1810">
        <w:rPr>
          <w:i/>
          <w:iCs/>
          <w:vertAlign w:val="subscript"/>
          <w:lang w:val="ru-RU"/>
        </w:rPr>
        <w:t>T</w:t>
      </w:r>
      <w:r w:rsidRPr="00EC1810">
        <w:rPr>
          <w:lang w:val="ru-RU"/>
        </w:rPr>
        <w:t>:</w:t>
      </w:r>
      <w:r w:rsidRPr="00EC1810">
        <w:rPr>
          <w:lang w:val="ru-RU"/>
          <w:rPrChange w:id="7" w:author="POOL" w:date="2006-11-30T13:59:00Z">
            <w:rPr>
              <w:b/>
              <w:lang w:val="ru-RU"/>
            </w:rPr>
          </w:rPrChange>
        </w:rPr>
        <w:tab/>
        <w:t>полное содержание электронов (ПСЭ) (электроны</w:t>
      </w:r>
      <w:r w:rsidRPr="00EC1810">
        <w:rPr>
          <w:lang w:val="ru-RU"/>
        </w:rPr>
        <w:t xml:space="preserve"> </w:t>
      </w:r>
      <w:r w:rsidRPr="00EC1810">
        <w:rPr>
          <w:lang w:val="ru-RU"/>
        </w:rPr>
        <w:sym w:font="Symbol" w:char="F0D7"/>
      </w:r>
      <w:r w:rsidRPr="00EC1810">
        <w:rPr>
          <w:lang w:val="ru-RU"/>
        </w:rPr>
        <w:t xml:space="preserve"> m</w:t>
      </w:r>
      <w:r w:rsidRPr="00EC1810">
        <w:rPr>
          <w:vertAlign w:val="superscript"/>
          <w:lang w:val="ru-RU"/>
        </w:rPr>
        <w:t>–2</w:t>
      </w:r>
      <w:r w:rsidRPr="00EC1810">
        <w:rPr>
          <w:lang w:val="ru-RU"/>
        </w:rPr>
        <w:t>)</w:t>
      </w:r>
      <w:r w:rsidRPr="00EC1810">
        <w:rPr>
          <w:lang w:val="ru-RU"/>
          <w:rPrChange w:id="8" w:author="POOL" w:date="2006-11-30T13:59:00Z">
            <w:rPr>
              <w:b/>
              <w:lang w:val="ru-RU"/>
            </w:rPr>
          </w:rPrChange>
        </w:rPr>
        <w:t>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Характерные значения θ показаны на рисунке 1.</w: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t>РИСУНОК 1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>Величина фарадеевского вращения в зависимости от ПСЭ и частоты</w:t>
      </w:r>
    </w:p>
    <w:p w:rsidR="00226B45" w:rsidRPr="00EC1810" w:rsidRDefault="00226B45" w:rsidP="00226B45">
      <w:pPr>
        <w:pStyle w:val="Figure"/>
        <w:rPr>
          <w:szCs w:val="22"/>
          <w:lang w:val="ru-RU"/>
        </w:rPr>
      </w:pPr>
      <w:r w:rsidRPr="00EC1810">
        <w:rPr>
          <w:lang w:val="ru-RU"/>
        </w:rPr>
        <w:object w:dxaOrig="12281" w:dyaOrig="7562">
          <v:shape id="_x0000_i1027" type="#_x0000_t75" style="width:380.65pt;height:3in" o:ole="">
            <v:imagedata r:id="rId19" o:title="" croptop="4722f"/>
          </v:shape>
          <o:OLEObject Type="Embed" ProgID="CorelDRAW.Graphic.14" ShapeID="_x0000_i1027" DrawAspect="Content" ObjectID="_1470661995" r:id="rId20"/>
        </w:objec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Таким образом, фарадеевское вращение обратно пропорционально квадрату частоты и прямо пропорционально интегральному произведению концентрации электронов и величины составляющей магнитного поля Земли вдоль трассы распространения. Его медианное значение на данной частоте имеет весьма регулярную прогнозируемую зависимость от времени суток, времени года и точки цикла солнечной активности. Следовательно, эта регулярная компонента фарадеевского вращения может быть компенсирована ручной подстройкой угла наклона поляризации антенны земной станции. Однако в течение небольших процентов времени могут возникать значительные отклонения от этого регулярного поведения в результате геомагнитных бурь и, в меньшей степени, перемещающихся крупномасштабных ионосферных возмущений. Эти отклонения нельзя предсказать заранее. Установлена связь быстрых и интенсивных флуктуаций углов фарадеевского вращения ОВЧ сигналов с соответствующими сильными и быстрыми мерцаниями амплитуды в пунктах, расположенных вблизи гребней экваториальной аномалии.</w:t>
      </w:r>
    </w:p>
    <w:p w:rsidR="00226B45" w:rsidRPr="00EC1810" w:rsidRDefault="00226B45" w:rsidP="00226B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EC1810">
        <w:rPr>
          <w:lang w:val="ru-RU"/>
        </w:rPr>
        <w:br w:type="page"/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lastRenderedPageBreak/>
        <w:t>Развязка по кросс-поляризации для направленных антенн, XPD (дБ), связана с углом фарадеевского вращения, θ, соотношением:</w:t>
      </w:r>
    </w:p>
    <w:p w:rsidR="00C90566" w:rsidRDefault="00C90566" w:rsidP="00C90566">
      <w:pPr>
        <w:pStyle w:val="Blanc"/>
      </w:pP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XPD</w:t>
      </w:r>
      <w:r w:rsidRPr="00EC1810">
        <w:rPr>
          <w:lang w:val="ru-RU"/>
        </w:rPr>
        <w:t xml:space="preserve"> = –20 log (tan θ).</w:t>
      </w:r>
      <w:r w:rsidRPr="00EC1810">
        <w:rPr>
          <w:lang w:val="ru-RU"/>
        </w:rPr>
        <w:tab/>
        <w:t>(3)</w:t>
      </w:r>
    </w:p>
    <w:p w:rsidR="00C90566" w:rsidRDefault="00C90566" w:rsidP="00C90566">
      <w:pPr>
        <w:pStyle w:val="Blanc"/>
      </w:pP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3.3</w:t>
      </w:r>
      <w:r w:rsidRPr="00EC1810">
        <w:rPr>
          <w:lang w:val="ru-RU"/>
        </w:rPr>
        <w:tab/>
        <w:t>Групповая задержка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Наличие заряженных частиц в ионосфере замедляет распространение радиосигналов вдоль трассы. Величина превышения времени распространения по сравнению со свободным пространством, обычно обозначаемая </w:t>
      </w:r>
      <w:r w:rsidRPr="00EC1810">
        <w:rPr>
          <w:i/>
          <w:iCs/>
          <w:lang w:val="ru-RU"/>
        </w:rPr>
        <w:t>t</w:t>
      </w:r>
      <w:r w:rsidRPr="00EC1810">
        <w:rPr>
          <w:lang w:val="ru-RU"/>
        </w:rPr>
        <w:t>, называется "групповой задержкой". Это очень важный фактор, который должен учитываться в системах ПСС. Аналогично, фаза опережается на ту же величину. Временная задержка вычисляется по формуле:</w:t>
      </w:r>
    </w:p>
    <w:p w:rsidR="00C90566" w:rsidRDefault="00C90566" w:rsidP="00C90566">
      <w:pPr>
        <w:pStyle w:val="Blanc"/>
      </w:pP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t</w:t>
      </w:r>
      <w:r w:rsidRPr="00EC1810">
        <w:rPr>
          <w:lang w:val="ru-RU"/>
        </w:rPr>
        <w:t xml:space="preserve"> = 1,345 </w:t>
      </w:r>
      <w:r w:rsidRPr="00EC1810">
        <w:rPr>
          <w:i/>
          <w:iCs/>
          <w:lang w:val="ru-RU"/>
        </w:rPr>
        <w:t>N</w:t>
      </w:r>
      <w:r w:rsidRPr="00EC1810">
        <w:rPr>
          <w:i/>
          <w:iCs/>
          <w:vertAlign w:val="subscript"/>
          <w:lang w:val="ru-RU"/>
        </w:rPr>
        <w:t>T</w:t>
      </w:r>
      <w:r w:rsidRPr="00EC1810">
        <w:rPr>
          <w:lang w:val="ru-RU"/>
        </w:rPr>
        <w:t> / </w:t>
      </w:r>
      <w:r w:rsidRPr="00EC1810">
        <w:rPr>
          <w:i/>
          <w:iCs/>
          <w:lang w:val="ru-RU"/>
        </w:rPr>
        <w:t>f</w:t>
      </w:r>
      <w:r w:rsidRPr="00EC1810">
        <w:rPr>
          <w:lang w:val="ru-RU"/>
        </w:rPr>
        <w:t xml:space="preserve"> 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 xml:space="preserve"> </w:t>
      </w:r>
      <w:r w:rsidRPr="00EC1810">
        <w:rPr>
          <w:lang w:val="ru-RU"/>
        </w:rPr>
        <w:sym w:font="Symbol" w:char="F0B4"/>
      </w:r>
      <w:r w:rsidRPr="00EC1810">
        <w:rPr>
          <w:lang w:val="ru-RU"/>
        </w:rPr>
        <w:t xml:space="preserve"> 10</w:t>
      </w:r>
      <w:r w:rsidRPr="00EC1810">
        <w:rPr>
          <w:vertAlign w:val="superscript"/>
          <w:lang w:val="ru-RU"/>
        </w:rPr>
        <w:t>–7</w:t>
      </w:r>
      <w:r w:rsidRPr="00EC1810">
        <w:rPr>
          <w:lang w:val="ru-RU"/>
        </w:rPr>
        <w:t>,</w:t>
      </w:r>
      <w:r w:rsidRPr="00EC1810">
        <w:rPr>
          <w:lang w:val="ru-RU"/>
        </w:rPr>
        <w:tab/>
        <w:t>(4)</w:t>
      </w:r>
    </w:p>
    <w:p w:rsidR="00C90566" w:rsidRDefault="00C90566" w:rsidP="00C90566">
      <w:pPr>
        <w:pStyle w:val="Blanc"/>
      </w:pP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где:</w:t>
      </w:r>
    </w:p>
    <w:p w:rsidR="00226B45" w:rsidRPr="00EC1810" w:rsidRDefault="00226B45" w:rsidP="00226B45">
      <w:pPr>
        <w:pStyle w:val="Equationlegend"/>
        <w:rPr>
          <w:lang w:val="ru-RU"/>
        </w:rPr>
      </w:pP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t</w:t>
      </w:r>
      <w:r w:rsidRPr="00EC1810">
        <w:rPr>
          <w:lang w:val="ru-RU"/>
        </w:rPr>
        <w:t> :</w:t>
      </w:r>
      <w:r w:rsidRPr="00EC1810">
        <w:rPr>
          <w:lang w:val="ru-RU"/>
        </w:rPr>
        <w:tab/>
        <w:t>временная задержка (с) по сравнению с распространением в вакууме;</w:t>
      </w:r>
    </w:p>
    <w:p w:rsidR="00226B45" w:rsidRPr="00EC1810" w:rsidRDefault="00226B45" w:rsidP="00226B45">
      <w:pPr>
        <w:pStyle w:val="Equationlegend"/>
        <w:rPr>
          <w:lang w:val="ru-RU"/>
        </w:rPr>
      </w:pP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f</w:t>
      </w:r>
      <w:r w:rsidRPr="00EC1810">
        <w:rPr>
          <w:lang w:val="ru-RU"/>
        </w:rPr>
        <w:t> :</w:t>
      </w:r>
      <w:r w:rsidRPr="00EC1810">
        <w:rPr>
          <w:lang w:val="ru-RU"/>
        </w:rPr>
        <w:tab/>
        <w:t>частота распространения (Гц);</w:t>
      </w:r>
    </w:p>
    <w:p w:rsidR="00226B45" w:rsidRPr="00EC1810" w:rsidRDefault="00226B45" w:rsidP="00226B45">
      <w:pPr>
        <w:pStyle w:val="Equationlegend"/>
        <w:rPr>
          <w:lang w:val="ru-RU"/>
        </w:rPr>
      </w:pP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N</w:t>
      </w:r>
      <w:r w:rsidRPr="00EC1810">
        <w:rPr>
          <w:i/>
          <w:iCs/>
          <w:vertAlign w:val="subscript"/>
          <w:lang w:val="ru-RU"/>
        </w:rPr>
        <w:t>T</w:t>
      </w:r>
      <w:r w:rsidRPr="00EC1810">
        <w:rPr>
          <w:lang w:val="ru-RU"/>
        </w:rPr>
        <w:t> :</w:t>
      </w:r>
      <w:r w:rsidRPr="00EC1810">
        <w:rPr>
          <w:lang w:val="ru-RU"/>
        </w:rPr>
        <w:tab/>
        <w:t>определяется вдоль наклонной трассы распространения.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Рисунок 2 представляет собой график временной задержки, </w:t>
      </w:r>
      <w:r w:rsidRPr="00EC1810">
        <w:rPr>
          <w:i/>
          <w:iCs/>
          <w:lang w:val="ru-RU"/>
        </w:rPr>
        <w:t>t</w:t>
      </w:r>
      <w:r w:rsidRPr="00EC1810">
        <w:rPr>
          <w:lang w:val="ru-RU"/>
        </w:rPr>
        <w:t>, в зависимости от частоты, </w:t>
      </w:r>
      <w:r w:rsidRPr="00EC1810">
        <w:rPr>
          <w:i/>
          <w:iCs/>
          <w:lang w:val="ru-RU"/>
        </w:rPr>
        <w:t>f</w:t>
      </w:r>
      <w:r w:rsidRPr="00EC1810">
        <w:rPr>
          <w:lang w:val="ru-RU"/>
        </w:rPr>
        <w:t>, для нескольких значений содержания электронов вдоль луча.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В полосе частот около 1600 МГц групповая задержка сигнала изменяется примерно от 0,5 до 500 нс для ПСЭ от 10</w:t>
      </w:r>
      <w:r w:rsidRPr="00EC1810">
        <w:rPr>
          <w:vertAlign w:val="superscript"/>
          <w:lang w:val="ru-RU"/>
        </w:rPr>
        <w:t>16</w:t>
      </w:r>
      <w:r w:rsidRPr="00EC1810">
        <w:rPr>
          <w:lang w:val="ru-RU"/>
        </w:rPr>
        <w:t xml:space="preserve"> до 10</w:t>
      </w:r>
      <w:r w:rsidRPr="00EC1810">
        <w:rPr>
          <w:vertAlign w:val="superscript"/>
          <w:lang w:val="ru-RU"/>
        </w:rPr>
        <w:t>19</w:t>
      </w:r>
      <w:r w:rsidRPr="00EC1810">
        <w:rPr>
          <w:lang w:val="ru-RU"/>
        </w:rPr>
        <w:t xml:space="preserve"> эл/м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>. На рисунке 3 представлен годовой процент таких часов дневного времени суток, для которых время задержки превышает 20 нс в период относительно высокой солнечной активности.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3.4</w:t>
      </w:r>
      <w:r w:rsidRPr="00EC1810">
        <w:rPr>
          <w:lang w:val="ru-RU"/>
        </w:rPr>
        <w:tab/>
        <w:t>Дисперсия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Если сигналы, проходящие через ионосферу, занимают значительную полосу частот, задержка распространения (являющаяся функцией частоты) приводит к дисперсии. Дифференциальная задержка в полосе пропорциональна интегральной плотности электронов вдоль трассы распространения луча. Для фиксированной ширины полосы относительная дисперсия обратно пропорциональна кубу частоты. Таким образом, в широкополосных системах передачи на ОВЧ и, возможно, на УВЧ этот эффект необходимо учитывать. Например, как показано на рисунке 4, при интегральной концентрации электронов порядка 5 </w:t>
      </w:r>
      <w:r w:rsidRPr="00EC1810">
        <w:rPr>
          <w:lang w:val="ru-RU"/>
        </w:rPr>
        <w:sym w:font="Symbol" w:char="F0B4"/>
      </w:r>
      <w:r w:rsidRPr="00EC1810">
        <w:rPr>
          <w:lang w:val="ru-RU"/>
        </w:rPr>
        <w:t> 10</w:t>
      </w:r>
      <w:r w:rsidRPr="00EC1810">
        <w:rPr>
          <w:vertAlign w:val="superscript"/>
          <w:lang w:val="ru-RU"/>
        </w:rPr>
        <w:t>17</w:t>
      </w:r>
      <w:r w:rsidRPr="00EC1810">
        <w:rPr>
          <w:lang w:val="ru-RU"/>
        </w:rPr>
        <w:t> эл/м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>, импульсный сигнал длительностью 1 мкс будет испытывать дифференциальную задержку 0,02 мкс на частоте 200 МГц, тогда как на частоте 600 МГц эта задержка составила бы только 0,00074 мкс (см. рисунок 4).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3.5</w:t>
      </w:r>
      <w:r w:rsidRPr="00EC1810">
        <w:rPr>
          <w:lang w:val="ru-RU"/>
        </w:rPr>
        <w:tab/>
        <w:t>Скорость изменения ПСЭ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Скорость изменения ПСЭ, наблюдаемая при нахождении спутника на орбите, частично обусловлена изменением направления траектории луча, а частично – изменениями самой ионосферы. В случае спутника, пересекающего на высоте 22 000 км авроральную зону, наблюдалась максимальная скорость изменения ПСЭ, равная 0,7 </w:t>
      </w:r>
      <w:r w:rsidRPr="00EC1810">
        <w:rPr>
          <w:lang w:val="ru-RU"/>
        </w:rPr>
        <w:sym w:font="Symbol" w:char="F0B4"/>
      </w:r>
      <w:r w:rsidRPr="00EC1810">
        <w:rPr>
          <w:lang w:val="ru-RU"/>
        </w:rPr>
        <w:t> 10</w:t>
      </w:r>
      <w:r w:rsidRPr="00EC1810">
        <w:rPr>
          <w:vertAlign w:val="superscript"/>
          <w:lang w:val="ru-RU"/>
        </w:rPr>
        <w:t>16</w:t>
      </w:r>
      <w:r w:rsidRPr="00EC1810">
        <w:rPr>
          <w:lang w:val="ru-RU"/>
        </w:rPr>
        <w:t xml:space="preserve"> эл/м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>/с. С точки зрения навигации такая скорость изменения соответствует наблюдаемой скорости порядка 0,11 м/с.</w: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2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 xml:space="preserve">Ионосферная временная задержка в зависимости от частоты </w:t>
      </w:r>
      <w:r w:rsidRPr="00EC1810">
        <w:rPr>
          <w:lang w:val="ru-RU"/>
        </w:rPr>
        <w:br/>
        <w:t>для различных значений содержания электронов</w:t>
      </w:r>
    </w:p>
    <w:p w:rsidR="00226B45" w:rsidRPr="00EC1810" w:rsidRDefault="00226B45" w:rsidP="00226B45">
      <w:pPr>
        <w:pStyle w:val="Figure"/>
        <w:rPr>
          <w:lang w:val="ru-RU"/>
        </w:rPr>
      </w:pPr>
      <w:r w:rsidRPr="00EC1810">
        <w:rPr>
          <w:lang w:val="ru-RU"/>
        </w:rPr>
        <w:object w:dxaOrig="12470" w:dyaOrig="12448">
          <v:shape id="_x0000_i1028" type="#_x0000_t75" style="width:395.7pt;height:395.7pt" o:ole="">
            <v:imagedata r:id="rId21" o:title=""/>
          </v:shape>
          <o:OLEObject Type="Embed" ProgID="CorelDRAW.Graphic.14" ShapeID="_x0000_i1028" DrawAspect="Content" ObjectID="_1470661996" r:id="rId22"/>
        </w:objec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3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szCs w:val="18"/>
          <w:lang w:val="ru-RU"/>
        </w:rPr>
        <w:t xml:space="preserve">Контуры процентных долей </w:t>
      </w:r>
      <w:r w:rsidRPr="00EC1810">
        <w:rPr>
          <w:lang w:val="ru-RU"/>
        </w:rPr>
        <w:t xml:space="preserve">среднегодового числа часов дневного времени, когда время задержки </w:t>
      </w:r>
      <w:r w:rsidRPr="00EC1810">
        <w:rPr>
          <w:lang w:val="ru-RU"/>
        </w:rPr>
        <w:br/>
        <w:t>при вертикальном падении на частоте 1,6 ГГц превышает 20 нс (число солнечных пятен = 140)</w:t>
      </w:r>
    </w:p>
    <w:p w:rsidR="00226B45" w:rsidRPr="00EC1810" w:rsidRDefault="00226B45" w:rsidP="00226B45">
      <w:pPr>
        <w:pStyle w:val="Figure"/>
        <w:rPr>
          <w:lang w:val="ru-RU"/>
        </w:rPr>
      </w:pPr>
      <w:r w:rsidRPr="00EC1810">
        <w:rPr>
          <w:lang w:val="ru-RU"/>
        </w:rPr>
        <w:object w:dxaOrig="14492" w:dyaOrig="7943">
          <v:shape id="_x0000_i1029" type="#_x0000_t75" style="width:453.3pt;height:244.8pt" o:ole="">
            <v:imagedata r:id="rId23" o:title=""/>
          </v:shape>
          <o:OLEObject Type="Embed" ProgID="CorelDRAW.Graphic.14" ShapeID="_x0000_i1029" DrawAspect="Content" ObjectID="_1470661997" r:id="rId24"/>
        </w:objec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t>РИСУНОК 4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 xml:space="preserve">Различие временных задержек между нижней и верхней частотами спектра импульса </w:t>
      </w:r>
      <w:r w:rsidRPr="00EC1810">
        <w:rPr>
          <w:lang w:val="ru-RU"/>
        </w:rPr>
        <w:br/>
        <w:t xml:space="preserve">заданной ширины </w:t>
      </w:r>
      <w:r w:rsidRPr="00EC1810">
        <w:rPr>
          <w:rFonts w:ascii="Symbol" w:hAnsi="Symbol"/>
          <w:lang w:val="ru-RU"/>
        </w:rPr>
        <w:sym w:font="Symbol" w:char="F074"/>
      </w:r>
      <w:r w:rsidRPr="00EC1810">
        <w:rPr>
          <w:lang w:val="ru-RU"/>
        </w:rPr>
        <w:t>, передаваемого через ионосферу в одном направлении</w:t>
      </w:r>
    </w:p>
    <w:p w:rsidR="00226B45" w:rsidRPr="00EC1810" w:rsidRDefault="00226B45" w:rsidP="00226B45">
      <w:pPr>
        <w:pStyle w:val="Figure"/>
        <w:rPr>
          <w:szCs w:val="22"/>
          <w:lang w:val="ru-RU"/>
        </w:rPr>
      </w:pPr>
      <w:r w:rsidRPr="00EC1810">
        <w:rPr>
          <w:lang w:val="ru-RU"/>
        </w:rPr>
        <w:object w:dxaOrig="12272" w:dyaOrig="9515">
          <v:shape id="_x0000_i1030" type="#_x0000_t75" style="width:388.8pt;height:302.4pt" o:ole="">
            <v:imagedata r:id="rId25" o:title=""/>
          </v:shape>
          <o:OLEObject Type="Embed" ProgID="CorelDRAW.Graphic.14" ShapeID="_x0000_i1030" DrawAspect="Content" ObjectID="_1470661998" r:id="rId26"/>
        </w:object>
      </w:r>
    </w:p>
    <w:p w:rsidR="00226B45" w:rsidRPr="00EC1810" w:rsidRDefault="00226B45" w:rsidP="00226B45">
      <w:pPr>
        <w:pStyle w:val="Heading1"/>
        <w:rPr>
          <w:lang w:val="ru-RU"/>
        </w:rPr>
      </w:pPr>
      <w:r w:rsidRPr="00EC1810">
        <w:rPr>
          <w:lang w:val="ru-RU"/>
        </w:rPr>
        <w:lastRenderedPageBreak/>
        <w:t>4</w:t>
      </w:r>
      <w:r w:rsidRPr="00EC1810">
        <w:rPr>
          <w:lang w:val="ru-RU"/>
        </w:rPr>
        <w:tab/>
        <w:t>Основные искажения, обусловленные неоднородностями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4.1</w:t>
      </w:r>
      <w:r w:rsidRPr="00EC1810">
        <w:rPr>
          <w:lang w:val="ru-RU"/>
        </w:rPr>
        <w:tab/>
        <w:t>Мерцания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Одно из наиболее сильных нарушений связи на трансионосферных трассах на частотах ниже 3 ГГц обусловлено ионосферными мерцаниями. Явления ионосферных мерцаний могут изредка наблюдаться на частотах до 10 ГГц. Мерцания создаются вследствие флуктуаций показателя преломления, вызываемых неоднородностями в среде. В приемнике сигнал демонстрирует быстрые флуктуации амплитуды и фазы, а также изменения его свойств временной когерентности. В основном за счет механизмов рассеяния вперед и дифракции маломасштабные неоднородности плотности ионизации вызывают мерцания, при которых постоянный сигнал на входе приемника уступает место сигналу, амплитуда, фаза и видимый угол прихода которого подвержены флуктуациям. Различные аспекты явления мерцания по-разному воздействуют на характеристики системы, в зависимости от вида модуляции системы. Наиболее широко употребимым параметром, используемым для оценки интенсивности флуктуаций, является индекс мерцаний,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>, который определяется из уравнения (5):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40"/>
          <w:lang w:val="ru-RU"/>
        </w:rPr>
        <w:object w:dxaOrig="1980" w:dyaOrig="999">
          <v:shape id="_x0000_i1031" type="#_x0000_t75" style="width:100.15pt;height:50.1pt" o:ole="">
            <v:imagedata r:id="rId27" o:title=""/>
          </v:shape>
          <o:OLEObject Type="Embed" ProgID="Equation.3" ShapeID="_x0000_i1031" DrawAspect="Content" ObjectID="_1470661999" r:id="rId28"/>
        </w:object>
      </w:r>
      <w:r w:rsidRPr="00EC1810">
        <w:rPr>
          <w:lang w:val="ru-RU"/>
        </w:rPr>
        <w:t>,</w:t>
      </w:r>
      <w:r w:rsidRPr="00EC1810">
        <w:rPr>
          <w:lang w:val="ru-RU"/>
        </w:rPr>
        <w:tab/>
        <w:t>(5)</w:t>
      </w:r>
    </w:p>
    <w:p w:rsidR="00226B45" w:rsidRPr="00EC1810" w:rsidRDefault="00226B45" w:rsidP="0081783D">
      <w:pPr>
        <w:rPr>
          <w:lang w:val="ru-RU"/>
        </w:rPr>
      </w:pPr>
      <w:r w:rsidRPr="00EC1810">
        <w:rPr>
          <w:lang w:val="ru-RU"/>
        </w:rPr>
        <w:t xml:space="preserve">где 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 xml:space="preserve"> – интенсивность сигнала (пропорциональная квадрату амплитуды сигнала), а </w:t>
      </w:r>
      <w:r w:rsidR="0081783D">
        <w:rPr>
          <w:rFonts w:ascii="Symbol" w:hAnsi="Symbol"/>
        </w:rPr>
        <w:t></w:t>
      </w:r>
      <w:r w:rsidR="0081783D" w:rsidRPr="002A5617">
        <w:rPr>
          <w:rFonts w:hint="eastAsia"/>
          <w:lang w:val="en-US"/>
        </w:rPr>
        <w:t> </w:t>
      </w:r>
      <w:r w:rsidR="0081783D">
        <w:rPr>
          <w:rFonts w:ascii="Symbol" w:hAnsi="Symbol"/>
        </w:rPr>
        <w:t></w:t>
      </w:r>
      <w:r w:rsidRPr="00EC1810">
        <w:rPr>
          <w:lang w:val="ru-RU"/>
        </w:rPr>
        <w:t xml:space="preserve"> означает среднее по ансамблю.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Индекс мерцаний,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связан с полным размахом флуктуаций интенсивности сигнала. Точное соотношение зависит от характера распределения интенсивности. Наилучшей аппроксимацией распределения интенсивности является распределение Накагами, которое действует в широком диапазоне значений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>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Для удобства интенсивность мерцаний можно подразделить на три режима: режим низкой интенсивности, режим средней интенсивности и режим высокой интенсивности. Значения низкой интенсивности соответствуют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&lt; 0,3, значения средней интенсивности находятся в пределах от 0,3 до 0,6, и в случае высокой интенсивности </w:t>
      </w:r>
      <w:r w:rsidRPr="00EC1810">
        <w:rPr>
          <w:lang w:val="ru-RU"/>
        </w:rPr>
        <w:sym w:font="Symbol" w:char="F02D"/>
      </w:r>
      <w:r w:rsidRPr="00EC1810">
        <w:rPr>
          <w:lang w:val="ru-RU"/>
        </w:rPr>
        <w:t xml:space="preserve">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&gt; 0,6.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В случае режимов низкой и средней интенсивности зависимость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от частоты носит характер </w:t>
      </w:r>
      <w:r w:rsidRPr="00EC1810">
        <w:rPr>
          <w:i/>
          <w:lang w:val="ru-RU"/>
        </w:rPr>
        <w:t>f</w:t>
      </w:r>
      <w:r w:rsidRPr="00EC1810">
        <w:rPr>
          <w:sz w:val="12"/>
          <w:lang w:val="ru-RU"/>
        </w:rPr>
        <w:t> </w:t>
      </w:r>
      <w:r w:rsidRPr="00EC1810">
        <w:rPr>
          <w:vertAlign w:val="superscript"/>
          <w:lang w:val="ru-RU"/>
        </w:rPr>
        <w:t>–</w:t>
      </w:r>
      <w:r w:rsidRPr="00EC1810">
        <w:rPr>
          <w:rFonts w:ascii="Symbol" w:hAnsi="Symbol"/>
          <w:vertAlign w:val="superscript"/>
          <w:lang w:val="ru-RU"/>
        </w:rPr>
        <w:t></w:t>
      </w:r>
      <w:r w:rsidRPr="00EC1810">
        <w:rPr>
          <w:lang w:val="ru-RU"/>
        </w:rPr>
        <w:t xml:space="preserve">, где </w:t>
      </w:r>
      <w:r w:rsidRPr="00EC1810">
        <w:rPr>
          <w:lang w:val="ru-RU"/>
        </w:rPr>
        <w:sym w:font="Symbol" w:char="F075"/>
      </w:r>
      <w:r w:rsidRPr="00EC1810">
        <w:rPr>
          <w:lang w:val="ru-RU"/>
        </w:rPr>
        <w:t xml:space="preserve"> составляет 1,5 в бóльшей части наблюдений на многих частотах. Кроме того, в режимах низкой интенсивности амплитуда соответствует логарифмически нормальному распределению.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В режиме высокой интенсивности наблюдается уменьшение коэффициента </w:t>
      </w:r>
      <w:r w:rsidRPr="00EC1810">
        <w:rPr>
          <w:lang w:val="ru-RU"/>
        </w:rPr>
        <w:sym w:font="Symbol" w:char="F075"/>
      </w:r>
      <w:r w:rsidRPr="00EC1810">
        <w:rPr>
          <w:lang w:val="ru-RU"/>
        </w:rPr>
        <w:t xml:space="preserve">. Это происходит ввиду насыщения мерцаний под влиянием сильного многократного рассеяния. Поскольку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приближается к 1,0, распределение интенсивности сигнала лучше описывается рэлеевским распределением. В отдельных случаях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может превышать 1, достигая значений порядка 1,5. На рисунке 5 показан пример зависимости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от частоты в диапазонах ОВЧ и УВЧ для трех авроральных станций при низких, средних и высоких интенсивностях мерцаний.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Фазовые мерцания подчиняются гауссовскому распределению с нулевым средним. Стандартное отклонение используется для описания фазовых мерцаний (σ</w:t>
      </w:r>
      <w:r w:rsidRPr="00EC1810">
        <w:rPr>
          <w:vertAlign w:val="subscript"/>
          <w:lang w:val="ru-RU"/>
        </w:rPr>
        <w:t>φ</w:t>
      </w:r>
      <w:r w:rsidRPr="00EC1810">
        <w:rPr>
          <w:lang w:val="ru-RU"/>
        </w:rPr>
        <w:t xml:space="preserve">). В режимах низкой и средней интенсивности большинство наблюдений, проведенных в экваториальных районах, указывает, что фазовые мерцания и мерцания интенсивности являются строго коррелированными;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и σ</w:t>
      </w:r>
      <w:r w:rsidRPr="00EC1810">
        <w:rPr>
          <w:vertAlign w:val="subscript"/>
          <w:lang w:val="ru-RU"/>
        </w:rPr>
        <w:t>φ</w:t>
      </w:r>
      <w:r w:rsidRPr="00EC1810">
        <w:rPr>
          <w:lang w:val="ru-RU"/>
        </w:rPr>
        <w:t xml:space="preserve"> (при выражении в радианах) имеют аналогичные значения.</w:t>
      </w:r>
    </w:p>
    <w:p w:rsidR="00C90566" w:rsidRDefault="00C9056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5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 xml:space="preserve">Индексы мерцаний, измеренные в Кируна (a), Лулеа (b) и Коккола (c) на частоте 150 МГц </w:t>
      </w:r>
      <w:r w:rsidRPr="00EC1810">
        <w:rPr>
          <w:lang w:val="ru-RU"/>
        </w:rPr>
        <w:br/>
        <w:t xml:space="preserve">(пунктирная линия) и 400 МГц (штриховая линия), которые зарегистрированы </w:t>
      </w:r>
      <w:r w:rsidRPr="00EC1810">
        <w:rPr>
          <w:lang w:val="ru-RU"/>
        </w:rPr>
        <w:br/>
        <w:t xml:space="preserve">со спутников Tsykada на низкой полярной околоземной орбите </w:t>
      </w:r>
      <w:r w:rsidRPr="00EC1810">
        <w:rPr>
          <w:lang w:val="ru-RU"/>
        </w:rPr>
        <w:br/>
        <w:t>в период нарушенных условий 30 октября 2003 года</w:t>
      </w:r>
    </w:p>
    <w:p w:rsidR="00226B45" w:rsidRPr="00EC1810" w:rsidRDefault="00226B45" w:rsidP="00226B45">
      <w:pPr>
        <w:pStyle w:val="Figure"/>
        <w:rPr>
          <w:szCs w:val="22"/>
          <w:lang w:val="ru-RU"/>
        </w:rPr>
      </w:pPr>
      <w:r w:rsidRPr="00EC1810">
        <w:rPr>
          <w:lang w:val="ru-RU"/>
        </w:rPr>
        <w:object w:dxaOrig="11489" w:dyaOrig="9300">
          <v:shape id="_x0000_i1032" type="#_x0000_t75" style="width:5in;height:295.5pt" o:ole="">
            <v:imagedata r:id="rId29" o:title=""/>
          </v:shape>
          <o:OLEObject Type="Embed" ProgID="CorelDRAW.Graphic.14" ShapeID="_x0000_i1032" DrawAspect="Content" ObjectID="_1470662000" r:id="rId30"/>
        </w:objec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В таблице 1 приведены соотношения между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и полным размахом флуктуаций </w:t>
      </w:r>
      <w:r w:rsidRPr="00EC1810">
        <w:rPr>
          <w:i/>
          <w:iCs/>
          <w:lang w:val="ru-RU"/>
        </w:rPr>
        <w:t>P</w:t>
      </w:r>
      <w:r w:rsidRPr="00EC1810">
        <w:rPr>
          <w:i/>
          <w:iCs/>
          <w:vertAlign w:val="subscript"/>
          <w:lang w:val="ru-RU"/>
        </w:rPr>
        <w:t>fluc</w:t>
      </w:r>
      <w:r w:rsidRPr="00EC1810">
        <w:rPr>
          <w:lang w:val="ru-RU"/>
        </w:rPr>
        <w:t> (дБ), полученные эмпирическим путем. Это соотношение можно аппроксимировать с помощью выражения: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i/>
          <w:iCs/>
          <w:lang w:val="ru-RU"/>
        </w:rPr>
        <w:t>P</w:t>
      </w:r>
      <w:r w:rsidRPr="00EC1810">
        <w:rPr>
          <w:i/>
          <w:iCs/>
          <w:vertAlign w:val="subscript"/>
          <w:lang w:val="ru-RU"/>
        </w:rPr>
        <w:t>fluc</w:t>
      </w:r>
      <w:r w:rsidRPr="00EC1810">
        <w:rPr>
          <w:lang w:val="ru-RU"/>
        </w:rPr>
        <w:t xml:space="preserve"> = 27,5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vertAlign w:val="superscript"/>
          <w:lang w:val="ru-RU"/>
        </w:rPr>
        <w:t>1,26</w:t>
      </w:r>
      <w:r w:rsidRPr="00EC1810">
        <w:rPr>
          <w:lang w:val="ru-RU"/>
        </w:rPr>
        <w:t>.</w:t>
      </w:r>
      <w:r w:rsidRPr="00EC1810">
        <w:rPr>
          <w:lang w:val="ru-RU"/>
        </w:rPr>
        <w:tab/>
        <w:t>(6)</w:t>
      </w:r>
    </w:p>
    <w:p w:rsidR="00226B45" w:rsidRPr="00EC1810" w:rsidRDefault="00226B45" w:rsidP="00226B45">
      <w:pPr>
        <w:pStyle w:val="TableNo"/>
        <w:rPr>
          <w:lang w:val="ru-RU"/>
        </w:rPr>
      </w:pPr>
      <w:r w:rsidRPr="00EC1810">
        <w:rPr>
          <w:lang w:val="ru-RU"/>
        </w:rPr>
        <w:t>ТАБЛИЦА 1</w:t>
      </w:r>
    </w:p>
    <w:p w:rsidR="00226B45" w:rsidRPr="00EC1810" w:rsidRDefault="00226B45" w:rsidP="00226B45">
      <w:pPr>
        <w:pStyle w:val="Tabletitle"/>
        <w:rPr>
          <w:lang w:val="ru-RU"/>
        </w:rPr>
      </w:pPr>
      <w:r w:rsidRPr="00EC1810">
        <w:rPr>
          <w:lang w:val="ru-RU"/>
        </w:rPr>
        <w:t xml:space="preserve">Таблица соотношений между индексами мерцаний, </w:t>
      </w:r>
      <w:r w:rsidRPr="00EC1810">
        <w:rPr>
          <w:lang w:val="ru-RU"/>
        </w:rPr>
        <w:br/>
        <w:t>полученная эмпирическим путем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52"/>
        <w:gridCol w:w="2552"/>
      </w:tblGrid>
      <w:tr w:rsidR="00226B45" w:rsidRPr="00EC1810" w:rsidTr="00226B45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i/>
                <w:iCs/>
                <w:lang w:val="ru-RU"/>
              </w:rPr>
              <w:t>S</w:t>
            </w:r>
            <w:r w:rsidRPr="00EC1810">
              <w:rPr>
                <w:vertAlign w:val="subscript"/>
                <w:lang w:val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i/>
                <w:iCs/>
                <w:lang w:val="ru-RU"/>
              </w:rPr>
              <w:t>P</w:t>
            </w:r>
            <w:r w:rsidRPr="00EC1810">
              <w:rPr>
                <w:i/>
                <w:iCs/>
                <w:vertAlign w:val="subscript"/>
                <w:lang w:val="ru-RU"/>
              </w:rPr>
              <w:t>fluc</w:t>
            </w:r>
            <w:r w:rsidRPr="00EC1810">
              <w:rPr>
                <w:lang w:val="ru-RU"/>
              </w:rPr>
              <w:br/>
              <w:t>(дБ)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  <w:tcBorders>
              <w:top w:val="single" w:sz="4" w:space="0" w:color="auto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1,5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0,2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3,5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0,3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6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0,4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8,5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0,5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11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0,6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14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0,7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17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0,8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20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0,9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24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2552" w:type="dxa"/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1,0</w:t>
            </w:r>
          </w:p>
        </w:tc>
        <w:tc>
          <w:tcPr>
            <w:tcW w:w="2552" w:type="dxa"/>
          </w:tcPr>
          <w:p w:rsidR="00226B45" w:rsidRPr="00EC1810" w:rsidRDefault="00226B45" w:rsidP="00AB226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27,5</w:t>
            </w:r>
          </w:p>
        </w:tc>
      </w:tr>
    </w:tbl>
    <w:p w:rsidR="00C90566" w:rsidRDefault="00C90566" w:rsidP="00C90566">
      <w:pPr>
        <w:pStyle w:val="Tablefin"/>
      </w:pP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lastRenderedPageBreak/>
        <w:t>4.2</w:t>
      </w:r>
      <w:r w:rsidRPr="00EC1810">
        <w:rPr>
          <w:lang w:val="ru-RU"/>
        </w:rPr>
        <w:tab/>
        <w:t>Зависимость мерцаний от географического местоположения, равноденствия и солнечной активности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С точки зрения географии существует две области интенсивных мерцаний, одна – на высоких широтах, а вторая – с центром в пределах ± 20° от магнитного экватора, как показано на рисунке 6. Сильные мерцания в обеих этих двух областях наблюдались на частотах вплоть до гигагерцевого диапазона, тогда как на средних широтах мерцания возникают в исключительных случаях, например во время геомагнитных бурь. В экваториальной области отмечается явно выраженный максимум интенсивности мерцаний в ночное время суток, что также показано на рисунках 6 и 7. В области экватора в гигагерцевом диапазоне наблюдался пик активности мерцаний в период весеннего равноденствия и высокая активность – в период осеннего равноденствия.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Мерцания обычно начинаются после захода солнца и могут длиться от 30 мин. до нескольких часов. Для станций в области экватора в годы максимальной солнечной активности ионосферные мерцания возникают почти каждый вечер после захода солнца, причем полный размах флуктуаций уровня сигнала на 4 ГГц превышает 10 дБ.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4.3</w:t>
      </w:r>
      <w:r w:rsidRPr="00EC1810">
        <w:rPr>
          <w:lang w:val="ru-RU"/>
        </w:rPr>
        <w:tab/>
        <w:t>Модель ионосферных мерцаний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Для прогнозирования интенсивности ионосферных мерцаний на трассах Земля-космос рекомендуется использовать Глобальную модель ионосферных мерцаний (GISM</w:t>
      </w:r>
      <w:r w:rsidRPr="00EC1810">
        <w:rPr>
          <w:cs/>
          <w:lang w:val="ru-RU"/>
        </w:rPr>
        <w:t>‎</w:t>
      </w:r>
      <w:r w:rsidRPr="00EC1810">
        <w:rPr>
          <w:lang w:val="ru-RU"/>
        </w:rPr>
        <w:t xml:space="preserve">). Модель GISM позволяет прогнозировать индекс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>, глубину амплитудных замираний, а также среднеквадратичные значения фазовых и угловых отклонений, обусловленных мерцаниями, в функции мест размещения, даты, времени и рабочей частоты спутниковых и наземных станций. Эта модель основана на методе многофазового экрана. Основные внутренние параметры модели установлены по умолчанию следующим образом: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 xml:space="preserve">наклон спектра интенсивности, </w:t>
      </w:r>
      <w:r w:rsidRPr="00EC1810">
        <w:rPr>
          <w:i/>
          <w:iCs/>
          <w:lang w:val="ru-RU"/>
        </w:rPr>
        <w:t>p</w:t>
      </w:r>
      <w:r w:rsidRPr="00EC1810">
        <w:rPr>
          <w:lang w:val="ru-RU"/>
        </w:rPr>
        <w:t xml:space="preserve"> = 3;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 xml:space="preserve">средний размер неоднородностей, </w:t>
      </w:r>
      <w:r w:rsidRPr="00EC1810">
        <w:rPr>
          <w:i/>
          <w:iCs/>
          <w:lang w:val="ru-RU"/>
        </w:rPr>
        <w:t>L</w:t>
      </w:r>
      <w:r w:rsidRPr="00EC1810">
        <w:rPr>
          <w:vertAlign w:val="subscript"/>
          <w:lang w:val="ru-RU"/>
        </w:rPr>
        <w:t>0</w:t>
      </w:r>
      <w:r w:rsidRPr="00EC1810">
        <w:rPr>
          <w:lang w:val="ru-RU"/>
        </w:rPr>
        <w:t xml:space="preserve"> = 500 км;</w:t>
      </w:r>
    </w:p>
    <w:p w:rsidR="00226B45" w:rsidRPr="00EC1810" w:rsidRDefault="00226B45" w:rsidP="00226B45">
      <w:pPr>
        <w:pStyle w:val="enumlev1"/>
        <w:rPr>
          <w:lang w:val="ru-RU"/>
        </w:rPr>
      </w:pPr>
      <w:r w:rsidRPr="00EC1810">
        <w:rPr>
          <w:lang w:val="ru-RU"/>
        </w:rPr>
        <w:sym w:font="Symbol" w:char="F02D"/>
      </w:r>
      <w:r w:rsidRPr="00EC1810">
        <w:rPr>
          <w:lang w:val="ru-RU"/>
        </w:rPr>
        <w:tab/>
        <w:t>стандартное отклонение флуктуаций электронной плотности, σ</w:t>
      </w:r>
      <w:r w:rsidRPr="00EC1810">
        <w:rPr>
          <w:i/>
          <w:iCs/>
          <w:vertAlign w:val="subscript"/>
          <w:lang w:val="ru-RU"/>
        </w:rPr>
        <w:t>Ne</w:t>
      </w:r>
      <w:r w:rsidRPr="00EC1810">
        <w:rPr>
          <w:lang w:val="ru-RU"/>
        </w:rPr>
        <w:t xml:space="preserve"> = 0,2.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В подпрограмме, использующей ионосферную модель NeQuick</w:t>
      </w:r>
      <w:r w:rsidRPr="00EC1810">
        <w:rPr>
          <w:cs/>
          <w:lang w:val="ru-RU"/>
        </w:rPr>
        <w:t>‎</w:t>
      </w:r>
      <w:r w:rsidRPr="00EC1810">
        <w:rPr>
          <w:lang w:val="ru-RU"/>
        </w:rPr>
        <w:t xml:space="preserve">, принимается во внимание отклонение лучей и вычисляются характеристики фоновой ионосферы. Исходный код и программа модели GISM являются неотъемлемыми цифровыми продуктами настоящей Рекомендации, которые доступны в файле </w:t>
      </w:r>
      <w:hyperlink r:id="rId31" w:history="1">
        <w:r w:rsidRPr="00EC1810">
          <w:rPr>
            <w:rStyle w:val="Hyperlink"/>
            <w:lang w:val="ru-RU"/>
          </w:rPr>
          <w:t>R12-SG03-C-0037!R1-P2!ZIP-E</w:t>
        </w:r>
      </w:hyperlink>
      <w:r w:rsidRPr="00EC1810">
        <w:rPr>
          <w:lang w:val="ru-RU"/>
        </w:rPr>
        <w:t>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4.4</w:t>
      </w:r>
      <w:r w:rsidRPr="00EC1810">
        <w:rPr>
          <w:lang w:val="ru-RU"/>
        </w:rPr>
        <w:tab/>
        <w:t>Статистика мгновенных значений и свойства спектра</w:t>
      </w:r>
    </w:p>
    <w:p w:rsidR="00226B45" w:rsidRPr="00EC1810" w:rsidRDefault="00226B45" w:rsidP="00226B45">
      <w:pPr>
        <w:pStyle w:val="Heading3"/>
        <w:rPr>
          <w:lang w:val="ru-RU"/>
        </w:rPr>
      </w:pPr>
      <w:r w:rsidRPr="00EC1810">
        <w:rPr>
          <w:lang w:val="ru-RU"/>
        </w:rPr>
        <w:t>4.4.1</w:t>
      </w:r>
      <w:r w:rsidRPr="00EC1810">
        <w:rPr>
          <w:lang w:val="ru-RU"/>
        </w:rPr>
        <w:tab/>
        <w:t>Статистика мгновенных значений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Считается, что при исследовании ионосферных мерцаний функция плотности вероятности Накагами адекватно описывает статистику мгновенных изменений амплитуды. Функция плотности интенсивности сигнала определяется как: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28"/>
          <w:lang w:val="ru-RU"/>
        </w:rPr>
        <w:object w:dxaOrig="2560" w:dyaOrig="680">
          <v:shape id="_x0000_i1033" type="#_x0000_t75" style="width:129.6pt;height:36.3pt" o:ole="">
            <v:imagedata r:id="rId32" o:title=""/>
          </v:shape>
          <o:OLEObject Type="Embed" ProgID="Equation.3" ShapeID="_x0000_i1033" DrawAspect="Content" ObjectID="_1470662001" r:id="rId33"/>
        </w:object>
      </w:r>
      <w:r w:rsidRPr="00EC1810">
        <w:rPr>
          <w:lang w:val="ru-RU"/>
        </w:rPr>
        <w:t>.</w:t>
      </w:r>
      <w:r w:rsidRPr="00EC1810">
        <w:rPr>
          <w:lang w:val="ru-RU"/>
        </w:rPr>
        <w:tab/>
        <w:t>(7)</w: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6</w:t>
      </w:r>
    </w:p>
    <w:p w:rsidR="00226B45" w:rsidRDefault="00226B45" w:rsidP="00226B45">
      <w:pPr>
        <w:pStyle w:val="Figuretitle"/>
        <w:rPr>
          <w:rFonts w:asciiTheme="minorHAnsi" w:hAnsiTheme="minorHAnsi"/>
          <w:lang w:val="ru-RU"/>
        </w:rPr>
      </w:pPr>
      <w:r w:rsidRPr="00EC1810">
        <w:rPr>
          <w:lang w:val="ru-RU"/>
        </w:rPr>
        <w:t xml:space="preserve">Глубина замирания ионосферных мерцаний (пропорциональна плотности штриховки на рисунке) </w:t>
      </w:r>
      <w:r w:rsidRPr="00EC1810">
        <w:rPr>
          <w:lang w:val="ru-RU"/>
        </w:rPr>
        <w:br/>
        <w:t>в диапазоне 1,5 ГГц в годы максимума и минимума солнечной активности</w:t>
      </w:r>
    </w:p>
    <w:p w:rsidR="008321E0" w:rsidRPr="008321E0" w:rsidRDefault="00A55C86" w:rsidP="008321E0">
      <w:pPr>
        <w:pStyle w:val="Figure"/>
        <w:rPr>
          <w:lang w:val="ru-RU"/>
        </w:rPr>
      </w:pPr>
      <w:r>
        <w:object w:dxaOrig="5957" w:dyaOrig="2961">
          <v:shape id="_x0000_i1059" type="#_x0000_t75" style="width:377.55pt;height:186.55pt" o:ole="">
            <v:imagedata r:id="rId34" o:title=""/>
          </v:shape>
          <o:OLEObject Type="Embed" ProgID="CorelDRAW.Graphic.14" ShapeID="_x0000_i1059" DrawAspect="Content" ObjectID="_1470662002" r:id="rId35"/>
        </w:objec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t>РИСУНОК 7</w:t>
      </w:r>
      <w:bookmarkStart w:id="9" w:name="_GoBack"/>
      <w:bookmarkEnd w:id="9"/>
    </w:p>
    <w:p w:rsidR="00226B45" w:rsidRPr="00EC1810" w:rsidRDefault="00226B45" w:rsidP="00226B45">
      <w:pPr>
        <w:pStyle w:val="Figuretitle"/>
        <w:rPr>
          <w:rFonts w:asciiTheme="minorHAnsi" w:hAnsiTheme="minorHAnsi"/>
          <w:lang w:val="ru-RU"/>
        </w:rPr>
      </w:pPr>
      <w:r w:rsidRPr="00EC1810">
        <w:rPr>
          <w:lang w:val="ru-RU"/>
        </w:rPr>
        <w:t xml:space="preserve">Распределение случаев мерцания за один год в Кайенне в период с июня 2006 года по июль 2007 года; </w:t>
      </w:r>
      <w:r w:rsidR="00692AE1">
        <w:rPr>
          <w:rFonts w:asciiTheme="minorHAnsi" w:hAnsiTheme="minorHAnsi"/>
          <w:lang w:val="ru-RU"/>
        </w:rPr>
        <w:br/>
      </w:r>
      <w:r w:rsidRPr="00EC1810">
        <w:rPr>
          <w:lang w:val="ru-RU"/>
        </w:rPr>
        <w:t xml:space="preserve">уровень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низкий (вершина); средний (середина); высокий (низ) для углов места &gt;20°</w:t>
      </w:r>
    </w:p>
    <w:p w:rsidR="00226B45" w:rsidRPr="00EC1810" w:rsidRDefault="00226B45" w:rsidP="00226B45">
      <w:pPr>
        <w:pStyle w:val="Figure"/>
        <w:rPr>
          <w:szCs w:val="22"/>
          <w:lang w:val="ru-RU"/>
        </w:rPr>
      </w:pPr>
      <w:r w:rsidRPr="00EC1810">
        <w:rPr>
          <w:lang w:val="ru-RU"/>
        </w:rPr>
        <w:object w:dxaOrig="14616" w:dyaOrig="5980">
          <v:shape id="_x0000_i1035" type="#_x0000_t75" style="width:439.5pt;height:179.7pt" o:ole="">
            <v:imagedata r:id="rId36" o:title=""/>
          </v:shape>
          <o:OLEObject Type="Embed" ProgID="CorelDRAW.Graphic.14" ShapeID="_x0000_i1035" DrawAspect="Content" ObjectID="_1470662003" r:id="rId37"/>
        </w:objec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где "</w:t>
      </w:r>
      <w:r w:rsidRPr="00EC1810">
        <w:rPr>
          <w:i/>
          <w:iCs/>
          <w:lang w:val="ru-RU"/>
        </w:rPr>
        <w:t>m</w:t>
      </w:r>
      <w:r w:rsidRPr="00EC1810">
        <w:rPr>
          <w:lang w:val="ru-RU"/>
        </w:rPr>
        <w:t xml:space="preserve">-коэффициент" Накагами связан с индексом мерцаний,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>, соотношением: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18"/>
          <w:lang w:val="ru-RU"/>
        </w:rPr>
        <w:object w:dxaOrig="880" w:dyaOrig="460">
          <v:shape id="_x0000_i1036" type="#_x0000_t75" style="width:43.85pt;height:21.9pt" o:ole="">
            <v:imagedata r:id="rId38" o:title=""/>
          </v:shape>
          <o:OLEObject Type="Embed" ProgID="Equation.3" ShapeID="_x0000_i1036" DrawAspect="Content" ObjectID="_1470662004" r:id="rId39"/>
        </w:object>
      </w:r>
      <w:r w:rsidRPr="00EC1810">
        <w:rPr>
          <w:lang w:val="ru-RU"/>
        </w:rPr>
        <w:t>.</w:t>
      </w:r>
      <w:r w:rsidRPr="00EC1810">
        <w:rPr>
          <w:lang w:val="ru-RU"/>
        </w:rPr>
        <w:tab/>
        <w:t>(8)</w:t>
      </w:r>
    </w:p>
    <w:p w:rsidR="00C90566" w:rsidRDefault="00C9056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lastRenderedPageBreak/>
        <w:t xml:space="preserve">В уравнении (7) средний уровень интенсивности, 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>, нормирован и равен 1,0. Вычисление доли времени, в течение которой сигнал превышает или находится ниже заданного порогового значения, упрощается благодаря тому факту, что функция распределения, соответствующая функции плотности Накагами, имеет замкнутую форму и выражается как: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32"/>
          <w:lang w:val="ru-RU"/>
        </w:rPr>
        <w:object w:dxaOrig="2600" w:dyaOrig="740">
          <v:shape id="_x0000_i1037" type="#_x0000_t75" style="width:129.6pt;height:36.3pt" o:ole="">
            <v:imagedata r:id="rId40" o:title=""/>
          </v:shape>
          <o:OLEObject Type="Embed" ProgID="Equation.3" ShapeID="_x0000_i1037" DrawAspect="Content" ObjectID="_1470662005" r:id="rId41"/>
        </w:object>
      </w:r>
      <w:r w:rsidRPr="00EC1810">
        <w:rPr>
          <w:lang w:val="ru-RU"/>
        </w:rPr>
        <w:t>,</w:t>
      </w:r>
      <w:r w:rsidRPr="00EC1810">
        <w:rPr>
          <w:lang w:val="ru-RU"/>
        </w:rPr>
        <w:tab/>
        <w:t>(9)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где Г(</w:t>
      </w:r>
      <w:r w:rsidRPr="00EC1810">
        <w:rPr>
          <w:i/>
          <w:iCs/>
          <w:lang w:val="ru-RU"/>
        </w:rPr>
        <w:t>m</w:t>
      </w:r>
      <w:r w:rsidRPr="00EC1810">
        <w:rPr>
          <w:lang w:val="ru-RU"/>
        </w:rPr>
        <w:t xml:space="preserve">, </w:t>
      </w:r>
      <w:r w:rsidRPr="00EC1810">
        <w:rPr>
          <w:i/>
          <w:iCs/>
          <w:lang w:val="ru-RU"/>
        </w:rPr>
        <w:t>mI</w:t>
      </w:r>
      <w:r w:rsidRPr="00EC1810">
        <w:rPr>
          <w:lang w:val="ru-RU"/>
        </w:rPr>
        <w:t> ) и Г(</w:t>
      </w:r>
      <w:r w:rsidRPr="00EC1810">
        <w:rPr>
          <w:i/>
          <w:iCs/>
          <w:lang w:val="ru-RU"/>
        </w:rPr>
        <w:t>m</w:t>
      </w:r>
      <w:r w:rsidRPr="00EC1810">
        <w:rPr>
          <w:lang w:val="ru-RU"/>
        </w:rPr>
        <w:t xml:space="preserve">) – неполная гамма-функция и гамма-функция, соответственно. С помощью уравнения (9) можно вычислить долю времени, когда сигнал превышает или находится ниже заданного порога в процессе того или иного ионосферного явления. Например, доля времени, в течение которого сигнал остается меньше среднего значения на величину более </w:t>
      </w:r>
      <w:r w:rsidRPr="00EC1810">
        <w:rPr>
          <w:i/>
          <w:iCs/>
          <w:lang w:val="ru-RU"/>
        </w:rPr>
        <w:t>X</w:t>
      </w:r>
      <w:r w:rsidRPr="00EC1810">
        <w:rPr>
          <w:lang w:val="ru-RU"/>
        </w:rPr>
        <w:t xml:space="preserve"> дБ, равна </w:t>
      </w:r>
      <w:r w:rsidRPr="00EC1810">
        <w:rPr>
          <w:i/>
          <w:iCs/>
          <w:lang w:val="ru-RU"/>
        </w:rPr>
        <w:t>P</w:t>
      </w:r>
      <w:r w:rsidRPr="00EC1810">
        <w:rPr>
          <w:lang w:val="ru-RU"/>
        </w:rPr>
        <w:t> (10</w:t>
      </w:r>
      <w:r w:rsidRPr="00EC1810">
        <w:rPr>
          <w:vertAlign w:val="superscript"/>
          <w:lang w:val="ru-RU"/>
        </w:rPr>
        <w:t>−</w:t>
      </w:r>
      <w:r w:rsidRPr="00EC1810">
        <w:rPr>
          <w:i/>
          <w:iCs/>
          <w:vertAlign w:val="superscript"/>
          <w:lang w:val="ru-RU"/>
        </w:rPr>
        <w:t>Х</w:t>
      </w:r>
      <w:r w:rsidRPr="00EC1810">
        <w:rPr>
          <w:vertAlign w:val="superscript"/>
          <w:lang w:val="ru-RU"/>
        </w:rPr>
        <w:t>/10</w:t>
      </w:r>
      <w:r w:rsidRPr="00EC1810">
        <w:rPr>
          <w:lang w:val="ru-RU"/>
        </w:rPr>
        <w:t xml:space="preserve">), а доля времени, когда сигнал более чем на </w:t>
      </w:r>
      <w:r w:rsidRPr="00EC1810">
        <w:rPr>
          <w:i/>
          <w:iCs/>
          <w:lang w:val="ru-RU"/>
        </w:rPr>
        <w:t>Y</w:t>
      </w:r>
      <w:r w:rsidRPr="00EC1810">
        <w:rPr>
          <w:lang w:val="ru-RU"/>
        </w:rPr>
        <w:t> дБ превышает среднее значение, определяется как 1 – </w:t>
      </w:r>
      <w:r w:rsidRPr="00EC1810">
        <w:rPr>
          <w:i/>
          <w:iCs/>
          <w:lang w:val="ru-RU"/>
        </w:rPr>
        <w:t>P</w:t>
      </w:r>
      <w:r w:rsidRPr="00EC1810">
        <w:rPr>
          <w:lang w:val="ru-RU"/>
        </w:rPr>
        <w:t>(10</w:t>
      </w:r>
      <w:r w:rsidRPr="00EC1810">
        <w:rPr>
          <w:i/>
          <w:iCs/>
          <w:vertAlign w:val="superscript"/>
          <w:lang w:val="ru-RU"/>
        </w:rPr>
        <w:t>Y</w:t>
      </w:r>
      <w:r w:rsidRPr="00EC1810">
        <w:rPr>
          <w:vertAlign w:val="superscript"/>
          <w:lang w:val="ru-RU"/>
        </w:rPr>
        <w:t>/10</w:t>
      </w:r>
      <w:r w:rsidRPr="00EC1810">
        <w:rPr>
          <w:lang w:val="ru-RU"/>
        </w:rPr>
        <w:t>).</w:t>
      </w:r>
    </w:p>
    <w:p w:rsidR="00226B45" w:rsidRPr="00EC1810" w:rsidRDefault="00226B45" w:rsidP="00226B45">
      <w:pPr>
        <w:pStyle w:val="Heading3"/>
        <w:rPr>
          <w:lang w:val="ru-RU"/>
        </w:rPr>
      </w:pPr>
      <w:r w:rsidRPr="00EC1810">
        <w:rPr>
          <w:lang w:val="ru-RU"/>
        </w:rPr>
        <w:t>4.4.2</w:t>
      </w:r>
      <w:r w:rsidRPr="00EC1810">
        <w:rPr>
          <w:lang w:val="ru-RU"/>
        </w:rPr>
        <w:tab/>
        <w:t>Поведение спектра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В плане временных характеристик частота замирания ионосферных мерцаний составляет примерно от 0,1 до 1 Гц. По данным различных наблюдений, в пространственном и временном энергетических спектрах можно увидеть множество участков с разными наклонами от </w:t>
      </w:r>
      <w:r w:rsidRPr="00EC1810">
        <w:rPr>
          <w:i/>
          <w:iCs/>
          <w:lang w:val="ru-RU"/>
        </w:rPr>
        <w:t>f</w:t>
      </w:r>
      <w:r w:rsidRPr="00F33577">
        <w:rPr>
          <w:vertAlign w:val="superscript"/>
          <w:lang w:val="ru-RU"/>
        </w:rPr>
        <w:t> </w:t>
      </w:r>
      <w:r w:rsidRPr="00EC1810">
        <w:rPr>
          <w:vertAlign w:val="superscript"/>
          <w:lang w:val="ru-RU"/>
        </w:rPr>
        <w:t>–1</w:t>
      </w:r>
      <w:r w:rsidRPr="00EC1810">
        <w:rPr>
          <w:lang w:val="ru-RU"/>
        </w:rPr>
        <w:t xml:space="preserve"> до </w:t>
      </w:r>
      <w:r w:rsidRPr="00EC1810">
        <w:rPr>
          <w:i/>
          <w:iCs/>
          <w:lang w:val="ru-RU"/>
        </w:rPr>
        <w:t>f</w:t>
      </w:r>
      <w:r w:rsidRPr="00F33577">
        <w:rPr>
          <w:vertAlign w:val="superscript"/>
          <w:lang w:val="ru-RU"/>
        </w:rPr>
        <w:t> </w:t>
      </w:r>
      <w:r w:rsidRPr="00EC1810">
        <w:rPr>
          <w:vertAlign w:val="superscript"/>
          <w:lang w:val="ru-RU"/>
        </w:rPr>
        <w:t>–6</w:t>
      </w:r>
      <w:r w:rsidRPr="00EC1810">
        <w:rPr>
          <w:lang w:val="ru-RU"/>
        </w:rPr>
        <w:t xml:space="preserve">. Характерное поведение спектра показан на рисунке 8. Применительно к системам, если нет данных прямых измерений, рекомендуется использовать участок с наклоном </w:t>
      </w:r>
      <w:r w:rsidRPr="00EC1810">
        <w:rPr>
          <w:i/>
          <w:iCs/>
          <w:lang w:val="ru-RU"/>
        </w:rPr>
        <w:t>f</w:t>
      </w:r>
      <w:r w:rsidRPr="00F33577">
        <w:rPr>
          <w:vertAlign w:val="superscript"/>
          <w:lang w:val="ru-RU"/>
        </w:rPr>
        <w:t> </w:t>
      </w:r>
      <w:r w:rsidRPr="00EC1810">
        <w:rPr>
          <w:vertAlign w:val="superscript"/>
          <w:lang w:val="ru-RU"/>
        </w:rPr>
        <w:t>–3</w:t>
      </w:r>
      <w:r w:rsidRPr="00EC1810">
        <w:rPr>
          <w:lang w:val="ru-RU"/>
        </w:rPr>
        <w:t>. Это значение соответствует низкой и средней интенсивности мерцаний.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Как показано на рисунке 9, частоты спада амплитудных и фазовых мерцаний являются различными. Фазовые мерцания обладают более выраженными низкочастотными составляющими, чем амплитудные мерцания.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4.5</w:t>
      </w:r>
      <w:r w:rsidRPr="00EC1810">
        <w:rPr>
          <w:lang w:val="ru-RU"/>
        </w:rPr>
        <w:tab/>
        <w:t>Геометрические факторы</w:t>
      </w:r>
    </w:p>
    <w:p w:rsidR="00226B45" w:rsidRPr="00EC1810" w:rsidRDefault="00226B45" w:rsidP="00226B45">
      <w:pPr>
        <w:pStyle w:val="Heading3"/>
        <w:rPr>
          <w:lang w:val="ru-RU"/>
        </w:rPr>
      </w:pPr>
      <w:r w:rsidRPr="00EC1810">
        <w:rPr>
          <w:lang w:val="ru-RU"/>
        </w:rPr>
        <w:t>4.5.1</w:t>
      </w:r>
      <w:r w:rsidRPr="00EC1810">
        <w:rPr>
          <w:lang w:val="ru-RU"/>
        </w:rPr>
        <w:tab/>
        <w:t>Зависимость от зенитного угла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В большинстве моделей предполагается, что индекс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 xml:space="preserve"> пропорционален секансу зенитного угла</w:t>
      </w:r>
      <w:r w:rsidRPr="00EC1810">
        <w:rPr>
          <w:szCs w:val="22"/>
          <w:lang w:val="ru-RU"/>
        </w:rPr>
        <w:t xml:space="preserve"> </w:t>
      </w:r>
      <w:r w:rsidRPr="00EC1810">
        <w:rPr>
          <w:lang w:val="ru-RU"/>
        </w:rPr>
        <w:t xml:space="preserve">трассы, 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 xml:space="preserve">. Считается, что такая зависимость справедлива при значениях угла 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 xml:space="preserve"> ≈ 70° для низких и средних уровней мерцаний). При более высоких значениях зенитного угла следует пользоваться степенными функциями sec 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 xml:space="preserve"> с показателем степени, меняющимся в диапазоне от 1/2 до 1.</w:t>
      </w:r>
    </w:p>
    <w:p w:rsidR="00226B45" w:rsidRPr="00EC1810" w:rsidRDefault="00226B45" w:rsidP="00226B45">
      <w:pPr>
        <w:pStyle w:val="Heading3"/>
        <w:rPr>
          <w:lang w:val="ru-RU"/>
        </w:rPr>
      </w:pPr>
      <w:r w:rsidRPr="00EC1810">
        <w:rPr>
          <w:lang w:val="ru-RU"/>
        </w:rPr>
        <w:t>4.5.2</w:t>
      </w:r>
      <w:r w:rsidRPr="00EC1810">
        <w:rPr>
          <w:lang w:val="ru-RU"/>
        </w:rPr>
        <w:tab/>
        <w:t>Зависимость от времени года и долготы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Возникновение мерцаний и величина индекса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 зависят от долготы, а также от времени года и могут быть описаны углом </w:t>
      </w:r>
      <w:r w:rsidRPr="00EC1810">
        <w:rPr>
          <w:lang w:val="ru-RU"/>
        </w:rPr>
        <w:sym w:font="Symbol" w:char="F062"/>
      </w:r>
      <w:r w:rsidRPr="00EC1810">
        <w:rPr>
          <w:lang w:val="ru-RU"/>
        </w:rPr>
        <w:t xml:space="preserve"> в качестве параметра, как показано на рисунке 9b. </w:t>
      </w:r>
      <w:r w:rsidRPr="00EC1810">
        <w:rPr>
          <w:lang w:val="ru-RU"/>
        </w:rPr>
        <w:sym w:font="Symbol" w:char="F062"/>
      </w:r>
      <w:r w:rsidRPr="00EC1810">
        <w:rPr>
          <w:lang w:val="ru-RU"/>
        </w:rPr>
        <w:t xml:space="preserve"> – это угол между границей захода солнца и местным магнитным меридианом с вершиной в точке пересечения этого меридиана с силовой линией магнитного поля, пересекающей линию прямой видимости на высоте неоднородности. Весовая функция зависимости от времени года/долготы имеет вид:</w:t>
      </w:r>
    </w:p>
    <w:p w:rsidR="00226B45" w:rsidRPr="00EC1810" w:rsidRDefault="00226B45" w:rsidP="00DC3274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="00DC3274" w:rsidRPr="00EC1810">
        <w:rPr>
          <w:position w:val="-26"/>
          <w:lang w:val="ru-RU"/>
        </w:rPr>
        <w:object w:dxaOrig="1500" w:dyaOrig="639">
          <v:shape id="_x0000_i1038" type="#_x0000_t75" style="width:83.9pt;height:33.2pt" o:ole="">
            <v:imagedata r:id="rId42" o:title=""/>
          </v:shape>
          <o:OLEObject Type="Embed" ProgID="Equation.3" ShapeID="_x0000_i1038" DrawAspect="Content" ObjectID="_1470662006" r:id="rId43"/>
        </w:object>
      </w:r>
      <w:r w:rsidRPr="00EC1810">
        <w:rPr>
          <w:lang w:val="ru-RU"/>
        </w:rPr>
        <w:t>,</w:t>
      </w:r>
      <w:r w:rsidRPr="00EC1810">
        <w:rPr>
          <w:lang w:val="ru-RU"/>
        </w:rPr>
        <w:tab/>
        <w:t>(10)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где </w:t>
      </w:r>
      <w:r w:rsidRPr="00EC1810">
        <w:rPr>
          <w:i/>
          <w:iCs/>
          <w:lang w:val="ru-RU"/>
        </w:rPr>
        <w:t>W</w:t>
      </w:r>
      <w:r w:rsidRPr="00EC1810">
        <w:rPr>
          <w:lang w:val="ru-RU"/>
        </w:rPr>
        <w:t xml:space="preserve"> – весовой коэффициент, зависящий от местоположения и календарного дня года. Например, используя данные, полученные в Тангуа, Гонконге и на островах Кваджалейн, весовые коэффициенты можно получить с помощью кривых, представленных на рисунке 10.</w: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8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 xml:space="preserve">Спектральная функция плотности для геостационарного спутника </w:t>
      </w:r>
      <w:r w:rsidRPr="00EC1810">
        <w:rPr>
          <w:lang w:val="ru-RU"/>
        </w:rPr>
        <w:br/>
        <w:t>(Intelsat-IV) на частоте 4 ГГц</w:t>
      </w:r>
    </w:p>
    <w:p w:rsidR="00226B45" w:rsidRPr="00EC1810" w:rsidRDefault="00A60C8C" w:rsidP="00226B45">
      <w:pPr>
        <w:pStyle w:val="Figure"/>
        <w:rPr>
          <w:b/>
          <w:szCs w:val="18"/>
          <w:lang w:val="ru-RU"/>
        </w:rPr>
      </w:pPr>
      <w:r w:rsidRPr="00EC1810">
        <w:rPr>
          <w:lang w:val="ru-RU"/>
        </w:rPr>
        <w:object w:dxaOrig="13906" w:dyaOrig="19646">
          <v:shape id="_x0000_i1039" type="#_x0000_t75" style="width:409.45pt;height:538.45pt" o:ole="">
            <v:imagedata r:id="rId44" o:title="" croptop="4791f" cropleft="-748f"/>
          </v:shape>
          <o:OLEObject Type="Embed" ProgID="CorelDRAW.Graphic.14" ShapeID="_x0000_i1039" DrawAspect="Content" ObjectID="_1470662007" r:id="rId45"/>
        </w:objec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9</w:t>
      </w:r>
    </w:p>
    <w:p w:rsidR="00226B45" w:rsidRPr="003E26F6" w:rsidRDefault="00226B45" w:rsidP="00226B45">
      <w:pPr>
        <w:pStyle w:val="Figuretitle"/>
        <w:rPr>
          <w:rFonts w:asciiTheme="minorHAnsi" w:hAnsiTheme="minorHAnsi"/>
          <w:lang w:val="ru-RU"/>
        </w:rPr>
      </w:pPr>
      <w:r w:rsidRPr="00EC1810">
        <w:rPr>
          <w:lang w:val="ru-RU"/>
        </w:rPr>
        <w:t>Характерный спектр интенсивности и фазы</w:t>
      </w:r>
    </w:p>
    <w:p w:rsidR="00226B45" w:rsidRPr="00EC1810" w:rsidRDefault="00226B45" w:rsidP="00226B45">
      <w:pPr>
        <w:pStyle w:val="Figure"/>
        <w:rPr>
          <w:lang w:val="ru-RU"/>
        </w:rPr>
      </w:pPr>
      <w:r w:rsidRPr="00EC1810">
        <w:rPr>
          <w:lang w:val="ru-RU"/>
        </w:rPr>
        <w:object w:dxaOrig="11701" w:dyaOrig="8719">
          <v:shape id="_x0000_i1040" type="#_x0000_t75" style="width:367.5pt;height:273.6pt" o:ole="">
            <v:imagedata r:id="rId46" o:title=""/>
          </v:shape>
          <o:OLEObject Type="Embed" ProgID="CorelDRAW.Graphic.14" ShapeID="_x0000_i1040" DrawAspect="Content" ObjectID="_1470662008" r:id="rId47"/>
        </w:objec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t>РИСУНОК 9</w:t>
      </w:r>
      <w:r w:rsidRPr="00EC1810">
        <w:rPr>
          <w:caps w:val="0"/>
          <w:lang w:val="ru-RU"/>
        </w:rPr>
        <w:t>а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>Пересечение трассы распространения с силовой линией магнитного поля на высоте района F</w:t>
      </w:r>
    </w:p>
    <w:p w:rsidR="00226B45" w:rsidRPr="00EC1810" w:rsidRDefault="00226B45" w:rsidP="00226B45">
      <w:pPr>
        <w:pStyle w:val="Figure"/>
        <w:rPr>
          <w:szCs w:val="18"/>
          <w:lang w:val="ru-RU"/>
        </w:rPr>
      </w:pPr>
      <w:r w:rsidRPr="00EC1810">
        <w:rPr>
          <w:lang w:val="ru-RU"/>
        </w:rPr>
        <w:object w:dxaOrig="12284" w:dyaOrig="6632">
          <v:shape id="_x0000_i1041" type="#_x0000_t75" style="width:375.05pt;height:201.6pt" o:ole="">
            <v:imagedata r:id="rId48" o:title=""/>
          </v:shape>
          <o:OLEObject Type="Embed" ProgID="CorelDRAW.Graphic.14" ShapeID="_x0000_i1041" DrawAspect="Content" ObjectID="_1470662009" r:id="rId49"/>
        </w:objec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9</w:t>
      </w:r>
      <w:r w:rsidRPr="00EC1810">
        <w:rPr>
          <w:caps w:val="0"/>
          <w:lang w:val="ru-RU"/>
        </w:rPr>
        <w:t>b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 xml:space="preserve">Угол между местным магнитным меридианом в точке пересечения </w:t>
      </w:r>
      <w:r w:rsidRPr="00EC1810">
        <w:rPr>
          <w:lang w:val="ru-RU"/>
        </w:rPr>
        <w:br/>
        <w:t xml:space="preserve">с силовой линией магнитного поля, показанной на рисунке 9а, </w:t>
      </w:r>
      <w:r w:rsidRPr="00EC1810">
        <w:rPr>
          <w:lang w:val="ru-RU"/>
        </w:rPr>
        <w:br/>
        <w:t>и границей захода солнца</w:t>
      </w:r>
    </w:p>
    <w:p w:rsidR="00226B45" w:rsidRPr="00EC1810" w:rsidRDefault="00226B45" w:rsidP="00226B45">
      <w:pPr>
        <w:pStyle w:val="Figure"/>
        <w:rPr>
          <w:lang w:val="ru-RU"/>
        </w:rPr>
      </w:pPr>
      <w:r w:rsidRPr="00EC1810">
        <w:rPr>
          <w:lang w:val="ru-RU"/>
        </w:rPr>
        <w:object w:dxaOrig="8469" w:dyaOrig="6782">
          <v:shape id="_x0000_i1042" type="#_x0000_t75" style="width:266.1pt;height:209.1pt" o:ole="">
            <v:imagedata r:id="rId50" o:title=""/>
          </v:shape>
          <o:OLEObject Type="Embed" ProgID="CorelDRAW.Graphic.14" ShapeID="_x0000_i1042" DrawAspect="Content" ObjectID="_1470662010" r:id="rId51"/>
        </w:object>
      </w:r>
    </w:p>
    <w:p w:rsidR="00226B45" w:rsidRPr="00EC1810" w:rsidRDefault="00226B45" w:rsidP="00226B45">
      <w:pPr>
        <w:pStyle w:val="FigureNo"/>
        <w:rPr>
          <w:b/>
          <w:lang w:val="ru-RU"/>
        </w:rPr>
      </w:pPr>
      <w:r w:rsidRPr="00EC1810">
        <w:rPr>
          <w:lang w:val="ru-RU"/>
        </w:rPr>
        <w:t>РИСУНОК 10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>Сезонные весовые функции для станций, расположенных</w:t>
      </w:r>
      <w:r w:rsidRPr="00EC1810">
        <w:rPr>
          <w:lang w:val="ru-RU"/>
        </w:rPr>
        <w:br/>
        <w:t>в различных секторах долготы</w:t>
      </w:r>
    </w:p>
    <w:p w:rsidR="00226B45" w:rsidRPr="00EC1810" w:rsidRDefault="001F6DF3" w:rsidP="00226B45">
      <w:pPr>
        <w:pStyle w:val="Figure"/>
        <w:rPr>
          <w:szCs w:val="22"/>
          <w:lang w:val="ru-RU"/>
        </w:rPr>
      </w:pPr>
      <w:r w:rsidRPr="00EC1810">
        <w:rPr>
          <w:lang w:val="ru-RU"/>
        </w:rPr>
        <w:object w:dxaOrig="11638" w:dyaOrig="10440">
          <v:shape id="_x0000_i1043" type="#_x0000_t75" style="width:341.85pt;height:312.4pt" o:ole="">
            <v:imagedata r:id="rId52" o:title=""/>
          </v:shape>
          <o:OLEObject Type="Embed" ProgID="CorelDRAW.Graphic.14" ShapeID="_x0000_i1043" DrawAspect="Content" ObjectID="_1470662011" r:id="rId53"/>
        </w:object>
      </w:r>
    </w:p>
    <w:p w:rsidR="00226B45" w:rsidRPr="00EC1810" w:rsidRDefault="00226B45" w:rsidP="00226B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EC1810">
        <w:rPr>
          <w:lang w:val="ru-RU"/>
        </w:rPr>
        <w:br w:type="page"/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lastRenderedPageBreak/>
        <w:t>4.6</w:t>
      </w:r>
      <w:r w:rsidRPr="00EC1810">
        <w:rPr>
          <w:lang w:val="ru-RU"/>
        </w:rPr>
        <w:tab/>
        <w:t>Совокупные статистические данные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При проектировании спутниковых систем радиосвязи и оценке ситуации с совместным использованием частот инженерам связи приходится не только учитывать ухудшение работы систем и появление помех из-за описанных явлений, но и принимать во внимание совокупную долгосрочную статистику возникновения явлений. Для систем связи, в состав которых входит геостационарный спутник и которые представляют собой радиосистемы простейшей конфигурации, для оценки и масштабирования статистических данных возникновения аномальных явлений рекомендуется использовать рисунки 11 и 12. Указанное число солнечных пятен представляет собой среднее значение за 12 месяцев.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Долгосрочное кумулятивное распределение </w:t>
      </w:r>
      <w:r w:rsidRPr="00EC1810">
        <w:rPr>
          <w:i/>
          <w:iCs/>
          <w:lang w:val="ru-RU"/>
        </w:rPr>
        <w:t>P</w:t>
      </w:r>
      <w:r w:rsidRPr="00EC1810">
        <w:rPr>
          <w:lang w:val="ru-RU"/>
        </w:rPr>
        <w:t>(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>) уровня сигнала относительно его среднего значения может быть получено исходя из долгосрочных кумулятивных статистических данных, F(</w:t>
      </w:r>
      <w:r w:rsidRPr="00EC1810">
        <w:rPr>
          <w:lang w:val="ru-RU"/>
        </w:rPr>
        <w:fldChar w:fldCharType="begin"/>
      </w:r>
      <w:r w:rsidRPr="00EC1810">
        <w:rPr>
          <w:lang w:val="ru-RU"/>
        </w:rPr>
        <w:instrText>symbol 120 \f "Symbol" \s 12</w:instrText>
      </w:r>
      <w:r w:rsidRPr="00EC1810">
        <w:rPr>
          <w:lang w:val="ru-RU"/>
        </w:rPr>
        <w:fldChar w:fldCharType="end"/>
      </w:r>
      <w:r w:rsidRPr="00EC1810">
        <w:rPr>
          <w:lang w:val="ru-RU"/>
        </w:rPr>
        <w:t xml:space="preserve">), размаха флуктуаций, </w:t>
      </w:r>
      <w:r w:rsidRPr="00EC1810">
        <w:rPr>
          <w:lang w:val="ru-RU"/>
        </w:rPr>
        <w:fldChar w:fldCharType="begin"/>
      </w:r>
      <w:r w:rsidRPr="00EC1810">
        <w:rPr>
          <w:lang w:val="ru-RU"/>
        </w:rPr>
        <w:instrText>symbol 120 \f "Symbol" \s 12</w:instrText>
      </w:r>
      <w:r w:rsidRPr="00EC1810">
        <w:rPr>
          <w:lang w:val="ru-RU"/>
        </w:rPr>
        <w:fldChar w:fldCharType="end"/>
      </w:r>
      <w:r w:rsidRPr="00EC1810">
        <w:rPr>
          <w:lang w:val="ru-RU"/>
        </w:rPr>
        <w:t>, как показано на рисунке 11, следующим образом:</w:t>
      </w:r>
    </w:p>
    <w:p w:rsidR="00226B45" w:rsidRPr="00EF4709" w:rsidRDefault="00226B45" w:rsidP="00226B45">
      <w:pPr>
        <w:pStyle w:val="Equation"/>
        <w:rPr>
          <w:lang w:val="en-US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32"/>
          <w:lang w:val="ru-RU"/>
        </w:rPr>
        <w:object w:dxaOrig="1540" w:dyaOrig="720">
          <v:shape id="_x0000_i1044" type="#_x0000_t75" style="width:79.5pt;height:36.3pt" o:ole="">
            <v:imagedata r:id="rId54" o:title=""/>
          </v:shape>
          <o:OLEObject Type="Embed" ProgID="Equation.3" ShapeID="_x0000_i1044" DrawAspect="Content" ObjectID="_1470662012" r:id="rId55"/>
        </w:object>
      </w:r>
      <w:r w:rsidRPr="00EF4709">
        <w:rPr>
          <w:lang w:val="en-US"/>
        </w:rPr>
        <w:t>,</w:t>
      </w:r>
      <w:r w:rsidRPr="00EF4709">
        <w:rPr>
          <w:lang w:val="en-US"/>
        </w:rPr>
        <w:tab/>
        <w:t>(11)</w:t>
      </w:r>
    </w:p>
    <w:p w:rsidR="00226B45" w:rsidRPr="00EF4709" w:rsidRDefault="00226B45" w:rsidP="00226B45">
      <w:pPr>
        <w:rPr>
          <w:lang w:val="en-US"/>
        </w:rPr>
      </w:pPr>
      <w:r w:rsidRPr="00EC1810">
        <w:rPr>
          <w:lang w:val="ru-RU"/>
        </w:rPr>
        <w:t>где</w:t>
      </w:r>
      <w:r w:rsidRPr="00EF4709">
        <w:rPr>
          <w:lang w:val="en-US"/>
        </w:rPr>
        <w:t>:</w:t>
      </w:r>
    </w:p>
    <w:p w:rsidR="00226B45" w:rsidRPr="00EF4709" w:rsidRDefault="00226B45" w:rsidP="00226B45">
      <w:pPr>
        <w:pStyle w:val="Equation"/>
        <w:rPr>
          <w:lang w:val="en-US"/>
        </w:rPr>
      </w:pPr>
      <w:r w:rsidRPr="00EF4709">
        <w:rPr>
          <w:lang w:val="en-US"/>
        </w:rPr>
        <w:tab/>
      </w:r>
      <w:r w:rsidRPr="00EF4709">
        <w:rPr>
          <w:lang w:val="en-US"/>
        </w:rPr>
        <w:tab/>
      </w:r>
      <w:r w:rsidRPr="00EF4709">
        <w:rPr>
          <w:i/>
          <w:lang w:val="en-US"/>
        </w:rPr>
        <w:t>f</w:t>
      </w:r>
      <w:r w:rsidRPr="00EF4709">
        <w:rPr>
          <w:vertAlign w:val="subscript"/>
          <w:lang w:val="en-US"/>
        </w:rPr>
        <w:t>0</w:t>
      </w:r>
      <w:r w:rsidRPr="00EF4709">
        <w:rPr>
          <w:lang w:val="en-US"/>
        </w:rPr>
        <w:t xml:space="preserve"> </w:t>
      </w:r>
      <w:r w:rsidRPr="00EC1810">
        <w:rPr>
          <w:rFonts w:ascii="Symbol" w:hAnsi="Symbol"/>
          <w:lang w:val="ru-RU"/>
        </w:rPr>
        <w:t></w:t>
      </w:r>
      <w:r w:rsidRPr="00EF4709">
        <w:rPr>
          <w:lang w:val="en-US"/>
        </w:rPr>
        <w:t xml:space="preserve"> F (</w:t>
      </w:r>
      <w:r w:rsidRPr="00EC1810">
        <w:rPr>
          <w:lang w:val="ru-RU"/>
        </w:rPr>
        <w:sym w:font="Symbol" w:char="F078"/>
      </w:r>
      <w:r w:rsidRPr="00EF4709">
        <w:rPr>
          <w:lang w:val="en-US"/>
        </w:rPr>
        <w:t xml:space="preserve"> </w:t>
      </w:r>
      <w:r w:rsidRPr="00EC1810">
        <w:rPr>
          <w:rFonts w:ascii="Symbol" w:hAnsi="Symbol"/>
          <w:lang w:val="ru-RU"/>
        </w:rPr>
        <w:t></w:t>
      </w:r>
      <w:r w:rsidRPr="00EF4709">
        <w:rPr>
          <w:lang w:val="en-US"/>
        </w:rPr>
        <w:t xml:space="preserve"> </w:t>
      </w:r>
      <w:r w:rsidRPr="00EC1810">
        <w:rPr>
          <w:lang w:val="ru-RU"/>
        </w:rPr>
        <w:sym w:font="Symbol" w:char="F078"/>
      </w:r>
      <w:r w:rsidRPr="00EF4709">
        <w:rPr>
          <w:vertAlign w:val="subscript"/>
          <w:lang w:val="en-US"/>
        </w:rPr>
        <w:t>1</w:t>
      </w:r>
      <w:r w:rsidRPr="00EF4709">
        <w:rPr>
          <w:lang w:val="en-US"/>
        </w:rPr>
        <w:t>)</w:t>
      </w:r>
      <w:r w:rsidRPr="00EF4709">
        <w:rPr>
          <w:lang w:val="en-US"/>
        </w:rPr>
        <w:tab/>
        <w:t>(11a)</w:t>
      </w:r>
    </w:p>
    <w:p w:rsidR="00226B45" w:rsidRPr="00EF4709" w:rsidRDefault="00226B45" w:rsidP="00226B45">
      <w:pPr>
        <w:pStyle w:val="Equation"/>
        <w:tabs>
          <w:tab w:val="left" w:pos="6840"/>
        </w:tabs>
        <w:rPr>
          <w:lang w:val="en-US"/>
        </w:rPr>
      </w:pPr>
      <w:r w:rsidRPr="00EF4709">
        <w:rPr>
          <w:lang w:val="en-US"/>
        </w:rPr>
        <w:tab/>
      </w:r>
      <w:r w:rsidRPr="00EF4709">
        <w:rPr>
          <w:lang w:val="en-US"/>
        </w:rPr>
        <w:tab/>
      </w:r>
      <w:r w:rsidRPr="00EF4709">
        <w:rPr>
          <w:i/>
          <w:lang w:val="en-US"/>
        </w:rPr>
        <w:t>f</w:t>
      </w:r>
      <w:r w:rsidRPr="00EF4709">
        <w:rPr>
          <w:i/>
          <w:vertAlign w:val="subscript"/>
          <w:lang w:val="en-US"/>
        </w:rPr>
        <w:t>i</w:t>
      </w:r>
      <w:r w:rsidRPr="00EF4709">
        <w:rPr>
          <w:lang w:val="en-US"/>
        </w:rPr>
        <w:t xml:space="preserve"> </w:t>
      </w:r>
      <w:r w:rsidRPr="00EC1810">
        <w:rPr>
          <w:rFonts w:ascii="Symbol" w:hAnsi="Symbol"/>
          <w:lang w:val="ru-RU"/>
        </w:rPr>
        <w:t></w:t>
      </w:r>
      <w:r w:rsidRPr="00EF4709">
        <w:rPr>
          <w:lang w:val="en-US"/>
        </w:rPr>
        <w:t xml:space="preserve"> F (</w:t>
      </w:r>
      <w:r w:rsidRPr="00EC1810">
        <w:rPr>
          <w:lang w:val="ru-RU"/>
        </w:rPr>
        <w:sym w:font="Symbol" w:char="F078"/>
      </w:r>
      <w:r w:rsidRPr="00EF4709">
        <w:rPr>
          <w:i/>
          <w:vertAlign w:val="subscript"/>
          <w:lang w:val="en-US"/>
        </w:rPr>
        <w:t>i</w:t>
      </w:r>
      <w:r w:rsidRPr="00EF4709">
        <w:rPr>
          <w:vertAlign w:val="subscript"/>
          <w:lang w:val="en-US"/>
        </w:rPr>
        <w:t xml:space="preserve"> </w:t>
      </w:r>
      <w:r w:rsidRPr="00EF4709">
        <w:rPr>
          <w:lang w:val="en-US"/>
        </w:rPr>
        <w:t xml:space="preserve"> </w:t>
      </w:r>
      <w:r w:rsidRPr="00EC1810">
        <w:rPr>
          <w:rFonts w:ascii="Symbol" w:hAnsi="Symbol"/>
          <w:lang w:val="ru-RU"/>
        </w:rPr>
        <w:sym w:font="Symbol" w:char="F0A3"/>
      </w:r>
      <w:r w:rsidRPr="00EF4709">
        <w:rPr>
          <w:lang w:val="en-US"/>
        </w:rPr>
        <w:t xml:space="preserve"> </w:t>
      </w:r>
      <w:r w:rsidRPr="00EC1810">
        <w:rPr>
          <w:lang w:val="ru-RU"/>
        </w:rPr>
        <w:sym w:font="Symbol" w:char="F078"/>
      </w:r>
      <w:r w:rsidRPr="00EF4709">
        <w:rPr>
          <w:lang w:val="en-US"/>
        </w:rPr>
        <w:t xml:space="preserve"> </w:t>
      </w:r>
      <w:r w:rsidRPr="00EC1810">
        <w:rPr>
          <w:rFonts w:ascii="Symbol" w:hAnsi="Symbol"/>
          <w:lang w:val="ru-RU"/>
        </w:rPr>
        <w:t></w:t>
      </w:r>
      <w:r w:rsidRPr="00EF4709">
        <w:rPr>
          <w:lang w:val="en-US"/>
        </w:rPr>
        <w:t xml:space="preserve"> </w:t>
      </w:r>
      <w:r w:rsidRPr="00EC1810">
        <w:rPr>
          <w:lang w:val="ru-RU"/>
        </w:rPr>
        <w:sym w:font="Symbol" w:char="F078"/>
      </w:r>
      <w:r w:rsidRPr="00EF4709">
        <w:rPr>
          <w:i/>
          <w:vertAlign w:val="subscript"/>
          <w:lang w:val="en-US"/>
        </w:rPr>
        <w:t>i</w:t>
      </w:r>
      <w:r w:rsidRPr="00EF4709">
        <w:rPr>
          <w:rFonts w:ascii="Tms Rmn" w:hAnsi="Tms Rmn"/>
          <w:i/>
          <w:position w:val="-4"/>
          <w:sz w:val="12"/>
          <w:lang w:val="en-US"/>
        </w:rPr>
        <w:t> </w:t>
      </w:r>
      <w:r w:rsidRPr="00EC1810">
        <w:rPr>
          <w:rFonts w:ascii="Symbol" w:hAnsi="Symbol"/>
          <w:vertAlign w:val="subscript"/>
          <w:lang w:val="ru-RU"/>
        </w:rPr>
        <w:t></w:t>
      </w:r>
      <w:r w:rsidRPr="00EF4709">
        <w:rPr>
          <w:rFonts w:ascii="Tms Rmn" w:hAnsi="Tms Rmn"/>
          <w:position w:val="-4"/>
          <w:sz w:val="12"/>
          <w:lang w:val="en-US"/>
        </w:rPr>
        <w:t> </w:t>
      </w:r>
      <w:r w:rsidRPr="00EF4709">
        <w:rPr>
          <w:vertAlign w:val="subscript"/>
          <w:lang w:val="en-US"/>
        </w:rPr>
        <w:t>1</w:t>
      </w:r>
      <w:r w:rsidRPr="00EF4709">
        <w:rPr>
          <w:lang w:val="en-US"/>
        </w:rPr>
        <w:t>)</w:t>
      </w:r>
      <w:r w:rsidRPr="00EF4709">
        <w:rPr>
          <w:lang w:val="en-US"/>
        </w:rPr>
        <w:tab/>
        <w:t>(</w:t>
      </w:r>
      <w:r w:rsidRPr="00EF4709">
        <w:rPr>
          <w:i/>
          <w:lang w:val="en-US"/>
        </w:rPr>
        <w:t>i</w:t>
      </w:r>
      <w:r w:rsidRPr="00EF4709">
        <w:rPr>
          <w:lang w:val="en-US"/>
        </w:rPr>
        <w:t xml:space="preserve">  </w:t>
      </w:r>
      <w:r w:rsidRPr="00EC1810">
        <w:rPr>
          <w:rFonts w:ascii="Symbol" w:hAnsi="Symbol"/>
          <w:lang w:val="ru-RU"/>
        </w:rPr>
        <w:t></w:t>
      </w:r>
      <w:r w:rsidRPr="00EF4709">
        <w:rPr>
          <w:lang w:val="en-US"/>
        </w:rPr>
        <w:t xml:space="preserve">  1, 2, …, </w:t>
      </w:r>
      <w:r w:rsidRPr="00EF4709">
        <w:rPr>
          <w:i/>
          <w:lang w:val="en-US"/>
        </w:rPr>
        <w:t>n</w:t>
      </w:r>
      <w:r w:rsidRPr="00EF4709">
        <w:rPr>
          <w:lang w:val="en-US"/>
        </w:rPr>
        <w:t xml:space="preserve"> – 1)</w:t>
      </w:r>
      <w:r w:rsidRPr="00EF4709">
        <w:rPr>
          <w:lang w:val="en-US"/>
        </w:rPr>
        <w:tab/>
        <w:t>(11b)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F4709">
        <w:rPr>
          <w:lang w:val="en-US"/>
        </w:rPr>
        <w:tab/>
      </w:r>
      <w:r w:rsidRPr="00EF4709">
        <w:rPr>
          <w:lang w:val="en-US"/>
        </w:rPr>
        <w:tab/>
      </w:r>
      <w:r w:rsidRPr="00EC1810">
        <w:rPr>
          <w:i/>
          <w:lang w:val="ru-RU"/>
        </w:rPr>
        <w:t>f</w:t>
      </w:r>
      <w:r w:rsidRPr="00EC1810">
        <w:rPr>
          <w:i/>
          <w:vertAlign w:val="subscript"/>
          <w:lang w:val="ru-RU"/>
        </w:rPr>
        <w:t>n</w:t>
      </w:r>
      <w:r w:rsidRPr="00EC1810">
        <w:rPr>
          <w:lang w:val="ru-RU"/>
        </w:rPr>
        <w:t xml:space="preserve"> </w:t>
      </w:r>
      <w:r w:rsidRPr="00EC1810">
        <w:rPr>
          <w:rFonts w:ascii="Symbol" w:hAnsi="Symbol"/>
          <w:lang w:val="ru-RU"/>
        </w:rPr>
        <w:t></w:t>
      </w:r>
      <w:r w:rsidRPr="00EC1810">
        <w:rPr>
          <w:lang w:val="ru-RU"/>
        </w:rPr>
        <w:t xml:space="preserve"> F (</w:t>
      </w:r>
      <w:r w:rsidRPr="00EC1810">
        <w:rPr>
          <w:lang w:val="ru-RU"/>
        </w:rPr>
        <w:sym w:font="Symbol" w:char="F078"/>
      </w:r>
      <w:r w:rsidRPr="00EC1810">
        <w:rPr>
          <w:lang w:val="ru-RU"/>
        </w:rPr>
        <w:t xml:space="preserve"> </w:t>
      </w:r>
      <w:r w:rsidRPr="00EC1810">
        <w:rPr>
          <w:rFonts w:ascii="Symbol" w:hAnsi="Symbol"/>
          <w:lang w:val="ru-RU"/>
        </w:rPr>
        <w:sym w:font="Symbol" w:char="F0B3"/>
      </w:r>
      <w:r w:rsidRPr="00EC1810">
        <w:rPr>
          <w:lang w:val="ru-RU"/>
        </w:rPr>
        <w:t xml:space="preserve"> </w:t>
      </w:r>
      <w:r w:rsidRPr="00EC1810">
        <w:rPr>
          <w:lang w:val="ru-RU"/>
        </w:rPr>
        <w:sym w:font="Symbol" w:char="F078"/>
      </w:r>
      <w:r w:rsidRPr="00EC1810">
        <w:rPr>
          <w:i/>
          <w:vertAlign w:val="subscript"/>
          <w:lang w:val="ru-RU"/>
        </w:rPr>
        <w:t>n</w:t>
      </w:r>
      <w:r w:rsidRPr="00EC1810">
        <w:rPr>
          <w:sz w:val="8"/>
          <w:vertAlign w:val="subscript"/>
          <w:lang w:val="ru-RU"/>
        </w:rPr>
        <w:t xml:space="preserve"> </w:t>
      </w:r>
      <w:r w:rsidRPr="00EC1810">
        <w:rPr>
          <w:lang w:val="ru-RU"/>
        </w:rPr>
        <w:t>)</w:t>
      </w:r>
      <w:r w:rsidRPr="00EC1810">
        <w:rPr>
          <w:lang w:val="ru-RU"/>
        </w:rPr>
        <w:tab/>
        <w:t>(11c)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 xml:space="preserve">и </w:t>
      </w:r>
      <w:r w:rsidRPr="00EC1810">
        <w:rPr>
          <w:lang w:val="ru-RU"/>
        </w:rPr>
        <w:fldChar w:fldCharType="begin"/>
      </w:r>
      <w:r w:rsidRPr="00EC1810">
        <w:rPr>
          <w:lang w:val="ru-RU"/>
        </w:rPr>
        <w:instrText>symbol 120 \f "Symbol" \s 12</w:instrText>
      </w:r>
      <w:r w:rsidRPr="00EC1810">
        <w:rPr>
          <w:lang w:val="ru-RU"/>
        </w:rPr>
        <w:fldChar w:fldCharType="end"/>
      </w:r>
      <w:r w:rsidRPr="00EC1810">
        <w:rPr>
          <w:vertAlign w:val="subscript"/>
          <w:lang w:val="ru-RU"/>
        </w:rPr>
        <w:t>1</w:t>
      </w:r>
      <w:r w:rsidRPr="00EC1810">
        <w:rPr>
          <w:lang w:val="ru-RU"/>
        </w:rPr>
        <w:t xml:space="preserve"> и </w:t>
      </w:r>
      <w:r w:rsidRPr="00EC1810">
        <w:rPr>
          <w:lang w:val="ru-RU"/>
        </w:rPr>
        <w:fldChar w:fldCharType="begin"/>
      </w:r>
      <w:r w:rsidRPr="00EC1810">
        <w:rPr>
          <w:lang w:val="ru-RU"/>
        </w:rPr>
        <w:instrText>symbol 120 \f "Symbol" \s 12</w:instrText>
      </w:r>
      <w:r w:rsidRPr="00EC1810">
        <w:rPr>
          <w:lang w:val="ru-RU"/>
        </w:rPr>
        <w:fldChar w:fldCharType="end"/>
      </w:r>
      <w:r w:rsidRPr="00EC1810">
        <w:rPr>
          <w:i/>
          <w:iCs/>
          <w:vertAlign w:val="subscript"/>
          <w:lang w:val="ru-RU"/>
        </w:rPr>
        <w:t>n</w:t>
      </w:r>
      <w:r w:rsidRPr="00EC1810">
        <w:rPr>
          <w:lang w:val="ru-RU"/>
        </w:rPr>
        <w:t xml:space="preserve"> – минимальные и максимальные значения размаха флуктуаций, соответственно, а </w:t>
      </w:r>
      <w:r w:rsidRPr="00EC1810">
        <w:rPr>
          <w:i/>
          <w:iCs/>
          <w:lang w:val="ru-RU"/>
        </w:rPr>
        <w:t>n</w:t>
      </w:r>
      <w:r w:rsidRPr="00EC1810">
        <w:rPr>
          <w:lang w:val="ru-RU"/>
        </w:rPr>
        <w:t xml:space="preserve"> – интервальное число </w:t>
      </w:r>
      <w:r w:rsidRPr="00EC1810">
        <w:rPr>
          <w:lang w:val="ru-RU"/>
        </w:rPr>
        <w:fldChar w:fldCharType="begin"/>
      </w:r>
      <w:r w:rsidRPr="00EC1810">
        <w:rPr>
          <w:lang w:val="ru-RU"/>
        </w:rPr>
        <w:instrText>symbol 120 \f "Symbol" \s 12</w:instrText>
      </w:r>
      <w:r w:rsidRPr="00EC1810">
        <w:rPr>
          <w:lang w:val="ru-RU"/>
        </w:rPr>
        <w:fldChar w:fldCharType="end"/>
      </w:r>
      <w:r w:rsidRPr="00EC1810">
        <w:rPr>
          <w:lang w:val="ru-RU"/>
        </w:rPr>
        <w:t>, представляющее интерес для пользователя:</w:t>
      </w:r>
    </w:p>
    <w:p w:rsidR="00226B45" w:rsidRPr="00C90566" w:rsidRDefault="00226B45" w:rsidP="00226B45">
      <w:pPr>
        <w:pStyle w:val="Equation"/>
        <w:rPr>
          <w:lang w:val="es-ES_tradnl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C90566">
        <w:rPr>
          <w:i/>
          <w:iCs/>
          <w:lang w:val="es-ES_tradnl"/>
        </w:rPr>
        <w:t>P</w:t>
      </w:r>
      <w:r w:rsidRPr="00C90566">
        <w:rPr>
          <w:i/>
          <w:iCs/>
          <w:vertAlign w:val="subscript"/>
          <w:lang w:val="es-ES_tradnl"/>
        </w:rPr>
        <w:t>i</w:t>
      </w:r>
      <w:r w:rsidRPr="00C90566">
        <w:rPr>
          <w:lang w:val="es-ES_tradnl"/>
        </w:rPr>
        <w:t>(</w:t>
      </w:r>
      <w:r w:rsidRPr="00C90566">
        <w:rPr>
          <w:i/>
          <w:iCs/>
          <w:lang w:val="es-ES_tradnl"/>
        </w:rPr>
        <w:t>I</w:t>
      </w:r>
      <w:r w:rsidRPr="00C90566">
        <w:rPr>
          <w:lang w:val="es-ES_tradnl"/>
        </w:rPr>
        <w:t xml:space="preserve">) = </w:t>
      </w:r>
      <w:r w:rsidRPr="00EC1810">
        <w:rPr>
          <w:lang w:val="ru-RU"/>
        </w:rPr>
        <w:fldChar w:fldCharType="begin"/>
      </w:r>
      <w:r w:rsidRPr="00C90566">
        <w:rPr>
          <w:lang w:val="es-ES_tradnl"/>
        </w:rPr>
        <w:instrText>symbol 71 \f "Symbol" \s 12</w:instrText>
      </w:r>
      <w:r w:rsidRPr="00EC1810">
        <w:rPr>
          <w:lang w:val="ru-RU"/>
        </w:rPr>
        <w:fldChar w:fldCharType="end"/>
      </w:r>
      <w:r w:rsidRPr="00C90566">
        <w:rPr>
          <w:lang w:val="es-ES_tradnl"/>
        </w:rPr>
        <w:t xml:space="preserve"> (</w:t>
      </w:r>
      <w:r w:rsidRPr="00C90566">
        <w:rPr>
          <w:i/>
          <w:iCs/>
          <w:lang w:val="es-ES_tradnl"/>
        </w:rPr>
        <w:t>m</w:t>
      </w:r>
      <w:r w:rsidRPr="00C90566">
        <w:rPr>
          <w:i/>
          <w:iCs/>
          <w:vertAlign w:val="subscript"/>
          <w:lang w:val="es-ES_tradnl"/>
        </w:rPr>
        <w:t>i</w:t>
      </w:r>
      <w:r w:rsidRPr="00C90566">
        <w:rPr>
          <w:lang w:val="es-ES_tradnl"/>
        </w:rPr>
        <w:t xml:space="preserve">, </w:t>
      </w:r>
      <w:r w:rsidRPr="00C90566">
        <w:rPr>
          <w:i/>
          <w:iCs/>
          <w:lang w:val="es-ES_tradnl"/>
        </w:rPr>
        <w:t>m</w:t>
      </w:r>
      <w:r w:rsidRPr="00C90566">
        <w:rPr>
          <w:i/>
          <w:iCs/>
          <w:vertAlign w:val="subscript"/>
          <w:lang w:val="es-ES_tradnl"/>
        </w:rPr>
        <w:t>i</w:t>
      </w:r>
      <w:r w:rsidRPr="00C90566">
        <w:rPr>
          <w:i/>
          <w:iCs/>
          <w:lang w:val="es-ES_tradnl"/>
        </w:rPr>
        <w:t>I</w:t>
      </w:r>
      <w:r w:rsidRPr="00C90566">
        <w:rPr>
          <w:lang w:val="es-ES_tradnl"/>
        </w:rPr>
        <w:t xml:space="preserve">) / </w:t>
      </w:r>
      <w:r w:rsidRPr="00EC1810">
        <w:rPr>
          <w:lang w:val="ru-RU"/>
        </w:rPr>
        <w:fldChar w:fldCharType="begin"/>
      </w:r>
      <w:r w:rsidRPr="00C90566">
        <w:rPr>
          <w:lang w:val="es-ES_tradnl"/>
        </w:rPr>
        <w:instrText>symbol 71 \f "Symbol" \s 12</w:instrText>
      </w:r>
      <w:r w:rsidRPr="00EC1810">
        <w:rPr>
          <w:lang w:val="ru-RU"/>
        </w:rPr>
        <w:fldChar w:fldCharType="end"/>
      </w:r>
      <w:r w:rsidRPr="00C90566">
        <w:rPr>
          <w:lang w:val="es-ES_tradnl"/>
        </w:rPr>
        <w:t>(</w:t>
      </w:r>
      <w:r w:rsidRPr="00C90566">
        <w:rPr>
          <w:i/>
          <w:iCs/>
          <w:lang w:val="es-ES_tradnl"/>
        </w:rPr>
        <w:t>m</w:t>
      </w:r>
      <w:r w:rsidRPr="00C90566">
        <w:rPr>
          <w:i/>
          <w:iCs/>
          <w:vertAlign w:val="subscript"/>
          <w:lang w:val="es-ES_tradnl"/>
        </w:rPr>
        <w:t>i</w:t>
      </w:r>
      <w:r w:rsidRPr="00C90566">
        <w:rPr>
          <w:lang w:val="es-ES_tradnl"/>
        </w:rPr>
        <w:t>)</w:t>
      </w:r>
      <w:r w:rsidRPr="00C90566">
        <w:rPr>
          <w:lang w:val="es-ES_tradnl"/>
        </w:rPr>
        <w:tab/>
        <w:t>(11d)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C90566">
        <w:rPr>
          <w:lang w:val="es-ES_tradnl"/>
        </w:rPr>
        <w:tab/>
      </w:r>
      <w:r w:rsidRPr="00C90566">
        <w:rPr>
          <w:lang w:val="es-ES_tradnl"/>
        </w:rPr>
        <w:tab/>
      </w:r>
      <w:r w:rsidRPr="00EC1810">
        <w:rPr>
          <w:position w:val="-10"/>
          <w:lang w:val="ru-RU"/>
        </w:rPr>
        <w:object w:dxaOrig="880" w:dyaOrig="360">
          <v:shape id="_x0000_i1045" type="#_x0000_t75" style="width:43.85pt;height:21.9pt" o:ole="">
            <v:imagedata r:id="rId56" o:title=""/>
          </v:shape>
          <o:OLEObject Type="Embed" ProgID="Equation.3" ShapeID="_x0000_i1045" DrawAspect="Content" ObjectID="_1470662013" r:id="rId57"/>
        </w:object>
      </w:r>
      <w:r w:rsidRPr="00EC1810">
        <w:rPr>
          <w:lang w:val="ru-RU"/>
        </w:rPr>
        <w:tab/>
      </w:r>
      <w:r w:rsidRPr="00EC1810">
        <w:rPr>
          <w:lang w:val="ru-RU"/>
        </w:rPr>
        <w:object w:dxaOrig="180" w:dyaOrig="320">
          <v:shape id="_x0000_i1046" type="#_x0000_t75" style="width:7.5pt;height:14.4pt" o:ole="">
            <v:imagedata r:id="rId58" o:title=""/>
          </v:shape>
          <o:OLEObject Type="Embed" ProgID="Equation.3" ShapeID="_x0000_i1046" DrawAspect="Content" ObjectID="_1470662014" r:id="rId59"/>
        </w:object>
      </w:r>
      <w:r w:rsidRPr="00EC1810">
        <w:rPr>
          <w:lang w:val="ru-RU"/>
        </w:rPr>
        <w:object w:dxaOrig="180" w:dyaOrig="320">
          <v:shape id="_x0000_i1047" type="#_x0000_t75" style="width:7.5pt;height:14.4pt" o:ole="">
            <v:imagedata r:id="rId58" o:title=""/>
          </v:shape>
          <o:OLEObject Type="Embed" ProgID="Equation.3" ShapeID="_x0000_i1047" DrawAspect="Content" ObjectID="_1470662015" r:id="rId60"/>
        </w:object>
      </w:r>
      <w:r w:rsidRPr="00EC1810">
        <w:rPr>
          <w:lang w:val="ru-RU"/>
        </w:rPr>
        <w:t>(11e)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28"/>
          <w:lang w:val="ru-RU"/>
        </w:rPr>
        <w:object w:dxaOrig="1900" w:dyaOrig="720">
          <v:shape id="_x0000_i1048" type="#_x0000_t75" style="width:93.9pt;height:36.3pt" o:ole="">
            <v:imagedata r:id="rId61" o:title=""/>
          </v:shape>
          <o:OLEObject Type="Embed" ProgID="Equation.3" ShapeID="_x0000_i1048" DrawAspect="Content" ObjectID="_1470662016" r:id="rId62"/>
        </w:object>
      </w:r>
      <w:r w:rsidRPr="00EC1810">
        <w:rPr>
          <w:lang w:val="ru-RU"/>
        </w:rPr>
        <w:tab/>
        <w:t>(11f)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30"/>
          <w:lang w:val="ru-RU"/>
        </w:rPr>
        <w:object w:dxaOrig="2480" w:dyaOrig="760">
          <v:shape id="_x0000_i1049" type="#_x0000_t75" style="width:122.1pt;height:35.7pt" o:ole="">
            <v:imagedata r:id="rId63" o:title=""/>
          </v:shape>
          <o:OLEObject Type="Embed" ProgID="Equation.3" ShapeID="_x0000_i1049" DrawAspect="Content" ObjectID="_1470662017" r:id="rId64"/>
        </w:object>
      </w:r>
      <w:r w:rsidRPr="00EC1810">
        <w:rPr>
          <w:lang w:val="ru-RU"/>
        </w:rPr>
        <w:tab/>
        <w:t>(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 xml:space="preserve"> = 1, 2, …, </w:t>
      </w:r>
      <w:r w:rsidRPr="00EC1810">
        <w:rPr>
          <w:i/>
          <w:iCs/>
          <w:lang w:val="ru-RU"/>
        </w:rPr>
        <w:t>n</w:t>
      </w:r>
      <w:r w:rsidRPr="00EC1810">
        <w:rPr>
          <w:lang w:val="ru-RU"/>
        </w:rPr>
        <w:t xml:space="preserve"> – 1)     (11g)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position w:val="-30"/>
          <w:lang w:val="ru-RU"/>
        </w:rPr>
        <w:object w:dxaOrig="2700" w:dyaOrig="760">
          <v:shape id="_x0000_i1050" type="#_x0000_t75" style="width:136.5pt;height:35.7pt" o:ole="">
            <v:imagedata r:id="rId65" o:title=""/>
          </v:shape>
          <o:OLEObject Type="Embed" ProgID="Equation.3" ShapeID="_x0000_i1050" DrawAspect="Content" ObjectID="_1470662018" r:id="rId66"/>
        </w:object>
      </w:r>
      <w:r w:rsidRPr="00EC1810">
        <w:rPr>
          <w:lang w:val="ru-RU"/>
        </w:rPr>
        <w:t>.</w:t>
      </w:r>
      <w:r w:rsidRPr="00EC1810">
        <w:rPr>
          <w:lang w:val="ru-RU"/>
        </w:rPr>
        <w:tab/>
        <w:t>(11h)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На рисунке 12 показан пример долгосрочного кумулятивного распределения уровня сигнала, полученного из кривой P6 на рисунке 11.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4.7</w:t>
      </w:r>
      <w:r w:rsidRPr="00EC1810">
        <w:rPr>
          <w:lang w:val="ru-RU"/>
        </w:rPr>
        <w:tab/>
        <w:t>Одновременное возникновение ионосферных мерцаний и замирания вследствие дождя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Ионосферные мерцания и замирания, вызванные дождем, – это две причины ухудшения связи совершенно разного физического происхождения. Однако в экваториальной области в годы высокой солнечной активности возможно одновременное возникновение этих двух явлений в течение такого процента времени года, который нельзя не учитывать при разработке систем. Наблюдения на земной станции Джутилухар, Индонезия, показали, что общее время одновременного возникновения этих двух явлений на частоте 4 ГГц составляет примерно 0,06% от годового.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 xml:space="preserve">Когда эти явления возникают одновременно, то они имеют свойства, сильно отличающиеся от свойств каждого из них, то есть мерцаний или замираний из-за дождя, в отдельности. Если ионосферные мерцания сами по себе не приводят к деполяризации, а замирание из-за дождя нельзя рассматривать как флуктуацию сигнала (несмотря на то что оно может вызвать небольшие флуктуации поляризации при интенсивности мерцаний от средней до сильной), то одновременное возникновение двух этих </w:t>
      </w:r>
      <w:r w:rsidRPr="00EC1810">
        <w:rPr>
          <w:lang w:val="ru-RU"/>
        </w:rPr>
        <w:lastRenderedPageBreak/>
        <w:t>явлений сопровождается сильными флуктуациями сигналов и кросс</w:t>
      </w:r>
      <w:r w:rsidRPr="00EC1810">
        <w:rPr>
          <w:lang w:val="ru-RU"/>
        </w:rPr>
        <w:noBreakHyphen/>
        <w:t>поляризацией. Умение распознавать оба этих явления при их одновременном возникновении необходимо для систем радиосвязи спутник-Земля, которые должны отличаться высокой готовностью.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Прогнозирование затухания в дожде описано в Рекомендации МСЭ-R Р.618.</w: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t>РИСУНОК 11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 xml:space="preserve">Зависимость экваториальных ионосферных мерцаний на частоте 4 ГГц </w:t>
      </w:r>
      <w:r w:rsidRPr="00EC1810">
        <w:rPr>
          <w:lang w:val="ru-RU"/>
        </w:rPr>
        <w:br/>
        <w:t>от среднемесячного числа солнечных пятен</w:t>
      </w:r>
    </w:p>
    <w:p w:rsidR="00226B45" w:rsidRPr="00EC1810" w:rsidRDefault="00226B45" w:rsidP="00226B45">
      <w:pPr>
        <w:pStyle w:val="Figure"/>
        <w:rPr>
          <w:szCs w:val="18"/>
          <w:lang w:val="ru-RU"/>
        </w:rPr>
      </w:pPr>
      <w:r w:rsidRPr="00EC1810">
        <w:rPr>
          <w:lang w:val="ru-RU"/>
        </w:rPr>
        <w:object w:dxaOrig="8042" w:dyaOrig="14630">
          <v:shape id="_x0000_i1051" type="#_x0000_t75" style="width:245.45pt;height:438.9pt" o:ole="">
            <v:imagedata r:id="rId67" o:title=""/>
          </v:shape>
          <o:OLEObject Type="Embed" ProgID="CorelDRAW.Graphic.14" ShapeID="_x0000_i1051" DrawAspect="Content" ObjectID="_1470662019" r:id="rId68"/>
        </w:objec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4.8</w:t>
      </w:r>
      <w:r w:rsidRPr="00EC1810">
        <w:rPr>
          <w:lang w:val="ru-RU"/>
        </w:rPr>
        <w:tab/>
        <w:t>Модель мерцаний в гигагерцевом диапазоне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Для оценки последствий мерцания, которых можно ожидать в конкретной ситуации, можно предпринять следующие действия: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iCs/>
          <w:lang w:val="ru-RU"/>
        </w:rPr>
        <w:t>Шаг 1</w:t>
      </w:r>
      <w:r w:rsidRPr="00EC1810">
        <w:rPr>
          <w:lang w:val="ru-RU"/>
        </w:rPr>
        <w:t xml:space="preserve">:  На рисунке 12 приведена статистика возникновения мерцаний на экваториальных ионосферных трассах: полный размах флуктуаций, </w:t>
      </w:r>
      <w:r w:rsidRPr="00EC1810">
        <w:rPr>
          <w:i/>
          <w:iCs/>
          <w:lang w:val="ru-RU"/>
        </w:rPr>
        <w:t>P</w:t>
      </w:r>
      <w:r w:rsidRPr="00EC1810">
        <w:rPr>
          <w:i/>
          <w:iCs/>
          <w:vertAlign w:val="subscript"/>
          <w:lang w:val="ru-RU"/>
        </w:rPr>
        <w:t>fluc</w:t>
      </w:r>
      <w:r w:rsidRPr="00EC1810">
        <w:rPr>
          <w:lang w:val="ru-RU"/>
        </w:rPr>
        <w:t>, (дБ), на частоте 4 ГГц при приеме со спутников в Восточном полушарии при углах места порядка 20° (P – сплошные кривые) и в Западном полушарии при углах места порядка 30° (I – пунктирные кривые). Данные приведены для различных времен года и чисел солнечной активности (SSN).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iCs/>
          <w:lang w:val="ru-RU"/>
        </w:rPr>
        <w:lastRenderedPageBreak/>
        <w:t>Шаг 2</w:t>
      </w:r>
      <w:r w:rsidRPr="00EC1810">
        <w:rPr>
          <w:lang w:val="ru-RU"/>
        </w:rPr>
        <w:t>:  Поскольку на рисунке 12 приведены кривые для частоты 4 ГГц, то для их пересчета на другую частоту необходимо значения, найденные по данному рисунку, умножить на величину (</w:t>
      </w:r>
      <w:r w:rsidRPr="00EC1810">
        <w:rPr>
          <w:i/>
          <w:iCs/>
          <w:lang w:val="ru-RU"/>
        </w:rPr>
        <w:t>f </w:t>
      </w:r>
      <w:r w:rsidRPr="00EC1810">
        <w:rPr>
          <w:lang w:val="ru-RU"/>
        </w:rPr>
        <w:t>/4)</w:t>
      </w:r>
      <w:r w:rsidRPr="00EC1810">
        <w:rPr>
          <w:vertAlign w:val="superscript"/>
          <w:lang w:val="ru-RU"/>
        </w:rPr>
        <w:t>−1,5</w:t>
      </w:r>
      <w:r w:rsidRPr="00EC1810">
        <w:rPr>
          <w:lang w:val="ru-RU"/>
        </w:rPr>
        <w:t xml:space="preserve">, где </w:t>
      </w:r>
      <w:r w:rsidRPr="00EC1810">
        <w:rPr>
          <w:i/>
          <w:iCs/>
          <w:lang w:val="ru-RU"/>
        </w:rPr>
        <w:t>f</w:t>
      </w:r>
      <w:r w:rsidRPr="00EC1810">
        <w:rPr>
          <w:lang w:val="ru-RU"/>
        </w:rPr>
        <w:t xml:space="preserve"> – рассматриваемая частота (ГГц).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iCs/>
          <w:lang w:val="ru-RU"/>
        </w:rPr>
        <w:t>Шаг 3</w:t>
      </w:r>
      <w:r w:rsidRPr="00EC1810">
        <w:rPr>
          <w:lang w:val="ru-RU"/>
        </w:rPr>
        <w:t xml:space="preserve">:  Колебания </w:t>
      </w:r>
      <w:r w:rsidRPr="00EC1810">
        <w:rPr>
          <w:i/>
          <w:iCs/>
          <w:lang w:val="ru-RU"/>
        </w:rPr>
        <w:t>P</w:t>
      </w:r>
      <w:r w:rsidRPr="00EC1810">
        <w:rPr>
          <w:i/>
          <w:iCs/>
          <w:vertAlign w:val="subscript"/>
          <w:lang w:val="ru-RU"/>
        </w:rPr>
        <w:t>fluc</w:t>
      </w:r>
      <w:r w:rsidRPr="00EC1810">
        <w:rPr>
          <w:lang w:val="ru-RU"/>
        </w:rPr>
        <w:t xml:space="preserve"> в зависимости от географического местоположения и времени суток можно качественно оценить с помощью рисунка 5.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iCs/>
          <w:lang w:val="ru-RU"/>
        </w:rPr>
        <w:t>Шаг 4</w:t>
      </w:r>
      <w:r w:rsidRPr="00EC1810">
        <w:rPr>
          <w:lang w:val="ru-RU"/>
        </w:rPr>
        <w:t>:  </w:t>
      </w:r>
      <w:r w:rsidRPr="00EC1810">
        <w:rPr>
          <w:i/>
          <w:iCs/>
          <w:lang w:val="ru-RU"/>
        </w:rPr>
        <w:t>P</w:t>
      </w:r>
      <w:r w:rsidRPr="00EC1810">
        <w:rPr>
          <w:i/>
          <w:iCs/>
          <w:vertAlign w:val="subscript"/>
          <w:lang w:val="ru-RU"/>
        </w:rPr>
        <w:t>fluc</w:t>
      </w:r>
      <w:r w:rsidRPr="00EC1810">
        <w:rPr>
          <w:lang w:val="ru-RU"/>
        </w:rPr>
        <w:t xml:space="preserve">, как одна из составляющих бюджета линии связи, связана с потерями </w:t>
      </w:r>
      <w:r w:rsidRPr="00EC1810">
        <w:rPr>
          <w:i/>
          <w:iCs/>
          <w:lang w:val="ru-RU"/>
        </w:rPr>
        <w:t>L</w:t>
      </w:r>
      <w:r w:rsidRPr="00EC1810">
        <w:rPr>
          <w:i/>
          <w:iCs/>
          <w:vertAlign w:val="subscript"/>
          <w:lang w:val="ru-RU"/>
        </w:rPr>
        <w:t>p</w:t>
      </w:r>
      <w:r w:rsidRPr="00EC1810">
        <w:rPr>
          <w:lang w:val="ru-RU"/>
        </w:rPr>
        <w:t xml:space="preserve"> соотношением:</w:t>
      </w:r>
    </w:p>
    <w:p w:rsidR="00226B45" w:rsidRPr="00EC1810" w:rsidRDefault="00226B45" w:rsidP="00226B45">
      <w:pPr>
        <w:pStyle w:val="Equation"/>
        <w:rPr>
          <w:lang w:val="ru-RU"/>
        </w:rPr>
      </w:pPr>
      <w:r w:rsidRPr="00EC1810">
        <w:rPr>
          <w:lang w:val="ru-RU"/>
        </w:rPr>
        <w:tab/>
      </w:r>
      <w:r w:rsidRPr="00EC1810">
        <w:rPr>
          <w:lang w:val="ru-RU"/>
        </w:rPr>
        <w:tab/>
      </w:r>
      <w:r w:rsidRPr="00EC1810">
        <w:rPr>
          <w:lang w:val="ru-RU"/>
        </w:rPr>
        <w:object w:dxaOrig="1359" w:dyaOrig="460">
          <v:shape id="_x0000_i1052" type="#_x0000_t75" style="width:1in;height:21.9pt" o:ole="">
            <v:imagedata r:id="rId69" o:title=""/>
          </v:shape>
          <o:OLEObject Type="Embed" ProgID="Equation.3" ShapeID="_x0000_i1052" DrawAspect="Content" ObjectID="_1470662020" r:id="rId70"/>
        </w:objec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i/>
          <w:iCs/>
          <w:lang w:val="ru-RU"/>
        </w:rPr>
        <w:t>Шаг 5</w:t>
      </w:r>
      <w:r w:rsidRPr="00EC1810">
        <w:rPr>
          <w:lang w:val="ru-RU"/>
        </w:rPr>
        <w:t xml:space="preserve">: Определение индекса мерцаний, </w:t>
      </w:r>
      <w:r w:rsidRPr="00EC1810">
        <w:rPr>
          <w:i/>
          <w:iCs/>
          <w:lang w:val="ru-RU"/>
        </w:rPr>
        <w:t>S</w:t>
      </w:r>
      <w:r w:rsidRPr="00EC1810">
        <w:rPr>
          <w:vertAlign w:val="subscript"/>
          <w:lang w:val="ru-RU"/>
        </w:rPr>
        <w:t>4</w:t>
      </w:r>
      <w:r w:rsidRPr="00EC1810">
        <w:rPr>
          <w:lang w:val="ru-RU"/>
        </w:rPr>
        <w:t xml:space="preserve">, параметра, который наиболее широко используется при описании мерцаний, дано в п. 4.1. Получить его можно, зная </w:t>
      </w:r>
      <w:r w:rsidRPr="00EC1810">
        <w:rPr>
          <w:i/>
          <w:iCs/>
          <w:lang w:val="ru-RU"/>
        </w:rPr>
        <w:t>P</w:t>
      </w:r>
      <w:r w:rsidRPr="00EC1810">
        <w:rPr>
          <w:i/>
          <w:iCs/>
          <w:vertAlign w:val="subscript"/>
          <w:lang w:val="ru-RU"/>
        </w:rPr>
        <w:t>fluc</w:t>
      </w:r>
      <w:r w:rsidRPr="00EC1810">
        <w:rPr>
          <w:lang w:val="ru-RU"/>
        </w:rPr>
        <w:t xml:space="preserve"> и используя таблицу 1.</w: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t>РИСУНОК 12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>Годовая статистика полного размаха флуктуаций, наблюдавшихся</w:t>
      </w:r>
      <w:r w:rsidRPr="00EC1810">
        <w:rPr>
          <w:lang w:val="ru-RU"/>
        </w:rPr>
        <w:br/>
        <w:t>на земной станции в Гонконге (кривые I1, P1, I3–16, P3–P6)</w:t>
      </w:r>
      <w:r w:rsidRPr="00EC1810">
        <w:rPr>
          <w:lang w:val="ru-RU"/>
        </w:rPr>
        <w:br/>
        <w:t>и на земной станции Тайбэя (кривые P2 и I2)</w:t>
      </w:r>
    </w:p>
    <w:p w:rsidR="00226B45" w:rsidRPr="00EC1810" w:rsidRDefault="0090033E" w:rsidP="00226B45">
      <w:pPr>
        <w:pStyle w:val="Figure"/>
        <w:rPr>
          <w:b/>
          <w:szCs w:val="18"/>
          <w:lang w:val="ru-RU"/>
        </w:rPr>
      </w:pPr>
      <w:r w:rsidRPr="00EC1810">
        <w:rPr>
          <w:lang w:val="ru-RU"/>
        </w:rPr>
        <w:object w:dxaOrig="14072" w:dyaOrig="15144">
          <v:shape id="_x0000_i1053" type="#_x0000_t75" style="width:413.2pt;height:443.25pt" o:ole="">
            <v:imagedata r:id="rId71" o:title=""/>
          </v:shape>
          <o:OLEObject Type="Embed" ProgID="CorelDRAW.Graphic.14" ShapeID="_x0000_i1053" DrawAspect="Content" ObjectID="_1470662021" r:id="rId72"/>
        </w:objec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13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>Пример долгосрочных кумулятивных статистических данных уровней сигнала</w:t>
      </w:r>
      <w:r w:rsidRPr="00EC1810">
        <w:rPr>
          <w:lang w:val="ru-RU"/>
        </w:rPr>
        <w:br/>
        <w:t>(4 ГГц, угол места 20</w:t>
      </w:r>
      <w:r w:rsidRPr="00EC1810">
        <w:rPr>
          <w:rFonts w:ascii="Symbol" w:hAnsi="Symbol"/>
          <w:lang w:val="ru-RU"/>
        </w:rPr>
        <w:t></w:t>
      </w:r>
      <w:r w:rsidRPr="00EC1810">
        <w:rPr>
          <w:lang w:val="ru-RU"/>
        </w:rPr>
        <w:t>)</w:t>
      </w:r>
    </w:p>
    <w:p w:rsidR="00226B45" w:rsidRPr="00EC1810" w:rsidRDefault="00226B45" w:rsidP="00226B45">
      <w:pPr>
        <w:pStyle w:val="Figure"/>
        <w:rPr>
          <w:b/>
          <w:szCs w:val="18"/>
          <w:lang w:val="ru-RU"/>
        </w:rPr>
      </w:pPr>
      <w:r w:rsidRPr="00EC1810">
        <w:rPr>
          <w:lang w:val="ru-RU"/>
        </w:rPr>
        <w:object w:dxaOrig="13968" w:dyaOrig="9447">
          <v:shape id="_x0000_i1054" type="#_x0000_t75" style="width:6in;height:4in" o:ole="">
            <v:imagedata r:id="rId73" o:title=""/>
          </v:shape>
          <o:OLEObject Type="Embed" ProgID="CorelDRAW.Graphic.14" ShapeID="_x0000_i1054" DrawAspect="Content" ObjectID="_1470662022" r:id="rId74"/>
        </w:object>
      </w:r>
    </w:p>
    <w:p w:rsidR="00226B45" w:rsidRPr="00EC1810" w:rsidRDefault="00226B45" w:rsidP="00226B45">
      <w:pPr>
        <w:pStyle w:val="Heading1"/>
        <w:rPr>
          <w:lang w:val="ru-RU"/>
        </w:rPr>
      </w:pPr>
      <w:r w:rsidRPr="00EC1810">
        <w:rPr>
          <w:lang w:val="ru-RU"/>
        </w:rPr>
        <w:t>5</w:t>
      </w:r>
      <w:r w:rsidRPr="00EC1810">
        <w:rPr>
          <w:lang w:val="ru-RU"/>
        </w:rPr>
        <w:tab/>
        <w:t>Поглощение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При отсутствии непосредственной информации потери за счет поглощения в ионосфере можно оценить с помощью имеющихся моделей в соответствии с соотношением (sec 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> ) / </w:t>
      </w:r>
      <w:r w:rsidRPr="00EC1810">
        <w:rPr>
          <w:i/>
          <w:iCs/>
          <w:lang w:val="ru-RU"/>
        </w:rPr>
        <w:t>f</w:t>
      </w:r>
      <w:r w:rsidRPr="00EC1810">
        <w:rPr>
          <w:lang w:val="ru-RU"/>
        </w:rPr>
        <w:t> 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 xml:space="preserve"> для частот выше 30 МГц, где </w:t>
      </w:r>
      <w:r w:rsidRPr="00EC1810">
        <w:rPr>
          <w:i/>
          <w:iCs/>
          <w:lang w:val="ru-RU"/>
        </w:rPr>
        <w:t>i</w:t>
      </w:r>
      <w:r w:rsidRPr="00EC1810">
        <w:rPr>
          <w:lang w:val="ru-RU"/>
        </w:rPr>
        <w:t xml:space="preserve"> – зенитный угол траектории распространения в ионосфере. В экваториальных и среднеширотных районах на частотах выше 70 МГц радиоволны будут распространяться в ионосфере без заметного поглощения.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Измерения на средних широтах показывают, что типичные значения поглощения в нормальных условиях обычно составляют на частоте 30 МГц от 0,2 до 0,5 дБ для прохождения сквозь ионосферу в одном направлении при вертикальном падении. Во время солнечной вспышки поглощение будет возрастать, но не превысит 5 дБ. Усиленное поглощение может возникнуть на высоких широтах из</w:t>
      </w:r>
      <w:r w:rsidRPr="00EC1810">
        <w:rPr>
          <w:lang w:val="ru-RU"/>
        </w:rPr>
        <w:noBreakHyphen/>
        <w:t>за явлений, связанных с полярной шапкой и авроральной зоной; эти два вида поглощения возникают с интервалами, которые являются случайными величинами, продолжительность их различна, а их влияние зависит от местоположения терминалов и угла места трассы. Следовательно, для наиболее эффективного проектирования систем эти явления следует описывать статистически, имея в виду, что продолжительность аврорального поглощения имеет порядок нескольких часов, а в области полярных шапок процесс поглощения длится несколько дней.</w:t>
      </w: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5.1</w:t>
      </w:r>
      <w:r w:rsidRPr="00EC1810">
        <w:rPr>
          <w:lang w:val="ru-RU"/>
        </w:rPr>
        <w:tab/>
        <w:t>Авроральное поглощение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Авроральное поглощение возникает вследствие увеличения концентрации электронов в областях D и E при высыпаниях быстрых электронов. Поглощение наблюдается в полосе широт от 10° до 20°, центр которой расположен вблизи широты, где наблюдается максимальная частота появления видимых сияний. Оно происходит как ряд дискретных возрастаний поглощения, длительность каждого из которых сравнительно невелика – от минут до нескольких часов пр</w:t>
      </w:r>
      <w:r w:rsidR="00EC1810" w:rsidRPr="00EC1810">
        <w:rPr>
          <w:lang w:val="ru-RU"/>
        </w:rPr>
        <w:t>и средней длительности около 30 </w:t>
      </w:r>
      <w:r w:rsidRPr="00EC1810">
        <w:rPr>
          <w:lang w:val="ru-RU"/>
        </w:rPr>
        <w:t>мин., и обычно его временная структура нерегулярна. Ночные возрастания, как правило, состоят из плавных быстрых подъемов и медленных спадов. Типичные значения поглощения на частоте 127 МГц приведены в таблице 2.</w:t>
      </w:r>
    </w:p>
    <w:p w:rsidR="00226B45" w:rsidRPr="00EC1810" w:rsidRDefault="00226B45" w:rsidP="00226B45">
      <w:pPr>
        <w:pStyle w:val="TableNo"/>
        <w:rPr>
          <w:lang w:val="ru-RU"/>
        </w:rPr>
      </w:pPr>
      <w:r w:rsidRPr="00EC1810">
        <w:rPr>
          <w:lang w:val="ru-RU"/>
        </w:rPr>
        <w:lastRenderedPageBreak/>
        <w:t>ТАБЛИЦА 2</w:t>
      </w:r>
    </w:p>
    <w:p w:rsidR="00226B45" w:rsidRPr="00EC1810" w:rsidRDefault="00226B45" w:rsidP="00226B45">
      <w:pPr>
        <w:pStyle w:val="Tabletitle"/>
        <w:rPr>
          <w:lang w:val="ru-RU"/>
        </w:rPr>
      </w:pPr>
      <w:r w:rsidRPr="00EC1810">
        <w:rPr>
          <w:lang w:val="ru-RU"/>
        </w:rPr>
        <w:t>Авроральное поглощение на частоте 127 МГц (дБ)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85"/>
        <w:gridCol w:w="1418"/>
        <w:gridCol w:w="1418"/>
      </w:tblGrid>
      <w:tr w:rsidR="00226B45" w:rsidRPr="00EC1810" w:rsidTr="00226B45">
        <w:trPr>
          <w:cantSplit/>
          <w:jc w:val="center"/>
        </w:trPr>
        <w:tc>
          <w:tcPr>
            <w:tcW w:w="1985" w:type="dxa"/>
            <w:vMerge w:val="restart"/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lang w:val="ru-RU"/>
              </w:rPr>
              <w:t xml:space="preserve">Процент </w:t>
            </w:r>
            <w:r w:rsidRPr="00EC1810">
              <w:rPr>
                <w:lang w:val="ru-RU"/>
              </w:rPr>
              <w:br/>
              <w:t>времени</w:t>
            </w:r>
          </w:p>
        </w:tc>
        <w:tc>
          <w:tcPr>
            <w:tcW w:w="2836" w:type="dxa"/>
            <w:gridSpan w:val="2"/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lang w:val="ru-RU"/>
              </w:rPr>
              <w:t>Угол места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lang w:val="ru-RU"/>
              </w:rPr>
              <w:t>20°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lang w:val="ru-RU"/>
              </w:rPr>
              <w:t>5°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1985" w:type="dxa"/>
            <w:tcBorders>
              <w:bottom w:val="nil"/>
            </w:tcBorders>
          </w:tcPr>
          <w:p w:rsidR="00226B45" w:rsidRPr="00EC1810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0,1</w:t>
            </w:r>
          </w:p>
        </w:tc>
        <w:tc>
          <w:tcPr>
            <w:tcW w:w="1418" w:type="dxa"/>
            <w:tcBorders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1,5</w:t>
            </w:r>
          </w:p>
        </w:tc>
        <w:tc>
          <w:tcPr>
            <w:tcW w:w="1418" w:type="dxa"/>
            <w:tcBorders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2,9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1,7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1,4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1985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1,1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1985" w:type="dxa"/>
            <w:tcBorders>
              <w:top w:val="nil"/>
            </w:tcBorders>
          </w:tcPr>
          <w:p w:rsidR="00226B45" w:rsidRPr="00EC1810" w:rsidRDefault="00226B45" w:rsidP="00226B45">
            <w:pPr>
              <w:pStyle w:val="Tabletext"/>
              <w:tabs>
                <w:tab w:val="clear" w:pos="284"/>
                <w:tab w:val="clear" w:pos="567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decimal" w:pos="851"/>
              </w:tabs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50</w:t>
            </w:r>
          </w:p>
        </w:tc>
        <w:tc>
          <w:tcPr>
            <w:tcW w:w="1418" w:type="dxa"/>
            <w:tcBorders>
              <w:top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0,2</w:t>
            </w:r>
          </w:p>
        </w:tc>
        <w:tc>
          <w:tcPr>
            <w:tcW w:w="1418" w:type="dxa"/>
            <w:tcBorders>
              <w:top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0,4</w:t>
            </w:r>
          </w:p>
        </w:tc>
      </w:tr>
    </w:tbl>
    <w:p w:rsidR="00C90566" w:rsidRDefault="00C90566" w:rsidP="00C90566">
      <w:pPr>
        <w:pStyle w:val="Tablefin"/>
      </w:pPr>
    </w:p>
    <w:p w:rsidR="00226B45" w:rsidRPr="00EC1810" w:rsidRDefault="00226B45" w:rsidP="00226B45">
      <w:pPr>
        <w:pStyle w:val="Heading2"/>
        <w:rPr>
          <w:lang w:val="ru-RU"/>
        </w:rPr>
      </w:pPr>
      <w:r w:rsidRPr="00EC1810">
        <w:rPr>
          <w:lang w:val="ru-RU"/>
        </w:rPr>
        <w:t>5.2</w:t>
      </w:r>
      <w:r w:rsidRPr="00EC1810">
        <w:rPr>
          <w:lang w:val="ru-RU"/>
        </w:rPr>
        <w:tab/>
        <w:t>Поглощение в полярной шапке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Поглощение в полярной шапке, которое может возникнуть в периоды высокой солнечной активности, наблюдается на геомагнитных широтах выше 64°. Поглощение вызывается ионизацией на высотах более приблизительно 30 км. Обычно оно проявляется в виде дискретных, хотя иногда и перекрывающихся событий, которые почти всегда связаны с дискретными событиями на солнце. Поглощение продолжительно и регистрируется на освещенной части полярной шапки. Наиболее часто поглощение в полярной шапке происходит во время максимума цикла солнечной активности, когда в течение года может быть отмечено от 10 до 12 событий такого рода. Каждое событие может продолжаться до нескольких дней. В этом заключается отличие от аврорального поглощения, которое зачастую совершенно локально и имеет вариации порядка нескольких минут.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Примечательной чертой события поглощения в полярной шапке является значительное уменьшение поглощения в ночные часы для данной скорости образования электронов. Рисунок 14 представляет собой основанную на риометрических наблюдениях на разных широтах гипотетическую модель суточных вариаций поглощения в полярной шапке, последовавшего за крупной вспышкой на солнце.</w:t>
      </w:r>
    </w:p>
    <w:p w:rsidR="00226B45" w:rsidRPr="00EC1810" w:rsidRDefault="00226B45" w:rsidP="00226B45">
      <w:pPr>
        <w:pStyle w:val="FigureNo"/>
        <w:rPr>
          <w:lang w:val="ru-RU"/>
        </w:rPr>
      </w:pPr>
      <w:r w:rsidRPr="00EC1810">
        <w:rPr>
          <w:lang w:val="ru-RU"/>
        </w:rPr>
        <w:lastRenderedPageBreak/>
        <w:t>РИСУНОК 14</w:t>
      </w:r>
    </w:p>
    <w:p w:rsidR="00226B45" w:rsidRPr="00EC1810" w:rsidRDefault="00226B45" w:rsidP="00226B45">
      <w:pPr>
        <w:pStyle w:val="Figuretitle"/>
        <w:rPr>
          <w:lang w:val="ru-RU"/>
        </w:rPr>
      </w:pPr>
      <w:r w:rsidRPr="00EC1810">
        <w:rPr>
          <w:lang w:val="ru-RU"/>
        </w:rPr>
        <w:t xml:space="preserve">Гипотетическая модель поглощения в полярной шапке, следующего за крупной вспышкой на солнце, </w:t>
      </w:r>
      <w:r w:rsidRPr="00EC1810">
        <w:rPr>
          <w:lang w:val="ru-RU"/>
        </w:rPr>
        <w:br/>
        <w:t>по прогнозам наблюдений на риометрах на частоте около 30 МГц</w:t>
      </w:r>
    </w:p>
    <w:p w:rsidR="00226B45" w:rsidRPr="00EC1810" w:rsidRDefault="00226B45" w:rsidP="00226B45">
      <w:pPr>
        <w:pStyle w:val="Figure"/>
        <w:rPr>
          <w:lang w:val="ru-RU"/>
        </w:rPr>
      </w:pPr>
      <w:r w:rsidRPr="00EC1810">
        <w:rPr>
          <w:lang w:val="ru-RU"/>
        </w:rPr>
        <w:object w:dxaOrig="12788" w:dyaOrig="14709">
          <v:shape id="_x0000_i1055" type="#_x0000_t75" style="width:395.7pt;height:453.9pt" o:ole="">
            <v:imagedata r:id="rId75" o:title=""/>
          </v:shape>
          <o:OLEObject Type="Embed" ProgID="CorelDRAW.Graphic.14" ShapeID="_x0000_i1055" DrawAspect="Content" ObjectID="_1470662023" r:id="rId76"/>
        </w:object>
      </w:r>
    </w:p>
    <w:p w:rsidR="00226B45" w:rsidRPr="00EC1810" w:rsidRDefault="00226B45" w:rsidP="00226B45">
      <w:pPr>
        <w:pStyle w:val="Heading1"/>
        <w:rPr>
          <w:lang w:val="ru-RU"/>
        </w:rPr>
      </w:pPr>
      <w:r w:rsidRPr="00EC1810">
        <w:rPr>
          <w:lang w:val="ru-RU"/>
        </w:rPr>
        <w:t>6</w:t>
      </w:r>
      <w:r w:rsidRPr="00EC1810">
        <w:rPr>
          <w:lang w:val="ru-RU"/>
        </w:rPr>
        <w:tab/>
        <w:t>Резюме</w:t>
      </w:r>
    </w:p>
    <w:p w:rsidR="00226B45" w:rsidRPr="00EC1810" w:rsidRDefault="00226B45" w:rsidP="00226B45">
      <w:pPr>
        <w:rPr>
          <w:lang w:val="ru-RU"/>
        </w:rPr>
      </w:pPr>
      <w:r w:rsidRPr="00EC1810">
        <w:rPr>
          <w:lang w:val="ru-RU"/>
        </w:rPr>
        <w:t>В таблице 3 приведены оценки максимальных значений ионосферных эффектов на частоте 1 ГГц. Предполагается, что полное содержание электронов в вертикальном столбе ионосферы составляет 10</w:t>
      </w:r>
      <w:r w:rsidRPr="00EC1810">
        <w:rPr>
          <w:vertAlign w:val="superscript"/>
          <w:lang w:val="ru-RU"/>
        </w:rPr>
        <w:t>18</w:t>
      </w:r>
      <w:r w:rsidRPr="00EC1810">
        <w:rPr>
          <w:lang w:val="ru-RU"/>
        </w:rPr>
        <w:t> эл/м</w:t>
      </w:r>
      <w:r w:rsidRPr="00EC1810">
        <w:rPr>
          <w:vertAlign w:val="superscript"/>
          <w:lang w:val="ru-RU"/>
        </w:rPr>
        <w:t>2</w:t>
      </w:r>
      <w:r w:rsidRPr="00EC1810">
        <w:rPr>
          <w:lang w:val="ru-RU"/>
        </w:rPr>
        <w:t>. Угол места считается равным примерно 30°. Величины даны для случая прохождения радиоволн через ионосферу в одном направлении.</w:t>
      </w:r>
    </w:p>
    <w:p w:rsidR="00226B45" w:rsidRPr="00EC1810" w:rsidRDefault="00226B45" w:rsidP="00226B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EC1810">
        <w:rPr>
          <w:lang w:val="ru-RU"/>
        </w:rPr>
        <w:br w:type="page"/>
      </w:r>
    </w:p>
    <w:p w:rsidR="00226B45" w:rsidRPr="00EC1810" w:rsidRDefault="00226B45" w:rsidP="00226B45">
      <w:pPr>
        <w:pStyle w:val="TableNo"/>
        <w:rPr>
          <w:lang w:val="ru-RU"/>
        </w:rPr>
      </w:pPr>
      <w:r w:rsidRPr="00EC1810">
        <w:rPr>
          <w:lang w:val="ru-RU"/>
        </w:rPr>
        <w:lastRenderedPageBreak/>
        <w:t>ТАБЛИЦА 3</w:t>
      </w:r>
    </w:p>
    <w:p w:rsidR="00226B45" w:rsidRPr="00EC1810" w:rsidRDefault="00226B45" w:rsidP="00226B45">
      <w:pPr>
        <w:pStyle w:val="Tabletitle"/>
        <w:rPr>
          <w:lang w:val="ru-RU"/>
        </w:rPr>
      </w:pPr>
      <w:r w:rsidRPr="00EC1810">
        <w:rPr>
          <w:lang w:val="ru-RU"/>
        </w:rPr>
        <w:t xml:space="preserve">Оценки максимальных ионосферных эффектов на частоте 1 ГГц для углов места </w:t>
      </w:r>
      <w:r w:rsidRPr="00EC1810">
        <w:rPr>
          <w:lang w:val="ru-RU"/>
        </w:rPr>
        <w:br/>
        <w:t>около 30° при пересечении ионосферы в одном направлении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3"/>
        <w:gridCol w:w="2268"/>
        <w:gridCol w:w="2128"/>
      </w:tblGrid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lang w:val="ru-RU"/>
              </w:rPr>
              <w:t>Эффект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lang w:val="ru-RU"/>
              </w:rPr>
              <w:t>Величина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226B45" w:rsidRPr="00EC1810" w:rsidRDefault="00226B45" w:rsidP="00226B45">
            <w:pPr>
              <w:pStyle w:val="Tablehead"/>
              <w:rPr>
                <w:lang w:val="ru-RU"/>
              </w:rPr>
            </w:pPr>
            <w:r w:rsidRPr="00EC1810">
              <w:rPr>
                <w:lang w:val="ru-RU"/>
              </w:rPr>
              <w:t xml:space="preserve">Зависимость </w:t>
            </w:r>
            <w:r w:rsidRPr="00EC1810">
              <w:rPr>
                <w:lang w:val="ru-RU"/>
              </w:rPr>
              <w:br/>
              <w:t>от частоты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bottom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 xml:space="preserve">Фарадеевское вращение </w:t>
            </w:r>
          </w:p>
        </w:tc>
        <w:tc>
          <w:tcPr>
            <w:tcW w:w="2268" w:type="dxa"/>
            <w:tcBorders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108°</w:t>
            </w:r>
          </w:p>
        </w:tc>
        <w:tc>
          <w:tcPr>
            <w:tcW w:w="2128" w:type="dxa"/>
            <w:tcBorders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position w:val="4"/>
                <w:vertAlign w:val="superscript"/>
                <w:lang w:val="ru-RU"/>
              </w:rPr>
              <w:t> </w:t>
            </w:r>
            <w:r w:rsidRPr="00EC1810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Задержка распространения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0,25 мкс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Рефракция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&lt; 0,17 мрад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rFonts w:ascii="Tms Rmn" w:hAnsi="Tms Rmn"/>
                <w:i/>
                <w:lang w:val="ru-RU"/>
              </w:rPr>
              <w:t> </w:t>
            </w:r>
            <w:r w:rsidRPr="00EC1810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Изменение направления прихода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0,2 дуговых мин.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position w:val="2"/>
                <w:vertAlign w:val="superscript"/>
                <w:lang w:val="ru-RU"/>
              </w:rPr>
              <w:t> 2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Поглощение</w:t>
            </w:r>
            <w:r w:rsidRPr="00EC1810">
              <w:rPr>
                <w:lang w:val="ru-RU"/>
              </w:rPr>
              <w:br/>
              <w:t>  (в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0,04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rFonts w:ascii="Symbol" w:hAnsi="Symbol"/>
                <w:lang w:val="ru-RU"/>
              </w:rPr>
              <w:t></w:t>
            </w: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position w:val="4"/>
                <w:vertAlign w:val="superscript"/>
                <w:lang w:val="ru-RU"/>
              </w:rPr>
              <w:t> </w:t>
            </w:r>
            <w:r w:rsidRPr="00EC1810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ind w:right="-57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 xml:space="preserve">Поглощение </w:t>
            </w:r>
            <w:r w:rsidRPr="00EC1810">
              <w:rPr>
                <w:lang w:val="ru-RU"/>
              </w:rPr>
              <w:br/>
              <w:t xml:space="preserve">  (авроральное </w:t>
            </w:r>
            <w:r w:rsidRPr="00EC1810">
              <w:rPr>
                <w:rFonts w:ascii="Symbol" w:hAnsi="Symbol"/>
                <w:lang w:val="ru-RU"/>
              </w:rPr>
              <w:t></w:t>
            </w:r>
            <w:r w:rsidRPr="00EC1810">
              <w:rPr>
                <w:lang w:val="ru-RU"/>
              </w:rPr>
              <w:t xml:space="preserve">  в полярной шапке)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0,05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rFonts w:ascii="Symbol" w:hAnsi="Symbol"/>
                <w:lang w:val="ru-RU"/>
              </w:rPr>
              <w:t></w:t>
            </w: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rFonts w:ascii="Tms Rmn" w:hAnsi="Tms Rmn"/>
                <w:i/>
                <w:lang w:val="ru-RU"/>
              </w:rPr>
              <w:t> </w:t>
            </w:r>
            <w:r w:rsidRPr="00EC1810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 xml:space="preserve">Поглощение </w:t>
            </w:r>
            <w:r w:rsidRPr="00EC1810">
              <w:rPr>
                <w:lang w:val="ru-RU"/>
              </w:rPr>
              <w:br/>
              <w:t>  (среднеширотное)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&lt; 0,01 дБ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rFonts w:ascii="Tms Rmn" w:hAnsi="Tms Rmn"/>
                <w:i/>
                <w:lang w:val="ru-RU"/>
              </w:rPr>
              <w:t> </w:t>
            </w:r>
            <w:r w:rsidRPr="00EC1810">
              <w:rPr>
                <w:position w:val="2"/>
                <w:vertAlign w:val="superscript"/>
                <w:lang w:val="ru-RU"/>
              </w:rPr>
              <w:t>2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Дисперсия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0–4 нс/МГц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1/</w:t>
            </w:r>
            <w:r w:rsidRPr="00EC1810">
              <w:rPr>
                <w:i/>
                <w:lang w:val="ru-RU"/>
              </w:rPr>
              <w:t>f</w:t>
            </w:r>
            <w:r w:rsidRPr="00EC1810">
              <w:rPr>
                <w:position w:val="2"/>
                <w:vertAlign w:val="superscript"/>
                <w:lang w:val="ru-RU"/>
              </w:rPr>
              <w:t> 3</w:t>
            </w:r>
          </w:p>
        </w:tc>
      </w:tr>
      <w:tr w:rsidR="00226B45" w:rsidRPr="00EC1810" w:rsidTr="00226B45">
        <w:trPr>
          <w:cantSplit/>
          <w:jc w:val="center"/>
        </w:trPr>
        <w:tc>
          <w:tcPr>
            <w:tcW w:w="3263" w:type="dxa"/>
            <w:tcBorders>
              <w:top w:val="nil"/>
            </w:tcBorders>
          </w:tcPr>
          <w:p w:rsidR="00226B45" w:rsidRPr="00EC1810" w:rsidRDefault="00226B45" w:rsidP="00226B45">
            <w:pPr>
              <w:pStyle w:val="Tabletext"/>
              <w:jc w:val="left"/>
              <w:rPr>
                <w:lang w:val="ru-RU"/>
              </w:rPr>
            </w:pPr>
            <w:r w:rsidRPr="00EC1810">
              <w:rPr>
                <w:lang w:val="ru-RU"/>
              </w:rPr>
              <w:t>Мерцания</w:t>
            </w:r>
          </w:p>
        </w:tc>
        <w:tc>
          <w:tcPr>
            <w:tcW w:w="2268" w:type="dxa"/>
            <w:tcBorders>
              <w:top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См. п. 4</w:t>
            </w:r>
          </w:p>
        </w:tc>
        <w:tc>
          <w:tcPr>
            <w:tcW w:w="2128" w:type="dxa"/>
            <w:tcBorders>
              <w:top w:val="nil"/>
            </w:tcBorders>
          </w:tcPr>
          <w:p w:rsidR="00226B45" w:rsidRPr="00EC1810" w:rsidRDefault="00226B45" w:rsidP="00226B45">
            <w:pPr>
              <w:pStyle w:val="Tabletext"/>
              <w:jc w:val="center"/>
              <w:rPr>
                <w:lang w:val="ru-RU"/>
              </w:rPr>
            </w:pPr>
            <w:r w:rsidRPr="00EC1810">
              <w:rPr>
                <w:lang w:val="ru-RU"/>
              </w:rPr>
              <w:t>См. п. 4</w:t>
            </w:r>
          </w:p>
        </w:tc>
      </w:tr>
    </w:tbl>
    <w:p w:rsidR="00C90566" w:rsidRDefault="00C90566" w:rsidP="00C90566">
      <w:pPr>
        <w:pStyle w:val="Tablefin"/>
      </w:pPr>
    </w:p>
    <w:p w:rsidR="00934ED7" w:rsidRPr="00C90566" w:rsidRDefault="00C90566" w:rsidP="00C90566">
      <w:pPr>
        <w:spacing w:before="720"/>
        <w:jc w:val="center"/>
      </w:pPr>
      <w:r>
        <w:t>______________</w:t>
      </w:r>
    </w:p>
    <w:sectPr w:rsidR="00934ED7" w:rsidRPr="00C90566" w:rsidSect="00226B45">
      <w:headerReference w:type="first" r:id="rId7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B45" w:rsidRDefault="00226B45">
      <w:r>
        <w:separator/>
      </w:r>
    </w:p>
  </w:endnote>
  <w:endnote w:type="continuationSeparator" w:id="0">
    <w:p w:rsidR="00226B45" w:rsidRDefault="0022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B45" w:rsidRDefault="00226B45">
      <w:r>
        <w:separator/>
      </w:r>
    </w:p>
  </w:footnote>
  <w:footnote w:type="continuationSeparator" w:id="0">
    <w:p w:rsidR="00226B45" w:rsidRDefault="00226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B45" w:rsidRDefault="00226B4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B45" w:rsidRDefault="00226B45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B45" w:rsidRDefault="00226B45" w:rsidP="007D7A01">
    <w:pPr>
      <w:pStyle w:val="Header"/>
      <w:tabs>
        <w:tab w:val="clear" w:pos="9696"/>
        <w:tab w:val="left" w:pos="645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55C86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55C86">
      <w:rPr>
        <w:b/>
        <w:bCs/>
        <w:noProof/>
        <w:szCs w:val="22"/>
        <w:lang w:val="en-US"/>
      </w:rPr>
      <w:t>МСЭ-R  P.531-12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B45" w:rsidRDefault="00226B4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55C86">
      <w:rPr>
        <w:b/>
        <w:bCs/>
        <w:noProof/>
      </w:rPr>
      <w:t>МСЭ-R  P.531-12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55C86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B45" w:rsidRPr="003D4625" w:rsidRDefault="00226B45" w:rsidP="00226B45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A55C86">
      <w:rPr>
        <w:b/>
        <w:bCs/>
        <w:noProof/>
      </w:rPr>
      <w:t>МСЭ-R  P.531-12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A55C86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81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2E96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1E6CBC"/>
    <w:rsid w:val="001F5DEE"/>
    <w:rsid w:val="001F6DF3"/>
    <w:rsid w:val="002058CE"/>
    <w:rsid w:val="002165F1"/>
    <w:rsid w:val="0022266F"/>
    <w:rsid w:val="00226B45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3E26F6"/>
    <w:rsid w:val="00420DFD"/>
    <w:rsid w:val="00424855"/>
    <w:rsid w:val="00431CF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92AE1"/>
    <w:rsid w:val="006B1D2B"/>
    <w:rsid w:val="006E1131"/>
    <w:rsid w:val="006E2037"/>
    <w:rsid w:val="006E6199"/>
    <w:rsid w:val="006F094C"/>
    <w:rsid w:val="00712870"/>
    <w:rsid w:val="00714E5C"/>
    <w:rsid w:val="00715E6C"/>
    <w:rsid w:val="00743D85"/>
    <w:rsid w:val="00753CF4"/>
    <w:rsid w:val="007565CC"/>
    <w:rsid w:val="00763B9A"/>
    <w:rsid w:val="007A6AA8"/>
    <w:rsid w:val="007D056D"/>
    <w:rsid w:val="007D7A01"/>
    <w:rsid w:val="007F008D"/>
    <w:rsid w:val="0081783D"/>
    <w:rsid w:val="008310C9"/>
    <w:rsid w:val="008321E0"/>
    <w:rsid w:val="00853CC5"/>
    <w:rsid w:val="00870848"/>
    <w:rsid w:val="008C7848"/>
    <w:rsid w:val="0090033E"/>
    <w:rsid w:val="00905CFB"/>
    <w:rsid w:val="00906589"/>
    <w:rsid w:val="00906AD6"/>
    <w:rsid w:val="00906CC6"/>
    <w:rsid w:val="00917AF2"/>
    <w:rsid w:val="0092418A"/>
    <w:rsid w:val="00934ED7"/>
    <w:rsid w:val="009543C3"/>
    <w:rsid w:val="00966E1B"/>
    <w:rsid w:val="009947C0"/>
    <w:rsid w:val="009D6B2F"/>
    <w:rsid w:val="009E3058"/>
    <w:rsid w:val="009F2D2C"/>
    <w:rsid w:val="00A25DEC"/>
    <w:rsid w:val="00A31928"/>
    <w:rsid w:val="00A55C86"/>
    <w:rsid w:val="00A60C8C"/>
    <w:rsid w:val="00A62A14"/>
    <w:rsid w:val="00A6617B"/>
    <w:rsid w:val="00A71FE5"/>
    <w:rsid w:val="00A95F70"/>
    <w:rsid w:val="00A971A1"/>
    <w:rsid w:val="00AA3AD8"/>
    <w:rsid w:val="00AB0DC8"/>
    <w:rsid w:val="00AB2264"/>
    <w:rsid w:val="00AF302B"/>
    <w:rsid w:val="00B033C8"/>
    <w:rsid w:val="00B314B7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17B28"/>
    <w:rsid w:val="00C365C9"/>
    <w:rsid w:val="00C46BD9"/>
    <w:rsid w:val="00C55258"/>
    <w:rsid w:val="00C73560"/>
    <w:rsid w:val="00C759B7"/>
    <w:rsid w:val="00C90566"/>
    <w:rsid w:val="00CB0F14"/>
    <w:rsid w:val="00CD659B"/>
    <w:rsid w:val="00CE0A43"/>
    <w:rsid w:val="00D24798"/>
    <w:rsid w:val="00D54BEC"/>
    <w:rsid w:val="00D5778E"/>
    <w:rsid w:val="00D7285B"/>
    <w:rsid w:val="00D83556"/>
    <w:rsid w:val="00DC3274"/>
    <w:rsid w:val="00DE2167"/>
    <w:rsid w:val="00DF4176"/>
    <w:rsid w:val="00E17240"/>
    <w:rsid w:val="00E74595"/>
    <w:rsid w:val="00EB3675"/>
    <w:rsid w:val="00EB7C57"/>
    <w:rsid w:val="00EC1810"/>
    <w:rsid w:val="00ED2695"/>
    <w:rsid w:val="00EF4709"/>
    <w:rsid w:val="00F074C2"/>
    <w:rsid w:val="00F30C9B"/>
    <w:rsid w:val="00F3236A"/>
    <w:rsid w:val="00F33577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48C03336-AFF6-4401-8D9E-64A73ADD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B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Char">
    <w:name w:val="Figure_No Char"/>
    <w:basedOn w:val="DefaultParagraphFont"/>
    <w:link w:val="FigureNo"/>
    <w:rsid w:val="00226B45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226B45"/>
    <w:rPr>
      <w:rFonts w:ascii="Times New Roman Bold" w:hAnsi="Times New Roman Bold"/>
      <w:b/>
      <w:sz w:val="1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B314B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14B7"/>
    <w:rPr>
      <w:rFonts w:ascii="Segoe UI" w:hAnsi="Segoe UI" w:cs="Segoe UI"/>
      <w:sz w:val="18"/>
      <w:szCs w:val="18"/>
      <w:lang w:val="fr-FR" w:eastAsia="en-US"/>
    </w:rPr>
  </w:style>
  <w:style w:type="paragraph" w:customStyle="1" w:styleId="Reasons">
    <w:name w:val="Reasons"/>
    <w:basedOn w:val="Normal"/>
    <w:qFormat/>
    <w:rsid w:val="00C9056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5.emf"/><Relationship Id="rId34" Type="http://schemas.openxmlformats.org/officeDocument/2006/relationships/image" Target="media/image11.emf"/><Relationship Id="rId42" Type="http://schemas.openxmlformats.org/officeDocument/2006/relationships/image" Target="media/image15.wmf"/><Relationship Id="rId47" Type="http://schemas.openxmlformats.org/officeDocument/2006/relationships/oleObject" Target="embeddings/oleObject16.bin"/><Relationship Id="rId50" Type="http://schemas.openxmlformats.org/officeDocument/2006/relationships/image" Target="media/image19.emf"/><Relationship Id="rId55" Type="http://schemas.openxmlformats.org/officeDocument/2006/relationships/oleObject" Target="embeddings/oleObject20.bin"/><Relationship Id="rId63" Type="http://schemas.openxmlformats.org/officeDocument/2006/relationships/image" Target="media/image25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7" Type="http://schemas.openxmlformats.org/officeDocument/2006/relationships/endnotes" Target="endnotes.xml"/><Relationship Id="rId71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hyperlink" Target="http://www.itu.int/rec/R-REC-P.531-12-201309-I/en" TargetMode="External"/><Relationship Id="rId29" Type="http://schemas.openxmlformats.org/officeDocument/2006/relationships/image" Target="media/image9.emf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3.wmf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4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://www.itu.int/md/R12-SG03-C-0037/en" TargetMode="External"/><Relationship Id="rId44" Type="http://schemas.openxmlformats.org/officeDocument/2006/relationships/image" Target="media/image16.emf"/><Relationship Id="rId52" Type="http://schemas.openxmlformats.org/officeDocument/2006/relationships/image" Target="media/image20.emf"/><Relationship Id="rId60" Type="http://schemas.openxmlformats.org/officeDocument/2006/relationships/oleObject" Target="embeddings/oleObject23.bin"/><Relationship Id="rId65" Type="http://schemas.openxmlformats.org/officeDocument/2006/relationships/image" Target="media/image26.wmf"/><Relationship Id="rId73" Type="http://schemas.openxmlformats.org/officeDocument/2006/relationships/image" Target="media/image30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8.emf"/><Relationship Id="rId56" Type="http://schemas.openxmlformats.org/officeDocument/2006/relationships/image" Target="media/image22.wmf"/><Relationship Id="rId64" Type="http://schemas.openxmlformats.org/officeDocument/2006/relationships/oleObject" Target="embeddings/oleObject25.bin"/><Relationship Id="rId69" Type="http://schemas.openxmlformats.org/officeDocument/2006/relationships/image" Target="media/image28.wmf"/><Relationship Id="rId77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5" Type="http://schemas.openxmlformats.org/officeDocument/2006/relationships/image" Target="media/image7.emf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46" Type="http://schemas.openxmlformats.org/officeDocument/2006/relationships/image" Target="media/image17.emf"/><Relationship Id="rId59" Type="http://schemas.openxmlformats.org/officeDocument/2006/relationships/oleObject" Target="embeddings/oleObject22.bin"/><Relationship Id="rId67" Type="http://schemas.openxmlformats.org/officeDocument/2006/relationships/image" Target="media/image27.e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1.wmf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image" Target="media/image12.e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B9DCB-6CC1-4EF6-BF08-2C909C778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159</TotalTime>
  <Pages>24</Pages>
  <Words>4517</Words>
  <Characters>31360</Characters>
  <Application>Microsoft Office Word</Application>
  <DocSecurity>0</DocSecurity>
  <Lines>1161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35796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P.531-12 (09/2013) - Данные об ионосферном распространении радиоволн и методы прогнозирования, необходимые для проектирования спутниковых служб и систем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25</cp:revision>
  <cp:lastPrinted>2014-08-27T13:24:00Z</cp:lastPrinted>
  <dcterms:created xsi:type="dcterms:W3CDTF">2014-08-26T13:26:00Z</dcterms:created>
  <dcterms:modified xsi:type="dcterms:W3CDTF">2014-08-27T14:09:00Z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