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FD" w:rsidRPr="00DF58E5" w:rsidRDefault="00733EFD" w:rsidP="00284263">
      <w:pPr>
        <w:pStyle w:val="Rec"/>
        <w:spacing w:before="0"/>
        <w:rPr>
          <w:lang w:val="en-US"/>
        </w:rPr>
      </w:pPr>
      <w:r w:rsidRPr="00DF58E5">
        <w:rPr>
          <w:lang w:val="en-US"/>
        </w:rPr>
        <w:t>RECOMMENDATION  ITU-R  P.525-2</w:t>
      </w:r>
      <w:r w:rsidR="00284263" w:rsidRPr="00805C8D">
        <w:rPr>
          <w:rStyle w:val="FootnoteReference"/>
        </w:rPr>
        <w:footnoteReference w:customMarkFollows="1" w:id="1"/>
        <w:sym w:font="Symbol" w:char="F02A"/>
      </w:r>
    </w:p>
    <w:p w:rsidR="00733EFD" w:rsidRDefault="00733EFD" w:rsidP="00733EFD">
      <w:pPr>
        <w:pStyle w:val="RecTitle"/>
      </w:pPr>
      <w:bookmarkStart w:id="0" w:name="dsgno"/>
      <w:bookmarkEnd w:id="0"/>
      <w:r>
        <w:t>CALCULATION  OF  FREE-SPACE  ATTENUATION</w:t>
      </w:r>
    </w:p>
    <w:p w:rsidR="00733EFD" w:rsidRPr="00DF58E5" w:rsidRDefault="00733EFD" w:rsidP="00733EFD">
      <w:pPr>
        <w:pStyle w:val="RecTitleDate"/>
        <w:rPr>
          <w:lang w:val="en-US"/>
        </w:rPr>
      </w:pPr>
      <w:r w:rsidRPr="00DF58E5">
        <w:rPr>
          <w:lang w:val="en-US"/>
        </w:rPr>
        <w:t>(1978-1982-1994)</w:t>
      </w:r>
    </w:p>
    <w:p w:rsidR="00733EFD" w:rsidRPr="00DF58E5" w:rsidRDefault="00733EFD" w:rsidP="00284263">
      <w:pPr>
        <w:pStyle w:val="headfoot"/>
        <w:rPr>
          <w:color w:val="FFFFFF"/>
          <w:lang w:val="en-US"/>
        </w:rPr>
      </w:pPr>
      <w:r w:rsidRPr="00DF58E5">
        <w:rPr>
          <w:color w:val="FFFFFF"/>
          <w:lang w:val="en-US"/>
        </w:rPr>
        <w:t>Rec. ITU-R P.525-2</w:t>
      </w:r>
    </w:p>
    <w:p w:rsidR="00733EFD" w:rsidRDefault="00733EFD" w:rsidP="00733EFD">
      <w:r>
        <w:t>The ITU Radiocommunication Assembly,</w:t>
      </w:r>
    </w:p>
    <w:p w:rsidR="00733EFD" w:rsidRDefault="00733EFD" w:rsidP="00733EFD">
      <w:pPr>
        <w:pStyle w:val="call"/>
      </w:pPr>
      <w:r>
        <w:t>considering</w:t>
      </w:r>
    </w:p>
    <w:p w:rsidR="00733EFD" w:rsidRDefault="00733EFD" w:rsidP="00733EFD">
      <w:r>
        <w:t>a)</w:t>
      </w:r>
      <w:r>
        <w:tab/>
        <w:t>that free-space propagation is a fundamental reference for radio-engineering,</w:t>
      </w:r>
    </w:p>
    <w:p w:rsidR="00733EFD" w:rsidRDefault="00733EFD" w:rsidP="00733EFD">
      <w:pPr>
        <w:pStyle w:val="call"/>
      </w:pPr>
      <w:r>
        <w:t>recommends</w:t>
      </w:r>
    </w:p>
    <w:p w:rsidR="00733EFD" w:rsidRDefault="00733EFD" w:rsidP="00733EFD">
      <w:r>
        <w:rPr>
          <w:b/>
        </w:rPr>
        <w:t>1.</w:t>
      </w:r>
      <w:r>
        <w:tab/>
        <w:t>that the methods in Annex 1 be used for the calculation of attenuation in free space.</w:t>
      </w:r>
    </w:p>
    <w:p w:rsidR="00733EFD" w:rsidRDefault="00733EFD" w:rsidP="00733EFD">
      <w:pPr>
        <w:pStyle w:val="Annex"/>
        <w:spacing w:before="480"/>
      </w:pPr>
      <w:r>
        <w:t>ANNEX  1</w:t>
      </w:r>
    </w:p>
    <w:p w:rsidR="00733EFD" w:rsidRDefault="00733EFD" w:rsidP="00733EFD">
      <w:pPr>
        <w:pStyle w:val="Heading1"/>
      </w:pPr>
      <w:r>
        <w:t>1.</w:t>
      </w:r>
      <w:r>
        <w:tab/>
        <w:t>Introduction</w:t>
      </w:r>
    </w:p>
    <w:p w:rsidR="00733EFD" w:rsidRDefault="00733EFD" w:rsidP="00733EFD">
      <w:r>
        <w:tab/>
        <w:t>As free-space propagation is often used as a reference in other texts, this Annex presents relevant formulae.</w:t>
      </w:r>
    </w:p>
    <w:p w:rsidR="00733EFD" w:rsidRDefault="00733EFD" w:rsidP="00733EFD">
      <w:pPr>
        <w:pStyle w:val="Heading1"/>
      </w:pPr>
      <w:r>
        <w:t>2.</w:t>
      </w:r>
      <w:r>
        <w:tab/>
        <w:t>Basic formulae for telecommunication links</w:t>
      </w:r>
    </w:p>
    <w:p w:rsidR="00733EFD" w:rsidRDefault="00733EFD" w:rsidP="00733EFD">
      <w:r>
        <w:tab/>
        <w:t>Free-space propagation may be calculated in two different ways, each of which is adapted to a particular type of service.</w:t>
      </w:r>
    </w:p>
    <w:p w:rsidR="00733EFD" w:rsidRDefault="00733EFD" w:rsidP="00733EFD">
      <w:pPr>
        <w:pStyle w:val="Heading2"/>
      </w:pPr>
      <w:r>
        <w:t>2.1</w:t>
      </w:r>
      <w:r>
        <w:tab/>
        <w:t>Point-to-area links</w:t>
      </w:r>
    </w:p>
    <w:p w:rsidR="00733EFD" w:rsidRDefault="00733EFD" w:rsidP="00733EFD">
      <w:r>
        <w:tab/>
        <w:t>If there is a transmitter serving several randomly-distributed receivers (broadcasting, mobile service), the field is calculated at a point located at some appropriate distance from the transmitter by the expression:</w:t>
      </w:r>
    </w:p>
    <w:p w:rsidR="00733EFD" w:rsidRDefault="00733EFD" w:rsidP="00DF58E5">
      <w:pPr>
        <w:pStyle w:val="Equation"/>
      </w:pPr>
      <w:bookmarkStart w:id="1" w:name="F001"/>
      <w:r>
        <w:tab/>
      </w:r>
      <w:r>
        <w:tab/>
      </w:r>
      <w:r w:rsidR="00DF58E5" w:rsidRPr="00E40ED6">
        <w:rPr>
          <w:position w:val="-22"/>
        </w:rPr>
        <w:object w:dxaOrig="10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.15pt;height:31.25pt" o:ole="">
            <v:imagedata r:id="rId6" o:title=""/>
          </v:shape>
          <o:OLEObject Type="Embed" ProgID="Equation.3" ShapeID="_x0000_i1027" DrawAspect="Content" ObjectID="_1463560118" r:id="rId7"/>
        </w:object>
      </w:r>
      <w:r>
        <w:tab/>
        <w:t>(1)</w:t>
      </w:r>
      <w:bookmarkEnd w:id="1"/>
    </w:p>
    <w:p w:rsidR="00733EFD" w:rsidRDefault="00733EFD" w:rsidP="00733EFD">
      <w:r>
        <w:t>where:</w:t>
      </w:r>
    </w:p>
    <w:p w:rsidR="00733EFD" w:rsidRDefault="00733EFD" w:rsidP="00733EFD">
      <w:pPr>
        <w:pStyle w:val="enumlev1"/>
      </w:pPr>
      <w:r>
        <w:rPr>
          <w:i/>
        </w:rPr>
        <w:t>e</w:t>
      </w:r>
      <w:r>
        <w:rPr>
          <w:rFonts w:ascii="Tms Rmn" w:hAnsi="Tms Rmn"/>
          <w:sz w:val="12"/>
        </w:rPr>
        <w:t> </w:t>
      </w:r>
      <w:r>
        <w:t>:</w:t>
      </w:r>
      <w:r>
        <w:tab/>
        <w:t>r.m.s. field strength (V/m) (see Note 1)</w:t>
      </w:r>
    </w:p>
    <w:p w:rsidR="00733EFD" w:rsidRDefault="00733EFD" w:rsidP="00733EFD">
      <w:pPr>
        <w:pStyle w:val="enumlev1"/>
      </w:pPr>
      <w:r>
        <w:rPr>
          <w:i/>
        </w:rPr>
        <w:t>p</w:t>
      </w:r>
      <w:r>
        <w:rPr>
          <w:rFonts w:ascii="Tms Rmn" w:hAnsi="Tms Rmn"/>
          <w:sz w:val="12"/>
        </w:rPr>
        <w:t> </w:t>
      </w:r>
      <w:r>
        <w:t>:</w:t>
      </w:r>
      <w:r>
        <w:tab/>
        <w:t>equivalent isotropically radiated power (e.i.r.p.) of the transmitter in the direction of the point in question (W) (see Note 2)</w:t>
      </w:r>
    </w:p>
    <w:p w:rsidR="00733EFD" w:rsidRDefault="00733EFD" w:rsidP="00733EFD">
      <w:pPr>
        <w:pStyle w:val="enumlev1"/>
      </w:pPr>
      <w:r>
        <w:rPr>
          <w:i/>
        </w:rPr>
        <w:t>d</w:t>
      </w:r>
      <w:r>
        <w:rPr>
          <w:rFonts w:ascii="Tms Rmn" w:hAnsi="Tms Rmn"/>
          <w:i/>
          <w:sz w:val="12"/>
        </w:rPr>
        <w:t> </w:t>
      </w:r>
      <w:r>
        <w:t>:</w:t>
      </w:r>
      <w:r>
        <w:tab/>
        <w:t>distance from the transmitter to the point in question (m).</w:t>
      </w:r>
    </w:p>
    <w:p w:rsidR="00733EFD" w:rsidRDefault="00733EFD" w:rsidP="00733EFD">
      <w:r>
        <w:tab/>
        <w:t>Equation (1) is often replaced by equation (2) which uses practical units:</w:t>
      </w:r>
    </w:p>
    <w:p w:rsidR="00733EFD" w:rsidRDefault="00733EFD" w:rsidP="00DF58E5">
      <w:pPr>
        <w:pStyle w:val="Equation"/>
      </w:pPr>
      <w:bookmarkStart w:id="2" w:name="F002"/>
      <w:r>
        <w:tab/>
      </w:r>
      <w:r w:rsidR="00DF58E5">
        <w:tab/>
      </w:r>
      <w:r w:rsidR="00DF58E5" w:rsidRPr="00AB4A74">
        <w:rPr>
          <w:position w:val="-28"/>
        </w:rPr>
        <w:object w:dxaOrig="1960" w:dyaOrig="680">
          <v:shape id="_x0000_i1028" type="#_x0000_t75" style="width:97.6pt;height:34.1pt" o:ole="">
            <v:imagedata r:id="rId8" o:title=""/>
          </v:shape>
          <o:OLEObject Type="Embed" ProgID="Equation.3" ShapeID="_x0000_i1028" DrawAspect="Content" ObjectID="_1463560119" r:id="rId9"/>
        </w:object>
      </w:r>
      <w:r>
        <w:tab/>
        <w:t>(2)</w:t>
      </w:r>
      <w:bookmarkEnd w:id="2"/>
    </w:p>
    <w:p w:rsidR="00284263" w:rsidRPr="00284263" w:rsidRDefault="00733EFD" w:rsidP="00284263">
      <w:r>
        <w:tab/>
        <w:t>For antennas operating in free-space conditions the cymomotive force may be obtained by multiplying together</w:t>
      </w:r>
      <w:r>
        <w:rPr>
          <w:i/>
        </w:rPr>
        <w:t> e</w:t>
      </w:r>
      <w:r>
        <w:t xml:space="preserve"> and </w:t>
      </w:r>
      <w:r>
        <w:rPr>
          <w:i/>
        </w:rPr>
        <w:t>d</w:t>
      </w:r>
      <w:r>
        <w:t xml:space="preserve"> in equation (1). Its dimension is volts.</w:t>
      </w:r>
    </w:p>
    <w:p w:rsidR="00733EFD" w:rsidRDefault="00284263" w:rsidP="00733EFD">
      <w:pPr>
        <w:pStyle w:val="Note"/>
      </w:pPr>
      <w:r>
        <w:rPr>
          <w:i/>
        </w:rPr>
        <w:br w:type="page"/>
      </w:r>
      <w:r w:rsidR="00733EFD">
        <w:rPr>
          <w:i/>
        </w:rPr>
        <w:lastRenderedPageBreak/>
        <w:t>Note 1</w:t>
      </w:r>
      <w:r w:rsidR="00733EFD">
        <w:t xml:space="preserve"> – If the wave is elliptically polarized and not linear, and if the electric field components along two orthogonal axes are expressed by </w:t>
      </w:r>
      <w:r w:rsidR="00733EFD">
        <w:rPr>
          <w:i/>
        </w:rPr>
        <w:t>e</w:t>
      </w:r>
      <w:r w:rsidR="00733EFD">
        <w:rPr>
          <w:i/>
          <w:position w:val="-4"/>
          <w:sz w:val="16"/>
        </w:rPr>
        <w:t>x</w:t>
      </w:r>
      <w:r w:rsidR="00733EFD">
        <w:t xml:space="preserve"> and </w:t>
      </w:r>
      <w:r w:rsidR="00733EFD">
        <w:rPr>
          <w:i/>
        </w:rPr>
        <w:t>e</w:t>
      </w:r>
      <w:r w:rsidR="00733EFD">
        <w:rPr>
          <w:i/>
          <w:position w:val="-4"/>
          <w:sz w:val="16"/>
        </w:rPr>
        <w:t>y</w:t>
      </w:r>
      <w:r w:rsidR="00733EFD">
        <w:t xml:space="preserve">, the left-hand term of equation (1) should be replaced by </w:t>
      </w:r>
      <w:r w:rsidR="00733EFD">
        <w:rPr>
          <w:position w:val="-14"/>
        </w:rPr>
        <w:object w:dxaOrig="900" w:dyaOrig="420">
          <v:shape id="_x0000_i1025" type="#_x0000_t75" style="width:45.45pt;height:20.85pt" o:ole="">
            <v:imagedata r:id="rId10" o:title=""/>
          </v:shape>
          <o:OLEObject Type="Embed" ProgID="Equation.3" ShapeID="_x0000_i1025" DrawAspect="Content" ObjectID="_1463560120" r:id="rId11"/>
        </w:object>
      </w:r>
      <w:r w:rsidR="00733EFD">
        <w:t>.</w:t>
      </w:r>
      <w:r w:rsidR="00733EFD">
        <w:rPr>
          <w:position w:val="2"/>
        </w:rPr>
        <w:t xml:space="preserve"> </w:t>
      </w:r>
      <w:r w:rsidR="00733EFD">
        <w:rPr>
          <w:i/>
          <w:position w:val="2"/>
        </w:rPr>
        <w:t>e</w:t>
      </w:r>
      <w:r w:rsidR="00733EFD">
        <w:rPr>
          <w:i/>
          <w:position w:val="-4"/>
          <w:sz w:val="16"/>
        </w:rPr>
        <w:t>x</w:t>
      </w:r>
      <w:r w:rsidR="00733EFD">
        <w:t xml:space="preserve"> and </w:t>
      </w:r>
      <w:r w:rsidR="00733EFD">
        <w:rPr>
          <w:i/>
        </w:rPr>
        <w:t>e</w:t>
      </w:r>
      <w:r w:rsidR="00733EFD">
        <w:rPr>
          <w:i/>
          <w:position w:val="-4"/>
          <w:sz w:val="16"/>
        </w:rPr>
        <w:t>y</w:t>
      </w:r>
      <w:r w:rsidR="00733EFD">
        <w:t xml:space="preserve"> can be deduced only if the axial ratio is known. </w:t>
      </w:r>
      <w:r w:rsidR="00733EFD">
        <w:rPr>
          <w:i/>
        </w:rPr>
        <w:t>e</w:t>
      </w:r>
      <w:r w:rsidR="00733EFD">
        <w:t xml:space="preserve"> should be replaced by </w:t>
      </w:r>
      <w:r w:rsidR="00733EFD">
        <w:rPr>
          <w:i/>
        </w:rPr>
        <w:t>e</w:t>
      </w:r>
      <w:r w:rsidR="00733EFD">
        <w:rPr>
          <w:position w:val="-2"/>
        </w:rPr>
        <w:object w:dxaOrig="300" w:dyaOrig="260">
          <v:shape id="_x0000_i1026" type="#_x0000_t75" style="width:15.15pt;height:13.25pt" o:ole="">
            <v:imagedata r:id="rId12" o:title=""/>
          </v:shape>
          <o:OLEObject Type="Embed" ProgID="Equation.3" ShapeID="_x0000_i1026" DrawAspect="Content" ObjectID="_1463560121" r:id="rId13"/>
        </w:object>
      </w:r>
      <w:r w:rsidR="00733EFD">
        <w:t xml:space="preserve"> in the case of circular polarization.</w:t>
      </w:r>
    </w:p>
    <w:p w:rsidR="00733EFD" w:rsidRDefault="00733EFD" w:rsidP="00733EFD">
      <w:pPr>
        <w:pStyle w:val="Note"/>
      </w:pPr>
      <w:r>
        <w:rPr>
          <w:i/>
        </w:rPr>
        <w:t>Note 2</w:t>
      </w:r>
      <w:r>
        <w:t xml:space="preserve"> – In the case of antennas located at ground level and operating on relatively low frequencies with vertical polarization, radiation is generally considered only in the upper half-space. This should be taken into account in determining the e.i.r.p. (see Recommendation ITU</w:t>
      </w:r>
      <w:r>
        <w:noBreakHyphen/>
        <w:t>R PN.368).</w:t>
      </w:r>
    </w:p>
    <w:p w:rsidR="00733EFD" w:rsidRDefault="00733EFD" w:rsidP="00733EFD">
      <w:pPr>
        <w:pStyle w:val="Heading2"/>
      </w:pPr>
      <w:r>
        <w:t>2.2</w:t>
      </w:r>
      <w:r>
        <w:tab/>
        <w:t>Point-to-point links</w:t>
      </w:r>
    </w:p>
    <w:p w:rsidR="00733EFD" w:rsidRDefault="00733EFD" w:rsidP="00733EFD">
      <w:r>
        <w:tab/>
        <w:t xml:space="preserve">With a point-to-point link it is preferable to calculate the free-space attenuation between isotropic antennas, also known as the free-space basic transmission loss (symbols: </w:t>
      </w:r>
      <w:r>
        <w:rPr>
          <w:i/>
        </w:rPr>
        <w:t>L</w:t>
      </w:r>
      <w:r>
        <w:rPr>
          <w:i/>
          <w:position w:val="-4"/>
          <w:sz w:val="16"/>
        </w:rPr>
        <w:t>bf</w:t>
      </w:r>
      <w:r>
        <w:t xml:space="preserve"> or </w:t>
      </w:r>
      <w:r>
        <w:rPr>
          <w:i/>
        </w:rPr>
        <w:t>A</w:t>
      </w:r>
      <w:r>
        <w:rPr>
          <w:position w:val="-4"/>
          <w:sz w:val="16"/>
        </w:rPr>
        <w:t>0</w:t>
      </w:r>
      <w:r>
        <w:t>), as follows:</w:t>
      </w:r>
    </w:p>
    <w:p w:rsidR="00733EFD" w:rsidRDefault="00733EFD" w:rsidP="00DF58E5">
      <w:pPr>
        <w:pStyle w:val="Equation"/>
      </w:pPr>
      <w:bookmarkStart w:id="3" w:name="F003"/>
      <w:r>
        <w:tab/>
      </w:r>
      <w:r>
        <w:tab/>
      </w:r>
      <w:r w:rsidR="005F7ACB" w:rsidRPr="00AB4A74">
        <w:rPr>
          <w:position w:val="-28"/>
        </w:rPr>
        <w:object w:dxaOrig="2000" w:dyaOrig="680">
          <v:shape id="_x0000_i1036" type="#_x0000_t75" style="width:100.4pt;height:34.1pt" o:ole="">
            <v:imagedata r:id="rId14" o:title=""/>
          </v:shape>
          <o:OLEObject Type="Embed" ProgID="Equation.3" ShapeID="_x0000_i1036" DrawAspect="Content" ObjectID="_1463560122" r:id="rId15"/>
        </w:object>
      </w:r>
      <w:r>
        <w:rPr>
          <w:color w:val="FFFFFF"/>
        </w:rPr>
        <w:t>mmmmmm</w:t>
      </w:r>
      <w:r>
        <w:t>dB</w:t>
      </w:r>
      <w:r>
        <w:tab/>
        <w:t>(3)</w:t>
      </w:r>
      <w:bookmarkEnd w:id="3"/>
    </w:p>
    <w:p w:rsidR="00733EFD" w:rsidRDefault="00733EFD" w:rsidP="00733EFD">
      <w:r>
        <w:t>where:</w:t>
      </w:r>
    </w:p>
    <w:p w:rsidR="00733EFD" w:rsidRDefault="00733EFD" w:rsidP="00733EFD">
      <w:pPr>
        <w:pStyle w:val="enumlev1"/>
        <w:tabs>
          <w:tab w:val="left" w:pos="1418"/>
        </w:tabs>
        <w:ind w:left="1588" w:hanging="794"/>
      </w:pPr>
      <w:r>
        <w:rPr>
          <w:i/>
        </w:rPr>
        <w:t>L</w:t>
      </w:r>
      <w:r>
        <w:rPr>
          <w:i/>
          <w:position w:val="-4"/>
          <w:sz w:val="16"/>
        </w:rPr>
        <w:t>bf</w:t>
      </w:r>
      <w:r>
        <w:rPr>
          <w:rFonts w:ascii="Tms Rmn" w:hAnsi="Tms Rmn"/>
          <w:sz w:val="12"/>
        </w:rPr>
        <w:t> </w:t>
      </w:r>
      <w:r>
        <w:t>:</w:t>
      </w:r>
      <w:r>
        <w:tab/>
        <w:t>free-space basic transmission loss (dB)</w:t>
      </w:r>
    </w:p>
    <w:p w:rsidR="00733EFD" w:rsidRDefault="00733EFD" w:rsidP="00733EFD">
      <w:pPr>
        <w:pStyle w:val="enumlev1"/>
        <w:tabs>
          <w:tab w:val="left" w:pos="1418"/>
        </w:tabs>
        <w:ind w:left="1588" w:hanging="794"/>
      </w:pPr>
      <w:r>
        <w:rPr>
          <w:i/>
        </w:rPr>
        <w:t>d</w:t>
      </w:r>
      <w:r>
        <w:rPr>
          <w:rFonts w:ascii="Tms Rmn" w:hAnsi="Tms Rmn"/>
          <w:i/>
          <w:sz w:val="12"/>
        </w:rPr>
        <w:t> </w:t>
      </w:r>
      <w:r>
        <w:t>:</w:t>
      </w:r>
      <w:r>
        <w:tab/>
        <w:t>distance</w:t>
      </w:r>
    </w:p>
    <w:p w:rsidR="00733EFD" w:rsidRDefault="00733EFD" w:rsidP="00733EFD">
      <w:pPr>
        <w:pStyle w:val="enumlev1"/>
        <w:tabs>
          <w:tab w:val="left" w:pos="1418"/>
        </w:tabs>
        <w:ind w:left="1588" w:hanging="794"/>
      </w:pPr>
      <w:r>
        <w:rPr>
          <w:rFonts w:ascii="Symbol" w:hAnsi="Symbol"/>
        </w:rPr>
        <w:t></w:t>
      </w:r>
      <w:r>
        <w:rPr>
          <w:rFonts w:ascii="Tms Rmn" w:hAnsi="Tms Rmn"/>
          <w:sz w:val="12"/>
        </w:rPr>
        <w:t> </w:t>
      </w:r>
      <w:r>
        <w:t>:</w:t>
      </w:r>
      <w:r>
        <w:tab/>
        <w:t>wavelength, and</w:t>
      </w:r>
    </w:p>
    <w:p w:rsidR="00733EFD" w:rsidRDefault="00733EFD" w:rsidP="00733EFD">
      <w:pPr>
        <w:pStyle w:val="enumlev1"/>
        <w:tabs>
          <w:tab w:val="left" w:pos="1418"/>
        </w:tabs>
        <w:ind w:left="1588" w:hanging="794"/>
      </w:pPr>
      <w:r>
        <w:rPr>
          <w:i/>
        </w:rPr>
        <w:t>d</w:t>
      </w:r>
      <w:r>
        <w:t xml:space="preserve"> and </w:t>
      </w:r>
      <w:r>
        <w:rPr>
          <w:rFonts w:ascii="Symbol" w:hAnsi="Symbol"/>
        </w:rPr>
        <w:t></w:t>
      </w:r>
      <w:r>
        <w:t xml:space="preserve"> are expressed in the same unit.</w:t>
      </w:r>
    </w:p>
    <w:p w:rsidR="00733EFD" w:rsidRDefault="00733EFD" w:rsidP="00733EFD">
      <w:r>
        <w:tab/>
        <w:t>Equation (3) can also be written using the frequency instead of the wavelength.</w:t>
      </w:r>
    </w:p>
    <w:p w:rsidR="00733EFD" w:rsidRDefault="00733EFD" w:rsidP="00733EFD">
      <w:pPr>
        <w:pStyle w:val="Equation"/>
      </w:pPr>
      <w:bookmarkStart w:id="4" w:name="F004"/>
      <w:r>
        <w:rPr>
          <w:i/>
        </w:rPr>
        <w:tab/>
      </w:r>
      <w:r>
        <w:rPr>
          <w:i/>
        </w:rPr>
        <w:tab/>
        <w:t>L</w:t>
      </w:r>
      <w:r>
        <w:rPr>
          <w:i/>
          <w:position w:val="-4"/>
          <w:sz w:val="18"/>
        </w:rPr>
        <w:t>bf</w:t>
      </w:r>
      <w:r>
        <w:t xml:space="preserve">  =  32.4  </w:t>
      </w:r>
      <w:r>
        <w:rPr>
          <w:rFonts w:ascii="Symbol" w:hAnsi="Symbol"/>
        </w:rPr>
        <w:t></w:t>
      </w:r>
      <w:r>
        <w:t xml:space="preserve">  20 log</w:t>
      </w:r>
      <w:r>
        <w:rPr>
          <w:i/>
        </w:rPr>
        <w:t xml:space="preserve"> </w:t>
      </w:r>
      <w:r>
        <w:rPr>
          <w:rFonts w:ascii="Symbol" w:hAnsi="Symbol"/>
        </w:rPr>
        <w:t></w:t>
      </w:r>
      <w:r>
        <w:t xml:space="preserve">  </w:t>
      </w:r>
      <w:r>
        <w:rPr>
          <w:rFonts w:ascii="Symbol" w:hAnsi="Symbol"/>
          <w:position w:val="-2"/>
        </w:rPr>
        <w:t></w:t>
      </w:r>
      <w:r>
        <w:rPr>
          <w:position w:val="-2"/>
        </w:rPr>
        <w:t xml:space="preserve">  </w:t>
      </w:r>
      <w:r>
        <w:t>20 log</w:t>
      </w:r>
      <w:r>
        <w:rPr>
          <w:i/>
        </w:rPr>
        <w:t xml:space="preserve"> d</w:t>
      </w:r>
      <w:r>
        <w:rPr>
          <w:color w:val="FFFFFF"/>
        </w:rPr>
        <w:t>mmmmmm</w:t>
      </w:r>
      <w:r>
        <w:t>dB</w:t>
      </w:r>
      <w:r>
        <w:tab/>
        <w:t>(4)</w:t>
      </w:r>
      <w:bookmarkEnd w:id="4"/>
    </w:p>
    <w:p w:rsidR="00733EFD" w:rsidRDefault="00733EFD" w:rsidP="00733EFD">
      <w:pPr>
        <w:rPr>
          <w:position w:val="-2"/>
        </w:rPr>
      </w:pPr>
      <w:r>
        <w:rPr>
          <w:position w:val="-2"/>
        </w:rPr>
        <w:t>where:</w:t>
      </w:r>
    </w:p>
    <w:p w:rsidR="00733EFD" w:rsidRDefault="00733EFD" w:rsidP="00733EFD">
      <w:r>
        <w:tab/>
      </w:r>
      <w:r>
        <w:rPr>
          <w:i/>
        </w:rPr>
        <w:t>f</w:t>
      </w:r>
      <w:r>
        <w:rPr>
          <w:rFonts w:ascii="Tms Rmn" w:hAnsi="Tms Rmn"/>
          <w:i/>
          <w:sz w:val="12"/>
        </w:rPr>
        <w:t> </w:t>
      </w:r>
      <w:r>
        <w:t>:</w:t>
      </w:r>
      <w:r>
        <w:tab/>
        <w:t xml:space="preserve">frequency (MHz) </w:t>
      </w:r>
    </w:p>
    <w:p w:rsidR="00733EFD" w:rsidRDefault="00733EFD" w:rsidP="00733EFD">
      <w:r>
        <w:tab/>
      </w:r>
      <w:r>
        <w:rPr>
          <w:i/>
        </w:rPr>
        <w:t>d</w:t>
      </w:r>
      <w:r>
        <w:rPr>
          <w:rFonts w:ascii="Tms Rmn" w:hAnsi="Tms Rmn"/>
          <w:sz w:val="12"/>
        </w:rPr>
        <w:t> </w:t>
      </w:r>
      <w:r>
        <w:t>:</w:t>
      </w:r>
      <w:r>
        <w:tab/>
        <w:t>distance (km).</w:t>
      </w:r>
    </w:p>
    <w:p w:rsidR="00733EFD" w:rsidRDefault="00733EFD" w:rsidP="00733EFD">
      <w:pPr>
        <w:pStyle w:val="Heading2"/>
      </w:pPr>
      <w:r>
        <w:t>2.3</w:t>
      </w:r>
      <w:r>
        <w:tab/>
        <w:t>Relations between the characteristics of a plane wave</w:t>
      </w:r>
    </w:p>
    <w:p w:rsidR="00733EFD" w:rsidRDefault="00733EFD" w:rsidP="00733EFD">
      <w:r>
        <w:tab/>
        <w:t>There are also relations between the characteristics of a plane wave (or a wave which can be treated as a plane wave) at a point:</w:t>
      </w:r>
    </w:p>
    <w:p w:rsidR="00733EFD" w:rsidRDefault="00733EFD" w:rsidP="00DF58E5">
      <w:pPr>
        <w:pStyle w:val="Equation"/>
      </w:pPr>
      <w:bookmarkStart w:id="5" w:name="F005"/>
      <w:r>
        <w:tab/>
      </w:r>
      <w:r>
        <w:tab/>
      </w:r>
      <w:r w:rsidR="00DF58E5" w:rsidRPr="00E674E3">
        <w:rPr>
          <w:position w:val="-28"/>
        </w:rPr>
        <w:object w:dxaOrig="1640" w:dyaOrig="700">
          <v:shape id="_x0000_i1034" type="#_x0000_t75" style="width:82.4pt;height:35.05pt" o:ole="">
            <v:imagedata r:id="rId16" o:title=""/>
          </v:shape>
          <o:OLEObject Type="Embed" ProgID="Equation.3" ShapeID="_x0000_i1034" DrawAspect="Content" ObjectID="_1463560123" r:id="rId17"/>
        </w:object>
      </w:r>
      <w:r>
        <w:tab/>
        <w:t>(5)</w:t>
      </w:r>
      <w:bookmarkEnd w:id="5"/>
    </w:p>
    <w:p w:rsidR="00733EFD" w:rsidRDefault="00733EFD" w:rsidP="00733EFD">
      <w:pPr>
        <w:rPr>
          <w:position w:val="-2"/>
        </w:rPr>
      </w:pPr>
      <w:r>
        <w:rPr>
          <w:position w:val="-2"/>
        </w:rPr>
        <w:t>where:</w:t>
      </w:r>
    </w:p>
    <w:p w:rsidR="00733EFD" w:rsidRDefault="00733EFD" w:rsidP="00733EFD">
      <w:pPr>
        <w:pStyle w:val="enumlev1"/>
      </w:pPr>
      <w:r>
        <w:rPr>
          <w:i/>
        </w:rPr>
        <w:t>s</w:t>
      </w:r>
      <w:r>
        <w:rPr>
          <w:rFonts w:ascii="Tms Rmn" w:hAnsi="Tms Rmn"/>
          <w:sz w:val="12"/>
        </w:rPr>
        <w:t> </w:t>
      </w:r>
      <w:r>
        <w:t>:</w:t>
      </w:r>
      <w:r>
        <w:tab/>
        <w:t>power flux-density (W/m</w:t>
      </w:r>
      <w:r>
        <w:rPr>
          <w:position w:val="6"/>
          <w:sz w:val="16"/>
        </w:rPr>
        <w:t>2</w:t>
      </w:r>
      <w:r>
        <w:t>)</w:t>
      </w:r>
    </w:p>
    <w:p w:rsidR="00733EFD" w:rsidRDefault="00733EFD" w:rsidP="00733EFD">
      <w:pPr>
        <w:pStyle w:val="enumlev1"/>
      </w:pPr>
      <w:r>
        <w:rPr>
          <w:i/>
        </w:rPr>
        <w:t>e</w:t>
      </w:r>
      <w:r>
        <w:rPr>
          <w:rFonts w:ascii="Tms Rmn" w:hAnsi="Tms Rmn"/>
          <w:sz w:val="12"/>
        </w:rPr>
        <w:t> </w:t>
      </w:r>
      <w:r>
        <w:t>:</w:t>
      </w:r>
      <w:r>
        <w:tab/>
        <w:t>r.m.s. field strength (V/m)</w:t>
      </w:r>
    </w:p>
    <w:p w:rsidR="00733EFD" w:rsidRDefault="00733EFD" w:rsidP="00733EFD">
      <w:pPr>
        <w:pStyle w:val="enumlev1"/>
      </w:pPr>
      <w:r>
        <w:rPr>
          <w:i/>
        </w:rPr>
        <w:t>p</w:t>
      </w:r>
      <w:r>
        <w:rPr>
          <w:i/>
          <w:position w:val="-4"/>
          <w:sz w:val="16"/>
        </w:rPr>
        <w:t>r</w:t>
      </w:r>
      <w:r>
        <w:rPr>
          <w:rFonts w:ascii="Tms Rmn" w:hAnsi="Tms Rmn"/>
          <w:position w:val="-4"/>
          <w:sz w:val="12"/>
        </w:rPr>
        <w:t> </w:t>
      </w:r>
      <w:r>
        <w:t>:</w:t>
      </w:r>
      <w:r>
        <w:tab/>
        <w:t>power (W) available from an isotropic antenna located at this point</w:t>
      </w:r>
    </w:p>
    <w:p w:rsidR="00733EFD" w:rsidRDefault="00733EFD" w:rsidP="00733EFD">
      <w:pPr>
        <w:pStyle w:val="enumlev1"/>
      </w:pPr>
      <w:r>
        <w:rPr>
          <w:rFonts w:ascii="Symbol" w:hAnsi="Symbol"/>
        </w:rPr>
        <w:t></w:t>
      </w:r>
      <w:r>
        <w:rPr>
          <w:rFonts w:ascii="Tms Rmn" w:hAnsi="Tms Rmn"/>
          <w:sz w:val="12"/>
        </w:rPr>
        <w:t> </w:t>
      </w:r>
      <w:r>
        <w:t>:</w:t>
      </w:r>
      <w:r>
        <w:tab/>
        <w:t>wavelength (m).</w:t>
      </w:r>
    </w:p>
    <w:p w:rsidR="00733EFD" w:rsidRDefault="00733EFD" w:rsidP="00733EFD">
      <w:pPr>
        <w:pStyle w:val="Heading1"/>
      </w:pPr>
      <w:r>
        <w:t>3.</w:t>
      </w:r>
      <w:r>
        <w:tab/>
        <w:t xml:space="preserve">The free-space basic transmission loss for a radar system </w:t>
      </w:r>
      <w:r>
        <w:rPr>
          <w:b w:val="0"/>
        </w:rPr>
        <w:t>(symbols:</w:t>
      </w:r>
      <w:r>
        <w:rPr>
          <w:b w:val="0"/>
          <w:i/>
        </w:rPr>
        <w:t xml:space="preserve"> L</w:t>
      </w:r>
      <w:r>
        <w:rPr>
          <w:b w:val="0"/>
          <w:i/>
          <w:position w:val="-4"/>
          <w:sz w:val="16"/>
        </w:rPr>
        <w:t>br</w:t>
      </w:r>
      <w:r>
        <w:rPr>
          <w:b w:val="0"/>
        </w:rPr>
        <w:t xml:space="preserve"> or</w:t>
      </w:r>
      <w:r>
        <w:rPr>
          <w:b w:val="0"/>
          <w:i/>
        </w:rPr>
        <w:t xml:space="preserve"> A</w:t>
      </w:r>
      <w:r>
        <w:rPr>
          <w:b w:val="0"/>
          <w:position w:val="-4"/>
          <w:sz w:val="16"/>
        </w:rPr>
        <w:t>0</w:t>
      </w:r>
      <w:r>
        <w:rPr>
          <w:b w:val="0"/>
          <w:i/>
          <w:position w:val="-4"/>
          <w:sz w:val="16"/>
        </w:rPr>
        <w:t>r</w:t>
      </w:r>
      <w:r>
        <w:rPr>
          <w:b w:val="0"/>
        </w:rPr>
        <w:t>)</w:t>
      </w:r>
    </w:p>
    <w:p w:rsidR="00733EFD" w:rsidRDefault="00733EFD" w:rsidP="00733EFD">
      <w:r>
        <w:tab/>
        <w:t>Radar systems represent a special case because the signal is subjected to a loss while propagating both from the transmitter to the target and from the target to the receiver. For radars using a common antenna for both transmitter and receiver, a radar free-space basic transmission loss,</w:t>
      </w:r>
      <w:r>
        <w:rPr>
          <w:i/>
        </w:rPr>
        <w:t xml:space="preserve"> L</w:t>
      </w:r>
      <w:r>
        <w:rPr>
          <w:i/>
          <w:position w:val="-4"/>
          <w:sz w:val="16"/>
        </w:rPr>
        <w:t>br</w:t>
      </w:r>
      <w:r>
        <w:t>, can be written as follows:</w:t>
      </w:r>
    </w:p>
    <w:p w:rsidR="00733EFD" w:rsidRDefault="00733EFD" w:rsidP="00733EFD">
      <w:pPr>
        <w:pStyle w:val="Equation"/>
      </w:pPr>
      <w:bookmarkStart w:id="6" w:name="F006"/>
      <w:r>
        <w:rPr>
          <w:i/>
        </w:rPr>
        <w:tab/>
      </w:r>
      <w:r>
        <w:rPr>
          <w:i/>
        </w:rPr>
        <w:tab/>
        <w:t>L</w:t>
      </w:r>
      <w:r>
        <w:rPr>
          <w:i/>
          <w:position w:val="-4"/>
          <w:sz w:val="18"/>
        </w:rPr>
        <w:t>br</w:t>
      </w:r>
      <w:r>
        <w:t xml:space="preserve">  </w:t>
      </w:r>
      <w:r>
        <w:rPr>
          <w:rFonts w:ascii="Symbol" w:hAnsi="Symbol"/>
        </w:rPr>
        <w:t></w:t>
      </w:r>
      <w:r>
        <w:t xml:space="preserve">  103.4  </w:t>
      </w:r>
      <w:r>
        <w:rPr>
          <w:rFonts w:ascii="Symbol" w:hAnsi="Symbol"/>
        </w:rPr>
        <w:t></w:t>
      </w:r>
      <w:r>
        <w:t xml:space="preserve">  20 log </w:t>
      </w:r>
      <w:r>
        <w:rPr>
          <w:rFonts w:ascii="Symbol" w:hAnsi="Symbol"/>
        </w:rPr>
        <w:t></w:t>
      </w:r>
      <w:r>
        <w:rPr>
          <w:i/>
        </w:rPr>
        <w:t xml:space="preserve">  </w:t>
      </w:r>
      <w:r>
        <w:rPr>
          <w:rFonts w:ascii="Symbol" w:hAnsi="Symbol"/>
        </w:rPr>
        <w:t></w:t>
      </w:r>
      <w:r>
        <w:t xml:space="preserve">  40 log</w:t>
      </w:r>
      <w:r>
        <w:rPr>
          <w:i/>
        </w:rPr>
        <w:t xml:space="preserve"> d</w:t>
      </w:r>
      <w:r>
        <w:t xml:space="preserve">  –  10 log </w:t>
      </w:r>
      <w:r>
        <w:rPr>
          <w:rFonts w:ascii="Symbol" w:hAnsi="Symbol"/>
        </w:rPr>
        <w:t></w:t>
      </w:r>
      <w:r>
        <w:rPr>
          <w:color w:val="FFFFFF"/>
        </w:rPr>
        <w:t>mmmmmm</w:t>
      </w:r>
      <w:r>
        <w:t>dB</w:t>
      </w:r>
      <w:r>
        <w:tab/>
        <w:t>(6)</w:t>
      </w:r>
      <w:bookmarkEnd w:id="6"/>
    </w:p>
    <w:p w:rsidR="00733EFD" w:rsidRDefault="00733EFD" w:rsidP="00733EFD">
      <w:r>
        <w:t>where:</w:t>
      </w:r>
    </w:p>
    <w:p w:rsidR="00733EFD" w:rsidRDefault="00733EFD" w:rsidP="00733EFD">
      <w:pPr>
        <w:pStyle w:val="enumlev1"/>
        <w:tabs>
          <w:tab w:val="left" w:pos="1418"/>
        </w:tabs>
      </w:pPr>
      <w:r>
        <w:rPr>
          <w:rFonts w:ascii="Symbol" w:hAnsi="Symbol"/>
        </w:rPr>
        <w:t></w:t>
      </w:r>
      <w:r>
        <w:rPr>
          <w:rFonts w:ascii="Tms Rmn" w:hAnsi="Tms Rmn"/>
          <w:sz w:val="12"/>
        </w:rPr>
        <w:t> </w:t>
      </w:r>
      <w:r>
        <w:t>:</w:t>
      </w:r>
      <w:r>
        <w:tab/>
        <w:t>radar target cross-section (m</w:t>
      </w:r>
      <w:r>
        <w:rPr>
          <w:position w:val="6"/>
          <w:sz w:val="16"/>
        </w:rPr>
        <w:t>2</w:t>
      </w:r>
      <w:r>
        <w:t>)</w:t>
      </w:r>
    </w:p>
    <w:p w:rsidR="00733EFD" w:rsidRDefault="00733EFD" w:rsidP="00733EFD">
      <w:pPr>
        <w:pStyle w:val="enumlev1"/>
        <w:tabs>
          <w:tab w:val="left" w:pos="1418"/>
        </w:tabs>
      </w:pPr>
      <w:r>
        <w:rPr>
          <w:i/>
        </w:rPr>
        <w:t>d</w:t>
      </w:r>
      <w:r>
        <w:rPr>
          <w:rFonts w:ascii="Tms Rmn" w:hAnsi="Tms Rmn"/>
          <w:i/>
          <w:sz w:val="12"/>
        </w:rPr>
        <w:t> </w:t>
      </w:r>
      <w:r>
        <w:t>:</w:t>
      </w:r>
      <w:r>
        <w:tab/>
        <w:t>distance from the radar to the target (km)</w:t>
      </w:r>
    </w:p>
    <w:p w:rsidR="00733EFD" w:rsidRDefault="00733EFD" w:rsidP="00733EFD">
      <w:pPr>
        <w:pStyle w:val="enumlev1"/>
        <w:tabs>
          <w:tab w:val="left" w:pos="1418"/>
        </w:tabs>
      </w:pPr>
      <w:r>
        <w:rPr>
          <w:i/>
        </w:rPr>
        <w:t>f</w:t>
      </w:r>
      <w:r>
        <w:rPr>
          <w:rFonts w:ascii="Tms Rmn" w:hAnsi="Tms Rmn"/>
          <w:i/>
          <w:sz w:val="12"/>
        </w:rPr>
        <w:t> </w:t>
      </w:r>
      <w:r>
        <w:t>:</w:t>
      </w:r>
      <w:r>
        <w:tab/>
        <w:t>frequency of the system (MHz).</w:t>
      </w:r>
    </w:p>
    <w:p w:rsidR="00733EFD" w:rsidRDefault="00733EFD" w:rsidP="00733EFD">
      <w:r>
        <w:br w:type="page"/>
      </w:r>
      <w:bookmarkStart w:id="7" w:name="_GoBack"/>
      <w:bookmarkEnd w:id="7"/>
      <w:r>
        <w:lastRenderedPageBreak/>
        <w:tab/>
        <w:t>The radar target cross-section of an object is the ratio of the total isotropically equivalent scattered power to the incident power density.</w:t>
      </w:r>
    </w:p>
    <w:p w:rsidR="00733EFD" w:rsidRDefault="00733EFD" w:rsidP="00733EFD">
      <w:pPr>
        <w:pStyle w:val="Heading1"/>
      </w:pPr>
      <w:r>
        <w:t>4.</w:t>
      </w:r>
      <w:r>
        <w:tab/>
        <w:t>Conversion formulae</w:t>
      </w:r>
    </w:p>
    <w:p w:rsidR="00733EFD" w:rsidRDefault="00733EFD" w:rsidP="00733EFD">
      <w:r>
        <w:tab/>
        <w:t>On the basis of free-space propagation, the following conversion formulae may be used.</w:t>
      </w:r>
    </w:p>
    <w:p w:rsidR="00733EFD" w:rsidRDefault="00733EFD" w:rsidP="00733EFD">
      <w:r>
        <w:tab/>
        <w:t>Field strength for a given isotropically transmitted power:</w:t>
      </w:r>
    </w:p>
    <w:p w:rsidR="00733EFD" w:rsidRPr="00DF58E5" w:rsidRDefault="00733EFD" w:rsidP="00733EFD">
      <w:pPr>
        <w:pStyle w:val="Equation"/>
        <w:rPr>
          <w:lang w:val="en-US"/>
        </w:rPr>
      </w:pPr>
      <w:bookmarkStart w:id="8" w:name="F007"/>
      <w:r>
        <w:tab/>
      </w:r>
      <w:r>
        <w:tab/>
      </w:r>
      <w:r w:rsidRPr="00DF58E5">
        <w:rPr>
          <w:i/>
          <w:lang w:val="en-US"/>
        </w:rPr>
        <w:t>E</w:t>
      </w:r>
      <w:r w:rsidRPr="00DF58E5">
        <w:rPr>
          <w:lang w:val="en-US"/>
        </w:rPr>
        <w:t xml:space="preserve">  </w:t>
      </w:r>
      <w:r>
        <w:rPr>
          <w:rFonts w:ascii="Symbol" w:hAnsi="Symbol"/>
        </w:rPr>
        <w:t></w:t>
      </w:r>
      <w:r w:rsidRPr="00DF58E5">
        <w:rPr>
          <w:lang w:val="en-US"/>
        </w:rPr>
        <w:t xml:space="preserve">  </w:t>
      </w:r>
      <w:r w:rsidRPr="00DF58E5">
        <w:rPr>
          <w:i/>
          <w:lang w:val="en-US"/>
        </w:rPr>
        <w:t>P</w:t>
      </w:r>
      <w:r w:rsidRPr="00DF58E5">
        <w:rPr>
          <w:i/>
          <w:position w:val="-4"/>
          <w:sz w:val="18"/>
          <w:lang w:val="en-US"/>
        </w:rPr>
        <w:t>t</w:t>
      </w:r>
      <w:r w:rsidRPr="00DF58E5">
        <w:rPr>
          <w:lang w:val="en-US"/>
        </w:rPr>
        <w:t xml:space="preserve">  –  20 log </w:t>
      </w:r>
      <w:r w:rsidRPr="00DF58E5">
        <w:rPr>
          <w:i/>
          <w:lang w:val="en-US"/>
        </w:rPr>
        <w:t>d</w:t>
      </w:r>
      <w:r w:rsidRPr="00DF58E5">
        <w:rPr>
          <w:lang w:val="en-US"/>
        </w:rPr>
        <w:t xml:space="preserve">  </w:t>
      </w:r>
      <w:r>
        <w:rPr>
          <w:rFonts w:ascii="Symbol" w:hAnsi="Symbol"/>
        </w:rPr>
        <w:t></w:t>
      </w:r>
      <w:r w:rsidRPr="00DF58E5">
        <w:rPr>
          <w:lang w:val="en-US"/>
        </w:rPr>
        <w:t xml:space="preserve">  74.8</w:t>
      </w:r>
      <w:r w:rsidRPr="00DF58E5">
        <w:rPr>
          <w:lang w:val="en-US"/>
        </w:rPr>
        <w:tab/>
        <w:t>(7)</w:t>
      </w:r>
      <w:bookmarkEnd w:id="8"/>
    </w:p>
    <w:p w:rsidR="00733EFD" w:rsidRDefault="00733EFD" w:rsidP="00733EFD">
      <w:r w:rsidRPr="00DF58E5">
        <w:rPr>
          <w:lang w:val="en-US"/>
        </w:rPr>
        <w:tab/>
      </w:r>
      <w:r>
        <w:t>Isotropically received power for a given field strength:</w:t>
      </w:r>
    </w:p>
    <w:p w:rsidR="00733EFD" w:rsidRPr="00DF58E5" w:rsidRDefault="00733EFD" w:rsidP="00733EFD">
      <w:pPr>
        <w:pStyle w:val="Equation"/>
        <w:rPr>
          <w:lang w:val="en-US"/>
        </w:rPr>
      </w:pPr>
      <w:bookmarkStart w:id="9" w:name="F008"/>
      <w:r>
        <w:tab/>
      </w:r>
      <w:r>
        <w:tab/>
      </w:r>
      <w:r w:rsidRPr="00DF58E5">
        <w:rPr>
          <w:i/>
          <w:lang w:val="en-US"/>
        </w:rPr>
        <w:t>P</w:t>
      </w:r>
      <w:r w:rsidRPr="00DF58E5">
        <w:rPr>
          <w:i/>
          <w:position w:val="-4"/>
          <w:sz w:val="18"/>
          <w:lang w:val="en-US"/>
        </w:rPr>
        <w:t>r</w:t>
      </w:r>
      <w:r w:rsidRPr="00DF58E5">
        <w:rPr>
          <w:lang w:val="en-US"/>
        </w:rPr>
        <w:t xml:space="preserve">  </w:t>
      </w:r>
      <w:r>
        <w:rPr>
          <w:rFonts w:ascii="Symbol" w:hAnsi="Symbol"/>
        </w:rPr>
        <w:t></w:t>
      </w:r>
      <w:r w:rsidRPr="00DF58E5">
        <w:rPr>
          <w:lang w:val="en-US"/>
        </w:rPr>
        <w:t xml:space="preserve">  </w:t>
      </w:r>
      <w:r w:rsidRPr="00DF58E5">
        <w:rPr>
          <w:i/>
          <w:lang w:val="en-US"/>
        </w:rPr>
        <w:t>E</w:t>
      </w:r>
      <w:r w:rsidRPr="00DF58E5">
        <w:rPr>
          <w:lang w:val="en-US"/>
        </w:rPr>
        <w:t xml:space="preserve">  –  20 log </w:t>
      </w:r>
      <w:r w:rsidRPr="00DF58E5">
        <w:rPr>
          <w:i/>
          <w:lang w:val="en-US"/>
        </w:rPr>
        <w:t>f</w:t>
      </w:r>
      <w:r w:rsidRPr="00DF58E5">
        <w:rPr>
          <w:lang w:val="en-US"/>
        </w:rPr>
        <w:t xml:space="preserve">  –  167.2</w:t>
      </w:r>
      <w:r w:rsidRPr="00DF58E5">
        <w:rPr>
          <w:lang w:val="en-US"/>
        </w:rPr>
        <w:tab/>
        <w:t>(8)</w:t>
      </w:r>
      <w:bookmarkEnd w:id="9"/>
    </w:p>
    <w:p w:rsidR="00733EFD" w:rsidRDefault="00733EFD" w:rsidP="00733EFD">
      <w:r w:rsidRPr="00DF58E5">
        <w:rPr>
          <w:lang w:val="en-US"/>
        </w:rPr>
        <w:tab/>
      </w:r>
      <w:r>
        <w:t>Free-space basic transmission loss for a given isotropically transmitted power and field strength:</w:t>
      </w:r>
    </w:p>
    <w:p w:rsidR="00733EFD" w:rsidRPr="00DF58E5" w:rsidRDefault="00733EFD" w:rsidP="00733EFD">
      <w:pPr>
        <w:pStyle w:val="Equation"/>
        <w:rPr>
          <w:lang w:val="de-CH"/>
        </w:rPr>
      </w:pPr>
      <w:bookmarkStart w:id="10" w:name="F009"/>
      <w:r>
        <w:tab/>
      </w:r>
      <w:r>
        <w:tab/>
      </w:r>
      <w:r w:rsidRPr="00DF58E5">
        <w:rPr>
          <w:i/>
          <w:lang w:val="de-CH"/>
        </w:rPr>
        <w:t>L</w:t>
      </w:r>
      <w:r w:rsidRPr="00DF58E5">
        <w:rPr>
          <w:i/>
          <w:position w:val="-4"/>
          <w:sz w:val="18"/>
          <w:lang w:val="de-CH"/>
        </w:rPr>
        <w:t>bf</w:t>
      </w:r>
      <w:r w:rsidRPr="00DF58E5">
        <w:rPr>
          <w:lang w:val="de-CH"/>
        </w:rPr>
        <w:t xml:space="preserve">  </w:t>
      </w:r>
      <w:r>
        <w:rPr>
          <w:rFonts w:ascii="Symbol" w:hAnsi="Symbol"/>
        </w:rPr>
        <w:t></w:t>
      </w:r>
      <w:r w:rsidRPr="00DF58E5">
        <w:rPr>
          <w:lang w:val="de-CH"/>
        </w:rPr>
        <w:t xml:space="preserve">  </w:t>
      </w:r>
      <w:r w:rsidRPr="00DF58E5">
        <w:rPr>
          <w:i/>
          <w:lang w:val="de-CH"/>
        </w:rPr>
        <w:t>P</w:t>
      </w:r>
      <w:r w:rsidRPr="00DF58E5">
        <w:rPr>
          <w:i/>
          <w:position w:val="-4"/>
          <w:sz w:val="18"/>
          <w:lang w:val="de-CH"/>
        </w:rPr>
        <w:t>t</w:t>
      </w:r>
      <w:r w:rsidRPr="00DF58E5">
        <w:rPr>
          <w:lang w:val="de-CH"/>
        </w:rPr>
        <w:t xml:space="preserve">  –  </w:t>
      </w:r>
      <w:r w:rsidRPr="00DF58E5">
        <w:rPr>
          <w:i/>
          <w:lang w:val="de-CH"/>
        </w:rPr>
        <w:t>E</w:t>
      </w:r>
      <w:r w:rsidRPr="00DF58E5">
        <w:rPr>
          <w:lang w:val="de-CH"/>
        </w:rPr>
        <w:t xml:space="preserve">  </w:t>
      </w:r>
      <w:r>
        <w:rPr>
          <w:rFonts w:ascii="Symbol" w:hAnsi="Symbol"/>
        </w:rPr>
        <w:t></w:t>
      </w:r>
      <w:r w:rsidRPr="00DF58E5">
        <w:rPr>
          <w:lang w:val="de-CH"/>
        </w:rPr>
        <w:t xml:space="preserve">  20 log </w:t>
      </w:r>
      <w:r w:rsidRPr="00DF58E5">
        <w:rPr>
          <w:i/>
          <w:lang w:val="de-CH"/>
        </w:rPr>
        <w:t>f</w:t>
      </w:r>
      <w:r w:rsidRPr="00DF58E5">
        <w:rPr>
          <w:lang w:val="de-CH"/>
        </w:rPr>
        <w:t xml:space="preserve">  </w:t>
      </w:r>
      <w:r>
        <w:rPr>
          <w:rFonts w:ascii="Symbol" w:hAnsi="Symbol"/>
        </w:rPr>
        <w:t></w:t>
      </w:r>
      <w:r w:rsidRPr="00DF58E5">
        <w:rPr>
          <w:lang w:val="de-CH"/>
        </w:rPr>
        <w:t xml:space="preserve">  167.2</w:t>
      </w:r>
      <w:r w:rsidRPr="00DF58E5">
        <w:rPr>
          <w:lang w:val="de-CH"/>
        </w:rPr>
        <w:tab/>
        <w:t>(9)</w:t>
      </w:r>
      <w:bookmarkEnd w:id="10"/>
    </w:p>
    <w:p w:rsidR="00733EFD" w:rsidRDefault="00733EFD" w:rsidP="00733EFD">
      <w:r w:rsidRPr="00DF58E5">
        <w:rPr>
          <w:lang w:val="de-CH"/>
        </w:rPr>
        <w:tab/>
      </w:r>
      <w:r>
        <w:t>Power flux-density for a given field strength:</w:t>
      </w:r>
    </w:p>
    <w:p w:rsidR="00733EFD" w:rsidRDefault="00733EFD" w:rsidP="00733EFD">
      <w:pPr>
        <w:pStyle w:val="Equation"/>
      </w:pPr>
      <w:bookmarkStart w:id="11" w:name="F010"/>
      <w:r>
        <w:tab/>
      </w:r>
      <w:r>
        <w:tab/>
      </w:r>
      <w:r>
        <w:rPr>
          <w:i/>
        </w:rPr>
        <w:t>S</w:t>
      </w:r>
      <w:r>
        <w:t xml:space="preserve">  </w:t>
      </w:r>
      <w:r>
        <w:rPr>
          <w:rFonts w:ascii="Symbol" w:hAnsi="Symbol"/>
        </w:rPr>
        <w:t></w:t>
      </w:r>
      <w:r>
        <w:t xml:space="preserve">  </w:t>
      </w:r>
      <w:r>
        <w:rPr>
          <w:i/>
        </w:rPr>
        <w:t>E</w:t>
      </w:r>
      <w:r>
        <w:t xml:space="preserve">  –  145.8</w:t>
      </w:r>
      <w:r>
        <w:tab/>
        <w:t>(10)</w:t>
      </w:r>
      <w:bookmarkEnd w:id="11"/>
    </w:p>
    <w:p w:rsidR="00733EFD" w:rsidRDefault="00733EFD" w:rsidP="00733EFD">
      <w:r>
        <w:t>where:</w:t>
      </w:r>
    </w:p>
    <w:p w:rsidR="00733EFD" w:rsidRDefault="00733EFD" w:rsidP="00733EFD">
      <w:pPr>
        <w:pStyle w:val="enumlev1"/>
        <w:tabs>
          <w:tab w:val="left" w:pos="1276"/>
        </w:tabs>
        <w:ind w:left="794" w:firstLine="0"/>
      </w:pPr>
      <w:r>
        <w:rPr>
          <w:i/>
        </w:rPr>
        <w:t>P</w:t>
      </w:r>
      <w:r>
        <w:rPr>
          <w:i/>
          <w:position w:val="-4"/>
          <w:sz w:val="16"/>
        </w:rPr>
        <w:t>t</w:t>
      </w:r>
      <w:r>
        <w:rPr>
          <w:rFonts w:ascii="Tms Rmn" w:hAnsi="Tms Rmn"/>
          <w:sz w:val="12"/>
        </w:rPr>
        <w:t> </w:t>
      </w:r>
      <w:r>
        <w:t>:</w:t>
      </w:r>
      <w:r>
        <w:tab/>
        <w:t>isotropically transmitted power (dB(W))</w:t>
      </w:r>
    </w:p>
    <w:p w:rsidR="00733EFD" w:rsidRDefault="00733EFD" w:rsidP="00733EFD">
      <w:pPr>
        <w:pStyle w:val="enumlev1"/>
        <w:tabs>
          <w:tab w:val="left" w:pos="1276"/>
        </w:tabs>
        <w:ind w:left="794" w:firstLine="0"/>
      </w:pPr>
      <w:r>
        <w:rPr>
          <w:i/>
        </w:rPr>
        <w:t>P</w:t>
      </w:r>
      <w:r>
        <w:rPr>
          <w:i/>
          <w:position w:val="-4"/>
          <w:sz w:val="16"/>
        </w:rPr>
        <w:t>r</w:t>
      </w:r>
      <w:r>
        <w:rPr>
          <w:rFonts w:ascii="Tms Rmn" w:hAnsi="Tms Rmn"/>
          <w:sz w:val="12"/>
        </w:rPr>
        <w:t> </w:t>
      </w:r>
      <w:r>
        <w:t>:</w:t>
      </w:r>
      <w:r>
        <w:tab/>
        <w:t>isotropically received power (dB(W))</w:t>
      </w:r>
    </w:p>
    <w:p w:rsidR="00733EFD" w:rsidRDefault="00733EFD" w:rsidP="00733EFD">
      <w:pPr>
        <w:pStyle w:val="enumlev1"/>
        <w:tabs>
          <w:tab w:val="left" w:pos="1276"/>
        </w:tabs>
        <w:ind w:left="794" w:firstLine="0"/>
      </w:pPr>
      <w:r>
        <w:rPr>
          <w:i/>
        </w:rPr>
        <w:t>E</w:t>
      </w:r>
      <w:r>
        <w:rPr>
          <w:rFonts w:ascii="Tms Rmn" w:hAnsi="Tms Rmn"/>
          <w:sz w:val="12"/>
        </w:rPr>
        <w:t> </w:t>
      </w:r>
      <w:r>
        <w:t>:</w:t>
      </w:r>
      <w:r>
        <w:tab/>
        <w:t>electric field strength (dB(</w:t>
      </w:r>
      <w:r>
        <w:rPr>
          <w:rFonts w:ascii="Symbol" w:hAnsi="Symbol"/>
        </w:rPr>
        <w:t></w:t>
      </w:r>
      <w:r>
        <w:t>V/m))</w:t>
      </w:r>
    </w:p>
    <w:p w:rsidR="00733EFD" w:rsidRDefault="00733EFD" w:rsidP="00733EFD">
      <w:pPr>
        <w:pStyle w:val="enumlev1"/>
        <w:tabs>
          <w:tab w:val="left" w:pos="1276"/>
        </w:tabs>
        <w:ind w:left="794" w:firstLine="0"/>
      </w:pPr>
      <w:r>
        <w:rPr>
          <w:i/>
        </w:rPr>
        <w:t>f</w:t>
      </w:r>
      <w:r>
        <w:rPr>
          <w:rFonts w:ascii="Tms Rmn" w:hAnsi="Tms Rmn"/>
          <w:sz w:val="12"/>
        </w:rPr>
        <w:t> </w:t>
      </w:r>
      <w:r>
        <w:t>:</w:t>
      </w:r>
      <w:r>
        <w:tab/>
        <w:t>frequency (GHz)</w:t>
      </w:r>
    </w:p>
    <w:p w:rsidR="00733EFD" w:rsidRDefault="00733EFD" w:rsidP="00733EFD">
      <w:pPr>
        <w:pStyle w:val="enumlev1"/>
        <w:tabs>
          <w:tab w:val="left" w:pos="1276"/>
        </w:tabs>
        <w:ind w:left="794" w:firstLine="0"/>
      </w:pPr>
      <w:r>
        <w:rPr>
          <w:i/>
        </w:rPr>
        <w:t>d</w:t>
      </w:r>
      <w:r>
        <w:rPr>
          <w:rFonts w:ascii="Tms Rmn" w:hAnsi="Tms Rmn"/>
          <w:sz w:val="12"/>
        </w:rPr>
        <w:t> </w:t>
      </w:r>
      <w:r>
        <w:t>:</w:t>
      </w:r>
      <w:r>
        <w:tab/>
        <w:t>radio path length (km)</w:t>
      </w:r>
    </w:p>
    <w:p w:rsidR="00733EFD" w:rsidRDefault="00733EFD" w:rsidP="00733EFD">
      <w:pPr>
        <w:pStyle w:val="enumlev1"/>
        <w:tabs>
          <w:tab w:val="left" w:pos="1276"/>
        </w:tabs>
        <w:ind w:left="794" w:firstLine="0"/>
      </w:pPr>
      <w:r>
        <w:rPr>
          <w:i/>
        </w:rPr>
        <w:t>L</w:t>
      </w:r>
      <w:r>
        <w:rPr>
          <w:i/>
          <w:position w:val="-4"/>
          <w:sz w:val="16"/>
        </w:rPr>
        <w:t>bf</w:t>
      </w:r>
      <w:r>
        <w:rPr>
          <w:rFonts w:ascii="Tms Rmn" w:hAnsi="Tms Rmn"/>
          <w:sz w:val="12"/>
        </w:rPr>
        <w:t> </w:t>
      </w:r>
      <w:r>
        <w:t>:</w:t>
      </w:r>
      <w:r>
        <w:tab/>
        <w:t>free-space basic transmission loss (dB)</w:t>
      </w:r>
    </w:p>
    <w:p w:rsidR="00733EFD" w:rsidRDefault="00733EFD" w:rsidP="00733EFD">
      <w:pPr>
        <w:pStyle w:val="enumlev1"/>
        <w:tabs>
          <w:tab w:val="left" w:pos="1276"/>
        </w:tabs>
        <w:ind w:left="794" w:firstLine="0"/>
      </w:pPr>
      <w:r>
        <w:rPr>
          <w:i/>
        </w:rPr>
        <w:t>S</w:t>
      </w:r>
      <w:r>
        <w:rPr>
          <w:rFonts w:ascii="Tms Rmn" w:hAnsi="Tms Rmn"/>
          <w:sz w:val="12"/>
        </w:rPr>
        <w:t> </w:t>
      </w:r>
      <w:r>
        <w:t>:</w:t>
      </w:r>
      <w:r>
        <w:tab/>
        <w:t>power flux-density (dB(W/m</w:t>
      </w:r>
      <w:r>
        <w:rPr>
          <w:position w:val="6"/>
          <w:sz w:val="16"/>
        </w:rPr>
        <w:t>2</w:t>
      </w:r>
      <w:r>
        <w:t>)).</w:t>
      </w:r>
    </w:p>
    <w:p w:rsidR="00733EFD" w:rsidRDefault="00733EFD" w:rsidP="00733EFD">
      <w:pPr>
        <w:tabs>
          <w:tab w:val="right" w:pos="9639"/>
        </w:tabs>
      </w:pPr>
      <w:r>
        <w:tab/>
        <w:t>Note that equations (7) and (9) can be used to derive equation (4).</w:t>
      </w:r>
    </w:p>
    <w:p w:rsidR="00733EFD" w:rsidRDefault="00733EFD" w:rsidP="00733EFD">
      <w:pPr>
        <w:pStyle w:val="Line"/>
      </w:pPr>
    </w:p>
    <w:p w:rsidR="00733EFD" w:rsidRDefault="00733EFD" w:rsidP="00733EFD"/>
    <w:p w:rsidR="00733EFD" w:rsidRDefault="00733EFD" w:rsidP="00733EFD"/>
    <w:p w:rsidR="00733EFD" w:rsidRDefault="00733EFD" w:rsidP="00733EFD"/>
    <w:p w:rsidR="00733EFD" w:rsidRDefault="00733EFD" w:rsidP="00733EFD"/>
    <w:p w:rsidR="00733EFD" w:rsidRDefault="00733EFD" w:rsidP="00733EFD"/>
    <w:p w:rsidR="00733EFD" w:rsidRDefault="00733EFD" w:rsidP="00733EFD"/>
    <w:p w:rsidR="00733EFD" w:rsidRDefault="00733EFD" w:rsidP="00733EFD"/>
    <w:p w:rsidR="00733EFD" w:rsidRDefault="00733EFD" w:rsidP="00733EFD"/>
    <w:p w:rsidR="00733EFD" w:rsidRDefault="00733EFD" w:rsidP="00733EFD"/>
    <w:sectPr w:rsidR="00733EFD">
      <w:headerReference w:type="default" r:id="rId18"/>
      <w:pgSz w:w="11913" w:h="16834"/>
      <w:pgMar w:top="1088" w:right="1088" w:bottom="1088" w:left="1088" w:header="483" w:footer="483" w:gutter="0"/>
      <w:cols w:space="720"/>
      <w:vAlign w:val="both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A8" w:rsidRDefault="004D34A8">
      <w:r>
        <w:separator/>
      </w:r>
    </w:p>
  </w:endnote>
  <w:endnote w:type="continuationSeparator" w:id="0">
    <w:p w:rsidR="004D34A8" w:rsidRDefault="004D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A8" w:rsidRDefault="004D34A8">
      <w:r>
        <w:rPr>
          <w:b/>
        </w:rPr>
        <w:t>_______________</w:t>
      </w:r>
    </w:p>
  </w:footnote>
  <w:footnote w:type="continuationSeparator" w:id="0">
    <w:p w:rsidR="004D34A8" w:rsidRDefault="004D34A8">
      <w:r>
        <w:continuationSeparator/>
      </w:r>
    </w:p>
  </w:footnote>
  <w:footnote w:id="1">
    <w:p w:rsidR="00284263" w:rsidRPr="00DF58E5" w:rsidRDefault="00284263" w:rsidP="0028426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60"/>
        <w:ind w:left="284" w:hanging="284"/>
        <w:jc w:val="left"/>
        <w:textAlignment w:val="auto"/>
        <w:rPr>
          <w:lang w:val="en-US"/>
        </w:rPr>
      </w:pPr>
      <w:r w:rsidRPr="00805C8D">
        <w:rPr>
          <w:rStyle w:val="FootnoteReference"/>
        </w:rPr>
        <w:sym w:font="Symbol" w:char="F02A"/>
      </w:r>
      <w:r>
        <w:t xml:space="preserve"> </w:t>
      </w:r>
      <w:r w:rsidRPr="00DF58E5">
        <w:rPr>
          <w:lang w:val="en-US"/>
        </w:rPr>
        <w:tab/>
      </w:r>
      <w:r>
        <w:rPr>
          <w:rFonts w:eastAsia="SimSun"/>
          <w:sz w:val="18"/>
          <w:lang w:val="en-US"/>
        </w:rPr>
        <w:t>Radiocommunication Study Group 3 made editorial amendments to this Recommendation in 2000 in accordance with Resolution ITU-R 44.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A8C" w:rsidRDefault="00A43A8C">
    <w:pPr>
      <w:pStyle w:val="Header"/>
    </w:pPr>
    <w:r>
      <w:tab/>
    </w:r>
    <w:r>
      <w:fldChar w:fldCharType="begin"/>
    </w:r>
    <w:r>
      <w:instrText>styleref head_foot</w:instrText>
    </w:r>
    <w:r>
      <w:fldChar w:fldCharType="separate"/>
    </w:r>
    <w:r w:rsidR="005F7ACB">
      <w:rPr>
        <w:noProof/>
      </w:rPr>
      <w:t>Rec. ITU-R P.525-2</w:t>
    </w:r>
    <w:r>
      <w:fldChar w:fldCharType="end"/>
    </w:r>
    <w:r>
      <w:tab/>
    </w:r>
    <w:r>
      <w:fldChar w:fldCharType="begin"/>
    </w:r>
    <w:r>
      <w:instrText>PAGE</w:instrText>
    </w:r>
    <w:r>
      <w:fldChar w:fldCharType="separate"/>
    </w:r>
    <w:r w:rsidR="005F7ACB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FD"/>
    <w:rsid w:val="001C4611"/>
    <w:rsid w:val="00284263"/>
    <w:rsid w:val="0036639B"/>
    <w:rsid w:val="004D34A8"/>
    <w:rsid w:val="005F7ACB"/>
    <w:rsid w:val="006E1FD1"/>
    <w:rsid w:val="00733EFD"/>
    <w:rsid w:val="009277F3"/>
    <w:rsid w:val="00A43A8C"/>
    <w:rsid w:val="00C06D8E"/>
    <w:rsid w:val="00D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79BA1E1-6A04-486E-AD97-AD6D90DC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rFonts w:ascii="Times New Roman" w:hAnsi="Times New Roman"/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</w:tabs>
      <w:spacing w:before="480"/>
      <w:ind w:left="794" w:hanging="794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</w:tabs>
      <w:spacing w:before="313"/>
      <w:ind w:left="794" w:hanging="794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</w:tabs>
      <w:spacing w:before="181"/>
      <w:ind w:left="794" w:hanging="79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851"/>
      </w:tabs>
      <w:ind w:left="851" w:hanging="851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ind w:left="1191" w:hanging="1191"/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361"/>
      </w:tabs>
      <w:spacing w:before="200"/>
      <w:ind w:left="0" w:firstLine="0"/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418"/>
      </w:tabs>
      <w:ind w:left="1418" w:hanging="1418"/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531"/>
      </w:tabs>
      <w:ind w:left="1531" w:hanging="1531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TOC8">
    <w:name w:val="toc 8"/>
    <w:basedOn w:val="Normal"/>
    <w:next w:val="Normal"/>
    <w:semiHidden/>
    <w:pPr>
      <w:tabs>
        <w:tab w:val="left" w:pos="7711"/>
        <w:tab w:val="right" w:leader="dot" w:pos="9725"/>
      </w:tabs>
      <w:ind w:left="6350"/>
    </w:pPr>
  </w:style>
  <w:style w:type="paragraph" w:styleId="TOC7">
    <w:name w:val="toc 7"/>
    <w:basedOn w:val="TOC2"/>
    <w:next w:val="Normal"/>
    <w:semiHidden/>
    <w:pPr>
      <w:spacing w:before="20"/>
      <w:ind w:right="652"/>
    </w:pPr>
  </w:style>
  <w:style w:type="paragraph" w:styleId="TOC6">
    <w:name w:val="toc 6"/>
    <w:basedOn w:val="Normal"/>
    <w:next w:val="Normal"/>
    <w:semiHidden/>
    <w:pPr>
      <w:tabs>
        <w:tab w:val="left" w:pos="5104"/>
        <w:tab w:val="right" w:leader="dot" w:pos="9725"/>
      </w:tabs>
      <w:ind w:left="3969"/>
    </w:pPr>
  </w:style>
  <w:style w:type="paragraph" w:styleId="TOC5">
    <w:name w:val="toc 5"/>
    <w:basedOn w:val="Normal"/>
    <w:next w:val="Normal"/>
    <w:semiHidden/>
    <w:pPr>
      <w:tabs>
        <w:tab w:val="left" w:pos="3969"/>
        <w:tab w:val="right" w:leader="dot" w:pos="9725"/>
      </w:tabs>
      <w:ind w:left="2948"/>
    </w:pPr>
  </w:style>
  <w:style w:type="paragraph" w:styleId="TOC4">
    <w:name w:val="toc 4"/>
    <w:basedOn w:val="TOC3"/>
    <w:next w:val="TOC5"/>
    <w:semiHidden/>
    <w:pPr>
      <w:tabs>
        <w:tab w:val="left" w:pos="2948"/>
      </w:tabs>
      <w:ind w:left="2948" w:hanging="907"/>
    </w:pPr>
  </w:style>
  <w:style w:type="paragraph" w:styleId="TOC3">
    <w:name w:val="toc 3"/>
    <w:basedOn w:val="TOC2"/>
    <w:next w:val="TOC4"/>
    <w:semiHidden/>
    <w:pPr>
      <w:tabs>
        <w:tab w:val="clear" w:pos="1247"/>
        <w:tab w:val="left" w:pos="2041"/>
      </w:tabs>
      <w:spacing w:before="20"/>
      <w:ind w:left="2041" w:hanging="794"/>
    </w:pPr>
  </w:style>
  <w:style w:type="paragraph" w:styleId="TOC2">
    <w:name w:val="toc 2"/>
    <w:basedOn w:val="TOC1"/>
    <w:next w:val="TOC3"/>
    <w:semiHidden/>
    <w:pPr>
      <w:tabs>
        <w:tab w:val="clear" w:pos="567"/>
        <w:tab w:val="left" w:pos="1247"/>
      </w:tabs>
      <w:spacing w:before="40"/>
      <w:ind w:left="1247" w:hanging="680"/>
    </w:pPr>
  </w:style>
  <w:style w:type="paragraph" w:styleId="TOC1">
    <w:name w:val="toc 1"/>
    <w:basedOn w:val="Normal"/>
    <w:next w:val="TOC2"/>
    <w:semiHidden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right" w:leader="dot" w:pos="9072"/>
        <w:tab w:val="right" w:pos="9725"/>
      </w:tabs>
      <w:spacing w:before="120"/>
      <w:ind w:left="567" w:right="653" w:hanging="567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jc w:val="left"/>
    </w:pPr>
    <w:rPr>
      <w:b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</w:pPr>
    <w:rPr>
      <w:b/>
    </w:rPr>
  </w:style>
  <w:style w:type="character" w:styleId="FootnoteReference">
    <w:name w:val="footnote reference"/>
    <w:basedOn w:val="DefaultParagraphFont"/>
    <w:semiHidden/>
    <w:rPr>
      <w:position w:val="4"/>
      <w:sz w:val="16"/>
    </w:rPr>
  </w:style>
  <w:style w:type="paragraph" w:styleId="FootnoteText">
    <w:name w:val="footnote text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313"/>
      </w:tabs>
    </w:pPr>
    <w:rPr>
      <w:sz w:val="18"/>
    </w:rPr>
  </w:style>
  <w:style w:type="paragraph" w:styleId="NormalIndent">
    <w:name w:val="Normal Indent"/>
    <w:basedOn w:val="Normal"/>
    <w:pPr>
      <w:ind w:left="60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Line1">
    <w:name w:val="Line_1"/>
    <w:basedOn w:val="Normal"/>
    <w:next w:val="Normal"/>
    <w:pPr>
      <w:pBdr>
        <w:top w:val="dashed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20"/>
      <w:jc w:val="left"/>
    </w:pPr>
    <w:rPr>
      <w:noProof/>
    </w:rPr>
  </w:style>
  <w:style w:type="paragraph" w:customStyle="1" w:styleId="TableLegend">
    <w:name w:val="Table_Legend"/>
    <w:basedOn w:val="Normal"/>
    <w:next w:val="Normal"/>
    <w:pPr>
      <w:keepNext/>
      <w:spacing w:before="86" w:line="199" w:lineRule="exact"/>
      <w:ind w:left="-85" w:right="-85"/>
    </w:pPr>
    <w:rPr>
      <w:sz w:val="18"/>
    </w:rPr>
  </w:style>
  <w:style w:type="paragraph" w:customStyle="1" w:styleId="TableTitle">
    <w:name w:val="Table_Title"/>
    <w:basedOn w:val="Table"/>
    <w:next w:val="Blanc"/>
    <w:pPr>
      <w:spacing w:before="0"/>
    </w:pPr>
    <w:rPr>
      <w:b/>
    </w:rPr>
  </w:style>
  <w:style w:type="paragraph" w:customStyle="1" w:styleId="TableText">
    <w:name w:val="Table_Text"/>
    <w:basedOn w:val="TableLegend"/>
    <w:pPr>
      <w:spacing w:before="100" w:after="100" w:line="190" w:lineRule="exact"/>
      <w:ind w:left="0" w:right="0"/>
    </w:pPr>
  </w:style>
  <w:style w:type="paragraph" w:customStyle="1" w:styleId="enumlev1">
    <w:name w:val="enumlev1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397"/>
      </w:tabs>
      <w:spacing w:before="86"/>
      <w:ind w:left="397" w:hanging="397"/>
    </w:pPr>
  </w:style>
  <w:style w:type="paragraph" w:customStyle="1" w:styleId="enumlev2">
    <w:name w:val="enumlev2"/>
    <w:basedOn w:val="enumlev1"/>
    <w:pPr>
      <w:tabs>
        <w:tab w:val="clear" w:pos="397"/>
        <w:tab w:val="left" w:pos="794"/>
      </w:tabs>
      <w:ind w:left="794"/>
    </w:pPr>
  </w:style>
  <w:style w:type="paragraph" w:customStyle="1" w:styleId="enumlev3">
    <w:name w:val="enumlev3"/>
    <w:basedOn w:val="enumlev2"/>
    <w:pPr>
      <w:tabs>
        <w:tab w:val="clear" w:pos="794"/>
        <w:tab w:val="left" w:pos="1191"/>
      </w:tabs>
      <w:ind w:left="1191"/>
    </w:pPr>
  </w:style>
  <w:style w:type="paragraph" w:customStyle="1" w:styleId="Table">
    <w:name w:val="Table_#"/>
    <w:basedOn w:val="Normal"/>
    <w:next w:val="TableTitle"/>
    <w:pPr>
      <w:keepNext/>
      <w:tabs>
        <w:tab w:val="clear" w:pos="794"/>
        <w:tab w:val="clear" w:pos="1191"/>
        <w:tab w:val="clear" w:pos="1588"/>
        <w:tab w:val="clear" w:pos="1985"/>
      </w:tabs>
      <w:spacing w:before="567" w:after="113"/>
      <w:jc w:val="center"/>
    </w:pPr>
    <w:rPr>
      <w:sz w:val="18"/>
    </w:rPr>
  </w:style>
  <w:style w:type="paragraph" w:customStyle="1" w:styleId="Figure">
    <w:name w:val="Figure"/>
    <w:basedOn w:val="Normal"/>
    <w:next w:val="Normal"/>
    <w:pPr>
      <w:keepNext/>
      <w:keepLines/>
      <w:spacing w:before="240"/>
      <w:jc w:val="center"/>
    </w:pPr>
  </w:style>
  <w:style w:type="paragraph" w:customStyle="1" w:styleId="FigureLegend">
    <w:name w:val="Figure_Legend"/>
    <w:basedOn w:val="TableLegend"/>
    <w:next w:val="FigureRemark"/>
    <w:pPr>
      <w:jc w:val="left"/>
    </w:pPr>
  </w:style>
  <w:style w:type="paragraph" w:customStyle="1" w:styleId="Figure0">
    <w:name w:val="Figure_#"/>
    <w:basedOn w:val="Table"/>
    <w:next w:val="FigureTitle"/>
  </w:style>
  <w:style w:type="paragraph" w:customStyle="1" w:styleId="FigureTitle">
    <w:name w:val="Figure_Title"/>
    <w:basedOn w:val="TableTitle"/>
    <w:next w:val="FigureLegend"/>
    <w:pPr>
      <w:spacing w:after="240"/>
    </w:pPr>
  </w:style>
  <w:style w:type="paragraph" w:customStyle="1" w:styleId="Annex">
    <w:name w:val="Annex_#"/>
    <w:basedOn w:val="Normal"/>
    <w:next w:val="AnnexRef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720" w:after="68"/>
      <w:jc w:val="center"/>
    </w:pPr>
  </w:style>
  <w:style w:type="paragraph" w:customStyle="1" w:styleId="AnnexRef">
    <w:name w:val="Annex_Ref"/>
    <w:basedOn w:val="Normal"/>
    <w:next w:val="AnnexTitle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0"/>
      <w:jc w:val="center"/>
    </w:pPr>
  </w:style>
  <w:style w:type="paragraph" w:customStyle="1" w:styleId="AnnexTitle">
    <w:name w:val="Annex_Title"/>
    <w:basedOn w:val="Normal"/>
    <w:next w:val="Normalaftertitle"/>
    <w:pPr>
      <w:tabs>
        <w:tab w:val="clear" w:pos="794"/>
        <w:tab w:val="clear" w:pos="1191"/>
        <w:tab w:val="clear" w:pos="1588"/>
        <w:tab w:val="clear" w:pos="1985"/>
        <w:tab w:val="left" w:pos="4849"/>
        <w:tab w:val="right" w:pos="9696"/>
      </w:tabs>
      <w:spacing w:after="200"/>
      <w:jc w:val="center"/>
    </w:pPr>
    <w:rPr>
      <w:b/>
      <w:sz w:val="24"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600"/>
      <w:jc w:val="center"/>
    </w:pPr>
    <w:rPr>
      <w:sz w:val="18"/>
    </w:rPr>
  </w:style>
  <w:style w:type="paragraph" w:customStyle="1" w:styleId="RefText">
    <w:name w:val="Ref_Text"/>
    <w:basedOn w:val="Normal"/>
    <w:pPr>
      <w:ind w:left="567" w:hanging="567"/>
    </w:pPr>
    <w:rPr>
      <w:sz w:val="18"/>
    </w:rPr>
  </w:style>
  <w:style w:type="paragraph" w:customStyle="1" w:styleId="listitem">
    <w:name w:val="listitem"/>
    <w:basedOn w:val="Normal"/>
    <w:pPr>
      <w:keepLines/>
      <w:spacing w:before="0"/>
      <w:jc w:val="left"/>
    </w:pPr>
  </w:style>
  <w:style w:type="paragraph" w:customStyle="1" w:styleId="Rec">
    <w:name w:val="Rec_#"/>
    <w:basedOn w:val="Normal"/>
    <w:next w:val="RecTitle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720"/>
      <w:jc w:val="center"/>
    </w:pPr>
  </w:style>
  <w:style w:type="paragraph" w:customStyle="1" w:styleId="RecTitle">
    <w:name w:val="Rec_Title"/>
    <w:basedOn w:val="Rec"/>
    <w:next w:val="RecTitleRef"/>
    <w:pPr>
      <w:spacing w:before="180"/>
    </w:pPr>
    <w:rPr>
      <w:b/>
    </w:rPr>
  </w:style>
  <w:style w:type="paragraph" w:customStyle="1" w:styleId="Normalaftertitle">
    <w:name w:val="Normal after title"/>
    <w:basedOn w:val="Normal"/>
    <w:next w:val="Normal"/>
    <w:pPr>
      <w:spacing w:before="480"/>
    </w:pPr>
  </w:style>
  <w:style w:type="paragraph" w:customStyle="1" w:styleId="call">
    <w:name w:val="call"/>
    <w:basedOn w:val="Normal"/>
    <w:next w:val="Normal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  <w:jc w:val="left"/>
    </w:pPr>
    <w:rPr>
      <w:i/>
    </w:rPr>
  </w:style>
  <w:style w:type="paragraph" w:customStyle="1" w:styleId="deftitle">
    <w:name w:val="def title"/>
    <w:basedOn w:val="Heading2"/>
    <w:next w:val="deftexte"/>
    <w:pPr>
      <w:outlineLvl w:val="9"/>
    </w:pPr>
  </w:style>
  <w:style w:type="paragraph" w:customStyle="1" w:styleId="deftexte">
    <w:name w:val="def texte"/>
    <w:basedOn w:val="Normal"/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49"/>
        <w:tab w:val="right" w:pos="9696"/>
      </w:tabs>
      <w:spacing w:before="140" w:after="40"/>
      <w:jc w:val="left"/>
    </w:pPr>
    <w:rPr>
      <w:sz w:val="22"/>
    </w:rPr>
  </w:style>
  <w:style w:type="paragraph" w:customStyle="1" w:styleId="Section">
    <w:name w:val="Section #"/>
    <w:basedOn w:val="Normal"/>
    <w:next w:val="Sectiontitle"/>
    <w:pPr>
      <w:keepNext/>
      <w:keepLines/>
      <w:pageBreakBefore/>
      <w:tabs>
        <w:tab w:val="clear" w:pos="794"/>
        <w:tab w:val="clear" w:pos="1191"/>
        <w:tab w:val="clear" w:pos="1588"/>
        <w:tab w:val="clear" w:pos="1985"/>
        <w:tab w:val="left" w:pos="1474"/>
      </w:tabs>
      <w:spacing w:before="0"/>
      <w:ind w:left="1474" w:hanging="1474"/>
      <w:jc w:val="left"/>
    </w:pPr>
  </w:style>
  <w:style w:type="paragraph" w:customStyle="1" w:styleId="Sectiontitle">
    <w:name w:val="Section title"/>
    <w:basedOn w:val="Section"/>
    <w:next w:val="Rec"/>
    <w:pPr>
      <w:pageBreakBefore w:val="0"/>
      <w:spacing w:before="240"/>
    </w:pPr>
    <w:rPr>
      <w:i/>
    </w:rPr>
  </w:style>
  <w:style w:type="paragraph" w:customStyle="1" w:styleId="RecTitleRef">
    <w:name w:val="Rec_Title/Ref"/>
    <w:basedOn w:val="RecTitle"/>
    <w:next w:val="RecTitleDate"/>
    <w:pPr>
      <w:spacing w:before="136"/>
    </w:pPr>
    <w:rPr>
      <w:b w:val="0"/>
    </w:rPr>
  </w:style>
  <w:style w:type="paragraph" w:customStyle="1" w:styleId="RecTitleDate">
    <w:name w:val="Rec_Title/Date"/>
    <w:basedOn w:val="RecTitleRef"/>
    <w:next w:val="headfoot"/>
    <w:pPr>
      <w:tabs>
        <w:tab w:val="clear" w:pos="4849"/>
      </w:tabs>
      <w:jc w:val="right"/>
    </w:pPr>
  </w:style>
  <w:style w:type="paragraph" w:customStyle="1" w:styleId="heading">
    <w:name w:val="heading"/>
    <w:basedOn w:val="Heading2"/>
    <w:pPr>
      <w:tabs>
        <w:tab w:val="left" w:pos="1191"/>
        <w:tab w:val="left" w:pos="1588"/>
      </w:tabs>
      <w:outlineLvl w:val="9"/>
    </w:pPr>
  </w:style>
  <w:style w:type="paragraph" w:customStyle="1" w:styleId="Line">
    <w:name w:val="Line"/>
    <w:basedOn w:val="Normal"/>
    <w:next w:val="Normal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</w:style>
  <w:style w:type="paragraph" w:customStyle="1" w:styleId="headfoot">
    <w:name w:val="head_foot"/>
    <w:basedOn w:val="Normal"/>
    <w:next w:val="Normalaftertitl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color w:val="FF0000"/>
      <w:sz w:val="8"/>
    </w:rPr>
  </w:style>
  <w:style w:type="paragraph" w:customStyle="1" w:styleId="Part">
    <w:name w:val="Part_#"/>
    <w:basedOn w:val="Annex"/>
    <w:next w:val="PartRef"/>
  </w:style>
  <w:style w:type="paragraph" w:customStyle="1" w:styleId="PartRef">
    <w:name w:val="Part_Ref"/>
    <w:basedOn w:val="AnnexRef"/>
  </w:style>
  <w:style w:type="paragraph" w:customStyle="1" w:styleId="PartTitle">
    <w:name w:val="Part_Title"/>
    <w:basedOn w:val="AnnexTitle"/>
    <w:next w:val="Normalaftertitle"/>
  </w:style>
  <w:style w:type="paragraph" w:customStyle="1" w:styleId="Rep">
    <w:name w:val="Rep_#"/>
    <w:basedOn w:val="Rec"/>
    <w:next w:val="RepTitle"/>
  </w:style>
  <w:style w:type="paragraph" w:customStyle="1" w:styleId="RepTitle">
    <w:name w:val="Rep_Title"/>
    <w:basedOn w:val="RecTitle"/>
    <w:next w:val="RepTitleRef"/>
  </w:style>
  <w:style w:type="paragraph" w:customStyle="1" w:styleId="RepTitleDate">
    <w:name w:val="Rep_Title/Date"/>
    <w:basedOn w:val="RecTitleDate"/>
    <w:next w:val="headfoot"/>
  </w:style>
  <w:style w:type="paragraph" w:customStyle="1" w:styleId="RepTitleRef">
    <w:name w:val="Rep_Title/Ref"/>
    <w:basedOn w:val="RecTitleRef"/>
    <w:next w:val="RepTitleDate"/>
  </w:style>
  <w:style w:type="paragraph" w:customStyle="1" w:styleId="RefDoc">
    <w:name w:val="Ref_Doc"/>
    <w:basedOn w:val="RefText"/>
    <w:next w:val="RefText"/>
    <w:pPr>
      <w:spacing w:before="227"/>
    </w:pPr>
    <w:rPr>
      <w:i/>
    </w:rPr>
  </w:style>
  <w:style w:type="paragraph" w:customStyle="1" w:styleId="Question">
    <w:name w:val="Question_#"/>
    <w:basedOn w:val="Rec"/>
    <w:next w:val="QuestionTitle"/>
    <w:pPr>
      <w:spacing w:before="0"/>
    </w:pPr>
  </w:style>
  <w:style w:type="paragraph" w:customStyle="1" w:styleId="QuestionTitle">
    <w:name w:val="Question_Title"/>
    <w:basedOn w:val="RecTitle"/>
    <w:next w:val="QuestionTitleRef"/>
  </w:style>
  <w:style w:type="paragraph" w:customStyle="1" w:styleId="QuestionTitleDate">
    <w:name w:val="Question_Title/Date"/>
    <w:basedOn w:val="RecTitleDate"/>
    <w:next w:val="headfoot"/>
  </w:style>
  <w:style w:type="paragraph" w:customStyle="1" w:styleId="QuestionTitleRef">
    <w:name w:val="Question_Title/Ref"/>
    <w:basedOn w:val="RecTitleRef"/>
    <w:next w:val="QuestionTitleDate"/>
  </w:style>
  <w:style w:type="paragraph" w:customStyle="1" w:styleId="Res">
    <w:name w:val="Res_#"/>
    <w:basedOn w:val="Rec"/>
    <w:next w:val="ResTitle"/>
  </w:style>
  <w:style w:type="paragraph" w:customStyle="1" w:styleId="ResTitle">
    <w:name w:val="Res_Title"/>
    <w:basedOn w:val="RecTitle"/>
    <w:next w:val="ResTitleRef"/>
  </w:style>
  <w:style w:type="paragraph" w:customStyle="1" w:styleId="ResTitleDate">
    <w:name w:val="Res_Title/Date"/>
    <w:basedOn w:val="RecTitleDate"/>
    <w:next w:val="headfoot"/>
  </w:style>
  <w:style w:type="paragraph" w:customStyle="1" w:styleId="ResTitleRef">
    <w:name w:val="Res_Title/Ref"/>
    <w:basedOn w:val="RecTitleRef"/>
    <w:next w:val="ResTitleDate"/>
  </w:style>
  <w:style w:type="paragraph" w:customStyle="1" w:styleId="Tablefin">
    <w:name w:val="Table_fin"/>
    <w:basedOn w:val="Normal"/>
    <w:next w:val="Normal"/>
    <w:pPr>
      <w:spacing w:before="284"/>
    </w:pPr>
  </w:style>
  <w:style w:type="paragraph" w:customStyle="1" w:styleId="Note">
    <w:name w:val="Note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Style">
    <w:name w:val="Style"/>
    <w:basedOn w:val="Normal"/>
    <w:pPr>
      <w:tabs>
        <w:tab w:val="center" w:pos="4196"/>
        <w:tab w:val="left" w:pos="9242"/>
        <w:tab w:val="center" w:pos="12587"/>
      </w:tabs>
      <w:spacing w:before="340" w:line="318" w:lineRule="atLeast"/>
      <w:ind w:right="618"/>
    </w:pPr>
    <w:rPr>
      <w:i/>
      <w:sz w:val="28"/>
    </w:rPr>
  </w:style>
  <w:style w:type="paragraph" w:customStyle="1" w:styleId="Sectionsous">
    <w:name w:val="Section_sous"/>
    <w:basedOn w:val="Section"/>
    <w:next w:val="Rec"/>
    <w:pPr>
      <w:pageBreakBefore w:val="0"/>
      <w:spacing w:before="240"/>
    </w:pPr>
  </w:style>
  <w:style w:type="paragraph" w:customStyle="1" w:styleId="CCI">
    <w:name w:val="CCI"/>
    <w:basedOn w:val="Normal"/>
    <w:next w:val="cal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</w:pPr>
  </w:style>
  <w:style w:type="paragraph" w:customStyle="1" w:styleId="FigureRemark">
    <w:name w:val="Figure_Remark"/>
    <w:basedOn w:val="TableLegend"/>
    <w:pPr>
      <w:tabs>
        <w:tab w:val="clear" w:pos="794"/>
        <w:tab w:val="clear" w:pos="1191"/>
        <w:tab w:val="clear" w:pos="1588"/>
        <w:tab w:val="clear" w:pos="1985"/>
        <w:tab w:val="center" w:pos="284"/>
      </w:tabs>
      <w:spacing w:before="142"/>
    </w:pPr>
  </w:style>
  <w:style w:type="paragraph" w:customStyle="1" w:styleId="Blanc">
    <w:name w:val="Blanc"/>
    <w:basedOn w:val="Normal"/>
    <w:next w:val="TableText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</w:rPr>
  </w:style>
  <w:style w:type="paragraph" w:customStyle="1" w:styleId="Fig">
    <w:name w:val="Fig"/>
    <w:basedOn w:val="Figure"/>
    <w:next w:val="Fig0"/>
    <w:pPr>
      <w:keepNext w:val="0"/>
      <w:keepLines w:val="0"/>
      <w:tabs>
        <w:tab w:val="left" w:pos="794"/>
        <w:tab w:val="left" w:pos="1191"/>
        <w:tab w:val="left" w:pos="1588"/>
        <w:tab w:val="left" w:pos="1985"/>
      </w:tabs>
      <w:spacing w:before="136"/>
    </w:pPr>
    <w:rPr>
      <w:lang w:val="en-US"/>
    </w:rPr>
  </w:style>
  <w:style w:type="paragraph" w:customStyle="1" w:styleId="Fig0">
    <w:name w:val="Fig_#"/>
    <w:basedOn w:val="Fig"/>
    <w:next w:val="Normal"/>
    <w:pPr>
      <w:jc w:val="left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BR_R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BR_REC.DOT</Template>
  <TotalTime>7</TotalTime>
  <Pages>3</Pages>
  <Words>736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P.565-2</vt:lpstr>
    </vt:vector>
  </TitlesOfParts>
  <Manager/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P.565-2</dc:title>
  <dc:subject/>
  <dc:creator>Gachet, Christelle</dc:creator>
  <cp:keywords/>
  <dc:description/>
  <cp:lastModifiedBy>Gachet, Christelle</cp:lastModifiedBy>
  <cp:revision>6</cp:revision>
  <cp:lastPrinted>1996-09-11T14:58:00Z</cp:lastPrinted>
  <dcterms:created xsi:type="dcterms:W3CDTF">2014-06-06T09:29:00Z</dcterms:created>
  <dcterms:modified xsi:type="dcterms:W3CDTF">2014-06-06T09:40:00Z</dcterms:modified>
  <cp:category/>
</cp:coreProperties>
</file>