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CB8" w:rsidRPr="00575CB8" w:rsidRDefault="00B85CB8" w:rsidP="00B85CB8">
      <w:pPr>
        <w:rPr>
          <w:lang w:val="en-US"/>
        </w:rPr>
      </w:pPr>
      <w:bookmarkStart w:id="0" w:name="dbreak"/>
      <w:bookmarkEnd w:id="0"/>
    </w:p>
    <w:p w:rsidR="00B85CB8" w:rsidRDefault="00B85CB8" w:rsidP="00B85CB8"/>
    <w:p w:rsidR="00B85CB8" w:rsidRDefault="00B85CB8" w:rsidP="00B85CB8"/>
    <w:p w:rsidR="00B85CB8" w:rsidRDefault="00B85CB8" w:rsidP="00B85CB8"/>
    <w:p w:rsidR="00B85CB8" w:rsidRDefault="00B85CB8" w:rsidP="00B85CB8"/>
    <w:p w:rsidR="00B85CB8" w:rsidRDefault="00B85CB8" w:rsidP="00B85CB8"/>
    <w:p w:rsidR="00B85CB8" w:rsidRDefault="00B85CB8" w:rsidP="00B85CB8"/>
    <w:p w:rsidR="00B85CB8" w:rsidRDefault="00B85CB8" w:rsidP="00B85CB8"/>
    <w:p w:rsidR="00B85CB8" w:rsidRDefault="00B85CB8" w:rsidP="00B85CB8"/>
    <w:p w:rsidR="00B85CB8" w:rsidRDefault="00B85CB8" w:rsidP="00B85CB8"/>
    <w:p w:rsidR="00B85CB8" w:rsidRDefault="00B85CB8" w:rsidP="00B85CB8"/>
    <w:p w:rsidR="00B85CB8" w:rsidRDefault="00B85CB8" w:rsidP="00B85CB8"/>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85CB8" w:rsidRPr="00C91D42" w:rsidTr="00D74E22">
        <w:tc>
          <w:tcPr>
            <w:tcW w:w="10089" w:type="dxa"/>
          </w:tcPr>
          <w:p w:rsidR="00B85CB8" w:rsidRPr="0010336F" w:rsidRDefault="00B85CB8" w:rsidP="00D74E22">
            <w:pPr>
              <w:spacing w:before="380" w:line="280" w:lineRule="exact"/>
              <w:jc w:val="right"/>
              <w:rPr>
                <w:rFonts w:ascii="Tahoma" w:hAnsi="Tahoma" w:cs="Tahoma"/>
                <w:b/>
                <w:bCs/>
                <w:iCs/>
                <w:color w:val="243285"/>
                <w:sz w:val="32"/>
                <w:szCs w:val="32"/>
                <w:lang w:val="en-US"/>
              </w:rPr>
            </w:pPr>
          </w:p>
          <w:p w:rsidR="00B85CB8" w:rsidRPr="0010336F" w:rsidRDefault="00B85CB8" w:rsidP="00D74E2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C91D42">
              <w:rPr>
                <w:rFonts w:ascii="Tahoma" w:hAnsi="Tahoma" w:cs="Tahoma"/>
                <w:b/>
                <w:bCs/>
                <w:iCs/>
                <w:color w:val="243285"/>
                <w:sz w:val="36"/>
                <w:szCs w:val="36"/>
                <w:lang w:val="es-ES_tradnl"/>
              </w:rPr>
              <w:t>373-9</w:t>
            </w:r>
          </w:p>
          <w:p w:rsidR="00B85CB8" w:rsidRPr="0010336F" w:rsidRDefault="00B85CB8" w:rsidP="00C91D4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C91D42">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C91D42">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B85CB8" w:rsidRPr="00C91D42" w:rsidTr="00D74E22">
        <w:tc>
          <w:tcPr>
            <w:tcW w:w="10089" w:type="dxa"/>
          </w:tcPr>
          <w:p w:rsidR="00B85CB8" w:rsidRPr="0010336F" w:rsidRDefault="00B85CB8" w:rsidP="00D74E22">
            <w:pPr>
              <w:spacing w:before="80" w:line="500" w:lineRule="exact"/>
              <w:jc w:val="right"/>
              <w:rPr>
                <w:rFonts w:ascii="Tahoma" w:hAnsi="Tahoma" w:cs="Tahoma"/>
                <w:b/>
                <w:bCs/>
                <w:iCs/>
                <w:color w:val="243285"/>
                <w:sz w:val="44"/>
                <w:szCs w:val="44"/>
                <w:lang w:val="es-ES_tradnl"/>
              </w:rPr>
            </w:pPr>
          </w:p>
          <w:p w:rsidR="00B85CB8" w:rsidRDefault="00B85CB8" w:rsidP="00D74E22">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Definición de las frecuencias</w:t>
            </w:r>
            <w:r>
              <w:rPr>
                <w:rFonts w:ascii="Tahoma" w:hAnsi="Tahoma" w:cs="Tahoma"/>
                <w:b/>
                <w:bCs/>
                <w:color w:val="243285"/>
                <w:sz w:val="44"/>
                <w:szCs w:val="44"/>
                <w:lang w:val="es-ES_tradnl"/>
              </w:rPr>
              <w:br/>
              <w:t>máximas y mínimas</w:t>
            </w:r>
            <w:r>
              <w:rPr>
                <w:rFonts w:ascii="Tahoma" w:hAnsi="Tahoma" w:cs="Tahoma"/>
                <w:b/>
                <w:bCs/>
                <w:color w:val="243285"/>
                <w:sz w:val="44"/>
                <w:szCs w:val="44"/>
                <w:lang w:val="es-ES_tradnl"/>
              </w:rPr>
              <w:br/>
              <w:t>de transmisión</w:t>
            </w:r>
          </w:p>
          <w:p w:rsidR="00B85CB8" w:rsidRPr="0010336F" w:rsidRDefault="00B85CB8" w:rsidP="00D74E22">
            <w:pPr>
              <w:spacing w:before="80" w:line="500" w:lineRule="exact"/>
              <w:jc w:val="right"/>
              <w:rPr>
                <w:rFonts w:ascii="Tahoma" w:hAnsi="Tahoma" w:cs="Tahoma"/>
                <w:b/>
                <w:bCs/>
                <w:iCs/>
                <w:color w:val="243285"/>
                <w:sz w:val="44"/>
                <w:szCs w:val="44"/>
                <w:lang w:val="es-ES_tradnl"/>
              </w:rPr>
            </w:pPr>
          </w:p>
        </w:tc>
      </w:tr>
      <w:tr w:rsidR="00B85CB8" w:rsidRPr="00C91D42" w:rsidTr="00D74E22">
        <w:tc>
          <w:tcPr>
            <w:tcW w:w="10089" w:type="dxa"/>
          </w:tcPr>
          <w:p w:rsidR="00B85CB8" w:rsidRPr="0010336F" w:rsidRDefault="00B85CB8" w:rsidP="00D74E22">
            <w:pPr>
              <w:spacing w:before="80" w:line="280" w:lineRule="exact"/>
              <w:ind w:right="640"/>
              <w:rPr>
                <w:rFonts w:ascii="Tahoma" w:hAnsi="Tahoma" w:cs="Tahoma"/>
                <w:b/>
                <w:bCs/>
                <w:iCs/>
                <w:color w:val="243285"/>
                <w:sz w:val="32"/>
                <w:szCs w:val="32"/>
                <w:lang w:val="es-ES_tradnl"/>
              </w:rPr>
            </w:pPr>
          </w:p>
          <w:p w:rsidR="00B85CB8" w:rsidRPr="0010336F" w:rsidRDefault="00B85CB8" w:rsidP="00D74E22">
            <w:pPr>
              <w:spacing w:before="80" w:line="280" w:lineRule="exact"/>
              <w:ind w:right="640"/>
              <w:rPr>
                <w:rFonts w:ascii="Tahoma" w:hAnsi="Tahoma" w:cs="Tahoma"/>
                <w:b/>
                <w:bCs/>
                <w:iCs/>
                <w:color w:val="243285"/>
                <w:sz w:val="32"/>
                <w:szCs w:val="32"/>
                <w:lang w:val="es-ES_tradnl"/>
              </w:rPr>
            </w:pPr>
          </w:p>
          <w:p w:rsidR="00B85CB8" w:rsidRPr="0010336F" w:rsidRDefault="00B85CB8" w:rsidP="00D74E22">
            <w:pPr>
              <w:spacing w:before="80" w:after="180" w:line="360" w:lineRule="exact"/>
              <w:ind w:right="720"/>
              <w:rPr>
                <w:rFonts w:ascii="Tahoma" w:hAnsi="Tahoma" w:cs="Tahoma"/>
                <w:b/>
                <w:bCs/>
                <w:iCs/>
                <w:color w:val="243285"/>
                <w:sz w:val="36"/>
                <w:szCs w:val="36"/>
                <w:lang w:val="es-ES_tradnl"/>
              </w:rPr>
            </w:pPr>
          </w:p>
          <w:p w:rsidR="00B85CB8" w:rsidRPr="0010336F" w:rsidRDefault="00B85CB8" w:rsidP="00D74E2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B85CB8" w:rsidRPr="0010336F" w:rsidRDefault="00B85CB8" w:rsidP="00D74E22">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85CB8" w:rsidRPr="0026666F" w:rsidRDefault="00B85CB8" w:rsidP="00B85CB8">
      <w:pPr>
        <w:spacing w:before="80"/>
        <w:rPr>
          <w:i/>
          <w:sz w:val="22"/>
          <w:lang w:val="es-ES_tradnl"/>
        </w:rPr>
      </w:pPr>
    </w:p>
    <w:p w:rsidR="00B85CB8" w:rsidRPr="0026666F" w:rsidRDefault="00B85CB8" w:rsidP="00B85CB8">
      <w:pPr>
        <w:spacing w:before="80"/>
        <w:rPr>
          <w:i/>
          <w:sz w:val="22"/>
          <w:lang w:val="es-ES_tradnl"/>
        </w:rPr>
      </w:pPr>
    </w:p>
    <w:p w:rsidR="00B85CB8" w:rsidRPr="0026666F" w:rsidRDefault="00B85CB8" w:rsidP="00B85CB8">
      <w:pPr>
        <w:spacing w:before="80"/>
        <w:rPr>
          <w:i/>
          <w:sz w:val="22"/>
          <w:lang w:val="es-ES_tradnl"/>
        </w:rPr>
      </w:pPr>
    </w:p>
    <w:p w:rsidR="00B85CB8" w:rsidRPr="0026666F" w:rsidRDefault="00B85CB8" w:rsidP="00B85CB8">
      <w:pPr>
        <w:spacing w:before="80"/>
        <w:rPr>
          <w:i/>
          <w:sz w:val="22"/>
          <w:lang w:val="es-ES_tradnl"/>
        </w:rPr>
      </w:pPr>
    </w:p>
    <w:p w:rsidR="00B85CB8" w:rsidRPr="0026666F" w:rsidRDefault="00B85CB8" w:rsidP="00B85CB8">
      <w:pPr>
        <w:spacing w:before="80"/>
        <w:rPr>
          <w:i/>
          <w:sz w:val="22"/>
          <w:lang w:val="es-ES_tradnl"/>
        </w:rPr>
      </w:pPr>
    </w:p>
    <w:p w:rsidR="00B85CB8" w:rsidRPr="0026666F" w:rsidRDefault="00B85CB8" w:rsidP="00B85CB8">
      <w:pPr>
        <w:spacing w:before="80"/>
        <w:rPr>
          <w:i/>
          <w:sz w:val="22"/>
          <w:lang w:val="es-ES_tradnl"/>
        </w:rPr>
      </w:pPr>
    </w:p>
    <w:p w:rsidR="00B85CB8" w:rsidRPr="0026666F" w:rsidRDefault="00B85CB8" w:rsidP="00B85CB8">
      <w:pPr>
        <w:pStyle w:val="Equation"/>
        <w:tabs>
          <w:tab w:val="clear" w:pos="4820"/>
          <w:tab w:val="clear" w:pos="9639"/>
          <w:tab w:val="left" w:pos="1191"/>
          <w:tab w:val="left" w:pos="1588"/>
          <w:tab w:val="left" w:pos="1985"/>
        </w:tabs>
        <w:rPr>
          <w:rFonts w:ascii="Palatino Linotype" w:hAnsi="Palatino Linotype"/>
          <w:lang w:val="es-ES_tradnl"/>
        </w:rPr>
        <w:sectPr w:rsidR="00B85CB8" w:rsidRPr="0026666F">
          <w:headerReference w:type="even" r:id="rId6"/>
          <w:headerReference w:type="default" r:id="rId7"/>
          <w:pgSz w:w="11907" w:h="16840" w:code="9"/>
          <w:pgMar w:top="1089" w:right="1089" w:bottom="284" w:left="1089" w:header="567" w:footer="284" w:gutter="0"/>
          <w:pgNumType w:start="1"/>
          <w:cols w:space="720"/>
        </w:sectPr>
      </w:pPr>
    </w:p>
    <w:p w:rsidR="00B85CB8" w:rsidRPr="006C718C" w:rsidRDefault="00B85CB8" w:rsidP="00B85C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85CB8" w:rsidRPr="006C718C" w:rsidRDefault="00B85CB8" w:rsidP="00B85CB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85CB8" w:rsidRPr="006C718C" w:rsidRDefault="00B85CB8" w:rsidP="00B85CB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85CB8" w:rsidRPr="00021E8A" w:rsidRDefault="00B85CB8" w:rsidP="00B85CB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85CB8" w:rsidRPr="00021E8A" w:rsidRDefault="00B85CB8" w:rsidP="00B85CB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85CB8" w:rsidRPr="007C36CA" w:rsidRDefault="00B85CB8" w:rsidP="00B85CB8">
      <w:pPr>
        <w:spacing w:before="0"/>
        <w:jc w:val="center"/>
        <w:rPr>
          <w:sz w:val="22"/>
          <w:lang w:val="es-ES_tradnl"/>
        </w:rPr>
      </w:pPr>
    </w:p>
    <w:p w:rsidR="00B85CB8" w:rsidRPr="007C36CA" w:rsidRDefault="00B85CB8" w:rsidP="00B85CB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85CB8" w:rsidRPr="00C91D42" w:rsidTr="00D74E22">
        <w:tc>
          <w:tcPr>
            <w:tcW w:w="9360" w:type="dxa"/>
            <w:gridSpan w:val="2"/>
          </w:tcPr>
          <w:p w:rsidR="00B85CB8" w:rsidRPr="00021E8A" w:rsidRDefault="00B85CB8" w:rsidP="00D74E2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85CB8" w:rsidRPr="00763D08" w:rsidRDefault="00B85CB8" w:rsidP="00D74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85CB8" w:rsidRPr="00036EE3" w:rsidTr="00D74E22">
        <w:tc>
          <w:tcPr>
            <w:tcW w:w="1140" w:type="dxa"/>
            <w:tcBorders>
              <w:bottom w:val="nil"/>
            </w:tcBorders>
          </w:tcPr>
          <w:p w:rsidR="00B85CB8" w:rsidRPr="00036EE3" w:rsidRDefault="00B85CB8" w:rsidP="00D74E22">
            <w:pPr>
              <w:spacing w:before="180" w:after="100"/>
              <w:ind w:left="57"/>
              <w:rPr>
                <w:b/>
                <w:bCs/>
                <w:sz w:val="20"/>
                <w:lang w:val="en-US"/>
              </w:rPr>
            </w:pPr>
            <w:r w:rsidRPr="00036EE3">
              <w:rPr>
                <w:b/>
                <w:bCs/>
                <w:sz w:val="20"/>
                <w:lang w:val="en-US"/>
              </w:rPr>
              <w:t>Series</w:t>
            </w:r>
          </w:p>
        </w:tc>
        <w:tc>
          <w:tcPr>
            <w:tcW w:w="8220" w:type="dxa"/>
            <w:tcBorders>
              <w:bottom w:val="nil"/>
            </w:tcBorders>
          </w:tcPr>
          <w:p w:rsidR="00B85CB8" w:rsidRPr="00036EE3" w:rsidRDefault="00B85CB8" w:rsidP="00D74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85CB8" w:rsidRPr="004532F7" w:rsidTr="00D74E22">
        <w:tc>
          <w:tcPr>
            <w:tcW w:w="1140" w:type="dxa"/>
            <w:tcBorders>
              <w:top w:val="nil"/>
              <w:bottom w:val="nil"/>
            </w:tcBorders>
            <w:shd w:val="clear" w:color="auto" w:fill="auto"/>
          </w:tcPr>
          <w:p w:rsidR="00B85CB8" w:rsidRPr="004532F7" w:rsidRDefault="00B85CB8" w:rsidP="00D74E22">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85CB8" w:rsidRPr="004532F7" w:rsidRDefault="00B85CB8" w:rsidP="00D74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85CB8" w:rsidRPr="00C91D42" w:rsidTr="00D74E22">
        <w:tc>
          <w:tcPr>
            <w:tcW w:w="1140" w:type="dxa"/>
            <w:tcBorders>
              <w:top w:val="nil"/>
              <w:bottom w:val="nil"/>
            </w:tcBorders>
            <w:shd w:val="clear" w:color="auto" w:fill="auto"/>
          </w:tcPr>
          <w:p w:rsidR="00B85CB8" w:rsidRPr="006B22C3" w:rsidRDefault="00B85CB8" w:rsidP="00D74E22">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85CB8" w:rsidRPr="006B22C3" w:rsidRDefault="00B85CB8" w:rsidP="00D74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85CB8" w:rsidRPr="00847DD5" w:rsidTr="00D74E22">
        <w:tc>
          <w:tcPr>
            <w:tcW w:w="1140" w:type="dxa"/>
            <w:tcBorders>
              <w:top w:val="nil"/>
              <w:bottom w:val="nil"/>
            </w:tcBorders>
            <w:shd w:val="clear" w:color="auto" w:fill="auto"/>
          </w:tcPr>
          <w:p w:rsidR="00B85CB8" w:rsidRPr="00847DD5" w:rsidRDefault="00B85CB8" w:rsidP="00D74E22">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85CB8" w:rsidRPr="00847DD5" w:rsidRDefault="00B85CB8" w:rsidP="00D74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85CB8" w:rsidRPr="00ED2695" w:rsidTr="00D74E22">
        <w:tc>
          <w:tcPr>
            <w:tcW w:w="1140" w:type="dxa"/>
            <w:tcBorders>
              <w:top w:val="nil"/>
              <w:bottom w:val="nil"/>
            </w:tcBorders>
            <w:shd w:val="clear" w:color="auto" w:fill="auto"/>
          </w:tcPr>
          <w:p w:rsidR="00B85CB8" w:rsidRPr="00ED2695" w:rsidRDefault="00B85CB8" w:rsidP="00D74E2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85CB8" w:rsidRPr="00021E8A" w:rsidRDefault="00B85CB8" w:rsidP="00D74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85CB8" w:rsidRPr="00366CEE" w:rsidTr="00D74E22">
        <w:tc>
          <w:tcPr>
            <w:tcW w:w="1140" w:type="dxa"/>
            <w:tcBorders>
              <w:top w:val="nil"/>
              <w:bottom w:val="nil"/>
            </w:tcBorders>
            <w:shd w:val="clear" w:color="auto" w:fill="auto"/>
          </w:tcPr>
          <w:p w:rsidR="00B85CB8" w:rsidRPr="00366CEE" w:rsidRDefault="00B85CB8" w:rsidP="00D74E22">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85CB8" w:rsidRPr="00366CEE" w:rsidRDefault="00B85CB8" w:rsidP="00D74E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85CB8" w:rsidRPr="00C91D42" w:rsidTr="00D74E22">
        <w:tc>
          <w:tcPr>
            <w:tcW w:w="1140" w:type="dxa"/>
            <w:tcBorders>
              <w:top w:val="nil"/>
              <w:bottom w:val="nil"/>
            </w:tcBorders>
            <w:shd w:val="clear" w:color="auto" w:fill="auto"/>
          </w:tcPr>
          <w:p w:rsidR="00B85CB8" w:rsidRPr="0010336F" w:rsidRDefault="00B85CB8" w:rsidP="00D74E2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85CB8" w:rsidRPr="0010336F" w:rsidRDefault="00B85CB8" w:rsidP="00D74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85CB8" w:rsidRPr="00C91D42" w:rsidTr="00D74E22">
        <w:tc>
          <w:tcPr>
            <w:tcW w:w="1140" w:type="dxa"/>
            <w:tcBorders>
              <w:top w:val="nil"/>
              <w:bottom w:val="nil"/>
            </w:tcBorders>
            <w:shd w:val="clear" w:color="auto" w:fill="F3F3F3"/>
          </w:tcPr>
          <w:p w:rsidR="00B85CB8" w:rsidRPr="00366CEE" w:rsidRDefault="00B85CB8" w:rsidP="00D74E22">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85CB8" w:rsidRPr="00366CEE" w:rsidRDefault="00B85CB8" w:rsidP="00D74E22">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85CB8" w:rsidRPr="00036EE3" w:rsidTr="00D74E22">
        <w:tc>
          <w:tcPr>
            <w:tcW w:w="1140" w:type="dxa"/>
            <w:tcBorders>
              <w:top w:val="nil"/>
            </w:tcBorders>
          </w:tcPr>
          <w:p w:rsidR="00B85CB8" w:rsidRPr="00036EE3" w:rsidRDefault="00B85CB8" w:rsidP="00D74E22">
            <w:pPr>
              <w:spacing w:before="30" w:after="30"/>
              <w:ind w:left="57"/>
              <w:jc w:val="left"/>
              <w:rPr>
                <w:b/>
                <w:bCs/>
                <w:sz w:val="20"/>
                <w:lang w:val="en-US"/>
              </w:rPr>
            </w:pPr>
            <w:r w:rsidRPr="00036EE3">
              <w:rPr>
                <w:b/>
                <w:bCs/>
                <w:sz w:val="20"/>
                <w:lang w:val="en-US"/>
              </w:rPr>
              <w:t>RA</w:t>
            </w:r>
          </w:p>
        </w:tc>
        <w:tc>
          <w:tcPr>
            <w:tcW w:w="8220" w:type="dxa"/>
            <w:tcBorders>
              <w:top w:val="nil"/>
            </w:tcBorders>
          </w:tcPr>
          <w:p w:rsidR="00B85CB8" w:rsidRPr="00021E8A" w:rsidRDefault="00B85CB8" w:rsidP="00D74E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B85CB8" w:rsidRPr="00C91D42" w:rsidTr="00D74E22">
        <w:tc>
          <w:tcPr>
            <w:tcW w:w="1140" w:type="dxa"/>
          </w:tcPr>
          <w:p w:rsidR="00B85CB8" w:rsidRPr="00036EE3" w:rsidRDefault="00B85CB8" w:rsidP="00D74E22">
            <w:pPr>
              <w:spacing w:before="30" w:after="30"/>
              <w:ind w:left="57"/>
              <w:jc w:val="left"/>
              <w:rPr>
                <w:b/>
                <w:bCs/>
                <w:sz w:val="20"/>
                <w:lang w:val="en-US"/>
              </w:rPr>
            </w:pPr>
            <w:r w:rsidRPr="00036EE3">
              <w:rPr>
                <w:b/>
                <w:bCs/>
                <w:sz w:val="20"/>
                <w:lang w:val="en-US"/>
              </w:rPr>
              <w:t>RS</w:t>
            </w:r>
          </w:p>
        </w:tc>
        <w:tc>
          <w:tcPr>
            <w:tcW w:w="8220" w:type="dxa"/>
          </w:tcPr>
          <w:p w:rsidR="00B85CB8" w:rsidRPr="00021E8A" w:rsidRDefault="00B85CB8" w:rsidP="00D74E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85CB8" w:rsidRPr="00036EE3" w:rsidTr="00D74E22">
        <w:tc>
          <w:tcPr>
            <w:tcW w:w="1140" w:type="dxa"/>
          </w:tcPr>
          <w:p w:rsidR="00B85CB8" w:rsidRPr="00036EE3" w:rsidRDefault="00B85CB8" w:rsidP="00D74E22">
            <w:pPr>
              <w:spacing w:before="30" w:after="30"/>
              <w:ind w:left="57"/>
              <w:jc w:val="left"/>
              <w:rPr>
                <w:b/>
                <w:bCs/>
                <w:sz w:val="20"/>
                <w:lang w:val="en-US"/>
              </w:rPr>
            </w:pPr>
            <w:r w:rsidRPr="00036EE3">
              <w:rPr>
                <w:b/>
                <w:bCs/>
                <w:sz w:val="20"/>
                <w:lang w:val="en-US"/>
              </w:rPr>
              <w:t>S</w:t>
            </w:r>
          </w:p>
        </w:tc>
        <w:tc>
          <w:tcPr>
            <w:tcW w:w="8220" w:type="dxa"/>
          </w:tcPr>
          <w:p w:rsidR="00B85CB8" w:rsidRPr="00021E8A" w:rsidRDefault="00B85CB8" w:rsidP="00D74E22">
            <w:pPr>
              <w:spacing w:before="30" w:after="30"/>
              <w:jc w:val="left"/>
              <w:rPr>
                <w:bCs/>
                <w:sz w:val="20"/>
                <w:lang w:val="en-US"/>
              </w:rPr>
            </w:pPr>
            <w:r w:rsidRPr="00021E8A">
              <w:rPr>
                <w:bCs/>
                <w:sz w:val="20"/>
              </w:rPr>
              <w:t>Servicio fijo por satélite</w:t>
            </w:r>
          </w:p>
        </w:tc>
      </w:tr>
      <w:tr w:rsidR="00B85CB8" w:rsidRPr="00036EE3" w:rsidTr="00D74E22">
        <w:tc>
          <w:tcPr>
            <w:tcW w:w="1140" w:type="dxa"/>
          </w:tcPr>
          <w:p w:rsidR="00B85CB8" w:rsidRPr="00036EE3" w:rsidRDefault="00B85CB8" w:rsidP="00D74E22">
            <w:pPr>
              <w:spacing w:before="30" w:after="30"/>
              <w:ind w:left="57"/>
              <w:jc w:val="left"/>
              <w:rPr>
                <w:b/>
                <w:bCs/>
                <w:sz w:val="20"/>
                <w:lang w:val="en-US"/>
              </w:rPr>
            </w:pPr>
            <w:r w:rsidRPr="00036EE3">
              <w:rPr>
                <w:b/>
                <w:bCs/>
                <w:sz w:val="20"/>
                <w:lang w:val="en-US"/>
              </w:rPr>
              <w:t>SA</w:t>
            </w:r>
          </w:p>
        </w:tc>
        <w:tc>
          <w:tcPr>
            <w:tcW w:w="8220" w:type="dxa"/>
          </w:tcPr>
          <w:p w:rsidR="00B85CB8" w:rsidRPr="00021E8A" w:rsidRDefault="00B85CB8" w:rsidP="00D74E22">
            <w:pPr>
              <w:spacing w:before="30" w:after="30"/>
              <w:jc w:val="left"/>
              <w:rPr>
                <w:bCs/>
                <w:sz w:val="20"/>
                <w:lang w:val="en-US"/>
              </w:rPr>
            </w:pPr>
            <w:r w:rsidRPr="00021E8A">
              <w:rPr>
                <w:bCs/>
                <w:sz w:val="20"/>
              </w:rPr>
              <w:t>Aplicaciones espaciales y meteorología</w:t>
            </w:r>
          </w:p>
        </w:tc>
      </w:tr>
      <w:tr w:rsidR="00B85CB8" w:rsidRPr="00C91D42" w:rsidTr="00D74E22">
        <w:tc>
          <w:tcPr>
            <w:tcW w:w="1140" w:type="dxa"/>
          </w:tcPr>
          <w:p w:rsidR="00B85CB8" w:rsidRPr="00036EE3" w:rsidRDefault="00B85CB8" w:rsidP="00D74E22">
            <w:pPr>
              <w:spacing w:before="30" w:after="30"/>
              <w:ind w:left="57"/>
              <w:jc w:val="left"/>
              <w:rPr>
                <w:b/>
                <w:bCs/>
                <w:sz w:val="20"/>
                <w:lang w:val="en-US"/>
              </w:rPr>
            </w:pPr>
            <w:r w:rsidRPr="00036EE3">
              <w:rPr>
                <w:b/>
                <w:bCs/>
                <w:sz w:val="20"/>
                <w:lang w:val="en-US"/>
              </w:rPr>
              <w:t>SF</w:t>
            </w:r>
          </w:p>
        </w:tc>
        <w:tc>
          <w:tcPr>
            <w:tcW w:w="8220" w:type="dxa"/>
          </w:tcPr>
          <w:p w:rsidR="00B85CB8" w:rsidRPr="00021E8A" w:rsidRDefault="00B85CB8" w:rsidP="00D74E2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85CB8" w:rsidRPr="00036EE3" w:rsidTr="00D74E22">
        <w:tc>
          <w:tcPr>
            <w:tcW w:w="1140" w:type="dxa"/>
            <w:shd w:val="clear" w:color="auto" w:fill="auto"/>
          </w:tcPr>
          <w:p w:rsidR="00B85CB8" w:rsidRPr="001240BC" w:rsidRDefault="00B85CB8" w:rsidP="00D74E22">
            <w:pPr>
              <w:spacing w:before="30" w:after="30"/>
              <w:ind w:left="57"/>
              <w:jc w:val="left"/>
              <w:rPr>
                <w:b/>
                <w:bCs/>
                <w:sz w:val="20"/>
                <w:lang w:val="en-US"/>
              </w:rPr>
            </w:pPr>
            <w:r w:rsidRPr="001240BC">
              <w:rPr>
                <w:b/>
                <w:bCs/>
                <w:sz w:val="20"/>
                <w:lang w:val="en-US"/>
              </w:rPr>
              <w:t>SM</w:t>
            </w:r>
          </w:p>
        </w:tc>
        <w:tc>
          <w:tcPr>
            <w:tcW w:w="8220" w:type="dxa"/>
            <w:shd w:val="clear" w:color="auto" w:fill="auto"/>
          </w:tcPr>
          <w:p w:rsidR="00B85CB8" w:rsidRPr="001240BC" w:rsidRDefault="00B85CB8" w:rsidP="00D74E22">
            <w:pPr>
              <w:spacing w:before="30" w:after="30"/>
              <w:jc w:val="left"/>
              <w:rPr>
                <w:sz w:val="20"/>
                <w:lang w:val="en-US"/>
              </w:rPr>
            </w:pPr>
            <w:r w:rsidRPr="001240BC">
              <w:rPr>
                <w:sz w:val="20"/>
              </w:rPr>
              <w:t>Gestión del espectro</w:t>
            </w:r>
          </w:p>
        </w:tc>
      </w:tr>
      <w:tr w:rsidR="00B85CB8" w:rsidRPr="00036EE3" w:rsidTr="00D74E22">
        <w:tc>
          <w:tcPr>
            <w:tcW w:w="1140" w:type="dxa"/>
          </w:tcPr>
          <w:p w:rsidR="00B85CB8" w:rsidRPr="00036EE3" w:rsidRDefault="00B85CB8" w:rsidP="00D74E22">
            <w:pPr>
              <w:spacing w:before="30" w:after="30"/>
              <w:ind w:left="57"/>
              <w:jc w:val="left"/>
              <w:rPr>
                <w:b/>
                <w:bCs/>
                <w:sz w:val="20"/>
                <w:lang w:val="en-US"/>
              </w:rPr>
            </w:pPr>
            <w:r w:rsidRPr="00036EE3">
              <w:rPr>
                <w:b/>
                <w:bCs/>
                <w:sz w:val="20"/>
                <w:lang w:val="en-US"/>
              </w:rPr>
              <w:t>SNG</w:t>
            </w:r>
          </w:p>
        </w:tc>
        <w:tc>
          <w:tcPr>
            <w:tcW w:w="8220" w:type="dxa"/>
          </w:tcPr>
          <w:p w:rsidR="00B85CB8" w:rsidRPr="00021E8A" w:rsidRDefault="00B85CB8" w:rsidP="00D74E22">
            <w:pPr>
              <w:spacing w:before="30" w:after="30"/>
              <w:jc w:val="left"/>
              <w:rPr>
                <w:bCs/>
                <w:sz w:val="20"/>
                <w:lang w:val="en-US"/>
              </w:rPr>
            </w:pPr>
            <w:r w:rsidRPr="00021E8A">
              <w:rPr>
                <w:bCs/>
                <w:sz w:val="20"/>
              </w:rPr>
              <w:t>Periodismo electrónico por satélite</w:t>
            </w:r>
          </w:p>
        </w:tc>
      </w:tr>
      <w:tr w:rsidR="00B85CB8" w:rsidRPr="00C91D42" w:rsidTr="00D74E22">
        <w:tc>
          <w:tcPr>
            <w:tcW w:w="1140" w:type="dxa"/>
          </w:tcPr>
          <w:p w:rsidR="00B85CB8" w:rsidRPr="00036EE3" w:rsidRDefault="00B85CB8" w:rsidP="00D74E22">
            <w:pPr>
              <w:spacing w:before="30" w:after="30"/>
              <w:ind w:left="57"/>
              <w:jc w:val="left"/>
              <w:rPr>
                <w:b/>
                <w:bCs/>
                <w:sz w:val="20"/>
                <w:lang w:val="en-US"/>
              </w:rPr>
            </w:pPr>
            <w:r w:rsidRPr="00036EE3">
              <w:rPr>
                <w:b/>
                <w:bCs/>
                <w:sz w:val="20"/>
                <w:lang w:val="en-US"/>
              </w:rPr>
              <w:t>TF</w:t>
            </w:r>
          </w:p>
        </w:tc>
        <w:tc>
          <w:tcPr>
            <w:tcW w:w="8220" w:type="dxa"/>
          </w:tcPr>
          <w:p w:rsidR="00B85CB8" w:rsidRPr="00021E8A" w:rsidRDefault="00B85CB8" w:rsidP="00D74E22">
            <w:pPr>
              <w:spacing w:before="30" w:after="30"/>
              <w:jc w:val="left"/>
              <w:rPr>
                <w:bCs/>
                <w:sz w:val="20"/>
                <w:lang w:val="es-ES_tradnl"/>
              </w:rPr>
            </w:pPr>
            <w:r w:rsidRPr="00021E8A">
              <w:rPr>
                <w:bCs/>
                <w:sz w:val="20"/>
                <w:lang w:val="es-ES_tradnl"/>
              </w:rPr>
              <w:t>Emisiones de frecuencias patrón y señales horarias</w:t>
            </w:r>
          </w:p>
        </w:tc>
      </w:tr>
      <w:tr w:rsidR="00B85CB8" w:rsidRPr="00036EE3" w:rsidTr="00D74E22">
        <w:tc>
          <w:tcPr>
            <w:tcW w:w="1140" w:type="dxa"/>
          </w:tcPr>
          <w:p w:rsidR="00B85CB8" w:rsidRPr="00036EE3" w:rsidRDefault="00B85CB8" w:rsidP="00D74E22">
            <w:pPr>
              <w:spacing w:before="30" w:after="30"/>
              <w:ind w:left="57"/>
              <w:jc w:val="left"/>
              <w:rPr>
                <w:b/>
                <w:bCs/>
                <w:sz w:val="20"/>
                <w:lang w:val="en-US"/>
              </w:rPr>
            </w:pPr>
            <w:r w:rsidRPr="00036EE3">
              <w:rPr>
                <w:b/>
                <w:bCs/>
                <w:sz w:val="20"/>
                <w:lang w:val="en-US"/>
              </w:rPr>
              <w:t>V</w:t>
            </w:r>
          </w:p>
        </w:tc>
        <w:tc>
          <w:tcPr>
            <w:tcW w:w="8220" w:type="dxa"/>
          </w:tcPr>
          <w:p w:rsidR="00B85CB8" w:rsidRPr="00021E8A" w:rsidRDefault="00B85CB8" w:rsidP="00D74E22">
            <w:pPr>
              <w:spacing w:before="30" w:after="140"/>
              <w:jc w:val="left"/>
              <w:rPr>
                <w:bCs/>
                <w:sz w:val="20"/>
                <w:lang w:val="en-US"/>
              </w:rPr>
            </w:pPr>
            <w:r w:rsidRPr="00021E8A">
              <w:rPr>
                <w:bCs/>
                <w:sz w:val="20"/>
              </w:rPr>
              <w:t>Vocabulario y cuestiones afines</w:t>
            </w:r>
          </w:p>
        </w:tc>
      </w:tr>
    </w:tbl>
    <w:p w:rsidR="00B85CB8" w:rsidRPr="00036EE3" w:rsidRDefault="00B85CB8" w:rsidP="00B85CB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85CB8" w:rsidTr="00D74E22">
        <w:tc>
          <w:tcPr>
            <w:tcW w:w="720" w:type="dxa"/>
          </w:tcPr>
          <w:p w:rsidR="00B85CB8" w:rsidRDefault="00B85CB8" w:rsidP="00D74E22">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85CB8" w:rsidRPr="00C91D42" w:rsidTr="00D74E22">
        <w:tc>
          <w:tcPr>
            <w:tcW w:w="9360" w:type="dxa"/>
          </w:tcPr>
          <w:p w:rsidR="00B85CB8" w:rsidRPr="00763D08" w:rsidRDefault="00B85CB8" w:rsidP="00D74E2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85CB8" w:rsidRPr="00763D08" w:rsidRDefault="00B85CB8" w:rsidP="00B85CB8">
      <w:pPr>
        <w:spacing w:before="0"/>
        <w:jc w:val="center"/>
        <w:rPr>
          <w:sz w:val="22"/>
          <w:lang w:val="es-ES_tradnl"/>
        </w:rPr>
      </w:pPr>
    </w:p>
    <w:p w:rsidR="00B85CB8" w:rsidRPr="00763D08" w:rsidRDefault="00B85CB8" w:rsidP="00B85CB8">
      <w:pPr>
        <w:spacing w:before="60"/>
        <w:jc w:val="right"/>
        <w:rPr>
          <w:i/>
          <w:iCs/>
          <w:sz w:val="20"/>
          <w:lang w:val="es-ES_tradnl"/>
        </w:rPr>
      </w:pPr>
      <w:r w:rsidRPr="00763D08">
        <w:rPr>
          <w:i/>
          <w:iCs/>
          <w:sz w:val="20"/>
          <w:lang w:val="es-ES_tradnl"/>
        </w:rPr>
        <w:t>Publicación electrónica</w:t>
      </w:r>
    </w:p>
    <w:p w:rsidR="00B85CB8" w:rsidRPr="00763D08" w:rsidRDefault="00B85CB8" w:rsidP="00B85CB8">
      <w:pPr>
        <w:spacing w:before="0" w:after="40"/>
        <w:jc w:val="right"/>
        <w:rPr>
          <w:sz w:val="20"/>
          <w:lang w:val="es-ES_tradnl"/>
        </w:rPr>
      </w:pPr>
      <w:r w:rsidRPr="00763D08">
        <w:rPr>
          <w:sz w:val="20"/>
          <w:lang w:val="es-ES_tradnl"/>
        </w:rPr>
        <w:t>Ginebra, 20</w:t>
      </w:r>
      <w:r>
        <w:rPr>
          <w:sz w:val="20"/>
          <w:lang w:val="es-ES_tradnl"/>
        </w:rPr>
        <w:t>14</w:t>
      </w:r>
    </w:p>
    <w:p w:rsidR="00B85CB8" w:rsidRPr="00763D08" w:rsidRDefault="00B85CB8" w:rsidP="00B85CB8">
      <w:pPr>
        <w:spacing w:before="0"/>
        <w:jc w:val="center"/>
        <w:rPr>
          <w:sz w:val="22"/>
          <w:lang w:val="es-ES_tradnl"/>
        </w:rPr>
      </w:pPr>
    </w:p>
    <w:p w:rsidR="00B85CB8" w:rsidRPr="00763D08" w:rsidRDefault="00B85CB8" w:rsidP="00B85CB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B85CB8" w:rsidRPr="006C718C" w:rsidRDefault="00B85CB8" w:rsidP="00B85CB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85CB8" w:rsidRPr="006C718C" w:rsidRDefault="00B85CB8" w:rsidP="00B85CB8">
      <w:pPr>
        <w:spacing w:before="160"/>
        <w:rPr>
          <w:i/>
          <w:sz w:val="20"/>
          <w:highlight w:val="yellow"/>
          <w:lang w:val="es-ES_tradnl"/>
        </w:rPr>
        <w:sectPr w:rsidR="00B85CB8"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B85CB8" w:rsidRPr="006C347C" w:rsidRDefault="00B85CB8" w:rsidP="00B85CB8">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373-9</w:t>
      </w:r>
    </w:p>
    <w:p w:rsidR="00B85CB8" w:rsidRPr="002956C1" w:rsidRDefault="00B85CB8" w:rsidP="00B85CB8">
      <w:pPr>
        <w:pStyle w:val="Rectitle"/>
        <w:rPr>
          <w:lang w:val="es-ES_tradnl"/>
        </w:rPr>
      </w:pPr>
      <w:r w:rsidRPr="002956C1">
        <w:rPr>
          <w:lang w:val="es-ES_tradnl"/>
        </w:rPr>
        <w:t>Definición de las frecuencias máximas y mínimas de transmisión</w:t>
      </w:r>
    </w:p>
    <w:p w:rsidR="00C91D42" w:rsidRPr="002A627F" w:rsidRDefault="00C91D42" w:rsidP="00C91D42">
      <w:pPr>
        <w:pStyle w:val="Recdate"/>
        <w:rPr>
          <w:sz w:val="16"/>
          <w:szCs w:val="16"/>
          <w:lang w:val="es-ES_tradnl"/>
        </w:rPr>
      </w:pPr>
    </w:p>
    <w:p w:rsidR="00B85CB8" w:rsidRDefault="00B85CB8" w:rsidP="00C91D42">
      <w:pPr>
        <w:pStyle w:val="Recref"/>
        <w:rPr>
          <w:lang w:val="es-ES_tradnl"/>
        </w:rPr>
      </w:pPr>
      <w:bookmarkStart w:id="4" w:name="_GoBack"/>
      <w:bookmarkEnd w:id="4"/>
      <w:r w:rsidRPr="002956C1">
        <w:rPr>
          <w:lang w:val="es-ES_tradnl"/>
        </w:rPr>
        <w:t>(Cuestión UIT-R 212/3)</w:t>
      </w:r>
    </w:p>
    <w:p w:rsidR="00B85CB8" w:rsidRPr="002A627F" w:rsidRDefault="00B85CB8" w:rsidP="00B85CB8">
      <w:pPr>
        <w:pStyle w:val="Recdate"/>
        <w:rPr>
          <w:sz w:val="16"/>
          <w:szCs w:val="16"/>
          <w:lang w:val="es-ES_tradnl"/>
        </w:rPr>
      </w:pPr>
    </w:p>
    <w:p w:rsidR="00B85CB8" w:rsidRPr="002956C1" w:rsidRDefault="00B85CB8" w:rsidP="00B85CB8">
      <w:pPr>
        <w:pStyle w:val="Recdate"/>
        <w:rPr>
          <w:lang w:val="es-ES_tradnl"/>
        </w:rPr>
      </w:pPr>
      <w:r w:rsidRPr="002956C1">
        <w:rPr>
          <w:lang w:val="es-ES_tradnl"/>
        </w:rPr>
        <w:t>(1959-1963-1966-1970-1974-1978-1982-1990-1995</w:t>
      </w:r>
      <w:r>
        <w:rPr>
          <w:lang w:val="es-ES_tradnl"/>
        </w:rPr>
        <w:t>-2007-2013</w:t>
      </w:r>
      <w:r w:rsidRPr="002956C1">
        <w:rPr>
          <w:lang w:val="es-ES_tradnl"/>
        </w:rPr>
        <w:t>)</w:t>
      </w:r>
    </w:p>
    <w:p w:rsidR="00B85CB8" w:rsidRPr="006173B0" w:rsidRDefault="00B85CB8" w:rsidP="00B85CB8">
      <w:pPr>
        <w:rPr>
          <w:lang w:val="es-ES_tradnl"/>
        </w:rPr>
      </w:pPr>
    </w:p>
    <w:p w:rsidR="00B85CB8" w:rsidRPr="002A627F" w:rsidRDefault="00B85CB8" w:rsidP="00B85CB8">
      <w:pPr>
        <w:pStyle w:val="HeadingSum"/>
        <w:rPr>
          <w:szCs w:val="22"/>
        </w:rPr>
      </w:pPr>
      <w:r w:rsidRPr="002A627F">
        <w:rPr>
          <w:szCs w:val="22"/>
        </w:rPr>
        <w:t>Cometido</w:t>
      </w:r>
    </w:p>
    <w:p w:rsidR="00B85CB8" w:rsidRPr="002A627F" w:rsidRDefault="00B85CB8" w:rsidP="00B85CB8">
      <w:pPr>
        <w:pStyle w:val="Summary"/>
        <w:rPr>
          <w:szCs w:val="22"/>
        </w:rPr>
      </w:pPr>
      <w:r w:rsidRPr="002A627F">
        <w:rPr>
          <w:szCs w:val="22"/>
        </w:rPr>
        <w:t>Esta Recomendación facilita la definición de las frecuencias máximas y mínimas de transmisión. Estas definiciones, que se utilizan en las Recomendaciones UIT</w:t>
      </w:r>
      <w:r w:rsidRPr="002A627F">
        <w:rPr>
          <w:szCs w:val="22"/>
        </w:rPr>
        <w:noBreakHyphen/>
        <w:t>R relativas a los métodos de predicción de la propagación y cuestiones operacionales, también son utilizadas por los científicos y los operadores de radiocomunicación.</w:t>
      </w:r>
    </w:p>
    <w:p w:rsidR="00B85CB8" w:rsidRPr="002A627F" w:rsidRDefault="00B85CB8" w:rsidP="00B85CB8">
      <w:pPr>
        <w:spacing w:before="0"/>
        <w:rPr>
          <w:lang w:val="es-ES_tradnl"/>
        </w:rPr>
      </w:pPr>
    </w:p>
    <w:p w:rsidR="00B85CB8" w:rsidRPr="00B0431D" w:rsidRDefault="00B85CB8" w:rsidP="00B85CB8">
      <w:pPr>
        <w:pStyle w:val="Normalaftertitle"/>
        <w:rPr>
          <w:lang w:val="es-ES_tradnl"/>
        </w:rPr>
      </w:pPr>
      <w:r w:rsidRPr="00B0431D">
        <w:rPr>
          <w:szCs w:val="24"/>
          <w:lang w:val="es-ES_tradnl"/>
        </w:rPr>
        <w:t>La Asamblea de Radiocomunicaciones de la UIT,</w:t>
      </w:r>
    </w:p>
    <w:p w:rsidR="00B85CB8" w:rsidRPr="00B0431D" w:rsidRDefault="00B85CB8" w:rsidP="00B85CB8">
      <w:pPr>
        <w:pStyle w:val="Call"/>
        <w:rPr>
          <w:lang w:val="es-ES_tradnl"/>
        </w:rPr>
      </w:pPr>
      <w:r w:rsidRPr="00B0431D">
        <w:rPr>
          <w:szCs w:val="24"/>
          <w:lang w:val="es-ES_tradnl"/>
        </w:rPr>
        <w:t>considerando</w:t>
      </w:r>
    </w:p>
    <w:p w:rsidR="00B85CB8" w:rsidRPr="00B0431D" w:rsidRDefault="00B85CB8" w:rsidP="00B85CB8">
      <w:pPr>
        <w:rPr>
          <w:lang w:val="es-ES_tradnl"/>
        </w:rPr>
      </w:pPr>
      <w:r w:rsidRPr="00B0431D">
        <w:rPr>
          <w:lang w:val="es-ES_tradnl"/>
        </w:rPr>
        <w:t>que los servicios de predicción, los científicos y los organismos de explotación de servicios de radiocomunicación necesitan definir de diferente manera las frecuencias máximas y mínimas de transmisión,</w:t>
      </w:r>
    </w:p>
    <w:p w:rsidR="00B85CB8" w:rsidRPr="00B0431D" w:rsidRDefault="00B85CB8" w:rsidP="00B85CB8">
      <w:pPr>
        <w:pStyle w:val="Call"/>
        <w:rPr>
          <w:lang w:val="es-ES_tradnl"/>
        </w:rPr>
      </w:pPr>
      <w:r w:rsidRPr="00B0431D">
        <w:rPr>
          <w:lang w:val="es-ES_tradnl"/>
        </w:rPr>
        <w:t xml:space="preserve">recomienda </w:t>
      </w:r>
    </w:p>
    <w:p w:rsidR="00B85CB8" w:rsidRPr="00B0431D" w:rsidRDefault="00B85CB8" w:rsidP="00B85CB8">
      <w:pPr>
        <w:rPr>
          <w:lang w:val="es-ES_tradnl"/>
        </w:rPr>
      </w:pPr>
      <w:r w:rsidRPr="00B0431D">
        <w:rPr>
          <w:b/>
          <w:lang w:val="es-ES_tradnl"/>
        </w:rPr>
        <w:t>1</w:t>
      </w:r>
      <w:r w:rsidRPr="00B0431D">
        <w:rPr>
          <w:lang w:val="es-ES_tradnl"/>
        </w:rPr>
        <w:tab/>
        <w:t>utilizar las siguientes definiciones para la frecuencia máxima utilizable (MUF):</w:t>
      </w:r>
    </w:p>
    <w:p w:rsidR="00B85CB8" w:rsidRPr="00B0431D" w:rsidRDefault="00B85CB8" w:rsidP="00B85CB8">
      <w:pPr>
        <w:rPr>
          <w:lang w:val="es-ES_tradnl"/>
        </w:rPr>
      </w:pPr>
      <w:r w:rsidRPr="00B0431D">
        <w:rPr>
          <w:i/>
          <w:lang w:val="es-ES_tradnl"/>
        </w:rPr>
        <w:t>MUF operacional</w:t>
      </w:r>
      <w:r w:rsidRPr="00B0431D">
        <w:rPr>
          <w:lang w:val="es-ES_tradnl"/>
        </w:rPr>
        <w:t>, es la frecuencia más elevada que permitiría una calidad de funcionamiento aceptable de un circuito radioeléctrico, establecido por propagación de señales a través de la ionosfera, entre determinados terminales, en un momento dado y en condiciones de trabajo especificadas.</w:t>
      </w:r>
    </w:p>
    <w:p w:rsidR="00B85CB8" w:rsidRPr="00B0431D" w:rsidRDefault="00B85CB8" w:rsidP="00B85CB8">
      <w:pPr>
        <w:pStyle w:val="Note"/>
        <w:rPr>
          <w:sz w:val="24"/>
          <w:szCs w:val="24"/>
          <w:lang w:val="es-ES_tradnl"/>
        </w:rPr>
      </w:pPr>
      <w:r w:rsidRPr="00B0431D">
        <w:rPr>
          <w:sz w:val="24"/>
          <w:szCs w:val="24"/>
          <w:lang w:val="es-ES_tradnl"/>
        </w:rPr>
        <w:t>NOTA 1 – La calidad de funcionamiento aceptable puede expresarse, por ejemplo, en términos de máxima proporción de errores o relación señal/ruido requerida.</w:t>
      </w:r>
    </w:p>
    <w:p w:rsidR="00B85CB8" w:rsidRPr="00B0431D" w:rsidRDefault="00B85CB8" w:rsidP="00B85CB8">
      <w:pPr>
        <w:pStyle w:val="Note"/>
        <w:rPr>
          <w:sz w:val="24"/>
          <w:szCs w:val="24"/>
          <w:lang w:val="es-ES_tradnl"/>
        </w:rPr>
      </w:pPr>
      <w:r w:rsidRPr="00B0431D">
        <w:rPr>
          <w:sz w:val="24"/>
          <w:szCs w:val="24"/>
          <w:lang w:val="es-ES_tradnl"/>
        </w:rPr>
        <w:t>NOTA 2 – Las condiciones de trabajo especificadas pueden incluir factores tales como tipos de antena, potencia del transmisor, clase de emisión y velocidad de información requerida;</w:t>
      </w:r>
    </w:p>
    <w:p w:rsidR="00B85CB8" w:rsidRPr="00B0431D" w:rsidRDefault="00B85CB8" w:rsidP="00B85CB8">
      <w:pPr>
        <w:rPr>
          <w:lang w:val="es-ES_tradnl"/>
        </w:rPr>
      </w:pPr>
      <w:r w:rsidRPr="00B0431D">
        <w:rPr>
          <w:i/>
          <w:lang w:val="es-ES_tradnl"/>
        </w:rPr>
        <w:t>MUF básica</w:t>
      </w:r>
      <w:r w:rsidRPr="00B0431D">
        <w:rPr>
          <w:lang w:val="es-ES_tradnl"/>
        </w:rPr>
        <w:t xml:space="preserve"> es la frecuencia más elevada en que una onda radioeléctrica puede propagarse entre determinadas estaciones terminales, en un momento dado, mediante refracción ionosférica solamente;</w:t>
      </w:r>
    </w:p>
    <w:p w:rsidR="00B85CB8" w:rsidRPr="00B0431D" w:rsidRDefault="00B85CB8" w:rsidP="00B85CB8">
      <w:pPr>
        <w:rPr>
          <w:lang w:val="es-ES_tradnl"/>
        </w:rPr>
      </w:pPr>
      <w:r w:rsidRPr="00B0431D">
        <w:rPr>
          <w:b/>
          <w:bCs/>
          <w:lang w:val="es-ES_tradnl"/>
        </w:rPr>
        <w:t>2</w:t>
      </w:r>
      <w:r w:rsidRPr="00B0431D">
        <w:rPr>
          <w:lang w:val="es-ES_tradnl"/>
        </w:rPr>
        <w:tab/>
        <w:t>utilizar también las definiciones adicionales ampliadas que figuran en el Anexo 1.</w:t>
      </w:r>
    </w:p>
    <w:p w:rsidR="00B85CB8" w:rsidRPr="00B0431D" w:rsidRDefault="00B85CB8" w:rsidP="00B85CB8">
      <w:pPr>
        <w:rPr>
          <w:lang w:val="es-ES_tradnl"/>
        </w:rPr>
      </w:pPr>
    </w:p>
    <w:p w:rsidR="00B85CB8" w:rsidRPr="00B0431D" w:rsidRDefault="00B85CB8" w:rsidP="00B85CB8">
      <w:pPr>
        <w:pStyle w:val="AnnexNoTitle"/>
        <w:rPr>
          <w:lang w:val="es-ES_tradnl"/>
        </w:rPr>
      </w:pPr>
      <w:r w:rsidRPr="00B0431D">
        <w:rPr>
          <w:lang w:val="es-ES_tradnl"/>
        </w:rPr>
        <w:lastRenderedPageBreak/>
        <w:t>Anexo 1</w:t>
      </w:r>
      <w:r w:rsidRPr="00B0431D">
        <w:rPr>
          <w:lang w:val="es-ES_tradnl"/>
        </w:rPr>
        <w:br/>
      </w:r>
      <w:r w:rsidRPr="00B0431D">
        <w:rPr>
          <w:lang w:val="es-ES_tradnl"/>
        </w:rPr>
        <w:br/>
        <w:t>Definiciones adicionales</w:t>
      </w:r>
    </w:p>
    <w:p w:rsidR="00B85CB8" w:rsidRPr="00B0431D" w:rsidRDefault="00B85CB8" w:rsidP="00B85CB8">
      <w:pPr>
        <w:pStyle w:val="Normalaftertitle"/>
        <w:keepNext/>
        <w:keepLines/>
        <w:rPr>
          <w:lang w:val="es-ES_tradnl"/>
        </w:rPr>
      </w:pPr>
      <w:r w:rsidRPr="00B0431D">
        <w:rPr>
          <w:i/>
          <w:lang w:val="es-ES_tradnl"/>
        </w:rPr>
        <w:t>Frecuencia óptima de trabajo (OWF) o frecuencia óptima de tráfico (FOT):</w:t>
      </w:r>
      <w:r w:rsidRPr="00B0431D">
        <w:rPr>
          <w:lang w:val="es-ES_tradnl"/>
        </w:rPr>
        <w:t xml:space="preserve"> decilo más bajo de los valores diarios de la MUF operacional en un momento dado, durante un periodo específico, normalmente de un mes. Quiere decirse que es la frecuencia rebasada por la MUF de explotación durante el 90% del periodo especificado.</w:t>
      </w:r>
    </w:p>
    <w:p w:rsidR="00B85CB8" w:rsidRPr="00B0431D" w:rsidRDefault="00B85CB8" w:rsidP="00B85CB8">
      <w:pPr>
        <w:rPr>
          <w:lang w:val="es-ES_tradnl"/>
        </w:rPr>
      </w:pPr>
      <w:r w:rsidRPr="00B0431D">
        <w:rPr>
          <w:i/>
          <w:iCs/>
          <w:lang w:val="es-ES_tradnl"/>
        </w:rPr>
        <w:t>Frecuencia probable más elevada (HPF)</w:t>
      </w:r>
      <w:r w:rsidRPr="00B0431D">
        <w:rPr>
          <w:lang w:val="es-ES_tradnl"/>
        </w:rPr>
        <w:t>: decilo más alto de los valores diarios de la MUF operacional en un momento dado, durante un periodo específico, normalmente un mes. Esto quiere decir que es la frecuencia rebasada por la MUF operacional durante el 10% del periodo especificado.</w:t>
      </w:r>
    </w:p>
    <w:p w:rsidR="00B85CB8" w:rsidRPr="00B0431D" w:rsidRDefault="00B85CB8" w:rsidP="00B85CB8">
      <w:pPr>
        <w:rPr>
          <w:lang w:val="es-ES_tradnl"/>
        </w:rPr>
      </w:pPr>
      <w:r w:rsidRPr="00B0431D">
        <w:rPr>
          <w:i/>
          <w:iCs/>
          <w:lang w:val="es-ES_tradnl"/>
        </w:rPr>
        <w:t>Frecuencia mínima utilizable (LUF)</w:t>
      </w:r>
      <w:r w:rsidRPr="00B0431D">
        <w:rPr>
          <w:lang w:val="es-ES_tradnl"/>
        </w:rPr>
        <w:t>: frecuencia más baja que permitiría el comportamiento aceptable de un circuito radioeléctrico por propagación de señales a través de la ionosfera entre determinados terminales situados por debajo de la ionosfera, en un momento dado y en condiciones de trabajo especificadas.</w:t>
      </w:r>
    </w:p>
    <w:p w:rsidR="00B85CB8" w:rsidRPr="00B0431D" w:rsidRDefault="00B85CB8" w:rsidP="00B85CB8">
      <w:pPr>
        <w:pStyle w:val="Note"/>
        <w:rPr>
          <w:lang w:val="es-ES_tradnl"/>
        </w:rPr>
      </w:pPr>
      <w:r w:rsidRPr="00B0431D">
        <w:rPr>
          <w:lang w:val="es-ES_tradnl"/>
        </w:rPr>
        <w:t>NOTA 1 – Cuando la MUF básica se limita a un modo particular de propagación ionosférica, los valores pueden indicarse acompañados de la mención de ese modo (por ejemplo, 1E MUF, 2F2 MUF).</w:t>
      </w:r>
    </w:p>
    <w:p w:rsidR="00B85CB8" w:rsidRPr="00B0431D" w:rsidRDefault="00B85CB8" w:rsidP="00B85CB8">
      <w:pPr>
        <w:pStyle w:val="Note"/>
        <w:rPr>
          <w:lang w:val="es-ES_tradnl"/>
        </w:rPr>
      </w:pPr>
      <w:r w:rsidRPr="00B0431D">
        <w:rPr>
          <w:lang w:val="es-ES_tradnl"/>
        </w:rPr>
        <w:t>NOTA 2 – Si interviene la componente de la onda extraordinaria, se debe indicar (por ejemplo, 1F2 MUF(X)). La falta de una referencia concreta a la componente magnetoiónica significa que el valor citado se refiere a la onda ordinaria.</w:t>
      </w:r>
    </w:p>
    <w:p w:rsidR="00B85CB8" w:rsidRPr="00B0431D" w:rsidRDefault="00B85CB8" w:rsidP="00B85CB8">
      <w:pPr>
        <w:pStyle w:val="Note"/>
        <w:rPr>
          <w:lang w:val="es-ES_tradnl"/>
        </w:rPr>
      </w:pPr>
      <w:r w:rsidRPr="00B0431D">
        <w:rPr>
          <w:lang w:val="es-ES_tradnl"/>
        </w:rPr>
        <w:t>NOTA 3 – A veces, conviene señalar la distancia sobre la superficie a que se aplica la MUF básica. Esto se expresa en kilómetros, después de la indicación del tipo de modo (por ejemplo, 1F2 (4 000) MUF(X)).</w:t>
      </w:r>
    </w:p>
    <w:p w:rsidR="00B85CB8" w:rsidRPr="00B0431D" w:rsidRDefault="00B85CB8" w:rsidP="00B85CB8">
      <w:pPr>
        <w:pStyle w:val="Note"/>
        <w:rPr>
          <w:lang w:val="es-ES_tradnl"/>
        </w:rPr>
      </w:pPr>
      <w:r w:rsidRPr="00B0431D">
        <w:rPr>
          <w:lang w:val="es-ES_tradnl"/>
        </w:rPr>
        <w:t>NOTA 4 – Cuando la MUF básica se refiere al valor mediano, o a algún otro percentil (x), de un mes o estación, puede indicarse dando el valor de percentil siguiente al término (por ejemplo, MUF(50), para un valor mediano).</w:t>
      </w:r>
    </w:p>
    <w:p w:rsidR="00B85CB8" w:rsidRPr="00B0431D" w:rsidRDefault="00B85CB8" w:rsidP="00B85CB8">
      <w:pPr>
        <w:rPr>
          <w:lang w:val="es-ES_tradnl"/>
        </w:rPr>
      </w:pPr>
    </w:p>
    <w:p w:rsidR="00B85CB8" w:rsidRPr="00B0431D" w:rsidRDefault="00B85CB8" w:rsidP="00B85CB8">
      <w:pPr>
        <w:spacing w:before="0"/>
        <w:rPr>
          <w:lang w:val="es-ES_tradnl"/>
        </w:rPr>
      </w:pPr>
    </w:p>
    <w:p w:rsidR="00B85CB8" w:rsidRPr="00B0431D" w:rsidRDefault="00B85CB8" w:rsidP="00B85CB8">
      <w:pPr>
        <w:pStyle w:val="Line"/>
        <w:rPr>
          <w:lang w:val="es-ES_tradnl"/>
        </w:rPr>
      </w:pPr>
    </w:p>
    <w:sectPr w:rsidR="00B85CB8" w:rsidRPr="00B0431D" w:rsidSect="00B85CB8">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CB8" w:rsidRDefault="00B85CB8">
      <w:r>
        <w:separator/>
      </w:r>
    </w:p>
  </w:endnote>
  <w:endnote w:type="continuationSeparator" w:id="0">
    <w:p w:rsidR="00B85CB8" w:rsidRDefault="00B85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CB8" w:rsidRDefault="00B85CB8">
      <w:r>
        <w:separator/>
      </w:r>
    </w:p>
  </w:footnote>
  <w:footnote w:type="continuationSeparator" w:id="0">
    <w:p w:rsidR="00B85CB8" w:rsidRDefault="00B85C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B8" w:rsidRDefault="00B85CB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B8" w:rsidRDefault="00B85CB8" w:rsidP="00D62884">
    <w:pPr>
      <w:pStyle w:val="Header"/>
      <w:ind w:right="360" w:firstLine="360"/>
    </w:pPr>
    <w:r>
      <w:rPr>
        <w:noProof/>
        <w:lang w:val="es-ES_tradnl" w:eastAsia="es-ES_tradnl"/>
      </w:rPr>
      <w:drawing>
        <wp:anchor distT="0" distB="0" distL="114300" distR="114300" simplePos="0" relativeHeight="251659264" behindDoc="1" locked="0" layoutInCell="1" allowOverlap="1" wp14:anchorId="2442BB9E" wp14:editId="2F246E2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B8" w:rsidRDefault="00B85CB8"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91D42">
      <w:rPr>
        <w:rStyle w:val="PageNumber"/>
        <w:b/>
        <w:bCs/>
        <w:noProof/>
      </w:rPr>
      <w:t>ii</w:t>
    </w:r>
    <w:r>
      <w:rPr>
        <w:rStyle w:val="PageNumber"/>
        <w:b/>
        <w:bCs/>
      </w:rPr>
      <w:fldChar w:fldCharType="end"/>
    </w:r>
    <w:r>
      <w:tab/>
    </w:r>
    <w:fldSimple w:instr=" DOCPROPERTY &quot;Header&quot; \* MERGEFORMAT ">
      <w:r w:rsidR="00C91D42" w:rsidRPr="00C91D42">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C91D42">
      <w:rPr>
        <w:b/>
        <w:bCs/>
        <w:noProof/>
      </w:rPr>
      <w:t>UIT-R  P.373-9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B8" w:rsidRDefault="00B85CB8">
    <w:pPr>
      <w:pStyle w:val="Header"/>
    </w:pPr>
    <w:r>
      <w:tab/>
    </w:r>
    <w:fldSimple w:instr=" DOCPROPERTY &quot;Header&quot; \* MERGEFORMAT ">
      <w:r w:rsidR="00C91D42" w:rsidRPr="00C91D4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91D42">
      <w:rPr>
        <w:b/>
        <w:bCs/>
        <w:noProof/>
      </w:rPr>
      <w:t>UIT-R  P.373-9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91D42">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91D42" w:rsidRPr="00C91D4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91D42">
      <w:rPr>
        <w:b/>
        <w:bCs/>
        <w:noProof/>
        <w:lang w:val="en-US"/>
      </w:rPr>
      <w:t>UIT-R  P.373-9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C91D42" w:rsidRPr="00C91D4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91D42">
      <w:rPr>
        <w:b/>
        <w:bCs/>
        <w:noProof/>
      </w:rPr>
      <w:t>UIT-R  P.373-9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91D42">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CB8"/>
    <w:rsid w:val="00217EBF"/>
    <w:rsid w:val="00242AEE"/>
    <w:rsid w:val="002D76C4"/>
    <w:rsid w:val="0052529D"/>
    <w:rsid w:val="00607D68"/>
    <w:rsid w:val="007468DA"/>
    <w:rsid w:val="009E00A8"/>
    <w:rsid w:val="00A6617B"/>
    <w:rsid w:val="00AB0DC8"/>
    <w:rsid w:val="00B44E24"/>
    <w:rsid w:val="00B85CB8"/>
    <w:rsid w:val="00C91D42"/>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18A5B76-25AE-4EAA-992E-CC54E1CD0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C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85CB8"/>
    <w:rPr>
      <w:color w:val="0000FF"/>
      <w:u w:val="single"/>
    </w:rPr>
  </w:style>
  <w:style w:type="table" w:styleId="TableGrid">
    <w:name w:val="Table Grid"/>
    <w:basedOn w:val="TableNormal"/>
    <w:rsid w:val="00B85CB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TotalTime>
  <Pages>4</Pages>
  <Words>890</Words>
  <Characters>5444</Characters>
  <Application>Microsoft Office Word</Application>
  <DocSecurity>0</DocSecurity>
  <Lines>388</Lines>
  <Paragraphs>147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cp:revision>
  <cp:lastPrinted>2005-02-10T15:54:00Z</cp:lastPrinted>
  <dcterms:created xsi:type="dcterms:W3CDTF">2014-08-18T12:17:00Z</dcterms:created>
  <dcterms:modified xsi:type="dcterms:W3CDTF">2014-08-18T12:32:00Z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