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169" w:rsidRDefault="00BF390B" w:rsidP="009E6169">
      <w:r>
        <w:rPr>
          <w:noProof/>
          <w:lang w:val="en-US" w:eastAsia="zh-CN"/>
        </w:rPr>
        <w:drawing>
          <wp:anchor distT="0" distB="0" distL="114300" distR="114300" simplePos="0" relativeHeight="251657728" behindDoc="1" locked="0" layoutInCell="1" allowOverlap="0">
            <wp:simplePos x="0" y="0"/>
            <wp:positionH relativeFrom="column">
              <wp:posOffset>-744855</wp:posOffset>
            </wp:positionH>
            <wp:positionV relativeFrom="paragraph">
              <wp:posOffset>-901065</wp:posOffset>
            </wp:positionV>
            <wp:extent cx="7700010" cy="10707370"/>
            <wp:effectExtent l="0" t="0" r="0" b="0"/>
            <wp:wrapNone/>
            <wp:docPr id="11"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8" cstate="print"/>
                    <a:srcRect/>
                    <a:stretch>
                      <a:fillRect/>
                    </a:stretch>
                  </pic:blipFill>
                  <pic:spPr bwMode="auto">
                    <a:xfrm>
                      <a:off x="0" y="0"/>
                      <a:ext cx="7700010" cy="10707370"/>
                    </a:xfrm>
                    <a:prstGeom prst="rect">
                      <a:avLst/>
                    </a:prstGeom>
                    <a:noFill/>
                  </pic:spPr>
                </pic:pic>
              </a:graphicData>
            </a:graphic>
          </wp:anchor>
        </w:drawing>
      </w:r>
    </w:p>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tbl>
      <w:tblPr>
        <w:tblW w:w="10089" w:type="dxa"/>
        <w:tblLook w:val="01E0" w:firstRow="1" w:lastRow="1" w:firstColumn="1" w:lastColumn="1" w:noHBand="0" w:noVBand="0"/>
      </w:tblPr>
      <w:tblGrid>
        <w:gridCol w:w="10089"/>
      </w:tblGrid>
      <w:tr w:rsidR="009E6169" w:rsidRPr="000F6905" w:rsidTr="00EB3ED4">
        <w:tc>
          <w:tcPr>
            <w:tcW w:w="10089" w:type="dxa"/>
          </w:tcPr>
          <w:p w:rsidR="009E6169" w:rsidRPr="007B31CB" w:rsidRDefault="009E6169" w:rsidP="002D109E">
            <w:pPr>
              <w:spacing w:before="380" w:line="280" w:lineRule="exact"/>
              <w:jc w:val="right"/>
              <w:rPr>
                <w:rFonts w:ascii="Tahoma" w:hAnsi="Tahoma" w:cs="Tahoma"/>
                <w:b/>
                <w:bCs/>
                <w:iCs/>
                <w:color w:val="243285"/>
                <w:sz w:val="32"/>
                <w:szCs w:val="32"/>
                <w:lang w:val="en-US"/>
              </w:rPr>
            </w:pPr>
          </w:p>
          <w:p w:rsidR="009E6169" w:rsidRPr="006D690E" w:rsidRDefault="009E6169" w:rsidP="00EB3ED4">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712C24">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712C24">
              <w:rPr>
                <w:rFonts w:ascii="Tahoma" w:hAnsi="Tahoma" w:cs="Tahoma" w:hint="eastAsia"/>
                <w:b/>
                <w:bCs/>
                <w:iCs/>
                <w:color w:val="243285"/>
                <w:sz w:val="36"/>
                <w:szCs w:val="36"/>
                <w:lang w:eastAsia="zh-CN"/>
              </w:rPr>
              <w:t>3</w:t>
            </w:r>
            <w:r w:rsidR="00EB3ED4">
              <w:rPr>
                <w:rFonts w:ascii="Tahoma" w:hAnsi="Tahoma" w:cs="Tahoma" w:hint="eastAsia"/>
                <w:b/>
                <w:bCs/>
                <w:iCs/>
                <w:color w:val="243285"/>
                <w:sz w:val="36"/>
                <w:szCs w:val="36"/>
                <w:lang w:eastAsia="zh-CN"/>
              </w:rPr>
              <w:t>73</w:t>
            </w:r>
            <w:r w:rsidR="00712C24">
              <w:rPr>
                <w:rFonts w:ascii="Tahoma" w:hAnsi="Tahoma" w:cs="Tahoma" w:hint="eastAsia"/>
                <w:b/>
                <w:bCs/>
                <w:iCs/>
                <w:color w:val="243285"/>
                <w:sz w:val="36"/>
                <w:szCs w:val="36"/>
                <w:lang w:eastAsia="zh-CN"/>
              </w:rPr>
              <w:t>-</w:t>
            </w:r>
            <w:r w:rsidR="00EB3ED4">
              <w:rPr>
                <w:rFonts w:ascii="Tahoma" w:hAnsi="Tahoma" w:cs="Tahoma" w:hint="eastAsia"/>
                <w:b/>
                <w:bCs/>
                <w:iCs/>
                <w:color w:val="243285"/>
                <w:sz w:val="36"/>
                <w:szCs w:val="36"/>
                <w:lang w:eastAsia="zh-CN"/>
              </w:rPr>
              <w:t>9</w:t>
            </w:r>
            <w:r w:rsidR="00712C24">
              <w:rPr>
                <w:rFonts w:ascii="Tahoma" w:hAnsi="Tahoma" w:cs="Tahoma" w:hint="eastAsia"/>
                <w:b/>
                <w:bCs/>
                <w:iCs/>
                <w:color w:val="243285"/>
                <w:sz w:val="36"/>
                <w:szCs w:val="36"/>
                <w:lang w:eastAsia="zh-CN"/>
              </w:rPr>
              <w:t xml:space="preserve"> </w:t>
            </w:r>
            <w:r w:rsidRPr="009C10CC">
              <w:rPr>
                <w:rFonts w:ascii="SimHei" w:eastAsia="SimHei" w:hAnsi="Tahoma" w:cs="Tahoma" w:hint="eastAsia"/>
                <w:b/>
                <w:bCs/>
                <w:iCs/>
                <w:color w:val="243285"/>
                <w:sz w:val="36"/>
                <w:szCs w:val="36"/>
                <w:lang w:eastAsia="zh-CN"/>
              </w:rPr>
              <w:t>建议书</w:t>
            </w:r>
          </w:p>
          <w:p w:rsidR="009E6169" w:rsidRPr="000F6905" w:rsidRDefault="009E6169" w:rsidP="00EB3ED4">
            <w:pPr>
              <w:spacing w:before="80" w:line="280" w:lineRule="exact"/>
              <w:jc w:val="right"/>
              <w:rPr>
                <w:rFonts w:ascii="Tahoma" w:hAnsi="Tahoma" w:cs="Tahoma"/>
                <w:b/>
                <w:bCs/>
                <w:iCs/>
                <w:color w:val="243285"/>
              </w:rPr>
            </w:pPr>
            <w:r w:rsidRPr="000F6905">
              <w:rPr>
                <w:rFonts w:ascii="Tahoma" w:hAnsi="Tahoma" w:cs="Tahoma"/>
                <w:b/>
                <w:bCs/>
                <w:iCs/>
                <w:color w:val="243285"/>
              </w:rPr>
              <w:t>(</w:t>
            </w:r>
            <w:r w:rsidR="00EB3ED4">
              <w:rPr>
                <w:rFonts w:ascii="Tahoma" w:hAnsi="Tahoma" w:cs="Tahoma" w:hint="eastAsia"/>
                <w:b/>
                <w:bCs/>
                <w:iCs/>
                <w:color w:val="243285"/>
                <w:lang w:eastAsia="zh-CN"/>
              </w:rPr>
              <w:t>09</w:t>
            </w:r>
            <w:r w:rsidRPr="000F6905">
              <w:rPr>
                <w:rFonts w:ascii="Tahoma" w:hAnsi="Tahoma" w:cs="Tahoma"/>
                <w:b/>
                <w:bCs/>
                <w:iCs/>
                <w:color w:val="243285"/>
              </w:rPr>
              <w:t>/</w:t>
            </w:r>
            <w:r>
              <w:rPr>
                <w:rFonts w:ascii="Tahoma" w:hAnsi="Tahoma" w:cs="Tahoma" w:hint="eastAsia"/>
                <w:b/>
                <w:bCs/>
                <w:iCs/>
                <w:color w:val="243285"/>
                <w:lang w:eastAsia="zh-CN"/>
              </w:rPr>
              <w:t>20</w:t>
            </w:r>
            <w:r w:rsidR="00EB3ED4">
              <w:rPr>
                <w:rFonts w:ascii="Tahoma" w:hAnsi="Tahoma" w:cs="Tahoma" w:hint="eastAsia"/>
                <w:b/>
                <w:bCs/>
                <w:iCs/>
                <w:color w:val="243285"/>
                <w:lang w:eastAsia="zh-CN"/>
              </w:rPr>
              <w:t>13</w:t>
            </w:r>
            <w:r w:rsidRPr="000F6905">
              <w:rPr>
                <w:rFonts w:ascii="Tahoma" w:hAnsi="Tahoma" w:cs="Tahoma"/>
                <w:b/>
                <w:bCs/>
                <w:iCs/>
                <w:color w:val="243285"/>
              </w:rPr>
              <w:t>)</w:t>
            </w:r>
          </w:p>
        </w:tc>
      </w:tr>
      <w:tr w:rsidR="009E6169" w:rsidRPr="007B31CB" w:rsidTr="00EB3ED4">
        <w:tc>
          <w:tcPr>
            <w:tcW w:w="10089" w:type="dxa"/>
          </w:tcPr>
          <w:p w:rsidR="009E6169" w:rsidRPr="000F6905" w:rsidRDefault="009E6169" w:rsidP="002D109E">
            <w:pPr>
              <w:spacing w:before="80" w:line="500" w:lineRule="exact"/>
              <w:jc w:val="right"/>
              <w:rPr>
                <w:rFonts w:ascii="Tahoma" w:hAnsi="Tahoma" w:cs="Tahoma"/>
                <w:b/>
                <w:bCs/>
                <w:iCs/>
                <w:color w:val="243285"/>
                <w:sz w:val="44"/>
                <w:szCs w:val="44"/>
                <w:lang w:eastAsia="zh-CN"/>
              </w:rPr>
            </w:pPr>
          </w:p>
          <w:p w:rsidR="009E6169" w:rsidRPr="00035AC2" w:rsidRDefault="00EB3ED4" w:rsidP="007840B7">
            <w:pPr>
              <w:spacing w:before="80" w:line="500" w:lineRule="exact"/>
              <w:jc w:val="right"/>
              <w:rPr>
                <w:rFonts w:ascii="SimHei" w:eastAsia="SimHei" w:hAnsi="Tahoma" w:cs="Tahoma"/>
                <w:b/>
                <w:bCs/>
                <w:color w:val="243285"/>
                <w:sz w:val="44"/>
                <w:szCs w:val="44"/>
                <w:lang w:val="en-US" w:eastAsia="zh-CN"/>
              </w:rPr>
            </w:pPr>
            <w:r w:rsidRPr="00EB3ED4">
              <w:rPr>
                <w:rFonts w:ascii="SimHei" w:eastAsia="SimHei" w:hAnsi="Tahoma" w:cs="Tahoma" w:hint="eastAsia"/>
                <w:b/>
                <w:bCs/>
                <w:color w:val="243285"/>
                <w:sz w:val="44"/>
                <w:szCs w:val="44"/>
                <w:lang w:val="en-US" w:eastAsia="zh-CN"/>
              </w:rPr>
              <w:t>最高和最低传输频率的定义</w:t>
            </w:r>
          </w:p>
          <w:p w:rsidR="009E6169" w:rsidRPr="007B31CB" w:rsidRDefault="009E6169" w:rsidP="002D109E">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E6169" w:rsidTr="00EB3ED4">
        <w:tc>
          <w:tcPr>
            <w:tcW w:w="10089" w:type="dxa"/>
          </w:tcPr>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after="180" w:line="360" w:lineRule="exact"/>
              <w:ind w:right="720"/>
              <w:rPr>
                <w:rFonts w:ascii="Tahoma" w:hAnsi="Tahoma" w:cs="Tahoma"/>
                <w:b/>
                <w:bCs/>
                <w:iCs/>
                <w:color w:val="243285"/>
                <w:sz w:val="36"/>
                <w:szCs w:val="36"/>
                <w:lang w:val="en-US" w:eastAsia="zh-CN"/>
              </w:rPr>
            </w:pPr>
          </w:p>
          <w:p w:rsidR="009E6169" w:rsidRPr="007B31CB" w:rsidRDefault="00712C24" w:rsidP="009E61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9E6169" w:rsidRPr="007B31CB">
              <w:rPr>
                <w:rFonts w:ascii="Tahoma" w:hAnsi="Tahoma" w:cs="Tahoma"/>
                <w:b/>
                <w:bCs/>
                <w:iCs/>
                <w:color w:val="243285"/>
                <w:sz w:val="36"/>
                <w:szCs w:val="36"/>
                <w:lang w:val="en-US" w:eastAsia="zh-CN"/>
              </w:rPr>
              <w:t xml:space="preserve"> </w:t>
            </w:r>
            <w:r w:rsidR="009E6169" w:rsidRPr="00035AC2">
              <w:rPr>
                <w:rFonts w:ascii="SimHei" w:eastAsia="SimHei" w:hAnsi="Tahoma" w:cs="Tahoma" w:hint="eastAsia"/>
                <w:b/>
                <w:bCs/>
                <w:iCs/>
                <w:color w:val="243285"/>
                <w:sz w:val="36"/>
                <w:szCs w:val="36"/>
                <w:lang w:val="en-US" w:eastAsia="zh-CN"/>
              </w:rPr>
              <w:t>系列</w:t>
            </w:r>
          </w:p>
          <w:p w:rsidR="009E6169" w:rsidRPr="00035AC2" w:rsidRDefault="00712C24" w:rsidP="002D109E">
            <w:pPr>
              <w:spacing w:before="80" w:line="360" w:lineRule="exact"/>
              <w:jc w:val="right"/>
              <w:rPr>
                <w:rFonts w:ascii="SimHei" w:eastAsia="SimHei" w:hAnsi="Tahoma" w:cs="Tahoma"/>
                <w:b/>
                <w:bCs/>
                <w:iCs/>
                <w:color w:val="243285"/>
                <w:sz w:val="36"/>
                <w:szCs w:val="36"/>
                <w:lang w:val="en-US" w:eastAsia="zh-CN"/>
              </w:rPr>
            </w:pPr>
            <w:r w:rsidRPr="00035AC2">
              <w:rPr>
                <w:rFonts w:ascii="SimHei" w:eastAsia="SimHei" w:hAnsi="Tahoma" w:cs="Tahoma" w:hint="eastAsia"/>
                <w:b/>
                <w:bCs/>
                <w:iCs/>
                <w:color w:val="243285"/>
                <w:sz w:val="36"/>
                <w:szCs w:val="36"/>
                <w:lang w:val="en-US" w:eastAsia="zh-CN"/>
              </w:rPr>
              <w:t>无线电波传播</w:t>
            </w:r>
          </w:p>
          <w:p w:rsidR="009E6169" w:rsidRPr="007B31CB" w:rsidRDefault="009E6169" w:rsidP="002D109E">
            <w:pPr>
              <w:spacing w:before="80" w:line="360" w:lineRule="exact"/>
              <w:jc w:val="right"/>
              <w:rPr>
                <w:rFonts w:ascii="Tahoma" w:hAnsi="Tahoma" w:cs="Tahoma"/>
                <w:b/>
                <w:bCs/>
                <w:iCs/>
                <w:color w:val="243285"/>
                <w:sz w:val="32"/>
                <w:szCs w:val="32"/>
                <w:lang w:val="en-US" w:eastAsia="zh-CN"/>
              </w:rPr>
            </w:pPr>
          </w:p>
        </w:tc>
      </w:tr>
    </w:tbl>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Pr="008D3573" w:rsidRDefault="009E6169" w:rsidP="009E6169">
      <w:pPr>
        <w:rPr>
          <w:lang w:val="en-US" w:eastAsia="zh-CN"/>
        </w:rPr>
      </w:pPr>
    </w:p>
    <w:p w:rsidR="00D51444" w:rsidRPr="00D51444" w:rsidRDefault="00D51444" w:rsidP="008429A7">
      <w:pPr>
        <w:pStyle w:val="RecNoBR"/>
        <w:spacing w:before="240"/>
        <w:rPr>
          <w:lang w:val="en-US" w:eastAsia="zh-CN"/>
        </w:rPr>
        <w:sectPr w:rsidR="00D51444" w:rsidRPr="00D51444">
          <w:headerReference w:type="even" r:id="rId9"/>
          <w:headerReference w:type="default" r:id="rId10"/>
          <w:pgSz w:w="11907" w:h="16834" w:code="9"/>
          <w:pgMar w:top="1418" w:right="1134" w:bottom="1134" w:left="1134" w:header="720" w:footer="482" w:gutter="0"/>
          <w:paperSrc w:first="15" w:other="15"/>
          <w:cols w:space="720"/>
        </w:sectPr>
      </w:pPr>
    </w:p>
    <w:p w:rsidR="009649EC" w:rsidRPr="009E6169" w:rsidRDefault="009649EC" w:rsidP="009649EC">
      <w:pPr>
        <w:spacing w:before="0"/>
        <w:rPr>
          <w:sz w:val="6"/>
          <w:szCs w:val="6"/>
          <w:lang w:val="en-US" w:eastAsia="zh-CN"/>
        </w:rPr>
      </w:pPr>
    </w:p>
    <w:p w:rsidR="00355C93" w:rsidRPr="00586EF8" w:rsidRDefault="00355C93" w:rsidP="009649EC">
      <w:pPr>
        <w:pStyle w:val="Heading1"/>
        <w:spacing w:before="240"/>
        <w:jc w:val="center"/>
        <w:rPr>
          <w:lang w:val="en-US" w:eastAsia="zh-CN"/>
        </w:rPr>
      </w:pPr>
      <w:r>
        <w:rPr>
          <w:rFonts w:hint="eastAsia"/>
          <w:lang w:val="fr-CH" w:eastAsia="zh-CN"/>
        </w:rPr>
        <w:t>前言</w:t>
      </w:r>
    </w:p>
    <w:p w:rsidR="00355C93" w:rsidRPr="00355C93" w:rsidRDefault="00355C93" w:rsidP="00E50171">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55C93" w:rsidRPr="00355C93" w:rsidRDefault="00355C93" w:rsidP="00E50171">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55C93" w:rsidRPr="00943821" w:rsidRDefault="00355C93" w:rsidP="00E50171">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355C93" w:rsidRPr="00355C93" w:rsidRDefault="00355C93" w:rsidP="00E50171">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355C93" w:rsidRDefault="00355C93" w:rsidP="00355C93">
      <w:pPr>
        <w:jc w:val="center"/>
        <w:rPr>
          <w:sz w:val="22"/>
          <w:lang w:val="en-US" w:eastAsia="zh-CN"/>
        </w:rPr>
      </w:pPr>
    </w:p>
    <w:p w:rsidR="00F128B0" w:rsidRDefault="00F128B0" w:rsidP="00355C9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355C93" w:rsidTr="00F128B0">
        <w:tc>
          <w:tcPr>
            <w:tcW w:w="9748" w:type="dxa"/>
            <w:gridSpan w:val="2"/>
          </w:tcPr>
          <w:p w:rsidR="00355C93" w:rsidRPr="00C12100" w:rsidRDefault="00355C93" w:rsidP="00F128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355C93" w:rsidRPr="00F128B0" w:rsidRDefault="00355C93" w:rsidP="00F128B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355C93" w:rsidRPr="00355C93" w:rsidTr="00F128B0">
        <w:tc>
          <w:tcPr>
            <w:tcW w:w="960" w:type="dxa"/>
          </w:tcPr>
          <w:p w:rsidR="00355C93" w:rsidRPr="00355C93" w:rsidRDefault="00355C93" w:rsidP="00F128B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355C93" w:rsidRPr="00355C93" w:rsidRDefault="00355C93" w:rsidP="009E3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BO</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BR</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BS</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BT</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55C93" w:rsidRPr="00355C93" w:rsidTr="00F128B0">
        <w:tc>
          <w:tcPr>
            <w:tcW w:w="960" w:type="dxa"/>
          </w:tcPr>
          <w:p w:rsidR="00355C93" w:rsidRPr="00355C93" w:rsidRDefault="00355C93" w:rsidP="001B6B14">
            <w:pPr>
              <w:spacing w:before="30" w:after="30"/>
              <w:ind w:left="57"/>
              <w:jc w:val="left"/>
              <w:rPr>
                <w:b/>
                <w:bCs/>
                <w:sz w:val="20"/>
                <w:lang w:val="fr-CH"/>
              </w:rPr>
            </w:pPr>
            <w:r w:rsidRPr="00355C93">
              <w:rPr>
                <w:b/>
                <w:bCs/>
                <w:sz w:val="20"/>
                <w:lang w:val="fr-CH"/>
              </w:rPr>
              <w:t>F</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355C93" w:rsidRPr="00355C93" w:rsidTr="00712C24">
        <w:tc>
          <w:tcPr>
            <w:tcW w:w="960" w:type="dxa"/>
            <w:tcBorders>
              <w:bottom w:val="nil"/>
            </w:tcBorders>
          </w:tcPr>
          <w:p w:rsidR="00355C93" w:rsidRPr="00F128B0" w:rsidRDefault="00355C93" w:rsidP="001B6B14">
            <w:pPr>
              <w:spacing w:before="30" w:after="30"/>
              <w:ind w:left="57"/>
              <w:jc w:val="left"/>
              <w:rPr>
                <w:b/>
                <w:bCs/>
                <w:sz w:val="20"/>
                <w:lang w:val="en-US"/>
              </w:rPr>
            </w:pPr>
            <w:r w:rsidRPr="00F128B0">
              <w:rPr>
                <w:b/>
                <w:bCs/>
                <w:sz w:val="20"/>
                <w:lang w:val="en-US"/>
              </w:rPr>
              <w:t>M</w:t>
            </w:r>
          </w:p>
        </w:tc>
        <w:tc>
          <w:tcPr>
            <w:tcW w:w="8788" w:type="dxa"/>
            <w:tcBorders>
              <w:bottom w:val="nil"/>
            </w:tcBorders>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55C93" w:rsidRPr="00712C24" w:rsidTr="00712C24">
        <w:tc>
          <w:tcPr>
            <w:tcW w:w="960" w:type="dxa"/>
            <w:tcBorders>
              <w:top w:val="nil"/>
              <w:bottom w:val="nil"/>
            </w:tcBorders>
            <w:shd w:val="clear" w:color="auto" w:fill="F2F2F2" w:themeFill="background1" w:themeFillShade="F2"/>
          </w:tcPr>
          <w:p w:rsidR="00355C93" w:rsidRPr="00712C24" w:rsidRDefault="00355C93" w:rsidP="001B6B14">
            <w:pPr>
              <w:spacing w:before="30" w:after="30"/>
              <w:ind w:left="57"/>
              <w:jc w:val="left"/>
              <w:rPr>
                <w:b/>
                <w:bCs/>
                <w:color w:val="000080"/>
                <w:sz w:val="20"/>
                <w:lang w:val="en-US"/>
              </w:rPr>
            </w:pPr>
            <w:r w:rsidRPr="00712C24">
              <w:rPr>
                <w:b/>
                <w:bCs/>
                <w:color w:val="000080"/>
                <w:sz w:val="20"/>
                <w:lang w:val="en-US"/>
              </w:rPr>
              <w:t>P</w:t>
            </w:r>
          </w:p>
        </w:tc>
        <w:tc>
          <w:tcPr>
            <w:tcW w:w="8788" w:type="dxa"/>
            <w:tcBorders>
              <w:top w:val="nil"/>
              <w:bottom w:val="nil"/>
            </w:tcBorders>
            <w:shd w:val="clear" w:color="auto" w:fill="F2F2F2" w:themeFill="background1" w:themeFillShade="F2"/>
          </w:tcPr>
          <w:p w:rsidR="00355C93" w:rsidRPr="00712C24" w:rsidRDefault="00355C93" w:rsidP="00712C24">
            <w:pPr>
              <w:spacing w:before="30" w:after="30"/>
              <w:ind w:leftChars="-15" w:left="-4" w:hangingChars="16" w:hanging="32"/>
              <w:jc w:val="left"/>
              <w:rPr>
                <w:b/>
                <w:bCs/>
                <w:color w:val="000080"/>
                <w:sz w:val="20"/>
                <w:lang w:val="en-US"/>
              </w:rPr>
            </w:pPr>
            <w:r w:rsidRPr="00712C24">
              <w:rPr>
                <w:rFonts w:hint="eastAsia"/>
                <w:b/>
                <w:bCs/>
                <w:color w:val="000080"/>
                <w:sz w:val="20"/>
                <w:lang w:val="en-US"/>
              </w:rPr>
              <w:t>无线电波传播</w:t>
            </w:r>
          </w:p>
        </w:tc>
      </w:tr>
      <w:tr w:rsidR="00355C93" w:rsidRPr="00355C93" w:rsidTr="00712C24">
        <w:tc>
          <w:tcPr>
            <w:tcW w:w="960" w:type="dxa"/>
            <w:tcBorders>
              <w:top w:val="nil"/>
            </w:tcBorders>
          </w:tcPr>
          <w:p w:rsidR="00355C93" w:rsidRPr="00355C93" w:rsidRDefault="00355C93" w:rsidP="001B6B14">
            <w:pPr>
              <w:spacing w:before="30" w:after="30"/>
              <w:ind w:left="57"/>
              <w:jc w:val="left"/>
              <w:rPr>
                <w:b/>
                <w:bCs/>
                <w:sz w:val="20"/>
                <w:lang w:val="en-US"/>
              </w:rPr>
            </w:pPr>
            <w:r w:rsidRPr="00355C93">
              <w:rPr>
                <w:b/>
                <w:bCs/>
                <w:sz w:val="20"/>
                <w:lang w:val="en-US"/>
              </w:rPr>
              <w:t>RA</w:t>
            </w:r>
          </w:p>
        </w:tc>
        <w:tc>
          <w:tcPr>
            <w:tcW w:w="8788" w:type="dxa"/>
            <w:tcBorders>
              <w:top w:val="nil"/>
            </w:tcBorders>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55C93" w:rsidRPr="00355C93" w:rsidTr="00712C24">
        <w:tc>
          <w:tcPr>
            <w:tcW w:w="960" w:type="dxa"/>
            <w:tcBorders>
              <w:bottom w:val="nil"/>
            </w:tcBorders>
          </w:tcPr>
          <w:p w:rsidR="00355C93" w:rsidRPr="00355C93" w:rsidRDefault="00355C93" w:rsidP="001B6B14">
            <w:pPr>
              <w:spacing w:before="30" w:after="30"/>
              <w:ind w:left="57"/>
              <w:jc w:val="left"/>
              <w:rPr>
                <w:b/>
                <w:bCs/>
                <w:sz w:val="20"/>
                <w:lang w:val="en-US"/>
              </w:rPr>
            </w:pPr>
            <w:r w:rsidRPr="00355C93">
              <w:rPr>
                <w:b/>
                <w:bCs/>
                <w:sz w:val="20"/>
                <w:lang w:val="en-US"/>
              </w:rPr>
              <w:t>RS</w:t>
            </w:r>
          </w:p>
        </w:tc>
        <w:tc>
          <w:tcPr>
            <w:tcW w:w="8788" w:type="dxa"/>
            <w:tcBorders>
              <w:bottom w:val="nil"/>
            </w:tcBorders>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55C93" w:rsidRPr="00712C24" w:rsidTr="00712C24">
        <w:tc>
          <w:tcPr>
            <w:tcW w:w="960" w:type="dxa"/>
            <w:tcBorders>
              <w:top w:val="nil"/>
              <w:bottom w:val="nil"/>
            </w:tcBorders>
            <w:shd w:val="clear" w:color="auto" w:fill="FFFFFF" w:themeFill="background1"/>
          </w:tcPr>
          <w:p w:rsidR="00355C93" w:rsidRPr="00712C24" w:rsidRDefault="00355C93" w:rsidP="001B6B14">
            <w:pPr>
              <w:spacing w:before="30" w:after="30"/>
              <w:ind w:left="57"/>
              <w:jc w:val="left"/>
              <w:rPr>
                <w:b/>
                <w:bCs/>
                <w:sz w:val="20"/>
                <w:lang w:val="en-US"/>
              </w:rPr>
            </w:pPr>
            <w:r w:rsidRPr="00712C24">
              <w:rPr>
                <w:b/>
                <w:bCs/>
                <w:sz w:val="20"/>
                <w:lang w:val="en-US"/>
              </w:rPr>
              <w:t>S</w:t>
            </w:r>
          </w:p>
        </w:tc>
        <w:tc>
          <w:tcPr>
            <w:tcW w:w="8788" w:type="dxa"/>
            <w:tcBorders>
              <w:top w:val="nil"/>
              <w:bottom w:val="nil"/>
            </w:tcBorders>
            <w:shd w:val="clear" w:color="auto" w:fill="FFFFFF" w:themeFill="background1"/>
          </w:tcPr>
          <w:p w:rsidR="00355C93" w:rsidRPr="00712C24" w:rsidRDefault="00355C93" w:rsidP="00712C24">
            <w:pPr>
              <w:spacing w:before="30" w:after="30"/>
              <w:ind w:leftChars="-8" w:left="-1" w:hangingChars="9" w:hanging="18"/>
              <w:jc w:val="left"/>
              <w:rPr>
                <w:sz w:val="20"/>
                <w:lang w:val="en-US"/>
              </w:rPr>
            </w:pPr>
            <w:r w:rsidRPr="00712C24">
              <w:rPr>
                <w:rFonts w:hint="eastAsia"/>
                <w:sz w:val="20"/>
                <w:lang w:val="en-US"/>
              </w:rPr>
              <w:t>卫星固定业务</w:t>
            </w:r>
          </w:p>
        </w:tc>
      </w:tr>
      <w:tr w:rsidR="00355C93" w:rsidRPr="00355C93" w:rsidTr="00900A97">
        <w:tc>
          <w:tcPr>
            <w:tcW w:w="960" w:type="dxa"/>
            <w:tcBorders>
              <w:top w:val="nil"/>
            </w:tcBorders>
          </w:tcPr>
          <w:p w:rsidR="00355C93" w:rsidRPr="00355C93" w:rsidRDefault="00355C93" w:rsidP="001B6B14">
            <w:pPr>
              <w:spacing w:before="30" w:after="30"/>
              <w:ind w:left="57"/>
              <w:jc w:val="left"/>
              <w:rPr>
                <w:b/>
                <w:bCs/>
                <w:sz w:val="20"/>
                <w:lang w:val="en-US"/>
              </w:rPr>
            </w:pPr>
            <w:r w:rsidRPr="00355C93">
              <w:rPr>
                <w:b/>
                <w:bCs/>
                <w:sz w:val="20"/>
                <w:lang w:val="en-US"/>
              </w:rPr>
              <w:t>SA</w:t>
            </w:r>
          </w:p>
        </w:tc>
        <w:tc>
          <w:tcPr>
            <w:tcW w:w="8788" w:type="dxa"/>
            <w:tcBorders>
              <w:top w:val="nil"/>
            </w:tcBorders>
          </w:tcPr>
          <w:p w:rsidR="00355C93" w:rsidRPr="00355C93" w:rsidRDefault="00355C93" w:rsidP="001B6B14">
            <w:pPr>
              <w:spacing w:before="30" w:after="30"/>
              <w:jc w:val="left"/>
              <w:rPr>
                <w:sz w:val="20"/>
                <w:lang w:val="en-US"/>
              </w:rPr>
            </w:pPr>
            <w:r w:rsidRPr="00355C93">
              <w:rPr>
                <w:rFonts w:hint="eastAsia"/>
                <w:sz w:val="20"/>
                <w:lang w:val="en-US" w:eastAsia="zh-CN"/>
              </w:rPr>
              <w:t>空间应用和气象</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SM</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SNG</w:t>
            </w:r>
          </w:p>
        </w:tc>
        <w:tc>
          <w:tcPr>
            <w:tcW w:w="8788" w:type="dxa"/>
          </w:tcPr>
          <w:p w:rsidR="00355C93" w:rsidRPr="00355C93" w:rsidRDefault="00355C93" w:rsidP="001B6B14">
            <w:pPr>
              <w:spacing w:before="30" w:after="30"/>
              <w:jc w:val="left"/>
              <w:rPr>
                <w:sz w:val="20"/>
                <w:lang w:val="en-US"/>
              </w:rPr>
            </w:pPr>
            <w:r w:rsidRPr="00355C93">
              <w:rPr>
                <w:rFonts w:hint="eastAsia"/>
                <w:sz w:val="20"/>
                <w:lang w:val="en-US" w:eastAsia="zh-CN"/>
              </w:rPr>
              <w:t>卫星新闻采集</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TF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时间信号和频率标准发射</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V</w:t>
            </w:r>
          </w:p>
        </w:tc>
        <w:tc>
          <w:tcPr>
            <w:tcW w:w="8788" w:type="dxa"/>
          </w:tcPr>
          <w:p w:rsidR="00355C93" w:rsidRPr="00355C93" w:rsidRDefault="00355C93" w:rsidP="001B6B14">
            <w:pPr>
              <w:spacing w:before="30" w:after="180"/>
              <w:jc w:val="left"/>
              <w:rPr>
                <w:sz w:val="20"/>
                <w:lang w:val="en-US"/>
              </w:rPr>
            </w:pPr>
            <w:r w:rsidRPr="00355C93">
              <w:rPr>
                <w:rFonts w:hint="eastAsia"/>
                <w:sz w:val="20"/>
                <w:lang w:val="en-US" w:eastAsia="zh-CN"/>
              </w:rPr>
              <w:t>词汇和相关问题</w:t>
            </w:r>
          </w:p>
        </w:tc>
      </w:tr>
    </w:tbl>
    <w:p w:rsidR="00F128B0" w:rsidRDefault="00F128B0" w:rsidP="00DF21BC">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F128B0" w:rsidTr="00F128B0">
        <w:tc>
          <w:tcPr>
            <w:tcW w:w="9775" w:type="dxa"/>
          </w:tcPr>
          <w:p w:rsidR="00F128B0" w:rsidRPr="00F128B0" w:rsidRDefault="00F128B0" w:rsidP="00F128B0">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55C93" w:rsidRPr="00355C93" w:rsidRDefault="00355C93" w:rsidP="00E50171">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9D7D89">
        <w:rPr>
          <w:rFonts w:ascii="STKaiti" w:eastAsia="STKaiti" w:hAnsi="STKaiti"/>
          <w:sz w:val="20"/>
          <w:lang w:eastAsia="zh-CN"/>
        </w:rPr>
        <w:br/>
      </w:r>
      <w:r w:rsidRPr="00355C93">
        <w:rPr>
          <w:rFonts w:hint="eastAsia"/>
          <w:sz w:val="20"/>
          <w:lang w:eastAsia="zh-CN"/>
        </w:rPr>
        <w:t>20</w:t>
      </w:r>
      <w:r w:rsidR="002D109E">
        <w:rPr>
          <w:rFonts w:hint="eastAsia"/>
          <w:sz w:val="20"/>
          <w:lang w:eastAsia="zh-CN"/>
        </w:rPr>
        <w:t>1</w:t>
      </w:r>
      <w:r w:rsidR="00E50171">
        <w:rPr>
          <w:sz w:val="20"/>
          <w:lang w:eastAsia="zh-CN"/>
        </w:rPr>
        <w:t>4</w:t>
      </w:r>
      <w:r w:rsidRPr="00355C93">
        <w:rPr>
          <w:rFonts w:hint="eastAsia"/>
          <w:sz w:val="20"/>
          <w:lang w:eastAsia="zh-CN"/>
        </w:rPr>
        <w:t>年，日内瓦</w:t>
      </w:r>
    </w:p>
    <w:p w:rsidR="00355C93" w:rsidRDefault="00355C93" w:rsidP="00355C93">
      <w:pPr>
        <w:rPr>
          <w:szCs w:val="24"/>
          <w:lang w:eastAsia="zh-CN"/>
        </w:rPr>
      </w:pPr>
    </w:p>
    <w:p w:rsidR="00355C93" w:rsidRPr="00A613D0" w:rsidRDefault="00355C93" w:rsidP="00E50171">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2D109E">
        <w:rPr>
          <w:rFonts w:hint="eastAsia"/>
          <w:sz w:val="20"/>
          <w:lang w:val="en-US" w:eastAsia="zh-CN"/>
        </w:rPr>
        <w:t>1</w:t>
      </w:r>
      <w:r w:rsidR="00E50171">
        <w:rPr>
          <w:sz w:val="20"/>
          <w:lang w:val="en-US" w:eastAsia="zh-CN"/>
        </w:rPr>
        <w:t>4</w:t>
      </w:r>
    </w:p>
    <w:p w:rsidR="00712C24" w:rsidRDefault="00355C93" w:rsidP="00355C93">
      <w:pPr>
        <w:ind w:firstLineChars="200" w:firstLine="360"/>
        <w:jc w:val="left"/>
        <w:rPr>
          <w:rFonts w:ascii="SimSun" w:hAnsi="SimSun"/>
          <w:sz w:val="18"/>
          <w:szCs w:val="18"/>
          <w:lang w:eastAsia="zh-CN"/>
        </w:rPr>
        <w:sectPr w:rsidR="00712C24" w:rsidSect="0015196E">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EB3ED4" w:rsidRPr="00446B97" w:rsidRDefault="00EB3ED4" w:rsidP="00EB3ED4">
      <w:pPr>
        <w:pStyle w:val="RecNo"/>
        <w:spacing w:before="0"/>
        <w:rPr>
          <w:lang w:val="en-US" w:eastAsia="zh-CN"/>
        </w:rPr>
      </w:pPr>
      <w:r w:rsidRPr="00446B97">
        <w:rPr>
          <w:rStyle w:val="href"/>
          <w:lang w:val="en-US" w:eastAsia="zh-CN"/>
        </w:rPr>
        <w:lastRenderedPageBreak/>
        <w:t>ITU-R  P.373-</w:t>
      </w:r>
      <w:r>
        <w:rPr>
          <w:rStyle w:val="href"/>
          <w:rFonts w:hint="eastAsia"/>
          <w:lang w:val="en-US" w:eastAsia="zh-CN"/>
        </w:rPr>
        <w:t xml:space="preserve">9 </w:t>
      </w:r>
      <w:r>
        <w:rPr>
          <w:rStyle w:val="href"/>
          <w:rFonts w:ascii="SimSun" w:hAnsi="SimSun" w:hint="eastAsia"/>
          <w:lang w:val="en-US" w:eastAsia="zh-CN"/>
        </w:rPr>
        <w:t>建议书</w:t>
      </w:r>
    </w:p>
    <w:p w:rsidR="00EB3ED4" w:rsidRPr="00EB3ED4" w:rsidRDefault="00EB3ED4" w:rsidP="00EB3ED4">
      <w:pPr>
        <w:pStyle w:val="Rectitle"/>
        <w:rPr>
          <w:rFonts w:asciiTheme="minorEastAsia" w:eastAsiaTheme="minorEastAsia" w:hAnsiTheme="minorEastAsia"/>
          <w:lang w:val="en-US" w:eastAsia="zh-CN"/>
        </w:rPr>
      </w:pPr>
      <w:r w:rsidRPr="00EB3ED4">
        <w:rPr>
          <w:rFonts w:asciiTheme="minorEastAsia" w:eastAsiaTheme="minorEastAsia" w:hAnsiTheme="minorEastAsia" w:hint="eastAsia"/>
          <w:lang w:val="en-US" w:eastAsia="zh-CN"/>
        </w:rPr>
        <w:t xml:space="preserve">最高和最低传输频率的定义 </w:t>
      </w:r>
    </w:p>
    <w:p w:rsidR="00EB3ED4" w:rsidRPr="00446B97" w:rsidRDefault="00EB3ED4" w:rsidP="00EB3ED4">
      <w:pPr>
        <w:pStyle w:val="Recref"/>
        <w:rPr>
          <w:lang w:val="en-US" w:eastAsia="zh-CN"/>
        </w:rPr>
      </w:pPr>
      <w:r>
        <w:rPr>
          <w:rFonts w:hint="eastAsia"/>
          <w:lang w:val="en-US" w:eastAsia="zh-CN"/>
        </w:rPr>
        <w:t>（</w:t>
      </w:r>
      <w:r w:rsidRPr="00446B97">
        <w:rPr>
          <w:lang w:val="en-US" w:eastAsia="zh-CN"/>
        </w:rPr>
        <w:t>ITU-R 212/3</w:t>
      </w:r>
      <w:r>
        <w:rPr>
          <w:rFonts w:hint="eastAsia"/>
          <w:lang w:val="en-US" w:eastAsia="zh-CN"/>
        </w:rPr>
        <w:t>号课题）</w:t>
      </w:r>
    </w:p>
    <w:p w:rsidR="00EB3ED4" w:rsidRDefault="00EB3ED4" w:rsidP="00EB3ED4">
      <w:pPr>
        <w:pStyle w:val="Recdate"/>
        <w:rPr>
          <w:lang w:val="en-US" w:eastAsia="zh-CN"/>
        </w:rPr>
      </w:pPr>
    </w:p>
    <w:p w:rsidR="00EB3ED4" w:rsidRPr="00446B97" w:rsidRDefault="00EB3ED4" w:rsidP="00EB3ED4">
      <w:pPr>
        <w:pStyle w:val="Recdate"/>
        <w:rPr>
          <w:lang w:val="en-US" w:eastAsia="zh-CN"/>
        </w:rPr>
      </w:pPr>
      <w:r>
        <w:rPr>
          <w:rFonts w:hint="eastAsia"/>
          <w:lang w:val="en-US" w:eastAsia="zh-CN"/>
        </w:rPr>
        <w:t>（</w:t>
      </w:r>
      <w:r w:rsidRPr="00446B97">
        <w:rPr>
          <w:lang w:val="en-US" w:eastAsia="zh-CN"/>
        </w:rPr>
        <w:t>1959-1963-1966-1970-1974-1978-1982-1990-1995</w:t>
      </w:r>
      <w:r>
        <w:rPr>
          <w:lang w:val="en-US" w:eastAsia="zh-CN"/>
        </w:rPr>
        <w:t>-2007</w:t>
      </w:r>
      <w:r>
        <w:rPr>
          <w:rFonts w:hint="eastAsia"/>
          <w:lang w:val="en-US" w:eastAsia="zh-CN"/>
        </w:rPr>
        <w:t>-2013</w:t>
      </w:r>
      <w:r>
        <w:rPr>
          <w:rFonts w:hint="eastAsia"/>
          <w:lang w:val="en-US" w:eastAsia="zh-CN"/>
        </w:rPr>
        <w:t>年）</w:t>
      </w:r>
    </w:p>
    <w:p w:rsidR="00EB3ED4" w:rsidRDefault="00EB3ED4" w:rsidP="00EB3ED4">
      <w:pPr>
        <w:rPr>
          <w:lang w:eastAsia="zh-CN"/>
        </w:rPr>
      </w:pPr>
    </w:p>
    <w:p w:rsidR="00EB3ED4" w:rsidRPr="00446B97" w:rsidRDefault="00EB3ED4" w:rsidP="00EB3ED4">
      <w:pPr>
        <w:pStyle w:val="HeadingSum"/>
        <w:rPr>
          <w:lang w:eastAsia="zh-CN"/>
        </w:rPr>
      </w:pPr>
      <w:r>
        <w:rPr>
          <w:rFonts w:hint="eastAsia"/>
          <w:lang w:eastAsia="zh-CN"/>
        </w:rPr>
        <w:t>范围</w:t>
      </w:r>
    </w:p>
    <w:p w:rsidR="00EB3ED4" w:rsidRPr="00446B97" w:rsidRDefault="00EB3ED4" w:rsidP="00EB3ED4">
      <w:pPr>
        <w:pStyle w:val="Summary"/>
        <w:ind w:firstLine="540"/>
        <w:rPr>
          <w:lang w:val="en-US" w:eastAsia="ja-JP"/>
        </w:rPr>
      </w:pPr>
      <w:r>
        <w:rPr>
          <w:rFonts w:hint="eastAsia"/>
          <w:lang w:eastAsia="zh-CN"/>
        </w:rPr>
        <w:t>本建议书提供</w:t>
      </w:r>
      <w:r>
        <w:rPr>
          <w:rFonts w:hint="eastAsia"/>
          <w:lang w:val="en-US" w:eastAsia="zh-CN"/>
        </w:rPr>
        <w:t>最高和最低传输频率的定义。这些定义在有关传播预测方法和操作性事宜方面为</w:t>
      </w:r>
      <w:r w:rsidRPr="00AF0155">
        <w:rPr>
          <w:lang w:eastAsia="zh-CN"/>
        </w:rPr>
        <w:t>ITU</w:t>
      </w:r>
      <w:r w:rsidRPr="00446B97">
        <w:rPr>
          <w:lang w:val="en-US" w:eastAsia="zh-CN"/>
        </w:rPr>
        <w:noBreakHyphen/>
      </w:r>
      <w:r w:rsidRPr="00AF0155">
        <w:rPr>
          <w:lang w:eastAsia="zh-CN"/>
        </w:rPr>
        <w:t>R</w:t>
      </w:r>
      <w:r>
        <w:rPr>
          <w:rFonts w:hint="eastAsia"/>
          <w:lang w:eastAsia="zh-CN"/>
        </w:rPr>
        <w:t>建议书所采用，也被科学家和无线电通信操作者所使用。</w:t>
      </w:r>
    </w:p>
    <w:p w:rsidR="00EB3ED4" w:rsidRPr="00446B97" w:rsidRDefault="00EB3ED4" w:rsidP="00EB3ED4">
      <w:pPr>
        <w:pStyle w:val="Normalaftertitle"/>
        <w:rPr>
          <w:lang w:val="en-US" w:eastAsia="zh-CN"/>
        </w:rPr>
      </w:pPr>
      <w:r>
        <w:rPr>
          <w:rFonts w:hint="eastAsia"/>
          <w:lang w:val="en-US" w:eastAsia="zh-CN"/>
        </w:rPr>
        <w:t>国际电联无线电通信全会，</w:t>
      </w:r>
    </w:p>
    <w:p w:rsidR="00EB3ED4" w:rsidRPr="004D7912" w:rsidRDefault="00EB3ED4" w:rsidP="00EB3ED4">
      <w:pPr>
        <w:pStyle w:val="Call"/>
        <w:rPr>
          <w:rFonts w:ascii="STKaiti" w:eastAsia="STKaiti" w:hAnsi="STKaiti"/>
          <w:i w:val="0"/>
          <w:lang w:val="en-US" w:eastAsia="zh-CN"/>
        </w:rPr>
      </w:pPr>
      <w:r w:rsidRPr="004D7912">
        <w:rPr>
          <w:rFonts w:ascii="STKaiti" w:eastAsia="STKaiti" w:hAnsi="STKaiti" w:hint="eastAsia"/>
          <w:i w:val="0"/>
          <w:lang w:val="en-US" w:eastAsia="zh-CN"/>
        </w:rPr>
        <w:t>考虑到</w:t>
      </w:r>
    </w:p>
    <w:p w:rsidR="00EB3ED4" w:rsidRPr="00446B97" w:rsidRDefault="00EB3ED4" w:rsidP="00EB3ED4">
      <w:pPr>
        <w:ind w:firstLineChars="200" w:firstLine="480"/>
        <w:rPr>
          <w:lang w:val="en-US" w:eastAsia="zh-CN"/>
        </w:rPr>
      </w:pPr>
      <w:r>
        <w:rPr>
          <w:rFonts w:hint="eastAsia"/>
          <w:lang w:val="en-US" w:eastAsia="zh-CN"/>
        </w:rPr>
        <w:t>预测服务、科学家和操作者对最高和最低传输频率的定义有着不同的要求，</w:t>
      </w:r>
    </w:p>
    <w:p w:rsidR="00EB3ED4" w:rsidRPr="004D7912" w:rsidRDefault="00EB3ED4" w:rsidP="00EB3ED4">
      <w:pPr>
        <w:pStyle w:val="Call"/>
        <w:rPr>
          <w:rFonts w:ascii="STKaiti" w:eastAsia="STKaiti" w:hAnsi="STKaiti"/>
          <w:i w:val="0"/>
          <w:lang w:val="en-US" w:eastAsia="zh-CN"/>
        </w:rPr>
      </w:pPr>
      <w:r w:rsidRPr="004D7912">
        <w:rPr>
          <w:rFonts w:ascii="STKaiti" w:eastAsia="STKaiti" w:hAnsi="STKaiti" w:hint="eastAsia"/>
          <w:i w:val="0"/>
          <w:lang w:val="en-US" w:eastAsia="zh-CN"/>
        </w:rPr>
        <w:t>建议</w:t>
      </w:r>
    </w:p>
    <w:p w:rsidR="00EB3ED4" w:rsidRPr="00446B97" w:rsidRDefault="00EB3ED4" w:rsidP="00EB3ED4">
      <w:pPr>
        <w:rPr>
          <w:i/>
          <w:szCs w:val="24"/>
          <w:lang w:val="en-US" w:eastAsia="zh-CN"/>
        </w:rPr>
      </w:pPr>
      <w:r w:rsidRPr="00446B97">
        <w:rPr>
          <w:b/>
          <w:lang w:val="en-US" w:eastAsia="zh-CN"/>
        </w:rPr>
        <w:t>1</w:t>
      </w:r>
      <w:r w:rsidRPr="00446B97">
        <w:rPr>
          <w:lang w:val="en-US" w:eastAsia="zh-CN"/>
        </w:rPr>
        <w:tab/>
      </w:r>
      <w:r>
        <w:rPr>
          <w:rFonts w:hint="eastAsia"/>
          <w:lang w:val="en-US" w:eastAsia="zh-CN"/>
        </w:rPr>
        <w:t>可使用的最大频率</w:t>
      </w:r>
      <w:r>
        <w:rPr>
          <w:rFonts w:hint="eastAsia"/>
          <w:iCs/>
          <w:szCs w:val="24"/>
          <w:lang w:val="en-US" w:eastAsia="zh-CN"/>
        </w:rPr>
        <w:t>（</w:t>
      </w:r>
      <w:r w:rsidRPr="00446B97">
        <w:rPr>
          <w:iCs/>
          <w:szCs w:val="24"/>
          <w:lang w:val="en-US" w:eastAsia="zh-CN"/>
        </w:rPr>
        <w:t>MUF</w:t>
      </w:r>
      <w:r>
        <w:rPr>
          <w:rFonts w:hint="eastAsia"/>
          <w:iCs/>
          <w:szCs w:val="24"/>
          <w:lang w:val="en-US" w:eastAsia="zh-CN"/>
        </w:rPr>
        <w:t>）应采用下列定义：</w:t>
      </w:r>
      <w:bookmarkStart w:id="1" w:name="_GoBack"/>
      <w:bookmarkEnd w:id="1"/>
    </w:p>
    <w:p w:rsidR="00EB3ED4" w:rsidRPr="00446B97" w:rsidRDefault="00EB3ED4" w:rsidP="00EB3ED4">
      <w:pPr>
        <w:rPr>
          <w:lang w:val="en-US" w:eastAsia="zh-CN"/>
        </w:rPr>
      </w:pPr>
      <w:r w:rsidRPr="004D7912">
        <w:rPr>
          <w:rFonts w:ascii="STKaiti" w:eastAsia="STKaiti" w:hAnsi="STKaiti" w:hint="eastAsia"/>
          <w:lang w:val="en-US" w:eastAsia="zh-CN"/>
        </w:rPr>
        <w:t>可使用的最大操作频率</w:t>
      </w:r>
      <w:r>
        <w:rPr>
          <w:rFonts w:hint="eastAsia"/>
          <w:lang w:val="en-US" w:eastAsia="zh-CN"/>
        </w:rPr>
        <w:t>，意指使得无线电电路在给定终端之间，在指定的时间和工作条件下，通过电离层，借信号传播的方式获得可接受的性能的最高频率。</w:t>
      </w:r>
    </w:p>
    <w:p w:rsidR="00EB3ED4" w:rsidRPr="0090057C" w:rsidRDefault="00EB3ED4" w:rsidP="00E50171">
      <w:pPr>
        <w:pStyle w:val="Note"/>
        <w:spacing w:before="120"/>
        <w:rPr>
          <w:lang w:val="en-US" w:eastAsia="zh-CN"/>
        </w:rPr>
      </w:pPr>
      <w:r>
        <w:rPr>
          <w:rFonts w:hint="eastAsia"/>
          <w:lang w:val="en-US" w:eastAsia="zh-CN"/>
        </w:rPr>
        <w:t>注</w:t>
      </w:r>
      <w:r w:rsidRPr="0090057C">
        <w:rPr>
          <w:lang w:val="en-US" w:eastAsia="zh-CN"/>
        </w:rPr>
        <w:t> 1 – </w:t>
      </w:r>
      <w:r>
        <w:rPr>
          <w:rFonts w:hint="eastAsia"/>
          <w:lang w:val="en-US" w:eastAsia="zh-CN"/>
        </w:rPr>
        <w:t>可接受的性能，可用如最大误码率或要求的信噪比等形式来表示。</w:t>
      </w:r>
    </w:p>
    <w:p w:rsidR="00EB3ED4" w:rsidRPr="00446B97" w:rsidRDefault="00EB3ED4" w:rsidP="00E50171">
      <w:pPr>
        <w:pStyle w:val="Note"/>
        <w:spacing w:before="120"/>
        <w:rPr>
          <w:lang w:val="en-US" w:eastAsia="zh-CN"/>
        </w:rPr>
      </w:pPr>
      <w:r>
        <w:rPr>
          <w:rFonts w:hint="eastAsia"/>
          <w:lang w:val="en-US" w:eastAsia="zh-CN"/>
        </w:rPr>
        <w:t>注</w:t>
      </w:r>
      <w:r>
        <w:rPr>
          <w:rFonts w:hint="eastAsia"/>
          <w:lang w:val="en-US" w:eastAsia="zh-CN"/>
        </w:rPr>
        <w:t xml:space="preserve"> </w:t>
      </w:r>
      <w:r w:rsidRPr="0090057C">
        <w:rPr>
          <w:lang w:val="en-US" w:eastAsia="zh-CN"/>
        </w:rPr>
        <w:t>2 – </w:t>
      </w:r>
      <w:r>
        <w:rPr>
          <w:rFonts w:hint="eastAsia"/>
          <w:lang w:val="en-US" w:eastAsia="zh-CN"/>
        </w:rPr>
        <w:t>指定的工作条件可包括诸如天线类型、发射机功率、发射类别和要求的性能之类的因素；</w:t>
      </w:r>
    </w:p>
    <w:p w:rsidR="00EB3ED4" w:rsidRPr="00446B97" w:rsidRDefault="00EB3ED4" w:rsidP="00EB3ED4">
      <w:pPr>
        <w:rPr>
          <w:lang w:val="en-US" w:eastAsia="zh-CN"/>
        </w:rPr>
      </w:pPr>
      <w:r w:rsidRPr="004D7912">
        <w:rPr>
          <w:rFonts w:ascii="STKaiti" w:eastAsia="STKaiti" w:hAnsi="STKaiti" w:hint="eastAsia"/>
          <w:lang w:val="en-US" w:eastAsia="zh-CN"/>
        </w:rPr>
        <w:t>可使用的基本操作频率</w:t>
      </w:r>
      <w:r>
        <w:rPr>
          <w:rFonts w:hint="eastAsia"/>
          <w:lang w:val="en-US" w:eastAsia="zh-CN"/>
        </w:rPr>
        <w:t>，意指无线电波在给定终端间，在指定的场合下，只通过</w:t>
      </w:r>
      <w:r w:rsidRPr="00DA4D39">
        <w:rPr>
          <w:lang w:eastAsia="zh-CN"/>
        </w:rPr>
        <w:t>电离层折射</w:t>
      </w:r>
      <w:r>
        <w:rPr>
          <w:rFonts w:hint="eastAsia"/>
          <w:lang w:eastAsia="zh-CN"/>
        </w:rPr>
        <w:t>可以进行传播的最高频率；</w:t>
      </w:r>
    </w:p>
    <w:p w:rsidR="00EB3ED4" w:rsidRDefault="00EB3ED4" w:rsidP="00EB3ED4">
      <w:pPr>
        <w:rPr>
          <w:szCs w:val="24"/>
          <w:lang w:val="en-US" w:eastAsia="zh-CN"/>
        </w:rPr>
      </w:pPr>
      <w:r w:rsidRPr="00446B97">
        <w:rPr>
          <w:b/>
          <w:szCs w:val="24"/>
          <w:lang w:val="en-US" w:eastAsia="zh-CN"/>
        </w:rPr>
        <w:t>2</w:t>
      </w:r>
      <w:r w:rsidRPr="00446B97">
        <w:rPr>
          <w:b/>
          <w:szCs w:val="24"/>
          <w:lang w:val="en-US" w:eastAsia="zh-CN"/>
        </w:rPr>
        <w:tab/>
      </w:r>
      <w:r w:rsidRPr="00DA4D39">
        <w:rPr>
          <w:rFonts w:hint="eastAsia"/>
          <w:lang w:val="en-US" w:eastAsia="zh-CN"/>
        </w:rPr>
        <w:t>也可采用附件</w:t>
      </w:r>
      <w:r w:rsidRPr="00DA4D39">
        <w:rPr>
          <w:rFonts w:hint="eastAsia"/>
          <w:lang w:val="en-US" w:eastAsia="zh-CN"/>
        </w:rPr>
        <w:t>1</w:t>
      </w:r>
      <w:r w:rsidRPr="00DA4D39">
        <w:rPr>
          <w:rFonts w:hint="eastAsia"/>
          <w:lang w:val="en-US" w:eastAsia="zh-CN"/>
        </w:rPr>
        <w:t>给定的</w:t>
      </w:r>
      <w:r>
        <w:rPr>
          <w:rFonts w:hint="eastAsia"/>
          <w:lang w:val="en-US" w:eastAsia="zh-CN"/>
        </w:rPr>
        <w:t>额外术语和扩展描述。</w:t>
      </w:r>
    </w:p>
    <w:p w:rsidR="00EB3ED4" w:rsidRPr="00446B97" w:rsidRDefault="00EB3ED4" w:rsidP="00EB3ED4">
      <w:pPr>
        <w:rPr>
          <w:szCs w:val="24"/>
          <w:lang w:val="en-US" w:eastAsia="zh-CN"/>
        </w:rPr>
      </w:pPr>
    </w:p>
    <w:p w:rsidR="00EB3ED4" w:rsidRPr="00446B97" w:rsidRDefault="00EB3ED4" w:rsidP="00CA7A31">
      <w:pPr>
        <w:pStyle w:val="AnnexNoTitle"/>
        <w:rPr>
          <w:lang w:val="en-US" w:eastAsia="zh-CN"/>
        </w:rPr>
      </w:pPr>
      <w:r>
        <w:rPr>
          <w:rFonts w:hint="eastAsia"/>
          <w:lang w:val="en-US" w:eastAsia="zh-CN"/>
        </w:rPr>
        <w:t>附件</w:t>
      </w:r>
      <w:r w:rsidRPr="00446B97">
        <w:rPr>
          <w:lang w:val="en-US" w:eastAsia="zh-CN"/>
        </w:rPr>
        <w:t xml:space="preserve">  1</w:t>
      </w:r>
      <w:r w:rsidRPr="00446B97">
        <w:rPr>
          <w:lang w:val="en-US" w:eastAsia="zh-CN"/>
        </w:rPr>
        <w:br/>
      </w:r>
      <w:r w:rsidRPr="00446B97">
        <w:rPr>
          <w:lang w:val="en-US" w:eastAsia="zh-CN"/>
        </w:rPr>
        <w:br/>
      </w:r>
      <w:r w:rsidRPr="00DA4D39">
        <w:rPr>
          <w:rFonts w:hint="eastAsia"/>
          <w:lang w:val="en-US" w:eastAsia="zh-CN"/>
        </w:rPr>
        <w:t>额外</w:t>
      </w:r>
      <w:r w:rsidR="00CA7A31">
        <w:rPr>
          <w:rFonts w:hint="eastAsia"/>
          <w:lang w:val="en-US" w:eastAsia="zh-CN"/>
        </w:rPr>
        <w:t>定义</w:t>
      </w:r>
    </w:p>
    <w:p w:rsidR="00EB3ED4" w:rsidRPr="00446B97" w:rsidRDefault="00EB3ED4" w:rsidP="00EB3ED4">
      <w:pPr>
        <w:pStyle w:val="Normalaftertitle"/>
        <w:rPr>
          <w:lang w:val="en-US" w:eastAsia="zh-CN"/>
        </w:rPr>
      </w:pPr>
      <w:r w:rsidRPr="004D7912">
        <w:rPr>
          <w:rFonts w:ascii="STKaiti" w:eastAsia="STKaiti" w:hAnsi="STKaiti" w:hint="eastAsia"/>
          <w:lang w:val="en-US" w:eastAsia="zh-CN"/>
        </w:rPr>
        <w:t>最佳工作频率</w:t>
      </w:r>
      <w:r w:rsidRPr="004D7912">
        <w:rPr>
          <w:rFonts w:eastAsia="STKaiti" w:hAnsi="STKaiti"/>
          <w:lang w:val="en-US" w:eastAsia="zh-CN"/>
        </w:rPr>
        <w:t>（</w:t>
      </w:r>
      <w:r w:rsidRPr="004D7912">
        <w:rPr>
          <w:rFonts w:eastAsia="STKaiti"/>
          <w:lang w:val="en-US" w:eastAsia="zh-CN"/>
        </w:rPr>
        <w:t>OWF</w:t>
      </w:r>
      <w:r w:rsidRPr="004D7912">
        <w:rPr>
          <w:rFonts w:eastAsia="STKaiti" w:hAnsi="STKaiti"/>
          <w:lang w:val="en-US" w:eastAsia="zh-CN"/>
        </w:rPr>
        <w:t>）</w:t>
      </w:r>
      <w:r w:rsidR="00CA7A31">
        <w:rPr>
          <w:rFonts w:eastAsia="STKaiti" w:hAnsi="STKaiti" w:hint="eastAsia"/>
          <w:lang w:val="en-US" w:eastAsia="zh-CN"/>
        </w:rPr>
        <w:t>或最佳业务频率（</w:t>
      </w:r>
      <w:r w:rsidR="00CA7A31">
        <w:rPr>
          <w:rFonts w:eastAsia="STKaiti" w:hAnsi="STKaiti" w:hint="eastAsia"/>
          <w:lang w:val="en-US" w:eastAsia="zh-CN"/>
        </w:rPr>
        <w:t>FOT</w:t>
      </w:r>
      <w:r w:rsidR="00CA7A31">
        <w:rPr>
          <w:rFonts w:eastAsia="STKaiti" w:hAnsi="STKaiti" w:hint="eastAsia"/>
          <w:lang w:val="en-US" w:eastAsia="zh-CN"/>
        </w:rPr>
        <w:t>）</w:t>
      </w:r>
      <w:r>
        <w:rPr>
          <w:rFonts w:eastAsia="STKaiti" w:hint="eastAsia"/>
          <w:lang w:val="en-US" w:eastAsia="zh-CN"/>
        </w:rPr>
        <w:t>：</w:t>
      </w:r>
      <w:r>
        <w:rPr>
          <w:rFonts w:hint="eastAsia"/>
          <w:iCs/>
          <w:lang w:val="en-US" w:eastAsia="zh-CN"/>
        </w:rPr>
        <w:t>在给定时间，在指定的期间（通常为一个月）内，</w:t>
      </w:r>
      <w:r w:rsidRPr="00DD5992">
        <w:rPr>
          <w:rFonts w:hint="eastAsia"/>
          <w:lang w:val="en-US" w:eastAsia="zh-CN"/>
        </w:rPr>
        <w:t>可使用的最大操作频率</w:t>
      </w:r>
      <w:r>
        <w:rPr>
          <w:rFonts w:hint="eastAsia"/>
          <w:lang w:val="en-US" w:eastAsia="zh-CN"/>
        </w:rPr>
        <w:t>日常数值的下十分位数，即在指定期间</w:t>
      </w:r>
      <w:r w:rsidRPr="00446B97">
        <w:rPr>
          <w:lang w:val="en-US" w:eastAsia="zh-CN"/>
        </w:rPr>
        <w:t>90%</w:t>
      </w:r>
      <w:r>
        <w:rPr>
          <w:rFonts w:hint="eastAsia"/>
          <w:lang w:val="en-US" w:eastAsia="zh-CN"/>
        </w:rPr>
        <w:t>以上的时间内为</w:t>
      </w:r>
      <w:r w:rsidRPr="00DD5992">
        <w:rPr>
          <w:rFonts w:hint="eastAsia"/>
          <w:iCs/>
          <w:lang w:val="en-US" w:eastAsia="zh-CN"/>
        </w:rPr>
        <w:t>可使用的最大操作频率</w:t>
      </w:r>
      <w:r>
        <w:rPr>
          <w:rFonts w:hint="eastAsia"/>
          <w:iCs/>
          <w:lang w:val="en-US" w:eastAsia="zh-CN"/>
        </w:rPr>
        <w:t>所</w:t>
      </w:r>
      <w:r w:rsidRPr="00DD5992">
        <w:rPr>
          <w:rFonts w:hint="eastAsia"/>
          <w:iCs/>
          <w:lang w:val="en-US" w:eastAsia="zh-CN"/>
        </w:rPr>
        <w:t>超过</w:t>
      </w:r>
      <w:r>
        <w:rPr>
          <w:rFonts w:hint="eastAsia"/>
          <w:iCs/>
          <w:lang w:val="en-US" w:eastAsia="zh-CN"/>
        </w:rPr>
        <w:t>的频率。</w:t>
      </w:r>
    </w:p>
    <w:p w:rsidR="00EB3ED4" w:rsidRPr="00446B97" w:rsidRDefault="00EB3ED4" w:rsidP="00EB3ED4">
      <w:pPr>
        <w:pStyle w:val="Normalaftertitle"/>
        <w:rPr>
          <w:lang w:val="en-US" w:eastAsia="zh-CN"/>
        </w:rPr>
      </w:pPr>
      <w:r w:rsidRPr="004D7912">
        <w:rPr>
          <w:rFonts w:ascii="STKaiti" w:eastAsia="STKaiti" w:hAnsi="STKaiti" w:hint="eastAsia"/>
          <w:lang w:val="en-US" w:eastAsia="zh-CN"/>
        </w:rPr>
        <w:t>最高的可能频率</w:t>
      </w:r>
      <w:r w:rsidRPr="004D7912">
        <w:rPr>
          <w:rFonts w:eastAsia="STKaiti" w:hAnsi="STKaiti" w:hint="eastAsia"/>
          <w:lang w:val="en-US" w:eastAsia="zh-CN"/>
        </w:rPr>
        <w:t>（</w:t>
      </w:r>
      <w:r w:rsidRPr="004D7912">
        <w:rPr>
          <w:rFonts w:eastAsia="STKaiti" w:hAnsi="STKaiti"/>
          <w:lang w:val="en-US" w:eastAsia="zh-CN"/>
        </w:rPr>
        <w:t>HPF</w:t>
      </w:r>
      <w:r w:rsidRPr="004D7912">
        <w:rPr>
          <w:rFonts w:eastAsia="STKaiti" w:hAnsi="STKaiti" w:hint="eastAsia"/>
          <w:lang w:val="en-US" w:eastAsia="zh-CN"/>
        </w:rPr>
        <w:t>）</w:t>
      </w:r>
      <w:r>
        <w:rPr>
          <w:rFonts w:eastAsia="STKaiti" w:hAnsi="STKaiti" w:hint="eastAsia"/>
          <w:lang w:val="en-US" w:eastAsia="zh-CN"/>
        </w:rPr>
        <w:t>：</w:t>
      </w:r>
      <w:r>
        <w:rPr>
          <w:rFonts w:hint="eastAsia"/>
          <w:iCs/>
          <w:lang w:val="en-US" w:eastAsia="zh-CN"/>
        </w:rPr>
        <w:t>在给定时间，在指定的期间（通常为一个月）内，</w:t>
      </w:r>
      <w:r w:rsidRPr="00DD5992">
        <w:rPr>
          <w:rFonts w:hint="eastAsia"/>
          <w:lang w:val="en-US" w:eastAsia="zh-CN"/>
        </w:rPr>
        <w:t>可使用的最大操作频率</w:t>
      </w:r>
      <w:r>
        <w:rPr>
          <w:rFonts w:hint="eastAsia"/>
          <w:lang w:val="en-US" w:eastAsia="zh-CN"/>
        </w:rPr>
        <w:t>日常数值的上十分位数，即在指定期间</w:t>
      </w:r>
      <w:r>
        <w:rPr>
          <w:rFonts w:hint="eastAsia"/>
          <w:lang w:val="en-US" w:eastAsia="zh-CN"/>
        </w:rPr>
        <w:t>10</w:t>
      </w:r>
      <w:r w:rsidRPr="00446B97">
        <w:rPr>
          <w:lang w:val="en-US" w:eastAsia="zh-CN"/>
        </w:rPr>
        <w:t>%</w:t>
      </w:r>
      <w:r>
        <w:rPr>
          <w:rFonts w:hint="eastAsia"/>
          <w:lang w:val="en-US" w:eastAsia="zh-CN"/>
        </w:rPr>
        <w:t>以上的时间内为</w:t>
      </w:r>
      <w:r w:rsidRPr="00DD5992">
        <w:rPr>
          <w:rFonts w:hint="eastAsia"/>
          <w:iCs/>
          <w:lang w:val="en-US" w:eastAsia="zh-CN"/>
        </w:rPr>
        <w:t>可使用的最大操作频率</w:t>
      </w:r>
      <w:r>
        <w:rPr>
          <w:rFonts w:hint="eastAsia"/>
          <w:iCs/>
          <w:lang w:val="en-US" w:eastAsia="zh-CN"/>
        </w:rPr>
        <w:t>所</w:t>
      </w:r>
      <w:r w:rsidRPr="00DD5992">
        <w:rPr>
          <w:rFonts w:hint="eastAsia"/>
          <w:iCs/>
          <w:lang w:val="en-US" w:eastAsia="zh-CN"/>
        </w:rPr>
        <w:t>超过</w:t>
      </w:r>
      <w:r>
        <w:rPr>
          <w:rFonts w:hint="eastAsia"/>
          <w:iCs/>
          <w:lang w:val="en-US" w:eastAsia="zh-CN"/>
        </w:rPr>
        <w:t>的频率。</w:t>
      </w:r>
    </w:p>
    <w:p w:rsidR="00EB3ED4" w:rsidRPr="00446B97" w:rsidRDefault="00EB3ED4" w:rsidP="00EB3ED4">
      <w:pPr>
        <w:rPr>
          <w:szCs w:val="24"/>
          <w:lang w:val="en-US" w:eastAsia="zh-CN"/>
        </w:rPr>
      </w:pPr>
    </w:p>
    <w:p w:rsidR="00EB3ED4" w:rsidRPr="00446B97" w:rsidRDefault="00EB3ED4" w:rsidP="00EB3ED4">
      <w:pPr>
        <w:rPr>
          <w:szCs w:val="24"/>
          <w:lang w:val="en-US" w:eastAsia="zh-CN"/>
        </w:rPr>
      </w:pPr>
      <w:r w:rsidRPr="004D7912">
        <w:rPr>
          <w:rFonts w:ascii="STKaiti" w:eastAsia="STKaiti" w:hAnsi="STKaiti" w:hint="eastAsia"/>
          <w:lang w:val="en-US" w:eastAsia="zh-CN"/>
        </w:rPr>
        <w:lastRenderedPageBreak/>
        <w:t>最低的可用频率</w:t>
      </w:r>
      <w:r>
        <w:rPr>
          <w:rFonts w:eastAsia="STKaiti" w:hAnsi="STKaiti" w:hint="eastAsia"/>
          <w:lang w:val="en-US" w:eastAsia="zh-CN"/>
        </w:rPr>
        <w:t>（</w:t>
      </w:r>
      <w:r w:rsidRPr="004D7912">
        <w:rPr>
          <w:rFonts w:eastAsia="STKaiti" w:hAnsi="STKaiti"/>
          <w:lang w:val="en-US" w:eastAsia="zh-CN"/>
        </w:rPr>
        <w:t>LUF</w:t>
      </w:r>
      <w:r>
        <w:rPr>
          <w:rFonts w:eastAsia="STKaiti" w:hAnsi="STKaiti" w:hint="eastAsia"/>
          <w:lang w:val="en-US" w:eastAsia="zh-CN"/>
        </w:rPr>
        <w:t>）</w:t>
      </w:r>
      <w:r w:rsidRPr="00B37F07">
        <w:rPr>
          <w:rFonts w:eastAsia="STKaiti"/>
          <w:lang w:val="en-US" w:eastAsia="zh-CN"/>
        </w:rPr>
        <w:t>：</w:t>
      </w:r>
      <w:r>
        <w:rPr>
          <w:rFonts w:hint="eastAsia"/>
          <w:lang w:val="en-US" w:eastAsia="zh-CN"/>
        </w:rPr>
        <w:t>意指使得无线电电路在给定终端之间，在指定的时间和工作条件下，通过电离层，借信号传播的方式获得可接受的性能的最低频率。</w:t>
      </w:r>
    </w:p>
    <w:p w:rsidR="00EB3ED4" w:rsidRPr="00446B97" w:rsidRDefault="00EB3ED4" w:rsidP="00E50171">
      <w:pPr>
        <w:pStyle w:val="Note"/>
        <w:spacing w:before="120"/>
        <w:rPr>
          <w:lang w:val="en-US" w:eastAsia="zh-CN"/>
        </w:rPr>
      </w:pPr>
      <w:r>
        <w:rPr>
          <w:rFonts w:hint="eastAsia"/>
          <w:lang w:val="en-US" w:eastAsia="zh-CN"/>
        </w:rPr>
        <w:t>注</w:t>
      </w:r>
      <w:r w:rsidRPr="00446B97">
        <w:rPr>
          <w:lang w:val="en-US" w:eastAsia="zh-CN"/>
        </w:rPr>
        <w:t xml:space="preserve"> </w:t>
      </w:r>
      <w:r w:rsidRPr="00E50171">
        <w:rPr>
          <w:lang w:val="en-US" w:eastAsia="zh-CN"/>
        </w:rPr>
        <w:t>1</w:t>
      </w:r>
      <w:r w:rsidRPr="00446B97">
        <w:rPr>
          <w:lang w:val="en-US" w:eastAsia="zh-CN"/>
        </w:rPr>
        <w:t xml:space="preserve"> – </w:t>
      </w:r>
      <w:r>
        <w:rPr>
          <w:rFonts w:hint="eastAsia"/>
          <w:lang w:val="en-US" w:eastAsia="zh-CN"/>
        </w:rPr>
        <w:t>如果</w:t>
      </w:r>
      <w:r w:rsidRPr="009B5BA5">
        <w:rPr>
          <w:rFonts w:hint="eastAsia"/>
          <w:lang w:val="en-US" w:eastAsia="zh-CN"/>
        </w:rPr>
        <w:t>可使用的基本操作频率</w:t>
      </w:r>
      <w:r>
        <w:rPr>
          <w:rFonts w:hint="eastAsia"/>
          <w:lang w:val="en-US" w:eastAsia="zh-CN"/>
        </w:rPr>
        <w:t>限于某种特定的电离层传播模式，可在应用数值时指明该种模式（例如，</w:t>
      </w:r>
      <w:r w:rsidRPr="00446B97">
        <w:rPr>
          <w:lang w:val="en-US" w:eastAsia="zh-CN"/>
        </w:rPr>
        <w:t>1E MUF</w:t>
      </w:r>
      <w:r>
        <w:rPr>
          <w:rFonts w:hint="eastAsia"/>
          <w:lang w:val="en-US" w:eastAsia="zh-CN"/>
        </w:rPr>
        <w:t>、</w:t>
      </w:r>
      <w:r w:rsidRPr="00446B97">
        <w:rPr>
          <w:lang w:val="en-US" w:eastAsia="zh-CN"/>
        </w:rPr>
        <w:t>2F2 MUF</w:t>
      </w:r>
      <w:r>
        <w:rPr>
          <w:rFonts w:hint="eastAsia"/>
          <w:lang w:val="en-US" w:eastAsia="zh-CN"/>
        </w:rPr>
        <w:t>）。</w:t>
      </w:r>
    </w:p>
    <w:p w:rsidR="00EB3ED4" w:rsidRPr="00446B97" w:rsidRDefault="00EB3ED4" w:rsidP="00E50171">
      <w:pPr>
        <w:pStyle w:val="Note"/>
        <w:spacing w:before="120"/>
        <w:rPr>
          <w:lang w:val="en-US" w:eastAsia="zh-CN"/>
        </w:rPr>
      </w:pPr>
      <w:r>
        <w:rPr>
          <w:rFonts w:hint="eastAsia"/>
          <w:lang w:val="en-US" w:eastAsia="zh-CN"/>
        </w:rPr>
        <w:t>注</w:t>
      </w:r>
      <w:r>
        <w:rPr>
          <w:rFonts w:hint="eastAsia"/>
          <w:lang w:val="en-US" w:eastAsia="zh-CN"/>
        </w:rPr>
        <w:t xml:space="preserve"> </w:t>
      </w:r>
      <w:r w:rsidRPr="00446B97">
        <w:rPr>
          <w:lang w:val="en-US" w:eastAsia="zh-CN"/>
        </w:rPr>
        <w:t xml:space="preserve">2 – </w:t>
      </w:r>
      <w:r>
        <w:rPr>
          <w:rFonts w:hint="eastAsia"/>
          <w:lang w:val="en-US" w:eastAsia="zh-CN"/>
        </w:rPr>
        <w:t>如果涉及异常</w:t>
      </w:r>
      <w:r w:rsidRPr="00010CC4">
        <w:rPr>
          <w:lang w:eastAsia="zh-CN"/>
        </w:rPr>
        <w:t>波</w:t>
      </w:r>
      <w:r>
        <w:rPr>
          <w:rFonts w:hint="eastAsia"/>
          <w:lang w:eastAsia="zh-CN"/>
        </w:rPr>
        <w:t>成分</w:t>
      </w:r>
      <w:r w:rsidRPr="00010CC4">
        <w:rPr>
          <w:rFonts w:hint="eastAsia"/>
          <w:lang w:val="en-US" w:eastAsia="zh-CN"/>
        </w:rPr>
        <w:t>，</w:t>
      </w:r>
      <w:r>
        <w:rPr>
          <w:rFonts w:hint="eastAsia"/>
          <w:lang w:eastAsia="zh-CN"/>
        </w:rPr>
        <w:t>则加以记录（如，</w:t>
      </w:r>
      <w:r w:rsidRPr="00446B97">
        <w:rPr>
          <w:lang w:val="en-US" w:eastAsia="zh-CN"/>
        </w:rPr>
        <w:t>1F2 MUF(X)</w:t>
      </w:r>
      <w:r>
        <w:rPr>
          <w:rFonts w:hint="eastAsia"/>
          <w:lang w:eastAsia="zh-CN"/>
        </w:rPr>
        <w:t>）。未提及</w:t>
      </w:r>
      <w:r w:rsidRPr="00010CC4">
        <w:rPr>
          <w:lang w:eastAsia="zh-CN"/>
        </w:rPr>
        <w:t>磁离子分量</w:t>
      </w:r>
      <w:r>
        <w:rPr>
          <w:rFonts w:hint="eastAsia"/>
          <w:lang w:eastAsia="zh-CN"/>
        </w:rPr>
        <w:t>，则意味着引用的数值只涉及</w:t>
      </w:r>
      <w:r w:rsidRPr="00010CC4">
        <w:rPr>
          <w:lang w:eastAsia="zh-CN"/>
        </w:rPr>
        <w:t>寻常波</w:t>
      </w:r>
      <w:r>
        <w:rPr>
          <w:rFonts w:hint="eastAsia"/>
          <w:lang w:eastAsia="zh-CN"/>
        </w:rPr>
        <w:t>。</w:t>
      </w:r>
    </w:p>
    <w:p w:rsidR="00EB3ED4" w:rsidRPr="00446B97" w:rsidRDefault="00EB3ED4" w:rsidP="00E50171">
      <w:pPr>
        <w:pStyle w:val="Note"/>
        <w:spacing w:before="120"/>
        <w:rPr>
          <w:lang w:val="en-US" w:eastAsia="zh-CN"/>
        </w:rPr>
      </w:pPr>
      <w:r>
        <w:rPr>
          <w:rFonts w:hint="eastAsia"/>
          <w:lang w:val="en-US" w:eastAsia="zh-CN"/>
        </w:rPr>
        <w:t>注</w:t>
      </w:r>
      <w:r w:rsidRPr="00446B97">
        <w:rPr>
          <w:lang w:val="en-US" w:eastAsia="zh-CN"/>
        </w:rPr>
        <w:t xml:space="preserve"> 3 – </w:t>
      </w:r>
      <w:r>
        <w:rPr>
          <w:rFonts w:hint="eastAsia"/>
          <w:lang w:val="en-US" w:eastAsia="zh-CN"/>
        </w:rPr>
        <w:t>有时引用</w:t>
      </w:r>
      <w:r w:rsidRPr="00010CC4">
        <w:rPr>
          <w:rFonts w:hint="eastAsia"/>
          <w:lang w:val="en-US" w:eastAsia="zh-CN"/>
        </w:rPr>
        <w:t>可使用的基本操作频率</w:t>
      </w:r>
      <w:r>
        <w:rPr>
          <w:rFonts w:hint="eastAsia"/>
          <w:lang w:val="en-US" w:eastAsia="zh-CN"/>
        </w:rPr>
        <w:t>所适用的地面距离是有益的。用公里数加上模式类型的说明加以表示（如，</w:t>
      </w:r>
      <w:r w:rsidRPr="00446B97">
        <w:rPr>
          <w:lang w:val="en-US" w:eastAsia="zh-CN"/>
        </w:rPr>
        <w:t>1F2 (4</w:t>
      </w:r>
      <w:r w:rsidRPr="00446B97">
        <w:rPr>
          <w:rFonts w:ascii="Tms Rmn" w:hAnsi="Tms Rmn"/>
          <w:sz w:val="12"/>
          <w:lang w:val="en-US" w:eastAsia="zh-CN"/>
        </w:rPr>
        <w:t> </w:t>
      </w:r>
      <w:r w:rsidRPr="00446B97">
        <w:rPr>
          <w:lang w:val="en-US" w:eastAsia="zh-CN"/>
        </w:rPr>
        <w:t>000) MUF(X)</w:t>
      </w:r>
      <w:r>
        <w:rPr>
          <w:rFonts w:hint="eastAsia"/>
          <w:lang w:val="en-US" w:eastAsia="zh-CN"/>
        </w:rPr>
        <w:t>）。</w:t>
      </w:r>
    </w:p>
    <w:p w:rsidR="00EB3ED4" w:rsidRDefault="00EB3ED4" w:rsidP="00E50171">
      <w:pPr>
        <w:pStyle w:val="Note"/>
        <w:spacing w:before="120"/>
        <w:rPr>
          <w:lang w:val="en-US" w:eastAsia="zh-CN"/>
        </w:rPr>
      </w:pPr>
      <w:r>
        <w:rPr>
          <w:rFonts w:hint="eastAsia"/>
          <w:lang w:val="en-US" w:eastAsia="zh-CN"/>
        </w:rPr>
        <w:t>注</w:t>
      </w:r>
      <w:r w:rsidRPr="00446B97">
        <w:rPr>
          <w:lang w:val="en-US" w:eastAsia="zh-CN"/>
        </w:rPr>
        <w:t xml:space="preserve"> 4 – </w:t>
      </w:r>
      <w:r>
        <w:rPr>
          <w:rFonts w:hint="eastAsia"/>
          <w:lang w:val="en-US" w:eastAsia="zh-CN"/>
        </w:rPr>
        <w:t>当</w:t>
      </w:r>
      <w:r w:rsidRPr="00010CC4">
        <w:rPr>
          <w:rFonts w:hint="eastAsia"/>
          <w:lang w:val="en-US" w:eastAsia="zh-CN"/>
        </w:rPr>
        <w:t>可使用的基本操作频率</w:t>
      </w:r>
      <w:r>
        <w:rPr>
          <w:rFonts w:hint="eastAsia"/>
          <w:lang w:val="en-US" w:eastAsia="zh-CN"/>
        </w:rPr>
        <w:t>一词意为中值或者一个月或一个季节的其它一些百分点</w:t>
      </w:r>
      <w:r w:rsidRPr="00446B97">
        <w:rPr>
          <w:lang w:val="en-US" w:eastAsia="zh-CN"/>
        </w:rPr>
        <w:t>(</w:t>
      </w:r>
      <w:r w:rsidRPr="00446B97">
        <w:rPr>
          <w:i/>
          <w:iCs/>
          <w:lang w:val="en-US" w:eastAsia="zh-CN"/>
        </w:rPr>
        <w:t>x</w:t>
      </w:r>
      <w:r w:rsidRPr="00446B97">
        <w:rPr>
          <w:lang w:val="en-US" w:eastAsia="zh-CN"/>
        </w:rPr>
        <w:t>)</w:t>
      </w:r>
      <w:r>
        <w:rPr>
          <w:rFonts w:hint="eastAsia"/>
          <w:lang w:val="en-US" w:eastAsia="zh-CN"/>
        </w:rPr>
        <w:t>时，可用术语加</w:t>
      </w:r>
      <w:r w:rsidRPr="00015158">
        <w:rPr>
          <w:rFonts w:hint="eastAsia"/>
          <w:lang w:val="en-US" w:eastAsia="zh-CN"/>
        </w:rPr>
        <w:t>百分点数</w:t>
      </w:r>
      <w:r>
        <w:rPr>
          <w:rFonts w:hint="eastAsia"/>
          <w:lang w:val="en-US" w:eastAsia="zh-CN"/>
        </w:rPr>
        <w:t>来表示（如，用</w:t>
      </w:r>
      <w:r w:rsidRPr="00446B97">
        <w:rPr>
          <w:lang w:val="en-US" w:eastAsia="zh-CN"/>
        </w:rPr>
        <w:t>MUF(50)</w:t>
      </w:r>
      <w:r>
        <w:rPr>
          <w:rFonts w:hint="eastAsia"/>
          <w:lang w:val="en-US" w:eastAsia="zh-CN"/>
        </w:rPr>
        <w:t>来表示中值）。</w:t>
      </w:r>
    </w:p>
    <w:p w:rsidR="00EB3ED4" w:rsidRDefault="00EB3ED4" w:rsidP="00EB3ED4">
      <w:pPr>
        <w:rPr>
          <w:lang w:val="en-US" w:eastAsia="zh-CN"/>
        </w:rPr>
      </w:pPr>
    </w:p>
    <w:p w:rsidR="00EB3ED4" w:rsidRDefault="00EB3ED4" w:rsidP="00EB3ED4">
      <w:pPr>
        <w:rPr>
          <w:lang w:val="en-US" w:eastAsia="zh-CN"/>
        </w:rPr>
      </w:pPr>
    </w:p>
    <w:p w:rsidR="00EB3ED4" w:rsidRDefault="00EB3ED4" w:rsidP="00EB3ED4">
      <w:pPr>
        <w:pStyle w:val="Line"/>
        <w:rPr>
          <w:lang w:eastAsia="zh-CN"/>
        </w:rPr>
      </w:pPr>
    </w:p>
    <w:p w:rsidR="00EB3ED4" w:rsidRPr="00446B97" w:rsidRDefault="00EB3ED4" w:rsidP="00EB3ED4">
      <w:pPr>
        <w:rPr>
          <w:lang w:val="en-GB" w:eastAsia="zh-CN"/>
        </w:rPr>
      </w:pPr>
    </w:p>
    <w:p w:rsidR="00FE4191" w:rsidRPr="00EB3ED4" w:rsidRDefault="00FE4191" w:rsidP="00EB3ED4">
      <w:pPr>
        <w:pStyle w:val="RecNoBR"/>
        <w:spacing w:before="240"/>
        <w:rPr>
          <w:lang w:val="en-GB" w:eastAsia="zh-CN"/>
        </w:rPr>
      </w:pPr>
    </w:p>
    <w:sectPr w:rsidR="00FE4191" w:rsidRPr="00EB3ED4" w:rsidSect="00E50171">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ED4" w:rsidRDefault="00EB3ED4">
      <w:r>
        <w:separator/>
      </w:r>
    </w:p>
  </w:endnote>
  <w:endnote w:type="continuationSeparator" w:id="0">
    <w:p w:rsidR="00EB3ED4" w:rsidRDefault="00EB3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altName w:val="Times New Roman"/>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ED4" w:rsidRDefault="00EB3ED4">
      <w:r>
        <w:separator/>
      </w:r>
    </w:p>
  </w:footnote>
  <w:footnote w:type="continuationSeparator" w:id="0">
    <w:p w:rsidR="00EB3ED4" w:rsidRDefault="00EB3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ED4" w:rsidRDefault="00EB3ED4" w:rsidP="00842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ED4" w:rsidRDefault="00EB3ED4" w:rsidP="0015196E">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ED4" w:rsidRDefault="00EB3ED4" w:rsidP="00E5017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F0B3A">
      <w:rPr>
        <w:rStyle w:val="PageNumber"/>
        <w:b/>
        <w:bCs/>
        <w:noProof/>
        <w:lang w:val="en-US"/>
      </w:rPr>
      <w:t>ii</w:t>
    </w:r>
    <w:r>
      <w:rPr>
        <w:rStyle w:val="PageNumber"/>
        <w:b/>
        <w:bCs/>
      </w:rPr>
      <w:fldChar w:fldCharType="end"/>
    </w:r>
    <w:r>
      <w:rPr>
        <w:lang w:val="en-US"/>
      </w:rPr>
      <w:tab/>
    </w:r>
    <w:r w:rsidR="00E50171">
      <w:rPr>
        <w:b/>
        <w:bCs/>
      </w:rPr>
      <w:fldChar w:fldCharType="begin"/>
    </w:r>
    <w:r w:rsidR="00E50171">
      <w:rPr>
        <w:b/>
        <w:bCs/>
      </w:rPr>
      <w:instrText xml:space="preserve"> STYLEREF  href  \* MERGEFORMAT </w:instrText>
    </w:r>
    <w:r w:rsidR="00E50171">
      <w:rPr>
        <w:b/>
        <w:bCs/>
      </w:rPr>
      <w:fldChar w:fldCharType="separate"/>
    </w:r>
    <w:r w:rsidR="00BF0B3A">
      <w:rPr>
        <w:rFonts w:hint="eastAsia"/>
        <w:b/>
        <w:bCs/>
        <w:noProof/>
      </w:rPr>
      <w:t xml:space="preserve">ITU-R  P.373-9 </w:t>
    </w:r>
    <w:r w:rsidR="00BF0B3A">
      <w:rPr>
        <w:rFonts w:hint="eastAsia"/>
        <w:b/>
        <w:bCs/>
        <w:noProof/>
      </w:rPr>
      <w:t>建议书</w:t>
    </w:r>
    <w:r w:rsidR="00E50171">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ED4" w:rsidRDefault="00EB3ED4" w:rsidP="0015196E">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ED4" w:rsidRDefault="00EB3ED4" w:rsidP="00EB3ED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F0B3A">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BF0B3A">
      <w:rPr>
        <w:rFonts w:hint="eastAsia"/>
        <w:b/>
        <w:bCs/>
        <w:noProof/>
      </w:rPr>
      <w:t xml:space="preserve">ITU-R  P.373-9 </w:t>
    </w:r>
    <w:r w:rsidR="00BF0B3A">
      <w:rPr>
        <w:rFonts w:hint="eastAsia"/>
        <w:b/>
        <w:bCs/>
        <w:noProof/>
      </w:rPr>
      <w:t>建议书</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ED4" w:rsidRDefault="00EB3ED4" w:rsidP="00EB3ED4">
    <w:pPr>
      <w:pStyle w:val="Header"/>
    </w:pPr>
    <w:r>
      <w:tab/>
    </w:r>
    <w:r>
      <w:rPr>
        <w:b/>
        <w:bCs/>
      </w:rPr>
      <w:fldChar w:fldCharType="begin"/>
    </w:r>
    <w:r>
      <w:rPr>
        <w:b/>
        <w:bCs/>
      </w:rPr>
      <w:instrText>styleref href</w:instrText>
    </w:r>
    <w:r>
      <w:rPr>
        <w:b/>
        <w:bCs/>
      </w:rPr>
      <w:fldChar w:fldCharType="separate"/>
    </w:r>
    <w:r w:rsidR="00BF0B3A">
      <w:rPr>
        <w:rFonts w:hint="eastAsia"/>
        <w:b/>
        <w:bCs/>
        <w:noProof/>
      </w:rPr>
      <w:t xml:space="preserve">ITU-R  P.373-9 </w:t>
    </w:r>
    <w:r w:rsidR="00BF0B3A">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F0B3A">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F48C8"/>
    <w:rsid w:val="00007DCF"/>
    <w:rsid w:val="00021757"/>
    <w:rsid w:val="00035AC2"/>
    <w:rsid w:val="00054682"/>
    <w:rsid w:val="001023AE"/>
    <w:rsid w:val="00147C04"/>
    <w:rsid w:val="0015196E"/>
    <w:rsid w:val="001B1767"/>
    <w:rsid w:val="001B6B14"/>
    <w:rsid w:val="001C401D"/>
    <w:rsid w:val="001D4417"/>
    <w:rsid w:val="001E7654"/>
    <w:rsid w:val="00282F81"/>
    <w:rsid w:val="002A718C"/>
    <w:rsid w:val="002D109E"/>
    <w:rsid w:val="002D75B3"/>
    <w:rsid w:val="002D76C4"/>
    <w:rsid w:val="00331CC4"/>
    <w:rsid w:val="00355C93"/>
    <w:rsid w:val="00366FBF"/>
    <w:rsid w:val="00430306"/>
    <w:rsid w:val="0046335F"/>
    <w:rsid w:val="00466CDE"/>
    <w:rsid w:val="004814A6"/>
    <w:rsid w:val="004866E9"/>
    <w:rsid w:val="00493D97"/>
    <w:rsid w:val="00497DCA"/>
    <w:rsid w:val="004B6D27"/>
    <w:rsid w:val="004D1CD7"/>
    <w:rsid w:val="004D7882"/>
    <w:rsid w:val="004E545E"/>
    <w:rsid w:val="00511EF8"/>
    <w:rsid w:val="005C4E01"/>
    <w:rsid w:val="005F369E"/>
    <w:rsid w:val="00600A59"/>
    <w:rsid w:val="00607D68"/>
    <w:rsid w:val="006210B3"/>
    <w:rsid w:val="006A34BD"/>
    <w:rsid w:val="00712C24"/>
    <w:rsid w:val="007840B7"/>
    <w:rsid w:val="007C279A"/>
    <w:rsid w:val="007C7587"/>
    <w:rsid w:val="008429A7"/>
    <w:rsid w:val="0085312C"/>
    <w:rsid w:val="008619FA"/>
    <w:rsid w:val="00874D5D"/>
    <w:rsid w:val="0088028C"/>
    <w:rsid w:val="0089440C"/>
    <w:rsid w:val="008A679E"/>
    <w:rsid w:val="00900A97"/>
    <w:rsid w:val="00903216"/>
    <w:rsid w:val="00943821"/>
    <w:rsid w:val="009649EC"/>
    <w:rsid w:val="009B4017"/>
    <w:rsid w:val="009C10CC"/>
    <w:rsid w:val="009D5CC9"/>
    <w:rsid w:val="009D7D89"/>
    <w:rsid w:val="009E3024"/>
    <w:rsid w:val="009E6169"/>
    <w:rsid w:val="00A3704E"/>
    <w:rsid w:val="00A53F07"/>
    <w:rsid w:val="00A626A0"/>
    <w:rsid w:val="00A6617B"/>
    <w:rsid w:val="00AB0DC8"/>
    <w:rsid w:val="00AE45BD"/>
    <w:rsid w:val="00AF16AD"/>
    <w:rsid w:val="00AF3B09"/>
    <w:rsid w:val="00B44E24"/>
    <w:rsid w:val="00BF0B3A"/>
    <w:rsid w:val="00BF390B"/>
    <w:rsid w:val="00C31EA8"/>
    <w:rsid w:val="00CA7A31"/>
    <w:rsid w:val="00CF22C6"/>
    <w:rsid w:val="00D35985"/>
    <w:rsid w:val="00D51444"/>
    <w:rsid w:val="00D72D4E"/>
    <w:rsid w:val="00D75143"/>
    <w:rsid w:val="00DB5779"/>
    <w:rsid w:val="00DF21BC"/>
    <w:rsid w:val="00DF4176"/>
    <w:rsid w:val="00E50171"/>
    <w:rsid w:val="00EB3ED4"/>
    <w:rsid w:val="00EE5928"/>
    <w:rsid w:val="00F128B0"/>
    <w:rsid w:val="00F217B4"/>
    <w:rsid w:val="00F35A89"/>
    <w:rsid w:val="00F35BEA"/>
    <w:rsid w:val="00F805C9"/>
    <w:rsid w:val="00FA507C"/>
    <w:rsid w:val="00FB3AD8"/>
    <w:rsid w:val="00FE4191"/>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712C24"/>
    <w:pPr>
      <w:keepNext/>
      <w:keepLines/>
      <w:tabs>
        <w:tab w:val="clear" w:pos="794"/>
        <w:tab w:val="clear" w:pos="1191"/>
        <w:tab w:val="clear" w:pos="1588"/>
        <w:tab w:val="clear" w:pos="1985"/>
      </w:tabs>
      <w:snapToGrid w:val="0"/>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D72D4E"/>
    <w:pPr>
      <w:snapToGrid w:val="0"/>
    </w:pPr>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semiHidden/>
    <w:rsid w:val="00FF48C8"/>
    <w:rPr>
      <w:position w:val="6"/>
      <w:sz w:val="18"/>
    </w:rPr>
  </w:style>
  <w:style w:type="paragraph" w:styleId="FootnoteText">
    <w:name w:val="footnote text"/>
    <w:basedOn w:val="Normal"/>
    <w:semiHidden/>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712C24"/>
    <w:pPr>
      <w:keepNext/>
      <w:keepLines/>
      <w:snapToGrid w:val="0"/>
      <w:spacing w:before="240" w:after="100" w:afterAutospacing="1"/>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名称"/>
    <w:basedOn w:val="Normal"/>
    <w:rsid w:val="00712C24"/>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课题"/>
    <w:basedOn w:val="Normal"/>
    <w:rsid w:val="00712C24"/>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1">
    <w:name w:val="年"/>
    <w:basedOn w:val="Normal"/>
    <w:rsid w:val="00712C24"/>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rsid w:val="00712C24"/>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3">
    <w:name w:val="附件"/>
    <w:basedOn w:val="Normal"/>
    <w:rsid w:val="00712C24"/>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712C2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rsid w:val="00712C24"/>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712C2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4">
    <w:name w:val="表文"/>
    <w:basedOn w:val="Normal"/>
    <w:rsid w:val="00712C2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5">
    <w:name w:val="表序"/>
    <w:basedOn w:val="Normal"/>
    <w:rsid w:val="00712C2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6">
    <w:name w:val="图序"/>
    <w:basedOn w:val="1"/>
    <w:rsid w:val="00712C24"/>
    <w:pPr>
      <w:tabs>
        <w:tab w:val="clear" w:pos="953"/>
      </w:tabs>
      <w:topLinePunct/>
      <w:jc w:val="center"/>
    </w:pPr>
    <w:rPr>
      <w:kern w:val="0"/>
      <w:sz w:val="18"/>
      <w:lang w:val="en-GB"/>
    </w:rPr>
  </w:style>
  <w:style w:type="paragraph" w:customStyle="1" w:styleId="a7">
    <w:name w:val="图题"/>
    <w:basedOn w:val="1"/>
    <w:rsid w:val="00712C24"/>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8">
    <w:name w:val="图"/>
    <w:basedOn w:val="1"/>
    <w:rsid w:val="00712C24"/>
    <w:pPr>
      <w:tabs>
        <w:tab w:val="clear" w:pos="953"/>
      </w:tabs>
      <w:topLinePunct/>
      <w:jc w:val="center"/>
    </w:pPr>
    <w:rPr>
      <w:kern w:val="0"/>
      <w:lang w:val="en-GB"/>
    </w:rPr>
  </w:style>
  <w:style w:type="paragraph" w:styleId="BodyTextIndent">
    <w:name w:val="Body Text Indent"/>
    <w:basedOn w:val="Normal"/>
    <w:link w:val="BodyTextIndentChar"/>
    <w:rsid w:val="00712C24"/>
    <w:pPr>
      <w:widowControl w:val="0"/>
      <w:tabs>
        <w:tab w:val="clear" w:pos="794"/>
        <w:tab w:val="clear" w:pos="1191"/>
        <w:tab w:val="clear" w:pos="1588"/>
        <w:tab w:val="clear" w:pos="1985"/>
        <w:tab w:val="left" w:pos="953"/>
      </w:tabs>
      <w:overflowPunct/>
      <w:autoSpaceDE/>
      <w:autoSpaceDN/>
      <w:adjustRightInd/>
      <w:spacing w:before="100"/>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12C24"/>
    <w:rPr>
      <w:kern w:val="2"/>
      <w:sz w:val="21"/>
      <w:szCs w:val="24"/>
    </w:rPr>
  </w:style>
  <w:style w:type="paragraph" w:customStyle="1" w:styleId="Appendix">
    <w:name w:val="Appendix_#"/>
    <w:basedOn w:val="Normal"/>
    <w:next w:val="Normal"/>
    <w:rsid w:val="00712C24"/>
    <w:pPr>
      <w:keepNext/>
      <w:keepLines/>
      <w:spacing w:before="480" w:after="80"/>
      <w:jc w:val="center"/>
    </w:pPr>
    <w:rPr>
      <w:caps/>
      <w:szCs w:val="24"/>
      <w:lang w:val="en-GB" w:eastAsia="zh-CN"/>
    </w:rPr>
  </w:style>
  <w:style w:type="paragraph" w:customStyle="1" w:styleId="re">
    <w:name w:val="re"/>
    <w:basedOn w:val="Normal"/>
    <w:rsid w:val="00712C24"/>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Rectitle">
    <w:name w:val="Rec_title"/>
    <w:basedOn w:val="Normal"/>
    <w:next w:val="Recref"/>
    <w:rsid w:val="00712C24"/>
    <w:pPr>
      <w:keepNext/>
      <w:keepLines/>
      <w:spacing w:before="240"/>
      <w:jc w:val="center"/>
    </w:pPr>
    <w:rPr>
      <w:rFonts w:eastAsia="Times New Roman"/>
      <w:b/>
      <w:sz w:val="28"/>
    </w:rPr>
  </w:style>
  <w:style w:type="paragraph" w:customStyle="1" w:styleId="StyleCallLatinSTKaitiAsianSTKaitiNotItalic">
    <w:name w:val="Style Call + (Latin) STKaiti (Asian) STKaiti Not Italic"/>
    <w:basedOn w:val="Call"/>
    <w:rsid w:val="00D72D4E"/>
    <w:pPr>
      <w:snapToGrid w:val="0"/>
    </w:pPr>
    <w:rPr>
      <w:rFonts w:ascii="STKaiti" w:eastAsia="STKaiti" w:hAnsi="STKaiti"/>
      <w:i w:val="0"/>
      <w:iCs/>
    </w:rPr>
  </w:style>
  <w:style w:type="paragraph" w:customStyle="1" w:styleId="RecNo">
    <w:name w:val="Rec_No"/>
    <w:basedOn w:val="Normal"/>
    <w:next w:val="Rectitle"/>
    <w:rsid w:val="00EB3ED4"/>
    <w:pPr>
      <w:keepNext/>
      <w:keepLines/>
      <w:tabs>
        <w:tab w:val="clear" w:pos="794"/>
        <w:tab w:val="clear" w:pos="1191"/>
        <w:tab w:val="clear" w:pos="1588"/>
        <w:tab w:val="clear" w:pos="1985"/>
      </w:tabs>
      <w:spacing w:before="480"/>
      <w:jc w:val="center"/>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7F767-4D54-4DFA-9F9F-5E67F20F6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25</TotalTime>
  <Pages>4</Pages>
  <Words>1357</Words>
  <Characters>584</Characters>
  <Application>Microsoft Office Word</Application>
  <DocSecurity>0</DocSecurity>
  <Lines>194</Lines>
  <Paragraphs>176</Paragraphs>
  <ScaleCrop>false</ScaleCrop>
  <HeadingPairs>
    <vt:vector size="2" baseType="variant">
      <vt:variant>
        <vt:lpstr>Title</vt:lpstr>
      </vt:variant>
      <vt:variant>
        <vt:i4>1</vt:i4>
      </vt:variant>
    </vt:vector>
  </HeadingPairs>
  <TitlesOfParts>
    <vt:vector size="1" baseType="lpstr">
      <vt:lpstr>ITU-R P.1321-3建议书 - 影响在中低频频带内使用数字调制技术的系统的传播因素</vt:lpstr>
    </vt:vector>
  </TitlesOfParts>
  <Manager/>
  <Company>ITU</Company>
  <LinksUpToDate>false</LinksUpToDate>
  <CharactersWithSpaces>1765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P.373-9 建议书 – 最高和最低传输频率的定义</dc:title>
  <dc:subject/>
  <dc:creator>ITU</dc:creator>
  <cp:keywords/>
  <dc:description>Edition                             17.11.08      SP_x000d_
REV - 19-11-08 - HB_x000d_
1ère épreuve: 2.12.08/KJ</dc:description>
  <cp:lastModifiedBy>Gao, Lili</cp:lastModifiedBy>
  <cp:revision>9</cp:revision>
  <cp:lastPrinted>2014-06-30T09:49:00Z</cp:lastPrinted>
  <dcterms:created xsi:type="dcterms:W3CDTF">2014-06-26T09:11:00Z</dcterms:created>
  <dcterms:modified xsi:type="dcterms:W3CDTF">2014-07-01T13:12:00Z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