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DB537" w14:textId="77777777" w:rsidR="00FE79FE" w:rsidRDefault="00FE79FE"/>
    <w:p w14:paraId="444DBE4C" w14:textId="77777777" w:rsidR="00013002" w:rsidRDefault="00013002" w:rsidP="00DE5556">
      <w:pPr>
        <w:tabs>
          <w:tab w:val="clear" w:pos="794"/>
          <w:tab w:val="clear" w:pos="1191"/>
          <w:tab w:val="clear" w:pos="1588"/>
          <w:tab w:val="clear" w:pos="1985"/>
        </w:tabs>
      </w:pPr>
    </w:p>
    <w:p w14:paraId="758A2FBD" w14:textId="1099F292" w:rsidR="00D5024B" w:rsidRPr="00F111D6" w:rsidRDefault="00D5024B" w:rsidP="00D5024B">
      <w:pPr>
        <w:pStyle w:val="CoverNumber"/>
        <w:rPr>
          <w:lang w:val="es-ES"/>
        </w:rPr>
      </w:pPr>
      <w:r w:rsidRPr="00F111D6">
        <w:rPr>
          <w:lang w:val="es-ES"/>
        </w:rPr>
        <w:t>Recom</w:t>
      </w:r>
      <w:r w:rsidR="0069322D" w:rsidRPr="00F111D6">
        <w:rPr>
          <w:lang w:val="es-ES"/>
        </w:rPr>
        <w:t>e</w:t>
      </w:r>
      <w:r w:rsidRPr="00F111D6">
        <w:rPr>
          <w:lang w:val="es-ES"/>
        </w:rPr>
        <w:t>nda</w:t>
      </w:r>
      <w:r w:rsidR="0069322D" w:rsidRPr="00F111D6">
        <w:rPr>
          <w:lang w:val="es-ES"/>
        </w:rPr>
        <w:t>c</w:t>
      </w:r>
      <w:r w:rsidRPr="00F111D6">
        <w:rPr>
          <w:lang w:val="es-ES"/>
        </w:rPr>
        <w:t>i</w:t>
      </w:r>
      <w:r w:rsidR="0069322D" w:rsidRPr="00F111D6">
        <w:rPr>
          <w:lang w:val="es-ES"/>
        </w:rPr>
        <w:t>ó</w:t>
      </w:r>
      <w:r w:rsidRPr="00F111D6">
        <w:rPr>
          <w:lang w:val="es-ES"/>
        </w:rPr>
        <w:t xml:space="preserve">n </w:t>
      </w:r>
      <w:r w:rsidR="007624B1" w:rsidRPr="00F111D6">
        <w:rPr>
          <w:lang w:val="es-ES"/>
        </w:rPr>
        <w:t>U</w:t>
      </w:r>
      <w:r w:rsidRPr="00F111D6">
        <w:rPr>
          <w:lang w:val="es-ES"/>
        </w:rPr>
        <w:t xml:space="preserve">IT-R </w:t>
      </w:r>
      <w:r w:rsidR="002B6126" w:rsidRPr="00A75D12">
        <w:rPr>
          <w:lang w:val="es-ES"/>
        </w:rPr>
        <w:t>P.371-9</w:t>
      </w:r>
    </w:p>
    <w:p w14:paraId="51566676" w14:textId="402B0697" w:rsidR="00D5024B" w:rsidRPr="00F111D6" w:rsidRDefault="00D5024B" w:rsidP="00D5024B">
      <w:pPr>
        <w:pStyle w:val="CoverDate"/>
        <w:rPr>
          <w:lang w:val="es-ES"/>
        </w:rPr>
      </w:pPr>
      <w:r w:rsidRPr="00F111D6">
        <w:rPr>
          <w:lang w:val="es-ES"/>
        </w:rPr>
        <w:t>(</w:t>
      </w:r>
      <w:r w:rsidR="002B6126" w:rsidRPr="00652A50">
        <w:rPr>
          <w:bCs/>
          <w:lang w:val="es-ES"/>
        </w:rPr>
        <w:t>0</w:t>
      </w:r>
      <w:r w:rsidR="002B6126">
        <w:rPr>
          <w:bCs/>
          <w:lang w:val="es-ES"/>
        </w:rPr>
        <w:t>8</w:t>
      </w:r>
      <w:r w:rsidR="002B6126" w:rsidRPr="00652A50">
        <w:rPr>
          <w:bCs/>
          <w:lang w:val="es-ES"/>
        </w:rPr>
        <w:t>/2023</w:t>
      </w:r>
      <w:r w:rsidRPr="00F111D6">
        <w:rPr>
          <w:lang w:val="es-ES"/>
        </w:rPr>
        <w:t>)</w:t>
      </w:r>
    </w:p>
    <w:p w14:paraId="7AA59FFE" w14:textId="212156FA" w:rsidR="00D5024B" w:rsidRPr="00F111D6" w:rsidRDefault="00A25EE2" w:rsidP="00D5024B">
      <w:pPr>
        <w:pStyle w:val="CoverSeries"/>
        <w:rPr>
          <w:lang w:val="es-ES"/>
        </w:rPr>
      </w:pPr>
      <w:r w:rsidRPr="00F111D6">
        <w:rPr>
          <w:lang w:val="es-ES"/>
        </w:rPr>
        <w:t>S</w:t>
      </w:r>
      <w:r w:rsidR="0069322D" w:rsidRPr="00F111D6">
        <w:rPr>
          <w:lang w:val="es-ES"/>
        </w:rPr>
        <w:t>e</w:t>
      </w:r>
      <w:r w:rsidRPr="00F111D6">
        <w:rPr>
          <w:lang w:val="es-ES"/>
        </w:rPr>
        <w:t xml:space="preserve">rie </w:t>
      </w:r>
      <w:r w:rsidR="0041045F">
        <w:rPr>
          <w:lang w:val="es-ES"/>
        </w:rPr>
        <w:t>P</w:t>
      </w:r>
      <w:r w:rsidR="00D5024B" w:rsidRPr="00F111D6">
        <w:rPr>
          <w:lang w:val="es-ES"/>
        </w:rPr>
        <w:t xml:space="preserve">: </w:t>
      </w:r>
      <w:r w:rsidR="0041045F" w:rsidRPr="0041045F">
        <w:rPr>
          <w:lang w:val="es-ES"/>
        </w:rPr>
        <w:t>Propagación de las ondas radioeléctricas</w:t>
      </w:r>
    </w:p>
    <w:p w14:paraId="3EF7DF64" w14:textId="3AD961A8" w:rsidR="00D5024B" w:rsidRPr="00F111D6" w:rsidRDefault="002B6126" w:rsidP="00D5024B">
      <w:pPr>
        <w:pStyle w:val="CoverTitle"/>
        <w:rPr>
          <w:lang w:val="es-ES"/>
        </w:rPr>
      </w:pPr>
      <w:r w:rsidRPr="002B6126">
        <w:rPr>
          <w:lang w:val="es-ES"/>
        </w:rPr>
        <w:t>Elección de índices para las predicciones ionosféricas a largo plazo</w:t>
      </w:r>
    </w:p>
    <w:p w14:paraId="4641CC94" w14:textId="20CD888F" w:rsidR="00FE79FE" w:rsidRPr="00F111D6" w:rsidRDefault="00FE79FE" w:rsidP="005373E0"/>
    <w:p w14:paraId="65522E05" w14:textId="77777777" w:rsidR="00A71FE5" w:rsidRPr="00F111D6" w:rsidRDefault="00A71FE5" w:rsidP="005373E0"/>
    <w:p w14:paraId="1CBC5102" w14:textId="77777777" w:rsidR="00EE47C4" w:rsidRPr="00F111D6" w:rsidRDefault="00EE47C4" w:rsidP="005373E0">
      <w:pPr>
        <w:sectPr w:rsidR="00EE47C4" w:rsidRPr="00F111D6" w:rsidSect="0027411A">
          <w:headerReference w:type="even" r:id="rId7"/>
          <w:headerReference w:type="default" r:id="rId8"/>
          <w:footerReference w:type="default" r:id="rId9"/>
          <w:pgSz w:w="11907" w:h="16840" w:code="9"/>
          <w:pgMar w:top="1089" w:right="1089" w:bottom="284" w:left="1089" w:header="737" w:footer="284" w:gutter="0"/>
          <w:pgNumType w:start="1"/>
          <w:cols w:space="720"/>
          <w:docGrid w:linePitch="326"/>
        </w:sectPr>
      </w:pPr>
    </w:p>
    <w:p w14:paraId="7F7C6F5F" w14:textId="77777777" w:rsidR="0069322D" w:rsidRPr="006C718C" w:rsidRDefault="0069322D" w:rsidP="0069322D">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0" w:after="0"/>
        <w:rPr>
          <w:bCs/>
          <w:sz w:val="24"/>
          <w:szCs w:val="24"/>
          <w:lang w:val="es-ES_tradnl"/>
        </w:rPr>
      </w:pPr>
      <w:bookmarkStart w:id="0" w:name="c2tope"/>
      <w:bookmarkEnd w:id="0"/>
      <w:r w:rsidRPr="006C718C">
        <w:rPr>
          <w:bCs/>
          <w:sz w:val="24"/>
          <w:szCs w:val="24"/>
          <w:lang w:val="es-ES_tradnl"/>
        </w:rPr>
        <w:lastRenderedPageBreak/>
        <w:t>Prólogo</w:t>
      </w:r>
    </w:p>
    <w:p w14:paraId="63C991CF" w14:textId="5FB19E0B" w:rsidR="0069322D" w:rsidRPr="006C718C" w:rsidRDefault="0069322D" w:rsidP="0069322D">
      <w:pPr>
        <w:spacing w:before="180"/>
        <w:rPr>
          <w:sz w:val="20"/>
          <w:lang w:val="es-ES_tradnl"/>
        </w:rPr>
      </w:pPr>
      <w:r w:rsidRPr="006C718C">
        <w:rPr>
          <w:sz w:val="20"/>
          <w:lang w:val="es-ES_tradnl"/>
        </w:rPr>
        <w:t>El Sector de Radiocomunicaciones tiene como cometido garantizar la utilizaci</w:t>
      </w:r>
      <w:r>
        <w:rPr>
          <w:sz w:val="20"/>
          <w:lang w:val="es-ES_tradnl"/>
        </w:rPr>
        <w:t>ón racional, equitativa, eficaz y económica del espectro de frecuencias radioeléctricas por todos los servicios de radiocomunicaciones, incluidos los servicios por satélite, y realizar, sin limitación de gamas de frecuencias, estudios que sirvan de base para la adopción de las Recomendaciones UIT-R.</w:t>
      </w:r>
    </w:p>
    <w:p w14:paraId="46EBAD9B" w14:textId="77777777" w:rsidR="0069322D" w:rsidRPr="006C718C" w:rsidRDefault="0069322D" w:rsidP="0069322D">
      <w:pPr>
        <w:rPr>
          <w:sz w:val="20"/>
          <w:lang w:val="es-ES_tradnl"/>
        </w:rPr>
      </w:pPr>
      <w:r w:rsidRPr="006C718C">
        <w:rPr>
          <w:sz w:val="20"/>
          <w:lang w:val="es-ES_tradnl"/>
        </w:rPr>
        <w:t>Las Conferencias Mundiales y Regionales de Radiocomunicaciones y las Asambleas de Radiocomunicaciones, c</w:t>
      </w:r>
      <w:r>
        <w:rPr>
          <w:sz w:val="20"/>
          <w:lang w:val="es-ES_tradnl"/>
        </w:rPr>
        <w:t>on la colaboración de las Comisiones de Estudio, cumplen las funciones reglamentarias y políticas del Sector de Radiocomunicaciones.</w:t>
      </w:r>
    </w:p>
    <w:p w14:paraId="5A6FF35E" w14:textId="77777777" w:rsidR="0069322D" w:rsidRPr="00021E8A" w:rsidRDefault="0069322D" w:rsidP="0069322D">
      <w:pPr>
        <w:pStyle w:val="Heading1"/>
        <w:spacing w:before="340"/>
        <w:jc w:val="center"/>
        <w:rPr>
          <w:szCs w:val="24"/>
          <w:lang w:val="es-ES_tradnl"/>
        </w:rPr>
      </w:pPr>
      <w:r w:rsidRPr="007C36CA">
        <w:rPr>
          <w:lang w:val="es-ES_tradnl"/>
        </w:rPr>
        <w:t>Política sobre Derechos de Propiedad Intelectual</w:t>
      </w:r>
      <w:r w:rsidRPr="00021E8A">
        <w:rPr>
          <w:szCs w:val="24"/>
          <w:lang w:val="es-ES_tradnl"/>
        </w:rPr>
        <w:t xml:space="preserve"> (IPR)</w:t>
      </w:r>
    </w:p>
    <w:p w14:paraId="13D831BF" w14:textId="77777777" w:rsidR="0069322D" w:rsidRPr="00021E8A" w:rsidRDefault="0069322D" w:rsidP="0069322D">
      <w:pPr>
        <w:spacing w:before="180"/>
        <w:rPr>
          <w:sz w:val="20"/>
          <w:lang w:val="es-ES_tradnl"/>
        </w:rPr>
      </w:pPr>
      <w:r w:rsidRPr="00021E8A">
        <w:rPr>
          <w:sz w:val="20"/>
          <w:lang w:val="es-ES_tradnl"/>
        </w:rPr>
        <w:t>La política del UIT</w:t>
      </w:r>
      <w:r w:rsidRPr="00021E8A">
        <w:rPr>
          <w:sz w:val="20"/>
          <w:lang w:val="es-ES_tradnl"/>
        </w:rPr>
        <w:noBreakHyphen/>
        <w:t>R sobre Derechos de Propiedad Intelectual se describe en la Política Común de Patentes UIT</w:t>
      </w:r>
      <w:r w:rsidRPr="00021E8A">
        <w:rPr>
          <w:sz w:val="20"/>
          <w:lang w:val="es-ES_tradnl"/>
        </w:rPr>
        <w:noBreakHyphen/>
        <w:t>T/UIT</w:t>
      </w:r>
      <w:r w:rsidRPr="00021E8A">
        <w:rPr>
          <w:sz w:val="20"/>
          <w:lang w:val="es-ES_tradnl"/>
        </w:rPr>
        <w:noBreakHyphen/>
        <w:t>R/ISO/CEI a la que se hace referencia en la Resolución UIT</w:t>
      </w:r>
      <w:r w:rsidRPr="00021E8A">
        <w:rPr>
          <w:sz w:val="20"/>
          <w:lang w:val="es-ES_tradnl"/>
        </w:rPr>
        <w:noBreakHyphen/>
        <w:t xml:space="preserve">R 1. Los formularios que deben utilizarse en la declaración sobre patentes y utilización de patentes por los titulares de las mismas figuran en la dirección web </w:t>
      </w:r>
      <w:hyperlink r:id="rId10" w:history="1">
        <w:r w:rsidRPr="00021E8A">
          <w:rPr>
            <w:rStyle w:val="Hyperlink"/>
            <w:sz w:val="20"/>
            <w:lang w:val="es-ES_tradnl"/>
          </w:rPr>
          <w:t>http://www.itu.int/ITU-R/go/patents/es</w:t>
        </w:r>
      </w:hyperlink>
      <w:r w:rsidRPr="00021E8A">
        <w:rPr>
          <w:sz w:val="20"/>
          <w:lang w:val="es-ES_tradnl"/>
        </w:rPr>
        <w:t>, donde también aparecen las Directrices para la implementación de la Política Común de Patentes UIT</w:t>
      </w:r>
      <w:r w:rsidRPr="00021E8A">
        <w:rPr>
          <w:sz w:val="20"/>
          <w:lang w:val="es-ES_tradnl"/>
        </w:rPr>
        <w:noBreakHyphen/>
        <w:t>T/UIT</w:t>
      </w:r>
      <w:r w:rsidRPr="00021E8A">
        <w:rPr>
          <w:sz w:val="20"/>
          <w:lang w:val="es-ES_tradnl"/>
        </w:rPr>
        <w:noBreakHyphen/>
        <w:t>R/ISO/CEI y la base de datos sobre información de patentes del UIT</w:t>
      </w:r>
      <w:r w:rsidRPr="00021E8A">
        <w:rPr>
          <w:sz w:val="20"/>
          <w:lang w:val="es-ES_tradnl"/>
        </w:rPr>
        <w:noBreakHyphen/>
        <w:t>R sobre este asunto.</w:t>
      </w:r>
    </w:p>
    <w:p w14:paraId="67F922A2" w14:textId="77777777" w:rsidR="0069322D" w:rsidRPr="007C36CA" w:rsidRDefault="0069322D" w:rsidP="0069322D">
      <w:pPr>
        <w:spacing w:before="0"/>
        <w:jc w:val="center"/>
        <w:rPr>
          <w:sz w:val="22"/>
          <w:lang w:val="es-ES_tradnl"/>
        </w:rPr>
      </w:pPr>
    </w:p>
    <w:p w14:paraId="5BB28E2C" w14:textId="77777777" w:rsidR="0069322D" w:rsidRPr="007C36CA" w:rsidRDefault="0069322D" w:rsidP="0069322D">
      <w:pPr>
        <w:spacing w:before="0"/>
        <w:jc w:val="center"/>
        <w:rPr>
          <w:sz w:val="22"/>
          <w:lang w:val="es-ES_tradnl"/>
        </w:rPr>
      </w:pPr>
    </w:p>
    <w:tbl>
      <w:tblPr>
        <w:tblW w:w="5000" w:type="pct"/>
        <w:tblBorders>
          <w:top w:val="single" w:sz="12" w:space="0" w:color="000080"/>
          <w:left w:val="single" w:sz="12" w:space="0" w:color="000080"/>
          <w:bottom w:val="single" w:sz="12" w:space="0" w:color="000080"/>
          <w:right w:val="single" w:sz="12" w:space="0" w:color="000080"/>
        </w:tblBorders>
        <w:tblLook w:val="0000" w:firstRow="0" w:lastRow="0" w:firstColumn="0" w:lastColumn="0" w:noHBand="0" w:noVBand="0"/>
      </w:tblPr>
      <w:tblGrid>
        <w:gridCol w:w="1170"/>
        <w:gridCol w:w="8439"/>
      </w:tblGrid>
      <w:tr w:rsidR="0069322D" w:rsidRPr="0041045F" w14:paraId="55E85DDA" w14:textId="77777777" w:rsidTr="0069322D">
        <w:tc>
          <w:tcPr>
            <w:tcW w:w="9360" w:type="dxa"/>
            <w:gridSpan w:val="2"/>
          </w:tcPr>
          <w:p w14:paraId="6C050858" w14:textId="77777777" w:rsidR="0069322D" w:rsidRPr="00021E8A" w:rsidRDefault="0069322D" w:rsidP="000B4BD9">
            <w:pPr>
              <w:pStyle w:val="Chaptitle"/>
              <w:keepLines w:val="0"/>
              <w:tabs>
                <w:tab w:val="clear" w:pos="794"/>
                <w:tab w:val="clear" w:pos="1191"/>
                <w:tab w:val="clear" w:pos="1588"/>
                <w:tab w:val="clear" w:pos="1985"/>
              </w:tabs>
              <w:overflowPunct/>
              <w:spacing w:before="140"/>
              <w:textAlignment w:val="auto"/>
              <w:rPr>
                <w:sz w:val="22"/>
                <w:szCs w:val="22"/>
                <w:lang w:val="es-ES_tradnl"/>
              </w:rPr>
            </w:pPr>
            <w:r w:rsidRPr="00021E8A">
              <w:rPr>
                <w:sz w:val="22"/>
                <w:szCs w:val="22"/>
                <w:lang w:val="es-ES_tradnl"/>
              </w:rPr>
              <w:t xml:space="preserve">Series de las Recomendaciones UIT-R </w:t>
            </w:r>
          </w:p>
          <w:p w14:paraId="181E1A6C" w14:textId="77777777" w:rsidR="0069322D" w:rsidRPr="00763D08" w:rsidRDefault="0069322D" w:rsidP="000B4BD9">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120" w:after="60"/>
              <w:rPr>
                <w:bCs/>
                <w:sz w:val="18"/>
                <w:szCs w:val="18"/>
                <w:lang w:val="es-ES_tradnl"/>
              </w:rPr>
            </w:pPr>
            <w:r w:rsidRPr="00763D08">
              <w:rPr>
                <w:b w:val="0"/>
                <w:sz w:val="18"/>
                <w:szCs w:val="18"/>
                <w:lang w:val="es-ES_tradnl"/>
              </w:rPr>
              <w:t xml:space="preserve">(También disponible en línea en </w:t>
            </w:r>
            <w:hyperlink r:id="rId11" w:history="1">
              <w:r w:rsidR="00B96572">
                <w:rPr>
                  <w:rStyle w:val="Hyperlink"/>
                  <w:b w:val="0"/>
                  <w:bCs/>
                  <w:sz w:val="18"/>
                  <w:szCs w:val="18"/>
                  <w:lang w:val="es-ES_tradnl"/>
                </w:rPr>
                <w:t>https://www.itu.int/publ/R-REC/es</w:t>
              </w:r>
            </w:hyperlink>
            <w:r w:rsidRPr="00763D08">
              <w:rPr>
                <w:b w:val="0"/>
                <w:bCs/>
                <w:sz w:val="18"/>
                <w:szCs w:val="18"/>
                <w:lang w:val="es-ES_tradnl"/>
              </w:rPr>
              <w:t>)</w:t>
            </w:r>
          </w:p>
        </w:tc>
      </w:tr>
      <w:tr w:rsidR="0069322D" w:rsidRPr="00036EE3" w14:paraId="72454BE4" w14:textId="77777777" w:rsidTr="00B96572">
        <w:tc>
          <w:tcPr>
            <w:tcW w:w="1140" w:type="dxa"/>
            <w:tcBorders>
              <w:bottom w:val="nil"/>
            </w:tcBorders>
            <w:vAlign w:val="bottom"/>
          </w:tcPr>
          <w:p w14:paraId="4E654C03" w14:textId="77777777" w:rsidR="0069322D" w:rsidRPr="00036EE3" w:rsidRDefault="0069322D" w:rsidP="00B96572">
            <w:pPr>
              <w:spacing w:before="180" w:after="100"/>
              <w:ind w:left="57"/>
              <w:jc w:val="left"/>
              <w:rPr>
                <w:b/>
                <w:bCs/>
                <w:sz w:val="20"/>
                <w:lang w:val="en-US"/>
              </w:rPr>
            </w:pPr>
            <w:r w:rsidRPr="00036EE3">
              <w:rPr>
                <w:b/>
                <w:bCs/>
                <w:sz w:val="20"/>
                <w:lang w:val="en-US"/>
              </w:rPr>
              <w:t>Series</w:t>
            </w:r>
          </w:p>
        </w:tc>
        <w:tc>
          <w:tcPr>
            <w:tcW w:w="8220" w:type="dxa"/>
            <w:tcBorders>
              <w:bottom w:val="nil"/>
            </w:tcBorders>
            <w:vAlign w:val="bottom"/>
          </w:tcPr>
          <w:p w14:paraId="1F21E46F" w14:textId="77777777" w:rsidR="0069322D" w:rsidRPr="00036EE3" w:rsidRDefault="0069322D" w:rsidP="00B96572">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120" w:after="100"/>
              <w:rPr>
                <w:bCs/>
                <w:sz w:val="20"/>
                <w:lang w:val="en-US"/>
              </w:rPr>
            </w:pPr>
            <w:r>
              <w:rPr>
                <w:bCs/>
                <w:sz w:val="20"/>
                <w:lang w:val="en-US"/>
              </w:rPr>
              <w:t>Título</w:t>
            </w:r>
          </w:p>
        </w:tc>
      </w:tr>
      <w:tr w:rsidR="0069322D" w:rsidRPr="004532F7" w14:paraId="06CBA0BD" w14:textId="77777777" w:rsidTr="0069322D">
        <w:tc>
          <w:tcPr>
            <w:tcW w:w="1140" w:type="dxa"/>
            <w:tcBorders>
              <w:top w:val="nil"/>
              <w:bottom w:val="nil"/>
            </w:tcBorders>
            <w:shd w:val="clear" w:color="auto" w:fill="auto"/>
          </w:tcPr>
          <w:p w14:paraId="677D544D" w14:textId="77777777" w:rsidR="0069322D" w:rsidRPr="004532F7" w:rsidRDefault="0069322D" w:rsidP="000B4BD9">
            <w:pPr>
              <w:spacing w:before="30" w:after="30"/>
              <w:ind w:left="57"/>
              <w:jc w:val="left"/>
              <w:rPr>
                <w:b/>
                <w:bCs/>
                <w:sz w:val="20"/>
                <w:lang w:val="en-US"/>
              </w:rPr>
            </w:pPr>
            <w:r w:rsidRPr="004532F7">
              <w:rPr>
                <w:b/>
                <w:bCs/>
                <w:sz w:val="20"/>
                <w:lang w:val="en-US"/>
              </w:rPr>
              <w:t>BO</w:t>
            </w:r>
          </w:p>
        </w:tc>
        <w:tc>
          <w:tcPr>
            <w:tcW w:w="8220" w:type="dxa"/>
            <w:tcBorders>
              <w:top w:val="nil"/>
              <w:bottom w:val="nil"/>
            </w:tcBorders>
            <w:shd w:val="clear" w:color="auto" w:fill="auto"/>
          </w:tcPr>
          <w:p w14:paraId="4E17EC28" w14:textId="77777777" w:rsidR="0069322D" w:rsidRPr="004532F7" w:rsidRDefault="0069322D" w:rsidP="000B4BD9">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n-US"/>
              </w:rPr>
            </w:pPr>
            <w:r w:rsidRPr="004532F7">
              <w:rPr>
                <w:b w:val="0"/>
                <w:sz w:val="20"/>
              </w:rPr>
              <w:t>Distribución por satélite</w:t>
            </w:r>
          </w:p>
        </w:tc>
      </w:tr>
      <w:tr w:rsidR="0069322D" w:rsidRPr="0041045F" w14:paraId="628E0AE9" w14:textId="77777777" w:rsidTr="0069322D">
        <w:tc>
          <w:tcPr>
            <w:tcW w:w="1140" w:type="dxa"/>
            <w:tcBorders>
              <w:top w:val="nil"/>
              <w:bottom w:val="nil"/>
            </w:tcBorders>
            <w:shd w:val="clear" w:color="auto" w:fill="auto"/>
          </w:tcPr>
          <w:p w14:paraId="4CE21CD8" w14:textId="77777777" w:rsidR="0069322D" w:rsidRPr="006B22C3" w:rsidRDefault="0069322D" w:rsidP="000B4BD9">
            <w:pPr>
              <w:spacing w:before="30" w:after="30"/>
              <w:ind w:left="57"/>
              <w:jc w:val="left"/>
              <w:rPr>
                <w:b/>
                <w:bCs/>
                <w:sz w:val="20"/>
                <w:lang w:val="en-US"/>
              </w:rPr>
            </w:pPr>
            <w:r w:rsidRPr="006B22C3">
              <w:rPr>
                <w:b/>
                <w:bCs/>
                <w:sz w:val="20"/>
                <w:lang w:val="en-US"/>
              </w:rPr>
              <w:t>BR</w:t>
            </w:r>
          </w:p>
        </w:tc>
        <w:tc>
          <w:tcPr>
            <w:tcW w:w="8220" w:type="dxa"/>
            <w:tcBorders>
              <w:top w:val="nil"/>
              <w:bottom w:val="nil"/>
            </w:tcBorders>
            <w:shd w:val="clear" w:color="auto" w:fill="auto"/>
          </w:tcPr>
          <w:p w14:paraId="19796E6D" w14:textId="77777777" w:rsidR="0069322D" w:rsidRPr="006B22C3" w:rsidRDefault="0069322D" w:rsidP="000B4BD9">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s-ES_tradnl"/>
              </w:rPr>
            </w:pPr>
            <w:r w:rsidRPr="006B22C3">
              <w:rPr>
                <w:b w:val="0"/>
                <w:sz w:val="20"/>
                <w:lang w:val="es-ES_tradnl"/>
              </w:rPr>
              <w:t>Registro para producción, archivo y reproducción; películas en televisión</w:t>
            </w:r>
          </w:p>
        </w:tc>
      </w:tr>
      <w:tr w:rsidR="0069322D" w:rsidRPr="00847DD5" w14:paraId="5BFC8F15" w14:textId="77777777" w:rsidTr="0069322D">
        <w:tc>
          <w:tcPr>
            <w:tcW w:w="1140" w:type="dxa"/>
            <w:tcBorders>
              <w:top w:val="nil"/>
              <w:bottom w:val="nil"/>
            </w:tcBorders>
            <w:shd w:val="clear" w:color="auto" w:fill="auto"/>
          </w:tcPr>
          <w:p w14:paraId="7E457923" w14:textId="77777777" w:rsidR="0069322D" w:rsidRPr="00847DD5" w:rsidRDefault="0069322D" w:rsidP="000B4BD9">
            <w:pPr>
              <w:spacing w:before="30" w:after="30"/>
              <w:ind w:left="57"/>
              <w:jc w:val="left"/>
              <w:rPr>
                <w:b/>
                <w:bCs/>
                <w:sz w:val="20"/>
                <w:lang w:val="en-US"/>
              </w:rPr>
            </w:pPr>
            <w:r w:rsidRPr="00847DD5">
              <w:rPr>
                <w:b/>
                <w:bCs/>
                <w:sz w:val="20"/>
                <w:lang w:val="en-US"/>
              </w:rPr>
              <w:t>BS</w:t>
            </w:r>
          </w:p>
        </w:tc>
        <w:tc>
          <w:tcPr>
            <w:tcW w:w="8220" w:type="dxa"/>
            <w:tcBorders>
              <w:top w:val="nil"/>
              <w:bottom w:val="nil"/>
            </w:tcBorders>
            <w:shd w:val="clear" w:color="auto" w:fill="auto"/>
          </w:tcPr>
          <w:p w14:paraId="4A453484" w14:textId="77777777" w:rsidR="0069322D" w:rsidRPr="00847DD5" w:rsidRDefault="0069322D" w:rsidP="000B4BD9">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n-US"/>
              </w:rPr>
            </w:pPr>
            <w:r w:rsidRPr="00021E8A">
              <w:rPr>
                <w:b w:val="0"/>
                <w:bCs/>
                <w:sz w:val="20"/>
              </w:rPr>
              <w:t xml:space="preserve">Servicio de radiodifusión </w:t>
            </w:r>
            <w:r>
              <w:rPr>
                <w:b w:val="0"/>
                <w:bCs/>
                <w:sz w:val="20"/>
              </w:rPr>
              <w:t>(</w:t>
            </w:r>
            <w:r w:rsidRPr="00021E8A">
              <w:rPr>
                <w:b w:val="0"/>
                <w:bCs/>
                <w:sz w:val="20"/>
              </w:rPr>
              <w:t>sonora</w:t>
            </w:r>
            <w:r>
              <w:rPr>
                <w:b w:val="0"/>
                <w:bCs/>
                <w:sz w:val="20"/>
              </w:rPr>
              <w:t>)</w:t>
            </w:r>
          </w:p>
        </w:tc>
      </w:tr>
      <w:tr w:rsidR="0069322D" w:rsidRPr="00ED2695" w14:paraId="4DEA49B6" w14:textId="77777777" w:rsidTr="008B56B2">
        <w:tc>
          <w:tcPr>
            <w:tcW w:w="1140" w:type="dxa"/>
            <w:tcBorders>
              <w:top w:val="nil"/>
              <w:bottom w:val="nil"/>
            </w:tcBorders>
            <w:shd w:val="clear" w:color="auto" w:fill="auto"/>
          </w:tcPr>
          <w:p w14:paraId="0309FE63" w14:textId="77777777" w:rsidR="0069322D" w:rsidRPr="00ED2695" w:rsidRDefault="0069322D" w:rsidP="000B4BD9">
            <w:pPr>
              <w:spacing w:before="30" w:after="30"/>
              <w:ind w:left="57"/>
              <w:jc w:val="left"/>
              <w:rPr>
                <w:b/>
                <w:bCs/>
                <w:sz w:val="20"/>
                <w:lang w:val="en-US"/>
              </w:rPr>
            </w:pPr>
            <w:r w:rsidRPr="00ED2695">
              <w:rPr>
                <w:b/>
                <w:bCs/>
                <w:sz w:val="20"/>
                <w:lang w:val="en-US"/>
              </w:rPr>
              <w:t>BT</w:t>
            </w:r>
          </w:p>
        </w:tc>
        <w:tc>
          <w:tcPr>
            <w:tcW w:w="8220" w:type="dxa"/>
            <w:tcBorders>
              <w:top w:val="nil"/>
              <w:bottom w:val="nil"/>
            </w:tcBorders>
            <w:shd w:val="clear" w:color="auto" w:fill="auto"/>
          </w:tcPr>
          <w:p w14:paraId="3170C2B4" w14:textId="77777777" w:rsidR="0069322D" w:rsidRPr="00021E8A" w:rsidRDefault="0069322D" w:rsidP="000B4BD9">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bCs/>
                <w:sz w:val="20"/>
                <w:lang w:val="en-US"/>
              </w:rPr>
            </w:pPr>
            <w:r w:rsidRPr="00021E8A">
              <w:rPr>
                <w:b w:val="0"/>
                <w:bCs/>
                <w:sz w:val="20"/>
              </w:rPr>
              <w:t>Servicio de radiodifusión (televisión)</w:t>
            </w:r>
          </w:p>
        </w:tc>
      </w:tr>
      <w:tr w:rsidR="008B56B2" w:rsidRPr="008B56B2" w14:paraId="772618A7" w14:textId="77777777" w:rsidTr="008B56B2">
        <w:tc>
          <w:tcPr>
            <w:tcW w:w="1140" w:type="dxa"/>
            <w:tcBorders>
              <w:top w:val="nil"/>
              <w:bottom w:val="nil"/>
            </w:tcBorders>
            <w:shd w:val="clear" w:color="auto" w:fill="FFFFFF" w:themeFill="background1"/>
          </w:tcPr>
          <w:p w14:paraId="301A9F30" w14:textId="77777777" w:rsidR="0069322D" w:rsidRPr="008B56B2" w:rsidRDefault="0069322D" w:rsidP="000B4BD9">
            <w:pPr>
              <w:spacing w:before="30" w:after="30"/>
              <w:ind w:left="57"/>
              <w:jc w:val="left"/>
              <w:rPr>
                <w:b/>
                <w:bCs/>
                <w:sz w:val="20"/>
                <w:lang w:val="fr-CH"/>
              </w:rPr>
            </w:pPr>
            <w:r w:rsidRPr="008B56B2">
              <w:rPr>
                <w:b/>
                <w:bCs/>
                <w:sz w:val="20"/>
                <w:lang w:val="fr-CH"/>
              </w:rPr>
              <w:t>F</w:t>
            </w:r>
          </w:p>
        </w:tc>
        <w:tc>
          <w:tcPr>
            <w:tcW w:w="8220" w:type="dxa"/>
            <w:tcBorders>
              <w:top w:val="nil"/>
              <w:bottom w:val="nil"/>
            </w:tcBorders>
            <w:shd w:val="clear" w:color="auto" w:fill="FFFFFF" w:themeFill="background1"/>
          </w:tcPr>
          <w:p w14:paraId="0859C6A3" w14:textId="77777777" w:rsidR="0069322D" w:rsidRPr="008B56B2" w:rsidRDefault="0069322D" w:rsidP="000B4BD9">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fr-CH"/>
              </w:rPr>
            </w:pPr>
            <w:r w:rsidRPr="008B56B2">
              <w:rPr>
                <w:sz w:val="20"/>
              </w:rPr>
              <w:t>Servicio fijo</w:t>
            </w:r>
          </w:p>
        </w:tc>
      </w:tr>
      <w:tr w:rsidR="0069322D" w:rsidRPr="0041045F" w14:paraId="03F157E6" w14:textId="77777777" w:rsidTr="001E0EB7">
        <w:tc>
          <w:tcPr>
            <w:tcW w:w="1140" w:type="dxa"/>
            <w:tcBorders>
              <w:top w:val="nil"/>
              <w:bottom w:val="nil"/>
            </w:tcBorders>
            <w:shd w:val="clear" w:color="auto" w:fill="auto"/>
          </w:tcPr>
          <w:p w14:paraId="0B8CBCC7" w14:textId="77777777" w:rsidR="0069322D" w:rsidRPr="0010336F" w:rsidRDefault="0069322D" w:rsidP="000B4BD9">
            <w:pPr>
              <w:spacing w:before="30" w:after="30"/>
              <w:ind w:left="57"/>
              <w:jc w:val="left"/>
              <w:rPr>
                <w:rFonts w:hAnsi="Times New Roman Bold"/>
                <w:b/>
                <w:bCs/>
                <w:sz w:val="20"/>
                <w:lang w:val="en-US"/>
              </w:rPr>
            </w:pPr>
            <w:r w:rsidRPr="0010336F">
              <w:rPr>
                <w:rFonts w:hAnsi="Times New Roman Bold"/>
                <w:b/>
                <w:bCs/>
                <w:sz w:val="20"/>
                <w:lang w:val="en-US"/>
              </w:rPr>
              <w:t>M</w:t>
            </w:r>
          </w:p>
        </w:tc>
        <w:tc>
          <w:tcPr>
            <w:tcW w:w="8220" w:type="dxa"/>
            <w:tcBorders>
              <w:top w:val="nil"/>
              <w:bottom w:val="nil"/>
            </w:tcBorders>
            <w:shd w:val="clear" w:color="auto" w:fill="auto"/>
          </w:tcPr>
          <w:p w14:paraId="3132C661" w14:textId="77777777" w:rsidR="0069322D" w:rsidRPr="0010336F" w:rsidRDefault="0069322D" w:rsidP="000B4BD9">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rFonts w:hAnsi="Times New Roman Bold"/>
                <w:b w:val="0"/>
                <w:sz w:val="20"/>
                <w:lang w:val="es-ES_tradnl"/>
              </w:rPr>
            </w:pPr>
            <w:r w:rsidRPr="0010336F">
              <w:rPr>
                <w:rFonts w:hAnsi="Times New Roman Bold"/>
                <w:b w:val="0"/>
                <w:sz w:val="20"/>
                <w:lang w:val="es-ES_tradnl"/>
              </w:rPr>
              <w:t>Servicios m</w:t>
            </w:r>
            <w:r w:rsidRPr="0010336F">
              <w:rPr>
                <w:rFonts w:hAnsi="Times New Roman Bold"/>
                <w:b w:val="0"/>
                <w:sz w:val="20"/>
                <w:lang w:val="es-ES_tradnl"/>
              </w:rPr>
              <w:t>ó</w:t>
            </w:r>
            <w:r w:rsidRPr="0010336F">
              <w:rPr>
                <w:rFonts w:hAnsi="Times New Roman Bold"/>
                <w:b w:val="0"/>
                <w:sz w:val="20"/>
                <w:lang w:val="es-ES_tradnl"/>
              </w:rPr>
              <w:t>viles, de radiodeterminaci</w:t>
            </w:r>
            <w:r w:rsidRPr="0010336F">
              <w:rPr>
                <w:rFonts w:hAnsi="Times New Roman Bold"/>
                <w:b w:val="0"/>
                <w:sz w:val="20"/>
                <w:lang w:val="es-ES_tradnl"/>
              </w:rPr>
              <w:t>ó</w:t>
            </w:r>
            <w:r w:rsidRPr="0010336F">
              <w:rPr>
                <w:rFonts w:hAnsi="Times New Roman Bold"/>
                <w:b w:val="0"/>
                <w:sz w:val="20"/>
                <w:lang w:val="es-ES_tradnl"/>
              </w:rPr>
              <w:t>n, de aficionados y otros servicios por sat</w:t>
            </w:r>
            <w:r w:rsidRPr="0010336F">
              <w:rPr>
                <w:rFonts w:hAnsi="Times New Roman Bold"/>
                <w:b w:val="0"/>
                <w:sz w:val="20"/>
                <w:lang w:val="es-ES_tradnl"/>
              </w:rPr>
              <w:t>é</w:t>
            </w:r>
            <w:r w:rsidRPr="0010336F">
              <w:rPr>
                <w:rFonts w:hAnsi="Times New Roman Bold"/>
                <w:b w:val="0"/>
                <w:sz w:val="20"/>
                <w:lang w:val="es-ES_tradnl"/>
              </w:rPr>
              <w:t>lite conexos</w:t>
            </w:r>
          </w:p>
        </w:tc>
      </w:tr>
      <w:tr w:rsidR="0069322D" w:rsidRPr="0041045F" w14:paraId="60D7F371" w14:textId="77777777" w:rsidTr="001E0EB7">
        <w:tc>
          <w:tcPr>
            <w:tcW w:w="1140" w:type="dxa"/>
            <w:tcBorders>
              <w:top w:val="nil"/>
              <w:bottom w:val="nil"/>
            </w:tcBorders>
            <w:shd w:val="clear" w:color="auto" w:fill="F2F2F2" w:themeFill="background1" w:themeFillShade="F2"/>
          </w:tcPr>
          <w:p w14:paraId="5CC5D22B" w14:textId="77777777" w:rsidR="0069322D" w:rsidRPr="001E0EB7" w:rsidRDefault="0069322D" w:rsidP="000B4BD9">
            <w:pPr>
              <w:spacing w:before="30" w:after="30"/>
              <w:ind w:left="57"/>
              <w:jc w:val="left"/>
              <w:rPr>
                <w:b/>
                <w:bCs/>
                <w:color w:val="000080"/>
                <w:sz w:val="20"/>
                <w:lang w:val="fr-CH"/>
              </w:rPr>
            </w:pPr>
            <w:r w:rsidRPr="001E0EB7">
              <w:rPr>
                <w:b/>
                <w:bCs/>
                <w:color w:val="000080"/>
                <w:sz w:val="20"/>
                <w:lang w:val="fr-CH"/>
              </w:rPr>
              <w:t>P</w:t>
            </w:r>
          </w:p>
        </w:tc>
        <w:tc>
          <w:tcPr>
            <w:tcW w:w="8220" w:type="dxa"/>
            <w:tcBorders>
              <w:top w:val="nil"/>
              <w:bottom w:val="nil"/>
            </w:tcBorders>
            <w:shd w:val="clear" w:color="auto" w:fill="F2F2F2" w:themeFill="background1" w:themeFillShade="F2"/>
          </w:tcPr>
          <w:p w14:paraId="2C1C9DA1" w14:textId="77777777" w:rsidR="0069322D" w:rsidRPr="001E0EB7" w:rsidRDefault="0069322D" w:rsidP="000B4BD9">
            <w:pPr>
              <w:spacing w:before="30" w:after="30"/>
              <w:jc w:val="left"/>
              <w:rPr>
                <w:b/>
                <w:bCs/>
                <w:color w:val="000080"/>
                <w:sz w:val="20"/>
                <w:lang w:val="es-ES_tradnl"/>
              </w:rPr>
            </w:pPr>
            <w:r w:rsidRPr="001E0EB7">
              <w:rPr>
                <w:b/>
                <w:bCs/>
                <w:color w:val="000080"/>
                <w:sz w:val="20"/>
                <w:lang w:val="es-ES_tradnl"/>
              </w:rPr>
              <w:t>Propagación de las ondas radioeléctricas</w:t>
            </w:r>
          </w:p>
        </w:tc>
      </w:tr>
      <w:tr w:rsidR="0069322D" w:rsidRPr="00DE71F7" w14:paraId="70088140" w14:textId="77777777" w:rsidTr="0069322D">
        <w:tc>
          <w:tcPr>
            <w:tcW w:w="1140" w:type="dxa"/>
            <w:tcBorders>
              <w:top w:val="nil"/>
              <w:bottom w:val="nil"/>
            </w:tcBorders>
            <w:shd w:val="clear" w:color="auto" w:fill="auto"/>
          </w:tcPr>
          <w:p w14:paraId="57A31A9A" w14:textId="77777777" w:rsidR="0069322D" w:rsidRPr="00DE71F7" w:rsidRDefault="0069322D" w:rsidP="000B4BD9">
            <w:pPr>
              <w:spacing w:before="30" w:after="30"/>
              <w:ind w:left="57"/>
              <w:jc w:val="left"/>
              <w:rPr>
                <w:b/>
                <w:bCs/>
                <w:sz w:val="20"/>
                <w:lang w:val="en-US"/>
              </w:rPr>
            </w:pPr>
            <w:r w:rsidRPr="00DE71F7">
              <w:rPr>
                <w:b/>
                <w:bCs/>
                <w:sz w:val="20"/>
                <w:lang w:val="en-US"/>
              </w:rPr>
              <w:t>RA</w:t>
            </w:r>
          </w:p>
        </w:tc>
        <w:tc>
          <w:tcPr>
            <w:tcW w:w="8220" w:type="dxa"/>
            <w:tcBorders>
              <w:top w:val="nil"/>
              <w:bottom w:val="nil"/>
            </w:tcBorders>
            <w:shd w:val="clear" w:color="auto" w:fill="auto"/>
          </w:tcPr>
          <w:p w14:paraId="27407D02" w14:textId="77777777" w:rsidR="0069322D" w:rsidRPr="00DE71F7" w:rsidRDefault="0069322D" w:rsidP="000B4BD9">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en-US"/>
              </w:rPr>
            </w:pPr>
            <w:r w:rsidRPr="00DE71F7">
              <w:rPr>
                <w:sz w:val="20"/>
              </w:rPr>
              <w:t>Radioastronomía</w:t>
            </w:r>
          </w:p>
        </w:tc>
      </w:tr>
      <w:tr w:rsidR="0069322D" w:rsidRPr="0041045F" w14:paraId="61175A93" w14:textId="77777777" w:rsidTr="0069322D">
        <w:tc>
          <w:tcPr>
            <w:tcW w:w="1140" w:type="dxa"/>
            <w:tcBorders>
              <w:top w:val="nil"/>
              <w:bottom w:val="nil"/>
            </w:tcBorders>
            <w:shd w:val="clear" w:color="auto" w:fill="auto"/>
          </w:tcPr>
          <w:p w14:paraId="1153780D" w14:textId="77777777" w:rsidR="0069322D" w:rsidRPr="00D12388" w:rsidRDefault="0069322D" w:rsidP="000B4BD9">
            <w:pPr>
              <w:spacing w:before="30" w:after="30"/>
              <w:ind w:left="57"/>
              <w:jc w:val="left"/>
              <w:rPr>
                <w:b/>
                <w:bCs/>
                <w:sz w:val="20"/>
                <w:lang w:val="en-US"/>
              </w:rPr>
            </w:pPr>
            <w:r w:rsidRPr="00D12388">
              <w:rPr>
                <w:b/>
                <w:bCs/>
                <w:sz w:val="20"/>
                <w:lang w:val="en-US"/>
              </w:rPr>
              <w:t>RS</w:t>
            </w:r>
          </w:p>
        </w:tc>
        <w:tc>
          <w:tcPr>
            <w:tcW w:w="8220" w:type="dxa"/>
            <w:tcBorders>
              <w:top w:val="nil"/>
              <w:bottom w:val="nil"/>
            </w:tcBorders>
            <w:shd w:val="clear" w:color="auto" w:fill="auto"/>
          </w:tcPr>
          <w:p w14:paraId="4A3151AE" w14:textId="77777777" w:rsidR="0069322D" w:rsidRPr="00D12388" w:rsidRDefault="0069322D" w:rsidP="000B4BD9">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es-ES_tradnl"/>
              </w:rPr>
            </w:pPr>
            <w:r w:rsidRPr="00D12388">
              <w:rPr>
                <w:sz w:val="20"/>
                <w:lang w:val="es-ES_tradnl"/>
              </w:rPr>
              <w:t>Sistemas de detección a distancia</w:t>
            </w:r>
          </w:p>
        </w:tc>
      </w:tr>
      <w:tr w:rsidR="0069322D" w:rsidRPr="00025336" w14:paraId="65C95745" w14:textId="77777777" w:rsidTr="001E0EB7">
        <w:tc>
          <w:tcPr>
            <w:tcW w:w="1140" w:type="dxa"/>
            <w:tcBorders>
              <w:top w:val="nil"/>
              <w:bottom w:val="nil"/>
            </w:tcBorders>
            <w:shd w:val="clear" w:color="auto" w:fill="auto"/>
          </w:tcPr>
          <w:p w14:paraId="57FA957D" w14:textId="77777777" w:rsidR="0069322D" w:rsidRPr="00025336" w:rsidRDefault="0069322D" w:rsidP="000B4BD9">
            <w:pPr>
              <w:spacing w:before="30" w:after="30"/>
              <w:ind w:left="57"/>
              <w:jc w:val="left"/>
              <w:rPr>
                <w:b/>
                <w:bCs/>
                <w:sz w:val="20"/>
                <w:lang w:val="en-US"/>
              </w:rPr>
            </w:pPr>
            <w:r w:rsidRPr="00025336">
              <w:rPr>
                <w:b/>
                <w:bCs/>
                <w:sz w:val="20"/>
                <w:lang w:val="en-US"/>
              </w:rPr>
              <w:t>S</w:t>
            </w:r>
          </w:p>
        </w:tc>
        <w:tc>
          <w:tcPr>
            <w:tcW w:w="8220" w:type="dxa"/>
            <w:tcBorders>
              <w:top w:val="nil"/>
              <w:bottom w:val="nil"/>
            </w:tcBorders>
            <w:shd w:val="clear" w:color="auto" w:fill="auto"/>
          </w:tcPr>
          <w:p w14:paraId="4345BF51" w14:textId="77777777" w:rsidR="0069322D" w:rsidRPr="00025336" w:rsidRDefault="0069322D" w:rsidP="000B4BD9">
            <w:pPr>
              <w:spacing w:before="30" w:after="30"/>
              <w:jc w:val="left"/>
              <w:rPr>
                <w:sz w:val="20"/>
                <w:lang w:val="en-US"/>
              </w:rPr>
            </w:pPr>
            <w:r w:rsidRPr="00025336">
              <w:rPr>
                <w:sz w:val="20"/>
              </w:rPr>
              <w:t>Servicio fijo por satélite</w:t>
            </w:r>
          </w:p>
        </w:tc>
      </w:tr>
      <w:tr w:rsidR="001E0EB7" w:rsidRPr="001E0EB7" w14:paraId="2297A4AC" w14:textId="77777777" w:rsidTr="001E0EB7">
        <w:tc>
          <w:tcPr>
            <w:tcW w:w="1140" w:type="dxa"/>
            <w:tcBorders>
              <w:top w:val="nil"/>
              <w:bottom w:val="nil"/>
            </w:tcBorders>
            <w:shd w:val="clear" w:color="auto" w:fill="FFFFFF" w:themeFill="background1"/>
          </w:tcPr>
          <w:p w14:paraId="7825F1E4" w14:textId="77777777" w:rsidR="0069322D" w:rsidRPr="001E0EB7" w:rsidRDefault="0069322D" w:rsidP="000B4BD9">
            <w:pPr>
              <w:spacing w:before="30" w:after="30"/>
              <w:ind w:left="57"/>
              <w:jc w:val="left"/>
              <w:rPr>
                <w:b/>
                <w:bCs/>
                <w:color w:val="000000" w:themeColor="text1"/>
                <w:sz w:val="20"/>
                <w:lang w:val="en-US"/>
              </w:rPr>
            </w:pPr>
            <w:r w:rsidRPr="001E0EB7">
              <w:rPr>
                <w:b/>
                <w:bCs/>
                <w:color w:val="000000" w:themeColor="text1"/>
                <w:sz w:val="20"/>
                <w:lang w:val="en-US"/>
              </w:rPr>
              <w:t>SA</w:t>
            </w:r>
          </w:p>
        </w:tc>
        <w:tc>
          <w:tcPr>
            <w:tcW w:w="8220" w:type="dxa"/>
            <w:tcBorders>
              <w:top w:val="nil"/>
              <w:bottom w:val="nil"/>
            </w:tcBorders>
            <w:shd w:val="clear" w:color="auto" w:fill="FFFFFF" w:themeFill="background1"/>
          </w:tcPr>
          <w:p w14:paraId="62BDB362" w14:textId="77777777" w:rsidR="0069322D" w:rsidRPr="001E0EB7" w:rsidRDefault="0069322D" w:rsidP="000B4BD9">
            <w:pPr>
              <w:spacing w:before="30" w:after="30"/>
              <w:jc w:val="left"/>
              <w:rPr>
                <w:color w:val="000000" w:themeColor="text1"/>
                <w:sz w:val="20"/>
                <w:lang w:val="en-US"/>
              </w:rPr>
            </w:pPr>
            <w:r w:rsidRPr="001E0EB7">
              <w:rPr>
                <w:color w:val="000000" w:themeColor="text1"/>
                <w:sz w:val="20"/>
              </w:rPr>
              <w:t>Aplicaciones espaciales y meteorología</w:t>
            </w:r>
          </w:p>
        </w:tc>
      </w:tr>
      <w:tr w:rsidR="0069322D" w:rsidRPr="0041045F" w14:paraId="3F9AEC8E" w14:textId="77777777" w:rsidTr="0069322D">
        <w:tc>
          <w:tcPr>
            <w:tcW w:w="1140" w:type="dxa"/>
            <w:tcBorders>
              <w:top w:val="nil"/>
            </w:tcBorders>
          </w:tcPr>
          <w:p w14:paraId="2E952DCE" w14:textId="77777777" w:rsidR="0069322D" w:rsidRPr="00036EE3" w:rsidRDefault="0069322D" w:rsidP="000B4BD9">
            <w:pPr>
              <w:spacing w:before="30" w:after="30"/>
              <w:ind w:left="57"/>
              <w:jc w:val="left"/>
              <w:rPr>
                <w:b/>
                <w:bCs/>
                <w:sz w:val="20"/>
                <w:lang w:val="en-US"/>
              </w:rPr>
            </w:pPr>
            <w:r w:rsidRPr="00036EE3">
              <w:rPr>
                <w:b/>
                <w:bCs/>
                <w:sz w:val="20"/>
                <w:lang w:val="en-US"/>
              </w:rPr>
              <w:t>SF</w:t>
            </w:r>
          </w:p>
        </w:tc>
        <w:tc>
          <w:tcPr>
            <w:tcW w:w="8220" w:type="dxa"/>
            <w:tcBorders>
              <w:top w:val="nil"/>
            </w:tcBorders>
          </w:tcPr>
          <w:p w14:paraId="2C0B1114" w14:textId="77777777" w:rsidR="0069322D" w:rsidRPr="00021E8A" w:rsidRDefault="0069322D" w:rsidP="000B4BD9">
            <w:pPr>
              <w:spacing w:before="30" w:after="30"/>
              <w:jc w:val="left"/>
              <w:rPr>
                <w:bCs/>
                <w:sz w:val="20"/>
                <w:lang w:val="es-ES_tradnl"/>
              </w:rPr>
            </w:pPr>
            <w:r w:rsidRPr="00021E8A">
              <w:rPr>
                <w:bCs/>
                <w:sz w:val="20"/>
                <w:lang w:val="es-ES_tradnl"/>
              </w:rPr>
              <w:t>Compartición de frecuencias y coordinación entre los sistemas del servicio fijo por satélite y del servicio fijo</w:t>
            </w:r>
          </w:p>
        </w:tc>
      </w:tr>
      <w:tr w:rsidR="0069322D" w:rsidRPr="00036EE3" w14:paraId="18939CFD" w14:textId="77777777" w:rsidTr="0069322D">
        <w:tc>
          <w:tcPr>
            <w:tcW w:w="1140" w:type="dxa"/>
            <w:shd w:val="clear" w:color="auto" w:fill="auto"/>
          </w:tcPr>
          <w:p w14:paraId="3571D795" w14:textId="77777777" w:rsidR="0069322D" w:rsidRPr="001240BC" w:rsidRDefault="0069322D" w:rsidP="000B4BD9">
            <w:pPr>
              <w:spacing w:before="30" w:after="30"/>
              <w:ind w:left="57"/>
              <w:jc w:val="left"/>
              <w:rPr>
                <w:b/>
                <w:bCs/>
                <w:sz w:val="20"/>
                <w:lang w:val="en-US"/>
              </w:rPr>
            </w:pPr>
            <w:r w:rsidRPr="001240BC">
              <w:rPr>
                <w:b/>
                <w:bCs/>
                <w:sz w:val="20"/>
                <w:lang w:val="en-US"/>
              </w:rPr>
              <w:t>SM</w:t>
            </w:r>
          </w:p>
        </w:tc>
        <w:tc>
          <w:tcPr>
            <w:tcW w:w="8220" w:type="dxa"/>
            <w:shd w:val="clear" w:color="auto" w:fill="auto"/>
          </w:tcPr>
          <w:p w14:paraId="6B683A5B" w14:textId="77777777" w:rsidR="0069322D" w:rsidRPr="001240BC" w:rsidRDefault="0069322D" w:rsidP="000B4BD9">
            <w:pPr>
              <w:spacing w:before="30" w:after="30"/>
              <w:jc w:val="left"/>
              <w:rPr>
                <w:sz w:val="20"/>
                <w:lang w:val="en-US"/>
              </w:rPr>
            </w:pPr>
            <w:r w:rsidRPr="001240BC">
              <w:rPr>
                <w:sz w:val="20"/>
              </w:rPr>
              <w:t>Gestión del espectro</w:t>
            </w:r>
          </w:p>
        </w:tc>
      </w:tr>
      <w:tr w:rsidR="0069322D" w:rsidRPr="00036EE3" w14:paraId="02960642" w14:textId="77777777" w:rsidTr="0069322D">
        <w:tc>
          <w:tcPr>
            <w:tcW w:w="1140" w:type="dxa"/>
          </w:tcPr>
          <w:p w14:paraId="71FA46FC" w14:textId="77777777" w:rsidR="0069322D" w:rsidRPr="00036EE3" w:rsidRDefault="0069322D" w:rsidP="000B4BD9">
            <w:pPr>
              <w:spacing w:before="30" w:after="30"/>
              <w:ind w:left="57"/>
              <w:jc w:val="left"/>
              <w:rPr>
                <w:b/>
                <w:bCs/>
                <w:sz w:val="20"/>
                <w:lang w:val="en-US"/>
              </w:rPr>
            </w:pPr>
            <w:r w:rsidRPr="00036EE3">
              <w:rPr>
                <w:b/>
                <w:bCs/>
                <w:sz w:val="20"/>
                <w:lang w:val="en-US"/>
              </w:rPr>
              <w:t>SNG</w:t>
            </w:r>
          </w:p>
        </w:tc>
        <w:tc>
          <w:tcPr>
            <w:tcW w:w="8220" w:type="dxa"/>
          </w:tcPr>
          <w:p w14:paraId="298230C7" w14:textId="77777777" w:rsidR="0069322D" w:rsidRPr="00021E8A" w:rsidRDefault="0069322D" w:rsidP="000B4BD9">
            <w:pPr>
              <w:spacing w:before="30" w:after="30"/>
              <w:jc w:val="left"/>
              <w:rPr>
                <w:bCs/>
                <w:sz w:val="20"/>
                <w:lang w:val="en-US"/>
              </w:rPr>
            </w:pPr>
            <w:r w:rsidRPr="00021E8A">
              <w:rPr>
                <w:bCs/>
                <w:sz w:val="20"/>
              </w:rPr>
              <w:t>Periodismo electrónico por satélite</w:t>
            </w:r>
          </w:p>
        </w:tc>
      </w:tr>
      <w:tr w:rsidR="0069322D" w:rsidRPr="0041045F" w14:paraId="2E10F410" w14:textId="77777777" w:rsidTr="0069322D">
        <w:tc>
          <w:tcPr>
            <w:tcW w:w="1140" w:type="dxa"/>
          </w:tcPr>
          <w:p w14:paraId="507ABBC9" w14:textId="77777777" w:rsidR="0069322D" w:rsidRPr="00036EE3" w:rsidRDefault="0069322D" w:rsidP="000B4BD9">
            <w:pPr>
              <w:spacing w:before="30" w:after="30"/>
              <w:ind w:left="57"/>
              <w:jc w:val="left"/>
              <w:rPr>
                <w:b/>
                <w:bCs/>
                <w:sz w:val="20"/>
                <w:lang w:val="en-US"/>
              </w:rPr>
            </w:pPr>
            <w:r w:rsidRPr="00036EE3">
              <w:rPr>
                <w:b/>
                <w:bCs/>
                <w:sz w:val="20"/>
                <w:lang w:val="en-US"/>
              </w:rPr>
              <w:t>TF</w:t>
            </w:r>
          </w:p>
        </w:tc>
        <w:tc>
          <w:tcPr>
            <w:tcW w:w="8220" w:type="dxa"/>
          </w:tcPr>
          <w:p w14:paraId="0F82F580" w14:textId="77777777" w:rsidR="0069322D" w:rsidRPr="00021E8A" w:rsidRDefault="0069322D" w:rsidP="000B4BD9">
            <w:pPr>
              <w:spacing w:before="30" w:after="30"/>
              <w:jc w:val="left"/>
              <w:rPr>
                <w:bCs/>
                <w:sz w:val="20"/>
                <w:lang w:val="es-ES_tradnl"/>
              </w:rPr>
            </w:pPr>
            <w:r w:rsidRPr="00021E8A">
              <w:rPr>
                <w:bCs/>
                <w:sz w:val="20"/>
                <w:lang w:val="es-ES_tradnl"/>
              </w:rPr>
              <w:t>Emisiones de frecuencias patrón y señales horarias</w:t>
            </w:r>
          </w:p>
        </w:tc>
      </w:tr>
      <w:tr w:rsidR="0069322D" w:rsidRPr="00036EE3" w14:paraId="29DA68B7" w14:textId="77777777" w:rsidTr="0069322D">
        <w:tc>
          <w:tcPr>
            <w:tcW w:w="1140" w:type="dxa"/>
          </w:tcPr>
          <w:p w14:paraId="5B6FC501" w14:textId="77777777" w:rsidR="0069322D" w:rsidRPr="00036EE3" w:rsidRDefault="0069322D" w:rsidP="000B4BD9">
            <w:pPr>
              <w:spacing w:before="30" w:after="30"/>
              <w:ind w:left="57"/>
              <w:jc w:val="left"/>
              <w:rPr>
                <w:b/>
                <w:bCs/>
                <w:sz w:val="20"/>
                <w:lang w:val="en-US"/>
              </w:rPr>
            </w:pPr>
            <w:r w:rsidRPr="00036EE3">
              <w:rPr>
                <w:b/>
                <w:bCs/>
                <w:sz w:val="20"/>
                <w:lang w:val="en-US"/>
              </w:rPr>
              <w:t>V</w:t>
            </w:r>
          </w:p>
        </w:tc>
        <w:tc>
          <w:tcPr>
            <w:tcW w:w="8220" w:type="dxa"/>
          </w:tcPr>
          <w:p w14:paraId="69E5A43B" w14:textId="77777777" w:rsidR="0069322D" w:rsidRPr="00021E8A" w:rsidRDefault="0069322D" w:rsidP="000B4BD9">
            <w:pPr>
              <w:spacing w:before="30" w:after="140"/>
              <w:jc w:val="left"/>
              <w:rPr>
                <w:bCs/>
                <w:sz w:val="20"/>
                <w:lang w:val="en-US"/>
              </w:rPr>
            </w:pPr>
            <w:r w:rsidRPr="00021E8A">
              <w:rPr>
                <w:bCs/>
                <w:sz w:val="20"/>
              </w:rPr>
              <w:t>Vocabulario y cuestiones afines</w:t>
            </w:r>
          </w:p>
        </w:tc>
      </w:tr>
    </w:tbl>
    <w:p w14:paraId="3AF002EE" w14:textId="77777777" w:rsidR="0069322D" w:rsidRPr="00036EE3" w:rsidRDefault="0069322D" w:rsidP="0069322D">
      <w:pPr>
        <w:spacing w:before="0" w:after="140"/>
        <w:jc w:val="center"/>
        <w:rPr>
          <w:sz w:val="20"/>
          <w:lang w:val="en-US"/>
        </w:rPr>
      </w:pPr>
    </w:p>
    <w:tbl>
      <w:tblPr>
        <w:tblpPr w:leftFromText="180" w:rightFromText="180" w:vertAnchor="text" w:tblpX="-5771" w:tblpY="-4031"/>
        <w:tblW w:w="0" w:type="auto"/>
        <w:tblLook w:val="0000" w:firstRow="0" w:lastRow="0" w:firstColumn="0" w:lastColumn="0" w:noHBand="0" w:noVBand="0"/>
      </w:tblPr>
      <w:tblGrid>
        <w:gridCol w:w="720"/>
      </w:tblGrid>
      <w:tr w:rsidR="0069322D" w14:paraId="264175E1" w14:textId="77777777" w:rsidTr="000B4BD9">
        <w:tc>
          <w:tcPr>
            <w:tcW w:w="720" w:type="dxa"/>
          </w:tcPr>
          <w:p w14:paraId="24AD451F" w14:textId="77777777" w:rsidR="0069322D" w:rsidRDefault="0069322D" w:rsidP="000B4BD9">
            <w:pPr>
              <w:spacing w:before="0"/>
              <w:jc w:val="center"/>
              <w:rPr>
                <w:sz w:val="22"/>
                <w:lang w:val="en-US"/>
              </w:rPr>
            </w:pPr>
          </w:p>
        </w:tc>
      </w:tr>
    </w:tbl>
    <w:tbl>
      <w:tblPr>
        <w:tblStyle w:val="TableGrid"/>
        <w:tblW w:w="5000" w:type="pct"/>
        <w:tblBorders>
          <w:top w:val="single" w:sz="12" w:space="0" w:color="000080"/>
          <w:left w:val="single" w:sz="12" w:space="0" w:color="000080"/>
          <w:bottom w:val="single" w:sz="12" w:space="0" w:color="000080"/>
          <w:right w:val="single" w:sz="12" w:space="0" w:color="000080"/>
          <w:insideH w:val="none" w:sz="0" w:space="0" w:color="auto"/>
          <w:insideV w:val="none" w:sz="0" w:space="0" w:color="auto"/>
        </w:tblBorders>
        <w:tblLook w:val="01E0" w:firstRow="1" w:lastRow="1" w:firstColumn="1" w:lastColumn="1" w:noHBand="0" w:noVBand="0"/>
      </w:tblPr>
      <w:tblGrid>
        <w:gridCol w:w="9609"/>
      </w:tblGrid>
      <w:tr w:rsidR="0069322D" w:rsidRPr="0041045F" w14:paraId="07D31D8F" w14:textId="77777777" w:rsidTr="00B96572">
        <w:tc>
          <w:tcPr>
            <w:tcW w:w="9360" w:type="dxa"/>
          </w:tcPr>
          <w:p w14:paraId="3853F462" w14:textId="77777777" w:rsidR="0069322D" w:rsidRPr="00F111D6" w:rsidRDefault="0069322D" w:rsidP="00B96572">
            <w:pPr>
              <w:spacing w:before="92" w:after="92"/>
              <w:rPr>
                <w:rFonts w:ascii="Times New Roman" w:hAnsi="Times New Roman" w:cs="Times New Roman"/>
                <w:i/>
                <w:iCs/>
                <w:sz w:val="20"/>
                <w:lang w:val="es-ES_tradnl"/>
              </w:rPr>
            </w:pPr>
            <w:r w:rsidRPr="00F111D6">
              <w:rPr>
                <w:rFonts w:ascii="Times New Roman" w:hAnsi="Times New Roman" w:cs="Times New Roman"/>
                <w:b/>
                <w:bCs/>
                <w:i/>
                <w:iCs/>
                <w:sz w:val="20"/>
                <w:lang w:val="es-ES_tradnl"/>
              </w:rPr>
              <w:t>Nota</w:t>
            </w:r>
            <w:r w:rsidRPr="00F111D6">
              <w:rPr>
                <w:rFonts w:ascii="Times New Roman" w:hAnsi="Times New Roman" w:cs="Times New Roman"/>
                <w:i/>
                <w:iCs/>
                <w:sz w:val="20"/>
                <w:lang w:val="es-ES_tradnl"/>
              </w:rPr>
              <w:t>: Esta Recomendación UIT-R fue aprobada en inglés conforme al procedimiento detallado en la Resolución UIT</w:t>
            </w:r>
            <w:r w:rsidR="00B96572" w:rsidRPr="00F111D6">
              <w:rPr>
                <w:rFonts w:ascii="Times New Roman" w:hAnsi="Times New Roman" w:cs="Times New Roman"/>
                <w:i/>
                <w:iCs/>
                <w:sz w:val="20"/>
                <w:lang w:val="es-ES_tradnl"/>
              </w:rPr>
              <w:noBreakHyphen/>
            </w:r>
            <w:r w:rsidRPr="00F111D6">
              <w:rPr>
                <w:rFonts w:ascii="Times New Roman" w:hAnsi="Times New Roman" w:cs="Times New Roman"/>
                <w:i/>
                <w:iCs/>
                <w:sz w:val="20"/>
                <w:lang w:val="es-ES_tradnl"/>
              </w:rPr>
              <w:t>R</w:t>
            </w:r>
            <w:r w:rsidR="00B96572" w:rsidRPr="00F111D6">
              <w:rPr>
                <w:rFonts w:ascii="Times New Roman" w:hAnsi="Times New Roman" w:cs="Times New Roman"/>
                <w:i/>
                <w:iCs/>
                <w:sz w:val="20"/>
                <w:lang w:val="es-ES_tradnl"/>
              </w:rPr>
              <w:t> </w:t>
            </w:r>
            <w:r w:rsidRPr="00F111D6">
              <w:rPr>
                <w:rFonts w:ascii="Times New Roman" w:hAnsi="Times New Roman" w:cs="Times New Roman"/>
                <w:i/>
                <w:iCs/>
                <w:sz w:val="20"/>
                <w:lang w:val="es-ES_tradnl"/>
              </w:rPr>
              <w:t>1.</w:t>
            </w:r>
          </w:p>
        </w:tc>
      </w:tr>
    </w:tbl>
    <w:p w14:paraId="4921B524" w14:textId="77777777" w:rsidR="0069322D" w:rsidRPr="00763D08" w:rsidRDefault="0069322D" w:rsidP="0069322D">
      <w:pPr>
        <w:spacing w:before="0"/>
        <w:jc w:val="center"/>
        <w:rPr>
          <w:sz w:val="22"/>
          <w:lang w:val="es-ES_tradnl"/>
        </w:rPr>
      </w:pPr>
    </w:p>
    <w:p w14:paraId="2D2EF6C7" w14:textId="77777777" w:rsidR="0069322D" w:rsidRPr="00763D08" w:rsidRDefault="0069322D" w:rsidP="0069322D">
      <w:pPr>
        <w:spacing w:before="60"/>
        <w:jc w:val="right"/>
        <w:rPr>
          <w:i/>
          <w:iCs/>
          <w:sz w:val="20"/>
          <w:lang w:val="es-ES_tradnl"/>
        </w:rPr>
      </w:pPr>
      <w:r w:rsidRPr="00763D08">
        <w:rPr>
          <w:i/>
          <w:iCs/>
          <w:sz w:val="20"/>
          <w:lang w:val="es-ES_tradnl"/>
        </w:rPr>
        <w:t>Publicación electrónica</w:t>
      </w:r>
    </w:p>
    <w:p w14:paraId="7DBDFBD1" w14:textId="5C9F9F80" w:rsidR="0069322D" w:rsidRPr="00763D08" w:rsidRDefault="0069322D" w:rsidP="0069322D">
      <w:pPr>
        <w:spacing w:before="0" w:after="40"/>
        <w:jc w:val="right"/>
        <w:rPr>
          <w:sz w:val="20"/>
          <w:lang w:val="es-ES_tradnl"/>
        </w:rPr>
      </w:pPr>
      <w:r w:rsidRPr="00763D08">
        <w:rPr>
          <w:sz w:val="20"/>
          <w:lang w:val="es-ES_tradnl"/>
        </w:rPr>
        <w:t>Ginebra, 20</w:t>
      </w:r>
      <w:r w:rsidR="00B96572">
        <w:rPr>
          <w:sz w:val="20"/>
          <w:lang w:val="es-ES_tradnl"/>
        </w:rPr>
        <w:t>2</w:t>
      </w:r>
      <w:r w:rsidR="002B6126">
        <w:rPr>
          <w:sz w:val="20"/>
          <w:lang w:val="es-ES_tradnl"/>
        </w:rPr>
        <w:t>4</w:t>
      </w:r>
    </w:p>
    <w:p w14:paraId="7C7284B9" w14:textId="77777777" w:rsidR="0069322D" w:rsidRPr="00763D08" w:rsidRDefault="0069322D" w:rsidP="0069322D">
      <w:pPr>
        <w:spacing w:before="0" w:after="120"/>
        <w:jc w:val="center"/>
        <w:rPr>
          <w:sz w:val="22"/>
          <w:lang w:val="es-ES_tradnl"/>
        </w:rPr>
      </w:pPr>
    </w:p>
    <w:p w14:paraId="505A9A87" w14:textId="6BF1B7E9" w:rsidR="0069322D" w:rsidRPr="00763D08" w:rsidRDefault="0069322D" w:rsidP="0069322D">
      <w:pPr>
        <w:spacing w:before="0"/>
        <w:jc w:val="center"/>
        <w:rPr>
          <w:sz w:val="20"/>
          <w:lang w:val="es-ES_tradnl"/>
        </w:rPr>
      </w:pPr>
      <w:r w:rsidRPr="00470E28">
        <w:rPr>
          <w:sz w:val="20"/>
          <w:lang w:val="en-US"/>
        </w:rPr>
        <w:sym w:font="Symbol" w:char="F0E3"/>
      </w:r>
      <w:r w:rsidRPr="00763D08">
        <w:rPr>
          <w:sz w:val="20"/>
          <w:lang w:val="es-ES_tradnl"/>
        </w:rPr>
        <w:t xml:space="preserve"> UIT </w:t>
      </w:r>
      <w:bookmarkStart w:id="1" w:name="iiannee"/>
      <w:bookmarkEnd w:id="1"/>
      <w:r w:rsidRPr="00763D08">
        <w:rPr>
          <w:sz w:val="20"/>
          <w:lang w:val="es-ES_tradnl"/>
        </w:rPr>
        <w:t>20</w:t>
      </w:r>
      <w:r w:rsidR="00B96572">
        <w:rPr>
          <w:sz w:val="20"/>
          <w:lang w:val="es-ES_tradnl"/>
        </w:rPr>
        <w:t>2</w:t>
      </w:r>
      <w:r w:rsidR="002B6126">
        <w:rPr>
          <w:sz w:val="20"/>
          <w:lang w:val="es-ES_tradnl"/>
        </w:rPr>
        <w:t>4</w:t>
      </w:r>
    </w:p>
    <w:p w14:paraId="3EE7077B" w14:textId="77777777" w:rsidR="00D5024B" w:rsidRPr="00F111D6" w:rsidRDefault="0069322D" w:rsidP="0069322D">
      <w:pPr>
        <w:rPr>
          <w:sz w:val="18"/>
          <w:szCs w:val="18"/>
        </w:rPr>
      </w:pPr>
      <w:r w:rsidRPr="00763D08">
        <w:rPr>
          <w:sz w:val="18"/>
          <w:szCs w:val="18"/>
          <w:lang w:val="es-ES_tradnl"/>
        </w:rPr>
        <w:t xml:space="preserve">Reservados todos los derechos. </w:t>
      </w:r>
      <w:r w:rsidRPr="006C718C">
        <w:rPr>
          <w:sz w:val="18"/>
          <w:szCs w:val="18"/>
          <w:lang w:val="es-ES_tradnl"/>
        </w:rPr>
        <w:t>Ninguna parte de esta publicación puede reproducirse por ningún procedimiento sin previa autorizaci</w:t>
      </w:r>
      <w:r>
        <w:rPr>
          <w:sz w:val="18"/>
          <w:szCs w:val="18"/>
          <w:lang w:val="es-ES_tradnl"/>
        </w:rPr>
        <w:t>ón escrita por parte de la UIT</w:t>
      </w:r>
      <w:r w:rsidRPr="006C718C">
        <w:rPr>
          <w:sz w:val="18"/>
          <w:szCs w:val="18"/>
          <w:lang w:val="es-ES_tradnl"/>
        </w:rPr>
        <w:t>.</w:t>
      </w:r>
    </w:p>
    <w:p w14:paraId="4016DCBD" w14:textId="77777777" w:rsidR="007565CC" w:rsidRPr="00F111D6" w:rsidRDefault="007565CC" w:rsidP="00A971A1">
      <w:pPr>
        <w:spacing w:before="160"/>
        <w:rPr>
          <w:i/>
          <w:sz w:val="20"/>
        </w:rPr>
        <w:sectPr w:rsidR="007565CC" w:rsidRPr="00F111D6" w:rsidSect="002058CE">
          <w:headerReference w:type="even" r:id="rId12"/>
          <w:headerReference w:type="default" r:id="rId13"/>
          <w:pgSz w:w="11907" w:h="16834" w:code="9"/>
          <w:pgMar w:top="1418" w:right="1134" w:bottom="1134" w:left="1134" w:header="720" w:footer="482" w:gutter="0"/>
          <w:paperSrc w:first="15" w:other="15"/>
          <w:pgNumType w:fmt="lowerRoman" w:start="2"/>
          <w:cols w:space="720"/>
        </w:sectPr>
      </w:pPr>
    </w:p>
    <w:p w14:paraId="481F1D72" w14:textId="6A5BAF8D" w:rsidR="00B874C6" w:rsidRPr="00F17CED" w:rsidRDefault="00F17CED" w:rsidP="00A936CB">
      <w:pPr>
        <w:pStyle w:val="RecNo"/>
        <w:spacing w:before="0"/>
      </w:pPr>
      <w:bookmarkStart w:id="2" w:name="irecnoe"/>
      <w:bookmarkEnd w:id="2"/>
      <w:r w:rsidRPr="00F17CED">
        <w:lastRenderedPageBreak/>
        <w:t>RECOMENDACIÓN</w:t>
      </w:r>
      <w:r w:rsidR="00B874C6" w:rsidRPr="00F17CED">
        <w:t xml:space="preserve">  </w:t>
      </w:r>
      <w:r w:rsidR="00A25EE2" w:rsidRPr="00F17CED">
        <w:rPr>
          <w:rStyle w:val="href"/>
        </w:rPr>
        <w:t>UI</w:t>
      </w:r>
      <w:r w:rsidR="00B874C6" w:rsidRPr="00F17CED">
        <w:rPr>
          <w:rStyle w:val="href"/>
        </w:rPr>
        <w:t xml:space="preserve">T-R  </w:t>
      </w:r>
      <w:r w:rsidR="001E0EB7">
        <w:rPr>
          <w:rStyle w:val="href"/>
        </w:rPr>
        <w:t>P</w:t>
      </w:r>
      <w:r w:rsidR="00B874C6" w:rsidRPr="00F17CED">
        <w:rPr>
          <w:rStyle w:val="href"/>
        </w:rPr>
        <w:t>.</w:t>
      </w:r>
      <w:r w:rsidR="002B6126">
        <w:rPr>
          <w:rStyle w:val="href"/>
        </w:rPr>
        <w:t>371-9</w:t>
      </w:r>
    </w:p>
    <w:p w14:paraId="54115762" w14:textId="77777777" w:rsidR="00E170DC" w:rsidRPr="0056409E" w:rsidRDefault="00E170DC" w:rsidP="0086339D">
      <w:pPr>
        <w:pStyle w:val="Rectitle"/>
        <w:rPr>
          <w:lang w:val="es-ES_tradnl"/>
        </w:rPr>
      </w:pPr>
      <w:r w:rsidRPr="00A57EB3">
        <w:rPr>
          <w:bCs/>
          <w:lang w:val="es-ES_tradnl"/>
        </w:rPr>
        <w:t>Elección de índices para las predicciones ionosféricas a largo plazo</w:t>
      </w:r>
    </w:p>
    <w:p w14:paraId="38523201" w14:textId="77777777" w:rsidR="00E170DC" w:rsidRPr="0056409E" w:rsidRDefault="00E170DC" w:rsidP="0086339D">
      <w:pPr>
        <w:pStyle w:val="Recdate"/>
        <w:rPr>
          <w:lang w:val="es-ES_tradnl"/>
        </w:rPr>
      </w:pPr>
      <w:r>
        <w:rPr>
          <w:lang w:val="es-ES_tradnl"/>
        </w:rPr>
        <w:t>(</w:t>
      </w:r>
      <w:r w:rsidRPr="00A57EB3">
        <w:rPr>
          <w:lang w:val="es-ES_tradnl"/>
        </w:rPr>
        <w:t>1963-1970-1974-1978-1982-1986-1990-1995-1999</w:t>
      </w:r>
      <w:r w:rsidRPr="0056409E">
        <w:rPr>
          <w:lang w:val="es-ES_tradnl"/>
        </w:rPr>
        <w:t>-2023)</w:t>
      </w:r>
    </w:p>
    <w:p w14:paraId="44551D51" w14:textId="77777777" w:rsidR="00E170DC" w:rsidRPr="00AD5240" w:rsidRDefault="00E170DC" w:rsidP="00AD5240">
      <w:pPr>
        <w:pStyle w:val="HeadingSum"/>
      </w:pPr>
      <w:r w:rsidRPr="00AD5240">
        <w:t>Cometido</w:t>
      </w:r>
    </w:p>
    <w:p w14:paraId="105274CF" w14:textId="77777777" w:rsidR="00E170DC" w:rsidRPr="00AD5240" w:rsidRDefault="00E170DC" w:rsidP="006A1D2E">
      <w:pPr>
        <w:pStyle w:val="Summary"/>
        <w:rPr>
          <w:sz w:val="22"/>
          <w:szCs w:val="22"/>
        </w:rPr>
      </w:pPr>
      <w:r w:rsidRPr="00AD5240">
        <w:rPr>
          <w:sz w:val="22"/>
          <w:szCs w:val="22"/>
        </w:rPr>
        <w:t>En esta Recomendación se presentan distintas relaciones para calcular los índices ionosféricos a largo plazo que se utilizan para la predicción de las características ionosféricas.</w:t>
      </w:r>
    </w:p>
    <w:p w14:paraId="4657EE82" w14:textId="77777777" w:rsidR="00E170DC" w:rsidRPr="009D673A" w:rsidRDefault="00E170DC" w:rsidP="00033B79">
      <w:pPr>
        <w:pStyle w:val="Headingb"/>
      </w:pPr>
      <w:r w:rsidRPr="009D673A">
        <w:t>Palabras clave</w:t>
      </w:r>
    </w:p>
    <w:p w14:paraId="3665CBBE" w14:textId="77777777" w:rsidR="00E170DC" w:rsidRPr="009D673A" w:rsidRDefault="00E170DC" w:rsidP="00033B79">
      <w:r w:rsidRPr="009D673A">
        <w:t>Características ionosféricas, flujo de ruido radioeléctrico solar, número de manchas solares, M(3000)F2</w:t>
      </w:r>
    </w:p>
    <w:p w14:paraId="7A45FBAE" w14:textId="77777777" w:rsidR="00E170DC" w:rsidRPr="009D673A" w:rsidRDefault="00E170DC" w:rsidP="00033B79">
      <w:pPr>
        <w:pStyle w:val="Headingb"/>
      </w:pPr>
      <w:r w:rsidRPr="009D673A">
        <w:t>Abreviaturas/Glosario</w:t>
      </w:r>
    </w:p>
    <w:p w14:paraId="69D5433C" w14:textId="77777777" w:rsidR="00E170DC" w:rsidRPr="009D673A" w:rsidRDefault="00E170DC" w:rsidP="00AD5240">
      <w:pPr>
        <w:tabs>
          <w:tab w:val="clear" w:pos="794"/>
          <w:tab w:val="left" w:pos="1134"/>
        </w:tabs>
      </w:pPr>
      <w:r w:rsidRPr="009D673A">
        <w:t>MUF:</w:t>
      </w:r>
      <w:r w:rsidRPr="009D673A">
        <w:tab/>
        <w:t>Frecuencia máxima útil (</w:t>
      </w:r>
      <w:r w:rsidRPr="009D673A">
        <w:rPr>
          <w:i/>
        </w:rPr>
        <w:t>maximum usable frequency</w:t>
      </w:r>
      <w:r w:rsidRPr="009D673A">
        <w:t>)</w:t>
      </w:r>
    </w:p>
    <w:p w14:paraId="35814CE8" w14:textId="60ACFA3B" w:rsidR="00E170DC" w:rsidRPr="009D673A" w:rsidRDefault="00E170DC" w:rsidP="00AD5240">
      <w:pPr>
        <w:tabs>
          <w:tab w:val="clear" w:pos="794"/>
          <w:tab w:val="left" w:pos="1134"/>
        </w:tabs>
      </w:pPr>
      <w:r w:rsidRPr="009D673A">
        <w:rPr>
          <w:i/>
        </w:rPr>
        <w:t>R</w:t>
      </w:r>
      <w:r w:rsidRPr="009D673A">
        <w:rPr>
          <w:position w:val="-4"/>
          <w:vertAlign w:val="subscript"/>
        </w:rPr>
        <w:t>12</w:t>
      </w:r>
      <w:r w:rsidRPr="009D673A">
        <w:t>:</w:t>
      </w:r>
      <w:r w:rsidRPr="009D673A">
        <w:tab/>
      </w:r>
      <w:r w:rsidR="00AD5240" w:rsidRPr="009D673A">
        <w:t xml:space="preserve">Media </w:t>
      </w:r>
      <w:r w:rsidRPr="009D673A">
        <w:t>móvil del número de manchas solares para 1</w:t>
      </w:r>
      <w:r>
        <w:t>2</w:t>
      </w:r>
      <w:r w:rsidRPr="009D673A">
        <w:t xml:space="preserve"> meses</w:t>
      </w:r>
    </w:p>
    <w:p w14:paraId="3C7040A4" w14:textId="149B4B9E" w:rsidR="00E170DC" w:rsidRPr="009D673A" w:rsidRDefault="00E170DC" w:rsidP="00AD5240">
      <w:pPr>
        <w:tabs>
          <w:tab w:val="clear" w:pos="794"/>
          <w:tab w:val="left" w:pos="1134"/>
        </w:tabs>
      </w:pPr>
      <w:r w:rsidRPr="009D673A">
        <w:sym w:font="Symbol" w:char="F046"/>
      </w:r>
      <w:r>
        <w:t>:</w:t>
      </w:r>
      <w:r w:rsidRPr="009D673A">
        <w:tab/>
      </w:r>
      <w:r w:rsidR="00AD5240" w:rsidRPr="009D673A">
        <w:t xml:space="preserve">Ruido </w:t>
      </w:r>
      <w:r w:rsidRPr="009D673A">
        <w:t>radioeléctrico solar en longitudes de onda de unos 10</w:t>
      </w:r>
      <w:r w:rsidR="00AD5240">
        <w:t> </w:t>
      </w:r>
      <w:r w:rsidRPr="009D673A">
        <w:t>cm</w:t>
      </w:r>
    </w:p>
    <w:p w14:paraId="396C9DAF" w14:textId="5ADF923C" w:rsidR="00E170DC" w:rsidRPr="009D673A" w:rsidRDefault="00E170DC" w:rsidP="00AD5240">
      <w:pPr>
        <w:tabs>
          <w:tab w:val="clear" w:pos="794"/>
          <w:tab w:val="left" w:pos="1134"/>
        </w:tabs>
      </w:pPr>
      <w:bookmarkStart w:id="3" w:name="_Hlk144195674"/>
      <w:r w:rsidRPr="009D673A">
        <w:sym w:font="Symbol" w:char="F046"/>
      </w:r>
      <w:r w:rsidRPr="009D673A">
        <w:rPr>
          <w:vertAlign w:val="subscript"/>
        </w:rPr>
        <w:t>12</w:t>
      </w:r>
      <w:r w:rsidRPr="009D673A">
        <w:t>:</w:t>
      </w:r>
      <w:r w:rsidRPr="009D673A">
        <w:tab/>
      </w:r>
      <w:r w:rsidR="00AD5240" w:rsidRPr="009D673A">
        <w:t xml:space="preserve">Valor </w:t>
      </w:r>
      <w:r w:rsidRPr="009D673A">
        <w:t>medio de 12 meses de Φ (que es el flujo de ruido solar radioeléctrico a</w:t>
      </w:r>
      <w:r>
        <w:t> </w:t>
      </w:r>
      <w:r w:rsidRPr="009D673A">
        <w:t>2 800</w:t>
      </w:r>
      <w:r>
        <w:t> </w:t>
      </w:r>
      <w:r w:rsidRPr="009D673A">
        <w:t>MHz)</w:t>
      </w:r>
    </w:p>
    <w:bookmarkEnd w:id="3"/>
    <w:p w14:paraId="16EA0EB4" w14:textId="77777777" w:rsidR="00E170DC" w:rsidRPr="006C30EB" w:rsidRDefault="00E170DC" w:rsidP="00033B79">
      <w:pPr>
        <w:pStyle w:val="Normalaftertitle0"/>
        <w:rPr>
          <w:lang w:val="es-ES"/>
        </w:rPr>
      </w:pPr>
      <w:r w:rsidRPr="006C30EB">
        <w:rPr>
          <w:lang w:val="es-ES"/>
        </w:rPr>
        <w:t>La Asamblea de Radiocomunicaciones de la UIT,</w:t>
      </w:r>
    </w:p>
    <w:p w14:paraId="2C42D7D9" w14:textId="77777777" w:rsidR="00E170DC" w:rsidRPr="009D673A" w:rsidRDefault="00E170DC" w:rsidP="00033B79">
      <w:pPr>
        <w:pStyle w:val="Call"/>
      </w:pPr>
      <w:r w:rsidRPr="009D673A">
        <w:t>recomienda</w:t>
      </w:r>
    </w:p>
    <w:p w14:paraId="1B5F6C1D" w14:textId="77777777" w:rsidR="00E170DC" w:rsidRPr="009D673A" w:rsidRDefault="00E170DC" w:rsidP="00033B79">
      <w:r w:rsidRPr="00AD5240">
        <w:rPr>
          <w:bCs/>
        </w:rPr>
        <w:t>1</w:t>
      </w:r>
      <w:r w:rsidRPr="00AD5240">
        <w:rPr>
          <w:bCs/>
        </w:rPr>
        <w:tab/>
      </w:r>
      <w:r w:rsidRPr="009D673A">
        <w:t>que para la predicción de los valores intermedios mensuales de foF2 y de M(3000)F2 en todas las escalas de tiempo se adopte como índice preferencial el valor medio tras doce meses seguidos de observación del número de manchas solares </w:t>
      </w:r>
      <w:r w:rsidRPr="009D673A">
        <w:rPr>
          <w:i/>
        </w:rPr>
        <w:t>R</w:t>
      </w:r>
      <w:r w:rsidRPr="009D673A">
        <w:rPr>
          <w:position w:val="-4"/>
          <w:vertAlign w:val="subscript"/>
        </w:rPr>
        <w:t>12</w:t>
      </w:r>
      <w:r w:rsidRPr="009D673A">
        <w:t xml:space="preserve">, o alternativamente el valor medio tras un periodo de observación de doce meses, </w:t>
      </w:r>
      <w:r w:rsidRPr="009D673A">
        <w:sym w:font="Symbol" w:char="F046"/>
      </w:r>
      <w:r w:rsidRPr="009D673A">
        <w:t xml:space="preserve">, del flujo de ruido radioeléctrico solar a 2 800 MHz (es decir, </w:t>
      </w:r>
      <w:r w:rsidRPr="009D673A">
        <w:sym w:font="Symbol" w:char="F046"/>
      </w:r>
      <w:r w:rsidRPr="009D673A">
        <w:rPr>
          <w:position w:val="-4"/>
          <w:vertAlign w:val="subscript"/>
        </w:rPr>
        <w:t>12</w:t>
      </w:r>
      <w:r w:rsidRPr="009D673A">
        <w:t>): utilizando cualquiera de estos índices deben obtenerse resultados sustancialmente equivalentes;</w:t>
      </w:r>
    </w:p>
    <w:p w14:paraId="36C34491" w14:textId="77777777" w:rsidR="00E170DC" w:rsidRPr="009D673A" w:rsidRDefault="00E170DC" w:rsidP="00033B79">
      <w:r w:rsidRPr="00AD5240">
        <w:rPr>
          <w:bCs/>
        </w:rPr>
        <w:t>2</w:t>
      </w:r>
      <w:r w:rsidRPr="00AD5240">
        <w:rPr>
          <w:bCs/>
        </w:rPr>
        <w:tab/>
      </w:r>
      <w:r w:rsidRPr="009D673A">
        <w:t xml:space="preserve">que se adopte </w:t>
      </w:r>
      <w:r w:rsidRPr="009D673A">
        <w:sym w:font="Symbol" w:char="F046"/>
      </w:r>
      <w:r w:rsidRPr="009D673A">
        <w:rPr>
          <w:position w:val="-4"/>
          <w:vertAlign w:val="subscript"/>
        </w:rPr>
        <w:t>12</w:t>
      </w:r>
      <w:r w:rsidRPr="009D673A">
        <w:t xml:space="preserve"> como índice preferencial para la predicción de los valores intermedios mensuales de foE y foF1 en todas las escalas de tiempo;</w:t>
      </w:r>
    </w:p>
    <w:p w14:paraId="7C2A32B5" w14:textId="77777777" w:rsidR="00E170DC" w:rsidRPr="009D673A" w:rsidRDefault="00E170DC" w:rsidP="00033B79">
      <w:r w:rsidRPr="00AD5240">
        <w:rPr>
          <w:bCs/>
        </w:rPr>
        <w:t>3</w:t>
      </w:r>
      <w:r w:rsidRPr="00AD5240">
        <w:rPr>
          <w:bCs/>
        </w:rPr>
        <w:tab/>
      </w:r>
      <w:r w:rsidRPr="009D673A">
        <w:t>que los valores previstos de estos índices se determinarán por medio del procedimiento McNish-Lincoln modificado (véase el Anexo 1) utilizando los valores más recientes de los índices medidos mensualmente para el ciclo solar actual y la media de los valores correspondientes a ciclos pasados para los ciclos futuros;</w:t>
      </w:r>
    </w:p>
    <w:p w14:paraId="79E84741" w14:textId="77777777" w:rsidR="00E170DC" w:rsidRPr="009D673A" w:rsidRDefault="00E170DC" w:rsidP="00033B79">
      <w:r w:rsidRPr="00AD5240">
        <w:rPr>
          <w:bCs/>
        </w:rPr>
        <w:t>4</w:t>
      </w:r>
      <w:r w:rsidRPr="00AD5240">
        <w:rPr>
          <w:bCs/>
        </w:rPr>
        <w:tab/>
      </w:r>
      <w:r w:rsidRPr="009D673A">
        <w:t>que cuando las predicciones de la propagación requieran la utilización simultánea de valores de diferentes características ionosféricas, se adopte el mismo índice para todas esas características con una pequeña pérdida de exactitud;</w:t>
      </w:r>
    </w:p>
    <w:p w14:paraId="5F029268" w14:textId="77777777" w:rsidR="00E170DC" w:rsidRPr="009D673A" w:rsidRDefault="00E170DC" w:rsidP="00033B79">
      <w:r w:rsidRPr="00AD5240">
        <w:rPr>
          <w:bCs/>
        </w:rPr>
        <w:t>5</w:t>
      </w:r>
      <w:r w:rsidRPr="00AD5240">
        <w:rPr>
          <w:bCs/>
        </w:rPr>
        <w:tab/>
      </w:r>
      <w:r w:rsidRPr="009D673A">
        <w:t>que los índices recomendados se empleen con precaución en latitudes magnéticas elevadas, donde las predicciones ionosféricas pueden no ser suficientemente exactas;</w:t>
      </w:r>
    </w:p>
    <w:p w14:paraId="00B77B1F" w14:textId="77777777" w:rsidR="00E170DC" w:rsidRDefault="00E170DC" w:rsidP="00033B79">
      <w:r w:rsidRPr="00AD5240">
        <w:t>6</w:t>
      </w:r>
      <w:r w:rsidRPr="00AD5240">
        <w:tab/>
      </w:r>
      <w:r w:rsidRPr="009D673A">
        <w:t xml:space="preserve">que los índices de </w:t>
      </w:r>
      <w:r w:rsidRPr="009D673A">
        <w:rPr>
          <w:i/>
        </w:rPr>
        <w:t>R</w:t>
      </w:r>
      <w:r w:rsidRPr="009D673A">
        <w:rPr>
          <w:position w:val="-4"/>
          <w:vertAlign w:val="subscript"/>
        </w:rPr>
        <w:t>12</w:t>
      </w:r>
      <w:r w:rsidRPr="009D673A">
        <w:t xml:space="preserve"> se empleen con precaución en las predicciones ionosféricas a largo plazo en relación con el factor observatorio.</w:t>
      </w:r>
    </w:p>
    <w:p w14:paraId="3B59C2BE" w14:textId="77777777" w:rsidR="00AD5240" w:rsidRDefault="00AD5240" w:rsidP="00033B79"/>
    <w:p w14:paraId="0BD63EAD" w14:textId="77777777" w:rsidR="00AD5240" w:rsidRPr="009D673A" w:rsidRDefault="00AD5240" w:rsidP="00033B79"/>
    <w:p w14:paraId="19FB17DA" w14:textId="77777777" w:rsidR="00E170DC" w:rsidRPr="006C30EB" w:rsidRDefault="00E170DC" w:rsidP="00AD5240">
      <w:pPr>
        <w:pStyle w:val="AnnexNoTitle"/>
      </w:pPr>
      <w:r w:rsidRPr="006C30EB">
        <w:lastRenderedPageBreak/>
        <w:t>Anexo 1</w:t>
      </w:r>
    </w:p>
    <w:p w14:paraId="50CEB387" w14:textId="77777777" w:rsidR="00E170DC" w:rsidRPr="009D673A" w:rsidRDefault="00E170DC" w:rsidP="00802B39">
      <w:pPr>
        <w:pStyle w:val="Heading1"/>
      </w:pPr>
      <w:r w:rsidRPr="009D673A">
        <w:t>1</w:t>
      </w:r>
      <w:r w:rsidRPr="009D673A">
        <w:tab/>
        <w:t>Introducción</w:t>
      </w:r>
    </w:p>
    <w:p w14:paraId="24CA2344" w14:textId="77777777" w:rsidR="00E170DC" w:rsidRPr="009D673A" w:rsidRDefault="00E170DC" w:rsidP="00802B39">
      <w:r w:rsidRPr="009D673A">
        <w:t>El concepto de índices para las predicciones ionosféricas a largo plazo se basa en el supuesto de que las características importantes de la ionosfera, tales como las frecuencias críticas de las diversas capas y el factor de MUF, M(3000)F2, dependen sistemáticamente de ciertas magnitudes mensurables en relación con la radiación solar. Sin embargo, debe señalarse que la correlación entre estos índices y las características ionosféricas reales no implica necesariamente una relación causal, sino que es más bien un indicio de fenómenos conexos. Los cambios de la actividad solar contienen, en general, tres componentes:</w:t>
      </w:r>
    </w:p>
    <w:p w14:paraId="79B7A1FF" w14:textId="77777777" w:rsidR="00E170DC" w:rsidRPr="009D673A" w:rsidRDefault="00E170DC" w:rsidP="00802B39">
      <w:pPr>
        <w:pStyle w:val="enumlev1"/>
      </w:pPr>
      <w:r w:rsidRPr="009D673A">
        <w:t>–</w:t>
      </w:r>
      <w:r w:rsidRPr="009D673A">
        <w:tab/>
        <w:t>un componente bastante regular cuyo periodo es de unos 11 años, que corresponde al ciclo bien conocido de actividad solar;</w:t>
      </w:r>
    </w:p>
    <w:p w14:paraId="14CE999E" w14:textId="77777777" w:rsidR="00E170DC" w:rsidRPr="009D673A" w:rsidRDefault="00E170DC" w:rsidP="00802B39">
      <w:pPr>
        <w:pStyle w:val="enumlev1"/>
      </w:pPr>
      <w:r w:rsidRPr="009D673A">
        <w:t>–</w:t>
      </w:r>
      <w:r w:rsidRPr="009D673A">
        <w:tab/>
        <w:t>un componente con un cuasi-periodo de un año aproximadamente o algo menos;</w:t>
      </w:r>
    </w:p>
    <w:p w14:paraId="54E7FE1E" w14:textId="77777777" w:rsidR="00E170DC" w:rsidRPr="009D673A" w:rsidRDefault="00E170DC" w:rsidP="00802B39">
      <w:pPr>
        <w:pStyle w:val="enumlev1"/>
      </w:pPr>
      <w:r w:rsidRPr="009D673A">
        <w:t>–</w:t>
      </w:r>
      <w:r w:rsidRPr="009D673A">
        <w:tab/>
        <w:t>fluctuaciones erráticas con periodos inferiores a un mes.</w:t>
      </w:r>
    </w:p>
    <w:p w14:paraId="630C95D2" w14:textId="77777777" w:rsidR="00E170DC" w:rsidRPr="009D673A" w:rsidRDefault="00E170DC" w:rsidP="00802B39">
      <w:pPr>
        <w:pStyle w:val="Heading1"/>
      </w:pPr>
      <w:r w:rsidRPr="009D673A">
        <w:t>2</w:t>
      </w:r>
      <w:r w:rsidRPr="009D673A">
        <w:tab/>
        <w:t>Número de manchas solares</w:t>
      </w:r>
    </w:p>
    <w:p w14:paraId="74DC79B8" w14:textId="77777777" w:rsidR="00E170DC" w:rsidRPr="009D673A" w:rsidRDefault="00E170DC" w:rsidP="00802B39">
      <w:r w:rsidRPr="009D673A">
        <w:t xml:space="preserve">La actividad solar se puede cuantificar haciendo un recuento del número de manchas que aparecen en la superficie del Sol. El índice </w:t>
      </w:r>
      <w:r>
        <w:t>«</w:t>
      </w:r>
      <w:r w:rsidRPr="009D673A">
        <w:t>número relativo de manchas solares</w:t>
      </w:r>
      <w:r>
        <w:t>»</w:t>
      </w:r>
      <w:r w:rsidRPr="009D673A">
        <w:t xml:space="preserve">, también denominado </w:t>
      </w:r>
      <w:r>
        <w:t>«</w:t>
      </w:r>
      <w:r w:rsidRPr="009D673A">
        <w:t>número de Wolf</w:t>
      </w:r>
      <w:r>
        <w:t>»</w:t>
      </w:r>
      <w:r w:rsidRPr="009D673A">
        <w:t xml:space="preserve"> o </w:t>
      </w:r>
      <w:r>
        <w:t>«</w:t>
      </w:r>
      <w:r w:rsidRPr="009D673A">
        <w:t>número de Zúrich</w:t>
      </w:r>
      <w:r>
        <w:t>»</w:t>
      </w:r>
      <w:r w:rsidRPr="009D673A">
        <w:t xml:space="preserve">, permite cuantificar el número de manchas solares y grupos de manchas solares de la superficie solar. Hasta 2015, la definición estándar del número relativo de manchas solares, </w:t>
      </w:r>
      <w:r w:rsidRPr="009D673A">
        <w:rPr>
          <w:i/>
        </w:rPr>
        <w:t>R</w:t>
      </w:r>
      <w:r w:rsidRPr="009D673A">
        <w:t>, para cada observador individual era:</w:t>
      </w:r>
    </w:p>
    <w:p w14:paraId="49367F47" w14:textId="77777777" w:rsidR="00E170DC" w:rsidRPr="009D673A" w:rsidRDefault="00E170DC" w:rsidP="00AD5240">
      <w:pPr>
        <w:pStyle w:val="Equation"/>
      </w:pPr>
      <w:r w:rsidRPr="009D673A">
        <w:tab/>
      </w:r>
      <w:r w:rsidRPr="009D673A">
        <w:tab/>
      </w:r>
      <m:oMath>
        <m:r>
          <w:rPr>
            <w:rFonts w:ascii="Cambria Math" w:hAnsi="Cambria Math"/>
          </w:rPr>
          <m:t>R</m:t>
        </m:r>
        <m:r>
          <m:rPr>
            <m:sty m:val="p"/>
          </m:rPr>
          <w:rPr>
            <w:rFonts w:ascii="Cambria Math" w:hAnsi="Cambria Math"/>
          </w:rPr>
          <m:t xml:space="preserve"> = </m:t>
        </m:r>
        <m:r>
          <w:rPr>
            <w:rFonts w:ascii="Cambria Math" w:hAnsi="Cambria Math"/>
          </w:rPr>
          <m:t>k</m:t>
        </m:r>
        <m:r>
          <m:rPr>
            <m:sty m:val="p"/>
          </m:rPr>
          <w:rPr>
            <w:rFonts w:ascii="Cambria Math" w:hAnsi="Cambria Math"/>
          </w:rPr>
          <m:t>(10</m:t>
        </m:r>
        <m:sSub>
          <m:sSubPr>
            <m:ctrlPr>
              <w:rPr>
                <w:rFonts w:ascii="Cambria Math" w:hAnsi="Cambria Math"/>
              </w:rPr>
            </m:ctrlPr>
          </m:sSubPr>
          <m:e>
            <m:r>
              <w:rPr>
                <w:rFonts w:ascii="Cambria Math" w:hAnsi="Cambria Math"/>
              </w:rPr>
              <m:t>N</m:t>
            </m:r>
          </m:e>
          <m:sub>
            <m:r>
              <w:rPr>
                <w:rFonts w:ascii="Cambria Math" w:hAnsi="Cambria Math"/>
              </w:rPr>
              <m:t>g</m:t>
            </m:r>
          </m:sub>
        </m:sSub>
        <m:r>
          <m:rPr>
            <m:sty m:val="p"/>
          </m:rPr>
          <w:rPr>
            <w:rFonts w:ascii="Cambria Math" w:hAnsi="Cambria Math"/>
          </w:rPr>
          <m:t>+</m:t>
        </m:r>
        <m:sSub>
          <m:sSubPr>
            <m:ctrlPr>
              <w:rPr>
                <w:rFonts w:ascii="Cambria Math" w:hAnsi="Cambria Math"/>
              </w:rPr>
            </m:ctrlPr>
          </m:sSubPr>
          <m:e>
            <m:r>
              <w:rPr>
                <w:rFonts w:ascii="Cambria Math" w:hAnsi="Cambria Math"/>
              </w:rPr>
              <m:t>N</m:t>
            </m:r>
          </m:e>
          <m:sub>
            <m:r>
              <w:rPr>
                <w:rFonts w:ascii="Cambria Math" w:hAnsi="Cambria Math"/>
              </w:rPr>
              <m:t>s</m:t>
            </m:r>
          </m:sub>
        </m:sSub>
        <m:r>
          <m:rPr>
            <m:sty m:val="p"/>
          </m:rPr>
          <w:rPr>
            <w:rFonts w:ascii="Cambria Math" w:hAnsi="Cambria Math"/>
          </w:rPr>
          <m:t>)</m:t>
        </m:r>
      </m:oMath>
      <w:r w:rsidRPr="009D673A">
        <w:tab/>
        <w:t>(1)</w:t>
      </w:r>
    </w:p>
    <w:p w14:paraId="4ABDB550" w14:textId="77777777" w:rsidR="00E170DC" w:rsidRPr="009D673A" w:rsidRDefault="00E170DC" w:rsidP="00802B39">
      <w:r w:rsidRPr="009D673A">
        <w:t xml:space="preserve">donde </w:t>
      </w:r>
      <w:r w:rsidRPr="009D673A">
        <w:rPr>
          <w:i/>
        </w:rPr>
        <w:t>N</w:t>
      </w:r>
      <w:r w:rsidRPr="009D673A">
        <w:rPr>
          <w:i/>
          <w:vertAlign w:val="subscript"/>
        </w:rPr>
        <w:t>g</w:t>
      </w:r>
      <w:r w:rsidRPr="009D673A">
        <w:t xml:space="preserve"> es el número de grupos de manchas solares, </w:t>
      </w:r>
      <w:r w:rsidRPr="009D673A">
        <w:rPr>
          <w:i/>
        </w:rPr>
        <w:t>N</w:t>
      </w:r>
      <w:r w:rsidRPr="009D673A">
        <w:rPr>
          <w:i/>
          <w:vertAlign w:val="subscript"/>
        </w:rPr>
        <w:t>s</w:t>
      </w:r>
      <w:r w:rsidRPr="009D673A">
        <w:t xml:space="preserve"> es el número de manchas individuales dentro de esos grupos y </w:t>
      </w:r>
      <w:r w:rsidRPr="009D673A">
        <w:rPr>
          <w:i/>
        </w:rPr>
        <w:t>k</w:t>
      </w:r>
      <w:r w:rsidRPr="009D673A">
        <w:t xml:space="preserve"> es un factor de normalización definido como 0,6 hasta 2015. Esta definición del número de manchas solares donde </w:t>
      </w:r>
      <w:r w:rsidRPr="009D673A">
        <w:rPr>
          <w:i/>
          <w:iCs/>
        </w:rPr>
        <w:t>k </w:t>
      </w:r>
      <w:r w:rsidRPr="009D673A">
        <w:t>= 0,6 se denomina versión 1 (v1).</w:t>
      </w:r>
    </w:p>
    <w:p w14:paraId="6AE194D4" w14:textId="77777777" w:rsidR="00E170DC" w:rsidRPr="009D673A" w:rsidRDefault="00E170DC" w:rsidP="00802B39">
      <w:r w:rsidRPr="009D673A">
        <w:t xml:space="preserve">En 2015, el factor </w:t>
      </w:r>
      <w:r w:rsidRPr="009D673A">
        <w:rPr>
          <w:i/>
        </w:rPr>
        <w:t>k</w:t>
      </w:r>
      <w:r w:rsidRPr="009D673A">
        <w:t xml:space="preserve"> quedó fijado en 1, de manera que se definió una versión 2 (v2) del número de manchas solares. Dado que las correlaciones numéricas que definen las variaciones diurnas y geográficas de la mediana mensual de foF12 y M(3000)F2 se basan en una relación lineal del número relativo de manchas solares donde </w:t>
      </w:r>
      <w:r w:rsidRPr="009D673A">
        <w:rPr>
          <w:i/>
        </w:rPr>
        <w:t>k</w:t>
      </w:r>
      <w:r w:rsidRPr="009D673A">
        <w:t xml:space="preserve"> = 0,6 (versión 1), al utilizar esas correlaciones se recomienda establecer el valor de 0,6 para el factor </w:t>
      </w:r>
      <w:r w:rsidRPr="009D673A">
        <w:rPr>
          <w:i/>
        </w:rPr>
        <w:t>k</w:t>
      </w:r>
      <w:r w:rsidRPr="009D673A">
        <w:t xml:space="preserve"> en la definición del número de manchas solares.</w:t>
      </w:r>
    </w:p>
    <w:p w14:paraId="6B176FE4" w14:textId="77777777" w:rsidR="00E170DC" w:rsidRPr="009D673A" w:rsidRDefault="00E170DC" w:rsidP="00802B39">
      <w:r w:rsidRPr="009D673A">
        <w:t xml:space="preserve">A fin de utilizar las bases de datos nuevas (posteriores a 2015) de </w:t>
      </w:r>
      <w:r w:rsidRPr="009D673A">
        <w:rPr>
          <w:i/>
        </w:rPr>
        <w:t>R</w:t>
      </w:r>
      <w:r w:rsidRPr="009D673A">
        <w:rPr>
          <w:i/>
          <w:vertAlign w:val="subscript"/>
        </w:rPr>
        <w:t>12</w:t>
      </w:r>
      <w:r w:rsidRPr="009D673A">
        <w:t>, los usuarios deben aplicar la corrección siguiente:</w:t>
      </w:r>
    </w:p>
    <w:p w14:paraId="7D2C66CD" w14:textId="77777777" w:rsidR="00E170DC" w:rsidRPr="00AD5240" w:rsidRDefault="00E170DC" w:rsidP="00AD5240">
      <w:pPr>
        <w:pStyle w:val="Equation"/>
      </w:pPr>
      <w:r w:rsidRPr="00AD5240">
        <w:tab/>
      </w:r>
      <w:r w:rsidRPr="00AD5240">
        <w:tab/>
      </w:r>
      <m:oMath>
        <m:sSub>
          <m:sSubPr>
            <m:ctrlPr>
              <w:rPr>
                <w:rFonts w:ascii="Cambria Math" w:hAnsi="Cambria Math"/>
              </w:rPr>
            </m:ctrlPr>
          </m:sSubPr>
          <m:e>
            <m:r>
              <w:rPr>
                <w:rFonts w:ascii="Cambria Math" w:hAnsi="Cambria Math"/>
              </w:rPr>
              <m:t>R</m:t>
            </m:r>
          </m:e>
          <m:sub>
            <m:r>
              <w:rPr>
                <w:rFonts w:ascii="Cambria Math" w:hAnsi="Cambria Math"/>
              </w:rPr>
              <m:t>v</m:t>
            </m:r>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R</m:t>
            </m:r>
          </m:e>
          <m:sub>
            <m:r>
              <w:rPr>
                <w:rFonts w:ascii="Cambria Math" w:hAnsi="Cambria Math"/>
              </w:rPr>
              <m:t>v</m:t>
            </m:r>
            <m:r>
              <m:rPr>
                <m:sty m:val="p"/>
              </m:rPr>
              <w:rPr>
                <w:rFonts w:ascii="Cambria Math" w:hAnsi="Cambria Math"/>
              </w:rPr>
              <m:t>2</m:t>
            </m:r>
          </m:sub>
        </m:sSub>
        <m:r>
          <m:rPr>
            <m:sty m:val="p"/>
          </m:rPr>
          <w:rPr>
            <w:rFonts w:ascii="Cambria Math" w:hAnsi="Cambria Math"/>
          </w:rPr>
          <m:t>×0,6</m:t>
        </m:r>
      </m:oMath>
      <w:r w:rsidRPr="00AD5240">
        <w:tab/>
        <w:t>(2)</w:t>
      </w:r>
    </w:p>
    <w:p w14:paraId="2B70B2BF" w14:textId="77777777" w:rsidR="00E170DC" w:rsidRPr="009D673A" w:rsidRDefault="00E170DC" w:rsidP="00802B39">
      <w:r w:rsidRPr="009D673A">
        <w:t>Cabe destacar que el Centro Mundial de Datos SILSO ha recalculado todos los valores históricos del número de manchas solares para que sea conforme con la versión 2. Esta es la opción predeterminada.</w:t>
      </w:r>
    </w:p>
    <w:p w14:paraId="1D860EFF" w14:textId="77777777" w:rsidR="00E170DC" w:rsidRPr="009D673A" w:rsidRDefault="00E170DC" w:rsidP="00802B39">
      <w:r w:rsidRPr="009D673A">
        <w:t xml:space="preserve">En los estudios sobre el componente principal del ciclo solar se utiliza la media móvil durante doce meses del número de manchas solares, </w:t>
      </w:r>
      <w:r w:rsidRPr="009D673A">
        <w:rPr>
          <w:i/>
        </w:rPr>
        <w:t>R</w:t>
      </w:r>
      <w:r w:rsidRPr="009D673A">
        <w:rPr>
          <w:position w:val="-4"/>
          <w:vertAlign w:val="subscript"/>
        </w:rPr>
        <w:t>12</w:t>
      </w:r>
      <w:r w:rsidRPr="009D673A">
        <w:t>, porque el redondeo resultante de esta media reduce considerablemente los componentes de variación complicada y rápida, sin enmascarar por ello el componente de variación lenta.</w:t>
      </w:r>
    </w:p>
    <w:p w14:paraId="3AFA1CA9" w14:textId="77777777" w:rsidR="00E170DC" w:rsidRPr="009D673A" w:rsidRDefault="00E170DC" w:rsidP="00802B39">
      <w:r w:rsidRPr="009D673A">
        <w:t xml:space="preserve">La definición de </w:t>
      </w:r>
      <w:r w:rsidRPr="009D673A">
        <w:rPr>
          <w:i/>
        </w:rPr>
        <w:t>R</w:t>
      </w:r>
      <w:r w:rsidRPr="009D673A">
        <w:rPr>
          <w:position w:val="-4"/>
          <w:vertAlign w:val="subscript"/>
        </w:rPr>
        <w:t>12</w:t>
      </w:r>
      <w:r w:rsidRPr="009D673A">
        <w:t xml:space="preserve"> es:</w:t>
      </w:r>
    </w:p>
    <w:p w14:paraId="282A58F0" w14:textId="77777777" w:rsidR="00E170DC" w:rsidRPr="00AD5240" w:rsidRDefault="00E170DC" w:rsidP="00AD5240">
      <w:pPr>
        <w:pStyle w:val="Equation"/>
      </w:pPr>
      <w:bookmarkStart w:id="4" w:name="F001"/>
      <w:r w:rsidRPr="00AD5240">
        <w:tab/>
      </w:r>
      <w:r w:rsidRPr="00AD5240">
        <w:tab/>
      </w:r>
      <m:oMath>
        <m:sSub>
          <m:sSubPr>
            <m:ctrlPr>
              <w:rPr>
                <w:rFonts w:ascii="Cambria Math" w:hAnsi="Cambria Math"/>
              </w:rPr>
            </m:ctrlPr>
          </m:sSubPr>
          <m:e>
            <m:r>
              <w:rPr>
                <w:rFonts w:ascii="Cambria Math" w:hAnsi="Cambria Math"/>
              </w:rPr>
              <m:t>R</m:t>
            </m:r>
          </m:e>
          <m:sub>
            <m:r>
              <m:rPr>
                <m:sty m:val="p"/>
              </m:rPr>
              <w:rPr>
                <w:rFonts w:ascii="Cambria Math" w:hAnsi="Cambria Math"/>
              </w:rPr>
              <m:t>12</m:t>
            </m:r>
          </m:sub>
        </m:sSub>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12</m:t>
            </m:r>
          </m:den>
        </m:f>
        <m:d>
          <m:dPr>
            <m:begChr m:val="["/>
            <m:endChr m:val="]"/>
            <m:ctrlPr>
              <w:rPr>
                <w:rFonts w:ascii="Cambria Math" w:hAnsi="Cambria Math"/>
              </w:rPr>
            </m:ctrlPr>
          </m:dPr>
          <m:e>
            <m:nary>
              <m:naryPr>
                <m:chr m:val="∑"/>
                <m:limLoc m:val="undOvr"/>
                <m:ctrlPr>
                  <w:rPr>
                    <w:rFonts w:ascii="Cambria Math" w:hAnsi="Cambria Math"/>
                  </w:rPr>
                </m:ctrlPr>
              </m:naryPr>
              <m:sub>
                <m:r>
                  <w:rPr>
                    <w:rFonts w:ascii="Cambria Math" w:hAnsi="Cambria Math"/>
                  </w:rPr>
                  <m:t>n</m:t>
                </m:r>
                <m:r>
                  <m:rPr>
                    <m:sty m:val="p"/>
                  </m:rPr>
                  <w:rPr>
                    <w:rFonts w:ascii="Cambria Math" w:hAnsi="Cambria Math"/>
                  </w:rPr>
                  <m:t>-5</m:t>
                </m:r>
              </m:sub>
              <m:sup>
                <m:r>
                  <w:rPr>
                    <w:rFonts w:ascii="Cambria Math" w:hAnsi="Cambria Math"/>
                  </w:rPr>
                  <m:t>n</m:t>
                </m:r>
                <m:r>
                  <m:rPr>
                    <m:sty m:val="p"/>
                  </m:rPr>
                  <w:rPr>
                    <w:rFonts w:ascii="Cambria Math" w:hAnsi="Cambria Math"/>
                  </w:rPr>
                  <m:t>+5</m:t>
                </m:r>
              </m:sup>
              <m:e>
                <m:sSub>
                  <m:sSubPr>
                    <m:ctrlPr>
                      <w:rPr>
                        <w:rFonts w:ascii="Cambria Math" w:hAnsi="Cambria Math"/>
                      </w:rPr>
                    </m:ctrlPr>
                  </m:sSubPr>
                  <m:e>
                    <m:r>
                      <w:rPr>
                        <w:rFonts w:ascii="Cambria Math" w:hAnsi="Cambria Math"/>
                      </w:rPr>
                      <m:t>R</m:t>
                    </m:r>
                  </m:e>
                  <m:sub>
                    <m:r>
                      <w:rPr>
                        <w:rFonts w:ascii="Cambria Math" w:hAnsi="Cambria Math"/>
                      </w:rPr>
                      <m:t>i</m:t>
                    </m:r>
                  </m:sub>
                </m:sSub>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d>
                  <m:dPr>
                    <m:ctrlPr>
                      <w:rPr>
                        <w:rFonts w:ascii="Cambria Math" w:hAnsi="Cambria Math"/>
                      </w:rPr>
                    </m:ctrlPr>
                  </m:dPr>
                  <m:e>
                    <m:sSub>
                      <m:sSubPr>
                        <m:ctrlPr>
                          <w:rPr>
                            <w:rFonts w:ascii="Cambria Math" w:hAnsi="Cambria Math"/>
                          </w:rPr>
                        </m:ctrlPr>
                      </m:sSubPr>
                      <m:e>
                        <m:r>
                          <w:rPr>
                            <w:rFonts w:ascii="Cambria Math" w:hAnsi="Cambria Math"/>
                          </w:rPr>
                          <m:t>R</m:t>
                        </m:r>
                      </m:e>
                      <m:sub>
                        <m:r>
                          <w:rPr>
                            <w:rFonts w:ascii="Cambria Math" w:hAnsi="Cambria Math"/>
                          </w:rPr>
                          <m:t>n</m:t>
                        </m:r>
                        <m:r>
                          <m:rPr>
                            <m:sty m:val="p"/>
                          </m:rPr>
                          <w:rPr>
                            <w:rFonts w:ascii="Cambria Math" w:hAnsi="Cambria Math"/>
                          </w:rPr>
                          <m:t>+6</m:t>
                        </m:r>
                      </m:sub>
                    </m:sSub>
                    <m:r>
                      <m:rPr>
                        <m:sty m:val="p"/>
                      </m:rPr>
                      <w:rPr>
                        <w:rFonts w:ascii="Cambria Math" w:hAnsi="Cambria Math"/>
                      </w:rPr>
                      <m:t>+</m:t>
                    </m:r>
                    <m:sSub>
                      <m:sSubPr>
                        <m:ctrlPr>
                          <w:rPr>
                            <w:rFonts w:ascii="Cambria Math" w:hAnsi="Cambria Math"/>
                          </w:rPr>
                        </m:ctrlPr>
                      </m:sSubPr>
                      <m:e>
                        <m:r>
                          <w:rPr>
                            <w:rFonts w:ascii="Cambria Math" w:hAnsi="Cambria Math"/>
                          </w:rPr>
                          <m:t>R</m:t>
                        </m:r>
                      </m:e>
                      <m:sub>
                        <m:r>
                          <w:rPr>
                            <w:rFonts w:ascii="Cambria Math" w:hAnsi="Cambria Math"/>
                          </w:rPr>
                          <m:t>n</m:t>
                        </m:r>
                        <m:r>
                          <m:rPr>
                            <m:sty m:val="p"/>
                          </m:rPr>
                          <w:rPr>
                            <w:rFonts w:ascii="Cambria Math" w:hAnsi="Cambria Math"/>
                          </w:rPr>
                          <m:t>-6</m:t>
                        </m:r>
                      </m:sub>
                    </m:sSub>
                  </m:e>
                </m:d>
              </m:e>
            </m:nary>
          </m:e>
        </m:d>
      </m:oMath>
      <w:r w:rsidRPr="00AD5240">
        <w:tab/>
        <w:t>(3)</w:t>
      </w:r>
    </w:p>
    <w:bookmarkEnd w:id="4"/>
    <w:p w14:paraId="7BA2A4FC" w14:textId="77777777" w:rsidR="00E170DC" w:rsidRPr="009D673A" w:rsidRDefault="00E170DC" w:rsidP="00802B39">
      <w:r w:rsidRPr="009D673A">
        <w:t xml:space="preserve">donde </w:t>
      </w:r>
      <w:r w:rsidRPr="009D673A">
        <w:rPr>
          <w:i/>
        </w:rPr>
        <w:t>R</w:t>
      </w:r>
      <w:r w:rsidRPr="009D673A">
        <w:rPr>
          <w:i/>
          <w:position w:val="-4"/>
        </w:rPr>
        <w:t>i</w:t>
      </w:r>
      <w:r w:rsidRPr="009D673A">
        <w:t xml:space="preserve"> es la media de los números diarios de manchas solares para el mes </w:t>
      </w:r>
      <w:r w:rsidRPr="009D673A">
        <w:rPr>
          <w:i/>
        </w:rPr>
        <w:t>i</w:t>
      </w:r>
      <w:r w:rsidRPr="009D673A">
        <w:t xml:space="preserve">, y </w:t>
      </w:r>
      <w:r w:rsidRPr="009D673A">
        <w:rPr>
          <w:i/>
        </w:rPr>
        <w:t>R</w:t>
      </w:r>
      <w:r w:rsidRPr="009D673A">
        <w:rPr>
          <w:position w:val="-4"/>
          <w:vertAlign w:val="subscript"/>
        </w:rPr>
        <w:t>12</w:t>
      </w:r>
      <w:r w:rsidRPr="009D673A">
        <w:t xml:space="preserve"> es el índice redondeado para el mes representado por </w:t>
      </w:r>
      <w:r w:rsidRPr="009D673A">
        <w:rPr>
          <w:i/>
        </w:rPr>
        <w:t>i</w:t>
      </w:r>
      <w:r w:rsidRPr="009D673A">
        <w:t> = </w:t>
      </w:r>
      <w:r w:rsidRPr="009D673A">
        <w:rPr>
          <w:i/>
        </w:rPr>
        <w:t>n</w:t>
      </w:r>
      <w:r w:rsidRPr="009D673A">
        <w:t>.</w:t>
      </w:r>
    </w:p>
    <w:p w14:paraId="29A0416C" w14:textId="77777777" w:rsidR="00E170DC" w:rsidRPr="009D673A" w:rsidRDefault="00E170DC" w:rsidP="00802B39">
      <w:r w:rsidRPr="009D673A">
        <w:lastRenderedPageBreak/>
        <w:t xml:space="preserve">Los dos principales inconvenientes de utilizar </w:t>
      </w:r>
      <w:r w:rsidRPr="009D673A">
        <w:rPr>
          <w:i/>
        </w:rPr>
        <w:t>R</w:t>
      </w:r>
      <w:r w:rsidRPr="009D673A">
        <w:rPr>
          <w:position w:val="-4"/>
          <w:vertAlign w:val="subscript"/>
        </w:rPr>
        <w:t>12</w:t>
      </w:r>
      <w:r w:rsidRPr="009D673A">
        <w:t xml:space="preserve"> son:</w:t>
      </w:r>
    </w:p>
    <w:p w14:paraId="03FA990A" w14:textId="77777777" w:rsidR="00E170DC" w:rsidRPr="009D673A" w:rsidRDefault="00E170DC" w:rsidP="00802B39">
      <w:pPr>
        <w:pStyle w:val="enumlev1"/>
      </w:pPr>
      <w:r w:rsidRPr="009D673A">
        <w:t>–</w:t>
      </w:r>
      <w:r w:rsidRPr="009D673A">
        <w:tab/>
        <w:t>que el valor más reciente disponible se refiere forzosamente a un periodo cuyo mes central es, por lo menos, seis meses anterior al momento actual;</w:t>
      </w:r>
    </w:p>
    <w:p w14:paraId="3FCDCF14" w14:textId="77777777" w:rsidR="00E170DC" w:rsidRPr="009D673A" w:rsidRDefault="00E170DC" w:rsidP="00802B39">
      <w:pPr>
        <w:pStyle w:val="enumlev1"/>
      </w:pPr>
      <w:r w:rsidRPr="009D673A">
        <w:t>–</w:t>
      </w:r>
      <w:r w:rsidRPr="009D673A">
        <w:tab/>
        <w:t>que no puede utilizarse para prever las variaciones a más corto plazo de la actividad solar.</w:t>
      </w:r>
    </w:p>
    <w:p w14:paraId="558DFFD1" w14:textId="77777777" w:rsidR="00E170DC" w:rsidRPr="009D673A" w:rsidRDefault="00E170DC" w:rsidP="00802B39">
      <w:r w:rsidRPr="009D673A">
        <w:t xml:space="preserve">Sin embargo, </w:t>
      </w:r>
      <w:r w:rsidRPr="009D673A">
        <w:rPr>
          <w:i/>
        </w:rPr>
        <w:t>R</w:t>
      </w:r>
      <w:r w:rsidRPr="009D673A">
        <w:rPr>
          <w:position w:val="-4"/>
          <w:vertAlign w:val="subscript"/>
        </w:rPr>
        <w:t>12</w:t>
      </w:r>
      <w:r w:rsidRPr="009D673A">
        <w:t xml:space="preserve"> parece ser el parámetro más útil para los estudios y las previsiones a largo plazo, en lo relativo a la capa F2. Salvo que se indique lo contrario, se debe utilizar la versión</w:t>
      </w:r>
      <w:r>
        <w:t> </w:t>
      </w:r>
      <w:r w:rsidRPr="009D673A">
        <w:t xml:space="preserve">1 de </w:t>
      </w:r>
      <w:r w:rsidRPr="009D673A">
        <w:rPr>
          <w:i/>
        </w:rPr>
        <w:t>R</w:t>
      </w:r>
      <w:r w:rsidRPr="009D673A">
        <w:rPr>
          <w:position w:val="-4"/>
          <w:vertAlign w:val="subscript"/>
        </w:rPr>
        <w:t>12</w:t>
      </w:r>
      <w:r w:rsidRPr="009D673A">
        <w:t xml:space="preserve"> (esto es, </w:t>
      </w:r>
      <w:r w:rsidRPr="009D673A">
        <w:rPr>
          <w:i/>
          <w:iCs/>
        </w:rPr>
        <w:t>R</w:t>
      </w:r>
      <w:r w:rsidRPr="009D673A">
        <w:rPr>
          <w:vertAlign w:val="subscript"/>
        </w:rPr>
        <w:t xml:space="preserve">12 </w:t>
      </w:r>
      <w:r w:rsidRPr="009D673A">
        <w:t xml:space="preserve">calculado a partir de </w:t>
      </w:r>
      <w:r w:rsidRPr="009D673A">
        <w:rPr>
          <w:i/>
          <w:iCs/>
        </w:rPr>
        <w:t>R</w:t>
      </w:r>
      <w:r w:rsidRPr="009D673A">
        <w:t xml:space="preserve"> con </w:t>
      </w:r>
      <w:r w:rsidRPr="009D673A">
        <w:rPr>
          <w:i/>
          <w:iCs/>
        </w:rPr>
        <w:t>k</w:t>
      </w:r>
      <w:r w:rsidRPr="009D673A">
        <w:t> = 0,6).</w:t>
      </w:r>
    </w:p>
    <w:p w14:paraId="439BCEB1" w14:textId="77777777" w:rsidR="00E170DC" w:rsidRPr="009D673A" w:rsidRDefault="00E170DC" w:rsidP="00802B39">
      <w:pPr>
        <w:pStyle w:val="Heading1"/>
      </w:pPr>
      <w:r w:rsidRPr="009D673A">
        <w:t>3</w:t>
      </w:r>
      <w:r w:rsidRPr="009D673A">
        <w:tab/>
        <w:t xml:space="preserve">Índice </w:t>
      </w:r>
      <w:r w:rsidRPr="009D673A">
        <w:sym w:font="Symbol" w:char="F046"/>
      </w:r>
    </w:p>
    <w:p w14:paraId="4B552701" w14:textId="77777777" w:rsidR="00E170DC" w:rsidRPr="009D673A" w:rsidRDefault="00E170DC" w:rsidP="00802B39">
      <w:r w:rsidRPr="009D673A">
        <w:t xml:space="preserve">Laboratorios canadienses, japoneses y de otros países han realizado una serie razonablemente larga de observaciones del flujo de ruido radioeléctrico solar en longitudes de onda de unos 10 cm. La media mensual, </w:t>
      </w:r>
      <w:r w:rsidRPr="009D673A">
        <w:sym w:font="Symbol" w:char="F046"/>
      </w:r>
      <w:r w:rsidRPr="009D673A">
        <w:t>, de los valores diarios observados desde Canadá, expresados en unidades de 10</w:t>
      </w:r>
      <w:r w:rsidRPr="00D52792">
        <w:rPr>
          <w:position w:val="6"/>
          <w:sz w:val="16"/>
        </w:rPr>
        <w:t>–22</w:t>
      </w:r>
      <w:r w:rsidRPr="00D52792">
        <w:t xml:space="preserve"> </w:t>
      </w:r>
      <w:r w:rsidRPr="009D673A">
        <w:t>Wm</w:t>
      </w:r>
      <w:r w:rsidRPr="00D52792">
        <w:rPr>
          <w:position w:val="6"/>
          <w:sz w:val="16"/>
        </w:rPr>
        <w:t>–2</w:t>
      </w:r>
      <w:r w:rsidRPr="00D52792">
        <w:t xml:space="preserve"> </w:t>
      </w:r>
      <w:r w:rsidRPr="009D673A">
        <w:t>Hz</w:t>
      </w:r>
      <w:r w:rsidRPr="00D52792">
        <w:rPr>
          <w:position w:val="6"/>
          <w:sz w:val="16"/>
        </w:rPr>
        <w:t>–1</w:t>
      </w:r>
      <w:r w:rsidRPr="009D673A">
        <w:t xml:space="preserve">, debe considerarse como dato de referencia para este índice. </w:t>
      </w:r>
      <w:r w:rsidRPr="009D673A">
        <w:rPr>
          <w:rFonts w:ascii="Symbol" w:hAnsi="Symbol"/>
          <w:sz w:val="20"/>
        </w:rPr>
        <w:t></w:t>
      </w:r>
      <w:r w:rsidRPr="009D673A">
        <w:t xml:space="preserve"> guarda una correlación más estrecha con la frecuencia crítica de la capa E que los valores del flujo de ruido en otras longitudes de onda. Dado que se cuenta con observaciones de flujo solar sólo desde 1947, el número de manchas solares sigue siendo una de las series de observaciones más largas de un fenómeno natural, por lo que deben seguirse recogiendo y registrando observaciones de las manchas solares.</w:t>
      </w:r>
    </w:p>
    <w:p w14:paraId="1CC62EE0" w14:textId="77777777" w:rsidR="00E170DC" w:rsidRPr="009D673A" w:rsidRDefault="00E170DC" w:rsidP="00802B39">
      <w:pPr>
        <w:pStyle w:val="Heading1"/>
      </w:pPr>
      <w:r w:rsidRPr="009D673A">
        <w:t>4</w:t>
      </w:r>
      <w:r w:rsidRPr="009D673A">
        <w:tab/>
        <w:t>Otros índices</w:t>
      </w:r>
    </w:p>
    <w:p w14:paraId="7A011539" w14:textId="77777777" w:rsidR="00E170DC" w:rsidRPr="009D673A" w:rsidRDefault="00E170DC" w:rsidP="00802B39">
      <w:r w:rsidRPr="009D673A">
        <w:t>En el pasado se ha examinado un número importante de índices diferentes para tratar de representar los cambios a largo plazo de las distintas características ionosféricas; de entre todos ellos, el UIT-R recomienda los índices </w:t>
      </w:r>
      <w:r w:rsidRPr="009D673A">
        <w:rPr>
          <w:i/>
        </w:rPr>
        <w:t>R</w:t>
      </w:r>
      <w:r w:rsidRPr="009D673A">
        <w:rPr>
          <w:position w:val="-4"/>
          <w:vertAlign w:val="subscript"/>
        </w:rPr>
        <w:t>12</w:t>
      </w:r>
      <w:r w:rsidRPr="009D673A">
        <w:t xml:space="preserve"> y </w:t>
      </w:r>
      <w:r w:rsidRPr="009D673A">
        <w:sym w:font="Symbol" w:char="F046"/>
      </w:r>
      <w:r w:rsidRPr="009D673A">
        <w:rPr>
          <w:position w:val="-4"/>
          <w:vertAlign w:val="subscript"/>
        </w:rPr>
        <w:t>12</w:t>
      </w:r>
      <w:r w:rsidRPr="009D673A">
        <w:t xml:space="preserve"> para las predicciones ionosféricas.</w:t>
      </w:r>
    </w:p>
    <w:p w14:paraId="16982159" w14:textId="77777777" w:rsidR="00E170DC" w:rsidRPr="009D673A" w:rsidRDefault="00E170DC" w:rsidP="00802B39">
      <w:pPr>
        <w:pStyle w:val="Heading1"/>
      </w:pPr>
      <w:r w:rsidRPr="009D673A">
        <w:t>5</w:t>
      </w:r>
      <w:r w:rsidRPr="009D673A">
        <w:tab/>
        <w:t xml:space="preserve">Correlación entre </w:t>
      </w:r>
      <w:r w:rsidRPr="009D673A">
        <w:sym w:font="Symbol" w:char="F046"/>
      </w:r>
      <w:r w:rsidRPr="009D673A">
        <w:rPr>
          <w:position w:val="-4"/>
          <w:vertAlign w:val="subscript"/>
        </w:rPr>
        <w:t>12</w:t>
      </w:r>
      <w:r w:rsidRPr="009D673A">
        <w:t xml:space="preserve"> y </w:t>
      </w:r>
      <w:r w:rsidRPr="009D673A">
        <w:rPr>
          <w:i/>
        </w:rPr>
        <w:t>R</w:t>
      </w:r>
      <w:r w:rsidRPr="009D673A">
        <w:rPr>
          <w:position w:val="-4"/>
          <w:vertAlign w:val="subscript"/>
        </w:rPr>
        <w:t>12</w:t>
      </w:r>
    </w:p>
    <w:p w14:paraId="65440DB3" w14:textId="77777777" w:rsidR="00E170DC" w:rsidRPr="009D673A" w:rsidRDefault="00E170DC" w:rsidP="00802B39">
      <w:r w:rsidRPr="009D673A">
        <w:t xml:space="preserve">La relación recomendada entre </w:t>
      </w:r>
      <w:r w:rsidRPr="009D673A">
        <w:rPr>
          <w:i/>
        </w:rPr>
        <w:t>R</w:t>
      </w:r>
      <w:r w:rsidRPr="009D673A">
        <w:rPr>
          <w:position w:val="-4"/>
          <w:vertAlign w:val="subscript"/>
        </w:rPr>
        <w:t>12</w:t>
      </w:r>
      <w:r w:rsidRPr="009D673A">
        <w:t xml:space="preserve"> y </w:t>
      </w:r>
      <w:r w:rsidRPr="009D673A">
        <w:sym w:font="Symbol" w:char="F046"/>
      </w:r>
      <w:r w:rsidRPr="009D673A">
        <w:rPr>
          <w:position w:val="-4"/>
          <w:vertAlign w:val="subscript"/>
        </w:rPr>
        <w:t>12</w:t>
      </w:r>
      <w:r w:rsidRPr="009D673A">
        <w:t>, también indicada en la Fig. 1, es:</w:t>
      </w:r>
    </w:p>
    <w:p w14:paraId="7ECE78F8" w14:textId="77777777" w:rsidR="00E170DC" w:rsidRPr="009D673A" w:rsidRDefault="00E170DC" w:rsidP="00AD5240">
      <w:pPr>
        <w:pStyle w:val="Equation"/>
      </w:pPr>
      <w:r w:rsidRPr="009D673A">
        <w:tab/>
      </w:r>
      <w:r w:rsidRPr="009D673A">
        <w:tab/>
      </w:r>
      <m:oMath>
        <m:sSub>
          <m:sSubPr>
            <m:ctrlPr>
              <w:rPr>
                <w:rFonts w:ascii="Cambria Math" w:hAnsi="Cambria Math"/>
              </w:rPr>
            </m:ctrlPr>
          </m:sSubPr>
          <m:e>
            <m:r>
              <m:rPr>
                <m:sty m:val="p"/>
              </m:rPr>
              <w:rPr>
                <w:rFonts w:ascii="Cambria Math" w:hAnsi="Cambria Math"/>
              </w:rPr>
              <m:t>Φ</m:t>
            </m:r>
          </m:e>
          <m:sub>
            <m:r>
              <m:rPr>
                <m:sty m:val="p"/>
              </m:rPr>
              <w:rPr>
                <w:rFonts w:ascii="Cambria Math" w:hAnsi="Cambria Math"/>
              </w:rPr>
              <m:t>12</m:t>
            </m:r>
          </m:sub>
        </m:sSub>
        <m:r>
          <m:rPr>
            <m:sty m:val="p"/>
          </m:rPr>
          <w:rPr>
            <w:rFonts w:ascii="Cambria Math" w:hAnsi="Cambria Math"/>
          </w:rPr>
          <m:t xml:space="preserve">=63,7+0,728 </m:t>
        </m:r>
        <m:sSub>
          <m:sSubPr>
            <m:ctrlPr>
              <w:rPr>
                <w:rFonts w:ascii="Cambria Math" w:hAnsi="Cambria Math"/>
              </w:rPr>
            </m:ctrlPr>
          </m:sSubPr>
          <m:e>
            <m:r>
              <w:rPr>
                <w:rFonts w:ascii="Cambria Math" w:hAnsi="Cambria Math"/>
              </w:rPr>
              <m:t>R</m:t>
            </m:r>
          </m:e>
          <m:sub>
            <m:r>
              <m:rPr>
                <m:sty m:val="p"/>
              </m:rPr>
              <w:rPr>
                <w:rFonts w:ascii="Cambria Math" w:hAnsi="Cambria Math"/>
              </w:rPr>
              <m:t>12</m:t>
            </m:r>
          </m:sub>
        </m:sSub>
        <m:r>
          <m:rPr>
            <m:sty m:val="p"/>
          </m:rPr>
          <w:rPr>
            <w:rFonts w:ascii="Cambria Math" w:hAnsi="Cambria Math"/>
          </w:rPr>
          <m:t>+8,9×</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-4</m:t>
            </m:r>
          </m:sup>
        </m:sSup>
        <m:sSubSup>
          <m:sSubSupPr>
            <m:ctrlPr>
              <w:rPr>
                <w:rFonts w:ascii="Cambria Math" w:hAnsi="Cambria Math"/>
              </w:rPr>
            </m:ctrlPr>
          </m:sSubSupPr>
          <m:e>
            <m:r>
              <w:rPr>
                <w:rFonts w:ascii="Cambria Math" w:hAnsi="Cambria Math"/>
              </w:rPr>
              <m:t>R</m:t>
            </m:r>
          </m:e>
          <m:sub>
            <m:r>
              <m:rPr>
                <m:sty m:val="p"/>
              </m:rPr>
              <w:rPr>
                <w:rFonts w:ascii="Cambria Math" w:hAnsi="Cambria Math"/>
              </w:rPr>
              <m:t>12</m:t>
            </m:r>
          </m:sub>
          <m:sup>
            <m:r>
              <m:rPr>
                <m:sty m:val="p"/>
              </m:rPr>
              <w:rPr>
                <w:rFonts w:ascii="Cambria Math" w:hAnsi="Cambria Math"/>
              </w:rPr>
              <m:t>2</m:t>
            </m:r>
          </m:sup>
        </m:sSubSup>
      </m:oMath>
      <w:r w:rsidRPr="009D673A">
        <w:tab/>
        <w:t>(4)</w:t>
      </w:r>
    </w:p>
    <w:p w14:paraId="5203C657" w14:textId="77777777" w:rsidR="00E170DC" w:rsidRPr="009D673A" w:rsidRDefault="00E170DC" w:rsidP="00802B39">
      <w:pPr>
        <w:pStyle w:val="Heading1"/>
      </w:pPr>
      <w:r w:rsidRPr="009D673A">
        <w:t>6</w:t>
      </w:r>
      <w:r w:rsidRPr="009D673A">
        <w:tab/>
        <w:t>Predicción de índices</w:t>
      </w:r>
    </w:p>
    <w:p w14:paraId="75DCE85F" w14:textId="77777777" w:rsidR="00E170DC" w:rsidRPr="009D673A" w:rsidRDefault="00E170DC" w:rsidP="00802B39">
      <w:r w:rsidRPr="009D673A">
        <w:t>Todavía no existe ningún método que permita prever con precisión los índices del próximo ciclo de actividad solar o, de manera más general, de un ciclo que todavía no haya comenzado. Los índices calculados mediante el análisis armónico o a base de leyes empíricas o estadísticas aplicadas a las observaciones efectuadas en ciclos anteriores, e incluso en los recientes, no han resultado útiles para prever los de un nuevo ciclo. Después de haberse observado un mínimo de actividad solar la evolución ulterior del ciclo puede extrapolarse en cierta medida, aunque las desviaciones observadas son más bien extremas.</w:t>
      </w:r>
    </w:p>
    <w:p w14:paraId="36CB6C83" w14:textId="77777777" w:rsidR="00E170DC" w:rsidRPr="009D673A" w:rsidRDefault="00E170DC" w:rsidP="00802B39">
      <w:r w:rsidRPr="009D673A">
        <w:t xml:space="preserve">En los Estados Unidos de América, </w:t>
      </w:r>
      <w:r w:rsidRPr="009D673A">
        <w:rPr>
          <w:i/>
        </w:rPr>
        <w:t>R</w:t>
      </w:r>
      <w:r w:rsidRPr="009D673A">
        <w:rPr>
          <w:position w:val="-4"/>
          <w:vertAlign w:val="subscript"/>
        </w:rPr>
        <w:t>12</w:t>
      </w:r>
      <w:r w:rsidRPr="009D673A">
        <w:t xml:space="preserve"> se predice utilizando un método objetivo perfeccionado del método McNish</w:t>
      </w:r>
      <w:r w:rsidRPr="009D673A">
        <w:noBreakHyphen/>
        <w:t xml:space="preserve">Lincoln. Se empieza por calcular un ciclo medio a base de todos los valores anteriores de </w:t>
      </w:r>
      <w:r w:rsidRPr="009D673A">
        <w:rPr>
          <w:i/>
        </w:rPr>
        <w:t>R</w:t>
      </w:r>
      <w:r w:rsidRPr="009D673A">
        <w:rPr>
          <w:position w:val="-4"/>
          <w:vertAlign w:val="subscript"/>
        </w:rPr>
        <w:t>12</w:t>
      </w:r>
      <w:r w:rsidRPr="009D673A">
        <w:t xml:space="preserve">, ordenados a partir del mínimo número de manchas solares de cada ciclo, a lo largo de un periodo de once años. Para la previsión de un valor particular del ciclo en curso, se toma como primera aproximación el valor del ciclo medio en el momento especificado después del mínimo. Esta evaluación se mejora aplicando un factor de corrección proporcional a la diferencia entre el último valor observado del ciclo en curso y el valor del ciclo medio. Los actuales programas de computador permiten hacer una nueva previsión para cada mes del resto del ciclo, tan pronto como se dispone de </w:t>
      </w:r>
      <w:r w:rsidRPr="009D673A">
        <w:lastRenderedPageBreak/>
        <w:t>un nuevo valor observado. La incertidumbre estadística de la previsión es bastante pequeña para los primeros meses que siguen al último valor observado, pero adquiere grandes proporciones en el caso de previsiones hechas con una antelación de doce meses o más. Tan pronto como se identifica un mínimo, pueden calcularse nuevos factores de corrección, teniendo en cuenta, para aplicarlos al nuevo ciclo, los valores observados para el ciclo precedente.</w:t>
      </w:r>
    </w:p>
    <w:p w14:paraId="350EBBED" w14:textId="77777777" w:rsidR="00E170DC" w:rsidRDefault="00E170DC" w:rsidP="00802B39">
      <w:pPr>
        <w:pStyle w:val="FigureNo"/>
        <w:rPr>
          <w:lang w:eastAsia="zh-CN"/>
        </w:rPr>
      </w:pPr>
      <w:r>
        <w:rPr>
          <w:lang w:eastAsia="zh-CN"/>
        </w:rPr>
        <w:t>figurA 1</w:t>
      </w:r>
    </w:p>
    <w:p w14:paraId="114C40E0" w14:textId="3EE111F2" w:rsidR="00E170DC" w:rsidRPr="009D673A" w:rsidRDefault="00E170DC" w:rsidP="00802B39">
      <w:pPr>
        <w:pStyle w:val="Figuretitle"/>
      </w:pPr>
      <w:r w:rsidRPr="009D673A">
        <w:t xml:space="preserve">Relación entre </w:t>
      </w:r>
      <w:r w:rsidRPr="009D673A">
        <w:rPr>
          <w:i/>
        </w:rPr>
        <w:t>R</w:t>
      </w:r>
      <w:r w:rsidRPr="009D673A">
        <w:rPr>
          <w:position w:val="-4"/>
          <w:vertAlign w:val="subscript"/>
        </w:rPr>
        <w:t>12</w:t>
      </w:r>
      <w:r w:rsidRPr="009D673A">
        <w:t xml:space="preserve"> </w:t>
      </w:r>
      <w:r w:rsidR="00B37217">
        <w:t>y</w:t>
      </w:r>
      <w:r w:rsidRPr="009D673A">
        <w:t xml:space="preserve"> </w:t>
      </w:r>
      <w:r w:rsidRPr="009D673A">
        <w:rPr>
          <w:rFonts w:ascii="Symbol" w:hAnsi="Symbol"/>
        </w:rPr>
        <w:t></w:t>
      </w:r>
      <w:r w:rsidRPr="009D673A">
        <w:rPr>
          <w:position w:val="-4"/>
          <w:vertAlign w:val="subscript"/>
        </w:rPr>
        <w:t>12</w:t>
      </w:r>
    </w:p>
    <w:p w14:paraId="356199AF" w14:textId="77777777" w:rsidR="00E170DC" w:rsidRPr="009D673A" w:rsidRDefault="00E170DC" w:rsidP="00AD5240">
      <w:pPr>
        <w:pStyle w:val="Figure"/>
      </w:pPr>
      <w:r w:rsidRPr="009D673A">
        <w:rPr>
          <w:noProof/>
        </w:rPr>
        <w:drawing>
          <wp:inline distT="0" distB="0" distL="0" distR="0" wp14:anchorId="67000AE1" wp14:editId="07AE48DC">
            <wp:extent cx="4346457" cy="4504953"/>
            <wp:effectExtent l="0" t="0" r="0" b="0"/>
            <wp:docPr id="8" name="Picture 8" descr="A graph with a 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graph with a line&#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346457" cy="4504953"/>
                    </a:xfrm>
                    <a:prstGeom prst="rect">
                      <a:avLst/>
                    </a:prstGeom>
                  </pic:spPr>
                </pic:pic>
              </a:graphicData>
            </a:graphic>
          </wp:inline>
        </w:drawing>
      </w:r>
    </w:p>
    <w:p w14:paraId="7C518CE9" w14:textId="77777777" w:rsidR="00E170DC" w:rsidRPr="009D673A" w:rsidRDefault="00E170DC" w:rsidP="00AD5240">
      <w:pPr>
        <w:pStyle w:val="Normalaftertitle"/>
      </w:pPr>
      <w:r w:rsidRPr="009D673A">
        <w:t xml:space="preserve">El Centro Mundial de Datos para los Índices de la Actividad Solar (SIDC – </w:t>
      </w:r>
      <w:r w:rsidRPr="009D673A">
        <w:rPr>
          <w:i/>
        </w:rPr>
        <w:t>Sunspot Index Data Centre</w:t>
      </w:r>
      <w:r w:rsidRPr="009D673A">
        <w:t>), de Bruselas, también realiza predicciones de </w:t>
      </w:r>
      <w:r w:rsidRPr="009D673A">
        <w:rPr>
          <w:i/>
        </w:rPr>
        <w:t>R</w:t>
      </w:r>
      <w:r w:rsidRPr="009D673A">
        <w:rPr>
          <w:position w:val="-4"/>
          <w:vertAlign w:val="subscript"/>
        </w:rPr>
        <w:t>12</w:t>
      </w:r>
      <w:r w:rsidRPr="009D673A">
        <w:t xml:space="preserve"> con un año de antelación. En la Fig. 2 se muestra un ejemplo de sus predicciones para el ciclo solar 22, que pueden ser comparadas con los valores observados suavizados.</w:t>
      </w:r>
    </w:p>
    <w:p w14:paraId="5F97CBA4" w14:textId="77777777" w:rsidR="00E170DC" w:rsidRPr="009D673A" w:rsidRDefault="00E170DC" w:rsidP="00802B39">
      <w:r w:rsidRPr="009D673A">
        <w:t xml:space="preserve">Las predicciones de </w:t>
      </w:r>
      <w:r w:rsidRPr="009D673A">
        <w:sym w:font="Symbol" w:char="F046"/>
      </w:r>
      <w:r w:rsidRPr="009D673A">
        <w:rPr>
          <w:position w:val="-4"/>
          <w:vertAlign w:val="subscript"/>
        </w:rPr>
        <w:t>12</w:t>
      </w:r>
      <w:r w:rsidRPr="009D673A">
        <w:t>, basadas en el método McNish</w:t>
      </w:r>
      <w:r w:rsidRPr="009D673A">
        <w:noBreakHyphen/>
        <w:t>Lincoln, las realiza la Oficina de Radiocomunicaciones (BR).</w:t>
      </w:r>
    </w:p>
    <w:p w14:paraId="5D6C3C4D" w14:textId="3FE9C018" w:rsidR="00E170DC" w:rsidRPr="009D673A" w:rsidRDefault="00E170DC" w:rsidP="00802B39">
      <w:r w:rsidRPr="009D673A">
        <w:t xml:space="preserve">Los valores medidos y previstos de </w:t>
      </w:r>
      <w:r w:rsidRPr="009D673A">
        <w:rPr>
          <w:i/>
        </w:rPr>
        <w:t>R</w:t>
      </w:r>
      <w:r w:rsidRPr="009D673A">
        <w:t xml:space="preserve"> y </w:t>
      </w:r>
      <w:r w:rsidR="00AD5240">
        <w:rPr>
          <w:rFonts w:ascii="Symbol" w:hAnsi="Symbol"/>
        </w:rPr>
        <w:t></w:t>
      </w:r>
      <w:r w:rsidRPr="009D673A">
        <w:t xml:space="preserve"> y sus valores medios tras un periodo de observación de 12 meses (</w:t>
      </w:r>
      <w:r w:rsidRPr="009D673A">
        <w:rPr>
          <w:i/>
        </w:rPr>
        <w:t>R</w:t>
      </w:r>
      <w:r w:rsidRPr="009D673A">
        <w:rPr>
          <w:position w:val="-4"/>
          <w:vertAlign w:val="subscript"/>
        </w:rPr>
        <w:t>12</w:t>
      </w:r>
      <w:r w:rsidRPr="009D673A">
        <w:t> y </w:t>
      </w:r>
      <w:r w:rsidRPr="009D673A">
        <w:sym w:font="Symbol" w:char="F046"/>
      </w:r>
      <w:r w:rsidRPr="009D673A">
        <w:rPr>
          <w:position w:val="-4"/>
          <w:vertAlign w:val="subscript"/>
        </w:rPr>
        <w:t>12</w:t>
      </w:r>
      <w:r w:rsidRPr="009D673A">
        <w:t>) se publican en las Circulares mensuales de índices básicos para la propagación ionosférica de la BR (y están disponibles en el sitio Web de la UIT).</w:t>
      </w:r>
    </w:p>
    <w:p w14:paraId="1C523B21" w14:textId="77777777" w:rsidR="00E170DC" w:rsidRPr="009D673A" w:rsidRDefault="00E170DC" w:rsidP="00802B39">
      <w:r w:rsidRPr="009D673A">
        <w:t xml:space="preserve">El SIDC pone también a disposición, por correo electrónico, los valores previstos y medidos de </w:t>
      </w:r>
      <w:r w:rsidRPr="009D673A">
        <w:rPr>
          <w:i/>
        </w:rPr>
        <w:t>R</w:t>
      </w:r>
      <w:r w:rsidRPr="009D673A">
        <w:t xml:space="preserve"> mediante el procedimiento anónimo del protocolo de transferencia de ficheros.</w:t>
      </w:r>
    </w:p>
    <w:p w14:paraId="19B31CB5" w14:textId="77777777" w:rsidR="00E170DC" w:rsidRPr="009D673A" w:rsidRDefault="00E170DC" w:rsidP="00802B39">
      <w:pPr>
        <w:pStyle w:val="FigureNo"/>
      </w:pPr>
      <w:r w:rsidRPr="009D673A">
        <w:lastRenderedPageBreak/>
        <w:t>FIGURA 2</w:t>
      </w:r>
    </w:p>
    <w:p w14:paraId="07611CAE" w14:textId="77777777" w:rsidR="00E170DC" w:rsidRPr="009D673A" w:rsidRDefault="00E170DC" w:rsidP="00802B39">
      <w:pPr>
        <w:pStyle w:val="Figuretitle"/>
      </w:pPr>
      <w:r w:rsidRPr="009D673A">
        <w:t xml:space="preserve">Ejemplo de números de manchas solares, </w:t>
      </w:r>
      <w:r w:rsidRPr="009D673A">
        <w:rPr>
          <w:i/>
        </w:rPr>
        <w:t>R</w:t>
      </w:r>
      <w:r w:rsidRPr="009D673A">
        <w:rPr>
          <w:vertAlign w:val="subscript"/>
        </w:rPr>
        <w:t>12</w:t>
      </w:r>
      <w:r w:rsidRPr="009D673A">
        <w:t>, previstos y observados (ciclo 22)</w:t>
      </w:r>
    </w:p>
    <w:p w14:paraId="15196390" w14:textId="22526DE2" w:rsidR="00B874C6" w:rsidRDefault="00961786" w:rsidP="00961786">
      <w:pPr>
        <w:pStyle w:val="Figure"/>
      </w:pPr>
      <w:r>
        <w:rPr>
          <w:noProof/>
        </w:rPr>
        <w:drawing>
          <wp:inline distT="0" distB="0" distL="0" distR="0" wp14:anchorId="4F4E3391" wp14:editId="5E39AA5C">
            <wp:extent cx="6120765" cy="3907155"/>
            <wp:effectExtent l="0" t="0" r="0" b="0"/>
            <wp:docPr id="9" name="Picture 9" descr="A graph showing the growth of a mount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graph showing the growth of a mountain&#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120765" cy="3907155"/>
                    </a:xfrm>
                    <a:prstGeom prst="rect">
                      <a:avLst/>
                    </a:prstGeom>
                  </pic:spPr>
                </pic:pic>
              </a:graphicData>
            </a:graphic>
          </wp:inline>
        </w:drawing>
      </w:r>
    </w:p>
    <w:p w14:paraId="68A0281E" w14:textId="77777777" w:rsidR="00961786" w:rsidRPr="00F17CED" w:rsidRDefault="00961786" w:rsidP="00B874C6"/>
    <w:p w14:paraId="0A0D356D" w14:textId="77777777" w:rsidR="00B874C6" w:rsidRPr="00F17CED" w:rsidRDefault="00B874C6" w:rsidP="00B874C6">
      <w:pPr>
        <w:pStyle w:val="Line"/>
        <w:rPr>
          <w:lang w:val="es-ES"/>
        </w:rPr>
      </w:pPr>
    </w:p>
    <w:sectPr w:rsidR="00B874C6" w:rsidRPr="00F17CED" w:rsidSect="007565CC">
      <w:footerReference w:type="default" r:id="rId16"/>
      <w:pgSz w:w="11907" w:h="16834" w:code="9"/>
      <w:pgMar w:top="1418" w:right="1134" w:bottom="1134" w:left="1134" w:header="720" w:footer="48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B63B7" w14:textId="77777777" w:rsidR="0033475B" w:rsidRDefault="0033475B">
      <w:r>
        <w:separator/>
      </w:r>
    </w:p>
  </w:endnote>
  <w:endnote w:type="continuationSeparator" w:id="0">
    <w:p w14:paraId="3AA0234C" w14:textId="77777777" w:rsidR="0033475B" w:rsidRDefault="00334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Next LT Pro Medium">
    <w:altName w:val="Calibri"/>
    <w:panose1 w:val="020B0604020202020204"/>
    <w:charset w:val="00"/>
    <w:family w:val="swiss"/>
    <w:notTrueType/>
    <w:pitch w:val="variable"/>
    <w:sig w:usb0="800000AF" w:usb1="5000204A" w:usb2="00000000" w:usb3="00000000" w:csb0="00000093" w:csb1="00000000"/>
  </w:font>
  <w:font w:name="AvenirNext LT Pro Regular">
    <w:altName w:val="Calibri"/>
    <w:panose1 w:val="020B0504020202020204"/>
    <w:charset w:val="00"/>
    <w:family w:val="swiss"/>
    <w:notTrueType/>
    <w:pitch w:val="variable"/>
    <w:sig w:usb0="800000AF" w:usb1="5000204A"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34FF6" w14:textId="77777777" w:rsidR="00301DB3" w:rsidRDefault="00301DB3">
    <w:pPr>
      <w:pStyle w:val="Footer"/>
    </w:pPr>
    <w:r>
      <w:drawing>
        <wp:anchor distT="0" distB="0" distL="0" distR="0" simplePos="0" relativeHeight="251656192" behindDoc="0" locked="0" layoutInCell="1" allowOverlap="1" wp14:anchorId="53C0E819" wp14:editId="2A94E0C6">
          <wp:simplePos x="0" y="0"/>
          <wp:positionH relativeFrom="page">
            <wp:posOffset>6346209</wp:posOffset>
          </wp:positionH>
          <wp:positionV relativeFrom="page">
            <wp:posOffset>9501505</wp:posOffset>
          </wp:positionV>
          <wp:extent cx="738000" cy="813600"/>
          <wp:effectExtent l="0" t="0" r="0" b="0"/>
          <wp:wrapNone/>
          <wp:docPr id="1" name="image1.png" descr="International Telecommunication Un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International Telecommunication Union logo"/>
                  <pic:cNvPicPr/>
                </pic:nvPicPr>
                <pic:blipFill>
                  <a:blip r:embed="rId1" cstate="print"/>
                  <a:stretch>
                    <a:fillRect/>
                  </a:stretch>
                </pic:blipFill>
                <pic:spPr>
                  <a:xfrm>
                    <a:off x="0" y="0"/>
                    <a:ext cx="738000" cy="8136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E8FF0" w14:textId="77777777" w:rsidR="00C15F3E" w:rsidRDefault="00C15F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F8B88" w14:textId="77777777" w:rsidR="0033475B" w:rsidRDefault="0033475B">
      <w:r>
        <w:separator/>
      </w:r>
    </w:p>
  </w:footnote>
  <w:footnote w:type="continuationSeparator" w:id="0">
    <w:p w14:paraId="2FF65F5E" w14:textId="77777777" w:rsidR="0033475B" w:rsidRDefault="003347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2A875" w14:textId="77777777" w:rsidR="001B164E" w:rsidRDefault="001B164E">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490" w:type="dxa"/>
      <w:tblInd w:w="-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5"/>
      <w:gridCol w:w="5915"/>
    </w:tblGrid>
    <w:tr w:rsidR="005B0371" w:rsidRPr="00A239D1" w14:paraId="6ADD3145" w14:textId="77777777" w:rsidTr="0019307B">
      <w:tc>
        <w:tcPr>
          <w:tcW w:w="4634" w:type="dxa"/>
          <w:vAlign w:val="center"/>
        </w:tcPr>
        <w:p w14:paraId="220DEB37" w14:textId="77777777" w:rsidR="00EE47C4" w:rsidRPr="005B0371" w:rsidRDefault="00425BC7" w:rsidP="00B9169E">
          <w:pPr>
            <w:pStyle w:val="Header"/>
            <w:jc w:val="left"/>
            <w:rPr>
              <w:rFonts w:ascii="Arial Black" w:hAnsi="Arial Black" w:cs="Arial"/>
              <w:color w:val="FFFFFF" w:themeColor="background1"/>
              <w:sz w:val="32"/>
              <w:szCs w:val="32"/>
            </w:rPr>
          </w:pPr>
          <w:r w:rsidRPr="005B0371">
            <w:rPr>
              <w:rFonts w:ascii="Arial Black" w:hAnsi="Arial Black" w:cs="Arial"/>
              <w:color w:val="FFFFFF" w:themeColor="background1"/>
              <w:sz w:val="32"/>
              <w:szCs w:val="32"/>
            </w:rPr>
            <w:t xml:space="preserve"> </w:t>
          </w:r>
        </w:p>
      </w:tc>
      <w:tc>
        <w:tcPr>
          <w:tcW w:w="5998" w:type="dxa"/>
          <w:vAlign w:val="center"/>
        </w:tcPr>
        <w:p w14:paraId="0B05716E" w14:textId="77777777" w:rsidR="00EE47C4" w:rsidRPr="00260B24" w:rsidRDefault="00EE47C4" w:rsidP="00744F8B">
          <w:pPr>
            <w:pStyle w:val="Header"/>
            <w:jc w:val="right"/>
            <w:rPr>
              <w:rFonts w:asciiTheme="minorBidi" w:hAnsiTheme="minorBidi"/>
              <w:b/>
              <w:spacing w:val="4"/>
              <w:szCs w:val="24"/>
            </w:rPr>
          </w:pPr>
          <w:r w:rsidRPr="00260B24">
            <w:rPr>
              <w:rFonts w:asciiTheme="minorBidi" w:hAnsiTheme="minorBidi"/>
              <w:b/>
              <w:spacing w:val="4"/>
              <w:szCs w:val="24"/>
            </w:rPr>
            <w:t>Uni</w:t>
          </w:r>
          <w:r w:rsidR="006B1E05">
            <w:rPr>
              <w:rFonts w:asciiTheme="minorBidi" w:hAnsiTheme="minorBidi"/>
              <w:b/>
              <w:spacing w:val="4"/>
              <w:szCs w:val="24"/>
            </w:rPr>
            <w:t>ó</w:t>
          </w:r>
          <w:r w:rsidRPr="00260B24">
            <w:rPr>
              <w:rFonts w:asciiTheme="minorBidi" w:hAnsiTheme="minorBidi"/>
              <w:b/>
              <w:spacing w:val="4"/>
              <w:szCs w:val="24"/>
            </w:rPr>
            <w:t>n</w:t>
          </w:r>
          <w:r w:rsidR="00A25EE2">
            <w:rPr>
              <w:rFonts w:asciiTheme="minorBidi" w:hAnsiTheme="minorBidi"/>
              <w:b/>
              <w:spacing w:val="4"/>
              <w:szCs w:val="24"/>
            </w:rPr>
            <w:t xml:space="preserve"> </w:t>
          </w:r>
          <w:r w:rsidR="006B1E05">
            <w:rPr>
              <w:rFonts w:asciiTheme="minorBidi" w:hAnsiTheme="minorBidi"/>
              <w:b/>
              <w:spacing w:val="4"/>
              <w:szCs w:val="24"/>
            </w:rPr>
            <w:t>I</w:t>
          </w:r>
          <w:r w:rsidR="00A25EE2" w:rsidRPr="00260B24">
            <w:rPr>
              <w:rFonts w:asciiTheme="minorBidi" w:hAnsiTheme="minorBidi"/>
              <w:b/>
              <w:spacing w:val="4"/>
              <w:szCs w:val="24"/>
            </w:rPr>
            <w:t>nterna</w:t>
          </w:r>
          <w:r w:rsidR="0069322D">
            <w:rPr>
              <w:rFonts w:asciiTheme="minorBidi" w:hAnsiTheme="minorBidi"/>
              <w:b/>
              <w:spacing w:val="4"/>
              <w:szCs w:val="24"/>
            </w:rPr>
            <w:t>c</w:t>
          </w:r>
          <w:r w:rsidR="00A25EE2" w:rsidRPr="00260B24">
            <w:rPr>
              <w:rFonts w:asciiTheme="minorBidi" w:hAnsiTheme="minorBidi"/>
              <w:b/>
              <w:spacing w:val="4"/>
              <w:szCs w:val="24"/>
            </w:rPr>
            <w:t xml:space="preserve">ional </w:t>
          </w:r>
          <w:r w:rsidR="00A25EE2">
            <w:rPr>
              <w:rFonts w:asciiTheme="minorBidi" w:hAnsiTheme="minorBidi"/>
              <w:b/>
              <w:spacing w:val="4"/>
              <w:szCs w:val="24"/>
            </w:rPr>
            <w:t xml:space="preserve">de </w:t>
          </w:r>
          <w:r w:rsidR="0069322D">
            <w:rPr>
              <w:rFonts w:asciiTheme="minorBidi" w:hAnsiTheme="minorBidi"/>
              <w:b/>
              <w:spacing w:val="4"/>
              <w:szCs w:val="24"/>
            </w:rPr>
            <w:t>Te</w:t>
          </w:r>
          <w:r w:rsidR="00A25EE2" w:rsidRPr="00260B24">
            <w:rPr>
              <w:rFonts w:asciiTheme="minorBidi" w:hAnsiTheme="minorBidi"/>
              <w:b/>
              <w:spacing w:val="4"/>
              <w:szCs w:val="24"/>
            </w:rPr>
            <w:t>l</w:t>
          </w:r>
          <w:r w:rsidR="0069322D">
            <w:rPr>
              <w:rFonts w:asciiTheme="minorBidi" w:hAnsiTheme="minorBidi"/>
              <w:b/>
              <w:spacing w:val="4"/>
              <w:szCs w:val="24"/>
            </w:rPr>
            <w:t>e</w:t>
          </w:r>
          <w:r w:rsidR="00A25EE2" w:rsidRPr="00260B24">
            <w:rPr>
              <w:rFonts w:asciiTheme="minorBidi" w:hAnsiTheme="minorBidi"/>
              <w:b/>
              <w:spacing w:val="4"/>
              <w:szCs w:val="24"/>
            </w:rPr>
            <w:t>comunica</w:t>
          </w:r>
          <w:r w:rsidR="0069322D">
            <w:rPr>
              <w:rFonts w:asciiTheme="minorBidi" w:hAnsiTheme="minorBidi"/>
              <w:b/>
              <w:spacing w:val="4"/>
              <w:szCs w:val="24"/>
            </w:rPr>
            <w:t>c</w:t>
          </w:r>
          <w:r w:rsidR="00A25EE2" w:rsidRPr="00260B24">
            <w:rPr>
              <w:rFonts w:asciiTheme="minorBidi" w:hAnsiTheme="minorBidi"/>
              <w:b/>
              <w:spacing w:val="4"/>
              <w:szCs w:val="24"/>
            </w:rPr>
            <w:t>ion</w:t>
          </w:r>
          <w:r w:rsidR="0069322D">
            <w:rPr>
              <w:rFonts w:asciiTheme="minorBidi" w:hAnsiTheme="minorBidi"/>
              <w:b/>
              <w:spacing w:val="4"/>
              <w:szCs w:val="24"/>
            </w:rPr>
            <w:t>e</w:t>
          </w:r>
          <w:r w:rsidR="00A25EE2">
            <w:rPr>
              <w:rFonts w:asciiTheme="minorBidi" w:hAnsiTheme="minorBidi"/>
              <w:b/>
              <w:spacing w:val="4"/>
              <w:szCs w:val="24"/>
            </w:rPr>
            <w:t>s</w:t>
          </w:r>
        </w:p>
      </w:tc>
    </w:tr>
    <w:tr w:rsidR="005B0371" w:rsidRPr="00A239D1" w14:paraId="689F1B72" w14:textId="77777777" w:rsidTr="0019307B">
      <w:tc>
        <w:tcPr>
          <w:tcW w:w="4634" w:type="dxa"/>
          <w:vAlign w:val="center"/>
        </w:tcPr>
        <w:p w14:paraId="42B819A1" w14:textId="77777777" w:rsidR="00EE47C4" w:rsidRPr="00260B24" w:rsidRDefault="00EE47C4" w:rsidP="00744F8B">
          <w:pPr>
            <w:pStyle w:val="Header"/>
            <w:jc w:val="left"/>
            <w:rPr>
              <w:rFonts w:asciiTheme="minorBidi" w:hAnsiTheme="minorBidi"/>
              <w:spacing w:val="4"/>
              <w:sz w:val="21"/>
              <w:szCs w:val="21"/>
            </w:rPr>
          </w:pPr>
          <w:r w:rsidRPr="00260B24">
            <w:rPr>
              <w:rFonts w:asciiTheme="minorBidi" w:hAnsiTheme="minorBidi"/>
              <w:spacing w:val="4"/>
              <w:szCs w:val="24"/>
            </w:rPr>
            <w:t>Recom</w:t>
          </w:r>
          <w:r w:rsidR="0069322D">
            <w:rPr>
              <w:rFonts w:asciiTheme="minorBidi" w:hAnsiTheme="minorBidi"/>
              <w:spacing w:val="4"/>
              <w:szCs w:val="24"/>
            </w:rPr>
            <w:t>e</w:t>
          </w:r>
          <w:r w:rsidRPr="00260B24">
            <w:rPr>
              <w:rFonts w:asciiTheme="minorBidi" w:hAnsiTheme="minorBidi"/>
              <w:spacing w:val="4"/>
              <w:szCs w:val="24"/>
            </w:rPr>
            <w:t>nda</w:t>
          </w:r>
          <w:r w:rsidR="0069322D">
            <w:rPr>
              <w:rFonts w:asciiTheme="minorBidi" w:hAnsiTheme="minorBidi"/>
              <w:spacing w:val="4"/>
              <w:szCs w:val="24"/>
            </w:rPr>
            <w:t>c</w:t>
          </w:r>
          <w:r w:rsidRPr="00260B24">
            <w:rPr>
              <w:rFonts w:asciiTheme="minorBidi" w:hAnsiTheme="minorBidi"/>
              <w:spacing w:val="4"/>
              <w:szCs w:val="24"/>
            </w:rPr>
            <w:t>i</w:t>
          </w:r>
          <w:r w:rsidR="0069322D">
            <w:rPr>
              <w:rFonts w:asciiTheme="minorBidi" w:hAnsiTheme="minorBidi"/>
              <w:spacing w:val="4"/>
              <w:szCs w:val="24"/>
            </w:rPr>
            <w:t>o</w:t>
          </w:r>
          <w:r w:rsidRPr="00260B24">
            <w:rPr>
              <w:rFonts w:asciiTheme="minorBidi" w:hAnsiTheme="minorBidi"/>
              <w:spacing w:val="4"/>
              <w:szCs w:val="24"/>
            </w:rPr>
            <w:t>n</w:t>
          </w:r>
          <w:r w:rsidR="0069322D">
            <w:rPr>
              <w:rFonts w:asciiTheme="minorBidi" w:hAnsiTheme="minorBidi"/>
              <w:spacing w:val="4"/>
              <w:szCs w:val="24"/>
            </w:rPr>
            <w:t>e</w:t>
          </w:r>
          <w:r w:rsidR="004A6FEB" w:rsidRPr="00260B24">
            <w:rPr>
              <w:rFonts w:asciiTheme="minorBidi" w:hAnsiTheme="minorBidi"/>
              <w:spacing w:val="4"/>
              <w:szCs w:val="24"/>
            </w:rPr>
            <w:t>s</w:t>
          </w:r>
        </w:p>
      </w:tc>
      <w:tc>
        <w:tcPr>
          <w:tcW w:w="5998" w:type="dxa"/>
          <w:vAlign w:val="center"/>
        </w:tcPr>
        <w:p w14:paraId="2BBC0F2E" w14:textId="77777777" w:rsidR="00EE47C4" w:rsidRPr="00260B24" w:rsidRDefault="00A25EE2" w:rsidP="00744F8B">
          <w:pPr>
            <w:pStyle w:val="Header"/>
            <w:jc w:val="right"/>
            <w:rPr>
              <w:rFonts w:asciiTheme="minorBidi" w:hAnsiTheme="minorBidi"/>
              <w:spacing w:val="4"/>
              <w:szCs w:val="24"/>
            </w:rPr>
          </w:pPr>
          <w:r>
            <w:rPr>
              <w:rFonts w:asciiTheme="minorBidi" w:hAnsiTheme="minorBidi"/>
              <w:spacing w:val="4"/>
              <w:szCs w:val="24"/>
            </w:rPr>
            <w:t>Sect</w:t>
          </w:r>
          <w:r w:rsidR="0069322D">
            <w:rPr>
              <w:rFonts w:asciiTheme="minorBidi" w:hAnsiTheme="minorBidi"/>
              <w:spacing w:val="4"/>
              <w:szCs w:val="24"/>
            </w:rPr>
            <w:t>o</w:t>
          </w:r>
          <w:r>
            <w:rPr>
              <w:rFonts w:asciiTheme="minorBidi" w:hAnsiTheme="minorBidi"/>
              <w:spacing w:val="4"/>
              <w:szCs w:val="24"/>
            </w:rPr>
            <w:t xml:space="preserve">r de </w:t>
          </w:r>
          <w:r w:rsidR="00EE47C4" w:rsidRPr="00260B24">
            <w:rPr>
              <w:rFonts w:asciiTheme="minorBidi" w:hAnsiTheme="minorBidi"/>
              <w:spacing w:val="4"/>
              <w:szCs w:val="24"/>
            </w:rPr>
            <w:t>Radiocomunica</w:t>
          </w:r>
          <w:r w:rsidR="0069322D">
            <w:rPr>
              <w:rFonts w:asciiTheme="minorBidi" w:hAnsiTheme="minorBidi"/>
              <w:spacing w:val="4"/>
              <w:szCs w:val="24"/>
            </w:rPr>
            <w:t>c</w:t>
          </w:r>
          <w:r w:rsidR="00EE47C4" w:rsidRPr="00260B24">
            <w:rPr>
              <w:rFonts w:asciiTheme="minorBidi" w:hAnsiTheme="minorBidi"/>
              <w:spacing w:val="4"/>
              <w:szCs w:val="24"/>
            </w:rPr>
            <w:t>ion</w:t>
          </w:r>
          <w:r w:rsidR="0069322D">
            <w:rPr>
              <w:rFonts w:asciiTheme="minorBidi" w:hAnsiTheme="minorBidi"/>
              <w:spacing w:val="4"/>
              <w:szCs w:val="24"/>
            </w:rPr>
            <w:t>e</w:t>
          </w:r>
          <w:r>
            <w:rPr>
              <w:rFonts w:asciiTheme="minorBidi" w:hAnsiTheme="minorBidi"/>
              <w:spacing w:val="4"/>
              <w:szCs w:val="24"/>
            </w:rPr>
            <w:t>s</w:t>
          </w:r>
        </w:p>
      </w:tc>
    </w:tr>
  </w:tbl>
  <w:p w14:paraId="3AECC60C" w14:textId="77777777" w:rsidR="00EE47C4" w:rsidRDefault="0069322D" w:rsidP="004A6FEB">
    <w:pPr>
      <w:pStyle w:val="Header"/>
    </w:pPr>
    <w:r>
      <w:rPr>
        <w:rFonts w:ascii="Arial Black" w:hAnsi="Arial Black" w:cs="Arial"/>
        <w:noProof/>
        <w:sz w:val="32"/>
        <w:szCs w:val="32"/>
      </w:rPr>
      <w:drawing>
        <wp:anchor distT="0" distB="0" distL="114300" distR="114300" simplePos="0" relativeHeight="251660288" behindDoc="0" locked="0" layoutInCell="1" allowOverlap="1" wp14:anchorId="3BC69D25" wp14:editId="4D87636A">
          <wp:simplePos x="0" y="0"/>
          <wp:positionH relativeFrom="column">
            <wp:posOffset>-252095</wp:posOffset>
          </wp:positionH>
          <wp:positionV relativeFrom="paragraph">
            <wp:posOffset>-562165</wp:posOffset>
          </wp:positionV>
          <wp:extent cx="1781299" cy="383901"/>
          <wp:effectExtent l="0" t="0" r="0" b="0"/>
          <wp:wrapNone/>
          <wp:docPr id="7" name="Picture 7" descr="ITU Publicacion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TU Publicacione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1299" cy="38390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507D4">
      <w:rPr>
        <w:rFonts w:ascii="Arial" w:hAnsi="Arial" w:cs="Arial"/>
        <w:noProof/>
      </w:rPr>
      <mc:AlternateContent>
        <mc:Choice Requires="wps">
          <w:drawing>
            <wp:anchor distT="0" distB="0" distL="114300" distR="114300" simplePos="0" relativeHeight="251658240" behindDoc="0" locked="0" layoutInCell="1" allowOverlap="1" wp14:anchorId="5DFDC494" wp14:editId="6B6B5142">
              <wp:simplePos x="0" y="0"/>
              <wp:positionH relativeFrom="column">
                <wp:posOffset>-106045</wp:posOffset>
              </wp:positionH>
              <wp:positionV relativeFrom="paragraph">
                <wp:posOffset>164465</wp:posOffset>
              </wp:positionV>
              <wp:extent cx="301625" cy="172085"/>
              <wp:effectExtent l="17780" t="12065" r="23495" b="15875"/>
              <wp:wrapNone/>
              <wp:docPr id="6"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01625" cy="172085"/>
                      </a:xfrm>
                      <a:prstGeom prst="triangle">
                        <a:avLst>
                          <a:gd name="adj" fmla="val 50000"/>
                        </a:avLst>
                      </a:prstGeom>
                      <a:solidFill>
                        <a:schemeClr val="bg1">
                          <a:lumMod val="100000"/>
                          <a:lumOff val="0"/>
                        </a:schemeClr>
                      </a:solidFill>
                      <a:ln w="9525">
                        <a:solidFill>
                          <a:srgbClr val="F8F8F8"/>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D08F09"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 o:spid="_x0000_s1026" type="#_x0000_t5" style="position:absolute;margin-left:-8.35pt;margin-top:12.95pt;width:23.75pt;height:13.55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" fillcolor="white [3212]" strokecolor="#f8f8f8"/>
          </w:pict>
        </mc:Fallback>
      </mc:AlternateContent>
    </w:r>
  </w:p>
  <w:p w14:paraId="287687D6" w14:textId="77777777" w:rsidR="004A6FEB" w:rsidRDefault="00A507D4" w:rsidP="004A6FEB">
    <w:pPr>
      <w:pStyle w:val="Header"/>
      <w:ind w:right="360"/>
      <w:jc w:val="both"/>
    </w:pPr>
    <w:r>
      <w:rPr>
        <w:noProof/>
      </w:rPr>
      <mc:AlternateContent>
        <mc:Choice Requires="wpg">
          <w:drawing>
            <wp:anchor distT="0" distB="0" distL="114300" distR="114300" simplePos="0" relativeHeight="251659264" behindDoc="0" locked="0" layoutInCell="1" allowOverlap="1" wp14:anchorId="0F19359C" wp14:editId="552A530C">
              <wp:simplePos x="0" y="0"/>
              <wp:positionH relativeFrom="page">
                <wp:posOffset>0</wp:posOffset>
              </wp:positionH>
              <wp:positionV relativeFrom="page">
                <wp:posOffset>1196340</wp:posOffset>
              </wp:positionV>
              <wp:extent cx="7560310" cy="236220"/>
              <wp:effectExtent l="9525" t="5715" r="12065" b="5715"/>
              <wp:wrapNone/>
              <wp:docPr id="2" name="docshapegroup6" descr="Header separator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236220"/>
                        <a:chOff x="0" y="1884"/>
                        <a:chExt cx="11906" cy="372"/>
                      </a:xfrm>
                    </wpg:grpSpPr>
                    <wps:wsp>
                      <wps:cNvPr id="3" name="docshape7" descr="Header separator line"/>
                      <wps:cNvSpPr>
                        <a:spLocks noChangeArrowheads="1"/>
                      </wps:cNvSpPr>
                      <wps:spPr bwMode="auto">
                        <a:xfrm>
                          <a:off x="0" y="1944"/>
                          <a:ext cx="11906" cy="312"/>
                        </a:xfrm>
                        <a:prstGeom prst="rect">
                          <a:avLst/>
                        </a:prstGeom>
                        <a:solidFill>
                          <a:srgbClr val="009CD6"/>
                        </a:solidFill>
                        <a:ln w="9525">
                          <a:solidFill>
                            <a:srgbClr val="009CD6"/>
                          </a:solidFill>
                          <a:miter lim="800000"/>
                          <a:headEnd/>
                          <a:tailEnd/>
                        </a:ln>
                      </wps:spPr>
                      <wps:bodyPr rot="0" vert="horz" wrap="square" lIns="91440" tIns="45720" rIns="91440" bIns="45720" anchor="t" anchorCtr="0" upright="1">
                        <a:noAutofit/>
                      </wps:bodyPr>
                    </wps:wsp>
                    <wps:wsp>
                      <wps:cNvPr id="4" name="docshape8" descr="Header separator line"/>
                      <wps:cNvSpPr>
                        <a:spLocks/>
                      </wps:cNvSpPr>
                      <wps:spPr bwMode="auto">
                        <a:xfrm>
                          <a:off x="1109" y="1884"/>
                          <a:ext cx="627" cy="314"/>
                        </a:xfrm>
                        <a:custGeom>
                          <a:avLst/>
                          <a:gdLst>
                            <a:gd name="T0" fmla="+- 0 1736 1109"/>
                            <a:gd name="T1" fmla="*/ T0 w 627"/>
                            <a:gd name="T2" fmla="+- 0 1884 1884"/>
                            <a:gd name="T3" fmla="*/ 1884 h 314"/>
                            <a:gd name="T4" fmla="+- 0 1109 1109"/>
                            <a:gd name="T5" fmla="*/ T4 w 627"/>
                            <a:gd name="T6" fmla="+- 0 1884 1884"/>
                            <a:gd name="T7" fmla="*/ 1884 h 314"/>
                            <a:gd name="T8" fmla="+- 0 1423 1109"/>
                            <a:gd name="T9" fmla="*/ T8 w 627"/>
                            <a:gd name="T10" fmla="+- 0 2197 1884"/>
                            <a:gd name="T11" fmla="*/ 2197 h 314"/>
                            <a:gd name="T12" fmla="+- 0 1736 1109"/>
                            <a:gd name="T13" fmla="*/ T12 w 627"/>
                            <a:gd name="T14" fmla="+- 0 1884 1884"/>
                            <a:gd name="T15" fmla="*/ 1884 h 314"/>
                          </a:gdLst>
                          <a:ahLst/>
                          <a:cxnLst>
                            <a:cxn ang="0">
                              <a:pos x="T1" y="T3"/>
                            </a:cxn>
                            <a:cxn ang="0">
                              <a:pos x="T5" y="T7"/>
                            </a:cxn>
                            <a:cxn ang="0">
                              <a:pos x="T9" y="T11"/>
                            </a:cxn>
                            <a:cxn ang="0">
                              <a:pos x="T13" y="T15"/>
                            </a:cxn>
                          </a:cxnLst>
                          <a:rect l="0" t="0" r="r" b="b"/>
                          <a:pathLst>
                            <a:path w="627" h="314">
                              <a:moveTo>
                                <a:pt x="627" y="0"/>
                              </a:moveTo>
                              <a:lnTo>
                                <a:pt x="0" y="0"/>
                              </a:lnTo>
                              <a:lnTo>
                                <a:pt x="314" y="313"/>
                              </a:lnTo>
                              <a:lnTo>
                                <a:pt x="627" y="0"/>
                              </a:lnTo>
                              <a:close/>
                            </a:path>
                          </a:pathLst>
                        </a:custGeom>
                        <a:solidFill>
                          <a:schemeClr val="bg1">
                            <a:lumMod val="100000"/>
                            <a:lumOff val="0"/>
                          </a:schemeClr>
                        </a:solidFill>
                        <a:ln>
                          <a:noFill/>
                        </a:ln>
                        <a:extLst>
                          <a:ext uri="{91240B29-F687-4F45-9708-019B960494DF}">
                            <a14:hiddenLine xmlns:a14="http://schemas.microsoft.com/office/drawing/2010/main" w="9525">
                              <a:solidFill>
                                <a:srgbClr val="009CD6"/>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8C7880" id="docshapegroup6" o:spid="_x0000_s1026" alt="Header separator line" style="position:absolute;margin-left:0;margin-top:94.2pt;width:595.3pt;height:18.6pt;z-index:251659264;mso-position-horizontal-relative:page;mso-position-vertical-relative:page" coordorigin=",1884" coordsize="11906,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">
              <v:rect id="docshape7" o:spid="_x0000_s1027" alt="Header separator line" style="position:absolute;top:1944;width:11906;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" fillcolor="#009cd6" strokecolor="#009cd6"/>
              <v:shape id="docshape8" o:spid="_x0000_s1028" alt="Header separator line" style="position:absolute;left:1109;top:1884;width:627;height:314;visibility:visible;mso-wrap-style:square;v-text-anchor:top" coordsize="627,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" path="m627,l,,314,313,627,xe" fillcolor="white [3212]" stroked="f" strokecolor="#009cd6">
                <v:path arrowok="t" o:connecttype="custom" o:connectlocs="627,1884;0,1884;314,2197;627,1884" o:connectangles="0,0,0,0"/>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90174" w14:textId="0C8DA102" w:rsidR="001B164E" w:rsidRPr="00D72623" w:rsidRDefault="00D72623" w:rsidP="00D72623">
    <w:pPr>
      <w:pStyle w:val="Header"/>
      <w:jc w:val="left"/>
      <w:rPr>
        <w:lang w:val="en-US"/>
      </w:rPr>
    </w:pPr>
    <w:r>
      <w:rPr>
        <w:rStyle w:val="PageNumber"/>
        <w:b/>
        <w:bCs/>
      </w:rPr>
      <w:fldChar w:fldCharType="begin"/>
    </w:r>
    <w:r>
      <w:rPr>
        <w:rStyle w:val="PageNumber"/>
        <w:b/>
        <w:bCs/>
        <w:lang w:val="en-US"/>
      </w:rPr>
      <w:instrText xml:space="preserve"> PAGE </w:instrText>
    </w:r>
    <w:r>
      <w:rPr>
        <w:rStyle w:val="PageNumber"/>
        <w:b/>
        <w:bCs/>
      </w:rPr>
      <w:fldChar w:fldCharType="separate"/>
    </w:r>
    <w:r w:rsidRPr="00F111D6">
      <w:rPr>
        <w:rStyle w:val="PageNumber"/>
        <w:b/>
        <w:bCs/>
        <w:lang w:val="en-GB"/>
      </w:rPr>
      <w:t>ii</w:t>
    </w:r>
    <w:r>
      <w:rPr>
        <w:rStyle w:val="PageNumber"/>
        <w:b/>
        <w:bCs/>
      </w:rPr>
      <w:fldChar w:fldCharType="end"/>
    </w:r>
    <w:r>
      <w:rPr>
        <w:lang w:val="en-US"/>
      </w:rPr>
      <w:tab/>
    </w:r>
    <w:r>
      <w:rPr>
        <w:b/>
        <w:bCs/>
        <w:lang w:val="en-US"/>
      </w:rPr>
      <w:fldChar w:fldCharType="begin"/>
    </w:r>
    <w:r>
      <w:rPr>
        <w:b/>
        <w:bCs/>
        <w:lang w:val="en-US"/>
      </w:rPr>
      <w:instrText xml:space="preserve"> DOCPROPERTY "Header" \* MERGEFORMAT </w:instrText>
    </w:r>
    <w:r>
      <w:rPr>
        <w:b/>
        <w:bCs/>
        <w:lang w:val="en-US"/>
      </w:rPr>
      <w:fldChar w:fldCharType="separate"/>
    </w:r>
    <w:r w:rsidR="00AD7E8A">
      <w:rPr>
        <w:b/>
        <w:bCs/>
        <w:lang w:val="en-US"/>
      </w:rPr>
      <w:t xml:space="preserve">Rec. </w:t>
    </w:r>
    <w:r>
      <w:rPr>
        <w:b/>
        <w:bCs/>
        <w:lang w:val="en-US"/>
      </w:rPr>
      <w:fldChar w:fldCharType="end"/>
    </w:r>
    <w:r w:rsidRPr="00F111D6">
      <w:rPr>
        <w:b/>
        <w:bCs/>
        <w:lang w:val="en-GB"/>
      </w:rPr>
      <w:t xml:space="preserve"> </w:t>
    </w:r>
    <w:r>
      <w:rPr>
        <w:b/>
        <w:bCs/>
      </w:rPr>
      <w:fldChar w:fldCharType="begin"/>
    </w:r>
    <w:r>
      <w:rPr>
        <w:b/>
        <w:bCs/>
        <w:lang w:val="en-US"/>
      </w:rPr>
      <w:instrText>styleref href</w:instrText>
    </w:r>
    <w:r>
      <w:rPr>
        <w:b/>
        <w:bCs/>
      </w:rPr>
      <w:fldChar w:fldCharType="separate"/>
    </w:r>
    <w:r w:rsidR="00600711">
      <w:rPr>
        <w:b/>
        <w:bCs/>
        <w:noProof/>
        <w:lang w:val="en-US"/>
      </w:rPr>
      <w:t>UIT-R  P.371-9</w:t>
    </w:r>
    <w:r>
      <w:rPr>
        <w:b/>
        <w:bCs/>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017BE" w14:textId="6737218D" w:rsidR="001B164E" w:rsidRDefault="001B164E">
    <w:pPr>
      <w:pStyle w:val="Header"/>
    </w:pPr>
    <w:r>
      <w:tab/>
    </w:r>
    <w:r w:rsidR="00C84DB7">
      <w:rPr>
        <w:b/>
        <w:bCs/>
      </w:rPr>
      <w:fldChar w:fldCharType="begin"/>
    </w:r>
    <w:r w:rsidR="00C84DB7">
      <w:rPr>
        <w:b/>
        <w:bCs/>
      </w:rPr>
      <w:instrText xml:space="preserve"> DOCPROPERTY "Header" \* MERGEFORMAT </w:instrText>
    </w:r>
    <w:r w:rsidR="00C84DB7">
      <w:rPr>
        <w:b/>
        <w:bCs/>
      </w:rPr>
      <w:fldChar w:fldCharType="separate"/>
    </w:r>
    <w:r w:rsidR="00AD7E8A">
      <w:rPr>
        <w:b/>
        <w:bCs/>
      </w:rPr>
      <w:t xml:space="preserve">Rec. </w:t>
    </w:r>
    <w:r w:rsidR="00C84DB7">
      <w:rPr>
        <w:b/>
        <w:bCs/>
      </w:rPr>
      <w:fldChar w:fldCharType="end"/>
    </w:r>
    <w:r>
      <w:rPr>
        <w:b/>
        <w:bCs/>
      </w:rPr>
      <w:t xml:space="preserve"> </w:t>
    </w:r>
    <w:r w:rsidR="006C37D5">
      <w:rPr>
        <w:b/>
        <w:bCs/>
      </w:rPr>
      <w:fldChar w:fldCharType="begin"/>
    </w:r>
    <w:r>
      <w:rPr>
        <w:b/>
        <w:bCs/>
      </w:rPr>
      <w:instrText>styleref href</w:instrText>
    </w:r>
    <w:r w:rsidR="006C37D5">
      <w:rPr>
        <w:b/>
        <w:bCs/>
      </w:rPr>
      <w:fldChar w:fldCharType="separate"/>
    </w:r>
    <w:r w:rsidR="00600711">
      <w:rPr>
        <w:b/>
        <w:bCs/>
        <w:noProof/>
      </w:rPr>
      <w:t>UIT-R  P.371-9</w:t>
    </w:r>
    <w:r w:rsidR="006C37D5">
      <w:rPr>
        <w:b/>
        <w:bCs/>
      </w:rPr>
      <w:fldChar w:fldCharType="end"/>
    </w:r>
    <w:r>
      <w:tab/>
    </w:r>
    <w:r w:rsidR="006C37D5">
      <w:rPr>
        <w:rStyle w:val="PageNumber"/>
        <w:b/>
        <w:bCs/>
      </w:rPr>
      <w:fldChar w:fldCharType="begin"/>
    </w:r>
    <w:r>
      <w:rPr>
        <w:rStyle w:val="PageNumber"/>
        <w:b/>
        <w:bCs/>
      </w:rPr>
      <w:instrText xml:space="preserve"> PAGE </w:instrText>
    </w:r>
    <w:r w:rsidR="006C37D5">
      <w:rPr>
        <w:rStyle w:val="PageNumber"/>
        <w:b/>
        <w:bCs/>
      </w:rPr>
      <w:fldChar w:fldCharType="separate"/>
    </w:r>
    <w:r w:rsidR="00C84DB7">
      <w:rPr>
        <w:rStyle w:val="PageNumber"/>
        <w:b/>
        <w:bCs/>
        <w:noProof/>
      </w:rPr>
      <w:t>1</w:t>
    </w:r>
    <w:r w:rsidR="006C37D5">
      <w:rPr>
        <w:rStyle w:val="PageNumbe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76A94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67AB4D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41AB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D2689F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EB063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9C6F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0CB48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8DA13D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B7A71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ECF0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2E0741"/>
    <w:multiLevelType w:val="hybridMultilevel"/>
    <w:tmpl w:val="73506790"/>
    <w:lvl w:ilvl="0" w:tplc="9FA02DF4">
      <w:numFmt w:val="bullet"/>
      <w:lvlText w:val="–"/>
      <w:lvlJc w:val="left"/>
      <w:pPr>
        <w:tabs>
          <w:tab w:val="num" w:pos="795"/>
        </w:tabs>
        <w:ind w:left="795" w:hanging="795"/>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1954826637">
    <w:abstractNumId w:val="10"/>
  </w:num>
  <w:num w:numId="2" w16cid:durableId="1818955415">
    <w:abstractNumId w:val="9"/>
  </w:num>
  <w:num w:numId="3" w16cid:durableId="1295217205">
    <w:abstractNumId w:val="7"/>
  </w:num>
  <w:num w:numId="4" w16cid:durableId="701789078">
    <w:abstractNumId w:val="6"/>
  </w:num>
  <w:num w:numId="5" w16cid:durableId="585113145">
    <w:abstractNumId w:val="5"/>
  </w:num>
  <w:num w:numId="6" w16cid:durableId="1329595300">
    <w:abstractNumId w:val="4"/>
  </w:num>
  <w:num w:numId="7" w16cid:durableId="1150562825">
    <w:abstractNumId w:val="8"/>
  </w:num>
  <w:num w:numId="8" w16cid:durableId="1274629098">
    <w:abstractNumId w:val="3"/>
  </w:num>
  <w:num w:numId="9" w16cid:durableId="112529528">
    <w:abstractNumId w:val="2"/>
  </w:num>
  <w:num w:numId="10" w16cid:durableId="300618632">
    <w:abstractNumId w:val="1"/>
  </w:num>
  <w:num w:numId="11" w16cid:durableId="989747469">
    <w:abstractNumId w:val="0"/>
  </w:num>
  <w:num w:numId="12" w16cid:durableId="274793392">
    <w:abstractNumId w:val="9"/>
  </w:num>
  <w:num w:numId="13" w16cid:durableId="250747847">
    <w:abstractNumId w:val="7"/>
  </w:num>
  <w:num w:numId="14" w16cid:durableId="393427846">
    <w:abstractNumId w:val="6"/>
  </w:num>
  <w:num w:numId="15" w16cid:durableId="1283003220">
    <w:abstractNumId w:val="5"/>
  </w:num>
  <w:num w:numId="16" w16cid:durableId="1999725736">
    <w:abstractNumId w:val="4"/>
  </w:num>
  <w:num w:numId="17" w16cid:durableId="1341932478">
    <w:abstractNumId w:val="8"/>
  </w:num>
  <w:num w:numId="18" w16cid:durableId="543249318">
    <w:abstractNumId w:val="3"/>
  </w:num>
  <w:num w:numId="19" w16cid:durableId="59056999">
    <w:abstractNumId w:val="2"/>
  </w:num>
  <w:num w:numId="20" w16cid:durableId="1185706082">
    <w:abstractNumId w:val="1"/>
  </w:num>
  <w:num w:numId="21" w16cid:durableId="12532009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hideSpellingErrors/>
  <w:hideGrammaticalErrors/>
  <w:activeWritingStyle w:appName="MSWord" w:lang="en-US" w:vendorID="64" w:dllVersion="5" w:nlCheck="1" w:checkStyle="0"/>
  <w:activeWritingStyle w:appName="MSWord" w:lang="en-US" w:vendorID="64" w:dllVersion="6" w:nlCheck="1" w:checkStyle="1"/>
  <w:activeWritingStyle w:appName="MSWord" w:lang="fr-FR" w:vendorID="64" w:dllVersion="6" w:nlCheck="1" w:checkStyle="0"/>
  <w:activeWritingStyle w:appName="MSWord" w:lang="en-GB" w:vendorID="64" w:dllVersion="6" w:nlCheck="1" w:checkStyle="1"/>
  <w:activeWritingStyle w:appName="MSWord" w:lang="fr-CH" w:vendorID="64" w:dllVersion="6" w:nlCheck="1" w:checkStyle="0"/>
  <w:activeWritingStyle w:appName="MSWord" w:lang="es-ES_tradnl" w:vendorID="64" w:dllVersion="6" w:nlCheck="1" w:checkStyle="1"/>
  <w:activeWritingStyle w:appName="MSWord" w:lang="fr-FR"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fr-CH" w:vendorID="64" w:dllVersion="0" w:nlCheck="1" w:checkStyle="0"/>
  <w:activeWritingStyle w:appName="MSWord" w:lang="es-ES" w:vendorID="64" w:dllVersion="0" w:nlCheck="1" w:checkStyle="0"/>
  <w:activeWritingStyle w:appName="MSWord" w:lang="en-GB" w:vendorID="64" w:dllVersion="0" w:nlCheck="1" w:checkStyle="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noPunctuationKerning/>
  <w:characterSpacingControl w:val="doNotCompress"/>
  <w:hdrShapeDefaults>
    <o:shapedefaults v:ext="edit" spidmax="2050">
      <o:colormru v:ext="edit" colors="#d62a47,#f8f8f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E8A"/>
    <w:rsid w:val="00013002"/>
    <w:rsid w:val="000246E0"/>
    <w:rsid w:val="00036EE3"/>
    <w:rsid w:val="00072484"/>
    <w:rsid w:val="00095530"/>
    <w:rsid w:val="00096612"/>
    <w:rsid w:val="000A4A32"/>
    <w:rsid w:val="000B1B2B"/>
    <w:rsid w:val="000B7683"/>
    <w:rsid w:val="000D0677"/>
    <w:rsid w:val="000D79D9"/>
    <w:rsid w:val="000E0548"/>
    <w:rsid w:val="000E6A6E"/>
    <w:rsid w:val="000F5803"/>
    <w:rsid w:val="00102934"/>
    <w:rsid w:val="00120C75"/>
    <w:rsid w:val="00147110"/>
    <w:rsid w:val="001511A6"/>
    <w:rsid w:val="00171C4D"/>
    <w:rsid w:val="0017562F"/>
    <w:rsid w:val="0019307B"/>
    <w:rsid w:val="001B0927"/>
    <w:rsid w:val="001B164E"/>
    <w:rsid w:val="001B7886"/>
    <w:rsid w:val="001E0EB7"/>
    <w:rsid w:val="001F38BB"/>
    <w:rsid w:val="002058CE"/>
    <w:rsid w:val="002165F1"/>
    <w:rsid w:val="00233211"/>
    <w:rsid w:val="00245D5C"/>
    <w:rsid w:val="00260B24"/>
    <w:rsid w:val="0027411A"/>
    <w:rsid w:val="00276D21"/>
    <w:rsid w:val="00282DCF"/>
    <w:rsid w:val="00296D7F"/>
    <w:rsid w:val="002A5D45"/>
    <w:rsid w:val="002B3CF6"/>
    <w:rsid w:val="002B3E59"/>
    <w:rsid w:val="002B6126"/>
    <w:rsid w:val="002C768A"/>
    <w:rsid w:val="002D0BD7"/>
    <w:rsid w:val="002D76C4"/>
    <w:rsid w:val="002F5199"/>
    <w:rsid w:val="00301DB3"/>
    <w:rsid w:val="00305119"/>
    <w:rsid w:val="003157F1"/>
    <w:rsid w:val="0033475B"/>
    <w:rsid w:val="00346EC2"/>
    <w:rsid w:val="00356B5D"/>
    <w:rsid w:val="00357707"/>
    <w:rsid w:val="0036627C"/>
    <w:rsid w:val="00387987"/>
    <w:rsid w:val="003E5516"/>
    <w:rsid w:val="003F4B75"/>
    <w:rsid w:val="0041045F"/>
    <w:rsid w:val="00410651"/>
    <w:rsid w:val="00420DFD"/>
    <w:rsid w:val="00425BC7"/>
    <w:rsid w:val="00437A76"/>
    <w:rsid w:val="004604B2"/>
    <w:rsid w:val="00470E28"/>
    <w:rsid w:val="0047379B"/>
    <w:rsid w:val="00474170"/>
    <w:rsid w:val="00477729"/>
    <w:rsid w:val="004842E2"/>
    <w:rsid w:val="00486EB3"/>
    <w:rsid w:val="004934C5"/>
    <w:rsid w:val="004A6FEB"/>
    <w:rsid w:val="004B2439"/>
    <w:rsid w:val="004E61FF"/>
    <w:rsid w:val="005373E0"/>
    <w:rsid w:val="00556548"/>
    <w:rsid w:val="00571B1C"/>
    <w:rsid w:val="00576D47"/>
    <w:rsid w:val="00586EF8"/>
    <w:rsid w:val="005B0371"/>
    <w:rsid w:val="005B49AB"/>
    <w:rsid w:val="005B50E7"/>
    <w:rsid w:val="005C4BAB"/>
    <w:rsid w:val="005E12A5"/>
    <w:rsid w:val="005E69F0"/>
    <w:rsid w:val="005E7B4F"/>
    <w:rsid w:val="005F003B"/>
    <w:rsid w:val="005F2E73"/>
    <w:rsid w:val="00600711"/>
    <w:rsid w:val="00601882"/>
    <w:rsid w:val="00607D68"/>
    <w:rsid w:val="00613212"/>
    <w:rsid w:val="006149B1"/>
    <w:rsid w:val="00640332"/>
    <w:rsid w:val="00680D2B"/>
    <w:rsid w:val="00681B32"/>
    <w:rsid w:val="0069322D"/>
    <w:rsid w:val="00697887"/>
    <w:rsid w:val="006B1D2B"/>
    <w:rsid w:val="006B1E05"/>
    <w:rsid w:val="006C37D5"/>
    <w:rsid w:val="006E1131"/>
    <w:rsid w:val="006E2037"/>
    <w:rsid w:val="006E6199"/>
    <w:rsid w:val="00712870"/>
    <w:rsid w:val="00714AC0"/>
    <w:rsid w:val="0074147D"/>
    <w:rsid w:val="00743D85"/>
    <w:rsid w:val="00744F8B"/>
    <w:rsid w:val="00747D6E"/>
    <w:rsid w:val="00753CF4"/>
    <w:rsid w:val="007565CC"/>
    <w:rsid w:val="007624B1"/>
    <w:rsid w:val="00763B9A"/>
    <w:rsid w:val="007A6AA8"/>
    <w:rsid w:val="007B1357"/>
    <w:rsid w:val="007B3343"/>
    <w:rsid w:val="008310C9"/>
    <w:rsid w:val="008335F0"/>
    <w:rsid w:val="00834306"/>
    <w:rsid w:val="00853CC5"/>
    <w:rsid w:val="00877E6E"/>
    <w:rsid w:val="008B083A"/>
    <w:rsid w:val="008B56B2"/>
    <w:rsid w:val="008C7848"/>
    <w:rsid w:val="00906589"/>
    <w:rsid w:val="00906AD6"/>
    <w:rsid w:val="00917AF2"/>
    <w:rsid w:val="0092418A"/>
    <w:rsid w:val="00934ED7"/>
    <w:rsid w:val="00940D16"/>
    <w:rsid w:val="009543C3"/>
    <w:rsid w:val="00961786"/>
    <w:rsid w:val="00966E1B"/>
    <w:rsid w:val="00972F51"/>
    <w:rsid w:val="00984A02"/>
    <w:rsid w:val="009947C0"/>
    <w:rsid w:val="009A4039"/>
    <w:rsid w:val="009A41F9"/>
    <w:rsid w:val="009D4BBD"/>
    <w:rsid w:val="009F2D2C"/>
    <w:rsid w:val="009F2D88"/>
    <w:rsid w:val="009F5580"/>
    <w:rsid w:val="00A03C0E"/>
    <w:rsid w:val="00A16BE1"/>
    <w:rsid w:val="00A239D1"/>
    <w:rsid w:val="00A25EE2"/>
    <w:rsid w:val="00A30ABD"/>
    <w:rsid w:val="00A31928"/>
    <w:rsid w:val="00A35B27"/>
    <w:rsid w:val="00A507D4"/>
    <w:rsid w:val="00A5147A"/>
    <w:rsid w:val="00A62A14"/>
    <w:rsid w:val="00A6617B"/>
    <w:rsid w:val="00A71FE5"/>
    <w:rsid w:val="00A7534B"/>
    <w:rsid w:val="00A76007"/>
    <w:rsid w:val="00A86DD2"/>
    <w:rsid w:val="00A936CB"/>
    <w:rsid w:val="00A971A1"/>
    <w:rsid w:val="00AA3AD8"/>
    <w:rsid w:val="00AB0DC8"/>
    <w:rsid w:val="00AB405C"/>
    <w:rsid w:val="00AC015D"/>
    <w:rsid w:val="00AD5240"/>
    <w:rsid w:val="00AD7E8A"/>
    <w:rsid w:val="00AE698D"/>
    <w:rsid w:val="00AF0286"/>
    <w:rsid w:val="00AF5326"/>
    <w:rsid w:val="00B019A2"/>
    <w:rsid w:val="00B0286E"/>
    <w:rsid w:val="00B033C8"/>
    <w:rsid w:val="00B111CE"/>
    <w:rsid w:val="00B33425"/>
    <w:rsid w:val="00B37217"/>
    <w:rsid w:val="00B42334"/>
    <w:rsid w:val="00B44E24"/>
    <w:rsid w:val="00B54ECC"/>
    <w:rsid w:val="00B60AC0"/>
    <w:rsid w:val="00B714F3"/>
    <w:rsid w:val="00B75A52"/>
    <w:rsid w:val="00B874C6"/>
    <w:rsid w:val="00B87B6B"/>
    <w:rsid w:val="00B9169E"/>
    <w:rsid w:val="00B96572"/>
    <w:rsid w:val="00B97786"/>
    <w:rsid w:val="00BB7886"/>
    <w:rsid w:val="00BC5D77"/>
    <w:rsid w:val="00BD4283"/>
    <w:rsid w:val="00BF487A"/>
    <w:rsid w:val="00BF5544"/>
    <w:rsid w:val="00C15F3E"/>
    <w:rsid w:val="00C221B2"/>
    <w:rsid w:val="00C46BD9"/>
    <w:rsid w:val="00C55258"/>
    <w:rsid w:val="00C73560"/>
    <w:rsid w:val="00C84DB7"/>
    <w:rsid w:val="00C87A35"/>
    <w:rsid w:val="00CB0F14"/>
    <w:rsid w:val="00CD659B"/>
    <w:rsid w:val="00CE0A43"/>
    <w:rsid w:val="00CF130D"/>
    <w:rsid w:val="00D00118"/>
    <w:rsid w:val="00D0483A"/>
    <w:rsid w:val="00D16749"/>
    <w:rsid w:val="00D5024B"/>
    <w:rsid w:val="00D61962"/>
    <w:rsid w:val="00D72623"/>
    <w:rsid w:val="00D83556"/>
    <w:rsid w:val="00DE201E"/>
    <w:rsid w:val="00DE5556"/>
    <w:rsid w:val="00DE75A6"/>
    <w:rsid w:val="00DF4176"/>
    <w:rsid w:val="00E0095C"/>
    <w:rsid w:val="00E170DC"/>
    <w:rsid w:val="00E17240"/>
    <w:rsid w:val="00E74595"/>
    <w:rsid w:val="00E77485"/>
    <w:rsid w:val="00EB1CB6"/>
    <w:rsid w:val="00EB7C57"/>
    <w:rsid w:val="00ED2695"/>
    <w:rsid w:val="00ED3CA8"/>
    <w:rsid w:val="00EE04BA"/>
    <w:rsid w:val="00EE47C4"/>
    <w:rsid w:val="00EF2D52"/>
    <w:rsid w:val="00F111D6"/>
    <w:rsid w:val="00F15AB6"/>
    <w:rsid w:val="00F17CED"/>
    <w:rsid w:val="00F30C9B"/>
    <w:rsid w:val="00F354B1"/>
    <w:rsid w:val="00F354D7"/>
    <w:rsid w:val="00F42332"/>
    <w:rsid w:val="00F6343F"/>
    <w:rsid w:val="00F72776"/>
    <w:rsid w:val="00F77360"/>
    <w:rsid w:val="00F92A40"/>
    <w:rsid w:val="00FB0E4E"/>
    <w:rsid w:val="00FE5305"/>
    <w:rsid w:val="00FE79FE"/>
    <w:rsid w:val="00FF322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62a47,#f8f8f8"/>
    </o:shapedefaults>
    <o:shapelayout v:ext="edit">
      <o:idmap v:ext="edit" data="2"/>
    </o:shapelayout>
  </w:shapeDefaults>
  <w:decimalSymbol w:val=","/>
  <w:listSeparator w:val=";"/>
  <w14:docId w14:val="3E4E8E64"/>
  <w15:docId w15:val="{D51B6C9E-DCF0-4A8D-9CDC-ECEF04C36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5305"/>
    <w:pPr>
      <w:tabs>
        <w:tab w:val="left" w:pos="794"/>
        <w:tab w:val="left" w:pos="1191"/>
        <w:tab w:val="left" w:pos="1588"/>
        <w:tab w:val="left" w:pos="1985"/>
      </w:tabs>
      <w:overflowPunct w:val="0"/>
      <w:autoSpaceDE w:val="0"/>
      <w:autoSpaceDN w:val="0"/>
      <w:adjustRightInd w:val="0"/>
      <w:spacing w:before="120"/>
      <w:jc w:val="both"/>
      <w:textAlignment w:val="baseline"/>
    </w:pPr>
    <w:rPr>
      <w:sz w:val="24"/>
      <w:lang w:val="es-ES" w:eastAsia="en-US"/>
    </w:rPr>
  </w:style>
  <w:style w:type="paragraph" w:styleId="Heading1">
    <w:name w:val="heading 1"/>
    <w:basedOn w:val="Normal"/>
    <w:next w:val="Normal"/>
    <w:link w:val="Heading1Char"/>
    <w:qFormat/>
    <w:rsid w:val="00A936CB"/>
    <w:pPr>
      <w:keepNext/>
      <w:keepLines/>
      <w:spacing w:before="480"/>
      <w:ind w:left="794" w:hanging="794"/>
      <w:outlineLvl w:val="0"/>
    </w:pPr>
    <w:rPr>
      <w:b/>
    </w:rPr>
  </w:style>
  <w:style w:type="paragraph" w:styleId="Heading2">
    <w:name w:val="heading 2"/>
    <w:basedOn w:val="Heading1"/>
    <w:next w:val="Normal"/>
    <w:qFormat/>
    <w:rsid w:val="00A936CB"/>
    <w:pPr>
      <w:spacing w:before="320"/>
      <w:outlineLvl w:val="1"/>
    </w:pPr>
  </w:style>
  <w:style w:type="paragraph" w:styleId="Heading3">
    <w:name w:val="heading 3"/>
    <w:basedOn w:val="Heading1"/>
    <w:next w:val="Normal"/>
    <w:qFormat/>
    <w:rsid w:val="00A936CB"/>
    <w:pPr>
      <w:spacing w:before="200"/>
      <w:outlineLvl w:val="2"/>
    </w:pPr>
  </w:style>
  <w:style w:type="paragraph" w:styleId="Heading4">
    <w:name w:val="heading 4"/>
    <w:basedOn w:val="Heading3"/>
    <w:next w:val="Normal"/>
    <w:qFormat/>
    <w:rsid w:val="00A936CB"/>
    <w:pPr>
      <w:tabs>
        <w:tab w:val="clear" w:pos="794"/>
        <w:tab w:val="left" w:pos="992"/>
      </w:tabs>
      <w:ind w:left="992" w:hanging="992"/>
      <w:outlineLvl w:val="3"/>
    </w:pPr>
  </w:style>
  <w:style w:type="paragraph" w:styleId="Heading5">
    <w:name w:val="heading 5"/>
    <w:basedOn w:val="Heading4"/>
    <w:next w:val="Normal"/>
    <w:qFormat/>
    <w:rsid w:val="00A936CB"/>
    <w:pPr>
      <w:outlineLvl w:val="4"/>
    </w:pPr>
  </w:style>
  <w:style w:type="paragraph" w:styleId="Heading6">
    <w:name w:val="heading 6"/>
    <w:basedOn w:val="Heading4"/>
    <w:next w:val="Normal"/>
    <w:qFormat/>
    <w:rsid w:val="00A936CB"/>
    <w:pPr>
      <w:tabs>
        <w:tab w:val="clear" w:pos="992"/>
        <w:tab w:val="clear" w:pos="1191"/>
      </w:tabs>
      <w:ind w:left="1588" w:hanging="1588"/>
      <w:outlineLvl w:val="5"/>
    </w:pPr>
  </w:style>
  <w:style w:type="paragraph" w:styleId="Heading7">
    <w:name w:val="heading 7"/>
    <w:basedOn w:val="Heading6"/>
    <w:next w:val="Normal"/>
    <w:qFormat/>
    <w:rsid w:val="00A936CB"/>
    <w:pPr>
      <w:outlineLvl w:val="6"/>
    </w:pPr>
  </w:style>
  <w:style w:type="paragraph" w:styleId="Heading8">
    <w:name w:val="heading 8"/>
    <w:basedOn w:val="Heading6"/>
    <w:next w:val="Normal"/>
    <w:qFormat/>
    <w:rsid w:val="00A936CB"/>
    <w:pPr>
      <w:outlineLvl w:val="7"/>
    </w:pPr>
  </w:style>
  <w:style w:type="paragraph" w:styleId="Heading9">
    <w:name w:val="heading 9"/>
    <w:basedOn w:val="Heading6"/>
    <w:next w:val="Normal"/>
    <w:qFormat/>
    <w:rsid w:val="00A936CB"/>
    <w:pPr>
      <w:jc w:val="lef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936CB"/>
    <w:pPr>
      <w:tabs>
        <w:tab w:val="clear" w:pos="794"/>
        <w:tab w:val="clear" w:pos="1191"/>
        <w:tab w:val="clear" w:pos="1588"/>
        <w:tab w:val="clear" w:pos="1985"/>
        <w:tab w:val="center" w:pos="4848"/>
        <w:tab w:val="right" w:pos="9696"/>
      </w:tabs>
      <w:spacing w:before="0"/>
      <w:jc w:val="center"/>
    </w:pPr>
  </w:style>
  <w:style w:type="paragraph" w:styleId="Footer">
    <w:name w:val="footer"/>
    <w:basedOn w:val="Normal"/>
    <w:rsid w:val="00A936CB"/>
    <w:pPr>
      <w:tabs>
        <w:tab w:val="clear" w:pos="794"/>
        <w:tab w:val="clear" w:pos="1191"/>
        <w:tab w:val="clear" w:pos="1588"/>
        <w:tab w:val="clear" w:pos="1985"/>
      </w:tabs>
      <w:spacing w:before="0"/>
    </w:pPr>
    <w:rPr>
      <w:noProof/>
      <w:sz w:val="18"/>
    </w:rPr>
  </w:style>
  <w:style w:type="character" w:styleId="PageNumber">
    <w:name w:val="page number"/>
    <w:basedOn w:val="DefaultParagraphFont"/>
    <w:rsid w:val="00A936CB"/>
  </w:style>
  <w:style w:type="paragraph" w:customStyle="1" w:styleId="Headingb">
    <w:name w:val="Heading_b"/>
    <w:basedOn w:val="Heading3"/>
    <w:next w:val="Normal"/>
    <w:link w:val="HeadingbChar"/>
    <w:qFormat/>
    <w:rsid w:val="00A936CB"/>
    <w:pPr>
      <w:spacing w:before="160"/>
      <w:ind w:left="0" w:firstLine="0"/>
      <w:outlineLvl w:val="9"/>
    </w:pPr>
  </w:style>
  <w:style w:type="paragraph" w:customStyle="1" w:styleId="Headingi">
    <w:name w:val="Heading_i"/>
    <w:basedOn w:val="Heading3"/>
    <w:next w:val="Normal"/>
    <w:rsid w:val="00A936CB"/>
    <w:pPr>
      <w:spacing w:before="160"/>
      <w:ind w:left="0" w:firstLine="0"/>
    </w:pPr>
    <w:rPr>
      <w:b w:val="0"/>
      <w:i/>
    </w:rPr>
  </w:style>
  <w:style w:type="character" w:customStyle="1" w:styleId="href">
    <w:name w:val="href"/>
    <w:basedOn w:val="DefaultParagraphFont"/>
    <w:rsid w:val="00A936CB"/>
  </w:style>
  <w:style w:type="paragraph" w:customStyle="1" w:styleId="AnnexNoTitle">
    <w:name w:val="Annex_NoTitle"/>
    <w:basedOn w:val="Normal"/>
    <w:next w:val="Normalaftertitle"/>
    <w:rsid w:val="00A936CB"/>
    <w:pPr>
      <w:keepNext/>
      <w:keepLines/>
      <w:spacing w:before="480" w:after="80"/>
      <w:jc w:val="center"/>
    </w:pPr>
    <w:rPr>
      <w:b/>
      <w:sz w:val="28"/>
    </w:rPr>
  </w:style>
  <w:style w:type="paragraph" w:customStyle="1" w:styleId="Normalaftertitle">
    <w:name w:val="Normal_after_title"/>
    <w:basedOn w:val="Normal"/>
    <w:next w:val="Normal"/>
    <w:rsid w:val="00A936CB"/>
    <w:pPr>
      <w:spacing w:before="320"/>
    </w:pPr>
  </w:style>
  <w:style w:type="paragraph" w:customStyle="1" w:styleId="enumlev2">
    <w:name w:val="enumlev2"/>
    <w:basedOn w:val="enumlev1"/>
    <w:rsid w:val="00A936CB"/>
    <w:pPr>
      <w:ind w:left="1191" w:hanging="397"/>
    </w:pPr>
  </w:style>
  <w:style w:type="paragraph" w:customStyle="1" w:styleId="enumlev1">
    <w:name w:val="enumlev1"/>
    <w:basedOn w:val="Normal"/>
    <w:link w:val="enumlev1Char"/>
    <w:qFormat/>
    <w:rsid w:val="00A936CB"/>
    <w:pPr>
      <w:spacing w:before="80"/>
      <w:ind w:left="794" w:hanging="794"/>
    </w:pPr>
  </w:style>
  <w:style w:type="paragraph" w:customStyle="1" w:styleId="enumlev3">
    <w:name w:val="enumlev3"/>
    <w:basedOn w:val="enumlev2"/>
    <w:rsid w:val="00A936CB"/>
    <w:pPr>
      <w:ind w:left="1588"/>
    </w:pPr>
  </w:style>
  <w:style w:type="paragraph" w:customStyle="1" w:styleId="Note">
    <w:name w:val="Note"/>
    <w:basedOn w:val="Normal"/>
    <w:rsid w:val="00A936CB"/>
    <w:pPr>
      <w:tabs>
        <w:tab w:val="clear" w:pos="794"/>
        <w:tab w:val="clear" w:pos="1191"/>
        <w:tab w:val="clear" w:pos="1588"/>
        <w:tab w:val="clear" w:pos="1985"/>
      </w:tabs>
      <w:spacing w:before="80"/>
    </w:pPr>
    <w:rPr>
      <w:sz w:val="22"/>
    </w:rPr>
  </w:style>
  <w:style w:type="paragraph" w:customStyle="1" w:styleId="RecNo">
    <w:name w:val="Rec_No"/>
    <w:basedOn w:val="Normal"/>
    <w:next w:val="Rectitle"/>
    <w:rsid w:val="00A936CB"/>
    <w:pPr>
      <w:keepNext/>
      <w:keepLines/>
      <w:tabs>
        <w:tab w:val="clear" w:pos="794"/>
        <w:tab w:val="clear" w:pos="1191"/>
        <w:tab w:val="clear" w:pos="1588"/>
        <w:tab w:val="clear" w:pos="1985"/>
      </w:tabs>
      <w:spacing w:before="480"/>
      <w:jc w:val="center"/>
    </w:pPr>
    <w:rPr>
      <w:sz w:val="28"/>
    </w:rPr>
  </w:style>
  <w:style w:type="paragraph" w:customStyle="1" w:styleId="Rectitle">
    <w:name w:val="Rec_title"/>
    <w:basedOn w:val="Normal"/>
    <w:next w:val="Recref"/>
    <w:link w:val="RectitleChar"/>
    <w:rsid w:val="00A936CB"/>
    <w:pPr>
      <w:keepNext/>
      <w:keepLines/>
      <w:spacing w:before="240"/>
      <w:jc w:val="center"/>
    </w:pPr>
    <w:rPr>
      <w:b/>
      <w:sz w:val="28"/>
    </w:rPr>
  </w:style>
  <w:style w:type="paragraph" w:customStyle="1" w:styleId="Recref">
    <w:name w:val="Rec_ref"/>
    <w:basedOn w:val="Normal"/>
    <w:next w:val="Recdate"/>
    <w:rsid w:val="00A936CB"/>
    <w:pPr>
      <w:jc w:val="center"/>
    </w:pPr>
  </w:style>
  <w:style w:type="paragraph" w:customStyle="1" w:styleId="Recdate">
    <w:name w:val="Rec_date"/>
    <w:basedOn w:val="Recref"/>
    <w:next w:val="Normalaftertitle"/>
    <w:rsid w:val="00A936CB"/>
    <w:pPr>
      <w:jc w:val="right"/>
    </w:pPr>
  </w:style>
  <w:style w:type="paragraph" w:customStyle="1" w:styleId="HeadingSum">
    <w:name w:val="Heading_Sum"/>
    <w:basedOn w:val="Headingb"/>
    <w:next w:val="Normal"/>
    <w:autoRedefine/>
    <w:rsid w:val="00AD5240"/>
    <w:pPr>
      <w:spacing w:before="240"/>
    </w:pPr>
    <w:rPr>
      <w:sz w:val="22"/>
      <w:szCs w:val="22"/>
      <w:lang w:val="es-ES_tradnl"/>
    </w:rPr>
  </w:style>
  <w:style w:type="paragraph" w:customStyle="1" w:styleId="AppendixNoTitle">
    <w:name w:val="Appendix_NoTitle"/>
    <w:basedOn w:val="AnnexNoTitle"/>
    <w:next w:val="Normal"/>
    <w:rsid w:val="00A936CB"/>
  </w:style>
  <w:style w:type="paragraph" w:customStyle="1" w:styleId="Tablefin">
    <w:name w:val="Table_fin"/>
    <w:basedOn w:val="Normal"/>
    <w:next w:val="Normal"/>
    <w:rsid w:val="00A936CB"/>
    <w:pPr>
      <w:spacing w:before="0"/>
    </w:pPr>
    <w:rPr>
      <w:sz w:val="20"/>
      <w:lang w:val="en-GB"/>
    </w:rPr>
  </w:style>
  <w:style w:type="paragraph" w:customStyle="1" w:styleId="Tablehead">
    <w:name w:val="Table_head"/>
    <w:basedOn w:val="Normal"/>
    <w:next w:val="Normal"/>
    <w:rsid w:val="00A936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A936C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ind w:left="284" w:right="-85" w:hanging="369"/>
    </w:pPr>
    <w:rPr>
      <w:sz w:val="22"/>
    </w:rPr>
  </w:style>
  <w:style w:type="paragraph" w:customStyle="1" w:styleId="TableNo">
    <w:name w:val="Table_No"/>
    <w:basedOn w:val="Normal"/>
    <w:next w:val="Normal"/>
    <w:rsid w:val="00A936CB"/>
    <w:pPr>
      <w:keepNext/>
      <w:spacing w:before="360" w:after="120"/>
      <w:jc w:val="center"/>
    </w:pPr>
  </w:style>
  <w:style w:type="paragraph" w:customStyle="1" w:styleId="Tabletext">
    <w:name w:val="Table_text"/>
    <w:basedOn w:val="Normal"/>
    <w:rsid w:val="00A936C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Equation">
    <w:name w:val="Equation"/>
    <w:basedOn w:val="Normal"/>
    <w:rsid w:val="00A936CB"/>
    <w:pPr>
      <w:tabs>
        <w:tab w:val="clear" w:pos="1191"/>
        <w:tab w:val="clear" w:pos="1588"/>
        <w:tab w:val="clear" w:pos="1985"/>
        <w:tab w:val="center" w:pos="4820"/>
        <w:tab w:val="right" w:pos="9639"/>
      </w:tabs>
    </w:pPr>
  </w:style>
  <w:style w:type="paragraph" w:customStyle="1" w:styleId="Equationlegend">
    <w:name w:val="Equation_legend"/>
    <w:basedOn w:val="NormalIndent"/>
    <w:rsid w:val="00A936CB"/>
    <w:pPr>
      <w:tabs>
        <w:tab w:val="clear" w:pos="794"/>
        <w:tab w:val="clear" w:pos="1191"/>
        <w:tab w:val="clear" w:pos="1588"/>
        <w:tab w:val="right" w:pos="1701"/>
      </w:tabs>
      <w:spacing w:before="80"/>
      <w:ind w:left="1985" w:hanging="1985"/>
    </w:pPr>
    <w:rPr>
      <w:lang w:val="en-US"/>
    </w:rPr>
  </w:style>
  <w:style w:type="paragraph" w:styleId="NormalIndent">
    <w:name w:val="Normal Indent"/>
    <w:basedOn w:val="Normal"/>
    <w:rsid w:val="00A936CB"/>
    <w:pPr>
      <w:ind w:left="794"/>
    </w:pPr>
  </w:style>
  <w:style w:type="paragraph" w:customStyle="1" w:styleId="Figurelegend">
    <w:name w:val="Figure_legend"/>
    <w:basedOn w:val="Normal"/>
    <w:rsid w:val="00A936CB"/>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link w:val="FigureNo0"/>
    <w:rsid w:val="00A936CB"/>
    <w:pPr>
      <w:keepNext/>
      <w:keepLines/>
      <w:spacing w:before="480" w:after="80"/>
      <w:jc w:val="center"/>
    </w:pPr>
    <w:rPr>
      <w:caps/>
      <w:sz w:val="18"/>
    </w:rPr>
  </w:style>
  <w:style w:type="paragraph" w:customStyle="1" w:styleId="Figuretitle">
    <w:name w:val="Figure_title"/>
    <w:basedOn w:val="Normal"/>
    <w:next w:val="Figure"/>
    <w:link w:val="FiguretitleChar"/>
    <w:rsid w:val="00A936CB"/>
    <w:pPr>
      <w:keepNext/>
      <w:spacing w:before="0" w:after="120"/>
      <w:jc w:val="center"/>
    </w:pPr>
    <w:rPr>
      <w:rFonts w:ascii="Times New Roman Bold" w:hAnsi="Times New Roman Bold"/>
      <w:b/>
      <w:sz w:val="18"/>
    </w:rPr>
  </w:style>
  <w:style w:type="paragraph" w:customStyle="1" w:styleId="Figure">
    <w:name w:val="Figure"/>
    <w:basedOn w:val="FigureNo"/>
    <w:next w:val="Normal"/>
    <w:rsid w:val="00A936CB"/>
    <w:pPr>
      <w:keepNext w:val="0"/>
      <w:spacing w:before="0" w:after="240"/>
    </w:pPr>
  </w:style>
  <w:style w:type="paragraph" w:customStyle="1" w:styleId="tocpart">
    <w:name w:val="tocpart"/>
    <w:basedOn w:val="Normal"/>
    <w:rsid w:val="00A936CB"/>
    <w:pPr>
      <w:tabs>
        <w:tab w:val="clear" w:pos="794"/>
        <w:tab w:val="clear" w:pos="1191"/>
        <w:tab w:val="clear" w:pos="1588"/>
        <w:tab w:val="clear" w:pos="1985"/>
        <w:tab w:val="left" w:pos="2693"/>
        <w:tab w:val="left" w:pos="8789"/>
        <w:tab w:val="right" w:pos="9639"/>
      </w:tabs>
      <w:ind w:left="2693" w:hanging="2693"/>
    </w:pPr>
  </w:style>
  <w:style w:type="paragraph" w:customStyle="1" w:styleId="ArtNo">
    <w:name w:val="Art_No"/>
    <w:basedOn w:val="Normal"/>
    <w:next w:val="Normal"/>
    <w:rsid w:val="00A936CB"/>
    <w:pPr>
      <w:keepNext/>
      <w:keepLines/>
      <w:spacing w:before="480"/>
      <w:jc w:val="center"/>
    </w:pPr>
    <w:rPr>
      <w:sz w:val="28"/>
    </w:rPr>
  </w:style>
  <w:style w:type="paragraph" w:customStyle="1" w:styleId="Arttitle">
    <w:name w:val="Art_title"/>
    <w:basedOn w:val="Normal"/>
    <w:next w:val="Normalaftertitle"/>
    <w:rsid w:val="00A936CB"/>
    <w:pPr>
      <w:keepNext/>
      <w:keepLines/>
      <w:spacing w:before="240"/>
      <w:jc w:val="center"/>
    </w:pPr>
    <w:rPr>
      <w:b/>
      <w:sz w:val="28"/>
    </w:rPr>
  </w:style>
  <w:style w:type="paragraph" w:customStyle="1" w:styleId="Blanc">
    <w:name w:val="Blanc"/>
    <w:basedOn w:val="Normal"/>
    <w:next w:val="Tabletext"/>
    <w:rsid w:val="00A936CB"/>
    <w:pPr>
      <w:keepNext/>
      <w:keepLines/>
      <w:tabs>
        <w:tab w:val="clear" w:pos="794"/>
        <w:tab w:val="clear" w:pos="1191"/>
        <w:tab w:val="clear" w:pos="1588"/>
        <w:tab w:val="clear" w:pos="1985"/>
      </w:tabs>
      <w:spacing w:before="0"/>
    </w:pPr>
    <w:rPr>
      <w:sz w:val="16"/>
      <w:lang w:val="en-GB"/>
    </w:rPr>
  </w:style>
  <w:style w:type="paragraph" w:customStyle="1" w:styleId="ASN1">
    <w:name w:val="ASN.1"/>
    <w:basedOn w:val="Normal"/>
    <w:next w:val="Normal"/>
    <w:rsid w:val="00A936CB"/>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Call">
    <w:name w:val="Call"/>
    <w:basedOn w:val="Normal"/>
    <w:next w:val="Normal"/>
    <w:link w:val="CallChar"/>
    <w:rsid w:val="00A936CB"/>
    <w:pPr>
      <w:keepNext/>
      <w:keepLines/>
      <w:spacing w:before="160"/>
      <w:ind w:left="794"/>
    </w:pPr>
    <w:rPr>
      <w:i/>
    </w:rPr>
  </w:style>
  <w:style w:type="paragraph" w:customStyle="1" w:styleId="ChapNo">
    <w:name w:val="Chap_No"/>
    <w:basedOn w:val="ArtNo"/>
    <w:next w:val="Chaptitle"/>
    <w:rsid w:val="00A936CB"/>
    <w:rPr>
      <w:b/>
    </w:rPr>
  </w:style>
  <w:style w:type="paragraph" w:customStyle="1" w:styleId="Chaptitle">
    <w:name w:val="Chap_title"/>
    <w:basedOn w:val="Arttitle"/>
    <w:next w:val="Normalaftertitle"/>
    <w:rsid w:val="00A936CB"/>
  </w:style>
  <w:style w:type="character" w:styleId="FootnoteReference">
    <w:name w:val="footnote reference"/>
    <w:basedOn w:val="DefaultParagraphFont"/>
    <w:semiHidden/>
    <w:rsid w:val="00A936CB"/>
    <w:rPr>
      <w:position w:val="6"/>
      <w:sz w:val="18"/>
    </w:rPr>
  </w:style>
  <w:style w:type="paragraph" w:styleId="FootnoteText">
    <w:name w:val="footnote text"/>
    <w:basedOn w:val="Normal"/>
    <w:semiHidden/>
    <w:rsid w:val="00A936CB"/>
    <w:pPr>
      <w:keepLines/>
      <w:tabs>
        <w:tab w:val="left" w:pos="255"/>
      </w:tabs>
      <w:ind w:left="255" w:hanging="255"/>
    </w:pPr>
    <w:rPr>
      <w:sz w:val="22"/>
    </w:rPr>
  </w:style>
  <w:style w:type="paragraph" w:styleId="Index1">
    <w:name w:val="index 1"/>
    <w:basedOn w:val="Normal"/>
    <w:next w:val="Normal"/>
    <w:semiHidden/>
    <w:rsid w:val="00A936CB"/>
  </w:style>
  <w:style w:type="paragraph" w:styleId="Index2">
    <w:name w:val="index 2"/>
    <w:basedOn w:val="Normal"/>
    <w:next w:val="Normal"/>
    <w:semiHidden/>
    <w:rsid w:val="00A936CB"/>
    <w:pPr>
      <w:ind w:left="283"/>
    </w:pPr>
  </w:style>
  <w:style w:type="paragraph" w:styleId="Index3">
    <w:name w:val="index 3"/>
    <w:basedOn w:val="Normal"/>
    <w:next w:val="Normal"/>
    <w:semiHidden/>
    <w:rsid w:val="00A936CB"/>
    <w:pPr>
      <w:ind w:left="566"/>
    </w:pPr>
  </w:style>
  <w:style w:type="paragraph" w:styleId="IndexHeading">
    <w:name w:val="index heading"/>
    <w:basedOn w:val="Normal"/>
    <w:next w:val="Index1"/>
    <w:semiHidden/>
    <w:rsid w:val="00A936CB"/>
  </w:style>
  <w:style w:type="paragraph" w:customStyle="1" w:styleId="Line">
    <w:name w:val="Line"/>
    <w:basedOn w:val="Normal"/>
    <w:next w:val="Normal"/>
    <w:rsid w:val="00A936CB"/>
    <w:pPr>
      <w:pBdr>
        <w:top w:val="single" w:sz="6" w:space="1" w:color="auto"/>
      </w:pBdr>
      <w:tabs>
        <w:tab w:val="clear" w:pos="794"/>
        <w:tab w:val="clear" w:pos="1191"/>
        <w:tab w:val="clear" w:pos="1588"/>
        <w:tab w:val="clear" w:pos="1985"/>
      </w:tabs>
      <w:spacing w:before="240"/>
      <w:ind w:left="3997" w:right="3997"/>
      <w:jc w:val="center"/>
    </w:pPr>
    <w:rPr>
      <w:sz w:val="20"/>
      <w:lang w:val="en-GB"/>
    </w:rPr>
  </w:style>
  <w:style w:type="paragraph" w:customStyle="1" w:styleId="toctemp">
    <w:name w:val="toctemp"/>
    <w:basedOn w:val="Normal"/>
    <w:rsid w:val="00A936CB"/>
    <w:pPr>
      <w:tabs>
        <w:tab w:val="clear" w:pos="794"/>
        <w:tab w:val="clear" w:pos="1191"/>
        <w:tab w:val="clear" w:pos="1588"/>
        <w:tab w:val="clear" w:pos="1985"/>
        <w:tab w:val="left" w:pos="2693"/>
        <w:tab w:val="left" w:leader="dot" w:pos="8789"/>
        <w:tab w:val="right" w:pos="9639"/>
      </w:tabs>
      <w:ind w:left="2693" w:right="964" w:hanging="2693"/>
    </w:pPr>
  </w:style>
  <w:style w:type="paragraph" w:customStyle="1" w:styleId="PartNo">
    <w:name w:val="Part_No"/>
    <w:basedOn w:val="Normal"/>
    <w:next w:val="Normal"/>
    <w:rsid w:val="00A936CB"/>
  </w:style>
  <w:style w:type="paragraph" w:customStyle="1" w:styleId="Partref">
    <w:name w:val="Part_ref"/>
    <w:basedOn w:val="Normal"/>
    <w:next w:val="Normal"/>
    <w:rsid w:val="00A936CB"/>
    <w:pPr>
      <w:keepNext/>
      <w:keepLines/>
      <w:spacing w:after="280"/>
      <w:jc w:val="center"/>
    </w:pPr>
  </w:style>
  <w:style w:type="paragraph" w:customStyle="1" w:styleId="Parttitle">
    <w:name w:val="Part_title"/>
    <w:basedOn w:val="Normal"/>
    <w:next w:val="Normalaftertitle"/>
    <w:rsid w:val="00A936CB"/>
    <w:pPr>
      <w:keepNext/>
      <w:keepLines/>
      <w:tabs>
        <w:tab w:val="clear" w:pos="794"/>
        <w:tab w:val="clear" w:pos="1191"/>
        <w:tab w:val="clear" w:pos="1588"/>
        <w:tab w:val="clear" w:pos="1985"/>
      </w:tabs>
      <w:spacing w:before="280" w:after="40"/>
      <w:jc w:val="center"/>
    </w:pPr>
    <w:rPr>
      <w:b/>
      <w:sz w:val="28"/>
    </w:rPr>
  </w:style>
  <w:style w:type="paragraph" w:customStyle="1" w:styleId="Questiondate">
    <w:name w:val="Question_date"/>
    <w:basedOn w:val="Recdate"/>
    <w:next w:val="Normalaftertitle"/>
    <w:rsid w:val="00A936CB"/>
  </w:style>
  <w:style w:type="paragraph" w:customStyle="1" w:styleId="QuestionNo">
    <w:name w:val="Question_No"/>
    <w:basedOn w:val="RecNo"/>
    <w:next w:val="Normal"/>
    <w:rsid w:val="00A936CB"/>
  </w:style>
  <w:style w:type="paragraph" w:customStyle="1" w:styleId="Questionref">
    <w:name w:val="Question_ref"/>
    <w:basedOn w:val="Recref"/>
    <w:next w:val="Questiondate"/>
    <w:rsid w:val="00A936CB"/>
  </w:style>
  <w:style w:type="paragraph" w:customStyle="1" w:styleId="Questiontitle">
    <w:name w:val="Question_title"/>
    <w:basedOn w:val="Normal"/>
    <w:next w:val="Questionref"/>
    <w:rsid w:val="00A936CB"/>
  </w:style>
  <w:style w:type="paragraph" w:customStyle="1" w:styleId="Reftext">
    <w:name w:val="Ref_text"/>
    <w:basedOn w:val="Normal"/>
    <w:rsid w:val="00A936CB"/>
    <w:pPr>
      <w:ind w:left="794" w:hanging="794"/>
    </w:pPr>
    <w:rPr>
      <w:sz w:val="22"/>
    </w:rPr>
  </w:style>
  <w:style w:type="paragraph" w:customStyle="1" w:styleId="Reftitle">
    <w:name w:val="Ref_title"/>
    <w:basedOn w:val="Normal"/>
    <w:next w:val="Reftext"/>
    <w:rsid w:val="00A936CB"/>
    <w:pPr>
      <w:tabs>
        <w:tab w:val="clear" w:pos="794"/>
        <w:tab w:val="clear" w:pos="1191"/>
        <w:tab w:val="clear" w:pos="1588"/>
        <w:tab w:val="clear" w:pos="1985"/>
      </w:tabs>
      <w:spacing w:before="480"/>
      <w:jc w:val="center"/>
    </w:pPr>
    <w:rPr>
      <w:b/>
      <w:sz w:val="28"/>
    </w:rPr>
  </w:style>
  <w:style w:type="paragraph" w:customStyle="1" w:styleId="Repdate">
    <w:name w:val="Rep_date"/>
    <w:basedOn w:val="Recdate"/>
    <w:next w:val="Normal"/>
    <w:rsid w:val="00A936CB"/>
  </w:style>
  <w:style w:type="paragraph" w:customStyle="1" w:styleId="RepNo">
    <w:name w:val="Rep_No"/>
    <w:basedOn w:val="RecNo"/>
    <w:next w:val="Reptitle"/>
    <w:rsid w:val="00A936CB"/>
  </w:style>
  <w:style w:type="paragraph" w:customStyle="1" w:styleId="Reptitle">
    <w:name w:val="Rep_title"/>
    <w:basedOn w:val="Rectitle"/>
    <w:next w:val="Repref"/>
    <w:rsid w:val="00A936CB"/>
  </w:style>
  <w:style w:type="paragraph" w:customStyle="1" w:styleId="Repref">
    <w:name w:val="Rep_ref"/>
    <w:basedOn w:val="Recref"/>
    <w:next w:val="Repdate"/>
    <w:rsid w:val="00A936CB"/>
  </w:style>
  <w:style w:type="paragraph" w:customStyle="1" w:styleId="Resdate">
    <w:name w:val="Res_date"/>
    <w:basedOn w:val="Recdate"/>
    <w:next w:val="Normalaftertitle"/>
    <w:rsid w:val="00A936CB"/>
  </w:style>
  <w:style w:type="paragraph" w:customStyle="1" w:styleId="ResNo">
    <w:name w:val="Res_No"/>
    <w:basedOn w:val="RecNo"/>
    <w:next w:val="Restitle"/>
    <w:rsid w:val="00A936CB"/>
  </w:style>
  <w:style w:type="paragraph" w:customStyle="1" w:styleId="Restitle">
    <w:name w:val="Res_title"/>
    <w:basedOn w:val="Normal"/>
    <w:next w:val="Resref"/>
    <w:rsid w:val="00A936CB"/>
    <w:pPr>
      <w:spacing w:before="240"/>
      <w:jc w:val="center"/>
    </w:pPr>
    <w:rPr>
      <w:b/>
      <w:sz w:val="28"/>
    </w:rPr>
  </w:style>
  <w:style w:type="paragraph" w:customStyle="1" w:styleId="Resref">
    <w:name w:val="Res_ref"/>
    <w:basedOn w:val="Recref"/>
    <w:next w:val="Resdate"/>
    <w:rsid w:val="00A936CB"/>
  </w:style>
  <w:style w:type="paragraph" w:customStyle="1" w:styleId="SectionNo">
    <w:name w:val="Section_No"/>
    <w:basedOn w:val="Normal"/>
    <w:next w:val="Normal"/>
    <w:rsid w:val="00A936CB"/>
  </w:style>
  <w:style w:type="paragraph" w:customStyle="1" w:styleId="Sectiontitle">
    <w:name w:val="Section_title"/>
    <w:basedOn w:val="Normal"/>
    <w:next w:val="Normalaftertitle"/>
    <w:rsid w:val="00A936CB"/>
    <w:pPr>
      <w:keepNext/>
      <w:keepLines/>
      <w:tabs>
        <w:tab w:val="clear" w:pos="794"/>
        <w:tab w:val="clear" w:pos="1191"/>
        <w:tab w:val="clear" w:pos="1588"/>
        <w:tab w:val="clear" w:pos="1985"/>
      </w:tabs>
      <w:spacing w:before="280" w:after="40"/>
      <w:jc w:val="center"/>
    </w:pPr>
    <w:rPr>
      <w:b/>
      <w:sz w:val="28"/>
    </w:rPr>
  </w:style>
  <w:style w:type="paragraph" w:customStyle="1" w:styleId="toc0">
    <w:name w:val="toc 0"/>
    <w:basedOn w:val="Normal"/>
    <w:next w:val="TOC1"/>
    <w:rsid w:val="00A936CB"/>
    <w:pPr>
      <w:tabs>
        <w:tab w:val="clear" w:pos="794"/>
        <w:tab w:val="clear" w:pos="1191"/>
        <w:tab w:val="clear" w:pos="1588"/>
        <w:tab w:val="clear" w:pos="1985"/>
        <w:tab w:val="right" w:pos="9611"/>
      </w:tabs>
    </w:pPr>
    <w:rPr>
      <w:i/>
    </w:rPr>
  </w:style>
  <w:style w:type="paragraph" w:styleId="TOC1">
    <w:name w:val="toc 1"/>
    <w:basedOn w:val="Normal"/>
    <w:semiHidden/>
    <w:rsid w:val="00A936CB"/>
    <w:pPr>
      <w:keepLines/>
      <w:tabs>
        <w:tab w:val="clear" w:pos="794"/>
        <w:tab w:val="clear" w:pos="1191"/>
        <w:tab w:val="clear" w:pos="1588"/>
        <w:tab w:val="clear" w:pos="1985"/>
        <w:tab w:val="left" w:pos="567"/>
        <w:tab w:val="left" w:leader="dot" w:pos="8789"/>
        <w:tab w:val="right" w:pos="9611"/>
      </w:tabs>
      <w:spacing w:before="240"/>
      <w:ind w:left="567" w:right="851" w:hanging="567"/>
    </w:pPr>
    <w:rPr>
      <w:lang w:val="en-US"/>
    </w:rPr>
  </w:style>
  <w:style w:type="paragraph" w:styleId="TOC2">
    <w:name w:val="toc 2"/>
    <w:basedOn w:val="TOC1"/>
    <w:semiHidden/>
    <w:rsid w:val="00A936CB"/>
    <w:pPr>
      <w:tabs>
        <w:tab w:val="clear" w:pos="567"/>
        <w:tab w:val="left" w:pos="1276"/>
      </w:tabs>
      <w:spacing w:before="160"/>
      <w:ind w:left="1276" w:hanging="709"/>
    </w:pPr>
  </w:style>
  <w:style w:type="paragraph" w:styleId="TOC3">
    <w:name w:val="toc 3"/>
    <w:basedOn w:val="TOC2"/>
    <w:semiHidden/>
    <w:rsid w:val="00A936CB"/>
    <w:pPr>
      <w:tabs>
        <w:tab w:val="clear" w:pos="1276"/>
        <w:tab w:val="left" w:pos="2155"/>
      </w:tabs>
      <w:ind w:left="2155" w:hanging="879"/>
    </w:pPr>
  </w:style>
  <w:style w:type="paragraph" w:styleId="TOC4">
    <w:name w:val="toc 4"/>
    <w:basedOn w:val="TOC3"/>
    <w:semiHidden/>
    <w:rsid w:val="00A936CB"/>
    <w:pPr>
      <w:tabs>
        <w:tab w:val="left" w:pos="3261"/>
      </w:tabs>
      <w:spacing w:before="80"/>
      <w:ind w:left="3261" w:hanging="993"/>
    </w:pPr>
  </w:style>
  <w:style w:type="paragraph" w:styleId="TOC5">
    <w:name w:val="toc 5"/>
    <w:basedOn w:val="TOC4"/>
    <w:semiHidden/>
    <w:rsid w:val="00A936CB"/>
  </w:style>
  <w:style w:type="paragraph" w:styleId="TOC6">
    <w:name w:val="toc 6"/>
    <w:basedOn w:val="TOC4"/>
    <w:semiHidden/>
    <w:rsid w:val="00A936CB"/>
  </w:style>
  <w:style w:type="paragraph" w:styleId="TOC7">
    <w:name w:val="toc 7"/>
    <w:basedOn w:val="TOC4"/>
    <w:semiHidden/>
    <w:rsid w:val="00A936CB"/>
  </w:style>
  <w:style w:type="paragraph" w:styleId="TOC8">
    <w:name w:val="toc 8"/>
    <w:basedOn w:val="TOC4"/>
    <w:semiHidden/>
    <w:rsid w:val="00A936CB"/>
  </w:style>
  <w:style w:type="paragraph" w:customStyle="1" w:styleId="Annexref">
    <w:name w:val="Annex_ref"/>
    <w:basedOn w:val="Normal"/>
    <w:next w:val="Normalaftertitle"/>
    <w:rsid w:val="00A936CB"/>
    <w:pPr>
      <w:keepNext/>
      <w:keepLines/>
      <w:spacing w:after="280"/>
      <w:jc w:val="center"/>
    </w:pPr>
  </w:style>
  <w:style w:type="paragraph" w:customStyle="1" w:styleId="Appendixref">
    <w:name w:val="Appendix_ref"/>
    <w:basedOn w:val="Annexref"/>
    <w:next w:val="Normalaftertitle"/>
    <w:rsid w:val="00A936CB"/>
  </w:style>
  <w:style w:type="paragraph" w:customStyle="1" w:styleId="Tabletitle">
    <w:name w:val="Table_title"/>
    <w:basedOn w:val="Normal"/>
    <w:next w:val="Tablehead"/>
    <w:rsid w:val="00A936CB"/>
    <w:pPr>
      <w:keepNext/>
      <w:spacing w:before="0" w:after="120"/>
      <w:jc w:val="center"/>
    </w:pPr>
    <w:rPr>
      <w:b/>
    </w:rPr>
  </w:style>
  <w:style w:type="paragraph" w:customStyle="1" w:styleId="Summary">
    <w:name w:val="Summary"/>
    <w:basedOn w:val="Normal"/>
    <w:next w:val="Normalaftertitle"/>
    <w:autoRedefine/>
    <w:rsid w:val="00A936CB"/>
    <w:pPr>
      <w:spacing w:after="480"/>
    </w:pPr>
    <w:rPr>
      <w:lang w:val="es-ES_tradnl"/>
    </w:rPr>
  </w:style>
  <w:style w:type="character" w:styleId="Hyperlink">
    <w:name w:val="Hyperlink"/>
    <w:basedOn w:val="DefaultParagraphFont"/>
    <w:rsid w:val="00934ED7"/>
    <w:rPr>
      <w:color w:val="0000FF"/>
      <w:u w:val="single"/>
    </w:rPr>
  </w:style>
  <w:style w:type="paragraph" w:customStyle="1" w:styleId="TableLegendNote">
    <w:name w:val="Table_Legend_Note"/>
    <w:basedOn w:val="Tablelegend"/>
    <w:next w:val="Tablelegend"/>
    <w:rsid w:val="00A936CB"/>
    <w:pPr>
      <w:ind w:left="-85" w:firstLine="0"/>
    </w:pPr>
    <w:rPr>
      <w:lang w:val="en-US"/>
    </w:rPr>
  </w:style>
  <w:style w:type="character" w:customStyle="1" w:styleId="HeaderChar">
    <w:name w:val="Header Char"/>
    <w:basedOn w:val="DefaultParagraphFont"/>
    <w:link w:val="Header"/>
    <w:uiPriority w:val="99"/>
    <w:rsid w:val="00EE47C4"/>
    <w:rPr>
      <w:sz w:val="24"/>
      <w:lang w:val="fr-FR" w:eastAsia="en-US"/>
    </w:rPr>
  </w:style>
  <w:style w:type="table" w:styleId="TableGrid">
    <w:name w:val="Table Grid"/>
    <w:basedOn w:val="TableNormal"/>
    <w:rsid w:val="00EE47C4"/>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B083A"/>
    <w:rPr>
      <w:color w:val="605E5C"/>
      <w:shd w:val="clear" w:color="auto" w:fill="E1DFDD"/>
    </w:rPr>
  </w:style>
  <w:style w:type="paragraph" w:customStyle="1" w:styleId="CoverNumber">
    <w:name w:val="Cover Number"/>
    <w:basedOn w:val="Normal"/>
    <w:qFormat/>
    <w:rsid w:val="00B42334"/>
    <w:pPr>
      <w:widowControl w:val="0"/>
      <w:tabs>
        <w:tab w:val="clear" w:pos="794"/>
        <w:tab w:val="clear" w:pos="1191"/>
        <w:tab w:val="clear" w:pos="1588"/>
        <w:tab w:val="clear" w:pos="1985"/>
      </w:tabs>
      <w:overflowPunct/>
      <w:adjustRightInd/>
      <w:spacing w:before="93"/>
      <w:ind w:left="284"/>
      <w:jc w:val="left"/>
      <w:textAlignment w:val="auto"/>
      <w:outlineLvl w:val="0"/>
    </w:pPr>
    <w:rPr>
      <w:rFonts w:ascii="Arial" w:eastAsia="AvenirNext LT Pro Medium" w:hAnsi="Arial" w:cs="AvenirNext LT Pro Medium"/>
      <w:b/>
      <w:bCs/>
      <w:spacing w:val="-10"/>
      <w:sz w:val="44"/>
      <w:szCs w:val="52"/>
      <w:lang w:val="en-US"/>
    </w:rPr>
  </w:style>
  <w:style w:type="paragraph" w:customStyle="1" w:styleId="CoverDate">
    <w:name w:val="Cover Date"/>
    <w:basedOn w:val="Normal"/>
    <w:qFormat/>
    <w:rsid w:val="00260B24"/>
    <w:pPr>
      <w:widowControl w:val="0"/>
      <w:tabs>
        <w:tab w:val="clear" w:pos="794"/>
        <w:tab w:val="clear" w:pos="1191"/>
        <w:tab w:val="clear" w:pos="1588"/>
        <w:tab w:val="clear" w:pos="1985"/>
      </w:tabs>
      <w:overflowPunct/>
      <w:adjustRightInd/>
      <w:spacing w:before="126"/>
      <w:ind w:left="284"/>
      <w:jc w:val="left"/>
      <w:textAlignment w:val="auto"/>
    </w:pPr>
    <w:rPr>
      <w:rFonts w:ascii="Arial" w:eastAsia="AvenirNext LT Pro Regular" w:hAnsi="Arial" w:cs="AvenirNext LT Pro Regular"/>
      <w:b/>
      <w:spacing w:val="-2"/>
      <w:sz w:val="36"/>
      <w:szCs w:val="22"/>
      <w:lang w:val="en-US"/>
    </w:rPr>
  </w:style>
  <w:style w:type="paragraph" w:customStyle="1" w:styleId="CoverSeries">
    <w:name w:val="Cover Series"/>
    <w:basedOn w:val="Normal"/>
    <w:qFormat/>
    <w:rsid w:val="00B42334"/>
    <w:pPr>
      <w:widowControl w:val="0"/>
      <w:tabs>
        <w:tab w:val="clear" w:pos="794"/>
        <w:tab w:val="clear" w:pos="1191"/>
        <w:tab w:val="clear" w:pos="1588"/>
        <w:tab w:val="clear" w:pos="1985"/>
      </w:tabs>
      <w:overflowPunct/>
      <w:adjustRightInd/>
      <w:spacing w:before="241" w:line="244" w:lineRule="auto"/>
      <w:ind w:left="284"/>
      <w:jc w:val="left"/>
      <w:textAlignment w:val="auto"/>
    </w:pPr>
    <w:rPr>
      <w:rFonts w:ascii="Arial" w:eastAsia="AvenirNext LT Pro Regular" w:hAnsi="Arial" w:cs="AvenirNext LT Pro Regular"/>
      <w:bCs/>
      <w:color w:val="1A1A1A"/>
      <w:spacing w:val="-4"/>
      <w:sz w:val="40"/>
      <w:szCs w:val="48"/>
      <w:lang w:val="en-US"/>
    </w:rPr>
  </w:style>
  <w:style w:type="paragraph" w:customStyle="1" w:styleId="CoverTitle">
    <w:name w:val="Cover Title"/>
    <w:basedOn w:val="Normal"/>
    <w:qFormat/>
    <w:rsid w:val="00B42334"/>
    <w:pPr>
      <w:widowControl w:val="0"/>
      <w:tabs>
        <w:tab w:val="clear" w:pos="794"/>
        <w:tab w:val="clear" w:pos="1191"/>
        <w:tab w:val="clear" w:pos="1588"/>
        <w:tab w:val="clear" w:pos="1985"/>
      </w:tabs>
      <w:overflowPunct/>
      <w:adjustRightInd/>
      <w:spacing w:before="338" w:line="244" w:lineRule="auto"/>
      <w:ind w:left="284" w:right="1002"/>
      <w:jc w:val="left"/>
      <w:textAlignment w:val="auto"/>
    </w:pPr>
    <w:rPr>
      <w:rFonts w:ascii="Arial" w:eastAsia="AvenirNext LT Pro Regular" w:hAnsi="Arial" w:cs="AvenirNext LT Pro Regular"/>
      <w:b/>
      <w:bCs/>
      <w:sz w:val="44"/>
      <w:szCs w:val="48"/>
      <w:lang w:val="en-US"/>
    </w:rPr>
  </w:style>
  <w:style w:type="paragraph" w:customStyle="1" w:styleId="AnnexNo">
    <w:name w:val="Annex_No"/>
    <w:basedOn w:val="Normal"/>
    <w:next w:val="Normal"/>
    <w:link w:val="AnnexNoChar"/>
    <w:rsid w:val="00E170DC"/>
    <w:pPr>
      <w:keepNext/>
      <w:keepLines/>
      <w:tabs>
        <w:tab w:val="clear" w:pos="794"/>
        <w:tab w:val="clear" w:pos="1191"/>
        <w:tab w:val="clear" w:pos="1588"/>
        <w:tab w:val="clear" w:pos="1985"/>
        <w:tab w:val="left" w:pos="1134"/>
        <w:tab w:val="left" w:pos="1871"/>
        <w:tab w:val="left" w:pos="2268"/>
      </w:tabs>
      <w:spacing w:before="480" w:after="80"/>
      <w:jc w:val="center"/>
    </w:pPr>
    <w:rPr>
      <w:rFonts w:eastAsia="MS Mincho"/>
      <w:sz w:val="28"/>
      <w:lang w:val="en-GB"/>
    </w:rPr>
  </w:style>
  <w:style w:type="paragraph" w:customStyle="1" w:styleId="Normalaftertitle0">
    <w:name w:val="Normal after title"/>
    <w:basedOn w:val="Normal"/>
    <w:next w:val="Normal"/>
    <w:link w:val="NormalaftertitleChar"/>
    <w:qFormat/>
    <w:rsid w:val="00E170DC"/>
    <w:pPr>
      <w:tabs>
        <w:tab w:val="clear" w:pos="794"/>
        <w:tab w:val="clear" w:pos="1191"/>
        <w:tab w:val="clear" w:pos="1588"/>
        <w:tab w:val="clear" w:pos="1985"/>
        <w:tab w:val="left" w:pos="1134"/>
        <w:tab w:val="left" w:pos="1871"/>
        <w:tab w:val="left" w:pos="2268"/>
      </w:tabs>
      <w:spacing w:before="280"/>
      <w:jc w:val="left"/>
    </w:pPr>
    <w:rPr>
      <w:rFonts w:eastAsia="MS Mincho"/>
      <w:lang w:val="en-GB"/>
    </w:rPr>
  </w:style>
  <w:style w:type="paragraph" w:customStyle="1" w:styleId="Reasons">
    <w:name w:val="Reasons"/>
    <w:basedOn w:val="Normal"/>
    <w:qFormat/>
    <w:rsid w:val="00E170DC"/>
    <w:pPr>
      <w:tabs>
        <w:tab w:val="clear" w:pos="794"/>
        <w:tab w:val="clear" w:pos="1191"/>
        <w:tab w:val="left" w:pos="1134"/>
      </w:tabs>
      <w:jc w:val="left"/>
    </w:pPr>
    <w:rPr>
      <w:rFonts w:eastAsia="MS Mincho"/>
      <w:lang w:val="en-GB"/>
    </w:rPr>
  </w:style>
  <w:style w:type="character" w:customStyle="1" w:styleId="RectitleChar">
    <w:name w:val="Rec_title Char"/>
    <w:basedOn w:val="DefaultParagraphFont"/>
    <w:link w:val="Rectitle"/>
    <w:locked/>
    <w:rsid w:val="00E170DC"/>
    <w:rPr>
      <w:b/>
      <w:sz w:val="28"/>
      <w:lang w:val="es-ES" w:eastAsia="en-US"/>
    </w:rPr>
  </w:style>
  <w:style w:type="character" w:customStyle="1" w:styleId="Heading1Char">
    <w:name w:val="Heading 1 Char"/>
    <w:basedOn w:val="DefaultParagraphFont"/>
    <w:link w:val="Heading1"/>
    <w:rsid w:val="00E170DC"/>
    <w:rPr>
      <w:b/>
      <w:sz w:val="24"/>
      <w:lang w:val="es-ES" w:eastAsia="en-US"/>
    </w:rPr>
  </w:style>
  <w:style w:type="character" w:customStyle="1" w:styleId="HeadingbChar">
    <w:name w:val="Heading_b Char"/>
    <w:link w:val="Headingb"/>
    <w:locked/>
    <w:rsid w:val="00E170DC"/>
    <w:rPr>
      <w:b/>
      <w:sz w:val="24"/>
      <w:lang w:val="es-ES" w:eastAsia="en-US"/>
    </w:rPr>
  </w:style>
  <w:style w:type="character" w:customStyle="1" w:styleId="enumlev1Char">
    <w:name w:val="enumlev1 Char"/>
    <w:link w:val="enumlev1"/>
    <w:rsid w:val="00E170DC"/>
    <w:rPr>
      <w:sz w:val="24"/>
      <w:lang w:val="es-ES" w:eastAsia="en-US"/>
    </w:rPr>
  </w:style>
  <w:style w:type="character" w:customStyle="1" w:styleId="FiguretitleChar">
    <w:name w:val="Figure_title Char"/>
    <w:link w:val="Figuretitle"/>
    <w:rsid w:val="00E170DC"/>
    <w:rPr>
      <w:rFonts w:ascii="Times New Roman Bold" w:hAnsi="Times New Roman Bold"/>
      <w:b/>
      <w:sz w:val="18"/>
      <w:lang w:val="es-ES" w:eastAsia="en-US"/>
    </w:rPr>
  </w:style>
  <w:style w:type="character" w:customStyle="1" w:styleId="FigureNo0">
    <w:name w:val="Figure_No (文字)"/>
    <w:link w:val="FigureNo"/>
    <w:rsid w:val="00E170DC"/>
    <w:rPr>
      <w:caps/>
      <w:sz w:val="18"/>
      <w:lang w:val="es-ES" w:eastAsia="en-US"/>
    </w:rPr>
  </w:style>
  <w:style w:type="character" w:customStyle="1" w:styleId="CallChar">
    <w:name w:val="Call Char"/>
    <w:link w:val="Call"/>
    <w:locked/>
    <w:rsid w:val="00E170DC"/>
    <w:rPr>
      <w:i/>
      <w:sz w:val="24"/>
      <w:lang w:val="es-ES" w:eastAsia="en-US"/>
    </w:rPr>
  </w:style>
  <w:style w:type="character" w:customStyle="1" w:styleId="AnnexNoChar">
    <w:name w:val="Annex_No Char"/>
    <w:link w:val="AnnexNo"/>
    <w:locked/>
    <w:rsid w:val="00E170DC"/>
    <w:rPr>
      <w:rFonts w:eastAsia="MS Mincho"/>
      <w:sz w:val="28"/>
      <w:lang w:val="en-GB" w:eastAsia="en-US"/>
    </w:rPr>
  </w:style>
  <w:style w:type="character" w:customStyle="1" w:styleId="NormalaftertitleChar">
    <w:name w:val="Normal after title Char"/>
    <w:basedOn w:val="DefaultParagraphFont"/>
    <w:link w:val="Normalaftertitle0"/>
    <w:rsid w:val="00E170DC"/>
    <w:rPr>
      <w:rFonts w:eastAsia="MS Mincho"/>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259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tu.int/publ/R-REC/es" TargetMode="External"/><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hyperlink" Target="http://www.itu.int/ITU-R/go/patents/es"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ez\Desktop\BR%20REC\RecS\2023-ITU-R_REC_P_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2023-ITU-R_REC_P_S.dotx</Template>
  <TotalTime>43</TotalTime>
  <Pages>7</Pages>
  <Words>1998</Words>
  <Characters>10772</Characters>
  <Application>Microsoft Office Word</Application>
  <DocSecurity>0</DocSecurity>
  <Lines>219</Lines>
  <Paragraphs>131</Paragraphs>
  <ScaleCrop>false</ScaleCrop>
  <HeadingPairs>
    <vt:vector size="2" baseType="variant">
      <vt:variant>
        <vt:lpstr>Title</vt:lpstr>
      </vt:variant>
      <vt:variant>
        <vt:i4>1</vt:i4>
      </vt:variant>
    </vt:vector>
  </HeadingPairs>
  <TitlesOfParts>
    <vt:vector size="1" baseType="lpstr">
      <vt:lpstr>RECOMENDACIÓN  UIT-R  P.371-9 - Elección de índices para las predicciones ionosféricas a largo plazo</vt:lpstr>
    </vt:vector>
  </TitlesOfParts>
  <Manager/>
  <Company>ITU</Company>
  <LinksUpToDate>false</LinksUpToDate>
  <CharactersWithSpaces>12639</CharactersWithSpaces>
  <SharedDoc>false</SharedDoc>
  <HLinks>
    <vt:vector size="12" baseType="variant">
      <vt:variant>
        <vt:i4>1966164</vt:i4>
      </vt:variant>
      <vt:variant>
        <vt:i4>3</vt:i4>
      </vt:variant>
      <vt:variant>
        <vt:i4>0</vt:i4>
      </vt:variant>
      <vt:variant>
        <vt:i4>5</vt:i4>
      </vt:variant>
      <vt:variant>
        <vt:lpwstr>http://www.itu.int/publ/R-REC/en</vt:lpwstr>
      </vt:variant>
      <vt:variant>
        <vt:lpwstr/>
      </vt:variant>
      <vt:variant>
        <vt:i4>3997742</vt:i4>
      </vt:variant>
      <vt:variant>
        <vt:i4>0</vt:i4>
      </vt:variant>
      <vt:variant>
        <vt:i4>0</vt:i4>
      </vt:variant>
      <vt:variant>
        <vt:i4>5</vt:i4>
      </vt:variant>
      <vt:variant>
        <vt:lpwstr>http://www.itu.int/ITU-R/go/patents/en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RECOMENDACIÓN  UIT-R  P.371-9 (08/2023) - Elección de índices para las predicciones ionosféricas a largo plazo</dc:title>
  <dc:subject>Serie P = Propagación de las ondas radioeléctricas</dc:subject>
  <dc:creator>Oficina de Radiocomunicaciones del UIT (BR)</dc:creator>
  <cp:keywords>P,371-9</cp:keywords>
  <dc:description>Saez, 15.04.2024, ITU51013874</dc:description>
  <cp:lastModifiedBy>Saez Grau, Ricardo</cp:lastModifiedBy>
  <cp:revision>15</cp:revision>
  <cp:lastPrinted>2023-03-17T15:41:00Z</cp:lastPrinted>
  <dcterms:created xsi:type="dcterms:W3CDTF">2024-04-15T12:40:00Z</dcterms:created>
  <dcterms:modified xsi:type="dcterms:W3CDTF">2024-04-15T13:29:00Z</dcterms:modified>
  <cp:category>Template:  BR_Rec_2005.dot   (dès 25.10.2002)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Rec. </vt:lpwstr>
  </property>
  <property fmtid="{D5CDD505-2E9C-101B-9397-08002B2CF9AE}" pid="3" name="Header 1">
    <vt:lpwstr>Rap. </vt:lpwstr>
  </property>
  <property fmtid="{D5CDD505-2E9C-101B-9397-08002B2CF9AE}" pid="4" name="Header 2">
    <vt:lpwstr>Rep. </vt:lpwstr>
  </property>
  <property fmtid="{D5CDD505-2E9C-101B-9397-08002B2CF9AE}" pid="5" name="Header 3">
    <vt:lpwstr>I. </vt:lpwstr>
  </property>
  <property fmtid="{D5CDD505-2E9C-101B-9397-08002B2CF9AE}" pid="6" name="Header 4">
    <vt:lpwstr>Op. </vt:lpwstr>
  </property>
  <property fmtid="{D5CDD505-2E9C-101B-9397-08002B2CF9AE}" pid="7" name="Header 5">
    <vt:lpwstr>V. </vt:lpwstr>
  </property>
  <property fmtid="{D5CDD505-2E9C-101B-9397-08002B2CF9AE}" pid="8" name="Header 6">
    <vt:lpwstr>Ru. </vt:lpwstr>
  </property>
  <property fmtid="{D5CDD505-2E9C-101B-9397-08002B2CF9AE}" pid="9" name="Language">
    <vt:lpwstr>Spanish</vt:lpwstr>
  </property>
  <property fmtid="{D5CDD505-2E9C-101B-9397-08002B2CF9AE}" pid="10" name="Typist">
    <vt:lpwstr>Saez</vt:lpwstr>
  </property>
  <property fmtid="{D5CDD505-2E9C-101B-9397-08002B2CF9AE}" pid="11" name="Date completed">
    <vt:lpwstr>lundi, 15 avril 2024</vt:lpwstr>
  </property>
</Properties>
</file>