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9574" w14:textId="77777777" w:rsidR="00FE79FE" w:rsidRPr="00DC78A5" w:rsidRDefault="00FE79FE">
      <w:pPr>
        <w:rPr>
          <w:lang w:val="ru-RU"/>
        </w:rPr>
      </w:pPr>
    </w:p>
    <w:p w14:paraId="5774396B" w14:textId="48C10E72" w:rsidR="00AC040E" w:rsidRPr="004D2BA9" w:rsidRDefault="00AC040E" w:rsidP="00AC040E">
      <w:pPr>
        <w:tabs>
          <w:tab w:val="clear" w:pos="794"/>
          <w:tab w:val="clear" w:pos="1191"/>
          <w:tab w:val="clear" w:pos="1588"/>
          <w:tab w:val="clear" w:pos="1985"/>
          <w:tab w:val="left" w:pos="8610"/>
        </w:tabs>
        <w:overflowPunct/>
        <w:autoSpaceDE/>
        <w:autoSpaceDN/>
        <w:adjustRightInd/>
        <w:spacing w:before="1080"/>
        <w:ind w:left="284"/>
        <w:jc w:val="left"/>
        <w:textAlignment w:val="auto"/>
        <w:rPr>
          <w:rFonts w:ascii="Arial" w:hAnsi="Arial" w:cs="Arial"/>
          <w:b/>
          <w:bCs/>
          <w:sz w:val="44"/>
          <w:szCs w:val="44"/>
          <w:lang w:val="ru-RU"/>
        </w:rPr>
      </w:pPr>
      <w:r w:rsidRPr="004D2BA9">
        <w:rPr>
          <w:rFonts w:ascii="Arial" w:hAnsi="Arial" w:cs="Arial"/>
          <w:b/>
          <w:bCs/>
          <w:sz w:val="44"/>
          <w:szCs w:val="44"/>
          <w:lang w:val="ru-RU"/>
        </w:rPr>
        <w:t>Рекомендация МСЭ-R P.</w:t>
      </w:r>
      <w:r w:rsidR="005B671A" w:rsidRPr="004D2BA9">
        <w:rPr>
          <w:rFonts w:ascii="Arial" w:hAnsi="Arial" w:cs="Arial"/>
          <w:b/>
          <w:bCs/>
          <w:sz w:val="44"/>
          <w:szCs w:val="44"/>
          <w:lang w:val="ru-RU"/>
        </w:rPr>
        <w:t>37</w:t>
      </w:r>
      <w:r w:rsidRPr="004D2BA9">
        <w:rPr>
          <w:rFonts w:ascii="Arial" w:hAnsi="Arial" w:cs="Arial"/>
          <w:b/>
          <w:bCs/>
          <w:sz w:val="44"/>
          <w:szCs w:val="44"/>
          <w:lang w:val="ru-RU"/>
        </w:rPr>
        <w:t>1-</w:t>
      </w:r>
      <w:r w:rsidR="005B671A" w:rsidRPr="004D2BA9">
        <w:rPr>
          <w:rFonts w:ascii="Arial" w:hAnsi="Arial" w:cs="Arial"/>
          <w:b/>
          <w:bCs/>
          <w:sz w:val="44"/>
          <w:szCs w:val="44"/>
          <w:lang w:val="ru-RU"/>
        </w:rPr>
        <w:t>9</w:t>
      </w:r>
    </w:p>
    <w:p w14:paraId="20CBB070" w14:textId="77777777" w:rsidR="00AC040E" w:rsidRPr="004D2BA9" w:rsidRDefault="00AC040E" w:rsidP="00AC04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Arial" w:hAnsi="Arial" w:cs="Arial"/>
          <w:b/>
          <w:bCs/>
          <w:sz w:val="36"/>
          <w:szCs w:val="36"/>
          <w:lang w:val="ru-RU"/>
        </w:rPr>
      </w:pPr>
      <w:r w:rsidRPr="004D2BA9">
        <w:rPr>
          <w:rFonts w:ascii="Arial" w:hAnsi="Arial" w:cs="Arial"/>
          <w:b/>
          <w:bCs/>
          <w:sz w:val="36"/>
          <w:szCs w:val="36"/>
          <w:lang w:val="ru-RU"/>
        </w:rPr>
        <w:t>(08/2023)</w:t>
      </w:r>
    </w:p>
    <w:p w14:paraId="413C881D" w14:textId="77777777" w:rsidR="00AC040E" w:rsidRPr="004D2BA9" w:rsidRDefault="00AC040E" w:rsidP="00AC040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241" w:line="244" w:lineRule="auto"/>
        <w:ind w:left="284"/>
        <w:jc w:val="left"/>
        <w:textAlignment w:val="auto"/>
        <w:rPr>
          <w:rFonts w:ascii="Arial" w:eastAsia="AvenirNext LT Pro Regular" w:hAnsi="Arial" w:cs="Arial"/>
          <w:bCs/>
          <w:color w:val="1A1A1A"/>
          <w:spacing w:val="-4"/>
          <w:sz w:val="40"/>
          <w:szCs w:val="40"/>
          <w:lang w:val="ru-RU"/>
        </w:rPr>
      </w:pPr>
      <w:r w:rsidRPr="004D2BA9">
        <w:rPr>
          <w:rFonts w:ascii="Arial" w:eastAsia="AvenirNext LT Pro Regular" w:hAnsi="Arial" w:cs="Arial"/>
          <w:bCs/>
          <w:color w:val="1A1A1A"/>
          <w:spacing w:val="-4"/>
          <w:sz w:val="40"/>
          <w:szCs w:val="40"/>
          <w:lang w:val="ru-RU"/>
        </w:rPr>
        <w:t xml:space="preserve">Серия P: </w:t>
      </w:r>
      <w:r w:rsidRPr="004D2BA9">
        <w:rPr>
          <w:rFonts w:ascii="Arial" w:eastAsia="AvenirNext LT Pro Regular" w:hAnsi="Arial" w:cs="Arial"/>
          <w:color w:val="1A1A1A"/>
          <w:spacing w:val="-4"/>
          <w:sz w:val="40"/>
          <w:szCs w:val="40"/>
          <w:lang w:val="ru-RU"/>
        </w:rPr>
        <w:t>Распространение радиоволн</w:t>
      </w:r>
    </w:p>
    <w:p w14:paraId="4A3E88B1" w14:textId="0D444223" w:rsidR="00AC040E" w:rsidRPr="004D2BA9" w:rsidRDefault="00B945DC" w:rsidP="00AC040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338" w:line="244" w:lineRule="auto"/>
        <w:ind w:left="284" w:right="798"/>
        <w:jc w:val="left"/>
        <w:textAlignment w:val="auto"/>
        <w:rPr>
          <w:rFonts w:ascii="Arial" w:eastAsia="AvenirNext LT Pro Regular" w:hAnsi="Arial" w:cs="Arial"/>
          <w:b/>
          <w:bCs/>
          <w:sz w:val="44"/>
          <w:szCs w:val="44"/>
          <w:lang w:val="ru-RU"/>
        </w:rPr>
      </w:pPr>
      <w:r w:rsidRPr="004D2BA9">
        <w:rPr>
          <w:rFonts w:ascii="Arial" w:eastAsia="AvenirNext LT Pro Regular" w:hAnsi="Arial" w:cs="Arial"/>
          <w:b/>
          <w:bCs/>
          <w:sz w:val="44"/>
          <w:szCs w:val="44"/>
          <w:lang w:val="ru-RU"/>
        </w:rPr>
        <w:t>Выбор индексов для долгосрочных ионосферных прогнозов</w:t>
      </w:r>
    </w:p>
    <w:p w14:paraId="6440965C" w14:textId="77777777" w:rsidR="00FE79FE" w:rsidRPr="00DC78A5" w:rsidRDefault="00FE79FE" w:rsidP="00CD659B">
      <w:pPr>
        <w:spacing w:before="80"/>
        <w:rPr>
          <w:i/>
          <w:lang w:val="ru-RU"/>
        </w:rPr>
      </w:pPr>
    </w:p>
    <w:p w14:paraId="1CD526A9" w14:textId="77777777" w:rsidR="00A71FE5" w:rsidRPr="00DC78A5" w:rsidRDefault="00A71FE5" w:rsidP="00CD659B">
      <w:pPr>
        <w:spacing w:before="80"/>
        <w:rPr>
          <w:i/>
          <w:lang w:val="ru-RU"/>
        </w:rPr>
      </w:pPr>
    </w:p>
    <w:p w14:paraId="3838CFB3" w14:textId="77777777" w:rsidR="00CD659B" w:rsidRPr="00DC78A5" w:rsidRDefault="00CD659B" w:rsidP="00CD659B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rPr>
          <w:rFonts w:ascii="Palatino Linotype" w:hAnsi="Palatino Linotype"/>
          <w:lang w:val="ru-RU"/>
        </w:rPr>
        <w:sectPr w:rsidR="00CD659B" w:rsidRPr="00DC78A5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14:paraId="183A1691" w14:textId="77777777" w:rsidR="004D2BA9" w:rsidRPr="00852A54" w:rsidRDefault="004D2BA9" w:rsidP="004D2B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0" w:name="c2tope"/>
      <w:bookmarkStart w:id="1" w:name="irecnoe"/>
      <w:bookmarkEnd w:id="0"/>
      <w:bookmarkEnd w:id="1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078071DA" w14:textId="77777777" w:rsidR="004D2BA9" w:rsidRPr="004E05E5" w:rsidRDefault="004D2BA9" w:rsidP="004D2B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659C5C02" w14:textId="77777777" w:rsidR="004D2BA9" w:rsidRPr="004E05E5" w:rsidRDefault="004D2BA9" w:rsidP="004D2B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3A82B230" w14:textId="77777777" w:rsidR="004D2BA9" w:rsidRPr="004E05E5" w:rsidRDefault="004D2BA9" w:rsidP="004D2B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42FA9FC6" w14:textId="77777777" w:rsidR="004D2BA9" w:rsidRPr="00135623" w:rsidRDefault="004D2BA9" w:rsidP="004D2B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23D03B95" w14:textId="77777777" w:rsidR="004D2BA9" w:rsidRPr="00FD3C61" w:rsidRDefault="004D2BA9" w:rsidP="004D2B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4D2BA9" w:rsidRPr="003E17F9" w14:paraId="34006BC3" w14:textId="77777777" w:rsidTr="00A13BE7">
        <w:trPr>
          <w:jc w:val="center"/>
        </w:trPr>
        <w:tc>
          <w:tcPr>
            <w:tcW w:w="8856" w:type="dxa"/>
            <w:gridSpan w:val="2"/>
          </w:tcPr>
          <w:p w14:paraId="068A9601" w14:textId="77777777" w:rsidR="004D2BA9" w:rsidRPr="00343B8D" w:rsidRDefault="004D2BA9" w:rsidP="00A13BE7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343B8D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0DA953CC" w14:textId="77777777" w:rsidR="004D2BA9" w:rsidRPr="00854998" w:rsidRDefault="004D2BA9" w:rsidP="00A13BE7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4D2BA9" w:rsidRPr="00FD3C61" w14:paraId="125F184D" w14:textId="77777777" w:rsidTr="00A13BE7">
        <w:trPr>
          <w:jc w:val="center"/>
        </w:trPr>
        <w:tc>
          <w:tcPr>
            <w:tcW w:w="1188" w:type="dxa"/>
          </w:tcPr>
          <w:p w14:paraId="0F32E997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2F37FFDA" w14:textId="77777777" w:rsidR="004D2BA9" w:rsidRPr="00D163D5" w:rsidRDefault="004D2BA9" w:rsidP="00A13BE7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4D2BA9" w:rsidRPr="00FD3C61" w14:paraId="40214132" w14:textId="77777777" w:rsidTr="00A13BE7">
        <w:trPr>
          <w:jc w:val="center"/>
        </w:trPr>
        <w:tc>
          <w:tcPr>
            <w:tcW w:w="1188" w:type="dxa"/>
          </w:tcPr>
          <w:p w14:paraId="65340E19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190DC3E7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4D2BA9" w:rsidRPr="003E17F9" w14:paraId="494CA0B0" w14:textId="77777777" w:rsidTr="00A13BE7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56CEF18E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5C15BEFC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4D2BA9" w:rsidRPr="00FD3C61" w14:paraId="7C2F7D3B" w14:textId="77777777" w:rsidTr="00A13BE7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BBD634C" w14:textId="77777777" w:rsidR="004D2BA9" w:rsidRPr="00343B8D" w:rsidRDefault="004D2BA9" w:rsidP="00A13BE7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</w:pPr>
            <w:r w:rsidRPr="00343B8D"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97088A" w14:textId="77777777" w:rsidR="004D2BA9" w:rsidRPr="00343B8D" w:rsidRDefault="004D2BA9" w:rsidP="00A13BE7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</w:pPr>
            <w:r w:rsidRPr="00343B8D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4D2BA9" w:rsidRPr="00FD3C61" w14:paraId="1096473A" w14:textId="77777777" w:rsidTr="00A13BE7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44E43E3D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0334831B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4D2BA9" w:rsidRPr="00FD3C61" w14:paraId="133872A5" w14:textId="77777777" w:rsidTr="00A13BE7">
        <w:trPr>
          <w:jc w:val="center"/>
        </w:trPr>
        <w:tc>
          <w:tcPr>
            <w:tcW w:w="1188" w:type="dxa"/>
          </w:tcPr>
          <w:p w14:paraId="70373A30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11C0242C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4D2BA9" w:rsidRPr="003E17F9" w14:paraId="436D7CE3" w14:textId="77777777" w:rsidTr="00A13BE7">
        <w:trPr>
          <w:jc w:val="center"/>
        </w:trPr>
        <w:tc>
          <w:tcPr>
            <w:tcW w:w="1188" w:type="dxa"/>
            <w:tcBorders>
              <w:bottom w:val="nil"/>
            </w:tcBorders>
            <w:shd w:val="clear" w:color="auto" w:fill="FFFFFF"/>
          </w:tcPr>
          <w:p w14:paraId="7792E26E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bottom w:val="nil"/>
            </w:tcBorders>
            <w:shd w:val="clear" w:color="auto" w:fill="FFFFFF"/>
          </w:tcPr>
          <w:p w14:paraId="59058288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7E50D6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4D2BA9" w:rsidRPr="00FD3C61" w14:paraId="123EB284" w14:textId="77777777" w:rsidTr="00A13BE7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5CF65E" w14:textId="77777777" w:rsidR="004D2BA9" w:rsidRPr="00343B8D" w:rsidRDefault="004D2BA9" w:rsidP="00A13BE7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343B8D">
              <w:rPr>
                <w:b/>
                <w:bCs/>
                <w:color w:val="000080"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644F30" w14:textId="77777777" w:rsidR="004D2BA9" w:rsidRPr="00343B8D" w:rsidRDefault="004D2BA9" w:rsidP="00A13BE7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343B8D">
              <w:rPr>
                <w:b/>
                <w:bCs/>
                <w:color w:val="000080"/>
                <w:sz w:val="20"/>
                <w:lang w:val="ru-RU"/>
              </w:rPr>
              <w:t>Распространение радиоволн</w:t>
            </w:r>
          </w:p>
        </w:tc>
      </w:tr>
      <w:tr w:rsidR="004D2BA9" w:rsidRPr="00FD3C61" w14:paraId="58C63B27" w14:textId="77777777" w:rsidTr="00A13BE7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0A532FC6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  <w:tcBorders>
              <w:top w:val="nil"/>
            </w:tcBorders>
          </w:tcPr>
          <w:p w14:paraId="345C6CC9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4D2BA9" w:rsidRPr="00FD3C61" w14:paraId="61B674ED" w14:textId="77777777" w:rsidTr="00A13BE7">
        <w:trPr>
          <w:jc w:val="center"/>
        </w:trPr>
        <w:tc>
          <w:tcPr>
            <w:tcW w:w="1188" w:type="dxa"/>
          </w:tcPr>
          <w:p w14:paraId="47D822BB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49B9386C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4D2BA9" w:rsidRPr="00FD3C61" w14:paraId="0B3BFEB5" w14:textId="77777777" w:rsidTr="00A13BE7">
        <w:trPr>
          <w:jc w:val="center"/>
        </w:trPr>
        <w:tc>
          <w:tcPr>
            <w:tcW w:w="1188" w:type="dxa"/>
          </w:tcPr>
          <w:p w14:paraId="2FB0A54E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26C268D2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4D2BA9" w:rsidRPr="00FD3C61" w14:paraId="60DBDC08" w14:textId="77777777" w:rsidTr="00A13BE7">
        <w:trPr>
          <w:jc w:val="center"/>
        </w:trPr>
        <w:tc>
          <w:tcPr>
            <w:tcW w:w="1188" w:type="dxa"/>
            <w:shd w:val="clear" w:color="auto" w:fill="auto"/>
          </w:tcPr>
          <w:p w14:paraId="17A724FF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024309CE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4D2BA9" w:rsidRPr="003E17F9" w14:paraId="04D92550" w14:textId="77777777" w:rsidTr="00A13BE7">
        <w:trPr>
          <w:jc w:val="center"/>
        </w:trPr>
        <w:tc>
          <w:tcPr>
            <w:tcW w:w="1188" w:type="dxa"/>
          </w:tcPr>
          <w:p w14:paraId="6D950196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086AD0CE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4D2BA9" w:rsidRPr="00FD3C61" w14:paraId="1D15EF47" w14:textId="77777777" w:rsidTr="00A13BE7">
        <w:trPr>
          <w:jc w:val="center"/>
        </w:trPr>
        <w:tc>
          <w:tcPr>
            <w:tcW w:w="1188" w:type="dxa"/>
            <w:shd w:val="clear" w:color="auto" w:fill="auto"/>
          </w:tcPr>
          <w:p w14:paraId="19792390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57561950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4D2BA9" w:rsidRPr="00FD3C61" w14:paraId="5FB66862" w14:textId="77777777" w:rsidTr="00A13BE7">
        <w:trPr>
          <w:jc w:val="center"/>
        </w:trPr>
        <w:tc>
          <w:tcPr>
            <w:tcW w:w="1188" w:type="dxa"/>
          </w:tcPr>
          <w:p w14:paraId="6D8928C5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41EDED53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4D2BA9" w:rsidRPr="003E17F9" w14:paraId="1EE4293D" w14:textId="77777777" w:rsidTr="00A13BE7">
        <w:trPr>
          <w:jc w:val="center"/>
        </w:trPr>
        <w:tc>
          <w:tcPr>
            <w:tcW w:w="1188" w:type="dxa"/>
          </w:tcPr>
          <w:p w14:paraId="73CF72A2" w14:textId="77777777" w:rsidR="004D2BA9" w:rsidRPr="00D163D5" w:rsidRDefault="004D2BA9" w:rsidP="00A13BE7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786D946E" w14:textId="77777777" w:rsidR="004D2BA9" w:rsidRPr="00D163D5" w:rsidRDefault="004D2BA9" w:rsidP="00A13BE7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4D2BA9" w:rsidRPr="003E17F9" w14:paraId="1A6FD844" w14:textId="77777777" w:rsidTr="00A13BE7">
        <w:trPr>
          <w:jc w:val="center"/>
        </w:trPr>
        <w:tc>
          <w:tcPr>
            <w:tcW w:w="1188" w:type="dxa"/>
          </w:tcPr>
          <w:p w14:paraId="320EC494" w14:textId="77777777" w:rsidR="004D2BA9" w:rsidRPr="00D163D5" w:rsidRDefault="004D2BA9" w:rsidP="00A13BE7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7B983D2D" w14:textId="77777777" w:rsidR="004D2BA9" w:rsidRPr="00D163D5" w:rsidRDefault="004D2BA9" w:rsidP="00A13BE7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4FC8785A" w14:textId="77777777" w:rsidR="004D2BA9" w:rsidRPr="00FD3C61" w:rsidRDefault="004D2BA9" w:rsidP="004D2B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4D2BA9" w:rsidRPr="002E2C47" w14:paraId="09F069E2" w14:textId="77777777" w:rsidTr="00A13BE7">
        <w:trPr>
          <w:jc w:val="center"/>
        </w:trPr>
        <w:tc>
          <w:tcPr>
            <w:tcW w:w="8856" w:type="dxa"/>
          </w:tcPr>
          <w:p w14:paraId="58BDF1C1" w14:textId="77777777" w:rsidR="004D2BA9" w:rsidRPr="00FD3C61" w:rsidRDefault="004D2BA9" w:rsidP="00A13BE7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671AC4BD" w14:textId="6112AD28" w:rsidR="004D2BA9" w:rsidRPr="004E05E5" w:rsidRDefault="004D2BA9" w:rsidP="004D2BA9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24</w:t>
      </w:r>
      <w:r w:rsidRPr="004E05E5">
        <w:rPr>
          <w:sz w:val="20"/>
          <w:lang w:val="ru-RU"/>
        </w:rPr>
        <w:t xml:space="preserve"> г.</w:t>
      </w:r>
    </w:p>
    <w:p w14:paraId="08FA6500" w14:textId="66AE5D92" w:rsidR="004D2BA9" w:rsidRPr="009E7C05" w:rsidRDefault="004D2BA9" w:rsidP="004D2BA9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2" w:name="iiannee"/>
      <w:bookmarkEnd w:id="2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24</w:t>
      </w:r>
    </w:p>
    <w:p w14:paraId="0901586A" w14:textId="77777777" w:rsidR="004D2BA9" w:rsidRPr="001D53F9" w:rsidRDefault="004D2BA9" w:rsidP="004D2BA9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13A9A2D1" w14:textId="77777777" w:rsidR="004D2BA9" w:rsidRPr="001D53F9" w:rsidRDefault="004D2BA9" w:rsidP="004D2BA9">
      <w:pPr>
        <w:spacing w:before="160"/>
        <w:rPr>
          <w:i/>
          <w:sz w:val="20"/>
          <w:lang w:val="ru-RU"/>
        </w:rPr>
        <w:sectPr w:rsidR="004D2BA9" w:rsidRPr="001D53F9" w:rsidSect="004D2BA9">
          <w:headerReference w:type="even" r:id="rId13"/>
          <w:headerReference w:type="default" r:id="rId14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555DAA8F" w14:textId="0B4CCE0B" w:rsidR="00A95F70" w:rsidRPr="004B2622" w:rsidRDefault="004010A2" w:rsidP="004B2622">
      <w:pPr>
        <w:pStyle w:val="RecNo"/>
        <w:spacing w:before="0"/>
      </w:pPr>
      <w:r w:rsidRPr="004B2622">
        <w:lastRenderedPageBreak/>
        <w:t xml:space="preserve">РЕКОМЕНДАЦИЯ </w:t>
      </w:r>
      <w:r w:rsidR="004B2622">
        <w:t xml:space="preserve"> </w:t>
      </w:r>
      <w:r w:rsidRPr="004B2622">
        <w:rPr>
          <w:rStyle w:val="href"/>
        </w:rPr>
        <w:t>МСЭ</w:t>
      </w:r>
      <w:r w:rsidR="00A95F70" w:rsidRPr="004B2622">
        <w:rPr>
          <w:rStyle w:val="href"/>
        </w:rPr>
        <w:t>-R  P.</w:t>
      </w:r>
      <w:r w:rsidR="005B671A" w:rsidRPr="004B2622">
        <w:rPr>
          <w:rStyle w:val="href"/>
        </w:rPr>
        <w:t>37</w:t>
      </w:r>
      <w:r w:rsidR="00F173B8" w:rsidRPr="004B2622">
        <w:rPr>
          <w:rStyle w:val="href"/>
        </w:rPr>
        <w:t>1-</w:t>
      </w:r>
      <w:r w:rsidR="005B671A" w:rsidRPr="004B2622">
        <w:rPr>
          <w:rStyle w:val="href"/>
        </w:rPr>
        <w:t>9</w:t>
      </w:r>
    </w:p>
    <w:p w14:paraId="28EFD6F7" w14:textId="76252C7C" w:rsidR="00F173B8" w:rsidRPr="00DC78A5" w:rsidRDefault="00A47617" w:rsidP="00256729">
      <w:pPr>
        <w:pStyle w:val="Rectitle"/>
        <w:rPr>
          <w:lang w:val="ru-RU"/>
        </w:rPr>
      </w:pPr>
      <w:r w:rsidRPr="00DC78A5">
        <w:rPr>
          <w:lang w:val="ru-RU"/>
        </w:rPr>
        <w:t>Выбор индексов для долгосрочных ионосферных прогнозов</w:t>
      </w:r>
    </w:p>
    <w:p w14:paraId="3F2AA671" w14:textId="605E22B7" w:rsidR="00F173B8" w:rsidRPr="00DC78A5" w:rsidRDefault="005B671A" w:rsidP="00F173B8">
      <w:pPr>
        <w:pStyle w:val="Recdate"/>
        <w:rPr>
          <w:lang w:val="ru-RU"/>
        </w:rPr>
      </w:pPr>
      <w:r w:rsidRPr="00DC78A5">
        <w:rPr>
          <w:lang w:val="ru-RU"/>
        </w:rPr>
        <w:t>(1963-1970-1974-1978-1982-1986-1990-1995-1999-2023)</w:t>
      </w:r>
    </w:p>
    <w:p w14:paraId="6240038E" w14:textId="77777777" w:rsidR="00F173B8" w:rsidRPr="004010A2" w:rsidRDefault="00F173B8" w:rsidP="004010A2">
      <w:pPr>
        <w:pStyle w:val="HeadingSum"/>
      </w:pPr>
      <w:r w:rsidRPr="004010A2">
        <w:t>Сфера применения</w:t>
      </w:r>
    </w:p>
    <w:p w14:paraId="007623F4" w14:textId="0A667EB3" w:rsidR="00F173B8" w:rsidRPr="00DC78A5" w:rsidRDefault="00A47617" w:rsidP="004010A2">
      <w:pPr>
        <w:pStyle w:val="Summary"/>
      </w:pPr>
      <w:r w:rsidRPr="00DC78A5">
        <w:t>В настоящей Рекомендации представлен ряд соотношений для расчета долгосрочных ионосферных индексов, которые используются для прогнозирования характеристик ионосферы.</w:t>
      </w:r>
    </w:p>
    <w:p w14:paraId="4F4DF1F9" w14:textId="679E6A19" w:rsidR="00F173B8" w:rsidRPr="00DC78A5" w:rsidRDefault="00F173B8" w:rsidP="004C1327">
      <w:pPr>
        <w:pStyle w:val="Headingb"/>
        <w:rPr>
          <w:lang w:val="ru-RU"/>
        </w:rPr>
      </w:pPr>
      <w:r w:rsidRPr="00DC78A5">
        <w:rPr>
          <w:lang w:val="ru-RU"/>
        </w:rPr>
        <w:t>Ключевые слова</w:t>
      </w:r>
    </w:p>
    <w:p w14:paraId="7C48CF59" w14:textId="05BBB79D" w:rsidR="00F173B8" w:rsidRPr="00DC78A5" w:rsidRDefault="004F1D7F" w:rsidP="006B511B">
      <w:pPr>
        <w:rPr>
          <w:lang w:val="ru-RU"/>
        </w:rPr>
      </w:pPr>
      <w:bookmarkStart w:id="3" w:name="lt_pId061"/>
      <w:r w:rsidRPr="00DC78A5">
        <w:rPr>
          <w:lang w:val="ru-RU"/>
        </w:rPr>
        <w:t>Характеристики ионосферы</w:t>
      </w:r>
      <w:r w:rsidR="005B671A" w:rsidRPr="00DC78A5">
        <w:rPr>
          <w:lang w:val="ru-RU"/>
        </w:rPr>
        <w:t xml:space="preserve">, </w:t>
      </w:r>
      <w:r w:rsidR="006E4DF6" w:rsidRPr="00DC78A5">
        <w:rPr>
          <w:lang w:val="ru-RU"/>
        </w:rPr>
        <w:t>п</w:t>
      </w:r>
      <w:r w:rsidRPr="00DC78A5">
        <w:rPr>
          <w:lang w:val="ru-RU"/>
        </w:rPr>
        <w:t>оток солнечного радиошума</w:t>
      </w:r>
      <w:r w:rsidR="005B671A" w:rsidRPr="00DC78A5">
        <w:rPr>
          <w:lang w:val="ru-RU"/>
        </w:rPr>
        <w:t xml:space="preserve">, </w:t>
      </w:r>
      <w:r w:rsidRPr="00DC78A5">
        <w:rPr>
          <w:lang w:val="ru-RU"/>
        </w:rPr>
        <w:t>число солнечных пятен</w:t>
      </w:r>
      <w:r w:rsidR="005B671A" w:rsidRPr="00DC78A5">
        <w:rPr>
          <w:lang w:val="ru-RU"/>
        </w:rPr>
        <w:t>, M(3000)F2</w:t>
      </w:r>
      <w:bookmarkEnd w:id="3"/>
    </w:p>
    <w:p w14:paraId="4AC87646" w14:textId="0D5EE257" w:rsidR="006B511B" w:rsidRPr="00DC78A5" w:rsidRDefault="00513C1E" w:rsidP="006B511B">
      <w:pPr>
        <w:pStyle w:val="Headingb"/>
        <w:rPr>
          <w:lang w:val="ru-RU"/>
        </w:rPr>
      </w:pPr>
      <w:r w:rsidRPr="00DC78A5">
        <w:rPr>
          <w:lang w:val="ru-RU"/>
        </w:rPr>
        <w:t>Сокращения/Глоссарий</w:t>
      </w:r>
    </w:p>
    <w:tbl>
      <w:tblPr>
        <w:tblStyle w:val="TableGrid"/>
        <w:tblW w:w="0" w:type="auto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382"/>
        <w:gridCol w:w="714"/>
        <w:gridCol w:w="4850"/>
      </w:tblGrid>
      <w:tr w:rsidR="00513C1E" w:rsidRPr="00DC78A5" w14:paraId="5E4D37D1" w14:textId="77777777" w:rsidTr="00BC709C">
        <w:tc>
          <w:tcPr>
            <w:tcW w:w="763" w:type="dxa"/>
          </w:tcPr>
          <w:p w14:paraId="4733F424" w14:textId="386B9594" w:rsidR="00513C1E" w:rsidRPr="00DC78A5" w:rsidRDefault="00513C1E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lang w:val="ru-RU"/>
              </w:rPr>
              <w:t>MUF</w:t>
            </w:r>
          </w:p>
        </w:tc>
        <w:tc>
          <w:tcPr>
            <w:tcW w:w="0" w:type="auto"/>
          </w:tcPr>
          <w:p w14:paraId="2A9406B0" w14:textId="040176B7" w:rsidR="00513C1E" w:rsidRPr="00DC78A5" w:rsidRDefault="00513C1E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lang w:val="ru-RU"/>
              </w:rPr>
              <w:t xml:space="preserve">Maximum usable frequency </w:t>
            </w:r>
          </w:p>
        </w:tc>
        <w:tc>
          <w:tcPr>
            <w:tcW w:w="0" w:type="auto"/>
          </w:tcPr>
          <w:p w14:paraId="0454D08D" w14:textId="487C2BD2" w:rsidR="00513C1E" w:rsidRPr="00DC78A5" w:rsidRDefault="00513C1E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lang w:val="ru-RU"/>
              </w:rPr>
              <w:t>МПЧ</w:t>
            </w:r>
          </w:p>
        </w:tc>
        <w:tc>
          <w:tcPr>
            <w:tcW w:w="0" w:type="auto"/>
          </w:tcPr>
          <w:p w14:paraId="799B8514" w14:textId="19FFC5D2" w:rsidR="00513C1E" w:rsidRPr="00DC78A5" w:rsidRDefault="00513C1E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lang w:val="ru-RU"/>
              </w:rPr>
              <w:t>Максимальная применимая частота</w:t>
            </w:r>
          </w:p>
        </w:tc>
      </w:tr>
      <w:tr w:rsidR="001449ED" w:rsidRPr="00980419" w14:paraId="45B720AC" w14:textId="77777777" w:rsidTr="00BC709C">
        <w:tc>
          <w:tcPr>
            <w:tcW w:w="763" w:type="dxa"/>
          </w:tcPr>
          <w:p w14:paraId="74E7A38F" w14:textId="373AC73F" w:rsidR="005B671A" w:rsidRPr="00DC78A5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i/>
                <w:lang w:val="ru-RU"/>
              </w:rPr>
              <w:t>R</w:t>
            </w:r>
            <w:r w:rsidRPr="00DC78A5">
              <w:rPr>
                <w:position w:val="-4"/>
                <w:sz w:val="16"/>
                <w:lang w:val="ru-RU"/>
              </w:rPr>
              <w:t>12</w:t>
            </w:r>
          </w:p>
        </w:tc>
        <w:tc>
          <w:tcPr>
            <w:tcW w:w="0" w:type="auto"/>
          </w:tcPr>
          <w:p w14:paraId="536327F6" w14:textId="42626422" w:rsidR="005B671A" w:rsidRPr="005C3680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en-GB"/>
              </w:rPr>
            </w:pPr>
            <w:r w:rsidRPr="005C3680">
              <w:rPr>
                <w:lang w:val="en-GB"/>
              </w:rPr>
              <w:t>12-month running mean sunspot number</w:t>
            </w:r>
          </w:p>
        </w:tc>
        <w:tc>
          <w:tcPr>
            <w:tcW w:w="0" w:type="auto"/>
          </w:tcPr>
          <w:p w14:paraId="2E92A9E7" w14:textId="331F5D45" w:rsidR="005B671A" w:rsidRPr="005C3680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en-GB"/>
              </w:rPr>
            </w:pPr>
          </w:p>
        </w:tc>
        <w:tc>
          <w:tcPr>
            <w:tcW w:w="0" w:type="auto"/>
          </w:tcPr>
          <w:p w14:paraId="26EF4F04" w14:textId="476FCFB2" w:rsidR="005B671A" w:rsidRPr="00DC78A5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lang w:val="ru-RU"/>
              </w:rPr>
              <w:t>Скользящее среднее за 12 месяцев число солнечных пятен</w:t>
            </w:r>
          </w:p>
        </w:tc>
      </w:tr>
      <w:tr w:rsidR="001449ED" w:rsidRPr="00980419" w14:paraId="4103A641" w14:textId="77777777" w:rsidTr="00BC709C">
        <w:tc>
          <w:tcPr>
            <w:tcW w:w="763" w:type="dxa"/>
          </w:tcPr>
          <w:p w14:paraId="79C60173" w14:textId="16BEDF07" w:rsidR="005B671A" w:rsidRPr="00DC78A5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rFonts w:ascii="Symbol" w:hAnsi="Symbol"/>
                <w:lang w:val="ru-RU"/>
              </w:rPr>
              <w:sym w:font="Symbol" w:char="F046"/>
            </w:r>
          </w:p>
        </w:tc>
        <w:tc>
          <w:tcPr>
            <w:tcW w:w="0" w:type="auto"/>
          </w:tcPr>
          <w:p w14:paraId="1D6D469F" w14:textId="7BDE3D58" w:rsidR="005B671A" w:rsidRPr="005C3680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en-GB"/>
              </w:rPr>
            </w:pPr>
            <w:r w:rsidRPr="005C3680">
              <w:rPr>
                <w:lang w:val="en-GB"/>
              </w:rPr>
              <w:t>Solar radio noise flux at about 10 cm wavelength</w:t>
            </w:r>
          </w:p>
        </w:tc>
        <w:tc>
          <w:tcPr>
            <w:tcW w:w="0" w:type="auto"/>
          </w:tcPr>
          <w:p w14:paraId="71D36020" w14:textId="77777777" w:rsidR="005B671A" w:rsidRPr="005C3680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en-GB"/>
              </w:rPr>
            </w:pPr>
          </w:p>
        </w:tc>
        <w:tc>
          <w:tcPr>
            <w:tcW w:w="0" w:type="auto"/>
          </w:tcPr>
          <w:p w14:paraId="652113DB" w14:textId="1229246D" w:rsidR="005B671A" w:rsidRPr="00DC78A5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lang w:val="ru-RU"/>
              </w:rPr>
              <w:t>Поток солнечного радиошума при длине волны около 10 см</w:t>
            </w:r>
          </w:p>
        </w:tc>
      </w:tr>
      <w:tr w:rsidR="001449ED" w:rsidRPr="00980419" w14:paraId="0EA25A1C" w14:textId="77777777" w:rsidTr="00BC709C">
        <w:tc>
          <w:tcPr>
            <w:tcW w:w="763" w:type="dxa"/>
          </w:tcPr>
          <w:p w14:paraId="2D6D1D40" w14:textId="03345488" w:rsidR="005B671A" w:rsidRPr="00DC78A5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rFonts w:ascii="Symbol" w:hAnsi="Symbol"/>
                <w:lang w:val="ru-RU"/>
              </w:rPr>
              <w:sym w:font="Symbol" w:char="F046"/>
            </w:r>
            <w:r w:rsidRPr="00DC78A5">
              <w:rPr>
                <w:vertAlign w:val="subscript"/>
                <w:lang w:val="ru-RU"/>
              </w:rPr>
              <w:t>12</w:t>
            </w:r>
          </w:p>
        </w:tc>
        <w:tc>
          <w:tcPr>
            <w:tcW w:w="0" w:type="auto"/>
          </w:tcPr>
          <w:p w14:paraId="4E07FB96" w14:textId="1CAFA01F" w:rsidR="005B671A" w:rsidRPr="005C3680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en-GB"/>
              </w:rPr>
            </w:pPr>
            <w:r w:rsidRPr="005C3680">
              <w:rPr>
                <w:lang w:val="en-GB"/>
              </w:rPr>
              <w:t>12-month running mean value of </w:t>
            </w:r>
            <w:r w:rsidRPr="00DC78A5">
              <w:rPr>
                <w:rFonts w:ascii="Symbol" w:hAnsi="Symbol"/>
                <w:lang w:val="ru-RU"/>
              </w:rPr>
              <w:sym w:font="Symbol" w:char="F046"/>
            </w:r>
            <w:r w:rsidRPr="005C3680">
              <w:rPr>
                <w:lang w:val="en-GB"/>
              </w:rPr>
              <w:t>, the 2</w:t>
            </w:r>
            <w:r w:rsidRPr="005C3680">
              <w:rPr>
                <w:rFonts w:ascii="Tms Rmn" w:hAnsi="Tms Rmn"/>
                <w:sz w:val="12"/>
                <w:lang w:val="en-GB"/>
              </w:rPr>
              <w:t> </w:t>
            </w:r>
            <w:r w:rsidRPr="005C3680">
              <w:rPr>
                <w:lang w:val="en-GB"/>
              </w:rPr>
              <w:t>800 MHz solar radio noise flux</w:t>
            </w:r>
          </w:p>
        </w:tc>
        <w:tc>
          <w:tcPr>
            <w:tcW w:w="0" w:type="auto"/>
          </w:tcPr>
          <w:p w14:paraId="234B9371" w14:textId="77777777" w:rsidR="005B671A" w:rsidRPr="005C3680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en-GB"/>
              </w:rPr>
            </w:pPr>
          </w:p>
        </w:tc>
        <w:tc>
          <w:tcPr>
            <w:tcW w:w="0" w:type="auto"/>
          </w:tcPr>
          <w:p w14:paraId="256429BF" w14:textId="45543CB4" w:rsidR="005B671A" w:rsidRPr="00DC78A5" w:rsidRDefault="005B671A" w:rsidP="005B67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lang w:val="ru-RU"/>
              </w:rPr>
            </w:pPr>
            <w:r w:rsidRPr="00DC78A5">
              <w:rPr>
                <w:lang w:val="ru-RU"/>
              </w:rPr>
              <w:t xml:space="preserve">Скользящее среднее за 12 месяцев </w:t>
            </w:r>
            <w:r w:rsidR="001449ED" w:rsidRPr="00DC78A5">
              <w:rPr>
                <w:lang w:val="ru-RU"/>
              </w:rPr>
              <w:t>число</w:t>
            </w:r>
            <w:r w:rsidR="00256729" w:rsidRPr="00DC78A5">
              <w:rPr>
                <w:lang w:val="ru-RU"/>
              </w:rPr>
              <w:t> </w:t>
            </w:r>
            <w:r w:rsidRPr="00DC78A5">
              <w:rPr>
                <w:rFonts w:ascii="Symbol" w:hAnsi="Symbol"/>
                <w:lang w:val="ru-RU"/>
              </w:rPr>
              <w:sym w:font="Symbol" w:char="F046"/>
            </w:r>
            <w:r w:rsidRPr="00DC78A5">
              <w:rPr>
                <w:rFonts w:ascii="Symbol" w:hAnsi="Symbol"/>
                <w:lang w:val="ru-RU"/>
              </w:rPr>
              <w:t xml:space="preserve">, </w:t>
            </w:r>
            <w:r w:rsidRPr="00DC78A5">
              <w:rPr>
                <w:lang w:val="ru-RU"/>
              </w:rPr>
              <w:t>поток солнечного радиошума на частоте 2800 МГц (т. е.)</w:t>
            </w:r>
          </w:p>
        </w:tc>
      </w:tr>
    </w:tbl>
    <w:p w14:paraId="1047723C" w14:textId="6A3DCC53" w:rsidR="00F173B8" w:rsidRPr="00DC78A5" w:rsidRDefault="00F173B8" w:rsidP="00F173B8">
      <w:pPr>
        <w:pStyle w:val="Normalaftertitle"/>
        <w:rPr>
          <w:lang w:val="ru-RU"/>
        </w:rPr>
      </w:pPr>
      <w:r w:rsidRPr="00DC78A5">
        <w:rPr>
          <w:lang w:val="ru-RU"/>
        </w:rPr>
        <w:t>Ассамблея радиосвязи МСЭ</w:t>
      </w:r>
    </w:p>
    <w:p w14:paraId="48B7896E" w14:textId="77777777" w:rsidR="00F173B8" w:rsidRPr="00DC78A5" w:rsidRDefault="00F173B8" w:rsidP="00F173B8">
      <w:pPr>
        <w:pStyle w:val="Call"/>
        <w:rPr>
          <w:lang w:val="ru-RU"/>
        </w:rPr>
      </w:pPr>
      <w:r w:rsidRPr="00DC78A5">
        <w:rPr>
          <w:lang w:val="ru-RU"/>
        </w:rPr>
        <w:t>рекомендует</w:t>
      </w:r>
      <w:r w:rsidRPr="00DC78A5">
        <w:rPr>
          <w:i w:val="0"/>
          <w:iCs/>
          <w:lang w:val="ru-RU"/>
        </w:rPr>
        <w:t>,</w:t>
      </w:r>
    </w:p>
    <w:p w14:paraId="74F873B0" w14:textId="7DC20F80" w:rsidR="004F1D7F" w:rsidRPr="00DC78A5" w:rsidRDefault="004F1D7F" w:rsidP="004F1D7F">
      <w:pPr>
        <w:rPr>
          <w:lang w:val="ru-RU"/>
        </w:rPr>
      </w:pPr>
      <w:r w:rsidRPr="004010A2">
        <w:rPr>
          <w:bCs/>
          <w:lang w:val="ru-RU"/>
        </w:rPr>
        <w:t>1</w:t>
      </w:r>
      <w:r w:rsidRPr="00DC78A5">
        <w:rPr>
          <w:lang w:val="ru-RU"/>
        </w:rPr>
        <w:tab/>
      </w:r>
      <w:r w:rsidR="00D240B2" w:rsidRPr="00DC78A5">
        <w:rPr>
          <w:lang w:val="ru-RU"/>
        </w:rPr>
        <w:t>принять</w:t>
      </w:r>
      <w:r w:rsidR="001449ED" w:rsidRPr="00DC78A5">
        <w:rPr>
          <w:lang w:val="ru-RU"/>
        </w:rPr>
        <w:t xml:space="preserve"> </w:t>
      </w:r>
      <w:r w:rsidR="001449ED" w:rsidRPr="00DC78A5">
        <w:rPr>
          <w:color w:val="000000"/>
          <w:lang w:val="ru-RU"/>
        </w:rPr>
        <w:t xml:space="preserve">скользящее среднее за 12 месяцев число солнечных пятен </w:t>
      </w:r>
      <w:r w:rsidR="001449ED" w:rsidRPr="00DC78A5">
        <w:rPr>
          <w:i/>
          <w:iCs/>
          <w:color w:val="000000"/>
          <w:lang w:val="ru-RU"/>
        </w:rPr>
        <w:t>R</w:t>
      </w:r>
      <w:r w:rsidR="001449ED" w:rsidRPr="00DC78A5">
        <w:rPr>
          <w:position w:val="-4"/>
          <w:sz w:val="16"/>
          <w:lang w:val="ru-RU"/>
        </w:rPr>
        <w:t>12</w:t>
      </w:r>
      <w:r w:rsidR="001449ED" w:rsidRPr="00DC78A5">
        <w:rPr>
          <w:lang w:val="ru-RU"/>
        </w:rPr>
        <w:t xml:space="preserve"> или, альтернативно, </w:t>
      </w:r>
      <w:r w:rsidR="001449ED" w:rsidRPr="00DC78A5">
        <w:rPr>
          <w:color w:val="000000"/>
          <w:lang w:val="ru-RU"/>
        </w:rPr>
        <w:t xml:space="preserve">скользящее среднее за 12 месяцев </w:t>
      </w:r>
      <w:r w:rsidR="006E4DF6" w:rsidRPr="00DC78A5">
        <w:rPr>
          <w:color w:val="000000"/>
          <w:lang w:val="ru-RU"/>
        </w:rPr>
        <w:t>значение</w:t>
      </w:r>
      <w:r w:rsidR="001449ED" w:rsidRPr="00DC78A5">
        <w:rPr>
          <w:color w:val="000000"/>
          <w:lang w:val="ru-RU"/>
        </w:rPr>
        <w:t xml:space="preserve"> </w:t>
      </w:r>
      <w:r w:rsidR="001449ED" w:rsidRPr="00DC78A5">
        <w:rPr>
          <w:rFonts w:ascii="Symbol" w:hAnsi="Symbol"/>
          <w:lang w:val="ru-RU"/>
        </w:rPr>
        <w:t></w:t>
      </w:r>
      <w:r w:rsidR="001449ED" w:rsidRPr="00DC78A5">
        <w:rPr>
          <w:lang w:val="ru-RU"/>
        </w:rPr>
        <w:t>, поток солнечного радиошума на частоте 2800 МГц (то</w:t>
      </w:r>
      <w:r w:rsidR="00256729" w:rsidRPr="00DC78A5">
        <w:rPr>
          <w:lang w:val="ru-RU"/>
        </w:rPr>
        <w:t> </w:t>
      </w:r>
      <w:r w:rsidR="001449ED" w:rsidRPr="00DC78A5">
        <w:rPr>
          <w:lang w:val="ru-RU"/>
        </w:rPr>
        <w:t xml:space="preserve">есть </w:t>
      </w:r>
      <w:r w:rsidR="001449ED" w:rsidRPr="00DC78A5">
        <w:rPr>
          <w:rFonts w:ascii="Symbol" w:hAnsi="Symbol"/>
          <w:lang w:val="ru-RU"/>
        </w:rPr>
        <w:t></w:t>
      </w:r>
      <w:r w:rsidR="001449ED" w:rsidRPr="00DC78A5">
        <w:rPr>
          <w:position w:val="-4"/>
          <w:sz w:val="16"/>
          <w:lang w:val="ru-RU"/>
        </w:rPr>
        <w:t>12</w:t>
      </w:r>
      <w:r w:rsidR="001449ED" w:rsidRPr="00DC78A5">
        <w:rPr>
          <w:lang w:val="ru-RU"/>
        </w:rPr>
        <w:t>) в качестве предпочтительного индекса</w:t>
      </w:r>
      <w:r w:rsidR="00D240B2" w:rsidRPr="00DC78A5">
        <w:rPr>
          <w:lang w:val="ru-RU"/>
        </w:rPr>
        <w:t xml:space="preserve"> для</w:t>
      </w:r>
      <w:r w:rsidR="001449ED" w:rsidRPr="00DC78A5">
        <w:rPr>
          <w:lang w:val="ru-RU"/>
        </w:rPr>
        <w:t xml:space="preserve"> использова</w:t>
      </w:r>
      <w:r w:rsidR="00D240B2" w:rsidRPr="00DC78A5">
        <w:rPr>
          <w:lang w:val="ru-RU"/>
        </w:rPr>
        <w:t>ни</w:t>
      </w:r>
      <w:r w:rsidR="001449ED" w:rsidRPr="00DC78A5">
        <w:rPr>
          <w:lang w:val="ru-RU"/>
        </w:rPr>
        <w:t>я при прогнозировании месячных медианных значений foF2 и M(3000)F2 по всем шкалам времени: при использовании любого из этих индексов должна обеспечиваться возможность получения эквивалентных по существу результатов</w:t>
      </w:r>
      <w:r w:rsidR="00D240B2" w:rsidRPr="00DC78A5">
        <w:rPr>
          <w:lang w:val="ru-RU"/>
        </w:rPr>
        <w:t>;</w:t>
      </w:r>
    </w:p>
    <w:p w14:paraId="7A7B2F14" w14:textId="23C995DD" w:rsidR="004F1D7F" w:rsidRPr="00DC78A5" w:rsidRDefault="004F1D7F" w:rsidP="004F1D7F">
      <w:pPr>
        <w:rPr>
          <w:lang w:val="ru-RU"/>
        </w:rPr>
      </w:pPr>
      <w:r w:rsidRPr="004010A2">
        <w:rPr>
          <w:bCs/>
          <w:lang w:val="ru-RU"/>
        </w:rPr>
        <w:t>2</w:t>
      </w:r>
      <w:r w:rsidRPr="00DC78A5">
        <w:rPr>
          <w:lang w:val="ru-RU"/>
        </w:rPr>
        <w:tab/>
      </w:r>
      <w:r w:rsidR="00D240B2" w:rsidRPr="00DC78A5">
        <w:rPr>
          <w:lang w:val="ru-RU"/>
        </w:rPr>
        <w:t xml:space="preserve">принять </w:t>
      </w:r>
      <w:r w:rsidR="001449ED" w:rsidRPr="00DC78A5">
        <w:rPr>
          <w:rFonts w:ascii="Symbol" w:hAnsi="Symbol"/>
          <w:lang w:val="ru-RU"/>
        </w:rPr>
        <w:t></w:t>
      </w:r>
      <w:r w:rsidR="001449ED" w:rsidRPr="00DC78A5">
        <w:rPr>
          <w:position w:val="-4"/>
          <w:sz w:val="16"/>
          <w:lang w:val="ru-RU"/>
        </w:rPr>
        <w:t>12</w:t>
      </w:r>
      <w:r w:rsidR="001449ED" w:rsidRPr="00DC78A5">
        <w:rPr>
          <w:lang w:val="ru-RU"/>
        </w:rPr>
        <w:t xml:space="preserve"> в качестве предпочтительного индекса</w:t>
      </w:r>
      <w:r w:rsidR="00D240B2" w:rsidRPr="00DC78A5">
        <w:rPr>
          <w:lang w:val="ru-RU"/>
        </w:rPr>
        <w:t xml:space="preserve"> для</w:t>
      </w:r>
      <w:r w:rsidR="001449ED" w:rsidRPr="00DC78A5">
        <w:rPr>
          <w:lang w:val="ru-RU"/>
        </w:rPr>
        <w:t xml:space="preserve"> использова</w:t>
      </w:r>
      <w:r w:rsidR="00D240B2" w:rsidRPr="00DC78A5">
        <w:rPr>
          <w:lang w:val="ru-RU"/>
        </w:rPr>
        <w:t>ни</w:t>
      </w:r>
      <w:r w:rsidR="001449ED" w:rsidRPr="00DC78A5">
        <w:rPr>
          <w:lang w:val="ru-RU"/>
        </w:rPr>
        <w:t>я при прогнозировании месячных медианных значений foE и foF1 по всем шкалам времени</w:t>
      </w:r>
      <w:r w:rsidR="00D240B2" w:rsidRPr="00DC78A5">
        <w:rPr>
          <w:lang w:val="ru-RU"/>
        </w:rPr>
        <w:t>;</w:t>
      </w:r>
    </w:p>
    <w:p w14:paraId="62CA141D" w14:textId="577F7C3A" w:rsidR="004F1D7F" w:rsidRPr="00DC78A5" w:rsidRDefault="004F1D7F" w:rsidP="004F1D7F">
      <w:pPr>
        <w:rPr>
          <w:lang w:val="ru-RU"/>
        </w:rPr>
      </w:pPr>
      <w:r w:rsidRPr="004010A2">
        <w:rPr>
          <w:bCs/>
          <w:lang w:val="ru-RU"/>
        </w:rPr>
        <w:t>3</w:t>
      </w:r>
      <w:r w:rsidRPr="00DC78A5">
        <w:rPr>
          <w:lang w:val="ru-RU"/>
        </w:rPr>
        <w:tab/>
      </w:r>
      <w:bookmarkStart w:id="4" w:name="lt_pId078"/>
      <w:r w:rsidR="00D240B2" w:rsidRPr="00DC78A5">
        <w:rPr>
          <w:lang w:val="ru-RU"/>
        </w:rPr>
        <w:t xml:space="preserve">определять прогнозируемые значения этих индексов с помощью измененной процедуры Макниша-Линкольна (см. Приложение 1), используя </w:t>
      </w:r>
      <w:r w:rsidR="006E4DF6" w:rsidRPr="00DC78A5">
        <w:rPr>
          <w:lang w:val="ru-RU"/>
        </w:rPr>
        <w:t xml:space="preserve">для будущих циклов </w:t>
      </w:r>
      <w:r w:rsidR="00D240B2" w:rsidRPr="00DC78A5">
        <w:rPr>
          <w:lang w:val="ru-RU"/>
        </w:rPr>
        <w:t>последние доступные измеренные месячные значения индекса текущего цикла солнечной активности и среднее значение прошлых циклов</w:t>
      </w:r>
      <w:r w:rsidRPr="00DC78A5">
        <w:rPr>
          <w:lang w:val="ru-RU"/>
        </w:rPr>
        <w:t>;</w:t>
      </w:r>
      <w:bookmarkEnd w:id="4"/>
    </w:p>
    <w:p w14:paraId="7D72947E" w14:textId="46028DE9" w:rsidR="004F1D7F" w:rsidRPr="00DC78A5" w:rsidRDefault="004F1D7F" w:rsidP="004F1D7F">
      <w:pPr>
        <w:rPr>
          <w:lang w:val="ru-RU"/>
        </w:rPr>
      </w:pPr>
      <w:r w:rsidRPr="004010A2">
        <w:rPr>
          <w:bCs/>
          <w:lang w:val="ru-RU"/>
        </w:rPr>
        <w:t>4</w:t>
      </w:r>
      <w:r w:rsidRPr="00DC78A5">
        <w:rPr>
          <w:lang w:val="ru-RU"/>
        </w:rPr>
        <w:tab/>
      </w:r>
      <w:bookmarkStart w:id="5" w:name="lt_pId080"/>
      <w:r w:rsidR="0095356E" w:rsidRPr="00DC78A5">
        <w:rPr>
          <w:lang w:val="ru-RU"/>
        </w:rPr>
        <w:t>в том случае</w:t>
      </w:r>
      <w:r w:rsidR="006E4DF6" w:rsidRPr="00DC78A5">
        <w:rPr>
          <w:lang w:val="ru-RU"/>
        </w:rPr>
        <w:t>,</w:t>
      </w:r>
      <w:r w:rsidR="0095356E" w:rsidRPr="00DC78A5">
        <w:rPr>
          <w:lang w:val="ru-RU"/>
        </w:rPr>
        <w:t xml:space="preserve"> </w:t>
      </w:r>
      <w:r w:rsidR="00CE4795" w:rsidRPr="00DC78A5">
        <w:rPr>
          <w:lang w:val="ru-RU"/>
        </w:rPr>
        <w:t>когда прогнозы распространения требуют одновременного использования значений различных характеристик ионосферы, принимать один и тот же индекс для всех таких характеристик с небольшой потерей точности</w:t>
      </w:r>
      <w:r w:rsidRPr="00DC78A5">
        <w:rPr>
          <w:lang w:val="ru-RU"/>
        </w:rPr>
        <w:t>;</w:t>
      </w:r>
      <w:bookmarkEnd w:id="5"/>
    </w:p>
    <w:p w14:paraId="2FB79E8F" w14:textId="4944E24E" w:rsidR="004F1D7F" w:rsidRPr="00DC78A5" w:rsidRDefault="004F1D7F" w:rsidP="004F1D7F">
      <w:pPr>
        <w:rPr>
          <w:lang w:val="ru-RU"/>
        </w:rPr>
      </w:pPr>
      <w:r w:rsidRPr="004010A2">
        <w:rPr>
          <w:bCs/>
          <w:lang w:val="ru-RU"/>
        </w:rPr>
        <w:t>5</w:t>
      </w:r>
      <w:r w:rsidRPr="00DC78A5">
        <w:rPr>
          <w:lang w:val="ru-RU"/>
        </w:rPr>
        <w:tab/>
      </w:r>
      <w:bookmarkStart w:id="6" w:name="lt_pId082"/>
      <w:r w:rsidR="0095356E" w:rsidRPr="00DC78A5">
        <w:rPr>
          <w:lang w:val="ru-RU"/>
        </w:rPr>
        <w:t>проявлять осторожность при использовании рекомендуемых индексов на высоких магнитных широтах, где полученные в результате ионосферные прогнозы могут быть недостаточно точными</w:t>
      </w:r>
      <w:r w:rsidRPr="00DC78A5">
        <w:rPr>
          <w:lang w:val="ru-RU"/>
        </w:rPr>
        <w:t>;</w:t>
      </w:r>
      <w:bookmarkEnd w:id="6"/>
    </w:p>
    <w:p w14:paraId="7CF9C568" w14:textId="4C4E9173" w:rsidR="004F1D7F" w:rsidRPr="00DC78A5" w:rsidRDefault="004F1D7F" w:rsidP="004F1D7F">
      <w:pPr>
        <w:rPr>
          <w:sz w:val="20"/>
          <w:lang w:val="ru-RU" w:eastAsia="fr-FR"/>
        </w:rPr>
      </w:pPr>
      <w:r w:rsidRPr="004010A2">
        <w:rPr>
          <w:bCs/>
          <w:lang w:val="ru-RU"/>
        </w:rPr>
        <w:t>6</w:t>
      </w:r>
      <w:r w:rsidRPr="00DC78A5">
        <w:rPr>
          <w:lang w:val="ru-RU"/>
        </w:rPr>
        <w:tab/>
      </w:r>
      <w:bookmarkStart w:id="7" w:name="lt_pId084"/>
      <w:r w:rsidR="0095356E" w:rsidRPr="00DC78A5">
        <w:rPr>
          <w:lang w:val="ru-RU"/>
        </w:rPr>
        <w:t xml:space="preserve">проявлять осторожность при использовании индексов </w:t>
      </w:r>
      <w:r w:rsidR="0095356E" w:rsidRPr="00DC78A5">
        <w:rPr>
          <w:i/>
          <w:iCs/>
          <w:lang w:val="ru-RU"/>
        </w:rPr>
        <w:t>R</w:t>
      </w:r>
      <w:r w:rsidR="0095356E" w:rsidRPr="00DC78A5">
        <w:rPr>
          <w:vertAlign w:val="subscript"/>
          <w:lang w:val="ru-RU"/>
        </w:rPr>
        <w:t>12</w:t>
      </w:r>
      <w:r w:rsidR="0095356E" w:rsidRPr="00DC78A5">
        <w:rPr>
          <w:lang w:val="ru-RU"/>
        </w:rPr>
        <w:t xml:space="preserve"> для долгосрочных ионосферных прогнозов в отношении коэффициента пункта наблюдения</w:t>
      </w:r>
      <w:r w:rsidRPr="00DC78A5">
        <w:rPr>
          <w:lang w:val="ru-RU"/>
        </w:rPr>
        <w:t>.</w:t>
      </w:r>
      <w:bookmarkEnd w:id="7"/>
    </w:p>
    <w:p w14:paraId="15171C59" w14:textId="5653345F" w:rsidR="004F1D7F" w:rsidRPr="00DC78A5" w:rsidRDefault="008B0D7B" w:rsidP="004F1D7F">
      <w:pPr>
        <w:pStyle w:val="AnnexNoTitle"/>
        <w:rPr>
          <w:lang w:val="ru-RU"/>
        </w:rPr>
      </w:pPr>
      <w:bookmarkStart w:id="8" w:name="lt_pId085"/>
      <w:r w:rsidRPr="00DC78A5">
        <w:rPr>
          <w:lang w:val="ru-RU"/>
        </w:rPr>
        <w:lastRenderedPageBreak/>
        <w:t>Приложение</w:t>
      </w:r>
      <w:r w:rsidR="004F1D7F" w:rsidRPr="00DC78A5">
        <w:rPr>
          <w:lang w:val="ru-RU"/>
        </w:rPr>
        <w:t xml:space="preserve"> 1</w:t>
      </w:r>
      <w:bookmarkEnd w:id="8"/>
    </w:p>
    <w:p w14:paraId="32A735A9" w14:textId="5F24345A" w:rsidR="004F1D7F" w:rsidRPr="00DC78A5" w:rsidRDefault="004F1D7F" w:rsidP="004F1D7F">
      <w:pPr>
        <w:pStyle w:val="Heading1"/>
        <w:rPr>
          <w:lang w:val="ru-RU"/>
        </w:rPr>
      </w:pPr>
      <w:r w:rsidRPr="00DC78A5">
        <w:rPr>
          <w:lang w:val="ru-RU"/>
        </w:rPr>
        <w:t>1</w:t>
      </w:r>
      <w:r w:rsidRPr="00DC78A5">
        <w:rPr>
          <w:lang w:val="ru-RU"/>
        </w:rPr>
        <w:tab/>
      </w:r>
      <w:r w:rsidR="008B0D7B" w:rsidRPr="00DC78A5">
        <w:rPr>
          <w:lang w:val="ru-RU"/>
        </w:rPr>
        <w:t>Введение</w:t>
      </w:r>
    </w:p>
    <w:p w14:paraId="53C25821" w14:textId="619B8A88" w:rsidR="004F1D7F" w:rsidRPr="00DC78A5" w:rsidRDefault="008B0D7B" w:rsidP="004F1D7F">
      <w:pPr>
        <w:rPr>
          <w:spacing w:val="-2"/>
          <w:lang w:val="ru-RU"/>
        </w:rPr>
      </w:pPr>
      <w:r w:rsidRPr="00DC78A5">
        <w:rPr>
          <w:spacing w:val="-2"/>
          <w:lang w:val="ru-RU"/>
        </w:rPr>
        <w:t xml:space="preserve">Концепция индексов для долгосрочных </w:t>
      </w:r>
      <w:r w:rsidR="00975516" w:rsidRPr="00DC78A5">
        <w:rPr>
          <w:spacing w:val="-2"/>
          <w:lang w:val="ru-RU"/>
        </w:rPr>
        <w:t xml:space="preserve">ионосферных </w:t>
      </w:r>
      <w:r w:rsidRPr="00DC78A5">
        <w:rPr>
          <w:spacing w:val="-2"/>
          <w:lang w:val="ru-RU"/>
        </w:rPr>
        <w:t>прогнозов основана на предположении, что важные характеристики ионосферы, такие как критические частоты различных слоев и коэффициент</w:t>
      </w:r>
      <w:r w:rsidR="00256729" w:rsidRPr="00DC78A5">
        <w:rPr>
          <w:spacing w:val="-2"/>
          <w:lang w:val="ru-RU"/>
        </w:rPr>
        <w:t> </w:t>
      </w:r>
      <w:r w:rsidRPr="00DC78A5">
        <w:rPr>
          <w:spacing w:val="-2"/>
          <w:lang w:val="ru-RU"/>
        </w:rPr>
        <w:t>МПЧ M(3000)F2, систем</w:t>
      </w:r>
      <w:r w:rsidR="006E4DF6" w:rsidRPr="00DC78A5">
        <w:rPr>
          <w:spacing w:val="-2"/>
          <w:lang w:val="ru-RU"/>
        </w:rPr>
        <w:t>но</w:t>
      </w:r>
      <w:r w:rsidRPr="00DC78A5">
        <w:rPr>
          <w:spacing w:val="-2"/>
          <w:lang w:val="ru-RU"/>
        </w:rPr>
        <w:t xml:space="preserve"> зависят от определенных измеримых величин</w:t>
      </w:r>
      <w:r w:rsidR="00975516" w:rsidRPr="00DC78A5">
        <w:rPr>
          <w:spacing w:val="-2"/>
          <w:lang w:val="ru-RU"/>
        </w:rPr>
        <w:t>, связанных с</w:t>
      </w:r>
      <w:r w:rsidRPr="00DC78A5">
        <w:rPr>
          <w:spacing w:val="-2"/>
          <w:lang w:val="ru-RU"/>
        </w:rPr>
        <w:t xml:space="preserve"> солнечной радиаци</w:t>
      </w:r>
      <w:r w:rsidR="00975516" w:rsidRPr="00DC78A5">
        <w:rPr>
          <w:spacing w:val="-2"/>
          <w:lang w:val="ru-RU"/>
        </w:rPr>
        <w:t>ей</w:t>
      </w:r>
      <w:r w:rsidRPr="00DC78A5">
        <w:rPr>
          <w:spacing w:val="-2"/>
          <w:lang w:val="ru-RU"/>
        </w:rPr>
        <w:t>.</w:t>
      </w:r>
      <w:r w:rsidR="006E4DF6" w:rsidRPr="00DC78A5">
        <w:rPr>
          <w:spacing w:val="-2"/>
          <w:lang w:val="ru-RU"/>
        </w:rPr>
        <w:t xml:space="preserve"> Следует, однако, отметить, что корреляция между этими индексами и фактическими характеристиками ионосферы не обязательно подразумевает причинно-следственную связь, а скорее указывает на родственные явления. Изменения солнечной активности в целом содержат три компонента:</w:t>
      </w:r>
    </w:p>
    <w:p w14:paraId="61BBCB9E" w14:textId="27523B7E" w:rsidR="004F1D7F" w:rsidRPr="00DC78A5" w:rsidRDefault="004F1D7F" w:rsidP="004F1D7F">
      <w:pPr>
        <w:pStyle w:val="enumlev1"/>
        <w:rPr>
          <w:lang w:val="ru-RU"/>
        </w:rPr>
      </w:pPr>
      <w:r w:rsidRPr="00DC78A5">
        <w:rPr>
          <w:lang w:val="ru-RU"/>
        </w:rPr>
        <w:t>–</w:t>
      </w:r>
      <w:r w:rsidRPr="00DC78A5">
        <w:rPr>
          <w:lang w:val="ru-RU"/>
        </w:rPr>
        <w:tab/>
      </w:r>
      <w:r w:rsidR="00975516" w:rsidRPr="00DC78A5">
        <w:rPr>
          <w:lang w:val="ru-RU"/>
        </w:rPr>
        <w:t>достаточно регулярный компонент</w:t>
      </w:r>
      <w:r w:rsidR="006E4DF6" w:rsidRPr="00DC78A5">
        <w:rPr>
          <w:lang w:val="ru-RU"/>
        </w:rPr>
        <w:t>,</w:t>
      </w:r>
      <w:r w:rsidR="00975516" w:rsidRPr="00DC78A5">
        <w:rPr>
          <w:lang w:val="ru-RU"/>
        </w:rPr>
        <w:t xml:space="preserve"> период</w:t>
      </w:r>
      <w:r w:rsidR="006E4DF6" w:rsidRPr="00DC78A5">
        <w:rPr>
          <w:lang w:val="ru-RU"/>
        </w:rPr>
        <w:t xml:space="preserve"> которого составляет</w:t>
      </w:r>
      <w:r w:rsidR="00975516" w:rsidRPr="00DC78A5">
        <w:rPr>
          <w:lang w:val="ru-RU"/>
        </w:rPr>
        <w:t xml:space="preserve"> около одиннадцати лет, </w:t>
      </w:r>
      <w:r w:rsidR="006E4DF6" w:rsidRPr="00DC78A5">
        <w:rPr>
          <w:lang w:val="ru-RU"/>
        </w:rPr>
        <w:t>что соответствует</w:t>
      </w:r>
      <w:r w:rsidR="00975516" w:rsidRPr="00DC78A5">
        <w:rPr>
          <w:lang w:val="ru-RU"/>
        </w:rPr>
        <w:t xml:space="preserve"> известн</w:t>
      </w:r>
      <w:r w:rsidR="006E4DF6" w:rsidRPr="00DC78A5">
        <w:rPr>
          <w:lang w:val="ru-RU"/>
        </w:rPr>
        <w:t>ому</w:t>
      </w:r>
      <w:r w:rsidR="00975516" w:rsidRPr="00DC78A5">
        <w:rPr>
          <w:lang w:val="ru-RU"/>
        </w:rPr>
        <w:t xml:space="preserve"> цикл</w:t>
      </w:r>
      <w:r w:rsidR="006E4DF6" w:rsidRPr="00DC78A5">
        <w:rPr>
          <w:lang w:val="ru-RU"/>
        </w:rPr>
        <w:t>у</w:t>
      </w:r>
      <w:r w:rsidR="00975516" w:rsidRPr="00DC78A5">
        <w:rPr>
          <w:lang w:val="ru-RU"/>
        </w:rPr>
        <w:t xml:space="preserve"> солнечной активности;</w:t>
      </w:r>
    </w:p>
    <w:p w14:paraId="7C7F603C" w14:textId="397D8E75" w:rsidR="004F1D7F" w:rsidRPr="00DC78A5" w:rsidRDefault="004F1D7F" w:rsidP="004F1D7F">
      <w:pPr>
        <w:pStyle w:val="enumlev1"/>
        <w:rPr>
          <w:lang w:val="ru-RU"/>
        </w:rPr>
      </w:pPr>
      <w:r w:rsidRPr="00DC78A5">
        <w:rPr>
          <w:lang w:val="ru-RU"/>
        </w:rPr>
        <w:t>–</w:t>
      </w:r>
      <w:r w:rsidRPr="00DC78A5">
        <w:rPr>
          <w:lang w:val="ru-RU"/>
        </w:rPr>
        <w:tab/>
      </w:r>
      <w:bookmarkStart w:id="9" w:name="lt_pId094"/>
      <w:r w:rsidR="00975516" w:rsidRPr="00DC78A5">
        <w:rPr>
          <w:lang w:val="ru-RU"/>
        </w:rPr>
        <w:t>компонент, который имеет квазипериод около года или немного меньше</w:t>
      </w:r>
      <w:r w:rsidRPr="00DC78A5">
        <w:rPr>
          <w:lang w:val="ru-RU"/>
        </w:rPr>
        <w:t>;</w:t>
      </w:r>
      <w:bookmarkEnd w:id="9"/>
    </w:p>
    <w:p w14:paraId="3D9BD6F5" w14:textId="1C7419C0" w:rsidR="004F1D7F" w:rsidRPr="00DC78A5" w:rsidRDefault="004F1D7F" w:rsidP="004F1D7F">
      <w:pPr>
        <w:pStyle w:val="enumlev1"/>
        <w:rPr>
          <w:lang w:val="ru-RU"/>
        </w:rPr>
      </w:pPr>
      <w:r w:rsidRPr="00DC78A5">
        <w:rPr>
          <w:lang w:val="ru-RU"/>
        </w:rPr>
        <w:t>–</w:t>
      </w:r>
      <w:r w:rsidRPr="00DC78A5">
        <w:rPr>
          <w:lang w:val="ru-RU"/>
        </w:rPr>
        <w:tab/>
      </w:r>
      <w:bookmarkStart w:id="10" w:name="lt_pId096"/>
      <w:r w:rsidR="00975516" w:rsidRPr="00DC78A5">
        <w:rPr>
          <w:lang w:val="ru-RU"/>
        </w:rPr>
        <w:t>неустойчивые флуктуации с периодами менее месяца</w:t>
      </w:r>
      <w:r w:rsidRPr="00DC78A5">
        <w:rPr>
          <w:lang w:val="ru-RU"/>
        </w:rPr>
        <w:t>.</w:t>
      </w:r>
      <w:bookmarkEnd w:id="10"/>
    </w:p>
    <w:p w14:paraId="1E9243E8" w14:textId="0140355D" w:rsidR="004F1D7F" w:rsidRPr="00DC78A5" w:rsidRDefault="004F1D7F" w:rsidP="004F1D7F">
      <w:pPr>
        <w:pStyle w:val="Heading1"/>
        <w:rPr>
          <w:lang w:val="ru-RU"/>
        </w:rPr>
      </w:pPr>
      <w:r w:rsidRPr="00DC78A5">
        <w:rPr>
          <w:lang w:val="ru-RU"/>
        </w:rPr>
        <w:t>2</w:t>
      </w:r>
      <w:r w:rsidRPr="00DC78A5">
        <w:rPr>
          <w:lang w:val="ru-RU"/>
        </w:rPr>
        <w:tab/>
      </w:r>
      <w:r w:rsidR="0091396A" w:rsidRPr="00DC78A5">
        <w:rPr>
          <w:lang w:val="ru-RU"/>
        </w:rPr>
        <w:t>Число солнечных пятен</w:t>
      </w:r>
    </w:p>
    <w:p w14:paraId="6C43D905" w14:textId="39A6B3D1" w:rsidR="004F1D7F" w:rsidRPr="00DC78A5" w:rsidRDefault="0091396A" w:rsidP="004F1D7F">
      <w:pPr>
        <w:rPr>
          <w:spacing w:val="-2"/>
          <w:sz w:val="20"/>
          <w:lang w:val="ru-RU" w:eastAsia="fr-FR"/>
        </w:rPr>
      </w:pPr>
      <w:r w:rsidRPr="00DC78A5">
        <w:rPr>
          <w:spacing w:val="-2"/>
          <w:lang w:val="ru-RU"/>
        </w:rPr>
        <w:t xml:space="preserve">Солнечная активность может быть количественно оценена путем подсчета </w:t>
      </w:r>
      <w:r w:rsidR="009A6EB9" w:rsidRPr="00DC78A5">
        <w:rPr>
          <w:spacing w:val="-2"/>
          <w:lang w:val="ru-RU"/>
        </w:rPr>
        <w:t>числа</w:t>
      </w:r>
      <w:r w:rsidRPr="00DC78A5">
        <w:rPr>
          <w:spacing w:val="-2"/>
          <w:lang w:val="ru-RU"/>
        </w:rPr>
        <w:t xml:space="preserve"> пятен, появляющихся на поверхности Солнца. Для количественного определения </w:t>
      </w:r>
      <w:r w:rsidR="009A6EB9" w:rsidRPr="00DC78A5">
        <w:rPr>
          <w:spacing w:val="-2"/>
          <w:lang w:val="ru-RU"/>
        </w:rPr>
        <w:t>числа</w:t>
      </w:r>
      <w:r w:rsidRPr="00DC78A5">
        <w:rPr>
          <w:spacing w:val="-2"/>
          <w:lang w:val="ru-RU"/>
        </w:rPr>
        <w:t xml:space="preserve"> солнечных пятен и групп солнечных пятен на поверхности Солнца используется индекс, называемый "относительное число солнечных пятен" (</w:t>
      </w:r>
      <w:r w:rsidR="009A6EB9" w:rsidRPr="00DC78A5">
        <w:rPr>
          <w:spacing w:val="-2"/>
          <w:lang w:val="ru-RU"/>
        </w:rPr>
        <w:t xml:space="preserve">также </w:t>
      </w:r>
      <w:r w:rsidR="002D67AB" w:rsidRPr="00DC78A5">
        <w:rPr>
          <w:spacing w:val="-2"/>
          <w:lang w:val="ru-RU"/>
        </w:rPr>
        <w:t xml:space="preserve">называемый </w:t>
      </w:r>
      <w:r w:rsidRPr="00DC78A5">
        <w:rPr>
          <w:spacing w:val="-2"/>
          <w:lang w:val="ru-RU"/>
        </w:rPr>
        <w:t>"</w:t>
      </w:r>
      <w:r w:rsidR="009A6EB9" w:rsidRPr="00DC78A5">
        <w:rPr>
          <w:spacing w:val="-2"/>
          <w:lang w:val="ru-RU"/>
        </w:rPr>
        <w:t>число Вольфа</w:t>
      </w:r>
      <w:r w:rsidRPr="00DC78A5">
        <w:rPr>
          <w:spacing w:val="-2"/>
          <w:lang w:val="ru-RU"/>
        </w:rPr>
        <w:t xml:space="preserve">" </w:t>
      </w:r>
      <w:r w:rsidR="009A6EB9" w:rsidRPr="00DC78A5">
        <w:rPr>
          <w:spacing w:val="-2"/>
          <w:lang w:val="ru-RU"/>
        </w:rPr>
        <w:t>либо</w:t>
      </w:r>
      <w:r w:rsidRPr="00DC78A5">
        <w:rPr>
          <w:spacing w:val="-2"/>
          <w:lang w:val="ru-RU"/>
        </w:rPr>
        <w:t xml:space="preserve"> "</w:t>
      </w:r>
      <w:r w:rsidR="009A6EB9" w:rsidRPr="00DC78A5">
        <w:rPr>
          <w:spacing w:val="-2"/>
          <w:lang w:val="ru-RU"/>
        </w:rPr>
        <w:t>цюрихское число</w:t>
      </w:r>
      <w:r w:rsidRPr="00DC78A5">
        <w:rPr>
          <w:spacing w:val="-2"/>
          <w:lang w:val="ru-RU"/>
        </w:rPr>
        <w:t>").</w:t>
      </w:r>
      <w:r w:rsidR="009A6EB9" w:rsidRPr="00DC78A5">
        <w:rPr>
          <w:spacing w:val="-2"/>
          <w:lang w:val="ru-RU"/>
        </w:rPr>
        <w:t xml:space="preserve"> До 2015 года стандартное определение относительного числа солнечных пятен, </w:t>
      </w:r>
      <w:r w:rsidR="009A6EB9" w:rsidRPr="00DC78A5">
        <w:rPr>
          <w:i/>
          <w:iCs/>
          <w:spacing w:val="-2"/>
          <w:lang w:val="ru-RU"/>
        </w:rPr>
        <w:t>R</w:t>
      </w:r>
      <w:r w:rsidR="009A6EB9" w:rsidRPr="00DC78A5">
        <w:rPr>
          <w:spacing w:val="-2"/>
          <w:lang w:val="ru-RU"/>
        </w:rPr>
        <w:t>, для каждого отдельного наблюдателя составляло:</w:t>
      </w:r>
    </w:p>
    <w:p w14:paraId="01E9886F" w14:textId="470B79BE" w:rsidR="004F1D7F" w:rsidRPr="00DC78A5" w:rsidRDefault="004F1D7F" w:rsidP="004F1D7F">
      <w:pPr>
        <w:pStyle w:val="Equation"/>
        <w:rPr>
          <w:lang w:val="ru-RU"/>
        </w:rPr>
      </w:pPr>
      <w:r w:rsidRPr="00DC78A5">
        <w:rPr>
          <w:lang w:val="ru-RU"/>
        </w:rPr>
        <w:tab/>
      </w:r>
      <w:r w:rsidRPr="00DC78A5">
        <w:rPr>
          <w:lang w:val="ru-RU"/>
        </w:rPr>
        <w:tab/>
      </w:r>
      <m:oMath>
        <m:r>
          <w:rPr>
            <w:rFonts w:ascii="Cambria Math" w:hAnsi="Cambria Math"/>
            <w:lang w:val="ru-RU"/>
          </w:rPr>
          <m:t>R = k(10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lang w:val="ru-RU"/>
              </w:rPr>
              <m:t>g</m:t>
            </m:r>
          </m:sub>
        </m:sSub>
        <m: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lang w:val="ru-RU"/>
              </w:rPr>
              <m:t>s</m:t>
            </m:r>
          </m:sub>
        </m:sSub>
        <m:r>
          <w:rPr>
            <w:rFonts w:ascii="Cambria Math" w:hAnsi="Cambria Math"/>
            <w:lang w:val="ru-RU"/>
          </w:rPr>
          <m:t>)</m:t>
        </m:r>
      </m:oMath>
      <w:r w:rsidR="009A6EB9" w:rsidRPr="00DC78A5">
        <w:rPr>
          <w:lang w:val="ru-RU"/>
        </w:rPr>
        <w:t>,</w:t>
      </w:r>
      <w:r w:rsidRPr="00DC78A5">
        <w:rPr>
          <w:lang w:val="ru-RU"/>
        </w:rPr>
        <w:tab/>
        <w:t>(1)</w:t>
      </w:r>
    </w:p>
    <w:p w14:paraId="7723C849" w14:textId="068D471F" w:rsidR="004F1D7F" w:rsidRPr="00DC78A5" w:rsidRDefault="009A6EB9" w:rsidP="004F1D7F">
      <w:pPr>
        <w:rPr>
          <w:lang w:val="ru-RU"/>
        </w:rPr>
      </w:pPr>
      <w:bookmarkStart w:id="11" w:name="lt_pId103"/>
      <w:r w:rsidRPr="00DC78A5">
        <w:rPr>
          <w:lang w:val="ru-RU"/>
        </w:rPr>
        <w:t>где</w:t>
      </w:r>
      <w:r w:rsidR="004F1D7F" w:rsidRPr="00DC78A5">
        <w:rPr>
          <w:lang w:val="ru-RU"/>
        </w:rPr>
        <w:t xml:space="preserve"> </w:t>
      </w:r>
      <w:r w:rsidR="004F1D7F" w:rsidRPr="00DC78A5">
        <w:rPr>
          <w:i/>
          <w:lang w:val="ru-RU"/>
        </w:rPr>
        <w:t>N</w:t>
      </w:r>
      <w:r w:rsidR="004F1D7F" w:rsidRPr="00DC78A5">
        <w:rPr>
          <w:i/>
          <w:vertAlign w:val="subscript"/>
          <w:lang w:val="ru-RU"/>
        </w:rPr>
        <w:t>g</w:t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>– число групп солнечных пятен</w:t>
      </w:r>
      <w:r w:rsidR="004F1D7F" w:rsidRPr="00DC78A5">
        <w:rPr>
          <w:lang w:val="ru-RU"/>
        </w:rPr>
        <w:t xml:space="preserve">, </w:t>
      </w:r>
      <w:r w:rsidR="004F1D7F" w:rsidRPr="00DC78A5">
        <w:rPr>
          <w:i/>
          <w:lang w:val="ru-RU"/>
        </w:rPr>
        <w:t>N</w:t>
      </w:r>
      <w:r w:rsidR="004F1D7F" w:rsidRPr="00DC78A5">
        <w:rPr>
          <w:i/>
          <w:vertAlign w:val="subscript"/>
          <w:lang w:val="ru-RU"/>
        </w:rPr>
        <w:t>s</w:t>
      </w:r>
      <w:r w:rsidR="004F1D7F" w:rsidRPr="00DC78A5">
        <w:rPr>
          <w:lang w:val="ru-RU"/>
        </w:rPr>
        <w:t xml:space="preserve"> </w:t>
      </w:r>
      <w:r w:rsidR="002D67AB" w:rsidRPr="00DC78A5">
        <w:rPr>
          <w:lang w:val="ru-RU"/>
        </w:rPr>
        <w:t>–</w:t>
      </w:r>
      <w:r w:rsidRPr="00DC78A5">
        <w:rPr>
          <w:lang w:val="ru-RU"/>
        </w:rPr>
        <w:t xml:space="preserve"> число отдельных солнечных пятен в пределах этих групп</w:t>
      </w:r>
      <w:r w:rsidR="004F1D7F" w:rsidRPr="00DC78A5">
        <w:rPr>
          <w:lang w:val="ru-RU"/>
        </w:rPr>
        <w:t xml:space="preserve">, </w:t>
      </w:r>
      <w:r w:rsidR="004F1D7F" w:rsidRPr="00DC78A5">
        <w:rPr>
          <w:i/>
          <w:lang w:val="ru-RU"/>
        </w:rPr>
        <w:t>k</w:t>
      </w:r>
      <w:r w:rsidRPr="00DC78A5">
        <w:rPr>
          <w:lang w:val="ru-RU"/>
        </w:rPr>
        <w:t> –</w:t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>коэффициент нормализации, до 2015 года определенный равным</w:t>
      </w:r>
      <w:r w:rsidR="004F1D7F" w:rsidRPr="00DC78A5">
        <w:rPr>
          <w:lang w:val="ru-RU"/>
        </w:rPr>
        <w:t xml:space="preserve"> 0</w:t>
      </w:r>
      <w:r w:rsidRPr="00DC78A5">
        <w:rPr>
          <w:lang w:val="ru-RU"/>
        </w:rPr>
        <w:t>,</w:t>
      </w:r>
      <w:r w:rsidR="004F1D7F" w:rsidRPr="00DC78A5">
        <w:rPr>
          <w:lang w:val="ru-RU"/>
        </w:rPr>
        <w:t>6.</w:t>
      </w:r>
      <w:bookmarkEnd w:id="11"/>
      <w:r w:rsidR="004F1D7F" w:rsidRPr="00DC78A5">
        <w:rPr>
          <w:lang w:val="ru-RU"/>
        </w:rPr>
        <w:t xml:space="preserve"> </w:t>
      </w:r>
      <w:bookmarkStart w:id="12" w:name="lt_pId104"/>
      <w:r w:rsidRPr="00DC78A5">
        <w:rPr>
          <w:lang w:val="ru-RU"/>
        </w:rPr>
        <w:t xml:space="preserve">Это определение числа солнечных пятен с </w:t>
      </w:r>
      <w:r w:rsidR="004F1D7F" w:rsidRPr="00DC78A5">
        <w:rPr>
          <w:i/>
          <w:iCs/>
          <w:lang w:val="ru-RU"/>
        </w:rPr>
        <w:t>k </w:t>
      </w:r>
      <w:r w:rsidR="004F1D7F" w:rsidRPr="00DC78A5">
        <w:rPr>
          <w:lang w:val="ru-RU"/>
        </w:rPr>
        <w:t>= 0</w:t>
      </w:r>
      <w:r w:rsidRPr="00DC78A5">
        <w:rPr>
          <w:lang w:val="ru-RU"/>
        </w:rPr>
        <w:t>,</w:t>
      </w:r>
      <w:r w:rsidR="004F1D7F" w:rsidRPr="00DC78A5">
        <w:rPr>
          <w:lang w:val="ru-RU"/>
        </w:rPr>
        <w:t xml:space="preserve">6 </w:t>
      </w:r>
      <w:r w:rsidRPr="00DC78A5">
        <w:rPr>
          <w:lang w:val="ru-RU"/>
        </w:rPr>
        <w:t>называется версией </w:t>
      </w:r>
      <w:r w:rsidR="004F1D7F" w:rsidRPr="00DC78A5">
        <w:rPr>
          <w:lang w:val="ru-RU"/>
        </w:rPr>
        <w:t>1 (v1).</w:t>
      </w:r>
      <w:bookmarkEnd w:id="12"/>
    </w:p>
    <w:p w14:paraId="32C7A10B" w14:textId="4B3E41E6" w:rsidR="004F1D7F" w:rsidRPr="00DC78A5" w:rsidRDefault="007810D8" w:rsidP="004F1D7F">
      <w:pPr>
        <w:rPr>
          <w:iCs/>
          <w:lang w:val="ru-RU"/>
        </w:rPr>
      </w:pPr>
      <w:r w:rsidRPr="00DC78A5">
        <w:rPr>
          <w:lang w:val="ru-RU"/>
        </w:rPr>
        <w:t xml:space="preserve">В 2015 году коэффициент </w:t>
      </w:r>
      <w:r w:rsidRPr="00DC78A5">
        <w:rPr>
          <w:i/>
          <w:iCs/>
          <w:lang w:val="ru-RU"/>
        </w:rPr>
        <w:t>k</w:t>
      </w:r>
      <w:r w:rsidRPr="00DC78A5">
        <w:rPr>
          <w:lang w:val="ru-RU"/>
        </w:rPr>
        <w:t xml:space="preserve"> был установлен равным 1, что стало версией 2 (v2) числа солнечных пятен. </w:t>
      </w:r>
      <w:r w:rsidR="002D67AB" w:rsidRPr="00DC78A5">
        <w:rPr>
          <w:lang w:val="ru-RU"/>
        </w:rPr>
        <w:t>Цифровые</w:t>
      </w:r>
      <w:r w:rsidRPr="00DC78A5">
        <w:rPr>
          <w:lang w:val="ru-RU"/>
        </w:rPr>
        <w:t xml:space="preserve"> карты, определяющие суточные и географические вариации месячных медиан foF2 и M(3000)F2, основ</w:t>
      </w:r>
      <w:r w:rsidR="002D67AB" w:rsidRPr="00DC78A5">
        <w:rPr>
          <w:lang w:val="ru-RU"/>
        </w:rPr>
        <w:t>аны на</w:t>
      </w:r>
      <w:r w:rsidRPr="00DC78A5">
        <w:rPr>
          <w:lang w:val="ru-RU"/>
        </w:rPr>
        <w:t xml:space="preserve"> их линейной зависимости от относительного числа солнечных пятен при </w:t>
      </w:r>
      <w:r w:rsidRPr="00DC78A5">
        <w:rPr>
          <w:i/>
          <w:iCs/>
          <w:lang w:val="ru-RU"/>
        </w:rPr>
        <w:t>k</w:t>
      </w:r>
      <w:r w:rsidRPr="00DC78A5">
        <w:rPr>
          <w:lang w:val="ru-RU"/>
        </w:rPr>
        <w:t> =</w:t>
      </w:r>
      <w:r w:rsidR="00435C3D" w:rsidRPr="00DC78A5">
        <w:rPr>
          <w:lang w:val="ru-RU"/>
        </w:rPr>
        <w:t> </w:t>
      </w:r>
      <w:r w:rsidRPr="00DC78A5">
        <w:rPr>
          <w:lang w:val="ru-RU"/>
        </w:rPr>
        <w:t xml:space="preserve">0,6 (версия 1), поэтому при определении числа солнечных пятен с использованием этих карт рекомендуется устанавливать коэффициент </w:t>
      </w:r>
      <w:r w:rsidRPr="00DC78A5">
        <w:rPr>
          <w:i/>
          <w:lang w:val="ru-RU"/>
        </w:rPr>
        <w:t xml:space="preserve">k </w:t>
      </w:r>
      <w:r w:rsidRPr="00DC78A5">
        <w:rPr>
          <w:iCs/>
          <w:lang w:val="ru-RU"/>
        </w:rPr>
        <w:t>равным 0,6.</w:t>
      </w:r>
    </w:p>
    <w:p w14:paraId="2F79EB9A" w14:textId="0584A273" w:rsidR="004F1D7F" w:rsidRPr="00DC78A5" w:rsidRDefault="007810D8" w:rsidP="004F1D7F">
      <w:pPr>
        <w:rPr>
          <w:lang w:val="ru-RU"/>
        </w:rPr>
      </w:pPr>
      <w:r w:rsidRPr="00DC78A5">
        <w:rPr>
          <w:lang w:val="ru-RU"/>
        </w:rPr>
        <w:t xml:space="preserve">Для того чтобы использовать новые (по состоянию на 2015 г.) базы данных </w:t>
      </w:r>
      <w:r w:rsidRPr="00DC78A5">
        <w:rPr>
          <w:i/>
          <w:iCs/>
          <w:lang w:val="ru-RU"/>
        </w:rPr>
        <w:t>R</w:t>
      </w:r>
      <w:r w:rsidRPr="00DC78A5">
        <w:rPr>
          <w:vertAlign w:val="subscript"/>
          <w:lang w:val="ru-RU"/>
        </w:rPr>
        <w:t>12</w:t>
      </w:r>
      <w:r w:rsidRPr="00DC78A5">
        <w:rPr>
          <w:lang w:val="ru-RU"/>
        </w:rPr>
        <w:t>, пользователям следует внести следующее исправление:</w:t>
      </w:r>
    </w:p>
    <w:p w14:paraId="73504D28" w14:textId="3946EEF3" w:rsidR="004F1D7F" w:rsidRPr="00DC78A5" w:rsidRDefault="004F1D7F" w:rsidP="004F1D7F">
      <w:pPr>
        <w:pStyle w:val="Equation"/>
        <w:rPr>
          <w:lang w:val="ru-RU"/>
        </w:rPr>
      </w:pPr>
      <w:r w:rsidRPr="00DC78A5">
        <w:rPr>
          <w:lang w:val="ru-RU"/>
        </w:rPr>
        <w:tab/>
      </w:r>
      <w:r w:rsidRPr="00DC78A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lang w:val="ru-RU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lang w:val="ru-RU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×0,6</m:t>
        </m:r>
      </m:oMath>
      <w:r w:rsidR="007810D8" w:rsidRPr="00DC78A5">
        <w:rPr>
          <w:lang w:val="ru-RU"/>
        </w:rPr>
        <w:t>.</w:t>
      </w:r>
      <w:r w:rsidRPr="00DC78A5">
        <w:rPr>
          <w:lang w:val="ru-RU"/>
        </w:rPr>
        <w:tab/>
        <w:t>(2)</w:t>
      </w:r>
    </w:p>
    <w:p w14:paraId="6AACEC0B" w14:textId="6DEE8FB5" w:rsidR="004F1D7F" w:rsidRPr="00DC78A5" w:rsidRDefault="00801AD0" w:rsidP="004F1D7F">
      <w:pPr>
        <w:rPr>
          <w:lang w:val="ru-RU"/>
        </w:rPr>
      </w:pPr>
      <w:r w:rsidRPr="00DC78A5">
        <w:rPr>
          <w:lang w:val="ru-RU"/>
        </w:rPr>
        <w:t>Следует отметить, что Всемирный центр данных SILSO осуществил пересчет всех значений числа солнечных пятен прошлых периодов</w:t>
      </w:r>
      <w:r w:rsidR="00805E6E" w:rsidRPr="00DC78A5">
        <w:rPr>
          <w:lang w:val="ru-RU"/>
        </w:rPr>
        <w:t>,</w:t>
      </w:r>
      <w:r w:rsidRPr="00DC78A5">
        <w:rPr>
          <w:lang w:val="ru-RU"/>
        </w:rPr>
        <w:t xml:space="preserve"> </w:t>
      </w:r>
      <w:r w:rsidR="00805E6E" w:rsidRPr="00DC78A5">
        <w:rPr>
          <w:lang w:val="ru-RU"/>
        </w:rPr>
        <w:t>для того</w:t>
      </w:r>
      <w:r w:rsidRPr="00DC78A5">
        <w:rPr>
          <w:lang w:val="ru-RU"/>
        </w:rPr>
        <w:t xml:space="preserve"> чтобы они соответствовали версии 2. Это – вариант по умолчанию.</w:t>
      </w:r>
    </w:p>
    <w:p w14:paraId="06E84D39" w14:textId="3DFBB95D" w:rsidR="004F1D7F" w:rsidRPr="00DC78A5" w:rsidRDefault="00805E6E" w:rsidP="004F1D7F">
      <w:pPr>
        <w:rPr>
          <w:lang w:val="ru-RU"/>
        </w:rPr>
      </w:pPr>
      <w:r w:rsidRPr="00DC78A5">
        <w:rPr>
          <w:lang w:val="ru-RU"/>
        </w:rPr>
        <w:t xml:space="preserve">Для изучения главного компонента солнечного цикла используется скользящее среднее за 12 месяцев число солнечных пятен </w:t>
      </w:r>
      <w:r w:rsidRPr="00DC78A5">
        <w:rPr>
          <w:i/>
          <w:lang w:val="ru-RU"/>
        </w:rPr>
        <w:t>R</w:t>
      </w:r>
      <w:r w:rsidRPr="00DC78A5">
        <w:rPr>
          <w:position w:val="-4"/>
          <w:sz w:val="16"/>
          <w:lang w:val="ru-RU"/>
        </w:rPr>
        <w:t>12</w:t>
      </w:r>
      <w:r w:rsidRPr="00DC78A5">
        <w:rPr>
          <w:lang w:val="ru-RU"/>
        </w:rPr>
        <w:t xml:space="preserve">, поскольку результирующее </w:t>
      </w:r>
      <w:r w:rsidR="000F0862" w:rsidRPr="00DC78A5">
        <w:rPr>
          <w:lang w:val="ru-RU"/>
        </w:rPr>
        <w:t>сглаживание</w:t>
      </w:r>
      <w:r w:rsidRPr="00DC78A5">
        <w:rPr>
          <w:lang w:val="ru-RU"/>
        </w:rPr>
        <w:t xml:space="preserve"> значительно уменьшает </w:t>
      </w:r>
      <w:r w:rsidR="002D67AB" w:rsidRPr="00DC78A5">
        <w:rPr>
          <w:lang w:val="ru-RU"/>
        </w:rPr>
        <w:t xml:space="preserve">компоненты </w:t>
      </w:r>
      <w:r w:rsidRPr="00DC78A5">
        <w:rPr>
          <w:lang w:val="ru-RU"/>
        </w:rPr>
        <w:t>сложн</w:t>
      </w:r>
      <w:r w:rsidR="002D67AB" w:rsidRPr="00DC78A5">
        <w:rPr>
          <w:lang w:val="ru-RU"/>
        </w:rPr>
        <w:t>ого и</w:t>
      </w:r>
      <w:r w:rsidRPr="00DC78A5">
        <w:rPr>
          <w:lang w:val="ru-RU"/>
        </w:rPr>
        <w:t xml:space="preserve"> быстро</w:t>
      </w:r>
      <w:r w:rsidR="002D67AB" w:rsidRPr="00DC78A5">
        <w:rPr>
          <w:lang w:val="ru-RU"/>
        </w:rPr>
        <w:t>го</w:t>
      </w:r>
      <w:r w:rsidRPr="00DC78A5">
        <w:rPr>
          <w:lang w:val="ru-RU"/>
        </w:rPr>
        <w:t xml:space="preserve"> измен</w:t>
      </w:r>
      <w:r w:rsidR="002D67AB" w:rsidRPr="00DC78A5">
        <w:rPr>
          <w:lang w:val="ru-RU"/>
        </w:rPr>
        <w:t>ения</w:t>
      </w:r>
      <w:r w:rsidRPr="00DC78A5">
        <w:rPr>
          <w:lang w:val="ru-RU"/>
        </w:rPr>
        <w:t>, не скрыва</w:t>
      </w:r>
      <w:r w:rsidR="002D67AB" w:rsidRPr="00DC78A5">
        <w:rPr>
          <w:lang w:val="ru-RU"/>
        </w:rPr>
        <w:t>я при этом компонент</w:t>
      </w:r>
      <w:r w:rsidRPr="00DC78A5">
        <w:rPr>
          <w:lang w:val="ru-RU"/>
        </w:rPr>
        <w:t xml:space="preserve"> медленно</w:t>
      </w:r>
      <w:r w:rsidR="002D67AB" w:rsidRPr="00DC78A5">
        <w:rPr>
          <w:lang w:val="ru-RU"/>
        </w:rPr>
        <w:t>го</w:t>
      </w:r>
      <w:r w:rsidRPr="00DC78A5">
        <w:rPr>
          <w:lang w:val="ru-RU"/>
        </w:rPr>
        <w:t xml:space="preserve"> измен</w:t>
      </w:r>
      <w:r w:rsidR="002D67AB" w:rsidRPr="00DC78A5">
        <w:rPr>
          <w:lang w:val="ru-RU"/>
        </w:rPr>
        <w:t>ения</w:t>
      </w:r>
      <w:r w:rsidRPr="00DC78A5">
        <w:rPr>
          <w:lang w:val="ru-RU"/>
        </w:rPr>
        <w:t>.</w:t>
      </w:r>
    </w:p>
    <w:p w14:paraId="18E7346A" w14:textId="2ACA42A4" w:rsidR="004F1D7F" w:rsidRPr="00DC78A5" w:rsidRDefault="004F1D7F" w:rsidP="004F1D7F">
      <w:pPr>
        <w:rPr>
          <w:lang w:val="ru-RU"/>
        </w:rPr>
      </w:pPr>
      <w:bookmarkStart w:id="13" w:name="lt_pId112"/>
      <w:r w:rsidRPr="00DC78A5">
        <w:rPr>
          <w:i/>
          <w:lang w:val="ru-RU"/>
        </w:rPr>
        <w:t>R</w:t>
      </w:r>
      <w:r w:rsidRPr="00DC78A5">
        <w:rPr>
          <w:position w:val="-4"/>
          <w:sz w:val="16"/>
          <w:lang w:val="ru-RU"/>
        </w:rPr>
        <w:t xml:space="preserve">12 </w:t>
      </w:r>
      <w:r w:rsidR="00805E6E" w:rsidRPr="00DC78A5">
        <w:rPr>
          <w:lang w:val="ru-RU"/>
        </w:rPr>
        <w:t>определяется следующим образом</w:t>
      </w:r>
      <w:r w:rsidRPr="00DC78A5">
        <w:rPr>
          <w:lang w:val="ru-RU"/>
        </w:rPr>
        <w:t>:</w:t>
      </w:r>
      <w:bookmarkEnd w:id="13"/>
    </w:p>
    <w:p w14:paraId="78D27C87" w14:textId="3041C5D5" w:rsidR="004F1D7F" w:rsidRPr="00DC78A5" w:rsidRDefault="004F1D7F" w:rsidP="004F1D7F">
      <w:pPr>
        <w:pStyle w:val="Equation"/>
        <w:rPr>
          <w:lang w:val="ru-RU"/>
        </w:rPr>
      </w:pPr>
      <w:bookmarkStart w:id="14" w:name="F001"/>
      <w:r w:rsidRPr="00DC78A5">
        <w:rPr>
          <w:lang w:val="ru-RU"/>
        </w:rPr>
        <w:tab/>
      </w:r>
      <w:r w:rsidRPr="00DC78A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lang w:val="ru-RU"/>
              </w:rPr>
              <m:t>12</m:t>
            </m:r>
          </m:sub>
        </m:sSub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12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ru-RU"/>
                  </w:rPr>
                </m:ctrlPr>
              </m:naryPr>
              <m:sub>
                <m:r>
                  <w:rPr>
                    <w:rFonts w:ascii="Cambria Math" w:hAnsi="Cambria Math"/>
                    <w:lang w:val="ru-RU"/>
                  </w:rPr>
                  <m:t>n-5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n+5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n+6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n-6</m:t>
                        </m:r>
                      </m:sub>
                    </m:sSub>
                  </m:e>
                </m:d>
              </m:e>
            </m:nary>
          </m:e>
        </m:d>
      </m:oMath>
      <w:r w:rsidR="00805E6E" w:rsidRPr="00DC78A5">
        <w:rPr>
          <w:lang w:val="ru-RU"/>
        </w:rPr>
        <w:t>,</w:t>
      </w:r>
      <w:r w:rsidRPr="00DC78A5">
        <w:rPr>
          <w:lang w:val="ru-RU"/>
        </w:rPr>
        <w:tab/>
        <w:t>(3)</w:t>
      </w:r>
    </w:p>
    <w:p w14:paraId="3E0045D2" w14:textId="2E429442" w:rsidR="004F1D7F" w:rsidRPr="00DC78A5" w:rsidRDefault="00805E6E" w:rsidP="004F1D7F">
      <w:pPr>
        <w:rPr>
          <w:lang w:val="ru-RU"/>
        </w:rPr>
      </w:pPr>
      <w:bookmarkStart w:id="15" w:name="lt_pId114"/>
      <w:bookmarkEnd w:id="14"/>
      <w:r w:rsidRPr="00DC78A5">
        <w:rPr>
          <w:lang w:val="ru-RU"/>
        </w:rPr>
        <w:t>где</w:t>
      </w:r>
      <w:r w:rsidR="004F1D7F" w:rsidRPr="00DC78A5">
        <w:rPr>
          <w:lang w:val="ru-RU"/>
        </w:rPr>
        <w:t xml:space="preserve"> </w:t>
      </w:r>
      <w:r w:rsidR="004F1D7F" w:rsidRPr="00DC78A5">
        <w:rPr>
          <w:i/>
          <w:lang w:val="ru-RU"/>
        </w:rPr>
        <w:t>R</w:t>
      </w:r>
      <w:r w:rsidR="004F1D7F" w:rsidRPr="00DC78A5">
        <w:rPr>
          <w:i/>
          <w:position w:val="-4"/>
          <w:sz w:val="16"/>
          <w:lang w:val="ru-RU"/>
        </w:rPr>
        <w:t>i</w:t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 xml:space="preserve">– среднее </w:t>
      </w:r>
      <w:r w:rsidR="002D67AB" w:rsidRPr="00DC78A5">
        <w:rPr>
          <w:lang w:val="ru-RU"/>
        </w:rPr>
        <w:t>суточное</w:t>
      </w:r>
      <w:r w:rsidRPr="00DC78A5">
        <w:rPr>
          <w:lang w:val="ru-RU"/>
        </w:rPr>
        <w:t xml:space="preserve"> чис</w:t>
      </w:r>
      <w:r w:rsidR="002D67AB" w:rsidRPr="00DC78A5">
        <w:rPr>
          <w:lang w:val="ru-RU"/>
        </w:rPr>
        <w:t>ло</w:t>
      </w:r>
      <w:r w:rsidRPr="00DC78A5">
        <w:rPr>
          <w:lang w:val="ru-RU"/>
        </w:rPr>
        <w:t xml:space="preserve"> солнечных пятен за один месяц</w:t>
      </w:r>
      <w:r w:rsidR="004F1D7F" w:rsidRPr="00DC78A5">
        <w:rPr>
          <w:i/>
          <w:lang w:val="ru-RU"/>
        </w:rPr>
        <w:t xml:space="preserve"> i</w:t>
      </w:r>
      <w:r w:rsidR="004F1D7F" w:rsidRPr="00DC78A5">
        <w:rPr>
          <w:lang w:val="ru-RU"/>
        </w:rPr>
        <w:t xml:space="preserve">, </w:t>
      </w:r>
      <w:r w:rsidR="004F1D7F" w:rsidRPr="00DC78A5">
        <w:rPr>
          <w:i/>
          <w:lang w:val="ru-RU"/>
        </w:rPr>
        <w:t>R</w:t>
      </w:r>
      <w:r w:rsidR="004F1D7F" w:rsidRPr="00DC78A5">
        <w:rPr>
          <w:position w:val="-4"/>
          <w:sz w:val="16"/>
          <w:lang w:val="ru-RU"/>
        </w:rPr>
        <w:t>12</w:t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>– сглаженный индекс за месяц, представленный как</w:t>
      </w:r>
      <w:r w:rsidR="004F1D7F" w:rsidRPr="00DC78A5">
        <w:rPr>
          <w:i/>
          <w:lang w:val="ru-RU"/>
        </w:rPr>
        <w:t xml:space="preserve"> i</w:t>
      </w:r>
      <w:r w:rsidR="004F1D7F" w:rsidRPr="00DC78A5">
        <w:rPr>
          <w:lang w:val="ru-RU"/>
        </w:rPr>
        <w:t> </w:t>
      </w:r>
      <w:r w:rsidR="004F1D7F" w:rsidRPr="00DC78A5">
        <w:rPr>
          <w:rFonts w:ascii="Symbol" w:hAnsi="Symbol"/>
          <w:lang w:val="ru-RU"/>
        </w:rPr>
        <w:sym w:font="Symbol" w:char="F03D"/>
      </w:r>
      <w:r w:rsidR="004F1D7F" w:rsidRPr="00DC78A5">
        <w:rPr>
          <w:lang w:val="ru-RU"/>
        </w:rPr>
        <w:t> </w:t>
      </w:r>
      <w:r w:rsidR="004F1D7F" w:rsidRPr="00DC78A5">
        <w:rPr>
          <w:i/>
          <w:lang w:val="ru-RU"/>
        </w:rPr>
        <w:t>n</w:t>
      </w:r>
      <w:r w:rsidR="004F1D7F" w:rsidRPr="00DC78A5">
        <w:rPr>
          <w:lang w:val="ru-RU"/>
        </w:rPr>
        <w:t>.</w:t>
      </w:r>
      <w:bookmarkEnd w:id="15"/>
    </w:p>
    <w:p w14:paraId="2B837004" w14:textId="462398D9" w:rsidR="004F1D7F" w:rsidRPr="00DC78A5" w:rsidRDefault="00805E6E" w:rsidP="00B43B92">
      <w:pPr>
        <w:rPr>
          <w:lang w:val="ru-RU"/>
        </w:rPr>
      </w:pPr>
      <w:bookmarkStart w:id="16" w:name="lt_pId115"/>
      <w:r w:rsidRPr="00DC78A5">
        <w:rPr>
          <w:lang w:val="ru-RU"/>
        </w:rPr>
        <w:t xml:space="preserve">Использование </w:t>
      </w:r>
      <w:r w:rsidR="004F1D7F" w:rsidRPr="00DC78A5">
        <w:rPr>
          <w:i/>
          <w:lang w:val="ru-RU"/>
        </w:rPr>
        <w:t>R</w:t>
      </w:r>
      <w:r w:rsidR="004F1D7F" w:rsidRPr="00DC78A5">
        <w:rPr>
          <w:position w:val="-4"/>
          <w:sz w:val="16"/>
          <w:lang w:val="ru-RU"/>
        </w:rPr>
        <w:t>12</w:t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>имеет два основных недостатка</w:t>
      </w:r>
      <w:r w:rsidR="004F1D7F" w:rsidRPr="00DC78A5">
        <w:rPr>
          <w:lang w:val="ru-RU"/>
        </w:rPr>
        <w:t>:</w:t>
      </w:r>
      <w:bookmarkEnd w:id="16"/>
    </w:p>
    <w:p w14:paraId="6C6D246A" w14:textId="0B566DB8" w:rsidR="004F1D7F" w:rsidRPr="00DC78A5" w:rsidRDefault="004F1D7F" w:rsidP="004F1D7F">
      <w:pPr>
        <w:pStyle w:val="enumlev1"/>
        <w:rPr>
          <w:lang w:val="ru-RU"/>
        </w:rPr>
      </w:pPr>
      <w:r w:rsidRPr="00DC78A5">
        <w:rPr>
          <w:lang w:val="ru-RU"/>
        </w:rPr>
        <w:lastRenderedPageBreak/>
        <w:t>–</w:t>
      </w:r>
      <w:r w:rsidRPr="00DC78A5">
        <w:rPr>
          <w:lang w:val="ru-RU"/>
        </w:rPr>
        <w:tab/>
      </w:r>
      <w:bookmarkStart w:id="17" w:name="lt_pId117"/>
      <w:r w:rsidR="0012113C" w:rsidRPr="00DC78A5">
        <w:rPr>
          <w:lang w:val="ru-RU"/>
        </w:rPr>
        <w:t xml:space="preserve">самое последнее доступное значение обязательно центрируется по месяцу, который отстоит не менее чем на шесть </w:t>
      </w:r>
      <w:r w:rsidR="00B9617A" w:rsidRPr="00DC78A5">
        <w:rPr>
          <w:lang w:val="ru-RU"/>
        </w:rPr>
        <w:t xml:space="preserve">месяцев </w:t>
      </w:r>
      <w:r w:rsidR="0012113C" w:rsidRPr="00DC78A5">
        <w:rPr>
          <w:lang w:val="ru-RU"/>
        </w:rPr>
        <w:t>от настоящего времени</w:t>
      </w:r>
      <w:r w:rsidRPr="00DC78A5">
        <w:rPr>
          <w:lang w:val="ru-RU"/>
        </w:rPr>
        <w:t>;</w:t>
      </w:r>
      <w:bookmarkEnd w:id="17"/>
    </w:p>
    <w:p w14:paraId="321AE3FB" w14:textId="6C1CB35D" w:rsidR="004F1D7F" w:rsidRPr="00DC78A5" w:rsidRDefault="004F1D7F" w:rsidP="004F1D7F">
      <w:pPr>
        <w:pStyle w:val="enumlev1"/>
        <w:rPr>
          <w:lang w:val="ru-RU"/>
        </w:rPr>
      </w:pPr>
      <w:r w:rsidRPr="00DC78A5">
        <w:rPr>
          <w:lang w:val="ru-RU"/>
        </w:rPr>
        <w:t>–</w:t>
      </w:r>
      <w:r w:rsidRPr="00DC78A5">
        <w:rPr>
          <w:lang w:val="ru-RU"/>
        </w:rPr>
        <w:tab/>
      </w:r>
      <w:bookmarkStart w:id="18" w:name="lt_pId119"/>
      <w:r w:rsidR="00B9617A" w:rsidRPr="00DC78A5">
        <w:rPr>
          <w:lang w:val="ru-RU"/>
        </w:rPr>
        <w:t>его невозможно использовать для прогнозирования кратковременных колебаний солнечной активности</w:t>
      </w:r>
      <w:r w:rsidRPr="00DC78A5">
        <w:rPr>
          <w:lang w:val="ru-RU"/>
        </w:rPr>
        <w:t>.</w:t>
      </w:r>
      <w:bookmarkEnd w:id="18"/>
    </w:p>
    <w:p w14:paraId="4CA8D632" w14:textId="0C6F3A3B" w:rsidR="004F1D7F" w:rsidRPr="00DC78A5" w:rsidRDefault="00291985" w:rsidP="004F1D7F">
      <w:pPr>
        <w:rPr>
          <w:lang w:val="ru-RU"/>
        </w:rPr>
      </w:pPr>
      <w:r w:rsidRPr="00DC78A5">
        <w:rPr>
          <w:lang w:val="ru-RU"/>
        </w:rPr>
        <w:t xml:space="preserve">Тем не менее </w:t>
      </w:r>
      <w:r w:rsidRPr="00DC78A5">
        <w:rPr>
          <w:i/>
          <w:lang w:val="ru-RU"/>
        </w:rPr>
        <w:t>R</w:t>
      </w:r>
      <w:r w:rsidRPr="00DC78A5">
        <w:rPr>
          <w:position w:val="-4"/>
          <w:sz w:val="16"/>
          <w:lang w:val="ru-RU"/>
        </w:rPr>
        <w:t>12</w:t>
      </w:r>
      <w:r w:rsidRPr="00DC78A5">
        <w:rPr>
          <w:lang w:val="ru-RU"/>
        </w:rPr>
        <w:t xml:space="preserve"> представляется наиболее полезным параметром для долгосрочных исследований и прогнозов, касающихся слоя F2. Если не указано иное, </w:t>
      </w:r>
      <w:r w:rsidRPr="00DC78A5">
        <w:rPr>
          <w:i/>
          <w:lang w:val="ru-RU"/>
        </w:rPr>
        <w:t>R</w:t>
      </w:r>
      <w:r w:rsidRPr="00DC78A5">
        <w:rPr>
          <w:position w:val="-4"/>
          <w:sz w:val="16"/>
          <w:lang w:val="ru-RU"/>
        </w:rPr>
        <w:t>12</w:t>
      </w:r>
      <w:r w:rsidRPr="00DC78A5">
        <w:rPr>
          <w:lang w:val="ru-RU"/>
        </w:rPr>
        <w:t xml:space="preserve"> следует использовать в </w:t>
      </w:r>
      <w:r w:rsidR="000F0862" w:rsidRPr="00DC78A5">
        <w:rPr>
          <w:lang w:val="ru-RU"/>
        </w:rPr>
        <w:t xml:space="preserve">его </w:t>
      </w:r>
      <w:r w:rsidRPr="00DC78A5">
        <w:rPr>
          <w:lang w:val="ru-RU"/>
        </w:rPr>
        <w:t>версии 1 (т.</w:t>
      </w:r>
      <w:r w:rsidR="00435C3D" w:rsidRPr="00DC78A5">
        <w:rPr>
          <w:lang w:val="ru-RU"/>
        </w:rPr>
        <w:t> </w:t>
      </w:r>
      <w:r w:rsidRPr="00DC78A5">
        <w:rPr>
          <w:lang w:val="ru-RU"/>
        </w:rPr>
        <w:t>е.</w:t>
      </w:r>
      <w:r w:rsidR="00435C3D" w:rsidRPr="00DC78A5">
        <w:rPr>
          <w:lang w:val="ru-RU"/>
        </w:rPr>
        <w:t xml:space="preserve"> </w:t>
      </w:r>
      <w:r w:rsidRPr="00DC78A5">
        <w:rPr>
          <w:i/>
          <w:iCs/>
          <w:lang w:val="ru-RU"/>
        </w:rPr>
        <w:t>R</w:t>
      </w:r>
      <w:r w:rsidRPr="00DC78A5">
        <w:rPr>
          <w:vertAlign w:val="subscript"/>
          <w:lang w:val="ru-RU"/>
        </w:rPr>
        <w:t>12</w:t>
      </w:r>
      <w:r w:rsidRPr="00DC78A5">
        <w:rPr>
          <w:lang w:val="ru-RU"/>
        </w:rPr>
        <w:t xml:space="preserve">, рассчитанное из </w:t>
      </w:r>
      <w:r w:rsidRPr="00DC78A5">
        <w:rPr>
          <w:i/>
          <w:iCs/>
          <w:lang w:val="ru-RU"/>
        </w:rPr>
        <w:t>R</w:t>
      </w:r>
      <w:r w:rsidRPr="00DC78A5">
        <w:rPr>
          <w:lang w:val="ru-RU"/>
        </w:rPr>
        <w:t xml:space="preserve"> при </w:t>
      </w:r>
      <w:r w:rsidRPr="00DC78A5">
        <w:rPr>
          <w:i/>
          <w:iCs/>
          <w:lang w:val="ru-RU"/>
        </w:rPr>
        <w:t>k</w:t>
      </w:r>
      <w:r w:rsidRPr="00DC78A5">
        <w:rPr>
          <w:lang w:val="ru-RU"/>
        </w:rPr>
        <w:t xml:space="preserve"> = 0,6).</w:t>
      </w:r>
    </w:p>
    <w:p w14:paraId="042E16FB" w14:textId="0F1ECDE3" w:rsidR="004F1D7F" w:rsidRPr="00DC78A5" w:rsidRDefault="004F1D7F" w:rsidP="004F1D7F">
      <w:pPr>
        <w:pStyle w:val="Heading1"/>
        <w:rPr>
          <w:lang w:val="ru-RU"/>
        </w:rPr>
      </w:pPr>
      <w:r w:rsidRPr="00DC78A5">
        <w:rPr>
          <w:lang w:val="ru-RU"/>
        </w:rPr>
        <w:t>3</w:t>
      </w:r>
      <w:r w:rsidRPr="00DC78A5">
        <w:rPr>
          <w:lang w:val="ru-RU"/>
        </w:rPr>
        <w:tab/>
      </w:r>
      <w:bookmarkStart w:id="19" w:name="lt_pId123"/>
      <w:r w:rsidR="00B421EA" w:rsidRPr="00DC78A5">
        <w:rPr>
          <w:lang w:val="ru-RU"/>
        </w:rPr>
        <w:t>Индекс</w:t>
      </w:r>
      <w:r w:rsidRPr="00DC78A5">
        <w:rPr>
          <w:lang w:val="ru-RU"/>
        </w:rPr>
        <w:t xml:space="preserve"> </w:t>
      </w:r>
      <w:r w:rsidRPr="00DC78A5">
        <w:rPr>
          <w:rFonts w:ascii="Symbol" w:hAnsi="Symbol"/>
          <w:lang w:val="ru-RU"/>
        </w:rPr>
        <w:sym w:font="Symbol" w:char="F046"/>
      </w:r>
      <w:bookmarkEnd w:id="19"/>
    </w:p>
    <w:p w14:paraId="7734545A" w14:textId="5AF1E3A6" w:rsidR="004F1D7F" w:rsidRPr="00DC78A5" w:rsidRDefault="00291985" w:rsidP="004F1D7F">
      <w:pPr>
        <w:rPr>
          <w:lang w:val="ru-RU"/>
        </w:rPr>
      </w:pPr>
      <w:r w:rsidRPr="00DC78A5">
        <w:rPr>
          <w:lang w:val="ru-RU"/>
        </w:rPr>
        <w:t xml:space="preserve">Лаборатории Канады, Японии и других стран </w:t>
      </w:r>
      <w:r w:rsidR="00B217DE" w:rsidRPr="00DC78A5">
        <w:rPr>
          <w:lang w:val="ru-RU"/>
        </w:rPr>
        <w:t>составили</w:t>
      </w:r>
      <w:r w:rsidRPr="00DC78A5">
        <w:rPr>
          <w:lang w:val="ru-RU"/>
        </w:rPr>
        <w:t xml:space="preserve"> последовательные и достаточно длинные </w:t>
      </w:r>
      <w:r w:rsidR="00B217DE" w:rsidRPr="00DC78A5">
        <w:rPr>
          <w:lang w:val="ru-RU"/>
        </w:rPr>
        <w:t>ряды</w:t>
      </w:r>
      <w:r w:rsidRPr="00DC78A5">
        <w:rPr>
          <w:lang w:val="ru-RU"/>
        </w:rPr>
        <w:t xml:space="preserve"> наблюдений за потоком солнечного радиошума </w:t>
      </w:r>
      <w:r w:rsidR="00B421EA" w:rsidRPr="00DC78A5">
        <w:rPr>
          <w:lang w:val="ru-RU"/>
        </w:rPr>
        <w:t>при</w:t>
      </w:r>
      <w:r w:rsidRPr="00DC78A5">
        <w:rPr>
          <w:lang w:val="ru-RU"/>
        </w:rPr>
        <w:t xml:space="preserve"> длине волны около 10</w:t>
      </w:r>
      <w:r w:rsidR="00B421EA" w:rsidRPr="00DC78A5">
        <w:rPr>
          <w:lang w:val="ru-RU"/>
        </w:rPr>
        <w:t> </w:t>
      </w:r>
      <w:r w:rsidRPr="00DC78A5">
        <w:rPr>
          <w:lang w:val="ru-RU"/>
        </w:rPr>
        <w:t xml:space="preserve">см. </w:t>
      </w:r>
      <w:r w:rsidR="00B421EA" w:rsidRPr="00DC78A5">
        <w:rPr>
          <w:lang w:val="ru-RU"/>
        </w:rPr>
        <w:t>В</w:t>
      </w:r>
      <w:r w:rsidR="00B217DE" w:rsidRPr="00DC78A5">
        <w:rPr>
          <w:lang w:val="ru-RU"/>
        </w:rPr>
        <w:t> </w:t>
      </w:r>
      <w:r w:rsidR="00B421EA" w:rsidRPr="00DC78A5">
        <w:rPr>
          <w:lang w:val="ru-RU"/>
        </w:rPr>
        <w:t>качестве справочных данных для этого индекса следует рассматривать с</w:t>
      </w:r>
      <w:r w:rsidRPr="00DC78A5">
        <w:rPr>
          <w:lang w:val="ru-RU"/>
        </w:rPr>
        <w:t>реднемесячн</w:t>
      </w:r>
      <w:r w:rsidR="00B421EA" w:rsidRPr="00DC78A5">
        <w:rPr>
          <w:lang w:val="ru-RU"/>
        </w:rPr>
        <w:t>о</w:t>
      </w:r>
      <w:r w:rsidRPr="00DC78A5">
        <w:rPr>
          <w:lang w:val="ru-RU"/>
        </w:rPr>
        <w:t>е значени</w:t>
      </w:r>
      <w:r w:rsidR="00B421EA" w:rsidRPr="00DC78A5">
        <w:rPr>
          <w:lang w:val="ru-RU"/>
        </w:rPr>
        <w:t>е</w:t>
      </w:r>
      <w:r w:rsidRPr="00DC78A5">
        <w:rPr>
          <w:lang w:val="ru-RU"/>
        </w:rPr>
        <w:t xml:space="preserve"> </w:t>
      </w:r>
      <w:r w:rsidR="00B421EA" w:rsidRPr="00DC78A5">
        <w:rPr>
          <w:rFonts w:ascii="Symbol" w:hAnsi="Symbol"/>
          <w:lang w:val="ru-RU"/>
        </w:rPr>
        <w:sym w:font="Symbol" w:char="F046"/>
      </w:r>
      <w:r w:rsidR="00B421EA" w:rsidRPr="00DC78A5">
        <w:rPr>
          <w:rFonts w:ascii="Symbol" w:hAnsi="Symbol"/>
          <w:lang w:val="ru-RU"/>
        </w:rPr>
        <w:t xml:space="preserve"> </w:t>
      </w:r>
      <w:r w:rsidRPr="00DC78A5">
        <w:rPr>
          <w:lang w:val="ru-RU"/>
        </w:rPr>
        <w:t xml:space="preserve">суточных значений из Канады, выраженное в единицах </w:t>
      </w:r>
      <w:r w:rsidR="00B421EA" w:rsidRPr="00DC78A5">
        <w:rPr>
          <w:lang w:val="ru-RU"/>
        </w:rPr>
        <w:t>10</w:t>
      </w:r>
      <w:r w:rsidR="00B421EA" w:rsidRPr="00DC78A5">
        <w:rPr>
          <w:position w:val="6"/>
          <w:sz w:val="16"/>
          <w:lang w:val="ru-RU"/>
        </w:rPr>
        <w:t>–22</w:t>
      </w:r>
      <w:r w:rsidR="00B421EA" w:rsidRPr="00DC78A5">
        <w:rPr>
          <w:lang w:val="ru-RU"/>
        </w:rPr>
        <w:t xml:space="preserve"> Втм</w:t>
      </w:r>
      <w:r w:rsidR="00B421EA" w:rsidRPr="00DC78A5">
        <w:rPr>
          <w:position w:val="6"/>
          <w:sz w:val="16"/>
          <w:lang w:val="ru-RU"/>
        </w:rPr>
        <w:t>–2</w:t>
      </w:r>
      <w:r w:rsidR="00B421EA" w:rsidRPr="00DC78A5">
        <w:rPr>
          <w:lang w:val="ru-RU"/>
        </w:rPr>
        <w:t xml:space="preserve"> Гц</w:t>
      </w:r>
      <w:r w:rsidR="00B421EA" w:rsidRPr="00DC78A5">
        <w:rPr>
          <w:position w:val="6"/>
          <w:sz w:val="16"/>
          <w:lang w:val="ru-RU"/>
        </w:rPr>
        <w:t>–1</w:t>
      </w:r>
      <w:r w:rsidRPr="00DC78A5">
        <w:rPr>
          <w:lang w:val="ru-RU"/>
        </w:rPr>
        <w:t>.</w:t>
      </w:r>
      <w:bookmarkStart w:id="20" w:name="lt_pId126"/>
      <w:r w:rsidR="00B217DE" w:rsidRPr="00DC78A5">
        <w:rPr>
          <w:rFonts w:ascii="Symbol" w:hAnsi="Symbol"/>
          <w:lang w:val="ru-RU"/>
        </w:rPr>
        <w:t xml:space="preserve"> </w:t>
      </w:r>
      <w:r w:rsidR="00B217DE" w:rsidRPr="00DC78A5">
        <w:rPr>
          <w:rFonts w:ascii="Symbol" w:hAnsi="Symbol"/>
          <w:lang w:val="ru-RU"/>
        </w:rPr>
        <w:sym w:font="Symbol" w:char="F046"/>
      </w:r>
      <w:r w:rsidR="00B217DE" w:rsidRPr="00DC78A5">
        <w:rPr>
          <w:lang w:val="ru-RU"/>
        </w:rPr>
        <w:t xml:space="preserve"> более близко коррелирует с критической частотой слоя E, чем значения потока шума при волнах другой длины.</w:t>
      </w:r>
      <w:bookmarkEnd w:id="20"/>
      <w:r w:rsidR="00B217DE" w:rsidRPr="00DC78A5">
        <w:rPr>
          <w:lang w:val="ru-RU"/>
        </w:rPr>
        <w:t xml:space="preserve"> </w:t>
      </w:r>
      <w:bookmarkStart w:id="21" w:name="lt_pId127"/>
      <w:r w:rsidR="00B217DE" w:rsidRPr="00DC78A5">
        <w:rPr>
          <w:lang w:val="ru-RU"/>
        </w:rPr>
        <w:t xml:space="preserve">Поскольку данные наблюдений солнечного потока доступны только с 1947 года, число солнечных пятен остается одним из самых длинных рядов наблюдений </w:t>
      </w:r>
      <w:r w:rsidR="000F0862" w:rsidRPr="00DC78A5">
        <w:rPr>
          <w:lang w:val="ru-RU"/>
        </w:rPr>
        <w:t xml:space="preserve">этого </w:t>
      </w:r>
      <w:r w:rsidR="00B217DE" w:rsidRPr="00DC78A5">
        <w:rPr>
          <w:lang w:val="ru-RU"/>
        </w:rPr>
        <w:t>природного явления. Вследствие этого рекомендуется продолжать сбор и регистрацию данных наблюдений солнечных пятен.</w:t>
      </w:r>
      <w:bookmarkEnd w:id="21"/>
    </w:p>
    <w:p w14:paraId="2D94F13D" w14:textId="582B9F36" w:rsidR="004F1D7F" w:rsidRPr="00DC78A5" w:rsidRDefault="004F1D7F" w:rsidP="004F1D7F">
      <w:pPr>
        <w:pStyle w:val="Heading1"/>
        <w:rPr>
          <w:lang w:val="ru-RU"/>
        </w:rPr>
      </w:pPr>
      <w:r w:rsidRPr="00DC78A5">
        <w:rPr>
          <w:lang w:val="ru-RU"/>
        </w:rPr>
        <w:t>4</w:t>
      </w:r>
      <w:r w:rsidRPr="00DC78A5">
        <w:rPr>
          <w:lang w:val="ru-RU"/>
        </w:rPr>
        <w:tab/>
      </w:r>
      <w:r w:rsidR="00D12013" w:rsidRPr="00DC78A5">
        <w:rPr>
          <w:lang w:val="ru-RU"/>
        </w:rPr>
        <w:t>Другие индексы</w:t>
      </w:r>
    </w:p>
    <w:p w14:paraId="45F78468" w14:textId="6BDE654B" w:rsidR="004F1D7F" w:rsidRPr="00DC78A5" w:rsidRDefault="00FB7683" w:rsidP="004F1D7F">
      <w:pPr>
        <w:rPr>
          <w:lang w:val="ru-RU"/>
        </w:rPr>
      </w:pPr>
      <w:bookmarkStart w:id="22" w:name="lt_pId131"/>
      <w:r w:rsidRPr="00DC78A5">
        <w:rPr>
          <w:lang w:val="ru-RU"/>
        </w:rPr>
        <w:t xml:space="preserve">На протяжении последних лет рассматривалось значительное количество различных индексов, которые могли бы представить долгосрочные изменения различных характеристик ионосферы, однако для ионосферных прогнозов МСЭ-R </w:t>
      </w:r>
      <w:r w:rsidRPr="00DC78A5">
        <w:rPr>
          <w:i/>
          <w:iCs/>
          <w:lang w:val="ru-RU"/>
        </w:rPr>
        <w:t>рекомендует</w:t>
      </w:r>
      <w:r w:rsidRPr="00DC78A5">
        <w:rPr>
          <w:lang w:val="ru-RU"/>
        </w:rPr>
        <w:t xml:space="preserve"> индексы </w:t>
      </w:r>
      <w:r w:rsidR="004F1D7F" w:rsidRPr="00DC78A5">
        <w:rPr>
          <w:i/>
          <w:lang w:val="ru-RU"/>
        </w:rPr>
        <w:t>R</w:t>
      </w:r>
      <w:r w:rsidR="004F1D7F" w:rsidRPr="00DC78A5">
        <w:rPr>
          <w:position w:val="-4"/>
          <w:sz w:val="16"/>
          <w:lang w:val="ru-RU"/>
        </w:rPr>
        <w:t>12</w:t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>и</w:t>
      </w:r>
      <w:r w:rsidR="004F1D7F" w:rsidRPr="00DC78A5">
        <w:rPr>
          <w:lang w:val="ru-RU"/>
        </w:rPr>
        <w:t xml:space="preserve"> </w:t>
      </w:r>
      <w:r w:rsidR="004F1D7F" w:rsidRPr="00DC78A5">
        <w:rPr>
          <w:rFonts w:ascii="Symbol" w:hAnsi="Symbol"/>
          <w:lang w:val="ru-RU"/>
        </w:rPr>
        <w:sym w:font="Symbol" w:char="F046"/>
      </w:r>
      <w:r w:rsidR="004F1D7F" w:rsidRPr="00DC78A5">
        <w:rPr>
          <w:position w:val="-4"/>
          <w:sz w:val="16"/>
          <w:lang w:val="ru-RU"/>
        </w:rPr>
        <w:t>12</w:t>
      </w:r>
      <w:r w:rsidR="004F1D7F" w:rsidRPr="00DC78A5">
        <w:rPr>
          <w:lang w:val="ru-RU"/>
        </w:rPr>
        <w:t>.</w:t>
      </w:r>
      <w:bookmarkEnd w:id="22"/>
    </w:p>
    <w:p w14:paraId="439F5C0D" w14:textId="20321290" w:rsidR="004F1D7F" w:rsidRPr="00DC78A5" w:rsidRDefault="004F1D7F" w:rsidP="004F1D7F">
      <w:pPr>
        <w:pStyle w:val="Heading1"/>
        <w:rPr>
          <w:lang w:val="ru-RU"/>
        </w:rPr>
      </w:pPr>
      <w:r w:rsidRPr="00DC78A5">
        <w:rPr>
          <w:lang w:val="ru-RU"/>
        </w:rPr>
        <w:t>5</w:t>
      </w:r>
      <w:r w:rsidRPr="00DC78A5">
        <w:rPr>
          <w:lang w:val="ru-RU"/>
        </w:rPr>
        <w:tab/>
      </w:r>
      <w:bookmarkStart w:id="23" w:name="lt_pId133"/>
      <w:r w:rsidR="00FB7683" w:rsidRPr="00DC78A5">
        <w:rPr>
          <w:lang w:val="ru-RU"/>
        </w:rPr>
        <w:t>Корреляция между</w:t>
      </w:r>
      <w:r w:rsidRPr="00DC78A5">
        <w:rPr>
          <w:lang w:val="ru-RU"/>
        </w:rPr>
        <w:t xml:space="preserve"> </w:t>
      </w:r>
      <w:r w:rsidRPr="00DC78A5">
        <w:rPr>
          <w:rFonts w:ascii="Symbol" w:hAnsi="Symbol"/>
          <w:lang w:val="ru-RU"/>
        </w:rPr>
        <w:sym w:font="Symbol" w:char="F046"/>
      </w:r>
      <w:r w:rsidRPr="00DC78A5">
        <w:rPr>
          <w:position w:val="-4"/>
          <w:sz w:val="20"/>
          <w:lang w:val="ru-RU"/>
        </w:rPr>
        <w:t>12</w:t>
      </w:r>
      <w:r w:rsidRPr="00DC78A5">
        <w:rPr>
          <w:lang w:val="ru-RU"/>
        </w:rPr>
        <w:t xml:space="preserve"> </w:t>
      </w:r>
      <w:r w:rsidR="00FB7683" w:rsidRPr="00DC78A5">
        <w:rPr>
          <w:lang w:val="ru-RU"/>
        </w:rPr>
        <w:t>и</w:t>
      </w:r>
      <w:r w:rsidRPr="00DC78A5">
        <w:rPr>
          <w:lang w:val="ru-RU"/>
        </w:rPr>
        <w:t xml:space="preserve"> </w:t>
      </w:r>
      <w:r w:rsidRPr="00DC78A5">
        <w:rPr>
          <w:i/>
          <w:lang w:val="ru-RU"/>
        </w:rPr>
        <w:t>R</w:t>
      </w:r>
      <w:r w:rsidRPr="00DC78A5">
        <w:rPr>
          <w:position w:val="-4"/>
          <w:sz w:val="20"/>
          <w:lang w:val="ru-RU"/>
        </w:rPr>
        <w:t>12</w:t>
      </w:r>
      <w:bookmarkEnd w:id="23"/>
    </w:p>
    <w:p w14:paraId="539B497F" w14:textId="40FC4019" w:rsidR="004F1D7F" w:rsidRPr="00DC78A5" w:rsidRDefault="00CF59DC" w:rsidP="004F1D7F">
      <w:pPr>
        <w:rPr>
          <w:lang w:val="ru-RU"/>
        </w:rPr>
      </w:pPr>
      <w:r w:rsidRPr="00DC78A5">
        <w:rPr>
          <w:lang w:val="ru-RU"/>
        </w:rPr>
        <w:t xml:space="preserve">Рекомендуемое соотношение между </w:t>
      </w:r>
      <w:r w:rsidRPr="00DC78A5">
        <w:rPr>
          <w:i/>
          <w:lang w:val="ru-RU"/>
        </w:rPr>
        <w:t>R</w:t>
      </w:r>
      <w:r w:rsidRPr="00DC78A5">
        <w:rPr>
          <w:position w:val="-4"/>
          <w:sz w:val="16"/>
          <w:lang w:val="ru-RU"/>
        </w:rPr>
        <w:t>12</w:t>
      </w:r>
      <w:r w:rsidRPr="00DC78A5">
        <w:rPr>
          <w:lang w:val="ru-RU"/>
        </w:rPr>
        <w:t xml:space="preserve"> и </w:t>
      </w:r>
      <w:r w:rsidRPr="00DC78A5">
        <w:rPr>
          <w:rFonts w:ascii="Symbol" w:hAnsi="Symbol"/>
          <w:lang w:val="ru-RU"/>
        </w:rPr>
        <w:sym w:font="Symbol" w:char="F046"/>
      </w:r>
      <w:r w:rsidRPr="00DC78A5">
        <w:rPr>
          <w:position w:val="-4"/>
          <w:sz w:val="16"/>
          <w:lang w:val="ru-RU"/>
        </w:rPr>
        <w:t>12</w:t>
      </w:r>
      <w:r w:rsidRPr="00DC78A5">
        <w:rPr>
          <w:lang w:val="ru-RU"/>
        </w:rPr>
        <w:t>, также показанное на рисунке 1:</w:t>
      </w:r>
    </w:p>
    <w:p w14:paraId="075F60C3" w14:textId="147CE890" w:rsidR="004F1D7F" w:rsidRPr="00DC78A5" w:rsidRDefault="004F1D7F" w:rsidP="004F1D7F">
      <w:pPr>
        <w:pStyle w:val="Equation"/>
        <w:rPr>
          <w:lang w:val="ru-RU"/>
        </w:rPr>
      </w:pPr>
      <w:r w:rsidRPr="00DC78A5">
        <w:rPr>
          <w:lang w:val="ru-RU"/>
        </w:rPr>
        <w:tab/>
      </w:r>
      <w:r w:rsidRPr="00DC78A5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Φ</m:t>
            </m:r>
          </m:e>
          <m:sub>
            <m:r>
              <w:rPr>
                <w:rFonts w:ascii="Cambria Math" w:hAnsi="Cambria Math"/>
                <w:lang w:val="ru-RU"/>
              </w:rPr>
              <m:t>12</m:t>
            </m:r>
          </m:sub>
        </m:sSub>
        <m:r>
          <w:rPr>
            <w:rFonts w:ascii="Cambria Math" w:hAnsi="Cambria Math"/>
            <w:lang w:val="ru-RU"/>
          </w:rPr>
          <m:t xml:space="preserve">=63,7+0,728 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lang w:val="ru-RU"/>
              </w:rPr>
              <m:t>12</m:t>
            </m:r>
          </m:sub>
        </m:sSub>
        <m:r>
          <w:rPr>
            <w:rFonts w:ascii="Cambria Math" w:hAnsi="Cambria Math"/>
            <w:lang w:val="ru-RU"/>
          </w:rPr>
          <m:t>+8,9×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lang w:val="ru-RU"/>
              </w:rPr>
              <m:t>-4</m:t>
            </m:r>
          </m:sup>
        </m:sSup>
        <m:sSubSup>
          <m:sSubSupPr>
            <m:ctrlPr>
              <w:rPr>
                <w:rFonts w:ascii="Cambria Math" w:hAnsi="Cambria Math"/>
                <w:i/>
                <w:lang w:val="ru-RU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lang w:val="ru-RU"/>
              </w:rPr>
              <m:t>12</m:t>
            </m:r>
          </m:sub>
          <m:sup>
            <m:r>
              <w:rPr>
                <w:rFonts w:ascii="Cambria Math" w:hAnsi="Cambria Math"/>
                <w:lang w:val="ru-RU"/>
              </w:rPr>
              <m:t>2</m:t>
            </m:r>
          </m:sup>
        </m:sSubSup>
      </m:oMath>
      <w:r w:rsidR="00435C3D" w:rsidRPr="00DC78A5">
        <w:rPr>
          <w:lang w:val="ru-RU"/>
        </w:rPr>
        <w:t>.</w:t>
      </w:r>
      <w:r w:rsidRPr="00DC78A5">
        <w:rPr>
          <w:lang w:val="ru-RU"/>
        </w:rPr>
        <w:tab/>
        <w:t>(4)</w:t>
      </w:r>
    </w:p>
    <w:p w14:paraId="710FC139" w14:textId="6E05094D" w:rsidR="004F1D7F" w:rsidRPr="00DC78A5" w:rsidRDefault="004F1D7F" w:rsidP="004F1D7F">
      <w:pPr>
        <w:pStyle w:val="Heading1"/>
        <w:rPr>
          <w:lang w:val="ru-RU"/>
        </w:rPr>
      </w:pPr>
      <w:r w:rsidRPr="00DC78A5">
        <w:rPr>
          <w:lang w:val="ru-RU"/>
        </w:rPr>
        <w:t>6</w:t>
      </w:r>
      <w:r w:rsidRPr="00DC78A5">
        <w:rPr>
          <w:lang w:val="ru-RU"/>
        </w:rPr>
        <w:tab/>
      </w:r>
      <w:r w:rsidR="002B7AC3" w:rsidRPr="00DC78A5">
        <w:rPr>
          <w:lang w:val="ru-RU"/>
        </w:rPr>
        <w:t>Прогнозирование индексов</w:t>
      </w:r>
    </w:p>
    <w:p w14:paraId="0474A43E" w14:textId="129A7EBD" w:rsidR="004F1D7F" w:rsidRPr="00DC78A5" w:rsidRDefault="00363520" w:rsidP="004F1D7F">
      <w:pPr>
        <w:rPr>
          <w:spacing w:val="-2"/>
          <w:lang w:val="ru-RU"/>
        </w:rPr>
      </w:pPr>
      <w:r w:rsidRPr="00DC78A5">
        <w:rPr>
          <w:spacing w:val="-2"/>
          <w:lang w:val="ru-RU"/>
        </w:rPr>
        <w:t xml:space="preserve">Пока не существует метода, с помощью которого возможно точно прогнозировать индексы для следующего цикла солнечных пятен или, в более общем смысле, для цикла, который еще не начался. Индексы, которые были рассчитаны с использованием гармонического анализа или с помощью эмпирических и статистических законов, </w:t>
      </w:r>
      <w:r w:rsidR="00830692" w:rsidRPr="00DC78A5">
        <w:rPr>
          <w:spacing w:val="-2"/>
          <w:lang w:val="ru-RU"/>
        </w:rPr>
        <w:t xml:space="preserve">которые </w:t>
      </w:r>
      <w:r w:rsidRPr="00DC78A5">
        <w:rPr>
          <w:spacing w:val="-2"/>
          <w:lang w:val="ru-RU"/>
        </w:rPr>
        <w:t>применя</w:t>
      </w:r>
      <w:r w:rsidR="00830692" w:rsidRPr="00DC78A5">
        <w:rPr>
          <w:spacing w:val="-2"/>
          <w:lang w:val="ru-RU"/>
        </w:rPr>
        <w:t>ются</w:t>
      </w:r>
      <w:r w:rsidRPr="00DC78A5">
        <w:rPr>
          <w:spacing w:val="-2"/>
          <w:lang w:val="ru-RU"/>
        </w:rPr>
        <w:t xml:space="preserve"> к наблюдениям</w:t>
      </w:r>
      <w:r w:rsidR="0000558E" w:rsidRPr="00DC78A5">
        <w:rPr>
          <w:spacing w:val="-2"/>
          <w:lang w:val="ru-RU"/>
        </w:rPr>
        <w:t>, сделанным</w:t>
      </w:r>
      <w:r w:rsidRPr="00DC78A5">
        <w:rPr>
          <w:spacing w:val="-2"/>
          <w:lang w:val="ru-RU"/>
        </w:rPr>
        <w:t xml:space="preserve"> </w:t>
      </w:r>
      <w:r w:rsidR="0000558E" w:rsidRPr="00DC78A5">
        <w:rPr>
          <w:spacing w:val="-2"/>
          <w:lang w:val="ru-RU"/>
        </w:rPr>
        <w:t>в</w:t>
      </w:r>
      <w:r w:rsidRPr="00DC78A5">
        <w:rPr>
          <w:spacing w:val="-2"/>
          <w:lang w:val="ru-RU"/>
        </w:rPr>
        <w:t xml:space="preserve"> некоторы</w:t>
      </w:r>
      <w:r w:rsidR="0000558E" w:rsidRPr="00DC78A5">
        <w:rPr>
          <w:spacing w:val="-2"/>
          <w:lang w:val="ru-RU"/>
        </w:rPr>
        <w:t>х</w:t>
      </w:r>
      <w:r w:rsidRPr="00DC78A5">
        <w:rPr>
          <w:spacing w:val="-2"/>
          <w:lang w:val="ru-RU"/>
        </w:rPr>
        <w:t xml:space="preserve"> более ранни</w:t>
      </w:r>
      <w:r w:rsidR="0000558E" w:rsidRPr="00DC78A5">
        <w:rPr>
          <w:spacing w:val="-2"/>
          <w:lang w:val="ru-RU"/>
        </w:rPr>
        <w:t>х</w:t>
      </w:r>
      <w:r w:rsidRPr="00DC78A5">
        <w:rPr>
          <w:spacing w:val="-2"/>
          <w:lang w:val="ru-RU"/>
        </w:rPr>
        <w:t xml:space="preserve"> и даже </w:t>
      </w:r>
      <w:r w:rsidR="0000558E" w:rsidRPr="00DC78A5">
        <w:rPr>
          <w:spacing w:val="-2"/>
          <w:lang w:val="ru-RU"/>
        </w:rPr>
        <w:t>недавних</w:t>
      </w:r>
      <w:r w:rsidRPr="00DC78A5">
        <w:rPr>
          <w:spacing w:val="-2"/>
          <w:lang w:val="ru-RU"/>
        </w:rPr>
        <w:t xml:space="preserve"> цикла</w:t>
      </w:r>
      <w:r w:rsidR="0000558E" w:rsidRPr="00DC78A5">
        <w:rPr>
          <w:spacing w:val="-2"/>
          <w:lang w:val="ru-RU"/>
        </w:rPr>
        <w:t>х</w:t>
      </w:r>
      <w:r w:rsidRPr="00DC78A5">
        <w:rPr>
          <w:spacing w:val="-2"/>
          <w:lang w:val="ru-RU"/>
        </w:rPr>
        <w:t xml:space="preserve">, не оказались полезными при прогнозировании </w:t>
      </w:r>
      <w:r w:rsidR="0000558E" w:rsidRPr="00DC78A5">
        <w:rPr>
          <w:spacing w:val="-2"/>
          <w:lang w:val="ru-RU"/>
        </w:rPr>
        <w:t>индексов</w:t>
      </w:r>
      <w:r w:rsidRPr="00DC78A5">
        <w:rPr>
          <w:spacing w:val="-2"/>
          <w:lang w:val="ru-RU"/>
        </w:rPr>
        <w:t xml:space="preserve"> для нового цикла.</w:t>
      </w:r>
      <w:r w:rsidR="0000558E" w:rsidRPr="00DC78A5">
        <w:rPr>
          <w:spacing w:val="-2"/>
          <w:lang w:val="ru-RU"/>
        </w:rPr>
        <w:t xml:space="preserve"> После наблюдения минимума солнечных пятен возможно в определенной степени экстраполировать будущее развитие цикла, хотя наблюдаемые отклонения весьма значительны.</w:t>
      </w:r>
    </w:p>
    <w:p w14:paraId="0E7E9F5E" w14:textId="4DF2FD52" w:rsidR="004D39D5" w:rsidRPr="00DC78A5" w:rsidRDefault="004D39D5" w:rsidP="004F1D7F">
      <w:pPr>
        <w:rPr>
          <w:lang w:val="ru-RU"/>
        </w:rPr>
      </w:pPr>
      <w:r w:rsidRPr="00DC78A5">
        <w:rPr>
          <w:lang w:val="ru-RU"/>
        </w:rPr>
        <w:t xml:space="preserve">В Соединенных Штатах Америки </w:t>
      </w:r>
      <w:r w:rsidRPr="00DC78A5">
        <w:rPr>
          <w:i/>
          <w:lang w:val="ru-RU"/>
        </w:rPr>
        <w:t>R</w:t>
      </w:r>
      <w:r w:rsidRPr="00DC78A5">
        <w:rPr>
          <w:position w:val="-4"/>
          <w:sz w:val="16"/>
          <w:lang w:val="ru-RU"/>
        </w:rPr>
        <w:t>12</w:t>
      </w:r>
      <w:r w:rsidRPr="00DC78A5">
        <w:rPr>
          <w:lang w:val="ru-RU"/>
        </w:rPr>
        <w:t xml:space="preserve"> прогнозируется с использованием усовершенствованного объективного метода Макниш-Линкольна. Сначала рассчитывается </w:t>
      </w:r>
      <w:r w:rsidR="00AC233C" w:rsidRPr="00DC78A5">
        <w:rPr>
          <w:lang w:val="ru-RU"/>
        </w:rPr>
        <w:t>усредненный</w:t>
      </w:r>
      <w:r w:rsidRPr="00DC78A5">
        <w:rPr>
          <w:lang w:val="ru-RU"/>
        </w:rPr>
        <w:t xml:space="preserve"> цикл на основе всех прошлых значений </w:t>
      </w:r>
      <w:r w:rsidRPr="00DC78A5">
        <w:rPr>
          <w:i/>
          <w:lang w:val="ru-RU"/>
        </w:rPr>
        <w:t>R</w:t>
      </w:r>
      <w:r w:rsidRPr="00DC78A5">
        <w:rPr>
          <w:position w:val="-4"/>
          <w:sz w:val="16"/>
          <w:lang w:val="ru-RU"/>
        </w:rPr>
        <w:t>12</w:t>
      </w:r>
      <w:r w:rsidRPr="00DC78A5">
        <w:rPr>
          <w:lang w:val="ru-RU"/>
        </w:rPr>
        <w:t xml:space="preserve">, начиная с минимума солнечных пятен каждого цикла и продолжая использовать данные за одиннадцать последующих лет. Для </w:t>
      </w:r>
      <w:r w:rsidR="004F458D" w:rsidRPr="00DC78A5">
        <w:rPr>
          <w:lang w:val="ru-RU"/>
        </w:rPr>
        <w:t>прогнозирования</w:t>
      </w:r>
      <w:r w:rsidRPr="00DC78A5">
        <w:rPr>
          <w:lang w:val="ru-RU"/>
        </w:rPr>
        <w:t xml:space="preserve"> значения в текущем цикле первым приближением является значение </w:t>
      </w:r>
      <w:r w:rsidR="00AC233C" w:rsidRPr="00DC78A5">
        <w:rPr>
          <w:lang w:val="ru-RU"/>
        </w:rPr>
        <w:t>у</w:t>
      </w:r>
      <w:r w:rsidRPr="00DC78A5">
        <w:rPr>
          <w:lang w:val="ru-RU"/>
        </w:rPr>
        <w:t>средне</w:t>
      </w:r>
      <w:r w:rsidR="00AC233C" w:rsidRPr="00DC78A5">
        <w:rPr>
          <w:lang w:val="ru-RU"/>
        </w:rPr>
        <w:t>нно</w:t>
      </w:r>
      <w:r w:rsidRPr="00DC78A5">
        <w:rPr>
          <w:lang w:val="ru-RU"/>
        </w:rPr>
        <w:t>го цикла в указанное время после минимума.</w:t>
      </w:r>
      <w:r w:rsidR="00046DB6" w:rsidRPr="00DC78A5">
        <w:rPr>
          <w:lang w:val="ru-RU"/>
        </w:rPr>
        <w:t xml:space="preserve"> Эта оценка улучшается путем введения поправки, пропорциональной разнице между последним наблюдаемым значением текущего цикла и значением </w:t>
      </w:r>
      <w:r w:rsidR="00AC233C" w:rsidRPr="00DC78A5">
        <w:rPr>
          <w:lang w:val="ru-RU"/>
        </w:rPr>
        <w:t xml:space="preserve">усредненного </w:t>
      </w:r>
      <w:r w:rsidR="00046DB6" w:rsidRPr="00DC78A5">
        <w:rPr>
          <w:lang w:val="ru-RU"/>
        </w:rPr>
        <w:t xml:space="preserve">цикла. Современные компьютерные программы позволяют делать новый прогноз для каждого месяца оставшейся части цикла, как только становится доступным новое наблюдаемое значение. Статистическая неопределенность прогноза весьма мала в первые месяцы после последнего наблюдаемого значения, но становится большой в случае прогнозов, сделанных на двенадцать </w:t>
      </w:r>
      <w:r w:rsidR="00AC233C" w:rsidRPr="00DC78A5">
        <w:rPr>
          <w:lang w:val="ru-RU"/>
        </w:rPr>
        <w:t xml:space="preserve">и </w:t>
      </w:r>
      <w:r w:rsidR="00046DB6" w:rsidRPr="00DC78A5">
        <w:rPr>
          <w:lang w:val="ru-RU"/>
        </w:rPr>
        <w:t>более последующих месяцев. Как только определен минимум, возможно вычислить новые поправочные коэффициенты</w:t>
      </w:r>
      <w:r w:rsidR="00B06272" w:rsidRPr="00DC78A5">
        <w:rPr>
          <w:lang w:val="ru-RU"/>
        </w:rPr>
        <w:t xml:space="preserve"> путем</w:t>
      </w:r>
      <w:r w:rsidR="00046DB6" w:rsidRPr="00DC78A5">
        <w:rPr>
          <w:lang w:val="ru-RU"/>
        </w:rPr>
        <w:t xml:space="preserve"> включ</w:t>
      </w:r>
      <w:r w:rsidR="00B06272" w:rsidRPr="00DC78A5">
        <w:rPr>
          <w:lang w:val="ru-RU"/>
        </w:rPr>
        <w:t>ения</w:t>
      </w:r>
      <w:r w:rsidR="00046DB6" w:rsidRPr="00DC78A5">
        <w:rPr>
          <w:lang w:val="ru-RU"/>
        </w:rPr>
        <w:t xml:space="preserve"> наблюдаемы</w:t>
      </w:r>
      <w:r w:rsidR="00B06272" w:rsidRPr="00DC78A5">
        <w:rPr>
          <w:lang w:val="ru-RU"/>
        </w:rPr>
        <w:t>х</w:t>
      </w:r>
      <w:r w:rsidR="00046DB6" w:rsidRPr="00DC78A5">
        <w:rPr>
          <w:lang w:val="ru-RU"/>
        </w:rPr>
        <w:t xml:space="preserve"> значени</w:t>
      </w:r>
      <w:r w:rsidR="00B06272" w:rsidRPr="00DC78A5">
        <w:rPr>
          <w:lang w:val="ru-RU"/>
        </w:rPr>
        <w:t>й</w:t>
      </w:r>
      <w:r w:rsidR="00046DB6" w:rsidRPr="00DC78A5">
        <w:rPr>
          <w:lang w:val="ru-RU"/>
        </w:rPr>
        <w:t xml:space="preserve"> предыдущего цикла для применения к новому циклу.</w:t>
      </w:r>
    </w:p>
    <w:p w14:paraId="2DC5E2EA" w14:textId="036BA104" w:rsidR="004F1D7F" w:rsidRPr="00DC78A5" w:rsidRDefault="00CF59DC" w:rsidP="004F1D7F">
      <w:pPr>
        <w:pStyle w:val="FigureNo"/>
        <w:rPr>
          <w:lang w:val="ru-RU" w:eastAsia="zh-CN"/>
        </w:rPr>
      </w:pPr>
      <w:bookmarkStart w:id="24" w:name="lt_pId148"/>
      <w:r w:rsidRPr="00DC78A5">
        <w:rPr>
          <w:lang w:val="ru-RU" w:eastAsia="zh-CN"/>
        </w:rPr>
        <w:lastRenderedPageBreak/>
        <w:t>РИСУНОК</w:t>
      </w:r>
      <w:r w:rsidR="004F1D7F" w:rsidRPr="00DC78A5">
        <w:rPr>
          <w:lang w:val="ru-RU" w:eastAsia="zh-CN"/>
        </w:rPr>
        <w:t xml:space="preserve"> 1</w:t>
      </w:r>
      <w:bookmarkEnd w:id="24"/>
    </w:p>
    <w:p w14:paraId="1B9F0500" w14:textId="63EE30C2" w:rsidR="004F1D7F" w:rsidRPr="00DC78A5" w:rsidRDefault="00CF59DC" w:rsidP="004F1D7F">
      <w:pPr>
        <w:pStyle w:val="Figuretitle"/>
        <w:rPr>
          <w:lang w:val="ru-RU"/>
        </w:rPr>
      </w:pPr>
      <w:r w:rsidRPr="00DC78A5">
        <w:rPr>
          <w:lang w:val="ru-RU" w:eastAsia="zh-CN"/>
        </w:rPr>
        <w:t xml:space="preserve">Соотношение между </w:t>
      </w:r>
      <w:r w:rsidR="00A215AF" w:rsidRPr="00DC78A5">
        <w:rPr>
          <w:i/>
          <w:lang w:val="ru-RU"/>
        </w:rPr>
        <w:t>R</w:t>
      </w:r>
      <w:r w:rsidR="00A215AF" w:rsidRPr="00DC78A5">
        <w:rPr>
          <w:position w:val="-4"/>
          <w:sz w:val="16"/>
          <w:lang w:val="ru-RU"/>
        </w:rPr>
        <w:t>12</w:t>
      </w:r>
      <w:r w:rsidR="00A215AF" w:rsidRPr="00DC78A5">
        <w:rPr>
          <w:lang w:val="ru-RU"/>
        </w:rPr>
        <w:t xml:space="preserve"> и </w:t>
      </w:r>
      <w:r w:rsidR="00A215AF" w:rsidRPr="00DC78A5">
        <w:rPr>
          <w:rFonts w:ascii="Symbol" w:hAnsi="Symbol"/>
          <w:lang w:val="ru-RU"/>
        </w:rPr>
        <w:sym w:font="Symbol" w:char="F046"/>
      </w:r>
      <w:r w:rsidR="00A215AF" w:rsidRPr="00DC78A5">
        <w:rPr>
          <w:position w:val="-4"/>
          <w:sz w:val="16"/>
          <w:lang w:val="ru-RU"/>
        </w:rPr>
        <w:t>12</w:t>
      </w:r>
    </w:p>
    <w:p w14:paraId="3E8F8A3F" w14:textId="77777777" w:rsidR="004F1D7F" w:rsidRPr="00DC78A5" w:rsidRDefault="004F1D7F" w:rsidP="004F1D7F">
      <w:pPr>
        <w:pStyle w:val="Figure"/>
        <w:rPr>
          <w:lang w:val="ru-RU"/>
        </w:rPr>
      </w:pPr>
      <w:r w:rsidRPr="00DC78A5">
        <w:rPr>
          <w:noProof/>
          <w:lang w:val="ru-RU"/>
        </w:rPr>
        <w:drawing>
          <wp:inline distT="0" distB="0" distL="0" distR="0" wp14:anchorId="4D44A881" wp14:editId="5E013EA5">
            <wp:extent cx="4346457" cy="4504953"/>
            <wp:effectExtent l="0" t="0" r="0" b="0"/>
            <wp:docPr id="7" name="Picture 7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81070" name="Picture 7" descr="A graph with a lin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457" cy="450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76409" w14:textId="09E46631" w:rsidR="004F1D7F" w:rsidRPr="00DC78A5" w:rsidRDefault="00AC233C" w:rsidP="004F1D7F">
      <w:pPr>
        <w:pStyle w:val="Normalaftertitle"/>
        <w:rPr>
          <w:lang w:val="ru-RU"/>
        </w:rPr>
      </w:pPr>
      <w:bookmarkStart w:id="25" w:name="lt_pId150"/>
      <w:r w:rsidRPr="00DC78A5">
        <w:rPr>
          <w:lang w:val="ru-RU"/>
        </w:rPr>
        <w:t>Центр данных индекса солнечной активности (SIDC) в Брюсселе также выполняет прогнозирование</w:t>
      </w:r>
      <w:r w:rsidR="004F1D7F" w:rsidRPr="00DC78A5">
        <w:rPr>
          <w:lang w:val="ru-RU"/>
        </w:rPr>
        <w:t xml:space="preserve"> </w:t>
      </w:r>
      <w:r w:rsidR="004F1D7F" w:rsidRPr="00DC78A5">
        <w:rPr>
          <w:i/>
          <w:lang w:val="ru-RU"/>
        </w:rPr>
        <w:t>R</w:t>
      </w:r>
      <w:r w:rsidR="004F1D7F" w:rsidRPr="00DC78A5">
        <w:rPr>
          <w:position w:val="-4"/>
          <w:sz w:val="16"/>
          <w:lang w:val="ru-RU"/>
        </w:rPr>
        <w:t>12</w:t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>на год вперед. Пример их прогноз</w:t>
      </w:r>
      <w:r w:rsidR="009B7005" w:rsidRPr="00DC78A5">
        <w:rPr>
          <w:lang w:val="ru-RU"/>
        </w:rPr>
        <w:t>ир</w:t>
      </w:r>
      <w:r w:rsidR="00830692" w:rsidRPr="00DC78A5">
        <w:rPr>
          <w:lang w:val="ru-RU"/>
        </w:rPr>
        <w:t>уемых</w:t>
      </w:r>
      <w:r w:rsidR="009B7005" w:rsidRPr="00DC78A5">
        <w:rPr>
          <w:lang w:val="ru-RU"/>
        </w:rPr>
        <w:t xml:space="preserve"> значений</w:t>
      </w:r>
      <w:r w:rsidRPr="00DC78A5">
        <w:rPr>
          <w:lang w:val="ru-RU"/>
        </w:rPr>
        <w:t xml:space="preserve"> для 22-го цикла солнечной активности показан на рисунке</w:t>
      </w:r>
      <w:r w:rsidR="009B7005" w:rsidRPr="00DC78A5">
        <w:rPr>
          <w:lang w:val="ru-RU"/>
        </w:rPr>
        <w:t> </w:t>
      </w:r>
      <w:r w:rsidRPr="00DC78A5">
        <w:rPr>
          <w:lang w:val="ru-RU"/>
        </w:rPr>
        <w:t xml:space="preserve">2 и </w:t>
      </w:r>
      <w:r w:rsidR="009B7005" w:rsidRPr="00DC78A5">
        <w:rPr>
          <w:lang w:val="ru-RU"/>
        </w:rPr>
        <w:t>их можно</w:t>
      </w:r>
      <w:r w:rsidRPr="00DC78A5">
        <w:rPr>
          <w:lang w:val="ru-RU"/>
        </w:rPr>
        <w:t xml:space="preserve"> сравнить с наблюдаемыми сглаженными значениями</w:t>
      </w:r>
      <w:bookmarkStart w:id="26" w:name="lt_pId151"/>
      <w:bookmarkEnd w:id="25"/>
      <w:r w:rsidR="004F1D7F" w:rsidRPr="00DC78A5">
        <w:rPr>
          <w:lang w:val="ru-RU"/>
        </w:rPr>
        <w:t>.</w:t>
      </w:r>
      <w:bookmarkEnd w:id="26"/>
    </w:p>
    <w:p w14:paraId="4D857C3E" w14:textId="42E2AAEE" w:rsidR="004F1D7F" w:rsidRPr="00DC78A5" w:rsidRDefault="004A7984" w:rsidP="004F1D7F">
      <w:pPr>
        <w:rPr>
          <w:lang w:val="ru-RU"/>
        </w:rPr>
      </w:pPr>
      <w:bookmarkStart w:id="27" w:name="lt_pId152"/>
      <w:r w:rsidRPr="00DC78A5">
        <w:rPr>
          <w:lang w:val="ru-RU"/>
        </w:rPr>
        <w:t>Бюро радиосвязи (БР) выполняет прогнозирование</w:t>
      </w:r>
      <w:r w:rsidR="004F1D7F" w:rsidRPr="00DC78A5">
        <w:rPr>
          <w:lang w:val="ru-RU"/>
        </w:rPr>
        <w:t xml:space="preserve"> </w:t>
      </w:r>
      <w:r w:rsidR="004F1D7F" w:rsidRPr="00DC78A5">
        <w:rPr>
          <w:rFonts w:ascii="Symbol" w:hAnsi="Symbol"/>
          <w:lang w:val="ru-RU"/>
        </w:rPr>
        <w:sym w:font="Symbol" w:char="F046"/>
      </w:r>
      <w:r w:rsidR="004F1D7F" w:rsidRPr="00DC78A5">
        <w:rPr>
          <w:position w:val="-4"/>
          <w:sz w:val="16"/>
          <w:lang w:val="ru-RU"/>
        </w:rPr>
        <w:t>12</w:t>
      </w:r>
      <w:r w:rsidR="004F1D7F" w:rsidRPr="00DC78A5">
        <w:rPr>
          <w:lang w:val="ru-RU"/>
        </w:rPr>
        <w:t xml:space="preserve"> </w:t>
      </w:r>
      <w:r w:rsidR="009B7005" w:rsidRPr="00DC78A5">
        <w:rPr>
          <w:lang w:val="ru-RU"/>
        </w:rPr>
        <w:t>на основе метода Макниша-Линкольна</w:t>
      </w:r>
      <w:r w:rsidR="004F1D7F" w:rsidRPr="00DC78A5">
        <w:rPr>
          <w:lang w:val="ru-RU"/>
        </w:rPr>
        <w:t>.</w:t>
      </w:r>
      <w:bookmarkEnd w:id="27"/>
    </w:p>
    <w:p w14:paraId="14FC4199" w14:textId="5BCCFCC7" w:rsidR="004F1D7F" w:rsidRPr="00DC78A5" w:rsidRDefault="004A7984" w:rsidP="004F1D7F">
      <w:pPr>
        <w:rPr>
          <w:lang w:val="ru-RU"/>
        </w:rPr>
      </w:pPr>
      <w:bookmarkStart w:id="28" w:name="lt_pId153"/>
      <w:r w:rsidRPr="00DC78A5">
        <w:rPr>
          <w:lang w:val="ru-RU"/>
        </w:rPr>
        <w:t>Измеренные и прогнозир</w:t>
      </w:r>
      <w:r w:rsidR="00830692" w:rsidRPr="00DC78A5">
        <w:rPr>
          <w:lang w:val="ru-RU"/>
        </w:rPr>
        <w:t>уемые</w:t>
      </w:r>
      <w:r w:rsidRPr="00DC78A5">
        <w:rPr>
          <w:lang w:val="ru-RU"/>
        </w:rPr>
        <w:t xml:space="preserve"> значения </w:t>
      </w:r>
      <w:r w:rsidR="004F1D7F" w:rsidRPr="00DC78A5">
        <w:rPr>
          <w:i/>
          <w:lang w:val="ru-RU"/>
        </w:rPr>
        <w:t>R</w:t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>и</w:t>
      </w:r>
      <w:r w:rsidR="004F1D7F" w:rsidRPr="00DC78A5">
        <w:rPr>
          <w:lang w:val="ru-RU"/>
        </w:rPr>
        <w:t xml:space="preserve"> </w:t>
      </w:r>
      <w:r w:rsidR="004F1D7F" w:rsidRPr="00DC78A5">
        <w:rPr>
          <w:rFonts w:ascii="Symbol" w:hAnsi="Symbol"/>
          <w:lang w:val="ru-RU"/>
        </w:rPr>
        <w:sym w:font="Symbol" w:char="F046"/>
      </w:r>
      <w:r w:rsidR="004F1D7F" w:rsidRPr="00DC78A5">
        <w:rPr>
          <w:lang w:val="ru-RU"/>
        </w:rPr>
        <w:t xml:space="preserve"> </w:t>
      </w:r>
      <w:r w:rsidRPr="00DC78A5">
        <w:rPr>
          <w:lang w:val="ru-RU"/>
        </w:rPr>
        <w:t xml:space="preserve">и значения их скользящего среднего за 12 месяцев </w:t>
      </w:r>
      <w:r w:rsidR="004F1D7F" w:rsidRPr="00DC78A5">
        <w:rPr>
          <w:lang w:val="ru-RU"/>
        </w:rPr>
        <w:t>(</w:t>
      </w:r>
      <w:r w:rsidR="004F1D7F" w:rsidRPr="00DC78A5">
        <w:rPr>
          <w:i/>
          <w:lang w:val="ru-RU"/>
        </w:rPr>
        <w:t>R</w:t>
      </w:r>
      <w:r w:rsidR="004F1D7F" w:rsidRPr="00DC78A5">
        <w:rPr>
          <w:position w:val="-4"/>
          <w:sz w:val="16"/>
          <w:lang w:val="ru-RU"/>
        </w:rPr>
        <w:t>12</w:t>
      </w:r>
      <w:r w:rsidR="00B43B92">
        <w:rPr>
          <w:lang w:val="en-US"/>
        </w:rPr>
        <w:t> </w:t>
      </w:r>
      <w:r w:rsidRPr="00DC78A5">
        <w:rPr>
          <w:lang w:val="ru-RU"/>
        </w:rPr>
        <w:t>и</w:t>
      </w:r>
      <w:r w:rsidR="004F1D7F" w:rsidRPr="00DC78A5">
        <w:rPr>
          <w:lang w:val="ru-RU"/>
        </w:rPr>
        <w:t xml:space="preserve"> </w:t>
      </w:r>
      <w:r w:rsidR="004F1D7F" w:rsidRPr="00DC78A5">
        <w:rPr>
          <w:rFonts w:ascii="Symbol" w:hAnsi="Symbol"/>
          <w:lang w:val="ru-RU"/>
        </w:rPr>
        <w:sym w:font="Symbol" w:char="F046"/>
      </w:r>
      <w:r w:rsidR="004F1D7F" w:rsidRPr="00DC78A5">
        <w:rPr>
          <w:position w:val="-4"/>
          <w:sz w:val="16"/>
          <w:lang w:val="ru-RU"/>
        </w:rPr>
        <w:t>12</w:t>
      </w:r>
      <w:r w:rsidR="004F1D7F" w:rsidRPr="00DC78A5">
        <w:rPr>
          <w:lang w:val="ru-RU"/>
        </w:rPr>
        <w:t xml:space="preserve">) </w:t>
      </w:r>
      <w:r w:rsidRPr="00DC78A5">
        <w:rPr>
          <w:lang w:val="ru-RU"/>
        </w:rPr>
        <w:t xml:space="preserve">публикуются БР в ежемесячном Циркуляре базовых индексов для ионосферного распространения </w:t>
      </w:r>
      <w:r w:rsidR="004F1D7F" w:rsidRPr="00DC78A5">
        <w:rPr>
          <w:lang w:val="ru-RU"/>
        </w:rPr>
        <w:t>(</w:t>
      </w:r>
      <w:r w:rsidRPr="00DC78A5">
        <w:rPr>
          <w:lang w:val="ru-RU"/>
        </w:rPr>
        <w:t xml:space="preserve">а также размещается на </w:t>
      </w:r>
      <w:r w:rsidR="00830692" w:rsidRPr="00DC78A5">
        <w:rPr>
          <w:lang w:val="ru-RU"/>
        </w:rPr>
        <w:t>глобально</w:t>
      </w:r>
      <w:r w:rsidRPr="00DC78A5">
        <w:rPr>
          <w:lang w:val="ru-RU"/>
        </w:rPr>
        <w:t xml:space="preserve"> доступном веб-сайте МСЭ</w:t>
      </w:r>
      <w:r w:rsidR="004F1D7F" w:rsidRPr="00DC78A5">
        <w:rPr>
          <w:lang w:val="ru-RU"/>
        </w:rPr>
        <w:t>).</w:t>
      </w:r>
      <w:bookmarkEnd w:id="28"/>
    </w:p>
    <w:p w14:paraId="2C6D53B7" w14:textId="75024B9C" w:rsidR="004F1D7F" w:rsidRPr="00DC78A5" w:rsidRDefault="004F1D7F" w:rsidP="004F1D7F">
      <w:pPr>
        <w:rPr>
          <w:lang w:val="ru-RU"/>
        </w:rPr>
      </w:pPr>
      <w:bookmarkStart w:id="29" w:name="lt_pId154"/>
      <w:r w:rsidRPr="00DC78A5">
        <w:rPr>
          <w:lang w:val="ru-RU"/>
        </w:rPr>
        <w:t xml:space="preserve">SIDC </w:t>
      </w:r>
      <w:r w:rsidR="004A7984" w:rsidRPr="00DC78A5">
        <w:rPr>
          <w:lang w:val="ru-RU"/>
        </w:rPr>
        <w:t>также предоставляет по электронной почте измеренные и прогнозир</w:t>
      </w:r>
      <w:r w:rsidR="00830692" w:rsidRPr="00DC78A5">
        <w:rPr>
          <w:lang w:val="ru-RU"/>
        </w:rPr>
        <w:t>уемые</w:t>
      </w:r>
      <w:r w:rsidR="004A7984" w:rsidRPr="00DC78A5">
        <w:rPr>
          <w:lang w:val="ru-RU"/>
        </w:rPr>
        <w:t xml:space="preserve"> значения </w:t>
      </w:r>
      <w:r w:rsidR="004A7984" w:rsidRPr="00DC78A5">
        <w:rPr>
          <w:i/>
          <w:iCs/>
          <w:lang w:val="ru-RU"/>
        </w:rPr>
        <w:t>R</w:t>
      </w:r>
      <w:r w:rsidR="004A7984" w:rsidRPr="00DC78A5">
        <w:rPr>
          <w:lang w:val="ru-RU"/>
        </w:rPr>
        <w:t xml:space="preserve"> с помощью процедуры анонимной передачи файлов.</w:t>
      </w:r>
      <w:bookmarkEnd w:id="29"/>
    </w:p>
    <w:p w14:paraId="793151BE" w14:textId="3C74DD44" w:rsidR="004F1D7F" w:rsidRPr="00DC78A5" w:rsidRDefault="00AC233C" w:rsidP="004F1D7F">
      <w:pPr>
        <w:pStyle w:val="FigureNo"/>
        <w:rPr>
          <w:lang w:val="ru-RU" w:eastAsia="zh-CN"/>
        </w:rPr>
      </w:pPr>
      <w:bookmarkStart w:id="30" w:name="lt_pId155"/>
      <w:r w:rsidRPr="00DC78A5">
        <w:rPr>
          <w:lang w:val="ru-RU" w:eastAsia="zh-CN"/>
        </w:rPr>
        <w:lastRenderedPageBreak/>
        <w:t>РИСУНОК</w:t>
      </w:r>
      <w:r w:rsidR="004F1D7F" w:rsidRPr="00DC78A5">
        <w:rPr>
          <w:lang w:val="ru-RU" w:eastAsia="zh-CN"/>
        </w:rPr>
        <w:t xml:space="preserve"> 2</w:t>
      </w:r>
      <w:bookmarkEnd w:id="30"/>
    </w:p>
    <w:p w14:paraId="7419E40D" w14:textId="2C3BDE7B" w:rsidR="004F1D7F" w:rsidRPr="005C3680" w:rsidRDefault="00AC233C" w:rsidP="004F1D7F">
      <w:pPr>
        <w:pStyle w:val="Figuretitle"/>
        <w:rPr>
          <w:lang w:val="ru-RU"/>
        </w:rPr>
      </w:pPr>
      <w:bookmarkStart w:id="31" w:name="lt_pId156"/>
      <w:r w:rsidRPr="00DC78A5">
        <w:rPr>
          <w:lang w:val="ru-RU" w:eastAsia="zh-CN"/>
        </w:rPr>
        <w:t>Пример прогнозир</w:t>
      </w:r>
      <w:r w:rsidR="009B7B45" w:rsidRPr="00DC78A5">
        <w:rPr>
          <w:lang w:val="ru-RU" w:eastAsia="zh-CN"/>
        </w:rPr>
        <w:t>ованных</w:t>
      </w:r>
      <w:r w:rsidRPr="00DC78A5">
        <w:rPr>
          <w:lang w:val="ru-RU" w:eastAsia="zh-CN"/>
        </w:rPr>
        <w:t xml:space="preserve"> и наблюдаемых чисел солнечных пятен</w:t>
      </w:r>
      <w:r w:rsidR="004F1D7F" w:rsidRPr="00DC78A5">
        <w:rPr>
          <w:lang w:val="ru-RU" w:eastAsia="zh-CN"/>
        </w:rPr>
        <w:t xml:space="preserve"> </w:t>
      </w:r>
      <w:r w:rsidR="004F1D7F" w:rsidRPr="00980419">
        <w:rPr>
          <w:rFonts w:ascii="Times New Roman" w:hAnsi="Times New Roman"/>
          <w:i/>
          <w:lang w:val="ru-RU"/>
        </w:rPr>
        <w:t>R</w:t>
      </w:r>
      <w:r w:rsidR="004F1D7F" w:rsidRPr="00DC78A5">
        <w:rPr>
          <w:position w:val="-4"/>
          <w:sz w:val="16"/>
          <w:lang w:val="ru-RU"/>
        </w:rPr>
        <w:t>12</w:t>
      </w:r>
      <w:r w:rsidR="004F1D7F" w:rsidRPr="00DC78A5">
        <w:rPr>
          <w:lang w:val="ru-RU"/>
        </w:rPr>
        <w:t xml:space="preserve"> (</w:t>
      </w:r>
      <w:r w:rsidRPr="00DC78A5">
        <w:rPr>
          <w:lang w:val="ru-RU"/>
        </w:rPr>
        <w:t>цикл </w:t>
      </w:r>
      <w:r w:rsidR="004F1D7F" w:rsidRPr="00DC78A5">
        <w:rPr>
          <w:lang w:val="ru-RU"/>
        </w:rPr>
        <w:t>22)</w:t>
      </w:r>
      <w:bookmarkEnd w:id="31"/>
    </w:p>
    <w:p w14:paraId="4B896D2C" w14:textId="08526A29" w:rsidR="00980419" w:rsidRDefault="00980419" w:rsidP="00980419">
      <w:pPr>
        <w:pStyle w:val="NormalWeb"/>
      </w:pPr>
      <w:r>
        <w:rPr>
          <w:noProof/>
        </w:rPr>
        <w:drawing>
          <wp:inline distT="0" distB="0" distL="0" distR="0" wp14:anchorId="0E4D6E34" wp14:editId="2E90494E">
            <wp:extent cx="6120765" cy="3905885"/>
            <wp:effectExtent l="0" t="0" r="0" b="0"/>
            <wp:docPr id="1425469746" name="Picture 1" descr="A graph showing the growth of a number of compan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69746" name="Picture 1" descr="A graph showing the growth of a number of compani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60AD0" w14:textId="77777777" w:rsidR="00AE473B" w:rsidRPr="005C3680" w:rsidRDefault="00AE473B" w:rsidP="00DC78A5">
      <w:pPr>
        <w:spacing w:before="720"/>
        <w:jc w:val="center"/>
        <w:rPr>
          <w:lang w:val="en-US"/>
        </w:rPr>
      </w:pPr>
      <w:r w:rsidRPr="00DC78A5">
        <w:rPr>
          <w:lang w:val="ru-RU"/>
        </w:rPr>
        <w:t>______________</w:t>
      </w:r>
    </w:p>
    <w:sectPr w:rsidR="00AE473B" w:rsidRPr="005C3680" w:rsidSect="00A95F70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1418" w:right="1134" w:bottom="1134" w:left="1134" w:header="720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40CE" w14:textId="77777777" w:rsidR="001D407F" w:rsidRDefault="001D407F">
      <w:r>
        <w:separator/>
      </w:r>
    </w:p>
  </w:endnote>
  <w:endnote w:type="continuationSeparator" w:id="0">
    <w:p w14:paraId="04429D90" w14:textId="77777777" w:rsidR="001D407F" w:rsidRDefault="001D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9B7A" w14:textId="43D68F85" w:rsidR="00AC040E" w:rsidRDefault="00AC040E">
    <w:pPr>
      <w:pStyle w:val="Footer"/>
    </w:pPr>
    <w:r>
      <w:drawing>
        <wp:anchor distT="0" distB="0" distL="0" distR="0" simplePos="0" relativeHeight="251659264" behindDoc="0" locked="0" layoutInCell="1" allowOverlap="1" wp14:anchorId="49E55FDF" wp14:editId="446A8C03">
          <wp:simplePos x="0" y="0"/>
          <wp:positionH relativeFrom="margin">
            <wp:align>right</wp:align>
          </wp:positionH>
          <wp:positionV relativeFrom="page">
            <wp:posOffset>9332595</wp:posOffset>
          </wp:positionV>
          <wp:extent cx="738000" cy="813600"/>
          <wp:effectExtent l="0" t="0" r="5080" b="5715"/>
          <wp:wrapNone/>
          <wp:docPr id="14408032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3265" w14:textId="4ED42B15" w:rsidR="006B511B" w:rsidRDefault="006B5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551C" w14:textId="77777777" w:rsidR="001D407F" w:rsidRDefault="001D407F">
      <w:r>
        <w:separator/>
      </w:r>
    </w:p>
  </w:footnote>
  <w:footnote w:type="continuationSeparator" w:id="0">
    <w:p w14:paraId="3EC4C038" w14:textId="77777777" w:rsidR="001D407F" w:rsidRDefault="001D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B61D" w14:textId="77777777" w:rsidR="001D407F" w:rsidRDefault="001D407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AC040E" w:rsidRPr="00DF38D8" w14:paraId="06C4864A" w14:textId="77777777" w:rsidTr="00517FCF">
      <w:tc>
        <w:tcPr>
          <w:tcW w:w="4574" w:type="dxa"/>
          <w:vAlign w:val="center"/>
        </w:tcPr>
        <w:p w14:paraId="6E7518F9" w14:textId="669BD97E" w:rsidR="00AC040E" w:rsidRPr="00DF38D8" w:rsidRDefault="00AC040E" w:rsidP="00AC040E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 w:cs="Arial"/>
              <w:color w:val="FFFFFF"/>
              <w:sz w:val="32"/>
              <w:szCs w:val="32"/>
            </w:rPr>
          </w:pPr>
        </w:p>
      </w:tc>
      <w:tc>
        <w:tcPr>
          <w:tcW w:w="5916" w:type="dxa"/>
          <w:vAlign w:val="center"/>
        </w:tcPr>
        <w:p w14:paraId="1D4BFA0D" w14:textId="77777777" w:rsidR="00AC040E" w:rsidRPr="00DF38D8" w:rsidRDefault="00AC040E" w:rsidP="00AC040E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lang w:val="ru-RU"/>
            </w:rPr>
          </w:pPr>
          <w:r w:rsidRPr="00DF38D8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AC040E" w:rsidRPr="00DF38D8" w14:paraId="57FF52B7" w14:textId="77777777" w:rsidTr="00517FCF">
      <w:tc>
        <w:tcPr>
          <w:tcW w:w="4574" w:type="dxa"/>
          <w:vAlign w:val="center"/>
        </w:tcPr>
        <w:p w14:paraId="3C6075E3" w14:textId="03F3A406" w:rsidR="00AC040E" w:rsidRPr="00DF38D8" w:rsidRDefault="004D2BA9" w:rsidP="00AC040E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  <w:lang w:val="ru-RU"/>
            </w:rPr>
          </w:pPr>
          <w:r>
            <w:rPr>
              <w:rFonts w:ascii="Arial Black" w:hAnsi="Arial Black" w:cs="Arial"/>
              <w:noProof/>
              <w:sz w:val="32"/>
              <w:szCs w:val="32"/>
            </w:rPr>
            <w:drawing>
              <wp:anchor distT="0" distB="0" distL="114300" distR="114300" simplePos="0" relativeHeight="251665408" behindDoc="0" locked="0" layoutInCell="1" allowOverlap="1" wp14:anchorId="05BA98F3" wp14:editId="25529040">
                <wp:simplePos x="0" y="0"/>
                <wp:positionH relativeFrom="column">
                  <wp:posOffset>-90805</wp:posOffset>
                </wp:positionH>
                <wp:positionV relativeFrom="paragraph">
                  <wp:posOffset>-339090</wp:posOffset>
                </wp:positionV>
                <wp:extent cx="1733550" cy="374650"/>
                <wp:effectExtent l="0" t="0" r="0" b="0"/>
                <wp:wrapNone/>
                <wp:docPr id="1830251762" name="Picture 1830251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C040E" w:rsidRPr="00DF38D8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6" w:type="dxa"/>
          <w:vAlign w:val="center"/>
        </w:tcPr>
        <w:p w14:paraId="5B97575C" w14:textId="77777777" w:rsidR="00AC040E" w:rsidRPr="00DF38D8" w:rsidRDefault="00AC040E" w:rsidP="00AC040E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lang w:val="ru-RU"/>
            </w:rPr>
          </w:pPr>
          <w:r w:rsidRPr="00DF38D8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6106AA1B" w14:textId="0D571E69" w:rsidR="001D407F" w:rsidRDefault="00AC040E" w:rsidP="003C38BA">
    <w:pPr>
      <w:pStyle w:val="Header"/>
      <w:ind w:right="360" w:firstLine="360"/>
      <w:jc w:val="left"/>
    </w:pPr>
    <w:r w:rsidRPr="007B1060">
      <w:rPr>
        <w:noProof/>
        <w:lang w:val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7C704BB" wp14:editId="7F8142A6">
              <wp:simplePos x="0" y="0"/>
              <wp:positionH relativeFrom="page">
                <wp:align>left</wp:align>
              </wp:positionH>
              <wp:positionV relativeFrom="page">
                <wp:posOffset>1082675</wp:posOffset>
              </wp:positionV>
              <wp:extent cx="7560310" cy="236220"/>
              <wp:effectExtent l="0" t="0" r="21590" b="11430"/>
              <wp:wrapNone/>
              <wp:docPr id="1824110917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1788470420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7765228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C86A52" id="docshapegroup6" o:spid="_x0000_s1026" alt="Header separator line" style="position:absolute;margin-left:0;margin-top:85.25pt;width:595.3pt;height:18.6pt;z-index:251663360;mso-position-horizontal:left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EA43" w14:textId="1A93EB03" w:rsidR="004D2BA9" w:rsidRDefault="004D2BA9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473B6C">
      <w:rPr>
        <w:b/>
        <w:bCs/>
        <w:noProof/>
        <w:szCs w:val="22"/>
        <w:lang w:val="en-US"/>
      </w:rPr>
      <w:t>МСЭ-R  P.371-9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F9F8" w14:textId="4B09CED4" w:rsidR="004D2BA9" w:rsidRDefault="004D2BA9">
    <w:pPr>
      <w:pStyle w:val="Header"/>
    </w:pPr>
    <w:r>
      <w:tab/>
    </w:r>
    <w:fldSimple w:instr=" DOCPROPERTY &quot;Header&quot; \* MERGEFORMAT ">
      <w:r w:rsidR="00473B6C" w:rsidRPr="00473B6C">
        <w:rPr>
          <w:b/>
          <w:bCs/>
        </w:rPr>
        <w:t xml:space="preserve">Rec. </w:t>
      </w:r>
    </w:fldSimple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473B6C">
      <w:rPr>
        <w:b/>
        <w:bCs/>
        <w:noProof/>
      </w:rPr>
      <w:t>МСЭ-R  P.371-9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807" w14:textId="3EA2D649" w:rsidR="004D2BA9" w:rsidRDefault="004D2BA9" w:rsidP="00D24798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>
      <w:rPr>
        <w:b/>
        <w:szCs w:val="22"/>
        <w:lang w:val="en-US"/>
      </w:rPr>
      <w:t xml:space="preserve"> </w:t>
    </w:r>
    <w:r w:rsidRPr="00553C5F">
      <w:rPr>
        <w:b/>
        <w:szCs w:val="22"/>
        <w:lang w:val="en-US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473B6C">
      <w:rPr>
        <w:b/>
        <w:bCs/>
        <w:noProof/>
        <w:szCs w:val="22"/>
        <w:lang w:val="en-US"/>
      </w:rPr>
      <w:t>МСЭ-R  P.371-9</w:t>
    </w:r>
    <w:r w:rsidRPr="00553C5F">
      <w:rPr>
        <w:b/>
        <w:bCs/>
        <w:szCs w:val="22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F608" w14:textId="0C592EAA" w:rsidR="004D2BA9" w:rsidRDefault="004D2BA9">
    <w:pPr>
      <w:pStyle w:val="Header"/>
    </w:pPr>
    <w: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473B6C">
      <w:rPr>
        <w:b/>
        <w:bCs/>
        <w:noProof/>
        <w:szCs w:val="22"/>
        <w:lang w:val="en-US"/>
      </w:rPr>
      <w:t>МСЭ-R  P.371-9</w:t>
    </w:r>
    <w:r w:rsidRPr="00553C5F">
      <w:rPr>
        <w:b/>
        <w:bCs/>
        <w:szCs w:val="22"/>
        <w:lang w:val="en-US"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5997" w14:textId="4A2CFD7A" w:rsidR="00A95F70" w:rsidRPr="00A95F70" w:rsidRDefault="00A95F70" w:rsidP="00A95F70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473B6C">
      <w:rPr>
        <w:b/>
        <w:bCs/>
        <w:noProof/>
        <w:szCs w:val="22"/>
        <w:lang w:val="en-US"/>
      </w:rPr>
      <w:t>МСЭ-R  P.371-9</w:t>
    </w:r>
    <w:r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Pr="00553C5F">
      <w:rPr>
        <w:rStyle w:val="PageNumber"/>
        <w:b/>
        <w:bCs/>
        <w:szCs w:val="22"/>
      </w:rPr>
      <w:fldChar w:fldCharType="separate"/>
    </w:r>
    <w:r w:rsidR="00901C01">
      <w:rPr>
        <w:rStyle w:val="PageNumber"/>
        <w:b/>
        <w:bCs/>
        <w:noProof/>
        <w:szCs w:val="22"/>
      </w:rPr>
      <w:t>1</w:t>
    </w:r>
    <w:r w:rsidRPr="00553C5F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3D9"/>
    <w:multiLevelType w:val="hybridMultilevel"/>
    <w:tmpl w:val="632C0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AAB"/>
    <w:multiLevelType w:val="hybridMultilevel"/>
    <w:tmpl w:val="F2449A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14CF4"/>
    <w:multiLevelType w:val="hybridMultilevel"/>
    <w:tmpl w:val="026AE9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F03FF"/>
    <w:multiLevelType w:val="hybridMultilevel"/>
    <w:tmpl w:val="F31C14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A68"/>
    <w:multiLevelType w:val="hybridMultilevel"/>
    <w:tmpl w:val="B950C6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57CA2"/>
    <w:multiLevelType w:val="hybridMultilevel"/>
    <w:tmpl w:val="5A60A1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5610">
    <w:abstractNumId w:val="2"/>
  </w:num>
  <w:num w:numId="2" w16cid:durableId="933393020">
    <w:abstractNumId w:val="3"/>
  </w:num>
  <w:num w:numId="3" w16cid:durableId="1678196024">
    <w:abstractNumId w:val="0"/>
  </w:num>
  <w:num w:numId="4" w16cid:durableId="403333485">
    <w:abstractNumId w:val="4"/>
  </w:num>
  <w:num w:numId="5" w16cid:durableId="1749499777">
    <w:abstractNumId w:val="1"/>
  </w:num>
  <w:num w:numId="6" w16cid:durableId="818226502">
    <w:abstractNumId w:val="5"/>
  </w:num>
  <w:num w:numId="7" w16cid:durableId="86075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6801">
      <o:colormru v:ext="edit" colors="#d62a47"/>
      <o:colormenu v:ext="edit" strokecolor="#d62a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00558E"/>
    <w:rsid w:val="00013002"/>
    <w:rsid w:val="00033A3A"/>
    <w:rsid w:val="00036EE3"/>
    <w:rsid w:val="00046DB6"/>
    <w:rsid w:val="00072484"/>
    <w:rsid w:val="00086730"/>
    <w:rsid w:val="00096612"/>
    <w:rsid w:val="000B7683"/>
    <w:rsid w:val="000D0677"/>
    <w:rsid w:val="000E6A6E"/>
    <w:rsid w:val="000F0862"/>
    <w:rsid w:val="000F2C79"/>
    <w:rsid w:val="00102934"/>
    <w:rsid w:val="00111487"/>
    <w:rsid w:val="0012113C"/>
    <w:rsid w:val="00125E1B"/>
    <w:rsid w:val="00127730"/>
    <w:rsid w:val="00131900"/>
    <w:rsid w:val="001449ED"/>
    <w:rsid w:val="00147110"/>
    <w:rsid w:val="001511A6"/>
    <w:rsid w:val="00170512"/>
    <w:rsid w:val="001728BA"/>
    <w:rsid w:val="00197B47"/>
    <w:rsid w:val="001D285E"/>
    <w:rsid w:val="001D407F"/>
    <w:rsid w:val="002058CE"/>
    <w:rsid w:val="002165F1"/>
    <w:rsid w:val="00226B53"/>
    <w:rsid w:val="0025422D"/>
    <w:rsid w:val="00256729"/>
    <w:rsid w:val="00276D21"/>
    <w:rsid w:val="00291985"/>
    <w:rsid w:val="00296D7F"/>
    <w:rsid w:val="002B3CF6"/>
    <w:rsid w:val="002B7AC3"/>
    <w:rsid w:val="002C768A"/>
    <w:rsid w:val="002D67AB"/>
    <w:rsid w:val="002D76C4"/>
    <w:rsid w:val="002F5199"/>
    <w:rsid w:val="00305A41"/>
    <w:rsid w:val="00343B8D"/>
    <w:rsid w:val="00356B5D"/>
    <w:rsid w:val="0036003A"/>
    <w:rsid w:val="00363520"/>
    <w:rsid w:val="003646F2"/>
    <w:rsid w:val="003C38BA"/>
    <w:rsid w:val="003E17F9"/>
    <w:rsid w:val="004010A2"/>
    <w:rsid w:val="00420DFD"/>
    <w:rsid w:val="00424855"/>
    <w:rsid w:val="004351C0"/>
    <w:rsid w:val="00435C3D"/>
    <w:rsid w:val="00437A76"/>
    <w:rsid w:val="00470E28"/>
    <w:rsid w:val="00473B6C"/>
    <w:rsid w:val="004934C5"/>
    <w:rsid w:val="004A7984"/>
    <w:rsid w:val="004B2622"/>
    <w:rsid w:val="004C1327"/>
    <w:rsid w:val="004C7242"/>
    <w:rsid w:val="004D2BA9"/>
    <w:rsid w:val="004D39D5"/>
    <w:rsid w:val="004F1D7F"/>
    <w:rsid w:val="004F458D"/>
    <w:rsid w:val="00513C1E"/>
    <w:rsid w:val="00537C9B"/>
    <w:rsid w:val="00556548"/>
    <w:rsid w:val="00571788"/>
    <w:rsid w:val="00586EF8"/>
    <w:rsid w:val="00597227"/>
    <w:rsid w:val="005A127F"/>
    <w:rsid w:val="005A7A7A"/>
    <w:rsid w:val="005B49AB"/>
    <w:rsid w:val="005B50E7"/>
    <w:rsid w:val="005B671A"/>
    <w:rsid w:val="005C3680"/>
    <w:rsid w:val="005D2FB2"/>
    <w:rsid w:val="005E7B4F"/>
    <w:rsid w:val="005F6F21"/>
    <w:rsid w:val="00601882"/>
    <w:rsid w:val="00607D68"/>
    <w:rsid w:val="006114CA"/>
    <w:rsid w:val="00613212"/>
    <w:rsid w:val="006149B1"/>
    <w:rsid w:val="00631C51"/>
    <w:rsid w:val="0063453F"/>
    <w:rsid w:val="00666A25"/>
    <w:rsid w:val="00680D2B"/>
    <w:rsid w:val="00681B32"/>
    <w:rsid w:val="006B1D2B"/>
    <w:rsid w:val="006B511B"/>
    <w:rsid w:val="006C4589"/>
    <w:rsid w:val="006E1131"/>
    <w:rsid w:val="006E2037"/>
    <w:rsid w:val="006E4DF6"/>
    <w:rsid w:val="006E6199"/>
    <w:rsid w:val="00712870"/>
    <w:rsid w:val="00714E5C"/>
    <w:rsid w:val="00725796"/>
    <w:rsid w:val="00743D85"/>
    <w:rsid w:val="00753CF4"/>
    <w:rsid w:val="007565CC"/>
    <w:rsid w:val="00763B9A"/>
    <w:rsid w:val="007810D8"/>
    <w:rsid w:val="007A6AA8"/>
    <w:rsid w:val="007D056D"/>
    <w:rsid w:val="007E50D6"/>
    <w:rsid w:val="007F008D"/>
    <w:rsid w:val="00801AD0"/>
    <w:rsid w:val="00805E6E"/>
    <w:rsid w:val="00816BD2"/>
    <w:rsid w:val="00830692"/>
    <w:rsid w:val="008310C9"/>
    <w:rsid w:val="00853CC5"/>
    <w:rsid w:val="00870848"/>
    <w:rsid w:val="008B0D7B"/>
    <w:rsid w:val="008B46E3"/>
    <w:rsid w:val="008C7848"/>
    <w:rsid w:val="00901C01"/>
    <w:rsid w:val="00905CFB"/>
    <w:rsid w:val="00906589"/>
    <w:rsid w:val="00906AD6"/>
    <w:rsid w:val="0091396A"/>
    <w:rsid w:val="00917AF2"/>
    <w:rsid w:val="0092418A"/>
    <w:rsid w:val="00934ED7"/>
    <w:rsid w:val="0095356E"/>
    <w:rsid w:val="009543C3"/>
    <w:rsid w:val="00957D36"/>
    <w:rsid w:val="00966E1B"/>
    <w:rsid w:val="00975516"/>
    <w:rsid w:val="00980419"/>
    <w:rsid w:val="009851A9"/>
    <w:rsid w:val="009947C0"/>
    <w:rsid w:val="009A6EB9"/>
    <w:rsid w:val="009B122A"/>
    <w:rsid w:val="009B7005"/>
    <w:rsid w:val="009B7B45"/>
    <w:rsid w:val="009D6B2F"/>
    <w:rsid w:val="009E3058"/>
    <w:rsid w:val="009F2D2C"/>
    <w:rsid w:val="00A01684"/>
    <w:rsid w:val="00A215AF"/>
    <w:rsid w:val="00A25DEC"/>
    <w:rsid w:val="00A31928"/>
    <w:rsid w:val="00A47617"/>
    <w:rsid w:val="00A62A14"/>
    <w:rsid w:val="00A6617B"/>
    <w:rsid w:val="00A71FE5"/>
    <w:rsid w:val="00A9086A"/>
    <w:rsid w:val="00A95F70"/>
    <w:rsid w:val="00A971A1"/>
    <w:rsid w:val="00AA3AD8"/>
    <w:rsid w:val="00AB0DC8"/>
    <w:rsid w:val="00AC040E"/>
    <w:rsid w:val="00AC233C"/>
    <w:rsid w:val="00AC4763"/>
    <w:rsid w:val="00AC5CF6"/>
    <w:rsid w:val="00AE473B"/>
    <w:rsid w:val="00AF302B"/>
    <w:rsid w:val="00B033C8"/>
    <w:rsid w:val="00B06272"/>
    <w:rsid w:val="00B217DE"/>
    <w:rsid w:val="00B33425"/>
    <w:rsid w:val="00B40A31"/>
    <w:rsid w:val="00B421EA"/>
    <w:rsid w:val="00B43B92"/>
    <w:rsid w:val="00B44E24"/>
    <w:rsid w:val="00B54ECC"/>
    <w:rsid w:val="00B714F3"/>
    <w:rsid w:val="00B87B6B"/>
    <w:rsid w:val="00B945DC"/>
    <w:rsid w:val="00B9617A"/>
    <w:rsid w:val="00BB283C"/>
    <w:rsid w:val="00BC5D77"/>
    <w:rsid w:val="00BC709C"/>
    <w:rsid w:val="00BF0366"/>
    <w:rsid w:val="00BF487A"/>
    <w:rsid w:val="00C1756F"/>
    <w:rsid w:val="00C365C9"/>
    <w:rsid w:val="00C46BD9"/>
    <w:rsid w:val="00C55258"/>
    <w:rsid w:val="00C73560"/>
    <w:rsid w:val="00C759B7"/>
    <w:rsid w:val="00CB0F14"/>
    <w:rsid w:val="00CD659B"/>
    <w:rsid w:val="00CE0A43"/>
    <w:rsid w:val="00CE4795"/>
    <w:rsid w:val="00CF59DC"/>
    <w:rsid w:val="00D12013"/>
    <w:rsid w:val="00D240B2"/>
    <w:rsid w:val="00D24798"/>
    <w:rsid w:val="00D54BEC"/>
    <w:rsid w:val="00D5778E"/>
    <w:rsid w:val="00D83556"/>
    <w:rsid w:val="00DA6A9E"/>
    <w:rsid w:val="00DC78A5"/>
    <w:rsid w:val="00DE5D3E"/>
    <w:rsid w:val="00DF4176"/>
    <w:rsid w:val="00E17240"/>
    <w:rsid w:val="00E6209E"/>
    <w:rsid w:val="00E74595"/>
    <w:rsid w:val="00EB7C57"/>
    <w:rsid w:val="00ED2695"/>
    <w:rsid w:val="00F074C2"/>
    <w:rsid w:val="00F173B8"/>
    <w:rsid w:val="00F30C9B"/>
    <w:rsid w:val="00F3236A"/>
    <w:rsid w:val="00F354B1"/>
    <w:rsid w:val="00F53FD3"/>
    <w:rsid w:val="00F76900"/>
    <w:rsid w:val="00F840BE"/>
    <w:rsid w:val="00FA5A91"/>
    <w:rsid w:val="00FB0E4E"/>
    <w:rsid w:val="00FB7683"/>
    <w:rsid w:val="00FD3C61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o:colormru v:ext="edit" colors="#d62a47"/>
      <o:colormenu v:ext="edit" strokecolor="#d62a47"/>
    </o:shapedefaults>
    <o:shapelayout v:ext="edit">
      <o:idmap v:ext="edit" data="1"/>
    </o:shapelayout>
  </w:shapeDefaults>
  <w:decimalSymbol w:val="."/>
  <w:listSeparator w:val=","/>
  <w14:docId w14:val="261FCCEC"/>
  <w15:docId w15:val="{16AA6EA1-EB6D-475B-80DC-7B198398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3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F3236A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3236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3236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3236A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F3236A"/>
    <w:pPr>
      <w:outlineLvl w:val="4"/>
    </w:pPr>
  </w:style>
  <w:style w:type="paragraph" w:styleId="Heading6">
    <w:name w:val="heading 6"/>
    <w:basedOn w:val="Heading4"/>
    <w:next w:val="Normal"/>
    <w:qFormat/>
    <w:rsid w:val="00F3236A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3236A"/>
    <w:pPr>
      <w:outlineLvl w:val="6"/>
    </w:pPr>
  </w:style>
  <w:style w:type="paragraph" w:styleId="Heading8">
    <w:name w:val="heading 8"/>
    <w:basedOn w:val="Heading6"/>
    <w:next w:val="Normal"/>
    <w:qFormat/>
    <w:rsid w:val="00F3236A"/>
    <w:pPr>
      <w:outlineLvl w:val="7"/>
    </w:pPr>
  </w:style>
  <w:style w:type="paragraph" w:styleId="Heading9">
    <w:name w:val="heading 9"/>
    <w:basedOn w:val="Heading6"/>
    <w:next w:val="Normal"/>
    <w:qFormat/>
    <w:rsid w:val="00F3236A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236A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F3236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F3236A"/>
  </w:style>
  <w:style w:type="paragraph" w:customStyle="1" w:styleId="Headingb">
    <w:name w:val="Heading_b"/>
    <w:basedOn w:val="Heading3"/>
    <w:next w:val="Normal"/>
    <w:rsid w:val="00F3236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3236A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F3236A"/>
  </w:style>
  <w:style w:type="paragraph" w:customStyle="1" w:styleId="AnnexNoTitle">
    <w:name w:val="Annex_NoTitle"/>
    <w:basedOn w:val="Heading1"/>
    <w:next w:val="Normalaftertitle"/>
    <w:rsid w:val="00B40A31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rsid w:val="00F3236A"/>
    <w:pPr>
      <w:spacing w:before="320"/>
    </w:pPr>
  </w:style>
  <w:style w:type="paragraph" w:customStyle="1" w:styleId="enumlev2">
    <w:name w:val="enumlev2"/>
    <w:basedOn w:val="enumlev1"/>
    <w:rsid w:val="00F3236A"/>
    <w:pPr>
      <w:ind w:left="1191" w:hanging="397"/>
    </w:pPr>
  </w:style>
  <w:style w:type="paragraph" w:customStyle="1" w:styleId="enumlev1">
    <w:name w:val="enumlev1"/>
    <w:basedOn w:val="Normal"/>
    <w:rsid w:val="00F3236A"/>
    <w:pPr>
      <w:spacing w:before="80"/>
      <w:ind w:left="794" w:hanging="794"/>
    </w:pPr>
  </w:style>
  <w:style w:type="paragraph" w:customStyle="1" w:styleId="enumlev3">
    <w:name w:val="enumlev3"/>
    <w:basedOn w:val="enumlev2"/>
    <w:rsid w:val="00F3236A"/>
    <w:pPr>
      <w:ind w:left="1588"/>
    </w:pPr>
  </w:style>
  <w:style w:type="paragraph" w:customStyle="1" w:styleId="Note">
    <w:name w:val="Note"/>
    <w:basedOn w:val="Normal"/>
    <w:rsid w:val="00F3236A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rsid w:val="00F3236A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F3236A"/>
    <w:pPr>
      <w:jc w:val="center"/>
    </w:pPr>
  </w:style>
  <w:style w:type="paragraph" w:customStyle="1" w:styleId="Recdate">
    <w:name w:val="Rec_date"/>
    <w:basedOn w:val="Recref"/>
    <w:next w:val="Normalaftertitle"/>
    <w:rsid w:val="00F3236A"/>
    <w:pPr>
      <w:jc w:val="right"/>
    </w:pPr>
  </w:style>
  <w:style w:type="paragraph" w:customStyle="1" w:styleId="HeadingSum">
    <w:name w:val="Heading_Sum"/>
    <w:basedOn w:val="Headingb"/>
    <w:next w:val="Normal"/>
    <w:rsid w:val="00F3236A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F3236A"/>
  </w:style>
  <w:style w:type="paragraph" w:customStyle="1" w:styleId="Tablefin">
    <w:name w:val="Table_fin"/>
    <w:basedOn w:val="Normal"/>
    <w:next w:val="Normal"/>
    <w:rsid w:val="00F3236A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F3236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323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F3236A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F323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F3236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3236A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F3236A"/>
    <w:pPr>
      <w:ind w:left="794"/>
    </w:pPr>
  </w:style>
  <w:style w:type="paragraph" w:customStyle="1" w:styleId="Figurelegend">
    <w:name w:val="Figure_legend"/>
    <w:basedOn w:val="Normal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F3236A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F3236A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F3236A"/>
    <w:pPr>
      <w:keepNext w:val="0"/>
      <w:spacing w:before="0" w:after="240"/>
    </w:pPr>
  </w:style>
  <w:style w:type="paragraph" w:customStyle="1" w:styleId="tocpart">
    <w:name w:val="tocpart"/>
    <w:basedOn w:val="Normal"/>
    <w:rsid w:val="00F3236A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F3236A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F3236A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F323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F3236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3236A"/>
    <w:rPr>
      <w:b/>
    </w:rPr>
  </w:style>
  <w:style w:type="paragraph" w:customStyle="1" w:styleId="Chaptitle">
    <w:name w:val="Chap_title"/>
    <w:basedOn w:val="Arttitle"/>
    <w:next w:val="Normalaftertitle"/>
    <w:rsid w:val="00F3236A"/>
  </w:style>
  <w:style w:type="character" w:styleId="FootnoteReference">
    <w:name w:val="footnote reference"/>
    <w:basedOn w:val="DefaultParagraphFont"/>
    <w:semiHidden/>
    <w:rsid w:val="00F3236A"/>
    <w:rPr>
      <w:position w:val="6"/>
      <w:sz w:val="16"/>
    </w:rPr>
  </w:style>
  <w:style w:type="paragraph" w:styleId="FootnoteText">
    <w:name w:val="footnote text"/>
    <w:basedOn w:val="Normal"/>
    <w:semiHidden/>
    <w:rsid w:val="00F3236A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F3236A"/>
  </w:style>
  <w:style w:type="paragraph" w:styleId="Index2">
    <w:name w:val="index 2"/>
    <w:basedOn w:val="Normal"/>
    <w:next w:val="Normal"/>
    <w:semiHidden/>
    <w:rsid w:val="00F3236A"/>
    <w:pPr>
      <w:ind w:left="283"/>
    </w:pPr>
  </w:style>
  <w:style w:type="paragraph" w:styleId="Index3">
    <w:name w:val="index 3"/>
    <w:basedOn w:val="Normal"/>
    <w:next w:val="Normal"/>
    <w:semiHidden/>
    <w:rsid w:val="00F3236A"/>
    <w:pPr>
      <w:ind w:left="566"/>
    </w:pPr>
  </w:style>
  <w:style w:type="paragraph" w:styleId="IndexHeading">
    <w:name w:val="index heading"/>
    <w:basedOn w:val="Normal"/>
    <w:next w:val="Index1"/>
    <w:semiHidden/>
    <w:rsid w:val="00F3236A"/>
  </w:style>
  <w:style w:type="paragraph" w:customStyle="1" w:styleId="Line">
    <w:name w:val="Line"/>
    <w:basedOn w:val="Normal"/>
    <w:next w:val="Normal"/>
    <w:rsid w:val="00F3236A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F3236A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F3236A"/>
  </w:style>
  <w:style w:type="paragraph" w:customStyle="1" w:styleId="Partref">
    <w:name w:val="Part_ref"/>
    <w:basedOn w:val="Normal"/>
    <w:next w:val="Normal"/>
    <w:rsid w:val="00F3236A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F3236A"/>
  </w:style>
  <w:style w:type="paragraph" w:customStyle="1" w:styleId="QuestionNo">
    <w:name w:val="Question_No"/>
    <w:basedOn w:val="RecNo"/>
    <w:next w:val="Normal"/>
    <w:rsid w:val="00F3236A"/>
  </w:style>
  <w:style w:type="paragraph" w:customStyle="1" w:styleId="Questionref">
    <w:name w:val="Question_ref"/>
    <w:basedOn w:val="Recref"/>
    <w:next w:val="Questiondate"/>
    <w:rsid w:val="00F3236A"/>
  </w:style>
  <w:style w:type="paragraph" w:customStyle="1" w:styleId="Questiontitle">
    <w:name w:val="Question_title"/>
    <w:basedOn w:val="Normal"/>
    <w:next w:val="Questionref"/>
    <w:rsid w:val="00F3236A"/>
  </w:style>
  <w:style w:type="paragraph" w:customStyle="1" w:styleId="Reftext">
    <w:name w:val="Ref_text"/>
    <w:basedOn w:val="Normal"/>
    <w:rsid w:val="00F3236A"/>
    <w:pPr>
      <w:ind w:left="794" w:hanging="794"/>
    </w:pPr>
  </w:style>
  <w:style w:type="paragraph" w:customStyle="1" w:styleId="Reftitle">
    <w:name w:val="Ref_title"/>
    <w:basedOn w:val="Normal"/>
    <w:next w:val="Reftext"/>
    <w:rsid w:val="00F3236A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F3236A"/>
  </w:style>
  <w:style w:type="paragraph" w:customStyle="1" w:styleId="RepNo">
    <w:name w:val="Rep_No"/>
    <w:basedOn w:val="RecNo"/>
    <w:next w:val="Reptitle"/>
    <w:rsid w:val="00F3236A"/>
  </w:style>
  <w:style w:type="paragraph" w:customStyle="1" w:styleId="Reptitle">
    <w:name w:val="Rep_title"/>
    <w:basedOn w:val="Rectitle"/>
    <w:next w:val="Repref"/>
    <w:rsid w:val="00F3236A"/>
  </w:style>
  <w:style w:type="paragraph" w:customStyle="1" w:styleId="Repref">
    <w:name w:val="Rep_ref"/>
    <w:basedOn w:val="Recref"/>
    <w:next w:val="Repdate"/>
    <w:rsid w:val="00F3236A"/>
  </w:style>
  <w:style w:type="paragraph" w:customStyle="1" w:styleId="Resdate">
    <w:name w:val="Res_date"/>
    <w:basedOn w:val="Recdate"/>
    <w:next w:val="Normalaftertitle"/>
    <w:rsid w:val="00F3236A"/>
  </w:style>
  <w:style w:type="paragraph" w:customStyle="1" w:styleId="ResNo">
    <w:name w:val="Res_No"/>
    <w:basedOn w:val="RecNo"/>
    <w:next w:val="Restitle"/>
    <w:rsid w:val="00F3236A"/>
  </w:style>
  <w:style w:type="paragraph" w:customStyle="1" w:styleId="Restitle">
    <w:name w:val="Res_title"/>
    <w:basedOn w:val="Normal"/>
    <w:next w:val="Resref"/>
    <w:rsid w:val="00F3236A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F3236A"/>
  </w:style>
  <w:style w:type="paragraph" w:customStyle="1" w:styleId="SectionNo">
    <w:name w:val="Section_No"/>
    <w:basedOn w:val="Normal"/>
    <w:next w:val="Normal"/>
    <w:rsid w:val="00F3236A"/>
  </w:style>
  <w:style w:type="paragraph" w:customStyle="1" w:styleId="Sectiontitle">
    <w:name w:val="Section_title"/>
    <w:basedOn w:val="Normal"/>
    <w:next w:val="Normalaftertitle"/>
    <w:rsid w:val="00F323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F3236A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F3236A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F3236A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F3236A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F3236A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F3236A"/>
  </w:style>
  <w:style w:type="paragraph" w:styleId="TOC6">
    <w:name w:val="toc 6"/>
    <w:basedOn w:val="TOC4"/>
    <w:semiHidden/>
    <w:rsid w:val="00F3236A"/>
  </w:style>
  <w:style w:type="paragraph" w:styleId="TOC7">
    <w:name w:val="toc 7"/>
    <w:basedOn w:val="TOC4"/>
    <w:semiHidden/>
    <w:rsid w:val="00F3236A"/>
  </w:style>
  <w:style w:type="paragraph" w:styleId="TOC8">
    <w:name w:val="toc 8"/>
    <w:basedOn w:val="TOC4"/>
    <w:semiHidden/>
    <w:rsid w:val="00F3236A"/>
  </w:style>
  <w:style w:type="paragraph" w:customStyle="1" w:styleId="Annexref">
    <w:name w:val="Annex_ref"/>
    <w:basedOn w:val="Normal"/>
    <w:next w:val="Normalaftertitle"/>
    <w:rsid w:val="00F3236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F3236A"/>
  </w:style>
  <w:style w:type="paragraph" w:customStyle="1" w:styleId="Tabletitle">
    <w:name w:val="Table_title"/>
    <w:basedOn w:val="Normal"/>
    <w:next w:val="Tablehead"/>
    <w:rsid w:val="00F3236A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F3236A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F3236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F3236A"/>
    <w:rPr>
      <w:sz w:val="22"/>
      <w:lang w:val="fr-FR" w:eastAsia="en-US"/>
    </w:rPr>
  </w:style>
  <w:style w:type="paragraph" w:customStyle="1" w:styleId="TableLegendNote">
    <w:name w:val="Table_Legend_Note"/>
    <w:basedOn w:val="Tablelegend"/>
    <w:next w:val="Tablelegend"/>
    <w:rsid w:val="00F3236A"/>
    <w:pPr>
      <w:ind w:left="-85" w:firstLine="0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173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73B8"/>
    <w:rPr>
      <w:rFonts w:ascii="Segoe UI" w:hAnsi="Segoe UI" w:cs="Segoe UI"/>
      <w:sz w:val="18"/>
      <w:szCs w:val="18"/>
      <w:lang w:val="fr-FR" w:eastAsia="en-US"/>
    </w:rPr>
  </w:style>
  <w:style w:type="character" w:customStyle="1" w:styleId="FigureNoChar">
    <w:name w:val="Figure_No Char"/>
    <w:basedOn w:val="DefaultParagraphFont"/>
    <w:link w:val="FigureNo"/>
    <w:rsid w:val="00F173B8"/>
    <w:rPr>
      <w:caps/>
      <w:sz w:val="18"/>
      <w:lang w:val="fr-FR" w:eastAsia="en-US"/>
    </w:rPr>
  </w:style>
  <w:style w:type="character" w:customStyle="1" w:styleId="FiguretitleChar">
    <w:name w:val="Figure_title Char"/>
    <w:basedOn w:val="DefaultParagraphFont"/>
    <w:link w:val="Figuretitle"/>
    <w:rsid w:val="00F173B8"/>
    <w:rPr>
      <w:rFonts w:ascii="Times New Roman Bold" w:hAnsi="Times New Roman Bold"/>
      <w:b/>
      <w:sz w:val="18"/>
      <w:lang w:val="fr-FR" w:eastAsia="en-US"/>
    </w:rPr>
  </w:style>
  <w:style w:type="paragraph" w:customStyle="1" w:styleId="Reasons">
    <w:name w:val="Reasons"/>
    <w:basedOn w:val="Normal"/>
    <w:qFormat/>
    <w:rsid w:val="00F17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F173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73B8"/>
    <w:pPr>
      <w:ind w:left="720"/>
      <w:contextualSpacing/>
    </w:pPr>
  </w:style>
  <w:style w:type="table" w:styleId="TableGrid">
    <w:name w:val="Table Grid"/>
    <w:basedOn w:val="TableNormal"/>
    <w:uiPriority w:val="39"/>
    <w:rsid w:val="00AC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1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6B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0569-5A34-48BA-AC05-E3335EB6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376</TotalTime>
  <Pages>7</Pages>
  <Words>1506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РЕКОМЕНДАЦИЯ  МСЭ-R  P.371-9 - Выбор индексов для долгосрочных ионосферных прогнозов</vt:lpstr>
    </vt:vector>
  </TitlesOfParts>
  <Manager/>
  <Company>ITU</Company>
  <LinksUpToDate>false</LinksUpToDate>
  <CharactersWithSpaces>12078</CharactersWithSpaces>
  <SharedDoc>false</SharedDoc>
  <HLinks>
    <vt:vector size="12" baseType="variant"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http://www.itu.int/publications/R-REC/en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P.371-9 - Выбор индексов для долгосрочных ионосферных прогнозов</dc:title>
  <dc:subject>P Series = Radiowave propagation</dc:subject>
  <dc:creator>ITU Radiocommunication Bureau (BR)</dc:creator>
  <cp:keywords>P,371-9</cp:keywords>
  <dc:description>Berdyeva, 04/22/24, ITU51017645</dc:description>
  <cp:lastModifiedBy>Berdyeva, Elena</cp:lastModifiedBy>
  <cp:revision>44</cp:revision>
  <cp:lastPrinted>2024-04-22T10:09:00Z</cp:lastPrinted>
  <dcterms:created xsi:type="dcterms:W3CDTF">2024-04-17T06:43:00Z</dcterms:created>
  <dcterms:modified xsi:type="dcterms:W3CDTF">2024-04-22T10:13:00Z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Monday, April 22, 2024</vt:lpwstr>
  </property>
</Properties>
</file>