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83" w:rsidRDefault="00505483" w:rsidP="00505483">
      <w:bookmarkStart w:id="0" w:name="_GoBack"/>
      <w:bookmarkEnd w:id="0"/>
    </w:p>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p w:rsidR="00505483" w:rsidRDefault="00505483" w:rsidP="00505483"/>
    <w:tbl>
      <w:tblPr>
        <w:tblW w:w="10089" w:type="dxa"/>
        <w:tblLook w:val="01E0" w:firstRow="1" w:lastRow="1" w:firstColumn="1" w:lastColumn="1" w:noHBand="0" w:noVBand="0"/>
      </w:tblPr>
      <w:tblGrid>
        <w:gridCol w:w="10089"/>
      </w:tblGrid>
      <w:tr w:rsidR="00505483" w:rsidRPr="00A443C2" w:rsidTr="00C91155">
        <w:tc>
          <w:tcPr>
            <w:tcW w:w="10089" w:type="dxa"/>
          </w:tcPr>
          <w:p w:rsidR="00505483" w:rsidRPr="00B033C8" w:rsidRDefault="00505483" w:rsidP="00C91155">
            <w:pPr>
              <w:spacing w:before="380" w:line="280" w:lineRule="exact"/>
              <w:jc w:val="right"/>
              <w:rPr>
                <w:rFonts w:ascii="Tahoma" w:hAnsi="Tahoma" w:cs="Tahoma"/>
                <w:b/>
                <w:bCs/>
                <w:iCs/>
                <w:color w:val="243285"/>
                <w:sz w:val="32"/>
                <w:szCs w:val="32"/>
                <w:lang w:val="en-US"/>
              </w:rPr>
            </w:pPr>
          </w:p>
          <w:p w:rsidR="00505483" w:rsidRPr="00A443C2" w:rsidRDefault="00505483" w:rsidP="0050548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341-6</w:t>
            </w:r>
          </w:p>
          <w:p w:rsidR="00505483" w:rsidRPr="00A443C2" w:rsidRDefault="00505483" w:rsidP="00D02A4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D02A40">
              <w:rPr>
                <w:rFonts w:ascii="Tahoma" w:hAnsi="Tahoma" w:cs="Tahoma"/>
                <w:b/>
                <w:bCs/>
                <w:iCs/>
                <w:color w:val="243285"/>
                <w:szCs w:val="24"/>
              </w:rPr>
              <w:t>9</w:t>
            </w:r>
            <w:r w:rsidRPr="00A443C2">
              <w:rPr>
                <w:rFonts w:ascii="Tahoma" w:hAnsi="Tahoma" w:cs="Tahoma"/>
                <w:b/>
                <w:bCs/>
                <w:iCs/>
                <w:color w:val="243285"/>
                <w:szCs w:val="24"/>
              </w:rPr>
              <w:t>/</w:t>
            </w:r>
            <w:r w:rsidR="00D02A40">
              <w:rPr>
                <w:rFonts w:ascii="Tahoma" w:hAnsi="Tahoma" w:cs="Tahoma"/>
                <w:b/>
                <w:bCs/>
                <w:iCs/>
                <w:color w:val="243285"/>
                <w:szCs w:val="24"/>
              </w:rPr>
              <w:t>2016</w:t>
            </w:r>
            <w:r w:rsidRPr="00A443C2">
              <w:rPr>
                <w:rFonts w:ascii="Tahoma" w:hAnsi="Tahoma" w:cs="Tahoma"/>
                <w:b/>
                <w:bCs/>
                <w:iCs/>
                <w:color w:val="243285"/>
                <w:szCs w:val="24"/>
              </w:rPr>
              <w:t>)</w:t>
            </w:r>
          </w:p>
        </w:tc>
      </w:tr>
      <w:tr w:rsidR="00505483" w:rsidRPr="00F54FBD" w:rsidTr="00C91155">
        <w:tc>
          <w:tcPr>
            <w:tcW w:w="10089" w:type="dxa"/>
          </w:tcPr>
          <w:p w:rsidR="00505483" w:rsidRDefault="00505483" w:rsidP="00C91155">
            <w:pPr>
              <w:spacing w:before="80" w:line="500" w:lineRule="exact"/>
              <w:jc w:val="right"/>
              <w:rPr>
                <w:rFonts w:ascii="Tahoma" w:hAnsi="Tahoma" w:cs="Tahoma"/>
                <w:b/>
                <w:bCs/>
                <w:iCs/>
                <w:color w:val="243285"/>
                <w:sz w:val="44"/>
                <w:szCs w:val="44"/>
              </w:rPr>
            </w:pPr>
          </w:p>
          <w:p w:rsidR="00505483" w:rsidRDefault="00F43B7E" w:rsidP="00F43B7E">
            <w:pPr>
              <w:spacing w:before="80" w:line="500" w:lineRule="exact"/>
              <w:jc w:val="right"/>
              <w:rPr>
                <w:rFonts w:ascii="Tahoma" w:hAnsi="Tahoma" w:cs="Tahoma"/>
                <w:b/>
                <w:bCs/>
                <w:iCs/>
                <w:color w:val="243285"/>
                <w:sz w:val="44"/>
                <w:szCs w:val="44"/>
              </w:rPr>
            </w:pPr>
            <w:r w:rsidRPr="00F43B7E">
              <w:rPr>
                <w:rFonts w:ascii="Tahoma" w:hAnsi="Tahoma" w:cs="Tahoma"/>
                <w:b/>
                <w:bCs/>
                <w:iCs/>
                <w:color w:val="243285"/>
                <w:sz w:val="44"/>
                <w:szCs w:val="44"/>
              </w:rPr>
              <w:t>Notion d'affaiblissement de transmission pour les liaisons radioélectriques</w:t>
            </w:r>
          </w:p>
          <w:p w:rsidR="00505483" w:rsidRPr="00F54FBD" w:rsidRDefault="00505483" w:rsidP="00C91155">
            <w:pPr>
              <w:spacing w:before="80" w:line="500" w:lineRule="exact"/>
              <w:jc w:val="right"/>
              <w:rPr>
                <w:rFonts w:ascii="Tahoma" w:hAnsi="Tahoma" w:cs="Tahoma"/>
                <w:b/>
                <w:bCs/>
                <w:iCs/>
                <w:color w:val="243285"/>
                <w:sz w:val="44"/>
                <w:szCs w:val="44"/>
              </w:rPr>
            </w:pPr>
          </w:p>
        </w:tc>
      </w:tr>
      <w:tr w:rsidR="00505483" w:rsidRPr="00F54FBD" w:rsidTr="00C91155">
        <w:tc>
          <w:tcPr>
            <w:tcW w:w="10089" w:type="dxa"/>
          </w:tcPr>
          <w:p w:rsidR="00505483" w:rsidRPr="00F54FBD" w:rsidRDefault="00505483" w:rsidP="00C91155">
            <w:pPr>
              <w:spacing w:before="80" w:line="280" w:lineRule="exact"/>
              <w:ind w:right="640"/>
              <w:rPr>
                <w:rFonts w:ascii="Tahoma" w:hAnsi="Tahoma" w:cs="Tahoma"/>
                <w:b/>
                <w:bCs/>
                <w:iCs/>
                <w:color w:val="243285"/>
                <w:sz w:val="32"/>
                <w:szCs w:val="32"/>
              </w:rPr>
            </w:pPr>
          </w:p>
          <w:p w:rsidR="00505483" w:rsidRPr="00F54FBD" w:rsidRDefault="00505483" w:rsidP="00C91155">
            <w:pPr>
              <w:spacing w:before="80" w:line="280" w:lineRule="exact"/>
              <w:ind w:right="640"/>
              <w:rPr>
                <w:rFonts w:ascii="Tahoma" w:hAnsi="Tahoma" w:cs="Tahoma"/>
                <w:b/>
                <w:bCs/>
                <w:iCs/>
                <w:color w:val="243285"/>
                <w:sz w:val="32"/>
                <w:szCs w:val="32"/>
              </w:rPr>
            </w:pPr>
          </w:p>
          <w:p w:rsidR="00505483" w:rsidRPr="00F54FBD" w:rsidRDefault="00505483" w:rsidP="00C91155">
            <w:pPr>
              <w:spacing w:before="80" w:after="180" w:line="360" w:lineRule="exact"/>
              <w:ind w:right="720"/>
              <w:rPr>
                <w:rFonts w:ascii="Tahoma" w:hAnsi="Tahoma" w:cs="Tahoma"/>
                <w:b/>
                <w:bCs/>
                <w:iCs/>
                <w:color w:val="243285"/>
                <w:sz w:val="36"/>
                <w:szCs w:val="36"/>
              </w:rPr>
            </w:pPr>
          </w:p>
          <w:p w:rsidR="00505483" w:rsidRPr="00F54FBD" w:rsidRDefault="00505483" w:rsidP="00C9115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505483" w:rsidRPr="00F54FBD" w:rsidRDefault="00505483" w:rsidP="00C9115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505483" w:rsidRPr="00F54FBD" w:rsidRDefault="00505483" w:rsidP="00505483">
      <w:pPr>
        <w:spacing w:before="80"/>
        <w:rPr>
          <w:i/>
          <w:sz w:val="22"/>
        </w:rPr>
      </w:pPr>
    </w:p>
    <w:p w:rsidR="00505483" w:rsidRPr="00F54FBD" w:rsidRDefault="00505483" w:rsidP="00505483">
      <w:pPr>
        <w:spacing w:before="80"/>
        <w:rPr>
          <w:i/>
          <w:sz w:val="22"/>
        </w:rPr>
      </w:pPr>
    </w:p>
    <w:p w:rsidR="00505483" w:rsidRPr="00F54FBD" w:rsidRDefault="00505483" w:rsidP="00505483">
      <w:pPr>
        <w:spacing w:before="80"/>
        <w:rPr>
          <w:i/>
          <w:sz w:val="22"/>
        </w:rPr>
      </w:pPr>
    </w:p>
    <w:p w:rsidR="00505483" w:rsidRPr="00F54FBD" w:rsidRDefault="00505483" w:rsidP="00505483">
      <w:pPr>
        <w:spacing w:before="80"/>
        <w:rPr>
          <w:i/>
          <w:sz w:val="22"/>
        </w:rPr>
      </w:pPr>
    </w:p>
    <w:p w:rsidR="00505483" w:rsidRPr="00F54FBD" w:rsidRDefault="00505483" w:rsidP="00505483">
      <w:pPr>
        <w:spacing w:before="80"/>
        <w:rPr>
          <w:i/>
          <w:sz w:val="22"/>
        </w:rPr>
      </w:pPr>
    </w:p>
    <w:p w:rsidR="00505483" w:rsidRPr="00F54FBD" w:rsidRDefault="00505483" w:rsidP="00505483">
      <w:pPr>
        <w:spacing w:before="80"/>
        <w:rPr>
          <w:i/>
          <w:sz w:val="22"/>
        </w:rPr>
      </w:pPr>
    </w:p>
    <w:p w:rsidR="00505483" w:rsidRPr="00F54FBD" w:rsidRDefault="00505483" w:rsidP="00505483">
      <w:pPr>
        <w:pStyle w:val="Equation"/>
        <w:tabs>
          <w:tab w:val="clear" w:pos="4820"/>
          <w:tab w:val="clear" w:pos="9639"/>
          <w:tab w:val="left" w:pos="1191"/>
          <w:tab w:val="left" w:pos="1588"/>
          <w:tab w:val="left" w:pos="1985"/>
        </w:tabs>
        <w:rPr>
          <w:rFonts w:ascii="Palatino Linotype" w:hAnsi="Palatino Linotype"/>
        </w:rPr>
        <w:sectPr w:rsidR="00505483" w:rsidRPr="00F54FBD">
          <w:headerReference w:type="even" r:id="rId6"/>
          <w:headerReference w:type="default" r:id="rId7"/>
          <w:pgSz w:w="11907" w:h="16840" w:code="9"/>
          <w:pgMar w:top="1089" w:right="1089" w:bottom="284" w:left="1089" w:header="567" w:footer="284" w:gutter="0"/>
          <w:pgNumType w:start="1"/>
          <w:cols w:space="720"/>
        </w:sectPr>
      </w:pPr>
    </w:p>
    <w:p w:rsidR="00505483" w:rsidRPr="00F54FBD" w:rsidRDefault="00505483" w:rsidP="005054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505483" w:rsidRPr="00F54FBD" w:rsidRDefault="00505483" w:rsidP="0050548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05483" w:rsidRPr="00F54FBD" w:rsidRDefault="00505483" w:rsidP="0050548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05483" w:rsidRPr="00E44CBB" w:rsidRDefault="00505483" w:rsidP="0050548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05483" w:rsidRPr="00E44CBB" w:rsidRDefault="00505483" w:rsidP="0050548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05483" w:rsidRPr="00673807" w:rsidRDefault="00505483" w:rsidP="0050548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5483" w:rsidRPr="009454F8" w:rsidTr="00C91155">
        <w:tc>
          <w:tcPr>
            <w:tcW w:w="9360" w:type="dxa"/>
            <w:gridSpan w:val="2"/>
          </w:tcPr>
          <w:p w:rsidR="00505483" w:rsidRPr="009454F8" w:rsidRDefault="00505483" w:rsidP="00C9115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05483" w:rsidRPr="009454F8"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505483" w:rsidRPr="00036EE3" w:rsidTr="00C91155">
        <w:tc>
          <w:tcPr>
            <w:tcW w:w="1140" w:type="dxa"/>
            <w:tcBorders>
              <w:bottom w:val="nil"/>
            </w:tcBorders>
          </w:tcPr>
          <w:p w:rsidR="00505483" w:rsidRPr="00614CC6" w:rsidRDefault="00505483" w:rsidP="00C91155">
            <w:pPr>
              <w:spacing w:before="90" w:after="100"/>
              <w:ind w:left="57"/>
              <w:rPr>
                <w:b/>
                <w:bCs/>
                <w:sz w:val="20"/>
                <w:lang w:val="en-US"/>
              </w:rPr>
            </w:pPr>
            <w:r w:rsidRPr="00614CC6">
              <w:rPr>
                <w:b/>
                <w:bCs/>
                <w:sz w:val="20"/>
                <w:lang w:val="en-US"/>
              </w:rPr>
              <w:t>Séries</w:t>
            </w:r>
          </w:p>
        </w:tc>
        <w:tc>
          <w:tcPr>
            <w:tcW w:w="8220" w:type="dxa"/>
            <w:tcBorders>
              <w:bottom w:val="nil"/>
            </w:tcBorders>
          </w:tcPr>
          <w:p w:rsidR="00505483" w:rsidRPr="00614CC6"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05483" w:rsidRPr="005E427C" w:rsidTr="00C91155">
        <w:tc>
          <w:tcPr>
            <w:tcW w:w="1140" w:type="dxa"/>
            <w:tcBorders>
              <w:top w:val="nil"/>
              <w:bottom w:val="nil"/>
            </w:tcBorders>
            <w:shd w:val="clear" w:color="auto" w:fill="auto"/>
          </w:tcPr>
          <w:p w:rsidR="00505483" w:rsidRPr="005E427C" w:rsidRDefault="00505483" w:rsidP="00C9115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505483" w:rsidRPr="005E427C"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505483" w:rsidRPr="009454F8" w:rsidTr="00C91155">
        <w:tc>
          <w:tcPr>
            <w:tcW w:w="1140" w:type="dxa"/>
            <w:tcBorders>
              <w:top w:val="nil"/>
              <w:bottom w:val="nil"/>
            </w:tcBorders>
          </w:tcPr>
          <w:p w:rsidR="00505483" w:rsidRPr="00614CC6" w:rsidRDefault="00505483" w:rsidP="00C9115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505483" w:rsidRPr="00614CC6"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05483" w:rsidRPr="00E80F1D" w:rsidTr="00C91155">
        <w:tc>
          <w:tcPr>
            <w:tcW w:w="1140" w:type="dxa"/>
            <w:tcBorders>
              <w:top w:val="nil"/>
              <w:bottom w:val="nil"/>
            </w:tcBorders>
            <w:shd w:val="clear" w:color="auto" w:fill="auto"/>
          </w:tcPr>
          <w:p w:rsidR="00505483" w:rsidRPr="00E80F1D" w:rsidRDefault="00505483" w:rsidP="00C9115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505483" w:rsidRPr="00E80F1D"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505483" w:rsidRPr="00ED2695" w:rsidTr="00C91155">
        <w:tc>
          <w:tcPr>
            <w:tcW w:w="1140" w:type="dxa"/>
            <w:tcBorders>
              <w:top w:val="nil"/>
              <w:bottom w:val="nil"/>
            </w:tcBorders>
            <w:shd w:val="clear" w:color="auto" w:fill="auto"/>
          </w:tcPr>
          <w:p w:rsidR="00505483" w:rsidRPr="00614CC6" w:rsidRDefault="00505483" w:rsidP="00C9115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505483" w:rsidRPr="00614CC6"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05483" w:rsidRPr="00DE5EA2" w:rsidTr="00C91155">
        <w:tc>
          <w:tcPr>
            <w:tcW w:w="1140" w:type="dxa"/>
            <w:tcBorders>
              <w:top w:val="nil"/>
              <w:bottom w:val="nil"/>
            </w:tcBorders>
            <w:shd w:val="clear" w:color="auto" w:fill="auto"/>
          </w:tcPr>
          <w:p w:rsidR="00505483" w:rsidRPr="00DE5EA2" w:rsidRDefault="00505483" w:rsidP="00C9115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505483" w:rsidRPr="00DE5EA2" w:rsidRDefault="00505483" w:rsidP="00C91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505483" w:rsidRPr="00B21066" w:rsidTr="00C91155">
        <w:tc>
          <w:tcPr>
            <w:tcW w:w="1140" w:type="dxa"/>
            <w:tcBorders>
              <w:top w:val="nil"/>
              <w:bottom w:val="nil"/>
            </w:tcBorders>
            <w:shd w:val="clear" w:color="auto" w:fill="auto"/>
          </w:tcPr>
          <w:p w:rsidR="00505483" w:rsidRPr="00B21066" w:rsidRDefault="00505483" w:rsidP="00C9115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505483" w:rsidRPr="00B21066" w:rsidRDefault="00505483" w:rsidP="00C911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505483" w:rsidRPr="00DE5EA2" w:rsidTr="00C91155">
        <w:tc>
          <w:tcPr>
            <w:tcW w:w="1140" w:type="dxa"/>
            <w:tcBorders>
              <w:top w:val="nil"/>
              <w:bottom w:val="nil"/>
            </w:tcBorders>
            <w:shd w:val="clear" w:color="auto" w:fill="F3F3F3"/>
          </w:tcPr>
          <w:p w:rsidR="00505483" w:rsidRPr="00DE5EA2" w:rsidRDefault="00505483" w:rsidP="00C9115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505483" w:rsidRPr="00DE5EA2" w:rsidRDefault="00505483" w:rsidP="00C91155">
            <w:pPr>
              <w:spacing w:before="30" w:after="30"/>
              <w:jc w:val="left"/>
              <w:rPr>
                <w:b/>
                <w:bCs/>
                <w:color w:val="000080"/>
                <w:sz w:val="20"/>
                <w:lang w:val="fr-CH"/>
              </w:rPr>
            </w:pPr>
            <w:r w:rsidRPr="00DE5EA2">
              <w:rPr>
                <w:b/>
                <w:bCs/>
                <w:color w:val="000080"/>
                <w:sz w:val="20"/>
              </w:rPr>
              <w:t>Propagation des ondes radioélectriques</w:t>
            </w:r>
          </w:p>
        </w:tc>
      </w:tr>
      <w:tr w:rsidR="00505483" w:rsidRPr="00036EE3" w:rsidTr="00C91155">
        <w:tc>
          <w:tcPr>
            <w:tcW w:w="1140" w:type="dxa"/>
            <w:tcBorders>
              <w:top w:val="nil"/>
            </w:tcBorders>
          </w:tcPr>
          <w:p w:rsidR="00505483" w:rsidRPr="00614CC6" w:rsidRDefault="00505483" w:rsidP="00C91155">
            <w:pPr>
              <w:spacing w:before="30" w:after="30"/>
              <w:ind w:left="57"/>
              <w:jc w:val="left"/>
              <w:rPr>
                <w:b/>
                <w:bCs/>
                <w:sz w:val="20"/>
                <w:lang w:val="en-US"/>
              </w:rPr>
            </w:pPr>
            <w:r w:rsidRPr="00614CC6">
              <w:rPr>
                <w:b/>
                <w:bCs/>
                <w:sz w:val="20"/>
                <w:lang w:val="en-US"/>
              </w:rPr>
              <w:t>RA</w:t>
            </w:r>
          </w:p>
        </w:tc>
        <w:tc>
          <w:tcPr>
            <w:tcW w:w="8220" w:type="dxa"/>
            <w:tcBorders>
              <w:top w:val="nil"/>
            </w:tcBorders>
          </w:tcPr>
          <w:p w:rsidR="00505483" w:rsidRPr="00614CC6" w:rsidRDefault="00505483" w:rsidP="00C91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05483" w:rsidRPr="00036EE3"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RS</w:t>
            </w:r>
          </w:p>
        </w:tc>
        <w:tc>
          <w:tcPr>
            <w:tcW w:w="8220" w:type="dxa"/>
          </w:tcPr>
          <w:p w:rsidR="00505483" w:rsidRPr="00614CC6" w:rsidRDefault="00505483" w:rsidP="00C911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05483" w:rsidRPr="00036EE3"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S</w:t>
            </w:r>
          </w:p>
        </w:tc>
        <w:tc>
          <w:tcPr>
            <w:tcW w:w="8220" w:type="dxa"/>
          </w:tcPr>
          <w:p w:rsidR="00505483" w:rsidRPr="00614CC6" w:rsidRDefault="00505483" w:rsidP="00C91155">
            <w:pPr>
              <w:spacing w:before="30" w:after="30"/>
              <w:jc w:val="left"/>
              <w:rPr>
                <w:sz w:val="20"/>
                <w:lang w:val="en-US"/>
              </w:rPr>
            </w:pPr>
            <w:r w:rsidRPr="00614CC6">
              <w:rPr>
                <w:sz w:val="20"/>
              </w:rPr>
              <w:t>Service fixe par satellite</w:t>
            </w:r>
          </w:p>
        </w:tc>
      </w:tr>
      <w:tr w:rsidR="00505483" w:rsidRPr="00036EE3"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SA</w:t>
            </w:r>
          </w:p>
        </w:tc>
        <w:tc>
          <w:tcPr>
            <w:tcW w:w="8220" w:type="dxa"/>
          </w:tcPr>
          <w:p w:rsidR="00505483" w:rsidRPr="00614CC6" w:rsidRDefault="00505483" w:rsidP="00C91155">
            <w:pPr>
              <w:spacing w:before="30" w:after="30"/>
              <w:jc w:val="left"/>
              <w:rPr>
                <w:sz w:val="20"/>
                <w:lang w:val="en-US"/>
              </w:rPr>
            </w:pPr>
            <w:r w:rsidRPr="00614CC6">
              <w:rPr>
                <w:sz w:val="20"/>
              </w:rPr>
              <w:t>Applications spatiales et météorologie</w:t>
            </w:r>
          </w:p>
        </w:tc>
      </w:tr>
      <w:tr w:rsidR="00505483" w:rsidRPr="00614CC6"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SF</w:t>
            </w:r>
          </w:p>
        </w:tc>
        <w:tc>
          <w:tcPr>
            <w:tcW w:w="8220" w:type="dxa"/>
          </w:tcPr>
          <w:p w:rsidR="00505483" w:rsidRPr="00614CC6" w:rsidRDefault="00505483" w:rsidP="00C91155">
            <w:pPr>
              <w:spacing w:before="30" w:after="30"/>
              <w:jc w:val="left"/>
              <w:rPr>
                <w:sz w:val="20"/>
              </w:rPr>
            </w:pPr>
            <w:r w:rsidRPr="00614CC6">
              <w:rPr>
                <w:sz w:val="20"/>
              </w:rPr>
              <w:t>Partage des fréquences et coordination entre les systèmes du service fixe par satellite et du service fixe</w:t>
            </w:r>
          </w:p>
        </w:tc>
      </w:tr>
      <w:tr w:rsidR="00505483" w:rsidRPr="00036EE3" w:rsidTr="00C91155">
        <w:tc>
          <w:tcPr>
            <w:tcW w:w="1140" w:type="dxa"/>
            <w:shd w:val="clear" w:color="auto" w:fill="auto"/>
          </w:tcPr>
          <w:p w:rsidR="00505483" w:rsidRPr="00592F9F" w:rsidRDefault="00505483" w:rsidP="00C91155">
            <w:pPr>
              <w:spacing w:before="30" w:after="30"/>
              <w:ind w:left="57"/>
              <w:jc w:val="left"/>
              <w:rPr>
                <w:b/>
                <w:bCs/>
                <w:sz w:val="20"/>
                <w:lang w:val="en-US"/>
              </w:rPr>
            </w:pPr>
            <w:r w:rsidRPr="00592F9F">
              <w:rPr>
                <w:b/>
                <w:bCs/>
                <w:sz w:val="20"/>
                <w:lang w:val="en-US"/>
              </w:rPr>
              <w:t>SM</w:t>
            </w:r>
          </w:p>
        </w:tc>
        <w:tc>
          <w:tcPr>
            <w:tcW w:w="8220" w:type="dxa"/>
            <w:shd w:val="clear" w:color="auto" w:fill="auto"/>
          </w:tcPr>
          <w:p w:rsidR="00505483" w:rsidRPr="00592F9F" w:rsidRDefault="00505483" w:rsidP="00C91155">
            <w:pPr>
              <w:spacing w:before="30" w:after="30"/>
              <w:jc w:val="left"/>
              <w:rPr>
                <w:sz w:val="20"/>
                <w:lang w:val="en-US"/>
              </w:rPr>
            </w:pPr>
            <w:r w:rsidRPr="00592F9F">
              <w:rPr>
                <w:sz w:val="20"/>
              </w:rPr>
              <w:t>Gestion du spectre</w:t>
            </w:r>
          </w:p>
        </w:tc>
      </w:tr>
      <w:tr w:rsidR="00505483" w:rsidRPr="00036EE3"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SNG</w:t>
            </w:r>
          </w:p>
        </w:tc>
        <w:tc>
          <w:tcPr>
            <w:tcW w:w="8220" w:type="dxa"/>
          </w:tcPr>
          <w:p w:rsidR="00505483" w:rsidRPr="00614CC6" w:rsidRDefault="00505483" w:rsidP="00C91155">
            <w:pPr>
              <w:spacing w:before="30" w:after="30"/>
              <w:jc w:val="left"/>
              <w:rPr>
                <w:sz w:val="20"/>
                <w:lang w:val="en-US"/>
              </w:rPr>
            </w:pPr>
            <w:r w:rsidRPr="00614CC6">
              <w:rPr>
                <w:sz w:val="20"/>
              </w:rPr>
              <w:t>Reportage d'actualités par satellite</w:t>
            </w:r>
          </w:p>
        </w:tc>
      </w:tr>
      <w:tr w:rsidR="00505483" w:rsidRPr="00614CC6"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TF</w:t>
            </w:r>
          </w:p>
        </w:tc>
        <w:tc>
          <w:tcPr>
            <w:tcW w:w="8220" w:type="dxa"/>
          </w:tcPr>
          <w:p w:rsidR="00505483" w:rsidRPr="00614CC6" w:rsidRDefault="00505483" w:rsidP="00C91155">
            <w:pPr>
              <w:spacing w:before="30" w:after="30"/>
              <w:jc w:val="left"/>
              <w:rPr>
                <w:sz w:val="20"/>
              </w:rPr>
            </w:pPr>
            <w:r w:rsidRPr="00614CC6">
              <w:rPr>
                <w:sz w:val="20"/>
              </w:rPr>
              <w:t>Emissions de fréquences étalon et de signaux horaires</w:t>
            </w:r>
          </w:p>
        </w:tc>
      </w:tr>
      <w:tr w:rsidR="00505483" w:rsidRPr="00036EE3" w:rsidTr="00C91155">
        <w:tc>
          <w:tcPr>
            <w:tcW w:w="1140" w:type="dxa"/>
          </w:tcPr>
          <w:p w:rsidR="00505483" w:rsidRPr="00614CC6" w:rsidRDefault="00505483" w:rsidP="00C91155">
            <w:pPr>
              <w:spacing w:before="30" w:after="30"/>
              <w:ind w:left="57"/>
              <w:jc w:val="left"/>
              <w:rPr>
                <w:b/>
                <w:bCs/>
                <w:sz w:val="20"/>
                <w:lang w:val="en-US"/>
              </w:rPr>
            </w:pPr>
            <w:r w:rsidRPr="00614CC6">
              <w:rPr>
                <w:b/>
                <w:bCs/>
                <w:sz w:val="20"/>
                <w:lang w:val="en-US"/>
              </w:rPr>
              <w:t>V</w:t>
            </w:r>
          </w:p>
        </w:tc>
        <w:tc>
          <w:tcPr>
            <w:tcW w:w="8220" w:type="dxa"/>
          </w:tcPr>
          <w:p w:rsidR="00505483" w:rsidRPr="00614CC6" w:rsidRDefault="00505483" w:rsidP="00C91155">
            <w:pPr>
              <w:spacing w:before="30" w:after="140"/>
              <w:jc w:val="left"/>
              <w:rPr>
                <w:sz w:val="20"/>
                <w:lang w:val="en-US"/>
              </w:rPr>
            </w:pPr>
            <w:r w:rsidRPr="00614CC6">
              <w:rPr>
                <w:sz w:val="20"/>
              </w:rPr>
              <w:t>Vocabulaire et sujets associés</w:t>
            </w:r>
          </w:p>
        </w:tc>
      </w:tr>
    </w:tbl>
    <w:p w:rsidR="00505483" w:rsidRPr="00036EE3" w:rsidRDefault="00505483" w:rsidP="00505483">
      <w:pPr>
        <w:spacing w:before="0"/>
        <w:jc w:val="center"/>
        <w:rPr>
          <w:sz w:val="20"/>
          <w:lang w:val="en-US"/>
        </w:rPr>
      </w:pPr>
    </w:p>
    <w:p w:rsidR="00505483" w:rsidRPr="00036EE3" w:rsidRDefault="00505483" w:rsidP="0050548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5483" w:rsidRPr="00756B4D" w:rsidTr="00C91155">
        <w:tc>
          <w:tcPr>
            <w:tcW w:w="9360" w:type="dxa"/>
          </w:tcPr>
          <w:p w:rsidR="00505483" w:rsidRPr="00756B4D" w:rsidRDefault="00505483" w:rsidP="00C9115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505483" w:rsidRPr="00756B4D" w:rsidRDefault="00505483" w:rsidP="00505483">
      <w:pPr>
        <w:spacing w:before="0"/>
        <w:jc w:val="center"/>
        <w:rPr>
          <w:sz w:val="22"/>
        </w:rPr>
      </w:pPr>
    </w:p>
    <w:p w:rsidR="00505483" w:rsidRPr="00614CC6" w:rsidRDefault="00505483" w:rsidP="00505483">
      <w:pPr>
        <w:spacing w:before="100"/>
        <w:jc w:val="right"/>
        <w:rPr>
          <w:i/>
          <w:iCs/>
          <w:sz w:val="20"/>
        </w:rPr>
      </w:pPr>
      <w:r w:rsidRPr="00614CC6">
        <w:rPr>
          <w:i/>
          <w:iCs/>
          <w:sz w:val="20"/>
        </w:rPr>
        <w:t>Publication électronique</w:t>
      </w:r>
    </w:p>
    <w:p w:rsidR="00505483" w:rsidRPr="00614CC6" w:rsidRDefault="00505483" w:rsidP="00505483">
      <w:pPr>
        <w:spacing w:before="0"/>
        <w:jc w:val="right"/>
        <w:rPr>
          <w:sz w:val="20"/>
        </w:rPr>
      </w:pPr>
      <w:r w:rsidRPr="00614CC6">
        <w:rPr>
          <w:sz w:val="20"/>
        </w:rPr>
        <w:t>Genève, 20</w:t>
      </w:r>
      <w:r>
        <w:rPr>
          <w:sz w:val="20"/>
        </w:rPr>
        <w:t>17</w:t>
      </w:r>
    </w:p>
    <w:p w:rsidR="00505483" w:rsidRPr="00614CC6" w:rsidRDefault="00505483" w:rsidP="0050548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17</w:t>
      </w:r>
    </w:p>
    <w:p w:rsidR="00505483" w:rsidRPr="00614CC6" w:rsidRDefault="00505483" w:rsidP="0050548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05483" w:rsidRPr="00614CC6" w:rsidRDefault="00505483" w:rsidP="00505483">
      <w:pPr>
        <w:spacing w:before="160"/>
        <w:rPr>
          <w:i/>
          <w:sz w:val="20"/>
          <w:highlight w:val="yellow"/>
        </w:rPr>
        <w:sectPr w:rsidR="0050548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505483" w:rsidRPr="00756B4D" w:rsidRDefault="00505483" w:rsidP="00505483">
      <w:pPr>
        <w:pStyle w:val="RecNo"/>
        <w:spacing w:before="0"/>
      </w:pPr>
      <w:bookmarkStart w:id="3" w:name="irecnoe"/>
      <w:bookmarkEnd w:id="3"/>
      <w:r w:rsidRPr="00756B4D">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341-6</w:t>
      </w:r>
      <w:r>
        <w:rPr>
          <w:rStyle w:val="FootnoteReference"/>
        </w:rPr>
        <w:footnoteReference w:customMarkFollows="1" w:id="1"/>
        <w:t>*</w:t>
      </w:r>
    </w:p>
    <w:p w:rsidR="00505483" w:rsidRDefault="00505483" w:rsidP="00505483">
      <w:pPr>
        <w:pStyle w:val="Rectitle"/>
        <w:rPr>
          <w:position w:val="6"/>
          <w:sz w:val="16"/>
        </w:rPr>
      </w:pPr>
      <w:bookmarkStart w:id="4" w:name="dbreak"/>
      <w:bookmarkEnd w:id="4"/>
      <w:r>
        <w:t>Notion d'affaiblissement de transmission pour les liaisons radioélectriques</w:t>
      </w:r>
      <w:bookmarkStart w:id="5" w:name="asunto"/>
      <w:bookmarkEnd w:id="5"/>
      <w:r>
        <w:rPr>
          <w:rStyle w:val="FootnoteReference"/>
        </w:rPr>
        <w:footnoteReference w:customMarkFollows="1" w:id="2"/>
        <w:t>**</w:t>
      </w:r>
    </w:p>
    <w:p w:rsidR="00505483" w:rsidRPr="006F665D" w:rsidRDefault="00505483" w:rsidP="00D02A40">
      <w:pPr>
        <w:pStyle w:val="Recdate"/>
        <w:rPr>
          <w:lang w:val="fr-CH"/>
        </w:rPr>
      </w:pPr>
      <w:r w:rsidRPr="006F665D">
        <w:rPr>
          <w:lang w:val="fr-CH"/>
        </w:rPr>
        <w:t>(1959-1982-1986-1994-1995-1999-2016)</w:t>
      </w:r>
    </w:p>
    <w:p w:rsidR="00505483" w:rsidRPr="006F665D" w:rsidRDefault="00505483" w:rsidP="00505483">
      <w:pPr>
        <w:pStyle w:val="headfoot"/>
        <w:rPr>
          <w:lang w:val="fr-CH"/>
        </w:rPr>
      </w:pPr>
      <w:r w:rsidRPr="006F665D">
        <w:rPr>
          <w:lang w:val="fr-CH"/>
        </w:rPr>
        <w:t>Rec. UIT-R P.341-5</w:t>
      </w:r>
    </w:p>
    <w:p w:rsidR="00505483" w:rsidRPr="006F665D" w:rsidRDefault="00505483" w:rsidP="00D02A40">
      <w:pPr>
        <w:pStyle w:val="HeadingSum"/>
      </w:pPr>
      <w:r w:rsidRPr="006F665D">
        <w:t>Domaine d'application</w:t>
      </w:r>
    </w:p>
    <w:p w:rsidR="00505483" w:rsidRPr="006F665D" w:rsidRDefault="00505483" w:rsidP="00D02A40">
      <w:pPr>
        <w:pStyle w:val="Summary"/>
      </w:pPr>
      <w:r w:rsidRPr="006F665D">
        <w:t xml:space="preserve">La Recommandation UIT-R P.341-6 fournit les définitions et les notations à utiliser pour caractériser une liaison radioélectrique qui met en jeu un émetteur, un récepteur, leurs antennes, les circuits associés et le milieu de propagation. </w:t>
      </w:r>
    </w:p>
    <w:p w:rsidR="00505483" w:rsidRPr="00505483" w:rsidRDefault="00505483" w:rsidP="00505483">
      <w:pPr>
        <w:pStyle w:val="Headingb"/>
        <w:rPr>
          <w:lang w:val="fr-CH"/>
        </w:rPr>
      </w:pPr>
      <w:r>
        <w:t>Mots clés</w:t>
      </w:r>
    </w:p>
    <w:p w:rsidR="00505483" w:rsidRPr="006F665D" w:rsidRDefault="00505483" w:rsidP="00505483">
      <w:pPr>
        <w:rPr>
          <w:lang w:val="fr-CH"/>
        </w:rPr>
      </w:pPr>
      <w:r w:rsidRPr="006F665D">
        <w:rPr>
          <w:lang w:val="fr-CH"/>
        </w:rPr>
        <w:t>Liaison radioélectrique, paramètres d'antenne, affaiblissement, influence de l'environnement</w:t>
      </w:r>
    </w:p>
    <w:p w:rsidR="00505483" w:rsidRPr="00505483" w:rsidRDefault="00505483" w:rsidP="000A3597">
      <w:pPr>
        <w:pStyle w:val="Normalaftertitle"/>
        <w:rPr>
          <w:lang w:val="fr-CH"/>
        </w:rPr>
      </w:pPr>
      <w:r w:rsidRPr="00505483">
        <w:rPr>
          <w:lang w:val="fr-CH"/>
        </w:rPr>
        <w:t xml:space="preserve">L'Assemblée des </w:t>
      </w:r>
      <w:r w:rsidRPr="003D379A">
        <w:rPr>
          <w:lang w:val="fr-CH"/>
        </w:rPr>
        <w:t>radiocommunications</w:t>
      </w:r>
      <w:r w:rsidRPr="00505483">
        <w:rPr>
          <w:lang w:val="fr-CH"/>
        </w:rPr>
        <w:t xml:space="preserve"> de l'UIT,</w:t>
      </w:r>
    </w:p>
    <w:p w:rsidR="00505483" w:rsidRDefault="00505483" w:rsidP="00505483">
      <w:pPr>
        <w:pStyle w:val="Call"/>
      </w:pPr>
      <w:r>
        <w:t>considérant</w:t>
      </w:r>
    </w:p>
    <w:p w:rsidR="00505483" w:rsidRDefault="00505483" w:rsidP="00505483">
      <w:pPr>
        <w:rPr>
          <w:i/>
        </w:rPr>
      </w:pPr>
      <w:r w:rsidRPr="00E0024D">
        <w:rPr>
          <w:i/>
          <w:iCs/>
        </w:rPr>
        <w:t>a)</w:t>
      </w:r>
      <w:r>
        <w:tab/>
        <w:t>que, dans une liaison radioélectrique entre un émetteur et un récepteur, le rapport de la puissance fournie par l'émetteur à la puissance disponible à l'entrée du récepteur dépend de plusieurs facteurs tels que les pertes dans les antennes ou dans les lignes de transmission qui les alimentent, l'affaiblissement dû aux divers mécanismes de propagation, les pertes dues à une mauvaise adaptation des impédances ou de la polarisation, etc.;</w:t>
      </w:r>
    </w:p>
    <w:p w:rsidR="00505483" w:rsidRDefault="00505483" w:rsidP="00505483">
      <w:r w:rsidRPr="00E0024D">
        <w:rPr>
          <w:i/>
          <w:iCs/>
        </w:rPr>
        <w:t>b)</w:t>
      </w:r>
      <w:r>
        <w:tab/>
        <w:t>qu'il est souhaitable de normaliser la terminologie et les notations employées pour caractériser l'affaiblissement de transmission et les composantes de cet affaiblissement;</w:t>
      </w:r>
    </w:p>
    <w:p w:rsidR="00505483" w:rsidRDefault="00505483" w:rsidP="00505483">
      <w:r w:rsidRPr="00E0024D">
        <w:rPr>
          <w:i/>
          <w:iCs/>
        </w:rPr>
        <w:t>c)</w:t>
      </w:r>
      <w:r>
        <w:tab/>
        <w:t>que, pour la propagation, la Recommandation UIT-R P.525 fournit les conditions de référence de propagation en espace libre,</w:t>
      </w:r>
    </w:p>
    <w:p w:rsidR="00505483" w:rsidRDefault="00505483" w:rsidP="00505483">
      <w:pPr>
        <w:pStyle w:val="Call"/>
      </w:pPr>
      <w:r>
        <w:t>recommande</w:t>
      </w:r>
    </w:p>
    <w:p w:rsidR="00505483" w:rsidRDefault="00505483" w:rsidP="00505483">
      <w:r>
        <w:t>que, pour caractériser une liaison radioélectrique qui met en jeu un émetteur, un récepteur, leurs antennes, les circuits associés et le milieu de propagation, on utilise les termes, les définitions et les notations suivants:</w:t>
      </w:r>
    </w:p>
    <w:p w:rsidR="00505483" w:rsidRDefault="00505483" w:rsidP="00505483">
      <w:pPr>
        <w:pStyle w:val="Heading1"/>
      </w:pPr>
      <w:r>
        <w:t>1</w:t>
      </w:r>
      <w:r>
        <w:tab/>
      </w:r>
      <w:r w:rsidRPr="00991A29">
        <w:t>Affaiblissement</w:t>
      </w:r>
      <w:r>
        <w:t xml:space="preserve"> total (d'une liaison radioélectrique)</w:t>
      </w:r>
      <w:r>
        <w:rPr>
          <w:rStyle w:val="FootnoteReference"/>
        </w:rPr>
        <w:footnoteReference w:customMarkFollows="1" w:id="3"/>
        <w:t>***</w:t>
      </w:r>
      <w:r>
        <w:rPr>
          <w:b w:val="0"/>
        </w:rPr>
        <w:t xml:space="preserve"> (symboles:</w:t>
      </w:r>
      <w:r>
        <w:rPr>
          <w:b w:val="0"/>
          <w:i/>
        </w:rPr>
        <w:t xml:space="preserve"> A</w:t>
      </w:r>
      <w:r>
        <w:rPr>
          <w:b w:val="0"/>
          <w:i/>
          <w:position w:val="-4"/>
          <w:sz w:val="16"/>
        </w:rPr>
        <w:t>l</w:t>
      </w:r>
      <w:r>
        <w:rPr>
          <w:b w:val="0"/>
        </w:rPr>
        <w:t xml:space="preserve"> ou </w:t>
      </w:r>
      <w:r>
        <w:rPr>
          <w:b w:val="0"/>
          <w:i/>
        </w:rPr>
        <w:t>L</w:t>
      </w:r>
      <w:r>
        <w:rPr>
          <w:b w:val="0"/>
          <w:i/>
          <w:position w:val="-4"/>
          <w:sz w:val="16"/>
        </w:rPr>
        <w:t>l</w:t>
      </w:r>
      <w:r>
        <w:rPr>
          <w:b w:val="0"/>
        </w:rPr>
        <w:t>)</w:t>
      </w:r>
    </w:p>
    <w:p w:rsidR="00505483" w:rsidRDefault="00505483" w:rsidP="00505483">
      <w:r>
        <w:t>Rapport, habituellement exprimé en décibels, de la puissance fournie par l'émetteur d'une liaison radioélectrique, à la puissance fournie au récepteur correspondant, dans les conditions réelles d'installation, de propagation et d'exploitation.</w:t>
      </w:r>
    </w:p>
    <w:p w:rsidR="00505483" w:rsidRDefault="00505483" w:rsidP="00505483">
      <w:pPr>
        <w:pStyle w:val="Note"/>
      </w:pPr>
      <w:r>
        <w:t>NOTE 1 – Il y a lieu de préciser dans chaque cas les points où sont déterminées la puissance fournie par l'émetteur et la puissance fournie au récepteur, par exemple:</w:t>
      </w:r>
    </w:p>
    <w:p w:rsidR="00505483" w:rsidRDefault="00505483" w:rsidP="00505483">
      <w:pPr>
        <w:pStyle w:val="enumlev1"/>
      </w:pPr>
      <w:r>
        <w:t>–</w:t>
      </w:r>
      <w:r>
        <w:tab/>
        <w:t>avant ou après les filtres ou multiplexeurs en radiofréquence qui peuvent être employés à l'émission ou à la réception;</w:t>
      </w:r>
    </w:p>
    <w:p w:rsidR="00505483" w:rsidRDefault="00505483" w:rsidP="00505483">
      <w:pPr>
        <w:pStyle w:val="enumlev1"/>
      </w:pPr>
      <w:r>
        <w:t>–</w:t>
      </w:r>
      <w:r>
        <w:tab/>
        <w:t>à l'entrée ou à la sortie des lignes d'alimentation des antennes d'émission et de réception.</w:t>
      </w:r>
    </w:p>
    <w:p w:rsidR="00505483" w:rsidRDefault="00505483" w:rsidP="00505483">
      <w:pPr>
        <w:pStyle w:val="Heading1"/>
      </w:pPr>
      <w:r>
        <w:t>2</w:t>
      </w:r>
      <w:r>
        <w:tab/>
        <w:t>Affaiblissement du système</w:t>
      </w:r>
      <w:r>
        <w:rPr>
          <w:b w:val="0"/>
        </w:rPr>
        <w:t xml:space="preserve"> (symboles:</w:t>
      </w:r>
      <w:r>
        <w:rPr>
          <w:b w:val="0"/>
          <w:i/>
        </w:rPr>
        <w:t> A</w:t>
      </w:r>
      <w:r>
        <w:rPr>
          <w:b w:val="0"/>
          <w:i/>
          <w:position w:val="-4"/>
          <w:sz w:val="16"/>
        </w:rPr>
        <w:t>s</w:t>
      </w:r>
      <w:r>
        <w:rPr>
          <w:b w:val="0"/>
        </w:rPr>
        <w:t xml:space="preserve"> ou </w:t>
      </w:r>
      <w:r>
        <w:rPr>
          <w:b w:val="0"/>
          <w:i/>
        </w:rPr>
        <w:t>L</w:t>
      </w:r>
      <w:r>
        <w:rPr>
          <w:b w:val="0"/>
          <w:i/>
          <w:position w:val="-4"/>
          <w:sz w:val="16"/>
        </w:rPr>
        <w:t>s</w:t>
      </w:r>
      <w:r>
        <w:rPr>
          <w:b w:val="0"/>
        </w:rPr>
        <w:t>)</w:t>
      </w:r>
    </w:p>
    <w:p w:rsidR="00505483" w:rsidRDefault="00505483" w:rsidP="00505483">
      <w:r>
        <w:t>Pour une liaison radioélectrique, rapport, habituellement exprimé en décibels, de la puissance fournie aux bornes d'entrée de l'antenne d'émission à la puissance disponible aux bornes de sortie de l'antenne de réception.</w:t>
      </w:r>
    </w:p>
    <w:p w:rsidR="00505483" w:rsidRDefault="00505483" w:rsidP="00505483">
      <w:pPr>
        <w:pStyle w:val="Note"/>
      </w:pPr>
      <w:r>
        <w:t>NOTE 1 – La puissance disponible d'une source est la puissance maximale réelle qu'une source peut fournir à une charge, c'est-à-dire la puissance qui serait fournie à une charge dont l'impédance serait conjuguée de celle de la source.</w:t>
      </w:r>
    </w:p>
    <w:p w:rsidR="00505483" w:rsidRDefault="00505483" w:rsidP="00505483">
      <w:pPr>
        <w:pStyle w:val="Note"/>
      </w:pPr>
      <w:r>
        <w:t>NOTE 2 – L'affaiblissement entre bornes d'antennes peut être exprimé par:</w:t>
      </w:r>
    </w:p>
    <w:p w:rsidR="00505483" w:rsidRDefault="00505483" w:rsidP="00505483">
      <w:pPr>
        <w:pStyle w:val="Equation"/>
      </w:pPr>
      <w:r>
        <w:tab/>
      </w:r>
      <w:r>
        <w:tab/>
      </w:r>
      <w:r>
        <w:rPr>
          <w:i/>
        </w:rPr>
        <w:t>L</w:t>
      </w:r>
      <w:r>
        <w:rPr>
          <w:i/>
          <w:position w:val="-4"/>
          <w:sz w:val="18"/>
        </w:rPr>
        <w:t>s</w:t>
      </w:r>
      <w:r>
        <w:t xml:space="preserve">  </w:t>
      </w:r>
      <w:r>
        <w:rPr>
          <w:rFonts w:ascii="Symbol" w:hAnsi="Symbol"/>
        </w:rPr>
        <w:t></w:t>
      </w:r>
      <w:r>
        <w:t xml:space="preserve">  10 log (</w:t>
      </w:r>
      <w:r>
        <w:rPr>
          <w:rFonts w:ascii="Tms Rmn" w:hAnsi="Tms Rmn"/>
          <w:sz w:val="12"/>
        </w:rPr>
        <w:t> </w:t>
      </w:r>
      <w:r>
        <w:rPr>
          <w:i/>
        </w:rPr>
        <w:t>p</w:t>
      </w:r>
      <w:r>
        <w:rPr>
          <w:i/>
          <w:position w:val="-4"/>
          <w:sz w:val="18"/>
        </w:rPr>
        <w:t>t</w:t>
      </w:r>
      <w:r>
        <w:rPr>
          <w:rFonts w:ascii="Tms Rmn" w:hAnsi="Tms Rmn"/>
          <w:i/>
          <w:position w:val="-4"/>
          <w:sz w:val="12"/>
        </w:rPr>
        <w:t> </w:t>
      </w:r>
      <w:r>
        <w:t>/</w:t>
      </w:r>
      <w:r>
        <w:rPr>
          <w:i/>
        </w:rPr>
        <w:t>p</w:t>
      </w:r>
      <w:r>
        <w:rPr>
          <w:i/>
          <w:position w:val="-4"/>
          <w:sz w:val="18"/>
        </w:rPr>
        <w:t>a</w:t>
      </w:r>
      <w:r>
        <w:t xml:space="preserve">)  =  </w:t>
      </w:r>
      <w:r>
        <w:rPr>
          <w:i/>
        </w:rPr>
        <w:t>P</w:t>
      </w:r>
      <w:r>
        <w:rPr>
          <w:i/>
          <w:position w:val="-4"/>
          <w:sz w:val="18"/>
        </w:rPr>
        <w:t>t</w:t>
      </w:r>
      <w:r>
        <w:t xml:space="preserve">  –  </w:t>
      </w:r>
      <w:r>
        <w:rPr>
          <w:i/>
        </w:rPr>
        <w:t>P</w:t>
      </w:r>
      <w:r>
        <w:rPr>
          <w:i/>
          <w:position w:val="-4"/>
          <w:sz w:val="18"/>
        </w:rPr>
        <w:t>a</w:t>
      </w:r>
      <w:r>
        <w:t>               dB</w:t>
      </w:r>
      <w:r>
        <w:tab/>
        <w:t>(1)</w:t>
      </w:r>
    </w:p>
    <w:p w:rsidR="00505483" w:rsidRDefault="00505483" w:rsidP="00505483">
      <w:pPr>
        <w:spacing w:before="0"/>
      </w:pPr>
      <w:r>
        <w:t>où:</w:t>
      </w:r>
    </w:p>
    <w:p w:rsidR="00505483" w:rsidRPr="000A3597" w:rsidRDefault="00505483" w:rsidP="000A3597">
      <w:pPr>
        <w:pStyle w:val="Equationlegend"/>
        <w:rPr>
          <w:lang w:val="fr-CH"/>
        </w:rPr>
      </w:pPr>
      <w:r>
        <w:tab/>
      </w:r>
      <w:r w:rsidRPr="000A3597">
        <w:rPr>
          <w:i/>
          <w:lang w:val="fr-CH"/>
        </w:rPr>
        <w:t>p</w:t>
      </w:r>
      <w:r w:rsidRPr="000A3597">
        <w:rPr>
          <w:i/>
          <w:position w:val="-4"/>
          <w:sz w:val="16"/>
          <w:lang w:val="fr-CH"/>
        </w:rPr>
        <w:t>t</w:t>
      </w:r>
      <w:r w:rsidRPr="000A3597">
        <w:rPr>
          <w:rFonts w:ascii="Tms Rmn" w:hAnsi="Tms Rmn"/>
          <w:sz w:val="12"/>
          <w:lang w:val="fr-CH"/>
        </w:rPr>
        <w:t> </w:t>
      </w:r>
      <w:r w:rsidRPr="000A3597">
        <w:rPr>
          <w:lang w:val="fr-CH"/>
        </w:rPr>
        <w:t>:</w:t>
      </w:r>
      <w:r w:rsidR="000A3597" w:rsidRPr="000A3597">
        <w:rPr>
          <w:lang w:val="fr-CH"/>
        </w:rPr>
        <w:tab/>
      </w:r>
      <w:r w:rsidRPr="000A3597">
        <w:rPr>
          <w:lang w:val="fr-CH"/>
        </w:rPr>
        <w:t>puissance radioélectrique fournie aux bornes d'entrée de l'antenne d'émission</w:t>
      </w:r>
    </w:p>
    <w:p w:rsidR="00505483" w:rsidRDefault="00505483" w:rsidP="000A3597">
      <w:pPr>
        <w:pStyle w:val="Equationlegend"/>
      </w:pPr>
      <w:r w:rsidRPr="000A3597">
        <w:rPr>
          <w:lang w:val="fr-CH"/>
        </w:rPr>
        <w:tab/>
      </w:r>
      <w:r>
        <w:rPr>
          <w:i/>
        </w:rPr>
        <w:t>p</w:t>
      </w:r>
      <w:r>
        <w:rPr>
          <w:i/>
          <w:position w:val="-4"/>
          <w:sz w:val="16"/>
        </w:rPr>
        <w:t>a</w:t>
      </w:r>
      <w:r>
        <w:rPr>
          <w:rFonts w:ascii="Tms Rmn" w:hAnsi="Tms Rmn"/>
          <w:sz w:val="12"/>
        </w:rPr>
        <w:t> </w:t>
      </w:r>
      <w:r>
        <w:t>:</w:t>
      </w:r>
      <w:r>
        <w:tab/>
        <w:t>puissance du signal radiofréquence disponible aux bornes de sortie de l'antenne de réception.</w:t>
      </w:r>
    </w:p>
    <w:p w:rsidR="00505483" w:rsidRDefault="00505483" w:rsidP="00505483">
      <w:pPr>
        <w:pStyle w:val="Note"/>
      </w:pPr>
      <w:r>
        <w:t>NOTE 3 – L'affaiblissement entre bornes d'antennes ne comprend pas les affaiblissements dans les lignes d'alimentation; en revanche, il comprend tous les affaiblissements dans les circuits radioélectriques associés à l'antenne, tels que les pertes dans le sol, les pertes diélectriques, les pertes dans les inductances de charge et les résistances terminales.</w:t>
      </w:r>
    </w:p>
    <w:p w:rsidR="00505483" w:rsidRDefault="00505483" w:rsidP="00505483">
      <w:pPr>
        <w:pStyle w:val="FigureNo"/>
      </w:pPr>
      <w:r>
        <w:t>figure 1</w:t>
      </w:r>
    </w:p>
    <w:p w:rsidR="00505483" w:rsidRDefault="00505483" w:rsidP="00505483">
      <w:pPr>
        <w:pStyle w:val="FigureTitle0"/>
      </w:pPr>
      <w:r>
        <w:t>Représentation graphique des termes utilisés pour la notion d'affaiblissement de transmission</w:t>
      </w:r>
    </w:p>
    <w:p w:rsidR="00505483" w:rsidRPr="003F66EB" w:rsidRDefault="00505483" w:rsidP="00505483">
      <w:pPr>
        <w:pStyle w:val="Figure"/>
      </w:pPr>
      <w:r>
        <w:object w:dxaOrig="7178" w:dyaOrig="5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299pt;mso-position-horizontal:absolute" o:ole="">
            <v:imagedata r:id="rId12" o:title=""/>
          </v:shape>
          <o:OLEObject Type="Embed" ProgID="CorelDraw.Graphic.16" ShapeID="_x0000_i1025" DrawAspect="Content" ObjectID="_1554789407" r:id="rId13"/>
        </w:object>
      </w:r>
    </w:p>
    <w:p w:rsidR="00505483" w:rsidRDefault="00505483" w:rsidP="00505483">
      <w:pPr>
        <w:pStyle w:val="Fig"/>
        <w:rPr>
          <w:lang w:val="fr-FR"/>
        </w:rPr>
      </w:pPr>
      <w:r>
        <w:rPr>
          <w:lang w:val="fr-FR"/>
        </w:rPr>
        <w:t>IGURE.1  [0341-01]</w:t>
      </w:r>
    </w:p>
    <w:p w:rsidR="00505483" w:rsidRDefault="00505483" w:rsidP="00505483">
      <w:pPr>
        <w:pStyle w:val="Heading1"/>
      </w:pPr>
      <w:r>
        <w:t>3</w:t>
      </w:r>
      <w:r>
        <w:tab/>
      </w:r>
      <w:r w:rsidRPr="00E0024D">
        <w:t>Affaiblissement</w:t>
      </w:r>
      <w:r>
        <w:t xml:space="preserve"> de transmission (d'une liaison radioélectrique)</w:t>
      </w:r>
      <w:r>
        <w:rPr>
          <w:b w:val="0"/>
        </w:rPr>
        <w:t xml:space="preserve"> (symboles: </w:t>
      </w:r>
      <w:r>
        <w:rPr>
          <w:b w:val="0"/>
          <w:i/>
        </w:rPr>
        <w:t>A</w:t>
      </w:r>
      <w:r>
        <w:rPr>
          <w:b w:val="0"/>
        </w:rPr>
        <w:t xml:space="preserve"> ou </w:t>
      </w:r>
      <w:r>
        <w:rPr>
          <w:b w:val="0"/>
          <w:i/>
        </w:rPr>
        <w:t>L</w:t>
      </w:r>
      <w:r>
        <w:rPr>
          <w:b w:val="0"/>
        </w:rPr>
        <w:t>)</w:t>
      </w:r>
    </w:p>
    <w:p w:rsidR="00505483" w:rsidRDefault="00505483" w:rsidP="00505483">
      <w:r>
        <w:t>Rapport, habituellement exprimé en décibels, de la puissance rayonnée par l'antenne d'émission d'une liaison radioélectrique à la puissance qui serait disponible à la sortie de l'antenne de réception s'il n'y avait aucune perte dans les circuits radiofréquence, en supposant que les diagrammes de rayonnement des antennes sont conservés.</w:t>
      </w:r>
    </w:p>
    <w:p w:rsidR="00505483" w:rsidRDefault="00505483" w:rsidP="00505483">
      <w:pPr>
        <w:pStyle w:val="Note"/>
      </w:pPr>
      <w:r>
        <w:t>NOTE 1 – L'affaiblissement de transmission peut être exprimé par:</w:t>
      </w:r>
    </w:p>
    <w:p w:rsidR="00505483" w:rsidRPr="003D379A" w:rsidRDefault="00505483" w:rsidP="00505483">
      <w:pPr>
        <w:pStyle w:val="Equation"/>
      </w:pPr>
      <w:bookmarkStart w:id="6" w:name="F002"/>
      <w:r>
        <w:tab/>
      </w:r>
      <w:r>
        <w:tab/>
      </w:r>
      <w:r w:rsidRPr="003D379A">
        <w:rPr>
          <w:i/>
        </w:rPr>
        <w:t>L</w:t>
      </w:r>
      <w:r w:rsidRPr="003D379A">
        <w:t xml:space="preserve">  </w:t>
      </w:r>
      <w:r>
        <w:rPr>
          <w:rFonts w:ascii="Symbol" w:hAnsi="Symbol"/>
        </w:rPr>
        <w:t></w:t>
      </w:r>
      <w:r w:rsidRPr="003D379A">
        <w:t xml:space="preserve">  </w:t>
      </w:r>
      <w:r w:rsidRPr="003D379A">
        <w:rPr>
          <w:i/>
        </w:rPr>
        <w:t>L</w:t>
      </w:r>
      <w:r w:rsidRPr="003D379A">
        <w:rPr>
          <w:i/>
          <w:position w:val="-4"/>
          <w:sz w:val="18"/>
        </w:rPr>
        <w:t>s</w:t>
      </w:r>
      <w:r w:rsidRPr="003D379A">
        <w:t xml:space="preserve">  –  </w:t>
      </w:r>
      <w:r w:rsidRPr="003D379A">
        <w:rPr>
          <w:i/>
        </w:rPr>
        <w:t>L</w:t>
      </w:r>
      <w:r w:rsidRPr="003D379A">
        <w:rPr>
          <w:i/>
          <w:position w:val="-4"/>
          <w:sz w:val="18"/>
        </w:rPr>
        <w:t>tc</w:t>
      </w:r>
      <w:r w:rsidRPr="003D379A">
        <w:t xml:space="preserve">  –  </w:t>
      </w:r>
      <w:r w:rsidRPr="003D379A">
        <w:rPr>
          <w:i/>
        </w:rPr>
        <w:t>L</w:t>
      </w:r>
      <w:r w:rsidRPr="003D379A">
        <w:rPr>
          <w:i/>
          <w:position w:val="-4"/>
          <w:sz w:val="18"/>
        </w:rPr>
        <w:t>rc</w:t>
      </w:r>
      <w:r w:rsidRPr="003D379A">
        <w:t>               dB</w:t>
      </w:r>
      <w:r w:rsidRPr="003D379A">
        <w:tab/>
        <w:t>(2)</w:t>
      </w:r>
      <w:bookmarkEnd w:id="6"/>
    </w:p>
    <w:p w:rsidR="00505483" w:rsidRDefault="00505483" w:rsidP="00505483">
      <w:pPr>
        <w:pStyle w:val="enumlev1"/>
        <w:ind w:left="0" w:firstLine="0"/>
      </w:pPr>
      <w:r>
        <w:t>dans laquelle</w:t>
      </w:r>
      <w:r>
        <w:rPr>
          <w:i/>
        </w:rPr>
        <w:t xml:space="preserve"> L</w:t>
      </w:r>
      <w:r>
        <w:rPr>
          <w:i/>
          <w:position w:val="-4"/>
          <w:sz w:val="16"/>
        </w:rPr>
        <w:t>tc</w:t>
      </w:r>
      <w:r>
        <w:t xml:space="preserve"> et </w:t>
      </w:r>
      <w:r>
        <w:rPr>
          <w:i/>
        </w:rPr>
        <w:t>L</w:t>
      </w:r>
      <w:r>
        <w:rPr>
          <w:i/>
          <w:position w:val="-4"/>
          <w:sz w:val="16"/>
        </w:rPr>
        <w:t>rc</w:t>
      </w:r>
      <w:r>
        <w:rPr>
          <w:position w:val="-4"/>
          <w:sz w:val="16"/>
        </w:rPr>
        <w:t xml:space="preserve"> </w:t>
      </w:r>
      <w:r>
        <w:t>désignent respectivement les affaiblissements exprimés en décibels dans les circuits des antennes d'émission et de réception, à l'exclusion de la dissipation d'énergie due au rayonnement; en d'autres termes,</w:t>
      </w:r>
      <w:r>
        <w:rPr>
          <w:i/>
        </w:rPr>
        <w:t xml:space="preserve"> L</w:t>
      </w:r>
      <w:r>
        <w:rPr>
          <w:i/>
          <w:position w:val="-4"/>
          <w:sz w:val="16"/>
        </w:rPr>
        <w:t>tc</w:t>
      </w:r>
      <w:r>
        <w:t xml:space="preserve"> et </w:t>
      </w:r>
      <w:r>
        <w:rPr>
          <w:i/>
        </w:rPr>
        <w:t>L</w:t>
      </w:r>
      <w:r>
        <w:rPr>
          <w:i/>
          <w:position w:val="-4"/>
          <w:sz w:val="16"/>
        </w:rPr>
        <w:t>rc</w:t>
      </w:r>
      <w:r>
        <w:rPr>
          <w:position w:val="-4"/>
          <w:sz w:val="16"/>
        </w:rPr>
        <w:t xml:space="preserve"> </w:t>
      </w:r>
      <w:r>
        <w:t>sont définis par 10 log (</w:t>
      </w:r>
      <w:r>
        <w:rPr>
          <w:i/>
        </w:rPr>
        <w:t>r'</w:t>
      </w:r>
      <w:r>
        <w:t>/</w:t>
      </w:r>
      <w:r>
        <w:rPr>
          <w:i/>
        </w:rPr>
        <w:t>r</w:t>
      </w:r>
      <w:r>
        <w:t>),</w:t>
      </w:r>
      <w:r>
        <w:rPr>
          <w:i/>
        </w:rPr>
        <w:t xml:space="preserve"> r'</w:t>
      </w:r>
      <w:r>
        <w:t xml:space="preserve"> désignant la composante résistive de l'impédance de l'antenne, et </w:t>
      </w:r>
      <w:r>
        <w:rPr>
          <w:i/>
        </w:rPr>
        <w:t>r</w:t>
      </w:r>
      <w:r>
        <w:t xml:space="preserve"> sa résistance de rayonnement.</w:t>
      </w:r>
    </w:p>
    <w:p w:rsidR="00505483" w:rsidRDefault="00505483" w:rsidP="00505483">
      <w:pPr>
        <w:pStyle w:val="Note"/>
      </w:pPr>
      <w:r>
        <w:t>NOTE 2 – L'affaiblissement de transmission est égal à l'affaiblissement entre bornes d'antennes diminué de l'affaiblis</w:t>
      </w:r>
      <w:r>
        <w:softHyphen/>
        <w:t>sement dû aux pertes dans les circuits radioélectriques associés aux antennes.</w:t>
      </w:r>
    </w:p>
    <w:p w:rsidR="00505483" w:rsidRDefault="00505483" w:rsidP="00505483">
      <w:pPr>
        <w:pStyle w:val="Heading1"/>
      </w:pPr>
      <w:r>
        <w:t>4</w:t>
      </w:r>
      <w:r>
        <w:tab/>
        <w:t xml:space="preserve">Affaiblissement de transmission de référence (d'une liaison radioélectrique) </w:t>
      </w:r>
      <w:r>
        <w:rPr>
          <w:b w:val="0"/>
        </w:rPr>
        <w:t>(symboles:</w:t>
      </w:r>
      <w:r>
        <w:rPr>
          <w:b w:val="0"/>
          <w:i/>
        </w:rPr>
        <w:t xml:space="preserve"> A</w:t>
      </w:r>
      <w:r>
        <w:rPr>
          <w:b w:val="0"/>
          <w:i/>
          <w:position w:val="-4"/>
          <w:sz w:val="16"/>
        </w:rPr>
        <w:t>i</w:t>
      </w:r>
      <w:r>
        <w:rPr>
          <w:b w:val="0"/>
        </w:rPr>
        <w:t xml:space="preserve"> ou</w:t>
      </w:r>
      <w:r>
        <w:rPr>
          <w:b w:val="0"/>
          <w:i/>
        </w:rPr>
        <w:t xml:space="preserve"> L</w:t>
      </w:r>
      <w:r>
        <w:rPr>
          <w:b w:val="0"/>
          <w:i/>
          <w:position w:val="-4"/>
          <w:sz w:val="16"/>
        </w:rPr>
        <w:t>b</w:t>
      </w:r>
      <w:r>
        <w:rPr>
          <w:b w:val="0"/>
        </w:rPr>
        <w:t>)</w:t>
      </w:r>
    </w:p>
    <w:p w:rsidR="00505483" w:rsidRDefault="00505483" w:rsidP="00505483">
      <w:r>
        <w:t>Affaiblissement de transmission qui serait obtenu si les antennes étaient remplacées par des antennes isotropes de même polarisation que les antennes réelles, le trajet de propagation étant conservé, mais les effets des obstacles proches des antennes étant négligés.</w:t>
      </w:r>
    </w:p>
    <w:p w:rsidR="00505483" w:rsidRDefault="00505483" w:rsidP="00505483">
      <w:pPr>
        <w:pStyle w:val="Equation"/>
      </w:pPr>
      <w:r>
        <w:tab/>
      </w:r>
      <w:r>
        <w:tab/>
      </w:r>
      <w:r>
        <w:rPr>
          <w:i/>
        </w:rPr>
        <w:t>L</w:t>
      </w:r>
      <w:r>
        <w:rPr>
          <w:i/>
          <w:position w:val="-6"/>
          <w:sz w:val="18"/>
        </w:rPr>
        <w:t>b</w:t>
      </w:r>
      <w:r>
        <w:t xml:space="preserve">  </w:t>
      </w:r>
      <w:r>
        <w:rPr>
          <w:rFonts w:ascii="Symbol" w:hAnsi="Symbol"/>
        </w:rPr>
        <w:t></w:t>
      </w:r>
      <w:r>
        <w:t xml:space="preserve">  </w:t>
      </w:r>
      <w:r>
        <w:rPr>
          <w:i/>
        </w:rPr>
        <w:t>L</w:t>
      </w:r>
      <w:r>
        <w:t xml:space="preserve">  </w:t>
      </w:r>
      <w:r>
        <w:rPr>
          <w:rFonts w:ascii="Symbol" w:hAnsi="Symbol"/>
        </w:rPr>
        <w:t></w:t>
      </w:r>
      <w:r>
        <w:t xml:space="preserve">  </w:t>
      </w:r>
      <w:r>
        <w:rPr>
          <w:i/>
        </w:rPr>
        <w:t>G</w:t>
      </w:r>
      <w:r>
        <w:rPr>
          <w:i/>
          <w:position w:val="-4"/>
          <w:sz w:val="18"/>
        </w:rPr>
        <w:t>t</w:t>
      </w:r>
      <w:r>
        <w:t xml:space="preserve">  </w:t>
      </w:r>
      <w:r>
        <w:rPr>
          <w:rFonts w:ascii="Symbol" w:hAnsi="Symbol"/>
        </w:rPr>
        <w:t></w:t>
      </w:r>
      <w:r>
        <w:t xml:space="preserve">  </w:t>
      </w:r>
      <w:r>
        <w:rPr>
          <w:i/>
        </w:rPr>
        <w:t>G</w:t>
      </w:r>
      <w:r>
        <w:rPr>
          <w:i/>
          <w:position w:val="-4"/>
          <w:sz w:val="18"/>
        </w:rPr>
        <w:t>r</w:t>
      </w:r>
      <w:r>
        <w:t>               dB</w:t>
      </w:r>
      <w:r>
        <w:tab/>
        <w:t>(3)</w:t>
      </w:r>
    </w:p>
    <w:p w:rsidR="00505483" w:rsidRDefault="00505483" w:rsidP="00505483">
      <w:pPr>
        <w:pStyle w:val="enumlev1"/>
        <w:ind w:left="0" w:firstLine="0"/>
      </w:pPr>
      <w:r>
        <w:t xml:space="preserve">où </w:t>
      </w:r>
      <w:r>
        <w:rPr>
          <w:i/>
        </w:rPr>
        <w:t>G</w:t>
      </w:r>
      <w:r>
        <w:rPr>
          <w:i/>
          <w:position w:val="-4"/>
          <w:sz w:val="16"/>
        </w:rPr>
        <w:t>t</w:t>
      </w:r>
      <w:r>
        <w:t xml:space="preserve"> et </w:t>
      </w:r>
      <w:r>
        <w:rPr>
          <w:i/>
        </w:rPr>
        <w:t>G</w:t>
      </w:r>
      <w:r>
        <w:rPr>
          <w:i/>
          <w:position w:val="-4"/>
          <w:sz w:val="16"/>
        </w:rPr>
        <w:t>r</w:t>
      </w:r>
      <w:r>
        <w:t xml:space="preserve"> sont les gains de directivité (voir l'Annexe 1) des antennes d'émission et de réception, respectivement dans la direction de propagation.</w:t>
      </w:r>
    </w:p>
    <w:p w:rsidR="00505483" w:rsidRDefault="00505483" w:rsidP="00505483">
      <w:pPr>
        <w:pStyle w:val="Note"/>
      </w:pPr>
      <w:r>
        <w:t>NOTE 1 – L'affaiblissement de propagation est égal au rapport de la puissance isotrope rayonnée équivalente de l'ensemble émetteur, à la puissance disponible à la sortie d'une antenne de réception isotrope.</w:t>
      </w:r>
    </w:p>
    <w:p w:rsidR="00505483" w:rsidRDefault="00505483" w:rsidP="00505483">
      <w:pPr>
        <w:pStyle w:val="Note"/>
      </w:pPr>
      <w:r>
        <w:t>NOTE 2 – L'effet du sol local à proximité de l'antenne est pris en compte dans le calcul du gain d'antenne, mais non dans celui de l'affaiblissement de transmission.</w:t>
      </w:r>
    </w:p>
    <w:p w:rsidR="00505483" w:rsidRDefault="00505483" w:rsidP="00505483">
      <w:pPr>
        <w:pStyle w:val="Heading1"/>
      </w:pPr>
      <w:r>
        <w:t>5</w:t>
      </w:r>
      <w:r>
        <w:tab/>
        <w:t>Affaiblissement de transmission de référence en espace libre</w:t>
      </w:r>
      <w:r>
        <w:rPr>
          <w:b w:val="0"/>
        </w:rPr>
        <w:t xml:space="preserve"> (symboles:</w:t>
      </w:r>
      <w:r>
        <w:rPr>
          <w:b w:val="0"/>
          <w:i/>
        </w:rPr>
        <w:t xml:space="preserve"> A</w:t>
      </w:r>
      <w:r>
        <w:rPr>
          <w:b w:val="0"/>
          <w:position w:val="-4"/>
          <w:sz w:val="16"/>
        </w:rPr>
        <w:t>0</w:t>
      </w:r>
      <w:r>
        <w:rPr>
          <w:b w:val="0"/>
        </w:rPr>
        <w:t xml:space="preserve"> ou</w:t>
      </w:r>
      <w:r>
        <w:rPr>
          <w:b w:val="0"/>
          <w:i/>
        </w:rPr>
        <w:t xml:space="preserve"> L</w:t>
      </w:r>
      <w:r>
        <w:rPr>
          <w:b w:val="0"/>
          <w:i/>
          <w:position w:val="-4"/>
          <w:sz w:val="16"/>
        </w:rPr>
        <w:t>bf</w:t>
      </w:r>
      <w:r>
        <w:rPr>
          <w:b w:val="0"/>
        </w:rPr>
        <w:t>)</w:t>
      </w:r>
    </w:p>
    <w:p w:rsidR="00505483" w:rsidRDefault="00505483" w:rsidP="00505483">
      <w:r>
        <w:t>Affaiblissement de transmission qui serait obtenu si les antennes étaient remplacées par des antennes isotropes placées dans un milieu diélectrique parfait, homogène, isotrope et illimité, la distance entre les antennes étant conservée (voir la Recommandation UIT-R P.525).</w:t>
      </w:r>
    </w:p>
    <w:p w:rsidR="00505483" w:rsidRDefault="00505483" w:rsidP="00505483">
      <w:pPr>
        <w:pStyle w:val="Note"/>
      </w:pPr>
      <w:r>
        <w:t>NOTE 1 – Si la distance</w:t>
      </w:r>
      <w:r>
        <w:rPr>
          <w:i/>
        </w:rPr>
        <w:t xml:space="preserve"> d</w:t>
      </w:r>
      <w:r>
        <w:t xml:space="preserve"> entre les antennes est beaucoup plus grande que la longueur d'onde </w:t>
      </w:r>
      <w:r>
        <w:rPr>
          <w:rFonts w:ascii="Symbol" w:hAnsi="Symbol"/>
        </w:rPr>
        <w:t></w:t>
      </w:r>
      <w:r>
        <w:t>, l'affaiblissement en espace libre est égal, en décibels, à:</w:t>
      </w:r>
    </w:p>
    <w:p w:rsidR="00505483" w:rsidRDefault="00505483" w:rsidP="00505483">
      <w:pPr>
        <w:pStyle w:val="Equation"/>
      </w:pPr>
      <w:bookmarkStart w:id="7" w:name="F004"/>
      <w:r>
        <w:tab/>
      </w:r>
      <w:r>
        <w:tab/>
      </w:r>
      <w:r>
        <w:rPr>
          <w:i/>
        </w:rPr>
        <w:t>L</w:t>
      </w:r>
      <w:r>
        <w:rPr>
          <w:i/>
          <w:position w:val="-6"/>
          <w:sz w:val="18"/>
        </w:rPr>
        <w:t>bf</w:t>
      </w:r>
      <w:r>
        <w:t xml:space="preserve">  </w:t>
      </w:r>
      <w:r>
        <w:rPr>
          <w:rFonts w:ascii="Symbol" w:hAnsi="Symbol"/>
        </w:rPr>
        <w:t></w:t>
      </w:r>
      <w:r>
        <w:t xml:space="preserve">  20 log </w:t>
      </w:r>
      <w:r>
        <w:fldChar w:fldCharType="begin"/>
      </w:r>
      <w:r>
        <w:instrText>eq \b\bc\((\f(4</w:instrText>
      </w:r>
      <w:r>
        <w:rPr>
          <w:rFonts w:ascii="Symbol" w:hAnsi="Symbol"/>
        </w:rPr>
        <w:instrText>p</w:instrText>
      </w:r>
      <w:r>
        <w:instrText xml:space="preserve"> </w:instrText>
      </w:r>
      <w:r>
        <w:rPr>
          <w:i/>
        </w:rPr>
        <w:instrText>d</w:instrText>
      </w:r>
      <w:r>
        <w:instrText>,</w:instrText>
      </w:r>
      <w:r>
        <w:rPr>
          <w:rFonts w:ascii="Symbol" w:hAnsi="Symbol"/>
        </w:rPr>
        <w:instrText>l</w:instrText>
      </w:r>
      <w:r>
        <w:instrText>))</w:instrText>
      </w:r>
      <w:r>
        <w:fldChar w:fldCharType="end"/>
      </w:r>
      <w:r>
        <w:t>               dB</w:t>
      </w:r>
      <w:r>
        <w:tab/>
        <w:t>(4)</w:t>
      </w:r>
      <w:bookmarkEnd w:id="7"/>
    </w:p>
    <w:p w:rsidR="00505483" w:rsidRDefault="00505483" w:rsidP="00505483">
      <w:pPr>
        <w:pStyle w:val="Heading1"/>
      </w:pPr>
      <w:r>
        <w:t>6</w:t>
      </w:r>
      <w:r>
        <w:tab/>
        <w:t>Affaiblissement de transmission pour un trajet radioélectrique</w:t>
      </w:r>
      <w:r>
        <w:rPr>
          <w:b w:val="0"/>
        </w:rPr>
        <w:t xml:space="preserve"> (symboles:</w:t>
      </w:r>
      <w:r>
        <w:rPr>
          <w:b w:val="0"/>
          <w:i/>
        </w:rPr>
        <w:t xml:space="preserve"> A</w:t>
      </w:r>
      <w:r>
        <w:rPr>
          <w:b w:val="0"/>
          <w:i/>
          <w:position w:val="-4"/>
          <w:sz w:val="16"/>
        </w:rPr>
        <w:t>t</w:t>
      </w:r>
      <w:r>
        <w:rPr>
          <w:b w:val="0"/>
        </w:rPr>
        <w:t xml:space="preserve"> ou</w:t>
      </w:r>
      <w:r>
        <w:rPr>
          <w:b w:val="0"/>
          <w:i/>
        </w:rPr>
        <w:t xml:space="preserve"> L</w:t>
      </w:r>
      <w:r>
        <w:rPr>
          <w:b w:val="0"/>
          <w:i/>
          <w:position w:val="-4"/>
          <w:sz w:val="16"/>
        </w:rPr>
        <w:t>t</w:t>
      </w:r>
      <w:r>
        <w:rPr>
          <w:b w:val="0"/>
        </w:rPr>
        <w:t>)</w:t>
      </w:r>
    </w:p>
    <w:p w:rsidR="00505483" w:rsidRDefault="00505483" w:rsidP="00505483">
      <w:r>
        <w:t>Affaiblissement de transmission pour un trajet de propagation particulier, égal à l'affaiblissement de propagation diminué des gains de l'antenne d'émission et de l'antenne de réception dans la direction de ce trajet (voir l'Annexe 1). L'usage de ce terme se limite aux cas où plusieurs trajets de propagation sont considérés séparément, par exemple, celui de la propagation par trajets multiples.</w:t>
      </w:r>
    </w:p>
    <w:p w:rsidR="00505483" w:rsidRDefault="00505483" w:rsidP="00505483">
      <w:pPr>
        <w:pStyle w:val="Note"/>
      </w:pPr>
      <w:r>
        <w:t>NOTE 1 – L'affaiblissement de transmission pour un trajet radioélectrique peut s'exprimer par:</w:t>
      </w:r>
    </w:p>
    <w:p w:rsidR="00505483" w:rsidRPr="003D379A" w:rsidRDefault="00505483" w:rsidP="00505483">
      <w:pPr>
        <w:pStyle w:val="Equation"/>
      </w:pPr>
      <w:bookmarkStart w:id="8" w:name="F005"/>
      <w:r>
        <w:tab/>
      </w:r>
      <w:r>
        <w:tab/>
      </w:r>
      <w:r w:rsidRPr="003D379A">
        <w:rPr>
          <w:i/>
        </w:rPr>
        <w:t>L</w:t>
      </w:r>
      <w:r w:rsidRPr="003D379A">
        <w:rPr>
          <w:i/>
          <w:position w:val="-4"/>
          <w:sz w:val="18"/>
        </w:rPr>
        <w:t>t</w:t>
      </w:r>
      <w:r w:rsidRPr="003D379A">
        <w:t xml:space="preserve">  </w:t>
      </w:r>
      <w:r>
        <w:rPr>
          <w:rFonts w:ascii="Symbol" w:hAnsi="Symbol"/>
        </w:rPr>
        <w:t></w:t>
      </w:r>
      <w:r w:rsidRPr="003D379A">
        <w:t xml:space="preserve">  </w:t>
      </w:r>
      <w:r w:rsidRPr="003D379A">
        <w:rPr>
          <w:i/>
        </w:rPr>
        <w:t>L</w:t>
      </w:r>
      <w:r w:rsidRPr="003D379A">
        <w:rPr>
          <w:i/>
          <w:position w:val="-4"/>
          <w:sz w:val="18"/>
        </w:rPr>
        <w:t>b</w:t>
      </w:r>
      <w:r w:rsidRPr="003D379A">
        <w:t xml:space="preserve">  –  </w:t>
      </w:r>
      <w:r w:rsidRPr="003D379A">
        <w:rPr>
          <w:i/>
        </w:rPr>
        <w:t>G</w:t>
      </w:r>
      <w:r w:rsidRPr="003D379A">
        <w:rPr>
          <w:i/>
          <w:position w:val="-4"/>
          <w:sz w:val="18"/>
        </w:rPr>
        <w:t>tp</w:t>
      </w:r>
      <w:r w:rsidRPr="003D379A">
        <w:t xml:space="preserve">  –  </w:t>
      </w:r>
      <w:r w:rsidRPr="003D379A">
        <w:rPr>
          <w:i/>
        </w:rPr>
        <w:t>G</w:t>
      </w:r>
      <w:r w:rsidRPr="003D379A">
        <w:rPr>
          <w:i/>
          <w:position w:val="-4"/>
          <w:sz w:val="18"/>
        </w:rPr>
        <w:t>rp</w:t>
      </w:r>
      <w:r w:rsidRPr="003D379A">
        <w:t>               dB</w:t>
      </w:r>
      <w:r w:rsidRPr="003D379A">
        <w:tab/>
        <w:t>(5)</w:t>
      </w:r>
      <w:bookmarkEnd w:id="8"/>
    </w:p>
    <w:p w:rsidR="00505483" w:rsidRDefault="00505483" w:rsidP="00505483">
      <w:pPr>
        <w:pStyle w:val="enumlev1"/>
        <w:ind w:left="0" w:firstLine="0"/>
      </w:pPr>
      <w:r>
        <w:t>dans laquelle</w:t>
      </w:r>
      <w:r>
        <w:rPr>
          <w:i/>
        </w:rPr>
        <w:t xml:space="preserve"> G</w:t>
      </w:r>
      <w:r>
        <w:rPr>
          <w:i/>
          <w:position w:val="-4"/>
          <w:sz w:val="16"/>
        </w:rPr>
        <w:t>tp</w:t>
      </w:r>
      <w:r>
        <w:t xml:space="preserve"> et</w:t>
      </w:r>
      <w:r>
        <w:rPr>
          <w:i/>
        </w:rPr>
        <w:t xml:space="preserve"> G</w:t>
      </w:r>
      <w:r>
        <w:rPr>
          <w:i/>
          <w:position w:val="-4"/>
          <w:sz w:val="16"/>
        </w:rPr>
        <w:t>rp</w:t>
      </w:r>
      <w:r>
        <w:t xml:space="preserve"> sont les directivités (voir l'Annexe 1) des antennes d'émission et de réception, dans les directions de propagation et pour la polarisation considérées.</w:t>
      </w:r>
    </w:p>
    <w:p w:rsidR="00505483" w:rsidRDefault="00505483" w:rsidP="00505483">
      <w:pPr>
        <w:pStyle w:val="Heading1"/>
      </w:pPr>
      <w:r>
        <w:t>7</w:t>
      </w:r>
      <w:r>
        <w:tab/>
        <w:t xml:space="preserve">Affaiblissement par rapport à l'espace libre </w:t>
      </w:r>
      <w:r>
        <w:rPr>
          <w:b w:val="0"/>
        </w:rPr>
        <w:t>(symboles:</w:t>
      </w:r>
      <w:r>
        <w:rPr>
          <w:b w:val="0"/>
          <w:i/>
        </w:rPr>
        <w:t> A</w:t>
      </w:r>
      <w:r>
        <w:rPr>
          <w:b w:val="0"/>
          <w:i/>
          <w:position w:val="-4"/>
          <w:sz w:val="16"/>
        </w:rPr>
        <w:t>m</w:t>
      </w:r>
      <w:r>
        <w:rPr>
          <w:b w:val="0"/>
        </w:rPr>
        <w:t xml:space="preserve"> ou</w:t>
      </w:r>
      <w:r>
        <w:rPr>
          <w:b w:val="0"/>
          <w:i/>
        </w:rPr>
        <w:t xml:space="preserve"> L</w:t>
      </w:r>
      <w:r>
        <w:rPr>
          <w:b w:val="0"/>
          <w:i/>
          <w:position w:val="-4"/>
          <w:sz w:val="16"/>
        </w:rPr>
        <w:t>m</w:t>
      </w:r>
      <w:r>
        <w:rPr>
          <w:b w:val="0"/>
        </w:rPr>
        <w:t>)</w:t>
      </w:r>
    </w:p>
    <w:p w:rsidR="00505483" w:rsidRDefault="00505483" w:rsidP="00505483">
      <w:r>
        <w:t>Différence entre l'affaiblissement de transmission de référence et l'affaiblissement de transmission de référence en espace libre, exprimés en décibels.</w:t>
      </w:r>
    </w:p>
    <w:p w:rsidR="00505483" w:rsidRDefault="00505483" w:rsidP="00505483">
      <w:pPr>
        <w:pStyle w:val="Note"/>
      </w:pPr>
      <w:r>
        <w:t>NOTE 1 – L'affaiblissement par rapport à l'espace libre peut s'exprimer par:</w:t>
      </w:r>
    </w:p>
    <w:p w:rsidR="00505483" w:rsidRPr="003D379A" w:rsidRDefault="00505483" w:rsidP="00505483">
      <w:pPr>
        <w:pStyle w:val="Equation"/>
        <w:rPr>
          <w:lang w:val="fr-CH"/>
        </w:rPr>
      </w:pPr>
      <w:bookmarkStart w:id="9" w:name="F006"/>
      <w:bookmarkStart w:id="10" w:name="F003"/>
      <w:r>
        <w:tab/>
      </w:r>
      <w:r>
        <w:tab/>
      </w:r>
      <w:r w:rsidRPr="003D379A">
        <w:rPr>
          <w:i/>
          <w:lang w:val="fr-CH"/>
        </w:rPr>
        <w:t>L</w:t>
      </w:r>
      <w:r w:rsidRPr="003D379A">
        <w:rPr>
          <w:i/>
          <w:position w:val="-4"/>
          <w:sz w:val="18"/>
          <w:lang w:val="fr-CH"/>
        </w:rPr>
        <w:t>m</w:t>
      </w:r>
      <w:r w:rsidRPr="003D379A">
        <w:rPr>
          <w:lang w:val="fr-CH"/>
        </w:rPr>
        <w:t xml:space="preserve">  </w:t>
      </w:r>
      <w:r>
        <w:rPr>
          <w:rFonts w:ascii="Symbol" w:hAnsi="Symbol"/>
        </w:rPr>
        <w:t></w:t>
      </w:r>
      <w:r w:rsidRPr="003D379A">
        <w:rPr>
          <w:lang w:val="fr-CH"/>
        </w:rPr>
        <w:t xml:space="preserve">  </w:t>
      </w:r>
      <w:r w:rsidRPr="003D379A">
        <w:rPr>
          <w:i/>
          <w:lang w:val="fr-CH"/>
        </w:rPr>
        <w:t>L</w:t>
      </w:r>
      <w:r w:rsidRPr="003D379A">
        <w:rPr>
          <w:i/>
          <w:position w:val="-4"/>
          <w:sz w:val="18"/>
          <w:lang w:val="fr-CH"/>
        </w:rPr>
        <w:t>b</w:t>
      </w:r>
      <w:r w:rsidRPr="003D379A">
        <w:rPr>
          <w:lang w:val="fr-CH"/>
        </w:rPr>
        <w:t xml:space="preserve">  –  </w:t>
      </w:r>
      <w:r w:rsidRPr="003D379A">
        <w:rPr>
          <w:i/>
          <w:lang w:val="fr-CH"/>
        </w:rPr>
        <w:t>L</w:t>
      </w:r>
      <w:r w:rsidRPr="003D379A">
        <w:rPr>
          <w:i/>
          <w:position w:val="-4"/>
          <w:sz w:val="18"/>
          <w:lang w:val="fr-CH"/>
        </w:rPr>
        <w:t>bf</w:t>
      </w:r>
      <w:r w:rsidRPr="003D379A">
        <w:rPr>
          <w:lang w:val="fr-CH"/>
        </w:rPr>
        <w:t>               dB</w:t>
      </w:r>
      <w:r w:rsidRPr="003D379A">
        <w:rPr>
          <w:lang w:val="fr-CH"/>
        </w:rPr>
        <w:tab/>
        <w:t>(6)</w:t>
      </w:r>
      <w:bookmarkEnd w:id="9"/>
      <w:bookmarkEnd w:id="10"/>
    </w:p>
    <w:p w:rsidR="00505483" w:rsidRDefault="00505483" w:rsidP="00505483">
      <w:pPr>
        <w:pStyle w:val="Note"/>
      </w:pPr>
      <w:r>
        <w:t xml:space="preserve">NOTE 2 – On peut décomposer l'affaiblissement par rapport à l'espace libre </w:t>
      </w:r>
      <w:r>
        <w:rPr>
          <w:i/>
        </w:rPr>
        <w:t>L</w:t>
      </w:r>
      <w:r>
        <w:rPr>
          <w:i/>
          <w:position w:val="-4"/>
          <w:sz w:val="16"/>
        </w:rPr>
        <w:t>m</w:t>
      </w:r>
      <w:r>
        <w:t xml:space="preserve"> en plusieurs affaiblissements, tels que:</w:t>
      </w:r>
    </w:p>
    <w:p w:rsidR="00505483" w:rsidRDefault="00505483" w:rsidP="00505483">
      <w:pPr>
        <w:pStyle w:val="enumlev1"/>
      </w:pPr>
      <w:r>
        <w:t>–</w:t>
      </w:r>
      <w:r>
        <w:tab/>
        <w:t>l'affaiblissement d'absorption (absorption par l'ionosphère, par les gaz de l'atmosphère ou par les précipitations);</w:t>
      </w:r>
    </w:p>
    <w:p w:rsidR="00505483" w:rsidRDefault="00505483" w:rsidP="00505483">
      <w:pPr>
        <w:pStyle w:val="enumlev1"/>
      </w:pPr>
      <w:r>
        <w:t>–</w:t>
      </w:r>
      <w:r>
        <w:tab/>
        <w:t>l'affaiblissement par diffraction comme pour le cas de l'onde de sol;</w:t>
      </w:r>
    </w:p>
    <w:p w:rsidR="00505483" w:rsidRDefault="00505483" w:rsidP="00505483">
      <w:pPr>
        <w:pStyle w:val="enumlev1"/>
      </w:pPr>
      <w:r>
        <w:t>–</w:t>
      </w:r>
      <w:r>
        <w:tab/>
        <w:t>l'affaiblissement dû à la réflexion équivalente ou à la diffusion, comme dans le cas de l'ionosphère, compte tenu des effets de focalisation ou défocalisation due à la courbure d'une couche réfléchissante;</w:t>
      </w:r>
    </w:p>
    <w:p w:rsidR="00505483" w:rsidRDefault="00505483" w:rsidP="00505483">
      <w:pPr>
        <w:pStyle w:val="enumlev1"/>
      </w:pPr>
      <w:r>
        <w:t>–</w:t>
      </w:r>
      <w:r>
        <w:tab/>
        <w:t>l'affaiblissement par couplage de polarisation, lequel peut provenir de tout défaut d'adaptation de polarisation entre les antennes pour le trajet particulier considéré;</w:t>
      </w:r>
    </w:p>
    <w:p w:rsidR="00505483" w:rsidRDefault="00505483" w:rsidP="00505483">
      <w:pPr>
        <w:pStyle w:val="enumlev1"/>
      </w:pPr>
      <w:r>
        <w:t>–</w:t>
      </w:r>
      <w:r>
        <w:tab/>
        <w:t>la baisse de gain d'antenne ou dégradation du gain d'antenne, qui peut être due à la présence de phénomènes importants de diffusion sur le trajet;</w:t>
      </w:r>
    </w:p>
    <w:p w:rsidR="00505483" w:rsidRDefault="00505483" w:rsidP="00505483">
      <w:pPr>
        <w:pStyle w:val="enumlev1"/>
      </w:pPr>
      <w:r>
        <w:t>–</w:t>
      </w:r>
      <w:r>
        <w:tab/>
        <w:t>l'effet des interférences entre le rayon direct et les rayons réfléchis par le sol, par des obstacles ou par des couches atmosphériques.</w:t>
      </w:r>
    </w:p>
    <w:p w:rsidR="00505483" w:rsidRDefault="00505483" w:rsidP="00505483"/>
    <w:p w:rsidR="00505483" w:rsidRDefault="00505483" w:rsidP="00505483">
      <w:pPr>
        <w:pStyle w:val="Annextitle"/>
      </w:pPr>
      <w:r w:rsidRPr="00E0024D">
        <w:t>Annexe</w:t>
      </w:r>
      <w:r>
        <w:t xml:space="preserve"> 1</w:t>
      </w:r>
    </w:p>
    <w:p w:rsidR="00505483" w:rsidRDefault="00505483" w:rsidP="00505483">
      <w:pPr>
        <w:pStyle w:val="Heading1"/>
      </w:pPr>
      <w:r>
        <w:t>1</w:t>
      </w:r>
      <w:r>
        <w:tab/>
        <w:t>Directivité d'une antenne</w:t>
      </w:r>
    </w:p>
    <w:p w:rsidR="00505483" w:rsidRDefault="00505483" w:rsidP="00505483">
      <w:r>
        <w:t>La directivité dans une direction donnée est le rapport de l'intensité de rayonnement (puissance par unité d'angle solide (stéradian)) dans cette direction à l'intensité moyenne de rayonnement dans toutes les directions.</w:t>
      </w:r>
    </w:p>
    <w:p w:rsidR="00505483" w:rsidRDefault="00505483" w:rsidP="00505483">
      <w:r>
        <w:t xml:space="preserve">Lorsque l'on convertit l'affaiblissement de transmission ou, dans des cas spécifiques, l'affaiblissement de transmission pour un trajet radioélectrique en un affaiblissement de transmission de référence, il faut tenir compte des directivités en onde plane des antennes d'émission et de réception, dans la direction et pour la polarisation choisies. Dans les cas où les caractéristiques de l'antenne sont influencées par la présence du sol au voisinage de l'antenne ou par d'autres obstacles (qui n'affectent pas le trajet), la directivité est la valeur obtenue avec l'antenne </w:t>
      </w:r>
      <w:r>
        <w:rPr>
          <w:i/>
        </w:rPr>
        <w:t>in situ</w:t>
      </w:r>
      <w:r>
        <w:t>.</w:t>
      </w:r>
    </w:p>
    <w:p w:rsidR="00505483" w:rsidRDefault="00505483" w:rsidP="00505483">
      <w:r>
        <w:t xml:space="preserve">Dans le cas particulier de la propagation par onde de sol avec les antennes situées au sol ou à son voisinage, bien que la directivité de l'antenne de réception </w:t>
      </w:r>
      <w:r>
        <w:rPr>
          <w:i/>
        </w:rPr>
        <w:t>G</w:t>
      </w:r>
      <w:r>
        <w:rPr>
          <w:i/>
          <w:position w:val="-4"/>
          <w:sz w:val="16"/>
        </w:rPr>
        <w:t>r</w:t>
      </w:r>
      <w:r>
        <w:t xml:space="preserve"> soit déterminée par la définition ci-dessus, l'aire équivalente pour le signal (et par conséquent la puissance disponible) est inférieure à sa valeur en espace libre. La valeur à utiliser pour </w:t>
      </w:r>
      <w:r>
        <w:rPr>
          <w:i/>
        </w:rPr>
        <w:t>G</w:t>
      </w:r>
      <w:r>
        <w:rPr>
          <w:i/>
          <w:position w:val="-4"/>
          <w:sz w:val="16"/>
        </w:rPr>
        <w:t>r</w:t>
      </w:r>
      <w:r>
        <w:t xml:space="preserve"> doit donc être réduite (voir l'Annexe 2).</w:t>
      </w:r>
    </w:p>
    <w:p w:rsidR="00505483" w:rsidRDefault="00505483" w:rsidP="00505483">
      <w:pPr>
        <w:pStyle w:val="Heading1"/>
      </w:pPr>
      <w:r>
        <w:t>2</w:t>
      </w:r>
      <w:r>
        <w:tab/>
        <w:t>Gain d'antenne</w:t>
      </w:r>
    </w:p>
    <w:p w:rsidR="00505483" w:rsidRDefault="00505483" w:rsidP="00505483">
      <w:r>
        <w:t>Le gain en puissance d'une antenne est défini comme le rapport, habituellement exprimé en décibels, entre la puissance nécessaire à l'entrée d'une antenne de référence sans perte et la puissance fournie à l'entrée de l'antenne donnée, pour que les deux antennes produisent dans une direction donnée le même champ ou la même puissance surfacique, à la même distance. En l'absence d'indication contraire, il s'agit du gain de l'antenne dans la direction du maximum de rayonnement. On peut éventuellement considérer le gain pour une polarisation spécifiée.</w:t>
      </w:r>
    </w:p>
    <w:p w:rsidR="00505483" w:rsidRDefault="00505483" w:rsidP="00505483">
      <w:pPr>
        <w:pStyle w:val="Heading1"/>
      </w:pPr>
      <w:r>
        <w:t>3</w:t>
      </w:r>
      <w:r>
        <w:tab/>
        <w:t>Antennes de référence normalisées</w:t>
      </w:r>
    </w:p>
    <w:p w:rsidR="00505483" w:rsidRDefault="00505483" w:rsidP="00505483">
      <w:r>
        <w:t>Dans l'étude de la propagation sur des liaisons radioélectriques faisant intervenir diverses bandes de fréquences, on utilise un certain nombre d'antennes de référence, auxquelles se réfèrent les textes de l'UIT-R.</w:t>
      </w:r>
    </w:p>
    <w:p w:rsidR="00505483" w:rsidRDefault="00505483" w:rsidP="00505483">
      <w:r>
        <w:t>Suivant l'antenne de référence choisie, on distingue:</w:t>
      </w:r>
    </w:p>
    <w:p w:rsidR="00505483" w:rsidRDefault="00505483" w:rsidP="00505483">
      <w:pPr>
        <w:pStyle w:val="enumlev1"/>
      </w:pPr>
      <w:r>
        <w:t>–</w:t>
      </w:r>
      <w:r>
        <w:tab/>
      </w:r>
      <w:r>
        <w:rPr>
          <w:i/>
        </w:rPr>
        <w:t>le gain isotrope ou absolu</w:t>
      </w:r>
      <w:r>
        <w:t xml:space="preserve"> (</w:t>
      </w:r>
      <w:r>
        <w:rPr>
          <w:i/>
        </w:rPr>
        <w:t>G</w:t>
      </w:r>
      <w:r>
        <w:rPr>
          <w:i/>
          <w:position w:val="-4"/>
          <w:sz w:val="16"/>
        </w:rPr>
        <w:t>i</w:t>
      </w:r>
      <w:r>
        <w:t>) lorsque l'antenne de référence est une antenne isotrope isolée dans l'espace;</w:t>
      </w:r>
    </w:p>
    <w:p w:rsidR="00505483" w:rsidRDefault="00505483" w:rsidP="00505483">
      <w:pPr>
        <w:pStyle w:val="enumlev1"/>
      </w:pPr>
      <w:r>
        <w:t>–</w:t>
      </w:r>
      <w:r>
        <w:tab/>
      </w:r>
      <w:r>
        <w:rPr>
          <w:i/>
        </w:rPr>
        <w:t>le gain par rapport à un doublet demi-onde</w:t>
      </w:r>
      <w:r>
        <w:t xml:space="preserve"> (</w:t>
      </w:r>
      <w:r>
        <w:rPr>
          <w:i/>
        </w:rPr>
        <w:t>G</w:t>
      </w:r>
      <w:r>
        <w:rPr>
          <w:i/>
          <w:position w:val="-4"/>
          <w:sz w:val="16"/>
        </w:rPr>
        <w:t>d</w:t>
      </w:r>
      <w:r>
        <w:t>) lorsque l'antenne de référence est un doublet demi-onde, isolé dans l'espace, dont le plan équatorial contient la direction donnée;</w:t>
      </w:r>
    </w:p>
    <w:p w:rsidR="00505483" w:rsidRDefault="00505483" w:rsidP="00505483">
      <w:pPr>
        <w:pStyle w:val="enumlev1"/>
      </w:pPr>
      <w:r>
        <w:t>–</w:t>
      </w:r>
      <w:r>
        <w:tab/>
      </w:r>
      <w:r>
        <w:rPr>
          <w:i/>
        </w:rPr>
        <w:t>le gain par rapport à une antenne verticale courte</w:t>
      </w:r>
      <w:r>
        <w:t xml:space="preserve"> (</w:t>
      </w:r>
      <w:r>
        <w:rPr>
          <w:i/>
        </w:rPr>
        <w:t>G</w:t>
      </w:r>
      <w:r>
        <w:rPr>
          <w:i/>
          <w:position w:val="-4"/>
          <w:sz w:val="16"/>
        </w:rPr>
        <w:t>v</w:t>
      </w:r>
      <w:r>
        <w:t>) lorsque l'antenne de référence est un conducteur rectiligne beaucoup plus court que le quart de la longueur d'onde, normal à la surface d'un plan parfaitement conducteur qui contient la direction donnée.</w:t>
      </w:r>
    </w:p>
    <w:p w:rsidR="00505483" w:rsidRDefault="00505483" w:rsidP="00505483">
      <w:r>
        <w:t>(Le gain en puissance correspond à la directivité maximale pour des antennes sans perte.)</w:t>
      </w:r>
    </w:p>
    <w:p w:rsidR="00505483" w:rsidRDefault="00505483" w:rsidP="00505483">
      <w:r>
        <w:t>Le Tableau 1 donne la directivité</w:t>
      </w:r>
      <w:r>
        <w:rPr>
          <w:i/>
        </w:rPr>
        <w:t xml:space="preserve"> G</w:t>
      </w:r>
      <w:r>
        <w:rPr>
          <w:i/>
          <w:position w:val="-4"/>
          <w:sz w:val="16"/>
        </w:rPr>
        <w:t>t</w:t>
      </w:r>
      <w:r>
        <w:t xml:space="preserve"> pour certaines antennes de référence types. Les valeurs correspondantes de la force cymomotrice y sont également indiquées pour une puissance rayonnée de 1 kW.</w:t>
      </w:r>
    </w:p>
    <w:p w:rsidR="00505483" w:rsidRDefault="00505483" w:rsidP="00505483">
      <w:pPr>
        <w:pStyle w:val="TableNo"/>
      </w:pPr>
      <w:r>
        <w:t>TABLEAU 1</w:t>
      </w:r>
    </w:p>
    <w:p w:rsidR="00505483" w:rsidRDefault="00505483" w:rsidP="00505483">
      <w:pPr>
        <w:pStyle w:val="Tabletitle"/>
      </w:pPr>
      <w:r>
        <w:t>Directivité de certaines antennes de référence types et relation avec la force cymomotrice</w:t>
      </w:r>
    </w:p>
    <w:p w:rsidR="00505483" w:rsidRPr="00505483" w:rsidRDefault="00505483" w:rsidP="00505483">
      <w:pPr>
        <w:pStyle w:val="Blanc"/>
        <w:rPr>
          <w:lang w:val="fr-CH"/>
        </w:rPr>
      </w:pPr>
    </w:p>
    <w:tbl>
      <w:tblPr>
        <w:tblW w:w="0" w:type="auto"/>
        <w:jc w:val="center"/>
        <w:tblLayout w:type="fixed"/>
        <w:tblCellMar>
          <w:left w:w="107" w:type="dxa"/>
          <w:right w:w="107" w:type="dxa"/>
        </w:tblCellMar>
        <w:tblLook w:val="0000" w:firstRow="0" w:lastRow="0" w:firstColumn="0" w:lastColumn="0" w:noHBand="0" w:noVBand="0"/>
      </w:tblPr>
      <w:tblGrid>
        <w:gridCol w:w="4633"/>
        <w:gridCol w:w="1134"/>
        <w:gridCol w:w="1134"/>
        <w:gridCol w:w="2835"/>
      </w:tblGrid>
      <w:tr w:rsidR="00505483" w:rsidTr="00C91155">
        <w:trPr>
          <w:cantSplit/>
          <w:jc w:val="center"/>
        </w:trPr>
        <w:tc>
          <w:tcPr>
            <w:tcW w:w="4633" w:type="dxa"/>
            <w:tcBorders>
              <w:top w:val="single" w:sz="6" w:space="0" w:color="auto"/>
              <w:left w:val="single" w:sz="6" w:space="0" w:color="auto"/>
              <w:right w:val="single" w:sz="6" w:space="0" w:color="auto"/>
            </w:tcBorders>
          </w:tcPr>
          <w:p w:rsidR="00505483" w:rsidRDefault="00505483" w:rsidP="00C91155">
            <w:pPr>
              <w:pStyle w:val="Tablehead"/>
            </w:pPr>
            <w:r>
              <w:t>Antenne de référence</w:t>
            </w:r>
          </w:p>
        </w:tc>
        <w:tc>
          <w:tcPr>
            <w:tcW w:w="1134" w:type="dxa"/>
            <w:tcBorders>
              <w:top w:val="single" w:sz="6" w:space="0" w:color="auto"/>
              <w:left w:val="single" w:sz="6" w:space="0" w:color="auto"/>
              <w:right w:val="single" w:sz="6" w:space="0" w:color="auto"/>
            </w:tcBorders>
          </w:tcPr>
          <w:p w:rsidR="00505483" w:rsidRDefault="00505483" w:rsidP="00C91155">
            <w:pPr>
              <w:pStyle w:val="Tablehead"/>
            </w:pPr>
            <w:r>
              <w:rPr>
                <w:i/>
              </w:rPr>
              <w:t>g</w:t>
            </w:r>
            <w:r>
              <w:rPr>
                <w:i/>
                <w:position w:val="-4"/>
                <w:sz w:val="14"/>
              </w:rPr>
              <w:t>t</w:t>
            </w:r>
          </w:p>
        </w:tc>
        <w:tc>
          <w:tcPr>
            <w:tcW w:w="1134" w:type="dxa"/>
            <w:tcBorders>
              <w:top w:val="single" w:sz="6" w:space="0" w:color="auto"/>
              <w:left w:val="single" w:sz="6" w:space="0" w:color="auto"/>
              <w:right w:val="single" w:sz="6" w:space="0" w:color="auto"/>
            </w:tcBorders>
          </w:tcPr>
          <w:p w:rsidR="00505483" w:rsidRDefault="00505483" w:rsidP="00C91155">
            <w:pPr>
              <w:pStyle w:val="Tablehead"/>
            </w:pPr>
            <w:r>
              <w:rPr>
                <w:i/>
              </w:rPr>
              <w:t>G</w:t>
            </w:r>
            <w:r>
              <w:rPr>
                <w:i/>
                <w:position w:val="-4"/>
                <w:sz w:val="14"/>
              </w:rPr>
              <w:t>t</w:t>
            </w:r>
            <w:r>
              <w:rPr>
                <w:position w:val="6"/>
                <w:sz w:val="14"/>
              </w:rPr>
              <w:t>(1)</w:t>
            </w:r>
            <w:r>
              <w:br/>
              <w:t>(dBi)</w:t>
            </w:r>
          </w:p>
        </w:tc>
        <w:tc>
          <w:tcPr>
            <w:tcW w:w="2835" w:type="dxa"/>
            <w:tcBorders>
              <w:top w:val="single" w:sz="6" w:space="0" w:color="auto"/>
              <w:left w:val="single" w:sz="6" w:space="0" w:color="auto"/>
              <w:right w:val="single" w:sz="6" w:space="0" w:color="auto"/>
            </w:tcBorders>
          </w:tcPr>
          <w:p w:rsidR="00505483" w:rsidRDefault="00505483" w:rsidP="00C91155">
            <w:pPr>
              <w:pStyle w:val="Tablehead"/>
            </w:pPr>
            <w:r>
              <w:t xml:space="preserve">Force cymomotrice pour une puissance rayonnée de 1 kW </w:t>
            </w:r>
            <w:r>
              <w:br/>
              <w:t>(V)</w:t>
            </w:r>
          </w:p>
        </w:tc>
      </w:tr>
      <w:tr w:rsidR="00505483" w:rsidTr="00C91155">
        <w:trPr>
          <w:cantSplit/>
          <w:jc w:val="center"/>
        </w:trPr>
        <w:tc>
          <w:tcPr>
            <w:tcW w:w="4633" w:type="dxa"/>
            <w:tcBorders>
              <w:top w:val="single" w:sz="6" w:space="0" w:color="auto"/>
              <w:left w:val="single" w:sz="6" w:space="0" w:color="auto"/>
              <w:right w:val="single" w:sz="6" w:space="0" w:color="auto"/>
            </w:tcBorders>
          </w:tcPr>
          <w:p w:rsidR="00505483" w:rsidRDefault="00505483" w:rsidP="00AB1DD5">
            <w:pPr>
              <w:pStyle w:val="Tabletext"/>
              <w:jc w:val="left"/>
            </w:pPr>
            <w:r>
              <w:t>Antenne isotrope en espace libre</w:t>
            </w:r>
          </w:p>
        </w:tc>
        <w:tc>
          <w:tcPr>
            <w:tcW w:w="1134" w:type="dxa"/>
            <w:tcBorders>
              <w:top w:val="single" w:sz="6" w:space="0" w:color="auto"/>
              <w:left w:val="single" w:sz="6" w:space="0" w:color="auto"/>
              <w:right w:val="single" w:sz="6" w:space="0" w:color="auto"/>
            </w:tcBorders>
          </w:tcPr>
          <w:p w:rsidR="00505483" w:rsidRDefault="00505483" w:rsidP="00C91155">
            <w:pPr>
              <w:pStyle w:val="Tabletext"/>
            </w:pPr>
            <w:r>
              <w:tab/>
              <w:t>1</w:t>
            </w:r>
          </w:p>
        </w:tc>
        <w:tc>
          <w:tcPr>
            <w:tcW w:w="1134" w:type="dxa"/>
            <w:tcBorders>
              <w:top w:val="single" w:sz="6" w:space="0" w:color="auto"/>
              <w:left w:val="single" w:sz="6" w:space="0" w:color="auto"/>
              <w:right w:val="single" w:sz="6" w:space="0" w:color="auto"/>
            </w:tcBorders>
          </w:tcPr>
          <w:p w:rsidR="00505483" w:rsidRDefault="00505483" w:rsidP="00C91155">
            <w:pPr>
              <w:pStyle w:val="Tabletext"/>
            </w:pPr>
            <w:r>
              <w:tab/>
              <w:t>0</w:t>
            </w:r>
          </w:p>
        </w:tc>
        <w:tc>
          <w:tcPr>
            <w:tcW w:w="2835" w:type="dxa"/>
            <w:tcBorders>
              <w:top w:val="single" w:sz="6" w:space="0" w:color="auto"/>
              <w:left w:val="single" w:sz="6" w:space="0" w:color="auto"/>
              <w:right w:val="single" w:sz="6" w:space="0" w:color="auto"/>
            </w:tcBorders>
          </w:tcPr>
          <w:p w:rsidR="00505483" w:rsidRDefault="00505483" w:rsidP="00C91155">
            <w:pPr>
              <w:pStyle w:val="Tabletext"/>
              <w:jc w:val="center"/>
            </w:pPr>
            <w:r>
              <w:t>173</w:t>
            </w:r>
          </w:p>
        </w:tc>
      </w:tr>
      <w:tr w:rsidR="00505483" w:rsidTr="00C91155">
        <w:trPr>
          <w:cantSplit/>
          <w:jc w:val="center"/>
        </w:trPr>
        <w:tc>
          <w:tcPr>
            <w:tcW w:w="4633" w:type="dxa"/>
            <w:tcBorders>
              <w:left w:val="single" w:sz="6" w:space="0" w:color="auto"/>
              <w:right w:val="single" w:sz="6" w:space="0" w:color="auto"/>
            </w:tcBorders>
          </w:tcPr>
          <w:p w:rsidR="00505483" w:rsidRDefault="00505483" w:rsidP="00AB1DD5">
            <w:pPr>
              <w:pStyle w:val="Tabletext"/>
              <w:jc w:val="left"/>
            </w:pPr>
            <w:r>
              <w:t>Doublet de Hertz en espace libre</w:t>
            </w:r>
          </w:p>
        </w:tc>
        <w:tc>
          <w:tcPr>
            <w:tcW w:w="1134" w:type="dxa"/>
            <w:tcBorders>
              <w:left w:val="single" w:sz="6" w:space="0" w:color="auto"/>
              <w:right w:val="single" w:sz="6" w:space="0" w:color="auto"/>
            </w:tcBorders>
          </w:tcPr>
          <w:p w:rsidR="00505483" w:rsidRDefault="00505483" w:rsidP="00C91155">
            <w:pPr>
              <w:pStyle w:val="Tabletext"/>
            </w:pPr>
            <w:r>
              <w:tab/>
              <w:t>1,5</w:t>
            </w:r>
          </w:p>
        </w:tc>
        <w:tc>
          <w:tcPr>
            <w:tcW w:w="1134" w:type="dxa"/>
            <w:tcBorders>
              <w:left w:val="single" w:sz="6" w:space="0" w:color="auto"/>
              <w:right w:val="single" w:sz="6" w:space="0" w:color="auto"/>
            </w:tcBorders>
          </w:tcPr>
          <w:p w:rsidR="00505483" w:rsidRDefault="00505483" w:rsidP="00C91155">
            <w:pPr>
              <w:pStyle w:val="Tabletext"/>
            </w:pPr>
            <w:r>
              <w:tab/>
              <w:t>1,75</w:t>
            </w:r>
          </w:p>
        </w:tc>
        <w:tc>
          <w:tcPr>
            <w:tcW w:w="2835" w:type="dxa"/>
            <w:tcBorders>
              <w:left w:val="single" w:sz="6" w:space="0" w:color="auto"/>
              <w:right w:val="single" w:sz="6" w:space="0" w:color="auto"/>
            </w:tcBorders>
          </w:tcPr>
          <w:p w:rsidR="00505483" w:rsidRDefault="00505483" w:rsidP="00C91155">
            <w:pPr>
              <w:pStyle w:val="Tabletext"/>
              <w:jc w:val="center"/>
            </w:pPr>
            <w:r>
              <w:t>212</w:t>
            </w:r>
          </w:p>
        </w:tc>
      </w:tr>
      <w:tr w:rsidR="00505483" w:rsidTr="00C91155">
        <w:trPr>
          <w:cantSplit/>
          <w:jc w:val="center"/>
        </w:trPr>
        <w:tc>
          <w:tcPr>
            <w:tcW w:w="4633" w:type="dxa"/>
            <w:tcBorders>
              <w:left w:val="single" w:sz="6" w:space="0" w:color="auto"/>
              <w:right w:val="single" w:sz="6" w:space="0" w:color="auto"/>
            </w:tcBorders>
          </w:tcPr>
          <w:p w:rsidR="00505483" w:rsidRDefault="00505483" w:rsidP="00AB1DD5">
            <w:pPr>
              <w:pStyle w:val="Tabletext"/>
              <w:jc w:val="left"/>
            </w:pPr>
            <w:r>
              <w:t>Doublet demi-onde en espace libre</w:t>
            </w:r>
          </w:p>
        </w:tc>
        <w:tc>
          <w:tcPr>
            <w:tcW w:w="1134" w:type="dxa"/>
            <w:tcBorders>
              <w:left w:val="single" w:sz="6" w:space="0" w:color="auto"/>
              <w:right w:val="single" w:sz="6" w:space="0" w:color="auto"/>
            </w:tcBorders>
          </w:tcPr>
          <w:p w:rsidR="00505483" w:rsidRDefault="00505483" w:rsidP="00C91155">
            <w:pPr>
              <w:pStyle w:val="Tabletext"/>
            </w:pPr>
            <w:r>
              <w:tab/>
              <w:t>1,65</w:t>
            </w:r>
          </w:p>
        </w:tc>
        <w:tc>
          <w:tcPr>
            <w:tcW w:w="1134" w:type="dxa"/>
            <w:tcBorders>
              <w:left w:val="single" w:sz="6" w:space="0" w:color="auto"/>
              <w:right w:val="single" w:sz="6" w:space="0" w:color="auto"/>
            </w:tcBorders>
          </w:tcPr>
          <w:p w:rsidR="00505483" w:rsidRDefault="00505483" w:rsidP="00C91155">
            <w:pPr>
              <w:pStyle w:val="Tabletext"/>
            </w:pPr>
            <w:r>
              <w:tab/>
              <w:t>2,15</w:t>
            </w:r>
          </w:p>
        </w:tc>
        <w:tc>
          <w:tcPr>
            <w:tcW w:w="2835" w:type="dxa"/>
            <w:tcBorders>
              <w:left w:val="single" w:sz="6" w:space="0" w:color="auto"/>
              <w:right w:val="single" w:sz="6" w:space="0" w:color="auto"/>
            </w:tcBorders>
          </w:tcPr>
          <w:p w:rsidR="00505483" w:rsidRDefault="00505483" w:rsidP="00C91155">
            <w:pPr>
              <w:pStyle w:val="Tabletext"/>
              <w:jc w:val="center"/>
            </w:pPr>
            <w:r>
              <w:t>222</w:t>
            </w:r>
          </w:p>
        </w:tc>
      </w:tr>
      <w:tr w:rsidR="00505483" w:rsidTr="00C91155">
        <w:trPr>
          <w:cantSplit/>
          <w:jc w:val="center"/>
        </w:trPr>
        <w:tc>
          <w:tcPr>
            <w:tcW w:w="4633" w:type="dxa"/>
            <w:tcBorders>
              <w:left w:val="single" w:sz="6" w:space="0" w:color="auto"/>
              <w:right w:val="single" w:sz="6" w:space="0" w:color="auto"/>
            </w:tcBorders>
          </w:tcPr>
          <w:p w:rsidR="00505483" w:rsidRDefault="00505483" w:rsidP="00AB1DD5">
            <w:pPr>
              <w:pStyle w:val="Tabletext"/>
              <w:jc w:val="left"/>
            </w:pPr>
            <w:r>
              <w:t>Doublet de Hertz ou antenne unipolaire verticale courte sur un sol parfaitement conducteur</w:t>
            </w:r>
            <w:r>
              <w:rPr>
                <w:position w:val="6"/>
                <w:sz w:val="14"/>
              </w:rPr>
              <w:t>(2)</w:t>
            </w:r>
          </w:p>
        </w:tc>
        <w:tc>
          <w:tcPr>
            <w:tcW w:w="1134" w:type="dxa"/>
            <w:tcBorders>
              <w:left w:val="single" w:sz="6" w:space="0" w:color="auto"/>
              <w:right w:val="single" w:sz="6" w:space="0" w:color="auto"/>
            </w:tcBorders>
          </w:tcPr>
          <w:p w:rsidR="00505483" w:rsidRDefault="00505483" w:rsidP="00C91155">
            <w:pPr>
              <w:pStyle w:val="Tabletext"/>
            </w:pPr>
            <w:r>
              <w:tab/>
              <w:t>3</w:t>
            </w:r>
          </w:p>
        </w:tc>
        <w:tc>
          <w:tcPr>
            <w:tcW w:w="1134" w:type="dxa"/>
            <w:tcBorders>
              <w:left w:val="single" w:sz="6" w:space="0" w:color="auto"/>
              <w:right w:val="single" w:sz="6" w:space="0" w:color="auto"/>
            </w:tcBorders>
          </w:tcPr>
          <w:p w:rsidR="00505483" w:rsidRDefault="00505483" w:rsidP="00C91155">
            <w:pPr>
              <w:pStyle w:val="Tabletext"/>
            </w:pPr>
            <w:r>
              <w:tab/>
              <w:t>4,8</w:t>
            </w:r>
          </w:p>
        </w:tc>
        <w:tc>
          <w:tcPr>
            <w:tcW w:w="2835" w:type="dxa"/>
            <w:tcBorders>
              <w:left w:val="single" w:sz="6" w:space="0" w:color="auto"/>
              <w:right w:val="single" w:sz="6" w:space="0" w:color="auto"/>
            </w:tcBorders>
          </w:tcPr>
          <w:p w:rsidR="00505483" w:rsidRDefault="00505483" w:rsidP="00C91155">
            <w:pPr>
              <w:pStyle w:val="Tabletext"/>
              <w:jc w:val="center"/>
            </w:pPr>
            <w:r>
              <w:t>300</w:t>
            </w:r>
          </w:p>
        </w:tc>
      </w:tr>
      <w:tr w:rsidR="00505483" w:rsidTr="00C91155">
        <w:trPr>
          <w:cantSplit/>
          <w:jc w:val="center"/>
        </w:trPr>
        <w:tc>
          <w:tcPr>
            <w:tcW w:w="4633" w:type="dxa"/>
            <w:tcBorders>
              <w:left w:val="single" w:sz="6" w:space="0" w:color="auto"/>
              <w:right w:val="single" w:sz="6" w:space="0" w:color="auto"/>
            </w:tcBorders>
          </w:tcPr>
          <w:p w:rsidR="00505483" w:rsidRDefault="00505483" w:rsidP="00AB1DD5">
            <w:pPr>
              <w:pStyle w:val="Tabletext"/>
              <w:jc w:val="left"/>
            </w:pPr>
            <w:r>
              <w:t>Antenne unipolaire quart d'onde sur un sol parfaitement conducteur</w:t>
            </w:r>
            <w:r>
              <w:rPr>
                <w:position w:val="6"/>
                <w:sz w:val="14"/>
              </w:rPr>
              <w:t>(2)</w:t>
            </w:r>
          </w:p>
        </w:tc>
        <w:tc>
          <w:tcPr>
            <w:tcW w:w="1134" w:type="dxa"/>
            <w:tcBorders>
              <w:left w:val="single" w:sz="6" w:space="0" w:color="auto"/>
              <w:right w:val="single" w:sz="6" w:space="0" w:color="auto"/>
            </w:tcBorders>
          </w:tcPr>
          <w:p w:rsidR="00505483" w:rsidRDefault="00505483" w:rsidP="00C91155">
            <w:pPr>
              <w:pStyle w:val="Tabletext"/>
            </w:pPr>
            <w:r>
              <w:tab/>
              <w:t>3,3</w:t>
            </w:r>
          </w:p>
        </w:tc>
        <w:tc>
          <w:tcPr>
            <w:tcW w:w="1134" w:type="dxa"/>
            <w:tcBorders>
              <w:left w:val="single" w:sz="6" w:space="0" w:color="auto"/>
              <w:right w:val="single" w:sz="6" w:space="0" w:color="auto"/>
            </w:tcBorders>
          </w:tcPr>
          <w:p w:rsidR="00505483" w:rsidRDefault="00505483" w:rsidP="00C91155">
            <w:pPr>
              <w:pStyle w:val="Tabletext"/>
            </w:pPr>
            <w:r>
              <w:tab/>
              <w:t>5,2</w:t>
            </w:r>
          </w:p>
        </w:tc>
        <w:tc>
          <w:tcPr>
            <w:tcW w:w="2835" w:type="dxa"/>
            <w:tcBorders>
              <w:left w:val="single" w:sz="6" w:space="0" w:color="auto"/>
              <w:right w:val="single" w:sz="6" w:space="0" w:color="auto"/>
            </w:tcBorders>
          </w:tcPr>
          <w:p w:rsidR="00505483" w:rsidRDefault="00505483" w:rsidP="00C91155">
            <w:pPr>
              <w:pStyle w:val="Tabletext"/>
              <w:jc w:val="center"/>
            </w:pPr>
            <w:r>
              <w:t>314</w:t>
            </w:r>
          </w:p>
        </w:tc>
      </w:tr>
      <w:tr w:rsidR="00505483" w:rsidTr="00C91155">
        <w:trPr>
          <w:cantSplit/>
          <w:jc w:val="center"/>
        </w:trPr>
        <w:tc>
          <w:tcPr>
            <w:tcW w:w="9736" w:type="dxa"/>
            <w:gridSpan w:val="4"/>
            <w:tcBorders>
              <w:top w:val="single" w:sz="6" w:space="0" w:color="auto"/>
            </w:tcBorders>
          </w:tcPr>
          <w:p w:rsidR="00505483" w:rsidRDefault="00505483" w:rsidP="00C91155">
            <w:pPr>
              <w:pStyle w:val="Tabletext"/>
            </w:pPr>
            <w:r>
              <w:rPr>
                <w:position w:val="6"/>
                <w:sz w:val="14"/>
              </w:rPr>
              <w:t>(1)</w:t>
            </w:r>
            <w:r>
              <w:rPr>
                <w:position w:val="6"/>
                <w:sz w:val="12"/>
              </w:rPr>
              <w:tab/>
            </w:r>
            <w:r>
              <w:rPr>
                <w:i/>
              </w:rPr>
              <w:t>G</w:t>
            </w:r>
            <w:r>
              <w:rPr>
                <w:i/>
                <w:position w:val="-4"/>
                <w:sz w:val="14"/>
              </w:rPr>
              <w:t>t</w:t>
            </w:r>
            <w:r>
              <w:t xml:space="preserve"> </w:t>
            </w:r>
            <w:r>
              <w:rPr>
                <w:rFonts w:ascii="Symbol" w:hAnsi="Symbol"/>
              </w:rPr>
              <w:t></w:t>
            </w:r>
            <w:r>
              <w:t xml:space="preserve"> 10 log</w:t>
            </w:r>
            <w:r>
              <w:rPr>
                <w:i/>
              </w:rPr>
              <w:t xml:space="preserve"> g</w:t>
            </w:r>
            <w:r>
              <w:rPr>
                <w:i/>
                <w:position w:val="-4"/>
                <w:sz w:val="14"/>
              </w:rPr>
              <w:t>t</w:t>
            </w:r>
          </w:p>
          <w:p w:rsidR="00505483" w:rsidRDefault="00505483" w:rsidP="00C91155">
            <w:pPr>
              <w:pStyle w:val="Tabletext"/>
              <w:ind w:left="284" w:hanging="284"/>
            </w:pPr>
            <w:r>
              <w:tab/>
              <w:t>Les valeurs de</w:t>
            </w:r>
            <w:r>
              <w:rPr>
                <w:i/>
              </w:rPr>
              <w:t xml:space="preserve"> G</w:t>
            </w:r>
            <w:r>
              <w:rPr>
                <w:i/>
                <w:position w:val="-4"/>
                <w:sz w:val="14"/>
              </w:rPr>
              <w:t>r</w:t>
            </w:r>
            <w:r>
              <w:rPr>
                <w:rFonts w:ascii="Tms Rmn" w:hAnsi="Tms Rmn"/>
                <w:sz w:val="12"/>
              </w:rPr>
              <w:t> </w:t>
            </w:r>
            <w:r>
              <w:t>(</w:t>
            </w:r>
            <w:r>
              <w:rPr>
                <w:i/>
              </w:rPr>
              <w:t>g</w:t>
            </w:r>
            <w:r>
              <w:rPr>
                <w:i/>
                <w:position w:val="-4"/>
                <w:sz w:val="14"/>
              </w:rPr>
              <w:t>r</w:t>
            </w:r>
            <w:r>
              <w:t>) sont égales à celles de</w:t>
            </w:r>
            <w:r>
              <w:rPr>
                <w:i/>
              </w:rPr>
              <w:t xml:space="preserve"> G</w:t>
            </w:r>
            <w:r>
              <w:rPr>
                <w:i/>
                <w:position w:val="-4"/>
                <w:sz w:val="14"/>
              </w:rPr>
              <w:t>t</w:t>
            </w:r>
            <w:r>
              <w:rPr>
                <w:rFonts w:ascii="Tms Rmn" w:hAnsi="Tms Rmn"/>
                <w:sz w:val="12"/>
              </w:rPr>
              <w:t> </w:t>
            </w:r>
            <w:r>
              <w:t>(</w:t>
            </w:r>
            <w:r>
              <w:rPr>
                <w:i/>
              </w:rPr>
              <w:t>g</w:t>
            </w:r>
            <w:r>
              <w:rPr>
                <w:i/>
                <w:position w:val="-4"/>
                <w:sz w:val="14"/>
              </w:rPr>
              <w:t>t</w:t>
            </w:r>
            <w:r>
              <w:t>) pour des antennes en espace libre. Voir l'Annexe 2 pour les valeurs de</w:t>
            </w:r>
            <w:r>
              <w:rPr>
                <w:i/>
              </w:rPr>
              <w:t xml:space="preserve"> G</w:t>
            </w:r>
            <w:r>
              <w:rPr>
                <w:i/>
                <w:position w:val="-4"/>
                <w:sz w:val="14"/>
              </w:rPr>
              <w:t>r</w:t>
            </w:r>
            <w:r>
              <w:t xml:space="preserve"> dans le cas des antennes sur un sol parfaitement conducteur.</w:t>
            </w:r>
          </w:p>
          <w:p w:rsidR="00505483" w:rsidRDefault="00505483" w:rsidP="000A3597">
            <w:pPr>
              <w:pStyle w:val="Tabletext"/>
              <w:ind w:left="284" w:hanging="284"/>
            </w:pPr>
            <w:r>
              <w:rPr>
                <w:position w:val="6"/>
                <w:sz w:val="14"/>
              </w:rPr>
              <w:t>(2)</w:t>
            </w:r>
            <w:r>
              <w:tab/>
              <w:t>Dans ces cas, on suppose que l'antenne est proche d'un sol plan parfaitement conducteur, et que les rayonnements sont donc limités au demi-espace au-dessus du sol.</w:t>
            </w:r>
          </w:p>
        </w:tc>
      </w:tr>
    </w:tbl>
    <w:p w:rsidR="00505483" w:rsidRPr="00505483" w:rsidRDefault="00505483" w:rsidP="00505483">
      <w:pPr>
        <w:pStyle w:val="Tablefin"/>
        <w:rPr>
          <w:lang w:val="fr-CH"/>
        </w:rPr>
      </w:pPr>
    </w:p>
    <w:p w:rsidR="00505483" w:rsidRDefault="00505483" w:rsidP="00505483">
      <w:pPr>
        <w:pStyle w:val="Annextitle"/>
      </w:pPr>
      <w:r>
        <w:t>Annexe 2</w:t>
      </w:r>
      <w:r>
        <w:br/>
      </w:r>
      <w:r>
        <w:br/>
        <w:t>Influence de l'environnement sur les antennes</w:t>
      </w:r>
    </w:p>
    <w:p w:rsidR="00505483" w:rsidRPr="00505483" w:rsidRDefault="00505483" w:rsidP="000A3597">
      <w:pPr>
        <w:pStyle w:val="Normalaftertitle"/>
        <w:rPr>
          <w:lang w:val="fr-CH"/>
        </w:rPr>
      </w:pPr>
      <w:r w:rsidRPr="00505483">
        <w:rPr>
          <w:lang w:val="fr-CH"/>
        </w:rPr>
        <w:t>Lorsque les antennes sont installées au sol ou à proximité du sol (c'est-à-dire lorsque</w:t>
      </w:r>
      <w:r w:rsidRPr="00505483">
        <w:rPr>
          <w:i/>
          <w:lang w:val="fr-CH"/>
        </w:rPr>
        <w:t xml:space="preserve"> h</w:t>
      </w:r>
      <w:r w:rsidRPr="00505483">
        <w:rPr>
          <w:lang w:val="fr-CH"/>
        </w:rPr>
        <w:t xml:space="preserve"> &lt; </w:t>
      </w:r>
      <w:r>
        <w:rPr>
          <w:rFonts w:ascii="Symbol" w:hAnsi="Symbol"/>
        </w:rPr>
        <w:t></w:t>
      </w:r>
      <w:r w:rsidRPr="00505483">
        <w:rPr>
          <w:lang w:val="fr-CH"/>
        </w:rPr>
        <w:t>, surtout aux fréquences inférieures à 30 MHz), la valeur de la résistance de rayonnement de l'antenne en espace libre est modifiée par la présence du sol. En conséquence, la puissance surfacique à l'antenne de réception (laquelle résulte de la somme vectorielle du rayon direct et des rayons réfléchis) dépend de la hauteur de l'antenne d'émission et la surface de captation équivalente de l'antenne de réception dépend de sa hauteur au-dessus du sol.</w:t>
      </w:r>
    </w:p>
    <w:p w:rsidR="00505483" w:rsidRDefault="00505483" w:rsidP="00505483">
      <w:r>
        <w:t xml:space="preserve">Pour illustrer l'influence de l'environnement sur le fonctionnement d'un couple d'antennes (formant un circuit élémentaire), on considérera l'affaiblissement de transmission entre deux doublets électriques verticaux courts et sans perte, situés à des hauteurs respectives </w:t>
      </w:r>
      <w:r>
        <w:rPr>
          <w:i/>
        </w:rPr>
        <w:t>h</w:t>
      </w:r>
      <w:r>
        <w:rPr>
          <w:i/>
          <w:position w:val="-4"/>
          <w:sz w:val="16"/>
        </w:rPr>
        <w:t>t</w:t>
      </w:r>
      <w:r>
        <w:t xml:space="preserve"> et </w:t>
      </w:r>
      <w:r>
        <w:rPr>
          <w:i/>
        </w:rPr>
        <w:t>h</w:t>
      </w:r>
      <w:r>
        <w:rPr>
          <w:i/>
          <w:position w:val="-4"/>
          <w:sz w:val="16"/>
        </w:rPr>
        <w:t>r</w:t>
      </w:r>
      <w:r>
        <w:t xml:space="preserve"> au-dessus d'une surface plane parfaitement conductrice, la distance </w:t>
      </w:r>
      <w:r>
        <w:rPr>
          <w:i/>
        </w:rPr>
        <w:t>d</w:t>
      </w:r>
      <w:r>
        <w:t xml:space="preserve"> entre ces deux doublets, comptée le long de la surface étant très grande par rapport à la longueur d'onde </w:t>
      </w:r>
      <w:r>
        <w:rPr>
          <w:rFonts w:ascii="Symbol" w:hAnsi="Symbol"/>
        </w:rPr>
        <w:t></w:t>
      </w:r>
      <w:r>
        <w:t>.</w:t>
      </w:r>
    </w:p>
    <w:p w:rsidR="00505483" w:rsidRDefault="00505483" w:rsidP="00505483">
      <w:r>
        <w:rPr>
          <w:b/>
        </w:rPr>
        <w:t>1</w:t>
      </w:r>
      <w:r>
        <w:tab/>
        <w:t xml:space="preserve">La puissance surfacique </w:t>
      </w:r>
      <w:r>
        <w:rPr>
          <w:i/>
        </w:rPr>
        <w:t>s</w:t>
      </w:r>
      <w:r>
        <w:t xml:space="preserve"> (W/m</w:t>
      </w:r>
      <w:r>
        <w:rPr>
          <w:position w:val="6"/>
          <w:sz w:val="16"/>
        </w:rPr>
        <w:t>2</w:t>
      </w:r>
      <w:r>
        <w:t xml:space="preserve">) à la hauteur </w:t>
      </w:r>
      <w:r>
        <w:rPr>
          <w:i/>
        </w:rPr>
        <w:t>h</w:t>
      </w:r>
      <w:r>
        <w:rPr>
          <w:i/>
          <w:position w:val="-4"/>
          <w:sz w:val="16"/>
        </w:rPr>
        <w:t>r</w:t>
      </w:r>
      <w:r>
        <w:t xml:space="preserve"> est donnée par:</w:t>
      </w:r>
    </w:p>
    <w:p w:rsidR="00505483" w:rsidRDefault="00505483" w:rsidP="00505483">
      <w:pPr>
        <w:pStyle w:val="Equation"/>
      </w:pPr>
      <w:r>
        <w:rPr>
          <w:i/>
        </w:rPr>
        <w:tab/>
      </w:r>
      <w:r>
        <w:rPr>
          <w:i/>
        </w:rPr>
        <w:tab/>
      </w:r>
      <w:r>
        <w:fldChar w:fldCharType="begin"/>
      </w:r>
      <w:r>
        <w:instrText xml:space="preserve">eq </w:instrText>
      </w:r>
      <w:r>
        <w:rPr>
          <w:i/>
        </w:rPr>
        <w:instrText>s</w:instrText>
      </w:r>
      <w:r>
        <w:instrText xml:space="preserve">  </w:instrText>
      </w:r>
      <w:r>
        <w:rPr>
          <w:rFonts w:ascii="Symbol" w:hAnsi="Symbol"/>
        </w:rPr>
        <w:instrText>=</w:instrText>
      </w:r>
      <w:r>
        <w:instrText xml:space="preserve">  \f(</w:instrText>
      </w:r>
      <w:r>
        <w:rPr>
          <w:i/>
        </w:rPr>
        <w:instrText>p</w:instrText>
      </w:r>
      <w:r>
        <w:instrText>\a\al(</w:instrText>
      </w:r>
      <w:r>
        <w:rPr>
          <w:rFonts w:ascii="Tms Rmn" w:hAnsi="Tms Rmn"/>
          <w:sz w:val="12"/>
        </w:rPr>
        <w:instrText> </w:instrText>
      </w:r>
      <w:r>
        <w:rPr>
          <w:rFonts w:ascii="Symbol" w:hAnsi="Symbol"/>
          <w:position w:val="-12"/>
          <w:sz w:val="18"/>
        </w:rPr>
        <w:instrText>¢</w:instrText>
      </w:r>
      <w:r>
        <w:instrText>,</w:instrText>
      </w:r>
      <w:r>
        <w:rPr>
          <w:i/>
          <w:sz w:val="18"/>
        </w:rPr>
        <w:instrText>t</w:instrText>
      </w:r>
      <w:r>
        <w:instrText>) cos</w:instrText>
      </w:r>
      <w:r>
        <w:rPr>
          <w:rFonts w:ascii="Tms Rmn" w:hAnsi="Tms Rmn"/>
          <w:sz w:val="12"/>
        </w:rPr>
        <w:instrText> </w:instrText>
      </w:r>
      <w:r>
        <w:rPr>
          <w:position w:val="6"/>
          <w:sz w:val="18"/>
        </w:rPr>
        <w:instrText>4</w:instrText>
      </w:r>
      <w:r>
        <w:instrText xml:space="preserve"> </w:instrText>
      </w:r>
      <w:r>
        <w:rPr>
          <w:rFonts w:ascii="Symbol" w:hAnsi="Symbol"/>
        </w:rPr>
        <w:instrText>y</w:instrText>
      </w:r>
      <w:r>
        <w:instrText>,4</w:instrText>
      </w:r>
      <w:r>
        <w:rPr>
          <w:rFonts w:ascii="Symbol" w:hAnsi="Symbol"/>
        </w:rPr>
        <w:instrText>p</w:instrText>
      </w:r>
      <w:r>
        <w:instrText xml:space="preserve"> </w:instrText>
      </w:r>
      <w:r>
        <w:rPr>
          <w:i/>
        </w:rPr>
        <w:instrText>d</w:instrText>
      </w:r>
      <w:r>
        <w:rPr>
          <w:rFonts w:ascii="Tms Rmn" w:hAnsi="Tms Rmn"/>
          <w:i/>
          <w:sz w:val="12"/>
        </w:rPr>
        <w:instrText> </w:instrText>
      </w:r>
      <w:r>
        <w:rPr>
          <w:position w:val="6"/>
          <w:sz w:val="18"/>
        </w:rPr>
        <w:instrText>2</w:instrText>
      </w:r>
      <w:r>
        <w:instrText xml:space="preserve"> (1  +  </w:instrText>
      </w:r>
      <w:r>
        <w:rPr>
          <w:rFonts w:ascii="Symbol" w:hAnsi="Symbol"/>
        </w:rPr>
        <w:instrText>D</w:instrText>
      </w:r>
      <w:r>
        <w:rPr>
          <w:i/>
          <w:position w:val="-4"/>
          <w:sz w:val="18"/>
        </w:rPr>
        <w:instrText>t</w:instrText>
      </w:r>
      <w:r>
        <w:instrText xml:space="preserve">))  </w:instrText>
      </w:r>
      <w:r>
        <w:rPr>
          <w:rFonts w:ascii="Symbol" w:hAnsi="Symbol"/>
        </w:rPr>
        <w:instrText>´</w:instrText>
      </w:r>
      <w:r>
        <w:instrText xml:space="preserve">  1,5 \b\bc\[(2\s(</w:instrText>
      </w:r>
      <w:r>
        <w:rPr>
          <w:sz w:val="20"/>
        </w:rPr>
        <w:instrText xml:space="preserve"> </w:instrText>
      </w:r>
      <w:r>
        <w:instrText>,</w:instrText>
      </w:r>
      <w:r>
        <w:rPr>
          <w:sz w:val="20"/>
        </w:rPr>
        <w:instrText xml:space="preserve"> </w:instrText>
      </w:r>
      <w:r>
        <w:instrText>)cos (</w:instrText>
      </w:r>
      <w:r>
        <w:rPr>
          <w:i/>
        </w:rPr>
        <w:instrText>k</w:instrText>
      </w:r>
      <w:r>
        <w:instrText xml:space="preserve"> </w:instrText>
      </w:r>
      <w:r>
        <w:rPr>
          <w:i/>
        </w:rPr>
        <w:instrText>h</w:instrText>
      </w:r>
      <w:r>
        <w:rPr>
          <w:i/>
          <w:position w:val="-4"/>
          <w:sz w:val="18"/>
        </w:rPr>
        <w:instrText>t</w:instrText>
      </w:r>
      <w:r>
        <w:instrText xml:space="preserve"> sin </w:instrText>
      </w:r>
      <w:r>
        <w:rPr>
          <w:rFonts w:ascii="Symbol" w:hAnsi="Symbol"/>
        </w:rPr>
        <w:instrText>y</w:instrText>
      </w:r>
      <w:r>
        <w:instrText>))</w:instrText>
      </w:r>
      <w:r>
        <w:rPr>
          <w:rFonts w:ascii="Tms Rmn" w:hAnsi="Tms Rmn"/>
          <w:sz w:val="12"/>
        </w:rPr>
        <w:instrText> </w:instrText>
      </w:r>
      <w:r>
        <w:instrText>\s\up5(</w:instrText>
      </w:r>
      <w:r>
        <w:rPr>
          <w:position w:val="6"/>
          <w:sz w:val="18"/>
        </w:rPr>
        <w:instrText>2</w:instrText>
      </w:r>
      <w:r>
        <w:instrText>)</w:instrText>
      </w:r>
      <w:r>
        <w:fldChar w:fldCharType="end"/>
      </w:r>
      <w:r>
        <w:rPr>
          <w:position w:val="6"/>
          <w:sz w:val="12"/>
        </w:rPr>
        <w:tab/>
      </w:r>
      <w:r>
        <w:t>(7)</w:t>
      </w:r>
    </w:p>
    <w:p w:rsidR="00505483" w:rsidRDefault="00505483" w:rsidP="00505483">
      <w:pPr>
        <w:spacing w:before="0"/>
      </w:pPr>
      <w:r>
        <w:t>où:</w:t>
      </w:r>
    </w:p>
    <w:p w:rsidR="00505483" w:rsidRPr="00AB1DD5" w:rsidRDefault="00505483" w:rsidP="00AB1DD5">
      <w:pPr>
        <w:pStyle w:val="Equationlegend"/>
        <w:rPr>
          <w:lang w:val="fr-CH"/>
        </w:rPr>
      </w:pPr>
      <w:r>
        <w:tab/>
      </w:r>
      <w:r>
        <w:fldChar w:fldCharType="begin"/>
      </w:r>
      <w:r w:rsidRPr="00AB1DD5">
        <w:rPr>
          <w:lang w:val="fr-CH"/>
        </w:rPr>
        <w:instrText xml:space="preserve">eq </w:instrText>
      </w:r>
      <w:r w:rsidRPr="00AB1DD5">
        <w:rPr>
          <w:i/>
          <w:lang w:val="fr-CH"/>
        </w:rPr>
        <w:instrText>p</w:instrText>
      </w:r>
      <w:r w:rsidRPr="00AB1DD5">
        <w:rPr>
          <w:lang w:val="fr-CH"/>
        </w:rPr>
        <w:instrText>\a\al(</w:instrText>
      </w:r>
      <w:r w:rsidRPr="00AB1DD5">
        <w:rPr>
          <w:rFonts w:ascii="Tms Rmn" w:hAnsi="Tms Rmn"/>
          <w:sz w:val="12"/>
          <w:lang w:val="fr-CH"/>
        </w:rPr>
        <w:instrText> </w:instrText>
      </w:r>
      <w:r w:rsidRPr="00AB1DD5">
        <w:rPr>
          <w:rFonts w:ascii="Symbol" w:hAnsi="Symbol"/>
          <w:position w:val="-12"/>
          <w:sz w:val="18"/>
          <w:lang w:val="fr-CH"/>
        </w:rPr>
        <w:instrText>¢</w:instrText>
      </w:r>
      <w:r w:rsidRPr="00AB1DD5">
        <w:rPr>
          <w:lang w:val="fr-CH"/>
        </w:rPr>
        <w:instrText>,</w:instrText>
      </w:r>
      <w:r w:rsidRPr="00AB1DD5">
        <w:rPr>
          <w:i/>
          <w:sz w:val="16"/>
          <w:lang w:val="fr-CH"/>
        </w:rPr>
        <w:instrText>t</w:instrText>
      </w:r>
      <w:r w:rsidRPr="00AB1DD5">
        <w:rPr>
          <w:lang w:val="fr-CH"/>
        </w:rPr>
        <w:instrText>)</w:instrText>
      </w:r>
      <w:r>
        <w:fldChar w:fldCharType="end"/>
      </w:r>
      <w:r w:rsidRPr="00AB1DD5">
        <w:rPr>
          <w:rFonts w:ascii="Tms Rmn" w:hAnsi="Tms Rmn"/>
          <w:sz w:val="12"/>
          <w:lang w:val="fr-CH"/>
        </w:rPr>
        <w:t> </w:t>
      </w:r>
      <w:r w:rsidRPr="00AB1DD5">
        <w:rPr>
          <w:lang w:val="fr-CH"/>
        </w:rPr>
        <w:t>:</w:t>
      </w:r>
      <w:r w:rsidRPr="00AB1DD5">
        <w:rPr>
          <w:lang w:val="fr-CH"/>
        </w:rPr>
        <w:tab/>
        <w:t>puissance rayonnée par l'antenne d'émission (W)</w:t>
      </w:r>
    </w:p>
    <w:p w:rsidR="00505483" w:rsidRPr="00AB1DD5" w:rsidRDefault="00AB1DD5" w:rsidP="00AB1DD5">
      <w:pPr>
        <w:pStyle w:val="Equationlegend"/>
        <w:rPr>
          <w:lang w:val="fr-CH"/>
        </w:rPr>
      </w:pPr>
      <w:r>
        <w:rPr>
          <w:i/>
          <w:lang w:val="fr-CH"/>
        </w:rPr>
        <w:tab/>
      </w:r>
      <w:r w:rsidR="00505483" w:rsidRPr="00AB1DD5">
        <w:rPr>
          <w:i/>
          <w:lang w:val="fr-CH"/>
        </w:rPr>
        <w:t>d</w:t>
      </w:r>
      <w:r w:rsidR="00505483" w:rsidRPr="00AB1DD5">
        <w:rPr>
          <w:lang w:val="fr-CH"/>
        </w:rPr>
        <w:t xml:space="preserve">, </w:t>
      </w:r>
      <w:r w:rsidR="00505483" w:rsidRPr="00AB1DD5">
        <w:rPr>
          <w:i/>
          <w:lang w:val="fr-CH"/>
        </w:rPr>
        <w:t>h</w:t>
      </w:r>
      <w:r w:rsidR="00505483" w:rsidRPr="00AB1DD5">
        <w:rPr>
          <w:i/>
          <w:position w:val="-4"/>
          <w:sz w:val="16"/>
          <w:lang w:val="fr-CH"/>
        </w:rPr>
        <w:t>t</w:t>
      </w:r>
      <w:r w:rsidR="00505483" w:rsidRPr="00AB1DD5">
        <w:rPr>
          <w:lang w:val="fr-CH"/>
        </w:rPr>
        <w:t xml:space="preserve">, </w:t>
      </w:r>
      <w:r w:rsidR="00505483" w:rsidRPr="00AB1DD5">
        <w:rPr>
          <w:i/>
          <w:lang w:val="fr-CH"/>
        </w:rPr>
        <w:t>h</w:t>
      </w:r>
      <w:r w:rsidR="00505483" w:rsidRPr="00AB1DD5">
        <w:rPr>
          <w:i/>
          <w:position w:val="-4"/>
          <w:sz w:val="16"/>
          <w:lang w:val="fr-CH"/>
        </w:rPr>
        <w:t>r</w:t>
      </w:r>
      <w:r w:rsidR="00505483" w:rsidRPr="00AB1DD5">
        <w:rPr>
          <w:lang w:val="fr-CH"/>
        </w:rPr>
        <w:t xml:space="preserve">, </w:t>
      </w:r>
      <w:r w:rsidR="00505483">
        <w:rPr>
          <w:rFonts w:ascii="Symbol" w:hAnsi="Symbol"/>
        </w:rPr>
        <w:t></w:t>
      </w:r>
      <w:r w:rsidR="00505483" w:rsidRPr="00AB1DD5">
        <w:rPr>
          <w:lang w:val="fr-CH"/>
        </w:rPr>
        <w:t xml:space="preserve"> </w:t>
      </w:r>
      <w:r w:rsidRPr="00AB1DD5">
        <w:rPr>
          <w:lang w:val="fr-CH"/>
        </w:rPr>
        <w:tab/>
      </w:r>
      <w:r w:rsidR="00505483" w:rsidRPr="00AB1DD5">
        <w:rPr>
          <w:lang w:val="fr-CH"/>
        </w:rPr>
        <w:t>sont exprimés en mètres</w:t>
      </w:r>
    </w:p>
    <w:p w:rsidR="00505483" w:rsidRDefault="00505483" w:rsidP="00AB1DD5">
      <w:pPr>
        <w:pStyle w:val="Equationlegend"/>
      </w:pPr>
      <w:r w:rsidRPr="00AB1DD5">
        <w:rPr>
          <w:lang w:val="fr-CH"/>
        </w:rPr>
        <w:tab/>
      </w:r>
      <w:r>
        <w:rPr>
          <w:i/>
        </w:rPr>
        <w:t>k</w:t>
      </w:r>
      <w:r>
        <w:t xml:space="preserve"> </w:t>
      </w:r>
      <w:r>
        <w:rPr>
          <w:rFonts w:ascii="Symbol" w:hAnsi="Symbol"/>
        </w:rPr>
        <w:t></w:t>
      </w:r>
      <w:r w:rsidR="00AB1DD5">
        <w:rPr>
          <w:rFonts w:ascii="Symbol" w:hAnsi="Symbol"/>
        </w:rPr>
        <w:tab/>
      </w:r>
      <w:r>
        <w:fldChar w:fldCharType="begin"/>
      </w:r>
      <w:r>
        <w:instrText>eq \f(2</w:instrText>
      </w:r>
      <w:r>
        <w:rPr>
          <w:rFonts w:ascii="Symbol" w:hAnsi="Symbol"/>
        </w:rPr>
        <w:instrText>p</w:instrText>
      </w:r>
      <w:r>
        <w:instrText>,</w:instrText>
      </w:r>
      <w:r>
        <w:rPr>
          <w:rFonts w:ascii="Symbol" w:hAnsi="Symbol"/>
        </w:rPr>
        <w:instrText>l</w:instrText>
      </w:r>
      <w:r>
        <w:instrText>)</w:instrText>
      </w:r>
      <w:r>
        <w:fldChar w:fldCharType="end"/>
      </w:r>
    </w:p>
    <w:p w:rsidR="00505483" w:rsidRDefault="00505483" w:rsidP="00AB1DD5">
      <w:pPr>
        <w:pStyle w:val="Equationlegend"/>
      </w:pPr>
      <w:bookmarkStart w:id="11" w:name="F008"/>
      <w:r>
        <w:rPr>
          <w:rFonts w:ascii="Symbol" w:hAnsi="Symbol"/>
        </w:rPr>
        <w:tab/>
      </w:r>
      <w:r>
        <w:rPr>
          <w:rFonts w:ascii="Symbol" w:hAnsi="Symbol"/>
        </w:rPr>
        <w:tab/>
      </w:r>
      <w:r>
        <w:fldChar w:fldCharType="begin"/>
      </w:r>
      <w:r>
        <w:instrText xml:space="preserve">eq </w:instrText>
      </w:r>
      <w:r>
        <w:rPr>
          <w:rFonts w:ascii="Symbol" w:hAnsi="Symbol"/>
        </w:rPr>
        <w:instrText>y</w:instrText>
      </w:r>
      <w:r>
        <w:instrText xml:space="preserve">  </w:instrText>
      </w:r>
      <w:r>
        <w:rPr>
          <w:rFonts w:ascii="Symbol" w:hAnsi="Symbol"/>
        </w:rPr>
        <w:instrText>=</w:instrText>
      </w:r>
      <w:r>
        <w:instrText xml:space="preserve">  arc tg \f(\s\di2(</w:instrText>
      </w:r>
      <w:r>
        <w:rPr>
          <w:rFonts w:ascii="Symbol" w:hAnsi="Symbol"/>
        </w:rPr>
        <w:instrText>½</w:instrText>
      </w:r>
      <w:r>
        <w:rPr>
          <w:i/>
        </w:rPr>
        <w:instrText>h</w:instrText>
      </w:r>
      <w:r>
        <w:rPr>
          <w:i/>
          <w:position w:val="-4"/>
          <w:sz w:val="16"/>
        </w:rPr>
        <w:instrText>r</w:instrText>
      </w:r>
      <w:r>
        <w:instrText xml:space="preserve">  –  </w:instrText>
      </w:r>
      <w:r>
        <w:rPr>
          <w:i/>
        </w:rPr>
        <w:instrText>h</w:instrText>
      </w:r>
      <w:r>
        <w:rPr>
          <w:i/>
          <w:position w:val="-4"/>
          <w:sz w:val="16"/>
        </w:rPr>
        <w:instrText>t</w:instrText>
      </w:r>
      <w:r>
        <w:rPr>
          <w:rFonts w:ascii="Symbol" w:hAnsi="Symbol"/>
        </w:rPr>
        <w:instrText>½</w:instrText>
      </w:r>
      <w:r>
        <w:instrText>),</w:instrText>
      </w:r>
      <w:r>
        <w:rPr>
          <w:i/>
        </w:rPr>
        <w:instrText>d</w:instrText>
      </w:r>
      <w:r>
        <w:instrText>)</w:instrText>
      </w:r>
      <w:r>
        <w:fldChar w:fldCharType="end"/>
      </w:r>
    </w:p>
    <w:p w:rsidR="00505483" w:rsidRDefault="00505483" w:rsidP="00505483">
      <w:pPr>
        <w:pStyle w:val="Equation"/>
      </w:pPr>
      <w:r w:rsidRPr="00816F79">
        <w:t>et</w:t>
      </w:r>
      <w:r w:rsidRPr="00816F79">
        <w:tab/>
      </w:r>
      <w:r>
        <w:tab/>
      </w:r>
      <w:r>
        <w:fldChar w:fldCharType="begin"/>
      </w:r>
      <w:r>
        <w:instrText xml:space="preserve">eq </w:instrText>
      </w:r>
      <w:r>
        <w:rPr>
          <w:rFonts w:ascii="Symbol" w:hAnsi="Symbol"/>
        </w:rPr>
        <w:instrText>D</w:instrText>
      </w:r>
      <w:r>
        <w:rPr>
          <w:i/>
          <w:position w:val="-4"/>
          <w:sz w:val="18"/>
        </w:rPr>
        <w:instrText>t</w:instrText>
      </w:r>
      <w:r>
        <w:instrText xml:space="preserve">  </w:instrText>
      </w:r>
      <w:r>
        <w:rPr>
          <w:rFonts w:ascii="Symbol" w:hAnsi="Symbol"/>
        </w:rPr>
        <w:instrText>=</w:instrText>
      </w:r>
      <w:r>
        <w:instrText xml:space="preserve">  \f(3,\s\ai1((2 </w:instrText>
      </w:r>
      <w:r>
        <w:rPr>
          <w:i/>
        </w:rPr>
        <w:instrText>k</w:instrText>
      </w:r>
      <w:r>
        <w:instrText xml:space="preserve"> </w:instrText>
      </w:r>
      <w:r>
        <w:rPr>
          <w:i/>
        </w:rPr>
        <w:instrText>h</w:instrText>
      </w:r>
      <w:r>
        <w:rPr>
          <w:i/>
          <w:position w:val="-4"/>
          <w:sz w:val="18"/>
        </w:rPr>
        <w:instrText>t</w:instrText>
      </w:r>
      <w:r>
        <w:instrText>)</w:instrText>
      </w:r>
      <w:r>
        <w:rPr>
          <w:position w:val="6"/>
          <w:sz w:val="18"/>
        </w:rPr>
        <w:instrText>2</w:instrText>
      </w:r>
      <w:r>
        <w:instrText>))  \b\bc\[(\f(</w:instrText>
      </w:r>
      <w:r>
        <w:rPr>
          <w:sz w:val="20"/>
        </w:rPr>
        <w:instrText>\s\di2(</w:instrText>
      </w:r>
      <w:r>
        <w:instrText xml:space="preserve">sin 2 </w:instrText>
      </w:r>
      <w:r>
        <w:rPr>
          <w:i/>
        </w:rPr>
        <w:instrText>k</w:instrText>
      </w:r>
      <w:r>
        <w:instrText xml:space="preserve"> </w:instrText>
      </w:r>
      <w:r>
        <w:rPr>
          <w:i/>
        </w:rPr>
        <w:instrText>h</w:instrText>
      </w:r>
      <w:r>
        <w:rPr>
          <w:i/>
          <w:position w:val="-4"/>
          <w:sz w:val="18"/>
        </w:rPr>
        <w:instrText>t</w:instrText>
      </w:r>
      <w:r>
        <w:rPr>
          <w:position w:val="-4"/>
          <w:sz w:val="18"/>
        </w:rPr>
        <w:instrText>\s\do1()</w:instrText>
      </w:r>
      <w:r>
        <w:instrText xml:space="preserve">),2 </w:instrText>
      </w:r>
      <w:r>
        <w:rPr>
          <w:i/>
        </w:rPr>
        <w:instrText>k</w:instrText>
      </w:r>
      <w:r>
        <w:instrText xml:space="preserve"> </w:instrText>
      </w:r>
      <w:r>
        <w:rPr>
          <w:i/>
        </w:rPr>
        <w:instrText>h</w:instrText>
      </w:r>
      <w:r>
        <w:rPr>
          <w:i/>
          <w:position w:val="-4"/>
          <w:sz w:val="18"/>
        </w:rPr>
        <w:instrText>t</w:instrText>
      </w:r>
      <w:r>
        <w:instrText xml:space="preserve">)  –  cos 2 </w:instrText>
      </w:r>
      <w:r>
        <w:rPr>
          <w:i/>
        </w:rPr>
        <w:instrText>k</w:instrText>
      </w:r>
      <w:r>
        <w:instrText xml:space="preserve"> </w:instrText>
      </w:r>
      <w:r>
        <w:rPr>
          <w:i/>
        </w:rPr>
        <w:instrText>h</w:instrText>
      </w:r>
      <w:r>
        <w:rPr>
          <w:i/>
          <w:position w:val="-4"/>
          <w:sz w:val="18"/>
        </w:rPr>
        <w:instrText>t</w:instrText>
      </w:r>
      <w:r>
        <w:instrText>)</w:instrText>
      </w:r>
      <w:r>
        <w:fldChar w:fldCharType="end"/>
      </w:r>
      <w:r>
        <w:tab/>
        <w:t>(8)</w:t>
      </w:r>
      <w:bookmarkEnd w:id="11"/>
    </w:p>
    <w:p w:rsidR="00505483" w:rsidRDefault="00505483" w:rsidP="00505483">
      <w:pPr>
        <w:pStyle w:val="enumlev1"/>
      </w:pPr>
      <w:r>
        <w:t xml:space="preserve">avec </w:t>
      </w:r>
      <w:r>
        <w:rPr>
          <w:rFonts w:ascii="Symbol" w:hAnsi="Symbol"/>
        </w:rPr>
        <w:t></w:t>
      </w:r>
      <w:r>
        <w:rPr>
          <w:i/>
          <w:position w:val="-4"/>
          <w:sz w:val="16"/>
        </w:rPr>
        <w:t>t</w:t>
      </w:r>
      <w:r>
        <w:t xml:space="preserve"> </w:t>
      </w:r>
      <w:r>
        <w:rPr>
          <w:rFonts w:ascii="Symbol" w:hAnsi="Symbol"/>
        </w:rPr>
        <w:t></w:t>
      </w:r>
      <w:r>
        <w:t xml:space="preserve"> 1, lorsque </w:t>
      </w:r>
      <w:r>
        <w:rPr>
          <w:i/>
        </w:rPr>
        <w:t>h</w:t>
      </w:r>
      <w:r>
        <w:rPr>
          <w:i/>
          <w:position w:val="-4"/>
          <w:sz w:val="16"/>
        </w:rPr>
        <w:t>t</w:t>
      </w:r>
      <w:r>
        <w:t xml:space="preserve"> </w:t>
      </w:r>
      <w:r>
        <w:rPr>
          <w:rFonts w:ascii="Symbol" w:hAnsi="Symbol"/>
        </w:rPr>
        <w:t></w:t>
      </w:r>
      <w:r>
        <w:t xml:space="preserve"> 0.</w:t>
      </w:r>
    </w:p>
    <w:p w:rsidR="00505483" w:rsidRDefault="00505483" w:rsidP="00505483">
      <w:r>
        <w:t xml:space="preserve">L'équation (7) suppose que </w:t>
      </w:r>
      <w:r>
        <w:rPr>
          <w:i/>
        </w:rPr>
        <w:t>h</w:t>
      </w:r>
      <w:r>
        <w:rPr>
          <w:i/>
          <w:position w:val="-4"/>
          <w:sz w:val="16"/>
        </w:rPr>
        <w:t>t</w:t>
      </w:r>
      <w:r>
        <w:t xml:space="preserve">, </w:t>
      </w:r>
      <w:r>
        <w:rPr>
          <w:i/>
        </w:rPr>
        <w:t>h</w:t>
      </w:r>
      <w:r>
        <w:rPr>
          <w:i/>
          <w:position w:val="-4"/>
          <w:sz w:val="16"/>
        </w:rPr>
        <w:t>r</w:t>
      </w:r>
      <w:r>
        <w:rPr>
          <w:position w:val="-4"/>
          <w:sz w:val="16"/>
        </w:rPr>
        <w:t xml:space="preserve"> </w:t>
      </w:r>
      <w:r>
        <w:t xml:space="preserve">et </w:t>
      </w:r>
      <w:r>
        <w:rPr>
          <w:rFonts w:ascii="Symbol" w:hAnsi="Symbol"/>
        </w:rPr>
        <w:t></w:t>
      </w:r>
      <w:r>
        <w:t xml:space="preserve"> sont tous nettement inférieurs à </w:t>
      </w:r>
      <w:r>
        <w:rPr>
          <w:i/>
        </w:rPr>
        <w:t>d</w:t>
      </w:r>
      <w:r>
        <w:t>.</w:t>
      </w:r>
    </w:p>
    <w:p w:rsidR="00505483" w:rsidRDefault="00505483" w:rsidP="00505483">
      <w:r>
        <w:t>Il convient de noter ce qui suit:</w:t>
      </w:r>
    </w:p>
    <w:p w:rsidR="00505483" w:rsidRDefault="00505483" w:rsidP="00505483">
      <w:pPr>
        <w:pStyle w:val="enumlev1"/>
      </w:pPr>
      <w:r>
        <w:t>–</w:t>
      </w:r>
      <w:r>
        <w:tab/>
        <w:t xml:space="preserve">la distance entre les antennes est augmentée pour atteindre </w:t>
      </w:r>
      <w:r>
        <w:rPr>
          <w:i/>
        </w:rPr>
        <w:t>d</w:t>
      </w:r>
      <w:r>
        <w:t xml:space="preserve"> sec </w:t>
      </w:r>
      <w:r>
        <w:rPr>
          <w:rFonts w:ascii="Symbol" w:hAnsi="Symbol"/>
        </w:rPr>
        <w:t></w:t>
      </w:r>
      <w:r>
        <w:t>,</w:t>
      </w:r>
    </w:p>
    <w:p w:rsidR="00505483" w:rsidRDefault="00505483" w:rsidP="00505483">
      <w:pPr>
        <w:pStyle w:val="enumlev1"/>
      </w:pPr>
      <w:r>
        <w:t>–</w:t>
      </w:r>
      <w:r>
        <w:tab/>
        <w:t xml:space="preserve">le champ électrique dû au doublet varie comme cos </w:t>
      </w:r>
      <w:r>
        <w:rPr>
          <w:rFonts w:ascii="Symbol" w:hAnsi="Symbol"/>
        </w:rPr>
        <w:t></w:t>
      </w:r>
      <w:r>
        <w:t>,</w:t>
      </w:r>
    </w:p>
    <w:p w:rsidR="00505483" w:rsidRDefault="00505483" w:rsidP="00505483">
      <w:pPr>
        <w:pStyle w:val="enumlev1"/>
      </w:pPr>
      <w:r>
        <w:t>–</w:t>
      </w:r>
      <w:r>
        <w:tab/>
        <w:t xml:space="preserve">la résistance de rayonnement en espace libre est multipliée par (1 </w:t>
      </w:r>
      <w:r>
        <w:rPr>
          <w:rFonts w:ascii="Symbol" w:hAnsi="Symbol"/>
        </w:rPr>
        <w:t></w:t>
      </w:r>
      <w:r>
        <w:t xml:space="preserve"> </w:t>
      </w:r>
      <w:r>
        <w:rPr>
          <w:rFonts w:ascii="Symbol" w:hAnsi="Symbol"/>
        </w:rPr>
        <w:t></w:t>
      </w:r>
      <w:r>
        <w:rPr>
          <w:i/>
          <w:position w:val="-4"/>
          <w:sz w:val="16"/>
        </w:rPr>
        <w:t>t</w:t>
      </w:r>
      <w:r>
        <w:t>),</w:t>
      </w:r>
    </w:p>
    <w:p w:rsidR="00505483" w:rsidRDefault="00505483" w:rsidP="00505483">
      <w:pPr>
        <w:pStyle w:val="enumlev1"/>
      </w:pPr>
      <w:r>
        <w:t>–</w:t>
      </w:r>
      <w:r>
        <w:tab/>
        <w:t>du fait de l'addition vectorielle du rayon direct et des rayons réfléchis, la valeur de la puissance surfacique en espace libre est multipliée par:</w:t>
      </w:r>
    </w:p>
    <w:p w:rsidR="00505483" w:rsidRDefault="00505483" w:rsidP="00505483">
      <w:pPr>
        <w:pStyle w:val="Equation"/>
      </w:pPr>
      <w:r>
        <w:tab/>
      </w:r>
      <w:r>
        <w:tab/>
      </w:r>
      <w:r>
        <w:fldChar w:fldCharType="begin"/>
      </w:r>
      <w:r>
        <w:instrText>eq \f(\b\bc\[(2\s(</w:instrText>
      </w:r>
      <w:r>
        <w:rPr>
          <w:sz w:val="18"/>
        </w:rPr>
        <w:instrText xml:space="preserve"> </w:instrText>
      </w:r>
      <w:r>
        <w:instrText>,</w:instrText>
      </w:r>
      <w:r>
        <w:rPr>
          <w:sz w:val="20"/>
        </w:rPr>
        <w:instrText xml:space="preserve"> </w:instrText>
      </w:r>
      <w:r>
        <w:instrText>)cos (</w:instrText>
      </w:r>
      <w:r>
        <w:rPr>
          <w:i/>
        </w:rPr>
        <w:instrText>k</w:instrText>
      </w:r>
      <w:r>
        <w:instrText xml:space="preserve"> </w:instrText>
      </w:r>
      <w:r>
        <w:rPr>
          <w:i/>
        </w:rPr>
        <w:instrText>h</w:instrText>
      </w:r>
      <w:r>
        <w:rPr>
          <w:i/>
          <w:position w:val="-4"/>
          <w:sz w:val="18"/>
        </w:rPr>
        <w:instrText>t</w:instrText>
      </w:r>
      <w:r>
        <w:instrText xml:space="preserve"> sin </w:instrText>
      </w:r>
      <w:r>
        <w:rPr>
          <w:rFonts w:ascii="Symbol" w:hAnsi="Symbol"/>
        </w:rPr>
        <w:instrText>y</w:instrText>
      </w:r>
      <w:r>
        <w:instrText>))</w:instrText>
      </w:r>
      <w:r>
        <w:rPr>
          <w:rFonts w:ascii="Tms Rmn" w:hAnsi="Tms Rmn"/>
          <w:sz w:val="12"/>
        </w:rPr>
        <w:instrText> </w:instrText>
      </w:r>
      <w:r>
        <w:instrText>\s\up5(</w:instrText>
      </w:r>
      <w:r>
        <w:rPr>
          <w:position w:val="6"/>
          <w:sz w:val="18"/>
        </w:rPr>
        <w:instrText>2</w:instrText>
      </w:r>
      <w:r>
        <w:instrText xml:space="preserve">),(1  </w:instrText>
      </w:r>
      <w:r>
        <w:rPr>
          <w:rFonts w:ascii="Symbol" w:hAnsi="Symbol"/>
        </w:rPr>
        <w:instrText>+</w:instrText>
      </w:r>
      <w:r>
        <w:instrText xml:space="preserve">  </w:instrText>
      </w:r>
      <w:r>
        <w:rPr>
          <w:rFonts w:ascii="Symbol" w:hAnsi="Symbol"/>
        </w:rPr>
        <w:instrText>D</w:instrText>
      </w:r>
      <w:r>
        <w:rPr>
          <w:i/>
          <w:position w:val="-4"/>
          <w:sz w:val="18"/>
        </w:rPr>
        <w:instrText>t</w:instrText>
      </w:r>
      <w:r>
        <w:instrText>))</w:instrText>
      </w:r>
      <w:r>
        <w:fldChar w:fldCharType="end"/>
      </w:r>
    </w:p>
    <w:p w:rsidR="00505483" w:rsidRDefault="00505483" w:rsidP="00505483">
      <w:pPr>
        <w:pStyle w:val="enumlev1"/>
        <w:ind w:left="0" w:firstLine="0"/>
      </w:pPr>
      <w:r>
        <w:t>ce qui équivaut à un changement de directivité dû à la présence de la surface réfléchissante. Le facteur multiplicatif est égal à 2 lorsque</w:t>
      </w:r>
      <w:r>
        <w:rPr>
          <w:i/>
        </w:rPr>
        <w:t xml:space="preserve"> h</w:t>
      </w:r>
      <w:r>
        <w:rPr>
          <w:i/>
          <w:position w:val="-4"/>
          <w:sz w:val="16"/>
        </w:rPr>
        <w:t>t</w:t>
      </w:r>
      <w:r>
        <w:rPr>
          <w:sz w:val="18"/>
        </w:rPr>
        <w:t xml:space="preserve"> </w:t>
      </w:r>
      <w:r>
        <w:rPr>
          <w:rFonts w:ascii="Symbol" w:hAnsi="Symbol"/>
        </w:rPr>
        <w:t></w:t>
      </w:r>
      <w:r>
        <w:t xml:space="preserve"> </w:t>
      </w:r>
      <w:r>
        <w:rPr>
          <w:i/>
        </w:rPr>
        <w:t>h</w:t>
      </w:r>
      <w:r>
        <w:rPr>
          <w:i/>
          <w:position w:val="-4"/>
          <w:sz w:val="16"/>
        </w:rPr>
        <w:t>r</w:t>
      </w:r>
      <w:r>
        <w:t xml:space="preserve"> </w:t>
      </w:r>
      <w:r>
        <w:rPr>
          <w:rFonts w:ascii="Symbol" w:hAnsi="Symbol"/>
        </w:rPr>
        <w:t></w:t>
      </w:r>
      <w:r>
        <w:t xml:space="preserve"> 0.</w:t>
      </w:r>
    </w:p>
    <w:p w:rsidR="00505483" w:rsidRDefault="00505483" w:rsidP="00505483">
      <w:r>
        <w:rPr>
          <w:b/>
        </w:rPr>
        <w:t>2</w:t>
      </w:r>
      <w:r>
        <w:tab/>
        <w:t>La surface de captation équivalente de l'antenne de réception est donnée par:</w:t>
      </w:r>
    </w:p>
    <w:p w:rsidR="00505483" w:rsidRDefault="00505483" w:rsidP="00505483">
      <w:pPr>
        <w:pStyle w:val="Equation"/>
      </w:pPr>
      <w:bookmarkStart w:id="12" w:name="F010"/>
      <w:r>
        <w:tab/>
      </w:r>
      <w:r>
        <w:tab/>
      </w:r>
      <w:r>
        <w:fldChar w:fldCharType="begin"/>
      </w:r>
      <w:r>
        <w:instrText xml:space="preserve">eq </w:instrText>
      </w:r>
      <w:r>
        <w:rPr>
          <w:i/>
        </w:rPr>
        <w:instrText>a</w:instrText>
      </w:r>
      <w:r>
        <w:rPr>
          <w:i/>
          <w:position w:val="-4"/>
          <w:sz w:val="18"/>
        </w:rPr>
        <w:instrText>e</w:instrText>
      </w:r>
      <w:r>
        <w:instrText xml:space="preserve">  </w:instrText>
      </w:r>
      <w:r>
        <w:rPr>
          <w:rFonts w:ascii="Symbol" w:hAnsi="Symbol"/>
        </w:rPr>
        <w:instrText>=</w:instrText>
      </w:r>
      <w:r>
        <w:instrText xml:space="preserve">  \f(1\,5 </w:instrText>
      </w:r>
      <w:r>
        <w:rPr>
          <w:rFonts w:ascii="Symbol" w:hAnsi="Symbol"/>
        </w:rPr>
        <w:instrText>l</w:instrText>
      </w:r>
      <w:r>
        <w:rPr>
          <w:position w:val="6"/>
          <w:sz w:val="18"/>
        </w:rPr>
        <w:instrText>2</w:instrText>
      </w:r>
      <w:r>
        <w:instrText xml:space="preserve"> cos</w:instrText>
      </w:r>
      <w:r>
        <w:rPr>
          <w:position w:val="6"/>
          <w:sz w:val="18"/>
        </w:rPr>
        <w:instrText>2</w:instrText>
      </w:r>
      <w:r>
        <w:instrText>\s\do2( )</w:instrText>
      </w:r>
      <w:r>
        <w:rPr>
          <w:rFonts w:ascii="Symbol" w:hAnsi="Symbol"/>
        </w:rPr>
        <w:instrText>y</w:instrText>
      </w:r>
      <w:r>
        <w:instrText>\s\do1(</w:instrText>
      </w:r>
      <w:r>
        <w:rPr>
          <w:sz w:val="18"/>
        </w:rPr>
        <w:instrText xml:space="preserve"> </w:instrText>
      </w:r>
      <w:r>
        <w:instrText>),4</w:instrText>
      </w:r>
      <w:r>
        <w:rPr>
          <w:rFonts w:ascii="Symbol" w:hAnsi="Symbol"/>
        </w:rPr>
        <w:instrText>p</w:instrText>
      </w:r>
      <w:r>
        <w:instrText xml:space="preserve"> (1  </w:instrText>
      </w:r>
      <w:r>
        <w:rPr>
          <w:rFonts w:ascii="Symbol" w:hAnsi="Symbol"/>
        </w:rPr>
        <w:instrText>+</w:instrText>
      </w:r>
      <w:r>
        <w:instrText xml:space="preserve">  </w:instrText>
      </w:r>
      <w:r>
        <w:rPr>
          <w:rFonts w:ascii="Symbol" w:hAnsi="Symbol"/>
        </w:rPr>
        <w:instrText>D</w:instrText>
      </w:r>
      <w:r>
        <w:rPr>
          <w:i/>
          <w:position w:val="-4"/>
          <w:sz w:val="18"/>
        </w:rPr>
        <w:instrText>r</w:instrText>
      </w:r>
      <w:r>
        <w:instrText>))</w:instrText>
      </w:r>
      <w:r>
        <w:fldChar w:fldCharType="end"/>
      </w:r>
      <w:r>
        <w:tab/>
        <w:t>(9)</w:t>
      </w:r>
      <w:bookmarkEnd w:id="12"/>
    </w:p>
    <w:p w:rsidR="00505483" w:rsidRDefault="00505483" w:rsidP="00505483">
      <w:pPr>
        <w:pStyle w:val="Equation"/>
      </w:pPr>
      <w:r>
        <w:t>où:</w:t>
      </w:r>
    </w:p>
    <w:p w:rsidR="00505483" w:rsidRDefault="00505483" w:rsidP="00505483">
      <w:pPr>
        <w:pStyle w:val="Equation"/>
      </w:pPr>
      <w:r>
        <w:tab/>
      </w:r>
      <w:r>
        <w:tab/>
      </w:r>
      <w:r w:rsidRPr="00FF5D03">
        <w:object w:dxaOrig="3400" w:dyaOrig="780">
          <v:shape id="_x0000_i1026" type="#_x0000_t75" style="width:169.5pt;height:39pt" o:ole="">
            <v:imagedata r:id="rId14" o:title=""/>
          </v:shape>
          <o:OLEObject Type="Embed" ProgID="Equation.3" ShapeID="_x0000_i1026" DrawAspect="Content" ObjectID="_1554789408" r:id="rId15"/>
        </w:object>
      </w:r>
    </w:p>
    <w:p w:rsidR="00505483" w:rsidRDefault="00505483" w:rsidP="00505483">
      <w:r>
        <w:t>Il convient de noter ce qui suit:</w:t>
      </w:r>
    </w:p>
    <w:p w:rsidR="00505483" w:rsidRDefault="00505483" w:rsidP="00505483">
      <w:pPr>
        <w:pStyle w:val="enumlev1"/>
      </w:pPr>
      <w:r>
        <w:t>–</w:t>
      </w:r>
      <w:r>
        <w:tab/>
        <w:t xml:space="preserve">le gain </w:t>
      </w:r>
      <w:r>
        <w:rPr>
          <w:i/>
        </w:rPr>
        <w:t>g</w:t>
      </w:r>
      <w:r>
        <w:rPr>
          <w:i/>
          <w:position w:val="-4"/>
          <w:sz w:val="16"/>
        </w:rPr>
        <w:t>t</w:t>
      </w:r>
      <w:r>
        <w:t xml:space="preserve"> étant par définition égal à 2 × 1,5 lorsque </w:t>
      </w:r>
      <w:r>
        <w:rPr>
          <w:i/>
        </w:rPr>
        <w:t>h</w:t>
      </w:r>
      <w:r>
        <w:rPr>
          <w:i/>
          <w:position w:val="-4"/>
          <w:sz w:val="16"/>
        </w:rPr>
        <w:t>t</w:t>
      </w:r>
      <w:r>
        <w:t xml:space="preserve"> </w:t>
      </w:r>
      <w:r>
        <w:rPr>
          <w:rFonts w:ascii="Symbol" w:hAnsi="Symbol"/>
        </w:rPr>
        <w:t></w:t>
      </w:r>
      <w:r>
        <w:t xml:space="preserve"> </w:t>
      </w:r>
      <w:r>
        <w:rPr>
          <w:i/>
        </w:rPr>
        <w:t>h</w:t>
      </w:r>
      <w:r>
        <w:rPr>
          <w:i/>
          <w:position w:val="-4"/>
          <w:sz w:val="16"/>
        </w:rPr>
        <w:t>r</w:t>
      </w:r>
      <w:r>
        <w:t xml:space="preserve"> </w:t>
      </w:r>
      <w:r>
        <w:rPr>
          <w:rFonts w:ascii="Symbol" w:hAnsi="Symbol"/>
        </w:rPr>
        <w:t></w:t>
      </w:r>
      <w:r>
        <w:t xml:space="preserve"> 0, il importe de noter qu'il n'en est pas de même pour </w:t>
      </w:r>
      <w:r>
        <w:rPr>
          <w:i/>
        </w:rPr>
        <w:t>g</w:t>
      </w:r>
      <w:r>
        <w:rPr>
          <w:i/>
          <w:position w:val="-4"/>
          <w:sz w:val="16"/>
        </w:rPr>
        <w:t>r</w:t>
      </w:r>
      <w:r>
        <w:t xml:space="preserve">: la valeur correcte pour le gain </w:t>
      </w:r>
      <w:r>
        <w:rPr>
          <w:i/>
        </w:rPr>
        <w:t>g</w:t>
      </w:r>
      <w:r>
        <w:rPr>
          <w:i/>
          <w:position w:val="-4"/>
          <w:sz w:val="16"/>
        </w:rPr>
        <w:t>r</w:t>
      </w:r>
      <w:r>
        <w:t xml:space="preserve"> est 1,5/2 </w:t>
      </w:r>
      <w:r>
        <w:rPr>
          <w:rFonts w:ascii="Symbol" w:hAnsi="Symbol"/>
        </w:rPr>
        <w:t></w:t>
      </w:r>
      <w:r>
        <w:t xml:space="preserve"> </w:t>
      </w:r>
      <w:r>
        <w:rPr>
          <w:i/>
        </w:rPr>
        <w:t>g</w:t>
      </w:r>
      <w:r>
        <w:rPr>
          <w:i/>
          <w:position w:val="-4"/>
          <w:sz w:val="16"/>
        </w:rPr>
        <w:t>t</w:t>
      </w:r>
      <w:r>
        <w:rPr>
          <w:rFonts w:ascii="Tms Rmn" w:hAnsi="Tms Rmn"/>
          <w:i/>
          <w:position w:val="-4"/>
          <w:sz w:val="12"/>
        </w:rPr>
        <w:t> </w:t>
      </w:r>
      <w:r>
        <w:t>/4;</w:t>
      </w:r>
    </w:p>
    <w:p w:rsidR="00505483" w:rsidRDefault="00505483" w:rsidP="00505483">
      <w:pPr>
        <w:pStyle w:val="enumlev1"/>
      </w:pPr>
      <w:r>
        <w:t>–</w:t>
      </w:r>
      <w:r>
        <w:tab/>
        <w:t>la surface de captation dans la direction de l'antenne d'émission est multipliée par cos</w:t>
      </w:r>
      <w:r>
        <w:rPr>
          <w:position w:val="6"/>
          <w:sz w:val="16"/>
        </w:rPr>
        <w:t>2</w:t>
      </w:r>
      <w:r>
        <w:t xml:space="preserve"> </w:t>
      </w:r>
      <w:r>
        <w:rPr>
          <w:rFonts w:ascii="Symbol" w:hAnsi="Symbol"/>
        </w:rPr>
        <w:t></w:t>
      </w:r>
      <w:r>
        <w:t xml:space="preserve"> en raison des effets directifs;</w:t>
      </w:r>
    </w:p>
    <w:p w:rsidR="00505483" w:rsidRDefault="00505483" w:rsidP="00505483">
      <w:pPr>
        <w:pStyle w:val="enumlev1"/>
      </w:pPr>
      <w:r>
        <w:t>–</w:t>
      </w:r>
      <w:r>
        <w:tab/>
        <w:t xml:space="preserve">la résistance de rayonnement est modifiée comme il a été indiqué à l'équation (8) où </w:t>
      </w:r>
      <w:r>
        <w:rPr>
          <w:rFonts w:ascii="Symbol" w:hAnsi="Symbol"/>
        </w:rPr>
        <w:t></w:t>
      </w:r>
      <w:r>
        <w:rPr>
          <w:i/>
          <w:position w:val="-4"/>
          <w:sz w:val="16"/>
        </w:rPr>
        <w:t>t</w:t>
      </w:r>
      <w:r>
        <w:t xml:space="preserve"> et </w:t>
      </w:r>
      <w:r>
        <w:rPr>
          <w:i/>
        </w:rPr>
        <w:t>h</w:t>
      </w:r>
      <w:r>
        <w:rPr>
          <w:i/>
          <w:position w:val="-4"/>
          <w:sz w:val="16"/>
        </w:rPr>
        <w:t>t</w:t>
      </w:r>
      <w:r>
        <w:t xml:space="preserve"> sont remplacés par </w:t>
      </w:r>
      <w:r>
        <w:rPr>
          <w:rFonts w:ascii="Symbol" w:hAnsi="Symbol"/>
        </w:rPr>
        <w:t></w:t>
      </w:r>
      <w:r>
        <w:rPr>
          <w:i/>
          <w:position w:val="-4"/>
          <w:sz w:val="16"/>
        </w:rPr>
        <w:t>r</w:t>
      </w:r>
      <w:r>
        <w:t xml:space="preserve"> et </w:t>
      </w:r>
      <w:r>
        <w:rPr>
          <w:i/>
        </w:rPr>
        <w:t>h</w:t>
      </w:r>
      <w:r>
        <w:rPr>
          <w:i/>
          <w:position w:val="-4"/>
          <w:sz w:val="16"/>
        </w:rPr>
        <w:t>r</w:t>
      </w:r>
      <w:r>
        <w:t>;</w:t>
      </w:r>
    </w:p>
    <w:p w:rsidR="00505483" w:rsidRDefault="00505483" w:rsidP="00505483">
      <w:pPr>
        <w:pStyle w:val="enumlev1"/>
      </w:pPr>
      <w:r>
        <w:t>–</w:t>
      </w:r>
      <w:r>
        <w:tab/>
        <w:t>la valeur en espace libre de la surface de captation est multipliée par 1/(1 </w:t>
      </w:r>
      <w:r>
        <w:rPr>
          <w:rFonts w:ascii="Symbol" w:hAnsi="Symbol"/>
        </w:rPr>
        <w:t></w:t>
      </w:r>
      <w:r>
        <w:t> </w:t>
      </w:r>
      <w:r>
        <w:rPr>
          <w:rFonts w:ascii="Symbol" w:hAnsi="Symbol"/>
        </w:rPr>
        <w:t></w:t>
      </w:r>
      <w:r>
        <w:rPr>
          <w:i/>
          <w:position w:val="-4"/>
          <w:sz w:val="16"/>
        </w:rPr>
        <w:t>r</w:t>
      </w:r>
      <w:r>
        <w:rPr>
          <w:rFonts w:ascii="Tms Rmn" w:hAnsi="Tms Rmn"/>
          <w:i/>
          <w:sz w:val="12"/>
        </w:rPr>
        <w:t> </w:t>
      </w:r>
      <w:r>
        <w:t xml:space="preserve">) par la présence du plan réfléchissant; cela signifie que la présence du plan réfléchissant réduit de moitié la surface de captation par rapport à sa valeur en espace libre dans le cas où </w:t>
      </w:r>
      <w:r>
        <w:rPr>
          <w:i/>
        </w:rPr>
        <w:t>h</w:t>
      </w:r>
      <w:r>
        <w:rPr>
          <w:i/>
          <w:position w:val="-4"/>
          <w:sz w:val="16"/>
        </w:rPr>
        <w:t>t</w:t>
      </w:r>
      <w:r>
        <w:t xml:space="preserve"> </w:t>
      </w:r>
      <w:r>
        <w:rPr>
          <w:rFonts w:ascii="Symbol" w:hAnsi="Symbol"/>
        </w:rPr>
        <w:t></w:t>
      </w:r>
      <w:r>
        <w:t xml:space="preserve"> </w:t>
      </w:r>
      <w:r>
        <w:rPr>
          <w:i/>
        </w:rPr>
        <w:t>h</w:t>
      </w:r>
      <w:r>
        <w:rPr>
          <w:i/>
          <w:position w:val="-4"/>
          <w:sz w:val="16"/>
        </w:rPr>
        <w:t>r</w:t>
      </w:r>
      <w:r>
        <w:t xml:space="preserve"> </w:t>
      </w:r>
      <w:r>
        <w:rPr>
          <w:rFonts w:ascii="Symbol" w:hAnsi="Symbol"/>
        </w:rPr>
        <w:t></w:t>
      </w:r>
      <w:r>
        <w:t xml:space="preserve"> 0.</w:t>
      </w:r>
    </w:p>
    <w:p w:rsidR="00505483" w:rsidRDefault="00505483" w:rsidP="0015057F">
      <w:r>
        <w:rPr>
          <w:b/>
        </w:rPr>
        <w:t>3</w:t>
      </w:r>
      <w:r>
        <w:tab/>
        <w:t>Puisque</w:t>
      </w:r>
      <w:r>
        <w:rPr>
          <w:i/>
        </w:rPr>
        <w:t xml:space="preserve"> </w:t>
      </w:r>
      <w:r>
        <w:t xml:space="preserve">la puissance totale captée par l'antenne de réception est donnée par </w:t>
      </w:r>
      <w:r>
        <w:fldChar w:fldCharType="begin"/>
      </w:r>
      <w:r>
        <w:instrText xml:space="preserve">eq </w:instrText>
      </w:r>
      <w:r>
        <w:rPr>
          <w:i/>
        </w:rPr>
        <w:instrText>p</w:instrText>
      </w:r>
      <w:r>
        <w:instrText>\a\al(</w:instrText>
      </w:r>
      <w:r>
        <w:rPr>
          <w:rFonts w:ascii="Tms Rmn" w:hAnsi="Tms Rmn"/>
          <w:sz w:val="12"/>
        </w:rPr>
        <w:instrText> </w:instrText>
      </w:r>
      <w:r>
        <w:rPr>
          <w:i/>
          <w:position w:val="-12"/>
          <w:sz w:val="16"/>
        </w:rPr>
        <w:instrText>'</w:instrText>
      </w:r>
      <w:r>
        <w:instrText>,</w:instrText>
      </w:r>
      <w:r>
        <w:rPr>
          <w:i/>
          <w:sz w:val="16"/>
        </w:rPr>
        <w:instrText>a</w:instrText>
      </w:r>
      <w:r>
        <w:instrText>)</w:instrText>
      </w:r>
      <w:r>
        <w:fldChar w:fldCharType="end"/>
      </w:r>
      <w:r>
        <w:rPr>
          <w:position w:val="-4"/>
          <w:sz w:val="16"/>
        </w:rPr>
        <w:t xml:space="preserve"> </w:t>
      </w:r>
      <w:r>
        <w:rPr>
          <w:rFonts w:ascii="Symbol" w:hAnsi="Symbol"/>
        </w:rPr>
        <w:t></w:t>
      </w:r>
      <w:r>
        <w:t xml:space="preserve"> </w:t>
      </w:r>
      <w:r>
        <w:rPr>
          <w:i/>
        </w:rPr>
        <w:t>sa</w:t>
      </w:r>
      <w:r>
        <w:rPr>
          <w:i/>
          <w:position w:val="-4"/>
          <w:sz w:val="16"/>
        </w:rPr>
        <w:t>e</w:t>
      </w:r>
      <w:r>
        <w:t>, on peut combiner les relations (7) et (9) pour obtenir une expression de l'affaiblissement de transmission entre deux doublets électriques verticaux, courts et sans perte, au-dessus d'une surface plane parfaitement conductrice.</w:t>
      </w:r>
    </w:p>
    <w:p w:rsidR="00505483" w:rsidRDefault="00505483" w:rsidP="00505483">
      <w:pPr>
        <w:pStyle w:val="Equation"/>
      </w:pPr>
      <w:bookmarkStart w:id="13" w:name="F011"/>
      <w:r>
        <w:tab/>
      </w:r>
      <w:r>
        <w:tab/>
      </w:r>
      <w:r>
        <w:fldChar w:fldCharType="begin"/>
      </w:r>
      <w:r>
        <w:instrText xml:space="preserve">eq </w:instrText>
      </w:r>
      <w:r>
        <w:rPr>
          <w:i/>
        </w:rPr>
        <w:instrText>L</w:instrText>
      </w:r>
      <w:r>
        <w:instrText xml:space="preserve">  </w:instrText>
      </w:r>
      <w:r>
        <w:rPr>
          <w:rFonts w:ascii="Symbol" w:hAnsi="Symbol"/>
        </w:rPr>
        <w:instrText>=</w:instrText>
      </w:r>
      <w:r>
        <w:instrText xml:space="preserve">  </w:instrText>
      </w:r>
      <w:r>
        <w:rPr>
          <w:i/>
        </w:rPr>
        <w:instrText>L</w:instrText>
      </w:r>
      <w:r>
        <w:rPr>
          <w:i/>
          <w:position w:val="-4"/>
          <w:sz w:val="18"/>
        </w:rPr>
        <w:instrText>bf</w:instrText>
      </w:r>
      <w:r>
        <w:instrText xml:space="preserve">  –  6,0  –  10 log \b\bc\[((1\,5 cos</w:instrText>
      </w:r>
      <w:r>
        <w:rPr>
          <w:position w:val="6"/>
          <w:sz w:val="18"/>
        </w:rPr>
        <w:instrText>2</w:instrText>
      </w:r>
      <w:r>
        <w:instrText xml:space="preserve"> </w:instrText>
      </w:r>
      <w:r>
        <w:rPr>
          <w:rFonts w:ascii="Symbol" w:hAnsi="Symbol"/>
        </w:rPr>
        <w:instrText>y</w:instrText>
      </w:r>
      <w:r>
        <w:instrText>)</w:instrText>
      </w:r>
      <w:r>
        <w:rPr>
          <w:position w:val="6"/>
          <w:sz w:val="18"/>
        </w:rPr>
        <w:instrText>2</w:instrText>
      </w:r>
      <w:r>
        <w:instrText xml:space="preserve"> \f(cos</w:instrText>
      </w:r>
      <w:r>
        <w:rPr>
          <w:position w:val="6"/>
          <w:sz w:val="18"/>
        </w:rPr>
        <w:instrText>2</w:instrText>
      </w:r>
      <w:r>
        <w:instrText xml:space="preserve"> (</w:instrText>
      </w:r>
      <w:r>
        <w:rPr>
          <w:i/>
        </w:rPr>
        <w:instrText>k</w:instrText>
      </w:r>
      <w:r>
        <w:instrText xml:space="preserve"> </w:instrText>
      </w:r>
      <w:r>
        <w:rPr>
          <w:i/>
        </w:rPr>
        <w:instrText>h</w:instrText>
      </w:r>
      <w:r>
        <w:rPr>
          <w:i/>
          <w:position w:val="-4"/>
          <w:sz w:val="18"/>
        </w:rPr>
        <w:instrText>t</w:instrText>
      </w:r>
      <w:r>
        <w:instrText xml:space="preserve"> sin\s\do2( )</w:instrText>
      </w:r>
      <w:r>
        <w:rPr>
          <w:rFonts w:ascii="Symbol" w:hAnsi="Symbol"/>
        </w:rPr>
        <w:instrText>y</w:instrText>
      </w:r>
      <w:r>
        <w:instrText xml:space="preserve">),(1  </w:instrText>
      </w:r>
      <w:r>
        <w:rPr>
          <w:rFonts w:ascii="Symbol" w:hAnsi="Symbol"/>
        </w:rPr>
        <w:instrText>+</w:instrText>
      </w:r>
      <w:r>
        <w:instrText xml:space="preserve">  </w:instrText>
      </w:r>
      <w:r>
        <w:rPr>
          <w:rFonts w:ascii="Symbol" w:hAnsi="Symbol"/>
        </w:rPr>
        <w:instrText>D</w:instrText>
      </w:r>
      <w:r>
        <w:rPr>
          <w:i/>
          <w:position w:val="-4"/>
          <w:sz w:val="18"/>
        </w:rPr>
        <w:instrText>r</w:instrText>
      </w:r>
      <w:r>
        <w:instrText xml:space="preserve">) (1  </w:instrText>
      </w:r>
      <w:r>
        <w:rPr>
          <w:rFonts w:ascii="Symbol" w:hAnsi="Symbol"/>
        </w:rPr>
        <w:instrText>+</w:instrText>
      </w:r>
      <w:r>
        <w:instrText xml:space="preserve">  </w:instrText>
      </w:r>
      <w:r>
        <w:rPr>
          <w:rFonts w:ascii="Symbol" w:hAnsi="Symbol"/>
        </w:rPr>
        <w:instrText>D</w:instrText>
      </w:r>
      <w:r>
        <w:rPr>
          <w:i/>
          <w:position w:val="-4"/>
          <w:sz w:val="18"/>
        </w:rPr>
        <w:instrText>t</w:instrText>
      </w:r>
      <w:r>
        <w:instrText>)))</w:instrText>
      </w:r>
      <w:r>
        <w:fldChar w:fldCharType="end"/>
      </w:r>
      <w:r>
        <w:t>               dB</w:t>
      </w:r>
      <w:r>
        <w:rPr>
          <w:color w:val="000000"/>
        </w:rPr>
        <w:tab/>
        <w:t>(10)</w:t>
      </w:r>
      <w:bookmarkEnd w:id="13"/>
    </w:p>
    <w:p w:rsidR="00505483" w:rsidRDefault="00505483" w:rsidP="0015057F">
      <w:r>
        <w:t>Dans les cas limites où les antennes sont des antennes unipolaires courtes installées au sol:</w:t>
      </w:r>
    </w:p>
    <w:p w:rsidR="00505483" w:rsidRDefault="00505483" w:rsidP="0015057F">
      <w:pPr>
        <w:pStyle w:val="Equation"/>
      </w:pPr>
      <w:bookmarkStart w:id="14" w:name="F012"/>
      <w:r>
        <w:tab/>
      </w:r>
      <w:r>
        <w:tab/>
      </w:r>
      <w:r>
        <w:rPr>
          <w:i/>
        </w:rPr>
        <w:t>h</w:t>
      </w:r>
      <w:r>
        <w:rPr>
          <w:i/>
          <w:position w:val="-4"/>
          <w:sz w:val="18"/>
        </w:rPr>
        <w:t>t</w:t>
      </w:r>
      <w:r>
        <w:t xml:space="preserve">  </w:t>
      </w:r>
      <w:r>
        <w:rPr>
          <w:rFonts w:ascii="Symbol" w:hAnsi="Symbol"/>
        </w:rPr>
        <w:t></w:t>
      </w:r>
      <w:r>
        <w:t xml:space="preserve">  </w:t>
      </w:r>
      <w:r>
        <w:rPr>
          <w:i/>
        </w:rPr>
        <w:t>h</w:t>
      </w:r>
      <w:r>
        <w:rPr>
          <w:i/>
          <w:position w:val="-4"/>
          <w:sz w:val="18"/>
        </w:rPr>
        <w:t>r</w:t>
      </w:r>
      <w:r>
        <w:t xml:space="preserve">  </w:t>
      </w:r>
      <w:r>
        <w:rPr>
          <w:rFonts w:ascii="Symbol" w:hAnsi="Symbol"/>
        </w:rPr>
        <w:t></w:t>
      </w:r>
      <w:r>
        <w:t xml:space="preserve">  0;   </w:t>
      </w:r>
      <w:r>
        <w:rPr>
          <w:rFonts w:ascii="Symbol" w:hAnsi="Symbol"/>
        </w:rPr>
        <w:t></w:t>
      </w:r>
      <w:r>
        <w:rPr>
          <w:i/>
          <w:position w:val="-4"/>
          <w:sz w:val="18"/>
        </w:rPr>
        <w:t>t</w:t>
      </w:r>
      <w:r>
        <w:t xml:space="preserve">  </w:t>
      </w:r>
      <w:r>
        <w:rPr>
          <w:rFonts w:ascii="Symbol" w:hAnsi="Symbol"/>
        </w:rPr>
        <w:t></w:t>
      </w:r>
      <w:r>
        <w:t xml:space="preserve"> </w:t>
      </w:r>
      <w:r>
        <w:rPr>
          <w:rFonts w:ascii="Symbol" w:hAnsi="Symbol"/>
        </w:rPr>
        <w:t></w:t>
      </w:r>
      <w:r>
        <w:rPr>
          <w:i/>
          <w:position w:val="-4"/>
          <w:sz w:val="18"/>
        </w:rPr>
        <w:t>r</w:t>
      </w:r>
      <w:r>
        <w:t xml:space="preserve">  </w:t>
      </w:r>
      <w:r>
        <w:rPr>
          <w:rFonts w:ascii="Symbol" w:hAnsi="Symbol"/>
        </w:rPr>
        <w:t></w:t>
      </w:r>
      <w:r>
        <w:t xml:space="preserve">  1;   </w:t>
      </w:r>
      <w:r>
        <w:rPr>
          <w:rFonts w:ascii="Symbol" w:hAnsi="Symbol"/>
        </w:rPr>
        <w:t></w:t>
      </w:r>
      <w:r>
        <w:t xml:space="preserve">  </w:t>
      </w:r>
      <w:r>
        <w:rPr>
          <w:rFonts w:ascii="Symbol" w:hAnsi="Symbol"/>
        </w:rPr>
        <w:t></w:t>
      </w:r>
      <w:r>
        <w:t xml:space="preserve">  0</w:t>
      </w:r>
    </w:p>
    <w:p w:rsidR="00505483" w:rsidRDefault="00505483" w:rsidP="00505483">
      <w:pPr>
        <w:pStyle w:val="Equation"/>
      </w:pPr>
      <w:r>
        <w:tab/>
      </w:r>
      <w:r>
        <w:tab/>
      </w:r>
      <w:r>
        <w:rPr>
          <w:i/>
        </w:rPr>
        <w:t>L</w:t>
      </w:r>
      <w:r>
        <w:t xml:space="preserve">  </w:t>
      </w:r>
      <w:r>
        <w:rPr>
          <w:rFonts w:ascii="Symbol" w:hAnsi="Symbol"/>
        </w:rPr>
        <w:t></w:t>
      </w:r>
      <w:r>
        <w:t xml:space="preserve">  </w:t>
      </w:r>
      <w:r>
        <w:rPr>
          <w:i/>
        </w:rPr>
        <w:t>L</w:t>
      </w:r>
      <w:r>
        <w:rPr>
          <w:i/>
          <w:position w:val="-4"/>
          <w:sz w:val="18"/>
        </w:rPr>
        <w:t>bf</w:t>
      </w:r>
      <w:r>
        <w:t xml:space="preserve">  –  3,5               dB</w:t>
      </w:r>
      <w:bookmarkEnd w:id="14"/>
    </w:p>
    <w:p w:rsidR="00A6617B" w:rsidRDefault="00A6617B" w:rsidP="00505483"/>
    <w:p w:rsidR="00F43B7E" w:rsidRPr="00505483" w:rsidRDefault="00F43B7E" w:rsidP="00F43B7E">
      <w:pPr>
        <w:pStyle w:val="Line"/>
      </w:pPr>
    </w:p>
    <w:sectPr w:rsidR="00F43B7E" w:rsidRPr="00505483" w:rsidSect="008868B6">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483" w:rsidRDefault="00505483">
      <w:r>
        <w:separator/>
      </w:r>
    </w:p>
  </w:endnote>
  <w:endnote w:type="continuationSeparator" w:id="0">
    <w:p w:rsidR="00505483" w:rsidRDefault="00505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483" w:rsidRDefault="00505483">
      <w:r>
        <w:separator/>
      </w:r>
    </w:p>
  </w:footnote>
  <w:footnote w:type="continuationSeparator" w:id="0">
    <w:p w:rsidR="00505483" w:rsidRDefault="00505483">
      <w:r>
        <w:continuationSeparator/>
      </w:r>
    </w:p>
  </w:footnote>
  <w:footnote w:id="1">
    <w:p w:rsidR="00505483" w:rsidRPr="003D379A" w:rsidRDefault="00505483" w:rsidP="00505483">
      <w:pPr>
        <w:pStyle w:val="FootnoteText"/>
        <w:rPr>
          <w:lang w:val="fr-CH"/>
        </w:rPr>
      </w:pPr>
      <w:r>
        <w:rPr>
          <w:rStyle w:val="FootnoteReference"/>
        </w:rPr>
        <w:t>*</w:t>
      </w:r>
      <w:r>
        <w:t xml:space="preserve"> </w:t>
      </w:r>
      <w:r>
        <w:tab/>
        <w:t>Cette Recommandation doit être portée à l'attention du Comité de coordination pour le vocabulaire (CCV).</w:t>
      </w:r>
    </w:p>
  </w:footnote>
  <w:footnote w:id="2">
    <w:p w:rsidR="00505483" w:rsidRPr="003D379A" w:rsidRDefault="00505483" w:rsidP="00505483">
      <w:pPr>
        <w:pStyle w:val="FootnoteText"/>
        <w:rPr>
          <w:lang w:val="fr-CH"/>
        </w:rPr>
      </w:pPr>
      <w:r>
        <w:rPr>
          <w:rStyle w:val="FootnoteReference"/>
        </w:rPr>
        <w:t>**</w:t>
      </w:r>
      <w:r>
        <w:tab/>
        <w:t xml:space="preserve">Dans toute la présente Recommandation, les majuscules désignent les rapports (dB) des grandeurs correspondantes, représentées par des minuscules. Par exemple: dans </w:t>
      </w:r>
      <w:r>
        <w:rPr>
          <w:i/>
        </w:rPr>
        <w:t>P</w:t>
      </w:r>
      <w:r>
        <w:rPr>
          <w:i/>
          <w:position w:val="-4"/>
          <w:sz w:val="14"/>
        </w:rPr>
        <w:t>t</w:t>
      </w:r>
      <w:r>
        <w:t xml:space="preserve"> </w:t>
      </w:r>
      <w:r>
        <w:rPr>
          <w:rFonts w:ascii="Symbol" w:hAnsi="Symbol"/>
        </w:rPr>
        <w:t></w:t>
      </w:r>
      <w:r>
        <w:t xml:space="preserve"> 10 log </w:t>
      </w:r>
      <w:r>
        <w:rPr>
          <w:i/>
        </w:rPr>
        <w:t>p</w:t>
      </w:r>
      <w:r>
        <w:rPr>
          <w:i/>
          <w:position w:val="-4"/>
          <w:sz w:val="14"/>
        </w:rPr>
        <w:t>t</w:t>
      </w:r>
      <w:r>
        <w:t xml:space="preserve">, </w:t>
      </w:r>
      <w:r>
        <w:rPr>
          <w:i/>
        </w:rPr>
        <w:t>P</w:t>
      </w:r>
      <w:r>
        <w:rPr>
          <w:i/>
          <w:position w:val="-4"/>
          <w:sz w:val="14"/>
        </w:rPr>
        <w:t>t</w:t>
      </w:r>
      <w:r>
        <w:t xml:space="preserve"> est la puissance délivrée à l'entrée de l'antenne d'émission, exprimée en dB par rapport à 1 W et </w:t>
      </w:r>
      <w:r>
        <w:rPr>
          <w:i/>
        </w:rPr>
        <w:t>p</w:t>
      </w:r>
      <w:r>
        <w:rPr>
          <w:i/>
          <w:position w:val="-4"/>
          <w:sz w:val="16"/>
        </w:rPr>
        <w:t>t</w:t>
      </w:r>
      <w:r>
        <w:t xml:space="preserve"> est la puissance d'entrée (W).</w:t>
      </w:r>
    </w:p>
  </w:footnote>
  <w:footnote w:id="3">
    <w:p w:rsidR="00505483" w:rsidRPr="003D379A" w:rsidRDefault="00505483" w:rsidP="00505483">
      <w:pPr>
        <w:pStyle w:val="FootnoteText"/>
        <w:rPr>
          <w:lang w:val="fr-CH"/>
        </w:rPr>
      </w:pPr>
      <w:r>
        <w:rPr>
          <w:rStyle w:val="FootnoteReference"/>
        </w:rPr>
        <w:t>***</w:t>
      </w:r>
      <w:r>
        <w:t xml:space="preserve"> On trouvera une représentation graphique de cette notion et des suivantes à la Fig.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83" w:rsidRDefault="0050548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83" w:rsidRDefault="00505483" w:rsidP="00C668C8">
    <w:pPr>
      <w:pStyle w:val="Header"/>
      <w:ind w:right="360" w:firstLine="360"/>
    </w:pPr>
    <w:r>
      <w:rPr>
        <w:noProof/>
        <w:lang w:val="en-GB" w:eastAsia="en-GB"/>
      </w:rPr>
      <w:drawing>
        <wp:anchor distT="0" distB="0" distL="114300" distR="114300" simplePos="0" relativeHeight="251659264" behindDoc="1" locked="0" layoutInCell="1" allowOverlap="1" wp14:anchorId="522A5F87" wp14:editId="3E9FAB9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83" w:rsidRPr="00837CB5" w:rsidRDefault="0050548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C50FC">
      <w:rPr>
        <w:rStyle w:val="PageNumber"/>
        <w:b/>
        <w:bCs/>
        <w:noProof/>
      </w:rPr>
      <w:t>ii</w:t>
    </w:r>
    <w:r>
      <w:rPr>
        <w:rStyle w:val="PageNumber"/>
        <w:b/>
        <w:bCs/>
      </w:rPr>
      <w:fldChar w:fldCharType="end"/>
    </w:r>
    <w:r w:rsidRPr="00837CB5">
      <w:tab/>
    </w:r>
    <w:r w:rsidR="00DC50FC">
      <w:fldChar w:fldCharType="begin"/>
    </w:r>
    <w:r w:rsidR="00DC50FC">
      <w:instrText xml:space="preserve"> DOCPROPERTY "Header" \* MERGEFORMAT </w:instrText>
    </w:r>
    <w:r w:rsidR="00DC50FC">
      <w:fldChar w:fldCharType="separate"/>
    </w:r>
    <w:r w:rsidR="00DC50FC" w:rsidRPr="00DC50FC">
      <w:rPr>
        <w:b/>
        <w:bCs/>
      </w:rPr>
      <w:t xml:space="preserve">Rec. </w:t>
    </w:r>
    <w:r w:rsidR="00DC50FC">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C50FC">
      <w:rPr>
        <w:b/>
        <w:bCs/>
        <w:noProof/>
      </w:rPr>
      <w:t>UIT-R  P.341-6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83" w:rsidRDefault="00505483">
    <w:pPr>
      <w:pStyle w:val="Header"/>
    </w:pPr>
    <w:r>
      <w:tab/>
    </w:r>
    <w:r w:rsidR="00DC50FC">
      <w:fldChar w:fldCharType="begin"/>
    </w:r>
    <w:r w:rsidR="00DC50FC">
      <w:instrText xml:space="preserve"> DOCPROPE</w:instrText>
    </w:r>
    <w:r w:rsidR="00DC50FC">
      <w:instrText xml:space="preserve">RTY "Header" \* MERGEFORMAT </w:instrText>
    </w:r>
    <w:r w:rsidR="00DC50FC">
      <w:fldChar w:fldCharType="separate"/>
    </w:r>
    <w:r w:rsidR="00DC50FC" w:rsidRPr="00DC50FC">
      <w:rPr>
        <w:b/>
        <w:bCs/>
      </w:rPr>
      <w:t xml:space="preserve">Rec. </w:t>
    </w:r>
    <w:r w:rsidR="00DC50FC">
      <w:rPr>
        <w:b/>
        <w:bCs/>
      </w:rPr>
      <w:fldChar w:fldCharType="end"/>
    </w:r>
    <w:r>
      <w:rPr>
        <w:b/>
        <w:bCs/>
      </w:rPr>
      <w:t xml:space="preserve"> </w:t>
    </w:r>
    <w:r>
      <w:rPr>
        <w:b/>
        <w:bCs/>
      </w:rPr>
      <w:fldChar w:fldCharType="begin"/>
    </w:r>
    <w:r>
      <w:rPr>
        <w:b/>
        <w:bCs/>
      </w:rPr>
      <w:instrText>styleref href</w:instrText>
    </w:r>
    <w:r>
      <w:rPr>
        <w:b/>
        <w:bCs/>
      </w:rPr>
      <w:fldChar w:fldCharType="separate"/>
    </w:r>
    <w:r w:rsidR="00DC50FC">
      <w:rPr>
        <w:b/>
        <w:bCs/>
        <w:noProof/>
      </w:rPr>
      <w:t>UIT-R  P.341-6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50FC">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C50FC" w:rsidRPr="00DC50F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C50FC">
      <w:rPr>
        <w:b/>
        <w:bCs/>
        <w:noProof/>
      </w:rPr>
      <w:t>UIT-R  P.341-6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DC50FC">
      <w:fldChar w:fldCharType="begin"/>
    </w:r>
    <w:r w:rsidR="00DC50FC">
      <w:instrText xml:space="preserve"> DOCPROPERTY "Header" \* MERGEFORMAT </w:instrText>
    </w:r>
    <w:r w:rsidR="00DC50FC">
      <w:fldChar w:fldCharType="separate"/>
    </w:r>
    <w:r w:rsidR="00DC50FC" w:rsidRPr="00DC50FC">
      <w:rPr>
        <w:b/>
        <w:bCs/>
      </w:rPr>
      <w:t xml:space="preserve">Rec. </w:t>
    </w:r>
    <w:r w:rsidR="00DC50FC">
      <w:rPr>
        <w:b/>
        <w:bCs/>
      </w:rPr>
      <w:fldChar w:fldCharType="end"/>
    </w:r>
    <w:r>
      <w:rPr>
        <w:b/>
        <w:bCs/>
      </w:rPr>
      <w:t xml:space="preserve"> </w:t>
    </w:r>
    <w:r>
      <w:rPr>
        <w:b/>
        <w:bCs/>
      </w:rPr>
      <w:fldChar w:fldCharType="begin"/>
    </w:r>
    <w:r>
      <w:rPr>
        <w:b/>
        <w:bCs/>
      </w:rPr>
      <w:instrText>styleref href</w:instrText>
    </w:r>
    <w:r>
      <w:rPr>
        <w:b/>
        <w:bCs/>
      </w:rPr>
      <w:fldChar w:fldCharType="separate"/>
    </w:r>
    <w:r w:rsidR="00DC50FC">
      <w:rPr>
        <w:b/>
        <w:bCs/>
        <w:noProof/>
      </w:rPr>
      <w:t>UIT-R  P.341-6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C50F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83"/>
    <w:rsid w:val="000A3597"/>
    <w:rsid w:val="0015057F"/>
    <w:rsid w:val="001A5B4D"/>
    <w:rsid w:val="00217EBF"/>
    <w:rsid w:val="00242AEE"/>
    <w:rsid w:val="002B4957"/>
    <w:rsid w:val="002D76C4"/>
    <w:rsid w:val="00505483"/>
    <w:rsid w:val="0052529D"/>
    <w:rsid w:val="005D34EA"/>
    <w:rsid w:val="00607D68"/>
    <w:rsid w:val="00710C5D"/>
    <w:rsid w:val="007468DA"/>
    <w:rsid w:val="008868B6"/>
    <w:rsid w:val="00893122"/>
    <w:rsid w:val="009E00A8"/>
    <w:rsid w:val="00A6617B"/>
    <w:rsid w:val="00AB0DC8"/>
    <w:rsid w:val="00AB1DD5"/>
    <w:rsid w:val="00AE78F1"/>
    <w:rsid w:val="00B44E24"/>
    <w:rsid w:val="00D02A40"/>
    <w:rsid w:val="00DC50FC"/>
    <w:rsid w:val="00DF4176"/>
    <w:rsid w:val="00F43B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EBFAD889-94A4-4D8C-989F-7FB07BA5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4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2A40"/>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D02A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05483"/>
    <w:rPr>
      <w:b/>
      <w:sz w:val="24"/>
      <w:lang w:val="fr-FR" w:eastAsia="en-US"/>
    </w:rPr>
  </w:style>
  <w:style w:type="character" w:customStyle="1" w:styleId="Heading2Char">
    <w:name w:val="Heading 2 Char"/>
    <w:basedOn w:val="DefaultParagraphFont"/>
    <w:link w:val="Heading2"/>
    <w:rsid w:val="00505483"/>
    <w:rPr>
      <w:b/>
      <w:sz w:val="24"/>
      <w:lang w:val="fr-FR" w:eastAsia="en-US"/>
    </w:rPr>
  </w:style>
  <w:style w:type="character" w:customStyle="1" w:styleId="HeaderChar">
    <w:name w:val="Header Char"/>
    <w:basedOn w:val="DefaultParagraphFont"/>
    <w:link w:val="Header"/>
    <w:rsid w:val="00505483"/>
    <w:rPr>
      <w:sz w:val="24"/>
      <w:lang w:val="fr-FR" w:eastAsia="en-US"/>
    </w:rPr>
  </w:style>
  <w:style w:type="character" w:styleId="Hyperlink">
    <w:name w:val="Hyperlink"/>
    <w:basedOn w:val="DefaultParagraphFont"/>
    <w:rsid w:val="00505483"/>
    <w:rPr>
      <w:color w:val="0000FF"/>
      <w:u w:val="single"/>
    </w:rPr>
  </w:style>
  <w:style w:type="paragraph" w:customStyle="1" w:styleId="RecTitle0">
    <w:name w:val="Rec_Title"/>
    <w:basedOn w:val="Normal"/>
    <w:next w:val="Normal"/>
    <w:rsid w:val="0050548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505483"/>
    <w:pPr>
      <w:spacing w:before="480"/>
    </w:pPr>
    <w:rPr>
      <w:sz w:val="20"/>
      <w:lang w:val="en-GB" w:eastAsia="zh-CN"/>
    </w:rPr>
  </w:style>
  <w:style w:type="paragraph" w:customStyle="1" w:styleId="call0">
    <w:name w:val="call"/>
    <w:basedOn w:val="Normal"/>
    <w:next w:val="Normal"/>
    <w:rsid w:val="00505483"/>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Normal"/>
    <w:rsid w:val="00505483"/>
    <w:pPr>
      <w:keepNext/>
      <w:keepLines/>
      <w:tabs>
        <w:tab w:val="clear" w:pos="794"/>
        <w:tab w:val="clear" w:pos="1191"/>
        <w:tab w:val="clear" w:pos="1588"/>
        <w:tab w:val="clear" w:pos="1985"/>
        <w:tab w:val="right" w:pos="9696"/>
      </w:tabs>
      <w:spacing w:before="136"/>
      <w:jc w:val="right"/>
    </w:pPr>
    <w:rPr>
      <w:sz w:val="20"/>
      <w:lang w:val="en-GB" w:eastAsia="zh-CN"/>
    </w:rPr>
  </w:style>
  <w:style w:type="character" w:customStyle="1" w:styleId="FootnoteTextChar">
    <w:name w:val="Footnote Text Char"/>
    <w:basedOn w:val="DefaultParagraphFont"/>
    <w:link w:val="FootnoteText"/>
    <w:rsid w:val="00505483"/>
    <w:rPr>
      <w:sz w:val="22"/>
      <w:lang w:val="fr-FR" w:eastAsia="en-US"/>
    </w:rPr>
  </w:style>
  <w:style w:type="paragraph" w:customStyle="1" w:styleId="FigureTitle0">
    <w:name w:val="Figure_Title"/>
    <w:basedOn w:val="Tabletitle"/>
    <w:next w:val="Normal"/>
    <w:rsid w:val="00505483"/>
    <w:pPr>
      <w:tabs>
        <w:tab w:val="clear" w:pos="794"/>
        <w:tab w:val="clear" w:pos="1191"/>
        <w:tab w:val="clear" w:pos="1588"/>
        <w:tab w:val="clear" w:pos="1985"/>
        <w:tab w:val="left" w:pos="1134"/>
        <w:tab w:val="left" w:pos="1871"/>
        <w:tab w:val="left" w:pos="2268"/>
      </w:tabs>
      <w:spacing w:after="240"/>
    </w:pPr>
    <w:rPr>
      <w:sz w:val="18"/>
    </w:rPr>
  </w:style>
  <w:style w:type="paragraph" w:customStyle="1" w:styleId="headfoot">
    <w:name w:val="head_foot"/>
    <w:basedOn w:val="Normal"/>
    <w:next w:val="Normalaftertitle0"/>
    <w:rsid w:val="00505483"/>
    <w:pPr>
      <w:tabs>
        <w:tab w:val="clear" w:pos="794"/>
        <w:tab w:val="clear" w:pos="1191"/>
        <w:tab w:val="clear" w:pos="1588"/>
        <w:tab w:val="clear" w:pos="1985"/>
        <w:tab w:val="left" w:pos="1134"/>
        <w:tab w:val="left" w:pos="1871"/>
        <w:tab w:val="left" w:pos="2268"/>
      </w:tabs>
      <w:spacing w:before="0"/>
    </w:pPr>
    <w:rPr>
      <w:b/>
      <w:color w:val="FFFFFF"/>
      <w:sz w:val="8"/>
    </w:rPr>
  </w:style>
  <w:style w:type="paragraph" w:customStyle="1" w:styleId="Fig">
    <w:name w:val="Fig_#"/>
    <w:basedOn w:val="Normal"/>
    <w:next w:val="Normal"/>
    <w:rsid w:val="00505483"/>
    <w:pPr>
      <w:tabs>
        <w:tab w:val="clear" w:pos="794"/>
        <w:tab w:val="clear" w:pos="1191"/>
        <w:tab w:val="clear" w:pos="1588"/>
        <w:tab w:val="clear" w:pos="1985"/>
        <w:tab w:val="left" w:pos="1134"/>
        <w:tab w:val="left" w:pos="1871"/>
        <w:tab w:val="left" w:pos="2268"/>
      </w:tabs>
      <w:spacing w:before="136"/>
      <w:jc w:val="left"/>
    </w:pPr>
    <w:rPr>
      <w:color w:val="FFFFFF"/>
      <w:lang w:val="en-US"/>
    </w:rPr>
  </w:style>
  <w:style w:type="paragraph" w:customStyle="1" w:styleId="Annextitle">
    <w:name w:val="Annex_title"/>
    <w:basedOn w:val="Normal"/>
    <w:next w:val="Normal"/>
    <w:rsid w:val="0050548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9</Pages>
  <Words>2694</Words>
  <Characters>16195</Characters>
  <Application>Microsoft Office Word</Application>
  <DocSecurity>0</DocSecurity>
  <Lines>404</Lines>
  <Paragraphs>61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Template BR_Rec_2005.dot</vt:lpstr>
      <vt:lpstr>Politique en matière de droits de propriété intellectuelle (IPR)</vt:lpstr>
      <vt:lpstr>1	Affaiblissement total (d'une liaison radioélectrique)*** (symboles: Al ou Ll)</vt:lpstr>
      <vt:lpstr>2	Affaiblissement du système (symboles: As ou Ls)</vt:lpstr>
      <vt:lpstr>3	Affaiblissement de transmission (d'une liaison radioélectrique) (symboles: A o</vt:lpstr>
      <vt:lpstr>4	Affaiblissement de transmission de référence (d'une liaison radioélectrique) (</vt:lpstr>
      <vt:lpstr>5	Affaiblissement de transmission de référence en espace libre (symboles: A0 ou </vt:lpstr>
      <vt:lpstr>6	Affaiblissement de transmission pour un trajet radioélectrique (symboles: At o</vt:lpstr>
      <vt:lpstr>7	Affaiblissement par rapport à l'espace libre (symboles: Am ou Lm)</vt:lpstr>
      <vt:lpstr>1	Directivité d'une antenne</vt:lpstr>
      <vt:lpstr>2	Gain d'antenne</vt:lpstr>
      <vt:lpstr>3	Antennes de référence normalisées</vt:lpstr>
    </vt:vector>
  </TitlesOfParts>
  <Manager/>
  <Company>ITU</Company>
  <LinksUpToDate>false</LinksUpToDate>
  <CharactersWithSpaces>18828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2017-04-27T07:07:00Z</cp:lastPrinted>
  <dcterms:created xsi:type="dcterms:W3CDTF">2017-04-27T06:44:00Z</dcterms:created>
  <dcterms:modified xsi:type="dcterms:W3CDTF">2017-04-27T07:07:00Z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