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p w:rsidR="00CE06CC" w:rsidRDefault="00CE06CC" w:rsidP="00CE06CC"/>
    <w:tbl>
      <w:tblPr>
        <w:tblW w:w="10089" w:type="dxa"/>
        <w:tblLook w:val="01E0" w:firstRow="1" w:lastRow="1" w:firstColumn="1" w:lastColumn="1" w:noHBand="0" w:noVBand="0"/>
      </w:tblPr>
      <w:tblGrid>
        <w:gridCol w:w="10089"/>
      </w:tblGrid>
      <w:tr w:rsidR="00CE06CC" w:rsidRPr="00A443C2" w:rsidTr="00DD4718">
        <w:tc>
          <w:tcPr>
            <w:tcW w:w="10089" w:type="dxa"/>
          </w:tcPr>
          <w:p w:rsidR="00CE06CC" w:rsidRPr="00B033C8" w:rsidRDefault="00CE06CC" w:rsidP="00DD4718">
            <w:pPr>
              <w:spacing w:before="380" w:line="280" w:lineRule="exact"/>
              <w:jc w:val="right"/>
              <w:rPr>
                <w:rFonts w:ascii="Tahoma" w:hAnsi="Tahoma" w:cs="Tahoma"/>
                <w:b/>
                <w:bCs/>
                <w:iCs/>
                <w:color w:val="243285"/>
                <w:sz w:val="32"/>
                <w:szCs w:val="32"/>
                <w:lang w:val="en-US"/>
              </w:rPr>
            </w:pPr>
          </w:p>
          <w:p w:rsidR="00CE06CC" w:rsidRPr="00A443C2" w:rsidRDefault="00CE06CC" w:rsidP="00770EA1">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770EA1">
              <w:rPr>
                <w:rFonts w:ascii="Tahoma" w:hAnsi="Tahoma" w:cs="Tahoma"/>
                <w:b/>
                <w:bCs/>
                <w:iCs/>
                <w:color w:val="243285"/>
                <w:sz w:val="36"/>
                <w:szCs w:val="36"/>
              </w:rPr>
              <w:t>311-14</w:t>
            </w:r>
          </w:p>
          <w:p w:rsidR="00CE06CC" w:rsidRPr="00A443C2" w:rsidRDefault="00CE06CC" w:rsidP="00770EA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770EA1">
              <w:rPr>
                <w:rFonts w:ascii="Tahoma" w:hAnsi="Tahoma" w:cs="Tahoma"/>
                <w:b/>
                <w:bCs/>
                <w:iCs/>
                <w:color w:val="243285"/>
                <w:szCs w:val="24"/>
              </w:rPr>
              <w:t>9</w:t>
            </w:r>
            <w:r w:rsidRPr="00A443C2">
              <w:rPr>
                <w:rFonts w:ascii="Tahoma" w:hAnsi="Tahoma" w:cs="Tahoma"/>
                <w:b/>
                <w:bCs/>
                <w:iCs/>
                <w:color w:val="243285"/>
                <w:szCs w:val="24"/>
              </w:rPr>
              <w:t>/</w:t>
            </w:r>
            <w:r w:rsidR="00770EA1">
              <w:rPr>
                <w:rFonts w:ascii="Tahoma" w:hAnsi="Tahoma" w:cs="Tahoma"/>
                <w:b/>
                <w:bCs/>
                <w:iCs/>
                <w:color w:val="243285"/>
                <w:szCs w:val="24"/>
              </w:rPr>
              <w:t>2013</w:t>
            </w:r>
            <w:r w:rsidRPr="00A443C2">
              <w:rPr>
                <w:rFonts w:ascii="Tahoma" w:hAnsi="Tahoma" w:cs="Tahoma"/>
                <w:b/>
                <w:bCs/>
                <w:iCs/>
                <w:color w:val="243285"/>
                <w:szCs w:val="24"/>
              </w:rPr>
              <w:t>)</w:t>
            </w:r>
          </w:p>
        </w:tc>
      </w:tr>
      <w:tr w:rsidR="00CE06CC" w:rsidRPr="00F54FBD" w:rsidTr="00DD4718">
        <w:tc>
          <w:tcPr>
            <w:tcW w:w="10089" w:type="dxa"/>
          </w:tcPr>
          <w:p w:rsidR="00CE06CC" w:rsidRDefault="00CE06CC" w:rsidP="00DD4718">
            <w:pPr>
              <w:spacing w:before="80" w:line="500" w:lineRule="exact"/>
              <w:jc w:val="right"/>
              <w:rPr>
                <w:rFonts w:ascii="Tahoma" w:hAnsi="Tahoma" w:cs="Tahoma"/>
                <w:b/>
                <w:bCs/>
                <w:iCs/>
                <w:color w:val="243285"/>
                <w:sz w:val="44"/>
                <w:szCs w:val="44"/>
              </w:rPr>
            </w:pPr>
          </w:p>
          <w:p w:rsidR="00CE06CC" w:rsidRDefault="00FC68AD" w:rsidP="00FC68AD">
            <w:pPr>
              <w:spacing w:before="80" w:line="500" w:lineRule="exact"/>
              <w:jc w:val="right"/>
              <w:rPr>
                <w:rFonts w:ascii="Tahoma" w:hAnsi="Tahoma" w:cs="Tahoma"/>
                <w:b/>
                <w:bCs/>
                <w:iCs/>
                <w:color w:val="243285"/>
                <w:sz w:val="44"/>
                <w:szCs w:val="44"/>
              </w:rPr>
            </w:pPr>
            <w:r w:rsidRPr="00FC68AD">
              <w:rPr>
                <w:rFonts w:ascii="Tahoma" w:hAnsi="Tahoma" w:cs="Tahoma"/>
                <w:b/>
                <w:bCs/>
                <w:iCs/>
                <w:color w:val="243285"/>
                <w:sz w:val="44"/>
                <w:szCs w:val="44"/>
              </w:rPr>
              <w:t>Acquisition, présentation et analyse des données dans les</w:t>
            </w:r>
            <w:r>
              <w:rPr>
                <w:rFonts w:ascii="Tahoma" w:hAnsi="Tahoma" w:cs="Tahoma"/>
                <w:b/>
                <w:bCs/>
                <w:iCs/>
                <w:color w:val="243285"/>
                <w:sz w:val="44"/>
                <w:szCs w:val="44"/>
              </w:rPr>
              <w:t xml:space="preserve"> </w:t>
            </w:r>
            <w:r w:rsidRPr="00FC68AD">
              <w:rPr>
                <w:rFonts w:ascii="Tahoma" w:hAnsi="Tahoma" w:cs="Tahoma"/>
                <w:b/>
                <w:bCs/>
                <w:iCs/>
                <w:color w:val="243285"/>
                <w:sz w:val="44"/>
                <w:szCs w:val="44"/>
              </w:rPr>
              <w:t>études relatives</w:t>
            </w:r>
            <w:r>
              <w:rPr>
                <w:rFonts w:ascii="Tahoma" w:hAnsi="Tahoma" w:cs="Tahoma"/>
                <w:b/>
                <w:bCs/>
                <w:iCs/>
                <w:color w:val="243285"/>
                <w:sz w:val="44"/>
                <w:szCs w:val="44"/>
              </w:rPr>
              <w:t xml:space="preserve"> </w:t>
            </w:r>
            <w:r w:rsidRPr="00FC68AD">
              <w:rPr>
                <w:rFonts w:ascii="Tahoma" w:hAnsi="Tahoma" w:cs="Tahoma"/>
                <w:b/>
                <w:bCs/>
                <w:iCs/>
                <w:color w:val="243285"/>
                <w:sz w:val="44"/>
                <w:szCs w:val="44"/>
              </w:rPr>
              <w:t>à la propagation des ondes radioélectriques</w:t>
            </w:r>
          </w:p>
          <w:p w:rsidR="00CE06CC" w:rsidRPr="00F54FBD" w:rsidRDefault="00CE06CC" w:rsidP="00DD4718">
            <w:pPr>
              <w:spacing w:before="80" w:line="500" w:lineRule="exact"/>
              <w:jc w:val="right"/>
              <w:rPr>
                <w:rFonts w:ascii="Tahoma" w:hAnsi="Tahoma" w:cs="Tahoma"/>
                <w:b/>
                <w:bCs/>
                <w:iCs/>
                <w:color w:val="243285"/>
                <w:sz w:val="44"/>
                <w:szCs w:val="44"/>
              </w:rPr>
            </w:pPr>
          </w:p>
        </w:tc>
      </w:tr>
      <w:tr w:rsidR="00CE06CC" w:rsidRPr="00F54FBD" w:rsidTr="00DD4718">
        <w:tc>
          <w:tcPr>
            <w:tcW w:w="10089" w:type="dxa"/>
          </w:tcPr>
          <w:p w:rsidR="00CE06CC" w:rsidRPr="00F54FBD" w:rsidRDefault="00CE06CC" w:rsidP="00DD4718">
            <w:pPr>
              <w:spacing w:before="80" w:line="280" w:lineRule="exact"/>
              <w:ind w:right="640"/>
              <w:rPr>
                <w:rFonts w:ascii="Tahoma" w:hAnsi="Tahoma" w:cs="Tahoma"/>
                <w:b/>
                <w:bCs/>
                <w:iCs/>
                <w:color w:val="243285"/>
                <w:sz w:val="32"/>
                <w:szCs w:val="32"/>
              </w:rPr>
            </w:pPr>
          </w:p>
          <w:p w:rsidR="00CE06CC" w:rsidRPr="00F54FBD" w:rsidRDefault="00CE06CC" w:rsidP="00DD4718">
            <w:pPr>
              <w:spacing w:before="80" w:line="280" w:lineRule="exact"/>
              <w:ind w:right="640"/>
              <w:rPr>
                <w:rFonts w:ascii="Tahoma" w:hAnsi="Tahoma" w:cs="Tahoma"/>
                <w:b/>
                <w:bCs/>
                <w:iCs/>
                <w:color w:val="243285"/>
                <w:sz w:val="32"/>
                <w:szCs w:val="32"/>
              </w:rPr>
            </w:pPr>
          </w:p>
          <w:p w:rsidR="00CE06CC" w:rsidRPr="00F54FBD" w:rsidRDefault="00CE06CC" w:rsidP="00DD4718">
            <w:pPr>
              <w:spacing w:before="80" w:after="180" w:line="360" w:lineRule="exact"/>
              <w:ind w:right="720"/>
              <w:rPr>
                <w:rFonts w:ascii="Tahoma" w:hAnsi="Tahoma" w:cs="Tahoma"/>
                <w:b/>
                <w:bCs/>
                <w:iCs/>
                <w:color w:val="243285"/>
                <w:sz w:val="36"/>
                <w:szCs w:val="36"/>
              </w:rPr>
            </w:pPr>
          </w:p>
          <w:p w:rsidR="00CE06CC" w:rsidRPr="00F54FBD" w:rsidRDefault="00CE06CC" w:rsidP="00DD471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CE06CC" w:rsidRPr="00F54FBD" w:rsidRDefault="00CE06CC" w:rsidP="00DD471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CE06CC" w:rsidRPr="00F54FBD" w:rsidRDefault="00CE06CC" w:rsidP="00CE06CC">
      <w:pPr>
        <w:spacing w:before="80"/>
        <w:rPr>
          <w:i/>
          <w:sz w:val="22"/>
        </w:rPr>
      </w:pPr>
    </w:p>
    <w:p w:rsidR="00CE06CC" w:rsidRPr="00F54FBD" w:rsidRDefault="00CE06CC" w:rsidP="00CE06CC">
      <w:pPr>
        <w:spacing w:before="80"/>
        <w:rPr>
          <w:i/>
          <w:sz w:val="22"/>
        </w:rPr>
      </w:pPr>
    </w:p>
    <w:p w:rsidR="00CE06CC" w:rsidRPr="00F54FBD" w:rsidRDefault="00CE06CC" w:rsidP="00CE06CC">
      <w:pPr>
        <w:spacing w:before="80"/>
        <w:rPr>
          <w:i/>
          <w:sz w:val="22"/>
        </w:rPr>
      </w:pPr>
    </w:p>
    <w:p w:rsidR="00CE06CC" w:rsidRPr="00F54FBD" w:rsidRDefault="00CE06CC" w:rsidP="00CE06CC">
      <w:pPr>
        <w:spacing w:before="80"/>
        <w:rPr>
          <w:i/>
          <w:sz w:val="22"/>
        </w:rPr>
      </w:pPr>
    </w:p>
    <w:p w:rsidR="00CE06CC" w:rsidRPr="00F54FBD" w:rsidRDefault="00CE06CC" w:rsidP="00CE06CC">
      <w:pPr>
        <w:spacing w:before="80"/>
        <w:rPr>
          <w:i/>
          <w:sz w:val="22"/>
        </w:rPr>
      </w:pPr>
    </w:p>
    <w:p w:rsidR="00CE06CC" w:rsidRPr="00F54FBD" w:rsidRDefault="00CE06CC" w:rsidP="00CE06CC">
      <w:pPr>
        <w:spacing w:before="80"/>
        <w:rPr>
          <w:i/>
          <w:sz w:val="22"/>
        </w:rPr>
      </w:pPr>
    </w:p>
    <w:p w:rsidR="00CE06CC" w:rsidRPr="00F54FBD" w:rsidRDefault="00CE06CC" w:rsidP="00CE06CC">
      <w:pPr>
        <w:pStyle w:val="Equation"/>
        <w:tabs>
          <w:tab w:val="clear" w:pos="4820"/>
          <w:tab w:val="clear" w:pos="9639"/>
          <w:tab w:val="left" w:pos="1191"/>
          <w:tab w:val="left" w:pos="1588"/>
          <w:tab w:val="left" w:pos="1985"/>
        </w:tabs>
        <w:rPr>
          <w:rFonts w:ascii="Palatino Linotype" w:hAnsi="Palatino Linotype"/>
        </w:rPr>
        <w:sectPr w:rsidR="00CE06CC" w:rsidRPr="00F54FBD">
          <w:headerReference w:type="even" r:id="rId6"/>
          <w:headerReference w:type="default" r:id="rId7"/>
          <w:pgSz w:w="11907" w:h="16840" w:code="9"/>
          <w:pgMar w:top="1089" w:right="1089" w:bottom="284" w:left="1089" w:header="567" w:footer="284" w:gutter="0"/>
          <w:pgNumType w:start="1"/>
          <w:cols w:space="720"/>
        </w:sectPr>
      </w:pPr>
    </w:p>
    <w:p w:rsidR="00CE06CC" w:rsidRPr="00F54FBD" w:rsidRDefault="00CE06CC" w:rsidP="00CE0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CE06CC" w:rsidRPr="00F54FBD" w:rsidRDefault="00CE06CC" w:rsidP="00CE06C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E06CC" w:rsidRPr="00F54FBD" w:rsidRDefault="00CE06CC" w:rsidP="00CE06C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E06CC" w:rsidRPr="00E44CBB" w:rsidRDefault="00CE06CC" w:rsidP="00CE06C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E06CC" w:rsidRPr="00E44CBB" w:rsidRDefault="00CE06CC" w:rsidP="00CE06C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E06CC" w:rsidRPr="00673807" w:rsidRDefault="00CE06CC" w:rsidP="00CE06C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06CC" w:rsidRPr="009454F8" w:rsidTr="00DD4718">
        <w:tc>
          <w:tcPr>
            <w:tcW w:w="9360" w:type="dxa"/>
            <w:gridSpan w:val="2"/>
          </w:tcPr>
          <w:p w:rsidR="00CE06CC" w:rsidRPr="009454F8" w:rsidRDefault="00CE06CC" w:rsidP="00DD471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E06CC" w:rsidRPr="009454F8"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E06CC" w:rsidRPr="00036EE3" w:rsidTr="00DD4718">
        <w:tc>
          <w:tcPr>
            <w:tcW w:w="1140" w:type="dxa"/>
            <w:tcBorders>
              <w:bottom w:val="nil"/>
            </w:tcBorders>
          </w:tcPr>
          <w:p w:rsidR="00CE06CC" w:rsidRPr="00614CC6" w:rsidRDefault="00CE06CC" w:rsidP="00DD4718">
            <w:pPr>
              <w:spacing w:before="90" w:after="100"/>
              <w:ind w:left="57"/>
              <w:rPr>
                <w:b/>
                <w:bCs/>
                <w:sz w:val="20"/>
                <w:lang w:val="en-US"/>
              </w:rPr>
            </w:pPr>
            <w:r w:rsidRPr="00614CC6">
              <w:rPr>
                <w:b/>
                <w:bCs/>
                <w:sz w:val="20"/>
                <w:lang w:val="en-US"/>
              </w:rPr>
              <w:t>Séries</w:t>
            </w:r>
          </w:p>
        </w:tc>
        <w:tc>
          <w:tcPr>
            <w:tcW w:w="8220" w:type="dxa"/>
            <w:tcBorders>
              <w:bottom w:val="nil"/>
            </w:tcBorders>
          </w:tcPr>
          <w:p w:rsidR="00CE06CC" w:rsidRPr="00614CC6"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E06CC" w:rsidRPr="005E427C" w:rsidTr="00DD4718">
        <w:tc>
          <w:tcPr>
            <w:tcW w:w="1140" w:type="dxa"/>
            <w:tcBorders>
              <w:top w:val="nil"/>
              <w:bottom w:val="nil"/>
            </w:tcBorders>
            <w:shd w:val="clear" w:color="auto" w:fill="auto"/>
          </w:tcPr>
          <w:p w:rsidR="00CE06CC" w:rsidRPr="005E427C" w:rsidRDefault="00CE06CC" w:rsidP="00DD471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E06CC" w:rsidRPr="005E427C"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E06CC" w:rsidRPr="009454F8" w:rsidTr="00DD4718">
        <w:tc>
          <w:tcPr>
            <w:tcW w:w="1140" w:type="dxa"/>
            <w:tcBorders>
              <w:top w:val="nil"/>
              <w:bottom w:val="nil"/>
            </w:tcBorders>
          </w:tcPr>
          <w:p w:rsidR="00CE06CC" w:rsidRPr="00614CC6" w:rsidRDefault="00CE06CC" w:rsidP="00DD471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E06CC" w:rsidRPr="00614CC6"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E06CC" w:rsidRPr="00E80F1D" w:rsidTr="00DD4718">
        <w:tc>
          <w:tcPr>
            <w:tcW w:w="1140" w:type="dxa"/>
            <w:tcBorders>
              <w:top w:val="nil"/>
              <w:bottom w:val="nil"/>
            </w:tcBorders>
            <w:shd w:val="clear" w:color="auto" w:fill="auto"/>
          </w:tcPr>
          <w:p w:rsidR="00CE06CC" w:rsidRPr="00E80F1D" w:rsidRDefault="00CE06CC" w:rsidP="00DD471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E06CC" w:rsidRPr="00E80F1D"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E06CC" w:rsidRPr="00ED2695" w:rsidTr="00DD4718">
        <w:tc>
          <w:tcPr>
            <w:tcW w:w="1140" w:type="dxa"/>
            <w:tcBorders>
              <w:top w:val="nil"/>
              <w:bottom w:val="nil"/>
            </w:tcBorders>
            <w:shd w:val="clear" w:color="auto" w:fill="auto"/>
          </w:tcPr>
          <w:p w:rsidR="00CE06CC" w:rsidRPr="00614CC6" w:rsidRDefault="00CE06CC" w:rsidP="00DD471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E06CC" w:rsidRPr="00614CC6"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E06CC" w:rsidRPr="00DE5EA2" w:rsidTr="00DD4718">
        <w:tc>
          <w:tcPr>
            <w:tcW w:w="1140" w:type="dxa"/>
            <w:tcBorders>
              <w:top w:val="nil"/>
              <w:bottom w:val="nil"/>
            </w:tcBorders>
            <w:shd w:val="clear" w:color="auto" w:fill="auto"/>
          </w:tcPr>
          <w:p w:rsidR="00CE06CC" w:rsidRPr="00DE5EA2" w:rsidRDefault="00CE06CC" w:rsidP="00DD471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E06CC" w:rsidRPr="00DE5EA2" w:rsidRDefault="00CE06CC" w:rsidP="00DD47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E06CC" w:rsidRPr="00B21066" w:rsidTr="00DD4718">
        <w:tc>
          <w:tcPr>
            <w:tcW w:w="1140" w:type="dxa"/>
            <w:tcBorders>
              <w:top w:val="nil"/>
              <w:bottom w:val="nil"/>
            </w:tcBorders>
            <w:shd w:val="clear" w:color="auto" w:fill="auto"/>
          </w:tcPr>
          <w:p w:rsidR="00CE06CC" w:rsidRPr="00B21066" w:rsidRDefault="00CE06CC" w:rsidP="00DD471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E06CC" w:rsidRPr="00B21066" w:rsidRDefault="00CE06CC" w:rsidP="00DD4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E06CC" w:rsidRPr="00DE5EA2" w:rsidTr="00DD4718">
        <w:tc>
          <w:tcPr>
            <w:tcW w:w="1140" w:type="dxa"/>
            <w:tcBorders>
              <w:top w:val="nil"/>
              <w:bottom w:val="nil"/>
            </w:tcBorders>
            <w:shd w:val="clear" w:color="auto" w:fill="F3F3F3"/>
          </w:tcPr>
          <w:p w:rsidR="00CE06CC" w:rsidRPr="00DE5EA2" w:rsidRDefault="00CE06CC" w:rsidP="00DD4718">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CE06CC" w:rsidRPr="00DE5EA2" w:rsidRDefault="00CE06CC" w:rsidP="00DD4718">
            <w:pPr>
              <w:spacing w:before="30" w:after="30"/>
              <w:jc w:val="left"/>
              <w:rPr>
                <w:b/>
                <w:bCs/>
                <w:color w:val="000080"/>
                <w:sz w:val="20"/>
                <w:lang w:val="fr-CH"/>
              </w:rPr>
            </w:pPr>
            <w:r w:rsidRPr="00DE5EA2">
              <w:rPr>
                <w:b/>
                <w:bCs/>
                <w:color w:val="000080"/>
                <w:sz w:val="20"/>
              </w:rPr>
              <w:t>Propagation des ondes radioélectriques</w:t>
            </w:r>
          </w:p>
        </w:tc>
      </w:tr>
      <w:tr w:rsidR="00CE06CC" w:rsidRPr="00036EE3" w:rsidTr="00DD4718">
        <w:tc>
          <w:tcPr>
            <w:tcW w:w="1140" w:type="dxa"/>
            <w:tcBorders>
              <w:top w:val="nil"/>
            </w:tcBorders>
          </w:tcPr>
          <w:p w:rsidR="00CE06CC" w:rsidRPr="00614CC6" w:rsidRDefault="00CE06CC" w:rsidP="00DD4718">
            <w:pPr>
              <w:spacing w:before="30" w:after="30"/>
              <w:ind w:left="57"/>
              <w:jc w:val="left"/>
              <w:rPr>
                <w:b/>
                <w:bCs/>
                <w:sz w:val="20"/>
                <w:lang w:val="en-US"/>
              </w:rPr>
            </w:pPr>
            <w:r w:rsidRPr="00614CC6">
              <w:rPr>
                <w:b/>
                <w:bCs/>
                <w:sz w:val="20"/>
                <w:lang w:val="en-US"/>
              </w:rPr>
              <w:t>RA</w:t>
            </w:r>
          </w:p>
        </w:tc>
        <w:tc>
          <w:tcPr>
            <w:tcW w:w="8220" w:type="dxa"/>
            <w:tcBorders>
              <w:top w:val="nil"/>
            </w:tcBorders>
          </w:tcPr>
          <w:p w:rsidR="00CE06CC" w:rsidRPr="00614CC6" w:rsidRDefault="00CE06CC" w:rsidP="00DD47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E06CC" w:rsidRPr="00036EE3"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RS</w:t>
            </w:r>
          </w:p>
        </w:tc>
        <w:tc>
          <w:tcPr>
            <w:tcW w:w="8220" w:type="dxa"/>
          </w:tcPr>
          <w:p w:rsidR="00CE06CC" w:rsidRPr="00614CC6" w:rsidRDefault="00CE06CC" w:rsidP="00DD47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E06CC" w:rsidRPr="00036EE3"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S</w:t>
            </w:r>
          </w:p>
        </w:tc>
        <w:tc>
          <w:tcPr>
            <w:tcW w:w="8220" w:type="dxa"/>
          </w:tcPr>
          <w:p w:rsidR="00CE06CC" w:rsidRPr="00614CC6" w:rsidRDefault="00CE06CC" w:rsidP="00DD4718">
            <w:pPr>
              <w:spacing w:before="30" w:after="30"/>
              <w:jc w:val="left"/>
              <w:rPr>
                <w:sz w:val="20"/>
                <w:lang w:val="en-US"/>
              </w:rPr>
            </w:pPr>
            <w:r w:rsidRPr="00614CC6">
              <w:rPr>
                <w:sz w:val="20"/>
              </w:rPr>
              <w:t>Service fixe par satellite</w:t>
            </w:r>
          </w:p>
        </w:tc>
      </w:tr>
      <w:tr w:rsidR="00CE06CC" w:rsidRPr="00036EE3"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SA</w:t>
            </w:r>
          </w:p>
        </w:tc>
        <w:tc>
          <w:tcPr>
            <w:tcW w:w="8220" w:type="dxa"/>
          </w:tcPr>
          <w:p w:rsidR="00CE06CC" w:rsidRPr="00614CC6" w:rsidRDefault="00CE06CC" w:rsidP="00DD4718">
            <w:pPr>
              <w:spacing w:before="30" w:after="30"/>
              <w:jc w:val="left"/>
              <w:rPr>
                <w:sz w:val="20"/>
                <w:lang w:val="en-US"/>
              </w:rPr>
            </w:pPr>
            <w:r w:rsidRPr="00614CC6">
              <w:rPr>
                <w:sz w:val="20"/>
              </w:rPr>
              <w:t>Applications spatiales et météorologie</w:t>
            </w:r>
          </w:p>
        </w:tc>
      </w:tr>
      <w:tr w:rsidR="00CE06CC" w:rsidRPr="00614CC6"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SF</w:t>
            </w:r>
          </w:p>
        </w:tc>
        <w:tc>
          <w:tcPr>
            <w:tcW w:w="8220" w:type="dxa"/>
          </w:tcPr>
          <w:p w:rsidR="00CE06CC" w:rsidRPr="00614CC6" w:rsidRDefault="00CE06CC" w:rsidP="00DD4718">
            <w:pPr>
              <w:spacing w:before="30" w:after="30"/>
              <w:jc w:val="left"/>
              <w:rPr>
                <w:sz w:val="20"/>
              </w:rPr>
            </w:pPr>
            <w:r w:rsidRPr="00614CC6">
              <w:rPr>
                <w:sz w:val="20"/>
              </w:rPr>
              <w:t>Partage des fréquences et coordination entre les systèmes du service fixe par satellite et du service fixe</w:t>
            </w:r>
          </w:p>
        </w:tc>
      </w:tr>
      <w:tr w:rsidR="00CE06CC" w:rsidRPr="00036EE3" w:rsidTr="00DD4718">
        <w:tc>
          <w:tcPr>
            <w:tcW w:w="1140" w:type="dxa"/>
            <w:shd w:val="clear" w:color="auto" w:fill="auto"/>
          </w:tcPr>
          <w:p w:rsidR="00CE06CC" w:rsidRPr="00592F9F" w:rsidRDefault="00CE06CC" w:rsidP="00DD4718">
            <w:pPr>
              <w:spacing w:before="30" w:after="30"/>
              <w:ind w:left="57"/>
              <w:jc w:val="left"/>
              <w:rPr>
                <w:b/>
                <w:bCs/>
                <w:sz w:val="20"/>
                <w:lang w:val="en-US"/>
              </w:rPr>
            </w:pPr>
            <w:r w:rsidRPr="00592F9F">
              <w:rPr>
                <w:b/>
                <w:bCs/>
                <w:sz w:val="20"/>
                <w:lang w:val="en-US"/>
              </w:rPr>
              <w:t>SM</w:t>
            </w:r>
          </w:p>
        </w:tc>
        <w:tc>
          <w:tcPr>
            <w:tcW w:w="8220" w:type="dxa"/>
            <w:shd w:val="clear" w:color="auto" w:fill="auto"/>
          </w:tcPr>
          <w:p w:rsidR="00CE06CC" w:rsidRPr="00592F9F" w:rsidRDefault="00CE06CC" w:rsidP="00DD4718">
            <w:pPr>
              <w:spacing w:before="30" w:after="30"/>
              <w:jc w:val="left"/>
              <w:rPr>
                <w:sz w:val="20"/>
                <w:lang w:val="en-US"/>
              </w:rPr>
            </w:pPr>
            <w:r w:rsidRPr="00592F9F">
              <w:rPr>
                <w:sz w:val="20"/>
              </w:rPr>
              <w:t>Gestion du spectre</w:t>
            </w:r>
          </w:p>
        </w:tc>
      </w:tr>
      <w:tr w:rsidR="00CE06CC" w:rsidRPr="00036EE3"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SNG</w:t>
            </w:r>
          </w:p>
        </w:tc>
        <w:tc>
          <w:tcPr>
            <w:tcW w:w="8220" w:type="dxa"/>
          </w:tcPr>
          <w:p w:rsidR="00CE06CC" w:rsidRPr="00614CC6" w:rsidRDefault="00CE06CC" w:rsidP="00DD4718">
            <w:pPr>
              <w:spacing w:before="30" w:after="30"/>
              <w:jc w:val="left"/>
              <w:rPr>
                <w:sz w:val="20"/>
                <w:lang w:val="en-US"/>
              </w:rPr>
            </w:pPr>
            <w:r w:rsidRPr="00614CC6">
              <w:rPr>
                <w:sz w:val="20"/>
              </w:rPr>
              <w:t>Reportage d'actualités par satellite</w:t>
            </w:r>
          </w:p>
        </w:tc>
      </w:tr>
      <w:tr w:rsidR="00CE06CC" w:rsidRPr="00614CC6"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TF</w:t>
            </w:r>
          </w:p>
        </w:tc>
        <w:tc>
          <w:tcPr>
            <w:tcW w:w="8220" w:type="dxa"/>
          </w:tcPr>
          <w:p w:rsidR="00CE06CC" w:rsidRPr="00614CC6" w:rsidRDefault="00CE06CC" w:rsidP="00DD4718">
            <w:pPr>
              <w:spacing w:before="30" w:after="30"/>
              <w:jc w:val="left"/>
              <w:rPr>
                <w:sz w:val="20"/>
              </w:rPr>
            </w:pPr>
            <w:r w:rsidRPr="00614CC6">
              <w:rPr>
                <w:sz w:val="20"/>
              </w:rPr>
              <w:t>Emissions de fréquences étalon et de signaux horaires</w:t>
            </w:r>
          </w:p>
        </w:tc>
      </w:tr>
      <w:tr w:rsidR="00CE06CC" w:rsidRPr="00036EE3" w:rsidTr="00DD4718">
        <w:tc>
          <w:tcPr>
            <w:tcW w:w="1140" w:type="dxa"/>
          </w:tcPr>
          <w:p w:rsidR="00CE06CC" w:rsidRPr="00614CC6" w:rsidRDefault="00CE06CC" w:rsidP="00DD4718">
            <w:pPr>
              <w:spacing w:before="30" w:after="30"/>
              <w:ind w:left="57"/>
              <w:jc w:val="left"/>
              <w:rPr>
                <w:b/>
                <w:bCs/>
                <w:sz w:val="20"/>
                <w:lang w:val="en-US"/>
              </w:rPr>
            </w:pPr>
            <w:r w:rsidRPr="00614CC6">
              <w:rPr>
                <w:b/>
                <w:bCs/>
                <w:sz w:val="20"/>
                <w:lang w:val="en-US"/>
              </w:rPr>
              <w:t>V</w:t>
            </w:r>
          </w:p>
        </w:tc>
        <w:tc>
          <w:tcPr>
            <w:tcW w:w="8220" w:type="dxa"/>
          </w:tcPr>
          <w:p w:rsidR="00CE06CC" w:rsidRPr="00614CC6" w:rsidRDefault="00CE06CC" w:rsidP="00DD4718">
            <w:pPr>
              <w:spacing w:before="30" w:after="140"/>
              <w:jc w:val="left"/>
              <w:rPr>
                <w:sz w:val="20"/>
                <w:lang w:val="en-US"/>
              </w:rPr>
            </w:pPr>
            <w:r w:rsidRPr="00614CC6">
              <w:rPr>
                <w:sz w:val="20"/>
              </w:rPr>
              <w:t>Vocabulaire et sujets associés</w:t>
            </w:r>
          </w:p>
        </w:tc>
      </w:tr>
    </w:tbl>
    <w:p w:rsidR="00CE06CC" w:rsidRPr="00036EE3" w:rsidRDefault="00CE06CC" w:rsidP="00CE06CC">
      <w:pPr>
        <w:spacing w:before="0"/>
        <w:jc w:val="center"/>
        <w:rPr>
          <w:sz w:val="20"/>
          <w:lang w:val="en-US"/>
        </w:rPr>
      </w:pPr>
    </w:p>
    <w:p w:rsidR="00CE06CC" w:rsidRPr="00036EE3" w:rsidRDefault="00CE06CC" w:rsidP="00CE06C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06CC" w:rsidRPr="00756B4D" w:rsidTr="00DD4718">
        <w:tc>
          <w:tcPr>
            <w:tcW w:w="9360" w:type="dxa"/>
          </w:tcPr>
          <w:p w:rsidR="00CE06CC" w:rsidRPr="00756B4D" w:rsidRDefault="00CE06CC" w:rsidP="00DD471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E06CC" w:rsidRPr="00756B4D" w:rsidRDefault="00CE06CC" w:rsidP="00CE06CC">
      <w:pPr>
        <w:spacing w:before="0"/>
        <w:jc w:val="center"/>
        <w:rPr>
          <w:sz w:val="22"/>
        </w:rPr>
      </w:pPr>
    </w:p>
    <w:p w:rsidR="00CE06CC" w:rsidRPr="00614CC6" w:rsidRDefault="00CE06CC" w:rsidP="00CE06CC">
      <w:pPr>
        <w:spacing w:before="100"/>
        <w:jc w:val="right"/>
        <w:rPr>
          <w:i/>
          <w:iCs/>
          <w:sz w:val="20"/>
        </w:rPr>
      </w:pPr>
      <w:r w:rsidRPr="00614CC6">
        <w:rPr>
          <w:i/>
          <w:iCs/>
          <w:sz w:val="20"/>
        </w:rPr>
        <w:t>Publication électronique</w:t>
      </w:r>
    </w:p>
    <w:p w:rsidR="00CE06CC" w:rsidRPr="00614CC6" w:rsidRDefault="00CE06CC" w:rsidP="00CE06CC">
      <w:pPr>
        <w:spacing w:before="0"/>
        <w:jc w:val="right"/>
        <w:rPr>
          <w:sz w:val="20"/>
        </w:rPr>
      </w:pPr>
      <w:r w:rsidRPr="00614CC6">
        <w:rPr>
          <w:sz w:val="20"/>
        </w:rPr>
        <w:t>Genève, 20</w:t>
      </w:r>
      <w:r>
        <w:rPr>
          <w:sz w:val="20"/>
        </w:rPr>
        <w:t>14</w:t>
      </w:r>
    </w:p>
    <w:p w:rsidR="00CE06CC" w:rsidRPr="00614CC6" w:rsidRDefault="00CE06CC" w:rsidP="00CE06C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CE06CC" w:rsidRPr="00614CC6" w:rsidRDefault="00CE06CC" w:rsidP="00CE06C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E06CC" w:rsidRPr="00614CC6" w:rsidRDefault="00CE06CC" w:rsidP="00CE06CC">
      <w:pPr>
        <w:spacing w:before="160"/>
        <w:rPr>
          <w:i/>
          <w:sz w:val="20"/>
          <w:highlight w:val="yellow"/>
        </w:rPr>
        <w:sectPr w:rsidR="00CE06C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E06CC" w:rsidRPr="00756B4D" w:rsidRDefault="00CE06CC" w:rsidP="00C4061E">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C4061E">
        <w:rPr>
          <w:rStyle w:val="href"/>
        </w:rPr>
        <w:t>311-14</w:t>
      </w:r>
    </w:p>
    <w:p w:rsidR="00C4061E" w:rsidRPr="005F0058" w:rsidRDefault="00C4061E" w:rsidP="00C4061E">
      <w:pPr>
        <w:pStyle w:val="Rectitle"/>
      </w:pPr>
      <w:r w:rsidRPr="005F0058">
        <w:t xml:space="preserve">Acquisition, présentation et analyse des données dans les </w:t>
      </w:r>
      <w:r w:rsidRPr="005F0058">
        <w:br/>
        <w:t>études relatives à la propagation des ondes radioélectriques</w:t>
      </w:r>
    </w:p>
    <w:p w:rsidR="00C4061E" w:rsidRPr="005F0058" w:rsidRDefault="00C4061E" w:rsidP="00C4061E">
      <w:pPr>
        <w:pStyle w:val="Recref"/>
      </w:pPr>
    </w:p>
    <w:p w:rsidR="00C4061E" w:rsidRPr="005F0058" w:rsidRDefault="00C4061E" w:rsidP="00C4061E">
      <w:pPr>
        <w:pStyle w:val="Recdate"/>
      </w:pPr>
      <w:bookmarkStart w:id="3" w:name="Related_Questions"/>
      <w:r w:rsidRPr="005F0058">
        <w:t>(1953-1956-1959-1970-1974-1978-1982-1990-1992-1994-1997-1999-2001-2003-2005-2009-2013)</w:t>
      </w:r>
      <w:bookmarkEnd w:id="3"/>
    </w:p>
    <w:p w:rsidR="00C4061E" w:rsidRPr="005F0058" w:rsidRDefault="00C4061E" w:rsidP="00C4061E">
      <w:pPr>
        <w:pStyle w:val="Normalaftertitle"/>
      </w:pPr>
      <w:r w:rsidRPr="005F0058">
        <w:t>L'Assemblée des radiocommunications de l'UIT,</w:t>
      </w:r>
    </w:p>
    <w:p w:rsidR="00C4061E" w:rsidRPr="005F0058" w:rsidRDefault="00C4061E" w:rsidP="00C4061E">
      <w:pPr>
        <w:pStyle w:val="Call"/>
      </w:pPr>
      <w:r w:rsidRPr="005F0058">
        <w:t>considérant</w:t>
      </w:r>
    </w:p>
    <w:p w:rsidR="00C4061E" w:rsidRPr="005F0058" w:rsidRDefault="00C4061E" w:rsidP="00C4061E">
      <w:r w:rsidRPr="00074CAE">
        <w:rPr>
          <w:i/>
          <w:iCs/>
        </w:rPr>
        <w:t>a)</w:t>
      </w:r>
      <w:r w:rsidRPr="005F0058">
        <w:tab/>
        <w:t>qu'il est nécessaire de disposer de modèles de prévision de la propagation de validité globale pour la conception des systèmes de télécommunication;</w:t>
      </w:r>
    </w:p>
    <w:p w:rsidR="00C4061E" w:rsidRPr="005F0058" w:rsidRDefault="00C4061E" w:rsidP="00C4061E">
      <w:r w:rsidRPr="00074CAE">
        <w:rPr>
          <w:i/>
          <w:iCs/>
        </w:rPr>
        <w:t>b)</w:t>
      </w:r>
      <w:r w:rsidRPr="005F0058">
        <w:tab/>
        <w:t>que les données relatives à la propagation et à la radiométéorologie sont d'une importance fondamentale pour l'établissement et les tests de ces modèles de prévision;</w:t>
      </w:r>
    </w:p>
    <w:p w:rsidR="00C4061E" w:rsidRPr="005F0058" w:rsidRDefault="00C4061E" w:rsidP="00C4061E">
      <w:r w:rsidRPr="00074CAE">
        <w:rPr>
          <w:i/>
          <w:iCs/>
        </w:rPr>
        <w:t>c)</w:t>
      </w:r>
      <w:r w:rsidRPr="005F0058">
        <w:tab/>
        <w:t>que, pour faciliter la comparaison des données et des résultats, il est souhaitable d'uniformiser l'acquisition et la présentation des données relatives à la propagation et à la radiométéorologie,</w:t>
      </w:r>
    </w:p>
    <w:p w:rsidR="00C4061E" w:rsidRPr="005F0058" w:rsidRDefault="00C4061E" w:rsidP="00C4061E">
      <w:pPr>
        <w:pStyle w:val="Call"/>
      </w:pPr>
      <w:r w:rsidRPr="005F0058">
        <w:t>recommande</w:t>
      </w:r>
    </w:p>
    <w:p w:rsidR="00C4061E" w:rsidRPr="005F0058" w:rsidRDefault="00C4061E" w:rsidP="00C4061E">
      <w:r w:rsidRPr="005F0058">
        <w:rPr>
          <w:b/>
        </w:rPr>
        <w:t>1</w:t>
      </w:r>
      <w:r w:rsidRPr="005F0058">
        <w:tab/>
        <w:t>que toutes les données sur la propagation troposphérique soumises à la Commission d'étud</w:t>
      </w:r>
      <w:r>
        <w:t>es </w:t>
      </w:r>
      <w:r w:rsidRPr="005F0058">
        <w:t>3 des radiocommunications soient conformes aux principes et formats présentés dans l'Annexe 1.</w:t>
      </w:r>
    </w:p>
    <w:p w:rsidR="00C4061E" w:rsidRPr="005F0058" w:rsidRDefault="00C4061E" w:rsidP="00C4061E"/>
    <w:p w:rsidR="00C4061E" w:rsidRPr="005F0058" w:rsidRDefault="00C4061E" w:rsidP="00C4061E"/>
    <w:p w:rsidR="00C4061E" w:rsidRPr="005F0058" w:rsidRDefault="00C4061E" w:rsidP="00C4061E">
      <w:pPr>
        <w:pStyle w:val="AnnexNoTitle"/>
      </w:pPr>
      <w:bookmarkStart w:id="4" w:name="_Toc114380883"/>
      <w:r w:rsidRPr="005F0058">
        <w:t>Annexe 1</w:t>
      </w:r>
      <w:r w:rsidRPr="005F0058">
        <w:br/>
      </w:r>
      <w:r w:rsidRPr="005F0058">
        <w:br/>
        <w:t>Banques de données permettant l'évaluation</w:t>
      </w:r>
      <w:r w:rsidRPr="005F0058">
        <w:br/>
        <w:t>des méthodes de prévision</w:t>
      </w:r>
      <w:bookmarkEnd w:id="4"/>
    </w:p>
    <w:p w:rsidR="00C4061E" w:rsidRPr="005F0058" w:rsidRDefault="00C4061E" w:rsidP="00C4061E">
      <w:pPr>
        <w:pStyle w:val="Normalaftertitle"/>
      </w:pPr>
      <w:r w:rsidRPr="005F0058">
        <w:t>1</w:t>
      </w:r>
      <w:r w:rsidRPr="005F0058">
        <w:tab/>
        <w:t>Introduction</w:t>
      </w:r>
    </w:p>
    <w:p w:rsidR="00C4061E" w:rsidRPr="005F0058" w:rsidRDefault="00C4061E" w:rsidP="00C4061E">
      <w:r w:rsidRPr="005F0058">
        <w:t>2</w:t>
      </w:r>
      <w:r w:rsidRPr="005F0058">
        <w:tab/>
        <w:t>Responsabilités et mises à jour</w:t>
      </w:r>
    </w:p>
    <w:p w:rsidR="00C4061E" w:rsidRPr="005F0058" w:rsidRDefault="00C4061E" w:rsidP="00C4061E">
      <w:r w:rsidRPr="005F0058">
        <w:t>3</w:t>
      </w:r>
      <w:r w:rsidRPr="005F0058">
        <w:tab/>
        <w:t>Critères d'acceptation</w:t>
      </w:r>
    </w:p>
    <w:p w:rsidR="00C4061E" w:rsidRPr="005F0058" w:rsidRDefault="00C4061E" w:rsidP="00C4061E">
      <w:r w:rsidRPr="005F0058">
        <w:t>4</w:t>
      </w:r>
      <w:r w:rsidRPr="005F0058">
        <w:tab/>
        <w:t>Critères d'essai pour la comparaison de méthodes de prévision</w:t>
      </w:r>
    </w:p>
    <w:p w:rsidR="00C4061E" w:rsidRPr="005F0058" w:rsidRDefault="00C4061E" w:rsidP="00C4061E">
      <w:r w:rsidRPr="005F0058">
        <w:t>4.1</w:t>
      </w:r>
      <w:r w:rsidRPr="005F0058">
        <w:tab/>
        <w:t>Considérations générales</w:t>
      </w:r>
    </w:p>
    <w:p w:rsidR="00C4061E" w:rsidRPr="005F0058" w:rsidRDefault="00C4061E" w:rsidP="00C4061E">
      <w:r w:rsidRPr="005F0058">
        <w:t>4.2</w:t>
      </w:r>
      <w:r w:rsidRPr="005F0058">
        <w:tab/>
        <w:t>Variable d'essai pour la comparaison de prévisions de l'affaiblissement dû à la pluie</w:t>
      </w:r>
    </w:p>
    <w:p w:rsidR="00C4061E" w:rsidRPr="005F0058" w:rsidRDefault="00C4061E" w:rsidP="00C4061E">
      <w:pPr>
        <w:ind w:left="794" w:hanging="794"/>
      </w:pPr>
      <w:r w:rsidRPr="005F0058">
        <w:t>4.3</w:t>
      </w:r>
      <w:r w:rsidRPr="005F0058">
        <w:tab/>
        <w:t>Méthode d'essai pour la comparaison des prévisions de la durée d'évanouissement</w:t>
      </w:r>
    </w:p>
    <w:p w:rsidR="00C4061E" w:rsidRPr="005F0058" w:rsidRDefault="00C4061E" w:rsidP="00C4061E">
      <w:pPr>
        <w:ind w:left="794" w:hanging="794"/>
      </w:pPr>
      <w:r w:rsidRPr="005F0058">
        <w:t>4.4</w:t>
      </w:r>
      <w:r w:rsidRPr="005F0058">
        <w:tab/>
        <w:t>Méthode d'essai pour la comparaison des prévisions de la pente d'évanouissement</w:t>
      </w:r>
    </w:p>
    <w:p w:rsidR="00C4061E" w:rsidRPr="005F0058" w:rsidRDefault="00C4061E" w:rsidP="00C4061E">
      <w:pPr>
        <w:ind w:left="794" w:hanging="794"/>
      </w:pPr>
      <w:r w:rsidRPr="005F0058">
        <w:t>5</w:t>
      </w:r>
      <w:r w:rsidRPr="005F0058">
        <w:tab/>
        <w:t>Liste des banques de données de la Commission d'études 3 des radiocommunications concernant la propagation troposphérique</w:t>
      </w:r>
    </w:p>
    <w:p w:rsidR="00C4061E" w:rsidRPr="005F0058" w:rsidRDefault="00C4061E" w:rsidP="00C4061E">
      <w:r w:rsidRPr="005F0058">
        <w:t>5.1</w:t>
      </w:r>
      <w:r w:rsidRPr="005F0058">
        <w:tab/>
        <w:t>Partie I:</w:t>
      </w:r>
      <w:r w:rsidRPr="005F0058">
        <w:tab/>
      </w:r>
      <w:r w:rsidRPr="005F0058">
        <w:tab/>
        <w:t>Données relatives aux trajets de Terre en visibilité directe</w:t>
      </w:r>
    </w:p>
    <w:p w:rsidR="00C4061E" w:rsidRPr="005F0058" w:rsidRDefault="00C4061E" w:rsidP="00C4061E">
      <w:r w:rsidRPr="005F0058">
        <w:t>5.2</w:t>
      </w:r>
      <w:r w:rsidRPr="005F0058">
        <w:tab/>
        <w:t>Partie II:</w:t>
      </w:r>
      <w:r w:rsidRPr="005F0058">
        <w:tab/>
        <w:t>Données relatives aux trajets Terre-espace</w:t>
      </w:r>
    </w:p>
    <w:p w:rsidR="00C4061E" w:rsidRPr="005F0058" w:rsidRDefault="00C4061E" w:rsidP="00C4061E">
      <w:pPr>
        <w:ind w:left="1985" w:hanging="1985"/>
      </w:pPr>
      <w:r w:rsidRPr="005F0058">
        <w:lastRenderedPageBreak/>
        <w:t>5.3</w:t>
      </w:r>
      <w:r w:rsidRPr="005F0058">
        <w:tab/>
        <w:t>Partie III:</w:t>
      </w:r>
      <w:r w:rsidRPr="005F0058">
        <w:tab/>
        <w:t>Données relatives aux trajets transhorizon de Terre et à la diffusion par la pluie</w:t>
      </w:r>
    </w:p>
    <w:p w:rsidR="00C4061E" w:rsidRPr="005F0058" w:rsidRDefault="00C4061E" w:rsidP="00C4061E">
      <w:r w:rsidRPr="005F0058">
        <w:t>5.4</w:t>
      </w:r>
      <w:r w:rsidRPr="005F0058">
        <w:tab/>
        <w:t>Partie IV:</w:t>
      </w:r>
      <w:r w:rsidRPr="005F0058">
        <w:tab/>
        <w:t>Données relatives à la radiométéorologie</w:t>
      </w:r>
    </w:p>
    <w:p w:rsidR="00C4061E" w:rsidRPr="005F0058" w:rsidRDefault="00C4061E" w:rsidP="00C4061E">
      <w:r w:rsidRPr="005F0058">
        <w:t>5.5</w:t>
      </w:r>
      <w:r w:rsidRPr="005F0058">
        <w:tab/>
        <w:t>Partie V:</w:t>
      </w:r>
      <w:r w:rsidRPr="005F0058">
        <w:tab/>
        <w:t>Données relatives au service mobile terrestre de Terre</w:t>
      </w:r>
    </w:p>
    <w:p w:rsidR="00C4061E" w:rsidRPr="005F0058" w:rsidRDefault="00C4061E" w:rsidP="00C4061E">
      <w:r w:rsidRPr="005F0058">
        <w:t>5.6</w:t>
      </w:r>
      <w:r w:rsidRPr="005F0058">
        <w:tab/>
        <w:t>Partie VI:</w:t>
      </w:r>
      <w:r w:rsidRPr="005F0058">
        <w:tab/>
        <w:t>Données relatives aux systèmes de Terre point-zone</w:t>
      </w:r>
    </w:p>
    <w:p w:rsidR="00C4061E" w:rsidRPr="005F0058" w:rsidRDefault="00C4061E" w:rsidP="00C4061E">
      <w:r w:rsidRPr="005F0058">
        <w:t>5.7</w:t>
      </w:r>
      <w:r w:rsidRPr="005F0058">
        <w:tab/>
        <w:t>Partie VII:</w:t>
      </w:r>
      <w:r w:rsidRPr="005F0058">
        <w:tab/>
        <w:t>Données relatives aux services mobiles par satellite</w:t>
      </w:r>
    </w:p>
    <w:p w:rsidR="00C4061E" w:rsidRPr="005F0058" w:rsidRDefault="00C4061E" w:rsidP="00C4061E">
      <w:r w:rsidRPr="005F0058">
        <w:t>5.8</w:t>
      </w:r>
      <w:r w:rsidRPr="005F0058">
        <w:tab/>
        <w:t>Partie VIII:</w:t>
      </w:r>
      <w:r w:rsidRPr="005F0058">
        <w:tab/>
        <w:t>Données relatives à la végétation et aux bâtiments</w:t>
      </w:r>
    </w:p>
    <w:p w:rsidR="00C4061E" w:rsidRPr="005F0058" w:rsidRDefault="00C4061E" w:rsidP="00C4061E">
      <w:r w:rsidRPr="005F0058">
        <w:t>5.9</w:t>
      </w:r>
      <w:r w:rsidRPr="005F0058">
        <w:tab/>
        <w:t xml:space="preserve">Partie IX: </w:t>
      </w:r>
      <w:r>
        <w:tab/>
      </w:r>
      <w:r w:rsidRPr="005F0058">
        <w:t>Bruit</w:t>
      </w:r>
    </w:p>
    <w:p w:rsidR="00C4061E" w:rsidRPr="005F0058" w:rsidRDefault="00C4061E" w:rsidP="00C4061E">
      <w:pPr>
        <w:pStyle w:val="Heading1"/>
      </w:pPr>
      <w:bookmarkStart w:id="5" w:name="_Toc114380884"/>
      <w:r w:rsidRPr="005F0058">
        <w:t>1</w:t>
      </w:r>
      <w:r w:rsidRPr="005F0058">
        <w:tab/>
        <w:t>Introduction</w:t>
      </w:r>
      <w:bookmarkEnd w:id="5"/>
    </w:p>
    <w:p w:rsidR="00C4061E" w:rsidRPr="005F0058" w:rsidRDefault="00C4061E" w:rsidP="00C4061E">
      <w:r w:rsidRPr="005F0058">
        <w:t>Pour disposer de méthodes fiables de prévision des effets de la propagation des ondes radioélectriques, il est absolument essentiel de créer des banques de données adéquates. Ces banques de données doivent:</w:t>
      </w:r>
    </w:p>
    <w:p w:rsidR="00C4061E" w:rsidRPr="005F0058" w:rsidRDefault="00C4061E" w:rsidP="00C4061E">
      <w:pPr>
        <w:pStyle w:val="enumlev1"/>
      </w:pPr>
      <w:r w:rsidRPr="005F0058">
        <w:t>–</w:t>
      </w:r>
      <w:r w:rsidRPr="005F0058">
        <w:tab/>
        <w:t>contenir toutes les données disponibles de qualité adéquate;</w:t>
      </w:r>
    </w:p>
    <w:p w:rsidR="00C4061E" w:rsidRPr="005F0058" w:rsidRDefault="00C4061E" w:rsidP="00C4061E">
      <w:pPr>
        <w:pStyle w:val="enumlev1"/>
      </w:pPr>
      <w:r w:rsidRPr="005F0058">
        <w:t>–</w:t>
      </w:r>
      <w:r w:rsidRPr="005F0058">
        <w:tab/>
        <w:t>être largement acceptées en tant que source d'information servant à mener à bien les essais;</w:t>
      </w:r>
    </w:p>
    <w:p w:rsidR="00C4061E" w:rsidRPr="005F0058" w:rsidRDefault="00C4061E" w:rsidP="00C4061E">
      <w:pPr>
        <w:pStyle w:val="enumlev1"/>
      </w:pPr>
      <w:r w:rsidRPr="005F0058">
        <w:t>–</w:t>
      </w:r>
      <w:r w:rsidRPr="005F0058">
        <w:tab/>
        <w:t>être d'accès facile.</w:t>
      </w:r>
    </w:p>
    <w:p w:rsidR="00C4061E" w:rsidRPr="005F0058" w:rsidRDefault="00C4061E" w:rsidP="00C4061E">
      <w:r w:rsidRPr="005F0058">
        <w:t>Par principe, les banques de données ne contiennent que des données en vue:</w:t>
      </w:r>
    </w:p>
    <w:p w:rsidR="00C4061E" w:rsidRPr="005F0058" w:rsidRDefault="00C4061E" w:rsidP="00C4061E">
      <w:pPr>
        <w:pStyle w:val="enumlev1"/>
      </w:pPr>
      <w:r w:rsidRPr="005F0058">
        <w:t>–</w:t>
      </w:r>
      <w:r w:rsidRPr="005F0058">
        <w:tab/>
        <w:t>du test des méthodes de prévision recommandées par la Commission d'études 3 des radiocommunications (et, bien entendu, d'autres méthodes); et</w:t>
      </w:r>
    </w:p>
    <w:p w:rsidR="00C4061E" w:rsidRPr="005F0058" w:rsidRDefault="00C4061E" w:rsidP="00C4061E">
      <w:pPr>
        <w:pStyle w:val="enumlev1"/>
      </w:pPr>
      <w:r w:rsidRPr="005F0058">
        <w:t>–</w:t>
      </w:r>
      <w:r w:rsidRPr="005F0058">
        <w:tab/>
        <w:t>de la création et de la mise à jour de cartes météorologiques relatives à la prévision des effets de la propagation des ondes radioélectriques.</w:t>
      </w:r>
    </w:p>
    <w:p w:rsidR="00C4061E" w:rsidRPr="005F0058" w:rsidRDefault="00C4061E" w:rsidP="00C4061E">
      <w:r w:rsidRPr="005F0058">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rsidR="00C4061E" w:rsidRPr="005F0058" w:rsidRDefault="00C4061E" w:rsidP="00C4061E">
      <w:r w:rsidRPr="005F0058">
        <w:t>Les banques de données actuellement disponibles concernent:</w:t>
      </w:r>
    </w:p>
    <w:p w:rsidR="00C4061E" w:rsidRPr="005F0058" w:rsidRDefault="00C4061E" w:rsidP="00C4061E">
      <w:pPr>
        <w:pStyle w:val="enumlev1"/>
      </w:pPr>
      <w:r w:rsidRPr="005F0058">
        <w:t>–</w:t>
      </w:r>
      <w:r w:rsidRPr="005F0058">
        <w:tab/>
        <w:t>l'évaluation des méthodes de prévision de la propagation de terre en visibilité directe;</w:t>
      </w:r>
    </w:p>
    <w:p w:rsidR="00C4061E" w:rsidRPr="005F0058" w:rsidRDefault="00C4061E" w:rsidP="00C4061E">
      <w:pPr>
        <w:pStyle w:val="enumlev1"/>
      </w:pPr>
      <w:r w:rsidRPr="005F0058">
        <w:t>–</w:t>
      </w:r>
      <w:r w:rsidRPr="005F0058">
        <w:tab/>
        <w:t>l'évaluation des méthodes de prévision de la propagation Terre-espace;</w:t>
      </w:r>
    </w:p>
    <w:p w:rsidR="00C4061E" w:rsidRPr="005F0058" w:rsidRDefault="00C4061E" w:rsidP="00C4061E">
      <w:pPr>
        <w:pStyle w:val="enumlev1"/>
      </w:pPr>
      <w:r w:rsidRPr="005F0058">
        <w:t>–</w:t>
      </w:r>
      <w:r w:rsidRPr="005F0058">
        <w:tab/>
        <w:t>l'évaluation des méthodes de prévision des brouillages ou de la fiabilité sur des trajets transhorizon;</w:t>
      </w:r>
    </w:p>
    <w:p w:rsidR="00C4061E" w:rsidRPr="005F0058" w:rsidRDefault="00C4061E" w:rsidP="00C4061E">
      <w:pPr>
        <w:pStyle w:val="enumlev1"/>
      </w:pPr>
      <w:r w:rsidRPr="005F0058">
        <w:t>–</w:t>
      </w:r>
      <w:r w:rsidRPr="005F0058">
        <w:tab/>
        <w:t>les données radiométéorologiques;</w:t>
      </w:r>
    </w:p>
    <w:p w:rsidR="00C4061E" w:rsidRPr="005F0058" w:rsidRDefault="00C4061E" w:rsidP="00C4061E">
      <w:pPr>
        <w:pStyle w:val="enumlev1"/>
      </w:pPr>
      <w:r w:rsidRPr="005F0058">
        <w:t>–</w:t>
      </w:r>
      <w:r w:rsidRPr="005F0058">
        <w:tab/>
        <w:t>l'évaluation des méthodes de prévision pour le service mobile terrestre de Terre;</w:t>
      </w:r>
    </w:p>
    <w:p w:rsidR="00C4061E" w:rsidRPr="005F0058" w:rsidRDefault="00C4061E" w:rsidP="00C4061E">
      <w:pPr>
        <w:pStyle w:val="enumlev1"/>
      </w:pPr>
      <w:r w:rsidRPr="005F0058">
        <w:t>–</w:t>
      </w:r>
      <w:r w:rsidRPr="005F0058">
        <w:tab/>
        <w:t>l'évaluation des méthodes de prévision pour la radiodiffusion de Terre;</w:t>
      </w:r>
    </w:p>
    <w:p w:rsidR="00C4061E" w:rsidRPr="005F0058" w:rsidRDefault="00C4061E" w:rsidP="00C4061E">
      <w:pPr>
        <w:pStyle w:val="enumlev1"/>
      </w:pPr>
      <w:r w:rsidRPr="005F0058">
        <w:t>–</w:t>
      </w:r>
      <w:r w:rsidRPr="005F0058">
        <w:tab/>
        <w:t>l'évaluation des méthodes de prévision pour les services mobiles par satellite;</w:t>
      </w:r>
    </w:p>
    <w:p w:rsidR="00C4061E" w:rsidRPr="005F0058" w:rsidRDefault="00C4061E" w:rsidP="00C4061E">
      <w:pPr>
        <w:pStyle w:val="enumlev1"/>
      </w:pPr>
      <w:r w:rsidRPr="005F0058">
        <w:t>–</w:t>
      </w:r>
      <w:r w:rsidRPr="005F0058">
        <w:tab/>
        <w:t>les données relatives à la végétation et aux bâtiments.</w:t>
      </w:r>
    </w:p>
    <w:p w:rsidR="00C4061E" w:rsidRPr="005F0058" w:rsidRDefault="00C4061E" w:rsidP="00C4061E">
      <w:r w:rsidRPr="005F0058">
        <w:t>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banques de données et les procédures d'entrée de nouvelles données pour leur introduction dans les banques de données. Le § 3 donne les critères auxquels les données concernées doivent répondre pour être acceptées. Le § 4 décrit les critères d'essai pour la comparaison de méthodes de prévision. Le § 5 fournit la liste des tableaux repris dans les banques de données.</w:t>
      </w:r>
    </w:p>
    <w:p w:rsidR="00C4061E" w:rsidRDefault="00C4061E" w:rsidP="00C4061E">
      <w:r>
        <w:br w:type="page"/>
      </w:r>
    </w:p>
    <w:p w:rsidR="00C4061E" w:rsidRPr="005F0058" w:rsidRDefault="00C4061E" w:rsidP="00C4061E">
      <w:r w:rsidRPr="005F0058">
        <w:lastRenderedPageBreak/>
        <w:t xml:space="preserve">On consultera la partie du site </w:t>
      </w:r>
      <w:r>
        <w:t>w</w:t>
      </w:r>
      <w:r w:rsidRPr="005F0058">
        <w:t>eb de l'UIT-R consacrée à la Commission d'études 3 des radiocommunications pour se procurer gratuitement des formulaires vierges des données indiquant 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rsidR="00C4061E" w:rsidRPr="005F0058" w:rsidRDefault="00C4061E" w:rsidP="00C4061E">
      <w:r w:rsidRPr="005F0058">
        <w:t>Les données de mesure ponctuelles par temps clair (Tableau III-1a) sont actuellement disponibles comme base de données distincte. Le Tableau comprend actuellement près de 100</w:t>
      </w:r>
      <w:r w:rsidRPr="005F0058">
        <w:rPr>
          <w:sz w:val="12"/>
        </w:rPr>
        <w:t> </w:t>
      </w:r>
      <w:r w:rsidRPr="005F0058">
        <w:t xml:space="preserve">000 mesures effectuées sur 1 326 trajets. La durée des mesures a été comprise entre 10 min et 1 h. On peut consulter la base de données sur le site web de la Commission d'études 3 des radiocommunications. </w:t>
      </w:r>
    </w:p>
    <w:p w:rsidR="00C4061E" w:rsidRPr="005F0058" w:rsidRDefault="00C4061E" w:rsidP="00C4061E">
      <w:pPr>
        <w:pStyle w:val="Heading1"/>
      </w:pPr>
      <w:bookmarkStart w:id="6" w:name="_Toc114380885"/>
      <w:r w:rsidRPr="005F0058">
        <w:t>2</w:t>
      </w:r>
      <w:r w:rsidRPr="005F0058">
        <w:tab/>
        <w:t>Responsabilités et mises à jour</w:t>
      </w:r>
      <w:bookmarkEnd w:id="6"/>
    </w:p>
    <w:p w:rsidR="00C4061E" w:rsidRPr="005F0058" w:rsidRDefault="00C4061E" w:rsidP="00C4061E">
      <w:r w:rsidRPr="005F0058">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rsidR="00C4061E" w:rsidRPr="005F0058" w:rsidRDefault="00C4061E" w:rsidP="00C4061E">
      <w:r w:rsidRPr="005F0058">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rsidR="00C4061E" w:rsidRPr="005F0058" w:rsidRDefault="00C4061E" w:rsidP="00C4061E">
      <w:pPr>
        <w:pStyle w:val="Heading1"/>
      </w:pPr>
      <w:bookmarkStart w:id="7" w:name="_Toc114380886"/>
      <w:r w:rsidRPr="005F0058">
        <w:t>3</w:t>
      </w:r>
      <w:r w:rsidRPr="005F0058">
        <w:tab/>
        <w:t>Critères d'acceptation</w:t>
      </w:r>
      <w:bookmarkEnd w:id="7"/>
    </w:p>
    <w:p w:rsidR="00C4061E" w:rsidRPr="005F0058" w:rsidRDefault="00C4061E" w:rsidP="00C4061E">
      <w:r w:rsidRPr="005F0058">
        <w:t>Les données fournies pour introduction dans les banques de données seront examinées en ce qui concerne leur conformité aux critères ci-après:</w:t>
      </w:r>
    </w:p>
    <w:p w:rsidR="00C4061E" w:rsidRPr="005F0058" w:rsidRDefault="00C4061E" w:rsidP="00C4061E">
      <w:pPr>
        <w:pStyle w:val="enumlev1"/>
      </w:pPr>
      <w:r w:rsidRPr="005F0058">
        <w:t>–</w:t>
      </w:r>
      <w:r w:rsidRPr="005F0058">
        <w:tab/>
        <w:t>Conformité des renseignements fournis avec les formats décrits sur le formulaire vierge. En particulier, les unités de mesures données dans les descriptions des tableaux sont d'application stricte. A quelques exceptions près, elles sont fondées sur le système international d'unités (système SI). Pour les définitions des termes, voir la Recommandation UIT</w:t>
      </w:r>
      <w:r w:rsidRPr="005F0058">
        <w:noBreakHyphen/>
        <w:t>R P.310. On recommande de fournir les données sur des copies des tableaux donnés sur le formulaire et de donner les informations complémentaires importantes sous la rubrique «Commentaires».</w:t>
      </w:r>
    </w:p>
    <w:p w:rsidR="00C4061E" w:rsidRPr="005F0058" w:rsidRDefault="00C4061E" w:rsidP="00C4061E">
      <w:pPr>
        <w:pStyle w:val="enumlev1"/>
      </w:pPr>
      <w:r w:rsidRPr="005F0058">
        <w:t>–</w:t>
      </w:r>
      <w:r w:rsidRPr="005F0058">
        <w:tab/>
        <w:t>Pour les</w:t>
      </w:r>
      <w:r>
        <w:t xml:space="preserve"> </w:t>
      </w:r>
      <w:r w:rsidRPr="005F0058">
        <w:t xml:space="preserve">Tableaux I-1 et II-1, «Statistiques cumulatives de l'intensité de pluie de l'affaiblissement dû à la pluie et de l'affaiblissement total», des données strictement simultanées sont nécessaires. Par données strictement simultanées, on entend le fait que l'analyse statistique des données relatives à l'intensité de pluie et à l'affaiblissement dû à la pluie ne doit comporter que des données de mesure recueillies pendant des périodes de temps identiques. En outre, si des périodes de collecte de données relatives à l'affaiblissement dû à la pluie ou à l'affaiblissement total manquent ou sont signalées comme non valables en raison d'une panne ou d'un dysfonctionnement du système, ces périodes de collecte de données sur l'intensité de pluie doivent être exclues de l'analyse </w:t>
      </w:r>
      <w:r w:rsidRPr="005F0058">
        <w:lastRenderedPageBreak/>
        <w:t xml:space="preserve">statistique pour les Tableaux I-1 et II-1. On applique le même processus aux données relatives à l'affaiblissement dû à la pluie ou à l'affaiblissement total dans les cas de périodes de mesure de l'intensité de pluie non valables. Dans tous les cas, les statistiques complètes des données valables de mesure de l'intensité de la pluie doivent être fournies dans le Tableau IV-1. </w:t>
      </w:r>
    </w:p>
    <w:p w:rsidR="00C4061E" w:rsidRPr="005F0058" w:rsidRDefault="00C4061E" w:rsidP="00C4061E">
      <w:pPr>
        <w:pStyle w:val="enumlev1"/>
      </w:pPr>
      <w:r w:rsidRPr="005F0058">
        <w:t>–</w:t>
      </w:r>
      <w:r w:rsidRPr="005F0058">
        <w:tab/>
        <w:t>Pour des statistiques cumulatives à long terme et annuelles, la période d'observation sera un multiple entier de 12 mois et la durée de fonctionnement de l'équipement devra être au moins égale à 90% du temps total étudié.</w:t>
      </w:r>
    </w:p>
    <w:p w:rsidR="00C4061E" w:rsidRPr="005F0058" w:rsidRDefault="00C4061E" w:rsidP="00C4061E">
      <w:pPr>
        <w:pStyle w:val="enumlev1"/>
      </w:pPr>
      <w:r w:rsidRPr="005F0058">
        <w:t>–</w:t>
      </w:r>
      <w:r w:rsidRPr="005F0058">
        <w:tab/>
        <w:t>Les statistiques cumulatives correspondant au mois le plus défavorable (voir la Recommandation UIT</w:t>
      </w:r>
      <w:r w:rsidRPr="005F0058">
        <w:noBreakHyphen/>
        <w:t>R P.581) devront avoir été obtenues à partir de toutes les statistiques de 12 mois de l'année concernée. La durée de fonctionnement de l'équipement doit être au moins de 75% de chaque mois.</w:t>
      </w:r>
    </w:p>
    <w:p w:rsidR="00C4061E" w:rsidRPr="005F0058" w:rsidRDefault="00C4061E" w:rsidP="00C4061E">
      <w:pPr>
        <w:pStyle w:val="enumlev1"/>
      </w:pPr>
      <w:r w:rsidRPr="005F0058">
        <w:t>–</w:t>
      </w:r>
      <w:r w:rsidRPr="005F0058">
        <w:tab/>
        <w:t>Précision de l'interpolation: lors de la conversion des statistiques cumulatives au format demandé (pour plusieurs pourcentages du temps), il peut être nécessaire de procéder à une interpolation. A cet effet, le nombre de niveaux de référence doit être suffisamment grand, c'est-à-dire tel que le rapport de probabilité entre deux niveaux de référence successifs soit compris entre 0,8 et 1,25. On ne fournira pas de valeurs extrapolées.</w:t>
      </w:r>
    </w:p>
    <w:p w:rsidR="00C4061E" w:rsidRPr="005F0058" w:rsidRDefault="00C4061E" w:rsidP="00C4061E">
      <w:pPr>
        <w:pStyle w:val="enumlev1"/>
      </w:pPr>
      <w:r w:rsidRPr="005F0058">
        <w:t>–</w:t>
      </w:r>
      <w:r w:rsidRPr="005F0058">
        <w:tab/>
        <w:t>En ce qui concerne les données relatives à la propagation terrestre à large bande, la dynamique du récepteur sera d'au moins 18 dB afin de four</w:t>
      </w:r>
      <w:r>
        <w:t>nir un rapport crête à bruit de </w:t>
      </w:r>
      <w:r w:rsidRPr="005F0058">
        <w:t>15 dB au moins.</w:t>
      </w:r>
    </w:p>
    <w:p w:rsidR="00C4061E" w:rsidRPr="005F0058" w:rsidRDefault="00C4061E" w:rsidP="00C4061E">
      <w:pPr>
        <w:pStyle w:val="enumlev1"/>
      </w:pPr>
      <w:r w:rsidRPr="005F0058">
        <w:t>–</w:t>
      </w:r>
      <w:r w:rsidRPr="005F0058">
        <w:tab/>
        <w:t>Pour les statistiques du taux de précipitation, il est préférable d'uti</w:t>
      </w:r>
      <w:r>
        <w:t>liser un temps d'intégration d'</w:t>
      </w:r>
      <w:r w:rsidRPr="005F0058">
        <w:t>une minute afin d'assurer la cohérence avec les méthodes de prévision de la Commission d'études 3 des radiocommunications.</w:t>
      </w:r>
    </w:p>
    <w:p w:rsidR="00C4061E" w:rsidRPr="005F0058" w:rsidRDefault="00C4061E" w:rsidP="00C4061E">
      <w:r w:rsidRPr="005F0058">
        <w:t>Ces critères seront appliqués par les réviseurs chargés d'examiner les données soumises.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rsidR="00C4061E" w:rsidRPr="005F0058" w:rsidRDefault="00C4061E" w:rsidP="00C4061E">
      <w:pPr>
        <w:pStyle w:val="Heading1"/>
      </w:pPr>
      <w:bookmarkStart w:id="8" w:name="_Toc114380887"/>
      <w:r w:rsidRPr="005F0058">
        <w:t>4</w:t>
      </w:r>
      <w:r w:rsidRPr="005F0058">
        <w:tab/>
        <w:t>Critères d'essai pour la comparaison de méthodes de prévision</w:t>
      </w:r>
      <w:bookmarkEnd w:id="8"/>
    </w:p>
    <w:p w:rsidR="00C4061E" w:rsidRPr="005F0058" w:rsidRDefault="00C4061E" w:rsidP="00C4061E">
      <w:pPr>
        <w:pStyle w:val="Heading2"/>
      </w:pPr>
      <w:bookmarkStart w:id="9" w:name="_Toc114380888"/>
      <w:r w:rsidRPr="005F0058">
        <w:t>4.1</w:t>
      </w:r>
      <w:r w:rsidRPr="005F0058">
        <w:tab/>
        <w:t>Considérations générales</w:t>
      </w:r>
      <w:bookmarkEnd w:id="9"/>
    </w:p>
    <w:p w:rsidR="00C4061E" w:rsidRPr="005F0058" w:rsidRDefault="00C4061E" w:rsidP="00C4061E">
      <w:r w:rsidRPr="005F0058">
        <w:t>Il est nécessaire de définir un ensemble de critères objectifs pour l'évaluation de la qualité des méthodes de prévision. En règle générale, les données utilisées pour la comparaison de méthodes doivent être choisies en fonction de l'application considérée (voir les critères d'acceptation au § 3). Alors que la base de données comprend en général toutes les données relatives à au moins un type d'essai, certaines de ces données peuvent ne pas convenir pour certaines comparaisons et doivent dès lors être exclues de tels essais. (Exemple: certaines des données du Tableau III-1 ne conviennent pas pour évaluer la fiabilité de liaisons transhorizon; c'est pourquoi elles sont marquées dans le champ du drapeau.) Il est également important d'exclure des données dépendantes entre elles (c'est</w:t>
      </w:r>
      <w:r w:rsidRPr="005F0058">
        <w:noBreakHyphen/>
        <w:t>à</w:t>
      </w:r>
      <w:r w:rsidRPr="005F0058">
        <w:noBreakHyphen/>
        <w:t xml:space="preserve">dire pour lesquelles un jeu de données est un sous-ensemble d'un autre). Cependant, des données extraites de mesures effectuées par une même station pendant une même période mais </w:t>
      </w:r>
      <w:r w:rsidRPr="005F0058">
        <w:lastRenderedPageBreak/>
        <w:t>relatives à des angles d'élévation ou à des polarisations différents peuvent être considérées comme indépendantes.</w:t>
      </w:r>
    </w:p>
    <w:p w:rsidR="00C4061E" w:rsidRPr="005F0058" w:rsidRDefault="00C4061E" w:rsidP="00C4061E">
      <w:r w:rsidRPr="005F0058">
        <w:t>En outre, dans certains cas, on peut pondérer les mesures par leur durée (exprimée en années). (On notera que la durée est définie comme le nombre de jours correspondant au jeu de données complètes et valides, et est normalement inférieure à la différence entre les dates de fin et de début; la différence est le «temps perdu</w:t>
      </w:r>
      <w:r w:rsidRPr="005F0058">
        <w:rPr>
          <w:rFonts w:cs="Courier New"/>
        </w:rPr>
        <w:t>»</w:t>
      </w:r>
      <w:r w:rsidRPr="005F0058">
        <w:t xml:space="preserve"> de l'expérience.)</w:t>
      </w:r>
    </w:p>
    <w:p w:rsidR="00C4061E" w:rsidRPr="005F0058" w:rsidRDefault="00C4061E" w:rsidP="00C4061E">
      <w:r w:rsidRPr="005F0058">
        <w:t>Les exigences relatives aux modèles sont les suivantes, dans l'ordre décroissant d'importance:</w:t>
      </w:r>
    </w:p>
    <w:p w:rsidR="00C4061E" w:rsidRPr="005F0058" w:rsidRDefault="00C4061E" w:rsidP="00C4061E">
      <w:pPr>
        <w:pStyle w:val="Heading3"/>
      </w:pPr>
      <w:r w:rsidRPr="005F0058">
        <w:t>4.1.1</w:t>
      </w:r>
      <w:r w:rsidRPr="005F0058">
        <w:tab/>
        <w:t>Meilleure performance du point de vue de la variable d'essai</w:t>
      </w:r>
    </w:p>
    <w:p w:rsidR="00C4061E" w:rsidRPr="005F0058" w:rsidRDefault="00C4061E" w:rsidP="00C4061E">
      <w:r w:rsidRPr="005F0058">
        <w:t>Cette variable d'essai (c'est-à-dire la moyenne minimale de la différence entre valeurs mesurée et prédite, ou l'écart type minimal de cette différence) doit faire l'objet d'un accord du GT concerné. On notera que l'essai doit être effectué sur l'ensemble des données s'appliquant et sur les sous</w:t>
      </w:r>
      <w:r w:rsidRPr="005F0058">
        <w:noBreakHyphen/>
        <w:t>ensembles de données convenus.</w:t>
      </w:r>
    </w:p>
    <w:p w:rsidR="00C4061E" w:rsidRPr="005F0058" w:rsidRDefault="00C4061E" w:rsidP="00C4061E">
      <w:pPr>
        <w:pStyle w:val="Heading3"/>
      </w:pPr>
      <w:r w:rsidRPr="005F0058">
        <w:t>4.1.2</w:t>
      </w:r>
      <w:r w:rsidRPr="005F0058">
        <w:tab/>
        <w:t>«Base physique</w:t>
      </w:r>
      <w:r w:rsidRPr="005F0058">
        <w:rPr>
          <w:rFonts w:cs="Courier New"/>
        </w:rPr>
        <w:t>»</w:t>
      </w:r>
      <w:r w:rsidRPr="005F0058">
        <w:t xml:space="preserve"> de la méthode adoptée</w:t>
      </w:r>
    </w:p>
    <w:p w:rsidR="00C4061E" w:rsidRPr="005F0058" w:rsidRDefault="00C4061E" w:rsidP="00C4061E">
      <w:r w:rsidRPr="005F0058">
        <w:t>La plupart des méthodes de prévision des conditions de propagation utilisées sont, par nature, semi</w:t>
      </w:r>
      <w:r w:rsidRPr="005F0058">
        <w:noBreakHyphen/>
        <w:t>empiriques, parce que les détails des phénomènes physiques intervenant sont mal connus, ou parce que le nombre de paramètres pris en compte a dû être réduit pour rendre le problème traitable. La possibilité d'étendre un modèle à un contexte mal exploré (nouvelles fréquences, nouvelles zones climatiques, etc.) dépend fortement d'une bonne représentation, dans ce modèle, des principes physiques intervenant. Une approche purement empirique, consistant en ajustement de courbes à des données expérimentales, ne convient normalement pas pour l'extension en dehors du domaine de validité des mesures et devrait être évitée.</w:t>
      </w:r>
    </w:p>
    <w:p w:rsidR="00C4061E" w:rsidRPr="005F0058" w:rsidRDefault="00C4061E" w:rsidP="00C4061E">
      <w:pPr>
        <w:pStyle w:val="Heading3"/>
      </w:pPr>
      <w:r w:rsidRPr="005F0058">
        <w:t>4.1.3</w:t>
      </w:r>
      <w:r w:rsidRPr="005F0058">
        <w:tab/>
        <w:t>«Simplicité»</w:t>
      </w:r>
    </w:p>
    <w:p w:rsidR="00C4061E" w:rsidRPr="005F0058" w:rsidRDefault="00C4061E" w:rsidP="00C4061E">
      <w:r w:rsidRPr="005F0058">
        <w:t>Ce critère, qui, à certains égards, peut apparaître contradictoire avec l'exigence d'une bonne «base physique», devrait conduire à minimiser le nombre de paramètres d'entrée nécessaires et à s'assurer que la description de l'algorithme se prête à l'écriture d'un programme d'ordinateur exempt d'ambiguïté. Les méthodes graphiques peuvent être très utiles en tant que représentations simplifiées d'une méthode de prévision, mais ne peuvent être acceptées en tant que telles.</w:t>
      </w:r>
    </w:p>
    <w:p w:rsidR="00C4061E" w:rsidRPr="005F0058" w:rsidRDefault="00C4061E" w:rsidP="00C4061E">
      <w:pPr>
        <w:pStyle w:val="Heading2"/>
      </w:pPr>
      <w:bookmarkStart w:id="10" w:name="_Toc114380889"/>
      <w:r w:rsidRPr="005F0058">
        <w:t>4.2</w:t>
      </w:r>
      <w:r w:rsidRPr="005F0058">
        <w:tab/>
        <w:t>Variable d'essai pour la comparaison de prévisions de l'affaiblissement dû à la pluie</w:t>
      </w:r>
      <w:bookmarkEnd w:id="10"/>
    </w:p>
    <w:p w:rsidR="00C4061E" w:rsidRPr="005F0058" w:rsidRDefault="00C4061E" w:rsidP="00C4061E">
      <w:r w:rsidRPr="005F0058">
        <w:t>Les prévisions d'affaiblissement sont généralement effectuées pour un certain nombre de trajets et pour un ensemble de niveaux de probabilité. Les données pour la comparaison des méthodes de prévision doivent être tabulées pour un ensemble de niveaux de probabilité fixés, par exemple 0,001%, 0,01% et 0,1% de l'année. Le rapport entre les affaiblissements calculé et mesuré est calculé pour chaque trajet. Le logarithme népérien de ce rapport est utilisé comme variable d'essai. Afin de compenser les effets des contributions de sources d'affaiblissement autres que la pluie ainsi que les effets des imprécisions de mesure, qui affectent surtout les valeurs faibles d'affaiblissement, le logarithme doit être multiplié par un facteur d'échelle pour les mesures d'affaiblissement inférieures à 10 B. Ce facteur d'échelle est une fonction puissance de l'affaiblissement mesuré. La variable d'essai ainsi modifiée suit fidèlement une distribution normale. La moyenne et l'écart type de la variable d'essai (modifiée) sont alors calculés et utilisés pour la comparaison des méthodes de prévision.</w:t>
      </w:r>
    </w:p>
    <w:p w:rsidR="00C4061E" w:rsidRPr="005F0058" w:rsidRDefault="00C4061E" w:rsidP="00C4061E">
      <w:pPr>
        <w:pStyle w:val="Heading3"/>
      </w:pPr>
      <w:r w:rsidRPr="005F0058">
        <w:t>4.2.1</w:t>
      </w:r>
      <w:r w:rsidRPr="005F0058">
        <w:tab/>
        <w:t>Procédure</w:t>
      </w:r>
    </w:p>
    <w:p w:rsidR="00C4061E" w:rsidRPr="005F0058" w:rsidRDefault="00C4061E" w:rsidP="00C4061E">
      <w:pPr>
        <w:pStyle w:val="enumlev1"/>
      </w:pPr>
      <w:r w:rsidRPr="005F0058">
        <w:t>–</w:t>
      </w:r>
      <w:r w:rsidRPr="005F0058">
        <w:tab/>
        <w:t xml:space="preserve">Pour chaque pourcentage de temps et chaque trajet radioélectrique, calculer le rapport de l'affaiblissement prévu, </w:t>
      </w:r>
      <w:r w:rsidRPr="005F0058">
        <w:rPr>
          <w:i/>
        </w:rPr>
        <w:t>A</w:t>
      </w:r>
      <w:r w:rsidRPr="005F0058">
        <w:rPr>
          <w:i/>
          <w:iCs/>
          <w:vertAlign w:val="subscript"/>
        </w:rPr>
        <w:t>p</w:t>
      </w:r>
      <w:r w:rsidRPr="005F0058">
        <w:t xml:space="preserve"> (dB) à l'affaiblissement mesuré, </w:t>
      </w:r>
      <w:r w:rsidRPr="005F0058">
        <w:rPr>
          <w:i/>
        </w:rPr>
        <w:t>A</w:t>
      </w:r>
      <w:r w:rsidRPr="005F0058">
        <w:rPr>
          <w:i/>
          <w:iCs/>
          <w:vertAlign w:val="subscript"/>
        </w:rPr>
        <w:t>m</w:t>
      </w:r>
      <w:r w:rsidRPr="005F0058">
        <w:t xml:space="preserve"> (dB):</w:t>
      </w:r>
    </w:p>
    <w:p w:rsidR="00C4061E" w:rsidRPr="005F0058" w:rsidRDefault="00C4061E" w:rsidP="00C4061E">
      <w:pPr>
        <w:pStyle w:val="Equation"/>
      </w:pPr>
      <w:r w:rsidRPr="005F0058">
        <w:tab/>
      </w:r>
      <w:r w:rsidRPr="005F0058">
        <w:tab/>
      </w:r>
      <w:r w:rsidRPr="005F0058">
        <w:rPr>
          <w:i/>
        </w:rPr>
        <w:t>S</w:t>
      </w:r>
      <w:r w:rsidRPr="005F0058">
        <w:rPr>
          <w:i/>
          <w:iCs/>
          <w:vertAlign w:val="subscript"/>
        </w:rPr>
        <w:t>i</w:t>
      </w:r>
      <w:r w:rsidRPr="005F0058">
        <w:t xml:space="preserve">  =  </w:t>
      </w:r>
      <w:r w:rsidRPr="005F0058">
        <w:rPr>
          <w:i/>
        </w:rPr>
        <w:t>A</w:t>
      </w:r>
      <w:r w:rsidRPr="005F0058">
        <w:rPr>
          <w:i/>
          <w:iCs/>
          <w:vertAlign w:val="subscript"/>
        </w:rPr>
        <w:t>p,i</w:t>
      </w:r>
      <w:r w:rsidRPr="005F0058">
        <w:t> /</w:t>
      </w:r>
      <w:r w:rsidRPr="005F0058">
        <w:rPr>
          <w:sz w:val="12"/>
        </w:rPr>
        <w:t> </w:t>
      </w:r>
      <w:r w:rsidRPr="005F0058">
        <w:rPr>
          <w:i/>
        </w:rPr>
        <w:t>A</w:t>
      </w:r>
      <w:r w:rsidRPr="005F0058">
        <w:rPr>
          <w:i/>
          <w:iCs/>
          <w:vertAlign w:val="subscript"/>
        </w:rPr>
        <w:t>m,i</w:t>
      </w:r>
      <w:r w:rsidRPr="005F0058">
        <w:tab/>
        <w:t>(1)</w:t>
      </w:r>
    </w:p>
    <w:p w:rsidR="00C4061E" w:rsidRPr="005F0058" w:rsidRDefault="00C4061E" w:rsidP="00C4061E">
      <w:pPr>
        <w:pStyle w:val="Equation"/>
      </w:pPr>
      <w:r w:rsidRPr="005F0058">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55pt" o:ole="">
            <v:imagedata r:id="rId12" o:title=""/>
          </v:shape>
          <o:OLEObject Type="Embed" ProgID="Equation.3" ShapeID="_x0000_i1025" DrawAspect="Content" ObjectID="_1470038026" r:id="rId13"/>
        </w:object>
      </w:r>
      <w:r w:rsidRPr="005F0058">
        <w:tab/>
        <w:t xml:space="preserve">où </w:t>
      </w:r>
      <w:r w:rsidRPr="005F0058">
        <w:rPr>
          <w:i/>
        </w:rPr>
        <w:t>S</w:t>
      </w:r>
      <w:r w:rsidRPr="005F0058">
        <w:rPr>
          <w:i/>
          <w:iCs/>
          <w:vertAlign w:val="subscript"/>
        </w:rPr>
        <w:t>i</w:t>
      </w:r>
      <w:r w:rsidRPr="005F0058">
        <w:t xml:space="preserve"> est ce rapport calculé pour le </w:t>
      </w:r>
      <w:r w:rsidRPr="005F0058">
        <w:rPr>
          <w:i/>
        </w:rPr>
        <w:t>i</w:t>
      </w:r>
      <w:r w:rsidRPr="005F0058">
        <w:rPr>
          <w:iCs/>
        </w:rPr>
        <w:t>ème </w:t>
      </w:r>
      <w:r w:rsidRPr="005F0058">
        <w:t>trajet radioélectrique.</w:t>
      </w:r>
    </w:p>
    <w:p w:rsidR="00C4061E" w:rsidRPr="005F0058" w:rsidRDefault="00C4061E" w:rsidP="00C4061E">
      <w:pPr>
        <w:pStyle w:val="enumlev1"/>
      </w:pPr>
      <w:r w:rsidRPr="005F0058">
        <w:t>–</w:t>
      </w:r>
      <w:r w:rsidRPr="005F0058">
        <w:tab/>
        <w:t>Calculer la variable d'essai:</w:t>
      </w:r>
    </w:p>
    <w:p w:rsidR="00C4061E" w:rsidRPr="005F0058" w:rsidRDefault="00C4061E" w:rsidP="00C4061E">
      <w:pPr>
        <w:pStyle w:val="Equation"/>
        <w:tabs>
          <w:tab w:val="left" w:pos="1077"/>
          <w:tab w:val="left" w:pos="3969"/>
        </w:tabs>
        <w:ind w:left="1191" w:hanging="1191"/>
      </w:pPr>
      <w:r w:rsidRPr="005F0058">
        <w:tab/>
      </w:r>
      <w:r w:rsidRPr="005F0058">
        <w:rPr>
          <w:i/>
        </w:rPr>
        <w:t>V</w:t>
      </w:r>
      <w:r w:rsidRPr="005F0058">
        <w:rPr>
          <w:i/>
          <w:iCs/>
          <w:vertAlign w:val="subscript"/>
        </w:rPr>
        <w:t>i</w:t>
      </w:r>
      <w:r w:rsidRPr="005F0058">
        <w:tab/>
        <w:t xml:space="preserve">=  ln </w:t>
      </w:r>
      <w:r w:rsidRPr="005F0058">
        <w:rPr>
          <w:i/>
        </w:rPr>
        <w:t>S</w:t>
      </w:r>
      <w:r w:rsidRPr="005F0058">
        <w:rPr>
          <w:i/>
          <w:iCs/>
          <w:vertAlign w:val="subscript"/>
        </w:rPr>
        <w:t>i</w:t>
      </w:r>
      <w:r w:rsidRPr="005F0058">
        <w:t xml:space="preserve"> (</w:t>
      </w:r>
      <w:r w:rsidRPr="005F0058">
        <w:rPr>
          <w:i/>
        </w:rPr>
        <w:t>A</w:t>
      </w:r>
      <w:r w:rsidRPr="005F0058">
        <w:rPr>
          <w:i/>
          <w:iCs/>
          <w:vertAlign w:val="subscript"/>
        </w:rPr>
        <w:t>m,i</w:t>
      </w:r>
      <w:r w:rsidRPr="005F0058">
        <w:t> /</w:t>
      </w:r>
      <w:r w:rsidRPr="005F0058">
        <w:rPr>
          <w:sz w:val="12"/>
        </w:rPr>
        <w:t> </w:t>
      </w:r>
      <w:r w:rsidRPr="005F0058">
        <w:t>10)</w:t>
      </w:r>
      <w:r w:rsidRPr="005F0058">
        <w:rPr>
          <w:position w:val="6"/>
          <w:sz w:val="20"/>
        </w:rPr>
        <w:t>0,2</w:t>
      </w:r>
      <w:r w:rsidRPr="005F0058">
        <w:tab/>
        <w:t xml:space="preserve">pour </w:t>
      </w:r>
      <w:r w:rsidRPr="005F0058">
        <w:rPr>
          <w:i/>
        </w:rPr>
        <w:t>A</w:t>
      </w:r>
      <w:r w:rsidRPr="005F0058">
        <w:rPr>
          <w:i/>
          <w:iCs/>
          <w:vertAlign w:val="subscript"/>
        </w:rPr>
        <w:t>m,i</w:t>
      </w:r>
      <w:r w:rsidRPr="005F0058">
        <w:t xml:space="preserve">  &lt;  10 dB</w:t>
      </w:r>
      <w:r w:rsidRPr="005F0058">
        <w:tab/>
        <w:t>(2)</w:t>
      </w:r>
    </w:p>
    <w:p w:rsidR="00C4061E" w:rsidRPr="005F0058" w:rsidRDefault="00C4061E" w:rsidP="00C4061E">
      <w:pPr>
        <w:pStyle w:val="Equation"/>
        <w:tabs>
          <w:tab w:val="left" w:pos="1077"/>
          <w:tab w:val="left" w:pos="3969"/>
        </w:tabs>
      </w:pPr>
      <w:r w:rsidRPr="005F0058">
        <w:tab/>
      </w:r>
      <w:r w:rsidRPr="005F0058">
        <w:tab/>
        <w:t xml:space="preserve">=  ln </w:t>
      </w:r>
      <w:r w:rsidRPr="005F0058">
        <w:rPr>
          <w:i/>
        </w:rPr>
        <w:t>S</w:t>
      </w:r>
      <w:r w:rsidRPr="005F0058">
        <w:rPr>
          <w:i/>
          <w:iCs/>
          <w:vertAlign w:val="subscript"/>
        </w:rPr>
        <w:t>i</w:t>
      </w:r>
      <w:r w:rsidRPr="005F0058">
        <w:tab/>
        <w:t xml:space="preserve">pour </w:t>
      </w:r>
      <w:r w:rsidRPr="005F0058">
        <w:rPr>
          <w:i/>
        </w:rPr>
        <w:t>A</w:t>
      </w:r>
      <w:r w:rsidRPr="005F0058">
        <w:rPr>
          <w:i/>
          <w:iCs/>
          <w:vertAlign w:val="subscript"/>
        </w:rPr>
        <w:t>m,i</w:t>
      </w:r>
      <w:r w:rsidRPr="005F0058">
        <w:t xml:space="preserve">  </w:t>
      </w:r>
      <w:r w:rsidRPr="005F0058">
        <w:sym w:font="Symbol" w:char="F0B3"/>
      </w:r>
      <w:r w:rsidRPr="005F0058">
        <w:t xml:space="preserve">  10 dB</w:t>
      </w:r>
    </w:p>
    <w:p w:rsidR="00C4061E" w:rsidRPr="005F0058" w:rsidRDefault="00C4061E" w:rsidP="00C4061E">
      <w:pPr>
        <w:pStyle w:val="enumlev1"/>
      </w:pPr>
      <w:r w:rsidRPr="005F0058">
        <w:t>–</w:t>
      </w:r>
      <w:r w:rsidRPr="005F0058">
        <w:tab/>
        <w:t>Répéter la procédure pour chaque pourcentage de temps.</w:t>
      </w:r>
    </w:p>
    <w:p w:rsidR="00C4061E" w:rsidRPr="005F0058" w:rsidRDefault="00C4061E" w:rsidP="00C4061E">
      <w:pPr>
        <w:pStyle w:val="enumlev1"/>
      </w:pPr>
      <w:r w:rsidRPr="005F0058">
        <w:t>–</w:t>
      </w:r>
      <w:r w:rsidRPr="005F0058">
        <w:tab/>
        <w:t xml:space="preserve">Calculer la moyenne </w:t>
      </w:r>
      <w:r w:rsidRPr="005F0058">
        <w:sym w:font="Symbol" w:char="F06D"/>
      </w:r>
      <w:r w:rsidRPr="005F0058">
        <w:rPr>
          <w:i/>
          <w:iCs/>
          <w:vertAlign w:val="subscript"/>
        </w:rPr>
        <w:t>V</w:t>
      </w:r>
      <w:r w:rsidRPr="005F0058">
        <w:t xml:space="preserve">, l'écart type </w:t>
      </w:r>
      <w:r w:rsidRPr="005F0058">
        <w:sym w:font="Symbol" w:char="F073"/>
      </w:r>
      <w:r w:rsidRPr="005F0058">
        <w:rPr>
          <w:i/>
          <w:iCs/>
          <w:vertAlign w:val="subscript"/>
        </w:rPr>
        <w:t>V</w:t>
      </w:r>
      <w:r w:rsidRPr="005F0058">
        <w:t xml:space="preserve"> et la valeur quadratique moyenne </w:t>
      </w:r>
      <w:r w:rsidRPr="005F0058">
        <w:sym w:font="Symbol" w:char="F072"/>
      </w:r>
      <w:r w:rsidRPr="005F0058">
        <w:rPr>
          <w:i/>
          <w:iCs/>
          <w:vertAlign w:val="subscript"/>
        </w:rPr>
        <w:t>V</w:t>
      </w:r>
      <w:r w:rsidRPr="005F0058">
        <w:t xml:space="preserve"> des valeurs </w:t>
      </w:r>
      <w:r w:rsidRPr="005F0058">
        <w:rPr>
          <w:i/>
          <w:spacing w:val="-40"/>
        </w:rPr>
        <w:t>V</w:t>
      </w:r>
      <w:r w:rsidRPr="005F0058">
        <w:rPr>
          <w:i/>
          <w:iCs/>
          <w:vertAlign w:val="subscript"/>
        </w:rPr>
        <w:t>i</w:t>
      </w:r>
      <w:r w:rsidRPr="005F0058">
        <w:t xml:space="preserve"> pour chaque pourcentage de temps:</w:t>
      </w:r>
    </w:p>
    <w:p w:rsidR="00C4061E" w:rsidRPr="005F0058" w:rsidRDefault="00C4061E" w:rsidP="00C4061E">
      <w:pPr>
        <w:pStyle w:val="Equation"/>
      </w:pPr>
      <w:r w:rsidRPr="005F0058">
        <w:tab/>
      </w:r>
      <w:r w:rsidRPr="005F0058">
        <w:tab/>
      </w:r>
      <w:r w:rsidRPr="005F0058">
        <w:rPr>
          <w:position w:val="-12"/>
        </w:rPr>
        <w:object w:dxaOrig="2120" w:dyaOrig="499">
          <v:shape id="_x0000_i1026" type="#_x0000_t75" style="width:106.6pt;height:25.4pt" o:ole="" fillcolor="window">
            <v:imagedata r:id="rId14" o:title=""/>
          </v:shape>
          <o:OLEObject Type="Embed" ProgID="Equation.3" ShapeID="_x0000_i1026" DrawAspect="Content" ObjectID="_1470038027" r:id="rId15"/>
        </w:object>
      </w:r>
      <w:r w:rsidRPr="005F0058">
        <w:tab/>
        <w:t>(3)</w:t>
      </w:r>
    </w:p>
    <w:p w:rsidR="00C4061E" w:rsidRPr="005F0058" w:rsidRDefault="00C4061E" w:rsidP="00C4061E">
      <w:pPr>
        <w:pStyle w:val="Note"/>
      </w:pPr>
      <w:r w:rsidRPr="005F0058">
        <w:t>NOTE 1 – (Fonction de pondération). Si certaines distributions mesurées correspondent à des données portant sur plusieurs années (</w:t>
      </w:r>
      <w:r w:rsidRPr="005F0058">
        <w:rPr>
          <w:i/>
        </w:rPr>
        <w:t>n</w:t>
      </w:r>
      <w:r w:rsidRPr="005F0058">
        <w:t xml:space="preserve"> années), calculer alors la moyenne </w:t>
      </w:r>
      <w:r w:rsidRPr="005F0058">
        <w:sym w:font="Symbol" w:char="F06D"/>
      </w:r>
      <w:r w:rsidRPr="005F0058">
        <w:rPr>
          <w:i/>
          <w:iCs/>
          <w:sz w:val="24"/>
          <w:vertAlign w:val="subscript"/>
        </w:rPr>
        <w:t>V</w:t>
      </w:r>
      <w:r w:rsidRPr="005F0058">
        <w:t xml:space="preserve">, l'écart type </w:t>
      </w:r>
      <w:r w:rsidRPr="005F0058">
        <w:sym w:font="Symbol" w:char="F073"/>
      </w:r>
      <w:r w:rsidRPr="005F0058">
        <w:rPr>
          <w:i/>
          <w:iCs/>
          <w:sz w:val="24"/>
          <w:vertAlign w:val="subscript"/>
        </w:rPr>
        <w:t>V</w:t>
      </w:r>
      <w:r w:rsidRPr="005F0058">
        <w:t xml:space="preserve"> et la valeur quadratique moyenne </w:t>
      </w:r>
      <w:r w:rsidRPr="005F0058">
        <w:sym w:font="Symbol" w:char="F072"/>
      </w:r>
      <w:r w:rsidRPr="005F0058">
        <w:rPr>
          <w:i/>
          <w:iCs/>
          <w:vertAlign w:val="subscript"/>
        </w:rPr>
        <w:t>V</w:t>
      </w:r>
      <w:r w:rsidRPr="005F0058">
        <w:t xml:space="preserve"> des valeurs </w:t>
      </w:r>
      <w:r w:rsidRPr="005F0058">
        <w:rPr>
          <w:i/>
        </w:rPr>
        <w:t>n</w:t>
      </w:r>
      <w:r w:rsidRPr="005F0058">
        <w:t xml:space="preserve"> </w:t>
      </w:r>
      <w:r w:rsidRPr="005F0058">
        <w:rPr>
          <w:i/>
          <w:spacing w:val="-40"/>
        </w:rPr>
        <w:t>V</w:t>
      </w:r>
      <w:r w:rsidRPr="005F0058">
        <w:rPr>
          <w:i/>
          <w:iCs/>
          <w:vertAlign w:val="subscript"/>
        </w:rPr>
        <w:t>i</w:t>
      </w:r>
      <w:r w:rsidRPr="005F0058">
        <w:t xml:space="preserve"> par exemple si l'on établit la moyenne annuelle pour trois ans d'observation, prendre trois fois la même valeur </w:t>
      </w:r>
      <w:r w:rsidRPr="005F0058">
        <w:rPr>
          <w:i/>
          <w:spacing w:val="-40"/>
        </w:rPr>
        <w:t>V</w:t>
      </w:r>
      <w:r w:rsidRPr="005F0058">
        <w:rPr>
          <w:i/>
          <w:iCs/>
          <w:vertAlign w:val="subscript"/>
        </w:rPr>
        <w:t>i</w:t>
      </w:r>
      <w:r w:rsidRPr="005F0058">
        <w:t xml:space="preserve"> pour chaque pourcentage de temps).</w:t>
      </w:r>
      <w:r w:rsidRPr="005F0058">
        <w:rPr>
          <w:spacing w:val="-300"/>
        </w:rPr>
        <w:t xml:space="preserve">  </w:t>
      </w:r>
    </w:p>
    <w:p w:rsidR="00C4061E" w:rsidRPr="005F0058" w:rsidRDefault="00C4061E" w:rsidP="00C4061E">
      <w:pPr>
        <w:pStyle w:val="Note"/>
      </w:pPr>
      <w:r w:rsidRPr="005F0058">
        <w:t xml:space="preserve">NOTE 2 – (Evaluation sur des dizaines de niveaux de probabilité). Pour évaluer les méthodes de prévision sur des dizaines de niveaux de probabilité (par exemple, des pourcentages de temps allant de 0,001 à 0,1), calculer les valeurs de la variable d'essai </w:t>
      </w:r>
      <w:r w:rsidRPr="005F0058">
        <w:rPr>
          <w:i/>
          <w:spacing w:val="-40"/>
        </w:rPr>
        <w:t>V</w:t>
      </w:r>
      <w:r w:rsidRPr="005F0058">
        <w:rPr>
          <w:i/>
          <w:iCs/>
          <w:vertAlign w:val="subscript"/>
        </w:rPr>
        <w:t>i</w:t>
      </w:r>
      <w:r w:rsidRPr="005F0058">
        <w:t xml:space="preserve"> pour chaque pourcentage de temps (les valeurs préférées sont 0,001, 0,002, 0,003, 0,005, 0,01, 0,02, 0,03, 0,05 et 0,1), tenir compte d'une fonction de pondération et calculer la moyenne </w:t>
      </w:r>
      <w:r w:rsidRPr="005F0058">
        <w:rPr>
          <w:noProof/>
          <w:position w:val="-10"/>
          <w:lang w:val="en-US"/>
        </w:rPr>
        <w:drawing>
          <wp:inline distT="0" distB="0" distL="0" distR="0" wp14:anchorId="352EE809" wp14:editId="63886A06">
            <wp:extent cx="231775" cy="201930"/>
            <wp:effectExtent l="1905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31775" cy="201930"/>
                    </a:xfrm>
                    <a:prstGeom prst="rect">
                      <a:avLst/>
                    </a:prstGeom>
                    <a:noFill/>
                    <a:ln w="9525">
                      <a:noFill/>
                      <a:miter lim="800000"/>
                      <a:headEnd/>
                      <a:tailEnd/>
                    </a:ln>
                  </pic:spPr>
                </pic:pic>
              </a:graphicData>
            </a:graphic>
          </wp:inline>
        </w:drawing>
      </w:r>
      <w:r w:rsidRPr="005F0058">
        <w:t xml:space="preserve"> l'écart type </w:t>
      </w:r>
      <w:r w:rsidRPr="005F0058">
        <w:rPr>
          <w:position w:val="-16"/>
        </w:rPr>
        <w:object w:dxaOrig="340" w:dyaOrig="360">
          <v:shape id="_x0000_i1027" type="#_x0000_t75" style="width:17.55pt;height:19.4pt" o:ole="">
            <v:imagedata r:id="rId17" o:title=""/>
          </v:shape>
          <o:OLEObject Type="Embed" ProgID="Equation.3" ShapeID="_x0000_i1027" DrawAspect="Content" ObjectID="_1470038028" r:id="rId18"/>
        </w:object>
      </w:r>
      <w:r w:rsidRPr="005F0058">
        <w:t xml:space="preserve"> et la valeur quadratique moyenne </w:t>
      </w:r>
      <w:r w:rsidRPr="005F0058">
        <w:rPr>
          <w:position w:val="-12"/>
        </w:rPr>
        <w:object w:dxaOrig="300" w:dyaOrig="360">
          <v:shape id="_x0000_i1028" type="#_x0000_t75" style="width:15.25pt;height:19.4pt" o:ole="">
            <v:imagedata r:id="rId19" o:title=""/>
          </v:shape>
          <o:OLEObject Type="Embed" ProgID="Equation.3" ShapeID="_x0000_i1028" DrawAspect="Content" ObjectID="_1470038029" r:id="rId20"/>
        </w:object>
      </w:r>
      <w:r w:rsidRPr="005F0058">
        <w:t xml:space="preserve"> de toutes ces valeurs </w:t>
      </w:r>
      <w:r w:rsidRPr="005F0058">
        <w:rPr>
          <w:i/>
          <w:spacing w:val="-40"/>
        </w:rPr>
        <w:t>V</w:t>
      </w:r>
      <w:r w:rsidRPr="005F0058">
        <w:rPr>
          <w:i/>
          <w:iCs/>
          <w:vertAlign w:val="subscript"/>
        </w:rPr>
        <w:t>i</w:t>
      </w:r>
      <w:r w:rsidRPr="005F0058">
        <w:t xml:space="preserve"> sur les dizaines de niveaux de probabilité requises.</w:t>
      </w:r>
    </w:p>
    <w:p w:rsidR="00C4061E" w:rsidRPr="005F0058" w:rsidRDefault="00C4061E" w:rsidP="00C4061E">
      <w:r w:rsidRPr="005F0058">
        <w:t>Dans le processus de comparaison, la meilleure méthode de prévision est celle qui produit la plus petite valeur des paramètres statistiques. Il est à noter que les paramètres logarithmiques peuvent ensuite être convertis en paramètres de pourcentage équivalent. L'écart type, par exemple, conduit à des déviations de pourcentages équivalents supérieur et inférieur:</w:t>
      </w:r>
    </w:p>
    <w:p w:rsidR="00C4061E" w:rsidRPr="005F0058" w:rsidRDefault="00C4061E" w:rsidP="00C4061E">
      <w:pPr>
        <w:pStyle w:val="Equation"/>
      </w:pPr>
      <w:r w:rsidRPr="005F0058">
        <w:tab/>
      </w:r>
      <w:r w:rsidRPr="005F0058">
        <w:tab/>
      </w:r>
      <w:r w:rsidRPr="005F0058">
        <w:rPr>
          <w:position w:val="-14"/>
        </w:rPr>
        <w:object w:dxaOrig="2820" w:dyaOrig="460">
          <v:shape id="_x0000_i1029" type="#_x0000_t75" style="width:141.25pt;height:23.1pt" o:ole="">
            <v:imagedata r:id="rId21" o:title=""/>
          </v:shape>
          <o:OLEObject Type="Embed" ProgID="Equation.3" ShapeID="_x0000_i1029" DrawAspect="Content" ObjectID="_1470038030" r:id="rId22"/>
        </w:object>
      </w:r>
    </w:p>
    <w:p w:rsidR="00C4061E" w:rsidRPr="005F0058" w:rsidRDefault="00C4061E" w:rsidP="00C4061E">
      <w:r w:rsidRPr="005F0058">
        <w:t>qui forment une mesure de la dispersion des valeurs calculées par rapport aux valeurs mesurées, normalisées pour un affaiblissement de 10 dB.</w:t>
      </w:r>
    </w:p>
    <w:p w:rsidR="00C4061E" w:rsidRPr="005F0058" w:rsidRDefault="00C4061E" w:rsidP="00C4061E">
      <w:r w:rsidRPr="005F0058">
        <w:t xml:space="preserve">La procédure ne constitue pas seulement un outil pour évaluer la performance des méthodes de prévision; elle donne aussi des indications pour leur amélioration. L'observation des diagrammes de dispersion de </w:t>
      </w:r>
      <w:r w:rsidRPr="005F0058">
        <w:rPr>
          <w:i/>
        </w:rPr>
        <w:t>A</w:t>
      </w:r>
      <w:r w:rsidRPr="005F0058">
        <w:rPr>
          <w:i/>
          <w:iCs/>
          <w:vertAlign w:val="subscript"/>
        </w:rPr>
        <w:t>p</w:t>
      </w:r>
      <w:r w:rsidRPr="005F0058">
        <w:t xml:space="preserve"> et </w:t>
      </w:r>
      <w:r w:rsidRPr="005F0058">
        <w:rPr>
          <w:i/>
        </w:rPr>
        <w:t>A</w:t>
      </w:r>
      <w:r w:rsidRPr="005F0058">
        <w:rPr>
          <w:i/>
          <w:iCs/>
          <w:vertAlign w:val="subscript"/>
        </w:rPr>
        <w:t>m</w:t>
      </w:r>
      <w:r w:rsidRPr="005F0058">
        <w:t xml:space="preserve"> donne aussi une information utile sur les mérites relatifs des résultats expérimentaux et des méthodes de prévision.</w:t>
      </w:r>
    </w:p>
    <w:p w:rsidR="00C4061E" w:rsidRPr="005F0058" w:rsidRDefault="00C4061E" w:rsidP="00C4061E">
      <w:r w:rsidRPr="005F0058">
        <w:t>En outre, ces paramètres statistiques fournissent des indications sur la dispersion probable des valeurs réelles de l'affaiblissement autour de la valeur calculée. A cet effet, la procédure décrite ci</w:t>
      </w:r>
      <w:r w:rsidRPr="005F0058">
        <w:noBreakHyphen/>
        <w:t xml:space="preserve">dessus peut être appliquée en sens inverse, c'est-à-dire que l'écart type normalisé pour un affaiblissement de 10 dB fournit l'écart type attendu pour une autre valeur d'affaiblissement, </w:t>
      </w:r>
      <w:r w:rsidRPr="005F0058">
        <w:rPr>
          <w:i/>
        </w:rPr>
        <w:t>A</w:t>
      </w:r>
      <w:r w:rsidRPr="005F0058">
        <w:rPr>
          <w:i/>
          <w:iCs/>
          <w:vertAlign w:val="subscript"/>
        </w:rPr>
        <w:t>p</w:t>
      </w:r>
      <w:r w:rsidRPr="005F0058">
        <w:t> (dB), en pondérant par le facteur (10</w:t>
      </w:r>
      <w:r w:rsidRPr="005F0058">
        <w:rPr>
          <w:sz w:val="8"/>
        </w:rPr>
        <w:t> </w:t>
      </w:r>
      <w:r w:rsidRPr="005F0058">
        <w:t>/</w:t>
      </w:r>
      <w:r w:rsidRPr="005F0058">
        <w:rPr>
          <w:sz w:val="8"/>
        </w:rPr>
        <w:t> </w:t>
      </w:r>
      <w:r w:rsidRPr="005F0058">
        <w:rPr>
          <w:i/>
        </w:rPr>
        <w:t>A</w:t>
      </w:r>
      <w:r w:rsidRPr="005F0058">
        <w:rPr>
          <w:i/>
          <w:iCs/>
          <w:vertAlign w:val="subscript"/>
        </w:rPr>
        <w:t>p</w:t>
      </w:r>
      <w:r w:rsidRPr="005F0058">
        <w:rPr>
          <w:sz w:val="4"/>
        </w:rPr>
        <w:t> </w:t>
      </w:r>
      <w:r w:rsidRPr="005F0058">
        <w:t>)</w:t>
      </w:r>
      <w:r w:rsidRPr="005F0058">
        <w:rPr>
          <w:vertAlign w:val="superscript"/>
        </w:rPr>
        <w:t>0,2</w:t>
      </w:r>
      <w:r w:rsidRPr="005F0058">
        <w:t>.</w:t>
      </w:r>
    </w:p>
    <w:p w:rsidR="00C4061E" w:rsidRPr="005F0058" w:rsidRDefault="00C4061E" w:rsidP="00C4061E">
      <w:r w:rsidRPr="005F0058">
        <w:t>On peut noter que la limite ultime de précision d'une méthode de prévision quelconque est déterminée par la précision avec laquelle on peut considérer qu'une distribution cumulative d'intensité de pluie, mesurée en un point, caractérise les conditions climatiques et pluviométriques relatives à un endroit.</w:t>
      </w:r>
    </w:p>
    <w:p w:rsidR="00C4061E" w:rsidRPr="005F0058" w:rsidRDefault="00C4061E" w:rsidP="00C4061E">
      <w:pPr>
        <w:pStyle w:val="Heading2"/>
      </w:pPr>
      <w:r w:rsidRPr="005F0058">
        <w:t>4.3</w:t>
      </w:r>
      <w:r w:rsidRPr="005F0058">
        <w:tab/>
        <w:t>Méthode d'essai pour la comparaison des prévisions de la durée d'évanouissement</w:t>
      </w:r>
    </w:p>
    <w:p w:rsidR="00C4061E" w:rsidRPr="005F0058" w:rsidRDefault="00C4061E" w:rsidP="00C4061E">
      <w:pPr>
        <w:pStyle w:val="Heading3"/>
      </w:pPr>
      <w:r w:rsidRPr="005F0058">
        <w:t>4.3.1</w:t>
      </w:r>
      <w:r w:rsidRPr="005F0058">
        <w:tab/>
        <w:t>Principe de la méthode</w:t>
      </w:r>
    </w:p>
    <w:p w:rsidR="00C4061E" w:rsidRPr="005F0058" w:rsidRDefault="00C4061E" w:rsidP="00C4061E">
      <w:r w:rsidRPr="005F0058">
        <w:t>Deux fonctions de distribution cumulative différentes permettent de décrire la durée d'évanouissement:</w:t>
      </w:r>
    </w:p>
    <w:p w:rsidR="00C4061E" w:rsidRPr="005F0058" w:rsidRDefault="00C4061E" w:rsidP="00C4061E">
      <w:pPr>
        <w:pStyle w:val="enumlev1"/>
        <w:rPr>
          <w:bCs/>
        </w:rPr>
      </w:pPr>
      <w:r w:rsidRPr="005F0058">
        <w:rPr>
          <w:bCs/>
          <w:iCs/>
        </w:rPr>
        <w:lastRenderedPageBreak/>
        <w:t>1</w:t>
      </w:r>
      <w:r w:rsidRPr="005F0058">
        <w:rPr>
          <w:bCs/>
          <w:iCs/>
        </w:rPr>
        <w:tab/>
      </w:r>
      <w:r w:rsidRPr="005F0058">
        <w:rPr>
          <w:bCs/>
          <w:i/>
        </w:rPr>
        <w:t>P</w:t>
      </w:r>
      <w:r w:rsidRPr="005F0058">
        <w:rPr>
          <w:bCs/>
        </w:rPr>
        <w:t>(</w:t>
      </w:r>
      <w:r w:rsidRPr="005F0058">
        <w:rPr>
          <w:bCs/>
          <w:i/>
        </w:rPr>
        <w:t xml:space="preserve">d </w:t>
      </w:r>
      <w:r w:rsidRPr="005F0058">
        <w:t>&gt;</w:t>
      </w:r>
      <w:r w:rsidRPr="005F0058">
        <w:rPr>
          <w:bCs/>
          <w:i/>
        </w:rPr>
        <w:t xml:space="preserve"> D</w:t>
      </w:r>
      <w:r w:rsidRPr="005F0058">
        <w:t>|</w:t>
      </w:r>
      <w:r w:rsidRPr="005F0058">
        <w:rPr>
          <w:bCs/>
          <w:i/>
        </w:rPr>
        <w:t xml:space="preserve">a </w:t>
      </w:r>
      <w:r w:rsidRPr="005F0058">
        <w:t>&gt;</w:t>
      </w:r>
      <w:r w:rsidRPr="005F0058">
        <w:rPr>
          <w:bCs/>
        </w:rPr>
        <w:t xml:space="preserve"> </w:t>
      </w:r>
      <w:r w:rsidRPr="005F0058">
        <w:rPr>
          <w:bCs/>
          <w:i/>
        </w:rPr>
        <w:t>A</w:t>
      </w:r>
      <w:r w:rsidRPr="005F0058">
        <w:rPr>
          <w:bCs/>
        </w:rPr>
        <w:t xml:space="preserve">), probabilité d'occurrence d'évanouissements de durée </w:t>
      </w:r>
      <w:r w:rsidRPr="005F0058">
        <w:rPr>
          <w:bCs/>
          <w:i/>
        </w:rPr>
        <w:t>d</w:t>
      </w:r>
      <w:r w:rsidRPr="005F0058">
        <w:rPr>
          <w:bCs/>
        </w:rPr>
        <w:t xml:space="preserve"> supérieure à </w:t>
      </w:r>
      <w:r w:rsidRPr="005F0058">
        <w:rPr>
          <w:bCs/>
          <w:i/>
        </w:rPr>
        <w:t>D</w:t>
      </w:r>
      <w:r w:rsidRPr="005F0058">
        <w:rPr>
          <w:bCs/>
        </w:rPr>
        <w:t xml:space="preserve">, lorsque l'affaiblissement </w:t>
      </w:r>
      <w:r w:rsidRPr="005F0058">
        <w:rPr>
          <w:bCs/>
          <w:i/>
        </w:rPr>
        <w:t>a</w:t>
      </w:r>
      <w:r w:rsidRPr="005F0058">
        <w:rPr>
          <w:bCs/>
        </w:rPr>
        <w:t xml:space="preserve"> est supérieur à </w:t>
      </w:r>
      <w:r w:rsidRPr="005F0058">
        <w:rPr>
          <w:bCs/>
          <w:i/>
        </w:rPr>
        <w:t>A</w:t>
      </w:r>
      <w:r w:rsidRPr="005F0058">
        <w:rPr>
          <w:bCs/>
        </w:rPr>
        <w:t xml:space="preserve"> (dB).</w:t>
      </w:r>
    </w:p>
    <w:p w:rsidR="00C4061E" w:rsidRPr="005F0058" w:rsidRDefault="00C4061E" w:rsidP="00C4061E">
      <w:pPr>
        <w:pStyle w:val="enumlev1"/>
        <w:rPr>
          <w:bCs/>
        </w:rPr>
      </w:pPr>
      <w:r w:rsidRPr="005F0058">
        <w:rPr>
          <w:bCs/>
          <w:iCs/>
        </w:rPr>
        <w:t>2</w:t>
      </w:r>
      <w:r w:rsidRPr="005F0058">
        <w:rPr>
          <w:bCs/>
          <w:iCs/>
        </w:rPr>
        <w:tab/>
      </w:r>
      <w:r w:rsidRPr="005F0058">
        <w:rPr>
          <w:bCs/>
          <w:i/>
        </w:rPr>
        <w:t>F</w:t>
      </w:r>
      <w:r w:rsidRPr="005F0058">
        <w:rPr>
          <w:bCs/>
        </w:rPr>
        <w:t>(</w:t>
      </w:r>
      <w:r w:rsidRPr="005F0058">
        <w:rPr>
          <w:bCs/>
          <w:i/>
        </w:rPr>
        <w:t xml:space="preserve">d </w:t>
      </w:r>
      <w:r w:rsidRPr="005F0058">
        <w:t>&gt;</w:t>
      </w:r>
      <w:r w:rsidRPr="005F0058">
        <w:rPr>
          <w:bCs/>
          <w:i/>
        </w:rPr>
        <w:t xml:space="preserve"> D</w:t>
      </w:r>
      <w:r w:rsidRPr="005F0058">
        <w:t>|</w:t>
      </w:r>
      <w:r w:rsidRPr="005F0058">
        <w:rPr>
          <w:bCs/>
          <w:i/>
        </w:rPr>
        <w:t xml:space="preserve">a </w:t>
      </w:r>
      <w:r w:rsidRPr="005F0058">
        <w:t>&gt;</w:t>
      </w:r>
      <w:r w:rsidRPr="005F0058">
        <w:rPr>
          <w:bCs/>
        </w:rPr>
        <w:t xml:space="preserve"> </w:t>
      </w:r>
      <w:r w:rsidRPr="005F0058">
        <w:rPr>
          <w:bCs/>
          <w:i/>
        </w:rPr>
        <w:t>A</w:t>
      </w:r>
      <w:r w:rsidRPr="005F0058">
        <w:rPr>
          <w:bCs/>
        </w:rPr>
        <w:t xml:space="preserve">), probabilité cumulative de dépassement, ou encore fraction du temps total d'évanouissement (0-1) résultant d'évanouissements de durée </w:t>
      </w:r>
      <w:r w:rsidRPr="005F0058">
        <w:rPr>
          <w:bCs/>
          <w:i/>
        </w:rPr>
        <w:t>d</w:t>
      </w:r>
      <w:r w:rsidRPr="005F0058">
        <w:rPr>
          <w:bCs/>
        </w:rPr>
        <w:t xml:space="preserve"> supérieure à </w:t>
      </w:r>
      <w:r w:rsidRPr="005F0058">
        <w:rPr>
          <w:bCs/>
          <w:i/>
        </w:rPr>
        <w:t>D</w:t>
      </w:r>
      <w:r w:rsidRPr="005F0058">
        <w:rPr>
          <w:bCs/>
        </w:rPr>
        <w:t xml:space="preserve">, lorsque l'affaiblissement </w:t>
      </w:r>
      <w:r w:rsidRPr="005F0058">
        <w:rPr>
          <w:bCs/>
          <w:i/>
        </w:rPr>
        <w:t>a</w:t>
      </w:r>
      <w:r w:rsidRPr="005F0058">
        <w:rPr>
          <w:bCs/>
        </w:rPr>
        <w:t xml:space="preserve"> est supérieur à </w:t>
      </w:r>
      <w:r w:rsidRPr="005F0058">
        <w:rPr>
          <w:bCs/>
          <w:i/>
        </w:rPr>
        <w:t>A</w:t>
      </w:r>
      <w:r w:rsidRPr="005F0058">
        <w:rPr>
          <w:bCs/>
        </w:rPr>
        <w:t xml:space="preserve"> (dB).</w:t>
      </w:r>
    </w:p>
    <w:p w:rsidR="00C4061E" w:rsidRPr="005F0058" w:rsidRDefault="00C4061E" w:rsidP="00C4061E">
      <w:pPr>
        <w:rPr>
          <w:bCs/>
        </w:rPr>
      </w:pPr>
      <w:r w:rsidRPr="005F0058">
        <w:rPr>
          <w:bCs/>
        </w:rPr>
        <w:t xml:space="preserve">Les données pour la comparaison des méthodes de prévision de la durée d'évanouissement sont tabulées pour une durée d'évanouissement </w:t>
      </w:r>
      <w:r w:rsidRPr="005F0058">
        <w:rPr>
          <w:bCs/>
          <w:i/>
          <w:iCs/>
        </w:rPr>
        <w:t>D</w:t>
      </w:r>
      <w:r w:rsidRPr="005F0058">
        <w:rPr>
          <w:bCs/>
        </w:rPr>
        <w:t xml:space="preserve"> fixée (6 s, 180 s ou 3 600 s par exemple) et pour un seuil d'affaiblissement </w:t>
      </w:r>
      <w:r w:rsidRPr="005F0058">
        <w:rPr>
          <w:bCs/>
          <w:i/>
          <w:iCs/>
        </w:rPr>
        <w:t>A</w:t>
      </w:r>
      <w:r w:rsidRPr="005F0058">
        <w:rPr>
          <w:bCs/>
        </w:rPr>
        <w:t xml:space="preserve"> fixé (3 dB, 10 dB ou 25 dB par exemple). Le rapport entre les fractions de temps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C4061E" w:rsidRPr="005F0058" w:rsidRDefault="00C4061E" w:rsidP="00C4061E">
      <w:pPr>
        <w:pStyle w:val="Heading3"/>
      </w:pPr>
      <w:r w:rsidRPr="005F0058">
        <w:t>4.3.2</w:t>
      </w:r>
      <w:r w:rsidRPr="005F0058">
        <w:tab/>
        <w:t>Procédure</w:t>
      </w:r>
    </w:p>
    <w:p w:rsidR="00C4061E" w:rsidRPr="005F0058" w:rsidRDefault="00C4061E" w:rsidP="00C4061E">
      <w:r w:rsidRPr="005F0058">
        <w:rPr>
          <w:i/>
          <w:iCs/>
        </w:rPr>
        <w:t>Etape 1a:</w:t>
      </w:r>
      <w:r w:rsidRPr="005F0058">
        <w:rPr>
          <w:i/>
          <w:iCs/>
        </w:rPr>
        <w:tab/>
      </w:r>
      <w:r w:rsidRPr="005F0058">
        <w:t xml:space="preserve">Pour les méthodes de prévision de la probabilité d'occurrence de </w:t>
      </w:r>
      <w:r w:rsidRPr="005F0058">
        <w:rPr>
          <w:i/>
          <w:iCs/>
        </w:rPr>
        <w:t>P</w:t>
      </w:r>
      <w:r w:rsidRPr="005F0058">
        <w:t xml:space="preserve">, calculer la variable d'essai comme étant le logarithme népérien du rapport de la probabilité calculée </w:t>
      </w:r>
      <w:r w:rsidRPr="005F0058">
        <w:rPr>
          <w:i/>
        </w:rPr>
        <w:t>P</w:t>
      </w:r>
      <w:r w:rsidRPr="005F0058">
        <w:rPr>
          <w:i/>
          <w:vertAlign w:val="subscript"/>
        </w:rPr>
        <w:t>p</w:t>
      </w:r>
      <w:r w:rsidRPr="005F0058">
        <w:rPr>
          <w:iCs/>
        </w:rPr>
        <w:t>(</w:t>
      </w:r>
      <w:r w:rsidRPr="005F0058">
        <w:rPr>
          <w:i/>
        </w:rPr>
        <w:t>d &gt; D|a &gt; A</w:t>
      </w:r>
      <w:r w:rsidRPr="005F0058">
        <w:rPr>
          <w:iCs/>
        </w:rPr>
        <w:t xml:space="preserve">) à la probabilité mesurée </w:t>
      </w:r>
      <w:r w:rsidRPr="005F0058">
        <w:rPr>
          <w:i/>
        </w:rPr>
        <w:t>P</w:t>
      </w:r>
      <w:r w:rsidRPr="005F0058">
        <w:rPr>
          <w:i/>
          <w:vertAlign w:val="subscript"/>
        </w:rPr>
        <w:t>m</w:t>
      </w:r>
      <w:r w:rsidRPr="005F0058">
        <w:rPr>
          <w:iCs/>
        </w:rPr>
        <w:t>(</w:t>
      </w:r>
      <w:r w:rsidRPr="005F0058">
        <w:rPr>
          <w:i/>
        </w:rPr>
        <w:t>d &gt; D|a &gt; A</w:t>
      </w:r>
      <w:r w:rsidRPr="005F0058">
        <w:rPr>
          <w:iCs/>
        </w:rPr>
        <w:t>)</w:t>
      </w:r>
      <w:r w:rsidRPr="005F0058">
        <w:t>, pour chaque seuil d'affaiblissement </w:t>
      </w:r>
      <w:r w:rsidRPr="005F0058">
        <w:rPr>
          <w:i/>
          <w:iCs/>
        </w:rPr>
        <w:t xml:space="preserve">A </w:t>
      </w:r>
      <w:r w:rsidRPr="005F0058">
        <w:t>et chaque durée d'évanouissement </w:t>
      </w:r>
      <w:r w:rsidRPr="005F0058">
        <w:rPr>
          <w:i/>
          <w:iCs/>
        </w:rPr>
        <w:t>D</w:t>
      </w:r>
      <w:r w:rsidRPr="005F0058">
        <w:t xml:space="preserve"> définis dans les Tableaux I</w:t>
      </w:r>
      <w:r w:rsidRPr="005F0058">
        <w:noBreakHyphen/>
        <w:t>8b et II-3b, et pour chaque liaison radioélectrique:</w:t>
      </w:r>
    </w:p>
    <w:p w:rsidR="00C4061E" w:rsidRPr="005F0058" w:rsidRDefault="00C4061E" w:rsidP="00C4061E">
      <w:pPr>
        <w:pStyle w:val="Equation"/>
      </w:pPr>
      <w:r w:rsidRPr="005F0058">
        <w:tab/>
      </w:r>
      <w:r w:rsidRPr="005F0058">
        <w:tab/>
      </w:r>
      <w:r w:rsidRPr="005F0058">
        <w:rPr>
          <w:position w:val="-34"/>
        </w:rPr>
        <w:object w:dxaOrig="2620" w:dyaOrig="800">
          <v:shape id="_x0000_i1030" type="#_x0000_t75" style="width:131.55pt;height:40.6pt" o:ole="" fillcolor="window">
            <v:imagedata r:id="rId23" o:title=""/>
          </v:shape>
          <o:OLEObject Type="Embed" ProgID="Equation.3" ShapeID="_x0000_i1030" DrawAspect="Content" ObjectID="_1470038031" r:id="rId24"/>
        </w:object>
      </w:r>
      <w:r w:rsidRPr="005F0058">
        <w:tab/>
        <w:t>(4)</w:t>
      </w:r>
    </w:p>
    <w:p w:rsidR="00C4061E" w:rsidRPr="005F0058" w:rsidRDefault="00C4061E" w:rsidP="00C4061E">
      <w:r w:rsidRPr="005F0058">
        <w:t>où:</w:t>
      </w:r>
    </w:p>
    <w:p w:rsidR="00C4061E" w:rsidRPr="005F0058" w:rsidRDefault="00C4061E" w:rsidP="00C4061E">
      <w:pPr>
        <w:pStyle w:val="Equationlegend"/>
        <w:rPr>
          <w:lang w:val="fr-FR"/>
        </w:rPr>
      </w:pPr>
      <w:r w:rsidRPr="005F0058">
        <w:rPr>
          <w:lang w:val="fr-FR"/>
        </w:rPr>
        <w:tab/>
      </w:r>
      <w:r w:rsidRPr="005F0058">
        <w:rPr>
          <w:lang w:val="fr-FR"/>
        </w:rPr>
        <w:sym w:font="Symbol" w:char="F065"/>
      </w:r>
      <w:r w:rsidRPr="005F0058">
        <w:rPr>
          <w:bCs/>
          <w:i/>
          <w:iCs/>
          <w:vertAlign w:val="subscript"/>
          <w:lang w:val="fr-FR"/>
        </w:rPr>
        <w:t>P</w:t>
      </w:r>
      <w:r w:rsidRPr="005F0058">
        <w:rPr>
          <w:bCs/>
          <w:vertAlign w:val="subscript"/>
          <w:lang w:val="fr-FR"/>
        </w:rPr>
        <w:t>,</w:t>
      </w:r>
      <w:r w:rsidRPr="005F0058">
        <w:rPr>
          <w:bCs/>
          <w:i/>
          <w:iCs/>
          <w:vertAlign w:val="subscript"/>
          <w:lang w:val="fr-FR"/>
        </w:rPr>
        <w:t>i</w:t>
      </w:r>
      <w:r w:rsidRPr="005F0058">
        <w:rPr>
          <w:bCs/>
          <w:sz w:val="12"/>
          <w:vertAlign w:val="subscript"/>
          <w:lang w:val="fr-FR"/>
        </w:rPr>
        <w:t>:</w:t>
      </w:r>
      <w:r w:rsidRPr="005F0058">
        <w:rPr>
          <w:vertAlign w:val="subscript"/>
          <w:lang w:val="fr-FR"/>
        </w:rPr>
        <w:tab/>
      </w:r>
      <w:r w:rsidRPr="005F0058">
        <w:rPr>
          <w:lang w:val="fr-FR"/>
        </w:rPr>
        <w:t xml:space="preserve">variable d'essai calculée pour la </w:t>
      </w:r>
      <w:r w:rsidRPr="005F0058">
        <w:rPr>
          <w:i/>
          <w:iCs/>
          <w:lang w:val="fr-FR"/>
        </w:rPr>
        <w:t>i</w:t>
      </w:r>
      <w:r w:rsidRPr="005F0058">
        <w:rPr>
          <w:lang w:val="fr-FR"/>
        </w:rPr>
        <w:t>ème liaison radioélectrique.</w:t>
      </w:r>
    </w:p>
    <w:p w:rsidR="00C4061E" w:rsidRPr="005F0058" w:rsidRDefault="00C4061E" w:rsidP="00C4061E">
      <w:r w:rsidRPr="005F0058">
        <w:rPr>
          <w:i/>
        </w:rPr>
        <w:t>Etape 1b</w:t>
      </w:r>
      <w:r w:rsidRPr="005F0058">
        <w:rPr>
          <w:iCs/>
        </w:rPr>
        <w:t>:</w:t>
      </w:r>
      <w:r w:rsidRPr="005F0058">
        <w:rPr>
          <w:iCs/>
        </w:rPr>
        <w:tab/>
        <w:t>Pour les méthodes de prévision du pourcentage de temps d'évanouissement</w:t>
      </w:r>
      <w:r w:rsidRPr="005F0058">
        <w:t xml:space="preserve"> </w:t>
      </w:r>
      <w:r w:rsidRPr="005F0058">
        <w:rPr>
          <w:i/>
        </w:rPr>
        <w:t>F</w:t>
      </w:r>
      <w:r w:rsidRPr="005F0058">
        <w:t xml:space="preserve">, soustraire à la fois la fraction de temps calculée </w:t>
      </w:r>
      <w:r w:rsidRPr="005F0058">
        <w:rPr>
          <w:i/>
        </w:rPr>
        <w:t>F</w:t>
      </w:r>
      <w:r w:rsidRPr="005F0058">
        <w:rPr>
          <w:i/>
          <w:vertAlign w:val="subscript"/>
        </w:rPr>
        <w:t>p</w:t>
      </w:r>
      <w:r w:rsidRPr="005F0058">
        <w:rPr>
          <w:iCs/>
        </w:rPr>
        <w:t>(</w:t>
      </w:r>
      <w:r w:rsidRPr="005F0058">
        <w:rPr>
          <w:i/>
        </w:rPr>
        <w:t>d &gt; D|a &gt; A</w:t>
      </w:r>
      <w:r w:rsidRPr="005F0058">
        <w:rPr>
          <w:iCs/>
        </w:rPr>
        <w:t>)</w:t>
      </w:r>
      <w:r w:rsidRPr="005F0058">
        <w:t xml:space="preserve"> et la fraction de temps mesurée </w:t>
      </w:r>
      <w:r w:rsidRPr="005F0058">
        <w:rPr>
          <w:i/>
        </w:rPr>
        <w:t>F</w:t>
      </w:r>
      <w:r w:rsidRPr="005F0058">
        <w:rPr>
          <w:i/>
          <w:vertAlign w:val="subscript"/>
        </w:rPr>
        <w:t>m</w:t>
      </w:r>
      <w:r w:rsidRPr="005F0058">
        <w:rPr>
          <w:iCs/>
        </w:rPr>
        <w:t>(</w:t>
      </w:r>
      <w:r w:rsidRPr="005F0058">
        <w:rPr>
          <w:i/>
        </w:rPr>
        <w:t>d &gt; D|a &gt; A</w:t>
      </w:r>
      <w:r w:rsidRPr="005F0058">
        <w:rPr>
          <w:iCs/>
        </w:rPr>
        <w:t>)</w:t>
      </w:r>
      <w:r w:rsidRPr="005F0058">
        <w:t xml:space="preserve"> de 1. Calculer la variable d'essai comme étant le logarithme népérien du rapport de ces différences, pour chaque seuil d'affaiblissement </w:t>
      </w:r>
      <w:r w:rsidRPr="005F0058">
        <w:rPr>
          <w:i/>
        </w:rPr>
        <w:t>A</w:t>
      </w:r>
      <w:r w:rsidRPr="005F0058">
        <w:t xml:space="preserve"> et pour chaque durée d'évanouissement </w:t>
      </w:r>
      <w:r w:rsidRPr="005F0058">
        <w:rPr>
          <w:i/>
        </w:rPr>
        <w:t>D</w:t>
      </w:r>
      <w:r w:rsidRPr="005F0058">
        <w:t xml:space="preserve"> définis dans les Tableaux I</w:t>
      </w:r>
      <w:r w:rsidRPr="005F0058">
        <w:noBreakHyphen/>
        <w:t>8c et II</w:t>
      </w:r>
      <w:r w:rsidRPr="005F0058">
        <w:noBreakHyphen/>
        <w:t>3c, et pour chaque liaison radioélectrique:</w:t>
      </w:r>
    </w:p>
    <w:p w:rsidR="00C4061E" w:rsidRPr="005F0058" w:rsidRDefault="00C4061E" w:rsidP="00C4061E">
      <w:pPr>
        <w:pStyle w:val="Equation"/>
      </w:pPr>
      <w:r w:rsidRPr="005F0058">
        <w:tab/>
      </w:r>
      <w:r w:rsidRPr="005F0058">
        <w:tab/>
      </w:r>
      <w:r w:rsidRPr="005F0058">
        <w:rPr>
          <w:position w:val="-34"/>
        </w:rPr>
        <w:object w:dxaOrig="2920" w:dyaOrig="800">
          <v:shape id="_x0000_i1031" type="#_x0000_t75" style="width:145.4pt;height:40.6pt" o:ole="" fillcolor="window">
            <v:imagedata r:id="rId25" o:title=""/>
          </v:shape>
          <o:OLEObject Type="Embed" ProgID="Equation.3" ShapeID="_x0000_i1031" DrawAspect="Content" ObjectID="_1470038032" r:id="rId26"/>
        </w:object>
      </w:r>
      <w:r w:rsidRPr="005F0058">
        <w:tab/>
        <w:t>(5)</w:t>
      </w:r>
    </w:p>
    <w:p w:rsidR="00C4061E" w:rsidRPr="005F0058" w:rsidRDefault="00C4061E" w:rsidP="00C4061E">
      <w:r w:rsidRPr="005F0058">
        <w:t>où:</w:t>
      </w:r>
    </w:p>
    <w:p w:rsidR="00C4061E" w:rsidRPr="005F0058" w:rsidRDefault="00C4061E" w:rsidP="00C4061E">
      <w:pPr>
        <w:pStyle w:val="Equationlegend"/>
        <w:rPr>
          <w:lang w:val="fr-FR"/>
        </w:rPr>
      </w:pPr>
      <w:r w:rsidRPr="005F0058">
        <w:rPr>
          <w:lang w:val="fr-FR"/>
        </w:rPr>
        <w:tab/>
      </w:r>
      <w:r w:rsidRPr="005F0058">
        <w:rPr>
          <w:lang w:val="fr-FR"/>
        </w:rPr>
        <w:sym w:font="Symbol" w:char="F065"/>
      </w:r>
      <w:r w:rsidRPr="005F0058">
        <w:rPr>
          <w:i/>
          <w:iCs/>
          <w:vertAlign w:val="subscript"/>
          <w:lang w:val="fr-FR"/>
        </w:rPr>
        <w:t>N</w:t>
      </w:r>
      <w:r w:rsidRPr="005F0058">
        <w:rPr>
          <w:bCs/>
          <w:vertAlign w:val="subscript"/>
          <w:lang w:val="fr-FR"/>
        </w:rPr>
        <w:t>,</w:t>
      </w:r>
      <w:r w:rsidRPr="005F0058">
        <w:rPr>
          <w:i/>
          <w:iCs/>
          <w:vertAlign w:val="subscript"/>
          <w:lang w:val="fr-FR"/>
        </w:rPr>
        <w:t>i</w:t>
      </w:r>
      <w:r w:rsidRPr="005F0058">
        <w:rPr>
          <w:lang w:val="fr-FR"/>
        </w:rPr>
        <w:t>:</w:t>
      </w:r>
      <w:r w:rsidRPr="005F0058">
        <w:rPr>
          <w:vertAlign w:val="subscript"/>
          <w:lang w:val="fr-FR"/>
        </w:rPr>
        <w:tab/>
      </w:r>
      <w:r w:rsidRPr="005F0058">
        <w:rPr>
          <w:lang w:val="fr-FR"/>
        </w:rPr>
        <w:t xml:space="preserve"> variable d'essai calculée pour la </w:t>
      </w:r>
      <w:r w:rsidRPr="005F0058">
        <w:rPr>
          <w:i/>
          <w:iCs/>
          <w:lang w:val="fr-FR"/>
        </w:rPr>
        <w:t>i</w:t>
      </w:r>
      <w:r w:rsidRPr="005F0058">
        <w:rPr>
          <w:lang w:val="fr-FR"/>
        </w:rPr>
        <w:t>ème liaison radioélectrique.</w:t>
      </w:r>
    </w:p>
    <w:p w:rsidR="00C4061E" w:rsidRPr="005F0058" w:rsidRDefault="00C4061E" w:rsidP="00C4061E">
      <w:r w:rsidRPr="005F0058">
        <w:rPr>
          <w:i/>
          <w:iCs/>
        </w:rPr>
        <w:t>Etape 2:</w:t>
      </w:r>
      <w:r w:rsidRPr="005F0058">
        <w:tab/>
        <w:t xml:space="preserve">Pour chaque méthode de prévision, calculer la moyenne, l'écart type et la valeur quadratique moyenne de l'erreur </w:t>
      </w:r>
      <w:r w:rsidRPr="005F0058">
        <w:rPr>
          <w:bCs/>
        </w:rPr>
        <w:sym w:font="Symbol" w:char="F065"/>
      </w:r>
      <w:r w:rsidRPr="005F0058">
        <w:rPr>
          <w:i/>
          <w:iCs/>
          <w:vertAlign w:val="subscript"/>
        </w:rPr>
        <w:t>P</w:t>
      </w:r>
      <w:r w:rsidRPr="005F0058">
        <w:t xml:space="preserve"> ou </w:t>
      </w:r>
      <w:r w:rsidRPr="005F0058">
        <w:sym w:font="Symbol" w:char="F065"/>
      </w:r>
      <w:r w:rsidRPr="005F0058">
        <w:rPr>
          <w:i/>
          <w:iCs/>
          <w:vertAlign w:val="subscript"/>
        </w:rPr>
        <w:t>N</w:t>
      </w:r>
      <w:r w:rsidRPr="005F0058">
        <w:t xml:space="preserve"> pour chaque durée d'évanouissement et pour chaque seuil d'affaiblissement figurant dans les Tableaux I-8 et II-3.</w:t>
      </w:r>
    </w:p>
    <w:p w:rsidR="00C4061E" w:rsidRPr="005F0058" w:rsidRDefault="00C4061E" w:rsidP="00C4061E">
      <w:r w:rsidRPr="005F0058">
        <w:t>Si certaines distributions mesurées correspondent à des données portant sur plusieurs années (</w:t>
      </w:r>
      <w:r w:rsidRPr="005F0058">
        <w:rPr>
          <w:i/>
          <w:iCs/>
        </w:rPr>
        <w:t>n</w:t>
      </w:r>
      <w:r w:rsidRPr="005F0058">
        <w:t xml:space="preserve"> années), calculer la moyenne, l'écart type et la valeur quadratique moyenne pour des valeurs </w:t>
      </w:r>
      <w:r w:rsidRPr="005F0058">
        <w:rPr>
          <w:i/>
          <w:iCs/>
        </w:rPr>
        <w:t>n</w:t>
      </w:r>
      <w:r w:rsidRPr="005F0058">
        <w:t xml:space="preserve"> </w:t>
      </w:r>
      <w:r w:rsidRPr="005F0058">
        <w:rPr>
          <w:bCs/>
        </w:rPr>
        <w:sym w:font="Symbol" w:char="F065"/>
      </w:r>
      <w:r w:rsidRPr="005F0058">
        <w:rPr>
          <w:i/>
          <w:iCs/>
          <w:vertAlign w:val="subscript"/>
        </w:rPr>
        <w:t>P,i</w:t>
      </w:r>
      <w:r w:rsidRPr="005F0058">
        <w:t xml:space="preserve"> ou </w:t>
      </w:r>
      <w:r w:rsidRPr="005F0058">
        <w:rPr>
          <w:bCs/>
        </w:rPr>
        <w:sym w:font="Symbol" w:char="F065"/>
      </w:r>
      <w:r w:rsidRPr="005F0058">
        <w:rPr>
          <w:i/>
          <w:iCs/>
          <w:vertAlign w:val="subscript"/>
        </w:rPr>
        <w:t>N,i</w:t>
      </w:r>
      <w:r w:rsidRPr="005F0058">
        <w:t xml:space="preserve"> (par exemple, si l'on établit la moyenne annuelle pour trois ans d'observation, prendre trois fois la même valeur </w:t>
      </w:r>
      <w:r w:rsidRPr="005F0058">
        <w:rPr>
          <w:bCs/>
        </w:rPr>
        <w:sym w:font="Symbol" w:char="F065"/>
      </w:r>
      <w:r w:rsidRPr="005F0058">
        <w:rPr>
          <w:i/>
          <w:iCs/>
          <w:vertAlign w:val="subscript"/>
        </w:rPr>
        <w:t>P,i</w:t>
      </w:r>
      <w:r w:rsidRPr="005F0058">
        <w:t xml:space="preserve"> ou </w:t>
      </w:r>
      <w:r w:rsidRPr="005F0058">
        <w:rPr>
          <w:bCs/>
        </w:rPr>
        <w:sym w:font="Symbol" w:char="F065"/>
      </w:r>
      <w:r w:rsidRPr="005F0058">
        <w:rPr>
          <w:i/>
          <w:iCs/>
          <w:vertAlign w:val="subscript"/>
        </w:rPr>
        <w:t>N,i</w:t>
      </w:r>
      <w:r w:rsidRPr="005F0058">
        <w:t xml:space="preserve"> pour chaque durée d'évanouissement et affaiblissement).</w:t>
      </w:r>
    </w:p>
    <w:p w:rsidR="00C4061E" w:rsidRPr="005F0058" w:rsidRDefault="00C4061E" w:rsidP="00C4061E">
      <w:r w:rsidRPr="005F0058">
        <w:t>Dans le processus de comparaison, la meilleure méthode de prévision est celle qui produit la plus petite valeur des paramètres statistiques.</w:t>
      </w:r>
    </w:p>
    <w:p w:rsidR="00C4061E" w:rsidRPr="005F0058" w:rsidRDefault="00C4061E" w:rsidP="00C4061E">
      <w:pPr>
        <w:pStyle w:val="Heading2"/>
      </w:pPr>
      <w:bookmarkStart w:id="11" w:name="_Toc114380891"/>
      <w:r w:rsidRPr="005F0058">
        <w:lastRenderedPageBreak/>
        <w:t>4.4</w:t>
      </w:r>
      <w:r w:rsidRPr="005F0058">
        <w:tab/>
        <w:t>Méthode d'essai pour la comparaison des prévisions de la pente d'évanouissement</w:t>
      </w:r>
      <w:bookmarkEnd w:id="11"/>
    </w:p>
    <w:p w:rsidR="00C4061E" w:rsidRPr="005F0058" w:rsidRDefault="00C4061E" w:rsidP="00C4061E">
      <w:pPr>
        <w:pStyle w:val="Heading3"/>
      </w:pPr>
      <w:r w:rsidRPr="005F0058">
        <w:t>4.4.1</w:t>
      </w:r>
      <w:r w:rsidRPr="005F0058">
        <w:tab/>
        <w:t>Principe de la méthode</w:t>
      </w:r>
    </w:p>
    <w:p w:rsidR="00C4061E" w:rsidRPr="005F0058" w:rsidRDefault="00C4061E" w:rsidP="00C4061E">
      <w:r w:rsidRPr="005F0058">
        <w:t xml:space="preserve">La distribution prévisionnelle de la pente d'évanouissement utilisée dans cette méthode d'essai est la distribution cumulative d'une pente d'évanouissement qui doit être dépassée pour un seuil d'affaiblissement donné. Elle dépend du niveau d'affaiblissement </w:t>
      </w:r>
      <w:r w:rsidRPr="005F0058">
        <w:rPr>
          <w:i/>
        </w:rPr>
        <w:t>A</w:t>
      </w:r>
      <w:r w:rsidRPr="005F0058">
        <w:t>(</w:t>
      </w:r>
      <w:r w:rsidRPr="005F0058">
        <w:rPr>
          <w:i/>
        </w:rPr>
        <w:t>t</w:t>
      </w:r>
      <w:r w:rsidRPr="005F0058">
        <w:t xml:space="preserve">), de la longueur de l'intervalle de temps </w:t>
      </w:r>
      <w:r w:rsidRPr="005F0058">
        <w:sym w:font="Symbol" w:char="F044"/>
      </w:r>
      <w:r w:rsidRPr="005F0058">
        <w:rPr>
          <w:i/>
        </w:rPr>
        <w:t>t</w:t>
      </w:r>
      <w:r w:rsidRPr="005F0058">
        <w:t xml:space="preserve"> et de la fréquence de coupure à 3 dB du filtre passe</w:t>
      </w:r>
      <w:r w:rsidRPr="005F0058">
        <w:noBreakHyphen/>
        <w:t>bas utilisé pour éliminer du signal les effets des scintillations troposphériques et des variations rapides de l'affaiblissement dû à la pluie.</w:t>
      </w:r>
    </w:p>
    <w:p w:rsidR="00C4061E" w:rsidRPr="005F0058" w:rsidRDefault="00C4061E" w:rsidP="00C4061E">
      <w:r w:rsidRPr="005F0058">
        <w:t xml:space="preserve">Les données pour la comparaison des méthodes de prévision de la pente d'évanouissement sont tabulées pour un pourcentage de temps </w:t>
      </w:r>
      <w:r w:rsidRPr="005F0058">
        <w:rPr>
          <w:i/>
          <w:iCs/>
        </w:rPr>
        <w:t>P</w:t>
      </w:r>
      <w:r w:rsidRPr="005F0058">
        <w:t xml:space="preserve"> fixé (compris entre 0,001% et 50%) et un seuil d'affaiblissement </w:t>
      </w:r>
      <w:r w:rsidRPr="005F0058">
        <w:rPr>
          <w:i/>
          <w:iCs/>
        </w:rPr>
        <w:t>A</w:t>
      </w:r>
      <w:r w:rsidRPr="005F0058">
        <w:t xml:space="preserve"> fixé (3 dB, 10 d</w:t>
      </w:r>
      <w:r w:rsidRPr="005F0058">
        <w:rPr>
          <w:bCs/>
        </w:rPr>
        <w:t>B ou 25 dB par exemple). Le rapport entre les pentes d'évanouissement calculées et mesurées est calculé pour chaque liaison radioélectrique. Le logarithme de ce rapport est utilisé comme variable d'essai. La moyenne et l'écart type de la variable d'essai sont alors calculés pour obtenir les statistiques de comparaison des méthodes de prévision.</w:t>
      </w:r>
    </w:p>
    <w:p w:rsidR="00C4061E" w:rsidRPr="005F0058" w:rsidRDefault="00C4061E" w:rsidP="00C4061E">
      <w:pPr>
        <w:pStyle w:val="Heading3"/>
      </w:pPr>
      <w:r w:rsidRPr="005F0058">
        <w:t>4.4.2</w:t>
      </w:r>
      <w:r w:rsidRPr="005F0058">
        <w:tab/>
        <w:t>Procédure</w:t>
      </w:r>
    </w:p>
    <w:p w:rsidR="00C4061E" w:rsidRPr="005F0058" w:rsidRDefault="00C4061E" w:rsidP="00C4061E">
      <w:r w:rsidRPr="005F0058">
        <w:rPr>
          <w:i/>
          <w:iCs/>
        </w:rPr>
        <w:t>Etape 1</w:t>
      </w:r>
      <w:r w:rsidRPr="005F0058">
        <w:rPr>
          <w:i/>
        </w:rPr>
        <w:t>:</w:t>
      </w:r>
      <w:r w:rsidRPr="005F0058">
        <w:tab/>
        <w:t xml:space="preserve">Pour chaque seuil d'affaiblissement </w:t>
      </w:r>
      <w:r w:rsidRPr="005F0058">
        <w:rPr>
          <w:i/>
        </w:rPr>
        <w:t>A</w:t>
      </w:r>
      <w:r w:rsidRPr="005F0058">
        <w:t xml:space="preserve"> et chaque valeur de la pente d'évanouissement définis dans le Tableau II-8b, calculer la variable d'essai à partir de la probabilité de dépassement calculée </w:t>
      </w:r>
      <w:r w:rsidRPr="005F0058">
        <w:rPr>
          <w:i/>
        </w:rPr>
        <w:t>P</w:t>
      </w:r>
      <w:r w:rsidRPr="005F0058">
        <w:rPr>
          <w:i/>
          <w:vertAlign w:val="subscript"/>
        </w:rPr>
        <w:t>p</w:t>
      </w:r>
      <w:r w:rsidRPr="005F0058">
        <w:t>(</w:t>
      </w:r>
      <w:r w:rsidRPr="005F0058">
        <w:rPr>
          <w:iCs/>
        </w:rPr>
        <w:t>ζ | </w:t>
      </w:r>
      <w:r w:rsidRPr="005F0058">
        <w:rPr>
          <w:bCs/>
          <w:i/>
        </w:rPr>
        <w:t>A</w:t>
      </w:r>
      <w:r w:rsidRPr="005F0058">
        <w:t xml:space="preserve">) et de la probabilité de dépassement mesurée </w:t>
      </w:r>
      <w:r w:rsidRPr="005F0058">
        <w:rPr>
          <w:i/>
        </w:rPr>
        <w:t>P</w:t>
      </w:r>
      <w:r w:rsidRPr="005F0058">
        <w:rPr>
          <w:i/>
          <w:vertAlign w:val="subscript"/>
        </w:rPr>
        <w:t>m</w:t>
      </w:r>
      <w:r w:rsidRPr="005F0058">
        <w:t>(</w:t>
      </w:r>
      <w:r w:rsidRPr="005F0058">
        <w:rPr>
          <w:iCs/>
        </w:rPr>
        <w:t>ζ | </w:t>
      </w:r>
      <w:r w:rsidRPr="005F0058">
        <w:rPr>
          <w:bCs/>
          <w:i/>
        </w:rPr>
        <w:t>A</w:t>
      </w:r>
      <w:r w:rsidRPr="005F0058">
        <w:t>) pour chaque liaison radioélectrique:</w:t>
      </w:r>
    </w:p>
    <w:p w:rsidR="00C4061E" w:rsidRPr="005F0058" w:rsidRDefault="00C4061E" w:rsidP="00C4061E">
      <w:pPr>
        <w:pStyle w:val="Blanc"/>
        <w:rPr>
          <w:lang w:val="fr-FR"/>
        </w:rPr>
      </w:pPr>
    </w:p>
    <w:p w:rsidR="00C4061E" w:rsidRPr="005F0058" w:rsidRDefault="00C4061E" w:rsidP="00C4061E">
      <w:pPr>
        <w:pStyle w:val="Equation"/>
      </w:pPr>
      <w:r w:rsidRPr="005F0058">
        <w:tab/>
      </w:r>
      <w:r w:rsidRPr="005F0058">
        <w:tab/>
      </w:r>
      <w:r w:rsidRPr="005F0058">
        <w:rPr>
          <w:position w:val="-34"/>
        </w:rPr>
        <w:object w:dxaOrig="3080" w:dyaOrig="760">
          <v:shape id="_x0000_i1032" type="#_x0000_t75" style="width:153.25pt;height:37.85pt" o:ole="">
            <v:imagedata r:id="rId27" o:title=""/>
          </v:shape>
          <o:OLEObject Type="Embed" ProgID="Equation.3" ShapeID="_x0000_i1032" DrawAspect="Content" ObjectID="_1470038033" r:id="rId28"/>
        </w:object>
      </w:r>
      <w:r w:rsidRPr="005F0058">
        <w:tab/>
        <w:t>(6)</w:t>
      </w:r>
    </w:p>
    <w:p w:rsidR="00C4061E" w:rsidRPr="005F0058" w:rsidRDefault="00C4061E" w:rsidP="00C4061E">
      <w:r w:rsidRPr="005F0058">
        <w:t>où:</w:t>
      </w:r>
    </w:p>
    <w:p w:rsidR="00C4061E" w:rsidRPr="005F0058" w:rsidRDefault="00C4061E" w:rsidP="00C4061E">
      <w:pPr>
        <w:pStyle w:val="Equationlegend"/>
        <w:rPr>
          <w:lang w:val="fr-FR"/>
        </w:rPr>
      </w:pPr>
      <w:r w:rsidRPr="005F0058">
        <w:rPr>
          <w:lang w:val="fr-FR"/>
        </w:rPr>
        <w:tab/>
      </w:r>
      <w:r w:rsidRPr="005F0058">
        <w:rPr>
          <w:lang w:val="fr-FR"/>
        </w:rPr>
        <w:sym w:font="Symbol" w:char="F065"/>
      </w:r>
      <w:r w:rsidRPr="005F0058">
        <w:rPr>
          <w:bCs/>
          <w:i/>
          <w:iCs/>
          <w:vertAlign w:val="subscript"/>
          <w:lang w:val="fr-FR"/>
        </w:rPr>
        <w:t>i</w:t>
      </w:r>
      <w:r w:rsidRPr="005F0058">
        <w:rPr>
          <w:lang w:val="fr-FR"/>
        </w:rPr>
        <w:t>:</w:t>
      </w:r>
      <w:r w:rsidRPr="005F0058">
        <w:rPr>
          <w:lang w:val="fr-FR"/>
        </w:rPr>
        <w:tab/>
        <w:t xml:space="preserve">variable d'essai calculée pour la </w:t>
      </w:r>
      <w:r w:rsidRPr="005F0058">
        <w:rPr>
          <w:i/>
          <w:iCs/>
          <w:lang w:val="fr-FR"/>
        </w:rPr>
        <w:t>i</w:t>
      </w:r>
      <w:r w:rsidRPr="005F0058">
        <w:rPr>
          <w:lang w:val="fr-FR"/>
        </w:rPr>
        <w:t>ème liaison radioélectrique.</w:t>
      </w:r>
    </w:p>
    <w:p w:rsidR="00C4061E" w:rsidRPr="005F0058" w:rsidRDefault="00C4061E" w:rsidP="00C4061E">
      <w:r w:rsidRPr="005F0058">
        <w:rPr>
          <w:i/>
          <w:iCs/>
        </w:rPr>
        <w:t>Etape 2:</w:t>
      </w:r>
      <w:r w:rsidRPr="005F0058">
        <w:tab/>
        <w:t xml:space="preserve">Calculer la moyenne, l'écart type et la valeur quadratique moyenne de l'erreur </w:t>
      </w:r>
      <w:r w:rsidRPr="005F0058">
        <w:sym w:font="Symbol" w:char="F065"/>
      </w:r>
      <w:r w:rsidRPr="005F0058">
        <w:t xml:space="preserve"> pour l'ensemble des expériences et pour chaque pente d'évanouissement et chaque seuil d'affaiblissement figurant dans le Tableau II-8b.</w:t>
      </w:r>
    </w:p>
    <w:p w:rsidR="00C4061E" w:rsidRPr="005F0058" w:rsidRDefault="00C4061E" w:rsidP="00C4061E">
      <w:r w:rsidRPr="005F0058">
        <w:t>Si certaines distributions mesurées correspondent à des données portant sur plusieurs années (</w:t>
      </w:r>
      <w:r w:rsidRPr="005F0058">
        <w:rPr>
          <w:i/>
          <w:iCs/>
        </w:rPr>
        <w:t>n</w:t>
      </w:r>
      <w:r w:rsidRPr="005F0058">
        <w:t> années), calculer la moyenne, l'écart type et la valeur quadratique moyenne pour des valeurs </w:t>
      </w:r>
      <w:r w:rsidRPr="005F0058">
        <w:rPr>
          <w:i/>
          <w:iCs/>
        </w:rPr>
        <w:t>n</w:t>
      </w:r>
      <w:r w:rsidRPr="005F0058">
        <w:t> </w:t>
      </w:r>
      <w:r w:rsidRPr="005F0058">
        <w:sym w:font="Symbol" w:char="F065"/>
      </w:r>
      <w:r w:rsidRPr="005F0058">
        <w:rPr>
          <w:b/>
          <w:i/>
          <w:iCs/>
          <w:vertAlign w:val="subscript"/>
        </w:rPr>
        <w:t>i</w:t>
      </w:r>
      <w:r w:rsidRPr="005F0058">
        <w:t xml:space="preserve"> (par exemple, si l'on établit la moyenne annuelle pour trois ans d'observation, prendre trois fois la même valeur </w:t>
      </w:r>
      <w:r w:rsidRPr="005F0058">
        <w:sym w:font="Symbol" w:char="F065"/>
      </w:r>
      <w:r w:rsidRPr="005F0058">
        <w:rPr>
          <w:b/>
          <w:i/>
          <w:iCs/>
          <w:vertAlign w:val="subscript"/>
        </w:rPr>
        <w:t>i</w:t>
      </w:r>
      <w:r w:rsidRPr="005F0058">
        <w:t xml:space="preserve"> pour chaque pente d'évanouissement et affaiblissement).</w:t>
      </w:r>
    </w:p>
    <w:p w:rsidR="00C4061E" w:rsidRPr="005F0058" w:rsidRDefault="00C4061E" w:rsidP="00C4061E">
      <w:r w:rsidRPr="005F0058">
        <w:t>Dans le processus de comparaison, la meilleure méthode de prévision est celle qui produit la plus petite valeur des paramètres statistiques.</w:t>
      </w:r>
    </w:p>
    <w:p w:rsidR="00C4061E" w:rsidRPr="005F0058" w:rsidRDefault="00C4061E" w:rsidP="00C4061E">
      <w:pPr>
        <w:pStyle w:val="Heading1"/>
      </w:pPr>
      <w:bookmarkStart w:id="12" w:name="_Toc114380892"/>
      <w:r w:rsidRPr="005F0058">
        <w:t>5</w:t>
      </w:r>
      <w:r w:rsidRPr="005F0058">
        <w:tab/>
        <w:t>Liste des banques de données de la Commission d'études 3 des radiocommunications concernant la propagation troposphérique</w:t>
      </w:r>
      <w:bookmarkEnd w:id="12"/>
    </w:p>
    <w:p w:rsidR="00C4061E" w:rsidRPr="005F0058" w:rsidRDefault="00C4061E" w:rsidP="00C4061E">
      <w:pPr>
        <w:pStyle w:val="Heading2"/>
      </w:pPr>
      <w:bookmarkStart w:id="13" w:name="_Toc114380893"/>
      <w:r w:rsidRPr="005F0058">
        <w:t>5.1</w:t>
      </w:r>
      <w:r w:rsidRPr="005F0058">
        <w:tab/>
        <w:t>Partie I: Données relatives aux trajets de Terre en visibilité directe</w:t>
      </w:r>
      <w:bookmarkEnd w:id="13"/>
    </w:p>
    <w:p w:rsidR="00C4061E" w:rsidRPr="005F0058" w:rsidRDefault="00C4061E" w:rsidP="00C4061E">
      <w:r w:rsidRPr="005F0058">
        <w:t>Tableau I-1:</w:t>
      </w:r>
      <w:r w:rsidRPr="005F0058">
        <w:tab/>
      </w:r>
      <w:r w:rsidRPr="005F0058">
        <w:tab/>
        <w:t>Statistiques d'affaiblissement dû à la pluie sur des trajets en visibilité directe</w:t>
      </w:r>
    </w:p>
    <w:p w:rsidR="00C4061E" w:rsidRPr="005F0058" w:rsidRDefault="00C4061E" w:rsidP="00C4061E">
      <w:pPr>
        <w:ind w:left="1588" w:hanging="1588"/>
      </w:pPr>
      <w:r w:rsidRPr="005F0058">
        <w:t>Tableau I-2:</w:t>
      </w:r>
      <w:r w:rsidRPr="005F0058">
        <w:tab/>
      </w:r>
      <w:r w:rsidRPr="005F0058">
        <w:tab/>
        <w:t>Distribution moyenne des évanouissements et des surchamps à bande étroite dus à la propagation par trajets multiples, pour le mois le plus défavorable, sur des trajets en visibilité directe</w:t>
      </w:r>
    </w:p>
    <w:p w:rsidR="00C4061E" w:rsidRPr="005F0058" w:rsidRDefault="00C4061E" w:rsidP="00C4061E">
      <w:r w:rsidRPr="005F0058">
        <w:t>Tableau I-3:</w:t>
      </w:r>
      <w:r w:rsidRPr="005F0058">
        <w:tab/>
      </w:r>
      <w:r w:rsidRPr="005F0058">
        <w:tab/>
        <w:t>Données de diversité sur des trajets en visibilité directe</w:t>
      </w:r>
    </w:p>
    <w:p w:rsidR="00C4061E" w:rsidRPr="005F0058" w:rsidRDefault="00C4061E" w:rsidP="00C4061E">
      <w:r w:rsidRPr="005F0058">
        <w:lastRenderedPageBreak/>
        <w:t>Tableau I-4:</w:t>
      </w:r>
      <w:r w:rsidRPr="005F0058">
        <w:tab/>
      </w:r>
      <w:r w:rsidRPr="005F0058">
        <w:tab/>
        <w:t>Statistiques de la XPD et du CPA par ciel clair sur des trajets en visibilité directe</w:t>
      </w:r>
    </w:p>
    <w:p w:rsidR="00C4061E" w:rsidRPr="005F0058" w:rsidRDefault="00C4061E" w:rsidP="00C4061E">
      <w:pPr>
        <w:ind w:left="1588" w:hanging="1588"/>
      </w:pPr>
      <w:r w:rsidRPr="005F0058">
        <w:t>Tableau I-5:</w:t>
      </w:r>
      <w:r w:rsidRPr="005F0058">
        <w:tab/>
      </w:r>
      <w:r w:rsidRPr="005F0058">
        <w:tab/>
        <w:t>Statistiques de la XPD et du CPA dus aux précipitations sur des trajets en visibilité directe</w:t>
      </w:r>
    </w:p>
    <w:p w:rsidR="00C4061E" w:rsidRPr="005F0058" w:rsidRDefault="00C4061E" w:rsidP="00C4061E">
      <w:pPr>
        <w:ind w:left="1588" w:hanging="1588"/>
      </w:pPr>
      <w:r w:rsidRPr="005F0058">
        <w:t>Tableau I-6:</w:t>
      </w:r>
      <w:r w:rsidRPr="005F0058">
        <w:tab/>
      </w:r>
      <w:r w:rsidRPr="005F0058">
        <w:tab/>
        <w:t>Caractéristiques des canaux de propagation à trajets multiples et temps de coupure pour le mois le plus défavorable sur des trajets en visibilité directe</w:t>
      </w:r>
    </w:p>
    <w:p w:rsidR="00C4061E" w:rsidRPr="005F0058" w:rsidRDefault="00C4061E" w:rsidP="00C4061E">
      <w:pPr>
        <w:ind w:left="1588" w:hanging="1588"/>
      </w:pPr>
      <w:r w:rsidRPr="005F0058">
        <w:t>Tableau I-7:</w:t>
      </w:r>
      <w:r w:rsidRPr="005F0058">
        <w:tab/>
      </w:r>
      <w:r w:rsidRPr="005F0058">
        <w:tab/>
        <w:t>Evanouissement et surchamp dus à la propagation par trajets multiples, pour le mois le plus défavorable, sur des trajets en visibilité directe (configuration à plusieurs bonds)</w:t>
      </w:r>
    </w:p>
    <w:p w:rsidR="00C4061E" w:rsidRPr="005F0058" w:rsidRDefault="00C4061E" w:rsidP="00C4061E">
      <w:pPr>
        <w:ind w:left="1588" w:hanging="1588"/>
      </w:pPr>
      <w:r w:rsidRPr="005F0058">
        <w:t>Tableau I-8:</w:t>
      </w:r>
      <w:r w:rsidRPr="005F0058">
        <w:tab/>
      </w:r>
      <w:r w:rsidRPr="005F0058">
        <w:tab/>
        <w:t>Nombre de cas d'évanouissements sur des trajets en visibilité directe et statistiques de durée d'évanouissement sur des trajets en visibilité directe</w:t>
      </w:r>
    </w:p>
    <w:p w:rsidR="00C4061E" w:rsidRPr="005F0058" w:rsidRDefault="00C4061E" w:rsidP="00C4061E">
      <w:pPr>
        <w:ind w:left="1588" w:hanging="1588"/>
      </w:pPr>
      <w:r w:rsidRPr="005F0058">
        <w:t>Tableau I-9:</w:t>
      </w:r>
      <w:r w:rsidRPr="005F0058">
        <w:tab/>
      </w:r>
      <w:r w:rsidRPr="005F0058">
        <w:tab/>
        <w:t>Statistiques annuelles de l'affaiblissement aux longueurs d'onde optiques sur des trajets en visibilité directe</w:t>
      </w:r>
    </w:p>
    <w:p w:rsidR="00C4061E" w:rsidRPr="005F0058" w:rsidRDefault="00C4061E" w:rsidP="00C4061E">
      <w:pPr>
        <w:ind w:left="1588" w:hanging="1588"/>
      </w:pPr>
      <w:r w:rsidRPr="005F0058">
        <w:t xml:space="preserve">Tableau I-10: </w:t>
      </w:r>
      <w:r w:rsidRPr="005F0058">
        <w:tab/>
        <w:t>Statistiques d'affaiblissement aux longueurs d'onde optiques pour le mois le plus défavorable sur des trajets en visibilité directe</w:t>
      </w:r>
    </w:p>
    <w:p w:rsidR="00C4061E" w:rsidRPr="005F0058" w:rsidRDefault="00C4061E" w:rsidP="00C4061E">
      <w:pPr>
        <w:ind w:left="1588" w:hanging="1588"/>
      </w:pPr>
      <w:r w:rsidRPr="005F0058">
        <w:t>Tableau I-11:</w:t>
      </w:r>
      <w:r w:rsidRPr="005F0058">
        <w:tab/>
        <w:t>Statistiques annuelles de la diversité de fréquence pour les liaisons en ondes millimétriques et les liaisons optiques sur des trajets en visibilité directe</w:t>
      </w:r>
    </w:p>
    <w:p w:rsidR="00C4061E" w:rsidRPr="005F0058" w:rsidRDefault="00C4061E" w:rsidP="00C4061E">
      <w:pPr>
        <w:ind w:left="1588" w:hanging="1588"/>
      </w:pPr>
      <w:r w:rsidRPr="005F0058">
        <w:t>Tableau I-12:</w:t>
      </w:r>
      <w:r w:rsidRPr="005F0058">
        <w:tab/>
        <w:t>Statistiques de diversité de fréquence pour les liaisons en ondes millimétriques et les liaisons optiques, pour le mois le plus défavorable, sur des trajets en visibilité directe</w:t>
      </w:r>
    </w:p>
    <w:p w:rsidR="00C4061E" w:rsidRPr="005F0058" w:rsidRDefault="00C4061E" w:rsidP="00C4061E">
      <w:pPr>
        <w:ind w:left="1588" w:hanging="1588"/>
      </w:pPr>
      <w:r w:rsidRPr="005F0058">
        <w:t>Tableau I-13:</w:t>
      </w:r>
      <w:r w:rsidRPr="005F0058">
        <w:tab/>
        <w:t>Statistiques de diversité du temps sur des trajets en visibilité directe</w:t>
      </w:r>
    </w:p>
    <w:p w:rsidR="00C4061E" w:rsidRPr="005F0058" w:rsidRDefault="00C4061E" w:rsidP="00C4061E">
      <w:pPr>
        <w:ind w:left="1588" w:hanging="1588"/>
      </w:pPr>
      <w:r w:rsidRPr="005F0058">
        <w:t>Tableau I-14:</w:t>
      </w:r>
      <w:r w:rsidRPr="005F0058">
        <w:tab/>
        <w:t>Statistiques d'affaiblissement dû à la pluie conjoint et différentiel sur des trajets en visibilité directe</w:t>
      </w:r>
    </w:p>
    <w:p w:rsidR="00C4061E" w:rsidRPr="005F0058" w:rsidRDefault="00C4061E" w:rsidP="00C4061E">
      <w:pPr>
        <w:pStyle w:val="Heading2"/>
      </w:pPr>
      <w:bookmarkStart w:id="14" w:name="_Toc114380894"/>
      <w:r w:rsidRPr="005F0058">
        <w:t>5.2</w:t>
      </w:r>
      <w:r w:rsidRPr="005F0058">
        <w:tab/>
        <w:t>Partie II: Données relatives aux trajets Terre-espace</w:t>
      </w:r>
      <w:bookmarkEnd w:id="14"/>
    </w:p>
    <w:p w:rsidR="00C4061E" w:rsidRPr="005F0058" w:rsidRDefault="00C4061E" w:rsidP="00C4061E">
      <w:pPr>
        <w:ind w:left="1588" w:hanging="1588"/>
      </w:pPr>
      <w:r w:rsidRPr="005F0058">
        <w:t>Tableau II-1:</w:t>
      </w:r>
      <w:r w:rsidRPr="005F0058">
        <w:tab/>
        <w:t>Statistiques annuelles de l'affaiblissement dû à la pluie et des intensités de pluie sur des trajets obliques</w:t>
      </w:r>
    </w:p>
    <w:p w:rsidR="00C4061E" w:rsidRPr="005F0058" w:rsidRDefault="00C4061E" w:rsidP="00C4061E">
      <w:pPr>
        <w:ind w:left="1588" w:hanging="1588"/>
      </w:pPr>
      <w:r w:rsidRPr="005F0058">
        <w:t>Tableau II-2:</w:t>
      </w:r>
      <w:r w:rsidRPr="005F0058">
        <w:tab/>
        <w:t>Statistiques d'affaiblissement dû à la pluie pour le mois le plus défavorable sur des trajets obliques</w:t>
      </w:r>
    </w:p>
    <w:p w:rsidR="00C4061E" w:rsidRPr="005F0058" w:rsidRDefault="00C4061E" w:rsidP="00C4061E">
      <w:r w:rsidRPr="005F0058">
        <w:t>Tableau II-3:</w:t>
      </w:r>
      <w:r w:rsidRPr="005F0058">
        <w:tab/>
        <w:t>Statistiques de durée des évanouissements sur des trajets obliques</w:t>
      </w:r>
    </w:p>
    <w:p w:rsidR="00C4061E" w:rsidRPr="005F0058" w:rsidRDefault="00C4061E" w:rsidP="00C4061E">
      <w:r w:rsidRPr="005F0058">
        <w:t>Tableau II-4:</w:t>
      </w:r>
      <w:r w:rsidRPr="005F0058">
        <w:tab/>
        <w:t>Statistiques de diversité d'emplacement sur des trajets obliques</w:t>
      </w:r>
    </w:p>
    <w:p w:rsidR="00C4061E" w:rsidRPr="005F0058" w:rsidRDefault="00C4061E" w:rsidP="00C4061E">
      <w:r w:rsidRPr="005F0058">
        <w:t>Tableau II-5a:</w:t>
      </w:r>
      <w:r w:rsidRPr="005F0058">
        <w:tab/>
        <w:t>Statistiques annuelles de la XPD sur des trajets obliques</w:t>
      </w:r>
    </w:p>
    <w:p w:rsidR="00C4061E" w:rsidRPr="005F0058" w:rsidRDefault="00C4061E" w:rsidP="00C4061E">
      <w:pPr>
        <w:ind w:left="1588" w:hanging="1588"/>
      </w:pPr>
      <w:r w:rsidRPr="005F0058">
        <w:t>Tableau II-5b:</w:t>
      </w:r>
      <w:r w:rsidRPr="005F0058">
        <w:tab/>
        <w:t>Statistiques annuelles de la XPD conditionnellement au CPA sur des trajets obliques</w:t>
      </w:r>
    </w:p>
    <w:p w:rsidR="00C4061E" w:rsidRPr="005F0058" w:rsidRDefault="00C4061E" w:rsidP="00C4061E">
      <w:r w:rsidRPr="005F0058">
        <w:t>Tableau II-6:</w:t>
      </w:r>
      <w:r w:rsidRPr="005F0058">
        <w:tab/>
        <w:t>Statistiques des scintillations d'amplitude sur des trajets obliques</w:t>
      </w:r>
    </w:p>
    <w:p w:rsidR="00C4061E" w:rsidRPr="005F0058" w:rsidRDefault="00C4061E" w:rsidP="00C4061E">
      <w:r w:rsidRPr="005F0058">
        <w:t>Tableau II-7:</w:t>
      </w:r>
      <w:r w:rsidRPr="005F0058">
        <w:tab/>
        <w:t>Ecarts types des scintillations sur des trajets obliques</w:t>
      </w:r>
    </w:p>
    <w:p w:rsidR="00C4061E" w:rsidRPr="005F0058" w:rsidRDefault="00C4061E" w:rsidP="00C4061E">
      <w:r w:rsidRPr="005F0058">
        <w:t>Tableau II-8:</w:t>
      </w:r>
      <w:r w:rsidRPr="005F0058">
        <w:tab/>
        <w:t>Statistiques de la pente d'évanouissement sur des trajets obliques</w:t>
      </w:r>
    </w:p>
    <w:p w:rsidR="00C4061E" w:rsidRPr="005F0058" w:rsidRDefault="00C4061E" w:rsidP="00C4061E">
      <w:r w:rsidRPr="005F0058">
        <w:t>Tableau II-9:</w:t>
      </w:r>
      <w:r w:rsidRPr="005F0058">
        <w:tab/>
        <w:t>Statistiques de diversité du temps sur des trajets obliques</w:t>
      </w:r>
    </w:p>
    <w:p w:rsidR="00C4061E" w:rsidRPr="005F0058" w:rsidRDefault="00C4061E" w:rsidP="00C4061E">
      <w:r w:rsidRPr="005F0058">
        <w:t xml:space="preserve">Tableau II-10: </w:t>
      </w:r>
      <w:r w:rsidRPr="005F0058">
        <w:tab/>
        <w:t>Statistiques de similitude en fréquence instantanée sur des trajets obliques</w:t>
      </w:r>
    </w:p>
    <w:p w:rsidR="00C4061E" w:rsidRDefault="00C4061E" w:rsidP="00C4061E">
      <w:pPr>
        <w:pStyle w:val="Heading2"/>
      </w:pPr>
      <w:bookmarkStart w:id="15" w:name="_Toc114380895"/>
      <w:r>
        <w:br w:type="page"/>
      </w:r>
    </w:p>
    <w:p w:rsidR="00C4061E" w:rsidRPr="005F0058" w:rsidRDefault="00C4061E" w:rsidP="00C4061E">
      <w:pPr>
        <w:pStyle w:val="Heading2"/>
      </w:pPr>
      <w:r w:rsidRPr="005F0058">
        <w:lastRenderedPageBreak/>
        <w:t>5.3</w:t>
      </w:r>
      <w:r w:rsidRPr="005F0058">
        <w:tab/>
        <w:t xml:space="preserve">Partie III: Données relatives aux trajets transhorizon de Terre </w:t>
      </w:r>
      <w:r>
        <w:t>et à la diffusion par la </w:t>
      </w:r>
      <w:r w:rsidRPr="005F0058">
        <w:t>pluie</w:t>
      </w:r>
      <w:bookmarkEnd w:id="15"/>
    </w:p>
    <w:p w:rsidR="00C4061E" w:rsidRPr="005F0058" w:rsidRDefault="00C4061E" w:rsidP="00C4061E">
      <w:pPr>
        <w:ind w:left="1588" w:hanging="1588"/>
      </w:pPr>
      <w:r w:rsidRPr="005F0058">
        <w:t>Tableau III-1:</w:t>
      </w:r>
      <w:r w:rsidRPr="005F0058">
        <w:tab/>
        <w:t>Statistiques d'affaiblissement de propagation sur des</w:t>
      </w:r>
      <w:r>
        <w:t xml:space="preserve"> trajets transhorizon par temps </w:t>
      </w:r>
      <w:r w:rsidRPr="005F0058">
        <w:t>clair</w:t>
      </w:r>
    </w:p>
    <w:p w:rsidR="00C4061E" w:rsidRPr="005F0058" w:rsidRDefault="00C4061E" w:rsidP="00C4061E">
      <w:pPr>
        <w:ind w:left="1588" w:hanging="1588"/>
      </w:pPr>
      <w:r w:rsidRPr="005F0058">
        <w:t>Tableau III-1a:</w:t>
      </w:r>
      <w:r w:rsidRPr="005F0058">
        <w:tab/>
        <w:t>Données de mesures ponctuelles par temps clair. (Ce Tableau est une banque de données particulière (voir le § 1))</w:t>
      </w:r>
    </w:p>
    <w:p w:rsidR="00C4061E" w:rsidRPr="005F0058" w:rsidRDefault="00C4061E" w:rsidP="00C4061E">
      <w:r w:rsidRPr="005F0058">
        <w:t>Tableau III-2:</w:t>
      </w:r>
      <w:r w:rsidRPr="005F0058">
        <w:tab/>
        <w:t>Diffusion par la pluie sur les trajets de Terre</w:t>
      </w:r>
    </w:p>
    <w:p w:rsidR="00C4061E" w:rsidRPr="005F0058" w:rsidRDefault="00C4061E" w:rsidP="00C4061E">
      <w:r w:rsidRPr="005F0058">
        <w:t>Tableau III-3:</w:t>
      </w:r>
      <w:r w:rsidRPr="005F0058">
        <w:tab/>
        <w:t>Distributions de probabilité conjointes du niveau du signal</w:t>
      </w:r>
    </w:p>
    <w:p w:rsidR="00C4061E" w:rsidRPr="005F0058" w:rsidRDefault="00C4061E" w:rsidP="00C4061E">
      <w:pPr>
        <w:pStyle w:val="Heading2"/>
      </w:pPr>
      <w:bookmarkStart w:id="16" w:name="_Toc114380896"/>
      <w:r w:rsidRPr="005F0058">
        <w:t>5.4</w:t>
      </w:r>
      <w:r w:rsidRPr="005F0058">
        <w:tab/>
        <w:t>Partie IV: Données relatives à la radiométéorologie</w:t>
      </w:r>
      <w:bookmarkEnd w:id="16"/>
    </w:p>
    <w:p w:rsidR="00C4061E" w:rsidRPr="005F0058" w:rsidRDefault="00C4061E" w:rsidP="00C4061E">
      <w:r w:rsidRPr="005F0058">
        <w:t>Tableau IV-1:</w:t>
      </w:r>
      <w:r w:rsidRPr="005F0058">
        <w:tab/>
        <w:t>Statistiques des intensités de pluie</w:t>
      </w:r>
    </w:p>
    <w:p w:rsidR="00C4061E" w:rsidRPr="005F0058" w:rsidRDefault="00C4061E" w:rsidP="00C4061E">
      <w:r w:rsidRPr="005F0058">
        <w:t>Tableau IV-2:</w:t>
      </w:r>
      <w:r w:rsidRPr="005F0058">
        <w:tab/>
        <w:t>Facteur de conversion du temps d'intégration pour la pluie</w:t>
      </w:r>
    </w:p>
    <w:p w:rsidR="00C4061E" w:rsidRPr="005F0058" w:rsidRDefault="00C4061E" w:rsidP="00C4061E">
      <w:r w:rsidRPr="005F0058">
        <w:t>Tableau IV-3:</w:t>
      </w:r>
      <w:r w:rsidRPr="005F0058">
        <w:tab/>
        <w:t>Statistiques annuelles de la température de bruit du ciel</w:t>
      </w:r>
    </w:p>
    <w:p w:rsidR="00C4061E" w:rsidRPr="005F0058" w:rsidRDefault="00C4061E" w:rsidP="00C4061E">
      <w:r w:rsidRPr="005F0058">
        <w:t>Tableau IV-4:</w:t>
      </w:r>
      <w:r w:rsidRPr="005F0058">
        <w:tab/>
        <w:t>Statistiques du coïndice</w:t>
      </w:r>
      <w:bookmarkStart w:id="17" w:name="_GoBack"/>
      <w:bookmarkEnd w:id="17"/>
      <w:r w:rsidRPr="005F0058">
        <w:t xml:space="preserve"> au voisinage du sol</w:t>
      </w:r>
    </w:p>
    <w:p w:rsidR="00C4061E" w:rsidRPr="005F0058" w:rsidRDefault="00C4061E" w:rsidP="00C4061E">
      <w:r w:rsidRPr="005F0058">
        <w:t>Tableau IV-5:</w:t>
      </w:r>
      <w:r w:rsidRPr="005F0058">
        <w:tab/>
        <w:t>Statistiques relatives à la durée des précipitations</w:t>
      </w:r>
    </w:p>
    <w:p w:rsidR="00C4061E" w:rsidRPr="005F0058" w:rsidRDefault="00C4061E" w:rsidP="00C4061E">
      <w:r w:rsidRPr="005F0058">
        <w:t>Tableau IV-6:</w:t>
      </w:r>
      <w:r w:rsidRPr="005F0058">
        <w:tab/>
        <w:t>Statistiques relatives aux conduits d'évaporation</w:t>
      </w:r>
    </w:p>
    <w:p w:rsidR="00C4061E" w:rsidRPr="005F0058" w:rsidRDefault="00C4061E" w:rsidP="00C4061E">
      <w:r w:rsidRPr="005F0058">
        <w:t>Tableau IV-7:</w:t>
      </w:r>
      <w:r w:rsidRPr="005F0058">
        <w:tab/>
        <w:t>Statistiques relatives à la couverture nuageuse</w:t>
      </w:r>
    </w:p>
    <w:p w:rsidR="00C4061E" w:rsidRPr="005F0058" w:rsidRDefault="00C4061E" w:rsidP="00C4061E">
      <w:r w:rsidRPr="005F0058">
        <w:t xml:space="preserve">Tableau IV-8: </w:t>
      </w:r>
      <w:r w:rsidRPr="005F0058">
        <w:tab/>
        <w:t>Dépendance de l'intensité de pluie en fonction de statistiques spatiales</w:t>
      </w:r>
    </w:p>
    <w:p w:rsidR="00C4061E" w:rsidRPr="005F0058" w:rsidRDefault="00C4061E" w:rsidP="00C4061E">
      <w:r w:rsidRPr="005F0058">
        <w:t xml:space="preserve">Tableau IV-9: </w:t>
      </w:r>
      <w:r w:rsidRPr="005F0058">
        <w:tab/>
        <w:t>Contenu total d'une colonne d'air en vapeur d'eau</w:t>
      </w:r>
    </w:p>
    <w:p w:rsidR="00C4061E" w:rsidRPr="005F0058" w:rsidRDefault="00C4061E" w:rsidP="00C4061E">
      <w:r w:rsidRPr="005F0058">
        <w:t>Tableau IV-10:</w:t>
      </w:r>
      <w:r w:rsidRPr="005F0058">
        <w:tab/>
        <w:t>Contenu total d'une colonne en eau liquide de nuage</w:t>
      </w:r>
    </w:p>
    <w:p w:rsidR="00C4061E" w:rsidRPr="005F0058" w:rsidRDefault="00C4061E" w:rsidP="00C4061E">
      <w:pPr>
        <w:pStyle w:val="Heading2"/>
      </w:pPr>
      <w:bookmarkStart w:id="18" w:name="_Toc114380897"/>
      <w:r w:rsidRPr="005F0058">
        <w:t>5.5</w:t>
      </w:r>
      <w:r w:rsidRPr="005F0058">
        <w:tab/>
        <w:t>Partie V: Données relatives au service mobile terrestre de Terre</w:t>
      </w:r>
      <w:bookmarkEnd w:id="18"/>
    </w:p>
    <w:p w:rsidR="00C4061E" w:rsidRPr="005F0058" w:rsidRDefault="00C4061E" w:rsidP="00C4061E">
      <w:r w:rsidRPr="005F0058">
        <w:t xml:space="preserve">Tableau V-1: </w:t>
      </w:r>
      <w:r w:rsidRPr="005F0058">
        <w:tab/>
        <w:t>Statistiques à large bande pour le service mobile terrestre de Terre</w:t>
      </w:r>
    </w:p>
    <w:p w:rsidR="00C4061E" w:rsidRPr="005F0058" w:rsidRDefault="00C4061E" w:rsidP="00C4061E">
      <w:r w:rsidRPr="005F0058">
        <w:t>Tableau V-2:</w:t>
      </w:r>
      <w:r w:rsidRPr="005F0058">
        <w:tab/>
        <w:t>Statistiques à bande étroite pour le service mobile terrestre de Terre</w:t>
      </w:r>
    </w:p>
    <w:p w:rsidR="00C4061E" w:rsidRPr="005F0058" w:rsidRDefault="00C4061E" w:rsidP="00C4061E">
      <w:pPr>
        <w:pStyle w:val="Heading2"/>
      </w:pPr>
      <w:bookmarkStart w:id="19" w:name="_Toc114380898"/>
      <w:r w:rsidRPr="005F0058">
        <w:t>5.6</w:t>
      </w:r>
      <w:r w:rsidRPr="005F0058">
        <w:tab/>
        <w:t>Partie VI: Données relatives à la propagation point à zone pour les services de Terre</w:t>
      </w:r>
      <w:bookmarkEnd w:id="19"/>
    </w:p>
    <w:p w:rsidR="00C4061E" w:rsidRPr="005F0058" w:rsidRDefault="00C4061E" w:rsidP="00C4061E">
      <w:r w:rsidRPr="005F0058">
        <w:t>Tableau VI-1:</w:t>
      </w:r>
      <w:r w:rsidRPr="005F0058">
        <w:tab/>
        <w:t xml:space="preserve">Données relatives à la propagation point à zone pour les services de Terre </w:t>
      </w:r>
    </w:p>
    <w:p w:rsidR="00C4061E" w:rsidRPr="005F0058" w:rsidRDefault="00C4061E" w:rsidP="00C4061E">
      <w:pPr>
        <w:pStyle w:val="Heading2"/>
      </w:pPr>
      <w:bookmarkStart w:id="20" w:name="_Toc114380899"/>
      <w:r w:rsidRPr="005F0058">
        <w:t>5.7</w:t>
      </w:r>
      <w:r w:rsidRPr="005F0058">
        <w:tab/>
        <w:t>Partie VII: Données relatives aux services mobiles par satellite</w:t>
      </w:r>
      <w:bookmarkEnd w:id="20"/>
    </w:p>
    <w:p w:rsidR="00C4061E" w:rsidRPr="005F0058" w:rsidRDefault="00C4061E" w:rsidP="00C4061E">
      <w:r w:rsidRPr="005F0058">
        <w:t>Tableau VII-1:</w:t>
      </w:r>
      <w:r w:rsidRPr="005F0058">
        <w:tab/>
        <w:t>Statistiques à large bande pour les liaisons du service mobile par satellite</w:t>
      </w:r>
    </w:p>
    <w:p w:rsidR="00C4061E" w:rsidRPr="005F0058" w:rsidRDefault="00C4061E" w:rsidP="00C4061E">
      <w:pPr>
        <w:ind w:left="1588" w:hanging="1588"/>
      </w:pPr>
      <w:r w:rsidRPr="005F0058">
        <w:t>Tableau VII-2:</w:t>
      </w:r>
      <w:r w:rsidRPr="005F0058">
        <w:tab/>
        <w:t>Statistiques à bande étroite pour les liaisons du service mobile maritime par satellite</w:t>
      </w:r>
    </w:p>
    <w:p w:rsidR="00C4061E" w:rsidRPr="005F0058" w:rsidRDefault="00C4061E" w:rsidP="00C4061E">
      <w:pPr>
        <w:ind w:left="1588" w:hanging="1588"/>
      </w:pPr>
      <w:r w:rsidRPr="005F0058">
        <w:t>Tableau VII-3:</w:t>
      </w:r>
      <w:r w:rsidRPr="005F0058">
        <w:tab/>
        <w:t>Statistiques à bande étroite pour les liaisons du service mobile terrestre par satellite</w:t>
      </w:r>
    </w:p>
    <w:p w:rsidR="00C4061E" w:rsidRPr="005F0058" w:rsidRDefault="00C4061E" w:rsidP="00C4061E">
      <w:pPr>
        <w:ind w:left="1588" w:hanging="1588"/>
      </w:pPr>
      <w:r w:rsidRPr="005F0058">
        <w:t>Tableau VII-4:</w:t>
      </w:r>
      <w:r w:rsidRPr="005F0058">
        <w:tab/>
        <w:t>Statistiques à bande étroite pour les liaisons du service mobile aéronautique par satellite</w:t>
      </w:r>
    </w:p>
    <w:p w:rsidR="00C4061E" w:rsidRPr="005F0058" w:rsidRDefault="00C4061E" w:rsidP="00C4061E">
      <w:pPr>
        <w:ind w:left="1588" w:hanging="1588"/>
      </w:pPr>
      <w:r w:rsidRPr="005F0058">
        <w:t>Tableau VII-5:</w:t>
      </w:r>
      <w:r w:rsidRPr="005F0058">
        <w:tab/>
        <w:t>Statistiques à bande étroite relatives aux évanouissements en radiodiffusion par satellite et à leur durée</w:t>
      </w:r>
    </w:p>
    <w:p w:rsidR="00C4061E" w:rsidRDefault="00C4061E" w:rsidP="00C4061E">
      <w:pPr>
        <w:pStyle w:val="Heading2"/>
      </w:pPr>
      <w:bookmarkStart w:id="21" w:name="_Toc114380900"/>
      <w:r>
        <w:br w:type="page"/>
      </w:r>
    </w:p>
    <w:p w:rsidR="00C4061E" w:rsidRPr="005F0058" w:rsidRDefault="00C4061E" w:rsidP="00C4061E">
      <w:pPr>
        <w:pStyle w:val="Heading2"/>
      </w:pPr>
      <w:r w:rsidRPr="005F0058">
        <w:lastRenderedPageBreak/>
        <w:t>5.8</w:t>
      </w:r>
      <w:r w:rsidRPr="005F0058">
        <w:tab/>
        <w:t>Partie VIII: Données relatives à la végétation et aux bâtiments</w:t>
      </w:r>
      <w:bookmarkEnd w:id="21"/>
    </w:p>
    <w:p w:rsidR="00C4061E" w:rsidRPr="005F0058" w:rsidRDefault="00C4061E" w:rsidP="00C4061E">
      <w:r w:rsidRPr="005F0058">
        <w:t>Tableau VIII-1:</w:t>
      </w:r>
      <w:r w:rsidRPr="005F0058">
        <w:tab/>
        <w:t>Affaiblissement dû à la végétation</w:t>
      </w:r>
    </w:p>
    <w:p w:rsidR="00C4061E" w:rsidRPr="005F0058" w:rsidRDefault="00C4061E" w:rsidP="00C4061E">
      <w:r w:rsidRPr="005F0058">
        <w:t>Tableau VIII-2:</w:t>
      </w:r>
      <w:r w:rsidRPr="005F0058">
        <w:tab/>
        <w:t>Affaiblissement dû à la pénétration dans les bâtiments</w:t>
      </w:r>
    </w:p>
    <w:p w:rsidR="00C4061E" w:rsidRPr="005F0058" w:rsidRDefault="00C4061E" w:rsidP="00C4061E">
      <w:r w:rsidRPr="005F0058">
        <w:t>Tableau VIII-3:</w:t>
      </w:r>
      <w:r w:rsidRPr="005F0058">
        <w:tab/>
        <w:t>Caractéristiques de l'affaiblissement des matériaux</w:t>
      </w:r>
    </w:p>
    <w:p w:rsidR="00C4061E" w:rsidRPr="005F0058" w:rsidRDefault="00C4061E" w:rsidP="00C4061E">
      <w:pPr>
        <w:pStyle w:val="Heading2"/>
      </w:pPr>
      <w:r w:rsidRPr="005F0058">
        <w:t>5.9</w:t>
      </w:r>
      <w:r w:rsidRPr="005F0058">
        <w:tab/>
        <w:t>Partie IX: Bruit</w:t>
      </w:r>
    </w:p>
    <w:p w:rsidR="00C4061E" w:rsidRPr="005F0058" w:rsidRDefault="00C4061E" w:rsidP="00C4061E">
      <w:r w:rsidRPr="005F0058">
        <w:t>Tableau IX-1:</w:t>
      </w:r>
      <w:r w:rsidRPr="005F0058">
        <w:tab/>
        <w:t>Bruit blanc gaussien radioélectrique</w:t>
      </w:r>
    </w:p>
    <w:p w:rsidR="00C4061E" w:rsidRPr="005F0058" w:rsidRDefault="00C4061E" w:rsidP="00C4061E"/>
    <w:p w:rsidR="00C4061E" w:rsidRPr="005F0058" w:rsidRDefault="00C4061E" w:rsidP="00126F3D"/>
    <w:p w:rsidR="00C4061E" w:rsidRPr="005F0058" w:rsidRDefault="00C4061E" w:rsidP="00C4061E">
      <w:pPr>
        <w:jc w:val="center"/>
      </w:pPr>
      <w:r w:rsidRPr="005F0058">
        <w:t>______________</w:t>
      </w:r>
    </w:p>
    <w:p w:rsidR="00A6617B" w:rsidRPr="00A6617B" w:rsidRDefault="00A6617B" w:rsidP="00C4061E"/>
    <w:sectPr w:rsidR="00A6617B" w:rsidRPr="00A6617B" w:rsidSect="00126F3D">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6CC" w:rsidRDefault="00CE06CC">
      <w:r>
        <w:separator/>
      </w:r>
    </w:p>
  </w:endnote>
  <w:endnote w:type="continuationSeparator" w:id="0">
    <w:p w:rsidR="00CE06CC" w:rsidRDefault="00CE0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6CC" w:rsidRDefault="00CE06CC">
      <w:r>
        <w:separator/>
      </w:r>
    </w:p>
  </w:footnote>
  <w:footnote w:type="continuationSeparator" w:id="0">
    <w:p w:rsidR="00CE06CC" w:rsidRDefault="00CE06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6CC" w:rsidRDefault="00CE06C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6CC" w:rsidRDefault="00CE06CC" w:rsidP="00C668C8">
    <w:pPr>
      <w:pStyle w:val="Header"/>
      <w:ind w:right="360" w:firstLine="360"/>
    </w:pPr>
    <w:r>
      <w:rPr>
        <w:noProof/>
        <w:lang w:val="en-US"/>
      </w:rPr>
      <w:drawing>
        <wp:anchor distT="0" distB="0" distL="114300" distR="114300" simplePos="0" relativeHeight="251659264" behindDoc="1" locked="0" layoutInCell="1" allowOverlap="1" wp14:anchorId="00B1870C" wp14:editId="359683C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6CC" w:rsidRPr="00837CB5" w:rsidRDefault="00CE06C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86574">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86574">
      <w:rPr>
        <w:b/>
        <w:bCs/>
        <w:noProof/>
      </w:rPr>
      <w:t>UIT-R  P.311-14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6CC" w:rsidRDefault="00CE06CC">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657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E06CC" w:rsidRPr="00CE06C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6574">
      <w:rPr>
        <w:b/>
        <w:bCs/>
        <w:noProof/>
      </w:rPr>
      <w:t>UIT-R  P.311-14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E06CC" w:rsidRPr="00CE06C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6574">
      <w:rPr>
        <w:b/>
        <w:bCs/>
        <w:noProof/>
      </w:rPr>
      <w:t>UIT-R  P.311-14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6574">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6CC"/>
    <w:rsid w:val="00074CAE"/>
    <w:rsid w:val="00126F3D"/>
    <w:rsid w:val="002155E5"/>
    <w:rsid w:val="00217688"/>
    <w:rsid w:val="00217EBF"/>
    <w:rsid w:val="00242AEE"/>
    <w:rsid w:val="00295921"/>
    <w:rsid w:val="002D76C4"/>
    <w:rsid w:val="00486574"/>
    <w:rsid w:val="0052529D"/>
    <w:rsid w:val="00607D68"/>
    <w:rsid w:val="007468DA"/>
    <w:rsid w:val="00770EA1"/>
    <w:rsid w:val="009E00A8"/>
    <w:rsid w:val="00A6617B"/>
    <w:rsid w:val="00AB0DC8"/>
    <w:rsid w:val="00B44E24"/>
    <w:rsid w:val="00C4061E"/>
    <w:rsid w:val="00CE06CC"/>
    <w:rsid w:val="00DF4176"/>
    <w:rsid w:val="00FC68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CD8077D-F0B7-4033-B046-C3E58842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6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E06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10" Type="http://schemas.openxmlformats.org/officeDocument/2006/relationships/header" Target="header3.xm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13</Pages>
  <Words>4899</Words>
  <Characters>27926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9</cp:revision>
  <cp:lastPrinted>2005-02-10T15:54:00Z</cp:lastPrinted>
  <dcterms:created xsi:type="dcterms:W3CDTF">2014-08-20T08:34:00Z</dcterms:created>
  <dcterms:modified xsi:type="dcterms:W3CDTF">2014-08-20T09:05:00Z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