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337B5"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37627499"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337B5">
              <w:rPr>
                <w:rFonts w:ascii="Tahoma" w:hAnsi="Tahoma" w:cs="Tahoma"/>
                <w:b/>
                <w:bCs/>
                <w:iCs/>
                <w:color w:val="243285"/>
                <w:sz w:val="36"/>
                <w:szCs w:val="36"/>
                <w:lang w:val="es-ES_tradnl"/>
              </w:rPr>
              <w:t>2108-1</w:t>
            </w:r>
          </w:p>
          <w:p w14:paraId="350CA114" w14:textId="68713F82"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337B5">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4337B5">
              <w:rPr>
                <w:rFonts w:ascii="Tahoma" w:hAnsi="Tahoma" w:cs="Tahoma"/>
                <w:b/>
                <w:bCs/>
                <w:iCs/>
                <w:color w:val="243285"/>
                <w:szCs w:val="24"/>
                <w:lang w:val="es-ES_tradnl"/>
              </w:rPr>
              <w:t>2021</w:t>
            </w:r>
            <w:r w:rsidRPr="0010336F">
              <w:rPr>
                <w:rFonts w:ascii="Tahoma" w:hAnsi="Tahoma" w:cs="Tahoma"/>
                <w:b/>
                <w:bCs/>
                <w:iCs/>
                <w:color w:val="243285"/>
                <w:szCs w:val="24"/>
                <w:lang w:val="es-ES_tradnl"/>
              </w:rPr>
              <w:t>)</w:t>
            </w:r>
          </w:p>
        </w:tc>
      </w:tr>
      <w:tr w:rsidR="00B1717A" w:rsidRPr="004337B5"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3A1CC69C" w:rsidR="00B1717A" w:rsidRDefault="004337B5" w:rsidP="00E3040B">
            <w:pPr>
              <w:spacing w:before="80" w:line="500" w:lineRule="exact"/>
              <w:jc w:val="right"/>
              <w:rPr>
                <w:rFonts w:ascii="Tahoma" w:hAnsi="Tahoma" w:cs="Tahoma"/>
                <w:b/>
                <w:bCs/>
                <w:color w:val="243285"/>
                <w:sz w:val="44"/>
                <w:szCs w:val="44"/>
                <w:lang w:val="es-ES_tradnl"/>
              </w:rPr>
            </w:pPr>
            <w:r w:rsidRPr="004337B5">
              <w:rPr>
                <w:rFonts w:ascii="Tahoma" w:hAnsi="Tahoma" w:cs="Tahoma"/>
                <w:b/>
                <w:bCs/>
                <w:color w:val="243285"/>
                <w:sz w:val="44"/>
                <w:szCs w:val="44"/>
                <w:lang w:val="es-ES_tradnl"/>
              </w:rPr>
              <w:t xml:space="preserve">Predicción de las pérdidas debidas </w:t>
            </w:r>
            <w:r>
              <w:rPr>
                <w:rFonts w:ascii="Tahoma" w:hAnsi="Tahoma" w:cs="Tahoma"/>
                <w:b/>
                <w:bCs/>
                <w:color w:val="243285"/>
                <w:sz w:val="44"/>
                <w:szCs w:val="44"/>
                <w:lang w:val="es-ES_tradnl"/>
              </w:rPr>
              <w:br/>
            </w:r>
            <w:r w:rsidRPr="004337B5">
              <w:rPr>
                <w:rFonts w:ascii="Tahoma" w:hAnsi="Tahoma" w:cs="Tahoma"/>
                <w:b/>
                <w:bCs/>
                <w:color w:val="243285"/>
                <w:sz w:val="44"/>
                <w:szCs w:val="44"/>
                <w:lang w:val="es-ES_tradnl"/>
              </w:rPr>
              <w:t>a la ocupación del suelo</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337B5"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337B5"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337B5"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w:t>
            </w:r>
            <w:r w:rsidRPr="007D63DA">
              <w:rPr>
                <w:b w:val="0"/>
                <w:bCs/>
                <w:sz w:val="20"/>
                <w:lang w:val="es-ES_tradnl"/>
              </w:rPr>
              <w:t>radiodifusión</w:t>
            </w:r>
            <w:r w:rsidRPr="00021E8A">
              <w:rPr>
                <w:b w:val="0"/>
                <w:bCs/>
                <w:sz w:val="20"/>
              </w:rPr>
              <w:t xml:space="preserve"> </w:t>
            </w:r>
            <w:r>
              <w:rPr>
                <w:b w:val="0"/>
                <w:bCs/>
                <w:sz w:val="20"/>
              </w:rPr>
              <w:t>(</w:t>
            </w:r>
            <w:r w:rsidRPr="007D63DA">
              <w:rPr>
                <w:b w:val="0"/>
                <w:bCs/>
                <w:sz w:val="20"/>
                <w:lang w:val="es-ES_tradnl"/>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337B5"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337B5"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4337B5"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337B5"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337B5"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337B5"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7FF22EE"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w:t>
      </w:r>
      <w:r w:rsidR="00027152">
        <w:rPr>
          <w:sz w:val="20"/>
          <w:lang w:val="es-ES_tradnl"/>
        </w:rPr>
        <w:t>2</w:t>
      </w:r>
    </w:p>
    <w:p w14:paraId="70E40BBB" w14:textId="77777777" w:rsidR="00B1717A" w:rsidRPr="00763D08" w:rsidRDefault="00B1717A" w:rsidP="00B1717A">
      <w:pPr>
        <w:spacing w:before="0"/>
        <w:jc w:val="center"/>
        <w:rPr>
          <w:sz w:val="22"/>
          <w:lang w:val="es-ES_tradnl"/>
        </w:rPr>
      </w:pPr>
    </w:p>
    <w:p w14:paraId="77A30894" w14:textId="790458A4"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w:t>
      </w:r>
      <w:r w:rsidR="00027152">
        <w:rPr>
          <w:sz w:val="20"/>
          <w:lang w:val="es-ES_tradnl"/>
        </w:rPr>
        <w:t>2</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7537AA57"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4337B5">
        <w:rPr>
          <w:rStyle w:val="href"/>
          <w:lang w:val="es-ES_tradnl"/>
        </w:rPr>
        <w:t>2108-1</w:t>
      </w:r>
    </w:p>
    <w:p w14:paraId="3FC51099" w14:textId="77777777" w:rsidR="004337B5" w:rsidRPr="00CA18C8" w:rsidRDefault="004337B5" w:rsidP="00A5467E">
      <w:pPr>
        <w:pStyle w:val="Rectitle"/>
        <w:rPr>
          <w:lang w:val="es-ES_tradnl"/>
        </w:rPr>
      </w:pPr>
      <w:r w:rsidRPr="00CA18C8">
        <w:rPr>
          <w:lang w:val="es-ES_tradnl"/>
        </w:rPr>
        <w:t xml:space="preserve">Predicción de las pérdidas </w:t>
      </w:r>
      <w:r w:rsidRPr="00A5467E">
        <w:t>debidas</w:t>
      </w:r>
      <w:r w:rsidRPr="00CA18C8">
        <w:rPr>
          <w:lang w:val="es-ES_tradnl"/>
        </w:rPr>
        <w:t xml:space="preserve"> a la ocupación del suelo</w:t>
      </w:r>
    </w:p>
    <w:p w14:paraId="061AA669" w14:textId="77777777" w:rsidR="004337B5" w:rsidRPr="00CA18C8" w:rsidRDefault="004337B5" w:rsidP="004337B5">
      <w:pPr>
        <w:pStyle w:val="Recdate"/>
        <w:spacing w:before="0"/>
        <w:rPr>
          <w:lang w:val="es-ES_tradnl"/>
        </w:rPr>
      </w:pPr>
      <w:r w:rsidRPr="00D97BEF">
        <w:rPr>
          <w:lang w:val="es-ES_tradnl"/>
        </w:rPr>
        <w:t>(2017-2021)</w:t>
      </w:r>
    </w:p>
    <w:p w14:paraId="476EC20A" w14:textId="77777777" w:rsidR="004337B5" w:rsidRPr="00CA18C8" w:rsidRDefault="004337B5" w:rsidP="004337B5">
      <w:pPr>
        <w:pStyle w:val="HeadingSum"/>
      </w:pPr>
      <w:r>
        <w:t>Cometido</w:t>
      </w:r>
    </w:p>
    <w:p w14:paraId="7F16E6CD" w14:textId="77777777" w:rsidR="004337B5" w:rsidRPr="00CA18C8" w:rsidRDefault="004337B5" w:rsidP="004337B5">
      <w:pPr>
        <w:pStyle w:val="Summary"/>
      </w:pPr>
      <w:r w:rsidRPr="00CA18C8">
        <w:t>En la presente Recomendación se describen métodos para calcular las pérdidas debidas a la ocupación del suelo en frecuencias comprendidas entre 30 MHz y 100 GHz.</w:t>
      </w:r>
    </w:p>
    <w:p w14:paraId="2CA13944" w14:textId="77777777" w:rsidR="004337B5" w:rsidRPr="00CA18C8" w:rsidRDefault="004337B5" w:rsidP="004337B5">
      <w:pPr>
        <w:pStyle w:val="Headingb"/>
        <w:rPr>
          <w:lang w:val="es-ES_tradnl"/>
        </w:rPr>
      </w:pPr>
      <w:r w:rsidRPr="00CA18C8">
        <w:rPr>
          <w:lang w:val="es-ES_tradnl"/>
        </w:rPr>
        <w:t>Palabras clave</w:t>
      </w:r>
    </w:p>
    <w:p w14:paraId="401EA3AB" w14:textId="77777777" w:rsidR="004337B5" w:rsidRPr="00CA18C8" w:rsidRDefault="004337B5" w:rsidP="004337B5">
      <w:pPr>
        <w:rPr>
          <w:lang w:val="es-ES_tradnl"/>
        </w:rPr>
      </w:pPr>
      <w:r>
        <w:rPr>
          <w:lang w:val="es-ES_tradnl"/>
        </w:rPr>
        <w:t>A</w:t>
      </w:r>
      <w:r w:rsidRPr="00CA18C8">
        <w:rPr>
          <w:lang w:val="es-ES_tradnl"/>
        </w:rPr>
        <w:t>eronáutico</w:t>
      </w:r>
      <w:r>
        <w:rPr>
          <w:lang w:val="es-ES_tradnl"/>
        </w:rPr>
        <w:t>,</w:t>
      </w:r>
      <w:r w:rsidRPr="00CA18C8">
        <w:rPr>
          <w:lang w:val="es-ES_tradnl"/>
        </w:rPr>
        <w:t xml:space="preserve"> apantallamiento, atenuación, ocupación del suelo, </w:t>
      </w:r>
      <w:r>
        <w:rPr>
          <w:lang w:val="es-ES_tradnl"/>
        </w:rPr>
        <w:t>terrenal, Tierra-espacio</w:t>
      </w:r>
    </w:p>
    <w:p w14:paraId="7279B946" w14:textId="77777777" w:rsidR="004337B5" w:rsidRPr="00CA18C8" w:rsidRDefault="004337B5" w:rsidP="004337B5">
      <w:pPr>
        <w:pStyle w:val="Normalaftertitle"/>
        <w:rPr>
          <w:lang w:val="es-ES_tradnl"/>
        </w:rPr>
      </w:pPr>
      <w:r w:rsidRPr="00CA18C8">
        <w:rPr>
          <w:lang w:val="es-ES_tradnl"/>
        </w:rPr>
        <w:t>La Asamblea de Radiocomunicaciones de la UIT,</w:t>
      </w:r>
    </w:p>
    <w:p w14:paraId="42C5B0AF" w14:textId="77777777" w:rsidR="004337B5" w:rsidRPr="00CA18C8" w:rsidRDefault="004337B5" w:rsidP="004337B5">
      <w:pPr>
        <w:pStyle w:val="Call"/>
        <w:rPr>
          <w:lang w:val="es-ES_tradnl"/>
        </w:rPr>
      </w:pPr>
      <w:r w:rsidRPr="00CA18C8">
        <w:rPr>
          <w:lang w:val="es-ES_tradnl"/>
        </w:rPr>
        <w:t>considerando</w:t>
      </w:r>
    </w:p>
    <w:p w14:paraId="351805F6" w14:textId="77777777" w:rsidR="004337B5" w:rsidRPr="00CA18C8" w:rsidRDefault="004337B5" w:rsidP="004337B5">
      <w:pPr>
        <w:rPr>
          <w:lang w:val="es-ES_tradnl"/>
        </w:rPr>
      </w:pPr>
      <w:bookmarkStart w:id="4" w:name="lt_pId064"/>
      <w:r w:rsidRPr="00CA18C8">
        <w:rPr>
          <w:i/>
          <w:iCs/>
          <w:lang w:val="es-ES_tradnl"/>
        </w:rPr>
        <w:t>a)</w:t>
      </w:r>
      <w:bookmarkEnd w:id="4"/>
      <w:r w:rsidRPr="00CA18C8">
        <w:rPr>
          <w:lang w:val="es-ES_tradnl"/>
        </w:rPr>
        <w:tab/>
      </w:r>
      <w:bookmarkStart w:id="5" w:name="lt_pId065"/>
      <w:r w:rsidRPr="00CA18C8">
        <w:rPr>
          <w:lang w:val="es-ES_tradnl"/>
        </w:rPr>
        <w:t>que para la evaluación de interferencia y planificación de sistemas podría ser necesario tener en cuenta la atenuación de las ondas radioeléctricas al pasar sobre o entre edificios;</w:t>
      </w:r>
      <w:bookmarkEnd w:id="5"/>
    </w:p>
    <w:p w14:paraId="75A986C8" w14:textId="77777777" w:rsidR="004337B5" w:rsidRPr="00CA18C8" w:rsidRDefault="004337B5" w:rsidP="004337B5">
      <w:pPr>
        <w:rPr>
          <w:lang w:val="es-ES_tradnl"/>
        </w:rPr>
      </w:pPr>
      <w:bookmarkStart w:id="6" w:name="lt_pId066"/>
      <w:r w:rsidRPr="00CA18C8">
        <w:rPr>
          <w:i/>
          <w:iCs/>
          <w:lang w:val="es-ES_tradnl"/>
        </w:rPr>
        <w:t>b)</w:t>
      </w:r>
      <w:bookmarkEnd w:id="6"/>
      <w:r w:rsidRPr="00CA18C8">
        <w:rPr>
          <w:lang w:val="es-ES_tradnl"/>
        </w:rPr>
        <w:tab/>
      </w:r>
      <w:bookmarkStart w:id="7" w:name="lt_pId067"/>
      <w:r w:rsidRPr="00CA18C8">
        <w:rPr>
          <w:lang w:val="es-ES_tradnl"/>
        </w:rPr>
        <w:t>que cuando una estación terrenal pueda quedar apantallada por edificios, puede resultar difícil formular un cálculo detallado para el caso general y que las pérdidas debidas</w:t>
      </w:r>
      <w:r>
        <w:rPr>
          <w:lang w:val="es-ES_tradnl"/>
        </w:rPr>
        <w:t xml:space="preserve"> a</w:t>
      </w:r>
      <w:r w:rsidRPr="00CA18C8">
        <w:rPr>
          <w:lang w:val="es-ES_tradnl"/>
        </w:rPr>
        <w:t xml:space="preserve"> la ocupación del suelo debe</w:t>
      </w:r>
      <w:r>
        <w:rPr>
          <w:lang w:val="es-ES_tradnl"/>
        </w:rPr>
        <w:t>n</w:t>
      </w:r>
      <w:r w:rsidRPr="00CA18C8">
        <w:rPr>
          <w:lang w:val="es-ES_tradnl"/>
        </w:rPr>
        <w:t xml:space="preserve"> considerarse dependiente del caso concreto;</w:t>
      </w:r>
      <w:bookmarkEnd w:id="7"/>
    </w:p>
    <w:p w14:paraId="03A48D63" w14:textId="77777777" w:rsidR="004337B5" w:rsidRPr="00CA18C8" w:rsidRDefault="004337B5" w:rsidP="004337B5">
      <w:pPr>
        <w:rPr>
          <w:lang w:val="es-ES_tradnl"/>
        </w:rPr>
      </w:pPr>
      <w:bookmarkStart w:id="8" w:name="lt_pId068"/>
      <w:r w:rsidRPr="00CA18C8">
        <w:rPr>
          <w:i/>
          <w:lang w:val="es-ES_tradnl"/>
        </w:rPr>
        <w:t>c)</w:t>
      </w:r>
      <w:bookmarkEnd w:id="8"/>
      <w:r w:rsidRPr="00CA18C8">
        <w:rPr>
          <w:lang w:val="es-ES_tradnl"/>
        </w:rPr>
        <w:tab/>
      </w:r>
      <w:bookmarkStart w:id="9" w:name="lt_pId069"/>
      <w:r w:rsidRPr="00CA18C8">
        <w:rPr>
          <w:lang w:val="es-ES_tradnl"/>
        </w:rPr>
        <w:t>que cuando las estaciones terrenas se encuentran en movimiento, la ocupación del suelo en el trayecto radioeléctrico será variable,</w:t>
      </w:r>
      <w:bookmarkEnd w:id="9"/>
    </w:p>
    <w:p w14:paraId="5AD0C3A3" w14:textId="77777777" w:rsidR="004337B5" w:rsidRPr="00CA18C8" w:rsidRDefault="004337B5" w:rsidP="004337B5">
      <w:pPr>
        <w:pStyle w:val="Call"/>
        <w:rPr>
          <w:lang w:val="es-ES_tradnl"/>
        </w:rPr>
      </w:pPr>
      <w:r w:rsidRPr="00CA18C8">
        <w:rPr>
          <w:lang w:val="es-ES_tradnl"/>
        </w:rPr>
        <w:t>reconociendo</w:t>
      </w:r>
    </w:p>
    <w:p w14:paraId="15EE38A8" w14:textId="77777777" w:rsidR="004337B5" w:rsidRPr="00CA18C8" w:rsidRDefault="004337B5" w:rsidP="004337B5">
      <w:pPr>
        <w:rPr>
          <w:lang w:val="es-ES_tradnl"/>
        </w:rPr>
      </w:pPr>
      <w:bookmarkStart w:id="10" w:name="lt_pId071"/>
      <w:r w:rsidRPr="00CA18C8">
        <w:rPr>
          <w:i/>
          <w:iCs/>
          <w:lang w:val="es-ES_tradnl"/>
        </w:rPr>
        <w:t>a)</w:t>
      </w:r>
      <w:bookmarkEnd w:id="10"/>
      <w:r w:rsidRPr="00CA18C8">
        <w:rPr>
          <w:i/>
          <w:iCs/>
          <w:lang w:val="es-ES_tradnl"/>
        </w:rPr>
        <w:tab/>
      </w:r>
      <w:bookmarkStart w:id="11" w:name="lt_pId072"/>
      <w:r w:rsidRPr="00CA18C8">
        <w:rPr>
          <w:lang w:val="es-ES_tradnl"/>
        </w:rPr>
        <w:t>que la Recomendación UIT-R P.1411 contiene datos y modelos para los sistemas radioeléctricos de corto alcance, principalmente dentro del entorno urbano entre 300 MHz y 100 GHz;</w:t>
      </w:r>
      <w:bookmarkEnd w:id="11"/>
    </w:p>
    <w:p w14:paraId="6F0042D8" w14:textId="77777777" w:rsidR="004337B5" w:rsidRPr="00CA18C8" w:rsidRDefault="004337B5" w:rsidP="004337B5">
      <w:pPr>
        <w:rPr>
          <w:lang w:val="es-ES_tradnl"/>
        </w:rPr>
      </w:pPr>
      <w:bookmarkStart w:id="12" w:name="lt_pId073"/>
      <w:r w:rsidRPr="00CA18C8">
        <w:rPr>
          <w:i/>
          <w:iCs/>
          <w:lang w:val="es-ES_tradnl"/>
        </w:rPr>
        <w:t>b)</w:t>
      </w:r>
      <w:bookmarkEnd w:id="12"/>
      <w:r w:rsidRPr="00CA18C8">
        <w:rPr>
          <w:i/>
          <w:iCs/>
          <w:lang w:val="es-ES_tradnl"/>
        </w:rPr>
        <w:tab/>
      </w:r>
      <w:bookmarkStart w:id="13" w:name="lt_pId074"/>
      <w:r w:rsidRPr="00CA18C8">
        <w:rPr>
          <w:lang w:val="es-ES_tradnl"/>
        </w:rPr>
        <w:t xml:space="preserve">que la Recomendación UIT-R P.2040 </w:t>
      </w:r>
      <w:r>
        <w:rPr>
          <w:lang w:val="es-ES_tradnl"/>
        </w:rPr>
        <w:t>contiene</w:t>
      </w:r>
      <w:r w:rsidRPr="00CA18C8">
        <w:rPr>
          <w:lang w:val="es-ES_tradnl"/>
        </w:rPr>
        <w:t xml:space="preserve"> fórmulas básicas para calcular la reflexión y la penetración en materiales de construcción, y una representación armonizada de las propiedades eléctricas de los materiales de construcción por encima de unos 100 MHz;</w:t>
      </w:r>
      <w:bookmarkEnd w:id="13"/>
    </w:p>
    <w:p w14:paraId="7811530C" w14:textId="77777777" w:rsidR="004337B5" w:rsidRPr="00CA18C8" w:rsidRDefault="004337B5" w:rsidP="004337B5">
      <w:pPr>
        <w:rPr>
          <w:lang w:val="es-ES_tradnl"/>
        </w:rPr>
      </w:pPr>
      <w:bookmarkStart w:id="14" w:name="lt_pId075"/>
      <w:r w:rsidRPr="00CA18C8">
        <w:rPr>
          <w:i/>
          <w:iCs/>
          <w:lang w:val="es-ES_tradnl"/>
        </w:rPr>
        <w:t>c)</w:t>
      </w:r>
      <w:bookmarkEnd w:id="14"/>
      <w:r w:rsidRPr="00CA18C8">
        <w:rPr>
          <w:i/>
          <w:iCs/>
          <w:lang w:val="es-ES_tradnl"/>
        </w:rPr>
        <w:tab/>
      </w:r>
      <w:bookmarkStart w:id="15" w:name="lt_pId076"/>
      <w:r w:rsidRPr="00CA18C8">
        <w:rPr>
          <w:lang w:val="es-ES_tradnl"/>
        </w:rPr>
        <w:t>que la Recomendación UIT-R P.452 describe un método de predicción para evaluar la interferencia entre estaciones situadas en la superficie de la Tierra a f</w:t>
      </w:r>
      <w:r>
        <w:rPr>
          <w:lang w:val="es-ES_tradnl"/>
        </w:rPr>
        <w:t>recuencias desde unos 0,1 GHz a </w:t>
      </w:r>
      <w:r w:rsidRPr="00CA18C8">
        <w:rPr>
          <w:lang w:val="es-ES_tradnl"/>
        </w:rPr>
        <w:t>50 GHz, teniendo en cuenta los mecanismos de interferencia por dispersión debida a los hidrometeoros y en cielo despejado;</w:t>
      </w:r>
      <w:bookmarkStart w:id="16" w:name="lt_pId077"/>
      <w:bookmarkEnd w:id="15"/>
    </w:p>
    <w:p w14:paraId="4BABF9DB" w14:textId="77777777" w:rsidR="004337B5" w:rsidRPr="00CA18C8" w:rsidRDefault="004337B5" w:rsidP="004337B5">
      <w:pPr>
        <w:rPr>
          <w:rStyle w:val="fontstyle01"/>
          <w:szCs w:val="24"/>
          <w:lang w:val="es-ES_tradnl"/>
        </w:rPr>
      </w:pPr>
      <w:r w:rsidRPr="00CA18C8">
        <w:rPr>
          <w:i/>
          <w:iCs/>
          <w:lang w:val="es-ES_tradnl"/>
        </w:rPr>
        <w:t>d)</w:t>
      </w:r>
      <w:bookmarkEnd w:id="16"/>
      <w:r w:rsidRPr="00CA18C8">
        <w:rPr>
          <w:i/>
          <w:iCs/>
          <w:lang w:val="es-ES_tradnl"/>
        </w:rPr>
        <w:tab/>
      </w:r>
      <w:bookmarkStart w:id="17" w:name="lt_pId078"/>
      <w:r w:rsidRPr="00CA18C8">
        <w:rPr>
          <w:lang w:val="es-ES_tradnl"/>
        </w:rPr>
        <w:t xml:space="preserve">que la Recomendación UIT-R </w:t>
      </w:r>
      <w:r w:rsidRPr="00CA18C8">
        <w:rPr>
          <w:iCs/>
          <w:lang w:val="es-ES_tradnl"/>
        </w:rPr>
        <w:t>P.1812</w:t>
      </w:r>
      <w:r w:rsidRPr="00CA18C8">
        <w:rPr>
          <w:i/>
          <w:iCs/>
          <w:lang w:val="es-ES_tradnl"/>
        </w:rPr>
        <w:t xml:space="preserve"> </w:t>
      </w:r>
      <w:r w:rsidRPr="00CA18C8">
        <w:rPr>
          <w:color w:val="000000"/>
          <w:lang w:val="es-ES_tradnl"/>
        </w:rPr>
        <w:t>describe un método de predicción de la propagación adaptado a los servicios terrenales punto a zona en la gama de frecuen</w:t>
      </w:r>
      <w:r>
        <w:rPr>
          <w:color w:val="000000"/>
          <w:lang w:val="es-ES_tradnl"/>
        </w:rPr>
        <w:t xml:space="preserve">cias comprendida entre 30 MHz </w:t>
      </w:r>
      <w:r w:rsidRPr="00D97BEF">
        <w:rPr>
          <w:color w:val="000000"/>
          <w:lang w:val="es-ES_tradnl"/>
        </w:rPr>
        <w:t>y 6 000 MHz</w:t>
      </w:r>
      <w:r w:rsidRPr="00D97BEF">
        <w:rPr>
          <w:rStyle w:val="fontstyle01"/>
          <w:szCs w:val="24"/>
          <w:lang w:val="es-ES_tradnl"/>
        </w:rPr>
        <w:t>;</w:t>
      </w:r>
      <w:bookmarkStart w:id="18" w:name="lt_pId079"/>
      <w:bookmarkEnd w:id="17"/>
    </w:p>
    <w:p w14:paraId="1F9D2233" w14:textId="77777777" w:rsidR="004337B5" w:rsidRPr="00CA18C8" w:rsidRDefault="004337B5" w:rsidP="004337B5">
      <w:pPr>
        <w:rPr>
          <w:szCs w:val="24"/>
          <w:lang w:val="es-ES_tradnl" w:eastAsia="ko-KR"/>
        </w:rPr>
      </w:pPr>
      <w:r w:rsidRPr="00CA18C8">
        <w:rPr>
          <w:i/>
          <w:iCs/>
          <w:szCs w:val="24"/>
          <w:lang w:val="es-ES_tradnl"/>
        </w:rPr>
        <w:t>e)</w:t>
      </w:r>
      <w:bookmarkEnd w:id="18"/>
      <w:r w:rsidRPr="00CA18C8">
        <w:rPr>
          <w:i/>
          <w:iCs/>
          <w:szCs w:val="24"/>
          <w:lang w:val="es-ES_tradnl"/>
        </w:rPr>
        <w:tab/>
      </w:r>
      <w:bookmarkStart w:id="19" w:name="lt_pId080"/>
      <w:r w:rsidRPr="00CA18C8">
        <w:rPr>
          <w:szCs w:val="24"/>
          <w:lang w:val="es-ES_tradnl"/>
        </w:rPr>
        <w:t xml:space="preserve">que la Recomendación UIT-R </w:t>
      </w:r>
      <w:r w:rsidRPr="00CA18C8">
        <w:rPr>
          <w:iCs/>
          <w:szCs w:val="24"/>
          <w:lang w:val="es-ES_tradnl"/>
        </w:rPr>
        <w:t>P.833</w:t>
      </w:r>
      <w:r w:rsidRPr="00CA18C8">
        <w:rPr>
          <w:i/>
          <w:iCs/>
          <w:szCs w:val="24"/>
          <w:lang w:val="es-ES_tradnl"/>
        </w:rPr>
        <w:t xml:space="preserve"> </w:t>
      </w:r>
      <w:r>
        <w:rPr>
          <w:color w:val="000000"/>
          <w:lang w:val="es-ES_tradnl"/>
        </w:rPr>
        <w:t>presenta</w:t>
      </w:r>
      <w:r w:rsidRPr="00CA18C8">
        <w:rPr>
          <w:color w:val="000000"/>
          <w:lang w:val="es-ES_tradnl"/>
        </w:rPr>
        <w:t xml:space="preserve"> varios modelos que permiten evaluar el efecto de la vegetación en las señales de ondas radioeléctricas </w:t>
      </w:r>
      <w:r w:rsidRPr="00CA18C8">
        <w:rPr>
          <w:szCs w:val="24"/>
          <w:lang w:val="es-ES_tradnl" w:eastAsia="ko-KR"/>
        </w:rPr>
        <w:t>entre 30 MHz y 60 GHz;</w:t>
      </w:r>
      <w:bookmarkStart w:id="20" w:name="lt_pId081"/>
      <w:bookmarkEnd w:id="19"/>
    </w:p>
    <w:p w14:paraId="6A35B79F" w14:textId="77777777" w:rsidR="004337B5" w:rsidRPr="00CA18C8" w:rsidRDefault="004337B5" w:rsidP="004337B5">
      <w:pPr>
        <w:rPr>
          <w:iCs/>
          <w:szCs w:val="24"/>
          <w:lang w:val="es-ES_tradnl"/>
        </w:rPr>
      </w:pPr>
      <w:r w:rsidRPr="00CA18C8">
        <w:rPr>
          <w:i/>
          <w:iCs/>
          <w:szCs w:val="24"/>
          <w:lang w:val="es-ES_tradnl"/>
        </w:rPr>
        <w:t>f)</w:t>
      </w:r>
      <w:bookmarkEnd w:id="20"/>
      <w:r w:rsidRPr="00CA18C8">
        <w:rPr>
          <w:i/>
          <w:iCs/>
          <w:szCs w:val="24"/>
          <w:lang w:val="es-ES_tradnl"/>
        </w:rPr>
        <w:tab/>
      </w:r>
      <w:bookmarkStart w:id="21" w:name="lt_pId082"/>
      <w:r w:rsidRPr="00CA18C8">
        <w:rPr>
          <w:szCs w:val="24"/>
          <w:lang w:val="es-ES_tradnl"/>
        </w:rPr>
        <w:t xml:space="preserve">que la Recomendación UIT-R </w:t>
      </w:r>
      <w:r w:rsidRPr="00CA18C8">
        <w:rPr>
          <w:iCs/>
          <w:szCs w:val="24"/>
          <w:lang w:val="es-ES_tradnl"/>
        </w:rPr>
        <w:t>P.</w:t>
      </w:r>
      <w:r>
        <w:rPr>
          <w:iCs/>
          <w:szCs w:val="24"/>
          <w:lang w:val="es-ES_tradnl"/>
        </w:rPr>
        <w:t>2109</w:t>
      </w:r>
      <w:r w:rsidRPr="00CA18C8">
        <w:rPr>
          <w:iCs/>
          <w:szCs w:val="24"/>
          <w:lang w:val="es-ES_tradnl"/>
        </w:rPr>
        <w:t xml:space="preserve"> describe un modelo estadístico para calcular las pérdidas de penetración en edificios a frecuencias comprendidas entre unos 80 MHz y 100 GHz,</w:t>
      </w:r>
      <w:bookmarkEnd w:id="21"/>
    </w:p>
    <w:p w14:paraId="29D23856" w14:textId="77777777" w:rsidR="004337B5" w:rsidRPr="00CA18C8" w:rsidRDefault="004337B5" w:rsidP="004337B5">
      <w:pPr>
        <w:pStyle w:val="Call"/>
        <w:rPr>
          <w:lang w:val="es-ES_tradnl"/>
        </w:rPr>
      </w:pPr>
      <w:r w:rsidRPr="00CA18C8">
        <w:rPr>
          <w:lang w:val="es-ES_tradnl"/>
        </w:rPr>
        <w:t>recomienda</w:t>
      </w:r>
    </w:p>
    <w:p w14:paraId="00C81277" w14:textId="77777777" w:rsidR="004337B5" w:rsidRPr="00CA18C8" w:rsidRDefault="004337B5" w:rsidP="004337B5">
      <w:pPr>
        <w:rPr>
          <w:lang w:val="es-ES_tradnl"/>
        </w:rPr>
      </w:pPr>
      <w:bookmarkStart w:id="22" w:name="lt_pId084"/>
      <w:r w:rsidRPr="00CA18C8">
        <w:rPr>
          <w:lang w:val="es-ES_tradnl"/>
        </w:rPr>
        <w:t>que se utilice el material adjunto en el Anexo 1 para calcular las pérdidas debidas a la ocupación del suelo.</w:t>
      </w:r>
      <w:bookmarkEnd w:id="22"/>
    </w:p>
    <w:p w14:paraId="1678FCD4" w14:textId="77777777" w:rsidR="004337B5" w:rsidRPr="00CA18C8" w:rsidRDefault="004337B5" w:rsidP="004337B5">
      <w:pPr>
        <w:pStyle w:val="AnnexNoTitle"/>
        <w:rPr>
          <w:lang w:val="es-ES_tradnl"/>
        </w:rPr>
      </w:pPr>
      <w:bookmarkStart w:id="23" w:name="_Toc107034027"/>
      <w:bookmarkStart w:id="24" w:name="lt_pId085"/>
      <w:r w:rsidRPr="00CA18C8">
        <w:rPr>
          <w:lang w:val="es-ES_tradnl"/>
        </w:rPr>
        <w:lastRenderedPageBreak/>
        <w:t>Anex</w:t>
      </w:r>
      <w:bookmarkEnd w:id="23"/>
      <w:r w:rsidRPr="00CA18C8">
        <w:rPr>
          <w:lang w:val="es-ES_tradnl"/>
        </w:rPr>
        <w:t>o 1</w:t>
      </w:r>
      <w:bookmarkEnd w:id="24"/>
      <w:r w:rsidRPr="00CA18C8">
        <w:rPr>
          <w:lang w:val="es-ES_tradnl"/>
        </w:rPr>
        <w:br/>
      </w:r>
      <w:r w:rsidRPr="00CA18C8">
        <w:rPr>
          <w:lang w:val="es-ES_tradnl"/>
        </w:rPr>
        <w:br/>
      </w:r>
      <w:bookmarkStart w:id="25" w:name="lt_pId086"/>
      <w:r w:rsidRPr="00CA18C8">
        <w:rPr>
          <w:lang w:val="es-ES_tradnl"/>
        </w:rPr>
        <w:t xml:space="preserve">Modelo de pérdidas debidas a </w:t>
      </w:r>
      <w:bookmarkEnd w:id="25"/>
      <w:r w:rsidRPr="00CA18C8">
        <w:rPr>
          <w:lang w:val="es-ES_tradnl"/>
        </w:rPr>
        <w:t xml:space="preserve">la ocupación del suelo </w:t>
      </w:r>
      <w:r w:rsidRPr="00CA18C8">
        <w:rPr>
          <w:lang w:val="es-ES_tradnl"/>
        </w:rPr>
        <w:br/>
      </w:r>
      <w:bookmarkStart w:id="26" w:name="lt_pId087"/>
      <w:r w:rsidRPr="00CA18C8">
        <w:rPr>
          <w:lang w:val="es-ES_tradnl"/>
        </w:rPr>
        <w:t>Descripción del método de cálculo</w:t>
      </w:r>
      <w:bookmarkEnd w:id="26"/>
    </w:p>
    <w:p w14:paraId="3A882131" w14:textId="77777777" w:rsidR="004337B5" w:rsidRPr="00CA18C8" w:rsidRDefault="004337B5" w:rsidP="004337B5">
      <w:pPr>
        <w:pStyle w:val="Heading1"/>
        <w:rPr>
          <w:lang w:val="es-ES_tradnl"/>
        </w:rPr>
      </w:pPr>
      <w:bookmarkStart w:id="27" w:name="_Toc256490277"/>
      <w:bookmarkStart w:id="28" w:name="_Toc255292348"/>
      <w:bookmarkStart w:id="29" w:name="_Toc253732882"/>
      <w:bookmarkStart w:id="30" w:name="_Toc253582954"/>
      <w:r w:rsidRPr="00CA18C8">
        <w:rPr>
          <w:lang w:val="es-ES_tradnl"/>
        </w:rPr>
        <w:t>1</w:t>
      </w:r>
      <w:r w:rsidRPr="00CA18C8">
        <w:rPr>
          <w:lang w:val="es-ES_tradnl"/>
        </w:rPr>
        <w:tab/>
      </w:r>
      <w:bookmarkEnd w:id="27"/>
      <w:bookmarkEnd w:id="28"/>
      <w:bookmarkEnd w:id="29"/>
      <w:bookmarkEnd w:id="30"/>
      <w:r w:rsidRPr="00CA18C8">
        <w:rPr>
          <w:lang w:val="es-ES_tradnl"/>
        </w:rPr>
        <w:t>Introducción</w:t>
      </w:r>
    </w:p>
    <w:p w14:paraId="136E216B" w14:textId="77777777" w:rsidR="004337B5" w:rsidRPr="00CA18C8" w:rsidRDefault="004337B5" w:rsidP="004337B5">
      <w:pPr>
        <w:rPr>
          <w:lang w:val="es-ES_tradnl"/>
        </w:rPr>
      </w:pPr>
      <w:bookmarkStart w:id="31" w:name="lt_pId090"/>
      <w:r w:rsidRPr="00CA18C8">
        <w:rPr>
          <w:lang w:val="es-ES_tradnl"/>
        </w:rPr>
        <w:t>En la presente Recomendación se describe un conjunto de modelos que pueden emplearse para calcular las pérdidas debidas a la ocupación del suelo en diversos entornos.</w:t>
      </w:r>
      <w:bookmarkEnd w:id="31"/>
      <w:r w:rsidRPr="00CA18C8">
        <w:rPr>
          <w:lang w:val="es-ES_tradnl"/>
        </w:rPr>
        <w:t xml:space="preserve"> </w:t>
      </w:r>
      <w:bookmarkStart w:id="32" w:name="lt_pId091"/>
      <w:r w:rsidRPr="00CA18C8">
        <w:rPr>
          <w:lang w:val="es-ES_tradnl"/>
        </w:rPr>
        <w:t xml:space="preserve">Estos modelos pueden utilizarse </w:t>
      </w:r>
      <w:r>
        <w:rPr>
          <w:lang w:val="es-ES_tradnl"/>
        </w:rPr>
        <w:t xml:space="preserve">como </w:t>
      </w:r>
      <w:r w:rsidRPr="00CA18C8">
        <w:rPr>
          <w:lang w:val="es-ES_tradnl"/>
        </w:rPr>
        <w:t>corrección última a los modelos de larga distancia o por encima de los tejados.</w:t>
      </w:r>
      <w:bookmarkEnd w:id="32"/>
    </w:p>
    <w:p w14:paraId="0304C21E" w14:textId="77777777" w:rsidR="004337B5" w:rsidRPr="00CA18C8" w:rsidRDefault="004337B5" w:rsidP="004337B5">
      <w:pPr>
        <w:rPr>
          <w:lang w:val="es-ES_tradnl"/>
        </w:rPr>
      </w:pPr>
      <w:bookmarkStart w:id="33" w:name="lt_pId092"/>
      <w:r w:rsidRPr="00CA18C8">
        <w:rPr>
          <w:lang w:val="es-ES_tradnl"/>
        </w:rPr>
        <w:t>Se definen categorías para los entornos de ocupación del suelo y se describen métodos para calcular las pérdidas en el trayecto entre el tejado y el terminal con ocupación del suelo.</w:t>
      </w:r>
      <w:bookmarkEnd w:id="33"/>
    </w:p>
    <w:p w14:paraId="6897ADDF" w14:textId="77777777" w:rsidR="004337B5" w:rsidRPr="00CA18C8" w:rsidRDefault="004337B5" w:rsidP="004337B5">
      <w:pPr>
        <w:rPr>
          <w:lang w:val="es-ES_tradnl"/>
        </w:rPr>
      </w:pPr>
      <w:bookmarkStart w:id="34" w:name="lt_pId093"/>
      <w:r w:rsidRPr="00CA18C8">
        <w:rPr>
          <w:lang w:val="es-ES_tradnl"/>
        </w:rPr>
        <w:t>Se han de utilizar modelos estadísticos cuando no se conozca con exactitud el trayecto radioeléctrico, como la anchura de las calles, la altura de los edificios</w:t>
      </w:r>
      <w:r>
        <w:rPr>
          <w:lang w:val="es-ES_tradnl"/>
        </w:rPr>
        <w:t xml:space="preserve"> y</w:t>
      </w:r>
      <w:r w:rsidRPr="00CA18C8">
        <w:rPr>
          <w:lang w:val="es-ES_tradnl"/>
        </w:rPr>
        <w:t xml:space="preserve"> la profundidad de la vegetación.</w:t>
      </w:r>
      <w:bookmarkEnd w:id="34"/>
    </w:p>
    <w:p w14:paraId="1DF62DF7" w14:textId="77777777" w:rsidR="004337B5" w:rsidRPr="00CA18C8" w:rsidRDefault="004337B5" w:rsidP="004337B5">
      <w:pPr>
        <w:pStyle w:val="Heading2"/>
        <w:rPr>
          <w:lang w:val="es-ES_tradnl"/>
        </w:rPr>
      </w:pPr>
      <w:r w:rsidRPr="00CA18C8">
        <w:rPr>
          <w:lang w:val="es-ES_tradnl"/>
        </w:rPr>
        <w:t>1.1</w:t>
      </w:r>
      <w:r w:rsidRPr="00CA18C8">
        <w:rPr>
          <w:lang w:val="es-ES_tradnl"/>
        </w:rPr>
        <w:tab/>
      </w:r>
      <w:bookmarkStart w:id="35" w:name="lt_pId095"/>
      <w:r w:rsidRPr="00CA18C8">
        <w:rPr>
          <w:lang w:val="es-ES_tradnl"/>
        </w:rPr>
        <w:t xml:space="preserve">Definiciones de ocupación del suelo y de las pérdidas debidas a </w:t>
      </w:r>
      <w:bookmarkEnd w:id="35"/>
      <w:r w:rsidRPr="00CA18C8">
        <w:rPr>
          <w:lang w:val="es-ES_tradnl"/>
        </w:rPr>
        <w:t>la ocupación del suelo</w:t>
      </w:r>
    </w:p>
    <w:p w14:paraId="084E2112" w14:textId="77777777" w:rsidR="004337B5" w:rsidRPr="00CA18C8" w:rsidRDefault="004337B5" w:rsidP="004337B5">
      <w:pPr>
        <w:rPr>
          <w:lang w:val="es-ES_tradnl"/>
        </w:rPr>
      </w:pPr>
      <w:bookmarkStart w:id="36" w:name="lt_pId096"/>
      <w:r w:rsidRPr="00CA18C8">
        <w:rPr>
          <w:lang w:val="es-ES_tradnl"/>
        </w:rPr>
        <w:t xml:space="preserve">A continuación se define </w:t>
      </w:r>
      <w:r>
        <w:rPr>
          <w:lang w:val="es-ES_tradnl"/>
        </w:rPr>
        <w:t>«</w:t>
      </w:r>
      <w:r w:rsidRPr="00CA18C8">
        <w:rPr>
          <w:lang w:val="es-ES_tradnl"/>
        </w:rPr>
        <w:t>ocupación del suelo</w:t>
      </w:r>
      <w:r>
        <w:rPr>
          <w:lang w:val="es-ES_tradnl"/>
        </w:rPr>
        <w:t>»</w:t>
      </w:r>
      <w:r w:rsidRPr="00CA18C8">
        <w:rPr>
          <w:lang w:val="es-ES_tradnl"/>
        </w:rPr>
        <w:t xml:space="preserve"> en el contexto de las Recomendaciones UIT-R de la serie P.</w:t>
      </w:r>
      <w:bookmarkEnd w:id="36"/>
    </w:p>
    <w:p w14:paraId="385755D4" w14:textId="77777777" w:rsidR="004337B5" w:rsidRPr="00CA18C8" w:rsidRDefault="004337B5" w:rsidP="004337B5">
      <w:pPr>
        <w:rPr>
          <w:lang w:val="es-ES_tradnl"/>
        </w:rPr>
      </w:pPr>
      <w:bookmarkStart w:id="37" w:name="lt_pId097"/>
      <w:r w:rsidRPr="00CA18C8">
        <w:rPr>
          <w:lang w:val="es-ES_tradnl"/>
        </w:rPr>
        <w:t>La ocupación del suelo se refiere a obstáculos, como edificios o vegetación, situados sobre la superficie de la Tierra, pero no por el terreno propiamente dicho.</w:t>
      </w:r>
      <w:bookmarkEnd w:id="37"/>
      <w:r w:rsidRPr="00CA18C8">
        <w:rPr>
          <w:lang w:val="es-ES_tradnl"/>
        </w:rPr>
        <w:t xml:space="preserve"> </w:t>
      </w:r>
      <w:bookmarkStart w:id="38" w:name="lt_pId098"/>
      <w:r w:rsidRPr="00CA18C8">
        <w:rPr>
          <w:lang w:val="es-ES_tradnl"/>
        </w:rPr>
        <w:t>La ocupación del suelo alrededor del terminal transmisor/receptor puede afectar considerablemente a la propagación global.</w:t>
      </w:r>
      <w:bookmarkEnd w:id="38"/>
      <w:r w:rsidRPr="00CA18C8">
        <w:rPr>
          <w:lang w:val="es-ES_tradnl"/>
        </w:rPr>
        <w:t xml:space="preserve"> </w:t>
      </w:r>
      <w:bookmarkStart w:id="39" w:name="lt_pId099"/>
      <w:r w:rsidRPr="00CA18C8">
        <w:rPr>
          <w:lang w:val="es-ES_tradnl"/>
        </w:rPr>
        <w:t>Normalmente el obstáculo más cerca del terminal es el que más afecta a la propagación, pero la distancia real depende de la naturaleza de la ocupación y de los parámetros radioeléctricos.</w:t>
      </w:r>
      <w:bookmarkEnd w:id="39"/>
    </w:p>
    <w:p w14:paraId="098478E4" w14:textId="77777777" w:rsidR="004337B5" w:rsidRPr="00CA18C8" w:rsidRDefault="004337B5" w:rsidP="004337B5">
      <w:pPr>
        <w:rPr>
          <w:lang w:val="es-ES_tradnl"/>
        </w:rPr>
      </w:pPr>
      <w:bookmarkStart w:id="40" w:name="lt_pId100"/>
      <w:r w:rsidRPr="00CA18C8">
        <w:rPr>
          <w:lang w:val="es-ES_tradnl"/>
        </w:rPr>
        <w:t>Los modelos de cálculo de pérdidas debidas a la ocupación del suelo que se describen en la presente Recomendación se basan en estadísticas.</w:t>
      </w:r>
      <w:bookmarkEnd w:id="40"/>
      <w:r w:rsidRPr="00CA18C8">
        <w:rPr>
          <w:lang w:val="es-ES_tradnl"/>
        </w:rPr>
        <w:t xml:space="preserve"> </w:t>
      </w:r>
      <w:bookmarkStart w:id="41" w:name="lt_pId101"/>
      <w:r w:rsidRPr="00CA18C8">
        <w:rPr>
          <w:lang w:val="es-ES_tradnl"/>
        </w:rPr>
        <w:t xml:space="preserve">En cuanto a corrección final para el modelo de propagación a lo largo del trayecto, las </w:t>
      </w:r>
      <w:r>
        <w:rPr>
          <w:lang w:val="es-ES_tradnl"/>
        </w:rPr>
        <w:t>«</w:t>
      </w:r>
      <w:r w:rsidRPr="00CA18C8">
        <w:rPr>
          <w:lang w:val="es-ES_tradnl"/>
        </w:rPr>
        <w:t>pérdidas debidas la ocupación del suelo</w:t>
      </w:r>
      <w:r>
        <w:rPr>
          <w:lang w:val="es-ES_tradnl"/>
        </w:rPr>
        <w:t>»</w:t>
      </w:r>
      <w:r w:rsidRPr="00CA18C8">
        <w:rPr>
          <w:lang w:val="es-ES_tradnl"/>
        </w:rPr>
        <w:t xml:space="preserve"> se definen como la diferencia entre las pérdidas de transmisión y las pérdidas de transmisión básicas</w:t>
      </w:r>
      <w:r w:rsidRPr="00CA18C8">
        <w:rPr>
          <w:rStyle w:val="FootnoteReference"/>
          <w:lang w:val="es-ES_tradnl"/>
        </w:rPr>
        <w:footnoteReference w:id="1"/>
      </w:r>
      <w:r w:rsidRPr="00CA18C8">
        <w:rPr>
          <w:lang w:val="es-ES_tradnl"/>
        </w:rPr>
        <w:t xml:space="preserve"> con y sin la presencia de ocupación del suelo en el terminal en cualquiera de los dos extremos del trayecto, siendo constantes los demás parámetros del trayecto.</w:t>
      </w:r>
      <w:bookmarkEnd w:id="41"/>
      <w:r w:rsidRPr="00CA18C8">
        <w:rPr>
          <w:lang w:val="es-ES_tradnl"/>
        </w:rPr>
        <w:t xml:space="preserve"> </w:t>
      </w:r>
      <w:bookmarkStart w:id="43" w:name="lt_pId102"/>
      <w:r w:rsidRPr="00CA18C8">
        <w:rPr>
          <w:lang w:val="es-ES_tradnl"/>
        </w:rPr>
        <w:t>Los modelos de propagación en trayectos cortos tienen en cuenta los efectos de la ocupación del suelo a lo largo de todo el trayecto.</w:t>
      </w:r>
      <w:bookmarkEnd w:id="43"/>
    </w:p>
    <w:p w14:paraId="3A1E7242" w14:textId="77777777" w:rsidR="004337B5" w:rsidRPr="00CA18C8" w:rsidRDefault="004337B5" w:rsidP="004337B5">
      <w:pPr>
        <w:pStyle w:val="Heading1"/>
        <w:ind w:left="0" w:firstLine="0"/>
        <w:rPr>
          <w:lang w:val="es-ES_tradnl"/>
        </w:rPr>
      </w:pPr>
      <w:bookmarkStart w:id="44" w:name="_Toc256490278"/>
      <w:bookmarkStart w:id="45" w:name="_Toc255292349"/>
      <w:bookmarkStart w:id="46" w:name="_Toc253732883"/>
      <w:bookmarkStart w:id="47" w:name="_Toc253582955"/>
      <w:r w:rsidRPr="00CA18C8">
        <w:rPr>
          <w:lang w:val="es-ES_tradnl"/>
        </w:rPr>
        <w:t>2</w:t>
      </w:r>
      <w:r w:rsidRPr="00CA18C8">
        <w:rPr>
          <w:lang w:val="es-ES_tradnl"/>
        </w:rPr>
        <w:tab/>
      </w:r>
      <w:bookmarkStart w:id="48" w:name="lt_pId104"/>
      <w:r w:rsidRPr="00CA18C8">
        <w:rPr>
          <w:lang w:val="es-ES_tradnl"/>
        </w:rPr>
        <w:t>Selección del modelo</w:t>
      </w:r>
      <w:bookmarkEnd w:id="48"/>
    </w:p>
    <w:p w14:paraId="3D1226FE" w14:textId="77777777" w:rsidR="004337B5" w:rsidRPr="00CA18C8" w:rsidRDefault="004337B5" w:rsidP="004337B5">
      <w:pPr>
        <w:rPr>
          <w:lang w:val="es-ES_tradnl"/>
        </w:rPr>
      </w:pPr>
      <w:bookmarkStart w:id="49" w:name="lt_pId105"/>
      <w:r w:rsidRPr="00CA18C8">
        <w:rPr>
          <w:lang w:val="es-ES_tradnl"/>
        </w:rPr>
        <w:t>El modelo adecuado se debe seleccionar en función de la frecuencia, el entorno alrededor del terminal y el tipo de trayecto. En el Cuadro 1 se resumen los modelos.</w:t>
      </w:r>
      <w:bookmarkEnd w:id="49"/>
    </w:p>
    <w:p w14:paraId="7C6EB004" w14:textId="77777777" w:rsidR="004337B5" w:rsidRPr="00CA18C8" w:rsidRDefault="004337B5" w:rsidP="004337B5">
      <w:pPr>
        <w:pStyle w:val="TableNo"/>
        <w:keepLines/>
        <w:rPr>
          <w:lang w:val="es-ES_tradnl"/>
        </w:rPr>
      </w:pPr>
      <w:bookmarkStart w:id="50" w:name="lt_pId106"/>
      <w:r w:rsidRPr="00CA18C8">
        <w:rPr>
          <w:lang w:val="es-ES_tradnl"/>
        </w:rPr>
        <w:lastRenderedPageBreak/>
        <w:t>CUADRO 1</w:t>
      </w:r>
      <w:bookmarkEnd w:id="50"/>
    </w:p>
    <w:p w14:paraId="3D63902D" w14:textId="77777777" w:rsidR="004337B5" w:rsidRPr="00CA18C8" w:rsidRDefault="004337B5" w:rsidP="004337B5">
      <w:pPr>
        <w:pStyle w:val="Tabletitle"/>
        <w:keepLines/>
        <w:rPr>
          <w:lang w:val="es-ES_tradnl"/>
        </w:rPr>
      </w:pPr>
      <w:r w:rsidRPr="00CA18C8">
        <w:rPr>
          <w:lang w:val="es-ES_tradnl"/>
        </w:rPr>
        <w:t>Resumen de modelos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134"/>
        <w:gridCol w:w="1724"/>
        <w:gridCol w:w="4518"/>
      </w:tblGrid>
      <w:tr w:rsidR="004337B5" w:rsidRPr="00CA18C8" w14:paraId="2BCF1102" w14:textId="77777777" w:rsidTr="00603810">
        <w:trPr>
          <w:tblHeade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F9ED89A" w14:textId="77777777" w:rsidR="004337B5" w:rsidRPr="00CA18C8" w:rsidRDefault="004337B5" w:rsidP="00603810">
            <w:pPr>
              <w:pStyle w:val="Tablehead"/>
              <w:keepLines/>
              <w:rPr>
                <w:lang w:val="es-ES_tradnl"/>
              </w:rPr>
            </w:pPr>
            <w:bookmarkStart w:id="51" w:name="lt_pId108"/>
            <w:r w:rsidRPr="00CA18C8">
              <w:rPr>
                <w:lang w:val="es-ES_tradnl"/>
              </w:rPr>
              <w:t xml:space="preserve">Entorno del terminal </w:t>
            </w:r>
            <w:bookmarkEnd w:id="51"/>
          </w:p>
        </w:tc>
        <w:tc>
          <w:tcPr>
            <w:tcW w:w="1134" w:type="dxa"/>
            <w:tcBorders>
              <w:top w:val="single" w:sz="4" w:space="0" w:color="auto"/>
              <w:left w:val="single" w:sz="4" w:space="0" w:color="auto"/>
              <w:bottom w:val="single" w:sz="4" w:space="0" w:color="auto"/>
              <w:right w:val="single" w:sz="4" w:space="0" w:color="auto"/>
            </w:tcBorders>
            <w:vAlign w:val="center"/>
            <w:hideMark/>
          </w:tcPr>
          <w:p w14:paraId="7BE86601" w14:textId="77777777" w:rsidR="004337B5" w:rsidRPr="00CA18C8" w:rsidRDefault="004337B5" w:rsidP="00603810">
            <w:pPr>
              <w:pStyle w:val="Tablehead"/>
              <w:keepLines/>
              <w:rPr>
                <w:lang w:val="es-ES_tradnl"/>
              </w:rPr>
            </w:pPr>
            <w:bookmarkStart w:id="52" w:name="lt_pId109"/>
            <w:r w:rsidRPr="00CA18C8">
              <w:rPr>
                <w:lang w:val="es-ES_tradnl"/>
              </w:rPr>
              <w:t>Ref.</w:t>
            </w:r>
            <w:bookmarkEnd w:id="52"/>
          </w:p>
        </w:tc>
        <w:tc>
          <w:tcPr>
            <w:tcW w:w="1724" w:type="dxa"/>
            <w:tcBorders>
              <w:top w:val="single" w:sz="4" w:space="0" w:color="auto"/>
              <w:left w:val="single" w:sz="4" w:space="0" w:color="auto"/>
              <w:bottom w:val="single" w:sz="4" w:space="0" w:color="auto"/>
              <w:right w:val="single" w:sz="4" w:space="0" w:color="auto"/>
            </w:tcBorders>
            <w:vAlign w:val="center"/>
            <w:hideMark/>
          </w:tcPr>
          <w:p w14:paraId="1D9E414E" w14:textId="77777777" w:rsidR="004337B5" w:rsidRPr="00CA18C8" w:rsidRDefault="004337B5" w:rsidP="00603810">
            <w:pPr>
              <w:pStyle w:val="Tablehead"/>
              <w:keepLines/>
              <w:rPr>
                <w:lang w:val="es-ES_tradnl"/>
              </w:rPr>
            </w:pPr>
            <w:r w:rsidRPr="00CA18C8">
              <w:rPr>
                <w:lang w:val="es-ES_tradnl"/>
              </w:rPr>
              <w:t>Gama de frecuencias</w:t>
            </w:r>
            <w:r w:rsidRPr="00CA18C8">
              <w:rPr>
                <w:lang w:val="es-ES_tradnl"/>
              </w:rPr>
              <w:br/>
            </w:r>
            <w:bookmarkStart w:id="53" w:name="lt_pId111"/>
            <w:r w:rsidRPr="00CA18C8">
              <w:rPr>
                <w:lang w:val="es-ES_tradnl"/>
              </w:rPr>
              <w:t>(GHz)</w:t>
            </w:r>
            <w:bookmarkEnd w:id="53"/>
          </w:p>
        </w:tc>
        <w:tc>
          <w:tcPr>
            <w:tcW w:w="4518" w:type="dxa"/>
            <w:tcBorders>
              <w:top w:val="single" w:sz="4" w:space="0" w:color="auto"/>
              <w:left w:val="single" w:sz="4" w:space="0" w:color="auto"/>
              <w:bottom w:val="single" w:sz="4" w:space="0" w:color="auto"/>
              <w:right w:val="single" w:sz="4" w:space="0" w:color="auto"/>
            </w:tcBorders>
            <w:vAlign w:val="center"/>
          </w:tcPr>
          <w:p w14:paraId="5B3C1A70" w14:textId="77777777" w:rsidR="004337B5" w:rsidRPr="00CA18C8" w:rsidRDefault="004337B5" w:rsidP="00603810">
            <w:pPr>
              <w:pStyle w:val="Tablehead"/>
              <w:keepLines/>
              <w:rPr>
                <w:lang w:val="es-ES_tradnl"/>
              </w:rPr>
            </w:pPr>
            <w:r w:rsidRPr="00CA18C8">
              <w:rPr>
                <w:lang w:val="es-ES_tradnl"/>
              </w:rPr>
              <w:t>Descripción</w:t>
            </w:r>
          </w:p>
        </w:tc>
      </w:tr>
      <w:tr w:rsidR="004337B5" w:rsidRPr="004337B5" w14:paraId="590D723E" w14:textId="77777777" w:rsidTr="00603810">
        <w:trPr>
          <w:jc w:val="center"/>
        </w:trPr>
        <w:tc>
          <w:tcPr>
            <w:tcW w:w="2263" w:type="dxa"/>
            <w:tcBorders>
              <w:top w:val="single" w:sz="4" w:space="0" w:color="auto"/>
              <w:left w:val="single" w:sz="4" w:space="0" w:color="auto"/>
              <w:bottom w:val="single" w:sz="4" w:space="0" w:color="auto"/>
              <w:right w:val="single" w:sz="4" w:space="0" w:color="auto"/>
            </w:tcBorders>
            <w:hideMark/>
          </w:tcPr>
          <w:p w14:paraId="41CC36CB" w14:textId="77777777" w:rsidR="004337B5" w:rsidRPr="00CA18C8" w:rsidRDefault="004337B5" w:rsidP="00603810">
            <w:pPr>
              <w:pStyle w:val="Tabletext"/>
              <w:keepNext/>
              <w:keepLines/>
              <w:jc w:val="left"/>
              <w:rPr>
                <w:lang w:val="es-ES_tradnl"/>
              </w:rPr>
            </w:pPr>
            <w:bookmarkStart w:id="54" w:name="lt_pId113"/>
            <w:r w:rsidRPr="00CA18C8">
              <w:rPr>
                <w:lang w:val="es-ES_tradnl"/>
              </w:rPr>
              <w:t xml:space="preserve">Terminal por debajo de la altura representativa </w:t>
            </w:r>
            <w:bookmarkEnd w:id="54"/>
            <w:r w:rsidRPr="00CA18C8">
              <w:rPr>
                <w:lang w:val="es-ES_tradnl"/>
              </w:rPr>
              <w:t>del obstáculo</w:t>
            </w:r>
          </w:p>
        </w:tc>
        <w:tc>
          <w:tcPr>
            <w:tcW w:w="1134" w:type="dxa"/>
            <w:tcBorders>
              <w:top w:val="single" w:sz="4" w:space="0" w:color="auto"/>
              <w:left w:val="single" w:sz="4" w:space="0" w:color="auto"/>
              <w:bottom w:val="single" w:sz="4" w:space="0" w:color="auto"/>
              <w:right w:val="single" w:sz="4" w:space="0" w:color="auto"/>
            </w:tcBorders>
            <w:hideMark/>
          </w:tcPr>
          <w:p w14:paraId="525EE502" w14:textId="77777777" w:rsidR="004337B5" w:rsidRPr="00CA18C8" w:rsidRDefault="004337B5" w:rsidP="00603810">
            <w:pPr>
              <w:pStyle w:val="Tabletext"/>
              <w:keepNext/>
              <w:keepLines/>
              <w:jc w:val="center"/>
              <w:rPr>
                <w:lang w:val="es-ES_tradnl"/>
              </w:rPr>
            </w:pPr>
            <w:r w:rsidRPr="00CA18C8">
              <w:rPr>
                <w:lang w:val="es-ES_tradnl"/>
              </w:rPr>
              <w:t>§ 3.1</w:t>
            </w:r>
          </w:p>
        </w:tc>
        <w:tc>
          <w:tcPr>
            <w:tcW w:w="1724" w:type="dxa"/>
            <w:tcBorders>
              <w:top w:val="single" w:sz="4" w:space="0" w:color="auto"/>
              <w:left w:val="single" w:sz="4" w:space="0" w:color="auto"/>
              <w:bottom w:val="single" w:sz="4" w:space="0" w:color="auto"/>
              <w:right w:val="single" w:sz="4" w:space="0" w:color="auto"/>
            </w:tcBorders>
            <w:hideMark/>
          </w:tcPr>
          <w:p w14:paraId="1D8460B6" w14:textId="77777777" w:rsidR="004337B5" w:rsidRPr="00CA18C8" w:rsidRDefault="004337B5" w:rsidP="00603810">
            <w:pPr>
              <w:pStyle w:val="Tabletext"/>
              <w:keepNext/>
              <w:keepLines/>
              <w:jc w:val="center"/>
              <w:rPr>
                <w:lang w:val="es-ES_tradnl"/>
              </w:rPr>
            </w:pPr>
            <w:r>
              <w:rPr>
                <w:lang w:val="es-ES_tradnl"/>
              </w:rPr>
              <w:t>0,</w:t>
            </w:r>
            <w:r w:rsidRPr="00CA18C8">
              <w:rPr>
                <w:lang w:val="es-ES_tradnl"/>
              </w:rPr>
              <w:t>03 – 3</w:t>
            </w:r>
          </w:p>
        </w:tc>
        <w:tc>
          <w:tcPr>
            <w:tcW w:w="4518" w:type="dxa"/>
            <w:tcBorders>
              <w:top w:val="single" w:sz="4" w:space="0" w:color="auto"/>
              <w:left w:val="single" w:sz="4" w:space="0" w:color="auto"/>
              <w:bottom w:val="single" w:sz="4" w:space="0" w:color="auto"/>
              <w:right w:val="single" w:sz="4" w:space="0" w:color="auto"/>
            </w:tcBorders>
          </w:tcPr>
          <w:p w14:paraId="7A7ED791" w14:textId="77777777" w:rsidR="004337B5" w:rsidRPr="00CA18C8" w:rsidRDefault="004337B5" w:rsidP="00603810">
            <w:pPr>
              <w:pStyle w:val="Tabletext"/>
              <w:keepNext/>
              <w:keepLines/>
              <w:jc w:val="left"/>
              <w:rPr>
                <w:lang w:val="es-ES_tradnl"/>
              </w:rPr>
            </w:pPr>
            <w:bookmarkStart w:id="55" w:name="lt_pId116"/>
            <w:r w:rsidRPr="00CA18C8">
              <w:rPr>
                <w:lang w:val="es-ES_tradnl"/>
              </w:rPr>
              <w:t>Se debe aplicar una corrección de pérdidas en el extremo a las pérdidas de transmisión básicas calculadas a/desde la altura representativa del obstáculo utilizada.</w:t>
            </w:r>
            <w:bookmarkEnd w:id="55"/>
          </w:p>
          <w:p w14:paraId="6F20D161" w14:textId="77777777" w:rsidR="004337B5" w:rsidRPr="00CA18C8" w:rsidRDefault="004337B5" w:rsidP="00603810">
            <w:pPr>
              <w:pStyle w:val="Tabletext"/>
              <w:keepNext/>
              <w:keepLines/>
              <w:jc w:val="left"/>
              <w:rPr>
                <w:lang w:val="es-ES_tradnl"/>
              </w:rPr>
            </w:pPr>
            <w:bookmarkStart w:id="56" w:name="lt_pId117"/>
            <w:r w:rsidRPr="00CA18C8">
              <w:rPr>
                <w:lang w:val="es-ES_tradnl"/>
              </w:rPr>
              <w:t>Se aplica tanto al extremo transmisor como al receptor del trayecto.</w:t>
            </w:r>
            <w:bookmarkEnd w:id="56"/>
          </w:p>
        </w:tc>
      </w:tr>
      <w:tr w:rsidR="004337B5" w:rsidRPr="00CA18C8" w14:paraId="706AA001" w14:textId="77777777" w:rsidTr="00603810">
        <w:trPr>
          <w:jc w:val="center"/>
        </w:trPr>
        <w:tc>
          <w:tcPr>
            <w:tcW w:w="2263" w:type="dxa"/>
            <w:tcBorders>
              <w:top w:val="single" w:sz="4" w:space="0" w:color="auto"/>
              <w:left w:val="single" w:sz="4" w:space="0" w:color="auto"/>
              <w:bottom w:val="single" w:sz="4" w:space="0" w:color="auto"/>
              <w:right w:val="single" w:sz="4" w:space="0" w:color="auto"/>
            </w:tcBorders>
          </w:tcPr>
          <w:p w14:paraId="73E4A609" w14:textId="77777777" w:rsidR="004337B5" w:rsidRPr="00CA18C8" w:rsidRDefault="004337B5" w:rsidP="00603810">
            <w:pPr>
              <w:pStyle w:val="Tabletext"/>
              <w:jc w:val="left"/>
              <w:rPr>
                <w:lang w:val="es-ES_tradnl"/>
              </w:rPr>
            </w:pPr>
            <w:bookmarkStart w:id="57" w:name="lt_pId118"/>
            <w:r w:rsidRPr="00CA18C8">
              <w:rPr>
                <w:lang w:val="es-ES_tradnl"/>
              </w:rPr>
              <w:t xml:space="preserve">Terminal terrenal dentro </w:t>
            </w:r>
            <w:bookmarkEnd w:id="57"/>
            <w:r w:rsidRPr="00CA18C8">
              <w:rPr>
                <w:lang w:val="es-ES_tradnl"/>
              </w:rPr>
              <w:t>del obstáculo</w:t>
            </w:r>
          </w:p>
        </w:tc>
        <w:tc>
          <w:tcPr>
            <w:tcW w:w="1134" w:type="dxa"/>
            <w:tcBorders>
              <w:top w:val="single" w:sz="4" w:space="0" w:color="auto"/>
              <w:left w:val="single" w:sz="4" w:space="0" w:color="auto"/>
              <w:bottom w:val="single" w:sz="4" w:space="0" w:color="auto"/>
              <w:right w:val="single" w:sz="4" w:space="0" w:color="auto"/>
            </w:tcBorders>
          </w:tcPr>
          <w:p w14:paraId="25C2AE98" w14:textId="77777777" w:rsidR="004337B5" w:rsidRPr="00CA18C8" w:rsidRDefault="004337B5" w:rsidP="00603810">
            <w:pPr>
              <w:pStyle w:val="Tabletext"/>
              <w:jc w:val="center"/>
              <w:rPr>
                <w:lang w:val="es-ES_tradnl"/>
              </w:rPr>
            </w:pPr>
            <w:r w:rsidRPr="00CA18C8">
              <w:rPr>
                <w:lang w:val="es-ES_tradnl"/>
              </w:rPr>
              <w:t>§ 3.2</w:t>
            </w:r>
          </w:p>
        </w:tc>
        <w:tc>
          <w:tcPr>
            <w:tcW w:w="1724" w:type="dxa"/>
            <w:tcBorders>
              <w:top w:val="single" w:sz="4" w:space="0" w:color="auto"/>
              <w:left w:val="single" w:sz="4" w:space="0" w:color="auto"/>
              <w:bottom w:val="single" w:sz="4" w:space="0" w:color="auto"/>
              <w:right w:val="single" w:sz="4" w:space="0" w:color="auto"/>
            </w:tcBorders>
          </w:tcPr>
          <w:p w14:paraId="38B0B27E" w14:textId="77777777" w:rsidR="004337B5" w:rsidRPr="00CA18C8" w:rsidRDefault="004337B5" w:rsidP="00603810">
            <w:pPr>
              <w:pStyle w:val="Tabletext"/>
              <w:jc w:val="center"/>
              <w:rPr>
                <w:lang w:val="es-ES_tradnl"/>
              </w:rPr>
            </w:pPr>
            <w:r w:rsidRPr="00D97BEF">
              <w:rPr>
                <w:lang w:val="es-ES_tradnl"/>
              </w:rPr>
              <w:t>0,5 –</w:t>
            </w:r>
            <w:r w:rsidRPr="00CA18C8">
              <w:rPr>
                <w:lang w:val="es-ES_tradnl"/>
              </w:rPr>
              <w:t xml:space="preserve"> 67</w:t>
            </w:r>
          </w:p>
        </w:tc>
        <w:tc>
          <w:tcPr>
            <w:tcW w:w="4518" w:type="dxa"/>
            <w:tcBorders>
              <w:top w:val="single" w:sz="4" w:space="0" w:color="auto"/>
              <w:left w:val="single" w:sz="4" w:space="0" w:color="auto"/>
              <w:bottom w:val="single" w:sz="4" w:space="0" w:color="auto"/>
              <w:right w:val="single" w:sz="4" w:space="0" w:color="auto"/>
            </w:tcBorders>
          </w:tcPr>
          <w:p w14:paraId="6DBC6B3B" w14:textId="77777777" w:rsidR="004337B5" w:rsidRPr="00CA18C8" w:rsidRDefault="004337B5" w:rsidP="00603810">
            <w:pPr>
              <w:pStyle w:val="Tabletext"/>
              <w:jc w:val="left"/>
              <w:rPr>
                <w:lang w:val="es-ES_tradnl"/>
              </w:rPr>
            </w:pPr>
            <w:bookmarkStart w:id="58" w:name="lt_pId121"/>
            <w:r w:rsidRPr="00CA18C8">
              <w:rPr>
                <w:lang w:val="es-ES_tradnl"/>
              </w:rPr>
              <w:t>Modelo estadístico que puede aplicarse para modelizar la distribución de pérdidas debidas a la ocupación del suelo en entornos urbanos y suburbanos.</w:t>
            </w:r>
            <w:bookmarkEnd w:id="58"/>
            <w:r w:rsidRPr="00CA18C8">
              <w:rPr>
                <w:lang w:val="es-ES_tradnl"/>
              </w:rPr>
              <w:t xml:space="preserve"> </w:t>
            </w:r>
            <w:bookmarkStart w:id="59" w:name="lt_pId122"/>
            <w:r w:rsidRPr="00CA18C8">
              <w:rPr>
                <w:lang w:val="es-ES_tradnl"/>
              </w:rPr>
              <w:t>Esta corrección puede aplicarse a ambos extremos del trayecto.</w:t>
            </w:r>
            <w:bookmarkEnd w:id="59"/>
          </w:p>
        </w:tc>
      </w:tr>
      <w:tr w:rsidR="004337B5" w:rsidRPr="004337B5" w14:paraId="755AF7BB" w14:textId="77777777" w:rsidTr="00603810">
        <w:trPr>
          <w:jc w:val="center"/>
        </w:trPr>
        <w:tc>
          <w:tcPr>
            <w:tcW w:w="2263" w:type="dxa"/>
            <w:tcBorders>
              <w:top w:val="single" w:sz="4" w:space="0" w:color="auto"/>
              <w:left w:val="single" w:sz="4" w:space="0" w:color="auto"/>
              <w:bottom w:val="single" w:sz="4" w:space="0" w:color="auto"/>
              <w:right w:val="single" w:sz="4" w:space="0" w:color="auto"/>
            </w:tcBorders>
          </w:tcPr>
          <w:p w14:paraId="45894405" w14:textId="77777777" w:rsidR="004337B5" w:rsidRPr="00CA18C8" w:rsidRDefault="004337B5" w:rsidP="00603810">
            <w:pPr>
              <w:pStyle w:val="Tabletext"/>
              <w:jc w:val="left"/>
              <w:rPr>
                <w:lang w:val="es-ES_tradnl"/>
              </w:rPr>
            </w:pPr>
            <w:bookmarkStart w:id="60" w:name="lt_pId123"/>
            <w:r w:rsidRPr="00CA18C8">
              <w:rPr>
                <w:lang w:val="es-ES_tradnl"/>
              </w:rPr>
              <w:t>Un terminal dentro del obstáculo y el otro es un satélite, aeronave u otra plataforma por encima de la superficie de la Tierra.</w:t>
            </w:r>
            <w:bookmarkEnd w:id="60"/>
          </w:p>
        </w:tc>
        <w:tc>
          <w:tcPr>
            <w:tcW w:w="1134" w:type="dxa"/>
            <w:tcBorders>
              <w:top w:val="single" w:sz="4" w:space="0" w:color="auto"/>
              <w:left w:val="single" w:sz="4" w:space="0" w:color="auto"/>
              <w:bottom w:val="single" w:sz="4" w:space="0" w:color="auto"/>
              <w:right w:val="single" w:sz="4" w:space="0" w:color="auto"/>
            </w:tcBorders>
          </w:tcPr>
          <w:p w14:paraId="3E033ED2" w14:textId="77777777" w:rsidR="004337B5" w:rsidRPr="00CA18C8" w:rsidRDefault="004337B5" w:rsidP="00603810">
            <w:pPr>
              <w:pStyle w:val="Tabletext"/>
              <w:jc w:val="center"/>
              <w:rPr>
                <w:lang w:val="es-ES_tradnl"/>
              </w:rPr>
            </w:pPr>
            <w:r w:rsidRPr="00CA18C8">
              <w:rPr>
                <w:lang w:val="es-ES_tradnl"/>
              </w:rPr>
              <w:t>§ 3.3</w:t>
            </w:r>
          </w:p>
        </w:tc>
        <w:tc>
          <w:tcPr>
            <w:tcW w:w="1724" w:type="dxa"/>
            <w:tcBorders>
              <w:top w:val="single" w:sz="4" w:space="0" w:color="auto"/>
              <w:left w:val="single" w:sz="4" w:space="0" w:color="auto"/>
              <w:bottom w:val="single" w:sz="4" w:space="0" w:color="auto"/>
              <w:right w:val="single" w:sz="4" w:space="0" w:color="auto"/>
            </w:tcBorders>
          </w:tcPr>
          <w:p w14:paraId="1D8DD150" w14:textId="77777777" w:rsidR="004337B5" w:rsidRPr="00CA18C8" w:rsidRDefault="004337B5" w:rsidP="00603810">
            <w:pPr>
              <w:pStyle w:val="Tabletext"/>
              <w:jc w:val="center"/>
              <w:rPr>
                <w:lang w:val="es-ES_tradnl"/>
              </w:rPr>
            </w:pPr>
            <w:r w:rsidRPr="00CA18C8">
              <w:rPr>
                <w:lang w:val="es-ES_tradnl"/>
              </w:rPr>
              <w:t>10 – 100</w:t>
            </w:r>
          </w:p>
        </w:tc>
        <w:tc>
          <w:tcPr>
            <w:tcW w:w="4518" w:type="dxa"/>
            <w:tcBorders>
              <w:top w:val="single" w:sz="4" w:space="0" w:color="auto"/>
              <w:left w:val="single" w:sz="4" w:space="0" w:color="auto"/>
              <w:bottom w:val="single" w:sz="4" w:space="0" w:color="auto"/>
              <w:right w:val="single" w:sz="4" w:space="0" w:color="auto"/>
            </w:tcBorders>
          </w:tcPr>
          <w:p w14:paraId="64A3A76D" w14:textId="77777777" w:rsidR="004337B5" w:rsidRPr="00CA18C8" w:rsidRDefault="004337B5" w:rsidP="00603810">
            <w:pPr>
              <w:pStyle w:val="Tabletext"/>
              <w:jc w:val="left"/>
              <w:rPr>
                <w:lang w:val="es-ES_tradnl"/>
              </w:rPr>
            </w:pPr>
            <w:bookmarkStart w:id="61" w:name="lt_pId126"/>
            <w:r w:rsidRPr="00CA18C8">
              <w:rPr>
                <w:lang w:val="es-ES_tradnl"/>
              </w:rPr>
              <w:t>La distribución estadística de las pérdidas debidas a la ocupación del suelo</w:t>
            </w:r>
            <w:r>
              <w:rPr>
                <w:lang w:val="es-ES_tradnl"/>
              </w:rPr>
              <w:t xml:space="preserve"> </w:t>
            </w:r>
            <w:r w:rsidRPr="00CA18C8">
              <w:rPr>
                <w:lang w:val="es-ES_tradnl"/>
              </w:rPr>
              <w:t>no rebasada en el porcentaje de ubicaciones para ángulos de elevación entre 0 y 90 grados.</w:t>
            </w:r>
            <w:bookmarkEnd w:id="61"/>
          </w:p>
        </w:tc>
      </w:tr>
    </w:tbl>
    <w:p w14:paraId="3DDEB9CB" w14:textId="77777777" w:rsidR="004337B5" w:rsidRPr="00AC412A" w:rsidRDefault="004337B5" w:rsidP="004337B5">
      <w:pPr>
        <w:pStyle w:val="Tablefin"/>
        <w:rPr>
          <w:lang w:val="es-ES_tradnl"/>
        </w:rPr>
      </w:pPr>
    </w:p>
    <w:p w14:paraId="248A7A23" w14:textId="77777777" w:rsidR="004337B5" w:rsidRPr="00CA18C8" w:rsidRDefault="004337B5" w:rsidP="004337B5">
      <w:pPr>
        <w:pStyle w:val="Heading1"/>
        <w:rPr>
          <w:lang w:val="es-ES_tradnl"/>
        </w:rPr>
      </w:pPr>
      <w:r w:rsidRPr="00CA18C8">
        <w:rPr>
          <w:lang w:val="es-ES_tradnl"/>
        </w:rPr>
        <w:t>3</w:t>
      </w:r>
      <w:r w:rsidRPr="00CA18C8">
        <w:rPr>
          <w:lang w:val="es-ES_tradnl"/>
        </w:rPr>
        <w:tab/>
      </w:r>
      <w:bookmarkStart w:id="62" w:name="lt_pId128"/>
      <w:r w:rsidRPr="00CA18C8">
        <w:rPr>
          <w:lang w:val="es-ES_tradnl"/>
        </w:rPr>
        <w:t xml:space="preserve">Modelos de pérdidas debidas a </w:t>
      </w:r>
      <w:bookmarkEnd w:id="62"/>
      <w:r w:rsidRPr="00CA18C8">
        <w:rPr>
          <w:lang w:val="es-ES_tradnl"/>
        </w:rPr>
        <w:t>la ocupación del suelo</w:t>
      </w:r>
    </w:p>
    <w:p w14:paraId="6F7C5EF0" w14:textId="77777777" w:rsidR="004337B5" w:rsidRPr="00CA18C8" w:rsidRDefault="004337B5" w:rsidP="004337B5">
      <w:pPr>
        <w:rPr>
          <w:lang w:val="es-ES_tradnl"/>
        </w:rPr>
      </w:pPr>
      <w:bookmarkStart w:id="63" w:name="lt_pId129"/>
      <w:r w:rsidRPr="00CA18C8">
        <w:rPr>
          <w:lang w:val="es-ES_tradnl"/>
        </w:rPr>
        <w:t>En las siguientes secciones se describen varios métodos de cálculo.</w:t>
      </w:r>
      <w:bookmarkEnd w:id="63"/>
      <w:r w:rsidRPr="00CA18C8">
        <w:rPr>
          <w:lang w:val="es-ES_tradnl"/>
        </w:rPr>
        <w:t xml:space="preserve"> </w:t>
      </w:r>
      <w:bookmarkStart w:id="64" w:name="lt_pId130"/>
      <w:r w:rsidRPr="00CA18C8">
        <w:rPr>
          <w:lang w:val="es-ES_tradnl"/>
        </w:rPr>
        <w:t>En cada sección se describe el modelo y su aplicación adecuada, los parámetros requeridos y el método de cálculo.</w:t>
      </w:r>
      <w:bookmarkEnd w:id="64"/>
    </w:p>
    <w:p w14:paraId="11530F4E" w14:textId="77777777" w:rsidR="004337B5" w:rsidRPr="00CA18C8" w:rsidRDefault="004337B5" w:rsidP="004337B5">
      <w:pPr>
        <w:pStyle w:val="Heading2"/>
        <w:rPr>
          <w:lang w:val="es-ES_tradnl"/>
        </w:rPr>
      </w:pPr>
      <w:r w:rsidRPr="00CA18C8">
        <w:rPr>
          <w:lang w:val="es-ES_tradnl"/>
        </w:rPr>
        <w:t>3.1</w:t>
      </w:r>
      <w:r w:rsidRPr="00CA18C8">
        <w:rPr>
          <w:lang w:val="es-ES_tradnl"/>
        </w:rPr>
        <w:tab/>
      </w:r>
      <w:bookmarkStart w:id="65" w:name="lt_pId132"/>
      <w:r w:rsidRPr="00CA18C8">
        <w:rPr>
          <w:lang w:val="es-ES_tradnl"/>
        </w:rPr>
        <w:t>Modelo de corrección altura-ganancia para el terminal</w:t>
      </w:r>
      <w:bookmarkEnd w:id="65"/>
    </w:p>
    <w:p w14:paraId="3A7EEF64" w14:textId="77777777" w:rsidR="004337B5" w:rsidRPr="00CA18C8" w:rsidRDefault="004337B5" w:rsidP="004337B5">
      <w:pPr>
        <w:rPr>
          <w:lang w:val="es-ES_tradnl"/>
        </w:rPr>
      </w:pPr>
      <w:bookmarkStart w:id="66" w:name="lt_pId133"/>
      <w:r w:rsidRPr="00D97BEF">
        <w:rPr>
          <w:lang w:val="es-ES_tradnl"/>
        </w:rPr>
        <w:t>Este método permite</w:t>
      </w:r>
      <w:r w:rsidRPr="00CA18C8">
        <w:rPr>
          <w:lang w:val="es-ES_tradnl"/>
        </w:rPr>
        <w:t xml:space="preserve"> obtener la mediana de las pérdidas debidas a los diferentes alrededores del terminal.</w:t>
      </w:r>
      <w:bookmarkEnd w:id="66"/>
      <w:r w:rsidRPr="00CA18C8">
        <w:rPr>
          <w:lang w:val="es-ES_tradnl"/>
        </w:rPr>
        <w:t xml:space="preserve"> </w:t>
      </w:r>
      <w:bookmarkStart w:id="67" w:name="lt_pId134"/>
      <w:r w:rsidRPr="00CA18C8">
        <w:rPr>
          <w:lang w:val="es-ES_tradnl"/>
        </w:rPr>
        <w:t>Los mecanismos posibles incluyen la pérdida por obstrucción y la reflexión debida a obstáculos en la altura representativa, así como la dispersión y la reflexión debidas a la superficie y a obstáculos menores.</w:t>
      </w:r>
      <w:bookmarkEnd w:id="67"/>
      <w:r w:rsidRPr="00CA18C8">
        <w:rPr>
          <w:lang w:val="es-ES_tradnl"/>
        </w:rPr>
        <w:t xml:space="preserve"> </w:t>
      </w:r>
      <w:bookmarkStart w:id="68" w:name="lt_pId135"/>
      <w:r w:rsidRPr="00CA18C8">
        <w:rPr>
          <w:color w:val="000000"/>
          <w:lang w:val="es-ES_tradnl"/>
        </w:rPr>
        <w:t>Este método no es apto para identificar mecanismos individuales cuando se utiliza una aplicación informática con un perfil del terreno extraído de un modelo digital del terreno y con un entorno del terminal definido por una categoría de ocupación</w:t>
      </w:r>
      <w:r w:rsidRPr="00CA18C8">
        <w:rPr>
          <w:lang w:val="es-ES_tradnl"/>
        </w:rPr>
        <w:t>.</w:t>
      </w:r>
      <w:bookmarkEnd w:id="68"/>
      <w:r w:rsidRPr="00CA18C8">
        <w:rPr>
          <w:lang w:val="es-ES_tradnl"/>
        </w:rPr>
        <w:t xml:space="preserve"> </w:t>
      </w:r>
      <w:r w:rsidRPr="00CA18C8">
        <w:rPr>
          <w:color w:val="000000"/>
          <w:lang w:val="es-ES_tradnl"/>
        </w:rPr>
        <w:t>El método aquí empleado distingue entre dos casos generales:</w:t>
      </w:r>
      <w:r w:rsidRPr="00CA18C8">
        <w:rPr>
          <w:lang w:val="es-ES_tradnl"/>
        </w:rPr>
        <w:t xml:space="preserve"> </w:t>
      </w:r>
      <w:bookmarkStart w:id="69" w:name="lt_pId138"/>
      <w:r w:rsidRPr="00CA18C8">
        <w:rPr>
          <w:lang w:val="es-ES_tradnl"/>
        </w:rPr>
        <w:t>para las categorías boscosa y urbana, se asume que el mecanismo dominante es la difracción por encima de los obstáculos</w:t>
      </w:r>
      <w:bookmarkEnd w:id="69"/>
      <w:r w:rsidRPr="00CA18C8">
        <w:rPr>
          <w:lang w:val="es-ES_tradnl"/>
        </w:rPr>
        <w:t xml:space="preserve">; </w:t>
      </w:r>
      <w:bookmarkStart w:id="70" w:name="lt_pId139"/>
      <w:r w:rsidRPr="00CA18C8">
        <w:rPr>
          <w:lang w:val="es-ES_tradnl"/>
        </w:rPr>
        <w:t>para el resto de categorías, se asume que domina la reflexión o la dispersión.</w:t>
      </w:r>
      <w:bookmarkEnd w:id="70"/>
    </w:p>
    <w:p w14:paraId="32B290D1" w14:textId="77777777" w:rsidR="004337B5" w:rsidRPr="00CA18C8" w:rsidRDefault="004337B5" w:rsidP="004337B5">
      <w:pPr>
        <w:rPr>
          <w:lang w:val="es-ES_tradnl"/>
        </w:rPr>
      </w:pPr>
      <w:bookmarkStart w:id="71" w:name="lt_pId140"/>
      <w:r w:rsidRPr="00CA18C8">
        <w:rPr>
          <w:lang w:val="es-ES_tradnl"/>
        </w:rPr>
        <w:t>Se calculan las pérdidas adicionales,</w:t>
      </w:r>
      <w:r w:rsidRPr="00CA18C8">
        <w:rPr>
          <w:i/>
          <w:lang w:val="es-ES_tradnl"/>
        </w:rPr>
        <w:t xml:space="preserve"> A</w:t>
      </w:r>
      <w:r w:rsidRPr="00CA18C8">
        <w:rPr>
          <w:i/>
          <w:vertAlign w:val="subscript"/>
          <w:lang w:val="es-ES_tradnl"/>
        </w:rPr>
        <w:t>h</w:t>
      </w:r>
      <w:r w:rsidRPr="00CA18C8">
        <w:rPr>
          <w:lang w:val="es-ES_tradnl"/>
        </w:rPr>
        <w:t>, que pueden añadirse a las pérdidas de transmisión básicas del trayecto calculado por encima del obstáculo, por consiguiente las pérdidas de transmisión básicas deben calcularse a la altura o desde la altura representativa del obstáculo utilizada.</w:t>
      </w:r>
      <w:bookmarkEnd w:id="71"/>
      <w:r w:rsidRPr="00CA18C8">
        <w:rPr>
          <w:lang w:val="es-ES_tradnl"/>
        </w:rPr>
        <w:t xml:space="preserve"> </w:t>
      </w:r>
      <w:bookmarkStart w:id="72" w:name="lt_pId141"/>
      <w:r w:rsidRPr="00CA18C8">
        <w:rPr>
          <w:lang w:val="es-ES_tradnl"/>
        </w:rPr>
        <w:t>Este modelo puede aplicarse tanto a los extremos transmisor y receptor del trayecto.</w:t>
      </w:r>
      <w:bookmarkEnd w:id="72"/>
    </w:p>
    <w:p w14:paraId="076A7254" w14:textId="77777777" w:rsidR="004337B5" w:rsidRPr="00CA18C8" w:rsidRDefault="004337B5" w:rsidP="004337B5">
      <w:pPr>
        <w:rPr>
          <w:lang w:val="es-ES_tradnl"/>
        </w:rPr>
      </w:pPr>
      <w:bookmarkStart w:id="73" w:name="lt_pId142"/>
      <w:r w:rsidRPr="00CA18C8">
        <w:rPr>
          <w:bCs/>
          <w:lang w:val="es-ES_tradnl"/>
        </w:rPr>
        <w:t>Gama de frecuencias:</w:t>
      </w:r>
      <w:bookmarkEnd w:id="73"/>
      <w:r w:rsidRPr="00CA18C8">
        <w:rPr>
          <w:bCs/>
          <w:lang w:val="es-ES_tradnl"/>
        </w:rPr>
        <w:tab/>
      </w:r>
      <w:r w:rsidRPr="00CA18C8">
        <w:rPr>
          <w:b/>
          <w:lang w:val="es-ES_tradnl"/>
        </w:rPr>
        <w:tab/>
      </w:r>
      <w:bookmarkStart w:id="74" w:name="lt_pId143"/>
      <w:r w:rsidRPr="00CA18C8">
        <w:rPr>
          <w:lang w:val="es-ES_tradnl"/>
        </w:rPr>
        <w:t>0,03 a 3 GHz</w:t>
      </w:r>
      <w:bookmarkEnd w:id="74"/>
    </w:p>
    <w:p w14:paraId="19B0B02C" w14:textId="77777777" w:rsidR="004337B5" w:rsidRPr="00CA18C8" w:rsidRDefault="004337B5" w:rsidP="004337B5">
      <w:pPr>
        <w:pStyle w:val="Heading3"/>
        <w:rPr>
          <w:lang w:val="es-ES_tradnl"/>
        </w:rPr>
      </w:pPr>
      <w:r w:rsidRPr="00CA18C8">
        <w:rPr>
          <w:lang w:val="es-ES_tradnl"/>
        </w:rPr>
        <w:t>3.1.1</w:t>
      </w:r>
      <w:r w:rsidRPr="00CA18C8">
        <w:rPr>
          <w:lang w:val="es-ES_tradnl"/>
        </w:rPr>
        <w:tab/>
      </w:r>
      <w:bookmarkStart w:id="75" w:name="lt_pId145"/>
      <w:r w:rsidRPr="00CA18C8">
        <w:rPr>
          <w:lang w:val="es-ES_tradnl"/>
        </w:rPr>
        <w:t>Parámetros</w:t>
      </w:r>
      <w:bookmarkEnd w:id="75"/>
    </w:p>
    <w:p w14:paraId="2A634F8B" w14:textId="77777777" w:rsidR="004337B5" w:rsidRPr="00CA18C8" w:rsidRDefault="004337B5" w:rsidP="004337B5">
      <w:pPr>
        <w:rPr>
          <w:lang w:val="es-ES_tradnl"/>
        </w:rPr>
      </w:pPr>
      <w:bookmarkStart w:id="76" w:name="lt_pId146"/>
      <w:r w:rsidRPr="00CA18C8">
        <w:rPr>
          <w:lang w:val="es-ES_tradnl"/>
        </w:rPr>
        <w:t>Los parámetros se describen en el Cuadro 2.</w:t>
      </w:r>
      <w:bookmarkEnd w:id="76"/>
    </w:p>
    <w:p w14:paraId="3EEF4CE1" w14:textId="77777777" w:rsidR="004337B5" w:rsidRPr="00CA18C8" w:rsidRDefault="004337B5" w:rsidP="004337B5">
      <w:pPr>
        <w:pStyle w:val="TableNo"/>
        <w:rPr>
          <w:lang w:val="es-ES_tradnl"/>
        </w:rPr>
      </w:pPr>
      <w:bookmarkStart w:id="77" w:name="lt_pId147"/>
      <w:r w:rsidRPr="00CA18C8">
        <w:rPr>
          <w:lang w:val="es-ES_tradnl"/>
        </w:rPr>
        <w:lastRenderedPageBreak/>
        <w:t>CUADRO 2</w:t>
      </w:r>
      <w:bookmarkEnd w:id="77"/>
    </w:p>
    <w:p w14:paraId="7D653537" w14:textId="77777777" w:rsidR="004337B5" w:rsidRPr="00CA18C8" w:rsidRDefault="004337B5" w:rsidP="004337B5">
      <w:pPr>
        <w:pStyle w:val="Tabletitle"/>
        <w:rPr>
          <w:lang w:val="es-ES_tradnl"/>
        </w:rPr>
      </w:pPr>
      <w:bookmarkStart w:id="78" w:name="lt_pId148"/>
      <w:r w:rsidRPr="00CA18C8">
        <w:rPr>
          <w:lang w:val="es-ES_tradnl"/>
        </w:rPr>
        <w:t xml:space="preserve">Parámetros del modelo de corrección altura-ganancia del terminal </w:t>
      </w:r>
      <w:bookmarkEnd w:id="78"/>
    </w:p>
    <w:tbl>
      <w:tblPr>
        <w:tblW w:w="7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764"/>
        <w:gridCol w:w="1370"/>
        <w:gridCol w:w="2399"/>
      </w:tblGrid>
      <w:tr w:rsidR="004337B5" w:rsidRPr="00CA18C8" w14:paraId="35DAE02A" w14:textId="77777777" w:rsidTr="00603810">
        <w:trPr>
          <w:cantSplit/>
          <w:trHeight w:val="482"/>
          <w:jc w:val="center"/>
        </w:trPr>
        <w:tc>
          <w:tcPr>
            <w:tcW w:w="3764" w:type="dxa"/>
          </w:tcPr>
          <w:p w14:paraId="2EB78B3F" w14:textId="77777777" w:rsidR="004337B5" w:rsidRPr="00CA18C8" w:rsidRDefault="004337B5" w:rsidP="00603810">
            <w:pPr>
              <w:pStyle w:val="Tablehead"/>
              <w:rPr>
                <w:lang w:val="es-ES_tradnl"/>
              </w:rPr>
            </w:pPr>
            <w:r w:rsidRPr="00CA18C8">
              <w:rPr>
                <w:lang w:val="es-ES_tradnl"/>
              </w:rPr>
              <w:t>Parámetro</w:t>
            </w:r>
          </w:p>
        </w:tc>
        <w:tc>
          <w:tcPr>
            <w:tcW w:w="1370" w:type="dxa"/>
          </w:tcPr>
          <w:p w14:paraId="5265CAEC" w14:textId="77777777" w:rsidR="004337B5" w:rsidRPr="00CA18C8" w:rsidRDefault="004337B5" w:rsidP="00603810">
            <w:pPr>
              <w:pStyle w:val="Tablehead"/>
              <w:rPr>
                <w:lang w:val="es-ES_tradnl"/>
              </w:rPr>
            </w:pPr>
            <w:r w:rsidRPr="00CA18C8">
              <w:rPr>
                <w:lang w:val="es-ES_tradnl"/>
              </w:rPr>
              <w:t>Símbolo</w:t>
            </w:r>
          </w:p>
        </w:tc>
        <w:tc>
          <w:tcPr>
            <w:tcW w:w="2399" w:type="dxa"/>
          </w:tcPr>
          <w:p w14:paraId="2626B42D" w14:textId="77777777" w:rsidR="004337B5" w:rsidRPr="00CA18C8" w:rsidRDefault="004337B5" w:rsidP="00603810">
            <w:pPr>
              <w:pStyle w:val="Tablehead"/>
              <w:rPr>
                <w:lang w:val="es-ES_tradnl"/>
              </w:rPr>
            </w:pPr>
            <w:r w:rsidRPr="00CA18C8">
              <w:rPr>
                <w:lang w:val="es-ES_tradnl"/>
              </w:rPr>
              <w:t>Valor por omisión</w:t>
            </w:r>
          </w:p>
        </w:tc>
      </w:tr>
      <w:tr w:rsidR="004337B5" w:rsidRPr="00CA18C8" w14:paraId="2298DDE2" w14:textId="77777777" w:rsidTr="00603810">
        <w:trPr>
          <w:cantSplit/>
          <w:trHeight w:val="380"/>
          <w:jc w:val="center"/>
        </w:trPr>
        <w:tc>
          <w:tcPr>
            <w:tcW w:w="3764" w:type="dxa"/>
          </w:tcPr>
          <w:p w14:paraId="28D67F7B" w14:textId="77777777" w:rsidR="004337B5" w:rsidRPr="00CA18C8" w:rsidRDefault="004337B5" w:rsidP="00603810">
            <w:pPr>
              <w:pStyle w:val="Tabletext"/>
              <w:rPr>
                <w:lang w:val="es-ES_tradnl"/>
              </w:rPr>
            </w:pPr>
            <w:r w:rsidRPr="00CA18C8">
              <w:rPr>
                <w:lang w:val="es-ES_tradnl"/>
              </w:rPr>
              <w:t>Frecuencia</w:t>
            </w:r>
            <w:r w:rsidRPr="00B76AD8">
              <w:t xml:space="preserve"> (GHz)</w:t>
            </w:r>
          </w:p>
        </w:tc>
        <w:tc>
          <w:tcPr>
            <w:tcW w:w="1370" w:type="dxa"/>
          </w:tcPr>
          <w:p w14:paraId="47E54B74" w14:textId="77777777" w:rsidR="004337B5" w:rsidRPr="00CA18C8" w:rsidRDefault="004337B5" w:rsidP="00603810">
            <w:pPr>
              <w:pStyle w:val="Tabletext"/>
              <w:jc w:val="center"/>
              <w:rPr>
                <w:i/>
                <w:lang w:val="es-ES_tradnl"/>
              </w:rPr>
            </w:pPr>
            <w:bookmarkStart w:id="79" w:name="lt_pId154"/>
            <w:r w:rsidRPr="00CA18C8">
              <w:rPr>
                <w:i/>
                <w:lang w:val="es-ES_tradnl"/>
              </w:rPr>
              <w:t>f</w:t>
            </w:r>
            <w:bookmarkEnd w:id="79"/>
          </w:p>
        </w:tc>
        <w:tc>
          <w:tcPr>
            <w:tcW w:w="2399" w:type="dxa"/>
          </w:tcPr>
          <w:p w14:paraId="428C7CB4" w14:textId="77777777" w:rsidR="004337B5" w:rsidRPr="00CA18C8" w:rsidRDefault="004337B5" w:rsidP="00603810">
            <w:pPr>
              <w:pStyle w:val="Tabletext"/>
              <w:jc w:val="center"/>
              <w:rPr>
                <w:lang w:val="es-ES_tradnl"/>
              </w:rPr>
            </w:pPr>
            <w:r w:rsidRPr="00CA18C8">
              <w:rPr>
                <w:lang w:val="es-ES_tradnl"/>
              </w:rPr>
              <w:t>–</w:t>
            </w:r>
          </w:p>
        </w:tc>
      </w:tr>
      <w:tr w:rsidR="004337B5" w:rsidRPr="00CA18C8" w14:paraId="76842639" w14:textId="77777777" w:rsidTr="00603810">
        <w:trPr>
          <w:cantSplit/>
          <w:trHeight w:val="394"/>
          <w:jc w:val="center"/>
        </w:trPr>
        <w:tc>
          <w:tcPr>
            <w:tcW w:w="3764" w:type="dxa"/>
          </w:tcPr>
          <w:p w14:paraId="5D84EE6F" w14:textId="77777777" w:rsidR="004337B5" w:rsidRPr="00CA18C8" w:rsidRDefault="004337B5" w:rsidP="00603810">
            <w:pPr>
              <w:pStyle w:val="Tabletext"/>
              <w:rPr>
                <w:lang w:val="es-ES_tradnl"/>
              </w:rPr>
            </w:pPr>
            <w:r w:rsidRPr="00CA18C8">
              <w:rPr>
                <w:lang w:val="es-ES_tradnl"/>
              </w:rPr>
              <w:t>Altura de la antena</w:t>
            </w:r>
            <w:r w:rsidRPr="004337B5">
              <w:rPr>
                <w:lang w:val="es-ES"/>
              </w:rPr>
              <w:t>(m)</w:t>
            </w:r>
          </w:p>
        </w:tc>
        <w:tc>
          <w:tcPr>
            <w:tcW w:w="1370" w:type="dxa"/>
          </w:tcPr>
          <w:p w14:paraId="4FBBEF2A" w14:textId="77777777" w:rsidR="004337B5" w:rsidRPr="00CA18C8" w:rsidRDefault="004337B5" w:rsidP="00603810">
            <w:pPr>
              <w:pStyle w:val="Tabletext"/>
              <w:jc w:val="center"/>
              <w:rPr>
                <w:i/>
                <w:lang w:val="es-ES_tradnl"/>
              </w:rPr>
            </w:pPr>
            <w:bookmarkStart w:id="80" w:name="lt_pId158"/>
            <w:r w:rsidRPr="00CA18C8">
              <w:rPr>
                <w:i/>
                <w:lang w:val="es-ES_tradnl"/>
              </w:rPr>
              <w:t>h</w:t>
            </w:r>
            <w:bookmarkEnd w:id="80"/>
          </w:p>
        </w:tc>
        <w:tc>
          <w:tcPr>
            <w:tcW w:w="2399" w:type="dxa"/>
          </w:tcPr>
          <w:p w14:paraId="77D30C19" w14:textId="77777777" w:rsidR="004337B5" w:rsidRPr="00CA18C8" w:rsidRDefault="004337B5" w:rsidP="00603810">
            <w:pPr>
              <w:pStyle w:val="Tabletext"/>
              <w:jc w:val="center"/>
              <w:rPr>
                <w:lang w:val="es-ES_tradnl"/>
              </w:rPr>
            </w:pPr>
            <w:r w:rsidRPr="00CA18C8">
              <w:rPr>
                <w:lang w:val="es-ES_tradnl"/>
              </w:rPr>
              <w:t>–</w:t>
            </w:r>
          </w:p>
        </w:tc>
      </w:tr>
      <w:tr w:rsidR="004337B5" w:rsidRPr="00CA18C8" w14:paraId="28168244" w14:textId="77777777" w:rsidTr="00603810">
        <w:trPr>
          <w:cantSplit/>
          <w:trHeight w:val="380"/>
          <w:jc w:val="center"/>
        </w:trPr>
        <w:tc>
          <w:tcPr>
            <w:tcW w:w="3764" w:type="dxa"/>
          </w:tcPr>
          <w:p w14:paraId="46BB3E62" w14:textId="77777777" w:rsidR="004337B5" w:rsidRPr="00CA18C8" w:rsidRDefault="004337B5" w:rsidP="00603810">
            <w:pPr>
              <w:pStyle w:val="Tabletext"/>
              <w:rPr>
                <w:lang w:val="es-ES_tradnl"/>
              </w:rPr>
            </w:pPr>
            <w:r w:rsidRPr="00CA18C8">
              <w:rPr>
                <w:lang w:val="es-ES_tradnl"/>
              </w:rPr>
              <w:t>Anchura de la calle</w:t>
            </w:r>
            <w:r w:rsidRPr="004337B5">
              <w:rPr>
                <w:lang w:val="es-ES"/>
              </w:rPr>
              <w:t>(m)</w:t>
            </w:r>
          </w:p>
        </w:tc>
        <w:tc>
          <w:tcPr>
            <w:tcW w:w="1370" w:type="dxa"/>
          </w:tcPr>
          <w:p w14:paraId="1855222D" w14:textId="77777777" w:rsidR="004337B5" w:rsidRPr="00CA18C8" w:rsidRDefault="004337B5" w:rsidP="00603810">
            <w:pPr>
              <w:pStyle w:val="Tabletext"/>
              <w:jc w:val="center"/>
              <w:rPr>
                <w:i/>
                <w:lang w:val="es-ES_tradnl"/>
              </w:rPr>
            </w:pPr>
            <w:bookmarkStart w:id="81" w:name="lt_pId162"/>
            <w:r w:rsidRPr="00CA18C8">
              <w:rPr>
                <w:i/>
                <w:lang w:val="es-ES_tradnl"/>
              </w:rPr>
              <w:t>w</w:t>
            </w:r>
            <w:r w:rsidRPr="00CA18C8">
              <w:rPr>
                <w:i/>
                <w:vertAlign w:val="subscript"/>
                <w:lang w:val="es-ES_tradnl"/>
              </w:rPr>
              <w:t>s</w:t>
            </w:r>
            <w:bookmarkEnd w:id="81"/>
          </w:p>
        </w:tc>
        <w:tc>
          <w:tcPr>
            <w:tcW w:w="2399" w:type="dxa"/>
          </w:tcPr>
          <w:p w14:paraId="150CD365" w14:textId="77777777" w:rsidR="004337B5" w:rsidRPr="00CA18C8" w:rsidRDefault="004337B5" w:rsidP="00603810">
            <w:pPr>
              <w:pStyle w:val="Tabletext"/>
              <w:jc w:val="center"/>
              <w:rPr>
                <w:lang w:val="es-ES_tradnl"/>
              </w:rPr>
            </w:pPr>
            <w:r w:rsidRPr="00CA18C8">
              <w:rPr>
                <w:lang w:val="es-ES_tradnl"/>
              </w:rPr>
              <w:t>27</w:t>
            </w:r>
          </w:p>
        </w:tc>
      </w:tr>
      <w:tr w:rsidR="004337B5" w:rsidRPr="00CA18C8" w14:paraId="6CA617F8" w14:textId="77777777" w:rsidTr="00A5467E">
        <w:trPr>
          <w:cantSplit/>
          <w:trHeight w:val="340"/>
          <w:jc w:val="center"/>
        </w:trPr>
        <w:tc>
          <w:tcPr>
            <w:tcW w:w="3764" w:type="dxa"/>
          </w:tcPr>
          <w:p w14:paraId="02902381" w14:textId="77777777" w:rsidR="004337B5" w:rsidRPr="00CA18C8" w:rsidRDefault="004337B5" w:rsidP="00603810">
            <w:pPr>
              <w:pStyle w:val="Tabletext"/>
              <w:jc w:val="left"/>
              <w:rPr>
                <w:lang w:val="es-ES_tradnl"/>
              </w:rPr>
            </w:pPr>
            <w:bookmarkStart w:id="82" w:name="lt_pId165"/>
            <w:r w:rsidRPr="00CA18C8">
              <w:rPr>
                <w:lang w:val="es-ES_tradnl"/>
              </w:rPr>
              <w:t>Altura representativa del obstáculo</w:t>
            </w:r>
            <w:bookmarkEnd w:id="82"/>
            <w:r w:rsidRPr="004337B5">
              <w:rPr>
                <w:lang w:val="es-ES"/>
              </w:rPr>
              <w:t>(m)</w:t>
            </w:r>
          </w:p>
        </w:tc>
        <w:tc>
          <w:tcPr>
            <w:tcW w:w="1370" w:type="dxa"/>
          </w:tcPr>
          <w:p w14:paraId="6EAEB333" w14:textId="77777777" w:rsidR="004337B5" w:rsidRPr="00CA18C8" w:rsidRDefault="004337B5" w:rsidP="00603810">
            <w:pPr>
              <w:pStyle w:val="Tabletext"/>
              <w:jc w:val="center"/>
              <w:rPr>
                <w:i/>
                <w:lang w:val="es-ES_tradnl"/>
              </w:rPr>
            </w:pPr>
            <w:bookmarkStart w:id="83" w:name="lt_pId166"/>
            <w:r w:rsidRPr="00CA18C8">
              <w:rPr>
                <w:i/>
                <w:lang w:val="es-ES_tradnl"/>
              </w:rPr>
              <w:t>R</w:t>
            </w:r>
            <w:bookmarkEnd w:id="83"/>
          </w:p>
        </w:tc>
        <w:tc>
          <w:tcPr>
            <w:tcW w:w="2399" w:type="dxa"/>
          </w:tcPr>
          <w:p w14:paraId="3F1D933B" w14:textId="77777777" w:rsidR="004337B5" w:rsidRPr="00CA18C8" w:rsidRDefault="004337B5" w:rsidP="00603810">
            <w:pPr>
              <w:pStyle w:val="Tabletext"/>
              <w:jc w:val="center"/>
              <w:rPr>
                <w:lang w:val="es-ES_tradnl"/>
              </w:rPr>
            </w:pPr>
            <w:bookmarkStart w:id="84" w:name="lt_pId168"/>
            <w:r w:rsidRPr="00CA18C8">
              <w:rPr>
                <w:lang w:val="es-ES_tradnl"/>
              </w:rPr>
              <w:t>Véase el Cuadro 3</w:t>
            </w:r>
            <w:bookmarkEnd w:id="84"/>
          </w:p>
        </w:tc>
      </w:tr>
      <w:tr w:rsidR="004337B5" w:rsidRPr="00CA18C8" w14:paraId="257BC027" w14:textId="77777777" w:rsidTr="00603810">
        <w:trPr>
          <w:cantSplit/>
          <w:trHeight w:val="380"/>
          <w:jc w:val="center"/>
        </w:trPr>
        <w:tc>
          <w:tcPr>
            <w:tcW w:w="3764" w:type="dxa"/>
          </w:tcPr>
          <w:p w14:paraId="3AF2879F" w14:textId="77777777" w:rsidR="004337B5" w:rsidRPr="00CA18C8" w:rsidRDefault="004337B5" w:rsidP="00603810">
            <w:pPr>
              <w:pStyle w:val="Tabletext"/>
              <w:rPr>
                <w:lang w:val="es-ES_tradnl"/>
              </w:rPr>
            </w:pPr>
            <w:r w:rsidRPr="00CA18C8">
              <w:rPr>
                <w:lang w:val="es-ES_tradnl"/>
              </w:rPr>
              <w:t>Tipo de ocupación</w:t>
            </w:r>
          </w:p>
        </w:tc>
        <w:tc>
          <w:tcPr>
            <w:tcW w:w="1370" w:type="dxa"/>
          </w:tcPr>
          <w:p w14:paraId="0549A26D" w14:textId="77777777" w:rsidR="004337B5" w:rsidRPr="00CA18C8" w:rsidRDefault="004337B5" w:rsidP="00603810">
            <w:pPr>
              <w:pStyle w:val="Tabletext"/>
              <w:jc w:val="center"/>
              <w:rPr>
                <w:i/>
                <w:lang w:val="es-ES_tradnl"/>
              </w:rPr>
            </w:pPr>
            <w:r w:rsidRPr="00CA18C8">
              <w:rPr>
                <w:i/>
                <w:lang w:val="es-ES_tradnl"/>
              </w:rPr>
              <w:t>–</w:t>
            </w:r>
          </w:p>
        </w:tc>
        <w:tc>
          <w:tcPr>
            <w:tcW w:w="2399" w:type="dxa"/>
          </w:tcPr>
          <w:p w14:paraId="74E8E3E5" w14:textId="77777777" w:rsidR="004337B5" w:rsidRPr="00CA18C8" w:rsidRDefault="004337B5" w:rsidP="00603810">
            <w:pPr>
              <w:pStyle w:val="Tabletext"/>
              <w:jc w:val="center"/>
              <w:rPr>
                <w:lang w:val="es-ES_tradnl"/>
              </w:rPr>
            </w:pPr>
            <w:r w:rsidRPr="00CA18C8">
              <w:rPr>
                <w:lang w:val="es-ES_tradnl"/>
              </w:rPr>
              <w:t>–</w:t>
            </w:r>
          </w:p>
        </w:tc>
      </w:tr>
    </w:tbl>
    <w:p w14:paraId="17876AAB" w14:textId="77777777" w:rsidR="004337B5" w:rsidRPr="00CA18C8" w:rsidRDefault="004337B5" w:rsidP="004337B5">
      <w:pPr>
        <w:pStyle w:val="Tablefin"/>
        <w:rPr>
          <w:lang w:val="es-ES_tradnl"/>
        </w:rPr>
      </w:pPr>
    </w:p>
    <w:p w14:paraId="4113D513" w14:textId="77777777" w:rsidR="004337B5" w:rsidRPr="00CA18C8" w:rsidRDefault="004337B5" w:rsidP="004337B5">
      <w:pPr>
        <w:rPr>
          <w:lang w:val="es-ES_tradnl"/>
        </w:rPr>
      </w:pPr>
      <w:bookmarkStart w:id="85" w:name="lt_pId173"/>
      <w:r w:rsidRPr="00CA18C8">
        <w:rPr>
          <w:lang w:val="es-ES_tradnl"/>
        </w:rPr>
        <w:t xml:space="preserve">El tipo de ocupación se utiliza para determinar el método de cálculo </w:t>
      </w:r>
      <w:r w:rsidRPr="00CA18C8">
        <w:rPr>
          <w:i/>
          <w:iCs/>
          <w:lang w:val="es-ES_tradnl"/>
        </w:rPr>
        <w:t>A</w:t>
      </w:r>
      <w:r w:rsidRPr="00CA18C8">
        <w:rPr>
          <w:i/>
          <w:iCs/>
          <w:vertAlign w:val="subscript"/>
          <w:lang w:val="es-ES_tradnl"/>
        </w:rPr>
        <w:t>h</w:t>
      </w:r>
      <w:r w:rsidRPr="00CA18C8">
        <w:rPr>
          <w:lang w:val="es-ES_tradnl"/>
        </w:rPr>
        <w:t xml:space="preserve"> como se indica en el Cuadro 3.</w:t>
      </w:r>
      <w:bookmarkEnd w:id="85"/>
    </w:p>
    <w:p w14:paraId="30E20129" w14:textId="77777777" w:rsidR="004337B5" w:rsidRPr="00CA18C8" w:rsidRDefault="004337B5" w:rsidP="004337B5">
      <w:pPr>
        <w:pStyle w:val="TableNo"/>
        <w:rPr>
          <w:lang w:val="es-ES_tradnl"/>
        </w:rPr>
      </w:pPr>
      <w:bookmarkStart w:id="86" w:name="lt_pId174"/>
      <w:r w:rsidRPr="00CA18C8">
        <w:rPr>
          <w:lang w:val="es-ES_tradnl"/>
        </w:rPr>
        <w:t>CUADRO 3</w:t>
      </w:r>
      <w:bookmarkEnd w:id="86"/>
    </w:p>
    <w:p w14:paraId="695351C4" w14:textId="77777777" w:rsidR="004337B5" w:rsidRPr="00CA18C8" w:rsidRDefault="004337B5" w:rsidP="004337B5">
      <w:pPr>
        <w:pStyle w:val="Tabletitle"/>
        <w:rPr>
          <w:lang w:val="es-ES_tradnl"/>
        </w:rPr>
      </w:pPr>
      <w:bookmarkStart w:id="87" w:name="lt_pId175"/>
      <w:r w:rsidRPr="00CA18C8">
        <w:rPr>
          <w:lang w:val="es-ES_tradnl"/>
        </w:rPr>
        <w:t>Información por omisión de la altura representativa del obstáculo, R</w:t>
      </w:r>
      <w:bookmarkEnd w:id="87"/>
      <w:r w:rsidRPr="00CA18C8">
        <w:rPr>
          <w:lang w:val="es-ES_tradnl"/>
        </w:rPr>
        <w:br/>
      </w:r>
      <w:bookmarkStart w:id="88" w:name="lt_pId176"/>
      <w:r w:rsidRPr="00CA18C8">
        <w:rPr>
          <w:lang w:val="es-ES_tradnl"/>
        </w:rPr>
        <w:t>(cuando no se dispone de información local)</w:t>
      </w:r>
      <w:bookmarkEnd w:id="88"/>
    </w:p>
    <w:tbl>
      <w:tblPr>
        <w:tblW w:w="7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41"/>
        <w:gridCol w:w="2231"/>
        <w:gridCol w:w="2852"/>
      </w:tblGrid>
      <w:tr w:rsidR="004337B5" w:rsidRPr="00CA18C8" w14:paraId="2B3AF31B" w14:textId="77777777" w:rsidTr="00603810">
        <w:trPr>
          <w:cantSplit/>
          <w:trHeight w:val="758"/>
          <w:jc w:val="center"/>
        </w:trPr>
        <w:tc>
          <w:tcPr>
            <w:tcW w:w="2341" w:type="dxa"/>
          </w:tcPr>
          <w:p w14:paraId="3C74BE2B" w14:textId="77777777" w:rsidR="004337B5" w:rsidRPr="00CA18C8" w:rsidRDefault="004337B5" w:rsidP="00603810">
            <w:pPr>
              <w:pStyle w:val="Tablehead"/>
              <w:rPr>
                <w:lang w:val="es-ES_tradnl"/>
              </w:rPr>
            </w:pPr>
            <w:r w:rsidRPr="00CA18C8">
              <w:rPr>
                <w:lang w:val="es-ES_tradnl"/>
              </w:rPr>
              <w:t>Tipo de ocupación del suelo</w:t>
            </w:r>
          </w:p>
        </w:tc>
        <w:tc>
          <w:tcPr>
            <w:tcW w:w="2231" w:type="dxa"/>
          </w:tcPr>
          <w:p w14:paraId="65B05C06" w14:textId="77777777" w:rsidR="004337B5" w:rsidRPr="00CA18C8" w:rsidRDefault="004337B5" w:rsidP="00603810">
            <w:pPr>
              <w:pStyle w:val="Tablehead"/>
              <w:rPr>
                <w:lang w:val="es-ES_tradnl"/>
              </w:rPr>
            </w:pPr>
            <w:bookmarkStart w:id="89" w:name="lt_pId178"/>
            <w:r w:rsidRPr="00CA18C8">
              <w:rPr>
                <w:i/>
                <w:iCs/>
                <w:lang w:val="es-ES_tradnl"/>
              </w:rPr>
              <w:t>R</w:t>
            </w:r>
            <w:r w:rsidRPr="00CA18C8">
              <w:rPr>
                <w:lang w:val="es-ES_tradnl"/>
              </w:rPr>
              <w:t xml:space="preserve"> (m)</w:t>
            </w:r>
            <w:bookmarkEnd w:id="89"/>
          </w:p>
        </w:tc>
        <w:tc>
          <w:tcPr>
            <w:tcW w:w="2852" w:type="dxa"/>
          </w:tcPr>
          <w:p w14:paraId="39C73B4E" w14:textId="77777777" w:rsidR="004337B5" w:rsidRPr="00CA18C8" w:rsidRDefault="004337B5" w:rsidP="00603810">
            <w:pPr>
              <w:pStyle w:val="Tablehead"/>
              <w:rPr>
                <w:lang w:val="es-ES_tradnl"/>
              </w:rPr>
            </w:pPr>
            <w:r w:rsidRPr="00CA18C8">
              <w:rPr>
                <w:lang w:val="es-ES_tradnl"/>
              </w:rPr>
              <w:t xml:space="preserve">Método de cálculo </w:t>
            </w:r>
            <w:r w:rsidRPr="00CA18C8">
              <w:rPr>
                <w:i/>
                <w:iCs/>
                <w:lang w:val="es-ES_tradnl"/>
              </w:rPr>
              <w:t>A</w:t>
            </w:r>
            <w:r w:rsidRPr="00CA18C8">
              <w:rPr>
                <w:i/>
                <w:iCs/>
                <w:vertAlign w:val="subscript"/>
                <w:lang w:val="es-ES_tradnl"/>
              </w:rPr>
              <w:t>h</w:t>
            </w:r>
          </w:p>
        </w:tc>
      </w:tr>
      <w:tr w:rsidR="004337B5" w:rsidRPr="00CA18C8" w14:paraId="00F6B28D" w14:textId="77777777" w:rsidTr="00603810">
        <w:trPr>
          <w:cantSplit/>
          <w:trHeight w:val="372"/>
          <w:jc w:val="center"/>
        </w:trPr>
        <w:tc>
          <w:tcPr>
            <w:tcW w:w="2341" w:type="dxa"/>
          </w:tcPr>
          <w:p w14:paraId="0F8D2F80" w14:textId="31224C89" w:rsidR="004337B5" w:rsidRPr="00CA18C8" w:rsidRDefault="004337B5" w:rsidP="00603810">
            <w:pPr>
              <w:pStyle w:val="Tabletext"/>
              <w:jc w:val="center"/>
              <w:rPr>
                <w:lang w:val="es-ES_tradnl"/>
              </w:rPr>
            </w:pPr>
            <w:bookmarkStart w:id="90" w:name="lt_pId180"/>
            <w:r w:rsidRPr="00CA18C8">
              <w:rPr>
                <w:lang w:val="es-ES_tradnl"/>
              </w:rPr>
              <w:t>Agua/</w:t>
            </w:r>
            <w:bookmarkEnd w:id="90"/>
            <w:r w:rsidRPr="00CA18C8">
              <w:rPr>
                <w:lang w:val="es-ES_tradnl"/>
              </w:rPr>
              <w:t>mar</w:t>
            </w:r>
          </w:p>
        </w:tc>
        <w:tc>
          <w:tcPr>
            <w:tcW w:w="2231" w:type="dxa"/>
          </w:tcPr>
          <w:p w14:paraId="3663E910" w14:textId="77777777" w:rsidR="004337B5" w:rsidRPr="00CA18C8" w:rsidRDefault="004337B5" w:rsidP="00603810">
            <w:pPr>
              <w:pStyle w:val="Tabletext"/>
              <w:jc w:val="center"/>
              <w:rPr>
                <w:lang w:val="es-ES_tradnl"/>
              </w:rPr>
            </w:pPr>
            <w:r w:rsidRPr="00CA18C8">
              <w:rPr>
                <w:lang w:val="es-ES_tradnl"/>
              </w:rPr>
              <w:t>10</w:t>
            </w:r>
          </w:p>
        </w:tc>
        <w:tc>
          <w:tcPr>
            <w:tcW w:w="2852" w:type="dxa"/>
          </w:tcPr>
          <w:p w14:paraId="31F0E10E" w14:textId="77777777" w:rsidR="004337B5" w:rsidRPr="00CA18C8" w:rsidRDefault="004337B5" w:rsidP="00603810">
            <w:pPr>
              <w:pStyle w:val="Tabletext"/>
              <w:jc w:val="center"/>
              <w:rPr>
                <w:lang w:val="es-ES_tradnl"/>
              </w:rPr>
            </w:pPr>
            <w:bookmarkStart w:id="91" w:name="lt_pId182"/>
            <w:r w:rsidRPr="00CA18C8">
              <w:rPr>
                <w:lang w:val="es-ES_tradnl"/>
              </w:rPr>
              <w:t>Ecuación (2b)</w:t>
            </w:r>
            <w:bookmarkEnd w:id="91"/>
          </w:p>
        </w:tc>
      </w:tr>
      <w:tr w:rsidR="004337B5" w:rsidRPr="00CA18C8" w14:paraId="4058F840" w14:textId="77777777" w:rsidTr="00603810">
        <w:trPr>
          <w:cantSplit/>
          <w:trHeight w:val="386"/>
          <w:jc w:val="center"/>
        </w:trPr>
        <w:tc>
          <w:tcPr>
            <w:tcW w:w="2341" w:type="dxa"/>
          </w:tcPr>
          <w:p w14:paraId="132C843F" w14:textId="19E5DF0F" w:rsidR="004337B5" w:rsidRPr="00CA18C8" w:rsidRDefault="004337B5" w:rsidP="00603810">
            <w:pPr>
              <w:pStyle w:val="Tabletext"/>
              <w:jc w:val="center"/>
              <w:rPr>
                <w:lang w:val="es-ES_tradnl"/>
              </w:rPr>
            </w:pPr>
            <w:bookmarkStart w:id="92" w:name="lt_pId183"/>
            <w:r w:rsidRPr="00CA18C8">
              <w:rPr>
                <w:lang w:val="es-ES_tradnl"/>
              </w:rPr>
              <w:t>Espacio abierto/rural</w:t>
            </w:r>
            <w:bookmarkEnd w:id="92"/>
          </w:p>
        </w:tc>
        <w:tc>
          <w:tcPr>
            <w:tcW w:w="2231" w:type="dxa"/>
          </w:tcPr>
          <w:p w14:paraId="2DDA2122" w14:textId="77777777" w:rsidR="004337B5" w:rsidRPr="00CA18C8" w:rsidRDefault="004337B5" w:rsidP="00603810">
            <w:pPr>
              <w:pStyle w:val="Tabletext"/>
              <w:jc w:val="center"/>
              <w:rPr>
                <w:lang w:val="es-ES_tradnl"/>
              </w:rPr>
            </w:pPr>
            <w:r w:rsidRPr="00CA18C8">
              <w:rPr>
                <w:lang w:val="es-ES_tradnl"/>
              </w:rPr>
              <w:t>10</w:t>
            </w:r>
          </w:p>
        </w:tc>
        <w:tc>
          <w:tcPr>
            <w:tcW w:w="2852" w:type="dxa"/>
          </w:tcPr>
          <w:p w14:paraId="2435D5D4" w14:textId="77777777" w:rsidR="004337B5" w:rsidRPr="00CA18C8" w:rsidRDefault="004337B5" w:rsidP="00603810">
            <w:pPr>
              <w:pStyle w:val="Tabletext"/>
              <w:jc w:val="center"/>
              <w:rPr>
                <w:lang w:val="es-ES_tradnl"/>
              </w:rPr>
            </w:pPr>
            <w:bookmarkStart w:id="93" w:name="lt_pId185"/>
            <w:r w:rsidRPr="00CA18C8">
              <w:rPr>
                <w:lang w:val="es-ES_tradnl"/>
              </w:rPr>
              <w:t>Ecuación (2b)</w:t>
            </w:r>
            <w:bookmarkEnd w:id="93"/>
          </w:p>
        </w:tc>
      </w:tr>
      <w:tr w:rsidR="004337B5" w:rsidRPr="00CA18C8" w14:paraId="7F2C1E7B" w14:textId="77777777" w:rsidTr="00603810">
        <w:trPr>
          <w:cantSplit/>
          <w:trHeight w:val="372"/>
          <w:jc w:val="center"/>
        </w:trPr>
        <w:tc>
          <w:tcPr>
            <w:tcW w:w="2341" w:type="dxa"/>
          </w:tcPr>
          <w:p w14:paraId="3038835C" w14:textId="77777777" w:rsidR="004337B5" w:rsidRPr="00CA18C8" w:rsidRDefault="004337B5" w:rsidP="00603810">
            <w:pPr>
              <w:pStyle w:val="Tabletext"/>
              <w:jc w:val="center"/>
              <w:rPr>
                <w:lang w:val="es-ES_tradnl"/>
              </w:rPr>
            </w:pPr>
            <w:r w:rsidRPr="00CA18C8">
              <w:rPr>
                <w:lang w:val="es-ES_tradnl"/>
              </w:rPr>
              <w:t>Suburbano</w:t>
            </w:r>
          </w:p>
        </w:tc>
        <w:tc>
          <w:tcPr>
            <w:tcW w:w="2231" w:type="dxa"/>
          </w:tcPr>
          <w:p w14:paraId="031422F6" w14:textId="77777777" w:rsidR="004337B5" w:rsidRPr="00CA18C8" w:rsidRDefault="004337B5" w:rsidP="00603810">
            <w:pPr>
              <w:pStyle w:val="Tabletext"/>
              <w:jc w:val="center"/>
              <w:rPr>
                <w:lang w:val="es-ES_tradnl"/>
              </w:rPr>
            </w:pPr>
            <w:r w:rsidRPr="00CA18C8">
              <w:rPr>
                <w:lang w:val="es-ES_tradnl"/>
              </w:rPr>
              <w:t>10</w:t>
            </w:r>
          </w:p>
        </w:tc>
        <w:tc>
          <w:tcPr>
            <w:tcW w:w="2852" w:type="dxa"/>
          </w:tcPr>
          <w:p w14:paraId="368DF63C" w14:textId="77777777" w:rsidR="004337B5" w:rsidRPr="00CA18C8" w:rsidRDefault="004337B5" w:rsidP="00603810">
            <w:pPr>
              <w:pStyle w:val="Tabletext"/>
              <w:jc w:val="center"/>
              <w:rPr>
                <w:lang w:val="es-ES_tradnl"/>
              </w:rPr>
            </w:pPr>
            <w:bookmarkStart w:id="94" w:name="lt_pId188"/>
            <w:r w:rsidRPr="00CA18C8">
              <w:rPr>
                <w:lang w:val="es-ES_tradnl"/>
              </w:rPr>
              <w:t>Ecuación (2a)</w:t>
            </w:r>
            <w:bookmarkEnd w:id="94"/>
          </w:p>
        </w:tc>
      </w:tr>
      <w:tr w:rsidR="004337B5" w:rsidRPr="00CA18C8" w14:paraId="7F40E726" w14:textId="77777777" w:rsidTr="00603810">
        <w:trPr>
          <w:cantSplit/>
          <w:trHeight w:val="672"/>
          <w:jc w:val="center"/>
        </w:trPr>
        <w:tc>
          <w:tcPr>
            <w:tcW w:w="2341" w:type="dxa"/>
          </w:tcPr>
          <w:p w14:paraId="5A9A5EDA" w14:textId="3625755C" w:rsidR="004337B5" w:rsidRPr="00CA18C8" w:rsidRDefault="004337B5" w:rsidP="00603810">
            <w:pPr>
              <w:pStyle w:val="Tabletext"/>
              <w:jc w:val="center"/>
              <w:rPr>
                <w:lang w:val="es-ES_tradnl"/>
              </w:rPr>
            </w:pPr>
            <w:bookmarkStart w:id="95" w:name="lt_pId189"/>
            <w:r w:rsidRPr="00CA18C8">
              <w:rPr>
                <w:lang w:val="es-ES_tradnl"/>
              </w:rPr>
              <w:t>Urbano/arboleda/</w:t>
            </w:r>
            <w:bookmarkEnd w:id="95"/>
            <w:r>
              <w:rPr>
                <w:lang w:val="es-ES_tradnl"/>
              </w:rPr>
              <w:br/>
            </w:r>
            <w:r w:rsidRPr="00CA18C8">
              <w:rPr>
                <w:lang w:val="es-ES_tradnl"/>
              </w:rPr>
              <w:t>bosque</w:t>
            </w:r>
          </w:p>
        </w:tc>
        <w:tc>
          <w:tcPr>
            <w:tcW w:w="2231" w:type="dxa"/>
          </w:tcPr>
          <w:p w14:paraId="6F35A8EF" w14:textId="77777777" w:rsidR="004337B5" w:rsidRPr="00CA18C8" w:rsidRDefault="004337B5" w:rsidP="00603810">
            <w:pPr>
              <w:pStyle w:val="Tabletext"/>
              <w:jc w:val="center"/>
              <w:rPr>
                <w:lang w:val="es-ES_tradnl"/>
              </w:rPr>
            </w:pPr>
            <w:r w:rsidRPr="00CA18C8">
              <w:rPr>
                <w:lang w:val="es-ES_tradnl"/>
              </w:rPr>
              <w:t>15</w:t>
            </w:r>
          </w:p>
        </w:tc>
        <w:tc>
          <w:tcPr>
            <w:tcW w:w="2852" w:type="dxa"/>
          </w:tcPr>
          <w:p w14:paraId="789ECD8F" w14:textId="77777777" w:rsidR="004337B5" w:rsidRPr="00CA18C8" w:rsidRDefault="004337B5" w:rsidP="00603810">
            <w:pPr>
              <w:pStyle w:val="Tabletext"/>
              <w:jc w:val="center"/>
              <w:rPr>
                <w:lang w:val="es-ES_tradnl"/>
              </w:rPr>
            </w:pPr>
            <w:bookmarkStart w:id="96" w:name="lt_pId191"/>
            <w:r w:rsidRPr="00CA18C8">
              <w:rPr>
                <w:lang w:val="es-ES_tradnl"/>
              </w:rPr>
              <w:t>Ecuación </w:t>
            </w:r>
            <w:r>
              <w:rPr>
                <w:lang w:val="es-ES_tradnl"/>
              </w:rPr>
              <w:t>(</w:t>
            </w:r>
            <w:r w:rsidRPr="00CA18C8">
              <w:rPr>
                <w:lang w:val="es-ES_tradnl"/>
              </w:rPr>
              <w:t>2a)</w:t>
            </w:r>
            <w:bookmarkEnd w:id="96"/>
          </w:p>
        </w:tc>
      </w:tr>
      <w:tr w:rsidR="004337B5" w:rsidRPr="00CA18C8" w14:paraId="33475081" w14:textId="77777777" w:rsidTr="00603810">
        <w:trPr>
          <w:cantSplit/>
          <w:trHeight w:val="372"/>
          <w:jc w:val="center"/>
        </w:trPr>
        <w:tc>
          <w:tcPr>
            <w:tcW w:w="2341" w:type="dxa"/>
          </w:tcPr>
          <w:p w14:paraId="77F094E9" w14:textId="63ED7302" w:rsidR="004337B5" w:rsidRPr="00CA18C8" w:rsidRDefault="004337B5" w:rsidP="00603810">
            <w:pPr>
              <w:pStyle w:val="Tabletext"/>
              <w:jc w:val="center"/>
              <w:rPr>
                <w:lang w:val="es-ES_tradnl"/>
              </w:rPr>
            </w:pPr>
            <w:bookmarkStart w:id="97" w:name="lt_pId192"/>
            <w:r w:rsidRPr="00CA18C8">
              <w:rPr>
                <w:lang w:val="es-ES_tradnl"/>
              </w:rPr>
              <w:t>Urbano denso</w:t>
            </w:r>
            <w:bookmarkEnd w:id="97"/>
          </w:p>
        </w:tc>
        <w:tc>
          <w:tcPr>
            <w:tcW w:w="2231" w:type="dxa"/>
          </w:tcPr>
          <w:p w14:paraId="638DB570" w14:textId="77777777" w:rsidR="004337B5" w:rsidRPr="00CA18C8" w:rsidRDefault="004337B5" w:rsidP="00603810">
            <w:pPr>
              <w:pStyle w:val="Tabletext"/>
              <w:jc w:val="center"/>
              <w:rPr>
                <w:lang w:val="es-ES_tradnl"/>
              </w:rPr>
            </w:pPr>
            <w:r w:rsidRPr="00CA18C8">
              <w:rPr>
                <w:lang w:val="es-ES_tradnl"/>
              </w:rPr>
              <w:t>20</w:t>
            </w:r>
          </w:p>
        </w:tc>
        <w:tc>
          <w:tcPr>
            <w:tcW w:w="2852" w:type="dxa"/>
          </w:tcPr>
          <w:p w14:paraId="4E768133" w14:textId="77777777" w:rsidR="004337B5" w:rsidRPr="00CA18C8" w:rsidRDefault="004337B5" w:rsidP="00603810">
            <w:pPr>
              <w:pStyle w:val="Tabletext"/>
              <w:jc w:val="center"/>
              <w:rPr>
                <w:lang w:val="es-ES_tradnl"/>
              </w:rPr>
            </w:pPr>
            <w:bookmarkStart w:id="98" w:name="lt_pId194"/>
            <w:r w:rsidRPr="00CA18C8">
              <w:rPr>
                <w:lang w:val="es-ES_tradnl"/>
              </w:rPr>
              <w:t>Ecuación (2a)</w:t>
            </w:r>
            <w:bookmarkEnd w:id="98"/>
          </w:p>
        </w:tc>
      </w:tr>
    </w:tbl>
    <w:p w14:paraId="51E82992" w14:textId="77777777" w:rsidR="004337B5" w:rsidRDefault="004337B5" w:rsidP="004337B5">
      <w:pPr>
        <w:pStyle w:val="Tablefin"/>
        <w:rPr>
          <w:lang w:val="es-ES_tradnl"/>
        </w:rPr>
      </w:pPr>
    </w:p>
    <w:p w14:paraId="528FB588" w14:textId="77777777" w:rsidR="004337B5" w:rsidRPr="00CA18C8" w:rsidRDefault="004337B5" w:rsidP="004337B5">
      <w:pPr>
        <w:pStyle w:val="Heading3"/>
        <w:rPr>
          <w:lang w:val="es-ES_tradnl"/>
        </w:rPr>
      </w:pPr>
      <w:r w:rsidRPr="00CA18C8">
        <w:rPr>
          <w:lang w:val="es-ES_tradnl"/>
        </w:rPr>
        <w:t>3.1.2</w:t>
      </w:r>
      <w:r w:rsidRPr="00CA18C8">
        <w:rPr>
          <w:lang w:val="es-ES_tradnl"/>
        </w:rPr>
        <w:tab/>
        <w:t>Descripción del modelo</w:t>
      </w:r>
    </w:p>
    <w:p w14:paraId="6E340708" w14:textId="77777777" w:rsidR="004337B5" w:rsidRDefault="004337B5" w:rsidP="004337B5">
      <w:pPr>
        <w:keepNext/>
        <w:rPr>
          <w:lang w:val="es-ES_tradnl"/>
        </w:rPr>
      </w:pPr>
      <w:bookmarkStart w:id="99" w:name="lt_pId197"/>
      <w:r w:rsidRPr="00CA18C8">
        <w:rPr>
          <w:lang w:val="es-ES_tradnl"/>
        </w:rPr>
        <w:t>El método emplea una aproximación de las pérdidas por difracción para una sola arista afilada como función de parámetro adimensional, ν, expresadas mediante:</w:t>
      </w:r>
      <w:bookmarkEnd w:id="99"/>
    </w:p>
    <w:p w14:paraId="5CFEBBEF" w14:textId="77777777" w:rsidR="004337B5" w:rsidRPr="00B200F9" w:rsidRDefault="004337B5" w:rsidP="004337B5">
      <w:pPr>
        <w:pStyle w:val="Equation"/>
        <w:rPr>
          <w:lang w:val="es-ES"/>
        </w:rPr>
      </w:pPr>
      <w:r w:rsidRPr="004337B5">
        <w:rPr>
          <w:lang w:val="es-ES"/>
        </w:rPr>
        <w:tab/>
      </w:r>
      <w:r w:rsidRPr="004337B5">
        <w:rPr>
          <w:lang w:val="es-ES"/>
        </w:rPr>
        <w:tab/>
      </w:r>
      <w:r w:rsidRPr="00E91C11">
        <w:rPr>
          <w:position w:val="-26"/>
        </w:rPr>
        <w:object w:dxaOrig="4340" w:dyaOrig="639" w14:anchorId="78857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31.25pt" o:ole="">
            <v:imagedata r:id="rId12" o:title=""/>
          </v:shape>
          <o:OLEObject Type="Embed" ProgID="Equation.3" ShapeID="_x0000_i1025" DrawAspect="Content" ObjectID="_1712122988" r:id="rId13"/>
        </w:object>
      </w:r>
      <w:r w:rsidRPr="00B200F9">
        <w:rPr>
          <w:lang w:val="es-ES"/>
        </w:rPr>
        <w:tab/>
        <w:t>(1)</w:t>
      </w:r>
    </w:p>
    <w:p w14:paraId="337CADBF" w14:textId="77777777" w:rsidR="004337B5" w:rsidRPr="00CA18C8" w:rsidRDefault="004337B5" w:rsidP="004337B5">
      <w:pPr>
        <w:rPr>
          <w:lang w:val="es-ES_tradnl"/>
        </w:rPr>
      </w:pPr>
      <w:bookmarkStart w:id="100" w:name="lt_pId199"/>
      <w:r w:rsidRPr="00CA18C8">
        <w:rPr>
          <w:lang w:val="es-ES_tradnl"/>
        </w:rPr>
        <w:t xml:space="preserve">Obsérvese que </w:t>
      </w:r>
      <w:r w:rsidRPr="00CA18C8">
        <w:rPr>
          <w:i/>
          <w:lang w:val="es-ES_tradnl"/>
        </w:rPr>
        <w:t>J</w:t>
      </w:r>
      <w:r w:rsidRPr="00CA18C8">
        <w:rPr>
          <w:lang w:val="es-ES_tradnl"/>
        </w:rPr>
        <w:t>(−0,78)</w:t>
      </w:r>
      <w:bookmarkEnd w:id="100"/>
      <w:r w:rsidRPr="00CA18C8">
        <w:rPr>
          <w:lang w:val="es-ES_tradnl"/>
        </w:rPr>
        <w:t> </w:t>
      </w:r>
      <w:r w:rsidRPr="00CA18C8">
        <w:rPr>
          <w:position w:val="-4"/>
          <w:lang w:val="es-ES_tradnl"/>
        </w:rPr>
        <w:object w:dxaOrig="204" w:dyaOrig="204" w14:anchorId="343A469A">
          <v:shape id="_x0000_i1026" type="#_x0000_t75" style="width:7.45pt;height:7.45pt" o:ole="">
            <v:imagedata r:id="rId14" o:title=""/>
          </v:shape>
          <o:OLEObject Type="Embed" ProgID="Equation.3" ShapeID="_x0000_i1026" DrawAspect="Content" ObjectID="_1712122989" r:id="rId15"/>
        </w:object>
      </w:r>
      <w:r w:rsidRPr="00CA18C8">
        <w:rPr>
          <w:lang w:val="es-ES_tradnl"/>
        </w:rPr>
        <w:t> </w:t>
      </w:r>
      <w:bookmarkStart w:id="101" w:name="lt_pId200"/>
      <w:r w:rsidRPr="00CA18C8">
        <w:rPr>
          <w:lang w:val="es-ES_tradnl"/>
        </w:rPr>
        <w:t>0, lo que define el límite inferior para el que se debe utilizar esta aproximación.</w:t>
      </w:r>
      <w:bookmarkEnd w:id="101"/>
      <w:r w:rsidRPr="00CA18C8">
        <w:rPr>
          <w:lang w:val="es-ES_tradnl"/>
        </w:rPr>
        <w:t xml:space="preserve"> </w:t>
      </w:r>
      <w:bookmarkStart w:id="102" w:name="lt_pId201"/>
      <w:r w:rsidRPr="00CA18C8">
        <w:rPr>
          <w:lang w:val="es-ES_tradnl"/>
        </w:rPr>
        <w:t xml:space="preserve">Para </w:t>
      </w:r>
      <w:r w:rsidRPr="00CA18C8">
        <w:rPr>
          <w:iCs/>
          <w:lang w:val="es-ES_tradnl"/>
        </w:rPr>
        <w:t>ν</w:t>
      </w:r>
      <w:r w:rsidRPr="00CA18C8">
        <w:rPr>
          <w:i/>
          <w:lang w:val="es-ES_tradnl"/>
        </w:rPr>
        <w:t> </w:t>
      </w:r>
      <w:r w:rsidRPr="00CA18C8">
        <w:rPr>
          <w:lang w:val="es-ES_tradnl"/>
        </w:rPr>
        <w:t xml:space="preserve">≤ −0,78, </w:t>
      </w:r>
      <w:r w:rsidRPr="00CA18C8">
        <w:rPr>
          <w:i/>
          <w:lang w:val="es-ES_tradnl"/>
        </w:rPr>
        <w:t>J</w:t>
      </w:r>
      <w:r w:rsidRPr="00CA18C8">
        <w:rPr>
          <w:lang w:val="es-ES_tradnl"/>
        </w:rPr>
        <w:t>(ν) se debe poner a cero.</w:t>
      </w:r>
      <w:bookmarkEnd w:id="102"/>
    </w:p>
    <w:p w14:paraId="51223DC5" w14:textId="77777777" w:rsidR="004337B5" w:rsidRPr="00CA18C8" w:rsidRDefault="004337B5" w:rsidP="004337B5">
      <w:pPr>
        <w:rPr>
          <w:lang w:val="es-ES_tradnl" w:eastAsia="zh-CN"/>
        </w:rPr>
      </w:pPr>
      <w:bookmarkStart w:id="103" w:name="lt_pId202"/>
      <w:r w:rsidRPr="00CA18C8">
        <w:rPr>
          <w:lang w:val="es-ES_tradnl"/>
        </w:rPr>
        <w:t>Cuando la antena del transmisor o del receptor est</w:t>
      </w:r>
      <w:r>
        <w:rPr>
          <w:lang w:val="es-ES_tradnl"/>
        </w:rPr>
        <w:t>é ubicada</w:t>
      </w:r>
      <w:r w:rsidRPr="00CA18C8">
        <w:rPr>
          <w:lang w:val="es-ES_tradnl"/>
        </w:rPr>
        <w:t xml:space="preserve"> por debajo de la altura </w:t>
      </w:r>
      <w:r w:rsidRPr="00CA18C8">
        <w:rPr>
          <w:i/>
          <w:lang w:val="es-ES_tradnl"/>
        </w:rPr>
        <w:t>R</w:t>
      </w:r>
      <w:r w:rsidRPr="00CA18C8">
        <w:rPr>
          <w:lang w:val="es-ES_tradnl"/>
        </w:rPr>
        <w:t xml:space="preserve"> </w:t>
      </w:r>
      <w:r>
        <w:rPr>
          <w:lang w:val="es-ES_tradnl"/>
        </w:rPr>
        <w:t>que representa</w:t>
      </w:r>
      <w:r w:rsidRPr="00CA18C8">
        <w:rPr>
          <w:lang w:val="es-ES_tradnl"/>
        </w:rPr>
        <w:t xml:space="preserve"> la cobertura del terreno alrededor del transmisor o del receptor, las estimaciones de las pérdidas adicionales, </w:t>
      </w:r>
      <w:r w:rsidRPr="00CA18C8">
        <w:rPr>
          <w:i/>
          <w:lang w:val="es-ES_tradnl"/>
        </w:rPr>
        <w:t>A</w:t>
      </w:r>
      <w:r w:rsidRPr="00CA18C8">
        <w:rPr>
          <w:i/>
          <w:vertAlign w:val="subscript"/>
          <w:lang w:val="es-ES_tradnl"/>
        </w:rPr>
        <w:t>h</w:t>
      </w:r>
      <w:r w:rsidRPr="00CA18C8">
        <w:rPr>
          <w:lang w:val="es-ES_tradnl"/>
        </w:rPr>
        <w:t xml:space="preserve">, </w:t>
      </w:r>
      <w:r w:rsidRPr="00CA18C8">
        <w:rPr>
          <w:color w:val="000000"/>
          <w:lang w:val="es-ES_tradnl"/>
        </w:rPr>
        <w:t>se calculan como se indica a continuación</w:t>
      </w:r>
      <w:bookmarkStart w:id="104" w:name="lt_pId203"/>
      <w:bookmarkEnd w:id="103"/>
      <w:r w:rsidRPr="00CA18C8">
        <w:rPr>
          <w:lang w:val="es-ES_tradnl"/>
        </w:rPr>
        <w:t>.</w:t>
      </w:r>
      <w:r w:rsidRPr="00CA18C8">
        <w:rPr>
          <w:rFonts w:ascii="Calibri" w:hAnsi="Calibri"/>
          <w:b/>
          <w:color w:val="800000"/>
          <w:sz w:val="22"/>
          <w:lang w:val="es-ES_tradnl"/>
        </w:rPr>
        <w:t xml:space="preserve"> </w:t>
      </w:r>
      <w:r w:rsidRPr="00CA18C8">
        <w:rPr>
          <w:lang w:val="es-ES_tradnl"/>
        </w:rPr>
        <w:t>Cuando est</w:t>
      </w:r>
      <w:r>
        <w:rPr>
          <w:lang w:val="es-ES_tradnl"/>
        </w:rPr>
        <w:t>é disponible</w:t>
      </w:r>
      <w:r w:rsidRPr="00CA18C8">
        <w:rPr>
          <w:lang w:val="es-ES_tradnl"/>
        </w:rPr>
        <w:t>, deben utilizarse las alturas representativas del obstáculo basadas en la información precisa sobre la altura del obstáculo, de lo contrario se debe utilizar el Cuadro 3.</w:t>
      </w:r>
      <w:bookmarkEnd w:id="104"/>
      <w:r w:rsidRPr="00CA18C8">
        <w:rPr>
          <w:lang w:val="es-ES_tradnl" w:eastAsia="zh-CN"/>
        </w:rPr>
        <w:t xml:space="preserve"> </w:t>
      </w:r>
      <w:bookmarkStart w:id="105" w:name="lt_pId204"/>
      <w:r w:rsidRPr="00CA18C8">
        <w:rPr>
          <w:lang w:val="es-ES_tradnl"/>
        </w:rPr>
        <w:t>El método para modelizar las pérdidas es idéntico para el transmisor y para el receptor.</w:t>
      </w:r>
      <w:bookmarkEnd w:id="105"/>
    </w:p>
    <w:p w14:paraId="29A8900D" w14:textId="77777777" w:rsidR="004337B5" w:rsidRDefault="004337B5" w:rsidP="004337B5">
      <w:pPr>
        <w:rPr>
          <w:lang w:val="es-ES_tradnl"/>
        </w:rPr>
      </w:pPr>
      <w:bookmarkStart w:id="106" w:name="lt_pId205"/>
      <w:r w:rsidRPr="00CA18C8">
        <w:rPr>
          <w:lang w:val="es-ES_tradnl"/>
        </w:rPr>
        <w:t xml:space="preserve">Si </w:t>
      </w:r>
      <w:r w:rsidRPr="00CA18C8">
        <w:rPr>
          <w:i/>
          <w:lang w:val="es-ES_tradnl"/>
        </w:rPr>
        <w:t>h</w:t>
      </w:r>
      <w:r w:rsidRPr="00CA18C8">
        <w:rPr>
          <w:lang w:val="es-ES_tradnl"/>
        </w:rPr>
        <w:t> </w:t>
      </w:r>
      <w:r w:rsidRPr="00CA18C8">
        <w:rPr>
          <w:rFonts w:ascii="Symbol" w:hAnsi="Symbol"/>
          <w:lang w:val="es-ES_tradnl"/>
        </w:rPr>
        <w:sym w:font="Symbol" w:char="F0B3"/>
      </w:r>
      <w:r w:rsidRPr="00CA18C8">
        <w:rPr>
          <w:lang w:val="es-ES_tradnl"/>
        </w:rPr>
        <w:t> </w:t>
      </w:r>
      <w:r w:rsidRPr="00CA18C8">
        <w:rPr>
          <w:i/>
          <w:lang w:val="es-ES_tradnl"/>
        </w:rPr>
        <w:t>R</w:t>
      </w:r>
      <w:r w:rsidRPr="00CA18C8">
        <w:rPr>
          <w:lang w:val="es-ES_tradnl"/>
        </w:rPr>
        <w:t xml:space="preserve"> entonces </w:t>
      </w:r>
      <w:r w:rsidRPr="00CA18C8">
        <w:rPr>
          <w:i/>
          <w:lang w:val="es-ES_tradnl"/>
        </w:rPr>
        <w:t>A</w:t>
      </w:r>
      <w:r w:rsidRPr="00CA18C8">
        <w:rPr>
          <w:i/>
          <w:vertAlign w:val="subscript"/>
          <w:lang w:val="es-ES_tradnl"/>
        </w:rPr>
        <w:t>h</w:t>
      </w:r>
      <w:r w:rsidRPr="00CA18C8">
        <w:rPr>
          <w:lang w:val="es-ES_tradnl"/>
        </w:rPr>
        <w:t> = 0.</w:t>
      </w:r>
      <w:bookmarkStart w:id="107" w:name="lt_pId206"/>
      <w:bookmarkEnd w:id="106"/>
    </w:p>
    <w:p w14:paraId="42AB0243" w14:textId="77777777" w:rsidR="004337B5" w:rsidRDefault="004337B5" w:rsidP="004337B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35829F61" w14:textId="77777777" w:rsidR="004337B5" w:rsidRDefault="004337B5" w:rsidP="004337B5">
      <w:pPr>
        <w:rPr>
          <w:lang w:val="es-ES_tradnl"/>
        </w:rPr>
      </w:pPr>
      <w:r w:rsidRPr="00CA18C8">
        <w:rPr>
          <w:lang w:val="es-ES_tradnl"/>
        </w:rPr>
        <w:lastRenderedPageBreak/>
        <w:t xml:space="preserve">Si </w:t>
      </w:r>
      <w:r w:rsidRPr="00CA18C8">
        <w:rPr>
          <w:i/>
          <w:lang w:val="es-ES_tradnl"/>
        </w:rPr>
        <w:t>h</w:t>
      </w:r>
      <w:r w:rsidRPr="00CA18C8">
        <w:rPr>
          <w:lang w:val="es-ES_tradnl"/>
        </w:rPr>
        <w:t> &lt; </w:t>
      </w:r>
      <w:r w:rsidRPr="00CA18C8">
        <w:rPr>
          <w:i/>
          <w:lang w:val="es-ES_tradnl"/>
        </w:rPr>
        <w:t>R</w:t>
      </w:r>
      <w:r w:rsidRPr="00CA18C8">
        <w:rPr>
          <w:lang w:val="es-ES_tradnl"/>
        </w:rPr>
        <w:t xml:space="preserve"> entonces </w:t>
      </w:r>
      <w:r w:rsidRPr="00CA18C8">
        <w:rPr>
          <w:i/>
          <w:lang w:val="es-ES_tradnl"/>
        </w:rPr>
        <w:t>A</w:t>
      </w:r>
      <w:r w:rsidRPr="00CA18C8">
        <w:rPr>
          <w:i/>
          <w:vertAlign w:val="subscript"/>
          <w:lang w:val="es-ES_tradnl"/>
        </w:rPr>
        <w:t>h</w:t>
      </w:r>
      <w:r w:rsidRPr="00CA18C8">
        <w:rPr>
          <w:lang w:val="es-ES_tradnl"/>
        </w:rPr>
        <w:t xml:space="preserve"> puede tomar una de las siguientes dos formas, dependiendo del tipo ocupación del suelo (véase el Cuadro 3):</w:t>
      </w:r>
      <w:bookmarkEnd w:id="107"/>
    </w:p>
    <w:p w14:paraId="6F291A50" w14:textId="77777777" w:rsidR="004337B5" w:rsidRPr="004337B5" w:rsidRDefault="004337B5" w:rsidP="004337B5">
      <w:pPr>
        <w:pStyle w:val="Blanc"/>
        <w:rPr>
          <w:lang w:val="es-ES"/>
        </w:rPr>
      </w:pPr>
    </w:p>
    <w:p w14:paraId="16E3533F" w14:textId="77777777" w:rsidR="004337B5" w:rsidRPr="004337B5" w:rsidRDefault="004337B5" w:rsidP="004337B5">
      <w:pPr>
        <w:pStyle w:val="Equation"/>
        <w:rPr>
          <w:lang w:val="es-ES"/>
        </w:rPr>
      </w:pPr>
      <w:r w:rsidRPr="004337B5">
        <w:rPr>
          <w:lang w:val="es-ES" w:eastAsia="zh-CN"/>
        </w:rPr>
        <w:tab/>
      </w:r>
      <w:r w:rsidRPr="004337B5">
        <w:rPr>
          <w:lang w:val="es-ES" w:eastAsia="zh-CN"/>
        </w:rPr>
        <w:tab/>
      </w:r>
      <m:oMath>
        <m:sSub>
          <m:sSubPr>
            <m:ctrlPr>
              <w:rPr>
                <w:rFonts w:ascii="Cambria Math" w:hAnsi="Cambria Math"/>
              </w:rPr>
            </m:ctrlPr>
          </m:sSubPr>
          <m:e>
            <m:r>
              <w:rPr>
                <w:rFonts w:ascii="Cambria Math" w:hAnsi="Cambria Math"/>
              </w:rPr>
              <m:t>A</m:t>
            </m:r>
          </m:e>
          <m:sub>
            <m:r>
              <w:rPr>
                <w:rFonts w:ascii="Cambria Math" w:hAnsi="Cambria Math"/>
                <w:lang w:val="es-ES"/>
              </w:rPr>
              <m:t>h</m:t>
            </m:r>
          </m:sub>
        </m:sSub>
        <m:r>
          <m:rPr>
            <m:sty m:val="p"/>
          </m:rPr>
          <w:rPr>
            <w:rFonts w:ascii="Cambria Math" w:hAnsi="Cambria Math"/>
            <w:lang w:val="es-ES"/>
          </w:rPr>
          <m:t>=</m:t>
        </m:r>
        <m:r>
          <w:rPr>
            <w:rFonts w:ascii="Cambria Math" w:hAnsi="Cambria Math"/>
          </w:rPr>
          <m:t>J</m:t>
        </m:r>
        <m:d>
          <m:dPr>
            <m:ctrlPr>
              <w:rPr>
                <w:rFonts w:ascii="Cambria Math" w:hAnsi="Cambria Math"/>
              </w:rPr>
            </m:ctrlPr>
          </m:dPr>
          <m:e>
            <m:r>
              <w:rPr>
                <w:rFonts w:ascii="Cambria Math" w:hAnsi="Cambria Math"/>
              </w:rPr>
              <m:t>v</m:t>
            </m:r>
          </m:e>
        </m:d>
        <m:r>
          <m:rPr>
            <m:sty m:val="p"/>
          </m:rPr>
          <w:rPr>
            <w:rFonts w:ascii="Cambria Math" w:hAnsi="Cambria Math"/>
            <w:lang w:val="es-ES"/>
          </w:rPr>
          <m:t>-6,03                     dB</m:t>
        </m:r>
      </m:oMath>
      <w:r w:rsidRPr="004337B5">
        <w:rPr>
          <w:lang w:val="es-ES"/>
        </w:rPr>
        <w:tab/>
        <w:t>(2a)</w:t>
      </w:r>
    </w:p>
    <w:p w14:paraId="29FD45D2" w14:textId="77777777" w:rsidR="004337B5" w:rsidRPr="004337B5" w:rsidRDefault="004337B5" w:rsidP="004337B5">
      <w:pPr>
        <w:rPr>
          <w:lang w:val="es-ES"/>
        </w:rPr>
      </w:pPr>
      <w:r w:rsidRPr="004337B5">
        <w:rPr>
          <w:lang w:val="es-ES"/>
        </w:rPr>
        <w:t>o:</w:t>
      </w:r>
    </w:p>
    <w:p w14:paraId="746C4A06" w14:textId="77777777" w:rsidR="004337B5" w:rsidRPr="004337B5" w:rsidRDefault="004337B5" w:rsidP="004337B5">
      <w:pPr>
        <w:pStyle w:val="Equation"/>
        <w:rPr>
          <w:lang w:val="es-ES"/>
        </w:rPr>
      </w:pPr>
      <w:r w:rsidRPr="004337B5">
        <w:rPr>
          <w:lang w:val="es-ES"/>
        </w:rPr>
        <w:tab/>
      </w:r>
      <w:r w:rsidRPr="004337B5">
        <w:rPr>
          <w:lang w:val="es-ES"/>
        </w:rPr>
        <w:tab/>
      </w:r>
      <m:oMath>
        <m:sSub>
          <m:sSubPr>
            <m:ctrlPr>
              <w:rPr>
                <w:rFonts w:ascii="Cambria Math" w:hAnsi="Cambria Math"/>
                <w:i/>
              </w:rPr>
            </m:ctrlPr>
          </m:sSubPr>
          <m:e>
            <m:r>
              <w:rPr>
                <w:rFonts w:ascii="Cambria Math" w:hAnsi="Cambria Math"/>
              </w:rPr>
              <m:t>A</m:t>
            </m:r>
          </m:e>
          <m:sub>
            <m:r>
              <w:rPr>
                <w:rFonts w:ascii="Cambria Math" w:hAnsi="Cambria Math"/>
                <w:lang w:val="es-ES"/>
              </w:rPr>
              <m:t>h</m:t>
            </m:r>
          </m:sub>
        </m:sSub>
        <m:r>
          <w:rPr>
            <w:rFonts w:ascii="Cambria Math" w:hAnsi="Cambria Math"/>
            <w:lang w:val="es-ES"/>
          </w:rPr>
          <m:t>=-</m:t>
        </m:r>
        <m:sSub>
          <m:sSubPr>
            <m:ctrlPr>
              <w:rPr>
                <w:rFonts w:ascii="Cambria Math" w:hAnsi="Cambria Math"/>
                <w:i/>
              </w:rPr>
            </m:ctrlPr>
          </m:sSubPr>
          <m:e>
            <m:r>
              <w:rPr>
                <w:rFonts w:ascii="Cambria Math" w:hAnsi="Cambria Math"/>
              </w:rPr>
              <m:t>K</m:t>
            </m:r>
          </m:e>
          <m:sub>
            <m:r>
              <w:rPr>
                <w:rFonts w:ascii="Cambria Math" w:hAnsi="Cambria Math"/>
                <w:lang w:val="es-ES"/>
              </w:rPr>
              <m:t>h</m:t>
            </m:r>
            <m:r>
              <w:rPr>
                <w:rFonts w:ascii="Cambria Math" w:hAnsi="Cambria Math"/>
                <w:lang w:val="es-ES"/>
              </w:rPr>
              <m:t>2</m:t>
            </m:r>
          </m:sub>
        </m:sSub>
        <m:func>
          <m:funcPr>
            <m:ctrlPr>
              <w:rPr>
                <w:rFonts w:ascii="Cambria Math" w:hAnsi="Cambria Math"/>
                <w:i/>
              </w:rPr>
            </m:ctrlPr>
          </m:funcPr>
          <m:fName>
            <m:r>
              <m:rPr>
                <m:sty m:val="p"/>
              </m:rPr>
              <w:rPr>
                <w:rFonts w:ascii="Cambria Math" w:hAnsi="Cambria Math"/>
                <w:lang w:val="es-ES"/>
              </w:rPr>
              <m:t>log</m:t>
            </m:r>
          </m:fName>
          <m:e>
            <m:r>
              <w:rPr>
                <w:rFonts w:ascii="Cambria Math" w:hAnsi="Cambria Math"/>
                <w:lang w:val="es-ES"/>
              </w:rPr>
              <m:t>(h/</m:t>
            </m:r>
            <m:r>
              <w:rPr>
                <w:rFonts w:ascii="Cambria Math" w:hAnsi="Cambria Math"/>
              </w:rPr>
              <m:t>R</m:t>
            </m:r>
            <m:r>
              <w:rPr>
                <w:rFonts w:ascii="Cambria Math" w:hAnsi="Cambria Math"/>
                <w:lang w:val="es-ES"/>
              </w:rPr>
              <m:t xml:space="preserve">)               </m:t>
            </m:r>
            <m:r>
              <m:rPr>
                <m:sty m:val="p"/>
              </m:rPr>
              <w:rPr>
                <w:rFonts w:ascii="Cambria Math" w:hAnsi="Cambria Math"/>
                <w:lang w:val="es-ES"/>
              </w:rPr>
              <m:t>dB</m:t>
            </m:r>
          </m:e>
        </m:func>
      </m:oMath>
      <w:r w:rsidRPr="004337B5">
        <w:rPr>
          <w:lang w:val="es-ES"/>
        </w:rPr>
        <w:tab/>
        <w:t>(2b)</w:t>
      </w:r>
    </w:p>
    <w:p w14:paraId="7960C5FB" w14:textId="77777777" w:rsidR="004337B5" w:rsidRPr="004337B5" w:rsidRDefault="004337B5" w:rsidP="004337B5">
      <w:pPr>
        <w:pStyle w:val="Blanc"/>
        <w:rPr>
          <w:lang w:val="es-ES"/>
        </w:rPr>
      </w:pPr>
    </w:p>
    <w:p w14:paraId="10982D7D" w14:textId="77777777" w:rsidR="004337B5" w:rsidRPr="00CA18C8" w:rsidRDefault="004337B5" w:rsidP="004337B5">
      <w:pPr>
        <w:rPr>
          <w:lang w:val="es-ES_tradnl"/>
        </w:rPr>
      </w:pPr>
      <w:bookmarkStart w:id="108" w:name="lt_pId212"/>
      <w:r w:rsidRPr="00CA18C8">
        <w:rPr>
          <w:i/>
          <w:lang w:val="es-ES_tradnl"/>
        </w:rPr>
        <w:t>J</w:t>
      </w:r>
      <w:r w:rsidRPr="00CA18C8">
        <w:rPr>
          <w:lang w:val="es-ES_tradnl"/>
        </w:rPr>
        <w:t>(ν) se calcula mediante la ecuación (1).</w:t>
      </w:r>
      <w:bookmarkEnd w:id="108"/>
    </w:p>
    <w:p w14:paraId="3915DF44" w14:textId="77777777" w:rsidR="004337B5" w:rsidRDefault="004337B5" w:rsidP="004337B5">
      <w:pPr>
        <w:rPr>
          <w:lang w:val="es-ES_tradnl"/>
        </w:rPr>
      </w:pPr>
      <w:bookmarkStart w:id="109" w:name="lt_pId213"/>
      <w:r w:rsidRPr="00CA18C8">
        <w:rPr>
          <w:lang w:val="es-ES_tradnl"/>
        </w:rPr>
        <w:t xml:space="preserve">Los términos ν y </w:t>
      </w:r>
      <w:r w:rsidRPr="00CA18C8">
        <w:rPr>
          <w:rFonts w:cs="Arial"/>
          <w:i/>
          <w:lang w:val="es-ES_tradnl"/>
        </w:rPr>
        <w:t>K</w:t>
      </w:r>
      <w:r w:rsidRPr="00CA18C8">
        <w:rPr>
          <w:rFonts w:cs="Arial"/>
          <w:i/>
          <w:vertAlign w:val="subscript"/>
          <w:lang w:val="es-ES_tradnl"/>
        </w:rPr>
        <w:t>h</w:t>
      </w:r>
      <w:r w:rsidRPr="00CA18C8">
        <w:rPr>
          <w:rFonts w:cs="Arial"/>
          <w:iCs/>
          <w:vertAlign w:val="subscript"/>
          <w:lang w:val="es-ES_tradnl"/>
        </w:rPr>
        <w:t>2</w:t>
      </w:r>
      <w:r w:rsidRPr="00CA18C8">
        <w:rPr>
          <w:lang w:val="es-ES_tradnl"/>
        </w:rPr>
        <w:t xml:space="preserve"> vienen dados por:</w:t>
      </w:r>
      <w:bookmarkEnd w:id="109"/>
    </w:p>
    <w:p w14:paraId="1722F8CA" w14:textId="77777777" w:rsidR="004337B5" w:rsidRPr="00B200F9" w:rsidRDefault="004337B5" w:rsidP="004337B5">
      <w:pPr>
        <w:pStyle w:val="Equation"/>
        <w:rPr>
          <w:lang w:val="es-ES" w:eastAsia="zh-CN"/>
        </w:rPr>
      </w:pPr>
      <w:r w:rsidRPr="004337B5">
        <w:rPr>
          <w:lang w:val="es-ES"/>
        </w:rPr>
        <w:tab/>
      </w:r>
      <w:r w:rsidRPr="004337B5">
        <w:rPr>
          <w:lang w:val="es-ES"/>
        </w:rPr>
        <w:tab/>
      </w:r>
      <w:r w:rsidRPr="00605B6B">
        <w:rPr>
          <w:position w:val="-18"/>
        </w:rPr>
        <w:object w:dxaOrig="1960" w:dyaOrig="460" w14:anchorId="3AB34827">
          <v:shape id="_x0000_i1027" type="#_x0000_t75" style="width:95.75pt;height:23.1pt" o:ole="">
            <v:imagedata r:id="rId16" o:title=""/>
          </v:shape>
          <o:OLEObject Type="Embed" ProgID="Equation.3" ShapeID="_x0000_i1027" DrawAspect="Content" ObjectID="_1712122990" r:id="rId17"/>
        </w:object>
      </w:r>
      <w:r w:rsidRPr="00B200F9">
        <w:rPr>
          <w:lang w:val="es-ES" w:eastAsia="zh-CN"/>
        </w:rPr>
        <w:tab/>
        <w:t>(2c)</w:t>
      </w:r>
    </w:p>
    <w:p w14:paraId="33AF22FE" w14:textId="170214E4" w:rsidR="004337B5" w:rsidRPr="00B200F9" w:rsidRDefault="004337B5" w:rsidP="004337B5">
      <w:pPr>
        <w:pStyle w:val="Equation"/>
        <w:rPr>
          <w:lang w:val="es-ES" w:eastAsia="zh-CN"/>
        </w:rPr>
      </w:pPr>
      <w:r w:rsidRPr="00B200F9">
        <w:rPr>
          <w:lang w:val="es-ES" w:eastAsia="zh-CN"/>
        </w:rPr>
        <w:tab/>
      </w:r>
      <w:r w:rsidRPr="00B200F9">
        <w:rPr>
          <w:lang w:val="es-ES" w:eastAsia="zh-CN"/>
        </w:rPr>
        <w:tab/>
      </w:r>
      <w:r w:rsidRPr="00605B6B">
        <w:rPr>
          <w:position w:val="-14"/>
        </w:rPr>
        <w:object w:dxaOrig="1219" w:dyaOrig="380" w14:anchorId="0AE3E194">
          <v:shape id="_x0000_i1028" type="#_x0000_t75" style="width:61.15pt;height:19.7pt" o:ole="">
            <v:imagedata r:id="rId18" o:title=""/>
          </v:shape>
          <o:OLEObject Type="Embed" ProgID="Equation.3" ShapeID="_x0000_i1028" DrawAspect="Content" ObjectID="_1712122991" r:id="rId19"/>
        </w:object>
      </w:r>
      <w:r w:rsidRPr="00B200F9">
        <w:rPr>
          <w:lang w:val="es-ES" w:eastAsia="zh-CN"/>
        </w:rPr>
        <w:t xml:space="preserve"> m</w:t>
      </w:r>
      <w:r w:rsidRPr="00B200F9">
        <w:rPr>
          <w:lang w:val="es-ES" w:eastAsia="zh-CN"/>
        </w:rPr>
        <w:tab/>
        <w:t>(2d)</w:t>
      </w:r>
    </w:p>
    <w:p w14:paraId="60DE3A4C" w14:textId="77777777" w:rsidR="004337B5" w:rsidRPr="00605B6B" w:rsidRDefault="004337B5" w:rsidP="004337B5">
      <w:pPr>
        <w:tabs>
          <w:tab w:val="clear" w:pos="1191"/>
          <w:tab w:val="clear" w:pos="1588"/>
          <w:tab w:val="clear" w:pos="1985"/>
          <w:tab w:val="center" w:pos="4820"/>
          <w:tab w:val="right" w:pos="9639"/>
        </w:tabs>
        <w:rPr>
          <w:lang w:val="es-ES_tradnl"/>
        </w:rPr>
      </w:pPr>
      <w:r w:rsidRPr="00EC733F">
        <w:rPr>
          <w:lang w:val="es-ES_tradnl"/>
        </w:rPr>
        <w:tab/>
      </w:r>
      <w:r w:rsidRPr="00EC733F">
        <w:rPr>
          <w:lang w:val="es-ES_tradnl"/>
        </w:rPr>
        <w:tab/>
      </w:r>
      <w:r w:rsidRPr="00EC733F">
        <w:rPr>
          <w:position w:val="-32"/>
          <w:lang w:val="es-ES_tradnl"/>
        </w:rPr>
        <w:object w:dxaOrig="1741" w:dyaOrig="784" w14:anchorId="6351A356">
          <v:shape id="_x0000_i1029" type="#_x0000_t75" style="width:95.1pt;height:39.4pt" o:ole="">
            <v:imagedata r:id="rId20" o:title=""/>
          </v:shape>
          <o:OLEObject Type="Embed" ProgID="Equation.3" ShapeID="_x0000_i1029" DrawAspect="Content" ObjectID="_1712122992" r:id="rId21"/>
        </w:object>
      </w:r>
      <w:r w:rsidRPr="00EC733F">
        <w:rPr>
          <w:lang w:val="es-ES_tradnl"/>
        </w:rPr>
        <w:t> grados</w:t>
      </w:r>
      <w:r w:rsidRPr="00EC733F">
        <w:rPr>
          <w:lang w:val="es-ES_tradnl"/>
        </w:rPr>
        <w:tab/>
      </w:r>
      <w:bookmarkStart w:id="110" w:name="lt_pId218"/>
      <w:r w:rsidRPr="00EC733F">
        <w:rPr>
          <w:lang w:val="es-ES_tradnl"/>
        </w:rPr>
        <w:t>(2e)</w:t>
      </w:r>
      <w:bookmarkEnd w:id="110"/>
    </w:p>
    <w:p w14:paraId="486F4F26" w14:textId="77777777" w:rsidR="004337B5" w:rsidRPr="004337B5" w:rsidRDefault="004337B5" w:rsidP="004337B5">
      <w:pPr>
        <w:pStyle w:val="Equation"/>
        <w:rPr>
          <w:lang w:val="en-GB" w:eastAsia="zh-CN"/>
        </w:rPr>
      </w:pPr>
      <w:r w:rsidRPr="00B200F9">
        <w:rPr>
          <w:lang w:val="es-ES" w:eastAsia="zh-CN"/>
        </w:rPr>
        <w:tab/>
      </w:r>
      <w:r w:rsidRPr="00B200F9">
        <w:rPr>
          <w:lang w:val="es-ES" w:eastAsia="zh-CN"/>
        </w:rPr>
        <w:tab/>
      </w:r>
      <m:oMath>
        <m:sSub>
          <m:sSubPr>
            <m:ctrlPr>
              <w:rPr>
                <w:rFonts w:ascii="Cambria Math" w:hAnsi="Cambria Math"/>
                <w:i/>
              </w:rPr>
            </m:ctrlPr>
          </m:sSubPr>
          <m:e>
            <m:r>
              <w:rPr>
                <w:rFonts w:ascii="Cambria Math" w:hAnsi="Cambria Math"/>
              </w:rPr>
              <m:t>K</m:t>
            </m:r>
          </m:e>
          <m:sub>
            <m:r>
              <w:rPr>
                <w:rFonts w:ascii="Cambria Math" w:hAnsi="Cambria Math"/>
                <w:lang w:val="en-GB"/>
              </w:rPr>
              <m:t>h</m:t>
            </m:r>
            <m:r>
              <w:rPr>
                <w:rFonts w:ascii="Cambria Math" w:hAnsi="Cambria Math"/>
                <w:lang w:val="en-GB"/>
              </w:rPr>
              <m:t>2</m:t>
            </m:r>
          </m:sub>
        </m:sSub>
        <m:r>
          <w:rPr>
            <w:rFonts w:ascii="Cambria Math" w:hAnsi="Cambria Math"/>
            <w:lang w:val="en-GB"/>
          </w:rPr>
          <m:t>=21,8+6,2</m:t>
        </m:r>
        <m:func>
          <m:funcPr>
            <m:ctrlPr>
              <w:rPr>
                <w:rFonts w:ascii="Cambria Math" w:hAnsi="Cambria Math"/>
                <w:i/>
              </w:rPr>
            </m:ctrlPr>
          </m:funcPr>
          <m:fName>
            <m:r>
              <m:rPr>
                <m:sty m:val="p"/>
              </m:rPr>
              <w:rPr>
                <w:rFonts w:ascii="Cambria Math" w:hAnsi="Cambria Math"/>
                <w:lang w:val="en-GB"/>
              </w:rPr>
              <m:t>log</m:t>
            </m:r>
          </m:fName>
          <m:e>
            <m:d>
              <m:dPr>
                <m:ctrlPr>
                  <w:rPr>
                    <w:rFonts w:ascii="Cambria Math" w:hAnsi="Cambria Math"/>
                    <w:i/>
                  </w:rPr>
                </m:ctrlPr>
              </m:dPr>
              <m:e>
                <m:r>
                  <w:rPr>
                    <w:rFonts w:ascii="Cambria Math" w:hAnsi="Cambria Math"/>
                  </w:rPr>
                  <m:t>f</m:t>
                </m:r>
              </m:e>
            </m:d>
          </m:e>
        </m:func>
      </m:oMath>
      <w:r w:rsidRPr="004337B5">
        <w:rPr>
          <w:lang w:val="en-GB" w:eastAsia="zh-CN"/>
        </w:rPr>
        <w:tab/>
        <w:t>(2f)</w:t>
      </w:r>
    </w:p>
    <w:p w14:paraId="713C40F7" w14:textId="77777777" w:rsidR="004337B5" w:rsidRPr="004337B5" w:rsidRDefault="004337B5" w:rsidP="004337B5">
      <w:pPr>
        <w:pStyle w:val="Equation"/>
        <w:rPr>
          <w:lang w:val="en-GB" w:eastAsia="zh-CN"/>
        </w:rPr>
      </w:pPr>
      <w:r w:rsidRPr="004337B5">
        <w:rPr>
          <w:lang w:val="en-GB" w:eastAsia="zh-CN"/>
        </w:rPr>
        <w:tab/>
      </w:r>
      <w:r w:rsidRPr="004337B5">
        <w:rPr>
          <w:lang w:val="en-GB" w:eastAsia="zh-CN"/>
        </w:rPr>
        <w:tab/>
      </w:r>
      <m:oMath>
        <m:sSub>
          <m:sSubPr>
            <m:ctrlPr>
              <w:rPr>
                <w:rFonts w:ascii="Cambria Math" w:hAnsi="Cambria Math"/>
                <w:i/>
              </w:rPr>
            </m:ctrlPr>
          </m:sSubPr>
          <m:e>
            <m:r>
              <w:rPr>
                <w:rFonts w:ascii="Cambria Math" w:hAnsi="Cambria Math"/>
              </w:rPr>
              <m:t>K</m:t>
            </m:r>
          </m:e>
          <m:sub>
            <m:r>
              <w:rPr>
                <w:rFonts w:ascii="Cambria Math" w:hAnsi="Cambria Math"/>
              </w:rPr>
              <m:t>nu</m:t>
            </m:r>
          </m:sub>
        </m:sSub>
        <m:r>
          <w:rPr>
            <w:rFonts w:ascii="Cambria Math" w:hAnsi="Cambria Math"/>
            <w:lang w:val="en-GB"/>
          </w:rPr>
          <m:t>=0,342</m:t>
        </m:r>
        <m:rad>
          <m:radPr>
            <m:degHide m:val="1"/>
            <m:ctrlPr>
              <w:rPr>
                <w:rFonts w:ascii="Cambria Math" w:hAnsi="Cambria Math"/>
                <w:i/>
              </w:rPr>
            </m:ctrlPr>
          </m:radPr>
          <m:deg/>
          <m:e>
            <m:r>
              <w:rPr>
                <w:rFonts w:ascii="Cambria Math" w:hAnsi="Cambria Math"/>
              </w:rPr>
              <m:t>f</m:t>
            </m:r>
          </m:e>
        </m:rad>
      </m:oMath>
      <w:r w:rsidRPr="004337B5">
        <w:rPr>
          <w:lang w:val="en-GB" w:eastAsia="zh-CN"/>
        </w:rPr>
        <w:tab/>
        <w:t>(2g)</w:t>
      </w:r>
    </w:p>
    <w:p w14:paraId="2F952D9B" w14:textId="77777777" w:rsidR="004337B5" w:rsidRPr="00CA18C8" w:rsidRDefault="004337B5" w:rsidP="004337B5">
      <w:pPr>
        <w:spacing w:before="0"/>
        <w:rPr>
          <w:lang w:val="es-ES_tradnl"/>
        </w:rPr>
      </w:pPr>
      <w:bookmarkStart w:id="111" w:name="lt_pId221"/>
      <w:r>
        <w:rPr>
          <w:lang w:val="es-ES_tradnl"/>
        </w:rPr>
        <w:t>s</w:t>
      </w:r>
      <w:r w:rsidRPr="00CA18C8">
        <w:rPr>
          <w:lang w:val="es-ES_tradnl"/>
        </w:rPr>
        <w:t>iendo:</w:t>
      </w:r>
      <w:bookmarkEnd w:id="111"/>
    </w:p>
    <w:p w14:paraId="0903601D" w14:textId="77777777" w:rsidR="004337B5" w:rsidRPr="00CA18C8" w:rsidRDefault="004337B5" w:rsidP="004337B5">
      <w:pPr>
        <w:pStyle w:val="Equationlegend"/>
        <w:tabs>
          <w:tab w:val="left" w:pos="2410"/>
        </w:tabs>
        <w:spacing w:before="0"/>
        <w:rPr>
          <w:lang w:val="es-ES_tradnl"/>
        </w:rPr>
      </w:pPr>
      <w:r w:rsidRPr="00CA18C8">
        <w:rPr>
          <w:lang w:val="es-ES_tradnl"/>
        </w:rPr>
        <w:tab/>
      </w:r>
      <w:bookmarkStart w:id="112" w:name="lt_pId222"/>
      <w:r w:rsidRPr="00CA18C8">
        <w:rPr>
          <w:i/>
          <w:iCs/>
          <w:lang w:val="es-ES_tradnl"/>
        </w:rPr>
        <w:t>f</w:t>
      </w:r>
      <w:r w:rsidRPr="00CA18C8">
        <w:rPr>
          <w:lang w:val="es-ES_tradnl"/>
        </w:rPr>
        <w:t>:</w:t>
      </w:r>
      <w:bookmarkEnd w:id="112"/>
      <w:r w:rsidRPr="00CA18C8">
        <w:rPr>
          <w:lang w:val="es-ES_tradnl"/>
        </w:rPr>
        <w:tab/>
      </w:r>
      <w:bookmarkStart w:id="113" w:name="lt_pId223"/>
      <w:r w:rsidRPr="00CA18C8">
        <w:rPr>
          <w:lang w:val="es-ES_tradnl"/>
        </w:rPr>
        <w:t>frecuencia (GHz)</w:t>
      </w:r>
      <w:bookmarkEnd w:id="113"/>
    </w:p>
    <w:p w14:paraId="618AF2FA" w14:textId="77777777" w:rsidR="004337B5" w:rsidRPr="00CA18C8" w:rsidRDefault="004337B5" w:rsidP="004337B5">
      <w:pPr>
        <w:pStyle w:val="Equationlegend"/>
        <w:rPr>
          <w:lang w:val="es-ES_tradnl"/>
        </w:rPr>
      </w:pPr>
      <w:r w:rsidRPr="00CA18C8">
        <w:rPr>
          <w:i/>
          <w:iCs/>
          <w:lang w:val="es-ES_tradnl"/>
        </w:rPr>
        <w:tab/>
      </w:r>
      <w:bookmarkStart w:id="114" w:name="lt_pId224"/>
      <w:r w:rsidRPr="00CA18C8">
        <w:rPr>
          <w:i/>
          <w:iCs/>
          <w:lang w:val="es-ES_tradnl"/>
        </w:rPr>
        <w:t>w</w:t>
      </w:r>
      <w:r w:rsidRPr="00CA18C8">
        <w:rPr>
          <w:i/>
          <w:iCs/>
          <w:vertAlign w:val="subscript"/>
          <w:lang w:val="es-ES_tradnl"/>
        </w:rPr>
        <w:t>s</w:t>
      </w:r>
      <w:r w:rsidRPr="00CA18C8">
        <w:rPr>
          <w:lang w:val="es-ES_tradnl"/>
        </w:rPr>
        <w:t>:</w:t>
      </w:r>
      <w:bookmarkEnd w:id="114"/>
      <w:r w:rsidRPr="00CA18C8">
        <w:rPr>
          <w:lang w:val="es-ES_tradnl"/>
        </w:rPr>
        <w:tab/>
      </w:r>
      <w:bookmarkStart w:id="115" w:name="lt_pId226"/>
      <w:r w:rsidRPr="00CA18C8">
        <w:rPr>
          <w:lang w:val="es-ES_tradnl"/>
        </w:rPr>
        <w:t>está relacionada con la anchura de la calle en (metros). Debe tener el valor 27, salvo que se disponga de información local específica.</w:t>
      </w:r>
      <w:bookmarkEnd w:id="115"/>
    </w:p>
    <w:p w14:paraId="2A9854BC" w14:textId="77777777" w:rsidR="004337B5" w:rsidRPr="00CA18C8" w:rsidRDefault="004337B5" w:rsidP="004337B5">
      <w:pPr>
        <w:rPr>
          <w:lang w:val="es-ES_tradnl"/>
        </w:rPr>
      </w:pPr>
      <w:bookmarkStart w:id="116" w:name="lt_pId227"/>
      <w:r w:rsidRPr="00CA18C8">
        <w:rPr>
          <w:lang w:val="es-ES_tradnl"/>
        </w:rPr>
        <w:t xml:space="preserve">La forma expresada en la ecuación (2a) </w:t>
      </w:r>
      <w:bookmarkStart w:id="117" w:name="lt_pId228"/>
      <w:bookmarkEnd w:id="116"/>
      <w:r w:rsidRPr="00CA18C8">
        <w:rPr>
          <w:lang w:val="es-ES_tradnl"/>
        </w:rPr>
        <w:t>representa las pérdidas por difracción de Fresnel cuando se pasa sobre un obstáculo, y se aplicaría a categorías de ocupación del suelo tales como edificios. En particular, los entornos urbanos corresponden a este tipo.</w:t>
      </w:r>
      <w:bookmarkEnd w:id="117"/>
    </w:p>
    <w:p w14:paraId="30F78A10" w14:textId="77777777" w:rsidR="004337B5" w:rsidRPr="00CA18C8" w:rsidRDefault="004337B5" w:rsidP="004337B5">
      <w:pPr>
        <w:rPr>
          <w:lang w:val="es-ES_tradnl"/>
        </w:rPr>
      </w:pPr>
      <w:bookmarkStart w:id="118" w:name="lt_pId229"/>
      <w:r w:rsidRPr="00CA18C8">
        <w:rPr>
          <w:lang w:val="es-ES_tradnl"/>
        </w:rPr>
        <w:t xml:space="preserve">La ecuación (2b) </w:t>
      </w:r>
      <w:bookmarkStart w:id="119" w:name="lt_pId231"/>
      <w:bookmarkEnd w:id="118"/>
      <w:r w:rsidRPr="00CA18C8">
        <w:rPr>
          <w:lang w:val="es-ES_tradnl"/>
        </w:rPr>
        <w:t xml:space="preserve">representa la función ganancia de altura debida a la proximidad de la superficie en ubicaciones más abiertas. Las reflexiones especulares en la superficie son típicas de variaciones de la señal por debajo del primer valor máximo causado por la interferencia de dos rayos. En ausencia de reflexión especular, las variaciones por debajo de </w:t>
      </w:r>
      <w:r w:rsidRPr="00CA18C8">
        <w:rPr>
          <w:i/>
          <w:iCs/>
          <w:lang w:val="es-ES_tradnl"/>
        </w:rPr>
        <w:t>R</w:t>
      </w:r>
      <w:r w:rsidRPr="00CA18C8">
        <w:rPr>
          <w:lang w:val="es-ES_tradnl"/>
        </w:rPr>
        <w:t xml:space="preserve"> se deben típicamente al oscurecimiento provocado por irregularidades y objetos menores.</w:t>
      </w:r>
      <w:bookmarkEnd w:id="119"/>
    </w:p>
    <w:bookmarkEnd w:id="44"/>
    <w:bookmarkEnd w:id="45"/>
    <w:bookmarkEnd w:id="46"/>
    <w:bookmarkEnd w:id="47"/>
    <w:p w14:paraId="23785285" w14:textId="77777777" w:rsidR="004337B5" w:rsidRPr="00CA18C8" w:rsidRDefault="004337B5" w:rsidP="004337B5">
      <w:pPr>
        <w:pStyle w:val="Heading2"/>
        <w:rPr>
          <w:lang w:val="es-ES_tradnl"/>
        </w:rPr>
      </w:pPr>
      <w:r w:rsidRPr="00CA18C8">
        <w:rPr>
          <w:lang w:val="es-ES_tradnl"/>
        </w:rPr>
        <w:t>3.2</w:t>
      </w:r>
      <w:r w:rsidRPr="00CA18C8">
        <w:rPr>
          <w:lang w:val="es-ES_tradnl"/>
        </w:rPr>
        <w:tab/>
      </w:r>
      <w:bookmarkStart w:id="120" w:name="lt_pId233"/>
      <w:r w:rsidRPr="00CA18C8">
        <w:rPr>
          <w:lang w:val="es-ES_tradnl"/>
        </w:rPr>
        <w:t>Modelo estadístico de las pérdidas debidas a la ocupación del suelo para trayectos terrenales</w:t>
      </w:r>
      <w:bookmarkEnd w:id="120"/>
    </w:p>
    <w:p w14:paraId="5A026F76" w14:textId="77777777" w:rsidR="004337B5" w:rsidRPr="00CA18C8" w:rsidRDefault="004337B5" w:rsidP="004337B5">
      <w:pPr>
        <w:rPr>
          <w:lang w:val="es-ES_tradnl"/>
        </w:rPr>
      </w:pPr>
      <w:bookmarkStart w:id="121" w:name="lt_pId234"/>
      <w:r w:rsidRPr="00CA18C8">
        <w:rPr>
          <w:lang w:val="es-ES_tradnl"/>
        </w:rPr>
        <w:t>En la presente sección se proporcionan las ecuaciones que describen la distribución estadística de las pérdidas debidas a la ocupación del suelo.</w:t>
      </w:r>
      <w:bookmarkEnd w:id="121"/>
      <w:r w:rsidRPr="00CA18C8">
        <w:rPr>
          <w:lang w:val="es-ES_tradnl"/>
        </w:rPr>
        <w:t xml:space="preserve"> </w:t>
      </w:r>
      <w:bookmarkStart w:id="122" w:name="lt_pId235"/>
      <w:r w:rsidRPr="00CA18C8">
        <w:rPr>
          <w:lang w:val="es-ES_tradnl"/>
        </w:rPr>
        <w:t>El modelo puede aplicarse a las pérdidas por ocupación del suelo en zonas urbanas y suburbanas</w:t>
      </w:r>
      <w:r w:rsidRPr="00605B6B">
        <w:rPr>
          <w:lang w:val="es-ES_tradnl"/>
        </w:rPr>
        <w:t>, siempre y cuando los terminales estén muy por debajo de la altura del obstáculo, como se indica en el Cuadro 1. Cabe destacar que las mediciones utilizadas para crear este modelo se basaron en terminales situados a 6 metros por encima del suelo como máximo.</w:t>
      </w:r>
      <w:bookmarkEnd w:id="122"/>
    </w:p>
    <w:p w14:paraId="2A7AF615" w14:textId="77777777" w:rsidR="004337B5" w:rsidRPr="00CA18C8" w:rsidRDefault="004337B5" w:rsidP="004337B5">
      <w:pPr>
        <w:rPr>
          <w:lang w:val="es-ES_tradnl"/>
        </w:rPr>
      </w:pPr>
      <w:bookmarkStart w:id="123" w:name="lt_pId236"/>
      <w:r w:rsidRPr="00CA18C8">
        <w:rPr>
          <w:lang w:val="es-ES_tradnl"/>
        </w:rPr>
        <w:t>Se calcula la pérdida adicional,</w:t>
      </w:r>
      <w:r w:rsidRPr="00CA18C8">
        <w:rPr>
          <w:i/>
          <w:lang w:val="es-ES_tradnl"/>
        </w:rPr>
        <w:t xml:space="preserve"> L</w:t>
      </w:r>
      <w:r w:rsidRPr="00CA18C8">
        <w:rPr>
          <w:i/>
          <w:vertAlign w:val="subscript"/>
          <w:lang w:val="es-ES_tradnl"/>
        </w:rPr>
        <w:t>ctt</w:t>
      </w:r>
      <w:r w:rsidRPr="00CA18C8">
        <w:rPr>
          <w:lang w:val="es-ES_tradnl"/>
        </w:rPr>
        <w:t>, y luego se añade a las pérdidas de transmisión o las pérdidas de transmisión básicas.</w:t>
      </w:r>
      <w:bookmarkEnd w:id="123"/>
      <w:r w:rsidRPr="00CA18C8">
        <w:rPr>
          <w:lang w:val="es-ES_tradnl"/>
        </w:rPr>
        <w:t xml:space="preserve"> </w:t>
      </w:r>
      <w:bookmarkStart w:id="124" w:name="lt_pId237"/>
      <w:r w:rsidRPr="00CA18C8">
        <w:rPr>
          <w:lang w:val="es-ES_tradnl"/>
        </w:rPr>
        <w:t>Las pérdidas debidas a la ocupación del suelo varían en función del tipo de ocupación</w:t>
      </w:r>
      <w:r w:rsidRPr="00CA18C8">
        <w:rPr>
          <w:lang w:val="es-ES_tradnl" w:eastAsia="zh-CN"/>
        </w:rPr>
        <w:t>, la ubicación dentro del obstáculo y el movimiento dentro del mismo.</w:t>
      </w:r>
      <w:bookmarkEnd w:id="124"/>
      <w:r w:rsidRPr="00CA18C8">
        <w:rPr>
          <w:lang w:val="es-ES_tradnl" w:eastAsia="zh-CN"/>
        </w:rPr>
        <w:t xml:space="preserve"> </w:t>
      </w:r>
      <w:bookmarkStart w:id="125" w:name="lt_pId238"/>
      <w:r w:rsidRPr="00CA18C8">
        <w:rPr>
          <w:lang w:val="es-ES_tradnl" w:eastAsia="zh-CN"/>
        </w:rPr>
        <w:t>Si las pérdidas de transmisión o las pérdidas de transmisión básicas se han calculado utilizando un modelo</w:t>
      </w:r>
      <w:r w:rsidRPr="00CA18C8">
        <w:rPr>
          <w:lang w:val="es-ES_tradnl"/>
        </w:rPr>
        <w:t xml:space="preserve"> (por ejemplo, el de la Recomendación UIT-R P.1411) </w:t>
      </w:r>
      <w:r>
        <w:rPr>
          <w:lang w:val="es-ES_tradnl"/>
        </w:rPr>
        <w:t>que inherentemente tiene</w:t>
      </w:r>
      <w:r w:rsidRPr="00CA18C8">
        <w:rPr>
          <w:lang w:val="es-ES_tradnl"/>
        </w:rPr>
        <w:t xml:space="preserve"> en cuenta la ocupación del suelo a lo largo de todo el trayecto, no se debe aplicar el método siguiente.</w:t>
      </w:r>
      <w:bookmarkStart w:id="126" w:name="lt_pId239"/>
      <w:bookmarkEnd w:id="125"/>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32"/>
      </w:tblGrid>
      <w:tr w:rsidR="004337B5" w:rsidRPr="00CA18C8" w14:paraId="41563582" w14:textId="77777777" w:rsidTr="00603810">
        <w:tc>
          <w:tcPr>
            <w:tcW w:w="3397" w:type="dxa"/>
          </w:tcPr>
          <w:p w14:paraId="4A3F52E7" w14:textId="77777777" w:rsidR="004337B5" w:rsidRPr="00CA18C8" w:rsidRDefault="004337B5" w:rsidP="00603810">
            <w:pPr>
              <w:keepNext/>
              <w:tabs>
                <w:tab w:val="left" w:pos="2835"/>
              </w:tabs>
              <w:rPr>
                <w:lang w:val="es-ES_tradnl"/>
              </w:rPr>
            </w:pPr>
            <w:r w:rsidRPr="00CA18C8">
              <w:rPr>
                <w:bCs/>
                <w:lang w:val="es-ES_tradnl"/>
              </w:rPr>
              <w:lastRenderedPageBreak/>
              <w:t>Gama de frecuencias:</w:t>
            </w:r>
          </w:p>
        </w:tc>
        <w:tc>
          <w:tcPr>
            <w:tcW w:w="6232" w:type="dxa"/>
          </w:tcPr>
          <w:p w14:paraId="7A5C487F" w14:textId="77777777" w:rsidR="004337B5" w:rsidRPr="00605B6B" w:rsidRDefault="004337B5" w:rsidP="00603810">
            <w:pPr>
              <w:tabs>
                <w:tab w:val="left" w:pos="2835"/>
              </w:tabs>
              <w:rPr>
                <w:lang w:val="es-ES_tradnl"/>
              </w:rPr>
            </w:pPr>
            <w:bookmarkStart w:id="127" w:name="lt_pId240"/>
            <w:r w:rsidRPr="00605B6B">
              <w:rPr>
                <w:lang w:val="es-ES_tradnl"/>
              </w:rPr>
              <w:t>0,5 a 67 GHz</w:t>
            </w:r>
            <w:bookmarkEnd w:id="127"/>
          </w:p>
        </w:tc>
      </w:tr>
      <w:tr w:rsidR="004337B5" w:rsidRPr="004337B5" w14:paraId="4CDED32F" w14:textId="77777777" w:rsidTr="00603810">
        <w:tc>
          <w:tcPr>
            <w:tcW w:w="3397" w:type="dxa"/>
          </w:tcPr>
          <w:p w14:paraId="234FA25B" w14:textId="77777777" w:rsidR="004337B5" w:rsidRPr="00CA18C8" w:rsidRDefault="004337B5" w:rsidP="00603810">
            <w:pPr>
              <w:tabs>
                <w:tab w:val="left" w:pos="2835"/>
              </w:tabs>
              <w:jc w:val="left"/>
              <w:rPr>
                <w:lang w:val="es-ES_tradnl"/>
              </w:rPr>
            </w:pPr>
            <w:r w:rsidRPr="00CA18C8">
              <w:rPr>
                <w:lang w:val="es-ES_tradnl"/>
              </w:rPr>
              <w:t>Longitud mínima del trayecto:</w:t>
            </w:r>
          </w:p>
        </w:tc>
        <w:tc>
          <w:tcPr>
            <w:tcW w:w="6232" w:type="dxa"/>
          </w:tcPr>
          <w:p w14:paraId="411446A3" w14:textId="77777777" w:rsidR="004337B5" w:rsidRPr="00CA18C8" w:rsidRDefault="004337B5" w:rsidP="00603810">
            <w:pPr>
              <w:tabs>
                <w:tab w:val="left" w:pos="2835"/>
              </w:tabs>
              <w:rPr>
                <w:lang w:val="es-ES_tradnl"/>
              </w:rPr>
            </w:pPr>
            <w:bookmarkStart w:id="128" w:name="lt_pId242"/>
            <w:r w:rsidRPr="00CA18C8">
              <w:rPr>
                <w:lang w:val="es-ES_tradnl"/>
              </w:rPr>
              <w:t xml:space="preserve">0,25 km (para la corrección que se aplica a un solo extremo del </w:t>
            </w:r>
            <w:r>
              <w:rPr>
                <w:lang w:val="es-ES_tradnl"/>
              </w:rPr>
              <w:t xml:space="preserve"> </w:t>
            </w:r>
            <w:r w:rsidRPr="00CA18C8">
              <w:rPr>
                <w:lang w:val="es-ES_tradnl"/>
              </w:rPr>
              <w:t xml:space="preserve"> trayecto)</w:t>
            </w:r>
            <w:bookmarkEnd w:id="128"/>
          </w:p>
          <w:p w14:paraId="41E6C34A" w14:textId="77777777" w:rsidR="004337B5" w:rsidRPr="00CA18C8" w:rsidRDefault="004337B5" w:rsidP="00603810">
            <w:pPr>
              <w:tabs>
                <w:tab w:val="left" w:pos="2835"/>
              </w:tabs>
              <w:rPr>
                <w:lang w:val="es-ES_tradnl"/>
              </w:rPr>
            </w:pPr>
            <w:bookmarkStart w:id="129" w:name="lt_pId243"/>
            <w:r w:rsidRPr="00CA18C8">
              <w:rPr>
                <w:lang w:val="es-ES_tradnl"/>
              </w:rPr>
              <w:t>1,0 km (para la corrección que se aplica a los dos extremos del trayecto)</w:t>
            </w:r>
            <w:bookmarkEnd w:id="129"/>
          </w:p>
        </w:tc>
      </w:tr>
      <w:tr w:rsidR="004337B5" w:rsidRPr="00CA18C8" w14:paraId="24A6993D" w14:textId="77777777" w:rsidTr="00603810">
        <w:tc>
          <w:tcPr>
            <w:tcW w:w="3397" w:type="dxa"/>
          </w:tcPr>
          <w:p w14:paraId="1B58A218" w14:textId="77777777" w:rsidR="004337B5" w:rsidRPr="00CA18C8" w:rsidRDefault="004337B5" w:rsidP="00603810">
            <w:pPr>
              <w:tabs>
                <w:tab w:val="left" w:pos="2835"/>
              </w:tabs>
              <w:rPr>
                <w:lang w:val="es-ES_tradnl"/>
              </w:rPr>
            </w:pPr>
            <w:bookmarkStart w:id="130" w:name="lt_pId244"/>
            <w:r w:rsidRPr="00CA18C8">
              <w:rPr>
                <w:lang w:val="es-ES_tradnl"/>
              </w:rPr>
              <w:t>Porcentaje de ubicaciones:</w:t>
            </w:r>
            <w:bookmarkEnd w:id="130"/>
          </w:p>
        </w:tc>
        <w:tc>
          <w:tcPr>
            <w:tcW w:w="6232" w:type="dxa"/>
          </w:tcPr>
          <w:p w14:paraId="324F3B66" w14:textId="77777777" w:rsidR="004337B5" w:rsidRPr="00CA18C8" w:rsidRDefault="004337B5" w:rsidP="00603810">
            <w:pPr>
              <w:tabs>
                <w:tab w:val="left" w:pos="2835"/>
              </w:tabs>
              <w:rPr>
                <w:lang w:val="es-ES_tradnl"/>
              </w:rPr>
            </w:pPr>
            <w:bookmarkStart w:id="131" w:name="lt_pId245"/>
            <w:r w:rsidRPr="00CA18C8">
              <w:rPr>
                <w:lang w:val="es-ES_tradnl"/>
              </w:rPr>
              <w:t xml:space="preserve">0 &lt; </w:t>
            </w:r>
            <w:r w:rsidRPr="00CA18C8">
              <w:rPr>
                <w:i/>
                <w:iCs/>
                <w:lang w:val="es-ES_tradnl"/>
              </w:rPr>
              <w:t>p</w:t>
            </w:r>
            <w:r w:rsidRPr="00CA18C8">
              <w:rPr>
                <w:lang w:val="es-ES_tradnl"/>
              </w:rPr>
              <w:t xml:space="preserve"> &lt; 100</w:t>
            </w:r>
            <w:bookmarkEnd w:id="131"/>
          </w:p>
        </w:tc>
      </w:tr>
    </w:tbl>
    <w:p w14:paraId="26518331" w14:textId="77777777" w:rsidR="004337B5" w:rsidRPr="00CA18C8" w:rsidRDefault="004337B5" w:rsidP="004337B5">
      <w:pPr>
        <w:pStyle w:val="Heading3"/>
        <w:rPr>
          <w:lang w:val="es-ES_tradnl"/>
        </w:rPr>
      </w:pPr>
      <w:r w:rsidRPr="00CA18C8">
        <w:rPr>
          <w:lang w:val="es-ES_tradnl"/>
        </w:rPr>
        <w:t>3.2.1</w:t>
      </w:r>
      <w:r w:rsidRPr="00CA18C8">
        <w:rPr>
          <w:lang w:val="es-ES_tradnl"/>
        </w:rPr>
        <w:tab/>
        <w:t>Parámetros</w:t>
      </w:r>
    </w:p>
    <w:p w14:paraId="2022B3F6" w14:textId="77777777" w:rsidR="004337B5" w:rsidRPr="00CA18C8" w:rsidRDefault="004337B5" w:rsidP="004337B5">
      <w:pPr>
        <w:rPr>
          <w:lang w:val="es-ES_tradnl"/>
        </w:rPr>
      </w:pPr>
      <w:bookmarkStart w:id="132" w:name="lt_pId248"/>
      <w:r w:rsidRPr="00CA18C8">
        <w:rPr>
          <w:lang w:val="es-ES_tradnl"/>
        </w:rPr>
        <w:t>Los parámetros se indican en el Cuadro 4.</w:t>
      </w:r>
      <w:bookmarkEnd w:id="132"/>
    </w:p>
    <w:p w14:paraId="6E5EB0F1" w14:textId="77777777" w:rsidR="004337B5" w:rsidRPr="00CA18C8" w:rsidRDefault="004337B5" w:rsidP="004337B5">
      <w:pPr>
        <w:pStyle w:val="TableNo"/>
        <w:spacing w:before="240"/>
        <w:rPr>
          <w:lang w:val="es-ES_tradnl"/>
        </w:rPr>
      </w:pPr>
      <w:bookmarkStart w:id="133" w:name="lt_pId249"/>
      <w:r w:rsidRPr="00CA18C8">
        <w:rPr>
          <w:lang w:val="es-ES_tradnl"/>
        </w:rPr>
        <w:t>CUADRO 4</w:t>
      </w:r>
      <w:bookmarkEnd w:id="133"/>
    </w:p>
    <w:p w14:paraId="41B6FFD1" w14:textId="77777777" w:rsidR="004337B5" w:rsidRPr="00CA18C8" w:rsidRDefault="004337B5" w:rsidP="004337B5">
      <w:pPr>
        <w:pStyle w:val="Tabletitle"/>
        <w:rPr>
          <w:lang w:val="es-ES_tradnl"/>
        </w:rPr>
      </w:pPr>
      <w:bookmarkStart w:id="134" w:name="lt_pId250"/>
      <w:r w:rsidRPr="00CA18C8">
        <w:rPr>
          <w:lang w:val="es-ES_tradnl"/>
        </w:rPr>
        <w:t xml:space="preserve">Parámetros para el modelo estadístico de las pérdidas debidas </w:t>
      </w:r>
      <w:r w:rsidRPr="00CA18C8">
        <w:rPr>
          <w:lang w:val="es-ES_tradnl"/>
        </w:rPr>
        <w:br/>
        <w:t>a la ocupación del suelo en trayectos terrenales</w:t>
      </w:r>
      <w:bookmarkEnd w:id="134"/>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89"/>
        <w:gridCol w:w="992"/>
        <w:gridCol w:w="1417"/>
      </w:tblGrid>
      <w:tr w:rsidR="004337B5" w:rsidRPr="00CA18C8" w14:paraId="505F05E8" w14:textId="77777777" w:rsidTr="00603810">
        <w:trPr>
          <w:cantSplit/>
          <w:jc w:val="center"/>
        </w:trPr>
        <w:tc>
          <w:tcPr>
            <w:tcW w:w="2689" w:type="dxa"/>
          </w:tcPr>
          <w:p w14:paraId="2480CEEB" w14:textId="77777777" w:rsidR="004337B5" w:rsidRPr="00CA18C8" w:rsidRDefault="004337B5" w:rsidP="00603810">
            <w:pPr>
              <w:pStyle w:val="Tablehead"/>
              <w:keepLines/>
              <w:rPr>
                <w:lang w:val="es-ES_tradnl"/>
              </w:rPr>
            </w:pPr>
            <w:r w:rsidRPr="00CA18C8">
              <w:rPr>
                <w:lang w:val="es-ES_tradnl"/>
              </w:rPr>
              <w:t>Parámetro</w:t>
            </w:r>
          </w:p>
        </w:tc>
        <w:tc>
          <w:tcPr>
            <w:tcW w:w="992" w:type="dxa"/>
          </w:tcPr>
          <w:p w14:paraId="7C8EC69D" w14:textId="77777777" w:rsidR="004337B5" w:rsidRPr="00CA18C8" w:rsidRDefault="004337B5" w:rsidP="00603810">
            <w:pPr>
              <w:pStyle w:val="Tablehead"/>
              <w:keepLines/>
              <w:rPr>
                <w:lang w:val="es-ES_tradnl"/>
              </w:rPr>
            </w:pPr>
            <w:r w:rsidRPr="00CA18C8">
              <w:rPr>
                <w:lang w:val="es-ES_tradnl"/>
              </w:rPr>
              <w:t>Símbolo</w:t>
            </w:r>
          </w:p>
        </w:tc>
        <w:tc>
          <w:tcPr>
            <w:tcW w:w="1417" w:type="dxa"/>
          </w:tcPr>
          <w:p w14:paraId="0C666C8D" w14:textId="77777777" w:rsidR="004337B5" w:rsidRPr="00CA18C8" w:rsidRDefault="004337B5" w:rsidP="00603810">
            <w:pPr>
              <w:pStyle w:val="Tablehead"/>
              <w:keepLines/>
              <w:rPr>
                <w:lang w:val="es-ES_tradnl"/>
              </w:rPr>
            </w:pPr>
            <w:r w:rsidRPr="00CA18C8">
              <w:rPr>
                <w:lang w:val="es-ES_tradnl"/>
              </w:rPr>
              <w:t>Unidad</w:t>
            </w:r>
          </w:p>
        </w:tc>
      </w:tr>
      <w:tr w:rsidR="004337B5" w:rsidRPr="00CA18C8" w14:paraId="7B0FD0B2" w14:textId="77777777" w:rsidTr="00603810">
        <w:trPr>
          <w:cantSplit/>
          <w:jc w:val="center"/>
        </w:trPr>
        <w:tc>
          <w:tcPr>
            <w:tcW w:w="2689" w:type="dxa"/>
          </w:tcPr>
          <w:p w14:paraId="68728752" w14:textId="77777777" w:rsidR="004337B5" w:rsidRPr="00CA18C8" w:rsidRDefault="004337B5" w:rsidP="00603810">
            <w:pPr>
              <w:pStyle w:val="Tabletext"/>
              <w:keepNext/>
              <w:keepLines/>
              <w:rPr>
                <w:lang w:val="es-ES_tradnl"/>
              </w:rPr>
            </w:pPr>
            <w:r w:rsidRPr="00CA18C8">
              <w:rPr>
                <w:lang w:val="es-ES_tradnl"/>
              </w:rPr>
              <w:t>Frecuencia</w:t>
            </w:r>
          </w:p>
        </w:tc>
        <w:tc>
          <w:tcPr>
            <w:tcW w:w="992" w:type="dxa"/>
          </w:tcPr>
          <w:p w14:paraId="0CBE402A" w14:textId="77777777" w:rsidR="004337B5" w:rsidRPr="00CA18C8" w:rsidRDefault="004337B5" w:rsidP="00603810">
            <w:pPr>
              <w:pStyle w:val="Tabletext"/>
              <w:keepNext/>
              <w:keepLines/>
              <w:jc w:val="center"/>
              <w:rPr>
                <w:i/>
                <w:iCs/>
                <w:lang w:val="es-ES_tradnl"/>
              </w:rPr>
            </w:pPr>
            <w:bookmarkStart w:id="135" w:name="lt_pId256"/>
            <w:r w:rsidRPr="00CA18C8">
              <w:rPr>
                <w:i/>
                <w:iCs/>
                <w:lang w:val="es-ES_tradnl"/>
              </w:rPr>
              <w:t>f</w:t>
            </w:r>
            <w:bookmarkEnd w:id="135"/>
          </w:p>
        </w:tc>
        <w:tc>
          <w:tcPr>
            <w:tcW w:w="1417" w:type="dxa"/>
          </w:tcPr>
          <w:p w14:paraId="79B049E5" w14:textId="77777777" w:rsidR="004337B5" w:rsidRPr="00CA18C8" w:rsidRDefault="004337B5" w:rsidP="00603810">
            <w:pPr>
              <w:pStyle w:val="Tabletext"/>
              <w:keepNext/>
              <w:keepLines/>
              <w:jc w:val="center"/>
              <w:rPr>
                <w:lang w:val="es-ES_tradnl"/>
              </w:rPr>
            </w:pPr>
            <w:bookmarkStart w:id="136" w:name="lt_pId257"/>
            <w:r w:rsidRPr="00CA18C8">
              <w:rPr>
                <w:lang w:val="es-ES_tradnl"/>
              </w:rPr>
              <w:t>GHz</w:t>
            </w:r>
            <w:bookmarkEnd w:id="136"/>
          </w:p>
        </w:tc>
      </w:tr>
      <w:tr w:rsidR="004337B5" w:rsidRPr="00CA18C8" w14:paraId="6877C434" w14:textId="77777777" w:rsidTr="00603810">
        <w:trPr>
          <w:cantSplit/>
          <w:jc w:val="center"/>
        </w:trPr>
        <w:tc>
          <w:tcPr>
            <w:tcW w:w="2689" w:type="dxa"/>
          </w:tcPr>
          <w:p w14:paraId="28C63C45" w14:textId="77777777" w:rsidR="004337B5" w:rsidRPr="00CA18C8" w:rsidRDefault="004337B5" w:rsidP="00603810">
            <w:pPr>
              <w:pStyle w:val="Tabletext"/>
              <w:rPr>
                <w:lang w:val="es-ES_tradnl"/>
              </w:rPr>
            </w:pPr>
            <w:bookmarkStart w:id="137" w:name="lt_pId258"/>
            <w:r w:rsidRPr="00CA18C8">
              <w:rPr>
                <w:lang w:val="es-ES_tradnl"/>
              </w:rPr>
              <w:t>Distanc</w:t>
            </w:r>
            <w:bookmarkEnd w:id="137"/>
            <w:r w:rsidRPr="00CA18C8">
              <w:rPr>
                <w:lang w:val="es-ES_tradnl"/>
              </w:rPr>
              <w:t>ia</w:t>
            </w:r>
          </w:p>
        </w:tc>
        <w:tc>
          <w:tcPr>
            <w:tcW w:w="992" w:type="dxa"/>
          </w:tcPr>
          <w:p w14:paraId="5802E36E" w14:textId="77777777" w:rsidR="004337B5" w:rsidRPr="00CA18C8" w:rsidRDefault="004337B5" w:rsidP="00603810">
            <w:pPr>
              <w:pStyle w:val="Tabletext"/>
              <w:jc w:val="center"/>
              <w:rPr>
                <w:i/>
                <w:lang w:val="es-ES_tradnl"/>
              </w:rPr>
            </w:pPr>
            <w:bookmarkStart w:id="138" w:name="lt_pId259"/>
            <w:r w:rsidRPr="00CA18C8">
              <w:rPr>
                <w:i/>
                <w:lang w:val="es-ES_tradnl"/>
              </w:rPr>
              <w:t>d</w:t>
            </w:r>
            <w:bookmarkEnd w:id="138"/>
          </w:p>
        </w:tc>
        <w:tc>
          <w:tcPr>
            <w:tcW w:w="1417" w:type="dxa"/>
          </w:tcPr>
          <w:p w14:paraId="01DBCDEE" w14:textId="77777777" w:rsidR="004337B5" w:rsidRPr="00CA18C8" w:rsidRDefault="004337B5" w:rsidP="00603810">
            <w:pPr>
              <w:pStyle w:val="Tabletext"/>
              <w:jc w:val="center"/>
              <w:rPr>
                <w:lang w:val="es-ES_tradnl"/>
              </w:rPr>
            </w:pPr>
            <w:bookmarkStart w:id="139" w:name="lt_pId260"/>
            <w:r w:rsidRPr="00CA18C8">
              <w:rPr>
                <w:lang w:val="es-ES_tradnl"/>
              </w:rPr>
              <w:t>km</w:t>
            </w:r>
            <w:bookmarkEnd w:id="139"/>
          </w:p>
        </w:tc>
      </w:tr>
      <w:tr w:rsidR="004337B5" w:rsidRPr="00CA18C8" w14:paraId="3D0402D2" w14:textId="77777777" w:rsidTr="00603810">
        <w:trPr>
          <w:cantSplit/>
          <w:jc w:val="center"/>
        </w:trPr>
        <w:tc>
          <w:tcPr>
            <w:tcW w:w="2689" w:type="dxa"/>
          </w:tcPr>
          <w:p w14:paraId="55AEE731" w14:textId="77777777" w:rsidR="004337B5" w:rsidRPr="00CA18C8" w:rsidRDefault="004337B5" w:rsidP="00603810">
            <w:pPr>
              <w:pStyle w:val="Tabletext"/>
              <w:rPr>
                <w:lang w:val="es-ES_tradnl"/>
              </w:rPr>
            </w:pPr>
            <w:r w:rsidRPr="00CA18C8">
              <w:rPr>
                <w:lang w:val="es-ES_tradnl"/>
              </w:rPr>
              <w:t>Porcentaje de ubicaciones</w:t>
            </w:r>
          </w:p>
        </w:tc>
        <w:tc>
          <w:tcPr>
            <w:tcW w:w="992" w:type="dxa"/>
          </w:tcPr>
          <w:p w14:paraId="31E82DA6" w14:textId="77777777" w:rsidR="004337B5" w:rsidRPr="00CA18C8" w:rsidRDefault="004337B5" w:rsidP="00603810">
            <w:pPr>
              <w:pStyle w:val="Tabletext"/>
              <w:jc w:val="center"/>
              <w:rPr>
                <w:i/>
                <w:lang w:val="es-ES_tradnl"/>
              </w:rPr>
            </w:pPr>
            <w:bookmarkStart w:id="140" w:name="lt_pId262"/>
            <w:r w:rsidRPr="00CA18C8">
              <w:rPr>
                <w:i/>
                <w:lang w:val="es-ES_tradnl"/>
              </w:rPr>
              <w:t>p</w:t>
            </w:r>
            <w:bookmarkEnd w:id="140"/>
          </w:p>
        </w:tc>
        <w:tc>
          <w:tcPr>
            <w:tcW w:w="1417" w:type="dxa"/>
          </w:tcPr>
          <w:p w14:paraId="332C13E5" w14:textId="77777777" w:rsidR="004337B5" w:rsidRPr="00CA18C8" w:rsidRDefault="004337B5" w:rsidP="00603810">
            <w:pPr>
              <w:pStyle w:val="Tabletext"/>
              <w:jc w:val="center"/>
              <w:rPr>
                <w:lang w:val="es-ES_tradnl"/>
              </w:rPr>
            </w:pPr>
            <w:r w:rsidRPr="00CA18C8">
              <w:rPr>
                <w:lang w:val="es-ES_tradnl"/>
              </w:rPr>
              <w:t>%</w:t>
            </w:r>
          </w:p>
        </w:tc>
      </w:tr>
    </w:tbl>
    <w:p w14:paraId="5DED08D4" w14:textId="77777777" w:rsidR="004337B5" w:rsidRDefault="004337B5" w:rsidP="004337B5">
      <w:pPr>
        <w:pStyle w:val="Tablefin"/>
      </w:pPr>
    </w:p>
    <w:p w14:paraId="6978A559" w14:textId="77777777" w:rsidR="004337B5" w:rsidRPr="00CA18C8" w:rsidRDefault="004337B5" w:rsidP="004337B5">
      <w:pPr>
        <w:pStyle w:val="Heading3"/>
        <w:rPr>
          <w:lang w:val="es-ES_tradnl"/>
        </w:rPr>
      </w:pPr>
      <w:r w:rsidRPr="00CA18C8">
        <w:rPr>
          <w:lang w:val="es-ES_tradnl"/>
        </w:rPr>
        <w:t>3.2.2</w:t>
      </w:r>
      <w:r w:rsidRPr="00CA18C8">
        <w:rPr>
          <w:lang w:val="es-ES_tradnl"/>
        </w:rPr>
        <w:tab/>
        <w:t>Descripción del modelo</w:t>
      </w:r>
    </w:p>
    <w:p w14:paraId="546C3C98" w14:textId="77777777" w:rsidR="004337B5" w:rsidRPr="00C712CE" w:rsidRDefault="004337B5" w:rsidP="004337B5">
      <w:pPr>
        <w:rPr>
          <w:lang w:val="es-ES_tradnl"/>
        </w:rPr>
      </w:pPr>
      <w:bookmarkStart w:id="141" w:name="lt_pId266"/>
      <w:r w:rsidRPr="00C712CE">
        <w:rPr>
          <w:lang w:val="es-ES_tradnl"/>
        </w:rPr>
        <w:t xml:space="preserve">Las pérdidas debidas a la ocupación del suelo no rebasadas durante el </w:t>
      </w:r>
      <w:r w:rsidRPr="00C712CE">
        <w:rPr>
          <w:i/>
          <w:iCs/>
          <w:lang w:val="es-ES_tradnl" w:eastAsia="zh-CN"/>
        </w:rPr>
        <w:t>p</w:t>
      </w:r>
      <w:r w:rsidRPr="00C712CE">
        <w:rPr>
          <w:lang w:val="es-ES_tradnl" w:eastAsia="zh-CN"/>
        </w:rPr>
        <w:t>% de las ubicaciones en el trayecto terrenal a terrenal</w:t>
      </w:r>
      <w:r w:rsidRPr="00C712CE">
        <w:rPr>
          <w:lang w:val="es-ES_tradnl"/>
        </w:rPr>
        <w:t xml:space="preserve">, </w:t>
      </w:r>
      <w:r w:rsidRPr="00C712CE">
        <w:rPr>
          <w:i/>
          <w:lang w:val="es-ES_tradnl"/>
        </w:rPr>
        <w:t>L</w:t>
      </w:r>
      <w:r w:rsidRPr="00C712CE">
        <w:rPr>
          <w:i/>
          <w:vertAlign w:val="subscript"/>
          <w:lang w:val="es-ES_tradnl"/>
        </w:rPr>
        <w:t>ctt</w:t>
      </w:r>
      <w:r w:rsidRPr="00C712CE">
        <w:rPr>
          <w:lang w:val="es-ES_tradnl"/>
        </w:rPr>
        <w:t>, están limitadas por la ecuación (6) y vienen dadas por:</w:t>
      </w:r>
      <w:bookmarkEnd w:id="141"/>
    </w:p>
    <w:p w14:paraId="575D7752" w14:textId="77777777" w:rsidR="004337B5" w:rsidRPr="00B200F9" w:rsidRDefault="004337B5" w:rsidP="004337B5">
      <w:pPr>
        <w:pStyle w:val="MTDisplayEquation"/>
        <w:jc w:val="center"/>
      </w:pPr>
      <w:r w:rsidRPr="004337B5">
        <w:rPr>
          <w:lang w:val="es-ES"/>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ctt</m:t>
            </m:r>
          </m:sub>
        </m:sSub>
        <m:r>
          <w:rPr>
            <w:rFonts w:ascii="Cambria Math" w:hAnsi="Cambria Math"/>
          </w:rPr>
          <m:t>=-5</m:t>
        </m:r>
        <m:r>
          <m:rPr>
            <m:nor/>
          </m:rPr>
          <w:rPr>
            <w:rFonts w:ascii="Cambria Math" w:hAnsi="Cambria Math"/>
          </w:rPr>
          <m:t>log</m:t>
        </m:r>
        <m:d>
          <m:dPr>
            <m:ctrlPr>
              <w:rPr>
                <w:rFonts w:ascii="Cambria Math" w:hAnsi="Cambria Math"/>
                <w:i/>
                <w:lang w:val="fr-FR"/>
              </w:rPr>
            </m:ctrlPr>
          </m:dPr>
          <m:e>
            <m:sSup>
              <m:sSupPr>
                <m:ctrlPr>
                  <w:rPr>
                    <w:rFonts w:ascii="Cambria Math" w:hAnsi="Cambria Math"/>
                    <w:i/>
                    <w:lang w:val="fr-FR"/>
                  </w:rPr>
                </m:ctrlPr>
              </m:sSupPr>
              <m:e>
                <m:r>
                  <w:rPr>
                    <w:rFonts w:ascii="Cambria Math" w:hAnsi="Cambria Math"/>
                  </w:rPr>
                  <m:t>10</m:t>
                </m:r>
              </m:e>
              <m:sup>
                <m:r>
                  <w:rPr>
                    <w:rFonts w:ascii="Cambria Math" w:hAnsi="Cambria Math"/>
                  </w:rPr>
                  <m:t>-0,2</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l</m:t>
                    </m:r>
                  </m:sub>
                </m:sSub>
              </m:sup>
            </m:sSup>
            <m:r>
              <w:rPr>
                <w:rFonts w:ascii="Cambria Math" w:hAnsi="Cambria Math"/>
              </w:rPr>
              <m:t>+</m:t>
            </m:r>
            <m:sSup>
              <m:sSupPr>
                <m:ctrlPr>
                  <w:rPr>
                    <w:rFonts w:ascii="Cambria Math" w:hAnsi="Cambria Math"/>
                    <w:i/>
                    <w:lang w:val="fr-FR"/>
                  </w:rPr>
                </m:ctrlPr>
              </m:sSupPr>
              <m:e>
                <m:r>
                  <w:rPr>
                    <w:rFonts w:ascii="Cambria Math" w:hAnsi="Cambria Math"/>
                  </w:rPr>
                  <m:t>10</m:t>
                </m:r>
              </m:e>
              <m:sup>
                <m:r>
                  <w:rPr>
                    <w:rFonts w:ascii="Cambria Math" w:hAnsi="Cambria Math"/>
                  </w:rPr>
                  <m:t>-0,2</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s</m:t>
                    </m:r>
                  </m:sub>
                </m:sSub>
              </m:sup>
            </m:sSup>
          </m:e>
        </m:d>
        <m:r>
          <w:rPr>
            <w:rFonts w:ascii="Cambria Math" w:hAnsi="Cambria Math"/>
          </w:rPr>
          <m:t>-</m:t>
        </m:r>
        <m:sSub>
          <m:sSubPr>
            <m:ctrlPr>
              <w:rPr>
                <w:rFonts w:ascii="Cambria Math" w:eastAsia="Calibri" w:hAnsi="Cambria Math"/>
                <w:lang w:val="fr-FR"/>
              </w:rPr>
            </m:ctrlPr>
          </m:sSubPr>
          <m:e>
            <m:r>
              <m:rPr>
                <m:sty m:val="p"/>
              </m:rPr>
              <w:rPr>
                <w:rFonts w:ascii="Cambria Math" w:eastAsia="Calibri" w:hAnsi="Cambria Math"/>
                <w:lang w:val="fr-FR"/>
              </w:rPr>
              <m:t>σ</m:t>
            </m:r>
          </m:e>
          <m:sub>
            <m:r>
              <w:rPr>
                <w:rFonts w:ascii="Cambria Math" w:eastAsia="Calibri" w:hAnsi="Cambria Math"/>
                <w:lang w:val="fr-FR"/>
              </w:rPr>
              <m:t>cb</m:t>
            </m:r>
          </m:sub>
        </m:sSub>
        <m:sSup>
          <m:sSupPr>
            <m:ctrlPr>
              <w:rPr>
                <w:rFonts w:ascii="Cambria Math" w:eastAsia="Calibri" w:hAnsi="Cambria Math"/>
                <w:lang w:val="fr-FR"/>
              </w:rPr>
            </m:ctrlPr>
          </m:sSupPr>
          <m:e>
            <m:r>
              <w:rPr>
                <w:rFonts w:ascii="Cambria Math" w:eastAsia="Calibri" w:hAnsi="Cambria Math"/>
                <w:lang w:val="fr-FR"/>
              </w:rPr>
              <m:t>Q</m:t>
            </m:r>
          </m:e>
          <m:sup>
            <m:r>
              <m:rPr>
                <m:sty m:val="p"/>
              </m:rPr>
              <w:rPr>
                <w:rFonts w:ascii="Cambria Math" w:eastAsia="Calibri" w:hAnsi="Cambria Math"/>
              </w:rPr>
              <m:t>-1</m:t>
            </m:r>
          </m:sup>
        </m:sSup>
        <m:r>
          <w:rPr>
            <w:rFonts w:ascii="Cambria Math" w:hAnsi="Cambria Math"/>
          </w:rPr>
          <m:t>(</m:t>
        </m:r>
        <m:r>
          <w:rPr>
            <w:rFonts w:ascii="Cambria Math" w:hAnsi="Cambria Math"/>
            <w:lang w:val="fr-FR"/>
          </w:rPr>
          <m:t>p</m:t>
        </m:r>
        <m:r>
          <w:rPr>
            <w:rFonts w:ascii="Cambria Math" w:hAnsi="Cambria Math"/>
          </w:rPr>
          <m:t>/100)</m:t>
        </m:r>
      </m:oMath>
      <w:r w:rsidRPr="00B200F9">
        <w:t xml:space="preserve"> </w:t>
      </w:r>
      <w:bookmarkStart w:id="142" w:name="lt_pId267"/>
      <w:r w:rsidRPr="00B200F9">
        <w:t>dB</w:t>
      </w:r>
      <w:bookmarkEnd w:id="142"/>
      <w:r w:rsidRPr="00B200F9">
        <w:tab/>
        <w:t>(3a)</w:t>
      </w:r>
    </w:p>
    <w:p w14:paraId="37B77867" w14:textId="77777777" w:rsidR="004337B5" w:rsidRPr="00B200F9" w:rsidRDefault="004337B5" w:rsidP="004337B5">
      <w:pPr>
        <w:pStyle w:val="Equation"/>
        <w:rPr>
          <w:lang w:val="en-GB"/>
        </w:rPr>
      </w:pPr>
      <w:r w:rsidRPr="00B200F9">
        <w:rPr>
          <w:rFonts w:eastAsia="Calibri"/>
          <w:szCs w:val="22"/>
          <w:lang w:val="en-GB"/>
        </w:rPr>
        <w:tab/>
      </w:r>
      <m:oMath>
        <m:sSub>
          <m:sSubPr>
            <m:ctrlPr>
              <w:rPr>
                <w:rFonts w:ascii="Cambria Math" w:eastAsia="Calibri" w:hAnsi="Cambria Math"/>
                <w:i/>
                <w:szCs w:val="22"/>
              </w:rPr>
            </m:ctrlPr>
          </m:sSubPr>
          <m:e>
            <m:r>
              <m:rPr>
                <m:sty m:val="p"/>
              </m:rPr>
              <w:rPr>
                <w:rFonts w:ascii="Cambria Math" w:eastAsia="Calibri" w:hAnsi="Cambria Math"/>
                <w:szCs w:val="22"/>
              </w:rPr>
              <m:t>σ</m:t>
            </m:r>
          </m:e>
          <m:sub>
            <m:r>
              <w:rPr>
                <w:rFonts w:ascii="Cambria Math" w:eastAsia="Calibri" w:hAnsi="Cambria Math"/>
                <w:szCs w:val="22"/>
              </w:rPr>
              <m:t>cb</m:t>
            </m:r>
          </m:sub>
        </m:sSub>
        <m:r>
          <w:rPr>
            <w:rFonts w:ascii="Cambria Math" w:hAnsi="Cambria Math"/>
            <w:szCs w:val="22"/>
            <w:lang w:val="en-GB"/>
          </w:rPr>
          <m:t>=</m:t>
        </m:r>
        <m:rad>
          <m:radPr>
            <m:degHide m:val="1"/>
            <m:ctrlPr>
              <w:rPr>
                <w:rFonts w:ascii="Cambria Math" w:hAnsi="Cambria Math"/>
                <w:i/>
                <w:szCs w:val="22"/>
              </w:rPr>
            </m:ctrlPr>
          </m:radPr>
          <m:deg/>
          <m:e>
            <m:f>
              <m:fPr>
                <m:type m:val="lin"/>
                <m:ctrlPr>
                  <w:rPr>
                    <w:rFonts w:ascii="Cambria Math" w:hAnsi="Cambria Math"/>
                    <w:i/>
                    <w:szCs w:val="22"/>
                  </w:rPr>
                </m:ctrlPr>
              </m:fPr>
              <m:num>
                <m:d>
                  <m:dPr>
                    <m:ctrlPr>
                      <w:rPr>
                        <w:rFonts w:ascii="Cambria Math" w:hAnsi="Cambria Math"/>
                        <w:i/>
                        <w:szCs w:val="22"/>
                      </w:rPr>
                    </m:ctrlPr>
                  </m:dPr>
                  <m:e>
                    <m:sSup>
                      <m:sSupPr>
                        <m:ctrlPr>
                          <w:rPr>
                            <w:rFonts w:ascii="Cambria Math" w:hAnsi="Cambria Math"/>
                            <w:i/>
                            <w:szCs w:val="22"/>
                          </w:rPr>
                        </m:ctrlPr>
                      </m:sSupPr>
                      <m:e>
                        <m:sSub>
                          <m:sSubPr>
                            <m:ctrlPr>
                              <w:rPr>
                                <w:rFonts w:ascii="Cambria Math" w:hAnsi="Cambria Math"/>
                                <w:i/>
                                <w:szCs w:val="22"/>
                              </w:rPr>
                            </m:ctrlPr>
                          </m:sSubPr>
                          <m:e>
                            <m:r>
                              <m:rPr>
                                <m:sty m:val="p"/>
                              </m:rPr>
                              <w:rPr>
                                <w:rFonts w:ascii="Cambria Math" w:hAnsi="Cambria Math"/>
                                <w:szCs w:val="22"/>
                              </w:rPr>
                              <m:t>σ</m:t>
                            </m:r>
                          </m:e>
                          <m:sub>
                            <m:r>
                              <w:rPr>
                                <w:rFonts w:ascii="Cambria Math" w:hAnsi="Cambria Math"/>
                                <w:szCs w:val="22"/>
                              </w:rPr>
                              <m:t>l</m:t>
                            </m:r>
                          </m:sub>
                        </m:sSub>
                      </m:e>
                      <m:sup>
                        <m:r>
                          <w:rPr>
                            <w:rFonts w:ascii="Cambria Math" w:hAnsi="Cambria Math"/>
                            <w:szCs w:val="22"/>
                            <w:lang w:val="en-GB"/>
                          </w:rPr>
                          <m:t>2</m:t>
                        </m:r>
                      </m:sup>
                    </m:sSup>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l</m:t>
                            </m:r>
                          </m:sub>
                        </m:sSub>
                      </m:sup>
                    </m:sSup>
                    <m:r>
                      <w:rPr>
                        <w:rFonts w:ascii="Cambria Math" w:hAnsi="Cambria Math"/>
                        <w:szCs w:val="22"/>
                        <w:lang w:val="en-GB"/>
                      </w:rPr>
                      <m:t>+</m:t>
                    </m:r>
                    <m:sSup>
                      <m:sSupPr>
                        <m:ctrlPr>
                          <w:rPr>
                            <w:rFonts w:ascii="Cambria Math" w:hAnsi="Cambria Math"/>
                            <w:i/>
                            <w:szCs w:val="22"/>
                          </w:rPr>
                        </m:ctrlPr>
                      </m:sSupPr>
                      <m:e>
                        <m:sSub>
                          <m:sSubPr>
                            <m:ctrlPr>
                              <w:rPr>
                                <w:rFonts w:ascii="Cambria Math" w:hAnsi="Cambria Math"/>
                                <w:i/>
                                <w:szCs w:val="22"/>
                              </w:rPr>
                            </m:ctrlPr>
                          </m:sSubPr>
                          <m:e>
                            <m:r>
                              <m:rPr>
                                <m:sty m:val="p"/>
                              </m:rPr>
                              <w:rPr>
                                <w:rFonts w:ascii="Cambria Math" w:hAnsi="Cambria Math"/>
                                <w:szCs w:val="22"/>
                              </w:rPr>
                              <m:t>σ</m:t>
                            </m:r>
                          </m:e>
                          <m:sub>
                            <m:r>
                              <w:rPr>
                                <w:rFonts w:ascii="Cambria Math" w:hAnsi="Cambria Math"/>
                                <w:szCs w:val="22"/>
                              </w:rPr>
                              <m:t>s</m:t>
                            </m:r>
                          </m:sub>
                        </m:sSub>
                      </m:e>
                      <m:sup>
                        <m:r>
                          <w:rPr>
                            <w:rFonts w:ascii="Cambria Math" w:hAnsi="Cambria Math"/>
                            <w:szCs w:val="22"/>
                            <w:lang w:val="en-GB"/>
                          </w:rPr>
                          <m:t>2</m:t>
                        </m:r>
                      </m:sup>
                    </m:sSup>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s</m:t>
                            </m:r>
                          </m:sub>
                        </m:sSub>
                      </m:sup>
                    </m:sSup>
                  </m:e>
                </m:d>
              </m:num>
              <m:den>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l</m:t>
                            </m:r>
                          </m:sub>
                        </m:sSub>
                      </m:sup>
                    </m:sSup>
                    <m:r>
                      <w:rPr>
                        <w:rFonts w:ascii="Cambria Math" w:hAnsi="Cambria Math"/>
                        <w:szCs w:val="22"/>
                        <w:lang w:val="en-GB"/>
                      </w:rPr>
                      <m:t>+</m:t>
                    </m:r>
                    <m:sSup>
                      <m:sSupPr>
                        <m:ctrlPr>
                          <w:rPr>
                            <w:rFonts w:ascii="Cambria Math" w:hAnsi="Cambria Math"/>
                            <w:i/>
                            <w:szCs w:val="22"/>
                          </w:rPr>
                        </m:ctrlPr>
                      </m:sSupPr>
                      <m:e>
                        <m:r>
                          <w:rPr>
                            <w:rFonts w:ascii="Cambria Math" w:hAnsi="Cambria Math"/>
                            <w:szCs w:val="22"/>
                            <w:lang w:val="en-GB"/>
                          </w:rPr>
                          <m:t>10</m:t>
                        </m:r>
                      </m:e>
                      <m:sup>
                        <m:r>
                          <w:rPr>
                            <w:rFonts w:ascii="Cambria Math" w:hAnsi="Cambria Math"/>
                            <w:szCs w:val="22"/>
                            <w:lang w:val="en-GB"/>
                          </w:rPr>
                          <m:t>-0,2</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s</m:t>
                            </m:r>
                          </m:sub>
                        </m:sSub>
                      </m:sup>
                    </m:sSup>
                  </m:e>
                </m:d>
              </m:den>
            </m:f>
          </m:e>
        </m:rad>
      </m:oMath>
      <w:r w:rsidRPr="00B200F9">
        <w:rPr>
          <w:rFonts w:eastAsia="Calibri"/>
          <w:szCs w:val="22"/>
          <w:lang w:val="en-GB"/>
        </w:rPr>
        <w:t>                dB</w:t>
      </w:r>
      <w:r w:rsidRPr="00B200F9">
        <w:rPr>
          <w:rFonts w:eastAsia="Calibri"/>
          <w:szCs w:val="22"/>
          <w:lang w:val="en-GB"/>
        </w:rPr>
        <w:tab/>
      </w:r>
      <w:r w:rsidRPr="00B200F9">
        <w:rPr>
          <w:lang w:val="en-GB"/>
        </w:rPr>
        <w:t>(3b)</w:t>
      </w:r>
    </w:p>
    <w:p w14:paraId="1492EBAD" w14:textId="77777777" w:rsidR="004337B5" w:rsidRPr="00B200F9" w:rsidRDefault="004337B5" w:rsidP="004337B5">
      <w:pPr>
        <w:spacing w:before="240" w:after="240"/>
        <w:rPr>
          <w:lang w:val="es-ES"/>
        </w:rPr>
      </w:pPr>
      <w:r w:rsidRPr="00C712CE">
        <w:rPr>
          <w:lang w:val="es-ES_tradnl"/>
        </w:rPr>
        <w:t>siendo</w:t>
      </w:r>
      <w:r w:rsidRPr="00B200F9">
        <w:rPr>
          <w:lang w:val="es-ES"/>
        </w:rPr>
        <w:t xml:space="preserve"> </w:t>
      </w:r>
      <w:r w:rsidRPr="00B200F9">
        <w:rPr>
          <w:i/>
          <w:lang w:val="es-ES"/>
        </w:rPr>
        <w:t>Q</w:t>
      </w:r>
      <w:r w:rsidRPr="00B200F9">
        <w:rPr>
          <w:iCs/>
          <w:vertAlign w:val="superscript"/>
          <w:lang w:val="es-ES"/>
        </w:rPr>
        <w:t>–1</w:t>
      </w:r>
      <w:r w:rsidRPr="00B200F9">
        <w:rPr>
          <w:i/>
          <w:lang w:val="es-ES"/>
        </w:rPr>
        <w:t>(p/</w:t>
      </w:r>
      <w:r w:rsidRPr="00B200F9">
        <w:rPr>
          <w:iCs/>
          <w:lang w:val="es-ES"/>
        </w:rPr>
        <w:t>100</w:t>
      </w:r>
      <w:r w:rsidRPr="00B200F9">
        <w:rPr>
          <w:i/>
          <w:lang w:val="es-ES"/>
        </w:rPr>
        <w:t>)</w:t>
      </w:r>
      <w:r w:rsidRPr="00B200F9">
        <w:rPr>
          <w:lang w:val="es-ES"/>
        </w:rPr>
        <w:t xml:space="preserve"> </w:t>
      </w:r>
      <w:r w:rsidRPr="00C712CE">
        <w:rPr>
          <w:lang w:val="es-ES_tradnl"/>
        </w:rPr>
        <w:t>la función de distribución normal complementaria inversa, y</w:t>
      </w:r>
    </w:p>
    <w:p w14:paraId="636800AC" w14:textId="77777777" w:rsidR="004337B5" w:rsidRPr="00B200F9" w:rsidRDefault="004337B5" w:rsidP="004337B5">
      <w:pPr>
        <w:pStyle w:val="Equation"/>
        <w:rPr>
          <w:lang w:val="en-GB"/>
        </w:rPr>
      </w:pPr>
      <w:r w:rsidRPr="00B200F9">
        <w:rPr>
          <w:rFonts w:ascii="Calibri" w:eastAsia="Calibri" w:hAnsi="Calibri"/>
          <w:lang w:val="es-ES"/>
        </w:rPr>
        <w:tab/>
      </w:r>
      <w:r w:rsidRPr="00B200F9">
        <w:rPr>
          <w:rFonts w:ascii="Calibri" w:eastAsia="Calibri" w:hAnsi="Calibri"/>
          <w:lang w:val="es-ES"/>
        </w:rPr>
        <w:tab/>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l</m:t>
            </m:r>
          </m:sub>
        </m:sSub>
        <m:r>
          <m:rPr>
            <m:sty m:val="p"/>
          </m:rPr>
          <w:rPr>
            <w:rFonts w:ascii="Cambria Math" w:eastAsia="Calibri" w:hAnsi="Cambria Math"/>
            <w:lang w:val="en-GB"/>
          </w:rPr>
          <m:t>=-2</m:t>
        </m:r>
        <m:r>
          <m:rPr>
            <m:nor/>
          </m:rPr>
          <w:rPr>
            <w:rFonts w:eastAsia="Calibri"/>
            <w:lang w:val="en-GB"/>
          </w:rPr>
          <m:t>log</m:t>
        </m:r>
        <m:d>
          <m:dPr>
            <m:ctrlPr>
              <w:rPr>
                <w:rFonts w:ascii="Cambria Math" w:eastAsia="Calibri" w:hAnsi="Cambria Math"/>
              </w:rPr>
            </m:ctrlPr>
          </m:dPr>
          <m:e>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-5log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lang w:val="en-GB"/>
                  </w:rPr>
                  <m:t>-12,5</m:t>
                </m:r>
              </m:sup>
            </m:sSup>
            <m:r>
              <m:rPr>
                <m:sty m:val="p"/>
              </m:rPr>
              <w:rPr>
                <w:rFonts w:ascii="Cambria Math" w:eastAsia="Calibri" w:hAnsi="Cambria Math"/>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-16,5</m:t>
                </m:r>
              </m:sup>
            </m:sSup>
          </m:e>
        </m:d>
      </m:oMath>
      <w:r w:rsidRPr="00B200F9">
        <w:rPr>
          <w:rFonts w:eastAsia="Calibri"/>
          <w:szCs w:val="22"/>
          <w:lang w:val="en-GB"/>
        </w:rPr>
        <w:t>                </w:t>
      </w:r>
      <w:r w:rsidRPr="00B200F9">
        <w:rPr>
          <w:lang w:val="en-GB"/>
        </w:rPr>
        <w:t xml:space="preserve">dB </w:t>
      </w:r>
      <w:r w:rsidRPr="00B200F9">
        <w:rPr>
          <w:lang w:val="en-GB"/>
        </w:rPr>
        <w:tab/>
        <w:t>(4a)</w:t>
      </w:r>
    </w:p>
    <w:p w14:paraId="27EEA280" w14:textId="77777777" w:rsidR="004337B5" w:rsidRPr="00B200F9" w:rsidRDefault="004337B5" w:rsidP="004337B5">
      <w:pPr>
        <w:pStyle w:val="Equation"/>
        <w:rPr>
          <w:rFonts w:ascii="Calibri" w:eastAsia="Calibri" w:hAnsi="Calibri"/>
          <w:szCs w:val="22"/>
          <w:lang w:val="en-GB"/>
        </w:rPr>
      </w:pPr>
      <w:r w:rsidRPr="00B200F9">
        <w:rPr>
          <w:rFonts w:ascii="Calibri" w:eastAsia="Calibri" w:hAnsi="Calibri"/>
          <w:szCs w:val="22"/>
          <w:lang w:val="en-GB"/>
        </w:rPr>
        <w:tab/>
      </w:r>
      <w:r w:rsidRPr="00B200F9">
        <w:rPr>
          <w:rFonts w:ascii="Calibri" w:eastAsia="Calibri" w:hAnsi="Calibri"/>
          <w:szCs w:val="22"/>
          <w:lang w:val="en-GB"/>
        </w:rPr>
        <w:tab/>
      </w:r>
      <m:oMath>
        <m:sSub>
          <m:sSubPr>
            <m:ctrlPr>
              <w:rPr>
                <w:rFonts w:ascii="Cambria Math" w:eastAsia="Calibri" w:hAnsi="Cambria Math"/>
                <w:i/>
                <w:szCs w:val="22"/>
              </w:rPr>
            </m:ctrlPr>
          </m:sSubPr>
          <m:e>
            <m:r>
              <m:rPr>
                <m:sty m:val="p"/>
              </m:rPr>
              <w:rPr>
                <w:rFonts w:ascii="Cambria Math" w:eastAsia="Calibri" w:hAnsi="Cambria Math"/>
                <w:szCs w:val="22"/>
              </w:rPr>
              <m:t>σ</m:t>
            </m:r>
          </m:e>
          <m:sub>
            <m:r>
              <w:rPr>
                <w:rFonts w:ascii="Cambria Math" w:eastAsia="Calibri" w:hAnsi="Cambria Math"/>
                <w:szCs w:val="22"/>
              </w:rPr>
              <m:t>l</m:t>
            </m:r>
          </m:sub>
        </m:sSub>
        <m:r>
          <w:rPr>
            <w:rFonts w:ascii="Cambria Math" w:eastAsia="Calibri" w:hAnsi="Cambria Math"/>
            <w:szCs w:val="22"/>
            <w:lang w:val="en-GB"/>
          </w:rPr>
          <m:t>=4</m:t>
        </m:r>
      </m:oMath>
      <w:r w:rsidRPr="00B200F9">
        <w:rPr>
          <w:lang w:val="en-GB"/>
        </w:rPr>
        <w:t xml:space="preserve">           dB </w:t>
      </w:r>
      <w:r w:rsidRPr="00B200F9">
        <w:rPr>
          <w:lang w:val="en-GB"/>
        </w:rPr>
        <w:tab/>
        <w:t>(4b)</w:t>
      </w:r>
    </w:p>
    <w:p w14:paraId="08DCBE14" w14:textId="77777777" w:rsidR="004337B5" w:rsidRPr="00B200F9" w:rsidRDefault="004337B5" w:rsidP="004337B5">
      <w:pPr>
        <w:pStyle w:val="MTDisplayEquation"/>
      </w:pPr>
      <w:r w:rsidRPr="00B200F9">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s</m:t>
            </m:r>
          </m:sub>
        </m:sSub>
        <m:r>
          <w:rPr>
            <w:rFonts w:ascii="Cambria Math" w:hAnsi="Cambria Math"/>
          </w:rPr>
          <m:t>=32,98+23,9</m:t>
        </m:r>
        <m:r>
          <m:rPr>
            <m:nor/>
          </m:rPr>
          <w:rPr>
            <w:rFonts w:ascii="Cambria Math" w:hAnsi="Cambria Math"/>
          </w:rPr>
          <m:t>log</m:t>
        </m:r>
        <m:d>
          <m:dPr>
            <m:ctrlPr>
              <w:rPr>
                <w:rFonts w:ascii="Cambria Math" w:hAnsi="Cambria Math"/>
                <w:i/>
                <w:lang w:val="fr-FR"/>
              </w:rPr>
            </m:ctrlPr>
          </m:dPr>
          <m:e>
            <m:r>
              <w:rPr>
                <w:rFonts w:ascii="Cambria Math" w:hAnsi="Cambria Math"/>
                <w:lang w:val="fr-FR"/>
              </w:rPr>
              <m:t>d</m:t>
            </m:r>
          </m:e>
        </m:d>
        <m:r>
          <w:rPr>
            <w:rFonts w:ascii="Cambria Math" w:hAnsi="Cambria Math"/>
          </w:rPr>
          <m:t>+3</m:t>
        </m:r>
        <m:r>
          <m:rPr>
            <m:nor/>
          </m:rPr>
          <w:rPr>
            <w:rFonts w:ascii="Cambria Math" w:hAnsi="Cambria Math"/>
          </w:rPr>
          <m:t>log</m:t>
        </m:r>
        <m:d>
          <m:dPr>
            <m:ctrlPr>
              <w:rPr>
                <w:rFonts w:ascii="Cambria Math" w:hAnsi="Cambria Math"/>
                <w:i/>
                <w:lang w:val="fr-FR"/>
              </w:rPr>
            </m:ctrlPr>
          </m:dPr>
          <m:e>
            <m:r>
              <w:rPr>
                <w:rFonts w:ascii="Cambria Math" w:hAnsi="Cambria Math"/>
                <w:lang w:val="fr-FR"/>
              </w:rPr>
              <m:t>f</m:t>
            </m:r>
          </m:e>
        </m:d>
      </m:oMath>
      <w:r w:rsidRPr="00B200F9">
        <w:t xml:space="preserve"> </w:t>
      </w:r>
      <w:bookmarkStart w:id="143" w:name="lt_pId272"/>
      <w:r w:rsidRPr="00B200F9">
        <w:t>dB</w:t>
      </w:r>
      <w:bookmarkEnd w:id="143"/>
      <w:r w:rsidRPr="00B200F9">
        <w:tab/>
        <w:t>(5a)</w:t>
      </w:r>
    </w:p>
    <w:p w14:paraId="1774B3E0" w14:textId="77777777" w:rsidR="004337B5" w:rsidRPr="004337B5" w:rsidRDefault="004337B5" w:rsidP="004337B5">
      <w:pPr>
        <w:pStyle w:val="Equation"/>
        <w:rPr>
          <w:lang w:val="es-ES"/>
        </w:rPr>
      </w:pPr>
      <w:r w:rsidRPr="00B200F9">
        <w:rPr>
          <w:rFonts w:ascii="Calibri" w:eastAsia="Calibri" w:hAnsi="Calibri"/>
          <w:szCs w:val="22"/>
          <w:lang w:val="en-GB"/>
        </w:rPr>
        <w:tab/>
      </w:r>
      <w:r w:rsidRPr="00B200F9">
        <w:rPr>
          <w:rFonts w:ascii="Calibri" w:eastAsia="Calibri" w:hAnsi="Calibri"/>
          <w:szCs w:val="22"/>
          <w:lang w:val="en-GB"/>
        </w:rPr>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lang w:val="es-ES"/>
          </w:rPr>
          <m:t>=6</m:t>
        </m:r>
      </m:oMath>
      <w:r w:rsidRPr="004337B5">
        <w:rPr>
          <w:rFonts w:eastAsia="Calibri"/>
          <w:szCs w:val="22"/>
          <w:lang w:val="es-ES"/>
        </w:rPr>
        <w:t>                </w:t>
      </w:r>
      <w:r w:rsidRPr="004337B5">
        <w:rPr>
          <w:lang w:val="es-ES"/>
        </w:rPr>
        <w:t xml:space="preserve">dB </w:t>
      </w:r>
      <w:r w:rsidRPr="004337B5">
        <w:rPr>
          <w:lang w:val="es-ES"/>
        </w:rPr>
        <w:tab/>
        <w:t>(5b)</w:t>
      </w:r>
    </w:p>
    <w:p w14:paraId="73254B19" w14:textId="77777777" w:rsidR="004337B5" w:rsidRDefault="004337B5" w:rsidP="004337B5">
      <w:pPr>
        <w:rPr>
          <w:lang w:val="es-ES_tradnl"/>
        </w:rPr>
      </w:pPr>
      <w:bookmarkStart w:id="144" w:name="lt_pId274"/>
      <w:r w:rsidRPr="00CA18C8">
        <w:rPr>
          <w:lang w:val="es-ES_tradnl"/>
        </w:rPr>
        <w:t xml:space="preserve">siendo </w:t>
      </w:r>
      <w:r w:rsidRPr="00CA18C8">
        <w:rPr>
          <w:i/>
          <w:lang w:val="es-ES_tradnl"/>
        </w:rPr>
        <w:t>d</w:t>
      </w:r>
      <w:r w:rsidRPr="00CA18C8">
        <w:rPr>
          <w:lang w:val="es-ES_tradnl"/>
        </w:rPr>
        <w:t xml:space="preserve"> la longitud total del trayecto.</w:t>
      </w:r>
      <w:bookmarkEnd w:id="144"/>
      <w:r w:rsidRPr="00CA18C8">
        <w:rPr>
          <w:lang w:val="es-ES_tradnl"/>
        </w:rPr>
        <w:t xml:space="preserve"> </w:t>
      </w:r>
      <w:bookmarkStart w:id="145" w:name="lt_pId275"/>
    </w:p>
    <w:p w14:paraId="78BEFD28" w14:textId="77777777" w:rsidR="004337B5" w:rsidRPr="00C712CE" w:rsidRDefault="004337B5" w:rsidP="004337B5">
      <w:pPr>
        <w:rPr>
          <w:lang w:val="es-ES_tradnl"/>
        </w:rPr>
      </w:pPr>
      <w:r w:rsidRPr="00C712CE">
        <w:rPr>
          <w:lang w:val="es-ES_tradnl"/>
        </w:rPr>
        <w:t>Las pérdidas debidas a la ocupación del suelo no deben superar un valor máximo, que viene dado por:</w:t>
      </w:r>
    </w:p>
    <w:p w14:paraId="5202EA21" w14:textId="77777777" w:rsidR="004337B5" w:rsidRPr="00B200F9" w:rsidRDefault="004337B5" w:rsidP="004337B5">
      <w:pPr>
        <w:pStyle w:val="Equation"/>
        <w:rPr>
          <w:lang w:val="en-GB"/>
        </w:rPr>
      </w:pPr>
      <w:r w:rsidRPr="004337B5">
        <w:rPr>
          <w:rFonts w:ascii="Calibri" w:eastAsia="Calibri" w:hAnsi="Calibri"/>
          <w:szCs w:val="22"/>
          <w:lang w:val="es-ES"/>
        </w:rPr>
        <w:tab/>
      </w:r>
      <w:r w:rsidRPr="004337B5">
        <w:rPr>
          <w:rFonts w:ascii="Calibri" w:eastAsia="Calibri" w:hAnsi="Calibri"/>
          <w:szCs w:val="22"/>
          <w:lang w:val="es-ES"/>
        </w:rPr>
        <w:tab/>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rPr>
              <m:t>Max</m:t>
            </m:r>
          </m:sub>
        </m:sSub>
        <m:r>
          <w:rPr>
            <w:rFonts w:ascii="Cambria Math" w:eastAsia="Calibri" w:hAnsi="Cambria Math"/>
            <w:lang w:val="en-GB"/>
          </w:rPr>
          <m: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lang w:val="en-GB"/>
              </w:rPr>
              <m:t>2</m:t>
            </m:r>
            <m:r>
              <w:rPr>
                <w:rFonts w:ascii="Cambria Math" w:eastAsia="Calibri" w:hAnsi="Cambria Math"/>
              </w:rPr>
              <m:t>km</m:t>
            </m:r>
          </m:sub>
        </m:sSub>
      </m:oMath>
      <w:r w:rsidRPr="00B200F9">
        <w:rPr>
          <w:lang w:val="en-GB"/>
        </w:rPr>
        <w:t xml:space="preserve"> </w:t>
      </w:r>
      <w:r w:rsidRPr="00B200F9">
        <w:rPr>
          <w:rFonts w:eastAsia="Calibri"/>
          <w:szCs w:val="22"/>
          <w:lang w:val="en-GB"/>
        </w:rPr>
        <w:t>                </w:t>
      </w:r>
      <w:r w:rsidRPr="00B200F9">
        <w:rPr>
          <w:lang w:val="en-GB"/>
        </w:rPr>
        <w:t xml:space="preserve">dB </w:t>
      </w:r>
      <w:r w:rsidRPr="00B200F9">
        <w:rPr>
          <w:lang w:val="en-GB"/>
        </w:rPr>
        <w:tab/>
        <w:t>(6)</w:t>
      </w:r>
    </w:p>
    <w:p w14:paraId="54DCE4E7" w14:textId="77777777" w:rsidR="004337B5" w:rsidRPr="00025813" w:rsidRDefault="004337B5" w:rsidP="004337B5">
      <w:pPr>
        <w:spacing w:before="240"/>
        <w:rPr>
          <w:lang w:val="es-ES"/>
        </w:rPr>
      </w:pPr>
      <w:r w:rsidRPr="00C712CE">
        <w:rPr>
          <w:lang w:val="es-ES"/>
        </w:rPr>
        <w:t xml:space="preserve">siendo </w:t>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lang w:val="es-ES"/>
              </w:rPr>
              <m:t>2</m:t>
            </m:r>
            <m:r>
              <w:rPr>
                <w:rFonts w:ascii="Cambria Math" w:eastAsia="Calibri" w:hAnsi="Cambria Math"/>
              </w:rPr>
              <m:t>km</m:t>
            </m:r>
          </m:sub>
        </m:sSub>
      </m:oMath>
      <w:r w:rsidRPr="00C712CE">
        <w:rPr>
          <w:lang w:val="es-ES"/>
        </w:rPr>
        <w:t xml:space="preserve"> las pérdidas debidas a la ocupación del suelo, donde </w:t>
      </w:r>
      <m:oMath>
        <m:r>
          <w:rPr>
            <w:rFonts w:ascii="Cambria Math" w:eastAsia="Calibri" w:hAnsi="Cambria Math"/>
          </w:rPr>
          <m:t>d</m:t>
        </m:r>
        <m:r>
          <w:rPr>
            <w:rFonts w:ascii="Cambria Math" w:eastAsia="Calibri" w:hAnsi="Cambria Math"/>
            <w:lang w:val="es-ES"/>
          </w:rPr>
          <m:t xml:space="preserve">=2 </m:t>
        </m:r>
        <m:r>
          <w:rPr>
            <w:rFonts w:ascii="Cambria Math" w:eastAsia="Calibri" w:hAnsi="Cambria Math"/>
          </w:rPr>
          <m:t>km</m:t>
        </m:r>
      </m:oMath>
      <w:r w:rsidRPr="00C712CE">
        <w:rPr>
          <w:lang w:val="es-ES"/>
        </w:rPr>
        <w:t>.</w:t>
      </w:r>
    </w:p>
    <w:p w14:paraId="394667DB" w14:textId="77777777" w:rsidR="004337B5" w:rsidRPr="00CA18C8" w:rsidRDefault="004337B5" w:rsidP="004337B5">
      <w:pPr>
        <w:rPr>
          <w:lang w:val="es-ES_tradnl"/>
        </w:rPr>
      </w:pPr>
      <w:r w:rsidRPr="00CA18C8">
        <w:rPr>
          <w:lang w:val="es-ES_tradnl"/>
        </w:rPr>
        <w:t>En la Figura 1 se muestran las pérdidas medianas por ocupación del suelo a diferentes frecuencias, calculadas mediante la ecuación (3).</w:t>
      </w:r>
      <w:bookmarkEnd w:id="145"/>
    </w:p>
    <w:p w14:paraId="5D0B12A6" w14:textId="77777777" w:rsidR="004337B5" w:rsidRPr="004337B5" w:rsidRDefault="004337B5" w:rsidP="004337B5">
      <w:pPr>
        <w:pStyle w:val="FigureNo"/>
        <w:rPr>
          <w:lang w:val="es-ES" w:eastAsia="ko-KR"/>
        </w:rPr>
      </w:pPr>
      <w:bookmarkStart w:id="146" w:name="lt_pId276"/>
      <w:r w:rsidRPr="004337B5">
        <w:rPr>
          <w:lang w:val="es-ES"/>
        </w:rPr>
        <w:lastRenderedPageBreak/>
        <w:t xml:space="preserve">FIGURA </w:t>
      </w:r>
      <w:r w:rsidRPr="004337B5">
        <w:rPr>
          <w:lang w:val="es-ES" w:eastAsia="ko-KR"/>
        </w:rPr>
        <w:t>1</w:t>
      </w:r>
    </w:p>
    <w:p w14:paraId="0CD75F32" w14:textId="77777777" w:rsidR="004337B5" w:rsidRPr="004337B5" w:rsidRDefault="004337B5" w:rsidP="004337B5">
      <w:pPr>
        <w:pStyle w:val="Figuretitle"/>
        <w:rPr>
          <w:lang w:val="es-ES"/>
        </w:rPr>
      </w:pPr>
      <w:r w:rsidRPr="00CA18C8">
        <w:rPr>
          <w:lang w:val="es-ES_tradnl" w:eastAsia="ko-KR"/>
        </w:rPr>
        <w:t>Pérdidas medianas por ocupación del suelo para trayectos terrenales</w:t>
      </w:r>
    </w:p>
    <w:p w14:paraId="3D6BC26D" w14:textId="77777777" w:rsidR="004337B5" w:rsidRPr="00E91C11" w:rsidRDefault="004337B5" w:rsidP="004337B5">
      <w:pPr>
        <w:pStyle w:val="Figure"/>
      </w:pPr>
      <w:r w:rsidRPr="00E91C11">
        <w:object w:dxaOrig="5635" w:dyaOrig="4044" w14:anchorId="4DF3F967">
          <v:shape id="_x0000_i1030" type="#_x0000_t75" style="width:330.1pt;height:237.05pt" o:ole="">
            <v:imagedata r:id="rId22" o:title=""/>
          </v:shape>
          <o:OLEObject Type="Embed" ProgID="CorelDraw.Graphic.17" ShapeID="_x0000_i1030" DrawAspect="Content" ObjectID="_1712122993" r:id="rId23"/>
        </w:object>
      </w:r>
    </w:p>
    <w:bookmarkEnd w:id="146"/>
    <w:p w14:paraId="6A0EB174" w14:textId="77777777" w:rsidR="004337B5" w:rsidRPr="00CA18C8" w:rsidRDefault="004337B5" w:rsidP="004337B5">
      <w:pPr>
        <w:pStyle w:val="Heading2"/>
        <w:rPr>
          <w:lang w:val="es-ES_tradnl"/>
        </w:rPr>
      </w:pPr>
      <w:r w:rsidRPr="00CA18C8">
        <w:rPr>
          <w:lang w:val="es-ES_tradnl"/>
        </w:rPr>
        <w:t>3.3</w:t>
      </w:r>
      <w:r w:rsidRPr="00CA18C8">
        <w:rPr>
          <w:lang w:val="es-ES_tradnl"/>
        </w:rPr>
        <w:tab/>
      </w:r>
      <w:bookmarkStart w:id="147" w:name="lt_pId279"/>
      <w:r w:rsidRPr="00CA18C8">
        <w:rPr>
          <w:lang w:val="es-ES_tradnl"/>
        </w:rPr>
        <w:t>Modelo estadístico de pérdidas por la ocupación del suelo para trayectos Tierra-espacio y aeronáuticos</w:t>
      </w:r>
      <w:bookmarkEnd w:id="147"/>
    </w:p>
    <w:p w14:paraId="50BA9185" w14:textId="77777777" w:rsidR="004337B5" w:rsidRPr="00CA18C8" w:rsidRDefault="004337B5" w:rsidP="004337B5">
      <w:pPr>
        <w:rPr>
          <w:lang w:val="es-ES_tradnl"/>
        </w:rPr>
      </w:pPr>
      <w:bookmarkStart w:id="148" w:name="lt_pId280"/>
      <w:r w:rsidRPr="00CA18C8">
        <w:rPr>
          <w:lang w:val="es-ES_tradnl"/>
        </w:rPr>
        <w:t>En la presente sección se proporcionan las ecuaciones para calcular la distribución estadística de las pérdidas por ocupación del suelo cuando uno de los extremos del trayecto de interferencia es un obstáculo artificial y el otro un satélite, aeronave u otra plataforma por encima la superficie de la Tierra.</w:t>
      </w:r>
      <w:bookmarkEnd w:id="148"/>
    </w:p>
    <w:p w14:paraId="206D881D" w14:textId="77777777" w:rsidR="004337B5" w:rsidRPr="00CA18C8" w:rsidRDefault="004337B5" w:rsidP="004337B5">
      <w:pPr>
        <w:rPr>
          <w:lang w:val="es-ES_tradnl"/>
        </w:rPr>
      </w:pPr>
      <w:bookmarkStart w:id="149" w:name="lt_pId281"/>
      <w:r w:rsidRPr="00CA18C8">
        <w:rPr>
          <w:lang w:val="es-ES_tradnl"/>
        </w:rPr>
        <w:t>Se calcula la pérdida adicional,</w:t>
      </w:r>
      <w:r w:rsidRPr="00CA18C8">
        <w:rPr>
          <w:i/>
          <w:lang w:val="es-ES_tradnl"/>
        </w:rPr>
        <w:t xml:space="preserve"> L</w:t>
      </w:r>
      <w:r w:rsidRPr="00CA18C8">
        <w:rPr>
          <w:i/>
          <w:vertAlign w:val="subscript"/>
          <w:lang w:val="es-ES_tradnl"/>
        </w:rPr>
        <w:t>ces</w:t>
      </w:r>
      <w:r w:rsidRPr="00CA18C8">
        <w:rPr>
          <w:lang w:val="es-ES_tradnl"/>
        </w:rPr>
        <w:t>, y luego se añade a la pérdida de transmisión básica calculada para el trayecto.</w:t>
      </w:r>
      <w:bookmarkEnd w:id="149"/>
    </w:p>
    <w:p w14:paraId="250B907C" w14:textId="77777777" w:rsidR="004337B5" w:rsidRPr="00CA18C8" w:rsidRDefault="004337B5" w:rsidP="004337B5">
      <w:pPr>
        <w:rPr>
          <w:lang w:val="es-ES_tradnl"/>
        </w:rPr>
      </w:pPr>
      <w:bookmarkStart w:id="150" w:name="lt_pId282"/>
      <w:r w:rsidRPr="00CA18C8">
        <w:rPr>
          <w:lang w:val="es-ES_tradnl"/>
        </w:rPr>
        <w:t>Este modelo es aplicable a entornos urbanos y suburbanos.</w:t>
      </w:r>
      <w:bookmarkEnd w:id="150"/>
      <w:r w:rsidRPr="00CA18C8">
        <w:rPr>
          <w:lang w:val="es-ES_tradnl"/>
        </w:rPr>
        <w:t xml:space="preserve"> </w:t>
      </w:r>
      <w:bookmarkStart w:id="151" w:name="lt_pId283"/>
      <w:r w:rsidRPr="00CA18C8">
        <w:rPr>
          <w:lang w:val="es-ES_tradnl"/>
        </w:rPr>
        <w:t>El método utilizado para elaborar este modelo se describe en el Informe UIT-R P.2402-0.</w:t>
      </w:r>
      <w:bookmarkEnd w:id="151"/>
    </w:p>
    <w:p w14:paraId="47B2B79E" w14:textId="77777777" w:rsidR="004337B5" w:rsidRPr="00CA18C8" w:rsidRDefault="004337B5" w:rsidP="004337B5">
      <w:pPr>
        <w:rPr>
          <w:lang w:val="es-ES_tradnl"/>
        </w:rPr>
      </w:pPr>
      <w:bookmarkStart w:id="152" w:name="lt_pId284"/>
      <w:r w:rsidRPr="00CA18C8">
        <w:rPr>
          <w:lang w:val="es-ES_tradnl"/>
        </w:rPr>
        <w:t>Gama de frecuencias:</w:t>
      </w:r>
      <w:bookmarkEnd w:id="152"/>
      <w:r w:rsidRPr="00CA18C8">
        <w:rPr>
          <w:lang w:val="es-ES_tradnl"/>
        </w:rPr>
        <w:tab/>
      </w:r>
      <w:r w:rsidRPr="00CA18C8">
        <w:rPr>
          <w:lang w:val="es-ES_tradnl"/>
        </w:rPr>
        <w:tab/>
      </w:r>
      <w:bookmarkStart w:id="153" w:name="lt_pId285"/>
      <w:r w:rsidRPr="00CA18C8">
        <w:rPr>
          <w:lang w:val="es-ES_tradnl"/>
        </w:rPr>
        <w:tab/>
        <w:t>10 a 100 GHz</w:t>
      </w:r>
      <w:bookmarkEnd w:id="153"/>
    </w:p>
    <w:p w14:paraId="2E3B08AF" w14:textId="77777777" w:rsidR="004337B5" w:rsidRPr="00CA18C8" w:rsidRDefault="004337B5" w:rsidP="004337B5">
      <w:pPr>
        <w:rPr>
          <w:lang w:val="es-ES_tradnl"/>
        </w:rPr>
      </w:pPr>
      <w:bookmarkStart w:id="154" w:name="lt_pId286"/>
      <w:r w:rsidRPr="00CA18C8">
        <w:rPr>
          <w:lang w:val="es-ES_tradnl"/>
        </w:rPr>
        <w:t>Gama de ángulos de elevación:</w:t>
      </w:r>
      <w:bookmarkEnd w:id="154"/>
      <w:r w:rsidRPr="00CA18C8">
        <w:rPr>
          <w:lang w:val="es-ES_tradnl"/>
        </w:rPr>
        <w:tab/>
      </w:r>
      <w:bookmarkStart w:id="155" w:name="lt_pId287"/>
      <w:r w:rsidRPr="00CA18C8">
        <w:rPr>
          <w:lang w:val="es-ES_tradnl"/>
        </w:rPr>
        <w:t xml:space="preserve">0 a 90 </w:t>
      </w:r>
      <w:bookmarkEnd w:id="155"/>
      <w:r w:rsidRPr="00CA18C8">
        <w:rPr>
          <w:lang w:val="es-ES_tradnl"/>
        </w:rPr>
        <w:t>grados</w:t>
      </w:r>
    </w:p>
    <w:p w14:paraId="29C8E4B6" w14:textId="77777777" w:rsidR="004337B5" w:rsidRPr="00CA18C8" w:rsidRDefault="004337B5" w:rsidP="004337B5">
      <w:pPr>
        <w:rPr>
          <w:lang w:val="es-ES_tradnl"/>
        </w:rPr>
      </w:pPr>
      <w:bookmarkStart w:id="156" w:name="lt_pId288"/>
      <w:r w:rsidRPr="00CA18C8">
        <w:rPr>
          <w:lang w:val="es-ES_tradnl"/>
        </w:rPr>
        <w:t>Porcentaje de ubicaciones:</w:t>
      </w:r>
      <w:bookmarkEnd w:id="156"/>
      <w:r w:rsidRPr="00CA18C8">
        <w:rPr>
          <w:lang w:val="es-ES_tradnl"/>
        </w:rPr>
        <w:tab/>
      </w:r>
      <w:r w:rsidRPr="00CA18C8">
        <w:rPr>
          <w:lang w:val="es-ES_tradnl"/>
        </w:rPr>
        <w:tab/>
      </w:r>
      <w:bookmarkStart w:id="157" w:name="lt_pId289"/>
      <w:r w:rsidRPr="00CA18C8">
        <w:rPr>
          <w:lang w:val="es-ES_tradnl"/>
        </w:rPr>
        <w:t xml:space="preserve">0 &lt; </w:t>
      </w:r>
      <w:r w:rsidRPr="00CA18C8">
        <w:rPr>
          <w:i/>
          <w:iCs/>
          <w:lang w:val="es-ES_tradnl"/>
        </w:rPr>
        <w:t>p</w:t>
      </w:r>
      <w:r w:rsidRPr="00CA18C8">
        <w:rPr>
          <w:lang w:val="es-ES_tradnl"/>
        </w:rPr>
        <w:t xml:space="preserve"> &lt; 100</w:t>
      </w:r>
      <w:bookmarkEnd w:id="157"/>
    </w:p>
    <w:p w14:paraId="1AFAEA5E" w14:textId="77777777" w:rsidR="004337B5" w:rsidRPr="00CA18C8" w:rsidRDefault="004337B5" w:rsidP="004337B5">
      <w:pPr>
        <w:pStyle w:val="Heading3"/>
        <w:rPr>
          <w:lang w:val="es-ES_tradnl"/>
        </w:rPr>
      </w:pPr>
      <w:r w:rsidRPr="00CA18C8">
        <w:rPr>
          <w:lang w:val="es-ES_tradnl"/>
        </w:rPr>
        <w:t>3.3.1</w:t>
      </w:r>
      <w:r w:rsidRPr="00CA18C8">
        <w:rPr>
          <w:lang w:val="es-ES_tradnl"/>
        </w:rPr>
        <w:tab/>
        <w:t>Parámetros</w:t>
      </w:r>
    </w:p>
    <w:p w14:paraId="26FDE03B" w14:textId="77777777" w:rsidR="004337B5" w:rsidRPr="00CA18C8" w:rsidRDefault="004337B5" w:rsidP="004337B5">
      <w:pPr>
        <w:rPr>
          <w:lang w:val="es-ES_tradnl"/>
        </w:rPr>
      </w:pPr>
      <w:bookmarkStart w:id="158" w:name="lt_pId292"/>
      <w:r w:rsidRPr="00CA18C8">
        <w:rPr>
          <w:lang w:val="es-ES_tradnl"/>
        </w:rPr>
        <w:t>En el Cuadro 5 se indican los parámetros.</w:t>
      </w:r>
      <w:bookmarkEnd w:id="158"/>
    </w:p>
    <w:p w14:paraId="7490073B" w14:textId="77777777" w:rsidR="004337B5" w:rsidRPr="00CA18C8" w:rsidRDefault="004337B5" w:rsidP="004337B5">
      <w:pPr>
        <w:pStyle w:val="TableNo"/>
        <w:spacing w:before="240"/>
        <w:rPr>
          <w:lang w:val="es-ES_tradnl"/>
        </w:rPr>
      </w:pPr>
      <w:bookmarkStart w:id="159" w:name="lt_pId293"/>
      <w:r w:rsidRPr="00CA18C8">
        <w:rPr>
          <w:lang w:val="es-ES_tradnl"/>
        </w:rPr>
        <w:t>CUADRO 5</w:t>
      </w:r>
      <w:bookmarkEnd w:id="159"/>
    </w:p>
    <w:p w14:paraId="54724D6E" w14:textId="77777777" w:rsidR="004337B5" w:rsidRPr="00CA18C8" w:rsidRDefault="004337B5" w:rsidP="004337B5">
      <w:pPr>
        <w:pStyle w:val="Tabletitle"/>
        <w:rPr>
          <w:lang w:val="es-ES_tradnl"/>
        </w:rPr>
      </w:pPr>
      <w:r w:rsidRPr="00CA18C8">
        <w:rPr>
          <w:lang w:val="es-ES_tradnl"/>
        </w:rPr>
        <w:t>Parámetros para el modelo estadístico de las pérdidas</w:t>
      </w:r>
      <w:r>
        <w:rPr>
          <w:lang w:val="es-ES_tradnl"/>
        </w:rPr>
        <w:t xml:space="preserve"> debidas</w:t>
      </w:r>
      <w:r w:rsidRPr="00CA18C8">
        <w:rPr>
          <w:lang w:val="es-ES_tradnl"/>
        </w:rPr>
        <w:br/>
        <w:t>a la ocupación del suelo en trayectos Tierra-espacio</w:t>
      </w:r>
    </w:p>
    <w:tbl>
      <w:tblPr>
        <w:tblW w:w="4995" w:type="dxa"/>
        <w:jc w:val="center"/>
        <w:tblLayout w:type="fixed"/>
        <w:tblCellMar>
          <w:left w:w="107" w:type="dxa"/>
          <w:right w:w="107" w:type="dxa"/>
        </w:tblCellMar>
        <w:tblLook w:val="0000" w:firstRow="0" w:lastRow="0" w:firstColumn="0" w:lastColumn="0" w:noHBand="0" w:noVBand="0"/>
      </w:tblPr>
      <w:tblGrid>
        <w:gridCol w:w="2402"/>
        <w:gridCol w:w="1276"/>
        <w:gridCol w:w="1317"/>
      </w:tblGrid>
      <w:tr w:rsidR="004337B5" w:rsidRPr="00CA18C8" w14:paraId="3178556C" w14:textId="77777777" w:rsidTr="00603810">
        <w:trPr>
          <w:cantSplit/>
          <w:jc w:val="center"/>
        </w:trPr>
        <w:tc>
          <w:tcPr>
            <w:tcW w:w="2402" w:type="dxa"/>
            <w:tcBorders>
              <w:top w:val="single" w:sz="6" w:space="0" w:color="auto"/>
              <w:left w:val="single" w:sz="6" w:space="0" w:color="auto"/>
              <w:bottom w:val="single" w:sz="6" w:space="0" w:color="auto"/>
              <w:right w:val="single" w:sz="6" w:space="0" w:color="auto"/>
            </w:tcBorders>
          </w:tcPr>
          <w:p w14:paraId="40115D7C" w14:textId="77777777" w:rsidR="004337B5" w:rsidRPr="00CA18C8" w:rsidRDefault="004337B5" w:rsidP="00603810">
            <w:pPr>
              <w:pStyle w:val="Tablehead"/>
              <w:rPr>
                <w:lang w:val="es-ES_tradnl"/>
              </w:rPr>
            </w:pPr>
            <w:r w:rsidRPr="00CA18C8">
              <w:rPr>
                <w:lang w:val="es-ES_tradnl"/>
              </w:rPr>
              <w:t>Parámetro</w:t>
            </w:r>
          </w:p>
        </w:tc>
        <w:tc>
          <w:tcPr>
            <w:tcW w:w="1276" w:type="dxa"/>
            <w:tcBorders>
              <w:top w:val="single" w:sz="6" w:space="0" w:color="auto"/>
              <w:left w:val="single" w:sz="6" w:space="0" w:color="auto"/>
              <w:bottom w:val="single" w:sz="6" w:space="0" w:color="auto"/>
              <w:right w:val="single" w:sz="6" w:space="0" w:color="auto"/>
            </w:tcBorders>
          </w:tcPr>
          <w:p w14:paraId="753C46CB" w14:textId="77777777" w:rsidR="004337B5" w:rsidRPr="00CA18C8" w:rsidRDefault="004337B5" w:rsidP="00603810">
            <w:pPr>
              <w:pStyle w:val="Tablehead"/>
              <w:rPr>
                <w:lang w:val="es-ES_tradnl"/>
              </w:rPr>
            </w:pPr>
            <w:r w:rsidRPr="00CA18C8">
              <w:rPr>
                <w:lang w:val="es-ES_tradnl"/>
              </w:rPr>
              <w:t>Símbolo</w:t>
            </w:r>
          </w:p>
        </w:tc>
        <w:tc>
          <w:tcPr>
            <w:tcW w:w="1317" w:type="dxa"/>
            <w:tcBorders>
              <w:top w:val="single" w:sz="6" w:space="0" w:color="auto"/>
              <w:left w:val="single" w:sz="6" w:space="0" w:color="auto"/>
              <w:bottom w:val="single" w:sz="6" w:space="0" w:color="auto"/>
              <w:right w:val="single" w:sz="6" w:space="0" w:color="auto"/>
            </w:tcBorders>
          </w:tcPr>
          <w:p w14:paraId="2474D767" w14:textId="77777777" w:rsidR="004337B5" w:rsidRPr="00CA18C8" w:rsidRDefault="004337B5" w:rsidP="00603810">
            <w:pPr>
              <w:pStyle w:val="Tablehead"/>
              <w:rPr>
                <w:lang w:val="es-ES_tradnl"/>
              </w:rPr>
            </w:pPr>
            <w:r w:rsidRPr="00CA18C8">
              <w:rPr>
                <w:lang w:val="es-ES_tradnl"/>
              </w:rPr>
              <w:t>Unidad</w:t>
            </w:r>
          </w:p>
        </w:tc>
      </w:tr>
      <w:tr w:rsidR="004337B5" w:rsidRPr="00CA18C8" w14:paraId="2CD10364" w14:textId="77777777" w:rsidTr="00603810">
        <w:trPr>
          <w:cantSplit/>
          <w:jc w:val="center"/>
        </w:trPr>
        <w:tc>
          <w:tcPr>
            <w:tcW w:w="2402" w:type="dxa"/>
            <w:tcBorders>
              <w:top w:val="single" w:sz="6" w:space="0" w:color="auto"/>
              <w:left w:val="single" w:sz="6" w:space="0" w:color="auto"/>
              <w:bottom w:val="single" w:sz="6" w:space="0" w:color="auto"/>
              <w:right w:val="single" w:sz="6" w:space="0" w:color="auto"/>
            </w:tcBorders>
          </w:tcPr>
          <w:p w14:paraId="7071E341" w14:textId="77777777" w:rsidR="004337B5" w:rsidRPr="00CA18C8" w:rsidRDefault="004337B5" w:rsidP="00603810">
            <w:pPr>
              <w:pStyle w:val="Tabletext"/>
              <w:jc w:val="left"/>
              <w:rPr>
                <w:lang w:val="es-ES_tradnl"/>
              </w:rPr>
            </w:pPr>
            <w:r w:rsidRPr="00CA18C8">
              <w:rPr>
                <w:lang w:val="es-ES_tradnl"/>
              </w:rPr>
              <w:t>Frecuencia</w:t>
            </w:r>
          </w:p>
        </w:tc>
        <w:tc>
          <w:tcPr>
            <w:tcW w:w="1276" w:type="dxa"/>
            <w:tcBorders>
              <w:top w:val="single" w:sz="6" w:space="0" w:color="auto"/>
              <w:left w:val="single" w:sz="6" w:space="0" w:color="auto"/>
              <w:bottom w:val="single" w:sz="6" w:space="0" w:color="auto"/>
              <w:right w:val="single" w:sz="6" w:space="0" w:color="auto"/>
            </w:tcBorders>
          </w:tcPr>
          <w:p w14:paraId="5C281857" w14:textId="77777777" w:rsidR="004337B5" w:rsidRPr="00CA18C8" w:rsidRDefault="004337B5" w:rsidP="00603810">
            <w:pPr>
              <w:pStyle w:val="Tabletext"/>
              <w:jc w:val="center"/>
              <w:rPr>
                <w:i/>
                <w:lang w:val="es-ES_tradnl"/>
              </w:rPr>
            </w:pPr>
            <w:bookmarkStart w:id="160" w:name="lt_pId299"/>
            <w:r w:rsidRPr="00CA18C8">
              <w:rPr>
                <w:i/>
                <w:lang w:val="es-ES_tradnl"/>
              </w:rPr>
              <w:t>f</w:t>
            </w:r>
            <w:bookmarkEnd w:id="160"/>
          </w:p>
        </w:tc>
        <w:tc>
          <w:tcPr>
            <w:tcW w:w="1317" w:type="dxa"/>
            <w:tcBorders>
              <w:top w:val="single" w:sz="6" w:space="0" w:color="auto"/>
              <w:left w:val="single" w:sz="6" w:space="0" w:color="auto"/>
              <w:bottom w:val="single" w:sz="6" w:space="0" w:color="auto"/>
              <w:right w:val="single" w:sz="6" w:space="0" w:color="auto"/>
            </w:tcBorders>
          </w:tcPr>
          <w:p w14:paraId="093AB8D2" w14:textId="77777777" w:rsidR="004337B5" w:rsidRPr="00CA18C8" w:rsidRDefault="004337B5" w:rsidP="00603810">
            <w:pPr>
              <w:pStyle w:val="Tabletext"/>
              <w:jc w:val="center"/>
              <w:rPr>
                <w:lang w:val="es-ES_tradnl"/>
              </w:rPr>
            </w:pPr>
            <w:bookmarkStart w:id="161" w:name="lt_pId300"/>
            <w:r w:rsidRPr="00CA18C8">
              <w:rPr>
                <w:lang w:val="es-ES_tradnl"/>
              </w:rPr>
              <w:t>GHz</w:t>
            </w:r>
            <w:bookmarkEnd w:id="161"/>
          </w:p>
        </w:tc>
      </w:tr>
      <w:tr w:rsidR="004337B5" w:rsidRPr="00CA18C8" w14:paraId="68D808DE" w14:textId="77777777" w:rsidTr="00603810">
        <w:trPr>
          <w:cantSplit/>
          <w:jc w:val="center"/>
        </w:trPr>
        <w:tc>
          <w:tcPr>
            <w:tcW w:w="2402" w:type="dxa"/>
            <w:tcBorders>
              <w:top w:val="single" w:sz="6" w:space="0" w:color="auto"/>
              <w:left w:val="single" w:sz="6" w:space="0" w:color="auto"/>
              <w:bottom w:val="single" w:sz="6" w:space="0" w:color="auto"/>
              <w:right w:val="single" w:sz="6" w:space="0" w:color="auto"/>
            </w:tcBorders>
          </w:tcPr>
          <w:p w14:paraId="697BE885" w14:textId="77777777" w:rsidR="004337B5" w:rsidRPr="00CA18C8" w:rsidRDefault="004337B5" w:rsidP="00603810">
            <w:pPr>
              <w:pStyle w:val="Tabletext"/>
              <w:jc w:val="left"/>
              <w:rPr>
                <w:lang w:val="es-ES_tradnl"/>
              </w:rPr>
            </w:pPr>
            <w:r>
              <w:rPr>
                <w:lang w:val="es-ES_tradnl"/>
              </w:rPr>
              <w:t>Ángulo de elevación</w:t>
            </w:r>
          </w:p>
        </w:tc>
        <w:tc>
          <w:tcPr>
            <w:tcW w:w="1276" w:type="dxa"/>
            <w:tcBorders>
              <w:top w:val="single" w:sz="6" w:space="0" w:color="auto"/>
              <w:left w:val="single" w:sz="6" w:space="0" w:color="auto"/>
              <w:bottom w:val="single" w:sz="6" w:space="0" w:color="auto"/>
              <w:right w:val="single" w:sz="6" w:space="0" w:color="auto"/>
            </w:tcBorders>
          </w:tcPr>
          <w:p w14:paraId="5194244F" w14:textId="77777777" w:rsidR="004337B5" w:rsidRPr="00CA18C8" w:rsidRDefault="004337B5" w:rsidP="00603810">
            <w:pPr>
              <w:pStyle w:val="Tabletext"/>
              <w:jc w:val="center"/>
              <w:rPr>
                <w:iCs/>
                <w:lang w:val="es-ES_tradnl"/>
              </w:rPr>
            </w:pPr>
            <w:bookmarkStart w:id="162" w:name="lt_pId302"/>
            <w:r w:rsidRPr="00CA18C8">
              <w:rPr>
                <w:iCs/>
                <w:lang w:val="es-ES_tradnl"/>
              </w:rPr>
              <w:t>θ</w:t>
            </w:r>
            <w:bookmarkEnd w:id="162"/>
          </w:p>
        </w:tc>
        <w:tc>
          <w:tcPr>
            <w:tcW w:w="1317" w:type="dxa"/>
            <w:tcBorders>
              <w:top w:val="single" w:sz="6" w:space="0" w:color="auto"/>
              <w:left w:val="single" w:sz="6" w:space="0" w:color="auto"/>
              <w:bottom w:val="single" w:sz="6" w:space="0" w:color="auto"/>
              <w:right w:val="single" w:sz="6" w:space="0" w:color="auto"/>
            </w:tcBorders>
          </w:tcPr>
          <w:p w14:paraId="3B41DD6A" w14:textId="77777777" w:rsidR="004337B5" w:rsidRPr="00CA18C8" w:rsidRDefault="004337B5" w:rsidP="00603810">
            <w:pPr>
              <w:pStyle w:val="Tabletext"/>
              <w:jc w:val="center"/>
              <w:rPr>
                <w:lang w:val="es-ES_tradnl"/>
              </w:rPr>
            </w:pPr>
            <w:r w:rsidRPr="009634CB">
              <w:rPr>
                <w:lang w:val="es-ES_tradnl"/>
              </w:rPr>
              <w:t>Grados</w:t>
            </w:r>
          </w:p>
        </w:tc>
      </w:tr>
      <w:tr w:rsidR="004337B5" w:rsidRPr="00CA18C8" w14:paraId="09FF05B4" w14:textId="77777777" w:rsidTr="00603810">
        <w:trPr>
          <w:cantSplit/>
          <w:jc w:val="center"/>
        </w:trPr>
        <w:tc>
          <w:tcPr>
            <w:tcW w:w="2402" w:type="dxa"/>
            <w:tcBorders>
              <w:top w:val="single" w:sz="6" w:space="0" w:color="auto"/>
              <w:left w:val="single" w:sz="6" w:space="0" w:color="auto"/>
              <w:bottom w:val="single" w:sz="6" w:space="0" w:color="auto"/>
              <w:right w:val="single" w:sz="6" w:space="0" w:color="auto"/>
            </w:tcBorders>
          </w:tcPr>
          <w:p w14:paraId="42D912ED" w14:textId="77777777" w:rsidR="004337B5" w:rsidRPr="00CA18C8" w:rsidRDefault="004337B5" w:rsidP="00603810">
            <w:pPr>
              <w:pStyle w:val="Tabletext"/>
              <w:jc w:val="left"/>
              <w:rPr>
                <w:lang w:val="es-ES_tradnl"/>
              </w:rPr>
            </w:pPr>
            <w:r w:rsidRPr="00CA18C8">
              <w:rPr>
                <w:lang w:val="es-ES_tradnl"/>
              </w:rPr>
              <w:t>Porcentaje de ubicaciones</w:t>
            </w:r>
          </w:p>
        </w:tc>
        <w:tc>
          <w:tcPr>
            <w:tcW w:w="1276" w:type="dxa"/>
            <w:tcBorders>
              <w:top w:val="single" w:sz="6" w:space="0" w:color="auto"/>
              <w:left w:val="single" w:sz="6" w:space="0" w:color="auto"/>
              <w:bottom w:val="single" w:sz="6" w:space="0" w:color="auto"/>
              <w:right w:val="single" w:sz="6" w:space="0" w:color="auto"/>
            </w:tcBorders>
          </w:tcPr>
          <w:p w14:paraId="1CB7E59E" w14:textId="77777777" w:rsidR="004337B5" w:rsidRPr="00CA18C8" w:rsidRDefault="004337B5" w:rsidP="00603810">
            <w:pPr>
              <w:pStyle w:val="Tabletext"/>
              <w:jc w:val="center"/>
              <w:rPr>
                <w:i/>
                <w:lang w:val="es-ES_tradnl"/>
              </w:rPr>
            </w:pPr>
            <w:bookmarkStart w:id="163" w:name="lt_pId305"/>
            <w:r w:rsidRPr="00CA18C8">
              <w:rPr>
                <w:i/>
                <w:lang w:val="es-ES_tradnl"/>
              </w:rPr>
              <w:t>p</w:t>
            </w:r>
            <w:bookmarkEnd w:id="163"/>
          </w:p>
        </w:tc>
        <w:tc>
          <w:tcPr>
            <w:tcW w:w="1317" w:type="dxa"/>
            <w:tcBorders>
              <w:top w:val="single" w:sz="6" w:space="0" w:color="auto"/>
              <w:left w:val="single" w:sz="6" w:space="0" w:color="auto"/>
              <w:bottom w:val="single" w:sz="6" w:space="0" w:color="auto"/>
              <w:right w:val="single" w:sz="6" w:space="0" w:color="auto"/>
            </w:tcBorders>
          </w:tcPr>
          <w:p w14:paraId="55F097DE" w14:textId="77777777" w:rsidR="004337B5" w:rsidRPr="00CA18C8" w:rsidRDefault="004337B5" w:rsidP="00603810">
            <w:pPr>
              <w:pStyle w:val="Tabletext"/>
              <w:jc w:val="center"/>
              <w:rPr>
                <w:lang w:val="es-ES_tradnl"/>
              </w:rPr>
            </w:pPr>
            <w:r w:rsidRPr="00CA18C8">
              <w:rPr>
                <w:lang w:val="es-ES_tradnl"/>
              </w:rPr>
              <w:t>%</w:t>
            </w:r>
          </w:p>
        </w:tc>
      </w:tr>
    </w:tbl>
    <w:p w14:paraId="178A8D01" w14:textId="77777777" w:rsidR="004337B5" w:rsidRPr="00CA18C8" w:rsidRDefault="004337B5" w:rsidP="004337B5">
      <w:pPr>
        <w:pStyle w:val="Heading3"/>
        <w:rPr>
          <w:lang w:val="es-ES_tradnl"/>
        </w:rPr>
      </w:pPr>
      <w:r w:rsidRPr="00CA18C8">
        <w:rPr>
          <w:lang w:val="es-ES_tradnl"/>
        </w:rPr>
        <w:lastRenderedPageBreak/>
        <w:t>3.3.2</w:t>
      </w:r>
      <w:r w:rsidRPr="00CA18C8">
        <w:rPr>
          <w:lang w:val="es-ES_tradnl"/>
        </w:rPr>
        <w:tab/>
      </w:r>
      <w:r w:rsidRPr="004337B5">
        <w:rPr>
          <w:lang w:val="es-ES"/>
        </w:rPr>
        <w:t>Descripción</w:t>
      </w:r>
      <w:r w:rsidRPr="00CA18C8">
        <w:rPr>
          <w:lang w:val="es-ES_tradnl"/>
        </w:rPr>
        <w:t xml:space="preserve"> del modelo</w:t>
      </w:r>
    </w:p>
    <w:p w14:paraId="39502532" w14:textId="77777777" w:rsidR="004337B5" w:rsidRPr="009B73A5" w:rsidRDefault="004337B5" w:rsidP="004337B5">
      <w:pPr>
        <w:rPr>
          <w:lang w:val="es-ES_tradnl" w:eastAsia="zh-CN"/>
        </w:rPr>
      </w:pPr>
      <w:bookmarkStart w:id="164" w:name="lt_pId309"/>
      <w:r w:rsidRPr="00CA18C8">
        <w:rPr>
          <w:lang w:val="es-ES_tradnl" w:eastAsia="zh-CN"/>
        </w:rPr>
        <w:t xml:space="preserve">Las pérdidas debidas a la ocupación del suelo no rebasadas </w:t>
      </w:r>
      <w:r>
        <w:rPr>
          <w:lang w:val="es-ES_tradnl" w:eastAsia="zh-CN"/>
        </w:rPr>
        <w:t>en</w:t>
      </w:r>
      <w:r w:rsidRPr="00CA18C8">
        <w:rPr>
          <w:lang w:val="es-ES_tradnl" w:eastAsia="zh-CN"/>
        </w:rPr>
        <w:t xml:space="preserve"> el </w:t>
      </w:r>
      <w:r w:rsidRPr="007F10F3">
        <w:rPr>
          <w:i/>
          <w:lang w:val="es-ES_tradnl" w:eastAsia="zh-CN"/>
        </w:rPr>
        <w:t>p</w:t>
      </w:r>
      <w:r w:rsidRPr="00CA18C8">
        <w:rPr>
          <w:lang w:val="es-ES_tradnl" w:eastAsia="zh-CN"/>
        </w:rPr>
        <w:t xml:space="preserve">% </w:t>
      </w:r>
      <w:r>
        <w:rPr>
          <w:lang w:val="es-ES_tradnl" w:eastAsia="zh-CN"/>
        </w:rPr>
        <w:t xml:space="preserve">de las ubicaciones </w:t>
      </w:r>
      <w:r w:rsidRPr="00CA18C8">
        <w:rPr>
          <w:i/>
          <w:szCs w:val="24"/>
          <w:lang w:val="es-ES_tradnl"/>
        </w:rPr>
        <w:t>L</w:t>
      </w:r>
      <w:r w:rsidRPr="00CA18C8">
        <w:rPr>
          <w:szCs w:val="24"/>
          <w:vertAlign w:val="subscript"/>
          <w:lang w:val="es-ES_tradnl"/>
        </w:rPr>
        <w:t>ces</w:t>
      </w:r>
      <w:r w:rsidRPr="00CA18C8">
        <w:rPr>
          <w:lang w:val="es-ES_tradnl" w:eastAsia="zh-CN"/>
        </w:rPr>
        <w:t xml:space="preserve"> para trayectos terrenales a aeronave o satélite vienen dadas por:</w:t>
      </w:r>
      <w:bookmarkEnd w:id="164"/>
    </w:p>
    <w:p w14:paraId="52AFD417" w14:textId="77777777" w:rsidR="004337B5" w:rsidRPr="00B200F9" w:rsidRDefault="004337B5" w:rsidP="004337B5">
      <w:pPr>
        <w:pStyle w:val="MTDisplayEquation"/>
        <w:jc w:val="center"/>
      </w:pPr>
      <w:r w:rsidRPr="004337B5">
        <w:rPr>
          <w:lang w:val="es-ES"/>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ces</m:t>
            </m:r>
          </m:sub>
        </m:sSub>
        <m:r>
          <w:rPr>
            <w:rFonts w:ascii="Cambria Math" w:hAnsi="Cambria Math"/>
          </w:rPr>
          <m:t>=</m:t>
        </m:r>
        <m:sSup>
          <m:sSupPr>
            <m:ctrlPr>
              <w:rPr>
                <w:rFonts w:ascii="Cambria Math" w:hAnsi="Cambria Math"/>
                <w:i/>
                <w:lang w:val="fr-FR"/>
              </w:rPr>
            </m:ctrlPr>
          </m:sSupPr>
          <m:e>
            <m:d>
              <m:dPr>
                <m:begChr m:val="{"/>
                <m:endChr m:val="}"/>
                <m:ctrlPr>
                  <w:rPr>
                    <w:rFonts w:ascii="Cambria Math" w:hAnsi="Cambria Math"/>
                    <w:i/>
                    <w:lang w:val="fr-FR"/>
                  </w:rPr>
                </m:ctrlPr>
              </m:dPr>
              <m:e>
                <m:r>
                  <w:rPr>
                    <w:rFonts w:ascii="Cambria Math" w:hAnsi="Cambria Math"/>
                  </w:rPr>
                  <m:t>-</m:t>
                </m:r>
                <m:sSub>
                  <m:sSubPr>
                    <m:ctrlPr>
                      <w:rPr>
                        <w:rFonts w:ascii="Cambria Math" w:hAnsi="Cambria Math"/>
                        <w:i/>
                        <w:lang w:val="fr-FR"/>
                      </w:rPr>
                    </m:ctrlPr>
                  </m:sSubPr>
                  <m:e>
                    <m:r>
                      <w:rPr>
                        <w:rFonts w:ascii="Cambria Math" w:hAnsi="Cambria Math"/>
                        <w:lang w:val="fr-FR"/>
                      </w:rPr>
                      <m:t>K</m:t>
                    </m:r>
                  </m:e>
                  <m:sub>
                    <m:r>
                      <w:rPr>
                        <w:rFonts w:ascii="Cambria Math" w:hAnsi="Cambria Math"/>
                      </w:rPr>
                      <m:t>1</m:t>
                    </m:r>
                  </m:sub>
                </m:sSub>
                <m:d>
                  <m:dPr>
                    <m:begChr m:val="["/>
                    <m:endChr m:val="]"/>
                    <m:ctrlPr>
                      <w:rPr>
                        <w:rFonts w:ascii="Cambria Math" w:hAnsi="Cambria Math"/>
                        <w:i/>
                        <w:lang w:val="fr-FR"/>
                      </w:rPr>
                    </m:ctrlPr>
                  </m:dPr>
                  <m:e>
                    <m:r>
                      <m:rPr>
                        <m:sty m:val="p"/>
                      </m:rPr>
                      <w:rPr>
                        <w:rFonts w:ascii="Cambria Math" w:hAnsi="Cambria Math"/>
                      </w:rPr>
                      <m:t>ln</m:t>
                    </m:r>
                    <m:d>
                      <m:dPr>
                        <m:ctrlPr>
                          <w:rPr>
                            <w:rFonts w:ascii="Cambria Math" w:hAnsi="Cambria Math"/>
                            <w:i/>
                            <w:lang w:val="fr-FR"/>
                          </w:rPr>
                        </m:ctrlPr>
                      </m:dPr>
                      <m:e>
                        <m:r>
                          <w:rPr>
                            <w:rFonts w:ascii="Cambria Math" w:hAnsi="Cambria Math"/>
                          </w:rPr>
                          <m:t>1-</m:t>
                        </m:r>
                        <m:f>
                          <m:fPr>
                            <m:ctrlPr>
                              <w:rPr>
                                <w:rFonts w:ascii="Cambria Math" w:hAnsi="Cambria Math"/>
                                <w:i/>
                                <w:lang w:val="fr-FR"/>
                              </w:rPr>
                            </m:ctrlPr>
                          </m:fPr>
                          <m:num>
                            <m:r>
                              <w:rPr>
                                <w:rFonts w:ascii="Cambria Math" w:hAnsi="Cambria Math"/>
                                <w:lang w:val="fr-FR"/>
                              </w:rPr>
                              <m:t>p</m:t>
                            </m:r>
                          </m:num>
                          <m:den>
                            <m:r>
                              <w:rPr>
                                <w:rFonts w:ascii="Cambria Math" w:hAnsi="Cambria Math"/>
                              </w:rPr>
                              <m:t>100</m:t>
                            </m:r>
                          </m:den>
                        </m:f>
                      </m:e>
                    </m:d>
                  </m:e>
                </m:d>
                <m:r>
                  <m:rPr>
                    <m:sty m:val="p"/>
                  </m:rPr>
                  <w:rPr>
                    <w:rFonts w:ascii="Cambria Math" w:hAnsi="Cambria Math"/>
                  </w:rPr>
                  <m:t>cot</m:t>
                </m:r>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A</m:t>
                        </m:r>
                      </m:e>
                      <m:sub>
                        <m:r>
                          <w:rPr>
                            <w:rFonts w:ascii="Cambria Math" w:hAnsi="Cambria Math"/>
                          </w:rPr>
                          <m:t>1</m:t>
                        </m:r>
                      </m:sub>
                    </m:sSub>
                    <m:d>
                      <m:dPr>
                        <m:ctrlPr>
                          <w:rPr>
                            <w:rFonts w:ascii="Cambria Math" w:hAnsi="Cambria Math"/>
                            <w:i/>
                            <w:lang w:val="fr-FR"/>
                          </w:rPr>
                        </m:ctrlPr>
                      </m:dPr>
                      <m:e>
                        <m:r>
                          <w:rPr>
                            <w:rFonts w:ascii="Cambria Math" w:hAnsi="Cambria Math"/>
                          </w:rPr>
                          <m:t>1-</m:t>
                        </m:r>
                        <m:f>
                          <m:fPr>
                            <m:ctrlPr>
                              <w:rPr>
                                <w:rFonts w:ascii="Cambria Math" w:hAnsi="Cambria Math"/>
                                <w:i/>
                                <w:lang w:val="fr-FR"/>
                              </w:rPr>
                            </m:ctrlPr>
                          </m:fPr>
                          <m:num>
                            <m:r>
                              <m:rPr>
                                <m:sty m:val="p"/>
                              </m:rPr>
                              <w:rPr>
                                <w:rFonts w:ascii="Cambria Math" w:hAnsi="Cambria Math"/>
                                <w:lang w:val="fr-FR"/>
                              </w:rPr>
                              <m:t>θ</m:t>
                            </m:r>
                          </m:num>
                          <m:den>
                            <m:r>
                              <w:rPr>
                                <w:rFonts w:ascii="Cambria Math" w:hAnsi="Cambria Math"/>
                              </w:rPr>
                              <m:t>90</m:t>
                            </m:r>
                          </m:den>
                        </m:f>
                      </m:e>
                    </m:d>
                    <m:r>
                      <w:rPr>
                        <w:rFonts w:ascii="Cambria Math" w:hAnsi="Cambria Math"/>
                      </w:rPr>
                      <m:t>+</m:t>
                    </m:r>
                    <m:f>
                      <m:fPr>
                        <m:ctrlPr>
                          <w:rPr>
                            <w:rFonts w:ascii="Cambria Math" w:hAnsi="Cambria Math"/>
                            <w:i/>
                            <w:lang w:val="fr-FR"/>
                          </w:rPr>
                        </m:ctrlPr>
                      </m:fPr>
                      <m:num>
                        <m:r>
                          <m:rPr>
                            <m:sty m:val="p"/>
                          </m:rPr>
                          <w:rPr>
                            <w:rFonts w:ascii="Cambria Math" w:hAnsi="Cambria Math"/>
                            <w:lang w:val="fr-FR"/>
                          </w:rPr>
                          <m:t>πθ</m:t>
                        </m:r>
                      </m:num>
                      <m:den>
                        <m:r>
                          <w:rPr>
                            <w:rFonts w:ascii="Cambria Math" w:hAnsi="Cambria Math"/>
                          </w:rPr>
                          <m:t>180</m:t>
                        </m:r>
                      </m:den>
                    </m:f>
                  </m:e>
                </m:d>
              </m:e>
            </m:d>
          </m:e>
          <m:sup>
            <m:d>
              <m:dPr>
                <m:begChr m:val="["/>
                <m:endChr m:val="]"/>
                <m:ctrlPr>
                  <w:rPr>
                    <w:rFonts w:ascii="Cambria Math" w:hAnsi="Cambria Math"/>
                    <w:i/>
                    <w:lang w:val="fr-FR"/>
                  </w:rPr>
                </m:ctrlPr>
              </m:dPr>
              <m:e>
                <m:f>
                  <m:fPr>
                    <m:type m:val="lin"/>
                    <m:ctrlPr>
                      <w:rPr>
                        <w:rFonts w:ascii="Cambria Math" w:hAnsi="Cambria Math"/>
                        <w:i/>
                        <w:lang w:val="fr-FR"/>
                      </w:rPr>
                    </m:ctrlPr>
                  </m:fPr>
                  <m:num>
                    <m:r>
                      <w:rPr>
                        <w:rFonts w:ascii="Cambria Math" w:hAnsi="Cambria Math"/>
                      </w:rPr>
                      <m:t>0,5</m:t>
                    </m:r>
                    <m:d>
                      <m:dPr>
                        <m:ctrlPr>
                          <w:rPr>
                            <w:rFonts w:ascii="Cambria Math" w:hAnsi="Cambria Math"/>
                            <w:i/>
                            <w:lang w:val="fr-FR"/>
                          </w:rPr>
                        </m:ctrlPr>
                      </m:dPr>
                      <m:e>
                        <m:r>
                          <w:rPr>
                            <w:rFonts w:ascii="Cambria Math" w:hAnsi="Cambria Math"/>
                          </w:rPr>
                          <m:t>90-</m:t>
                        </m:r>
                        <m:r>
                          <m:rPr>
                            <m:sty m:val="p"/>
                          </m:rPr>
                          <w:rPr>
                            <w:rFonts w:ascii="Cambria Math" w:hAnsi="Cambria Math"/>
                            <w:lang w:val="fr-FR"/>
                          </w:rPr>
                          <m:t>θ</m:t>
                        </m:r>
                      </m:e>
                    </m:d>
                  </m:num>
                  <m:den>
                    <m:r>
                      <w:rPr>
                        <w:rFonts w:ascii="Cambria Math" w:hAnsi="Cambria Math"/>
                      </w:rPr>
                      <m:t>90</m:t>
                    </m:r>
                  </m:den>
                </m:f>
              </m:e>
            </m:d>
          </m:sup>
        </m:sSup>
        <m:r>
          <w:rPr>
            <w:rFonts w:ascii="Cambria Math" w:hAnsi="Cambria Math"/>
          </w:rPr>
          <m:t xml:space="preserve">-1-0,6 </m:t>
        </m:r>
        <m:sSup>
          <m:sSupPr>
            <m:ctrlPr>
              <w:rPr>
                <w:rFonts w:ascii="Cambria Math" w:hAnsi="Cambria Math"/>
                <w:i/>
                <w:lang w:val="fr-FR"/>
              </w:rPr>
            </m:ctrlPr>
          </m:sSupPr>
          <m:e>
            <m:r>
              <w:rPr>
                <w:rFonts w:ascii="Cambria Math" w:hAnsi="Cambria Math"/>
                <w:lang w:val="fr-FR"/>
              </w:rPr>
              <m:t>Q</m:t>
            </m:r>
          </m:e>
          <m:sup>
            <m:r>
              <w:rPr>
                <w:rFonts w:ascii="Cambria Math" w:hAnsi="Cambria Math"/>
              </w:rPr>
              <m:t>-1</m:t>
            </m:r>
          </m:sup>
        </m:sSup>
        <m:r>
          <w:rPr>
            <w:rFonts w:ascii="Cambria Math" w:hAnsi="Cambria Math"/>
          </w:rPr>
          <m:t>(</m:t>
        </m:r>
        <m:r>
          <w:rPr>
            <w:rFonts w:ascii="Cambria Math" w:hAnsi="Cambria Math"/>
            <w:lang w:val="fr-FR"/>
          </w:rPr>
          <m:t>p</m:t>
        </m:r>
        <m:r>
          <w:rPr>
            <w:rFonts w:ascii="Cambria Math" w:hAnsi="Cambria Math"/>
          </w:rPr>
          <m:t>/100)</m:t>
        </m:r>
      </m:oMath>
      <w:r w:rsidRPr="00B200F9">
        <w:t xml:space="preserve">  dB</w:t>
      </w:r>
      <w:r w:rsidRPr="00B200F9">
        <w:tab/>
        <w:t>(7)</w:t>
      </w:r>
    </w:p>
    <w:p w14:paraId="3E6869E5" w14:textId="77777777" w:rsidR="004337B5" w:rsidRPr="009634CB" w:rsidRDefault="004337B5" w:rsidP="004337B5">
      <w:pPr>
        <w:rPr>
          <w:lang w:val="es-ES_tradnl"/>
        </w:rPr>
      </w:pPr>
      <w:r w:rsidRPr="009634CB">
        <w:rPr>
          <w:lang w:val="es-ES_tradnl"/>
        </w:rPr>
        <w:t>con</w:t>
      </w:r>
    </w:p>
    <w:p w14:paraId="46B3537A" w14:textId="77777777" w:rsidR="004337B5" w:rsidRPr="009634CB" w:rsidRDefault="004337B5" w:rsidP="004337B5">
      <w:pPr>
        <w:pStyle w:val="Equation"/>
        <w:rPr>
          <w:lang w:val="es-ES_tradnl"/>
        </w:rPr>
      </w:pPr>
      <w:r w:rsidRPr="009634CB">
        <w:rPr>
          <w:lang w:val="es-ES_tradnl"/>
        </w:rPr>
        <w:tab/>
      </w:r>
      <w:r w:rsidRPr="009634CB">
        <w:rPr>
          <w:lang w:val="es-ES_tradnl"/>
        </w:rPr>
        <w:tab/>
      </w:r>
      <m:oMath>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1</m:t>
            </m:r>
          </m:sub>
        </m:sSub>
        <m:r>
          <m:rPr>
            <m:sty m:val="p"/>
          </m:rPr>
          <w:rPr>
            <w:rFonts w:ascii="Cambria Math" w:hAnsi="Cambria Math"/>
            <w:lang w:val="es-ES_tradnl"/>
          </w:rPr>
          <m:t>=93</m:t>
        </m:r>
        <m:d>
          <m:dPr>
            <m:ctrlPr>
              <w:rPr>
                <w:rFonts w:ascii="Cambria Math" w:hAnsi="Cambria Math"/>
                <w:lang w:val="es-ES_tradnl"/>
              </w:rPr>
            </m:ctrlPr>
          </m:dPr>
          <m:e>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0,175</m:t>
                </m:r>
              </m:sup>
            </m:sSup>
          </m:e>
        </m:d>
      </m:oMath>
      <w:r w:rsidRPr="009634CB">
        <w:rPr>
          <w:lang w:val="es-ES_tradnl"/>
        </w:rPr>
        <w:t xml:space="preserve">,  </w:t>
      </w:r>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r>
          <m:rPr>
            <m:sty m:val="p"/>
          </m:rPr>
          <w:rPr>
            <w:rFonts w:ascii="Cambria Math" w:hAnsi="Cambria Math"/>
            <w:lang w:val="es-ES_tradnl"/>
          </w:rPr>
          <m:t>=0,05</m:t>
        </m:r>
      </m:oMath>
    </w:p>
    <w:p w14:paraId="68964EA0" w14:textId="77777777" w:rsidR="004337B5" w:rsidRPr="00CA18C8" w:rsidRDefault="004337B5" w:rsidP="004337B5">
      <w:pPr>
        <w:spacing w:before="240"/>
        <w:rPr>
          <w:szCs w:val="24"/>
          <w:lang w:val="es-ES_tradnl"/>
        </w:rPr>
      </w:pPr>
      <w:bookmarkStart w:id="165" w:name="lt_pId314"/>
      <w:r w:rsidRPr="009634CB">
        <w:rPr>
          <w:lang w:val="es-ES_tradnl"/>
        </w:rPr>
        <w:t xml:space="preserve">siendo </w:t>
      </w:r>
      <w:r w:rsidRPr="009634CB">
        <w:rPr>
          <w:i/>
          <w:lang w:val="es-ES_tradnl"/>
        </w:rPr>
        <w:t>Q</w:t>
      </w:r>
      <w:r w:rsidRPr="009634CB">
        <w:rPr>
          <w:iCs/>
          <w:vertAlign w:val="superscript"/>
          <w:lang w:val="es-ES_tradnl"/>
        </w:rPr>
        <w:t>–1</w:t>
      </w:r>
      <w:r w:rsidRPr="009634CB">
        <w:rPr>
          <w:iCs/>
          <w:lang w:val="es-ES_tradnl"/>
        </w:rPr>
        <w:t>(</w:t>
      </w:r>
      <w:r w:rsidRPr="009634CB">
        <w:rPr>
          <w:i/>
          <w:lang w:val="es-ES_tradnl"/>
        </w:rPr>
        <w:t>p/</w:t>
      </w:r>
      <w:r w:rsidRPr="009634CB">
        <w:rPr>
          <w:szCs w:val="24"/>
          <w:lang w:val="es-ES_tradnl"/>
        </w:rPr>
        <w:t xml:space="preserve">100) </w:t>
      </w:r>
      <w:r w:rsidRPr="009634CB">
        <w:rPr>
          <w:lang w:val="es-ES_tradnl"/>
        </w:rPr>
        <w:t>la función de distribución normal complementaria</w:t>
      </w:r>
      <w:r w:rsidRPr="009634CB">
        <w:rPr>
          <w:szCs w:val="24"/>
          <w:lang w:val="es-ES_tradnl"/>
        </w:rPr>
        <w:t xml:space="preserve"> </w:t>
      </w:r>
      <w:r w:rsidRPr="009634CB">
        <w:rPr>
          <w:lang w:val="es-ES_tradnl"/>
        </w:rPr>
        <w:t>inversa</w:t>
      </w:r>
      <w:r w:rsidRPr="009634CB">
        <w:rPr>
          <w:szCs w:val="24"/>
          <w:lang w:val="es-ES_tradnl"/>
        </w:rPr>
        <w:t>, y el ángulo de</w:t>
      </w:r>
      <w:r w:rsidRPr="00CA18C8">
        <w:rPr>
          <w:szCs w:val="24"/>
          <w:lang w:val="es-ES_tradnl"/>
        </w:rPr>
        <w:t xml:space="preserve"> elevación, </w:t>
      </w:r>
      <w:r w:rsidRPr="00CA18C8">
        <w:rPr>
          <w:rFonts w:ascii="Symbol" w:hAnsi="Symbol"/>
          <w:iCs/>
          <w:szCs w:val="24"/>
          <w:lang w:val="es-ES_tradnl"/>
        </w:rPr>
        <w:sym w:font="Symbol" w:char="F071"/>
      </w:r>
      <w:r w:rsidRPr="00CA18C8">
        <w:rPr>
          <w:szCs w:val="24"/>
          <w:lang w:val="es-ES_tradnl"/>
        </w:rPr>
        <w:t>, es el ángulo de la plataforma en aeronave o satélite respecto del terminal.</w:t>
      </w:r>
      <w:bookmarkEnd w:id="165"/>
    </w:p>
    <w:p w14:paraId="69535220" w14:textId="77777777" w:rsidR="004337B5" w:rsidRPr="00CA18C8" w:rsidRDefault="004337B5" w:rsidP="004337B5">
      <w:pPr>
        <w:rPr>
          <w:szCs w:val="24"/>
          <w:lang w:val="es-ES_tradnl"/>
        </w:rPr>
      </w:pPr>
      <w:bookmarkStart w:id="166" w:name="lt_pId315"/>
      <w:r w:rsidRPr="00CA18C8">
        <w:rPr>
          <w:szCs w:val="24"/>
          <w:lang w:val="es-ES_tradnl"/>
        </w:rPr>
        <w:t>En la Figura 2 se muestra la distribución acumulativa de las pérdidas por ocupación del suelo no rebasadas durante el porcentaje de ubicaciones a distintos ángulos de elevación a 30 GHz.</w:t>
      </w:r>
      <w:bookmarkEnd w:id="166"/>
    </w:p>
    <w:p w14:paraId="3C827516" w14:textId="77777777" w:rsidR="004337B5" w:rsidRPr="00CA18C8" w:rsidRDefault="004337B5" w:rsidP="004337B5">
      <w:pPr>
        <w:pStyle w:val="FigureNo"/>
        <w:spacing w:before="240"/>
        <w:rPr>
          <w:lang w:val="es-ES_tradnl"/>
        </w:rPr>
      </w:pPr>
      <w:bookmarkStart w:id="167" w:name="lt_pId316"/>
      <w:r w:rsidRPr="00CA18C8">
        <w:rPr>
          <w:lang w:val="es-ES_tradnl"/>
        </w:rPr>
        <w:t>FIGURA 2</w:t>
      </w:r>
      <w:bookmarkEnd w:id="167"/>
    </w:p>
    <w:p w14:paraId="73D29033" w14:textId="77777777" w:rsidR="004337B5" w:rsidRPr="004E7C16" w:rsidRDefault="004337B5" w:rsidP="004337B5">
      <w:pPr>
        <w:pStyle w:val="Figuretitle"/>
        <w:rPr>
          <w:lang w:val="es-ES_tradnl"/>
        </w:rPr>
      </w:pPr>
      <w:bookmarkStart w:id="168" w:name="lt_pId317"/>
      <w:r w:rsidRPr="00CA18C8">
        <w:rPr>
          <w:lang w:val="es-ES_tradnl"/>
        </w:rPr>
        <w:t>Distribución acumulativa de las pérdidas por ocupación del suelo no rebasadas para 30 GHz</w:t>
      </w:r>
      <w:bookmarkEnd w:id="168"/>
    </w:p>
    <w:p w14:paraId="6FF2F21B" w14:textId="77777777" w:rsidR="004337B5" w:rsidRDefault="004337B5" w:rsidP="004337B5">
      <w:pPr>
        <w:pStyle w:val="Figure"/>
      </w:pPr>
      <w:r>
        <w:object w:dxaOrig="6282" w:dyaOrig="4993" w14:anchorId="23B3B21F">
          <v:shape id="_x0000_i1031" type="#_x0000_t75" style="width:314.5pt;height:249.95pt" o:ole="">
            <v:imagedata r:id="rId24" o:title=""/>
          </v:shape>
          <o:OLEObject Type="Embed" ProgID="CorelDraw.Graphic.17" ShapeID="_x0000_i1031" DrawAspect="Content" ObjectID="_1712122994" r:id="rId25"/>
        </w:object>
      </w:r>
    </w:p>
    <w:p w14:paraId="563EE021" w14:textId="77777777" w:rsidR="004337B5" w:rsidRDefault="004337B5" w:rsidP="004337B5">
      <w:pPr>
        <w:jc w:val="center"/>
      </w:pPr>
      <w:r>
        <w:t>______________</w:t>
      </w:r>
    </w:p>
    <w:p w14:paraId="03D60258" w14:textId="77777777" w:rsidR="006173B0" w:rsidRPr="002956C1" w:rsidRDefault="006173B0" w:rsidP="006173B0">
      <w:pPr>
        <w:pStyle w:val="Rectitle"/>
        <w:rPr>
          <w:lang w:val="es-ES_tradnl"/>
        </w:rPr>
      </w:pPr>
    </w:p>
    <w:p w14:paraId="442497C0" w14:textId="77777777" w:rsidR="006173B0" w:rsidRDefault="006173B0" w:rsidP="006173B0">
      <w:pPr>
        <w:rPr>
          <w:lang w:val="es-ES_tradnl"/>
        </w:rPr>
      </w:pPr>
    </w:p>
    <w:sectPr w:rsidR="006173B0" w:rsidSect="00B1717A">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 w:id="1">
    <w:p w14:paraId="4529489A" w14:textId="77777777" w:rsidR="004337B5" w:rsidRPr="00600E0B" w:rsidRDefault="004337B5" w:rsidP="004337B5">
      <w:pPr>
        <w:pStyle w:val="FootnoteText"/>
        <w:rPr>
          <w:lang w:val="es-ES_tradnl"/>
        </w:rPr>
      </w:pPr>
      <w:r>
        <w:rPr>
          <w:rStyle w:val="FootnoteReference"/>
        </w:rPr>
        <w:footnoteRef/>
      </w:r>
      <w:r w:rsidRPr="00600E0B">
        <w:rPr>
          <w:lang w:val="es-ES_tradnl"/>
        </w:rPr>
        <w:tab/>
      </w:r>
      <w:bookmarkStart w:id="42" w:name="lt_pId318"/>
      <w:r w:rsidRPr="00600E0B">
        <w:rPr>
          <w:lang w:val="es-ES_tradnl"/>
        </w:rPr>
        <w:t xml:space="preserve">Las </w:t>
      </w:r>
      <w:r>
        <w:rPr>
          <w:lang w:val="es-ES_tradnl"/>
        </w:rPr>
        <w:t>«</w:t>
      </w:r>
      <w:r w:rsidRPr="00600E0B">
        <w:rPr>
          <w:lang w:val="es-ES_tradnl"/>
        </w:rPr>
        <w:t>pérdidas de transmisión</w:t>
      </w:r>
      <w:r>
        <w:rPr>
          <w:lang w:val="es-ES_tradnl"/>
        </w:rPr>
        <w:t>»</w:t>
      </w:r>
      <w:r w:rsidRPr="00600E0B">
        <w:rPr>
          <w:lang w:val="es-ES_tradnl"/>
        </w:rPr>
        <w:t xml:space="preserve"> y las </w:t>
      </w:r>
      <w:r>
        <w:rPr>
          <w:lang w:val="es-ES_tradnl"/>
        </w:rPr>
        <w:t>«</w:t>
      </w:r>
      <w:r w:rsidRPr="00600E0B">
        <w:rPr>
          <w:lang w:val="es-ES_tradnl"/>
        </w:rPr>
        <w:t>pérdidas de transmisión básicas</w:t>
      </w:r>
      <w:r>
        <w:rPr>
          <w:lang w:val="es-ES_tradnl"/>
        </w:rPr>
        <w:t>»</w:t>
      </w:r>
      <w:r w:rsidRPr="00600E0B">
        <w:rPr>
          <w:lang w:val="es-ES_tradnl"/>
        </w:rPr>
        <w:t xml:space="preserve"> se definen en la Recomendación UIT</w:t>
      </w:r>
      <w:r w:rsidRPr="00600E0B">
        <w:rPr>
          <w:lang w:val="es-ES_tradnl"/>
        </w:rPr>
        <w:noBreakHyphen/>
        <w:t>R P.341.</w:t>
      </w:r>
      <w:bookmarkEnd w:id="4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2276D6C3"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7D63DA">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7D63DA">
      <w:rPr>
        <w:b/>
        <w:bCs/>
        <w:noProof/>
      </w:rPr>
      <w:t>UIT-R  P.2108-1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10D3BD71"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7D63DA">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7D63DA">
      <w:rPr>
        <w:b/>
        <w:bCs/>
        <w:noProof/>
      </w:rPr>
      <w:t>UIT-R  P.2108-1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56A77446"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7D63DA">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7D63DA">
      <w:rPr>
        <w:b/>
        <w:bCs/>
        <w:noProof/>
        <w:lang w:val="en-US"/>
      </w:rPr>
      <w:t>UIT-R  P.2108-1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2ACDF693"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7D63DA">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7D63DA">
      <w:rPr>
        <w:b/>
        <w:bCs/>
        <w:noProof/>
      </w:rPr>
      <w:t>UIT-R  P.2108-1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27152"/>
    <w:rsid w:val="000D5F99"/>
    <w:rsid w:val="000E39C4"/>
    <w:rsid w:val="0014224E"/>
    <w:rsid w:val="001D6CE1"/>
    <w:rsid w:val="002228A6"/>
    <w:rsid w:val="002D76C4"/>
    <w:rsid w:val="00363835"/>
    <w:rsid w:val="00366CEE"/>
    <w:rsid w:val="0037356D"/>
    <w:rsid w:val="003857C3"/>
    <w:rsid w:val="00431839"/>
    <w:rsid w:val="004337B5"/>
    <w:rsid w:val="004532F7"/>
    <w:rsid w:val="004F755B"/>
    <w:rsid w:val="005A6102"/>
    <w:rsid w:val="00607D68"/>
    <w:rsid w:val="006173B0"/>
    <w:rsid w:val="00654F04"/>
    <w:rsid w:val="006B22C3"/>
    <w:rsid w:val="006C347C"/>
    <w:rsid w:val="00715FEE"/>
    <w:rsid w:val="007D63DA"/>
    <w:rsid w:val="00812AA7"/>
    <w:rsid w:val="00847DD5"/>
    <w:rsid w:val="009F01EA"/>
    <w:rsid w:val="00A5467E"/>
    <w:rsid w:val="00A6617B"/>
    <w:rsid w:val="00AB0DC8"/>
    <w:rsid w:val="00B1717A"/>
    <w:rsid w:val="00B44E24"/>
    <w:rsid w:val="00B518CD"/>
    <w:rsid w:val="00B87252"/>
    <w:rsid w:val="00BA710C"/>
    <w:rsid w:val="00BF7841"/>
    <w:rsid w:val="00C15E7B"/>
    <w:rsid w:val="00C32B90"/>
    <w:rsid w:val="00D052FC"/>
    <w:rsid w:val="00D42AE3"/>
    <w:rsid w:val="00D62884"/>
    <w:rsid w:val="00D93B36"/>
    <w:rsid w:val="00DC024D"/>
    <w:rsid w:val="00DF4176"/>
    <w:rsid w:val="00E3040B"/>
    <w:rsid w:val="00E5262C"/>
    <w:rsid w:val="00F0313A"/>
    <w:rsid w:val="00F15A52"/>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5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755B"/>
    <w:pPr>
      <w:keepNext/>
      <w:keepLines/>
      <w:spacing w:before="480"/>
      <w:ind w:left="794" w:hanging="794"/>
      <w:outlineLvl w:val="0"/>
    </w:pPr>
    <w:rPr>
      <w:b/>
    </w:rPr>
  </w:style>
  <w:style w:type="paragraph" w:styleId="Heading2">
    <w:name w:val="heading 2"/>
    <w:basedOn w:val="Heading1"/>
    <w:next w:val="Normal"/>
    <w:link w:val="Heading2Char"/>
    <w:qFormat/>
    <w:rsid w:val="004F755B"/>
    <w:pPr>
      <w:spacing w:before="320"/>
      <w:outlineLvl w:val="1"/>
    </w:pPr>
  </w:style>
  <w:style w:type="paragraph" w:styleId="Heading3">
    <w:name w:val="heading 3"/>
    <w:basedOn w:val="Heading1"/>
    <w:next w:val="Normal"/>
    <w:link w:val="Heading3Char"/>
    <w:qFormat/>
    <w:rsid w:val="004F755B"/>
    <w:pPr>
      <w:spacing w:before="200"/>
      <w:outlineLvl w:val="2"/>
    </w:pPr>
  </w:style>
  <w:style w:type="paragraph" w:styleId="Heading4">
    <w:name w:val="heading 4"/>
    <w:basedOn w:val="Heading3"/>
    <w:next w:val="Normal"/>
    <w:qFormat/>
    <w:rsid w:val="004F755B"/>
    <w:pPr>
      <w:tabs>
        <w:tab w:val="clear" w:pos="794"/>
        <w:tab w:val="left" w:pos="992"/>
      </w:tabs>
      <w:ind w:left="992" w:hanging="992"/>
      <w:outlineLvl w:val="3"/>
    </w:pPr>
  </w:style>
  <w:style w:type="paragraph" w:styleId="Heading5">
    <w:name w:val="heading 5"/>
    <w:basedOn w:val="Heading4"/>
    <w:next w:val="Normal"/>
    <w:qFormat/>
    <w:rsid w:val="004F755B"/>
    <w:pPr>
      <w:outlineLvl w:val="4"/>
    </w:pPr>
  </w:style>
  <w:style w:type="paragraph" w:styleId="Heading6">
    <w:name w:val="heading 6"/>
    <w:basedOn w:val="Heading4"/>
    <w:next w:val="Normal"/>
    <w:qFormat/>
    <w:rsid w:val="004F755B"/>
    <w:pPr>
      <w:tabs>
        <w:tab w:val="clear" w:pos="992"/>
        <w:tab w:val="clear" w:pos="1191"/>
      </w:tabs>
      <w:ind w:left="1588" w:hanging="1588"/>
      <w:outlineLvl w:val="5"/>
    </w:pPr>
  </w:style>
  <w:style w:type="paragraph" w:styleId="Heading7">
    <w:name w:val="heading 7"/>
    <w:basedOn w:val="Heading6"/>
    <w:next w:val="Normal"/>
    <w:qFormat/>
    <w:rsid w:val="004F755B"/>
    <w:pPr>
      <w:outlineLvl w:val="6"/>
    </w:pPr>
  </w:style>
  <w:style w:type="paragraph" w:styleId="Heading8">
    <w:name w:val="heading 8"/>
    <w:basedOn w:val="Heading6"/>
    <w:next w:val="Normal"/>
    <w:qFormat/>
    <w:rsid w:val="004F755B"/>
    <w:pPr>
      <w:outlineLvl w:val="7"/>
    </w:pPr>
  </w:style>
  <w:style w:type="paragraph" w:styleId="Heading9">
    <w:name w:val="heading 9"/>
    <w:basedOn w:val="Heading6"/>
    <w:next w:val="Normal"/>
    <w:qFormat/>
    <w:rsid w:val="004F755B"/>
    <w:pPr>
      <w:jc w:val="left"/>
      <w:outlineLvl w:val="8"/>
    </w:pPr>
  </w:style>
  <w:style w:type="character" w:default="1" w:styleId="DefaultParagraphFont">
    <w:name w:val="Default Paragraph Font"/>
    <w:uiPriority w:val="1"/>
    <w:semiHidden/>
    <w:unhideWhenUsed/>
    <w:rsid w:val="004F755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755B"/>
  </w:style>
  <w:style w:type="paragraph" w:styleId="Header">
    <w:name w:val="header"/>
    <w:basedOn w:val="Normal"/>
    <w:rsid w:val="004F755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F755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755B"/>
  </w:style>
  <w:style w:type="paragraph" w:customStyle="1" w:styleId="Headingb">
    <w:name w:val="Heading_b"/>
    <w:basedOn w:val="Heading3"/>
    <w:next w:val="Normal"/>
    <w:rsid w:val="004F755B"/>
    <w:pPr>
      <w:spacing w:before="160"/>
      <w:ind w:left="0" w:firstLine="0"/>
      <w:outlineLvl w:val="9"/>
    </w:pPr>
  </w:style>
  <w:style w:type="paragraph" w:customStyle="1" w:styleId="Headingi">
    <w:name w:val="Heading_i"/>
    <w:basedOn w:val="Heading3"/>
    <w:next w:val="Normal"/>
    <w:rsid w:val="004F755B"/>
    <w:pPr>
      <w:spacing w:before="160"/>
      <w:ind w:left="0" w:firstLine="0"/>
    </w:pPr>
    <w:rPr>
      <w:b w:val="0"/>
      <w:i/>
    </w:rPr>
  </w:style>
  <w:style w:type="character" w:customStyle="1" w:styleId="href">
    <w:name w:val="href"/>
    <w:basedOn w:val="DefaultParagraphFont"/>
    <w:rsid w:val="004F755B"/>
  </w:style>
  <w:style w:type="paragraph" w:customStyle="1" w:styleId="enumlev1">
    <w:name w:val="enumlev1"/>
    <w:basedOn w:val="Normal"/>
    <w:rsid w:val="004F755B"/>
    <w:pPr>
      <w:spacing w:before="80"/>
      <w:ind w:left="794" w:hanging="794"/>
    </w:pPr>
  </w:style>
  <w:style w:type="paragraph" w:customStyle="1" w:styleId="enumlev2">
    <w:name w:val="enumlev2"/>
    <w:basedOn w:val="enumlev1"/>
    <w:rsid w:val="004F755B"/>
    <w:pPr>
      <w:ind w:left="1191" w:hanging="397"/>
    </w:pPr>
  </w:style>
  <w:style w:type="paragraph" w:customStyle="1" w:styleId="enumlev3">
    <w:name w:val="enumlev3"/>
    <w:basedOn w:val="enumlev2"/>
    <w:rsid w:val="004F755B"/>
    <w:pPr>
      <w:ind w:left="1588"/>
    </w:pPr>
  </w:style>
  <w:style w:type="paragraph" w:customStyle="1" w:styleId="Normalaftertitle">
    <w:name w:val="Normal_after_title"/>
    <w:basedOn w:val="Normal"/>
    <w:next w:val="Normal"/>
    <w:rsid w:val="004F755B"/>
    <w:pPr>
      <w:spacing w:before="320"/>
    </w:pPr>
  </w:style>
  <w:style w:type="paragraph" w:customStyle="1" w:styleId="Note">
    <w:name w:val="Note"/>
    <w:basedOn w:val="Normal"/>
    <w:rsid w:val="004F755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755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755B"/>
    <w:pPr>
      <w:spacing w:before="240"/>
    </w:pPr>
    <w:rPr>
      <w:sz w:val="22"/>
      <w:lang w:val="es-ES_tradnl"/>
    </w:rPr>
  </w:style>
  <w:style w:type="paragraph" w:customStyle="1" w:styleId="Recref">
    <w:name w:val="Rec_ref"/>
    <w:basedOn w:val="Normal"/>
    <w:next w:val="Recdate"/>
    <w:rsid w:val="004F755B"/>
    <w:pPr>
      <w:jc w:val="center"/>
    </w:pPr>
  </w:style>
  <w:style w:type="paragraph" w:customStyle="1" w:styleId="Recdate">
    <w:name w:val="Rec_date"/>
    <w:basedOn w:val="Recref"/>
    <w:next w:val="Normalaftertitle"/>
    <w:rsid w:val="004F755B"/>
    <w:pPr>
      <w:jc w:val="right"/>
    </w:pPr>
  </w:style>
  <w:style w:type="paragraph" w:customStyle="1" w:styleId="AnnexNoTitle">
    <w:name w:val="Annex_NoTitle"/>
    <w:basedOn w:val="Normal"/>
    <w:next w:val="Normalaftertitle"/>
    <w:rsid w:val="004F755B"/>
    <w:pPr>
      <w:keepNext/>
      <w:keepLines/>
      <w:spacing w:before="480" w:after="80"/>
      <w:jc w:val="center"/>
    </w:pPr>
    <w:rPr>
      <w:b/>
      <w:sz w:val="28"/>
    </w:rPr>
  </w:style>
  <w:style w:type="paragraph" w:customStyle="1" w:styleId="AppendixNoTitle">
    <w:name w:val="Appendix_NoTitle"/>
    <w:basedOn w:val="AnnexNoTitle"/>
    <w:next w:val="Normal"/>
    <w:rsid w:val="004F755B"/>
  </w:style>
  <w:style w:type="paragraph" w:customStyle="1" w:styleId="Tablefin">
    <w:name w:val="Table_fin"/>
    <w:basedOn w:val="Normal"/>
    <w:next w:val="Normal"/>
    <w:rsid w:val="004F755B"/>
    <w:pPr>
      <w:spacing w:before="0"/>
    </w:pPr>
    <w:rPr>
      <w:sz w:val="20"/>
      <w:lang w:val="en-GB"/>
    </w:rPr>
  </w:style>
  <w:style w:type="paragraph" w:customStyle="1" w:styleId="Tablehead">
    <w:name w:val="Table_head"/>
    <w:basedOn w:val="Normal"/>
    <w:next w:val="Normal"/>
    <w:link w:val="TableheadChar"/>
    <w:rsid w:val="004F755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75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F755B"/>
    <w:pPr>
      <w:keepNext/>
      <w:spacing w:before="360" w:after="120"/>
      <w:jc w:val="center"/>
    </w:pPr>
  </w:style>
  <w:style w:type="paragraph" w:customStyle="1" w:styleId="Tabletext">
    <w:name w:val="Table_text"/>
    <w:basedOn w:val="Normal"/>
    <w:link w:val="TabletextChar"/>
    <w:rsid w:val="004F75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F755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F755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755B"/>
    <w:pPr>
      <w:ind w:left="794"/>
    </w:pPr>
  </w:style>
  <w:style w:type="paragraph" w:customStyle="1" w:styleId="Figurelegend">
    <w:name w:val="Figure_legend"/>
    <w:basedOn w:val="Normal"/>
    <w:rsid w:val="004F755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755B"/>
    <w:pPr>
      <w:keepNext/>
      <w:keepLines/>
      <w:spacing w:before="480" w:after="80"/>
      <w:jc w:val="center"/>
    </w:pPr>
    <w:rPr>
      <w:caps/>
      <w:sz w:val="18"/>
    </w:rPr>
  </w:style>
  <w:style w:type="paragraph" w:customStyle="1" w:styleId="tocpart">
    <w:name w:val="tocpart"/>
    <w:basedOn w:val="Normal"/>
    <w:rsid w:val="004F755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755B"/>
    <w:pPr>
      <w:keepNext/>
      <w:keepLines/>
      <w:spacing w:before="480"/>
      <w:jc w:val="center"/>
    </w:pPr>
    <w:rPr>
      <w:sz w:val="28"/>
    </w:rPr>
  </w:style>
  <w:style w:type="paragraph" w:customStyle="1" w:styleId="Arttitle">
    <w:name w:val="Art_title"/>
    <w:basedOn w:val="Normal"/>
    <w:next w:val="Normalaftertitle"/>
    <w:rsid w:val="004F755B"/>
    <w:pPr>
      <w:keepNext/>
      <w:keepLines/>
      <w:spacing w:before="240"/>
      <w:jc w:val="center"/>
    </w:pPr>
    <w:rPr>
      <w:b/>
      <w:sz w:val="28"/>
    </w:rPr>
  </w:style>
  <w:style w:type="paragraph" w:customStyle="1" w:styleId="Blanc">
    <w:name w:val="Blanc"/>
    <w:basedOn w:val="Normal"/>
    <w:next w:val="Tabletext"/>
    <w:rsid w:val="004F755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755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F755B"/>
    <w:pPr>
      <w:keepNext/>
      <w:keepLines/>
      <w:spacing w:before="160"/>
      <w:ind w:left="794"/>
    </w:pPr>
    <w:rPr>
      <w:i/>
    </w:rPr>
  </w:style>
  <w:style w:type="paragraph" w:customStyle="1" w:styleId="ChapNo">
    <w:name w:val="Chap_No"/>
    <w:basedOn w:val="ArtNo"/>
    <w:next w:val="Chaptitle"/>
    <w:rsid w:val="004F755B"/>
    <w:rPr>
      <w:b/>
    </w:rPr>
  </w:style>
  <w:style w:type="paragraph" w:customStyle="1" w:styleId="Chaptitle">
    <w:name w:val="Chap_title"/>
    <w:basedOn w:val="Arttitle"/>
    <w:next w:val="Normalaftertitle"/>
    <w:rsid w:val="004F755B"/>
  </w:style>
  <w:style w:type="character" w:styleId="FootnoteReference">
    <w:name w:val="footnote reference"/>
    <w:basedOn w:val="DefaultParagraphFont"/>
    <w:rsid w:val="004F755B"/>
    <w:rPr>
      <w:position w:val="6"/>
      <w:sz w:val="18"/>
    </w:rPr>
  </w:style>
  <w:style w:type="paragraph" w:styleId="FootnoteText">
    <w:name w:val="footnote text"/>
    <w:basedOn w:val="Normal"/>
    <w:link w:val="FootnoteTextChar"/>
    <w:rsid w:val="004F755B"/>
    <w:pPr>
      <w:keepLines/>
      <w:tabs>
        <w:tab w:val="left" w:pos="255"/>
      </w:tabs>
      <w:ind w:left="255" w:hanging="255"/>
    </w:pPr>
    <w:rPr>
      <w:sz w:val="22"/>
    </w:rPr>
  </w:style>
  <w:style w:type="paragraph" w:styleId="Index1">
    <w:name w:val="index 1"/>
    <w:basedOn w:val="Normal"/>
    <w:next w:val="Normal"/>
    <w:semiHidden/>
    <w:rsid w:val="004F755B"/>
  </w:style>
  <w:style w:type="paragraph" w:styleId="Index2">
    <w:name w:val="index 2"/>
    <w:basedOn w:val="Normal"/>
    <w:next w:val="Normal"/>
    <w:semiHidden/>
    <w:rsid w:val="004F755B"/>
    <w:pPr>
      <w:ind w:left="283"/>
    </w:pPr>
  </w:style>
  <w:style w:type="paragraph" w:styleId="Index3">
    <w:name w:val="index 3"/>
    <w:basedOn w:val="Normal"/>
    <w:next w:val="Normal"/>
    <w:semiHidden/>
    <w:rsid w:val="004F755B"/>
    <w:pPr>
      <w:ind w:left="566"/>
    </w:pPr>
  </w:style>
  <w:style w:type="paragraph" w:styleId="IndexHeading">
    <w:name w:val="index heading"/>
    <w:basedOn w:val="Normal"/>
    <w:next w:val="Index1"/>
    <w:semiHidden/>
    <w:rsid w:val="004F755B"/>
  </w:style>
  <w:style w:type="paragraph" w:customStyle="1" w:styleId="Line">
    <w:name w:val="Line"/>
    <w:basedOn w:val="Normal"/>
    <w:next w:val="Normal"/>
    <w:rsid w:val="004F755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755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755B"/>
  </w:style>
  <w:style w:type="paragraph" w:customStyle="1" w:styleId="Partref">
    <w:name w:val="Part_ref"/>
    <w:basedOn w:val="Normal"/>
    <w:next w:val="Normal"/>
    <w:rsid w:val="004F755B"/>
    <w:pPr>
      <w:keepNext/>
      <w:keepLines/>
      <w:spacing w:after="280"/>
      <w:jc w:val="center"/>
    </w:pPr>
  </w:style>
  <w:style w:type="paragraph" w:customStyle="1" w:styleId="Parttitle">
    <w:name w:val="Part_title"/>
    <w:basedOn w:val="Normal"/>
    <w:next w:val="Normalaftertitle"/>
    <w:rsid w:val="004F755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755B"/>
  </w:style>
  <w:style w:type="paragraph" w:customStyle="1" w:styleId="QuestionNo">
    <w:name w:val="Question_No"/>
    <w:basedOn w:val="RecNo"/>
    <w:next w:val="Normal"/>
    <w:rsid w:val="004F755B"/>
  </w:style>
  <w:style w:type="paragraph" w:customStyle="1" w:styleId="Questionref">
    <w:name w:val="Question_ref"/>
    <w:basedOn w:val="Recref"/>
    <w:next w:val="Questiondate"/>
    <w:rsid w:val="004F755B"/>
  </w:style>
  <w:style w:type="paragraph" w:customStyle="1" w:styleId="Questiontitle">
    <w:name w:val="Question_title"/>
    <w:basedOn w:val="Normal"/>
    <w:next w:val="Questionref"/>
    <w:rsid w:val="004F755B"/>
  </w:style>
  <w:style w:type="paragraph" w:customStyle="1" w:styleId="Reftext">
    <w:name w:val="Ref_text"/>
    <w:basedOn w:val="Normal"/>
    <w:rsid w:val="004F755B"/>
    <w:pPr>
      <w:ind w:left="794" w:hanging="794"/>
    </w:pPr>
    <w:rPr>
      <w:sz w:val="22"/>
    </w:rPr>
  </w:style>
  <w:style w:type="paragraph" w:customStyle="1" w:styleId="Reftitle">
    <w:name w:val="Ref_title"/>
    <w:basedOn w:val="Normal"/>
    <w:next w:val="Reftext"/>
    <w:rsid w:val="004F755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755B"/>
  </w:style>
  <w:style w:type="paragraph" w:customStyle="1" w:styleId="RepNo">
    <w:name w:val="Rep_No"/>
    <w:basedOn w:val="RecNo"/>
    <w:next w:val="Reptitle"/>
    <w:rsid w:val="004F755B"/>
  </w:style>
  <w:style w:type="paragraph" w:customStyle="1" w:styleId="Repref">
    <w:name w:val="Rep_ref"/>
    <w:basedOn w:val="Recref"/>
    <w:next w:val="Repdate"/>
    <w:rsid w:val="004F755B"/>
  </w:style>
  <w:style w:type="paragraph" w:customStyle="1" w:styleId="Reptitle">
    <w:name w:val="Rep_title"/>
    <w:basedOn w:val="Rectitle"/>
    <w:next w:val="Repref"/>
    <w:rsid w:val="004F755B"/>
  </w:style>
  <w:style w:type="paragraph" w:customStyle="1" w:styleId="Resdate">
    <w:name w:val="Res_date"/>
    <w:basedOn w:val="Recdate"/>
    <w:next w:val="Normalaftertitle"/>
    <w:rsid w:val="004F755B"/>
  </w:style>
  <w:style w:type="paragraph" w:customStyle="1" w:styleId="ResNo">
    <w:name w:val="Res_No"/>
    <w:basedOn w:val="RecNo"/>
    <w:next w:val="Restitle"/>
    <w:rsid w:val="004F755B"/>
  </w:style>
  <w:style w:type="paragraph" w:customStyle="1" w:styleId="Resref">
    <w:name w:val="Res_ref"/>
    <w:basedOn w:val="Recref"/>
    <w:next w:val="Resdate"/>
    <w:rsid w:val="004F755B"/>
  </w:style>
  <w:style w:type="paragraph" w:customStyle="1" w:styleId="Restitle">
    <w:name w:val="Res_title"/>
    <w:basedOn w:val="Normal"/>
    <w:next w:val="Resref"/>
    <w:rsid w:val="004F755B"/>
    <w:pPr>
      <w:spacing w:before="240"/>
      <w:jc w:val="center"/>
    </w:pPr>
    <w:rPr>
      <w:b/>
      <w:sz w:val="28"/>
    </w:rPr>
  </w:style>
  <w:style w:type="paragraph" w:customStyle="1" w:styleId="SectionNo">
    <w:name w:val="Section_No"/>
    <w:basedOn w:val="Normal"/>
    <w:next w:val="Normal"/>
    <w:rsid w:val="004F755B"/>
  </w:style>
  <w:style w:type="paragraph" w:customStyle="1" w:styleId="Sectiontitle">
    <w:name w:val="Section_title"/>
    <w:basedOn w:val="Normal"/>
    <w:next w:val="Normalaftertitle"/>
    <w:rsid w:val="004F755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755B"/>
    <w:pPr>
      <w:tabs>
        <w:tab w:val="clear" w:pos="794"/>
        <w:tab w:val="clear" w:pos="1191"/>
        <w:tab w:val="clear" w:pos="1588"/>
        <w:tab w:val="clear" w:pos="1985"/>
        <w:tab w:val="right" w:pos="9611"/>
      </w:tabs>
    </w:pPr>
    <w:rPr>
      <w:i/>
    </w:rPr>
  </w:style>
  <w:style w:type="paragraph" w:styleId="TOC1">
    <w:name w:val="toc 1"/>
    <w:basedOn w:val="Normal"/>
    <w:semiHidden/>
    <w:rsid w:val="004F755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755B"/>
    <w:pPr>
      <w:tabs>
        <w:tab w:val="clear" w:pos="567"/>
        <w:tab w:val="left" w:pos="1276"/>
      </w:tabs>
      <w:spacing w:before="160"/>
      <w:ind w:left="1276" w:hanging="709"/>
    </w:pPr>
  </w:style>
  <w:style w:type="paragraph" w:styleId="TOC3">
    <w:name w:val="toc 3"/>
    <w:basedOn w:val="TOC2"/>
    <w:semiHidden/>
    <w:rsid w:val="004F755B"/>
    <w:pPr>
      <w:tabs>
        <w:tab w:val="clear" w:pos="1276"/>
        <w:tab w:val="left" w:pos="2155"/>
      </w:tabs>
      <w:ind w:left="2155" w:hanging="879"/>
    </w:pPr>
  </w:style>
  <w:style w:type="paragraph" w:styleId="TOC4">
    <w:name w:val="toc 4"/>
    <w:basedOn w:val="TOC3"/>
    <w:semiHidden/>
    <w:rsid w:val="004F755B"/>
    <w:pPr>
      <w:tabs>
        <w:tab w:val="left" w:pos="3261"/>
      </w:tabs>
      <w:spacing w:before="80"/>
      <w:ind w:left="3261" w:hanging="993"/>
    </w:pPr>
  </w:style>
  <w:style w:type="paragraph" w:styleId="TOC5">
    <w:name w:val="toc 5"/>
    <w:basedOn w:val="TOC4"/>
    <w:semiHidden/>
    <w:rsid w:val="004F755B"/>
  </w:style>
  <w:style w:type="paragraph" w:styleId="TOC6">
    <w:name w:val="toc 6"/>
    <w:basedOn w:val="TOC4"/>
    <w:semiHidden/>
    <w:rsid w:val="004F755B"/>
  </w:style>
  <w:style w:type="paragraph" w:styleId="TOC7">
    <w:name w:val="toc 7"/>
    <w:basedOn w:val="TOC4"/>
    <w:semiHidden/>
    <w:rsid w:val="004F755B"/>
  </w:style>
  <w:style w:type="paragraph" w:styleId="TOC8">
    <w:name w:val="toc 8"/>
    <w:basedOn w:val="TOC4"/>
    <w:semiHidden/>
    <w:rsid w:val="004F755B"/>
  </w:style>
  <w:style w:type="paragraph" w:customStyle="1" w:styleId="Rectitle">
    <w:name w:val="Rec_title"/>
    <w:basedOn w:val="Normal"/>
    <w:next w:val="Recref"/>
    <w:rsid w:val="004F755B"/>
    <w:pPr>
      <w:keepNext/>
      <w:keepLines/>
      <w:spacing w:before="240"/>
      <w:jc w:val="center"/>
    </w:pPr>
    <w:rPr>
      <w:b/>
      <w:sz w:val="28"/>
    </w:rPr>
  </w:style>
  <w:style w:type="paragraph" w:customStyle="1" w:styleId="Annexref">
    <w:name w:val="Annex_ref"/>
    <w:basedOn w:val="Normal"/>
    <w:next w:val="Normalaftertitle"/>
    <w:rsid w:val="004F755B"/>
    <w:pPr>
      <w:keepNext/>
      <w:keepLines/>
      <w:spacing w:after="280"/>
      <w:jc w:val="center"/>
    </w:pPr>
  </w:style>
  <w:style w:type="paragraph" w:customStyle="1" w:styleId="Appendixref">
    <w:name w:val="Appendix_ref"/>
    <w:basedOn w:val="Annexref"/>
    <w:next w:val="Normalaftertitle"/>
    <w:rsid w:val="004F755B"/>
  </w:style>
  <w:style w:type="paragraph" w:customStyle="1" w:styleId="Figuretitle">
    <w:name w:val="Figure_title"/>
    <w:basedOn w:val="Normal"/>
    <w:next w:val="Figure"/>
    <w:rsid w:val="004F755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F755B"/>
    <w:pPr>
      <w:keepNext/>
      <w:spacing w:before="0" w:after="120"/>
      <w:jc w:val="center"/>
    </w:pPr>
    <w:rPr>
      <w:b/>
    </w:rPr>
  </w:style>
  <w:style w:type="paragraph" w:customStyle="1" w:styleId="Summary">
    <w:name w:val="Summary"/>
    <w:basedOn w:val="Normal"/>
    <w:next w:val="Normalaftertitle"/>
    <w:autoRedefine/>
    <w:rsid w:val="004F755B"/>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F755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F755B"/>
    <w:pPr>
      <w:ind w:left="-85" w:firstLine="0"/>
    </w:pPr>
    <w:rPr>
      <w:lang w:val="en-US"/>
    </w:rPr>
  </w:style>
  <w:style w:type="character" w:customStyle="1" w:styleId="Heading1Char">
    <w:name w:val="Heading 1 Char"/>
    <w:basedOn w:val="DefaultParagraphFont"/>
    <w:link w:val="Heading1"/>
    <w:rsid w:val="004337B5"/>
    <w:rPr>
      <w:b/>
      <w:sz w:val="24"/>
      <w:lang w:val="fr-FR" w:eastAsia="en-US"/>
    </w:rPr>
  </w:style>
  <w:style w:type="character" w:customStyle="1" w:styleId="Heading2Char">
    <w:name w:val="Heading 2 Char"/>
    <w:basedOn w:val="DefaultParagraphFont"/>
    <w:link w:val="Heading2"/>
    <w:rsid w:val="004337B5"/>
    <w:rPr>
      <w:b/>
      <w:sz w:val="24"/>
      <w:lang w:val="fr-FR" w:eastAsia="en-US"/>
    </w:rPr>
  </w:style>
  <w:style w:type="character" w:customStyle="1" w:styleId="Heading3Char">
    <w:name w:val="Heading 3 Char"/>
    <w:basedOn w:val="DefaultParagraphFont"/>
    <w:link w:val="Heading3"/>
    <w:rsid w:val="004337B5"/>
    <w:rPr>
      <w:b/>
      <w:sz w:val="24"/>
      <w:lang w:val="fr-FR" w:eastAsia="en-US"/>
    </w:rPr>
  </w:style>
  <w:style w:type="character" w:customStyle="1" w:styleId="FootnoteTextChar">
    <w:name w:val="Footnote Text Char"/>
    <w:basedOn w:val="DefaultParagraphFont"/>
    <w:link w:val="FootnoteText"/>
    <w:rsid w:val="004337B5"/>
    <w:rPr>
      <w:sz w:val="22"/>
      <w:lang w:val="fr-FR" w:eastAsia="en-US"/>
    </w:rPr>
  </w:style>
  <w:style w:type="character" w:customStyle="1" w:styleId="FigureNoChar">
    <w:name w:val="Figure_No Char"/>
    <w:basedOn w:val="DefaultParagraphFont"/>
    <w:link w:val="FigureNo"/>
    <w:rsid w:val="004337B5"/>
    <w:rPr>
      <w:caps/>
      <w:sz w:val="18"/>
      <w:lang w:val="fr-FR" w:eastAsia="en-US"/>
    </w:rPr>
  </w:style>
  <w:style w:type="character" w:customStyle="1" w:styleId="EquationChar">
    <w:name w:val="Equation Char"/>
    <w:link w:val="Equation"/>
    <w:locked/>
    <w:rsid w:val="004337B5"/>
    <w:rPr>
      <w:sz w:val="24"/>
      <w:lang w:val="fr-FR" w:eastAsia="en-US"/>
    </w:rPr>
  </w:style>
  <w:style w:type="character" w:customStyle="1" w:styleId="TabletextChar">
    <w:name w:val="Table_text Char"/>
    <w:link w:val="Tabletext"/>
    <w:locked/>
    <w:rsid w:val="004337B5"/>
    <w:rPr>
      <w:sz w:val="22"/>
      <w:lang w:val="fr-FR" w:eastAsia="en-US"/>
    </w:rPr>
  </w:style>
  <w:style w:type="character" w:customStyle="1" w:styleId="TableheadChar">
    <w:name w:val="Table_head Char"/>
    <w:basedOn w:val="DefaultParagraphFont"/>
    <w:link w:val="Tablehead"/>
    <w:locked/>
    <w:rsid w:val="004337B5"/>
    <w:rPr>
      <w:b/>
      <w:sz w:val="22"/>
      <w:lang w:val="fr-FR" w:eastAsia="en-US"/>
    </w:rPr>
  </w:style>
  <w:style w:type="character" w:customStyle="1" w:styleId="TableNo0">
    <w:name w:val="Table_No Знак"/>
    <w:link w:val="TableNo"/>
    <w:locked/>
    <w:rsid w:val="004337B5"/>
    <w:rPr>
      <w:sz w:val="24"/>
      <w:lang w:val="fr-FR" w:eastAsia="en-US"/>
    </w:rPr>
  </w:style>
  <w:style w:type="character" w:customStyle="1" w:styleId="EquationlegendChar">
    <w:name w:val="Equation_legend Char"/>
    <w:link w:val="Equationlegend"/>
    <w:locked/>
    <w:rsid w:val="004337B5"/>
    <w:rPr>
      <w:sz w:val="24"/>
      <w:lang w:eastAsia="en-US"/>
    </w:rPr>
  </w:style>
  <w:style w:type="character" w:customStyle="1" w:styleId="CallChar">
    <w:name w:val="Call Char"/>
    <w:basedOn w:val="DefaultParagraphFont"/>
    <w:link w:val="Call"/>
    <w:locked/>
    <w:rsid w:val="004337B5"/>
    <w:rPr>
      <w:i/>
      <w:sz w:val="24"/>
      <w:lang w:val="fr-FR" w:eastAsia="en-US"/>
    </w:rPr>
  </w:style>
  <w:style w:type="character" w:customStyle="1" w:styleId="Tabletitle0">
    <w:name w:val="Table_title Знак"/>
    <w:link w:val="Tabletitle"/>
    <w:locked/>
    <w:rsid w:val="004337B5"/>
    <w:rPr>
      <w:b/>
      <w:sz w:val="24"/>
      <w:lang w:val="fr-FR" w:eastAsia="en-US"/>
    </w:rPr>
  </w:style>
  <w:style w:type="character" w:customStyle="1" w:styleId="fontstyle01">
    <w:name w:val="fontstyle01"/>
    <w:basedOn w:val="DefaultParagraphFont"/>
    <w:rsid w:val="004337B5"/>
    <w:rPr>
      <w:rFonts w:ascii="TimesNewRoman" w:hAnsi="TimesNewRoman" w:hint="default"/>
      <w:b w:val="0"/>
      <w:bCs w:val="0"/>
      <w:i w:val="0"/>
      <w:iCs w:val="0"/>
      <w:color w:val="000000"/>
      <w:sz w:val="22"/>
      <w:szCs w:val="22"/>
    </w:rPr>
  </w:style>
  <w:style w:type="paragraph" w:customStyle="1" w:styleId="MTDisplayEquation">
    <w:name w:val="MTDisplayEquation"/>
    <w:basedOn w:val="Normal"/>
    <w:next w:val="Normal"/>
    <w:link w:val="MTDisplayEquationChar"/>
    <w:rsid w:val="004337B5"/>
    <w:pPr>
      <w:tabs>
        <w:tab w:val="clear" w:pos="794"/>
        <w:tab w:val="clear" w:pos="1191"/>
        <w:tab w:val="clear" w:pos="1588"/>
        <w:tab w:val="clear" w:pos="1985"/>
        <w:tab w:val="center" w:pos="4820"/>
        <w:tab w:val="right" w:pos="9640"/>
      </w:tabs>
      <w:jc w:val="left"/>
    </w:pPr>
    <w:rPr>
      <w:lang w:val="en-GB"/>
    </w:rPr>
  </w:style>
  <w:style w:type="character" w:customStyle="1" w:styleId="MTDisplayEquationChar">
    <w:name w:val="MTDisplayEquation Char"/>
    <w:basedOn w:val="DefaultParagraphFont"/>
    <w:link w:val="MTDisplayEquation"/>
    <w:rsid w:val="004337B5"/>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10</Pages>
  <Words>2688</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17951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9</cp:revision>
  <cp:lastPrinted>2022-04-22T06:53:00Z</cp:lastPrinted>
  <dcterms:created xsi:type="dcterms:W3CDTF">2022-04-22T06:37:00Z</dcterms:created>
  <dcterms:modified xsi:type="dcterms:W3CDTF">2022-04-22T06:54:00Z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