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5DC93" w14:textId="77777777" w:rsidR="00FE79FE" w:rsidRDefault="00FE79FE"/>
    <w:p w14:paraId="4E7BE837" w14:textId="77777777" w:rsidR="00013002" w:rsidRDefault="00013002" w:rsidP="00DE5556">
      <w:pPr>
        <w:tabs>
          <w:tab w:val="clear" w:pos="794"/>
          <w:tab w:val="clear" w:pos="1191"/>
          <w:tab w:val="clear" w:pos="1588"/>
          <w:tab w:val="clear" w:pos="1985"/>
        </w:tabs>
      </w:pPr>
    </w:p>
    <w:p w14:paraId="028866A4" w14:textId="4421C479" w:rsidR="004A6FEB" w:rsidRPr="00342460" w:rsidRDefault="004A6FEB" w:rsidP="0036627C">
      <w:pPr>
        <w:pStyle w:val="CoverNumber"/>
        <w:rPr>
          <w:lang w:val="fr-FR"/>
        </w:rPr>
      </w:pPr>
      <w:proofErr w:type="spellStart"/>
      <w:r w:rsidRPr="00342460">
        <w:rPr>
          <w:lang w:val="fr-FR"/>
        </w:rPr>
        <w:t>Recommendation</w:t>
      </w:r>
      <w:proofErr w:type="spellEnd"/>
      <w:r w:rsidRPr="00342460">
        <w:rPr>
          <w:lang w:val="fr-FR"/>
        </w:rPr>
        <w:t xml:space="preserve"> ITU-R </w:t>
      </w:r>
      <w:r w:rsidR="00512A4E" w:rsidRPr="00342460">
        <w:rPr>
          <w:lang w:val="fr-FR"/>
        </w:rPr>
        <w:t>P</w:t>
      </w:r>
      <w:r w:rsidR="0036627C" w:rsidRPr="00342460">
        <w:rPr>
          <w:lang w:val="fr-FR"/>
        </w:rPr>
        <w:t>.</w:t>
      </w:r>
      <w:r w:rsidR="00342460" w:rsidRPr="00342460">
        <w:rPr>
          <w:lang w:val="fr-FR" w:eastAsia="zh-CN"/>
        </w:rPr>
        <w:t>2041-1</w:t>
      </w:r>
    </w:p>
    <w:p w14:paraId="45D66131" w14:textId="74F3A810" w:rsidR="004A6FEB" w:rsidRPr="00342460" w:rsidRDefault="004A6FEB" w:rsidP="0036627C">
      <w:pPr>
        <w:pStyle w:val="CoverDate"/>
        <w:rPr>
          <w:lang w:val="fr-FR"/>
        </w:rPr>
      </w:pPr>
      <w:r w:rsidRPr="00342460">
        <w:rPr>
          <w:lang w:val="fr-FR"/>
        </w:rPr>
        <w:t>(</w:t>
      </w:r>
      <w:r w:rsidR="00342460" w:rsidRPr="00342460">
        <w:rPr>
          <w:lang w:val="fr-FR"/>
        </w:rPr>
        <w:t>09</w:t>
      </w:r>
      <w:r w:rsidRPr="00342460">
        <w:rPr>
          <w:lang w:val="fr-FR"/>
        </w:rPr>
        <w:t>/</w:t>
      </w:r>
      <w:r w:rsidR="00342460">
        <w:rPr>
          <w:lang w:val="fr-FR"/>
        </w:rPr>
        <w:t>2026</w:t>
      </w:r>
      <w:r w:rsidRPr="00342460">
        <w:rPr>
          <w:lang w:val="fr-FR"/>
        </w:rPr>
        <w:t>)</w:t>
      </w:r>
    </w:p>
    <w:p w14:paraId="4C5B76CF" w14:textId="526CE5A9" w:rsidR="004A6FEB" w:rsidRPr="00636270" w:rsidRDefault="00512A4E" w:rsidP="0036627C">
      <w:pPr>
        <w:pStyle w:val="CoverSeries"/>
        <w:rPr>
          <w:lang w:val="fr-FR"/>
        </w:rPr>
      </w:pPr>
      <w:r w:rsidRPr="00636270">
        <w:rPr>
          <w:lang w:val="fr-FR"/>
        </w:rPr>
        <w:t>P</w:t>
      </w:r>
      <w:r w:rsidR="004A6FEB" w:rsidRPr="00636270">
        <w:rPr>
          <w:lang w:val="fr-FR"/>
        </w:rPr>
        <w:t xml:space="preserve"> </w:t>
      </w:r>
      <w:proofErr w:type="spellStart"/>
      <w:proofErr w:type="gramStart"/>
      <w:r w:rsidR="004A6FEB" w:rsidRPr="00636270">
        <w:rPr>
          <w:lang w:val="fr-FR"/>
        </w:rPr>
        <w:t>Series</w:t>
      </w:r>
      <w:proofErr w:type="spellEnd"/>
      <w:r w:rsidR="004A6FEB" w:rsidRPr="00636270">
        <w:rPr>
          <w:lang w:val="fr-FR"/>
        </w:rPr>
        <w:t>:</w:t>
      </w:r>
      <w:proofErr w:type="gramEnd"/>
      <w:r w:rsidR="004A6FEB" w:rsidRPr="00636270">
        <w:rPr>
          <w:lang w:val="fr-FR"/>
        </w:rPr>
        <w:t xml:space="preserve"> </w:t>
      </w:r>
      <w:r w:rsidRPr="00636270">
        <w:rPr>
          <w:bCs w:val="0"/>
          <w:lang w:val="fr-FR"/>
        </w:rPr>
        <w:t>Radio</w:t>
      </w:r>
      <w:r w:rsidR="00B112A6" w:rsidRPr="00636270">
        <w:rPr>
          <w:bCs w:val="0"/>
          <w:lang w:val="fr-FR"/>
        </w:rPr>
        <w:t>-</w:t>
      </w:r>
      <w:proofErr w:type="spellStart"/>
      <w:r w:rsidRPr="00636270">
        <w:rPr>
          <w:bCs w:val="0"/>
          <w:lang w:val="fr-FR"/>
        </w:rPr>
        <w:t>wave</w:t>
      </w:r>
      <w:proofErr w:type="spellEnd"/>
      <w:r w:rsidRPr="00636270">
        <w:rPr>
          <w:bCs w:val="0"/>
          <w:lang w:val="fr-FR"/>
        </w:rPr>
        <w:t xml:space="preserve"> propagation</w:t>
      </w:r>
    </w:p>
    <w:p w14:paraId="6BE9C427" w14:textId="362BFC89" w:rsidR="004A6FEB" w:rsidRPr="004A6FEB" w:rsidRDefault="00342460" w:rsidP="0036627C">
      <w:pPr>
        <w:pStyle w:val="CoverTitle"/>
      </w:pPr>
      <w:r>
        <w:t>Prediction of path attenuation on links between an airborne terminal and Space and between an airborne terminal and the surface of the Earth</w:t>
      </w:r>
    </w:p>
    <w:p w14:paraId="02170E06" w14:textId="77777777" w:rsidR="00FE79FE" w:rsidRPr="005373E0" w:rsidRDefault="00FE79FE" w:rsidP="005373E0">
      <w:pPr>
        <w:rPr>
          <w:lang w:val="en-US"/>
        </w:rPr>
      </w:pPr>
    </w:p>
    <w:p w14:paraId="4981A76A" w14:textId="77777777" w:rsidR="00A71FE5" w:rsidRPr="005373E0" w:rsidRDefault="00A71FE5" w:rsidP="005373E0"/>
    <w:p w14:paraId="0E005FEF" w14:textId="77777777" w:rsidR="00EE47C4" w:rsidRPr="005373E0" w:rsidRDefault="00EE47C4" w:rsidP="005373E0">
      <w:pPr>
        <w:sectPr w:rsidR="00EE47C4" w:rsidRPr="005373E0" w:rsidSect="0027411A">
          <w:headerReference w:type="even" r:id="rId7"/>
          <w:headerReference w:type="default" r:id="rId8"/>
          <w:footerReference w:type="default" r:id="rId9"/>
          <w:pgSz w:w="11907" w:h="16840" w:code="9"/>
          <w:pgMar w:top="1089" w:right="1089" w:bottom="284" w:left="1089" w:header="737" w:footer="284" w:gutter="0"/>
          <w:pgNumType w:start="1"/>
          <w:cols w:space="720"/>
          <w:docGrid w:linePitch="326"/>
        </w:sectPr>
      </w:pPr>
    </w:p>
    <w:p w14:paraId="3F6D16CF" w14:textId="77777777" w:rsidR="00586EF8" w:rsidRPr="00586EF8" w:rsidRDefault="00586EF8" w:rsidP="007565CC">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40" w:after="0"/>
        <w:rPr>
          <w:bCs/>
          <w:sz w:val="24"/>
          <w:szCs w:val="24"/>
          <w:lang w:val="en-US"/>
        </w:rPr>
      </w:pPr>
      <w:bookmarkStart w:id="0" w:name="c2tope"/>
      <w:bookmarkEnd w:id="0"/>
      <w:r w:rsidRPr="00586EF8">
        <w:rPr>
          <w:bCs/>
          <w:sz w:val="24"/>
          <w:szCs w:val="24"/>
          <w:lang w:val="en-US"/>
        </w:rPr>
        <w:lastRenderedPageBreak/>
        <w:t>Foreword</w:t>
      </w:r>
    </w:p>
    <w:p w14:paraId="5710EBDF" w14:textId="77777777" w:rsidR="00586EF8" w:rsidRDefault="00586EF8" w:rsidP="00586EF8">
      <w:pPr>
        <w:spacing w:before="240"/>
        <w:rPr>
          <w:sz w:val="20"/>
          <w:lang w:val="en-US"/>
        </w:rPr>
      </w:pPr>
      <w:r>
        <w:rPr>
          <w:sz w:val="20"/>
          <w:lang w:val="en-US"/>
        </w:rPr>
        <w:t>The role of the Radiocommunication Sector is to ensure the rational, equitable, efficient and economical use of the radio-frequency spectrum by all radiocommunication services, including satellite services, and carry out studies without limit of frequency range on the basis of which Recommendations are adopted.</w:t>
      </w:r>
    </w:p>
    <w:p w14:paraId="3F35C0B3" w14:textId="77777777" w:rsidR="00586EF8" w:rsidRDefault="00586EF8" w:rsidP="00586EF8">
      <w:pPr>
        <w:rPr>
          <w:sz w:val="20"/>
          <w:lang w:val="en-US"/>
        </w:rPr>
      </w:pPr>
      <w:r>
        <w:rPr>
          <w:sz w:val="20"/>
          <w:lang w:val="en-US"/>
        </w:rPr>
        <w:t>The regulatory and policy functions of the Radiocommunication Sector are performed by World and Regional Radiocommunication Conferences and Radiocommunication Assemblies supported by Study Groups.</w:t>
      </w:r>
    </w:p>
    <w:p w14:paraId="0C2E6215" w14:textId="1E7694E9" w:rsidR="00B714F3" w:rsidRPr="00B714F3" w:rsidRDefault="00C10598" w:rsidP="002F5199">
      <w:pPr>
        <w:pStyle w:val="Heading1"/>
        <w:spacing w:before="680"/>
        <w:jc w:val="center"/>
        <w:rPr>
          <w:szCs w:val="24"/>
          <w:lang w:val="en-US"/>
        </w:rPr>
      </w:pPr>
      <w:r w:rsidRPr="00B714F3">
        <w:rPr>
          <w:szCs w:val="24"/>
          <w:lang w:val="en-US"/>
        </w:rPr>
        <w:t>INTELLECTUAL PROPERTY RIGHT</w:t>
      </w:r>
      <w:r>
        <w:rPr>
          <w:szCs w:val="24"/>
          <w:lang w:val="en-US"/>
        </w:rPr>
        <w:t>S</w:t>
      </w:r>
    </w:p>
    <w:p w14:paraId="656EC0BA" w14:textId="77777777" w:rsidR="00C10598" w:rsidRPr="00FE1B04" w:rsidRDefault="00C10598" w:rsidP="00C10598">
      <w:pPr>
        <w:rPr>
          <w:sz w:val="20"/>
          <w:lang w:val="en-US"/>
        </w:rPr>
      </w:pPr>
      <w:r w:rsidRPr="00FE1B04">
        <w:rPr>
          <w:sz w:val="20"/>
          <w:lang w:val="en-US"/>
        </w:rPr>
        <w:t>ITU draws attention to the possibility that the practice or implementation of this Recommendation may involve the use of a claimed Intellectual Property Right. ITU takes no position concerning the evidence, validity or applicability of claimed Intellectual Property Rights, whether asserted by ITU members or others outside of the Recommendation development process.</w:t>
      </w:r>
    </w:p>
    <w:p w14:paraId="6A7564F1" w14:textId="64E4901C" w:rsidR="00B714F3" w:rsidRPr="00B714F3" w:rsidRDefault="00C10598" w:rsidP="00C10598">
      <w:pPr>
        <w:tabs>
          <w:tab w:val="clear" w:pos="794"/>
          <w:tab w:val="clear" w:pos="1191"/>
          <w:tab w:val="clear" w:pos="1588"/>
          <w:tab w:val="clear" w:pos="1985"/>
        </w:tabs>
        <w:rPr>
          <w:sz w:val="20"/>
          <w:lang w:val="en-US"/>
        </w:rPr>
      </w:pPr>
      <w:r w:rsidRPr="00FE1B04">
        <w:rPr>
          <w:sz w:val="20"/>
          <w:lang w:val="en-US"/>
        </w:rPr>
        <w:t xml:space="preserve">As of the date of approval of this Recommendation, ITU had received notice of intellectual property, protected by patents, which may be required to implement this Recommendation. However, implementers are cautioned that this may not represent the latest information and are therefore strongly urged to consult the appropriate ITU-R patent information available at </w:t>
      </w:r>
      <w:hyperlink r:id="rId10" w:history="1">
        <w:r w:rsidRPr="00FE1B04">
          <w:rPr>
            <w:color w:val="0000FF"/>
            <w:sz w:val="20"/>
            <w:u w:val="single"/>
            <w:lang w:val="en-US"/>
          </w:rPr>
          <w:t>https://www.itu.int/en/ITU-R/study-groups/Pages/itu-r-patent-information.aspx</w:t>
        </w:r>
      </w:hyperlink>
      <w:r w:rsidRPr="00B714F3">
        <w:rPr>
          <w:sz w:val="20"/>
          <w:lang w:val="en-US"/>
        </w:rPr>
        <w:t>.</w:t>
      </w:r>
    </w:p>
    <w:p w14:paraId="202FAEBD" w14:textId="77777777" w:rsidR="00A971A1" w:rsidRDefault="00A971A1" w:rsidP="00586EF8">
      <w:pPr>
        <w:jc w:val="center"/>
        <w:rPr>
          <w:sz w:val="22"/>
          <w:lang w:val="en-US"/>
        </w:rPr>
      </w:pPr>
    </w:p>
    <w:tbl>
      <w:tblPr>
        <w:tblW w:w="5000" w:type="pct"/>
        <w:tblBorders>
          <w:top w:val="single" w:sz="12" w:space="0" w:color="000080"/>
          <w:left w:val="single" w:sz="12" w:space="0" w:color="000080"/>
          <w:bottom w:val="single" w:sz="12" w:space="0" w:color="000080"/>
          <w:right w:val="single" w:sz="12" w:space="0" w:color="000080"/>
        </w:tblBorders>
        <w:tblLook w:val="0020" w:firstRow="1" w:lastRow="0" w:firstColumn="0" w:lastColumn="0" w:noHBand="0" w:noVBand="0"/>
      </w:tblPr>
      <w:tblGrid>
        <w:gridCol w:w="1170"/>
        <w:gridCol w:w="8439"/>
      </w:tblGrid>
      <w:tr w:rsidR="00036EE3" w:rsidRPr="00576D47" w14:paraId="5079F3AF" w14:textId="77777777" w:rsidTr="00AB54CA">
        <w:tc>
          <w:tcPr>
            <w:tcW w:w="9360" w:type="dxa"/>
            <w:gridSpan w:val="2"/>
          </w:tcPr>
          <w:p w14:paraId="604F5CCE" w14:textId="77777777" w:rsidR="00036EE3" w:rsidRPr="00036EE3" w:rsidRDefault="00036EE3" w:rsidP="00036EE3">
            <w:pPr>
              <w:pStyle w:val="Chaptitle"/>
              <w:keepLines w:val="0"/>
              <w:tabs>
                <w:tab w:val="clear" w:pos="794"/>
                <w:tab w:val="clear" w:pos="1191"/>
                <w:tab w:val="clear" w:pos="1588"/>
                <w:tab w:val="clear" w:pos="1985"/>
              </w:tabs>
              <w:overflowPunct/>
              <w:spacing w:before="180"/>
              <w:textAlignment w:val="auto"/>
              <w:rPr>
                <w:sz w:val="22"/>
                <w:szCs w:val="22"/>
                <w:lang w:val="en-US"/>
              </w:rPr>
            </w:pPr>
            <w:r w:rsidRPr="00036EE3">
              <w:rPr>
                <w:sz w:val="22"/>
                <w:szCs w:val="22"/>
                <w:lang w:val="en-US"/>
              </w:rPr>
              <w:t>Series of ITU-R Recommendations</w:t>
            </w:r>
            <w:r>
              <w:rPr>
                <w:sz w:val="22"/>
                <w:szCs w:val="22"/>
                <w:lang w:val="en-US"/>
              </w:rPr>
              <w:t xml:space="preserve"> </w:t>
            </w:r>
          </w:p>
          <w:p w14:paraId="5FA82400" w14:textId="77777777" w:rsidR="00036EE3" w:rsidRPr="00036EE3" w:rsidRDefault="00036EE3" w:rsidP="00036EE3">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20" w:after="60"/>
              <w:rPr>
                <w:bCs/>
                <w:sz w:val="18"/>
                <w:szCs w:val="18"/>
                <w:lang w:val="en-US"/>
              </w:rPr>
            </w:pPr>
            <w:r w:rsidRPr="00CE0A43">
              <w:rPr>
                <w:b w:val="0"/>
                <w:sz w:val="18"/>
                <w:szCs w:val="18"/>
                <w:lang w:val="en-US"/>
              </w:rPr>
              <w:t>(</w:t>
            </w:r>
            <w:r w:rsidRPr="00036EE3">
              <w:rPr>
                <w:b w:val="0"/>
                <w:sz w:val="18"/>
                <w:szCs w:val="18"/>
                <w:lang w:val="en-US"/>
              </w:rPr>
              <w:t xml:space="preserve">Also available online at </w:t>
            </w:r>
            <w:hyperlink r:id="rId11" w:history="1">
              <w:r w:rsidR="00AF5326" w:rsidRPr="00590EE8">
                <w:rPr>
                  <w:rStyle w:val="Hyperlink"/>
                  <w:b w:val="0"/>
                  <w:sz w:val="18"/>
                  <w:szCs w:val="18"/>
                  <w:lang w:val="en-US"/>
                </w:rPr>
                <w:t>https://www.itu.int/publ/R-REC/en</w:t>
              </w:r>
            </w:hyperlink>
            <w:r w:rsidRPr="00CE0A43">
              <w:rPr>
                <w:b w:val="0"/>
                <w:sz w:val="18"/>
                <w:szCs w:val="18"/>
                <w:lang w:val="en-US"/>
              </w:rPr>
              <w:t>)</w:t>
            </w:r>
          </w:p>
        </w:tc>
      </w:tr>
      <w:tr w:rsidR="00A971A1" w:rsidRPr="00036EE3" w14:paraId="47D448B1" w14:textId="77777777" w:rsidTr="00AB54CA">
        <w:tc>
          <w:tcPr>
            <w:tcW w:w="1140" w:type="dxa"/>
            <w:tcBorders>
              <w:bottom w:val="nil"/>
            </w:tcBorders>
            <w:vAlign w:val="bottom"/>
          </w:tcPr>
          <w:p w14:paraId="718658B0" w14:textId="77777777" w:rsidR="00A971A1" w:rsidRPr="00036EE3" w:rsidRDefault="00A971A1" w:rsidP="0036528E">
            <w:pPr>
              <w:spacing w:before="200" w:after="100"/>
              <w:ind w:left="57"/>
              <w:jc w:val="left"/>
              <w:rPr>
                <w:b/>
                <w:bCs/>
                <w:sz w:val="20"/>
                <w:lang w:val="en-US"/>
              </w:rPr>
            </w:pPr>
            <w:r w:rsidRPr="00036EE3">
              <w:rPr>
                <w:b/>
                <w:bCs/>
                <w:sz w:val="20"/>
                <w:lang w:val="en-US"/>
              </w:rPr>
              <w:t>Series</w:t>
            </w:r>
          </w:p>
        </w:tc>
        <w:tc>
          <w:tcPr>
            <w:tcW w:w="8220" w:type="dxa"/>
            <w:tcBorders>
              <w:bottom w:val="nil"/>
            </w:tcBorders>
            <w:vAlign w:val="bottom"/>
          </w:tcPr>
          <w:p w14:paraId="4A054927" w14:textId="77777777" w:rsidR="00A971A1" w:rsidRPr="00036EE3" w:rsidRDefault="00A971A1" w:rsidP="0036528E">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40" w:after="100"/>
              <w:rPr>
                <w:bCs/>
                <w:sz w:val="20"/>
                <w:lang w:val="en-US"/>
              </w:rPr>
            </w:pPr>
            <w:r w:rsidRPr="00036EE3">
              <w:rPr>
                <w:bCs/>
                <w:sz w:val="20"/>
                <w:lang w:val="en-US"/>
              </w:rPr>
              <w:t>Title</w:t>
            </w:r>
          </w:p>
        </w:tc>
      </w:tr>
      <w:tr w:rsidR="00A31928" w:rsidRPr="00F92A40" w14:paraId="014BCE7F" w14:textId="77777777" w:rsidTr="00AB54CA">
        <w:tc>
          <w:tcPr>
            <w:tcW w:w="1140" w:type="dxa"/>
            <w:tcBorders>
              <w:top w:val="nil"/>
              <w:bottom w:val="nil"/>
            </w:tcBorders>
          </w:tcPr>
          <w:p w14:paraId="35F57AE1" w14:textId="77777777" w:rsidR="00A31928" w:rsidRPr="00F92A40" w:rsidRDefault="00A31928" w:rsidP="006B1D2B">
            <w:pPr>
              <w:spacing w:before="30" w:after="30"/>
              <w:ind w:left="57"/>
              <w:jc w:val="left"/>
              <w:rPr>
                <w:rFonts w:hAnsi="Times New Roman Bold"/>
                <w:b/>
                <w:color w:val="000080"/>
                <w:sz w:val="20"/>
                <w:lang w:val="en-US"/>
              </w:rPr>
            </w:pPr>
            <w:r w:rsidRPr="00477A11">
              <w:rPr>
                <w:b/>
                <w:bCs/>
                <w:sz w:val="20"/>
                <w:lang w:val="en-US"/>
              </w:rPr>
              <w:t>BO</w:t>
            </w:r>
          </w:p>
        </w:tc>
        <w:tc>
          <w:tcPr>
            <w:tcW w:w="8220" w:type="dxa"/>
            <w:tcBorders>
              <w:top w:val="nil"/>
              <w:bottom w:val="nil"/>
            </w:tcBorders>
          </w:tcPr>
          <w:p w14:paraId="2577D5A5" w14:textId="77777777" w:rsidR="00A31928" w:rsidRPr="00F92A40" w:rsidRDefault="00A31928" w:rsidP="006B1D2B">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rFonts w:hAnsi="Times New Roman Bold"/>
                <w:color w:val="000080"/>
                <w:sz w:val="20"/>
                <w:lang w:val="en-US"/>
              </w:rPr>
            </w:pPr>
            <w:r w:rsidRPr="00477A11">
              <w:rPr>
                <w:b w:val="0"/>
                <w:sz w:val="20"/>
                <w:lang w:val="en-US"/>
              </w:rPr>
              <w:t>Satellite delivery</w:t>
            </w:r>
          </w:p>
        </w:tc>
      </w:tr>
      <w:tr w:rsidR="00A31928" w:rsidRPr="00576D47" w14:paraId="3F69375B" w14:textId="77777777" w:rsidTr="00AB54CA">
        <w:tc>
          <w:tcPr>
            <w:tcW w:w="1140" w:type="dxa"/>
            <w:tcBorders>
              <w:top w:val="nil"/>
            </w:tcBorders>
            <w:shd w:val="clear" w:color="auto" w:fill="FFFFFF" w:themeFill="background1"/>
          </w:tcPr>
          <w:p w14:paraId="543D906A" w14:textId="77777777" w:rsidR="00A31928" w:rsidRPr="00B51DD9" w:rsidRDefault="00A31928" w:rsidP="006B1D2B">
            <w:pPr>
              <w:spacing w:before="30" w:after="30"/>
              <w:ind w:left="57"/>
              <w:jc w:val="left"/>
              <w:rPr>
                <w:b/>
                <w:bCs/>
                <w:sz w:val="20"/>
                <w:lang w:val="en-US"/>
              </w:rPr>
            </w:pPr>
            <w:r w:rsidRPr="00B51DD9">
              <w:rPr>
                <w:b/>
                <w:bCs/>
                <w:sz w:val="20"/>
                <w:lang w:val="en-US"/>
              </w:rPr>
              <w:t>BR</w:t>
            </w:r>
          </w:p>
        </w:tc>
        <w:tc>
          <w:tcPr>
            <w:tcW w:w="8220" w:type="dxa"/>
            <w:tcBorders>
              <w:top w:val="nil"/>
            </w:tcBorders>
            <w:shd w:val="clear" w:color="auto" w:fill="FFFFFF" w:themeFill="background1"/>
          </w:tcPr>
          <w:p w14:paraId="58DA07C7" w14:textId="77777777" w:rsidR="00A31928" w:rsidRPr="00B51DD9" w:rsidRDefault="00A31928" w:rsidP="006B1D2B">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en-US"/>
              </w:rPr>
            </w:pPr>
            <w:r w:rsidRPr="00B51DD9">
              <w:rPr>
                <w:b w:val="0"/>
                <w:sz w:val="20"/>
                <w:lang w:val="en-US"/>
              </w:rPr>
              <w:t>Recording for production, archival and play-out; film for television</w:t>
            </w:r>
          </w:p>
        </w:tc>
      </w:tr>
      <w:tr w:rsidR="00A31928" w:rsidRPr="00036EE3" w14:paraId="5938CFDF" w14:textId="77777777" w:rsidTr="00AB54CA">
        <w:tc>
          <w:tcPr>
            <w:tcW w:w="1140" w:type="dxa"/>
          </w:tcPr>
          <w:p w14:paraId="427D84A3" w14:textId="77777777" w:rsidR="00A31928" w:rsidRPr="00036EE3" w:rsidRDefault="00A31928" w:rsidP="006B1D2B">
            <w:pPr>
              <w:spacing w:before="30" w:after="30"/>
              <w:ind w:left="57"/>
              <w:jc w:val="left"/>
              <w:rPr>
                <w:b/>
                <w:bCs/>
                <w:sz w:val="20"/>
                <w:lang w:val="en-US"/>
              </w:rPr>
            </w:pPr>
            <w:r w:rsidRPr="00036EE3">
              <w:rPr>
                <w:b/>
                <w:bCs/>
                <w:sz w:val="20"/>
                <w:lang w:val="en-US"/>
              </w:rPr>
              <w:t>BS</w:t>
            </w:r>
          </w:p>
        </w:tc>
        <w:tc>
          <w:tcPr>
            <w:tcW w:w="8220" w:type="dxa"/>
          </w:tcPr>
          <w:p w14:paraId="64562E3D" w14:textId="77777777" w:rsidR="00A31928" w:rsidRPr="00036EE3" w:rsidRDefault="00A31928" w:rsidP="006B1D2B">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en-US"/>
              </w:rPr>
            </w:pPr>
            <w:r w:rsidRPr="00036EE3">
              <w:rPr>
                <w:b w:val="0"/>
                <w:sz w:val="20"/>
                <w:lang w:val="en-US"/>
              </w:rPr>
              <w:t>Broadcasting service (sound)</w:t>
            </w:r>
          </w:p>
        </w:tc>
      </w:tr>
      <w:tr w:rsidR="00A31928" w:rsidRPr="00ED2695" w14:paraId="07CD4B1C" w14:textId="77777777" w:rsidTr="00AB54CA">
        <w:tc>
          <w:tcPr>
            <w:tcW w:w="1140" w:type="dxa"/>
          </w:tcPr>
          <w:p w14:paraId="738B858F" w14:textId="77777777" w:rsidR="00A31928" w:rsidRPr="00ED2695" w:rsidRDefault="00A31928" w:rsidP="006B1D2B">
            <w:pPr>
              <w:spacing w:before="30" w:after="30"/>
              <w:ind w:left="57"/>
              <w:jc w:val="left"/>
              <w:rPr>
                <w:b/>
                <w:bCs/>
                <w:sz w:val="20"/>
                <w:lang w:val="en-US"/>
              </w:rPr>
            </w:pPr>
            <w:r w:rsidRPr="00ED2695">
              <w:rPr>
                <w:b/>
                <w:bCs/>
                <w:sz w:val="20"/>
                <w:lang w:val="en-US"/>
              </w:rPr>
              <w:t>BT</w:t>
            </w:r>
          </w:p>
        </w:tc>
        <w:tc>
          <w:tcPr>
            <w:tcW w:w="8220" w:type="dxa"/>
          </w:tcPr>
          <w:p w14:paraId="4A8FC033" w14:textId="77777777" w:rsidR="00A31928" w:rsidRPr="00ED2695" w:rsidRDefault="00A31928" w:rsidP="006B1D2B">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en-US"/>
              </w:rPr>
            </w:pPr>
            <w:r w:rsidRPr="00ED2695">
              <w:rPr>
                <w:b w:val="0"/>
                <w:sz w:val="20"/>
                <w:lang w:val="en-US"/>
              </w:rPr>
              <w:t>Broadcasting service (television)</w:t>
            </w:r>
          </w:p>
        </w:tc>
      </w:tr>
      <w:tr w:rsidR="00A31928" w:rsidRPr="00036EE3" w14:paraId="561025E8" w14:textId="77777777" w:rsidTr="00AB54CA">
        <w:tc>
          <w:tcPr>
            <w:tcW w:w="1140" w:type="dxa"/>
          </w:tcPr>
          <w:p w14:paraId="69C717D5" w14:textId="77777777" w:rsidR="00A31928" w:rsidRPr="00036EE3" w:rsidRDefault="00A31928" w:rsidP="006B1D2B">
            <w:pPr>
              <w:spacing w:before="30" w:after="30"/>
              <w:ind w:left="57"/>
              <w:jc w:val="left"/>
              <w:rPr>
                <w:b/>
                <w:bCs/>
                <w:sz w:val="20"/>
                <w:lang w:val="fr-CH"/>
              </w:rPr>
            </w:pPr>
            <w:r w:rsidRPr="00036EE3">
              <w:rPr>
                <w:b/>
                <w:bCs/>
                <w:sz w:val="20"/>
                <w:lang w:val="fr-CH"/>
              </w:rPr>
              <w:t>F</w:t>
            </w:r>
          </w:p>
        </w:tc>
        <w:tc>
          <w:tcPr>
            <w:tcW w:w="8220" w:type="dxa"/>
          </w:tcPr>
          <w:p w14:paraId="15EA3C18" w14:textId="77777777" w:rsidR="00A31928" w:rsidRPr="00036EE3" w:rsidRDefault="00A31928" w:rsidP="006B1D2B">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fr-CH"/>
              </w:rPr>
            </w:pPr>
            <w:proofErr w:type="spellStart"/>
            <w:r w:rsidRPr="00036EE3">
              <w:rPr>
                <w:sz w:val="20"/>
                <w:lang w:val="fr-CH"/>
              </w:rPr>
              <w:t>Fixed</w:t>
            </w:r>
            <w:proofErr w:type="spellEnd"/>
            <w:r w:rsidRPr="00036EE3">
              <w:rPr>
                <w:sz w:val="20"/>
                <w:lang w:val="fr-CH"/>
              </w:rPr>
              <w:t xml:space="preserve"> service</w:t>
            </w:r>
          </w:p>
        </w:tc>
      </w:tr>
      <w:tr w:rsidR="00A31928" w:rsidRPr="00512A4E" w14:paraId="3C2819AF" w14:textId="77777777" w:rsidTr="00AB54CA">
        <w:tc>
          <w:tcPr>
            <w:tcW w:w="1140" w:type="dxa"/>
            <w:shd w:val="clear" w:color="auto" w:fill="FFFFFF" w:themeFill="background1"/>
          </w:tcPr>
          <w:p w14:paraId="448B102B" w14:textId="77777777" w:rsidR="00A31928" w:rsidRPr="00512A4E" w:rsidRDefault="00A31928" w:rsidP="00512A4E">
            <w:pPr>
              <w:spacing w:before="30" w:after="30"/>
              <w:ind w:left="57"/>
              <w:jc w:val="left"/>
              <w:rPr>
                <w:b/>
                <w:bCs/>
                <w:sz w:val="20"/>
                <w:lang w:val="en-US"/>
              </w:rPr>
            </w:pPr>
            <w:r w:rsidRPr="00512A4E">
              <w:rPr>
                <w:b/>
                <w:bCs/>
                <w:sz w:val="20"/>
                <w:lang w:val="en-US"/>
              </w:rPr>
              <w:t>M</w:t>
            </w:r>
          </w:p>
        </w:tc>
        <w:tc>
          <w:tcPr>
            <w:tcW w:w="8220" w:type="dxa"/>
            <w:shd w:val="clear" w:color="auto" w:fill="FFFFFF" w:themeFill="background1"/>
          </w:tcPr>
          <w:p w14:paraId="25F82820" w14:textId="77777777" w:rsidR="00A31928" w:rsidRPr="00512A4E" w:rsidRDefault="00A31928" w:rsidP="00A3435A">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en-US"/>
              </w:rPr>
            </w:pPr>
            <w:r w:rsidRPr="00512A4E">
              <w:rPr>
                <w:sz w:val="20"/>
                <w:lang w:val="en-US"/>
              </w:rPr>
              <w:t>Mobile, radiodetermination, amateur and related satellite services</w:t>
            </w:r>
          </w:p>
        </w:tc>
      </w:tr>
      <w:tr w:rsidR="00A31928" w:rsidRPr="00512A4E" w14:paraId="0CDD6166" w14:textId="77777777" w:rsidTr="00AB54CA">
        <w:tc>
          <w:tcPr>
            <w:tcW w:w="1140" w:type="dxa"/>
            <w:shd w:val="clear" w:color="auto" w:fill="F2F2F2" w:themeFill="background1" w:themeFillShade="F2"/>
          </w:tcPr>
          <w:p w14:paraId="696E220B" w14:textId="77777777" w:rsidR="00A31928" w:rsidRPr="00512A4E" w:rsidRDefault="00A31928" w:rsidP="00512A4E">
            <w:pPr>
              <w:spacing w:before="30" w:after="30"/>
              <w:ind w:left="57"/>
              <w:jc w:val="left"/>
              <w:rPr>
                <w:rFonts w:hAnsi="Times New Roman Bold"/>
                <w:color w:val="000080"/>
                <w:sz w:val="20"/>
                <w:lang w:val="en-US"/>
              </w:rPr>
            </w:pPr>
            <w:r w:rsidRPr="00512A4E">
              <w:rPr>
                <w:rFonts w:hAnsi="Times New Roman Bold"/>
                <w:b/>
                <w:color w:val="000080"/>
                <w:sz w:val="20"/>
                <w:lang w:val="en-US"/>
              </w:rPr>
              <w:t>P</w:t>
            </w:r>
          </w:p>
        </w:tc>
        <w:tc>
          <w:tcPr>
            <w:tcW w:w="8220" w:type="dxa"/>
            <w:shd w:val="clear" w:color="auto" w:fill="F2F2F2" w:themeFill="background1" w:themeFillShade="F2"/>
          </w:tcPr>
          <w:p w14:paraId="411CE72C" w14:textId="18727694" w:rsidR="00A31928" w:rsidRPr="00512A4E" w:rsidRDefault="00A31928" w:rsidP="00512A4E">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rFonts w:hAnsi="Times New Roman Bold"/>
                <w:color w:val="000080"/>
                <w:sz w:val="20"/>
                <w:lang w:val="en-US"/>
              </w:rPr>
            </w:pPr>
            <w:r w:rsidRPr="00512A4E">
              <w:rPr>
                <w:rFonts w:hAnsi="Times New Roman Bold"/>
                <w:color w:val="000080"/>
                <w:sz w:val="20"/>
                <w:lang w:val="en-US"/>
              </w:rPr>
              <w:t>Radio</w:t>
            </w:r>
            <w:r w:rsidR="00B112A6">
              <w:rPr>
                <w:rFonts w:hAnsi="Times New Roman Bold"/>
                <w:color w:val="000080"/>
                <w:sz w:val="20"/>
                <w:lang w:val="en-US"/>
              </w:rPr>
              <w:t>-</w:t>
            </w:r>
            <w:r w:rsidRPr="00512A4E">
              <w:rPr>
                <w:rFonts w:hAnsi="Times New Roman Bold"/>
                <w:color w:val="000080"/>
                <w:sz w:val="20"/>
                <w:lang w:val="en-US"/>
              </w:rPr>
              <w:t>wave propagation</w:t>
            </w:r>
          </w:p>
        </w:tc>
      </w:tr>
      <w:tr w:rsidR="00A31928" w:rsidRPr="00036EE3" w14:paraId="361D0017" w14:textId="77777777" w:rsidTr="00AB54CA">
        <w:tc>
          <w:tcPr>
            <w:tcW w:w="1140" w:type="dxa"/>
          </w:tcPr>
          <w:p w14:paraId="23EE3470" w14:textId="77777777" w:rsidR="00A31928" w:rsidRPr="00036EE3" w:rsidRDefault="00A31928" w:rsidP="006B1D2B">
            <w:pPr>
              <w:spacing w:before="30" w:after="30"/>
              <w:ind w:left="57"/>
              <w:jc w:val="left"/>
              <w:rPr>
                <w:b/>
                <w:bCs/>
                <w:sz w:val="20"/>
                <w:lang w:val="en-US"/>
              </w:rPr>
            </w:pPr>
            <w:r w:rsidRPr="00036EE3">
              <w:rPr>
                <w:b/>
                <w:bCs/>
                <w:sz w:val="20"/>
                <w:lang w:val="en-US"/>
              </w:rPr>
              <w:t>RA</w:t>
            </w:r>
          </w:p>
        </w:tc>
        <w:tc>
          <w:tcPr>
            <w:tcW w:w="8220" w:type="dxa"/>
          </w:tcPr>
          <w:p w14:paraId="045E70E0" w14:textId="77777777" w:rsidR="00A31928" w:rsidRPr="00036EE3" w:rsidRDefault="00A31928" w:rsidP="006B1D2B">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en-US"/>
              </w:rPr>
            </w:pPr>
            <w:r w:rsidRPr="00036EE3">
              <w:rPr>
                <w:sz w:val="20"/>
                <w:lang w:val="en-US"/>
              </w:rPr>
              <w:t>Radio astronomy</w:t>
            </w:r>
          </w:p>
        </w:tc>
      </w:tr>
      <w:tr w:rsidR="00A31928" w:rsidRPr="00036EE3" w14:paraId="7A6D5245" w14:textId="77777777" w:rsidTr="00AB54CA">
        <w:tc>
          <w:tcPr>
            <w:tcW w:w="1140" w:type="dxa"/>
          </w:tcPr>
          <w:p w14:paraId="11994D79" w14:textId="77777777" w:rsidR="00A31928" w:rsidRPr="00036EE3" w:rsidRDefault="00A31928" w:rsidP="006B1D2B">
            <w:pPr>
              <w:spacing w:before="30" w:after="30"/>
              <w:ind w:left="57"/>
              <w:jc w:val="left"/>
              <w:rPr>
                <w:b/>
                <w:bCs/>
                <w:sz w:val="20"/>
                <w:lang w:val="en-US"/>
              </w:rPr>
            </w:pPr>
            <w:r w:rsidRPr="00036EE3">
              <w:rPr>
                <w:b/>
                <w:bCs/>
                <w:sz w:val="20"/>
                <w:lang w:val="en-US"/>
              </w:rPr>
              <w:t>RS</w:t>
            </w:r>
          </w:p>
        </w:tc>
        <w:tc>
          <w:tcPr>
            <w:tcW w:w="8220" w:type="dxa"/>
          </w:tcPr>
          <w:p w14:paraId="413DC9A3" w14:textId="77777777" w:rsidR="00A31928" w:rsidRPr="00036EE3" w:rsidRDefault="00A31928" w:rsidP="006B1D2B">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en-US"/>
              </w:rPr>
            </w:pPr>
            <w:r w:rsidRPr="00036EE3">
              <w:rPr>
                <w:sz w:val="20"/>
                <w:lang w:val="en-US"/>
              </w:rPr>
              <w:t>Remote sensing systems</w:t>
            </w:r>
          </w:p>
        </w:tc>
      </w:tr>
      <w:tr w:rsidR="00A31928" w:rsidRPr="00036EE3" w14:paraId="07058894" w14:textId="77777777" w:rsidTr="00AB54CA">
        <w:tc>
          <w:tcPr>
            <w:tcW w:w="1140" w:type="dxa"/>
          </w:tcPr>
          <w:p w14:paraId="4EFA1C06" w14:textId="77777777" w:rsidR="00A31928" w:rsidRPr="00036EE3" w:rsidRDefault="00A31928" w:rsidP="006B1D2B">
            <w:pPr>
              <w:spacing w:before="30" w:after="30"/>
              <w:ind w:left="57"/>
              <w:jc w:val="left"/>
              <w:rPr>
                <w:b/>
                <w:bCs/>
                <w:sz w:val="20"/>
                <w:lang w:val="en-US"/>
              </w:rPr>
            </w:pPr>
            <w:r w:rsidRPr="00036EE3">
              <w:rPr>
                <w:b/>
                <w:bCs/>
                <w:sz w:val="20"/>
                <w:lang w:val="en-US"/>
              </w:rPr>
              <w:t>S</w:t>
            </w:r>
          </w:p>
        </w:tc>
        <w:tc>
          <w:tcPr>
            <w:tcW w:w="8220" w:type="dxa"/>
          </w:tcPr>
          <w:p w14:paraId="6C11EEDD" w14:textId="77777777" w:rsidR="00A31928" w:rsidRPr="00036EE3" w:rsidRDefault="00A31928" w:rsidP="006B1D2B">
            <w:pPr>
              <w:spacing w:before="30" w:after="30"/>
              <w:jc w:val="left"/>
              <w:rPr>
                <w:sz w:val="20"/>
                <w:lang w:val="en-US"/>
              </w:rPr>
            </w:pPr>
            <w:r w:rsidRPr="00036EE3">
              <w:rPr>
                <w:sz w:val="20"/>
                <w:lang w:val="en-US"/>
              </w:rPr>
              <w:t>Fixed-satellite service</w:t>
            </w:r>
          </w:p>
        </w:tc>
      </w:tr>
      <w:tr w:rsidR="00A31928" w:rsidRPr="00036EE3" w14:paraId="07EBF9F5" w14:textId="77777777" w:rsidTr="00AB54CA">
        <w:tc>
          <w:tcPr>
            <w:tcW w:w="1140" w:type="dxa"/>
          </w:tcPr>
          <w:p w14:paraId="7A5545A4" w14:textId="77777777" w:rsidR="00A31928" w:rsidRPr="00036EE3" w:rsidRDefault="00A31928" w:rsidP="006B1D2B">
            <w:pPr>
              <w:spacing w:before="30" w:after="30"/>
              <w:ind w:left="57"/>
              <w:jc w:val="left"/>
              <w:rPr>
                <w:b/>
                <w:bCs/>
                <w:sz w:val="20"/>
                <w:lang w:val="en-US"/>
              </w:rPr>
            </w:pPr>
            <w:r w:rsidRPr="00036EE3">
              <w:rPr>
                <w:b/>
                <w:bCs/>
                <w:sz w:val="20"/>
                <w:lang w:val="en-US"/>
              </w:rPr>
              <w:t>SA</w:t>
            </w:r>
          </w:p>
        </w:tc>
        <w:tc>
          <w:tcPr>
            <w:tcW w:w="8220" w:type="dxa"/>
          </w:tcPr>
          <w:p w14:paraId="345DA767" w14:textId="77777777" w:rsidR="00A31928" w:rsidRPr="00036EE3" w:rsidRDefault="00A31928" w:rsidP="006B1D2B">
            <w:pPr>
              <w:spacing w:before="30" w:after="30"/>
              <w:jc w:val="left"/>
              <w:rPr>
                <w:sz w:val="20"/>
                <w:lang w:val="en-US"/>
              </w:rPr>
            </w:pPr>
            <w:r w:rsidRPr="00036EE3">
              <w:rPr>
                <w:sz w:val="20"/>
                <w:lang w:val="en-US"/>
              </w:rPr>
              <w:t>Space applications and meteorology</w:t>
            </w:r>
          </w:p>
        </w:tc>
      </w:tr>
      <w:tr w:rsidR="00A31928" w:rsidRPr="00576D47" w14:paraId="39AA604D" w14:textId="77777777" w:rsidTr="00AB54CA">
        <w:tc>
          <w:tcPr>
            <w:tcW w:w="1140" w:type="dxa"/>
            <w:tcBorders>
              <w:bottom w:val="nil"/>
            </w:tcBorders>
          </w:tcPr>
          <w:p w14:paraId="02E0CFD3" w14:textId="77777777" w:rsidR="00A31928" w:rsidRPr="00036EE3" w:rsidRDefault="00A31928" w:rsidP="006B1D2B">
            <w:pPr>
              <w:spacing w:before="30" w:after="30"/>
              <w:ind w:left="57"/>
              <w:jc w:val="left"/>
              <w:rPr>
                <w:b/>
                <w:bCs/>
                <w:sz w:val="20"/>
                <w:lang w:val="en-US"/>
              </w:rPr>
            </w:pPr>
            <w:r w:rsidRPr="00036EE3">
              <w:rPr>
                <w:b/>
                <w:bCs/>
                <w:sz w:val="20"/>
                <w:lang w:val="en-US"/>
              </w:rPr>
              <w:t>SF</w:t>
            </w:r>
          </w:p>
        </w:tc>
        <w:tc>
          <w:tcPr>
            <w:tcW w:w="8220" w:type="dxa"/>
            <w:tcBorders>
              <w:bottom w:val="nil"/>
            </w:tcBorders>
          </w:tcPr>
          <w:p w14:paraId="05917E63" w14:textId="77777777" w:rsidR="00A31928" w:rsidRPr="00036EE3" w:rsidRDefault="00A31928" w:rsidP="006B1D2B">
            <w:pPr>
              <w:spacing w:before="30" w:after="30"/>
              <w:jc w:val="left"/>
              <w:rPr>
                <w:sz w:val="20"/>
                <w:lang w:val="en-US"/>
              </w:rPr>
            </w:pPr>
            <w:r w:rsidRPr="00036EE3">
              <w:rPr>
                <w:sz w:val="20"/>
                <w:lang w:val="en-US"/>
              </w:rPr>
              <w:t>Frequency sharing and coordination between fixed-satellite and fixed service systems</w:t>
            </w:r>
          </w:p>
        </w:tc>
      </w:tr>
      <w:tr w:rsidR="00A31928" w:rsidRPr="00036EE3" w14:paraId="616DA9AC" w14:textId="77777777" w:rsidTr="00AB54CA">
        <w:tc>
          <w:tcPr>
            <w:tcW w:w="1140" w:type="dxa"/>
            <w:tcBorders>
              <w:top w:val="nil"/>
              <w:bottom w:val="nil"/>
            </w:tcBorders>
          </w:tcPr>
          <w:p w14:paraId="583D4D9E" w14:textId="77777777" w:rsidR="00A31928" w:rsidRPr="001B164E" w:rsidRDefault="00A31928" w:rsidP="006B1D2B">
            <w:pPr>
              <w:spacing w:before="30" w:after="30"/>
              <w:ind w:left="57"/>
              <w:jc w:val="left"/>
              <w:rPr>
                <w:rFonts w:ascii="Times New Roman Bold" w:hAnsi="Times New Roman Bold" w:cs="Times New Roman Bold"/>
                <w:b/>
                <w:bCs/>
                <w:sz w:val="20"/>
                <w:lang w:val="en-US"/>
              </w:rPr>
            </w:pPr>
            <w:r w:rsidRPr="001B164E">
              <w:rPr>
                <w:rFonts w:ascii="Times New Roman Bold" w:hAnsi="Times New Roman Bold" w:cs="Times New Roman Bold"/>
                <w:b/>
                <w:bCs/>
                <w:sz w:val="20"/>
                <w:lang w:val="en-US"/>
              </w:rPr>
              <w:t>SM</w:t>
            </w:r>
          </w:p>
        </w:tc>
        <w:tc>
          <w:tcPr>
            <w:tcW w:w="8220" w:type="dxa"/>
            <w:tcBorders>
              <w:top w:val="nil"/>
              <w:bottom w:val="nil"/>
            </w:tcBorders>
          </w:tcPr>
          <w:p w14:paraId="42D78748" w14:textId="77777777" w:rsidR="00A31928" w:rsidRPr="001B164E" w:rsidRDefault="00A31928" w:rsidP="006B1D2B">
            <w:pPr>
              <w:spacing w:before="30" w:after="30"/>
              <w:jc w:val="left"/>
              <w:rPr>
                <w:rFonts w:hAnsi="Times New Roman Bold"/>
                <w:sz w:val="20"/>
                <w:lang w:val="en-US"/>
              </w:rPr>
            </w:pPr>
            <w:r w:rsidRPr="001B164E">
              <w:rPr>
                <w:rFonts w:hAnsi="Times New Roman Bold"/>
                <w:sz w:val="20"/>
                <w:lang w:val="en-US"/>
              </w:rPr>
              <w:t>Spectrum management</w:t>
            </w:r>
          </w:p>
        </w:tc>
      </w:tr>
      <w:tr w:rsidR="00A31928" w:rsidRPr="00036EE3" w14:paraId="340BA02F" w14:textId="77777777" w:rsidTr="00AB54CA">
        <w:tc>
          <w:tcPr>
            <w:tcW w:w="1140" w:type="dxa"/>
            <w:tcBorders>
              <w:top w:val="nil"/>
            </w:tcBorders>
          </w:tcPr>
          <w:p w14:paraId="4713277E" w14:textId="77777777" w:rsidR="00A31928" w:rsidRPr="00036EE3" w:rsidRDefault="00A31928" w:rsidP="006B1D2B">
            <w:pPr>
              <w:spacing w:before="30" w:after="30"/>
              <w:ind w:left="57"/>
              <w:jc w:val="left"/>
              <w:rPr>
                <w:b/>
                <w:bCs/>
                <w:sz w:val="20"/>
                <w:lang w:val="en-US"/>
              </w:rPr>
            </w:pPr>
            <w:r w:rsidRPr="00036EE3">
              <w:rPr>
                <w:b/>
                <w:bCs/>
                <w:sz w:val="20"/>
                <w:lang w:val="en-US"/>
              </w:rPr>
              <w:t>SNG</w:t>
            </w:r>
          </w:p>
        </w:tc>
        <w:tc>
          <w:tcPr>
            <w:tcW w:w="8220" w:type="dxa"/>
            <w:tcBorders>
              <w:top w:val="nil"/>
            </w:tcBorders>
          </w:tcPr>
          <w:p w14:paraId="44DED7DA" w14:textId="77777777" w:rsidR="00A31928" w:rsidRPr="00036EE3" w:rsidRDefault="00A31928" w:rsidP="006B1D2B">
            <w:pPr>
              <w:spacing w:before="30" w:after="30"/>
              <w:jc w:val="left"/>
              <w:rPr>
                <w:sz w:val="20"/>
                <w:lang w:val="en-US"/>
              </w:rPr>
            </w:pPr>
            <w:r w:rsidRPr="00036EE3">
              <w:rPr>
                <w:sz w:val="20"/>
                <w:lang w:val="en-US"/>
              </w:rPr>
              <w:t>Satellite news gathering</w:t>
            </w:r>
          </w:p>
        </w:tc>
      </w:tr>
      <w:tr w:rsidR="00A31928" w:rsidRPr="00576D47" w14:paraId="4972042E" w14:textId="77777777" w:rsidTr="00AB54CA">
        <w:tc>
          <w:tcPr>
            <w:tcW w:w="1140" w:type="dxa"/>
          </w:tcPr>
          <w:p w14:paraId="3D0D0AAF" w14:textId="77777777" w:rsidR="00A31928" w:rsidRPr="00036EE3" w:rsidRDefault="00A31928" w:rsidP="006B1D2B">
            <w:pPr>
              <w:spacing w:before="30" w:after="30"/>
              <w:ind w:left="57"/>
              <w:jc w:val="left"/>
              <w:rPr>
                <w:b/>
                <w:bCs/>
                <w:sz w:val="20"/>
                <w:lang w:val="en-US"/>
              </w:rPr>
            </w:pPr>
            <w:r w:rsidRPr="00036EE3">
              <w:rPr>
                <w:b/>
                <w:bCs/>
                <w:sz w:val="20"/>
                <w:lang w:val="en-US"/>
              </w:rPr>
              <w:t>TF</w:t>
            </w:r>
          </w:p>
        </w:tc>
        <w:tc>
          <w:tcPr>
            <w:tcW w:w="8220" w:type="dxa"/>
          </w:tcPr>
          <w:p w14:paraId="385FACB9" w14:textId="77777777" w:rsidR="00A31928" w:rsidRPr="00036EE3" w:rsidRDefault="00A31928" w:rsidP="006B1D2B">
            <w:pPr>
              <w:spacing w:before="30" w:after="30"/>
              <w:jc w:val="left"/>
              <w:rPr>
                <w:sz w:val="20"/>
                <w:lang w:val="en-US"/>
              </w:rPr>
            </w:pPr>
            <w:r w:rsidRPr="00036EE3">
              <w:rPr>
                <w:sz w:val="20"/>
                <w:lang w:val="en-US"/>
              </w:rPr>
              <w:t>Time signals and frequency standards emissions</w:t>
            </w:r>
          </w:p>
        </w:tc>
      </w:tr>
      <w:tr w:rsidR="00A31928" w:rsidRPr="00036EE3" w14:paraId="79D3796E" w14:textId="77777777" w:rsidTr="00AB54CA">
        <w:tc>
          <w:tcPr>
            <w:tcW w:w="1140" w:type="dxa"/>
          </w:tcPr>
          <w:p w14:paraId="361743C9" w14:textId="77777777" w:rsidR="00A31928" w:rsidRPr="00036EE3" w:rsidRDefault="00A31928" w:rsidP="006B1D2B">
            <w:pPr>
              <w:spacing w:before="30" w:after="30"/>
              <w:ind w:left="57"/>
              <w:jc w:val="left"/>
              <w:rPr>
                <w:b/>
                <w:bCs/>
                <w:sz w:val="20"/>
                <w:lang w:val="en-US"/>
              </w:rPr>
            </w:pPr>
            <w:r w:rsidRPr="00036EE3">
              <w:rPr>
                <w:b/>
                <w:bCs/>
                <w:sz w:val="20"/>
                <w:lang w:val="en-US"/>
              </w:rPr>
              <w:t>V</w:t>
            </w:r>
          </w:p>
        </w:tc>
        <w:tc>
          <w:tcPr>
            <w:tcW w:w="8220" w:type="dxa"/>
          </w:tcPr>
          <w:p w14:paraId="35903F27" w14:textId="77777777" w:rsidR="00A31928" w:rsidRPr="00036EE3" w:rsidRDefault="00A31928" w:rsidP="00906589">
            <w:pPr>
              <w:spacing w:before="30" w:after="180"/>
              <w:jc w:val="left"/>
              <w:rPr>
                <w:sz w:val="20"/>
                <w:lang w:val="en-US"/>
              </w:rPr>
            </w:pPr>
            <w:r w:rsidRPr="00036EE3">
              <w:rPr>
                <w:sz w:val="20"/>
                <w:lang w:val="en-US"/>
              </w:rPr>
              <w:t>Vocabulary and related subjects</w:t>
            </w:r>
          </w:p>
        </w:tc>
      </w:tr>
    </w:tbl>
    <w:p w14:paraId="40E66EFE" w14:textId="77777777" w:rsidR="00036EE3" w:rsidRPr="00036EE3" w:rsidRDefault="00036EE3" w:rsidP="007B1357">
      <w:pPr>
        <w:spacing w:before="30" w:after="30"/>
        <w:jc w:val="center"/>
        <w:rPr>
          <w:sz w:val="20"/>
          <w:lang w:val="en-US"/>
        </w:rPr>
      </w:pPr>
    </w:p>
    <w:tbl>
      <w:tblPr>
        <w:tblW w:w="5000" w:type="pct"/>
        <w:tblBorders>
          <w:top w:val="single" w:sz="12" w:space="0" w:color="000080"/>
          <w:left w:val="single" w:sz="12" w:space="0" w:color="000080"/>
          <w:bottom w:val="single" w:sz="12" w:space="0" w:color="000080"/>
          <w:right w:val="single" w:sz="12" w:space="0" w:color="000080"/>
        </w:tblBorders>
        <w:tblLook w:val="01E0" w:firstRow="1" w:lastRow="1" w:firstColumn="1" w:lastColumn="1" w:noHBand="0" w:noVBand="0"/>
      </w:tblPr>
      <w:tblGrid>
        <w:gridCol w:w="9609"/>
      </w:tblGrid>
      <w:tr w:rsidR="00036EE3" w:rsidRPr="00576D47" w14:paraId="1C05AB57" w14:textId="77777777" w:rsidTr="00C10598">
        <w:tc>
          <w:tcPr>
            <w:tcW w:w="9609" w:type="dxa"/>
          </w:tcPr>
          <w:p w14:paraId="449ED2B1" w14:textId="77777777" w:rsidR="00036EE3" w:rsidRPr="002F5199" w:rsidRDefault="00036EE3" w:rsidP="00B51DD9">
            <w:pPr>
              <w:spacing w:after="120"/>
              <w:jc w:val="left"/>
              <w:rPr>
                <w:sz w:val="20"/>
                <w:lang w:val="en-US"/>
              </w:rPr>
            </w:pPr>
            <w:r w:rsidRPr="002F5199">
              <w:rPr>
                <w:b/>
                <w:bCs/>
                <w:i/>
                <w:iCs/>
                <w:sz w:val="20"/>
                <w:lang w:val="en-US"/>
              </w:rPr>
              <w:t>Note</w:t>
            </w:r>
            <w:r w:rsidRPr="002F5199">
              <w:rPr>
                <w:sz w:val="20"/>
                <w:lang w:val="en-US"/>
              </w:rPr>
              <w:t xml:space="preserve">: </w:t>
            </w:r>
            <w:r w:rsidRPr="002F5199">
              <w:rPr>
                <w:i/>
                <w:iCs/>
                <w:sz w:val="20"/>
                <w:lang w:val="en-US"/>
              </w:rPr>
              <w:t>This ITU-R Recommendation was approved in English under the procedure detailed in Resolution ITU-R 1.</w:t>
            </w:r>
          </w:p>
        </w:tc>
      </w:tr>
    </w:tbl>
    <w:p w14:paraId="208AF6AF" w14:textId="77777777" w:rsidR="00B714F3" w:rsidRDefault="00B714F3" w:rsidP="002F5199">
      <w:pPr>
        <w:spacing w:before="0"/>
        <w:jc w:val="center"/>
        <w:rPr>
          <w:sz w:val="22"/>
          <w:lang w:val="en-US"/>
        </w:rPr>
      </w:pPr>
    </w:p>
    <w:p w14:paraId="6FA6B18C" w14:textId="77777777" w:rsidR="00470E28" w:rsidRPr="002F5199" w:rsidRDefault="002F5199" w:rsidP="007B1357">
      <w:pPr>
        <w:spacing w:before="0"/>
        <w:jc w:val="right"/>
        <w:rPr>
          <w:i/>
          <w:iCs/>
          <w:sz w:val="20"/>
          <w:lang w:val="en-US"/>
        </w:rPr>
      </w:pPr>
      <w:r w:rsidRPr="002F5199">
        <w:rPr>
          <w:i/>
          <w:iCs/>
          <w:sz w:val="20"/>
          <w:lang w:val="en-US"/>
        </w:rPr>
        <w:t>Electronic Publication</w:t>
      </w:r>
    </w:p>
    <w:p w14:paraId="68F627FD" w14:textId="68A29C30" w:rsidR="002F5199" w:rsidRPr="002F5199" w:rsidRDefault="002F5199" w:rsidP="000B1B2B">
      <w:pPr>
        <w:spacing w:before="0"/>
        <w:jc w:val="right"/>
        <w:rPr>
          <w:sz w:val="20"/>
          <w:lang w:val="en-US"/>
        </w:rPr>
      </w:pPr>
      <w:smartTag w:uri="urn:schemas-microsoft-com:office:smarttags" w:element="place">
        <w:smartTag w:uri="urn:schemas-microsoft-com:office:smarttags" w:element="City">
          <w:r w:rsidRPr="002F5199">
            <w:rPr>
              <w:sz w:val="20"/>
              <w:lang w:val="en-US"/>
            </w:rPr>
            <w:t>Geneva</w:t>
          </w:r>
        </w:smartTag>
      </w:smartTag>
      <w:r w:rsidRPr="002F5199">
        <w:rPr>
          <w:sz w:val="20"/>
          <w:lang w:val="en-US"/>
        </w:rPr>
        <w:t>, 20</w:t>
      </w:r>
      <w:r w:rsidR="005E69F0">
        <w:rPr>
          <w:sz w:val="20"/>
          <w:lang w:val="en-US"/>
        </w:rPr>
        <w:t>2</w:t>
      </w:r>
      <w:r w:rsidR="00C10598">
        <w:rPr>
          <w:sz w:val="20"/>
          <w:lang w:val="en-US"/>
        </w:rPr>
        <w:t>6</w:t>
      </w:r>
    </w:p>
    <w:p w14:paraId="48A0C81A" w14:textId="35C5922E" w:rsidR="00586EF8" w:rsidRPr="00470E28" w:rsidRDefault="00586EF8" w:rsidP="00877E6E">
      <w:pPr>
        <w:jc w:val="center"/>
        <w:rPr>
          <w:sz w:val="20"/>
          <w:lang w:val="en-US"/>
        </w:rPr>
      </w:pPr>
      <w:r w:rsidRPr="00470E28">
        <w:rPr>
          <w:sz w:val="20"/>
          <w:lang w:val="en-US"/>
        </w:rPr>
        <w:sym w:font="Symbol" w:char="F0E3"/>
      </w:r>
      <w:r w:rsidRPr="00470E28">
        <w:rPr>
          <w:sz w:val="20"/>
          <w:lang w:val="en-US"/>
        </w:rPr>
        <w:t xml:space="preserve"> ITU </w:t>
      </w:r>
      <w:bookmarkStart w:id="1" w:name="iiannee"/>
      <w:bookmarkEnd w:id="1"/>
      <w:r w:rsidRPr="00470E28">
        <w:rPr>
          <w:sz w:val="20"/>
          <w:lang w:val="en-US"/>
        </w:rPr>
        <w:t>20</w:t>
      </w:r>
      <w:r w:rsidR="0074147D">
        <w:rPr>
          <w:sz w:val="20"/>
          <w:lang w:val="en-US"/>
        </w:rPr>
        <w:t>2</w:t>
      </w:r>
      <w:r w:rsidR="00C10598">
        <w:rPr>
          <w:sz w:val="20"/>
          <w:lang w:val="en-US"/>
        </w:rPr>
        <w:t>6</w:t>
      </w:r>
    </w:p>
    <w:p w14:paraId="5B297705" w14:textId="77777777" w:rsidR="00586EF8" w:rsidRPr="00470E28" w:rsidRDefault="00586EF8" w:rsidP="00470E28">
      <w:pPr>
        <w:rPr>
          <w:sz w:val="18"/>
          <w:szCs w:val="18"/>
          <w:lang w:val="en-US"/>
        </w:rPr>
      </w:pPr>
      <w:r w:rsidRPr="00470E28">
        <w:rPr>
          <w:sz w:val="18"/>
          <w:szCs w:val="18"/>
          <w:lang w:val="en-US"/>
        </w:rPr>
        <w:t>All rights reserved. No part of thi</w:t>
      </w:r>
      <w:r w:rsidR="00470E28">
        <w:rPr>
          <w:sz w:val="18"/>
          <w:szCs w:val="18"/>
          <w:lang w:val="en-US"/>
        </w:rPr>
        <w:t xml:space="preserve">s publication may be reproduced, </w:t>
      </w:r>
      <w:r w:rsidRPr="00470E28">
        <w:rPr>
          <w:sz w:val="18"/>
          <w:szCs w:val="18"/>
          <w:lang w:val="en-US"/>
        </w:rPr>
        <w:t xml:space="preserve">by any means </w:t>
      </w:r>
      <w:r w:rsidR="00470E28">
        <w:rPr>
          <w:sz w:val="18"/>
          <w:szCs w:val="18"/>
          <w:lang w:val="en-US"/>
        </w:rPr>
        <w:t xml:space="preserve">whatsoever, </w:t>
      </w:r>
      <w:r w:rsidRPr="00470E28">
        <w:rPr>
          <w:sz w:val="18"/>
          <w:szCs w:val="18"/>
          <w:lang w:val="en-US"/>
        </w:rPr>
        <w:t xml:space="preserve">without written permission </w:t>
      </w:r>
      <w:r w:rsidR="00470E28">
        <w:rPr>
          <w:sz w:val="18"/>
          <w:szCs w:val="18"/>
          <w:lang w:val="en-US"/>
        </w:rPr>
        <w:t>of</w:t>
      </w:r>
      <w:r w:rsidRPr="00470E28">
        <w:rPr>
          <w:sz w:val="18"/>
          <w:szCs w:val="18"/>
          <w:lang w:val="en-US"/>
        </w:rPr>
        <w:t xml:space="preserve"> ITU.</w:t>
      </w:r>
    </w:p>
    <w:p w14:paraId="60C7D208" w14:textId="77777777" w:rsidR="007565CC" w:rsidRDefault="007565CC" w:rsidP="00A971A1">
      <w:pPr>
        <w:spacing w:before="160"/>
        <w:rPr>
          <w:i/>
          <w:sz w:val="20"/>
          <w:lang w:val="en-US"/>
        </w:rPr>
        <w:sectPr w:rsidR="007565CC" w:rsidSect="002058CE">
          <w:headerReference w:type="even" r:id="rId12"/>
          <w:headerReference w:type="default" r:id="rId13"/>
          <w:pgSz w:w="11907" w:h="16834" w:code="9"/>
          <w:pgMar w:top="1418" w:right="1134" w:bottom="1134" w:left="1134" w:header="720" w:footer="482" w:gutter="0"/>
          <w:paperSrc w:first="15" w:other="15"/>
          <w:pgNumType w:fmt="lowerRoman" w:start="2"/>
          <w:cols w:space="720"/>
        </w:sectPr>
      </w:pPr>
    </w:p>
    <w:p w14:paraId="6CD1673A" w14:textId="6EE09580" w:rsidR="00B874C6" w:rsidRPr="00B874C6" w:rsidRDefault="00B874C6" w:rsidP="00C10598">
      <w:pPr>
        <w:pStyle w:val="RecNo"/>
        <w:rPr>
          <w:lang w:val="en-US"/>
        </w:rPr>
      </w:pPr>
      <w:bookmarkStart w:id="2" w:name="irecnoe"/>
      <w:bookmarkEnd w:id="2"/>
      <w:r w:rsidRPr="00C10598">
        <w:lastRenderedPageBreak/>
        <w:t>RECOMMENDATION</w:t>
      </w:r>
      <w:r w:rsidRPr="00BF487A">
        <w:t xml:space="preserve">  </w:t>
      </w:r>
      <w:r w:rsidRPr="00BF487A">
        <w:rPr>
          <w:rStyle w:val="href"/>
          <w:lang w:val="en-US"/>
        </w:rPr>
        <w:t xml:space="preserve">ITU-R  </w:t>
      </w:r>
      <w:r w:rsidR="00512A4E">
        <w:rPr>
          <w:rStyle w:val="href"/>
          <w:lang w:val="en-US"/>
        </w:rPr>
        <w:t>P</w:t>
      </w:r>
      <w:r w:rsidRPr="00BF487A">
        <w:rPr>
          <w:rStyle w:val="href"/>
          <w:lang w:val="en-US"/>
        </w:rPr>
        <w:t>.</w:t>
      </w:r>
      <w:r w:rsidR="00342460">
        <w:rPr>
          <w:rStyle w:val="href"/>
        </w:rPr>
        <w:t>2041-1</w:t>
      </w:r>
    </w:p>
    <w:p w14:paraId="60C5EE0C" w14:textId="77777777" w:rsidR="00342460" w:rsidRDefault="00342460" w:rsidP="00342460">
      <w:pPr>
        <w:pStyle w:val="Rectitle"/>
      </w:pPr>
      <w:r>
        <w:t>Prediction of path attenuation on links between an airborne terminal</w:t>
      </w:r>
      <w:r>
        <w:br/>
        <w:t>and Space and between an airborne terminal</w:t>
      </w:r>
      <w:r>
        <w:br/>
        <w:t>and the surface of the Earth</w:t>
      </w:r>
    </w:p>
    <w:p w14:paraId="244A2DBC" w14:textId="77777777" w:rsidR="00342460" w:rsidRDefault="00342460" w:rsidP="00342460">
      <w:pPr>
        <w:pStyle w:val="Recdate"/>
      </w:pPr>
      <w:r>
        <w:t>(2013-2026)</w:t>
      </w:r>
    </w:p>
    <w:p w14:paraId="4CC943F0" w14:textId="77777777" w:rsidR="00342460" w:rsidRDefault="00342460" w:rsidP="00342460">
      <w:pPr>
        <w:pStyle w:val="HeadingSum"/>
        <w:rPr>
          <w:szCs w:val="22"/>
          <w:lang w:val="en-GB"/>
        </w:rPr>
      </w:pPr>
      <w:r>
        <w:rPr>
          <w:szCs w:val="22"/>
          <w:lang w:val="en-GB"/>
        </w:rPr>
        <w:t>Scope</w:t>
      </w:r>
    </w:p>
    <w:p w14:paraId="60402255" w14:textId="77777777" w:rsidR="00342460" w:rsidRDefault="00342460" w:rsidP="00342460">
      <w:pPr>
        <w:pStyle w:val="Summary"/>
        <w:rPr>
          <w:szCs w:val="22"/>
          <w:lang w:val="en-GB"/>
        </w:rPr>
      </w:pPr>
      <w:r>
        <w:rPr>
          <w:szCs w:val="22"/>
          <w:lang w:val="en-GB"/>
        </w:rPr>
        <w:t>This Recommendation predicts the various propagation effects needed in planning airborne systems operating in either the airborne-to-space or airborne-to-Earth direction.</w:t>
      </w:r>
    </w:p>
    <w:p w14:paraId="1771F00C" w14:textId="77777777" w:rsidR="00342460" w:rsidRDefault="00342460" w:rsidP="00342460">
      <w:pPr>
        <w:pStyle w:val="Headingb"/>
      </w:pPr>
      <w:r>
        <w:t>Keywords</w:t>
      </w:r>
    </w:p>
    <w:p w14:paraId="0912B5AF" w14:textId="77777777" w:rsidR="00342460" w:rsidRDefault="00342460" w:rsidP="00342460">
      <w:r>
        <w:t>Earth-space, aeronautical, gaseous attenuation</w:t>
      </w:r>
    </w:p>
    <w:p w14:paraId="2DD0AC54" w14:textId="77777777" w:rsidR="00342460" w:rsidRDefault="00342460" w:rsidP="00342460">
      <w:pPr>
        <w:pStyle w:val="Headingb"/>
        <w:rPr>
          <w:rFonts w:eastAsia="SimSun"/>
        </w:rPr>
      </w:pPr>
      <w:r>
        <w:rPr>
          <w:rFonts w:eastAsia="SimSun"/>
        </w:rPr>
        <w:t>Related ITU Recommendations, Reports</w:t>
      </w:r>
    </w:p>
    <w:p w14:paraId="396FDD5F" w14:textId="70601E1D" w:rsidR="00342460" w:rsidRDefault="00342460" w:rsidP="00342460">
      <w:pPr>
        <w:pStyle w:val="Reftext"/>
      </w:pPr>
      <w:r>
        <w:t>Recommendation</w:t>
      </w:r>
      <w:r w:rsidR="001B7430">
        <w:t> </w:t>
      </w:r>
      <w:hyperlink r:id="rId14" w:history="1">
        <w:r>
          <w:rPr>
            <w:rStyle w:val="Hyperlink"/>
            <w:color w:val="auto"/>
            <w:u w:val="none"/>
          </w:rPr>
          <w:t>ITU</w:t>
        </w:r>
        <w:r>
          <w:rPr>
            <w:rStyle w:val="Hyperlink"/>
            <w:color w:val="auto"/>
            <w:u w:val="none"/>
          </w:rPr>
          <w:noBreakHyphen/>
          <w:t>R P.528</w:t>
        </w:r>
      </w:hyperlink>
      <w:r w:rsidR="001B7430">
        <w:t> </w:t>
      </w:r>
      <w:r>
        <w:t>‒</w:t>
      </w:r>
      <w:r w:rsidR="001B7430">
        <w:t> </w:t>
      </w:r>
      <w:r>
        <w:t>A propagation prediction method for aeronautical mobile and radionavigation services using the VHF, UHF and SHF bands</w:t>
      </w:r>
    </w:p>
    <w:p w14:paraId="138C4A99" w14:textId="67621BB5" w:rsidR="00342460" w:rsidRDefault="00342460" w:rsidP="00342460">
      <w:pPr>
        <w:pStyle w:val="Reftext"/>
      </w:pPr>
      <w:r>
        <w:t xml:space="preserve">Recommendation </w:t>
      </w:r>
      <w:hyperlink r:id="rId15" w:history="1">
        <w:r>
          <w:rPr>
            <w:rStyle w:val="Hyperlink"/>
            <w:color w:val="auto"/>
            <w:u w:val="none"/>
          </w:rPr>
          <w:t>ITU</w:t>
        </w:r>
        <w:r w:rsidR="00636270">
          <w:rPr>
            <w:rStyle w:val="Hyperlink"/>
            <w:color w:val="auto"/>
            <w:u w:val="none"/>
          </w:rPr>
          <w:t>-</w:t>
        </w:r>
        <w:r>
          <w:rPr>
            <w:rStyle w:val="Hyperlink"/>
            <w:color w:val="auto"/>
            <w:u w:val="none"/>
          </w:rPr>
          <w:t>R</w:t>
        </w:r>
        <w:r w:rsidR="00636270">
          <w:rPr>
            <w:rStyle w:val="Hyperlink"/>
            <w:color w:val="auto"/>
            <w:u w:val="none"/>
          </w:rPr>
          <w:t xml:space="preserve"> </w:t>
        </w:r>
        <w:r>
          <w:rPr>
            <w:rStyle w:val="Hyperlink"/>
            <w:color w:val="auto"/>
            <w:u w:val="none"/>
          </w:rPr>
          <w:t>P.531</w:t>
        </w:r>
      </w:hyperlink>
      <w:r>
        <w:t xml:space="preserve"> ‒ Ionospheric propagation data and prediction methods required for the design of satellite networks and systems</w:t>
      </w:r>
    </w:p>
    <w:p w14:paraId="08169532" w14:textId="3D02E0CA" w:rsidR="00342460" w:rsidRDefault="00342460" w:rsidP="00342460">
      <w:pPr>
        <w:pStyle w:val="Reftext"/>
      </w:pPr>
      <w:r>
        <w:t xml:space="preserve">Recommendation </w:t>
      </w:r>
      <w:hyperlink r:id="rId16" w:history="1">
        <w:r>
          <w:rPr>
            <w:rStyle w:val="Hyperlink"/>
            <w:color w:val="auto"/>
            <w:u w:val="none"/>
          </w:rPr>
          <w:t>ITU</w:t>
        </w:r>
        <w:r w:rsidR="00636270">
          <w:rPr>
            <w:rStyle w:val="Hyperlink"/>
            <w:color w:val="auto"/>
            <w:u w:val="none"/>
          </w:rPr>
          <w:t>-</w:t>
        </w:r>
        <w:r>
          <w:rPr>
            <w:rStyle w:val="Hyperlink"/>
            <w:color w:val="auto"/>
            <w:u w:val="none"/>
          </w:rPr>
          <w:t>R P.618</w:t>
        </w:r>
      </w:hyperlink>
      <w:r>
        <w:t xml:space="preserve"> ‒ Propagation data and prediction methods required for the design of Earth-space telecommunication systems</w:t>
      </w:r>
    </w:p>
    <w:p w14:paraId="656648D2" w14:textId="02F2CAF5" w:rsidR="00342460" w:rsidRDefault="00342460" w:rsidP="00342460">
      <w:pPr>
        <w:pStyle w:val="Reftext"/>
      </w:pPr>
      <w:r>
        <w:t xml:space="preserve">Recommendation </w:t>
      </w:r>
      <w:hyperlink r:id="rId17" w:history="1">
        <w:r>
          <w:rPr>
            <w:rStyle w:val="Hyperlink"/>
            <w:color w:val="auto"/>
            <w:u w:val="none"/>
          </w:rPr>
          <w:t>ITU</w:t>
        </w:r>
        <w:r w:rsidR="00636270">
          <w:rPr>
            <w:rStyle w:val="Hyperlink"/>
            <w:color w:val="auto"/>
            <w:u w:val="none"/>
          </w:rPr>
          <w:t>-</w:t>
        </w:r>
        <w:r>
          <w:rPr>
            <w:rStyle w:val="Hyperlink"/>
            <w:color w:val="auto"/>
            <w:u w:val="none"/>
          </w:rPr>
          <w:t>R P.676</w:t>
        </w:r>
      </w:hyperlink>
      <w:r>
        <w:t xml:space="preserve"> ‒ Attenuation by atmospheric gases and related effects</w:t>
      </w:r>
    </w:p>
    <w:p w14:paraId="2004A032" w14:textId="2460FBD9" w:rsidR="00342460" w:rsidRDefault="00342460" w:rsidP="00342460">
      <w:pPr>
        <w:pStyle w:val="Reftext"/>
      </w:pPr>
      <w:r>
        <w:t xml:space="preserve">Recommendation </w:t>
      </w:r>
      <w:hyperlink r:id="rId18" w:history="1">
        <w:r>
          <w:rPr>
            <w:rStyle w:val="Hyperlink"/>
            <w:color w:val="auto"/>
            <w:u w:val="none"/>
          </w:rPr>
          <w:t>ITU</w:t>
        </w:r>
        <w:r w:rsidR="00057252">
          <w:rPr>
            <w:rStyle w:val="Hyperlink"/>
            <w:color w:val="auto"/>
            <w:u w:val="none"/>
          </w:rPr>
          <w:t>-</w:t>
        </w:r>
        <w:r>
          <w:rPr>
            <w:rStyle w:val="Hyperlink"/>
            <w:color w:val="auto"/>
            <w:u w:val="none"/>
          </w:rPr>
          <w:t>R P.682</w:t>
        </w:r>
      </w:hyperlink>
      <w:r>
        <w:t xml:space="preserve"> ‒ Propagation data required for the design of Earth-space aeronautical mobile telecommunication systems</w:t>
      </w:r>
    </w:p>
    <w:p w14:paraId="6C8253F6" w14:textId="3C84E70C" w:rsidR="00342460" w:rsidRDefault="00342460" w:rsidP="00342460">
      <w:pPr>
        <w:pStyle w:val="Reftext"/>
      </w:pPr>
      <w:r>
        <w:t xml:space="preserve">Recommendation </w:t>
      </w:r>
      <w:hyperlink r:id="rId19" w:history="1">
        <w:r>
          <w:rPr>
            <w:rStyle w:val="Hyperlink"/>
            <w:color w:val="auto"/>
            <w:u w:val="none"/>
          </w:rPr>
          <w:t>ITU</w:t>
        </w:r>
        <w:r w:rsidR="00057252">
          <w:rPr>
            <w:rStyle w:val="Hyperlink"/>
            <w:color w:val="auto"/>
            <w:u w:val="none"/>
          </w:rPr>
          <w:t>-</w:t>
        </w:r>
        <w:r>
          <w:rPr>
            <w:rStyle w:val="Hyperlink"/>
            <w:color w:val="auto"/>
            <w:u w:val="none"/>
          </w:rPr>
          <w:t>R P.836</w:t>
        </w:r>
      </w:hyperlink>
      <w:r>
        <w:t xml:space="preserve"> ‒ Water vapour: surface density and total columnar content</w:t>
      </w:r>
    </w:p>
    <w:p w14:paraId="5EDBEE3D" w14:textId="237F08B2" w:rsidR="00342460" w:rsidRDefault="00342460" w:rsidP="00342460">
      <w:pPr>
        <w:pStyle w:val="Reftext"/>
      </w:pPr>
      <w:r>
        <w:t xml:space="preserve">Recommendation </w:t>
      </w:r>
      <w:hyperlink r:id="rId20" w:history="1">
        <w:r>
          <w:rPr>
            <w:rStyle w:val="Hyperlink"/>
            <w:color w:val="auto"/>
            <w:u w:val="none"/>
          </w:rPr>
          <w:t>ITU</w:t>
        </w:r>
        <w:r w:rsidR="00057252">
          <w:rPr>
            <w:rStyle w:val="Hyperlink"/>
            <w:color w:val="auto"/>
            <w:u w:val="none"/>
          </w:rPr>
          <w:t>-</w:t>
        </w:r>
        <w:r>
          <w:rPr>
            <w:rStyle w:val="Hyperlink"/>
            <w:color w:val="auto"/>
            <w:u w:val="none"/>
          </w:rPr>
          <w:t>R P.839</w:t>
        </w:r>
      </w:hyperlink>
      <w:r>
        <w:t xml:space="preserve"> ‒ Rain height model for prediction methods</w:t>
      </w:r>
    </w:p>
    <w:p w14:paraId="364F8D53" w14:textId="490A514D" w:rsidR="00342460" w:rsidRDefault="00342460" w:rsidP="00342460">
      <w:pPr>
        <w:pStyle w:val="Reftext"/>
      </w:pPr>
      <w:r>
        <w:t xml:space="preserve">Recommendation </w:t>
      </w:r>
      <w:hyperlink r:id="rId21" w:history="1">
        <w:r>
          <w:rPr>
            <w:rStyle w:val="Hyperlink"/>
            <w:color w:val="auto"/>
            <w:u w:val="none"/>
          </w:rPr>
          <w:t>ITU</w:t>
        </w:r>
        <w:r w:rsidR="00057252">
          <w:rPr>
            <w:rStyle w:val="Hyperlink"/>
            <w:color w:val="auto"/>
            <w:u w:val="none"/>
          </w:rPr>
          <w:t>-</w:t>
        </w:r>
        <w:r>
          <w:rPr>
            <w:rStyle w:val="Hyperlink"/>
            <w:color w:val="auto"/>
            <w:u w:val="none"/>
          </w:rPr>
          <w:t>R P.840</w:t>
        </w:r>
      </w:hyperlink>
      <w:r>
        <w:t xml:space="preserve"> ‒ Attenuation due to clouds and fog</w:t>
      </w:r>
    </w:p>
    <w:p w14:paraId="24ED89F6" w14:textId="77777777" w:rsidR="00342460" w:rsidRDefault="00342460" w:rsidP="00342460">
      <w:pPr>
        <w:pStyle w:val="Normalaftertitle"/>
      </w:pPr>
      <w:r>
        <w:t>The ITU Radiocommunication Assembly,</w:t>
      </w:r>
    </w:p>
    <w:p w14:paraId="47D26FEB" w14:textId="77777777" w:rsidR="00342460" w:rsidRDefault="00342460" w:rsidP="00342460">
      <w:pPr>
        <w:pStyle w:val="Call"/>
      </w:pPr>
      <w:r>
        <w:t>considering</w:t>
      </w:r>
    </w:p>
    <w:p w14:paraId="6F1C6422" w14:textId="77777777" w:rsidR="00342460" w:rsidRDefault="00342460" w:rsidP="00342460">
      <w:r>
        <w:rPr>
          <w:i/>
          <w:iCs/>
        </w:rPr>
        <w:t>a)</w:t>
      </w:r>
      <w:r>
        <w:tab/>
        <w:t>that, in the design of airborne systems, there is a need for an accurate knowledge of the system performance due to radio-wave propagation between an airborne platform and a satellite, and between an airborne platform and the surface of the Earth;</w:t>
      </w:r>
    </w:p>
    <w:p w14:paraId="2F3A5D6B" w14:textId="77777777" w:rsidR="00342460" w:rsidRDefault="00342460" w:rsidP="00342460">
      <w:r>
        <w:rPr>
          <w:i/>
          <w:iCs/>
        </w:rPr>
        <w:t>b)</w:t>
      </w:r>
      <w:r>
        <w:tab/>
        <w:t>that the airborne platform may be located at any altitude between the surface of the Earth and the top of the stratosphere;</w:t>
      </w:r>
    </w:p>
    <w:p w14:paraId="6D1EAF74" w14:textId="77777777" w:rsidR="00342460" w:rsidRDefault="00342460" w:rsidP="00342460">
      <w:r>
        <w:rPr>
          <w:i/>
          <w:iCs/>
        </w:rPr>
        <w:t>c)</w:t>
      </w:r>
      <w:r>
        <w:tab/>
        <w:t>that the systems may operate beyond line of sight;</w:t>
      </w:r>
    </w:p>
    <w:p w14:paraId="4D3DF052" w14:textId="77777777" w:rsidR="00342460" w:rsidRDefault="00342460" w:rsidP="00342460">
      <w:r>
        <w:rPr>
          <w:i/>
          <w:iCs/>
        </w:rPr>
        <w:t>d)</w:t>
      </w:r>
      <w:r>
        <w:tab/>
        <w:t>that the frequency bands used may be in the range from 30 MHz to 50 GHz or higher,</w:t>
      </w:r>
    </w:p>
    <w:p w14:paraId="5C396B4E" w14:textId="77777777" w:rsidR="00342460" w:rsidRDefault="00342460" w:rsidP="00342460">
      <w:pPr>
        <w:pStyle w:val="Call"/>
      </w:pPr>
      <w:r>
        <w:t>noting</w:t>
      </w:r>
    </w:p>
    <w:p w14:paraId="21D6704C" w14:textId="77777777" w:rsidR="00342460" w:rsidRDefault="00342460" w:rsidP="00342460">
      <w:r>
        <w:rPr>
          <w:i/>
        </w:rPr>
        <w:t>a)</w:t>
      </w:r>
      <w:r>
        <w:tab/>
        <w:t>that the ITU-R has established and tested prediction methods that predict the long-term average impairments due to atmospheric effects (e.g. gas attenuation, rain attenuation, cloud attenuation, and the attenuation due to scintillation) between a terminal located on the surface of the Earth and space;</w:t>
      </w:r>
    </w:p>
    <w:p w14:paraId="3A9EC8BC" w14:textId="77777777" w:rsidR="00342460" w:rsidRDefault="00342460" w:rsidP="00342460">
      <w:pPr>
        <w:tabs>
          <w:tab w:val="clear" w:pos="1191"/>
          <w:tab w:val="left" w:pos="1170"/>
        </w:tabs>
        <w:rPr>
          <w:b/>
        </w:rPr>
      </w:pPr>
      <w:r>
        <w:rPr>
          <w:i/>
        </w:rPr>
        <w:lastRenderedPageBreak/>
        <w:t>b)</w:t>
      </w:r>
      <w:r>
        <w:tab/>
        <w:t>that these ITU-R Earth-space propagation prediction methods can be scaled to predict the performance of airborne links between an airborne platform and a satellite and between an airborne platform and the surface of the Earth,</w:t>
      </w:r>
    </w:p>
    <w:p w14:paraId="7887A5D1" w14:textId="77777777" w:rsidR="00342460" w:rsidRDefault="00342460" w:rsidP="00342460">
      <w:pPr>
        <w:pStyle w:val="Call"/>
        <w:keepLines w:val="0"/>
        <w:ind w:left="1138"/>
      </w:pPr>
      <w:r>
        <w:t>recommends</w:t>
      </w:r>
    </w:p>
    <w:p w14:paraId="06F134BF" w14:textId="77777777" w:rsidR="00342460" w:rsidRDefault="00342460" w:rsidP="00342460">
      <w:pPr>
        <w:rPr>
          <w:i/>
        </w:rPr>
      </w:pPr>
      <w:r>
        <w:rPr>
          <w:iCs/>
        </w:rPr>
        <w:t xml:space="preserve">that the following </w:t>
      </w:r>
      <w:r>
        <w:t>prediction methods should be considered to predict the long-term average impairments (e.g. attenuation and scintillation fading) due to atmospheric effects between an airborne platform and a satellite and between an airborne platform and the surface of the Earth.</w:t>
      </w:r>
    </w:p>
    <w:p w14:paraId="6E813390" w14:textId="77777777" w:rsidR="00342460" w:rsidRDefault="00342460" w:rsidP="00342460">
      <w:pPr>
        <w:pStyle w:val="Heading1"/>
      </w:pPr>
      <w:r>
        <w:t>1</w:t>
      </w:r>
      <w:r>
        <w:tab/>
        <w:t>Relation to other ITU-R Recommendations</w:t>
      </w:r>
    </w:p>
    <w:p w14:paraId="6DA413A5" w14:textId="7A575AEC" w:rsidR="00342460" w:rsidRDefault="00342460" w:rsidP="00342460">
      <w:r>
        <w:t xml:space="preserve">Other P-series Recommendations address propagation from airborne platforms: Recommendation </w:t>
      </w:r>
      <w:hyperlink r:id="rId22" w:history="1">
        <w:r w:rsidR="00636270">
          <w:rPr>
            <w:rStyle w:val="Hyperlink"/>
            <w:color w:val="auto"/>
            <w:u w:val="none"/>
          </w:rPr>
          <w:t>ITU</w:t>
        </w:r>
        <w:r w:rsidR="00636270">
          <w:rPr>
            <w:rStyle w:val="Hyperlink"/>
            <w:color w:val="auto"/>
            <w:u w:val="none"/>
          </w:rPr>
          <w:noBreakHyphen/>
          <w:t>R P.528</w:t>
        </w:r>
      </w:hyperlink>
      <w:r>
        <w:t xml:space="preserve"> – </w:t>
      </w:r>
      <w:r>
        <w:rPr>
          <w:iCs/>
        </w:rPr>
        <w:t>Propagation curves for aeronautical mobile and radionavigation services using the VHF, UHF, and SHF bands</w:t>
      </w:r>
      <w:r>
        <w:t xml:space="preserve">; and Recommendation </w:t>
      </w:r>
      <w:hyperlink r:id="rId23" w:history="1">
        <w:r w:rsidR="00057252">
          <w:rPr>
            <w:rStyle w:val="Hyperlink"/>
            <w:color w:val="auto"/>
            <w:u w:val="none"/>
          </w:rPr>
          <w:t>ITU-R P.682</w:t>
        </w:r>
      </w:hyperlink>
      <w:r>
        <w:t xml:space="preserve"> – </w:t>
      </w:r>
      <w:r>
        <w:rPr>
          <w:iCs/>
        </w:rPr>
        <w:t>Propagation data required for the design of Earth-space aeronautical mobile telecommunication systems</w:t>
      </w:r>
      <w:r>
        <w:t>.</w:t>
      </w:r>
    </w:p>
    <w:p w14:paraId="4A92965B" w14:textId="4D41B697" w:rsidR="00342460" w:rsidRDefault="00342460" w:rsidP="00342460">
      <w:pPr>
        <w:pStyle w:val="enumlev1"/>
      </w:pPr>
      <w:r>
        <w:t>–</w:t>
      </w:r>
      <w:r>
        <w:tab/>
        <w:t xml:space="preserve">Recommendation </w:t>
      </w:r>
      <w:hyperlink r:id="rId24" w:history="1">
        <w:r w:rsidR="00636270">
          <w:rPr>
            <w:rStyle w:val="Hyperlink"/>
            <w:color w:val="auto"/>
            <w:u w:val="none"/>
          </w:rPr>
          <w:t>ITU</w:t>
        </w:r>
        <w:r w:rsidR="00636270">
          <w:rPr>
            <w:rStyle w:val="Hyperlink"/>
            <w:color w:val="auto"/>
            <w:u w:val="none"/>
          </w:rPr>
          <w:noBreakHyphen/>
          <w:t>R P.528</w:t>
        </w:r>
      </w:hyperlink>
      <w:r>
        <w:t xml:space="preserve"> predicts the basic transmission losses for frequencies between 100 MHz and 30 GHz between two antennas at various heights and distances. While the model is predominantly intended to treat the effects of multipath, diffraction, and </w:t>
      </w:r>
      <w:proofErr w:type="spellStart"/>
      <w:r>
        <w:t>troposcatter</w:t>
      </w:r>
      <w:proofErr w:type="spellEnd"/>
      <w:r>
        <w:t>, it also includes a simple rain attenuation models that is applicable to generic continental temperate locations. As a result, the model is not applicable to higher frequencies and different climates where rain and</w:t>
      </w:r>
      <w:r w:rsidR="005F59AB">
        <w:t xml:space="preserve"> </w:t>
      </w:r>
      <w:r>
        <w:t xml:space="preserve">cloud attenuation dominate. Gaseous attenuation within Recommendation </w:t>
      </w:r>
      <w:hyperlink r:id="rId25" w:history="1">
        <w:r w:rsidR="00636270">
          <w:rPr>
            <w:rStyle w:val="Hyperlink"/>
            <w:color w:val="auto"/>
            <w:u w:val="none"/>
          </w:rPr>
          <w:t>ITU</w:t>
        </w:r>
        <w:r w:rsidR="00636270">
          <w:rPr>
            <w:rStyle w:val="Hyperlink"/>
            <w:color w:val="auto"/>
            <w:u w:val="none"/>
          </w:rPr>
          <w:noBreakHyphen/>
          <w:t>R P.528</w:t>
        </w:r>
      </w:hyperlink>
      <w:r>
        <w:t xml:space="preserve"> is considered </w:t>
      </w:r>
      <w:proofErr w:type="gramStart"/>
      <w:r>
        <w:t>through the use of</w:t>
      </w:r>
      <w:proofErr w:type="gramEnd"/>
      <w:r>
        <w:t xml:space="preserve"> Recommendation </w:t>
      </w:r>
      <w:hyperlink r:id="rId26" w:history="1">
        <w:r w:rsidR="00057252">
          <w:rPr>
            <w:rStyle w:val="Hyperlink"/>
            <w:color w:val="auto"/>
            <w:u w:val="none"/>
          </w:rPr>
          <w:t>ITU-R</w:t>
        </w:r>
        <w:r w:rsidR="00057252">
          <w:rPr>
            <w:rStyle w:val="Hyperlink"/>
            <w:color w:val="auto"/>
            <w:u w:val="none"/>
          </w:rPr>
          <w:t xml:space="preserve"> </w:t>
        </w:r>
        <w:r w:rsidR="00057252">
          <w:rPr>
            <w:rStyle w:val="Hyperlink"/>
            <w:color w:val="auto"/>
            <w:u w:val="none"/>
          </w:rPr>
          <w:t>P.676</w:t>
        </w:r>
      </w:hyperlink>
      <w:r>
        <w:t>.</w:t>
      </w:r>
    </w:p>
    <w:p w14:paraId="749EECCF" w14:textId="5B39E1F3" w:rsidR="00342460" w:rsidRDefault="00342460" w:rsidP="00342460">
      <w:pPr>
        <w:pStyle w:val="enumlev1"/>
      </w:pPr>
      <w:r>
        <w:t>–</w:t>
      </w:r>
      <w:r>
        <w:tab/>
        <w:t xml:space="preserve">Recommendation </w:t>
      </w:r>
      <w:hyperlink r:id="rId27" w:history="1">
        <w:r w:rsidR="00057252">
          <w:rPr>
            <w:rStyle w:val="Hyperlink"/>
            <w:color w:val="auto"/>
            <w:u w:val="none"/>
          </w:rPr>
          <w:t>ITU-R P.682</w:t>
        </w:r>
      </w:hyperlink>
      <w:r>
        <w:t xml:space="preserve"> addresses the tropospheric effects, ionospheric effects, fading due to surface reflections and scattering between an airborne platform and space for frequencies near 1.5 GHz.</w:t>
      </w:r>
    </w:p>
    <w:p w14:paraId="0FEFB38B" w14:textId="77777777" w:rsidR="00342460" w:rsidRDefault="00342460" w:rsidP="00342460">
      <w:r>
        <w:t>The airborne-space and airborne-Earth links are shown in Fig. 1.</w:t>
      </w:r>
    </w:p>
    <w:p w14:paraId="79C79629" w14:textId="77777777" w:rsidR="00342460" w:rsidRDefault="00342460" w:rsidP="00342460">
      <w:pPr>
        <w:pStyle w:val="FigureNo"/>
      </w:pPr>
      <w:r>
        <w:lastRenderedPageBreak/>
        <w:t>Figure 1</w:t>
      </w:r>
    </w:p>
    <w:p w14:paraId="78D8ABB6" w14:textId="77777777" w:rsidR="00342460" w:rsidRDefault="00342460" w:rsidP="00342460">
      <w:pPr>
        <w:pStyle w:val="Figuretitle"/>
      </w:pPr>
      <w:r>
        <w:t>Airborne-space and Airborne-Earth Links</w:t>
      </w:r>
    </w:p>
    <w:p w14:paraId="2B405908" w14:textId="06BA1DA6" w:rsidR="00342460" w:rsidRDefault="00342460" w:rsidP="00342460">
      <w:pPr>
        <w:pStyle w:val="Figure"/>
      </w:pPr>
      <w:r>
        <w:rPr>
          <w:noProof/>
        </w:rPr>
        <w:drawing>
          <wp:inline distT="0" distB="0" distL="0" distR="0" wp14:anchorId="281D83E0" wp14:editId="0D47DFC9">
            <wp:extent cx="2583180" cy="3482340"/>
            <wp:effectExtent l="0" t="0" r="7620" b="3810"/>
            <wp:docPr id="1884512860" name="Picture 5" descr="Airborne-space and Airborne-Earth Lin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512860" name="Picture 5" descr="Airborne-space and Airborne-Earth Links"/>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83180" cy="3482340"/>
                    </a:xfrm>
                    <a:prstGeom prst="rect">
                      <a:avLst/>
                    </a:prstGeom>
                    <a:noFill/>
                    <a:ln>
                      <a:noFill/>
                    </a:ln>
                  </pic:spPr>
                </pic:pic>
              </a:graphicData>
            </a:graphic>
          </wp:inline>
        </w:drawing>
      </w:r>
    </w:p>
    <w:p w14:paraId="6346AE0F" w14:textId="77777777" w:rsidR="00342460" w:rsidRDefault="00342460" w:rsidP="001B7430">
      <w:pPr>
        <w:pStyle w:val="Normalaftertitle"/>
      </w:pPr>
      <w:r>
        <w:t>While the following prediction methods are considered to be approximately correct, they have not been tested and validated with measured data.</w:t>
      </w:r>
    </w:p>
    <w:p w14:paraId="29904ED7" w14:textId="77777777" w:rsidR="00342460" w:rsidRDefault="00342460" w:rsidP="00342460">
      <w:pPr>
        <w:pStyle w:val="Heading1"/>
      </w:pPr>
      <w:r>
        <w:t>2</w:t>
      </w:r>
      <w:r>
        <w:tab/>
        <w:t>A note on the use of the digital meteorological maps</w:t>
      </w:r>
    </w:p>
    <w:p w14:paraId="202D5C55" w14:textId="77777777" w:rsidR="00342460" w:rsidRDefault="00342460" w:rsidP="00342460">
      <w:r>
        <w:t>There are various maps of meteorological parameters that are functions of latitude and longitude at the surface of the Earth. For a path between an airborne platform and space, the various meteorological parameters should be determined at the point where the path between space and the airborne platform would intercept the Earth rather than the latitude and longitude of the airborne platform. This distinction, shown in Fig. 2, is important since some meteorological parameters are defined at the surface of the Earth (e.g. surface temperature, and the wet term of the radio refractivity).</w:t>
      </w:r>
    </w:p>
    <w:p w14:paraId="073BF4A3" w14:textId="77777777" w:rsidR="00342460" w:rsidRDefault="00342460" w:rsidP="00342460">
      <w:pPr>
        <w:pStyle w:val="FigureNo"/>
      </w:pPr>
      <w:r>
        <w:lastRenderedPageBreak/>
        <w:t>Figure 2</w:t>
      </w:r>
    </w:p>
    <w:p w14:paraId="2224B6D5" w14:textId="77777777" w:rsidR="00342460" w:rsidRDefault="00342460" w:rsidP="00342460">
      <w:pPr>
        <w:pStyle w:val="Figuretitle"/>
      </w:pPr>
      <w:r>
        <w:t>Latitude and longitude of meteorological parameters</w:t>
      </w:r>
    </w:p>
    <w:p w14:paraId="7586C3E5" w14:textId="2823C92E" w:rsidR="00342460" w:rsidRDefault="00342460" w:rsidP="00342460">
      <w:pPr>
        <w:pStyle w:val="Figure"/>
      </w:pPr>
      <w:r>
        <w:rPr>
          <w:noProof/>
        </w:rPr>
        <w:drawing>
          <wp:inline distT="0" distB="0" distL="0" distR="0" wp14:anchorId="0F58E7EB" wp14:editId="0F4F67A4">
            <wp:extent cx="3611880" cy="3147060"/>
            <wp:effectExtent l="0" t="0" r="7620" b="0"/>
            <wp:docPr id="1303277685" name="Picture 4" descr="Latitude and longitude of meteorological parame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277685" name="Picture 4" descr="Latitude and longitude of meteorological parameters"/>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11880" cy="3147060"/>
                    </a:xfrm>
                    <a:prstGeom prst="rect">
                      <a:avLst/>
                    </a:prstGeom>
                    <a:noFill/>
                    <a:ln>
                      <a:noFill/>
                    </a:ln>
                  </pic:spPr>
                </pic:pic>
              </a:graphicData>
            </a:graphic>
          </wp:inline>
        </w:drawing>
      </w:r>
    </w:p>
    <w:p w14:paraId="4E162313" w14:textId="77777777" w:rsidR="00342460" w:rsidRDefault="00342460" w:rsidP="00342460">
      <w:pPr>
        <w:pStyle w:val="Heading1"/>
      </w:pPr>
      <w:r>
        <w:t>3</w:t>
      </w:r>
      <w:r>
        <w:tab/>
        <w:t>Applicability of the prediction methods</w:t>
      </w:r>
    </w:p>
    <w:p w14:paraId="424C658C" w14:textId="77777777" w:rsidR="00342460" w:rsidRDefault="00342460" w:rsidP="00342460">
      <w:r>
        <w:t>These predictions methods are applicable to links between an airborne platform and space and between an airborne platform and the surface of Earth, where:</w:t>
      </w:r>
    </w:p>
    <w:p w14:paraId="07E076F1" w14:textId="77777777" w:rsidR="00342460" w:rsidRDefault="00342460" w:rsidP="00342460">
      <w:pPr>
        <w:pStyle w:val="enumlev1"/>
      </w:pPr>
      <w:r>
        <w:t>–</w:t>
      </w:r>
      <w:r>
        <w:tab/>
        <w:t xml:space="preserve">frequency 30 MHz </w:t>
      </w:r>
      <w:r>
        <w:sym w:font="Symbol" w:char="F0A3"/>
      </w:r>
      <w:r>
        <w:t xml:space="preserve"> </w:t>
      </w:r>
      <w:r>
        <w:rPr>
          <w:i/>
          <w:iCs/>
        </w:rPr>
        <w:t>f</w:t>
      </w:r>
      <w:r>
        <w:t xml:space="preserve"> </w:t>
      </w:r>
      <w:r>
        <w:sym w:font="Symbol" w:char="F0A3"/>
      </w:r>
      <w:r>
        <w:t xml:space="preserve"> 55 GHz;</w:t>
      </w:r>
    </w:p>
    <w:p w14:paraId="493FAF2D" w14:textId="77777777" w:rsidR="00342460" w:rsidRDefault="00342460" w:rsidP="00342460">
      <w:pPr>
        <w:pStyle w:val="enumlev1"/>
      </w:pPr>
      <w:r>
        <w:t>–</w:t>
      </w:r>
      <w:r>
        <w:tab/>
        <w:t xml:space="preserve">elevation angle (φ) from the local horizontal plane </w:t>
      </w:r>
      <w:r>
        <w:sym w:font="Symbol" w:char="F0B3"/>
      </w:r>
      <w:r>
        <w:t xml:space="preserve"> 5°.</w:t>
      </w:r>
    </w:p>
    <w:p w14:paraId="2B3030F5" w14:textId="542EDE35" w:rsidR="00342460" w:rsidRDefault="00342460" w:rsidP="00342460">
      <w:r>
        <w:t xml:space="preserve">Depending on the frequency and elevation angle, multipath fading may need to be considered (see Recommendation </w:t>
      </w:r>
      <w:hyperlink r:id="rId30" w:history="1">
        <w:r w:rsidR="00636270">
          <w:rPr>
            <w:rStyle w:val="Hyperlink"/>
            <w:color w:val="auto"/>
            <w:u w:val="none"/>
          </w:rPr>
          <w:t>ITU</w:t>
        </w:r>
        <w:r w:rsidR="00636270">
          <w:rPr>
            <w:rStyle w:val="Hyperlink"/>
            <w:color w:val="auto"/>
            <w:u w:val="none"/>
          </w:rPr>
          <w:noBreakHyphen/>
          <w:t>R P.528</w:t>
        </w:r>
      </w:hyperlink>
      <w:r>
        <w:t>); and depending on the location, time of day, and solar activity, the ionospheric scintillation may need to be considered for frequencies below about 6 GHz (see Recommendation </w:t>
      </w:r>
      <w:hyperlink r:id="rId31" w:history="1">
        <w:r w:rsidR="00636270">
          <w:rPr>
            <w:rStyle w:val="Hyperlink"/>
            <w:color w:val="auto"/>
            <w:u w:val="none"/>
          </w:rPr>
          <w:t>ITU-R P.531</w:t>
        </w:r>
      </w:hyperlink>
      <w:r>
        <w:t>).</w:t>
      </w:r>
    </w:p>
    <w:p w14:paraId="72D2F826" w14:textId="77777777" w:rsidR="00342460" w:rsidRDefault="00342460" w:rsidP="00342460">
      <w:pPr>
        <w:pStyle w:val="Heading1"/>
      </w:pPr>
      <w:r>
        <w:t>4</w:t>
      </w:r>
      <w:r>
        <w:tab/>
        <w:t>Attenuation between an airborne platform and space</w:t>
      </w:r>
    </w:p>
    <w:p w14:paraId="2286BF25" w14:textId="77777777" w:rsidR="00342460" w:rsidRDefault="00342460" w:rsidP="00342460">
      <w:pPr>
        <w:pStyle w:val="Heading2"/>
      </w:pPr>
      <w:r>
        <w:t>4.1</w:t>
      </w:r>
      <w:r>
        <w:tab/>
        <w:t>Total attenuation prediction method</w:t>
      </w:r>
    </w:p>
    <w:p w14:paraId="265FB34D" w14:textId="77777777" w:rsidR="00342460" w:rsidRDefault="00342460" w:rsidP="00342460">
      <w:r>
        <w:t>If the airborne platform is below the rain height.</w:t>
      </w:r>
    </w:p>
    <w:p w14:paraId="406E680A" w14:textId="00C1459E" w:rsidR="00342460" w:rsidRDefault="00342460" w:rsidP="00342460">
      <w:r>
        <w:t xml:space="preserve">Similar as in Recommendation </w:t>
      </w:r>
      <w:hyperlink r:id="rId32" w:history="1">
        <w:r w:rsidR="00636270">
          <w:rPr>
            <w:rStyle w:val="Hyperlink"/>
            <w:color w:val="auto"/>
            <w:u w:val="none"/>
          </w:rPr>
          <w:t>ITU-R P.618</w:t>
        </w:r>
      </w:hyperlink>
      <w:r>
        <w:t xml:space="preserve">, the total attenuation between an airborne platform and space, </w:t>
      </w:r>
      <m:oMath>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AS</m:t>
            </m:r>
          </m:sup>
        </m:sSubSup>
        <m:r>
          <w:rPr>
            <w:rFonts w:ascii="Cambria Math" w:hAnsi="Cambria Math"/>
          </w:rPr>
          <m:t>(p)</m:t>
        </m:r>
      </m:oMath>
      <w:r>
        <w:t>, is computed by:</w:t>
      </w:r>
    </w:p>
    <w:p w14:paraId="669A2404" w14:textId="77777777" w:rsidR="00342460" w:rsidRDefault="00342460" w:rsidP="00342460">
      <w:pPr>
        <w:pStyle w:val="Equation"/>
      </w:pPr>
      <w:r>
        <w:tab/>
      </w:r>
      <w:r>
        <w:tab/>
      </w:r>
      <m:oMath>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AS</m:t>
            </m:r>
          </m:sup>
        </m:sSubSup>
        <m:d>
          <m:dPr>
            <m:ctrlPr>
              <w:rPr>
                <w:rFonts w:ascii="Cambria Math" w:hAnsi="Cambria Math"/>
                <w:i/>
              </w:rPr>
            </m:ctrlPr>
          </m:dPr>
          <m:e>
            <m:r>
              <w:rPr>
                <w:rFonts w:ascii="Cambria Math" w:hAnsi="Cambria Math"/>
              </w:rPr>
              <m:t>p</m:t>
            </m:r>
          </m:e>
        </m:d>
        <m:r>
          <w:rPr>
            <w:rFonts w:ascii="Cambria Math" w:hAnsi="Cambria Math"/>
          </w:rPr>
          <m:t>=</m:t>
        </m:r>
        <m:sSubSup>
          <m:sSubSupPr>
            <m:ctrlPr>
              <w:rPr>
                <w:rFonts w:ascii="Cambria Math" w:hAnsi="Cambria Math"/>
                <w:i/>
              </w:rPr>
            </m:ctrlPr>
          </m:sSubSupPr>
          <m:e>
            <m:r>
              <w:rPr>
                <w:rFonts w:ascii="Cambria Math" w:hAnsi="Cambria Math"/>
              </w:rPr>
              <m:t>A</m:t>
            </m:r>
          </m:e>
          <m:sub>
            <m:r>
              <w:rPr>
                <w:rFonts w:ascii="Cambria Math" w:hAnsi="Cambria Math"/>
              </w:rPr>
              <m:t>G</m:t>
            </m:r>
          </m:sub>
          <m:sup>
            <m:r>
              <w:rPr>
                <w:rFonts w:ascii="Cambria Math" w:hAnsi="Cambria Math"/>
              </w:rPr>
              <m:t>AS</m:t>
            </m:r>
          </m:sup>
        </m:sSubSup>
        <m:d>
          <m:dPr>
            <m:ctrlPr>
              <w:rPr>
                <w:rFonts w:ascii="Cambria Math" w:hAnsi="Cambria Math"/>
                <w:i/>
              </w:rPr>
            </m:ctrlPr>
          </m:dPr>
          <m:e>
            <m:r>
              <w:rPr>
                <w:rFonts w:ascii="Cambria Math" w:hAnsi="Cambria Math"/>
              </w:rPr>
              <m:t>p</m:t>
            </m:r>
          </m:e>
        </m:d>
        <m:r>
          <w:rPr>
            <w:rFonts w:ascii="Cambria Math" w:hAnsi="Cambria Math"/>
          </w:rPr>
          <m:t>+</m:t>
        </m:r>
        <m:rad>
          <m:radPr>
            <m:degHide m:val="1"/>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w:rPr>
                            <w:rFonts w:ascii="Cambria Math" w:hAnsi="Cambria Math"/>
                          </w:rPr>
                          <m:t>A</m:t>
                        </m:r>
                      </m:e>
                      <m:sub>
                        <m:r>
                          <w:rPr>
                            <w:rFonts w:ascii="Cambria Math" w:hAnsi="Cambria Math"/>
                          </w:rPr>
                          <m:t>R</m:t>
                        </m:r>
                      </m:sub>
                      <m:sup>
                        <m:r>
                          <w:rPr>
                            <w:rFonts w:ascii="Cambria Math" w:hAnsi="Cambria Math"/>
                          </w:rPr>
                          <m:t>AS</m:t>
                        </m:r>
                      </m:sup>
                    </m:sSubSup>
                    <m:d>
                      <m:dPr>
                        <m:ctrlPr>
                          <w:rPr>
                            <w:rFonts w:ascii="Cambria Math" w:hAnsi="Cambria Math"/>
                            <w:i/>
                          </w:rPr>
                        </m:ctrlPr>
                      </m:dPr>
                      <m:e>
                        <m:r>
                          <w:rPr>
                            <w:rFonts w:ascii="Cambria Math" w:hAnsi="Cambria Math"/>
                          </w:rPr>
                          <m:t>p</m:t>
                        </m:r>
                      </m:e>
                    </m:d>
                    <m:r>
                      <w:rPr>
                        <w:rFonts w:ascii="Cambria Math" w:hAnsi="Cambria Math"/>
                      </w:rPr>
                      <m:t>+</m:t>
                    </m:r>
                    <m:sSubSup>
                      <m:sSubSupPr>
                        <m:ctrlPr>
                          <w:rPr>
                            <w:rFonts w:ascii="Cambria Math" w:hAnsi="Cambria Math"/>
                            <w:i/>
                          </w:rPr>
                        </m:ctrlPr>
                      </m:sSubSupPr>
                      <m:e>
                        <m:r>
                          <w:rPr>
                            <w:rFonts w:ascii="Cambria Math" w:hAnsi="Cambria Math"/>
                          </w:rPr>
                          <m:t>A</m:t>
                        </m:r>
                      </m:e>
                      <m:sub>
                        <m:r>
                          <w:rPr>
                            <w:rFonts w:ascii="Cambria Math" w:hAnsi="Cambria Math"/>
                          </w:rPr>
                          <m:t>C</m:t>
                        </m:r>
                      </m:sub>
                      <m:sup>
                        <m:r>
                          <w:rPr>
                            <w:rFonts w:ascii="Cambria Math" w:hAnsi="Cambria Math"/>
                          </w:rPr>
                          <m:t>AS</m:t>
                        </m:r>
                      </m:sup>
                    </m:sSubSup>
                    <m:d>
                      <m:dPr>
                        <m:ctrlPr>
                          <w:rPr>
                            <w:rFonts w:ascii="Cambria Math" w:hAnsi="Cambria Math"/>
                            <w:i/>
                          </w:rPr>
                        </m:ctrlPr>
                      </m:dPr>
                      <m:e>
                        <m:r>
                          <w:rPr>
                            <w:rFonts w:ascii="Cambria Math" w:hAnsi="Cambria Math"/>
                          </w:rPr>
                          <m:t>p</m:t>
                        </m:r>
                      </m:e>
                    </m:d>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w:rPr>
                            <w:rFonts w:ascii="Cambria Math" w:hAnsi="Cambria Math"/>
                          </w:rPr>
                          <m:t>A</m:t>
                        </m:r>
                      </m:e>
                      <m:sub>
                        <m:r>
                          <w:rPr>
                            <w:rFonts w:ascii="Cambria Math" w:hAnsi="Cambria Math"/>
                          </w:rPr>
                          <m:t>S</m:t>
                        </m:r>
                      </m:sub>
                      <m:sup>
                        <m:r>
                          <w:rPr>
                            <w:rFonts w:ascii="Cambria Math" w:hAnsi="Cambria Math"/>
                          </w:rPr>
                          <m:t>AS</m:t>
                        </m:r>
                      </m:sup>
                    </m:sSubSup>
                    <m:d>
                      <m:dPr>
                        <m:ctrlPr>
                          <w:rPr>
                            <w:rFonts w:ascii="Cambria Math" w:hAnsi="Cambria Math"/>
                            <w:i/>
                          </w:rPr>
                        </m:ctrlPr>
                      </m:dPr>
                      <m:e>
                        <m:r>
                          <w:rPr>
                            <w:rFonts w:ascii="Cambria Math" w:hAnsi="Cambria Math"/>
                          </w:rPr>
                          <m:t>p</m:t>
                        </m:r>
                      </m:e>
                    </m:d>
                  </m:e>
                </m:d>
              </m:e>
              <m:sup>
                <m:r>
                  <w:rPr>
                    <w:rFonts w:ascii="Cambria Math" w:hAnsi="Cambria Math"/>
                  </w:rPr>
                  <m:t>2</m:t>
                </m:r>
              </m:sup>
            </m:sSup>
            <m:r>
              <w:rPr>
                <w:rFonts w:ascii="Cambria Math" w:hAnsi="Cambria Math"/>
              </w:rPr>
              <m:t xml:space="preserve"> </m:t>
            </m:r>
          </m:e>
        </m:rad>
      </m:oMath>
      <w:r>
        <w:tab/>
        <w:t>(1)</w:t>
      </w:r>
    </w:p>
    <w:p w14:paraId="4264AC3B" w14:textId="77777777" w:rsidR="00342460" w:rsidRDefault="00342460" w:rsidP="00342460">
      <w:pPr>
        <w:keepNext/>
        <w:keepLines/>
      </w:pPr>
      <w:r>
        <w:t>where:</w:t>
      </w:r>
    </w:p>
    <w:p w14:paraId="2B303A29" w14:textId="77777777" w:rsidR="00342460" w:rsidRDefault="00342460" w:rsidP="00342460">
      <w:pPr>
        <w:pStyle w:val="Equationlegend"/>
        <w:keepNext/>
        <w:keepLines/>
      </w:pPr>
      <w:r>
        <w:tab/>
      </w:r>
      <m:oMath>
        <m:sSubSup>
          <m:sSubSupPr>
            <m:ctrlPr>
              <w:rPr>
                <w:rFonts w:ascii="Cambria Math" w:hAnsi="Cambria Math"/>
                <w:i/>
              </w:rPr>
            </m:ctrlPr>
          </m:sSubSupPr>
          <m:e>
            <m:r>
              <w:rPr>
                <w:rFonts w:ascii="Cambria Math" w:hAnsi="Cambria Math"/>
              </w:rPr>
              <m:t>A</m:t>
            </m:r>
          </m:e>
          <m:sub>
            <m:r>
              <w:rPr>
                <w:rFonts w:ascii="Cambria Math" w:hAnsi="Cambria Math"/>
              </w:rPr>
              <m:t>R</m:t>
            </m:r>
          </m:sub>
          <m:sup>
            <m:r>
              <w:rPr>
                <w:rFonts w:ascii="Cambria Math" w:hAnsi="Cambria Math"/>
              </w:rPr>
              <m:t>AS</m:t>
            </m:r>
          </m:sup>
        </m:sSubSup>
        <m:r>
          <w:rPr>
            <w:rFonts w:ascii="Cambria Math" w:hAnsi="Cambria Math"/>
          </w:rPr>
          <m:t>(p)</m:t>
        </m:r>
      </m:oMath>
      <w:r>
        <w:t>:</w:t>
      </w:r>
      <w:r>
        <w:tab/>
        <w:t>attenuation due to rain for a fixed probability (dB)</w:t>
      </w:r>
    </w:p>
    <w:p w14:paraId="743411DB" w14:textId="77777777" w:rsidR="00342460" w:rsidRDefault="00342460" w:rsidP="00342460">
      <w:pPr>
        <w:pStyle w:val="Equationlegend"/>
      </w:pPr>
      <w:r>
        <w:tab/>
      </w:r>
      <m:oMath>
        <m:sSubSup>
          <m:sSubSupPr>
            <m:ctrlPr>
              <w:rPr>
                <w:rFonts w:ascii="Cambria Math" w:hAnsi="Cambria Math"/>
                <w:i/>
              </w:rPr>
            </m:ctrlPr>
          </m:sSubSupPr>
          <m:e>
            <m:r>
              <w:rPr>
                <w:rFonts w:ascii="Cambria Math" w:hAnsi="Cambria Math"/>
              </w:rPr>
              <m:t>A</m:t>
            </m:r>
          </m:e>
          <m:sub>
            <m:r>
              <w:rPr>
                <w:rFonts w:ascii="Cambria Math" w:hAnsi="Cambria Math"/>
              </w:rPr>
              <m:t>C</m:t>
            </m:r>
          </m:sub>
          <m:sup>
            <m:r>
              <w:rPr>
                <w:rFonts w:ascii="Cambria Math" w:hAnsi="Cambria Math"/>
              </w:rPr>
              <m:t>AS</m:t>
            </m:r>
          </m:sup>
        </m:sSubSup>
        <m:r>
          <w:rPr>
            <w:rFonts w:ascii="Cambria Math" w:hAnsi="Cambria Math"/>
          </w:rPr>
          <m:t>(p)</m:t>
        </m:r>
      </m:oMath>
      <w:r>
        <w:rPr>
          <w:rFonts w:ascii="Tms Rmn" w:hAnsi="Tms Rmn"/>
        </w:rPr>
        <w:t>:</w:t>
      </w:r>
      <w:r>
        <w:rPr>
          <w:rFonts w:ascii="Tms Rmn" w:hAnsi="Tms Rmn"/>
        </w:rPr>
        <w:tab/>
      </w:r>
      <w:r>
        <w:t>attenuation due to clouds for a fixed probability (dB)</w:t>
      </w:r>
    </w:p>
    <w:p w14:paraId="0C9DEC08" w14:textId="77777777" w:rsidR="00342460" w:rsidRDefault="00342460" w:rsidP="00342460">
      <w:pPr>
        <w:pStyle w:val="Equationlegend"/>
      </w:pPr>
      <w:r>
        <w:tab/>
      </w:r>
      <m:oMath>
        <m:sSubSup>
          <m:sSubSupPr>
            <m:ctrlPr>
              <w:rPr>
                <w:rFonts w:ascii="Cambria Math" w:hAnsi="Cambria Math"/>
                <w:i/>
              </w:rPr>
            </m:ctrlPr>
          </m:sSubSupPr>
          <m:e>
            <m:r>
              <w:rPr>
                <w:rFonts w:ascii="Cambria Math" w:hAnsi="Cambria Math"/>
              </w:rPr>
              <m:t>A</m:t>
            </m:r>
          </m:e>
          <m:sub>
            <m:r>
              <w:rPr>
                <w:rFonts w:ascii="Cambria Math" w:hAnsi="Cambria Math"/>
              </w:rPr>
              <m:t>G</m:t>
            </m:r>
          </m:sub>
          <m:sup>
            <m:r>
              <w:rPr>
                <w:rFonts w:ascii="Cambria Math" w:hAnsi="Cambria Math"/>
              </w:rPr>
              <m:t>AS</m:t>
            </m:r>
          </m:sup>
        </m:sSubSup>
        <m:r>
          <w:rPr>
            <w:rFonts w:ascii="Cambria Math" w:hAnsi="Cambria Math"/>
          </w:rPr>
          <m:t>(p)</m:t>
        </m:r>
      </m:oMath>
      <w:r>
        <w:t>:</w:t>
      </w:r>
      <w:r>
        <w:tab/>
        <w:t>gaseous attenuation due to water vapour and oxygen for a fixed probability (dB)</w:t>
      </w:r>
    </w:p>
    <w:p w14:paraId="2174B0EC" w14:textId="77777777" w:rsidR="00342460" w:rsidRDefault="00342460" w:rsidP="00342460">
      <w:pPr>
        <w:pStyle w:val="Equationlegend"/>
      </w:pPr>
      <w:r>
        <w:tab/>
      </w:r>
      <m:oMath>
        <m:sSubSup>
          <m:sSubSupPr>
            <m:ctrlPr>
              <w:rPr>
                <w:rFonts w:ascii="Cambria Math" w:hAnsi="Cambria Math"/>
                <w:i/>
              </w:rPr>
            </m:ctrlPr>
          </m:sSubSupPr>
          <m:e>
            <m:r>
              <w:rPr>
                <w:rFonts w:ascii="Cambria Math" w:hAnsi="Cambria Math"/>
              </w:rPr>
              <m:t>A</m:t>
            </m:r>
          </m:e>
          <m:sub>
            <m:r>
              <w:rPr>
                <w:rFonts w:ascii="Cambria Math" w:hAnsi="Cambria Math"/>
              </w:rPr>
              <m:t>S</m:t>
            </m:r>
          </m:sub>
          <m:sup>
            <m:r>
              <w:rPr>
                <w:rFonts w:ascii="Cambria Math" w:hAnsi="Cambria Math"/>
              </w:rPr>
              <m:t>AS</m:t>
            </m:r>
          </m:sup>
        </m:sSubSup>
        <m:r>
          <w:rPr>
            <w:rFonts w:ascii="Cambria Math" w:hAnsi="Cambria Math"/>
          </w:rPr>
          <m:t>(p)</m:t>
        </m:r>
      </m:oMath>
      <w:r>
        <w:t>:</w:t>
      </w:r>
      <w:r>
        <w:tab/>
        <w:t>fading due to tropospheric scintillation for a fixed probability (dB)</w:t>
      </w:r>
    </w:p>
    <w:p w14:paraId="14B40230" w14:textId="77777777" w:rsidR="00342460" w:rsidRDefault="00342460" w:rsidP="00342460">
      <w:r>
        <w:lastRenderedPageBreak/>
        <w:t>and</w:t>
      </w:r>
    </w:p>
    <w:p w14:paraId="58C4A49B" w14:textId="77777777" w:rsidR="00342460" w:rsidRDefault="00342460" w:rsidP="00342460">
      <w:pPr>
        <w:pStyle w:val="Equation"/>
      </w:pPr>
      <w:r>
        <w:rPr>
          <w:i/>
        </w:rPr>
        <w:tab/>
      </w:r>
      <w:r>
        <w:rPr>
          <w:i/>
        </w:rPr>
        <w:tab/>
      </w:r>
      <m:oMath>
        <m:sSubSup>
          <m:sSubSupPr>
            <m:ctrlPr>
              <w:rPr>
                <w:rFonts w:ascii="Cambria Math" w:hAnsi="Cambria Math"/>
                <w:i/>
              </w:rPr>
            </m:ctrlPr>
          </m:sSubSupPr>
          <m:e>
            <m:r>
              <w:rPr>
                <w:rFonts w:ascii="Cambria Math" w:hAnsi="Cambria Math"/>
              </w:rPr>
              <m:t>A</m:t>
            </m:r>
          </m:e>
          <m:sub>
            <m:r>
              <w:rPr>
                <w:rFonts w:ascii="Cambria Math" w:hAnsi="Cambria Math"/>
              </w:rPr>
              <m:t>C</m:t>
            </m:r>
          </m:sub>
          <m:sup>
            <m:r>
              <w:rPr>
                <w:rFonts w:ascii="Cambria Math" w:hAnsi="Cambria Math"/>
              </w:rPr>
              <m:t>AS</m:t>
            </m:r>
          </m:sup>
        </m:sSubSup>
        <m:d>
          <m:dPr>
            <m:ctrlPr>
              <w:rPr>
                <w:rFonts w:ascii="Cambria Math" w:hAnsi="Cambria Math"/>
                <w:i/>
              </w:rPr>
            </m:ctrlPr>
          </m:dPr>
          <m:e>
            <m:r>
              <w:rPr>
                <w:rFonts w:ascii="Cambria Math" w:hAnsi="Cambria Math"/>
              </w:rPr>
              <m:t>p</m:t>
            </m:r>
          </m:e>
        </m:d>
        <m:r>
          <w:rPr>
            <w:rFonts w:ascii="Cambria Math" w:hAnsi="Cambria Math"/>
          </w:rPr>
          <m:t>=</m:t>
        </m:r>
        <m:sSubSup>
          <m:sSubSupPr>
            <m:ctrlPr>
              <w:rPr>
                <w:rFonts w:ascii="Cambria Math" w:hAnsi="Cambria Math"/>
                <w:i/>
              </w:rPr>
            </m:ctrlPr>
          </m:sSubSupPr>
          <m:e>
            <m:r>
              <w:rPr>
                <w:rFonts w:ascii="Cambria Math" w:hAnsi="Cambria Math"/>
              </w:rPr>
              <m:t>A</m:t>
            </m:r>
          </m:e>
          <m:sub>
            <m:r>
              <w:rPr>
                <w:rFonts w:ascii="Cambria Math" w:hAnsi="Cambria Math"/>
              </w:rPr>
              <m:t>C</m:t>
            </m:r>
          </m:sub>
          <m:sup>
            <m:r>
              <w:rPr>
                <w:rFonts w:ascii="Cambria Math" w:hAnsi="Cambria Math"/>
              </w:rPr>
              <m:t>AS</m:t>
            </m:r>
          </m:sup>
        </m:sSubSup>
        <m:d>
          <m:dPr>
            <m:ctrlPr>
              <w:rPr>
                <w:rFonts w:ascii="Cambria Math" w:hAnsi="Cambria Math"/>
                <w:i/>
              </w:rPr>
            </m:ctrlPr>
          </m:dPr>
          <m:e>
            <m:r>
              <w:rPr>
                <w:rFonts w:ascii="Cambria Math" w:hAnsi="Cambria Math"/>
              </w:rPr>
              <m:t>1%</m:t>
            </m:r>
          </m:e>
        </m:d>
      </m:oMath>
      <w:r>
        <w:rPr>
          <w:i/>
        </w:rPr>
        <w:t>      </w:t>
      </w:r>
      <w:r>
        <w:t xml:space="preserve">for </w:t>
      </w:r>
      <w:r>
        <w:rPr>
          <w:i/>
          <w:iCs/>
        </w:rPr>
        <w:t>p</w:t>
      </w:r>
      <w:r>
        <w:t> &lt; 1.0%</w:t>
      </w:r>
      <w:r>
        <w:tab/>
        <w:t>(2a)</w:t>
      </w:r>
    </w:p>
    <w:p w14:paraId="0AEBBEDB" w14:textId="77777777" w:rsidR="00342460" w:rsidRDefault="00342460" w:rsidP="00342460">
      <w:pPr>
        <w:pStyle w:val="Equation"/>
      </w:pPr>
      <w:r>
        <w:tab/>
      </w:r>
      <w:r>
        <w:tab/>
      </w:r>
      <m:oMath>
        <m:sSubSup>
          <m:sSubSupPr>
            <m:ctrlPr>
              <w:rPr>
                <w:rFonts w:ascii="Cambria Math" w:hAnsi="Cambria Math"/>
              </w:rPr>
            </m:ctrlPr>
          </m:sSubSupPr>
          <m:e>
            <m:r>
              <w:rPr>
                <w:rFonts w:ascii="Cambria Math" w:hAnsi="Cambria Math"/>
              </w:rPr>
              <m:t>A</m:t>
            </m:r>
          </m:e>
          <m:sub>
            <m:r>
              <w:rPr>
                <w:rFonts w:ascii="Cambria Math" w:hAnsi="Cambria Math"/>
              </w:rPr>
              <m:t>G</m:t>
            </m:r>
          </m:sub>
          <m:sup>
            <m:r>
              <w:rPr>
                <w:rFonts w:ascii="Cambria Math" w:hAnsi="Cambria Math"/>
              </w:rPr>
              <m:t>AS</m:t>
            </m:r>
          </m:sup>
        </m:sSubSup>
        <m:d>
          <m:dPr>
            <m:ctrlPr>
              <w:rPr>
                <w:rFonts w:ascii="Cambria Math" w:hAnsi="Cambria Math"/>
              </w:rPr>
            </m:ctrlPr>
          </m:dPr>
          <m:e>
            <m:r>
              <w:rPr>
                <w:rFonts w:ascii="Cambria Math" w:hAnsi="Cambria Math"/>
              </w:rPr>
              <m:t>p</m:t>
            </m:r>
          </m:e>
        </m:d>
        <m:r>
          <m:rPr>
            <m:sty m:val="p"/>
          </m:rPr>
          <w:rPr>
            <w:rFonts w:ascii="Cambria Math" w:hAnsi="Cambria Math"/>
          </w:rPr>
          <m:t>=</m:t>
        </m:r>
        <m:sSubSup>
          <m:sSubSupPr>
            <m:ctrlPr>
              <w:rPr>
                <w:rFonts w:ascii="Cambria Math" w:hAnsi="Cambria Math"/>
              </w:rPr>
            </m:ctrlPr>
          </m:sSubSupPr>
          <m:e>
            <m:r>
              <w:rPr>
                <w:rFonts w:ascii="Cambria Math" w:hAnsi="Cambria Math"/>
              </w:rPr>
              <m:t>A</m:t>
            </m:r>
          </m:e>
          <m:sub>
            <m:r>
              <w:rPr>
                <w:rFonts w:ascii="Cambria Math" w:hAnsi="Cambria Math"/>
              </w:rPr>
              <m:t>G</m:t>
            </m:r>
          </m:sub>
          <m:sup>
            <m:r>
              <w:rPr>
                <w:rFonts w:ascii="Cambria Math" w:hAnsi="Cambria Math"/>
              </w:rPr>
              <m:t>AS</m:t>
            </m:r>
          </m:sup>
        </m:sSubSup>
        <m:r>
          <m:rPr>
            <m:sty m:val="p"/>
          </m:rPr>
          <w:rPr>
            <w:rFonts w:ascii="Cambria Math" w:hAnsi="Cambria Math"/>
          </w:rPr>
          <m:t>(1%)</m:t>
        </m:r>
      </m:oMath>
      <w:r>
        <w:rPr>
          <w:i/>
        </w:rPr>
        <w:t>      </w:t>
      </w:r>
      <w:r>
        <w:t xml:space="preserve">for </w:t>
      </w:r>
      <w:r>
        <w:rPr>
          <w:i/>
        </w:rPr>
        <w:t>p</w:t>
      </w:r>
      <w:r>
        <w:t> &lt; 1.0%</w:t>
      </w:r>
      <w:r>
        <w:tab/>
        <w:t>(2b)</w:t>
      </w:r>
    </w:p>
    <w:p w14:paraId="442A4A51" w14:textId="77777777" w:rsidR="001B7430" w:rsidRDefault="001B7430" w:rsidP="001B7430">
      <w:pPr>
        <w:pStyle w:val="Blanc"/>
      </w:pPr>
    </w:p>
    <w:p w14:paraId="1105844B" w14:textId="6EC2D9CC" w:rsidR="00342460" w:rsidRDefault="00342460" w:rsidP="00342460">
      <w:r>
        <w:t>If the airborne platform is above the rain height.</w:t>
      </w:r>
    </w:p>
    <w:p w14:paraId="1BB0F595" w14:textId="77777777" w:rsidR="00342460" w:rsidRDefault="00342460" w:rsidP="00342460">
      <w:r>
        <w:t xml:space="preserve">The total attenuation between an airborne platform and space, </w:t>
      </w:r>
      <m:oMath>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AS</m:t>
            </m:r>
          </m:sup>
        </m:sSubSup>
        <m:r>
          <w:rPr>
            <w:rFonts w:ascii="Cambria Math" w:hAnsi="Cambria Math"/>
          </w:rPr>
          <m:t>(p)</m:t>
        </m:r>
      </m:oMath>
      <w:r>
        <w:t>, is computed by:</w:t>
      </w:r>
    </w:p>
    <w:p w14:paraId="3FFC20C7" w14:textId="77777777" w:rsidR="001B7430" w:rsidRDefault="001B7430" w:rsidP="001B7430">
      <w:pPr>
        <w:pStyle w:val="Blanc"/>
      </w:pPr>
    </w:p>
    <w:p w14:paraId="6ECA21C7" w14:textId="77777777" w:rsidR="00342460" w:rsidRDefault="00342460" w:rsidP="00342460">
      <w:pPr>
        <w:pStyle w:val="Equation"/>
      </w:pPr>
      <w:r>
        <w:tab/>
      </w:r>
      <w:r>
        <w:tab/>
      </w:r>
      <m:oMath>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AS</m:t>
            </m:r>
          </m:sup>
        </m:sSubSup>
        <m:d>
          <m:dPr>
            <m:ctrlPr>
              <w:rPr>
                <w:rFonts w:ascii="Cambria Math" w:hAnsi="Cambria Math"/>
                <w:i/>
              </w:rPr>
            </m:ctrlPr>
          </m:dPr>
          <m:e>
            <m:r>
              <w:rPr>
                <w:rFonts w:ascii="Cambria Math" w:hAnsi="Cambria Math"/>
              </w:rPr>
              <m:t>p</m:t>
            </m:r>
          </m:e>
        </m:d>
        <m:r>
          <w:rPr>
            <w:rFonts w:ascii="Cambria Math" w:hAnsi="Cambria Math"/>
          </w:rPr>
          <m:t>=</m:t>
        </m:r>
        <m:sSubSup>
          <m:sSubSupPr>
            <m:ctrlPr>
              <w:rPr>
                <w:rFonts w:ascii="Cambria Math" w:hAnsi="Cambria Math"/>
                <w:i/>
              </w:rPr>
            </m:ctrlPr>
          </m:sSubSupPr>
          <m:e>
            <m:r>
              <w:rPr>
                <w:rFonts w:ascii="Cambria Math" w:hAnsi="Cambria Math"/>
              </w:rPr>
              <m:t>A</m:t>
            </m:r>
          </m:e>
          <m:sub>
            <m:r>
              <w:rPr>
                <w:rFonts w:ascii="Cambria Math" w:hAnsi="Cambria Math"/>
              </w:rPr>
              <m:t>G</m:t>
            </m:r>
          </m:sub>
          <m:sup>
            <m:r>
              <w:rPr>
                <w:rFonts w:ascii="Cambria Math" w:hAnsi="Cambria Math"/>
              </w:rPr>
              <m:t>AS</m:t>
            </m:r>
          </m:sup>
        </m:sSubSup>
        <m:d>
          <m:dPr>
            <m:ctrlPr>
              <w:rPr>
                <w:rFonts w:ascii="Cambria Math" w:hAnsi="Cambria Math"/>
                <w:i/>
              </w:rPr>
            </m:ctrlPr>
          </m:dPr>
          <m:e>
            <m:r>
              <w:rPr>
                <w:rFonts w:ascii="Cambria Math" w:hAnsi="Cambria Math"/>
              </w:rPr>
              <m:t>p</m:t>
            </m:r>
          </m:e>
        </m:d>
        <m:r>
          <w:rPr>
            <w:rFonts w:ascii="Cambria Math" w:hAnsi="Cambria Math"/>
          </w:rPr>
          <m:t>+</m:t>
        </m:r>
        <m:sSubSup>
          <m:sSubSupPr>
            <m:ctrlPr>
              <w:rPr>
                <w:rFonts w:ascii="Cambria Math" w:hAnsi="Cambria Math"/>
                <w:i/>
              </w:rPr>
            </m:ctrlPr>
          </m:sSubSupPr>
          <m:e>
            <m:r>
              <w:rPr>
                <w:rFonts w:ascii="Cambria Math" w:hAnsi="Cambria Math"/>
              </w:rPr>
              <m:t>A</m:t>
            </m:r>
          </m:e>
          <m:sub>
            <m:r>
              <w:rPr>
                <w:rFonts w:ascii="Cambria Math" w:hAnsi="Cambria Math"/>
              </w:rPr>
              <m:t>C</m:t>
            </m:r>
          </m:sub>
          <m:sup>
            <m:r>
              <w:rPr>
                <w:rFonts w:ascii="Cambria Math" w:hAnsi="Cambria Math"/>
              </w:rPr>
              <m:t>AS</m:t>
            </m:r>
          </m:sup>
        </m:sSubSup>
        <m:d>
          <m:dPr>
            <m:ctrlPr>
              <w:rPr>
                <w:rFonts w:ascii="Cambria Math" w:hAnsi="Cambria Math"/>
                <w:i/>
              </w:rPr>
            </m:ctrlPr>
          </m:dPr>
          <m:e>
            <m:r>
              <w:rPr>
                <w:rFonts w:ascii="Cambria Math" w:hAnsi="Cambria Math"/>
              </w:rPr>
              <m:t>p</m:t>
            </m:r>
          </m:e>
        </m:d>
      </m:oMath>
      <w:r>
        <w:tab/>
        <w:t>(3)</w:t>
      </w:r>
    </w:p>
    <w:p w14:paraId="5B7EC887" w14:textId="77777777" w:rsidR="00342460" w:rsidRDefault="00342460" w:rsidP="00342460">
      <w:r>
        <w:t>where:</w:t>
      </w:r>
    </w:p>
    <w:p w14:paraId="29DFB8FD" w14:textId="77777777" w:rsidR="00342460" w:rsidRDefault="00342460" w:rsidP="00342460">
      <w:pPr>
        <w:pStyle w:val="Equationlegend"/>
      </w:pPr>
      <w:r>
        <w:tab/>
      </w:r>
      <m:oMath>
        <m:sSubSup>
          <m:sSubSupPr>
            <m:ctrlPr>
              <w:rPr>
                <w:rFonts w:ascii="Cambria Math" w:hAnsi="Cambria Math"/>
                <w:i/>
              </w:rPr>
            </m:ctrlPr>
          </m:sSubSupPr>
          <m:e>
            <m:r>
              <w:rPr>
                <w:rFonts w:ascii="Cambria Math" w:hAnsi="Cambria Math"/>
              </w:rPr>
              <m:t>A</m:t>
            </m:r>
          </m:e>
          <m:sub>
            <m:r>
              <w:rPr>
                <w:rFonts w:ascii="Cambria Math" w:hAnsi="Cambria Math"/>
              </w:rPr>
              <m:t>C</m:t>
            </m:r>
          </m:sub>
          <m:sup>
            <m:r>
              <w:rPr>
                <w:rFonts w:ascii="Cambria Math" w:hAnsi="Cambria Math"/>
              </w:rPr>
              <m:t>AS</m:t>
            </m:r>
          </m:sup>
        </m:sSubSup>
        <m:r>
          <w:rPr>
            <w:rFonts w:ascii="Cambria Math" w:hAnsi="Cambria Math"/>
          </w:rPr>
          <m:t>(p)</m:t>
        </m:r>
      </m:oMath>
      <w:r>
        <w:t>:</w:t>
      </w:r>
      <w:r>
        <w:rPr>
          <w:i/>
        </w:rPr>
        <w:tab/>
      </w:r>
      <w:r>
        <w:t>attenuation due to clouds for a fixed probability (dB)</w:t>
      </w:r>
    </w:p>
    <w:p w14:paraId="06C88281" w14:textId="77777777" w:rsidR="00342460" w:rsidRDefault="00342460" w:rsidP="00342460">
      <w:pPr>
        <w:pStyle w:val="Equationlegend"/>
      </w:pPr>
      <w:r>
        <w:tab/>
      </w:r>
      <m:oMath>
        <m:sSubSup>
          <m:sSubSupPr>
            <m:ctrlPr>
              <w:rPr>
                <w:rFonts w:ascii="Cambria Math" w:hAnsi="Cambria Math"/>
                <w:i/>
              </w:rPr>
            </m:ctrlPr>
          </m:sSubSupPr>
          <m:e>
            <m:r>
              <w:rPr>
                <w:rFonts w:ascii="Cambria Math" w:hAnsi="Cambria Math"/>
              </w:rPr>
              <m:t>A</m:t>
            </m:r>
          </m:e>
          <m:sub>
            <m:r>
              <w:rPr>
                <w:rFonts w:ascii="Cambria Math" w:hAnsi="Cambria Math"/>
              </w:rPr>
              <m:t>G</m:t>
            </m:r>
          </m:sub>
          <m:sup>
            <m:r>
              <w:rPr>
                <w:rFonts w:ascii="Cambria Math" w:hAnsi="Cambria Math"/>
              </w:rPr>
              <m:t>AS</m:t>
            </m:r>
          </m:sup>
        </m:sSubSup>
        <m:r>
          <w:rPr>
            <w:rFonts w:ascii="Cambria Math" w:hAnsi="Cambria Math"/>
          </w:rPr>
          <m:t>(p)</m:t>
        </m:r>
      </m:oMath>
      <w:r>
        <w:t>:</w:t>
      </w:r>
      <w:r>
        <w:tab/>
        <w:t xml:space="preserve">gaseous attenuation due to water </w:t>
      </w:r>
      <w:proofErr w:type="spellStart"/>
      <w:r>
        <w:t>vapour</w:t>
      </w:r>
      <w:proofErr w:type="spellEnd"/>
      <w:r>
        <w:t xml:space="preserve"> and oxygen for a fixed probability (dB)</w:t>
      </w:r>
    </w:p>
    <w:p w14:paraId="55433201" w14:textId="77777777" w:rsidR="00342460" w:rsidRDefault="00342460" w:rsidP="00342460">
      <w:r>
        <w:t>and</w:t>
      </w:r>
    </w:p>
    <w:p w14:paraId="0DE23179" w14:textId="77777777" w:rsidR="00342460" w:rsidRDefault="00342460" w:rsidP="00342460">
      <w:pPr>
        <w:pStyle w:val="Equation"/>
      </w:pPr>
      <w:r>
        <w:rPr>
          <w:i/>
          <w:iCs/>
        </w:rPr>
        <w:tab/>
      </w:r>
      <w:r>
        <w:rPr>
          <w:i/>
          <w:iCs/>
        </w:rPr>
        <w:tab/>
        <w:t>p</w:t>
      </w:r>
      <w:r>
        <w:t> </w:t>
      </w:r>
      <w:r>
        <w:sym w:font="Symbol" w:char="F0B3"/>
      </w:r>
      <w:r>
        <w:t> 0.1%.</w:t>
      </w:r>
    </w:p>
    <w:p w14:paraId="7495B3C0" w14:textId="77777777" w:rsidR="001B7430" w:rsidRDefault="001B7430" w:rsidP="001B7430">
      <w:pPr>
        <w:pStyle w:val="Blanc"/>
      </w:pPr>
    </w:p>
    <w:p w14:paraId="3990B205" w14:textId="77777777" w:rsidR="00342460" w:rsidRDefault="00342460" w:rsidP="00342460">
      <w:r>
        <w:t>For Earth-space paths, the gaseous attenuation, cloud attenuation, rain attenuation, and scintillation fading are estimated using the various associated digital meteorological maps, usually on a 1.125° × 1.125° grid. The following paragraphs describe the method of adjusting the prediction methods that apply to Earth-space paths for paths between an airborne platform and space.</w:t>
      </w:r>
    </w:p>
    <w:p w14:paraId="7F0A3318" w14:textId="77777777" w:rsidR="00342460" w:rsidRDefault="00342460" w:rsidP="00342460">
      <w:pPr>
        <w:pStyle w:val="Heading2"/>
      </w:pPr>
      <w:r>
        <w:t>4.2</w:t>
      </w:r>
      <w:r>
        <w:tab/>
        <w:t>Gaseous attenuation</w:t>
      </w:r>
    </w:p>
    <w:p w14:paraId="45571249" w14:textId="5046835F" w:rsidR="00342460" w:rsidRDefault="00342460" w:rsidP="00342460">
      <w:r>
        <w:t xml:space="preserve">The gaseous attenuation for an Earth-space path is predicted by Recommendation </w:t>
      </w:r>
      <w:hyperlink r:id="rId33" w:history="1">
        <w:r w:rsidR="00057252">
          <w:rPr>
            <w:rStyle w:val="Hyperlink"/>
            <w:color w:val="auto"/>
            <w:u w:val="none"/>
          </w:rPr>
          <w:t>ITU-R P.676</w:t>
        </w:r>
      </w:hyperlink>
      <w:r>
        <w:t>:</w:t>
      </w:r>
    </w:p>
    <w:p w14:paraId="25135EC2" w14:textId="77777777" w:rsidR="001B7430" w:rsidRDefault="001B7430" w:rsidP="001B7430">
      <w:pPr>
        <w:pStyle w:val="Blanc"/>
      </w:pPr>
    </w:p>
    <w:p w14:paraId="38654A05" w14:textId="77777777" w:rsidR="00342460" w:rsidRDefault="00342460" w:rsidP="00342460">
      <w:pPr>
        <w:pStyle w:val="Equation"/>
      </w:pPr>
      <w:r>
        <w:tab/>
      </w:r>
      <w:r>
        <w:tab/>
      </w:r>
      <m:oMath>
        <m:sSub>
          <m:sSubPr>
            <m:ctrlPr>
              <w:rPr>
                <w:rFonts w:ascii="Cambria Math" w:hAnsi="Cambria Math"/>
              </w:rPr>
            </m:ctrlPr>
          </m:sSubPr>
          <m:e>
            <m:r>
              <w:rPr>
                <w:rFonts w:ascii="Cambria Math" w:hAnsi="Cambria Math"/>
              </w:rPr>
              <m:t>A</m:t>
            </m:r>
          </m:e>
          <m:sub>
            <m:r>
              <w:rPr>
                <w:rFonts w:ascii="Cambria Math" w:hAnsi="Cambria Math"/>
              </w:rPr>
              <m:t>G</m:t>
            </m:r>
          </m:sub>
        </m:sSub>
        <m:d>
          <m:dPr>
            <m:ctrlPr>
              <w:rPr>
                <w:rFonts w:ascii="Cambria Math" w:hAnsi="Cambria Math"/>
              </w:rPr>
            </m:ctrlPr>
          </m:dPr>
          <m:e>
            <m:r>
              <w:rPr>
                <w:rFonts w:ascii="Cambria Math" w:hAnsi="Cambria Math"/>
              </w:rPr>
              <m:t>p</m:t>
            </m:r>
          </m:e>
        </m:d>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o</m:t>
                </m:r>
              </m:sub>
            </m:sSub>
            <m:r>
              <m:rPr>
                <m:sty m:val="p"/>
              </m:rPr>
              <w:rPr>
                <w:rFonts w:ascii="Cambria Math" w:hAnsi="Cambria Math"/>
              </w:rPr>
              <m:t>(</m:t>
            </m:r>
            <m:r>
              <w:rPr>
                <w:rFonts w:ascii="Cambria Math" w:hAnsi="Cambria Math"/>
              </w:rPr>
              <m:t>p</m:t>
            </m:r>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w</m:t>
                </m:r>
              </m:sub>
            </m:sSub>
            <m:d>
              <m:dPr>
                <m:ctrlPr>
                  <w:rPr>
                    <w:rFonts w:ascii="Cambria Math" w:hAnsi="Cambria Math"/>
                  </w:rPr>
                </m:ctrlPr>
              </m:dPr>
              <m:e>
                <m:r>
                  <w:rPr>
                    <w:rFonts w:ascii="Cambria Math" w:hAnsi="Cambria Math"/>
                  </w:rPr>
                  <m:t>p</m:t>
                </m:r>
              </m:e>
            </m:d>
          </m:num>
          <m:den>
            <m:func>
              <m:funcPr>
                <m:ctrlPr>
                  <w:rPr>
                    <w:rFonts w:ascii="Cambria Math" w:hAnsi="Cambria Math"/>
                    <w:i/>
                  </w:rPr>
                </m:ctrlPr>
              </m:funcPr>
              <m:fName>
                <m:r>
                  <m:rPr>
                    <m:sty m:val="p"/>
                  </m:rPr>
                  <w:rPr>
                    <w:rFonts w:ascii="Cambria Math" w:hAnsi="Cambria Math"/>
                  </w:rPr>
                  <m:t>sin</m:t>
                </m:r>
              </m:fName>
              <m:e>
                <m:r>
                  <m:rPr>
                    <m:sty m:val="p"/>
                  </m:rPr>
                  <w:rPr>
                    <w:rFonts w:ascii="Cambria Math" w:hAnsi="Cambria Math"/>
                  </w:rPr>
                  <m:t>φ</m:t>
                </m:r>
              </m:e>
            </m:func>
          </m:den>
        </m:f>
      </m:oMath>
      <w:r>
        <w:tab/>
        <w:t>(4)</w:t>
      </w:r>
    </w:p>
    <w:p w14:paraId="1D89D2B8" w14:textId="77777777" w:rsidR="001B7430" w:rsidRDefault="001B7430" w:rsidP="001B7430">
      <w:pPr>
        <w:pStyle w:val="Blanc"/>
      </w:pPr>
    </w:p>
    <w:p w14:paraId="20D570F1" w14:textId="77777777" w:rsidR="00342460" w:rsidRDefault="00342460" w:rsidP="00342460">
      <w:r>
        <w:t>For a path between an airborne platform and space, the corresponding gaseous attenuation is:</w:t>
      </w:r>
    </w:p>
    <w:p w14:paraId="4844910A" w14:textId="77777777" w:rsidR="001B7430" w:rsidRDefault="001B7430" w:rsidP="001B7430">
      <w:pPr>
        <w:pStyle w:val="Blanc"/>
      </w:pPr>
    </w:p>
    <w:p w14:paraId="375AA033" w14:textId="77777777" w:rsidR="00342460" w:rsidRDefault="00342460" w:rsidP="00342460">
      <w:pPr>
        <w:pStyle w:val="Equation"/>
      </w:pPr>
      <w:r>
        <w:tab/>
      </w:r>
      <w:r>
        <w:tab/>
      </w:r>
      <m:oMath>
        <m:sSubSup>
          <m:sSubSupPr>
            <m:ctrlPr>
              <w:rPr>
                <w:rFonts w:ascii="Cambria Math" w:hAnsi="Cambria Math"/>
              </w:rPr>
            </m:ctrlPr>
          </m:sSubSupPr>
          <m:e>
            <m:r>
              <w:rPr>
                <w:rFonts w:ascii="Cambria Math" w:hAnsi="Cambria Math"/>
              </w:rPr>
              <m:t>A</m:t>
            </m:r>
          </m:e>
          <m:sub>
            <m:r>
              <w:rPr>
                <w:rFonts w:ascii="Cambria Math" w:hAnsi="Cambria Math"/>
              </w:rPr>
              <m:t>G</m:t>
            </m:r>
          </m:sub>
          <m:sup>
            <m:r>
              <w:rPr>
                <w:rFonts w:ascii="Cambria Math" w:hAnsi="Cambria Math"/>
              </w:rPr>
              <m:t>AS</m:t>
            </m:r>
          </m:sup>
        </m:sSubSup>
        <m:d>
          <m:dPr>
            <m:ctrlPr>
              <w:rPr>
                <w:rFonts w:ascii="Cambria Math" w:hAnsi="Cambria Math"/>
              </w:rPr>
            </m:ctrlPr>
          </m:dPr>
          <m:e>
            <m:r>
              <w:rPr>
                <w:rFonts w:ascii="Cambria Math" w:hAnsi="Cambria Math"/>
              </w:rPr>
              <m:t>p</m:t>
            </m:r>
          </m:e>
        </m:d>
        <m:r>
          <m:rPr>
            <m:sty m:val="p"/>
          </m:rPr>
          <w:rPr>
            <w:rFonts w:ascii="Cambria Math" w:hAnsi="Cambria Math"/>
          </w:rPr>
          <m:t>=</m:t>
        </m:r>
        <m:f>
          <m:fPr>
            <m:ctrlPr>
              <w:rPr>
                <w:rFonts w:ascii="Cambria Math" w:hAnsi="Cambria Math"/>
              </w:rPr>
            </m:ctrlPr>
          </m:fPr>
          <m:num>
            <m:sSubSup>
              <m:sSubSupPr>
                <m:ctrlPr>
                  <w:rPr>
                    <w:rFonts w:ascii="Cambria Math" w:hAnsi="Cambria Math"/>
                  </w:rPr>
                </m:ctrlPr>
              </m:sSubSupPr>
              <m:e>
                <m:r>
                  <w:rPr>
                    <w:rFonts w:ascii="Cambria Math" w:hAnsi="Cambria Math"/>
                  </w:rPr>
                  <m:t>A</m:t>
                </m:r>
              </m:e>
              <m:sub>
                <m:r>
                  <w:rPr>
                    <w:rFonts w:ascii="Cambria Math" w:hAnsi="Cambria Math"/>
                  </w:rPr>
                  <m:t>o</m:t>
                </m:r>
              </m:sub>
              <m:sup>
                <m:r>
                  <w:rPr>
                    <w:rFonts w:ascii="Cambria Math" w:hAnsi="Cambria Math"/>
                  </w:rPr>
                  <m:t>AS</m:t>
                </m:r>
              </m:sup>
            </m:sSubSup>
            <m:r>
              <m:rPr>
                <m:sty m:val="p"/>
              </m:rPr>
              <w:rPr>
                <w:rFonts w:ascii="Cambria Math" w:hAnsi="Cambria Math"/>
              </w:rPr>
              <m:t>(</m:t>
            </m:r>
            <m:r>
              <w:rPr>
                <w:rFonts w:ascii="Cambria Math" w:hAnsi="Cambria Math"/>
              </w:rPr>
              <m:t>p</m:t>
            </m:r>
            <m:r>
              <m:rPr>
                <m:sty m:val="p"/>
              </m:rPr>
              <w:rPr>
                <w:rFonts w:ascii="Cambria Math" w:hAnsi="Cambria Math"/>
              </w:rPr>
              <m:t>)+</m:t>
            </m:r>
            <m:sSubSup>
              <m:sSubSupPr>
                <m:ctrlPr>
                  <w:rPr>
                    <w:rFonts w:ascii="Cambria Math" w:hAnsi="Cambria Math"/>
                  </w:rPr>
                </m:ctrlPr>
              </m:sSubSupPr>
              <m:e>
                <m:r>
                  <w:rPr>
                    <w:rFonts w:ascii="Cambria Math" w:hAnsi="Cambria Math"/>
                  </w:rPr>
                  <m:t>A</m:t>
                </m:r>
              </m:e>
              <m:sub>
                <m:r>
                  <w:rPr>
                    <w:rFonts w:ascii="Cambria Math" w:hAnsi="Cambria Math"/>
                  </w:rPr>
                  <m:t>w</m:t>
                </m:r>
              </m:sub>
              <m:sup>
                <m:r>
                  <w:rPr>
                    <w:rFonts w:ascii="Cambria Math" w:hAnsi="Cambria Math"/>
                  </w:rPr>
                  <m:t>AS</m:t>
                </m:r>
              </m:sup>
            </m:sSubSup>
            <m:d>
              <m:dPr>
                <m:ctrlPr>
                  <w:rPr>
                    <w:rFonts w:ascii="Cambria Math" w:hAnsi="Cambria Math"/>
                  </w:rPr>
                </m:ctrlPr>
              </m:dPr>
              <m:e>
                <m:r>
                  <w:rPr>
                    <w:rFonts w:ascii="Cambria Math" w:hAnsi="Cambria Math"/>
                  </w:rPr>
                  <m:t>p</m:t>
                </m:r>
              </m:e>
            </m:d>
          </m:num>
          <m:den>
            <m:func>
              <m:funcPr>
                <m:ctrlPr>
                  <w:rPr>
                    <w:rFonts w:ascii="Cambria Math" w:hAnsi="Cambria Math"/>
                    <w:i/>
                  </w:rPr>
                </m:ctrlPr>
              </m:funcPr>
              <m:fName>
                <m:r>
                  <m:rPr>
                    <m:sty m:val="p"/>
                  </m:rPr>
                  <w:rPr>
                    <w:rFonts w:ascii="Cambria Math" w:hAnsi="Cambria Math"/>
                  </w:rPr>
                  <m:t>sin</m:t>
                </m:r>
              </m:fName>
              <m:e>
                <m:r>
                  <m:rPr>
                    <m:sty m:val="p"/>
                  </m:rPr>
                  <w:rPr>
                    <w:rFonts w:ascii="Cambria Math" w:hAnsi="Cambria Math"/>
                  </w:rPr>
                  <m:t>φ</m:t>
                </m:r>
              </m:e>
            </m:func>
          </m:den>
        </m:f>
      </m:oMath>
      <w:r>
        <w:tab/>
        <w:t>(5)</w:t>
      </w:r>
    </w:p>
    <w:p w14:paraId="2AC0856B" w14:textId="77777777" w:rsidR="00342460" w:rsidRDefault="00522FC6" w:rsidP="00342460">
      <w:pPr>
        <w:rPr>
          <w:rFonts w:ascii="Cambria Math" w:hAnsi="Cambria Math"/>
          <w:oMath/>
        </w:rPr>
      </w:pPr>
      <m:oMath>
        <m:sSubSup>
          <m:sSubSupPr>
            <m:ctrlPr>
              <w:rPr>
                <w:rFonts w:ascii="Cambria Math" w:hAnsi="Cambria Math"/>
                <w:i/>
              </w:rPr>
            </m:ctrlPr>
          </m:sSubSupPr>
          <m:e>
            <m:r>
              <w:rPr>
                <w:rFonts w:ascii="Cambria Math" w:hAnsi="Cambria Math"/>
              </w:rPr>
              <m:t>A</m:t>
            </m:r>
          </m:e>
          <m:sub>
            <m:r>
              <w:rPr>
                <w:rFonts w:ascii="Cambria Math" w:hAnsi="Cambria Math"/>
              </w:rPr>
              <m:t>o</m:t>
            </m:r>
          </m:sub>
          <m:sup>
            <m:r>
              <w:rPr>
                <w:rFonts w:ascii="Cambria Math" w:hAnsi="Cambria Math"/>
              </w:rPr>
              <m:t>AS</m:t>
            </m:r>
          </m:sup>
        </m:sSubSup>
      </m:oMath>
      <w:r w:rsidR="00342460">
        <w:t xml:space="preserve"> is predicted as follows:</w:t>
      </w:r>
    </w:p>
    <w:p w14:paraId="6EF9B0C0" w14:textId="77777777" w:rsidR="001B7430" w:rsidRDefault="001B7430" w:rsidP="001B7430">
      <w:pPr>
        <w:pStyle w:val="Blanc"/>
      </w:pPr>
    </w:p>
    <w:p w14:paraId="36CB18E3" w14:textId="77777777" w:rsidR="00342460" w:rsidRDefault="00342460" w:rsidP="00342460">
      <w:pPr>
        <w:pStyle w:val="Equation"/>
      </w:pPr>
      <w:r>
        <w:tab/>
      </w:r>
      <w:r>
        <w:tab/>
      </w:r>
      <m:oMath>
        <m:sSubSup>
          <m:sSubSupPr>
            <m:ctrlPr>
              <w:rPr>
                <w:rFonts w:ascii="Cambria Math" w:hAnsi="Cambria Math"/>
              </w:rPr>
            </m:ctrlPr>
          </m:sSubSupPr>
          <m:e>
            <m:r>
              <w:rPr>
                <w:rFonts w:ascii="Cambria Math" w:hAnsi="Cambria Math"/>
              </w:rPr>
              <m:t>A</m:t>
            </m:r>
          </m:e>
          <m:sub>
            <m:r>
              <w:rPr>
                <w:rFonts w:ascii="Cambria Math" w:hAnsi="Cambria Math"/>
              </w:rPr>
              <m:t>o</m:t>
            </m:r>
          </m:sub>
          <m:sup>
            <m:r>
              <w:rPr>
                <w:rFonts w:ascii="Cambria Math" w:hAnsi="Cambria Math"/>
              </w:rPr>
              <m:t>AS</m:t>
            </m:r>
          </m:sup>
        </m:sSubSup>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o</m:t>
            </m:r>
          </m:sub>
        </m:sSub>
        <m:sSup>
          <m:sSupPr>
            <m:ctrlPr>
              <w:rPr>
                <w:rFonts w:ascii="Cambria Math" w:hAnsi="Cambria Math"/>
              </w:rPr>
            </m:ctrlPr>
          </m:sSupPr>
          <m:e>
            <m:r>
              <w:rPr>
                <w:rFonts w:ascii="Cambria Math" w:hAnsi="Cambria Math"/>
              </w:rPr>
              <m:t>e</m:t>
            </m:r>
          </m:e>
          <m:sup>
            <m:r>
              <m:rPr>
                <m:sty m:val="p"/>
              </m:rPr>
              <w:rPr>
                <w:rFonts w:ascii="Cambria Math" w:hAnsi="Cambria Math"/>
              </w:rPr>
              <m:t>-</m:t>
            </m:r>
            <m:r>
              <w:rPr>
                <w:rFonts w:ascii="Cambria Math" w:hAnsi="Cambria Math"/>
              </w:rPr>
              <m:t>altitude</m:t>
            </m:r>
            <m:r>
              <m:rPr>
                <m:sty m:val="p"/>
              </m:rP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o</m:t>
                </m:r>
              </m:sub>
            </m:sSub>
          </m:sup>
        </m:sSup>
      </m:oMath>
      <w:r>
        <w:tab/>
        <w:t>(6)</w:t>
      </w:r>
    </w:p>
    <w:p w14:paraId="0AF8576A" w14:textId="77777777" w:rsidR="001B7430" w:rsidRDefault="001B7430" w:rsidP="001B7430">
      <w:pPr>
        <w:pStyle w:val="Blanc"/>
      </w:pPr>
    </w:p>
    <w:p w14:paraId="28868D17" w14:textId="7FD3C784" w:rsidR="00342460" w:rsidRDefault="00342460" w:rsidP="00342460">
      <w:pPr>
        <w:rPr>
          <w:lang w:eastAsia="zh-CN"/>
        </w:rPr>
      </w:pPr>
      <w:r>
        <w:rPr>
          <w:lang w:eastAsia="zh-CN"/>
        </w:rPr>
        <w:t xml:space="preserve">where </w:t>
      </w:r>
      <w:r>
        <w:rPr>
          <w:i/>
          <w:iCs/>
          <w:lang w:eastAsia="zh-CN"/>
        </w:rPr>
        <w:t xml:space="preserve">altitude </w:t>
      </w:r>
      <w:r>
        <w:rPr>
          <w:lang w:eastAsia="zh-CN"/>
        </w:rPr>
        <w:t xml:space="preserve">is the altitude above the surface of the Earth, </w:t>
      </w:r>
      <m:oMath>
        <m:sSub>
          <m:sSubPr>
            <m:ctrlPr>
              <w:rPr>
                <w:rFonts w:ascii="Cambria Math" w:eastAsia="Cambria Math" w:hAnsi="Cambria Math" w:cs="Cambria Math"/>
                <w:i/>
                <w:lang w:eastAsia="zh-CN"/>
              </w:rPr>
            </m:ctrlPr>
          </m:sSubPr>
          <m:e>
            <m:r>
              <w:rPr>
                <w:rFonts w:ascii="Cambria Math" w:eastAsia="Cambria Math" w:hAnsi="Cambria Math" w:cs="Cambria Math"/>
                <w:lang w:eastAsia="zh-CN"/>
              </w:rPr>
              <m:t>A</m:t>
            </m:r>
          </m:e>
          <m:sub>
            <m:r>
              <w:rPr>
                <w:rFonts w:ascii="Cambria Math" w:eastAsia="Cambria Math" w:hAnsi="Cambria Math" w:cs="Cambria Math"/>
                <w:lang w:eastAsia="zh-CN"/>
              </w:rPr>
              <m:t>o</m:t>
            </m:r>
          </m:sub>
        </m:sSub>
      </m:oMath>
      <w:r>
        <w:rPr>
          <w:lang w:eastAsia="zh-CN"/>
        </w:rPr>
        <w:t>is the specific attenuation calculated based on mean surface meteorological parameters and</w:t>
      </w:r>
      <m:oMath>
        <m:r>
          <m:rPr>
            <m:sty m:val="p"/>
          </m:rPr>
          <w:rPr>
            <w:rFonts w:ascii="Cambria Math" w:hAnsi="Cambria Math"/>
            <w:lang w:eastAsia="zh-CN"/>
          </w:rPr>
          <m:t xml:space="preserve"> </m:t>
        </m:r>
        <m:sSub>
          <m:sSubPr>
            <m:ctrlPr>
              <w:rPr>
                <w:rFonts w:ascii="Cambria Math" w:eastAsia="Cambria Math" w:hAnsi="Cambria Math" w:cs="Cambria Math"/>
                <w:i/>
                <w:lang w:eastAsia="zh-CN"/>
              </w:rPr>
            </m:ctrlPr>
          </m:sSubPr>
          <m:e>
            <m:r>
              <w:rPr>
                <w:rFonts w:ascii="Cambria Math" w:eastAsia="Cambria Math" w:hAnsi="Cambria Math" w:cs="Cambria Math"/>
                <w:lang w:eastAsia="zh-CN"/>
              </w:rPr>
              <m:t>h</m:t>
            </m:r>
          </m:e>
          <m:sub>
            <m:r>
              <w:rPr>
                <w:rFonts w:ascii="Cambria Math" w:eastAsia="Cambria Math" w:hAnsi="Cambria Math" w:cs="Cambria Math"/>
                <w:lang w:eastAsia="zh-CN"/>
              </w:rPr>
              <m:t>o</m:t>
            </m:r>
          </m:sub>
        </m:sSub>
      </m:oMath>
      <w:r>
        <w:rPr>
          <w:rFonts w:ascii="CambriaMath" w:eastAsia="CambriaMath" w:cs="CambriaMath" w:hint="eastAsia"/>
          <w:sz w:val="17"/>
          <w:szCs w:val="17"/>
          <w:lang w:eastAsia="zh-CN"/>
        </w:rPr>
        <w:t xml:space="preserve"> </w:t>
      </w:r>
      <w:r>
        <w:rPr>
          <w:lang w:eastAsia="zh-CN"/>
        </w:rPr>
        <w:t xml:space="preserve">using the frequency of interest and the statistical surface meteorological parameters, both </w:t>
      </w:r>
      <m:oMath>
        <m:sSub>
          <m:sSubPr>
            <m:ctrlPr>
              <w:rPr>
                <w:rFonts w:ascii="Cambria Math" w:eastAsia="Cambria Math" w:hAnsi="Cambria Math" w:cs="Cambria Math"/>
                <w:i/>
                <w:lang w:eastAsia="zh-CN"/>
              </w:rPr>
            </m:ctrlPr>
          </m:sSubPr>
          <m:e>
            <m:r>
              <w:rPr>
                <w:rFonts w:ascii="Cambria Math" w:eastAsia="Cambria Math" w:hAnsi="Cambria Math" w:cs="Cambria Math"/>
                <w:lang w:eastAsia="zh-CN"/>
              </w:rPr>
              <m:t>A</m:t>
            </m:r>
          </m:e>
          <m:sub>
            <m:r>
              <w:rPr>
                <w:rFonts w:ascii="Cambria Math" w:eastAsia="Cambria Math" w:hAnsi="Cambria Math" w:cs="Cambria Math"/>
                <w:lang w:eastAsia="zh-CN"/>
              </w:rPr>
              <m:t>o</m:t>
            </m:r>
          </m:sub>
        </m:sSub>
      </m:oMath>
      <w:r>
        <w:rPr>
          <w:lang w:eastAsia="zh-CN"/>
        </w:rPr>
        <w:t xml:space="preserve"> and </w:t>
      </w:r>
      <m:oMath>
        <m:sSub>
          <m:sSubPr>
            <m:ctrlPr>
              <w:rPr>
                <w:rFonts w:ascii="Cambria Math" w:eastAsia="Cambria Math" w:hAnsi="Cambria Math" w:cs="Cambria Math"/>
                <w:i/>
                <w:lang w:eastAsia="zh-CN"/>
              </w:rPr>
            </m:ctrlPr>
          </m:sSubPr>
          <m:e>
            <m:r>
              <w:rPr>
                <w:rFonts w:ascii="Cambria Math" w:eastAsia="Cambria Math" w:hAnsi="Cambria Math" w:cs="Cambria Math"/>
                <w:lang w:eastAsia="zh-CN"/>
              </w:rPr>
              <m:t>h</m:t>
            </m:r>
          </m:e>
          <m:sub>
            <m:r>
              <w:rPr>
                <w:rFonts w:ascii="Cambria Math" w:eastAsia="Cambria Math" w:hAnsi="Cambria Math" w:cs="Cambria Math"/>
                <w:lang w:eastAsia="zh-CN"/>
              </w:rPr>
              <m:t>o</m:t>
            </m:r>
          </m:sub>
        </m:sSub>
      </m:oMath>
      <w:r>
        <w:rPr>
          <w:lang w:eastAsia="zh-CN"/>
        </w:rPr>
        <w:t xml:space="preserve"> are obtained from Recommendation </w:t>
      </w:r>
      <w:hyperlink r:id="rId34" w:history="1">
        <w:r w:rsidR="00057252">
          <w:rPr>
            <w:rStyle w:val="Hyperlink"/>
            <w:color w:val="auto"/>
            <w:u w:val="none"/>
          </w:rPr>
          <w:t>ITU-R P.676</w:t>
        </w:r>
      </w:hyperlink>
      <w:r>
        <w:rPr>
          <w:lang w:eastAsia="zh-CN"/>
        </w:rPr>
        <w:t>.</w:t>
      </w:r>
    </w:p>
    <w:p w14:paraId="4CDF6FEA" w14:textId="77777777" w:rsidR="00342460" w:rsidRDefault="00522FC6" w:rsidP="00342460">
      <w:pPr>
        <w:rPr>
          <w:rFonts w:ascii="CambriaMath" w:eastAsia="CambriaMath" w:cs="CambriaMath"/>
          <w:sz w:val="17"/>
          <w:szCs w:val="17"/>
          <w:lang w:eastAsia="zh-CN"/>
        </w:rPr>
      </w:pPr>
      <m:oMath>
        <m:sSubSup>
          <m:sSubSupPr>
            <m:ctrlPr>
              <w:rPr>
                <w:rFonts w:ascii="Cambria Math" w:hAnsi="Cambria Math"/>
                <w:i/>
                <w:szCs w:val="22"/>
              </w:rPr>
            </m:ctrlPr>
          </m:sSubSupPr>
          <m:e>
            <m:r>
              <w:rPr>
                <w:rFonts w:ascii="Cambria Math" w:hAnsi="Cambria Math"/>
                <w:szCs w:val="22"/>
              </w:rPr>
              <m:t>A</m:t>
            </m:r>
          </m:e>
          <m:sub>
            <m:r>
              <w:rPr>
                <w:rFonts w:ascii="Cambria Math" w:hAnsi="Cambria Math"/>
                <w:szCs w:val="22"/>
              </w:rPr>
              <m:t>w</m:t>
            </m:r>
          </m:sub>
          <m:sup>
            <m:r>
              <w:rPr>
                <w:rFonts w:ascii="Cambria Math" w:hAnsi="Cambria Math"/>
                <w:szCs w:val="22"/>
              </w:rPr>
              <m:t>AS</m:t>
            </m:r>
          </m:sup>
        </m:sSubSup>
      </m:oMath>
      <w:r w:rsidR="00342460">
        <w:rPr>
          <w:rFonts w:ascii="CambriaMath" w:eastAsia="CambriaMath" w:cs="CambriaMath" w:hint="eastAsia"/>
          <w:sz w:val="17"/>
          <w:szCs w:val="17"/>
          <w:lang w:eastAsia="zh-CN"/>
        </w:rPr>
        <w:t xml:space="preserve"> </w:t>
      </w:r>
      <w:r w:rsidR="00342460">
        <w:rPr>
          <w:lang w:eastAsia="zh-CN"/>
        </w:rPr>
        <w:t>is predicted as follows:</w:t>
      </w:r>
    </w:p>
    <w:p w14:paraId="4B076583" w14:textId="77777777" w:rsidR="001B7430" w:rsidRDefault="001B7430" w:rsidP="001B7430">
      <w:pPr>
        <w:pStyle w:val="Blanc"/>
      </w:pPr>
    </w:p>
    <w:p w14:paraId="32D54591" w14:textId="3D04A961" w:rsidR="00342460" w:rsidRDefault="00342460" w:rsidP="00342460">
      <w:pPr>
        <w:pStyle w:val="Equation"/>
        <w:rPr>
          <w:rFonts w:ascii="TimesNewRoman" w:hAnsi="TimesNewRoman" w:cs="TimesNewRoman"/>
          <w:lang w:eastAsia="zh-CN"/>
        </w:rPr>
      </w:pPr>
      <w:r w:rsidRPr="004353F4">
        <w:rPr>
          <w:lang w:eastAsia="zh-CN"/>
        </w:rPr>
        <w:tab/>
      </w:r>
      <w:r w:rsidRPr="004353F4">
        <w:rPr>
          <w:lang w:eastAsia="zh-CN"/>
        </w:rPr>
        <w:tab/>
      </w:r>
      <m:oMath>
        <m:sSubSup>
          <m:sSubSupPr>
            <m:ctrlPr>
              <w:rPr>
                <w:rFonts w:ascii="Cambria Math" w:hAnsi="Cambria Math"/>
              </w:rPr>
            </m:ctrlPr>
          </m:sSubSupPr>
          <m:e>
            <m:r>
              <w:rPr>
                <w:rFonts w:ascii="Cambria Math" w:hAnsi="Cambria Math"/>
              </w:rPr>
              <m:t>A</m:t>
            </m:r>
          </m:e>
          <m:sub>
            <m:r>
              <w:rPr>
                <w:rFonts w:ascii="Cambria Math" w:hAnsi="Cambria Math"/>
              </w:rPr>
              <m:t>w</m:t>
            </m:r>
          </m:sub>
          <m:sup>
            <m:r>
              <w:rPr>
                <w:rFonts w:ascii="Cambria Math" w:hAnsi="Cambria Math"/>
              </w:rPr>
              <m:t>AS</m:t>
            </m:r>
          </m:sup>
        </m:sSubSup>
        <m:r>
          <m:rPr>
            <m:sty m:val="p"/>
          </m:rP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V</m:t>
            </m:r>
          </m:sub>
        </m:sSub>
        <m:r>
          <m:rPr>
            <m:sty m:val="p"/>
          </m:rPr>
          <w:rPr>
            <w:rFonts w:ascii="Cambria Math" w:hAnsi="Cambria Math"/>
            <w:lang w:eastAsia="zh-CN"/>
          </w:rPr>
          <m:t>∙V(</m:t>
        </m:r>
        <m:r>
          <w:rPr>
            <w:rFonts w:ascii="Cambria Math" w:hAnsi="Cambria Math"/>
            <w:lang w:eastAsia="zh-CN"/>
          </w:rPr>
          <m:t>p</m:t>
        </m:r>
        <m:r>
          <m:rPr>
            <m:sty m:val="p"/>
          </m:rPr>
          <w:rPr>
            <w:rFonts w:ascii="Cambria Math" w:hAnsi="Cambria Math"/>
            <w:lang w:eastAsia="zh-CN"/>
          </w:rPr>
          <m:t>)</m:t>
        </m:r>
      </m:oMath>
      <w:r w:rsidRPr="004A2FC8">
        <w:tab/>
      </w:r>
      <w:r>
        <w:rPr>
          <w:rFonts w:eastAsia="DengXian"/>
          <w:szCs w:val="22"/>
          <w:lang w:eastAsia="zh-CN"/>
        </w:rPr>
        <w:t>(7)</w:t>
      </w:r>
    </w:p>
    <w:p w14:paraId="46BC4094" w14:textId="77777777" w:rsidR="001B7430" w:rsidRDefault="001B7430" w:rsidP="001B7430">
      <w:pPr>
        <w:pStyle w:val="Blanc"/>
      </w:pPr>
    </w:p>
    <w:p w14:paraId="3ADA922F" w14:textId="77777777" w:rsidR="00342460" w:rsidRDefault="00342460" w:rsidP="00342460">
      <w:r>
        <w:rPr>
          <w:szCs w:val="24"/>
          <w:lang w:eastAsia="zh-CN"/>
        </w:rPr>
        <w:t xml:space="preserve">where </w:t>
      </w:r>
      <m:oMath>
        <m:sSub>
          <m:sSubPr>
            <m:ctrlPr>
              <w:rPr>
                <w:rFonts w:ascii="Cambria Math" w:hAnsi="Cambria Math"/>
                <w:i/>
                <w:szCs w:val="24"/>
              </w:rPr>
            </m:ctrlPr>
          </m:sSubPr>
          <m:e>
            <m:r>
              <w:rPr>
                <w:rFonts w:ascii="Cambria Math" w:hAnsi="Cambria Math"/>
                <w:szCs w:val="24"/>
              </w:rPr>
              <m:t>K</m:t>
            </m:r>
          </m:e>
          <m:sub>
            <m:r>
              <w:rPr>
                <w:rFonts w:ascii="Cambria Math" w:hAnsi="Cambria Math"/>
                <w:szCs w:val="24"/>
              </w:rPr>
              <m:t>V</m:t>
            </m:r>
          </m:sub>
        </m:sSub>
      </m:oMath>
      <w:r>
        <w:rPr>
          <w:szCs w:val="24"/>
          <w:lang w:eastAsia="zh-CN"/>
        </w:rPr>
        <w:t xml:space="preserve"> is the intermediate parameter calculated using the mean surface meteorological parameters, and </w:t>
      </w:r>
      <m:oMath>
        <m:r>
          <m:rPr>
            <m:sty m:val="p"/>
          </m:rPr>
          <w:rPr>
            <w:rFonts w:ascii="Cambria Math" w:hAnsi="Cambria Math"/>
            <w:szCs w:val="24"/>
            <w:lang w:eastAsia="zh-CN"/>
          </w:rPr>
          <m:t>V</m:t>
        </m:r>
        <m:d>
          <m:dPr>
            <m:ctrlPr>
              <w:rPr>
                <w:rFonts w:ascii="Cambria Math" w:hAnsi="Cambria Math"/>
                <w:szCs w:val="24"/>
                <w:lang w:eastAsia="zh-CN"/>
              </w:rPr>
            </m:ctrlPr>
          </m:dPr>
          <m:e>
            <m:r>
              <w:rPr>
                <w:rFonts w:ascii="Cambria Math" w:hAnsi="Cambria Math"/>
                <w:szCs w:val="24"/>
                <w:lang w:eastAsia="zh-CN"/>
              </w:rPr>
              <m:t>p</m:t>
            </m:r>
          </m:e>
        </m:d>
        <m:r>
          <w:rPr>
            <w:rFonts w:ascii="Cambria Math" w:hAnsi="Cambria Math"/>
            <w:szCs w:val="24"/>
            <w:lang w:eastAsia="zh-CN"/>
          </w:rPr>
          <m:t xml:space="preserve"> </m:t>
        </m:r>
      </m:oMath>
      <w:r>
        <w:rPr>
          <w:szCs w:val="24"/>
          <w:lang w:eastAsia="zh-CN"/>
        </w:rPr>
        <w:t xml:space="preserve">is the </w:t>
      </w:r>
      <w:r>
        <w:t xml:space="preserve">integrated water vapour content at the exceedance probability </w:t>
      </w:r>
      <w:r>
        <w:rPr>
          <w:rFonts w:ascii="Cambria Math" w:hAnsi="Cambria Math" w:cs="Cambria Math"/>
        </w:rPr>
        <w:t>𝑝</w:t>
      </w:r>
      <w:r>
        <w:t xml:space="preserve"> at the desired location and the altitude of the airborne platform.</w:t>
      </w:r>
    </w:p>
    <w:p w14:paraId="6E26EBFD" w14:textId="77777777" w:rsidR="00342460" w:rsidRDefault="00342460" w:rsidP="00342460">
      <w:pPr>
        <w:pStyle w:val="Heading2"/>
      </w:pPr>
      <w:r>
        <w:lastRenderedPageBreak/>
        <w:t>4.3</w:t>
      </w:r>
      <w:r>
        <w:tab/>
        <w:t>Cloud attenuation</w:t>
      </w:r>
    </w:p>
    <w:p w14:paraId="66383DB9" w14:textId="34FC8FF6" w:rsidR="00342460" w:rsidRDefault="00342460" w:rsidP="00342460">
      <w:pPr>
        <w:keepNext/>
        <w:keepLines/>
      </w:pPr>
      <w:r>
        <w:t xml:space="preserve">It is difficult to predict cloud attenuation from an airborne platform to space since different cloud types are at different altitudes with different vertical extents. However, a conservative approach is to assume the cloud base is at the rain height specified in Recommendation </w:t>
      </w:r>
      <w:hyperlink r:id="rId35" w:history="1">
        <w:r w:rsidR="00057252">
          <w:rPr>
            <w:rStyle w:val="Hyperlink"/>
            <w:color w:val="auto"/>
            <w:u w:val="none"/>
          </w:rPr>
          <w:t>ITU-R P.839</w:t>
        </w:r>
      </w:hyperlink>
      <w:r>
        <w:t xml:space="preserve"> and the cloud top is at 6 km. Compute the cloud attenuation per Recommendation </w:t>
      </w:r>
      <w:hyperlink r:id="rId36" w:history="1">
        <w:r w:rsidR="00057252">
          <w:rPr>
            <w:rStyle w:val="Hyperlink"/>
            <w:color w:val="auto"/>
            <w:u w:val="none"/>
          </w:rPr>
          <w:t>ITU-R P.840</w:t>
        </w:r>
      </w:hyperlink>
      <w:r>
        <w:t xml:space="preserve"> as follows: use 100% of the </w:t>
      </w:r>
      <w:r>
        <w:rPr>
          <w:szCs w:val="24"/>
          <w:lang w:eastAsia="zh-CN"/>
        </w:rPr>
        <w:t xml:space="preserve">total columnar content of cloud liquid water </w:t>
      </w:r>
      <w:r>
        <w:t xml:space="preserve">for altitudes below the rain height, 0% of the </w:t>
      </w:r>
      <w:r>
        <w:rPr>
          <w:szCs w:val="24"/>
          <w:lang w:eastAsia="zh-CN"/>
        </w:rPr>
        <w:t xml:space="preserve">total columnar content of cloud liquid water for altitudes </w:t>
      </w:r>
      <w:r>
        <w:t xml:space="preserve">above the cloud top, with a linear transition of </w:t>
      </w:r>
      <w:r>
        <w:rPr>
          <w:szCs w:val="24"/>
          <w:lang w:eastAsia="zh-CN"/>
        </w:rPr>
        <w:t>total columnar content of cloud liquid water</w:t>
      </w:r>
      <w:r>
        <w:t xml:space="preserve"> between the cloud base and the cloud top.</w:t>
      </w:r>
    </w:p>
    <w:p w14:paraId="16A4C2F1" w14:textId="77777777" w:rsidR="00342460" w:rsidRDefault="00342460" w:rsidP="00342460">
      <w:pPr>
        <w:pStyle w:val="Heading2"/>
      </w:pPr>
      <w:r>
        <w:t>4.4</w:t>
      </w:r>
      <w:r>
        <w:tab/>
        <w:t>Rain attenuation</w:t>
      </w:r>
    </w:p>
    <w:p w14:paraId="49D75E22" w14:textId="3355D86C" w:rsidR="00342460" w:rsidRDefault="00342460" w:rsidP="00342460">
      <w:r>
        <w:t xml:space="preserve">Rain attenuation is predicted from Recommendation </w:t>
      </w:r>
      <w:hyperlink r:id="rId37" w:history="1">
        <w:r w:rsidR="00636270">
          <w:rPr>
            <w:rStyle w:val="Hyperlink"/>
            <w:color w:val="auto"/>
            <w:u w:val="none"/>
          </w:rPr>
          <w:t>ITU-R P.618</w:t>
        </w:r>
      </w:hyperlink>
      <w:r>
        <w:t xml:space="preserve"> which computes the slant-path length, </w:t>
      </w:r>
      <m:oMath>
        <m:sSub>
          <m:sSubPr>
            <m:ctrlPr>
              <w:rPr>
                <w:rFonts w:ascii="Cambria Math" w:hAnsi="Cambria Math"/>
                <w:i/>
              </w:rPr>
            </m:ctrlPr>
          </m:sSubPr>
          <m:e>
            <m:r>
              <w:rPr>
                <w:rFonts w:ascii="Cambria Math" w:hAnsi="Cambria Math"/>
              </w:rPr>
              <m:t>L</m:t>
            </m:r>
          </m:e>
          <m:sub>
            <m:r>
              <w:rPr>
                <w:rFonts w:ascii="Cambria Math" w:hAnsi="Cambria Math"/>
              </w:rPr>
              <m:t>s</m:t>
            </m:r>
          </m:sub>
        </m:sSub>
      </m:oMath>
      <w:r>
        <w:t xml:space="preserve">, from </w:t>
      </w:r>
      <m:oMath>
        <m:sSub>
          <m:sSubPr>
            <m:ctrlPr>
              <w:rPr>
                <w:rFonts w:ascii="Cambria Math" w:hAnsi="Cambria Math"/>
                <w:i/>
              </w:rPr>
            </m:ctrlPr>
          </m:sSubPr>
          <m:e>
            <m:r>
              <w:rPr>
                <w:rFonts w:ascii="Cambria Math" w:hAnsi="Cambria Math"/>
              </w:rPr>
              <m:t>h</m:t>
            </m:r>
          </m:e>
          <m:sub>
            <m:r>
              <w:rPr>
                <w:rFonts w:ascii="Cambria Math" w:hAnsi="Cambria Math"/>
              </w:rPr>
              <m:t>s</m:t>
            </m:r>
          </m:sub>
        </m:sSub>
      </m:oMath>
      <w:r>
        <w:t xml:space="preserve">, the height of the Earth station above mean sea level. For a path between an airborne platform and space, </w:t>
      </w:r>
      <m:oMath>
        <m:sSub>
          <m:sSubPr>
            <m:ctrlPr>
              <w:rPr>
                <w:rFonts w:ascii="Cambria Math" w:hAnsi="Cambria Math"/>
                <w:i/>
              </w:rPr>
            </m:ctrlPr>
          </m:sSubPr>
          <m:e>
            <m:r>
              <w:rPr>
                <w:rFonts w:ascii="Cambria Math" w:hAnsi="Cambria Math"/>
              </w:rPr>
              <m:t>h</m:t>
            </m:r>
          </m:e>
          <m:sub>
            <m:r>
              <w:rPr>
                <w:rFonts w:ascii="Cambria Math" w:hAnsi="Cambria Math"/>
              </w:rPr>
              <m:t>s</m:t>
            </m:r>
          </m:sub>
        </m:sSub>
      </m:oMath>
      <w:r>
        <w:t xml:space="preserve"> is replaced by the altitude of the airborne platform above mean sea level with the constraint that if </w:t>
      </w:r>
      <m:oMath>
        <m:sSub>
          <m:sSubPr>
            <m:ctrlPr>
              <w:rPr>
                <w:rFonts w:ascii="Cambria Math" w:hAnsi="Cambria Math"/>
                <w:i/>
              </w:rPr>
            </m:ctrlPr>
          </m:sSubPr>
          <m:e>
            <m:r>
              <w:rPr>
                <w:rFonts w:ascii="Cambria Math" w:hAnsi="Cambria Math"/>
              </w:rPr>
              <m:t>h</m:t>
            </m:r>
          </m:e>
          <m:sub>
            <m:r>
              <w:rPr>
                <w:rFonts w:ascii="Cambria Math" w:hAnsi="Cambria Math"/>
              </w:rPr>
              <m:t>s</m:t>
            </m:r>
          </m:sub>
        </m:sSub>
      </m:oMath>
      <w:r>
        <w:t xml:space="preserve"> is greater than or equal to </w:t>
      </w:r>
      <m:oMath>
        <m:sSub>
          <m:sSubPr>
            <m:ctrlPr>
              <w:rPr>
                <w:rFonts w:ascii="Cambria Math" w:hAnsi="Cambria Math"/>
                <w:i/>
              </w:rPr>
            </m:ctrlPr>
          </m:sSubPr>
          <m:e>
            <m:r>
              <w:rPr>
                <w:rFonts w:ascii="Cambria Math" w:hAnsi="Cambria Math"/>
              </w:rPr>
              <m:t>h</m:t>
            </m:r>
          </m:e>
          <m:sub>
            <m:r>
              <w:rPr>
                <w:rFonts w:ascii="Cambria Math" w:hAnsi="Cambria Math"/>
              </w:rPr>
              <m:t>R</m:t>
            </m:r>
          </m:sub>
        </m:sSub>
      </m:oMath>
      <w:r>
        <w:t>, then the rain attenuation is 0 dB.</w:t>
      </w:r>
    </w:p>
    <w:p w14:paraId="66431C3C" w14:textId="77777777" w:rsidR="00342460" w:rsidRDefault="00342460" w:rsidP="00342460">
      <w:pPr>
        <w:pStyle w:val="Heading2"/>
      </w:pPr>
      <w:r>
        <w:t>4.5</w:t>
      </w:r>
      <w:r>
        <w:tab/>
        <w:t>Fading due to tropospheric scintillation</w:t>
      </w:r>
    </w:p>
    <w:p w14:paraId="379F1A7D" w14:textId="7A27CF34" w:rsidR="00342460" w:rsidRDefault="00342460" w:rsidP="00342460">
      <w:r>
        <w:t xml:space="preserve">Fading due to tropospheric scintillation is predicted from Recommendation </w:t>
      </w:r>
      <w:hyperlink r:id="rId38" w:history="1">
        <w:r w:rsidR="00636270">
          <w:rPr>
            <w:rStyle w:val="Hyperlink"/>
            <w:color w:val="auto"/>
            <w:u w:val="none"/>
          </w:rPr>
          <w:t>ITU-R P.618</w:t>
        </w:r>
      </w:hyperlink>
      <w:r>
        <w:t xml:space="preserve">. If the airborne platform is at an altitude below the rain height specified in Recommendation </w:t>
      </w:r>
      <w:hyperlink r:id="rId39" w:history="1">
        <w:r w:rsidR="00057252">
          <w:rPr>
            <w:rStyle w:val="Hyperlink"/>
            <w:color w:val="auto"/>
            <w:u w:val="none"/>
          </w:rPr>
          <w:t>ITU-R P.839</w:t>
        </w:r>
      </w:hyperlink>
      <w:r>
        <w:t>, tropospheric scintillation is calculated assuming the airborne platform is located at the surface of the Earth. If the airborne platform is at an altitude above the rain height specified in Recommendation </w:t>
      </w:r>
      <w:hyperlink r:id="rId40" w:history="1">
        <w:r w:rsidR="00057252">
          <w:rPr>
            <w:rStyle w:val="Hyperlink"/>
            <w:color w:val="auto"/>
            <w:u w:val="none"/>
          </w:rPr>
          <w:t>ITU-R P.839</w:t>
        </w:r>
      </w:hyperlink>
      <w:r>
        <w:t>, tropospheric scintillation is ignored.</w:t>
      </w:r>
    </w:p>
    <w:p w14:paraId="6DC80E71" w14:textId="77777777" w:rsidR="00342460" w:rsidRDefault="00342460" w:rsidP="00342460">
      <w:pPr>
        <w:pStyle w:val="Heading1"/>
      </w:pPr>
      <w:r>
        <w:t>5</w:t>
      </w:r>
      <w:r>
        <w:tab/>
        <w:t>Attenuation between an airborne platform and the surface of the Earth</w:t>
      </w:r>
    </w:p>
    <w:p w14:paraId="2EDEE782" w14:textId="77777777" w:rsidR="00342460" w:rsidRDefault="00342460" w:rsidP="00342460">
      <w:pPr>
        <w:pStyle w:val="Heading2"/>
      </w:pPr>
      <w:r>
        <w:t>5.1</w:t>
      </w:r>
      <w:r>
        <w:tab/>
        <w:t>Total attenuation prediction method</w:t>
      </w:r>
    </w:p>
    <w:p w14:paraId="386433C7" w14:textId="71DC50BB" w:rsidR="00342460" w:rsidRDefault="00342460" w:rsidP="00342460">
      <w:r>
        <w:t xml:space="preserve">Similar as in Recommendation </w:t>
      </w:r>
      <w:hyperlink r:id="rId41" w:history="1">
        <w:r w:rsidR="00636270">
          <w:rPr>
            <w:rStyle w:val="Hyperlink"/>
            <w:color w:val="auto"/>
            <w:u w:val="none"/>
          </w:rPr>
          <w:t>ITU-R P.618</w:t>
        </w:r>
      </w:hyperlink>
      <w:r>
        <w:t xml:space="preserve">, the total attenuation between an airborne platform and the surface of the Earth, </w:t>
      </w:r>
      <m:oMath>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AE</m:t>
            </m:r>
          </m:sup>
        </m:sSubSup>
        <m:r>
          <w:rPr>
            <w:rFonts w:ascii="Cambria Math" w:hAnsi="Cambria Math"/>
          </w:rPr>
          <m:t>(p)</m:t>
        </m:r>
      </m:oMath>
      <w:r>
        <w:t>, is computed by:</w:t>
      </w:r>
    </w:p>
    <w:p w14:paraId="7723330E" w14:textId="77777777" w:rsidR="00342460" w:rsidRDefault="00342460" w:rsidP="00342460">
      <w:pPr>
        <w:pStyle w:val="Equation"/>
      </w:pPr>
      <w:r>
        <w:tab/>
      </w:r>
      <w:r>
        <w:tab/>
      </w:r>
      <m:oMath>
        <m:sSubSup>
          <m:sSubSupPr>
            <m:ctrlPr>
              <w:rPr>
                <w:rFonts w:ascii="Cambria Math" w:hAnsi="Cambria Math"/>
              </w:rPr>
            </m:ctrlPr>
          </m:sSubSupPr>
          <m:e>
            <m:r>
              <w:rPr>
                <w:rFonts w:ascii="Cambria Math" w:hAnsi="Cambria Math"/>
              </w:rPr>
              <m:t>A</m:t>
            </m:r>
          </m:e>
          <m:sub>
            <m:r>
              <w:rPr>
                <w:rFonts w:ascii="Cambria Math" w:hAnsi="Cambria Math"/>
              </w:rPr>
              <m:t>T</m:t>
            </m:r>
          </m:sub>
          <m:sup>
            <m:r>
              <w:rPr>
                <w:rFonts w:ascii="Cambria Math" w:hAnsi="Cambria Math"/>
              </w:rPr>
              <m:t>AE</m:t>
            </m:r>
          </m:sup>
        </m:sSubSup>
        <m:d>
          <m:dPr>
            <m:ctrlPr>
              <w:rPr>
                <w:rFonts w:ascii="Cambria Math" w:hAnsi="Cambria Math"/>
              </w:rPr>
            </m:ctrlPr>
          </m:dPr>
          <m:e>
            <m:r>
              <w:rPr>
                <w:rFonts w:ascii="Cambria Math" w:hAnsi="Cambria Math"/>
              </w:rPr>
              <m:t>p</m:t>
            </m:r>
          </m:e>
        </m:d>
        <m:r>
          <m:rPr>
            <m:sty m:val="p"/>
          </m:rPr>
          <w:rPr>
            <w:rFonts w:ascii="Cambria Math" w:hAnsi="Cambria Math"/>
          </w:rPr>
          <m:t>=</m:t>
        </m:r>
        <m:sSubSup>
          <m:sSubSupPr>
            <m:ctrlPr>
              <w:rPr>
                <w:rFonts w:ascii="Cambria Math" w:hAnsi="Cambria Math"/>
              </w:rPr>
            </m:ctrlPr>
          </m:sSubSupPr>
          <m:e>
            <m:r>
              <w:rPr>
                <w:rFonts w:ascii="Cambria Math" w:hAnsi="Cambria Math"/>
              </w:rPr>
              <m:t>A</m:t>
            </m:r>
          </m:e>
          <m:sub>
            <m:r>
              <w:rPr>
                <w:rFonts w:ascii="Cambria Math" w:hAnsi="Cambria Math"/>
              </w:rPr>
              <m:t>G</m:t>
            </m:r>
          </m:sub>
          <m:sup>
            <m:r>
              <w:rPr>
                <w:rFonts w:ascii="Cambria Math" w:hAnsi="Cambria Math"/>
              </w:rPr>
              <m:t>AE</m:t>
            </m:r>
          </m:sup>
        </m:sSubSup>
        <m:d>
          <m:dPr>
            <m:ctrlPr>
              <w:rPr>
                <w:rFonts w:ascii="Cambria Math" w:hAnsi="Cambria Math"/>
              </w:rPr>
            </m:ctrlPr>
          </m:dPr>
          <m:e>
            <m:r>
              <w:rPr>
                <w:rFonts w:ascii="Cambria Math" w:hAnsi="Cambria Math"/>
              </w:rPr>
              <m:t>p</m:t>
            </m:r>
          </m:e>
        </m:d>
        <m:r>
          <m:rPr>
            <m:sty m:val="p"/>
          </m:rPr>
          <w:rPr>
            <w:rFonts w:ascii="Cambria Math" w:hAnsi="Cambria Math"/>
          </w:rPr>
          <m:t>+</m:t>
        </m:r>
        <m:rad>
          <m:radPr>
            <m:degHide m:val="1"/>
            <m:ctrlPr>
              <w:rPr>
                <w:rFonts w:ascii="Cambria Math" w:hAnsi="Cambria Math"/>
              </w:rPr>
            </m:ctrlPr>
          </m:radPr>
          <m:deg/>
          <m:e>
            <m:sSup>
              <m:sSupPr>
                <m:ctrlPr>
                  <w:rPr>
                    <w:rFonts w:ascii="Cambria Math" w:hAnsi="Cambria Math"/>
                  </w:rPr>
                </m:ctrlPr>
              </m:sSupPr>
              <m:e>
                <m:d>
                  <m:dPr>
                    <m:ctrlPr>
                      <w:rPr>
                        <w:rFonts w:ascii="Cambria Math" w:hAnsi="Cambria Math"/>
                      </w:rPr>
                    </m:ctrlPr>
                  </m:dPr>
                  <m:e>
                    <m:sSubSup>
                      <m:sSubSupPr>
                        <m:ctrlPr>
                          <w:rPr>
                            <w:rFonts w:ascii="Cambria Math" w:hAnsi="Cambria Math"/>
                          </w:rPr>
                        </m:ctrlPr>
                      </m:sSubSupPr>
                      <m:e>
                        <m:r>
                          <w:rPr>
                            <w:rFonts w:ascii="Cambria Math" w:hAnsi="Cambria Math"/>
                          </w:rPr>
                          <m:t>A</m:t>
                        </m:r>
                      </m:e>
                      <m:sub>
                        <m:r>
                          <w:rPr>
                            <w:rFonts w:ascii="Cambria Math" w:hAnsi="Cambria Math"/>
                          </w:rPr>
                          <m:t>R</m:t>
                        </m:r>
                      </m:sub>
                      <m:sup>
                        <m:r>
                          <w:rPr>
                            <w:rFonts w:ascii="Cambria Math" w:hAnsi="Cambria Math"/>
                          </w:rPr>
                          <m:t>AE</m:t>
                        </m:r>
                      </m:sup>
                    </m:sSubSup>
                    <m:d>
                      <m:dPr>
                        <m:ctrlPr>
                          <w:rPr>
                            <w:rFonts w:ascii="Cambria Math" w:hAnsi="Cambria Math"/>
                          </w:rPr>
                        </m:ctrlPr>
                      </m:dPr>
                      <m:e>
                        <m:r>
                          <w:rPr>
                            <w:rFonts w:ascii="Cambria Math" w:hAnsi="Cambria Math"/>
                          </w:rPr>
                          <m:t>p</m:t>
                        </m:r>
                      </m:e>
                    </m:d>
                    <m:r>
                      <m:rPr>
                        <m:sty m:val="p"/>
                      </m:rPr>
                      <w:rPr>
                        <w:rFonts w:ascii="Cambria Math" w:hAnsi="Cambria Math"/>
                      </w:rPr>
                      <m:t>+</m:t>
                    </m:r>
                    <m:sSubSup>
                      <m:sSubSupPr>
                        <m:ctrlPr>
                          <w:rPr>
                            <w:rFonts w:ascii="Cambria Math" w:hAnsi="Cambria Math"/>
                          </w:rPr>
                        </m:ctrlPr>
                      </m:sSubSupPr>
                      <m:e>
                        <m:r>
                          <w:rPr>
                            <w:rFonts w:ascii="Cambria Math" w:hAnsi="Cambria Math"/>
                          </w:rPr>
                          <m:t>A</m:t>
                        </m:r>
                      </m:e>
                      <m:sub>
                        <m:r>
                          <w:rPr>
                            <w:rFonts w:ascii="Cambria Math" w:hAnsi="Cambria Math"/>
                          </w:rPr>
                          <m:t>C</m:t>
                        </m:r>
                      </m:sub>
                      <m:sup>
                        <m:r>
                          <w:rPr>
                            <w:rFonts w:ascii="Cambria Math" w:hAnsi="Cambria Math"/>
                          </w:rPr>
                          <m:t>AE</m:t>
                        </m:r>
                      </m:sup>
                    </m:sSubSup>
                    <m:d>
                      <m:dPr>
                        <m:ctrlPr>
                          <w:rPr>
                            <w:rFonts w:ascii="Cambria Math" w:hAnsi="Cambria Math"/>
                          </w:rPr>
                        </m:ctrlPr>
                      </m:dPr>
                      <m:e>
                        <m:r>
                          <w:rPr>
                            <w:rFonts w:ascii="Cambria Math" w:hAnsi="Cambria Math"/>
                          </w:rPr>
                          <m:t>p</m:t>
                        </m:r>
                      </m:e>
                    </m:d>
                  </m:e>
                </m:d>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d>
                  <m:dPr>
                    <m:ctrlPr>
                      <w:rPr>
                        <w:rFonts w:ascii="Cambria Math" w:hAnsi="Cambria Math"/>
                      </w:rPr>
                    </m:ctrlPr>
                  </m:dPr>
                  <m:e>
                    <m:sSubSup>
                      <m:sSubSupPr>
                        <m:ctrlPr>
                          <w:rPr>
                            <w:rFonts w:ascii="Cambria Math" w:hAnsi="Cambria Math"/>
                          </w:rPr>
                        </m:ctrlPr>
                      </m:sSubSupPr>
                      <m:e>
                        <m:r>
                          <w:rPr>
                            <w:rFonts w:ascii="Cambria Math" w:hAnsi="Cambria Math"/>
                          </w:rPr>
                          <m:t>A</m:t>
                        </m:r>
                      </m:e>
                      <m:sub>
                        <m:r>
                          <w:rPr>
                            <w:rFonts w:ascii="Cambria Math" w:hAnsi="Cambria Math"/>
                          </w:rPr>
                          <m:t>S</m:t>
                        </m:r>
                      </m:sub>
                      <m:sup>
                        <m:r>
                          <w:rPr>
                            <w:rFonts w:ascii="Cambria Math" w:hAnsi="Cambria Math"/>
                          </w:rPr>
                          <m:t>AE</m:t>
                        </m:r>
                      </m:sup>
                    </m:sSubSup>
                    <m:d>
                      <m:dPr>
                        <m:ctrlPr>
                          <w:rPr>
                            <w:rFonts w:ascii="Cambria Math" w:hAnsi="Cambria Math"/>
                          </w:rPr>
                        </m:ctrlPr>
                      </m:dPr>
                      <m:e>
                        <m:r>
                          <w:rPr>
                            <w:rFonts w:ascii="Cambria Math" w:hAnsi="Cambria Math"/>
                          </w:rPr>
                          <m:t>p</m:t>
                        </m:r>
                      </m:e>
                    </m:d>
                  </m:e>
                </m:d>
              </m:e>
              <m:sup>
                <m:r>
                  <m:rPr>
                    <m:sty m:val="p"/>
                  </m:rPr>
                  <w:rPr>
                    <w:rFonts w:ascii="Cambria Math" w:hAnsi="Cambria Math"/>
                  </w:rPr>
                  <m:t>2</m:t>
                </m:r>
              </m:sup>
            </m:sSup>
          </m:e>
        </m:rad>
      </m:oMath>
      <w:r>
        <w:tab/>
        <w:t>(8)</w:t>
      </w:r>
    </w:p>
    <w:p w14:paraId="1C6A9128" w14:textId="77777777" w:rsidR="00342460" w:rsidRDefault="00342460" w:rsidP="00342460">
      <w:r>
        <w:t>where:</w:t>
      </w:r>
    </w:p>
    <w:p w14:paraId="3F4F62C1" w14:textId="77777777" w:rsidR="00342460" w:rsidRDefault="00342460" w:rsidP="00342460">
      <w:pPr>
        <w:pStyle w:val="Equationlegend"/>
      </w:pPr>
      <w:r>
        <w:tab/>
      </w:r>
      <m:oMath>
        <m:sSubSup>
          <m:sSubSupPr>
            <m:ctrlPr>
              <w:rPr>
                <w:rFonts w:ascii="Cambria Math" w:hAnsi="Cambria Math"/>
                <w:i/>
              </w:rPr>
            </m:ctrlPr>
          </m:sSubSupPr>
          <m:e>
            <m:r>
              <w:rPr>
                <w:rFonts w:ascii="Cambria Math" w:hAnsi="Cambria Math"/>
              </w:rPr>
              <m:t>A</m:t>
            </m:r>
          </m:e>
          <m:sub>
            <m:r>
              <w:rPr>
                <w:rFonts w:ascii="Cambria Math" w:hAnsi="Cambria Math"/>
              </w:rPr>
              <m:t>R</m:t>
            </m:r>
          </m:sub>
          <m:sup>
            <m:r>
              <w:rPr>
                <w:rFonts w:ascii="Cambria Math" w:hAnsi="Cambria Math"/>
              </w:rPr>
              <m:t>AE</m:t>
            </m:r>
          </m:sup>
        </m:sSubSup>
        <m:r>
          <w:rPr>
            <w:rFonts w:ascii="Cambria Math" w:hAnsi="Cambria Math"/>
          </w:rPr>
          <m:t>(p)</m:t>
        </m:r>
      </m:oMath>
      <w:r>
        <w:t>:</w:t>
      </w:r>
      <w:r>
        <w:tab/>
        <w:t>attenuation due to rain for a fixed probability (dB)</w:t>
      </w:r>
    </w:p>
    <w:p w14:paraId="638C5AEE" w14:textId="77777777" w:rsidR="00342460" w:rsidRDefault="00342460" w:rsidP="00342460">
      <w:pPr>
        <w:pStyle w:val="Equationlegend"/>
      </w:pPr>
      <w:r>
        <w:tab/>
      </w:r>
      <m:oMath>
        <m:sSubSup>
          <m:sSubSupPr>
            <m:ctrlPr>
              <w:rPr>
                <w:rFonts w:ascii="Cambria Math" w:hAnsi="Cambria Math"/>
                <w:i/>
              </w:rPr>
            </m:ctrlPr>
          </m:sSubSupPr>
          <m:e>
            <m:r>
              <w:rPr>
                <w:rFonts w:ascii="Cambria Math" w:hAnsi="Cambria Math"/>
              </w:rPr>
              <m:t>A</m:t>
            </m:r>
          </m:e>
          <m:sub>
            <m:r>
              <w:rPr>
                <w:rFonts w:ascii="Cambria Math" w:hAnsi="Cambria Math"/>
              </w:rPr>
              <m:t>C</m:t>
            </m:r>
          </m:sub>
          <m:sup>
            <m:r>
              <w:rPr>
                <w:rFonts w:ascii="Cambria Math" w:hAnsi="Cambria Math"/>
              </w:rPr>
              <m:t>AE</m:t>
            </m:r>
          </m:sup>
        </m:sSubSup>
        <m:r>
          <w:rPr>
            <w:rFonts w:ascii="Cambria Math" w:hAnsi="Cambria Math"/>
          </w:rPr>
          <m:t>(p)</m:t>
        </m:r>
      </m:oMath>
      <w:r>
        <w:rPr>
          <w:rFonts w:ascii="Tms Rmn" w:hAnsi="Tms Rmn"/>
        </w:rPr>
        <w:t>:</w:t>
      </w:r>
      <w:r>
        <w:rPr>
          <w:rFonts w:ascii="Tms Rmn" w:hAnsi="Tms Rmn"/>
        </w:rPr>
        <w:tab/>
      </w:r>
      <w:r>
        <w:t>attenuation due to clouds for a fixed probability (dB)</w:t>
      </w:r>
    </w:p>
    <w:p w14:paraId="1A894DFB" w14:textId="77777777" w:rsidR="00342460" w:rsidRDefault="00342460" w:rsidP="00342460">
      <w:pPr>
        <w:pStyle w:val="Equationlegend"/>
      </w:pPr>
      <w:r>
        <w:tab/>
      </w:r>
      <m:oMath>
        <m:sSubSup>
          <m:sSubSupPr>
            <m:ctrlPr>
              <w:rPr>
                <w:rFonts w:ascii="Cambria Math" w:hAnsi="Cambria Math"/>
                <w:i/>
              </w:rPr>
            </m:ctrlPr>
          </m:sSubSupPr>
          <m:e>
            <m:r>
              <w:rPr>
                <w:rFonts w:ascii="Cambria Math" w:hAnsi="Cambria Math"/>
              </w:rPr>
              <m:t>A</m:t>
            </m:r>
          </m:e>
          <m:sub>
            <m:r>
              <w:rPr>
                <w:rFonts w:ascii="Cambria Math" w:hAnsi="Cambria Math"/>
              </w:rPr>
              <m:t>G</m:t>
            </m:r>
          </m:sub>
          <m:sup>
            <m:r>
              <w:rPr>
                <w:rFonts w:ascii="Cambria Math" w:hAnsi="Cambria Math"/>
              </w:rPr>
              <m:t>AE</m:t>
            </m:r>
          </m:sup>
        </m:sSubSup>
        <m:r>
          <w:rPr>
            <w:rFonts w:ascii="Cambria Math" w:hAnsi="Cambria Math"/>
          </w:rPr>
          <m:t>(p)</m:t>
        </m:r>
      </m:oMath>
      <w:r>
        <w:t>:</w:t>
      </w:r>
      <w:r>
        <w:tab/>
        <w:t>gaseous attenuation due to water vapour and oxygen for a fixed probability (dB)</w:t>
      </w:r>
    </w:p>
    <w:p w14:paraId="208150C8" w14:textId="77777777" w:rsidR="00342460" w:rsidRDefault="00342460" w:rsidP="00342460">
      <w:pPr>
        <w:pStyle w:val="Equationlegend"/>
      </w:pPr>
      <w:r>
        <w:tab/>
      </w:r>
      <m:oMath>
        <m:sSubSup>
          <m:sSubSupPr>
            <m:ctrlPr>
              <w:rPr>
                <w:rFonts w:ascii="Cambria Math" w:hAnsi="Cambria Math"/>
                <w:i/>
              </w:rPr>
            </m:ctrlPr>
          </m:sSubSupPr>
          <m:e>
            <m:r>
              <w:rPr>
                <w:rFonts w:ascii="Cambria Math" w:hAnsi="Cambria Math"/>
              </w:rPr>
              <m:t>A</m:t>
            </m:r>
          </m:e>
          <m:sub>
            <m:r>
              <w:rPr>
                <w:rFonts w:ascii="Cambria Math" w:hAnsi="Cambria Math"/>
              </w:rPr>
              <m:t>S</m:t>
            </m:r>
          </m:sub>
          <m:sup>
            <m:r>
              <w:rPr>
                <w:rFonts w:ascii="Cambria Math" w:hAnsi="Cambria Math"/>
              </w:rPr>
              <m:t>AE</m:t>
            </m:r>
          </m:sup>
        </m:sSubSup>
        <m:r>
          <w:rPr>
            <w:rFonts w:ascii="Cambria Math" w:hAnsi="Cambria Math"/>
          </w:rPr>
          <m:t>(p)</m:t>
        </m:r>
      </m:oMath>
      <w:r>
        <w:t>:</w:t>
      </w:r>
      <w:r>
        <w:tab/>
        <w:t>fading due to tropospheric scintillation for a fixed probability (dB)</w:t>
      </w:r>
    </w:p>
    <w:p w14:paraId="1C04BDC8" w14:textId="77777777" w:rsidR="00342460" w:rsidRDefault="00342460" w:rsidP="00342460">
      <w:r>
        <w:t>and</w:t>
      </w:r>
    </w:p>
    <w:p w14:paraId="7CF1732D" w14:textId="77777777" w:rsidR="00342460" w:rsidRDefault="00342460" w:rsidP="00342460">
      <w:pPr>
        <w:pStyle w:val="Equation"/>
      </w:pPr>
      <w:r>
        <w:rPr>
          <w:i/>
        </w:rPr>
        <w:tab/>
      </w:r>
      <w:r>
        <w:rPr>
          <w:i/>
        </w:rPr>
        <w:tab/>
      </w:r>
      <m:oMath>
        <m:sSubSup>
          <m:sSubSupPr>
            <m:ctrlPr>
              <w:rPr>
                <w:rFonts w:ascii="Cambria Math" w:hAnsi="Cambria Math"/>
                <w:i/>
              </w:rPr>
            </m:ctrlPr>
          </m:sSubSupPr>
          <m:e>
            <m:r>
              <w:rPr>
                <w:rFonts w:ascii="Cambria Math" w:hAnsi="Cambria Math"/>
              </w:rPr>
              <m:t>A</m:t>
            </m:r>
          </m:e>
          <m:sub>
            <m:r>
              <w:rPr>
                <w:rFonts w:ascii="Cambria Math" w:hAnsi="Cambria Math"/>
              </w:rPr>
              <m:t>C</m:t>
            </m:r>
          </m:sub>
          <m:sup>
            <m:r>
              <w:rPr>
                <w:rFonts w:ascii="Cambria Math" w:hAnsi="Cambria Math"/>
              </w:rPr>
              <m:t>AE</m:t>
            </m:r>
          </m:sup>
        </m:sSubSup>
        <m:d>
          <m:dPr>
            <m:ctrlPr>
              <w:rPr>
                <w:rFonts w:ascii="Cambria Math" w:hAnsi="Cambria Math"/>
                <w:i/>
              </w:rPr>
            </m:ctrlPr>
          </m:dPr>
          <m:e>
            <m:r>
              <w:rPr>
                <w:rFonts w:ascii="Cambria Math" w:hAnsi="Cambria Math"/>
              </w:rPr>
              <m:t>p</m:t>
            </m:r>
          </m:e>
        </m:d>
        <m:r>
          <w:rPr>
            <w:rFonts w:ascii="Cambria Math" w:hAnsi="Cambria Math"/>
          </w:rPr>
          <m:t>=</m:t>
        </m:r>
        <m:sSubSup>
          <m:sSubSupPr>
            <m:ctrlPr>
              <w:rPr>
                <w:rFonts w:ascii="Cambria Math" w:hAnsi="Cambria Math"/>
                <w:i/>
              </w:rPr>
            </m:ctrlPr>
          </m:sSubSupPr>
          <m:e>
            <m:r>
              <w:rPr>
                <w:rFonts w:ascii="Cambria Math" w:hAnsi="Cambria Math"/>
              </w:rPr>
              <m:t>A</m:t>
            </m:r>
          </m:e>
          <m:sub>
            <m:r>
              <w:rPr>
                <w:rFonts w:ascii="Cambria Math" w:hAnsi="Cambria Math"/>
              </w:rPr>
              <m:t>C</m:t>
            </m:r>
          </m:sub>
          <m:sup>
            <m:r>
              <w:rPr>
                <w:rFonts w:ascii="Cambria Math" w:hAnsi="Cambria Math"/>
              </w:rPr>
              <m:t>AE</m:t>
            </m:r>
          </m:sup>
        </m:sSubSup>
        <m:d>
          <m:dPr>
            <m:ctrlPr>
              <w:rPr>
                <w:rFonts w:ascii="Cambria Math" w:hAnsi="Cambria Math"/>
                <w:i/>
              </w:rPr>
            </m:ctrlPr>
          </m:dPr>
          <m:e>
            <m:r>
              <w:rPr>
                <w:rFonts w:ascii="Cambria Math" w:hAnsi="Cambria Math"/>
              </w:rPr>
              <m:t>1%</m:t>
            </m:r>
          </m:e>
        </m:d>
      </m:oMath>
      <w:r>
        <w:rPr>
          <w:i/>
        </w:rPr>
        <w:t>      </w:t>
      </w:r>
      <w:r>
        <w:t xml:space="preserve">for </w:t>
      </w:r>
      <w:r>
        <w:rPr>
          <w:i/>
          <w:iCs/>
        </w:rPr>
        <w:t>p</w:t>
      </w:r>
      <w:r>
        <w:t> &lt; 1.0%</w:t>
      </w:r>
      <w:r>
        <w:tab/>
        <w:t>(9a)</w:t>
      </w:r>
    </w:p>
    <w:p w14:paraId="55DC772A" w14:textId="77777777" w:rsidR="00342460" w:rsidRDefault="00342460" w:rsidP="00342460">
      <w:pPr>
        <w:pStyle w:val="Equation"/>
      </w:pPr>
      <w:r>
        <w:tab/>
      </w:r>
      <w:r>
        <w:tab/>
      </w:r>
      <m:oMath>
        <m:sSubSup>
          <m:sSubSupPr>
            <m:ctrlPr>
              <w:rPr>
                <w:rFonts w:ascii="Cambria Math" w:hAnsi="Cambria Math"/>
              </w:rPr>
            </m:ctrlPr>
          </m:sSubSupPr>
          <m:e>
            <m:r>
              <w:rPr>
                <w:rFonts w:ascii="Cambria Math" w:hAnsi="Cambria Math"/>
              </w:rPr>
              <m:t>A</m:t>
            </m:r>
          </m:e>
          <m:sub>
            <m:r>
              <w:rPr>
                <w:rFonts w:ascii="Cambria Math" w:hAnsi="Cambria Math"/>
              </w:rPr>
              <m:t>G</m:t>
            </m:r>
          </m:sub>
          <m:sup>
            <m:r>
              <w:rPr>
                <w:rFonts w:ascii="Cambria Math" w:hAnsi="Cambria Math"/>
              </w:rPr>
              <m:t>AE</m:t>
            </m:r>
          </m:sup>
        </m:sSubSup>
        <m:d>
          <m:dPr>
            <m:ctrlPr>
              <w:rPr>
                <w:rFonts w:ascii="Cambria Math" w:hAnsi="Cambria Math"/>
              </w:rPr>
            </m:ctrlPr>
          </m:dPr>
          <m:e>
            <m:r>
              <w:rPr>
                <w:rFonts w:ascii="Cambria Math" w:hAnsi="Cambria Math"/>
              </w:rPr>
              <m:t>p</m:t>
            </m:r>
          </m:e>
        </m:d>
        <m:r>
          <m:rPr>
            <m:sty m:val="p"/>
          </m:rPr>
          <w:rPr>
            <w:rFonts w:ascii="Cambria Math" w:hAnsi="Cambria Math"/>
          </w:rPr>
          <m:t>=</m:t>
        </m:r>
        <m:sSubSup>
          <m:sSubSupPr>
            <m:ctrlPr>
              <w:rPr>
                <w:rFonts w:ascii="Cambria Math" w:hAnsi="Cambria Math"/>
              </w:rPr>
            </m:ctrlPr>
          </m:sSubSupPr>
          <m:e>
            <m:r>
              <w:rPr>
                <w:rFonts w:ascii="Cambria Math" w:hAnsi="Cambria Math"/>
              </w:rPr>
              <m:t>A</m:t>
            </m:r>
          </m:e>
          <m:sub>
            <m:r>
              <w:rPr>
                <w:rFonts w:ascii="Cambria Math" w:hAnsi="Cambria Math"/>
              </w:rPr>
              <m:t>G</m:t>
            </m:r>
          </m:sub>
          <m:sup>
            <m:r>
              <w:rPr>
                <w:rFonts w:ascii="Cambria Math" w:hAnsi="Cambria Math"/>
              </w:rPr>
              <m:t>AE</m:t>
            </m:r>
          </m:sup>
        </m:sSubSup>
        <m:r>
          <m:rPr>
            <m:sty m:val="p"/>
          </m:rPr>
          <w:rPr>
            <w:rFonts w:ascii="Cambria Math" w:hAnsi="Cambria Math"/>
          </w:rPr>
          <m:t>(1%)</m:t>
        </m:r>
      </m:oMath>
      <w:r>
        <w:rPr>
          <w:i/>
        </w:rPr>
        <w:t>      </w:t>
      </w:r>
      <w:r>
        <w:t xml:space="preserve">for </w:t>
      </w:r>
      <w:r>
        <w:rPr>
          <w:i/>
        </w:rPr>
        <w:t>p</w:t>
      </w:r>
      <w:r>
        <w:t> &lt; 1.0%</w:t>
      </w:r>
      <w:r>
        <w:tab/>
        <w:t>(9b)</w:t>
      </w:r>
    </w:p>
    <w:p w14:paraId="05D45CCE" w14:textId="77777777" w:rsidR="00342460" w:rsidRDefault="00342460" w:rsidP="00342460">
      <w:pPr>
        <w:pStyle w:val="Heading2"/>
      </w:pPr>
      <w:r>
        <w:t>5.2</w:t>
      </w:r>
      <w:r>
        <w:tab/>
        <w:t>Gaseous attenuation</w:t>
      </w:r>
    </w:p>
    <w:p w14:paraId="3EF8F672" w14:textId="77777777" w:rsidR="00342460" w:rsidRDefault="00522FC6" w:rsidP="00342460">
      <m:oMath>
        <m:sSubSup>
          <m:sSubSupPr>
            <m:ctrlPr>
              <w:rPr>
                <w:rFonts w:ascii="Cambria Math" w:hAnsi="Cambria Math"/>
                <w:i/>
              </w:rPr>
            </m:ctrlPr>
          </m:sSubSupPr>
          <m:e>
            <m:r>
              <w:rPr>
                <w:rFonts w:ascii="Cambria Math" w:hAnsi="Cambria Math"/>
              </w:rPr>
              <m:t>A</m:t>
            </m:r>
          </m:e>
          <m:sub>
            <m:r>
              <w:rPr>
                <w:rFonts w:ascii="Cambria Math" w:hAnsi="Cambria Math"/>
              </w:rPr>
              <m:t>G</m:t>
            </m:r>
          </m:sub>
          <m:sup>
            <m:r>
              <w:rPr>
                <w:rFonts w:ascii="Cambria Math" w:hAnsi="Cambria Math"/>
              </w:rPr>
              <m:t>AE</m:t>
            </m:r>
          </m:sup>
        </m:sSubSup>
        <m:r>
          <w:rPr>
            <w:rFonts w:ascii="Cambria Math" w:hAnsi="Cambria Math"/>
          </w:rPr>
          <m:t>(p)</m:t>
        </m:r>
      </m:oMath>
      <w:r w:rsidR="00342460">
        <w:t xml:space="preserve"> is predicted as follows:</w:t>
      </w:r>
    </w:p>
    <w:p w14:paraId="70134250" w14:textId="77777777" w:rsidR="00342460" w:rsidRDefault="00342460" w:rsidP="00342460">
      <w:pPr>
        <w:pStyle w:val="Equation"/>
      </w:pPr>
      <w:r>
        <w:tab/>
      </w:r>
      <w:r>
        <w:tab/>
      </w:r>
      <m:oMath>
        <m:sSubSup>
          <m:sSubSupPr>
            <m:ctrlPr>
              <w:rPr>
                <w:rFonts w:ascii="Cambria Math" w:hAnsi="Cambria Math"/>
              </w:rPr>
            </m:ctrlPr>
          </m:sSubSupPr>
          <m:e>
            <m:r>
              <w:rPr>
                <w:rFonts w:ascii="Cambria Math" w:hAnsi="Cambria Math"/>
              </w:rPr>
              <m:t>A</m:t>
            </m:r>
          </m:e>
          <m:sub>
            <m:r>
              <w:rPr>
                <w:rFonts w:ascii="Cambria Math" w:hAnsi="Cambria Math"/>
              </w:rPr>
              <m:t>G</m:t>
            </m:r>
          </m:sub>
          <m:sup>
            <m:r>
              <w:rPr>
                <w:rFonts w:ascii="Cambria Math" w:hAnsi="Cambria Math"/>
              </w:rPr>
              <m:t>AE</m:t>
            </m:r>
          </m:sup>
        </m:sSubSup>
        <m:d>
          <m:dPr>
            <m:ctrlPr>
              <w:rPr>
                <w:rFonts w:ascii="Cambria Math" w:hAnsi="Cambria Math"/>
              </w:rPr>
            </m:ctrlPr>
          </m:dPr>
          <m:e>
            <m:r>
              <w:rPr>
                <w:rFonts w:ascii="Cambria Math" w:hAnsi="Cambria Math"/>
              </w:rPr>
              <m:t>p</m:t>
            </m:r>
          </m:e>
        </m:d>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G</m:t>
            </m:r>
          </m:sub>
        </m:sSub>
        <m:d>
          <m:dPr>
            <m:ctrlPr>
              <w:rPr>
                <w:rFonts w:ascii="Cambria Math" w:hAnsi="Cambria Math"/>
              </w:rPr>
            </m:ctrlPr>
          </m:dPr>
          <m:e>
            <m:r>
              <w:rPr>
                <w:rFonts w:ascii="Cambria Math" w:hAnsi="Cambria Math"/>
              </w:rPr>
              <m:t>p</m:t>
            </m:r>
          </m:e>
        </m:d>
        <m:r>
          <m:rPr>
            <m:sty m:val="p"/>
          </m:rPr>
          <w:rPr>
            <w:rFonts w:ascii="Cambria Math" w:hAnsi="Cambria Math"/>
          </w:rPr>
          <m:t>-</m:t>
        </m:r>
        <m:sSubSup>
          <m:sSubSupPr>
            <m:ctrlPr>
              <w:rPr>
                <w:rFonts w:ascii="Cambria Math" w:hAnsi="Cambria Math"/>
              </w:rPr>
            </m:ctrlPr>
          </m:sSubSupPr>
          <m:e>
            <m:r>
              <w:rPr>
                <w:rFonts w:ascii="Cambria Math" w:hAnsi="Cambria Math"/>
              </w:rPr>
              <m:t>A</m:t>
            </m:r>
          </m:e>
          <m:sub>
            <m:r>
              <w:rPr>
                <w:rFonts w:ascii="Cambria Math" w:hAnsi="Cambria Math"/>
              </w:rPr>
              <m:t>G</m:t>
            </m:r>
          </m:sub>
          <m:sup>
            <m:r>
              <w:rPr>
                <w:rFonts w:ascii="Cambria Math" w:hAnsi="Cambria Math"/>
              </w:rPr>
              <m:t>AS</m:t>
            </m:r>
          </m:sup>
        </m:sSubSup>
        <m:r>
          <m:rPr>
            <m:sty m:val="p"/>
          </m:rPr>
          <w:rPr>
            <w:rFonts w:ascii="Cambria Math" w:hAnsi="Cambria Math"/>
          </w:rPr>
          <m:t>(</m:t>
        </m:r>
        <m:r>
          <w:rPr>
            <w:rFonts w:ascii="Cambria Math" w:hAnsi="Cambria Math"/>
          </w:rPr>
          <m:t>p</m:t>
        </m:r>
        <m:r>
          <m:rPr>
            <m:sty m:val="p"/>
          </m:rPr>
          <w:rPr>
            <w:rFonts w:ascii="Cambria Math" w:hAnsi="Cambria Math"/>
          </w:rPr>
          <m:t>)</m:t>
        </m:r>
      </m:oMath>
      <w:r>
        <w:tab/>
        <w:t>(10)</w:t>
      </w:r>
    </w:p>
    <w:p w14:paraId="2DE3DB2B" w14:textId="77777777" w:rsidR="00342460" w:rsidRDefault="00342460" w:rsidP="00342460">
      <w:pPr>
        <w:keepNext/>
        <w:keepLines/>
      </w:pPr>
      <w:r>
        <w:lastRenderedPageBreak/>
        <w:t>where:</w:t>
      </w:r>
    </w:p>
    <w:p w14:paraId="195BCDE0" w14:textId="77777777" w:rsidR="00342460" w:rsidRDefault="00342460" w:rsidP="00342460">
      <w:pPr>
        <w:pStyle w:val="Equationlegend"/>
      </w:pPr>
      <w:r>
        <w:tab/>
      </w:r>
      <m:oMath>
        <m:sSub>
          <m:sSubPr>
            <m:ctrlPr>
              <w:rPr>
                <w:rFonts w:ascii="Cambria Math" w:hAnsi="Cambria Math"/>
                <w:i/>
              </w:rPr>
            </m:ctrlPr>
          </m:sSubPr>
          <m:e>
            <m:r>
              <w:rPr>
                <w:rFonts w:ascii="Cambria Math" w:hAnsi="Cambria Math"/>
              </w:rPr>
              <m:t>A</m:t>
            </m:r>
          </m:e>
          <m:sub>
            <m:r>
              <w:rPr>
                <w:rFonts w:ascii="Cambria Math" w:hAnsi="Cambria Math"/>
              </w:rPr>
              <m:t>G</m:t>
            </m:r>
          </m:sub>
        </m:sSub>
        <m:d>
          <m:dPr>
            <m:ctrlPr>
              <w:rPr>
                <w:rFonts w:ascii="Cambria Math" w:hAnsi="Cambria Math"/>
                <w:i/>
              </w:rPr>
            </m:ctrlPr>
          </m:dPr>
          <m:e>
            <m:r>
              <w:rPr>
                <w:rFonts w:ascii="Cambria Math" w:hAnsi="Cambria Math"/>
              </w:rPr>
              <m:t>p</m:t>
            </m:r>
          </m:e>
        </m:d>
      </m:oMath>
      <w:r>
        <w:t>:</w:t>
      </w:r>
      <w:r>
        <w:tab/>
        <w:t>gaseous attenuation between the surface of the Earth and space along the same path</w:t>
      </w:r>
    </w:p>
    <w:p w14:paraId="71F5C843" w14:textId="77777777" w:rsidR="00342460" w:rsidRDefault="00342460" w:rsidP="00342460">
      <w:pPr>
        <w:pStyle w:val="Equationlegend"/>
      </w:pPr>
      <w:r>
        <w:tab/>
      </w:r>
      <m:oMath>
        <m:sSubSup>
          <m:sSubSupPr>
            <m:ctrlPr>
              <w:rPr>
                <w:rFonts w:ascii="Cambria Math" w:hAnsi="Cambria Math"/>
                <w:i/>
              </w:rPr>
            </m:ctrlPr>
          </m:sSubSupPr>
          <m:e>
            <m:r>
              <w:rPr>
                <w:rFonts w:ascii="Cambria Math" w:hAnsi="Cambria Math"/>
              </w:rPr>
              <m:t>A</m:t>
            </m:r>
          </m:e>
          <m:sub>
            <m:r>
              <w:rPr>
                <w:rFonts w:ascii="Cambria Math" w:hAnsi="Cambria Math"/>
              </w:rPr>
              <m:t>G</m:t>
            </m:r>
          </m:sub>
          <m:sup>
            <m:r>
              <w:rPr>
                <w:rFonts w:ascii="Cambria Math" w:hAnsi="Cambria Math"/>
              </w:rPr>
              <m:t>AS</m:t>
            </m:r>
          </m:sup>
        </m:sSubSup>
        <m:r>
          <w:rPr>
            <w:rFonts w:ascii="Cambria Math" w:hAnsi="Cambria Math"/>
          </w:rPr>
          <m:t>(p)</m:t>
        </m:r>
      </m:oMath>
      <w:r>
        <w:t>:</w:t>
      </w:r>
      <w:r>
        <w:tab/>
        <w:t>calculated per equation (5).</w:t>
      </w:r>
    </w:p>
    <w:p w14:paraId="7D10B3E3" w14:textId="77777777" w:rsidR="00342460" w:rsidRDefault="00342460" w:rsidP="00342460">
      <w:pPr>
        <w:pStyle w:val="Heading2"/>
      </w:pPr>
      <w:r>
        <w:t>5.3</w:t>
      </w:r>
      <w:r>
        <w:tab/>
        <w:t>Cloud attenuation</w:t>
      </w:r>
    </w:p>
    <w:p w14:paraId="04D20DEB" w14:textId="14C2E329" w:rsidR="00342460" w:rsidRDefault="00342460" w:rsidP="00342460">
      <w:r>
        <w:t xml:space="preserve">It is difficult to predict cloud attenuation from an airborne platform to the surface of the Earth since different cloud types are at different altitudes with different vertical extents. However, a conservative approach is to include cloud attenuation predicted by Recommendation </w:t>
      </w:r>
      <w:hyperlink r:id="rId42" w:history="1">
        <w:r w:rsidR="00057252">
          <w:rPr>
            <w:rStyle w:val="Hyperlink"/>
            <w:color w:val="auto"/>
            <w:u w:val="none"/>
          </w:rPr>
          <w:t>ITU-R P.840</w:t>
        </w:r>
      </w:hyperlink>
      <w:r>
        <w:t xml:space="preserve"> for all altitudes.</w:t>
      </w:r>
    </w:p>
    <w:p w14:paraId="096CACFE" w14:textId="77777777" w:rsidR="00342460" w:rsidRDefault="00342460" w:rsidP="00342460">
      <w:pPr>
        <w:pStyle w:val="Heading2"/>
      </w:pPr>
      <w:r>
        <w:t>5.4</w:t>
      </w:r>
      <w:r>
        <w:tab/>
        <w:t>Rain attenuation</w:t>
      </w:r>
    </w:p>
    <w:p w14:paraId="29353DBA" w14:textId="77777777" w:rsidR="00342460" w:rsidRDefault="00522FC6" w:rsidP="00342460">
      <m:oMath>
        <m:sSubSup>
          <m:sSubSupPr>
            <m:ctrlPr>
              <w:rPr>
                <w:rFonts w:ascii="Cambria Math" w:hAnsi="Cambria Math"/>
                <w:i/>
              </w:rPr>
            </m:ctrlPr>
          </m:sSubSupPr>
          <m:e>
            <m:r>
              <w:rPr>
                <w:rFonts w:ascii="Cambria Math" w:hAnsi="Cambria Math"/>
              </w:rPr>
              <m:t>A</m:t>
            </m:r>
          </m:e>
          <m:sub>
            <m:r>
              <w:rPr>
                <w:rFonts w:ascii="Cambria Math" w:hAnsi="Cambria Math"/>
              </w:rPr>
              <m:t>R</m:t>
            </m:r>
          </m:sub>
          <m:sup>
            <m:r>
              <w:rPr>
                <w:rFonts w:ascii="Cambria Math" w:hAnsi="Cambria Math"/>
              </w:rPr>
              <m:t>AE</m:t>
            </m:r>
          </m:sup>
        </m:sSubSup>
        <m:r>
          <w:rPr>
            <w:rFonts w:ascii="Cambria Math" w:hAnsi="Cambria Math"/>
          </w:rPr>
          <m:t>(p)</m:t>
        </m:r>
      </m:oMath>
      <w:r w:rsidR="00342460">
        <w:t xml:space="preserve"> is predicted as follows:</w:t>
      </w:r>
    </w:p>
    <w:p w14:paraId="7A8DDDE9" w14:textId="77777777" w:rsidR="00342460" w:rsidRDefault="00342460" w:rsidP="00342460">
      <w:pPr>
        <w:pStyle w:val="Equation"/>
      </w:pPr>
      <w:r>
        <w:tab/>
      </w:r>
      <w:r>
        <w:tab/>
      </w:r>
      <m:oMath>
        <m:sSubSup>
          <m:sSubSupPr>
            <m:ctrlPr>
              <w:rPr>
                <w:rFonts w:ascii="Cambria Math" w:hAnsi="Cambria Math"/>
              </w:rPr>
            </m:ctrlPr>
          </m:sSubSupPr>
          <m:e>
            <m:r>
              <w:rPr>
                <w:rFonts w:ascii="Cambria Math" w:hAnsi="Cambria Math"/>
              </w:rPr>
              <m:t>A</m:t>
            </m:r>
          </m:e>
          <m:sub>
            <m:r>
              <w:rPr>
                <w:rFonts w:ascii="Cambria Math" w:hAnsi="Cambria Math"/>
              </w:rPr>
              <m:t>R</m:t>
            </m:r>
          </m:sub>
          <m:sup>
            <m:r>
              <w:rPr>
                <w:rFonts w:ascii="Cambria Math" w:hAnsi="Cambria Math"/>
              </w:rPr>
              <m:t>AE</m:t>
            </m:r>
          </m:sup>
        </m:sSubSup>
        <m:d>
          <m:dPr>
            <m:ctrlPr>
              <w:rPr>
                <w:rFonts w:ascii="Cambria Math" w:hAnsi="Cambria Math"/>
              </w:rPr>
            </m:ctrlPr>
          </m:dPr>
          <m:e>
            <m:r>
              <w:rPr>
                <w:rFonts w:ascii="Cambria Math" w:hAnsi="Cambria Math"/>
              </w:rPr>
              <m:t>p</m:t>
            </m:r>
          </m:e>
        </m:d>
        <m:r>
          <m:rPr>
            <m:sty m:val="p"/>
          </m:rPr>
          <w:rPr>
            <w:rFonts w:ascii="Cambria Math" w:hAnsi="Cambria Math"/>
          </w:rPr>
          <m:t>=</m:t>
        </m:r>
        <m:sSubSup>
          <m:sSubSupPr>
            <m:ctrlPr>
              <w:rPr>
                <w:rFonts w:ascii="Cambria Math" w:hAnsi="Cambria Math"/>
              </w:rPr>
            </m:ctrlPr>
          </m:sSubSupPr>
          <m:e>
            <m:sSub>
              <m:sSubPr>
                <m:ctrlPr>
                  <w:rPr>
                    <w:rFonts w:ascii="Cambria Math" w:hAnsi="Cambria Math"/>
                  </w:rPr>
                </m:ctrlPr>
              </m:sSubPr>
              <m:e>
                <m:r>
                  <w:rPr>
                    <w:rFonts w:ascii="Cambria Math" w:hAnsi="Cambria Math"/>
                  </w:rPr>
                  <m:t>A</m:t>
                </m:r>
              </m:e>
              <m:sub>
                <m:r>
                  <w:rPr>
                    <w:rFonts w:ascii="Cambria Math" w:hAnsi="Cambria Math"/>
                  </w:rPr>
                  <m:t>R</m:t>
                </m:r>
              </m:sub>
            </m:sSub>
            <m:d>
              <m:dPr>
                <m:ctrlPr>
                  <w:rPr>
                    <w:rFonts w:ascii="Cambria Math" w:hAnsi="Cambria Math"/>
                  </w:rPr>
                </m:ctrlPr>
              </m:dPr>
              <m:e>
                <m:r>
                  <w:rPr>
                    <w:rFonts w:ascii="Cambria Math" w:hAnsi="Cambria Math"/>
                  </w:rPr>
                  <m:t>p</m:t>
                </m:r>
              </m:e>
            </m:d>
            <m:r>
              <m:rPr>
                <m:sty m:val="p"/>
              </m:rPr>
              <w:rPr>
                <w:rFonts w:ascii="Cambria Math" w:hAnsi="Cambria Math"/>
              </w:rPr>
              <m:t>-</m:t>
            </m:r>
            <m:r>
              <w:rPr>
                <w:rFonts w:ascii="Cambria Math" w:hAnsi="Cambria Math"/>
              </w:rPr>
              <m:t>A</m:t>
            </m:r>
          </m:e>
          <m:sub>
            <m:r>
              <w:rPr>
                <w:rFonts w:ascii="Cambria Math" w:hAnsi="Cambria Math"/>
              </w:rPr>
              <m:t>R</m:t>
            </m:r>
          </m:sub>
          <m:sup>
            <m:r>
              <w:rPr>
                <w:rFonts w:ascii="Cambria Math" w:hAnsi="Cambria Math"/>
              </w:rPr>
              <m:t>AS</m:t>
            </m:r>
          </m:sup>
        </m:sSubSup>
        <m:r>
          <m:rPr>
            <m:sty m:val="p"/>
          </m:rPr>
          <w:rPr>
            <w:rFonts w:ascii="Cambria Math" w:hAnsi="Cambria Math"/>
          </w:rPr>
          <m:t>(</m:t>
        </m:r>
        <m:r>
          <w:rPr>
            <w:rFonts w:ascii="Cambria Math" w:hAnsi="Cambria Math"/>
          </w:rPr>
          <m:t>p</m:t>
        </m:r>
        <m:r>
          <m:rPr>
            <m:sty m:val="p"/>
          </m:rPr>
          <w:rPr>
            <w:rFonts w:ascii="Cambria Math" w:hAnsi="Cambria Math"/>
          </w:rPr>
          <m:t>)</m:t>
        </m:r>
      </m:oMath>
      <w:r>
        <w:tab/>
        <w:t>(11)</w:t>
      </w:r>
    </w:p>
    <w:p w14:paraId="7BAE7ED4" w14:textId="77777777" w:rsidR="001B7430" w:rsidRDefault="001B7430" w:rsidP="001B7430">
      <w:pPr>
        <w:pStyle w:val="Blanc"/>
      </w:pPr>
    </w:p>
    <w:p w14:paraId="2F872F94" w14:textId="77777777" w:rsidR="00342460" w:rsidRDefault="00342460" w:rsidP="00342460">
      <w:r>
        <w:t xml:space="preserve">where </w:t>
      </w:r>
      <m:oMath>
        <m:sSub>
          <m:sSubPr>
            <m:ctrlPr>
              <w:rPr>
                <w:rFonts w:ascii="Cambria Math" w:hAnsi="Cambria Math"/>
                <w:i/>
              </w:rPr>
            </m:ctrlPr>
          </m:sSubPr>
          <m:e>
            <m:r>
              <w:rPr>
                <w:rFonts w:ascii="Cambria Math" w:hAnsi="Cambria Math"/>
              </w:rPr>
              <m:t>A</m:t>
            </m:r>
          </m:e>
          <m:sub>
            <m:r>
              <w:rPr>
                <w:rFonts w:ascii="Cambria Math" w:hAnsi="Cambria Math"/>
              </w:rPr>
              <m:t>R</m:t>
            </m:r>
          </m:sub>
        </m:sSub>
        <m:r>
          <w:rPr>
            <w:rFonts w:ascii="Cambria Math" w:hAnsi="Cambria Math"/>
          </w:rPr>
          <m:t>(p)</m:t>
        </m:r>
      </m:oMath>
      <w:r>
        <w:t xml:space="preserve"> is the rain attenuation between the surface of the Earth and space.</w:t>
      </w:r>
    </w:p>
    <w:p w14:paraId="70390506" w14:textId="77777777" w:rsidR="00342460" w:rsidRDefault="00342460" w:rsidP="00342460">
      <w:pPr>
        <w:pStyle w:val="Heading2"/>
      </w:pPr>
      <w:r>
        <w:t>5.5</w:t>
      </w:r>
      <w:r>
        <w:tab/>
        <w:t>Fading due to tropospheric scintillation</w:t>
      </w:r>
    </w:p>
    <w:p w14:paraId="5682A33A" w14:textId="521FF40E" w:rsidR="00342460" w:rsidRDefault="00342460" w:rsidP="00342460">
      <w:r>
        <w:t xml:space="preserve">Fading due to tropospheric scintillation is predicted from Recommendation </w:t>
      </w:r>
      <w:hyperlink r:id="rId43" w:history="1">
        <w:r w:rsidR="00636270">
          <w:rPr>
            <w:rStyle w:val="Hyperlink"/>
            <w:color w:val="auto"/>
            <w:u w:val="none"/>
          </w:rPr>
          <w:t>ITU-R P.618</w:t>
        </w:r>
      </w:hyperlink>
      <w:r>
        <w:t>. Tropospheric scintillation is included for all altitudes.</w:t>
      </w:r>
    </w:p>
    <w:p w14:paraId="6CBCBF36" w14:textId="77777777" w:rsidR="00342460" w:rsidRDefault="00342460" w:rsidP="00342460">
      <w:pPr>
        <w:pStyle w:val="Heading1"/>
      </w:pPr>
      <w:r>
        <w:t>6</w:t>
      </w:r>
      <w:r>
        <w:tab/>
        <w:t>Applicability to specific airborne missions</w:t>
      </w:r>
    </w:p>
    <w:p w14:paraId="20005DF9" w14:textId="77777777" w:rsidR="00342460" w:rsidRDefault="00342460" w:rsidP="00342460">
      <w:r>
        <w:t>The prediction methods described in this Recommendation correspond to the long-term average availability at a specific altitude and elevation angle. These prediction methods can also be used to predict the worst-case or average link availability for any applicable altitude and elevation angle profile. The time duration of an impairment (e.g. rain attenuation) will be dependent on the dynamics of the airborne platform.</w:t>
      </w:r>
    </w:p>
    <w:p w14:paraId="4B10D1AE" w14:textId="77777777" w:rsidR="00B874C6" w:rsidRDefault="00B874C6" w:rsidP="00B874C6"/>
    <w:p w14:paraId="5F48E297" w14:textId="77777777" w:rsidR="00B874C6" w:rsidRPr="00BF487A" w:rsidRDefault="00B874C6" w:rsidP="00B874C6">
      <w:pPr>
        <w:pStyle w:val="Line"/>
      </w:pPr>
    </w:p>
    <w:sectPr w:rsidR="00B874C6" w:rsidRPr="00BF487A" w:rsidSect="007565CC">
      <w:footerReference w:type="default" r:id="rId44"/>
      <w:pgSz w:w="11907" w:h="16834" w:code="9"/>
      <w:pgMar w:top="1418" w:right="1134" w:bottom="1134" w:left="1134" w:header="720" w:footer="48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EC355" w14:textId="77777777" w:rsidR="00522FC6" w:rsidRDefault="00522FC6">
      <w:r>
        <w:separator/>
      </w:r>
    </w:p>
  </w:endnote>
  <w:endnote w:type="continuationSeparator" w:id="0">
    <w:p w14:paraId="46938538" w14:textId="77777777" w:rsidR="00522FC6" w:rsidRDefault="00522F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Next LT Pro Medium">
    <w:panose1 w:val="00000000000000000000"/>
    <w:charset w:val="00"/>
    <w:family w:val="swiss"/>
    <w:notTrueType/>
    <w:pitch w:val="variable"/>
    <w:sig w:usb0="800000AF" w:usb1="5000204A" w:usb2="00000000" w:usb3="00000000" w:csb0="00000093" w:csb1="00000000"/>
  </w:font>
  <w:font w:name="AvenirNext LT Pro Regular">
    <w:panose1 w:val="00000000000000000000"/>
    <w:charset w:val="00"/>
    <w:family w:val="swiss"/>
    <w:notTrueType/>
    <w:pitch w:val="variable"/>
    <w:sig w:usb0="800000AF" w:usb1="5000204A"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 w:name="CambriaMath">
    <w:altName w:val="DengXian"/>
    <w:panose1 w:val="00000000000000000000"/>
    <w:charset w:val="86"/>
    <w:family w:val="auto"/>
    <w:notTrueType/>
    <w:pitch w:val="default"/>
    <w:sig w:usb0="00000001" w:usb1="080E0000" w:usb2="00000010" w:usb3="00000000" w:csb0="00040000" w:csb1="00000000"/>
  </w:font>
  <w:font w:name="TimesNewRoman">
    <w:altName w:val="Times New Roman"/>
    <w:panose1 w:val="00000000000000000000"/>
    <w:charset w:val="00"/>
    <w:family w:val="roman"/>
    <w:notTrueType/>
    <w:pitch w:val="default"/>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29501" w14:textId="77777777" w:rsidR="00301DB3" w:rsidRDefault="00301DB3">
    <w:pPr>
      <w:pStyle w:val="Footer"/>
    </w:pPr>
    <w:r>
      <w:drawing>
        <wp:anchor distT="0" distB="0" distL="0" distR="0" simplePos="0" relativeHeight="251656192" behindDoc="0" locked="0" layoutInCell="1" allowOverlap="1" wp14:anchorId="2AFCB5B6" wp14:editId="0F4BE49C">
          <wp:simplePos x="0" y="0"/>
          <wp:positionH relativeFrom="page">
            <wp:posOffset>6346209</wp:posOffset>
          </wp:positionH>
          <wp:positionV relativeFrom="page">
            <wp:posOffset>9501505</wp:posOffset>
          </wp:positionV>
          <wp:extent cx="738000" cy="813600"/>
          <wp:effectExtent l="0" t="0" r="0" b="0"/>
          <wp:wrapNone/>
          <wp:docPr id="737728288" name="image1.png" descr="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ITU logo"/>
                  <pic:cNvPicPr/>
                </pic:nvPicPr>
                <pic:blipFill>
                  <a:blip r:embed="rId1" cstate="print"/>
                  <a:stretch>
                    <a:fillRect/>
                  </a:stretch>
                </pic:blipFill>
                <pic:spPr>
                  <a:xfrm>
                    <a:off x="0" y="0"/>
                    <a:ext cx="738000" cy="813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8C4F6" w14:textId="77777777" w:rsidR="00C15F3E" w:rsidRDefault="00C15F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5D9BA" w14:textId="77777777" w:rsidR="00522FC6" w:rsidRDefault="00522FC6">
      <w:r>
        <w:separator/>
      </w:r>
    </w:p>
  </w:footnote>
  <w:footnote w:type="continuationSeparator" w:id="0">
    <w:p w14:paraId="2F3D9B19" w14:textId="77777777" w:rsidR="00522FC6" w:rsidRDefault="00522F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E342D" w14:textId="77777777" w:rsidR="001B164E" w:rsidRDefault="001B164E">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6"/>
      <w:gridCol w:w="5914"/>
    </w:tblGrid>
    <w:tr w:rsidR="005B0371" w:rsidRPr="00A239D1" w14:paraId="5690A967" w14:textId="77777777" w:rsidTr="0019307B">
      <w:tc>
        <w:tcPr>
          <w:tcW w:w="4634" w:type="dxa"/>
          <w:vAlign w:val="center"/>
        </w:tcPr>
        <w:p w14:paraId="3BB1CFF1" w14:textId="77777777" w:rsidR="00EE47C4" w:rsidRPr="005B0371" w:rsidRDefault="00425BC7" w:rsidP="00B9169E">
          <w:pPr>
            <w:pStyle w:val="Header"/>
            <w:jc w:val="left"/>
            <w:rPr>
              <w:rFonts w:ascii="Arial Black" w:hAnsi="Arial Black" w:cs="Arial"/>
              <w:color w:val="FFFFFF" w:themeColor="background1"/>
              <w:sz w:val="32"/>
              <w:szCs w:val="32"/>
            </w:rPr>
          </w:pPr>
          <w:r w:rsidRPr="005B0371">
            <w:rPr>
              <w:rFonts w:ascii="Arial Black" w:hAnsi="Arial Black" w:cs="Arial"/>
              <w:color w:val="FFFFFF" w:themeColor="background1"/>
              <w:sz w:val="32"/>
              <w:szCs w:val="32"/>
            </w:rPr>
            <w:t xml:space="preserve"> </w:t>
          </w:r>
        </w:p>
      </w:tc>
      <w:tc>
        <w:tcPr>
          <w:tcW w:w="5998" w:type="dxa"/>
          <w:vAlign w:val="center"/>
        </w:tcPr>
        <w:p w14:paraId="2F832E36" w14:textId="77777777" w:rsidR="00EE47C4" w:rsidRPr="00260B24" w:rsidRDefault="00EE47C4" w:rsidP="00744F8B">
          <w:pPr>
            <w:pStyle w:val="Header"/>
            <w:jc w:val="right"/>
            <w:rPr>
              <w:rFonts w:asciiTheme="minorBidi" w:hAnsiTheme="minorBidi"/>
              <w:b/>
              <w:spacing w:val="4"/>
              <w:szCs w:val="24"/>
            </w:rPr>
          </w:pPr>
          <w:r w:rsidRPr="00260B24">
            <w:rPr>
              <w:rFonts w:asciiTheme="minorBidi" w:hAnsiTheme="minorBidi"/>
              <w:b/>
              <w:spacing w:val="4"/>
              <w:szCs w:val="24"/>
            </w:rPr>
            <w:t>International Telecommunication Union</w:t>
          </w:r>
        </w:p>
      </w:tc>
    </w:tr>
    <w:tr w:rsidR="005B0371" w:rsidRPr="00A239D1" w14:paraId="61030E28" w14:textId="77777777" w:rsidTr="0019307B">
      <w:tc>
        <w:tcPr>
          <w:tcW w:w="4634" w:type="dxa"/>
          <w:vAlign w:val="center"/>
        </w:tcPr>
        <w:p w14:paraId="06BFC1D1" w14:textId="77777777" w:rsidR="00EE47C4" w:rsidRPr="00260B24" w:rsidRDefault="00EE47C4" w:rsidP="00744F8B">
          <w:pPr>
            <w:pStyle w:val="Header"/>
            <w:jc w:val="left"/>
            <w:rPr>
              <w:rFonts w:asciiTheme="minorBidi" w:hAnsiTheme="minorBidi"/>
              <w:spacing w:val="4"/>
              <w:sz w:val="21"/>
              <w:szCs w:val="21"/>
            </w:rPr>
          </w:pPr>
          <w:r w:rsidRPr="00260B24">
            <w:rPr>
              <w:rFonts w:asciiTheme="minorBidi" w:hAnsiTheme="minorBidi"/>
              <w:spacing w:val="4"/>
              <w:szCs w:val="24"/>
            </w:rPr>
            <w:t>Recommendation</w:t>
          </w:r>
          <w:r w:rsidR="004A6FEB" w:rsidRPr="00260B24">
            <w:rPr>
              <w:rFonts w:asciiTheme="minorBidi" w:hAnsiTheme="minorBidi"/>
              <w:spacing w:val="4"/>
              <w:szCs w:val="24"/>
            </w:rPr>
            <w:t>s</w:t>
          </w:r>
        </w:p>
      </w:tc>
      <w:tc>
        <w:tcPr>
          <w:tcW w:w="5998" w:type="dxa"/>
          <w:vAlign w:val="center"/>
        </w:tcPr>
        <w:p w14:paraId="057B29E6" w14:textId="77777777" w:rsidR="00EE47C4" w:rsidRPr="00260B24" w:rsidRDefault="00EE47C4" w:rsidP="00744F8B">
          <w:pPr>
            <w:pStyle w:val="Header"/>
            <w:jc w:val="right"/>
            <w:rPr>
              <w:rFonts w:asciiTheme="minorBidi" w:hAnsiTheme="minorBidi"/>
              <w:spacing w:val="4"/>
              <w:szCs w:val="24"/>
            </w:rPr>
          </w:pPr>
          <w:r w:rsidRPr="00260B24">
            <w:rPr>
              <w:rFonts w:asciiTheme="minorBidi" w:hAnsiTheme="minorBidi"/>
              <w:spacing w:val="4"/>
              <w:szCs w:val="24"/>
            </w:rPr>
            <w:t>Radiocommunication</w:t>
          </w:r>
          <w:r w:rsidR="00305119" w:rsidRPr="00260B24">
            <w:rPr>
              <w:rFonts w:asciiTheme="minorBidi" w:hAnsiTheme="minorBidi"/>
              <w:spacing w:val="4"/>
              <w:szCs w:val="24"/>
            </w:rPr>
            <w:t xml:space="preserve"> Sector</w:t>
          </w:r>
        </w:p>
      </w:tc>
    </w:tr>
  </w:tbl>
  <w:p w14:paraId="4D42F7D0" w14:textId="77777777" w:rsidR="00EE47C4" w:rsidRDefault="00486EB3" w:rsidP="004A6FEB">
    <w:pPr>
      <w:pStyle w:val="Header"/>
    </w:pPr>
    <w:r>
      <w:rPr>
        <w:rFonts w:ascii="Arial Black" w:hAnsi="Arial Black" w:cs="Arial"/>
        <w:noProof/>
        <w:sz w:val="32"/>
        <w:szCs w:val="32"/>
      </w:rPr>
      <w:drawing>
        <wp:anchor distT="0" distB="0" distL="114300" distR="114300" simplePos="0" relativeHeight="251657216" behindDoc="0" locked="0" layoutInCell="1" allowOverlap="1" wp14:anchorId="70DBEB1F" wp14:editId="4A48E1BD">
          <wp:simplePos x="0" y="0"/>
          <wp:positionH relativeFrom="column">
            <wp:posOffset>-358302</wp:posOffset>
          </wp:positionH>
          <wp:positionV relativeFrom="paragraph">
            <wp:posOffset>-534670</wp:posOffset>
          </wp:positionV>
          <wp:extent cx="1945758" cy="414616"/>
          <wp:effectExtent l="0" t="0" r="0" b="0"/>
          <wp:wrapNone/>
          <wp:docPr id="175667912" name="Picture 175667912" descr="ITUPubl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TUPublication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5758" cy="41461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507D4">
      <w:rPr>
        <w:rFonts w:ascii="Arial" w:hAnsi="Arial" w:cs="Arial"/>
        <w:noProof/>
      </w:rPr>
      <mc:AlternateContent>
        <mc:Choice Requires="wps">
          <w:drawing>
            <wp:anchor distT="0" distB="0" distL="114300" distR="114300" simplePos="0" relativeHeight="251658240" behindDoc="0" locked="0" layoutInCell="1" allowOverlap="1" wp14:anchorId="5C1667A6" wp14:editId="1676DF3A">
              <wp:simplePos x="0" y="0"/>
              <wp:positionH relativeFrom="column">
                <wp:posOffset>-106045</wp:posOffset>
              </wp:positionH>
              <wp:positionV relativeFrom="paragraph">
                <wp:posOffset>164465</wp:posOffset>
              </wp:positionV>
              <wp:extent cx="301625" cy="172085"/>
              <wp:effectExtent l="17780" t="12065" r="23495" b="15875"/>
              <wp:wrapNone/>
              <wp:docPr id="6" name="AutoShap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1625" cy="172085"/>
                      </a:xfrm>
                      <a:prstGeom prst="triangle">
                        <a:avLst>
                          <a:gd name="adj" fmla="val 50000"/>
                        </a:avLst>
                      </a:prstGeom>
                      <a:solidFill>
                        <a:schemeClr val="bg1">
                          <a:lumMod val="100000"/>
                          <a:lumOff val="0"/>
                        </a:schemeClr>
                      </a:solidFill>
                      <a:ln w="9525">
                        <a:solidFill>
                          <a:srgbClr val="F8F8F8"/>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9B0B7F"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alt="&quot;&quot;" style="position:absolute;margin-left:-8.35pt;margin-top:12.95pt;width:23.75pt;height:13.55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" fillcolor="white [3212]" strokecolor="#f8f8f8"/>
          </w:pict>
        </mc:Fallback>
      </mc:AlternateContent>
    </w:r>
  </w:p>
  <w:p w14:paraId="1D29B3E4" w14:textId="77777777" w:rsidR="004A6FEB" w:rsidRDefault="00A507D4" w:rsidP="004A6FEB">
    <w:pPr>
      <w:pStyle w:val="Header"/>
      <w:ind w:right="360"/>
      <w:jc w:val="both"/>
    </w:pPr>
    <w:r>
      <w:rPr>
        <w:noProof/>
      </w:rPr>
      <mc:AlternateContent>
        <mc:Choice Requires="wpg">
          <w:drawing>
            <wp:anchor distT="0" distB="0" distL="114300" distR="114300" simplePos="0" relativeHeight="251659264" behindDoc="0" locked="0" layoutInCell="1" allowOverlap="1" wp14:anchorId="4606FFF2" wp14:editId="0F857599">
              <wp:simplePos x="0" y="0"/>
              <wp:positionH relativeFrom="page">
                <wp:posOffset>0</wp:posOffset>
              </wp:positionH>
              <wp:positionV relativeFrom="page">
                <wp:posOffset>1196340</wp:posOffset>
              </wp:positionV>
              <wp:extent cx="7560310" cy="236220"/>
              <wp:effectExtent l="9525" t="5715" r="12065" b="5715"/>
              <wp:wrapNone/>
              <wp:docPr id="2" name="docshapegroup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36220"/>
                        <a:chOff x="0" y="1884"/>
                        <a:chExt cx="11906" cy="372"/>
                      </a:xfrm>
                    </wpg:grpSpPr>
                    <wps:wsp>
                      <wps:cNvPr id="3" name="docshape7"/>
                      <wps:cNvSpPr>
                        <a:spLocks noChangeArrowheads="1"/>
                      </wps:cNvSpPr>
                      <wps:spPr bwMode="auto">
                        <a:xfrm>
                          <a:off x="0" y="1944"/>
                          <a:ext cx="11906" cy="312"/>
                        </a:xfrm>
                        <a:prstGeom prst="rect">
                          <a:avLst/>
                        </a:prstGeom>
                        <a:solidFill>
                          <a:srgbClr val="009CD6"/>
                        </a:solidFill>
                        <a:ln w="9525">
                          <a:solidFill>
                            <a:srgbClr val="009CD6"/>
                          </a:solidFill>
                          <a:miter lim="800000"/>
                          <a:headEnd/>
                          <a:tailEnd/>
                        </a:ln>
                      </wps:spPr>
                      <wps:bodyPr rot="0" vert="horz" wrap="square" lIns="91440" tIns="45720" rIns="91440" bIns="45720" anchor="t" anchorCtr="0" upright="1">
                        <a:noAutofit/>
                      </wps:bodyPr>
                    </wps:wsp>
                    <wps:wsp>
                      <wps:cNvPr id="4" name="docshape8">
                        <a:extLst>
                          <a:ext uri="{C183D7F6-B498-43B3-948B-1728B52AA6E4}">
                            <adec:decorative xmlns:adec="http://schemas.microsoft.com/office/drawing/2017/decorative" val="1"/>
                          </a:ext>
                        </a:extLst>
                      </wps:cNvPr>
                      <wps:cNvSpPr>
                        <a:spLocks/>
                      </wps:cNvSpPr>
                      <wps:spPr bwMode="auto">
                        <a:xfrm>
                          <a:off x="1109" y="1884"/>
                          <a:ext cx="627" cy="314"/>
                        </a:xfrm>
                        <a:custGeom>
                          <a:avLst/>
                          <a:gdLst>
                            <a:gd name="T0" fmla="+- 0 1736 1109"/>
                            <a:gd name="T1" fmla="*/ T0 w 627"/>
                            <a:gd name="T2" fmla="+- 0 1884 1884"/>
                            <a:gd name="T3" fmla="*/ 1884 h 314"/>
                            <a:gd name="T4" fmla="+- 0 1109 1109"/>
                            <a:gd name="T5" fmla="*/ T4 w 627"/>
                            <a:gd name="T6" fmla="+- 0 1884 1884"/>
                            <a:gd name="T7" fmla="*/ 1884 h 314"/>
                            <a:gd name="T8" fmla="+- 0 1423 1109"/>
                            <a:gd name="T9" fmla="*/ T8 w 627"/>
                            <a:gd name="T10" fmla="+- 0 2197 1884"/>
                            <a:gd name="T11" fmla="*/ 2197 h 314"/>
                            <a:gd name="T12" fmla="+- 0 1736 1109"/>
                            <a:gd name="T13" fmla="*/ T12 w 627"/>
                            <a:gd name="T14" fmla="+- 0 1884 1884"/>
                            <a:gd name="T15" fmla="*/ 18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chemeClr val="bg1">
                            <a:lumMod val="100000"/>
                            <a:lumOff val="0"/>
                          </a:schemeClr>
                        </a:solidFill>
                        <a:ln>
                          <a:noFill/>
                        </a:ln>
                        <a:extLst>
                          <a:ext uri="{91240B29-F687-4F45-9708-019B960494DF}">
                            <a14:hiddenLine xmlns:a14="http://schemas.microsoft.com/office/drawing/2010/main" w="9525">
                              <a:solidFill>
                                <a:srgbClr val="009CD6"/>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1BECC7" id="docshapegroup6" o:spid="_x0000_s1026" alt="&quot;&quot;" style="position:absolute;margin-left:0;margin-top:94.2pt;width:595.3pt;height:18.6pt;z-index:251659264;mso-position-horizontal-relative:page;mso-position-vertical-relative:page" coordorigin=",1884" coordsize="11906,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">
              <v:rect id="docshape7" o:spid="_x0000_s1027" style="position:absolute;top:1944;width:11906;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" fillcolor="#009cd6" strokecolor="#009cd6"/>
              <v:shape id="docshape8" o:spid="_x0000_s1028" alt="&quot;&quot;" style="position:absolute;left:1109;top:18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" path="m627,l,,314,313,627,xe" fillcolor="white [3212]" stroked="f" strokecolor="#009cd6">
                <v:path arrowok="t" o:connecttype="custom" o:connectlocs="627,1884;0,1884;314,2197;627,1884" o:connectangles="0,0,0,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7552A" w14:textId="0D7D5C6E" w:rsidR="001B164E" w:rsidRPr="00D72623" w:rsidRDefault="00D72623" w:rsidP="00D72623">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rPr>
      <w:t>i</w:t>
    </w:r>
    <w:proofErr w:type="spellStart"/>
    <w:r>
      <w:rPr>
        <w:rStyle w:val="PageNumber"/>
        <w:b/>
        <w:bCs/>
      </w:rPr>
      <w:t>i</w:t>
    </w:r>
    <w:proofErr w:type="spellEnd"/>
    <w:r>
      <w:rPr>
        <w:rStyle w:val="PageNumber"/>
        <w:b/>
        <w:bCs/>
      </w:rPr>
      <w:fldChar w:fldCharType="end"/>
    </w:r>
    <w:r>
      <w:rPr>
        <w:lang w:val="en-US"/>
      </w:rPr>
      <w:tab/>
    </w:r>
    <w:r>
      <w:rPr>
        <w:b/>
        <w:bCs/>
        <w:lang w:val="en-US"/>
      </w:rPr>
      <w:fldChar w:fldCharType="begin"/>
    </w:r>
    <w:r>
      <w:rPr>
        <w:b/>
        <w:bCs/>
        <w:lang w:val="en-US"/>
      </w:rPr>
      <w:instrText xml:space="preserve"> DOCPROPERTY "Header" \* MERGEFORMAT </w:instrText>
    </w:r>
    <w:r>
      <w:rPr>
        <w:b/>
        <w:bCs/>
        <w:lang w:val="en-US"/>
      </w:rPr>
      <w:fldChar w:fldCharType="separate"/>
    </w:r>
    <w:r w:rsidR="00AB52BB">
      <w:rPr>
        <w:b/>
        <w:bCs/>
        <w:lang w:val="en-US"/>
      </w:rPr>
      <w:t xml:space="preserve">Rec. </w:t>
    </w:r>
    <w:r>
      <w:rPr>
        <w:b/>
        <w:bCs/>
        <w:lang w:val="en-US"/>
      </w:rPr>
      <w:fldChar w:fldCharType="end"/>
    </w:r>
    <w:r>
      <w:rPr>
        <w:b/>
        <w:bCs/>
      </w:rPr>
      <w:t xml:space="preserve"> </w:t>
    </w:r>
    <w:r>
      <w:rPr>
        <w:b/>
        <w:bCs/>
      </w:rPr>
      <w:fldChar w:fldCharType="begin"/>
    </w:r>
    <w:r>
      <w:rPr>
        <w:b/>
        <w:bCs/>
        <w:lang w:val="en-US"/>
      </w:rPr>
      <w:instrText>styleref href</w:instrText>
    </w:r>
    <w:r>
      <w:rPr>
        <w:b/>
        <w:bCs/>
      </w:rPr>
      <w:fldChar w:fldCharType="separate"/>
    </w:r>
    <w:r w:rsidR="00057252">
      <w:rPr>
        <w:b/>
        <w:bCs/>
        <w:noProof/>
      </w:rPr>
      <w:t>ITU-R  P.2041-1</w:t>
    </w:r>
    <w:r>
      <w:rPr>
        <w:b/>
        <w:bCs/>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42883" w14:textId="1C1995CA" w:rsidR="001B164E" w:rsidRDefault="001B164E">
    <w:pPr>
      <w:pStyle w:val="Header"/>
    </w:pPr>
    <w:r>
      <w:tab/>
    </w:r>
    <w:r w:rsidR="00C84DB7">
      <w:rPr>
        <w:b/>
        <w:bCs/>
      </w:rPr>
      <w:fldChar w:fldCharType="begin"/>
    </w:r>
    <w:r w:rsidR="00C84DB7">
      <w:rPr>
        <w:b/>
        <w:bCs/>
      </w:rPr>
      <w:instrText xml:space="preserve"> DOCPROPERTY "Header" \* MERGEFORMAT </w:instrText>
    </w:r>
    <w:r w:rsidR="00C84DB7">
      <w:rPr>
        <w:b/>
        <w:bCs/>
      </w:rPr>
      <w:fldChar w:fldCharType="separate"/>
    </w:r>
    <w:r w:rsidR="00AB52BB">
      <w:rPr>
        <w:b/>
        <w:bCs/>
      </w:rPr>
      <w:t xml:space="preserve">Rec. </w:t>
    </w:r>
    <w:r w:rsidR="00C84DB7">
      <w:rPr>
        <w:b/>
        <w:bCs/>
      </w:rPr>
      <w:fldChar w:fldCharType="end"/>
    </w:r>
    <w:r>
      <w:rPr>
        <w:b/>
        <w:bCs/>
      </w:rPr>
      <w:t xml:space="preserve"> </w:t>
    </w:r>
    <w:r w:rsidR="006C37D5">
      <w:rPr>
        <w:b/>
        <w:bCs/>
      </w:rPr>
      <w:fldChar w:fldCharType="begin"/>
    </w:r>
    <w:r>
      <w:rPr>
        <w:b/>
        <w:bCs/>
      </w:rPr>
      <w:instrText>styleref href</w:instrText>
    </w:r>
    <w:r w:rsidR="006C37D5">
      <w:rPr>
        <w:b/>
        <w:bCs/>
      </w:rPr>
      <w:fldChar w:fldCharType="separate"/>
    </w:r>
    <w:r w:rsidR="00057252">
      <w:rPr>
        <w:b/>
        <w:bCs/>
        <w:noProof/>
      </w:rPr>
      <w:t>ITU-R  P.2041-1</w:t>
    </w:r>
    <w:r w:rsidR="006C37D5">
      <w:rPr>
        <w:b/>
        <w:bCs/>
      </w:rPr>
      <w:fldChar w:fldCharType="end"/>
    </w:r>
    <w:r>
      <w:tab/>
    </w:r>
    <w:r w:rsidR="006C37D5">
      <w:rPr>
        <w:rStyle w:val="PageNumber"/>
        <w:b/>
        <w:bCs/>
      </w:rPr>
      <w:fldChar w:fldCharType="begin"/>
    </w:r>
    <w:r>
      <w:rPr>
        <w:rStyle w:val="PageNumber"/>
        <w:b/>
        <w:bCs/>
      </w:rPr>
      <w:instrText xml:space="preserve"> PAGE </w:instrText>
    </w:r>
    <w:r w:rsidR="006C37D5">
      <w:rPr>
        <w:rStyle w:val="PageNumber"/>
        <w:b/>
        <w:bCs/>
      </w:rPr>
      <w:fldChar w:fldCharType="separate"/>
    </w:r>
    <w:r w:rsidR="00C84DB7">
      <w:rPr>
        <w:rStyle w:val="PageNumber"/>
        <w:b/>
        <w:bCs/>
        <w:noProof/>
      </w:rPr>
      <w:t>1</w:t>
    </w:r>
    <w:r w:rsidR="006C37D5">
      <w:rPr>
        <w:rStyle w:val="PageNumbe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4BAA92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AD4766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01870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376F3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22AB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8AACB7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AA7A6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92ACC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18A95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E82F2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72E0741"/>
    <w:multiLevelType w:val="hybridMultilevel"/>
    <w:tmpl w:val="73506790"/>
    <w:lvl w:ilvl="0" w:tplc="9FA02DF4">
      <w:numFmt w:val="bullet"/>
      <w:lvlText w:val="–"/>
      <w:lvlJc w:val="left"/>
      <w:pPr>
        <w:tabs>
          <w:tab w:val="num" w:pos="795"/>
        </w:tabs>
        <w:ind w:left="795" w:hanging="795"/>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954826637">
    <w:abstractNumId w:val="10"/>
  </w:num>
  <w:num w:numId="2" w16cid:durableId="1114523753">
    <w:abstractNumId w:val="9"/>
  </w:num>
  <w:num w:numId="3" w16cid:durableId="86966557">
    <w:abstractNumId w:val="7"/>
  </w:num>
  <w:num w:numId="4" w16cid:durableId="983268117">
    <w:abstractNumId w:val="6"/>
  </w:num>
  <w:num w:numId="5" w16cid:durableId="404576205">
    <w:abstractNumId w:val="5"/>
  </w:num>
  <w:num w:numId="6" w16cid:durableId="632519340">
    <w:abstractNumId w:val="4"/>
  </w:num>
  <w:num w:numId="7" w16cid:durableId="1537155830">
    <w:abstractNumId w:val="8"/>
  </w:num>
  <w:num w:numId="8" w16cid:durableId="480342356">
    <w:abstractNumId w:val="3"/>
  </w:num>
  <w:num w:numId="9" w16cid:durableId="1123688995">
    <w:abstractNumId w:val="2"/>
  </w:num>
  <w:num w:numId="10" w16cid:durableId="1411150317">
    <w:abstractNumId w:val="1"/>
  </w:num>
  <w:num w:numId="11" w16cid:durableId="2070953865">
    <w:abstractNumId w:val="0"/>
  </w:num>
  <w:num w:numId="12" w16cid:durableId="302152233">
    <w:abstractNumId w:val="8"/>
  </w:num>
  <w:num w:numId="13" w16cid:durableId="1564177032">
    <w:abstractNumId w:val="3"/>
  </w:num>
  <w:num w:numId="14" w16cid:durableId="2084832433">
    <w:abstractNumId w:val="2"/>
  </w:num>
  <w:num w:numId="15" w16cid:durableId="1174497116">
    <w:abstractNumId w:val="1"/>
  </w:num>
  <w:num w:numId="16" w16cid:durableId="813567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hideSpellingErrors/>
  <w:hideGrammaticalErrors/>
  <w:activeWritingStyle w:appName="MSWord" w:lang="en-US" w:vendorID="64" w:dllVersion="5" w:nlCheck="1" w:checkStyle="0"/>
  <w:activeWritingStyle w:appName="MSWord" w:lang="en-US" w:vendorID="64" w:dllVersion="6" w:nlCheck="1" w:checkStyle="1"/>
  <w:activeWritingStyle w:appName="MSWord" w:lang="fr-FR" w:vendorID="64" w:dllVersion="6" w:nlCheck="1" w:checkStyle="0"/>
  <w:activeWritingStyle w:appName="MSWord" w:lang="en-GB" w:vendorID="64" w:dllVersion="6" w:nlCheck="1" w:checkStyle="1"/>
  <w:activeWritingStyle w:appName="MSWord" w:lang="fr-CH" w:vendorID="64" w:dllVersion="6" w:nlCheck="1" w:checkStyle="0"/>
  <w:activeWritingStyle w:appName="MSWord" w:lang="es-ES_tradnl" w:vendorID="64" w:dllVersion="6" w:nlCheck="1" w:checkStyle="1"/>
  <w:activeWritingStyle w:appName="MSWord" w:lang="fr-FR" w:vendorID="64" w:dllVersion="0" w:nlCheck="1" w:checkStyle="0"/>
  <w:activeWritingStyle w:appName="MSWord" w:lang="en-US" w:vendorID="64" w:dllVersion="0" w:nlCheck="1" w:checkStyle="0"/>
  <w:activeWritingStyle w:appName="MSWord" w:lang="fr-CH" w:vendorID="64" w:dllVersion="0" w:nlCheck="1" w:checkStyle="0"/>
  <w:activeWritingStyle w:appName="MSWord" w:lang="en-GB"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o:colormru v:ext="edit" colors="#d62a47,#f8f8f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2BB"/>
    <w:rsid w:val="00013002"/>
    <w:rsid w:val="00036EE3"/>
    <w:rsid w:val="00057252"/>
    <w:rsid w:val="00071A91"/>
    <w:rsid w:val="00072484"/>
    <w:rsid w:val="000752C4"/>
    <w:rsid w:val="00095530"/>
    <w:rsid w:val="00096612"/>
    <w:rsid w:val="00097ED9"/>
    <w:rsid w:val="000B1B2B"/>
    <w:rsid w:val="000B7683"/>
    <w:rsid w:val="000D0677"/>
    <w:rsid w:val="000E0548"/>
    <w:rsid w:val="000E471F"/>
    <w:rsid w:val="000E6A6E"/>
    <w:rsid w:val="00102934"/>
    <w:rsid w:val="00147110"/>
    <w:rsid w:val="001511A6"/>
    <w:rsid w:val="00171C4D"/>
    <w:rsid w:val="0019307B"/>
    <w:rsid w:val="001B0927"/>
    <w:rsid w:val="001B15AA"/>
    <w:rsid w:val="001B164E"/>
    <w:rsid w:val="001B7430"/>
    <w:rsid w:val="001B7886"/>
    <w:rsid w:val="001F38BB"/>
    <w:rsid w:val="002058CE"/>
    <w:rsid w:val="002165F1"/>
    <w:rsid w:val="00233211"/>
    <w:rsid w:val="00260B24"/>
    <w:rsid w:val="0027411A"/>
    <w:rsid w:val="00276D21"/>
    <w:rsid w:val="0028595F"/>
    <w:rsid w:val="00296D7F"/>
    <w:rsid w:val="002A5D45"/>
    <w:rsid w:val="002B3CF6"/>
    <w:rsid w:val="002C768A"/>
    <w:rsid w:val="002D0BD7"/>
    <w:rsid w:val="002D76C4"/>
    <w:rsid w:val="002F5199"/>
    <w:rsid w:val="00301DB3"/>
    <w:rsid w:val="00305119"/>
    <w:rsid w:val="003157F1"/>
    <w:rsid w:val="00342460"/>
    <w:rsid w:val="00356B5D"/>
    <w:rsid w:val="00357707"/>
    <w:rsid w:val="0036528E"/>
    <w:rsid w:val="0036627C"/>
    <w:rsid w:val="0036743B"/>
    <w:rsid w:val="0037469F"/>
    <w:rsid w:val="003B3FB1"/>
    <w:rsid w:val="003E5516"/>
    <w:rsid w:val="003F4B75"/>
    <w:rsid w:val="00420DFD"/>
    <w:rsid w:val="00425BC7"/>
    <w:rsid w:val="004353F4"/>
    <w:rsid w:val="00437A76"/>
    <w:rsid w:val="004604B2"/>
    <w:rsid w:val="00470E28"/>
    <w:rsid w:val="0047379B"/>
    <w:rsid w:val="00477A11"/>
    <w:rsid w:val="004842E2"/>
    <w:rsid w:val="00486EB3"/>
    <w:rsid w:val="004934C5"/>
    <w:rsid w:val="004A2FC8"/>
    <w:rsid w:val="004A6FEB"/>
    <w:rsid w:val="004D03BD"/>
    <w:rsid w:val="004E61FF"/>
    <w:rsid w:val="00512A4E"/>
    <w:rsid w:val="00522FC6"/>
    <w:rsid w:val="005373E0"/>
    <w:rsid w:val="00556548"/>
    <w:rsid w:val="00571B1C"/>
    <w:rsid w:val="00576D47"/>
    <w:rsid w:val="00586EF8"/>
    <w:rsid w:val="005B0371"/>
    <w:rsid w:val="005B49AB"/>
    <w:rsid w:val="005B50E7"/>
    <w:rsid w:val="005C3D29"/>
    <w:rsid w:val="005C4BAB"/>
    <w:rsid w:val="005E12A5"/>
    <w:rsid w:val="005E69F0"/>
    <w:rsid w:val="005E7B4F"/>
    <w:rsid w:val="005F003B"/>
    <w:rsid w:val="005F59AB"/>
    <w:rsid w:val="00601882"/>
    <w:rsid w:val="00607D68"/>
    <w:rsid w:val="00613212"/>
    <w:rsid w:val="006149B1"/>
    <w:rsid w:val="00636270"/>
    <w:rsid w:val="00640332"/>
    <w:rsid w:val="00647C22"/>
    <w:rsid w:val="00680D2B"/>
    <w:rsid w:val="00681B32"/>
    <w:rsid w:val="00697887"/>
    <w:rsid w:val="006A1B09"/>
    <w:rsid w:val="006B1D2B"/>
    <w:rsid w:val="006C37D5"/>
    <w:rsid w:val="006E1131"/>
    <w:rsid w:val="006E2037"/>
    <w:rsid w:val="006E6199"/>
    <w:rsid w:val="00701AE0"/>
    <w:rsid w:val="00712870"/>
    <w:rsid w:val="00714AC0"/>
    <w:rsid w:val="0074147D"/>
    <w:rsid w:val="00743D85"/>
    <w:rsid w:val="00744F8B"/>
    <w:rsid w:val="00753CF4"/>
    <w:rsid w:val="007565CC"/>
    <w:rsid w:val="00763B9A"/>
    <w:rsid w:val="007A6AA8"/>
    <w:rsid w:val="007B1357"/>
    <w:rsid w:val="008310C9"/>
    <w:rsid w:val="008335F0"/>
    <w:rsid w:val="00853CC5"/>
    <w:rsid w:val="00877E6E"/>
    <w:rsid w:val="008B083A"/>
    <w:rsid w:val="008C7848"/>
    <w:rsid w:val="00906589"/>
    <w:rsid w:val="00906AD6"/>
    <w:rsid w:val="00917AF2"/>
    <w:rsid w:val="00923E7A"/>
    <w:rsid w:val="0092418A"/>
    <w:rsid w:val="00934ED7"/>
    <w:rsid w:val="009371D8"/>
    <w:rsid w:val="009543C3"/>
    <w:rsid w:val="00966E1B"/>
    <w:rsid w:val="00972F51"/>
    <w:rsid w:val="00984A02"/>
    <w:rsid w:val="009947C0"/>
    <w:rsid w:val="009A4039"/>
    <w:rsid w:val="009A41F9"/>
    <w:rsid w:val="009F2D2C"/>
    <w:rsid w:val="009F5580"/>
    <w:rsid w:val="00A239D1"/>
    <w:rsid w:val="00A31928"/>
    <w:rsid w:val="00A3435A"/>
    <w:rsid w:val="00A507D4"/>
    <w:rsid w:val="00A62A14"/>
    <w:rsid w:val="00A6617B"/>
    <w:rsid w:val="00A71FE5"/>
    <w:rsid w:val="00A7534B"/>
    <w:rsid w:val="00A86DD2"/>
    <w:rsid w:val="00A936CB"/>
    <w:rsid w:val="00A971A1"/>
    <w:rsid w:val="00AA0D99"/>
    <w:rsid w:val="00AA3AD8"/>
    <w:rsid w:val="00AB0DC8"/>
    <w:rsid w:val="00AB405C"/>
    <w:rsid w:val="00AB52BB"/>
    <w:rsid w:val="00AB54CA"/>
    <w:rsid w:val="00AC015D"/>
    <w:rsid w:val="00AF5326"/>
    <w:rsid w:val="00B019A2"/>
    <w:rsid w:val="00B0286E"/>
    <w:rsid w:val="00B033C8"/>
    <w:rsid w:val="00B112A6"/>
    <w:rsid w:val="00B33425"/>
    <w:rsid w:val="00B42334"/>
    <w:rsid w:val="00B44E24"/>
    <w:rsid w:val="00B51DD9"/>
    <w:rsid w:val="00B54ECC"/>
    <w:rsid w:val="00B60AC0"/>
    <w:rsid w:val="00B63562"/>
    <w:rsid w:val="00B714F3"/>
    <w:rsid w:val="00B75A52"/>
    <w:rsid w:val="00B874C6"/>
    <w:rsid w:val="00B87B6B"/>
    <w:rsid w:val="00B9169E"/>
    <w:rsid w:val="00BC5D77"/>
    <w:rsid w:val="00BF487A"/>
    <w:rsid w:val="00BF5544"/>
    <w:rsid w:val="00C10598"/>
    <w:rsid w:val="00C15F3E"/>
    <w:rsid w:val="00C31ECB"/>
    <w:rsid w:val="00C46BD9"/>
    <w:rsid w:val="00C55258"/>
    <w:rsid w:val="00C73560"/>
    <w:rsid w:val="00C84DB7"/>
    <w:rsid w:val="00C87A35"/>
    <w:rsid w:val="00CB0F14"/>
    <w:rsid w:val="00CD659B"/>
    <w:rsid w:val="00CE0A43"/>
    <w:rsid w:val="00D00118"/>
    <w:rsid w:val="00D16749"/>
    <w:rsid w:val="00D34440"/>
    <w:rsid w:val="00D61962"/>
    <w:rsid w:val="00D72623"/>
    <w:rsid w:val="00D83556"/>
    <w:rsid w:val="00DC5D59"/>
    <w:rsid w:val="00DE5556"/>
    <w:rsid w:val="00DF4176"/>
    <w:rsid w:val="00E0095C"/>
    <w:rsid w:val="00E17240"/>
    <w:rsid w:val="00E53871"/>
    <w:rsid w:val="00E74595"/>
    <w:rsid w:val="00E77485"/>
    <w:rsid w:val="00E90BD5"/>
    <w:rsid w:val="00EA306D"/>
    <w:rsid w:val="00EB1CB6"/>
    <w:rsid w:val="00EB7C57"/>
    <w:rsid w:val="00ED2695"/>
    <w:rsid w:val="00EE04BA"/>
    <w:rsid w:val="00EE47C4"/>
    <w:rsid w:val="00F30C9B"/>
    <w:rsid w:val="00F354B1"/>
    <w:rsid w:val="00F354D7"/>
    <w:rsid w:val="00F473DF"/>
    <w:rsid w:val="00F6343F"/>
    <w:rsid w:val="00F72776"/>
    <w:rsid w:val="00F92A40"/>
    <w:rsid w:val="00FB0E4E"/>
    <w:rsid w:val="00FE6B04"/>
    <w:rsid w:val="00FE79FE"/>
    <w:rsid w:val="00FF322B"/>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colormru v:ext="edit" colors="#d62a47,#f8f8f8"/>
    </o:shapedefaults>
    <o:shapelayout v:ext="edit">
      <o:idmap v:ext="edit" data="2"/>
    </o:shapelayout>
  </w:shapeDefaults>
  <w:decimalSymbol w:val="."/>
  <w:listSeparator w:val=","/>
  <w14:docId w14:val="4688B000"/>
  <w15:docId w15:val="{7DE78BBF-BEFA-43EC-AC68-1A51410E3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47C22"/>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en-GB" w:eastAsia="en-US"/>
    </w:rPr>
  </w:style>
  <w:style w:type="paragraph" w:styleId="Heading1">
    <w:name w:val="heading 1"/>
    <w:basedOn w:val="Normal"/>
    <w:next w:val="Normal"/>
    <w:link w:val="Heading1Char"/>
    <w:qFormat/>
    <w:rsid w:val="00647C22"/>
    <w:pPr>
      <w:keepNext/>
      <w:keepLines/>
      <w:spacing w:before="480"/>
      <w:ind w:left="794" w:hanging="794"/>
      <w:outlineLvl w:val="0"/>
    </w:pPr>
    <w:rPr>
      <w:b/>
    </w:rPr>
  </w:style>
  <w:style w:type="paragraph" w:styleId="Heading2">
    <w:name w:val="heading 2"/>
    <w:basedOn w:val="Heading1"/>
    <w:next w:val="Normal"/>
    <w:link w:val="Heading2Char"/>
    <w:qFormat/>
    <w:rsid w:val="00647C22"/>
    <w:pPr>
      <w:spacing w:before="320"/>
      <w:outlineLvl w:val="1"/>
    </w:pPr>
  </w:style>
  <w:style w:type="paragraph" w:styleId="Heading3">
    <w:name w:val="heading 3"/>
    <w:basedOn w:val="Heading1"/>
    <w:next w:val="Normal"/>
    <w:qFormat/>
    <w:rsid w:val="00647C22"/>
    <w:pPr>
      <w:spacing w:before="200"/>
      <w:outlineLvl w:val="2"/>
    </w:pPr>
  </w:style>
  <w:style w:type="paragraph" w:styleId="Heading4">
    <w:name w:val="heading 4"/>
    <w:basedOn w:val="Heading3"/>
    <w:next w:val="Normal"/>
    <w:qFormat/>
    <w:rsid w:val="00647C22"/>
    <w:pPr>
      <w:tabs>
        <w:tab w:val="clear" w:pos="794"/>
        <w:tab w:val="left" w:pos="992"/>
      </w:tabs>
      <w:ind w:left="992" w:hanging="992"/>
      <w:outlineLvl w:val="3"/>
    </w:pPr>
  </w:style>
  <w:style w:type="paragraph" w:styleId="Heading5">
    <w:name w:val="heading 5"/>
    <w:basedOn w:val="Heading4"/>
    <w:next w:val="Normal"/>
    <w:qFormat/>
    <w:rsid w:val="00647C22"/>
    <w:pPr>
      <w:outlineLvl w:val="4"/>
    </w:pPr>
  </w:style>
  <w:style w:type="paragraph" w:styleId="Heading6">
    <w:name w:val="heading 6"/>
    <w:basedOn w:val="Heading4"/>
    <w:next w:val="Normal"/>
    <w:qFormat/>
    <w:rsid w:val="00647C22"/>
    <w:pPr>
      <w:tabs>
        <w:tab w:val="clear" w:pos="992"/>
        <w:tab w:val="clear" w:pos="1191"/>
      </w:tabs>
      <w:ind w:left="1588" w:hanging="1588"/>
      <w:outlineLvl w:val="5"/>
    </w:pPr>
  </w:style>
  <w:style w:type="paragraph" w:styleId="Heading7">
    <w:name w:val="heading 7"/>
    <w:basedOn w:val="Heading6"/>
    <w:next w:val="Normal"/>
    <w:qFormat/>
    <w:rsid w:val="00647C22"/>
    <w:pPr>
      <w:outlineLvl w:val="6"/>
    </w:pPr>
  </w:style>
  <w:style w:type="paragraph" w:styleId="Heading8">
    <w:name w:val="heading 8"/>
    <w:basedOn w:val="Heading6"/>
    <w:next w:val="Normal"/>
    <w:qFormat/>
    <w:rsid w:val="00647C22"/>
    <w:pPr>
      <w:outlineLvl w:val="7"/>
    </w:pPr>
  </w:style>
  <w:style w:type="paragraph" w:styleId="Heading9">
    <w:name w:val="heading 9"/>
    <w:basedOn w:val="Heading6"/>
    <w:next w:val="Normal"/>
    <w:qFormat/>
    <w:rsid w:val="00647C22"/>
    <w:pPr>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47C22"/>
    <w:pPr>
      <w:tabs>
        <w:tab w:val="clear" w:pos="794"/>
        <w:tab w:val="clear" w:pos="1191"/>
        <w:tab w:val="clear" w:pos="1588"/>
        <w:tab w:val="clear" w:pos="1985"/>
        <w:tab w:val="center" w:pos="4848"/>
        <w:tab w:val="right" w:pos="9696"/>
      </w:tabs>
      <w:spacing w:before="0"/>
      <w:jc w:val="center"/>
    </w:pPr>
  </w:style>
  <w:style w:type="paragraph" w:styleId="Footer">
    <w:name w:val="footer"/>
    <w:basedOn w:val="Normal"/>
    <w:rsid w:val="00647C22"/>
    <w:pPr>
      <w:tabs>
        <w:tab w:val="clear" w:pos="794"/>
        <w:tab w:val="clear" w:pos="1191"/>
        <w:tab w:val="clear" w:pos="1588"/>
        <w:tab w:val="clear" w:pos="1985"/>
      </w:tabs>
      <w:spacing w:before="0"/>
    </w:pPr>
    <w:rPr>
      <w:noProof/>
      <w:sz w:val="18"/>
    </w:rPr>
  </w:style>
  <w:style w:type="character" w:styleId="PageNumber">
    <w:name w:val="page number"/>
    <w:basedOn w:val="DefaultParagraphFont"/>
    <w:rsid w:val="00647C22"/>
  </w:style>
  <w:style w:type="paragraph" w:customStyle="1" w:styleId="Headingb">
    <w:name w:val="Heading_b"/>
    <w:basedOn w:val="Heading3"/>
    <w:next w:val="Normal"/>
    <w:link w:val="HeadingbChar"/>
    <w:rsid w:val="00647C22"/>
    <w:pPr>
      <w:spacing w:before="160"/>
      <w:ind w:left="0" w:firstLine="0"/>
      <w:outlineLvl w:val="9"/>
    </w:pPr>
  </w:style>
  <w:style w:type="paragraph" w:customStyle="1" w:styleId="Headingi">
    <w:name w:val="Heading_i"/>
    <w:basedOn w:val="Heading3"/>
    <w:next w:val="Normal"/>
    <w:rsid w:val="00647C22"/>
    <w:pPr>
      <w:spacing w:before="160"/>
      <w:ind w:left="0" w:firstLine="0"/>
    </w:pPr>
    <w:rPr>
      <w:b w:val="0"/>
      <w:i/>
    </w:rPr>
  </w:style>
  <w:style w:type="character" w:customStyle="1" w:styleId="href">
    <w:name w:val="href"/>
    <w:basedOn w:val="DefaultParagraphFont"/>
    <w:rsid w:val="00647C22"/>
  </w:style>
  <w:style w:type="paragraph" w:customStyle="1" w:styleId="AnnexNoTitle">
    <w:name w:val="Annex_NoTitle"/>
    <w:basedOn w:val="Normal"/>
    <w:next w:val="Normalaftertitle"/>
    <w:rsid w:val="00647C22"/>
    <w:pPr>
      <w:keepNext/>
      <w:keepLines/>
      <w:spacing w:before="480" w:after="80"/>
      <w:jc w:val="center"/>
    </w:pPr>
    <w:rPr>
      <w:b/>
      <w:sz w:val="28"/>
    </w:rPr>
  </w:style>
  <w:style w:type="paragraph" w:customStyle="1" w:styleId="Normalaftertitle">
    <w:name w:val="Normal_after_title"/>
    <w:basedOn w:val="Normal"/>
    <w:next w:val="Normal"/>
    <w:rsid w:val="00647C22"/>
    <w:pPr>
      <w:spacing w:before="320"/>
    </w:pPr>
  </w:style>
  <w:style w:type="paragraph" w:customStyle="1" w:styleId="enumlev2">
    <w:name w:val="enumlev2"/>
    <w:basedOn w:val="enumlev1"/>
    <w:rsid w:val="00647C22"/>
    <w:pPr>
      <w:ind w:left="1191" w:hanging="397"/>
    </w:pPr>
  </w:style>
  <w:style w:type="paragraph" w:customStyle="1" w:styleId="enumlev1">
    <w:name w:val="enumlev1"/>
    <w:basedOn w:val="Normal"/>
    <w:link w:val="enumlev1Char"/>
    <w:rsid w:val="00647C22"/>
    <w:pPr>
      <w:spacing w:before="80"/>
      <w:ind w:left="794" w:hanging="794"/>
    </w:pPr>
  </w:style>
  <w:style w:type="paragraph" w:customStyle="1" w:styleId="enumlev3">
    <w:name w:val="enumlev3"/>
    <w:basedOn w:val="enumlev2"/>
    <w:rsid w:val="00647C22"/>
    <w:pPr>
      <w:ind w:left="1588"/>
    </w:pPr>
  </w:style>
  <w:style w:type="paragraph" w:customStyle="1" w:styleId="Note">
    <w:name w:val="Note"/>
    <w:basedOn w:val="Normal"/>
    <w:rsid w:val="00647C22"/>
    <w:pPr>
      <w:tabs>
        <w:tab w:val="clear" w:pos="794"/>
        <w:tab w:val="clear" w:pos="1191"/>
        <w:tab w:val="clear" w:pos="1588"/>
        <w:tab w:val="clear" w:pos="1985"/>
      </w:tabs>
      <w:spacing w:before="80"/>
    </w:pPr>
    <w:rPr>
      <w:sz w:val="22"/>
    </w:rPr>
  </w:style>
  <w:style w:type="paragraph" w:customStyle="1" w:styleId="RecNo">
    <w:name w:val="Rec_No"/>
    <w:basedOn w:val="Normal"/>
    <w:next w:val="Rectitle"/>
    <w:rsid w:val="00647C22"/>
    <w:pPr>
      <w:keepNext/>
      <w:keepLines/>
      <w:tabs>
        <w:tab w:val="clear" w:pos="794"/>
        <w:tab w:val="clear" w:pos="1191"/>
        <w:tab w:val="clear" w:pos="1588"/>
        <w:tab w:val="clear" w:pos="1985"/>
      </w:tabs>
      <w:spacing w:before="480"/>
      <w:jc w:val="center"/>
    </w:pPr>
    <w:rPr>
      <w:sz w:val="28"/>
    </w:rPr>
  </w:style>
  <w:style w:type="paragraph" w:customStyle="1" w:styleId="Rectitle">
    <w:name w:val="Rec_title"/>
    <w:basedOn w:val="Normal"/>
    <w:next w:val="Recref"/>
    <w:rsid w:val="00647C22"/>
    <w:pPr>
      <w:keepNext/>
      <w:keepLines/>
      <w:spacing w:before="240"/>
      <w:jc w:val="center"/>
    </w:pPr>
    <w:rPr>
      <w:b/>
      <w:sz w:val="28"/>
    </w:rPr>
  </w:style>
  <w:style w:type="paragraph" w:customStyle="1" w:styleId="Recref">
    <w:name w:val="Rec_ref"/>
    <w:basedOn w:val="Normal"/>
    <w:next w:val="Recdate"/>
    <w:rsid w:val="00647C22"/>
    <w:pPr>
      <w:jc w:val="center"/>
    </w:pPr>
  </w:style>
  <w:style w:type="paragraph" w:customStyle="1" w:styleId="Recdate">
    <w:name w:val="Rec_date"/>
    <w:basedOn w:val="Recref"/>
    <w:next w:val="Normalaftertitle"/>
    <w:rsid w:val="00647C22"/>
    <w:pPr>
      <w:jc w:val="right"/>
    </w:pPr>
  </w:style>
  <w:style w:type="paragraph" w:customStyle="1" w:styleId="HeadingSum">
    <w:name w:val="Heading_Sum"/>
    <w:basedOn w:val="Headingb"/>
    <w:next w:val="Normal"/>
    <w:autoRedefine/>
    <w:rsid w:val="00647C22"/>
    <w:pPr>
      <w:spacing w:before="240"/>
    </w:pPr>
    <w:rPr>
      <w:sz w:val="22"/>
      <w:lang w:val="es-ES_tradnl"/>
    </w:rPr>
  </w:style>
  <w:style w:type="paragraph" w:customStyle="1" w:styleId="AppendixNoTitle">
    <w:name w:val="Appendix_NoTitle"/>
    <w:basedOn w:val="AnnexNoTitle"/>
    <w:next w:val="Normal"/>
    <w:rsid w:val="00647C22"/>
  </w:style>
  <w:style w:type="paragraph" w:customStyle="1" w:styleId="Tablefin">
    <w:name w:val="Table_fin"/>
    <w:basedOn w:val="Normal"/>
    <w:next w:val="Normal"/>
    <w:rsid w:val="00647C22"/>
    <w:pPr>
      <w:spacing w:before="0"/>
    </w:pPr>
    <w:rPr>
      <w:sz w:val="20"/>
    </w:rPr>
  </w:style>
  <w:style w:type="paragraph" w:customStyle="1" w:styleId="Tablehead">
    <w:name w:val="Table_head"/>
    <w:basedOn w:val="Normal"/>
    <w:next w:val="Normal"/>
    <w:rsid w:val="00647C22"/>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647C22"/>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rsid w:val="00647C22"/>
    <w:pPr>
      <w:keepNext/>
      <w:spacing w:before="360" w:after="120"/>
      <w:jc w:val="center"/>
    </w:pPr>
  </w:style>
  <w:style w:type="paragraph" w:customStyle="1" w:styleId="Tabletext">
    <w:name w:val="Table_text"/>
    <w:basedOn w:val="Normal"/>
    <w:rsid w:val="00647C22"/>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Equation">
    <w:name w:val="Equation"/>
    <w:basedOn w:val="Normal"/>
    <w:link w:val="EquationChar"/>
    <w:rsid w:val="00647C22"/>
    <w:pPr>
      <w:tabs>
        <w:tab w:val="clear" w:pos="1191"/>
        <w:tab w:val="clear" w:pos="1588"/>
        <w:tab w:val="clear" w:pos="1985"/>
        <w:tab w:val="center" w:pos="4820"/>
        <w:tab w:val="right" w:pos="9639"/>
      </w:tabs>
    </w:pPr>
  </w:style>
  <w:style w:type="paragraph" w:customStyle="1" w:styleId="Equationlegend">
    <w:name w:val="Equation_legend"/>
    <w:basedOn w:val="NormalIndent"/>
    <w:link w:val="EquationlegendChar"/>
    <w:rsid w:val="00647C22"/>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rsid w:val="00647C22"/>
    <w:pPr>
      <w:ind w:left="794"/>
    </w:pPr>
  </w:style>
  <w:style w:type="paragraph" w:customStyle="1" w:styleId="Figurelegend">
    <w:name w:val="Figure_legend"/>
    <w:basedOn w:val="Normal"/>
    <w:rsid w:val="00647C22"/>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link w:val="FigureNo0"/>
    <w:rsid w:val="00647C22"/>
    <w:pPr>
      <w:keepNext/>
      <w:keepLines/>
      <w:spacing w:before="480" w:after="80"/>
      <w:jc w:val="center"/>
    </w:pPr>
    <w:rPr>
      <w:caps/>
      <w:sz w:val="18"/>
    </w:rPr>
  </w:style>
  <w:style w:type="paragraph" w:customStyle="1" w:styleId="Figuretitle">
    <w:name w:val="Figure_title"/>
    <w:basedOn w:val="Normal"/>
    <w:next w:val="Figure"/>
    <w:link w:val="FiguretitleChar"/>
    <w:rsid w:val="00647C22"/>
    <w:pPr>
      <w:keepNext/>
      <w:spacing w:before="0" w:after="120"/>
      <w:jc w:val="center"/>
    </w:pPr>
    <w:rPr>
      <w:rFonts w:ascii="Times New Roman Bold" w:hAnsi="Times New Roman Bold"/>
      <w:b/>
      <w:sz w:val="18"/>
    </w:rPr>
  </w:style>
  <w:style w:type="paragraph" w:customStyle="1" w:styleId="Figure">
    <w:name w:val="Figure"/>
    <w:basedOn w:val="FigureNo"/>
    <w:next w:val="Normal"/>
    <w:rsid w:val="00647C22"/>
    <w:pPr>
      <w:keepNext w:val="0"/>
      <w:spacing w:before="0" w:after="240"/>
    </w:pPr>
  </w:style>
  <w:style w:type="paragraph" w:customStyle="1" w:styleId="tocpart">
    <w:name w:val="tocpart"/>
    <w:basedOn w:val="Normal"/>
    <w:rsid w:val="00647C22"/>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rsid w:val="00647C22"/>
    <w:pPr>
      <w:keepNext/>
      <w:keepLines/>
      <w:spacing w:before="480"/>
      <w:jc w:val="center"/>
    </w:pPr>
    <w:rPr>
      <w:sz w:val="28"/>
    </w:rPr>
  </w:style>
  <w:style w:type="paragraph" w:customStyle="1" w:styleId="Arttitle">
    <w:name w:val="Art_title"/>
    <w:basedOn w:val="Normal"/>
    <w:next w:val="Normalaftertitle"/>
    <w:rsid w:val="00647C22"/>
    <w:pPr>
      <w:keepNext/>
      <w:keepLines/>
      <w:spacing w:before="240"/>
      <w:jc w:val="center"/>
    </w:pPr>
    <w:rPr>
      <w:b/>
      <w:sz w:val="28"/>
    </w:rPr>
  </w:style>
  <w:style w:type="paragraph" w:customStyle="1" w:styleId="Blanc">
    <w:name w:val="Blanc"/>
    <w:basedOn w:val="Normal"/>
    <w:next w:val="Tabletext"/>
    <w:rsid w:val="00647C22"/>
    <w:pPr>
      <w:keepNext/>
      <w:keepLines/>
      <w:tabs>
        <w:tab w:val="clear" w:pos="794"/>
        <w:tab w:val="clear" w:pos="1191"/>
        <w:tab w:val="clear" w:pos="1588"/>
        <w:tab w:val="clear" w:pos="1985"/>
      </w:tabs>
      <w:spacing w:before="0"/>
    </w:pPr>
    <w:rPr>
      <w:sz w:val="16"/>
    </w:rPr>
  </w:style>
  <w:style w:type="paragraph" w:customStyle="1" w:styleId="ASN1">
    <w:name w:val="ASN.1"/>
    <w:basedOn w:val="Normal"/>
    <w:next w:val="Normal"/>
    <w:rsid w:val="00647C22"/>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link w:val="CallChar"/>
    <w:rsid w:val="00647C22"/>
    <w:pPr>
      <w:keepNext/>
      <w:keepLines/>
      <w:spacing w:before="160"/>
      <w:ind w:left="794"/>
    </w:pPr>
    <w:rPr>
      <w:i/>
    </w:rPr>
  </w:style>
  <w:style w:type="paragraph" w:customStyle="1" w:styleId="ChapNo">
    <w:name w:val="Chap_No"/>
    <w:basedOn w:val="ArtNo"/>
    <w:next w:val="Chaptitle"/>
    <w:rsid w:val="00647C22"/>
    <w:rPr>
      <w:b/>
    </w:rPr>
  </w:style>
  <w:style w:type="paragraph" w:customStyle="1" w:styleId="Chaptitle">
    <w:name w:val="Chap_title"/>
    <w:basedOn w:val="Arttitle"/>
    <w:next w:val="Normalaftertitle"/>
    <w:rsid w:val="00647C22"/>
  </w:style>
  <w:style w:type="character" w:styleId="FootnoteReference">
    <w:name w:val="footnote reference"/>
    <w:basedOn w:val="DefaultParagraphFont"/>
    <w:semiHidden/>
    <w:rsid w:val="00647C22"/>
    <w:rPr>
      <w:position w:val="6"/>
      <w:sz w:val="18"/>
    </w:rPr>
  </w:style>
  <w:style w:type="paragraph" w:styleId="FootnoteText">
    <w:name w:val="footnote text"/>
    <w:basedOn w:val="Normal"/>
    <w:semiHidden/>
    <w:rsid w:val="00647C22"/>
    <w:pPr>
      <w:keepLines/>
      <w:tabs>
        <w:tab w:val="left" w:pos="255"/>
      </w:tabs>
      <w:ind w:left="255" w:hanging="255"/>
    </w:pPr>
    <w:rPr>
      <w:sz w:val="22"/>
    </w:rPr>
  </w:style>
  <w:style w:type="paragraph" w:styleId="Index1">
    <w:name w:val="index 1"/>
    <w:basedOn w:val="Normal"/>
    <w:next w:val="Normal"/>
    <w:semiHidden/>
    <w:rsid w:val="00647C22"/>
  </w:style>
  <w:style w:type="paragraph" w:styleId="Index2">
    <w:name w:val="index 2"/>
    <w:basedOn w:val="Normal"/>
    <w:next w:val="Normal"/>
    <w:semiHidden/>
    <w:rsid w:val="00647C22"/>
    <w:pPr>
      <w:ind w:left="283"/>
    </w:pPr>
  </w:style>
  <w:style w:type="paragraph" w:styleId="Index3">
    <w:name w:val="index 3"/>
    <w:basedOn w:val="Normal"/>
    <w:next w:val="Normal"/>
    <w:semiHidden/>
    <w:rsid w:val="00647C22"/>
    <w:pPr>
      <w:ind w:left="566"/>
    </w:pPr>
  </w:style>
  <w:style w:type="paragraph" w:styleId="IndexHeading">
    <w:name w:val="index heading"/>
    <w:basedOn w:val="Normal"/>
    <w:next w:val="Index1"/>
    <w:semiHidden/>
    <w:rsid w:val="00647C22"/>
  </w:style>
  <w:style w:type="paragraph" w:customStyle="1" w:styleId="Line">
    <w:name w:val="Line"/>
    <w:basedOn w:val="Normal"/>
    <w:next w:val="Normal"/>
    <w:rsid w:val="00647C22"/>
    <w:pPr>
      <w:pBdr>
        <w:top w:val="single" w:sz="6" w:space="1" w:color="auto"/>
      </w:pBdr>
      <w:tabs>
        <w:tab w:val="clear" w:pos="794"/>
        <w:tab w:val="clear" w:pos="1191"/>
        <w:tab w:val="clear" w:pos="1588"/>
        <w:tab w:val="clear" w:pos="1985"/>
      </w:tabs>
      <w:spacing w:before="240"/>
      <w:ind w:left="3997" w:right="3997"/>
      <w:jc w:val="center"/>
    </w:pPr>
    <w:rPr>
      <w:sz w:val="20"/>
    </w:rPr>
  </w:style>
  <w:style w:type="paragraph" w:customStyle="1" w:styleId="toctemp">
    <w:name w:val="toctemp"/>
    <w:basedOn w:val="Normal"/>
    <w:rsid w:val="00647C22"/>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rsid w:val="00647C22"/>
  </w:style>
  <w:style w:type="paragraph" w:customStyle="1" w:styleId="Partref">
    <w:name w:val="Part_ref"/>
    <w:basedOn w:val="Normal"/>
    <w:next w:val="Normal"/>
    <w:rsid w:val="00647C22"/>
    <w:pPr>
      <w:keepNext/>
      <w:keepLines/>
      <w:spacing w:after="280"/>
      <w:jc w:val="center"/>
    </w:pPr>
  </w:style>
  <w:style w:type="paragraph" w:customStyle="1" w:styleId="Parttitle">
    <w:name w:val="Part_title"/>
    <w:basedOn w:val="Normal"/>
    <w:next w:val="Normalaftertitle"/>
    <w:rsid w:val="00647C22"/>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rsid w:val="00647C22"/>
  </w:style>
  <w:style w:type="paragraph" w:customStyle="1" w:styleId="QuestionNo">
    <w:name w:val="Question_No"/>
    <w:basedOn w:val="RecNo"/>
    <w:next w:val="Normal"/>
    <w:rsid w:val="00647C22"/>
  </w:style>
  <w:style w:type="paragraph" w:customStyle="1" w:styleId="Questionref">
    <w:name w:val="Question_ref"/>
    <w:basedOn w:val="Recref"/>
    <w:next w:val="Questiondate"/>
    <w:rsid w:val="00647C22"/>
  </w:style>
  <w:style w:type="paragraph" w:customStyle="1" w:styleId="Questiontitle">
    <w:name w:val="Question_title"/>
    <w:basedOn w:val="Normal"/>
    <w:next w:val="Questionref"/>
    <w:rsid w:val="00647C22"/>
  </w:style>
  <w:style w:type="paragraph" w:customStyle="1" w:styleId="Reftext">
    <w:name w:val="Ref_text"/>
    <w:basedOn w:val="Normal"/>
    <w:rsid w:val="00647C22"/>
    <w:pPr>
      <w:ind w:left="794" w:hanging="794"/>
    </w:pPr>
    <w:rPr>
      <w:sz w:val="22"/>
    </w:rPr>
  </w:style>
  <w:style w:type="paragraph" w:customStyle="1" w:styleId="Reftitle">
    <w:name w:val="Ref_title"/>
    <w:basedOn w:val="Normal"/>
    <w:next w:val="Reftext"/>
    <w:rsid w:val="00647C22"/>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rsid w:val="00647C22"/>
  </w:style>
  <w:style w:type="paragraph" w:customStyle="1" w:styleId="RepNo">
    <w:name w:val="Rep_No"/>
    <w:basedOn w:val="RecNo"/>
    <w:next w:val="Reptitle"/>
    <w:rsid w:val="00647C22"/>
  </w:style>
  <w:style w:type="paragraph" w:customStyle="1" w:styleId="Reptitle">
    <w:name w:val="Rep_title"/>
    <w:basedOn w:val="Rectitle"/>
    <w:next w:val="Repref"/>
    <w:rsid w:val="00647C22"/>
  </w:style>
  <w:style w:type="paragraph" w:customStyle="1" w:styleId="Repref">
    <w:name w:val="Rep_ref"/>
    <w:basedOn w:val="Recref"/>
    <w:next w:val="Repdate"/>
    <w:rsid w:val="00647C22"/>
  </w:style>
  <w:style w:type="paragraph" w:customStyle="1" w:styleId="Resdate">
    <w:name w:val="Res_date"/>
    <w:basedOn w:val="Recdate"/>
    <w:next w:val="Normalaftertitle"/>
    <w:rsid w:val="00647C22"/>
  </w:style>
  <w:style w:type="paragraph" w:customStyle="1" w:styleId="ResNo">
    <w:name w:val="Res_No"/>
    <w:basedOn w:val="RecNo"/>
    <w:next w:val="Restitle"/>
    <w:rsid w:val="00647C22"/>
  </w:style>
  <w:style w:type="paragraph" w:customStyle="1" w:styleId="Restitle">
    <w:name w:val="Res_title"/>
    <w:basedOn w:val="Normal"/>
    <w:next w:val="Resref"/>
    <w:rsid w:val="00647C22"/>
    <w:pPr>
      <w:spacing w:before="240"/>
      <w:jc w:val="center"/>
    </w:pPr>
    <w:rPr>
      <w:b/>
      <w:sz w:val="28"/>
    </w:rPr>
  </w:style>
  <w:style w:type="paragraph" w:customStyle="1" w:styleId="Resref">
    <w:name w:val="Res_ref"/>
    <w:basedOn w:val="Recref"/>
    <w:next w:val="Resdate"/>
    <w:rsid w:val="00647C22"/>
  </w:style>
  <w:style w:type="paragraph" w:customStyle="1" w:styleId="SectionNo">
    <w:name w:val="Section_No"/>
    <w:basedOn w:val="Normal"/>
    <w:next w:val="Normal"/>
    <w:rsid w:val="00647C22"/>
  </w:style>
  <w:style w:type="paragraph" w:customStyle="1" w:styleId="Sectiontitle">
    <w:name w:val="Section_title"/>
    <w:basedOn w:val="Normal"/>
    <w:next w:val="Normalaftertitle"/>
    <w:rsid w:val="00647C22"/>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rsid w:val="00647C22"/>
    <w:pPr>
      <w:tabs>
        <w:tab w:val="clear" w:pos="794"/>
        <w:tab w:val="clear" w:pos="1191"/>
        <w:tab w:val="clear" w:pos="1588"/>
        <w:tab w:val="clear" w:pos="1985"/>
        <w:tab w:val="right" w:pos="9611"/>
      </w:tabs>
    </w:pPr>
    <w:rPr>
      <w:i/>
    </w:rPr>
  </w:style>
  <w:style w:type="paragraph" w:styleId="TOC1">
    <w:name w:val="toc 1"/>
    <w:basedOn w:val="Normal"/>
    <w:semiHidden/>
    <w:rsid w:val="00647C22"/>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semiHidden/>
    <w:rsid w:val="00647C22"/>
    <w:pPr>
      <w:tabs>
        <w:tab w:val="clear" w:pos="567"/>
        <w:tab w:val="left" w:pos="1276"/>
      </w:tabs>
      <w:spacing w:before="160"/>
      <w:ind w:left="1276" w:hanging="709"/>
    </w:pPr>
  </w:style>
  <w:style w:type="paragraph" w:styleId="TOC3">
    <w:name w:val="toc 3"/>
    <w:basedOn w:val="TOC2"/>
    <w:semiHidden/>
    <w:rsid w:val="00647C22"/>
    <w:pPr>
      <w:tabs>
        <w:tab w:val="clear" w:pos="1276"/>
        <w:tab w:val="left" w:pos="2155"/>
      </w:tabs>
      <w:ind w:left="2155" w:hanging="879"/>
    </w:pPr>
  </w:style>
  <w:style w:type="paragraph" w:styleId="TOC4">
    <w:name w:val="toc 4"/>
    <w:basedOn w:val="TOC3"/>
    <w:semiHidden/>
    <w:rsid w:val="00647C22"/>
    <w:pPr>
      <w:tabs>
        <w:tab w:val="left" w:pos="3261"/>
      </w:tabs>
      <w:spacing w:before="80"/>
      <w:ind w:left="3261" w:hanging="993"/>
    </w:pPr>
  </w:style>
  <w:style w:type="paragraph" w:styleId="TOC5">
    <w:name w:val="toc 5"/>
    <w:basedOn w:val="TOC4"/>
    <w:semiHidden/>
    <w:rsid w:val="00647C22"/>
  </w:style>
  <w:style w:type="paragraph" w:styleId="TOC6">
    <w:name w:val="toc 6"/>
    <w:basedOn w:val="TOC4"/>
    <w:semiHidden/>
    <w:rsid w:val="00647C22"/>
  </w:style>
  <w:style w:type="paragraph" w:styleId="TOC7">
    <w:name w:val="toc 7"/>
    <w:basedOn w:val="TOC4"/>
    <w:semiHidden/>
    <w:rsid w:val="00647C22"/>
  </w:style>
  <w:style w:type="paragraph" w:styleId="TOC8">
    <w:name w:val="toc 8"/>
    <w:basedOn w:val="TOC4"/>
    <w:semiHidden/>
    <w:rsid w:val="00647C22"/>
  </w:style>
  <w:style w:type="paragraph" w:customStyle="1" w:styleId="Annexref">
    <w:name w:val="Annex_ref"/>
    <w:basedOn w:val="Normal"/>
    <w:next w:val="Normalaftertitle"/>
    <w:rsid w:val="00647C22"/>
    <w:pPr>
      <w:keepNext/>
      <w:keepLines/>
      <w:spacing w:after="280"/>
      <w:jc w:val="center"/>
    </w:pPr>
  </w:style>
  <w:style w:type="paragraph" w:customStyle="1" w:styleId="Appendixref">
    <w:name w:val="Appendix_ref"/>
    <w:basedOn w:val="Annexref"/>
    <w:next w:val="Normalaftertitle"/>
    <w:rsid w:val="00647C22"/>
  </w:style>
  <w:style w:type="paragraph" w:customStyle="1" w:styleId="Tabletitle">
    <w:name w:val="Table_title"/>
    <w:basedOn w:val="Normal"/>
    <w:next w:val="Tablehead"/>
    <w:rsid w:val="00647C22"/>
    <w:pPr>
      <w:keepNext/>
      <w:spacing w:before="0" w:after="120"/>
      <w:jc w:val="center"/>
    </w:pPr>
    <w:rPr>
      <w:b/>
    </w:rPr>
  </w:style>
  <w:style w:type="paragraph" w:customStyle="1" w:styleId="Summary">
    <w:name w:val="Summary"/>
    <w:basedOn w:val="Normal"/>
    <w:next w:val="Normalaftertitle"/>
    <w:autoRedefine/>
    <w:rsid w:val="00647C22"/>
    <w:pPr>
      <w:spacing w:after="480"/>
    </w:pPr>
    <w:rPr>
      <w:sz w:val="22"/>
      <w:lang w:val="es-ES_tradnl"/>
    </w:rPr>
  </w:style>
  <w:style w:type="character" w:styleId="Hyperlink">
    <w:name w:val="Hyperlink"/>
    <w:basedOn w:val="DefaultParagraphFont"/>
    <w:uiPriority w:val="99"/>
    <w:rsid w:val="00934ED7"/>
    <w:rPr>
      <w:color w:val="0000FF"/>
      <w:u w:val="single"/>
    </w:rPr>
  </w:style>
  <w:style w:type="paragraph" w:customStyle="1" w:styleId="TableLegendNote">
    <w:name w:val="Table_Legend_Note"/>
    <w:basedOn w:val="Tablelegend"/>
    <w:next w:val="Tablelegend"/>
    <w:rsid w:val="00647C22"/>
    <w:pPr>
      <w:ind w:left="-85" w:firstLine="0"/>
    </w:pPr>
    <w:rPr>
      <w:lang w:val="en-US"/>
    </w:rPr>
  </w:style>
  <w:style w:type="character" w:customStyle="1" w:styleId="HeaderChar">
    <w:name w:val="Header Char"/>
    <w:basedOn w:val="DefaultParagraphFont"/>
    <w:link w:val="Header"/>
    <w:rsid w:val="00EE47C4"/>
    <w:rPr>
      <w:sz w:val="24"/>
      <w:lang w:val="en-GB" w:eastAsia="en-US"/>
    </w:rPr>
  </w:style>
  <w:style w:type="table" w:styleId="TableGrid">
    <w:name w:val="Table Grid"/>
    <w:basedOn w:val="TableNormal"/>
    <w:uiPriority w:val="39"/>
    <w:rsid w:val="00EE47C4"/>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B083A"/>
    <w:rPr>
      <w:color w:val="605E5C"/>
      <w:shd w:val="clear" w:color="auto" w:fill="E1DFDD"/>
    </w:rPr>
  </w:style>
  <w:style w:type="paragraph" w:customStyle="1" w:styleId="CoverNumber">
    <w:name w:val="Cover Number"/>
    <w:basedOn w:val="Normal"/>
    <w:qFormat/>
    <w:rsid w:val="00B42334"/>
    <w:pPr>
      <w:widowControl w:val="0"/>
      <w:tabs>
        <w:tab w:val="clear" w:pos="794"/>
        <w:tab w:val="clear" w:pos="1191"/>
        <w:tab w:val="clear" w:pos="1588"/>
        <w:tab w:val="clear" w:pos="1985"/>
      </w:tabs>
      <w:overflowPunct/>
      <w:adjustRightInd/>
      <w:spacing w:before="93"/>
      <w:ind w:left="284"/>
      <w:jc w:val="left"/>
      <w:textAlignment w:val="auto"/>
      <w:outlineLvl w:val="0"/>
    </w:pPr>
    <w:rPr>
      <w:rFonts w:ascii="Arial" w:eastAsia="AvenirNext LT Pro Medium" w:hAnsi="Arial" w:cs="AvenirNext LT Pro Medium"/>
      <w:b/>
      <w:bCs/>
      <w:spacing w:val="-10"/>
      <w:sz w:val="44"/>
      <w:szCs w:val="52"/>
      <w:lang w:val="en-US"/>
    </w:rPr>
  </w:style>
  <w:style w:type="paragraph" w:customStyle="1" w:styleId="CoverDate">
    <w:name w:val="Cover Date"/>
    <w:basedOn w:val="Normal"/>
    <w:qFormat/>
    <w:rsid w:val="00260B24"/>
    <w:pPr>
      <w:widowControl w:val="0"/>
      <w:tabs>
        <w:tab w:val="clear" w:pos="794"/>
        <w:tab w:val="clear" w:pos="1191"/>
        <w:tab w:val="clear" w:pos="1588"/>
        <w:tab w:val="clear" w:pos="1985"/>
      </w:tabs>
      <w:overflowPunct/>
      <w:adjustRightInd/>
      <w:spacing w:before="126"/>
      <w:ind w:left="284"/>
      <w:jc w:val="left"/>
      <w:textAlignment w:val="auto"/>
    </w:pPr>
    <w:rPr>
      <w:rFonts w:ascii="Arial" w:eastAsia="AvenirNext LT Pro Regular" w:hAnsi="Arial" w:cs="AvenirNext LT Pro Regular"/>
      <w:b/>
      <w:spacing w:val="-2"/>
      <w:sz w:val="36"/>
      <w:szCs w:val="22"/>
      <w:lang w:val="en-US"/>
    </w:rPr>
  </w:style>
  <w:style w:type="paragraph" w:customStyle="1" w:styleId="CoverSeries">
    <w:name w:val="Cover Series"/>
    <w:basedOn w:val="Normal"/>
    <w:qFormat/>
    <w:rsid w:val="00B42334"/>
    <w:pPr>
      <w:widowControl w:val="0"/>
      <w:tabs>
        <w:tab w:val="clear" w:pos="794"/>
        <w:tab w:val="clear" w:pos="1191"/>
        <w:tab w:val="clear" w:pos="1588"/>
        <w:tab w:val="clear" w:pos="1985"/>
      </w:tabs>
      <w:overflowPunct/>
      <w:adjustRightInd/>
      <w:spacing w:before="241" w:line="244" w:lineRule="auto"/>
      <w:ind w:left="284"/>
      <w:jc w:val="left"/>
      <w:textAlignment w:val="auto"/>
    </w:pPr>
    <w:rPr>
      <w:rFonts w:ascii="Arial" w:eastAsia="AvenirNext LT Pro Regular" w:hAnsi="Arial" w:cs="AvenirNext LT Pro Regular"/>
      <w:bCs/>
      <w:color w:val="1A1A1A"/>
      <w:spacing w:val="-4"/>
      <w:sz w:val="40"/>
      <w:szCs w:val="48"/>
      <w:lang w:val="en-US"/>
    </w:rPr>
  </w:style>
  <w:style w:type="paragraph" w:customStyle="1" w:styleId="CoverTitle">
    <w:name w:val="Cover Title"/>
    <w:basedOn w:val="Normal"/>
    <w:qFormat/>
    <w:rsid w:val="00B42334"/>
    <w:pPr>
      <w:widowControl w:val="0"/>
      <w:tabs>
        <w:tab w:val="clear" w:pos="794"/>
        <w:tab w:val="clear" w:pos="1191"/>
        <w:tab w:val="clear" w:pos="1588"/>
        <w:tab w:val="clear" w:pos="1985"/>
      </w:tabs>
      <w:overflowPunct/>
      <w:adjustRightInd/>
      <w:spacing w:before="338" w:line="244" w:lineRule="auto"/>
      <w:ind w:left="284" w:right="1002"/>
      <w:jc w:val="left"/>
      <w:textAlignment w:val="auto"/>
    </w:pPr>
    <w:rPr>
      <w:rFonts w:ascii="Arial" w:eastAsia="AvenirNext LT Pro Regular" w:hAnsi="Arial" w:cs="AvenirNext LT Pro Regular"/>
      <w:b/>
      <w:bCs/>
      <w:sz w:val="44"/>
      <w:szCs w:val="48"/>
      <w:lang w:val="en-US"/>
    </w:rPr>
  </w:style>
  <w:style w:type="character" w:customStyle="1" w:styleId="Heading1Char">
    <w:name w:val="Heading 1 Char"/>
    <w:basedOn w:val="DefaultParagraphFont"/>
    <w:link w:val="Heading1"/>
    <w:rsid w:val="00342460"/>
    <w:rPr>
      <w:b/>
      <w:sz w:val="24"/>
      <w:lang w:val="en-GB" w:eastAsia="en-US"/>
    </w:rPr>
  </w:style>
  <w:style w:type="character" w:customStyle="1" w:styleId="Heading2Char">
    <w:name w:val="Heading 2 Char"/>
    <w:basedOn w:val="DefaultParagraphFont"/>
    <w:link w:val="Heading2"/>
    <w:rsid w:val="00342460"/>
    <w:rPr>
      <w:b/>
      <w:sz w:val="24"/>
      <w:lang w:val="en-GB" w:eastAsia="en-US"/>
    </w:rPr>
  </w:style>
  <w:style w:type="character" w:customStyle="1" w:styleId="CallChar">
    <w:name w:val="Call Char"/>
    <w:basedOn w:val="DefaultParagraphFont"/>
    <w:link w:val="Call"/>
    <w:locked/>
    <w:rsid w:val="00342460"/>
    <w:rPr>
      <w:i/>
      <w:sz w:val="24"/>
      <w:lang w:val="en-GB" w:eastAsia="en-US"/>
    </w:rPr>
  </w:style>
  <w:style w:type="character" w:customStyle="1" w:styleId="enumlev1Char">
    <w:name w:val="enumlev1 Char"/>
    <w:link w:val="enumlev1"/>
    <w:locked/>
    <w:rsid w:val="00342460"/>
    <w:rPr>
      <w:sz w:val="24"/>
      <w:lang w:val="en-GB" w:eastAsia="en-US"/>
    </w:rPr>
  </w:style>
  <w:style w:type="character" w:customStyle="1" w:styleId="EquationChar">
    <w:name w:val="Equation Char"/>
    <w:link w:val="Equation"/>
    <w:locked/>
    <w:rsid w:val="00342460"/>
    <w:rPr>
      <w:sz w:val="24"/>
      <w:lang w:val="en-GB" w:eastAsia="en-US"/>
    </w:rPr>
  </w:style>
  <w:style w:type="character" w:customStyle="1" w:styleId="EquationlegendChar">
    <w:name w:val="Equation_legend Char"/>
    <w:basedOn w:val="DefaultParagraphFont"/>
    <w:link w:val="Equationlegend"/>
    <w:locked/>
    <w:rsid w:val="00342460"/>
    <w:rPr>
      <w:sz w:val="24"/>
      <w:lang w:eastAsia="en-US"/>
    </w:rPr>
  </w:style>
  <w:style w:type="character" w:customStyle="1" w:styleId="HeadingbChar">
    <w:name w:val="Heading_b Char"/>
    <w:link w:val="Headingb"/>
    <w:qFormat/>
    <w:locked/>
    <w:rsid w:val="00342460"/>
    <w:rPr>
      <w:b/>
      <w:sz w:val="24"/>
      <w:lang w:val="en-GB" w:eastAsia="en-US"/>
    </w:rPr>
  </w:style>
  <w:style w:type="character" w:customStyle="1" w:styleId="FiguretitleChar">
    <w:name w:val="Figure_title Char"/>
    <w:basedOn w:val="DefaultParagraphFont"/>
    <w:link w:val="Figuretitle"/>
    <w:locked/>
    <w:rsid w:val="00342460"/>
    <w:rPr>
      <w:rFonts w:ascii="Times New Roman Bold" w:hAnsi="Times New Roman Bold"/>
      <w:b/>
      <w:sz w:val="18"/>
      <w:lang w:val="en-GB" w:eastAsia="en-US"/>
    </w:rPr>
  </w:style>
  <w:style w:type="character" w:customStyle="1" w:styleId="FigureNo0">
    <w:name w:val="Figure_No (文字)"/>
    <w:link w:val="FigureNo"/>
    <w:locked/>
    <w:rsid w:val="00342460"/>
    <w:rPr>
      <w:caps/>
      <w:sz w:val="18"/>
      <w:lang w:val="en-GB" w:eastAsia="en-US"/>
    </w:rPr>
  </w:style>
  <w:style w:type="paragraph" w:customStyle="1" w:styleId="Reasons">
    <w:name w:val="Reasons"/>
    <w:basedOn w:val="Normal"/>
    <w:qFormat/>
    <w:rsid w:val="00342460"/>
    <w:pPr>
      <w:tabs>
        <w:tab w:val="clear" w:pos="794"/>
        <w:tab w:val="clear" w:pos="1191"/>
        <w:tab w:val="left" w:pos="1134"/>
      </w:tabs>
      <w:jc w:val="left"/>
      <w:textAlignment w:val="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925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yperlink" Target="https://www.itu.int/rec/R-REC-P.682/en" TargetMode="External"/><Relationship Id="rId26" Type="http://schemas.openxmlformats.org/officeDocument/2006/relationships/hyperlink" Target="https://www.itu.int/rec/R-REC-P.676/en" TargetMode="External"/><Relationship Id="rId39" Type="http://schemas.openxmlformats.org/officeDocument/2006/relationships/hyperlink" Target="https://www.itu.int/rec/R-REC-P.839/en" TargetMode="External"/><Relationship Id="rId21" Type="http://schemas.openxmlformats.org/officeDocument/2006/relationships/hyperlink" Target="https://www.itu.int/rec/R-REC-P.840/en" TargetMode="External"/><Relationship Id="rId34" Type="http://schemas.openxmlformats.org/officeDocument/2006/relationships/hyperlink" Target="https://www.itu.int/rec/R-REC-P.676/en" TargetMode="External"/><Relationship Id="rId42" Type="http://schemas.openxmlformats.org/officeDocument/2006/relationships/hyperlink" Target="https://www.itu.int/rec/R-REC-P.840/en" TargetMode="Externa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itu.int/rec/R-REC-P.618/en" TargetMode="External"/><Relationship Id="rId29"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tu.int/publ/R-REC/en" TargetMode="External"/><Relationship Id="rId24" Type="http://schemas.openxmlformats.org/officeDocument/2006/relationships/hyperlink" Target="https://www.itu.int/rec/R-REC-P.528/en" TargetMode="External"/><Relationship Id="rId32" Type="http://schemas.openxmlformats.org/officeDocument/2006/relationships/hyperlink" Target="https://www.itu.int/rec/R-REC-P.618/en" TargetMode="External"/><Relationship Id="rId37" Type="http://schemas.openxmlformats.org/officeDocument/2006/relationships/hyperlink" Target="https://www.itu.int/rec/R-REC-P.618/en" TargetMode="External"/><Relationship Id="rId40" Type="http://schemas.openxmlformats.org/officeDocument/2006/relationships/hyperlink" Target="https://www.itu.int/rec/R-REC-P.839/en"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itu.int/rec/R-REC-P.531/en" TargetMode="External"/><Relationship Id="rId23" Type="http://schemas.openxmlformats.org/officeDocument/2006/relationships/hyperlink" Target="https://www.itu.int/rec/R-REC-P.682/en" TargetMode="External"/><Relationship Id="rId28" Type="http://schemas.openxmlformats.org/officeDocument/2006/relationships/image" Target="media/image3.png"/><Relationship Id="rId36" Type="http://schemas.openxmlformats.org/officeDocument/2006/relationships/hyperlink" Target="https://www.itu.int/rec/R-REC-P.840/en" TargetMode="External"/><Relationship Id="rId10" Type="http://schemas.openxmlformats.org/officeDocument/2006/relationships/hyperlink" Target="https://www.itu.int/en/ITU-R/study-groups/Pages/itu-r-patent-information.aspx" TargetMode="External"/><Relationship Id="rId19" Type="http://schemas.openxmlformats.org/officeDocument/2006/relationships/hyperlink" Target="https://www.itu.int/rec/R-REC-P.836/en" TargetMode="External"/><Relationship Id="rId31" Type="http://schemas.openxmlformats.org/officeDocument/2006/relationships/hyperlink" Target="https://www.itu.int/rec/R-REC-P.531/en" TargetMode="External"/><Relationship Id="rId4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itu.int/rec/R-REC-P.528/en" TargetMode="External"/><Relationship Id="rId22" Type="http://schemas.openxmlformats.org/officeDocument/2006/relationships/hyperlink" Target="https://www.itu.int/rec/R-REC-P.528/en" TargetMode="External"/><Relationship Id="rId27" Type="http://schemas.openxmlformats.org/officeDocument/2006/relationships/hyperlink" Target="https://www.itu.int/rec/R-REC-P.682/en" TargetMode="External"/><Relationship Id="rId30" Type="http://schemas.openxmlformats.org/officeDocument/2006/relationships/hyperlink" Target="https://www.itu.int/rec/R-REC-P.528/en" TargetMode="External"/><Relationship Id="rId35" Type="http://schemas.openxmlformats.org/officeDocument/2006/relationships/hyperlink" Target="https://www.itu.int/rec/R-REC-P.839/en" TargetMode="External"/><Relationship Id="rId43" Type="http://schemas.openxmlformats.org/officeDocument/2006/relationships/hyperlink" Target="https://www.itu.int/rec/R-REC-P.618/en" TargetMode="External"/><Relationship Id="rId8" Type="http://schemas.openxmlformats.org/officeDocument/2006/relationships/header" Target="header2.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yperlink" Target="https://www.itu.int/rec/R-REC-P.676/en" TargetMode="External"/><Relationship Id="rId25" Type="http://schemas.openxmlformats.org/officeDocument/2006/relationships/hyperlink" Target="https://www.itu.int/rec/R-REC-P.528/en" TargetMode="External"/><Relationship Id="rId33" Type="http://schemas.openxmlformats.org/officeDocument/2006/relationships/hyperlink" Target="https://www.itu.int/rec/R-REC-P.676/en" TargetMode="External"/><Relationship Id="rId38" Type="http://schemas.openxmlformats.org/officeDocument/2006/relationships/hyperlink" Target="https://www.itu.int/rec/R-REC-P.618/en" TargetMode="External"/><Relationship Id="rId46" Type="http://schemas.openxmlformats.org/officeDocument/2006/relationships/theme" Target="theme/theme1.xml"/><Relationship Id="rId20" Type="http://schemas.openxmlformats.org/officeDocument/2006/relationships/hyperlink" Target="https://www.itu.int/rec/R-REC-P.839/en" TargetMode="External"/><Relationship Id="rId41" Type="http://schemas.openxmlformats.org/officeDocument/2006/relationships/hyperlink" Target="https://www.itu.int/rec/R-REC-P.618/e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omezy\AppData\Roaming\Microsoft\Templates\BR_Rec_2005.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BR_Rec_2005.dotm</Template>
  <TotalTime>191</TotalTime>
  <Pages>9</Pages>
  <Words>2397</Words>
  <Characters>14029</Characters>
  <Application>Microsoft Office Word</Application>
  <DocSecurity>0</DocSecurity>
  <Lines>318</Lines>
  <Paragraphs>221</Paragraphs>
  <ScaleCrop>false</ScaleCrop>
  <HeadingPairs>
    <vt:vector size="2" baseType="variant">
      <vt:variant>
        <vt:lpstr>Title</vt:lpstr>
      </vt:variant>
      <vt:variant>
        <vt:i4>1</vt:i4>
      </vt:variant>
    </vt:vector>
  </HeadingPairs>
  <TitlesOfParts>
    <vt:vector size="1" baseType="lpstr">
      <vt:lpstr>Recommendation ITU-R P.2041-1 (09/2026) - Prediction of path attenuation on links between an airborne terminal and Space and between an airborne terminal and the surface of the Earth</vt:lpstr>
    </vt:vector>
  </TitlesOfParts>
  <Manager/>
  <Company>ITU</Company>
  <LinksUpToDate>false</LinksUpToDate>
  <CharactersWithSpaces>16205</CharactersWithSpaces>
  <SharedDoc>false</SharedDoc>
  <HLinks>
    <vt:vector size="12" baseType="variant">
      <vt:variant>
        <vt:i4>1966164</vt:i4>
      </vt:variant>
      <vt:variant>
        <vt:i4>3</vt:i4>
      </vt:variant>
      <vt:variant>
        <vt:i4>0</vt:i4>
      </vt:variant>
      <vt:variant>
        <vt:i4>5</vt:i4>
      </vt:variant>
      <vt:variant>
        <vt:lpwstr>http://www.itu.int/publ/R-REC/en</vt:lpwstr>
      </vt:variant>
      <vt:variant>
        <vt:lpwstr/>
      </vt:variant>
      <vt:variant>
        <vt:i4>3997742</vt:i4>
      </vt:variant>
      <vt:variant>
        <vt:i4>0</vt:i4>
      </vt:variant>
      <vt:variant>
        <vt:i4>0</vt:i4>
      </vt:variant>
      <vt:variant>
        <vt:i4>5</vt:i4>
      </vt:variant>
      <vt:variant>
        <vt:lpwstr>http://www.itu.int/ITU-R/go/patents/en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Recommendation ITU-R P.2041-1 (09/2026) - Prediction of path attenuation on links between an airborne terminal and Space and between an airborne terminal and the surface of the Earth</dc:title>
  <dc:subject>P Series: Radio-wave propagation</dc:subject>
  <dc:creator>ITU Radiocommunication Bureau (BR)</dc:creator>
  <cp:keywords>Earth-space, aeronautical, gaseous attenuation</cp:keywords>
  <dc:description/>
  <cp:lastModifiedBy>Gomez, Yoanni</cp:lastModifiedBy>
  <cp:revision>13</cp:revision>
  <cp:lastPrinted>2009-07-08T06:55:00Z</cp:lastPrinted>
  <dcterms:created xsi:type="dcterms:W3CDTF">2026-09-11T09:50:00Z</dcterms:created>
  <dcterms:modified xsi:type="dcterms:W3CDTF">2026-09-25T08:23:00Z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Rec. </vt:lpwstr>
  </property>
  <property fmtid="{D5CDD505-2E9C-101B-9397-08002B2CF9AE}" pid="3" name="Header 1">
    <vt:lpwstr>Rap. </vt:lpwstr>
  </property>
  <property fmtid="{D5CDD505-2E9C-101B-9397-08002B2CF9AE}" pid="4" name="Header 2">
    <vt:lpwstr>Rep. </vt:lpwstr>
  </property>
  <property fmtid="{D5CDD505-2E9C-101B-9397-08002B2CF9AE}" pid="5" name="Header 3">
    <vt:lpwstr>I. </vt:lpwstr>
  </property>
  <property fmtid="{D5CDD505-2E9C-101B-9397-08002B2CF9AE}" pid="6" name="Header 4">
    <vt:lpwstr>Op. </vt:lpwstr>
  </property>
  <property fmtid="{D5CDD505-2E9C-101B-9397-08002B2CF9AE}" pid="7" name="Header 5">
    <vt:lpwstr>V. </vt:lpwstr>
  </property>
  <property fmtid="{D5CDD505-2E9C-101B-9397-08002B2CF9AE}" pid="8" name="Header 6">
    <vt:lpwstr>Ru. </vt:lpwstr>
  </property>
  <property fmtid="{D5CDD505-2E9C-101B-9397-08002B2CF9AE}" pid="9" name="Language">
    <vt:lpwstr>English</vt:lpwstr>
  </property>
  <property fmtid="{D5CDD505-2E9C-101B-9397-08002B2CF9AE}" pid="10" name="Typist">
    <vt:lpwstr>Saez</vt:lpwstr>
  </property>
  <property fmtid="{D5CDD505-2E9C-101B-9397-08002B2CF9AE}" pid="11" name="Date completed">
    <vt:lpwstr>12 September 2026</vt:lpwstr>
  </property>
</Properties>
</file>