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1E91" w14:textId="77777777" w:rsidR="00355566" w:rsidRPr="00555DA1" w:rsidRDefault="00355566">
      <w:pPr>
        <w:rPr>
          <w:lang w:val="en-GB"/>
        </w:rPr>
      </w:pPr>
    </w:p>
    <w:p w14:paraId="082851D5" w14:textId="77777777" w:rsidR="00355566" w:rsidRPr="00555DA1" w:rsidRDefault="00355566">
      <w:pPr>
        <w:rPr>
          <w:lang w:val="en-GB"/>
        </w:rPr>
      </w:pPr>
    </w:p>
    <w:p w14:paraId="0DD811DA" w14:textId="77777777" w:rsidR="00355566" w:rsidRPr="00555DA1" w:rsidRDefault="00355566">
      <w:pPr>
        <w:rPr>
          <w:lang w:val="en-GB"/>
        </w:rPr>
      </w:pPr>
    </w:p>
    <w:p w14:paraId="353197E3" w14:textId="77777777" w:rsidR="00355566" w:rsidRPr="00555DA1" w:rsidRDefault="00355566">
      <w:pPr>
        <w:rPr>
          <w:lang w:val="en-GB"/>
        </w:rPr>
      </w:pPr>
    </w:p>
    <w:p w14:paraId="4A9CA213" w14:textId="77777777" w:rsidR="00355566" w:rsidRPr="00555DA1" w:rsidRDefault="00355566">
      <w:pPr>
        <w:rPr>
          <w:lang w:val="en-GB"/>
        </w:rPr>
      </w:pPr>
    </w:p>
    <w:p w14:paraId="76029F19" w14:textId="77777777" w:rsidR="00355566" w:rsidRPr="00555DA1" w:rsidRDefault="00355566">
      <w:pPr>
        <w:rPr>
          <w:lang w:val="en-GB"/>
        </w:rPr>
      </w:pPr>
    </w:p>
    <w:p w14:paraId="5D9E6702" w14:textId="77777777" w:rsidR="00355566" w:rsidRPr="00555DA1" w:rsidRDefault="00355566">
      <w:pPr>
        <w:rPr>
          <w:lang w:val="en-GB"/>
        </w:rPr>
      </w:pPr>
    </w:p>
    <w:p w14:paraId="20E2AB58" w14:textId="77777777" w:rsidR="00355566" w:rsidRPr="00555DA1" w:rsidRDefault="00355566">
      <w:pPr>
        <w:rPr>
          <w:lang w:val="en-GB"/>
        </w:rPr>
      </w:pPr>
    </w:p>
    <w:p w14:paraId="32D40CDC" w14:textId="77777777" w:rsidR="00355566" w:rsidRPr="00555DA1" w:rsidRDefault="00355566">
      <w:pPr>
        <w:rPr>
          <w:lang w:val="en-GB"/>
        </w:rPr>
      </w:pPr>
    </w:p>
    <w:p w14:paraId="0BFE2F1D" w14:textId="77777777" w:rsidR="00355566" w:rsidRPr="00555DA1" w:rsidRDefault="00355566">
      <w:pPr>
        <w:rPr>
          <w:lang w:val="en-GB"/>
        </w:rPr>
      </w:pPr>
    </w:p>
    <w:p w14:paraId="3162212F" w14:textId="77777777" w:rsidR="00355566" w:rsidRPr="00555DA1" w:rsidRDefault="00355566">
      <w:pPr>
        <w:rPr>
          <w:lang w:val="en-GB"/>
        </w:rPr>
      </w:pPr>
    </w:p>
    <w:p w14:paraId="1C9FE404" w14:textId="77777777" w:rsidR="00355566" w:rsidRPr="00555DA1" w:rsidRDefault="00355566">
      <w:pPr>
        <w:rPr>
          <w:lang w:val="en-GB"/>
        </w:rPr>
      </w:pPr>
    </w:p>
    <w:tbl>
      <w:tblPr>
        <w:tblW w:w="10089" w:type="dxa"/>
        <w:tblLook w:val="01E0" w:firstRow="1" w:lastRow="1" w:firstColumn="1" w:lastColumn="1" w:noHBand="0" w:noVBand="0"/>
      </w:tblPr>
      <w:tblGrid>
        <w:gridCol w:w="10089"/>
      </w:tblGrid>
      <w:tr w:rsidR="00355566" w:rsidRPr="00555DA1" w14:paraId="2E987312" w14:textId="77777777">
        <w:tc>
          <w:tcPr>
            <w:tcW w:w="10089" w:type="dxa"/>
          </w:tcPr>
          <w:p w14:paraId="3CFB1C0F" w14:textId="77777777" w:rsidR="00355566" w:rsidRPr="00555DA1" w:rsidRDefault="00355566" w:rsidP="000A57BE">
            <w:pPr>
              <w:spacing w:before="380" w:line="280" w:lineRule="exact"/>
              <w:jc w:val="right"/>
              <w:rPr>
                <w:rFonts w:ascii="Tahoma" w:hAnsi="Tahoma" w:cs="Tahoma"/>
                <w:b/>
                <w:bCs/>
                <w:iCs/>
                <w:color w:val="243285"/>
                <w:sz w:val="32"/>
                <w:szCs w:val="32"/>
                <w:lang w:val="en-GB"/>
              </w:rPr>
            </w:pPr>
          </w:p>
          <w:p w14:paraId="0870448B" w14:textId="2AB33764" w:rsidR="00355566" w:rsidRPr="00555DA1" w:rsidRDefault="00355566" w:rsidP="00355566">
            <w:pPr>
              <w:spacing w:before="380" w:line="280" w:lineRule="exact"/>
              <w:jc w:val="right"/>
              <w:rPr>
                <w:rFonts w:ascii="Tahoma" w:hAnsi="Tahoma" w:cs="Tahoma"/>
                <w:b/>
                <w:bCs/>
                <w:iCs/>
                <w:color w:val="243285"/>
                <w:sz w:val="36"/>
                <w:szCs w:val="36"/>
                <w:lang w:val="en-GB"/>
              </w:rPr>
            </w:pPr>
            <w:proofErr w:type="gramStart"/>
            <w:r w:rsidRPr="00555DA1">
              <w:rPr>
                <w:rFonts w:ascii="Tahoma" w:hAnsi="Tahoma" w:cs="Tahoma"/>
                <w:b/>
                <w:bCs/>
                <w:iCs/>
                <w:color w:val="243285"/>
                <w:sz w:val="36"/>
                <w:szCs w:val="36"/>
                <w:lang w:val="en-GB"/>
              </w:rPr>
              <w:t>Recommendation  ITU</w:t>
            </w:r>
            <w:proofErr w:type="gramEnd"/>
            <w:r w:rsidRPr="00555DA1">
              <w:rPr>
                <w:rFonts w:ascii="Tahoma" w:hAnsi="Tahoma" w:cs="Tahoma"/>
                <w:b/>
                <w:bCs/>
                <w:iCs/>
                <w:color w:val="243285"/>
                <w:sz w:val="36"/>
                <w:szCs w:val="36"/>
                <w:lang w:val="en-GB"/>
              </w:rPr>
              <w:t>-R  P.</w:t>
            </w:r>
            <w:r w:rsidR="0055626A" w:rsidRPr="00555DA1">
              <w:rPr>
                <w:rFonts w:ascii="Tahoma" w:hAnsi="Tahoma" w:cs="Tahoma"/>
                <w:b/>
                <w:bCs/>
                <w:iCs/>
                <w:color w:val="243285"/>
                <w:sz w:val="36"/>
                <w:szCs w:val="36"/>
                <w:lang w:val="en-GB"/>
              </w:rPr>
              <w:t>140</w:t>
            </w:r>
            <w:r w:rsidR="00691D31">
              <w:rPr>
                <w:rFonts w:ascii="Tahoma" w:hAnsi="Tahoma" w:cs="Tahoma"/>
                <w:b/>
                <w:bCs/>
                <w:iCs/>
                <w:color w:val="243285"/>
                <w:sz w:val="36"/>
                <w:szCs w:val="36"/>
                <w:lang w:val="en-GB"/>
              </w:rPr>
              <w:t>9</w:t>
            </w:r>
            <w:r w:rsidR="0055626A" w:rsidRPr="00555DA1">
              <w:rPr>
                <w:rFonts w:ascii="Tahoma" w:hAnsi="Tahoma" w:cs="Tahoma"/>
                <w:b/>
                <w:bCs/>
                <w:iCs/>
                <w:color w:val="243285"/>
                <w:sz w:val="36"/>
                <w:szCs w:val="36"/>
                <w:lang w:val="en-GB"/>
              </w:rPr>
              <w:t>-</w:t>
            </w:r>
            <w:r w:rsidR="00691D31">
              <w:rPr>
                <w:rFonts w:ascii="Tahoma" w:hAnsi="Tahoma" w:cs="Tahoma"/>
                <w:b/>
                <w:bCs/>
                <w:iCs/>
                <w:color w:val="243285"/>
                <w:sz w:val="36"/>
                <w:szCs w:val="36"/>
                <w:lang w:val="en-GB"/>
              </w:rPr>
              <w:t>2</w:t>
            </w:r>
          </w:p>
          <w:p w14:paraId="56023AD9" w14:textId="2516A016" w:rsidR="00355566" w:rsidRPr="00555DA1" w:rsidRDefault="00355566" w:rsidP="00FD7DC3">
            <w:pPr>
              <w:spacing w:before="80" w:line="280" w:lineRule="exact"/>
              <w:jc w:val="right"/>
              <w:rPr>
                <w:rFonts w:ascii="Tahoma" w:hAnsi="Tahoma" w:cs="Tahoma"/>
                <w:b/>
                <w:bCs/>
                <w:iCs/>
                <w:color w:val="243285"/>
                <w:szCs w:val="24"/>
                <w:lang w:val="en-GB"/>
              </w:rPr>
            </w:pPr>
            <w:r w:rsidRPr="00555DA1">
              <w:rPr>
                <w:rFonts w:ascii="Tahoma" w:hAnsi="Tahoma" w:cs="Tahoma"/>
                <w:b/>
                <w:bCs/>
                <w:iCs/>
                <w:color w:val="243285"/>
                <w:szCs w:val="24"/>
                <w:lang w:val="en-GB"/>
              </w:rPr>
              <w:t>(0</w:t>
            </w:r>
            <w:r w:rsidR="0005545B">
              <w:rPr>
                <w:rFonts w:ascii="Tahoma" w:hAnsi="Tahoma" w:cs="Tahoma"/>
                <w:b/>
                <w:bCs/>
                <w:iCs/>
                <w:color w:val="243285"/>
                <w:szCs w:val="24"/>
                <w:lang w:val="en-GB"/>
              </w:rPr>
              <w:t>9</w:t>
            </w:r>
            <w:r w:rsidRPr="00555DA1">
              <w:rPr>
                <w:rFonts w:ascii="Tahoma" w:hAnsi="Tahoma" w:cs="Tahoma"/>
                <w:b/>
                <w:bCs/>
                <w:iCs/>
                <w:color w:val="243285"/>
                <w:szCs w:val="24"/>
                <w:lang w:val="en-GB"/>
              </w:rPr>
              <w:t>/20</w:t>
            </w:r>
            <w:r w:rsidR="0005545B">
              <w:rPr>
                <w:rFonts w:ascii="Tahoma" w:hAnsi="Tahoma" w:cs="Tahoma"/>
                <w:b/>
                <w:bCs/>
                <w:iCs/>
                <w:color w:val="243285"/>
                <w:szCs w:val="24"/>
                <w:lang w:val="en-GB"/>
              </w:rPr>
              <w:t>21</w:t>
            </w:r>
            <w:r w:rsidRPr="00555DA1">
              <w:rPr>
                <w:rFonts w:ascii="Tahoma" w:hAnsi="Tahoma" w:cs="Tahoma"/>
                <w:b/>
                <w:bCs/>
                <w:iCs/>
                <w:color w:val="243285"/>
                <w:szCs w:val="24"/>
                <w:lang w:val="en-GB"/>
              </w:rPr>
              <w:t>)</w:t>
            </w:r>
          </w:p>
        </w:tc>
      </w:tr>
      <w:tr w:rsidR="00355566" w:rsidRPr="00023A94" w14:paraId="2E7BD573" w14:textId="77777777">
        <w:tc>
          <w:tcPr>
            <w:tcW w:w="10089" w:type="dxa"/>
          </w:tcPr>
          <w:p w14:paraId="29834405" w14:textId="77777777" w:rsidR="00355566" w:rsidRPr="00555DA1" w:rsidRDefault="00355566" w:rsidP="000A57BE">
            <w:pPr>
              <w:spacing w:before="80" w:line="500" w:lineRule="exact"/>
              <w:jc w:val="right"/>
              <w:rPr>
                <w:rFonts w:ascii="Tahoma" w:hAnsi="Tahoma" w:cs="Tahoma"/>
                <w:b/>
                <w:bCs/>
                <w:iCs/>
                <w:color w:val="243285"/>
                <w:sz w:val="44"/>
                <w:szCs w:val="44"/>
                <w:lang w:val="en-GB"/>
              </w:rPr>
            </w:pPr>
          </w:p>
          <w:p w14:paraId="2BD53C6C" w14:textId="77F33A4A" w:rsidR="00355566" w:rsidRPr="00555DA1" w:rsidRDefault="00691D31" w:rsidP="000E4249">
            <w:pPr>
              <w:spacing w:before="80" w:line="500" w:lineRule="exact"/>
              <w:jc w:val="right"/>
              <w:rPr>
                <w:rFonts w:ascii="Tahoma" w:hAnsi="Tahoma" w:cs="Tahoma"/>
                <w:b/>
                <w:bCs/>
                <w:iCs/>
                <w:color w:val="243285"/>
                <w:sz w:val="40"/>
                <w:szCs w:val="40"/>
                <w:lang w:val="en-GB"/>
              </w:rPr>
            </w:pPr>
            <w:r w:rsidRPr="00691D31">
              <w:rPr>
                <w:rFonts w:ascii="Tahoma" w:hAnsi="Tahoma" w:cs="Tahoma"/>
                <w:b/>
                <w:bCs/>
                <w:color w:val="243285"/>
                <w:sz w:val="44"/>
                <w:szCs w:val="44"/>
                <w:lang w:val="en-GB"/>
              </w:rPr>
              <w:t>Propagation data and prediction methods for systems using high altitude platform</w:t>
            </w:r>
            <w:r>
              <w:rPr>
                <w:rFonts w:ascii="Tahoma" w:hAnsi="Tahoma" w:cs="Tahoma"/>
                <w:b/>
                <w:bCs/>
                <w:color w:val="243285"/>
                <w:sz w:val="44"/>
                <w:szCs w:val="44"/>
                <w:lang w:val="en-GB"/>
              </w:rPr>
              <w:t xml:space="preserve"> </w:t>
            </w:r>
            <w:r w:rsidRPr="00691D31">
              <w:rPr>
                <w:rFonts w:ascii="Tahoma" w:hAnsi="Tahoma" w:cs="Tahoma"/>
                <w:b/>
                <w:bCs/>
                <w:color w:val="243285"/>
                <w:sz w:val="44"/>
                <w:szCs w:val="44"/>
                <w:lang w:val="en-GB"/>
              </w:rPr>
              <w:t xml:space="preserve">stations and other elevated stations </w:t>
            </w:r>
            <w:r>
              <w:rPr>
                <w:rFonts w:ascii="Tahoma" w:hAnsi="Tahoma" w:cs="Tahoma"/>
                <w:b/>
                <w:bCs/>
                <w:color w:val="243285"/>
                <w:sz w:val="44"/>
                <w:szCs w:val="44"/>
                <w:lang w:val="en-GB"/>
              </w:rPr>
              <w:br/>
            </w:r>
            <w:r w:rsidRPr="00691D31">
              <w:rPr>
                <w:rFonts w:ascii="Tahoma" w:hAnsi="Tahoma" w:cs="Tahoma"/>
                <w:b/>
                <w:bCs/>
                <w:color w:val="243285"/>
                <w:sz w:val="44"/>
                <w:szCs w:val="44"/>
                <w:lang w:val="en-GB"/>
              </w:rPr>
              <w:t>in the</w:t>
            </w:r>
            <w:r>
              <w:rPr>
                <w:rFonts w:ascii="Tahoma" w:hAnsi="Tahoma" w:cs="Tahoma"/>
                <w:b/>
                <w:bCs/>
                <w:color w:val="243285"/>
                <w:sz w:val="44"/>
                <w:szCs w:val="44"/>
                <w:lang w:val="en-GB"/>
              </w:rPr>
              <w:t xml:space="preserve"> </w:t>
            </w:r>
            <w:r w:rsidRPr="00691D31">
              <w:rPr>
                <w:rFonts w:ascii="Tahoma" w:hAnsi="Tahoma" w:cs="Tahoma"/>
                <w:b/>
                <w:bCs/>
                <w:color w:val="243285"/>
                <w:sz w:val="44"/>
                <w:szCs w:val="44"/>
                <w:lang w:val="en-GB"/>
              </w:rPr>
              <w:t>stratosphere</w:t>
            </w:r>
            <w:r>
              <w:rPr>
                <w:rFonts w:ascii="Tahoma" w:hAnsi="Tahoma" w:cs="Tahoma"/>
                <w:b/>
                <w:bCs/>
                <w:color w:val="243285"/>
                <w:sz w:val="44"/>
                <w:szCs w:val="44"/>
                <w:lang w:val="en-GB"/>
              </w:rPr>
              <w:t xml:space="preserve"> </w:t>
            </w:r>
            <w:r w:rsidRPr="00691D31">
              <w:rPr>
                <w:rFonts w:ascii="Tahoma" w:hAnsi="Tahoma" w:cs="Tahoma"/>
                <w:b/>
                <w:bCs/>
                <w:color w:val="243285"/>
                <w:sz w:val="44"/>
                <w:szCs w:val="44"/>
                <w:lang w:val="en-GB"/>
              </w:rPr>
              <w:t xml:space="preserve">at frequencies </w:t>
            </w:r>
            <w:r>
              <w:rPr>
                <w:rFonts w:ascii="Tahoma" w:hAnsi="Tahoma" w:cs="Tahoma"/>
                <w:b/>
                <w:bCs/>
                <w:color w:val="243285"/>
                <w:sz w:val="44"/>
                <w:szCs w:val="44"/>
                <w:lang w:val="en-GB"/>
              </w:rPr>
              <w:br/>
            </w:r>
            <w:r w:rsidRPr="00691D31">
              <w:rPr>
                <w:rFonts w:ascii="Tahoma" w:hAnsi="Tahoma" w:cs="Tahoma"/>
                <w:b/>
                <w:bCs/>
                <w:color w:val="243285"/>
                <w:sz w:val="44"/>
                <w:szCs w:val="44"/>
                <w:lang w:val="en-GB"/>
              </w:rPr>
              <w:t xml:space="preserve">greater than about </w:t>
            </w:r>
            <w:r w:rsidR="007D42BE">
              <w:rPr>
                <w:rFonts w:ascii="Tahoma" w:hAnsi="Tahoma" w:cs="Tahoma"/>
                <w:b/>
                <w:bCs/>
                <w:color w:val="243285"/>
                <w:sz w:val="44"/>
                <w:szCs w:val="44"/>
                <w:lang w:val="en-GB"/>
              </w:rPr>
              <w:t>0.7</w:t>
            </w:r>
            <w:r w:rsidRPr="00691D31">
              <w:rPr>
                <w:rFonts w:ascii="Tahoma" w:hAnsi="Tahoma" w:cs="Tahoma"/>
                <w:b/>
                <w:bCs/>
                <w:color w:val="243285"/>
                <w:sz w:val="44"/>
                <w:szCs w:val="44"/>
                <w:lang w:val="en-GB"/>
              </w:rPr>
              <w:t xml:space="preserve"> GHz</w:t>
            </w:r>
          </w:p>
        </w:tc>
      </w:tr>
      <w:tr w:rsidR="00355566" w:rsidRPr="00555DA1" w14:paraId="115107F4" w14:textId="77777777">
        <w:tc>
          <w:tcPr>
            <w:tcW w:w="10089" w:type="dxa"/>
          </w:tcPr>
          <w:p w14:paraId="5FB86AED" w14:textId="77777777" w:rsidR="00355566" w:rsidRPr="00555DA1" w:rsidRDefault="00355566" w:rsidP="000A57BE">
            <w:pPr>
              <w:spacing w:before="80" w:line="280" w:lineRule="exact"/>
              <w:ind w:right="640"/>
              <w:rPr>
                <w:rFonts w:ascii="Tahoma" w:hAnsi="Tahoma" w:cs="Tahoma"/>
                <w:b/>
                <w:bCs/>
                <w:iCs/>
                <w:color w:val="243285"/>
                <w:sz w:val="32"/>
                <w:szCs w:val="32"/>
                <w:lang w:val="en-GB"/>
              </w:rPr>
            </w:pPr>
          </w:p>
          <w:p w14:paraId="40EAF13F" w14:textId="77777777" w:rsidR="00355566" w:rsidRPr="00555DA1" w:rsidRDefault="00355566" w:rsidP="000A57BE">
            <w:pPr>
              <w:spacing w:before="80" w:line="280" w:lineRule="exact"/>
              <w:ind w:right="640"/>
              <w:rPr>
                <w:rFonts w:ascii="Tahoma" w:hAnsi="Tahoma" w:cs="Tahoma"/>
                <w:b/>
                <w:bCs/>
                <w:iCs/>
                <w:color w:val="243285"/>
                <w:sz w:val="32"/>
                <w:szCs w:val="32"/>
                <w:lang w:val="en-GB"/>
              </w:rPr>
            </w:pPr>
          </w:p>
          <w:p w14:paraId="1035CDFD" w14:textId="77777777" w:rsidR="00355566" w:rsidRPr="00555DA1" w:rsidRDefault="00355566" w:rsidP="000A57BE">
            <w:pPr>
              <w:spacing w:before="80" w:after="180" w:line="360" w:lineRule="exact"/>
              <w:ind w:right="720"/>
              <w:rPr>
                <w:rFonts w:ascii="Tahoma" w:hAnsi="Tahoma" w:cs="Tahoma"/>
                <w:b/>
                <w:bCs/>
                <w:iCs/>
                <w:color w:val="243285"/>
                <w:sz w:val="36"/>
                <w:szCs w:val="36"/>
                <w:lang w:val="en-GB"/>
              </w:rPr>
            </w:pPr>
          </w:p>
          <w:p w14:paraId="7B2C1D0D" w14:textId="77777777" w:rsidR="00355566" w:rsidRPr="00555DA1" w:rsidRDefault="00355566" w:rsidP="000A57BE">
            <w:pPr>
              <w:spacing w:before="80" w:after="180" w:line="360" w:lineRule="exact"/>
              <w:jc w:val="right"/>
              <w:rPr>
                <w:rFonts w:ascii="Tahoma" w:hAnsi="Tahoma" w:cs="Tahoma"/>
                <w:b/>
                <w:bCs/>
                <w:iCs/>
                <w:color w:val="243285"/>
                <w:sz w:val="36"/>
                <w:szCs w:val="36"/>
                <w:lang w:val="en-GB"/>
              </w:rPr>
            </w:pPr>
            <w:r w:rsidRPr="00555DA1">
              <w:rPr>
                <w:rFonts w:ascii="Tahoma" w:hAnsi="Tahoma" w:cs="Tahoma"/>
                <w:b/>
                <w:bCs/>
                <w:iCs/>
                <w:color w:val="243285"/>
                <w:sz w:val="36"/>
                <w:szCs w:val="36"/>
                <w:lang w:val="en-GB"/>
              </w:rPr>
              <w:t>P Series</w:t>
            </w:r>
          </w:p>
          <w:p w14:paraId="66637A20" w14:textId="77777777" w:rsidR="00355566" w:rsidRPr="00555DA1" w:rsidRDefault="00355566" w:rsidP="000A57BE">
            <w:pPr>
              <w:spacing w:before="80" w:line="360" w:lineRule="exact"/>
              <w:jc w:val="right"/>
              <w:rPr>
                <w:rFonts w:ascii="Tahoma" w:hAnsi="Tahoma" w:cs="Tahoma"/>
                <w:b/>
                <w:bCs/>
                <w:iCs/>
                <w:color w:val="243285"/>
                <w:sz w:val="36"/>
                <w:szCs w:val="36"/>
                <w:lang w:val="en-GB"/>
              </w:rPr>
            </w:pPr>
            <w:r w:rsidRPr="00555DA1">
              <w:rPr>
                <w:rFonts w:ascii="Tahoma" w:hAnsi="Tahoma" w:cs="Tahoma"/>
                <w:b/>
                <w:bCs/>
                <w:color w:val="243285"/>
                <w:sz w:val="36"/>
                <w:szCs w:val="36"/>
                <w:lang w:val="en-GB"/>
              </w:rPr>
              <w:t>Radiowave propagation</w:t>
            </w:r>
          </w:p>
        </w:tc>
      </w:tr>
    </w:tbl>
    <w:p w14:paraId="6CAAC573" w14:textId="77777777" w:rsidR="00355566" w:rsidRPr="00555DA1" w:rsidRDefault="00355566" w:rsidP="000A57BE">
      <w:pPr>
        <w:spacing w:before="80"/>
        <w:rPr>
          <w:i/>
          <w:sz w:val="22"/>
          <w:lang w:val="en-GB"/>
        </w:rPr>
      </w:pPr>
    </w:p>
    <w:p w14:paraId="6E65B440" w14:textId="77777777" w:rsidR="00355566" w:rsidRPr="00555DA1" w:rsidRDefault="00355566" w:rsidP="000A57BE">
      <w:pPr>
        <w:spacing w:before="80"/>
        <w:rPr>
          <w:i/>
          <w:sz w:val="22"/>
          <w:lang w:val="en-GB"/>
        </w:rPr>
      </w:pPr>
    </w:p>
    <w:p w14:paraId="4EC0F59B" w14:textId="77777777" w:rsidR="00355566" w:rsidRPr="00555DA1" w:rsidRDefault="00355566" w:rsidP="000A57BE">
      <w:pPr>
        <w:spacing w:before="80"/>
        <w:rPr>
          <w:i/>
          <w:sz w:val="22"/>
          <w:lang w:val="en-GB"/>
        </w:rPr>
      </w:pPr>
    </w:p>
    <w:p w14:paraId="5B9B2CF9" w14:textId="77777777" w:rsidR="00355566" w:rsidRPr="00555DA1" w:rsidRDefault="00355566" w:rsidP="000A57BE">
      <w:pPr>
        <w:spacing w:before="80"/>
        <w:rPr>
          <w:i/>
          <w:sz w:val="22"/>
          <w:lang w:val="en-GB"/>
        </w:rPr>
      </w:pPr>
    </w:p>
    <w:p w14:paraId="6B193B59" w14:textId="77777777" w:rsidR="00355566" w:rsidRPr="00555DA1" w:rsidRDefault="00355566" w:rsidP="000A57BE">
      <w:pPr>
        <w:spacing w:before="80"/>
        <w:rPr>
          <w:i/>
          <w:sz w:val="22"/>
          <w:lang w:val="en-GB"/>
        </w:rPr>
      </w:pPr>
    </w:p>
    <w:p w14:paraId="4206BEF1" w14:textId="77777777" w:rsidR="00355566" w:rsidRPr="00555DA1" w:rsidRDefault="00355566" w:rsidP="000A57BE">
      <w:pPr>
        <w:spacing w:before="80"/>
        <w:rPr>
          <w:i/>
          <w:sz w:val="22"/>
          <w:lang w:val="en-GB"/>
        </w:rPr>
      </w:pPr>
    </w:p>
    <w:p w14:paraId="17D7F5E6" w14:textId="77777777" w:rsidR="00355566" w:rsidRPr="00555DA1" w:rsidRDefault="00355566" w:rsidP="000A57BE">
      <w:pPr>
        <w:pStyle w:val="Equation"/>
        <w:tabs>
          <w:tab w:val="clear" w:pos="4820"/>
          <w:tab w:val="clear" w:pos="9639"/>
          <w:tab w:val="left" w:pos="1191"/>
          <w:tab w:val="left" w:pos="1588"/>
          <w:tab w:val="left" w:pos="1985"/>
        </w:tabs>
        <w:rPr>
          <w:rFonts w:ascii="Palatino Linotype" w:hAnsi="Palatino Linotype"/>
          <w:lang w:val="en-GB"/>
        </w:rPr>
        <w:sectPr w:rsidR="00355566" w:rsidRPr="00555DA1" w:rsidSect="00084FAB">
          <w:headerReference w:type="even" r:id="rId7"/>
          <w:headerReference w:type="default" r:id="rId8"/>
          <w:pgSz w:w="11907" w:h="16834" w:code="9"/>
          <w:pgMar w:top="1089" w:right="1089" w:bottom="284" w:left="1089" w:header="567" w:footer="284" w:gutter="0"/>
          <w:paperSrc w:first="15" w:other="15"/>
          <w:cols w:space="720"/>
        </w:sectPr>
      </w:pPr>
    </w:p>
    <w:p w14:paraId="530143EF"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555DA1">
        <w:rPr>
          <w:bCs/>
          <w:sz w:val="24"/>
          <w:szCs w:val="24"/>
          <w:lang w:val="en-GB"/>
        </w:rPr>
        <w:lastRenderedPageBreak/>
        <w:t>Foreword</w:t>
      </w:r>
    </w:p>
    <w:p w14:paraId="7297F752" w14:textId="77777777" w:rsidR="00355566" w:rsidRPr="00555DA1" w:rsidRDefault="00355566" w:rsidP="000A57BE">
      <w:pPr>
        <w:spacing w:before="240"/>
        <w:rPr>
          <w:sz w:val="20"/>
          <w:lang w:val="en-GB"/>
        </w:rPr>
      </w:pPr>
      <w:r w:rsidRPr="00555DA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F7FA47" w14:textId="77777777" w:rsidR="00355566" w:rsidRPr="00555DA1" w:rsidRDefault="00355566" w:rsidP="000A57BE">
      <w:pPr>
        <w:rPr>
          <w:sz w:val="20"/>
          <w:lang w:val="en-GB"/>
        </w:rPr>
      </w:pPr>
      <w:r w:rsidRPr="00555DA1">
        <w:rPr>
          <w:sz w:val="20"/>
          <w:lang w:val="en-GB"/>
        </w:rPr>
        <w:t>The regulatory and policy functions of the Radiocommunication Sector are performed by World and Regional Radiocommunication Conferences and Radiocommunication Assemblies supported by Study Groups.</w:t>
      </w:r>
    </w:p>
    <w:p w14:paraId="26494871" w14:textId="77777777" w:rsidR="00355566" w:rsidRPr="00555DA1" w:rsidRDefault="00355566" w:rsidP="000A57BE">
      <w:pPr>
        <w:pStyle w:val="Heading1"/>
        <w:spacing w:before="680"/>
        <w:jc w:val="center"/>
        <w:rPr>
          <w:szCs w:val="24"/>
          <w:lang w:val="en-GB"/>
        </w:rPr>
      </w:pPr>
      <w:r w:rsidRPr="00555DA1">
        <w:rPr>
          <w:szCs w:val="24"/>
          <w:lang w:val="en-GB"/>
        </w:rPr>
        <w:t>Policy on Intellectual Property Right (IPR)</w:t>
      </w:r>
    </w:p>
    <w:p w14:paraId="646CD7F0" w14:textId="38C6B576" w:rsidR="00355566" w:rsidRPr="00555DA1" w:rsidRDefault="00355566" w:rsidP="000A57BE">
      <w:pPr>
        <w:tabs>
          <w:tab w:val="clear" w:pos="794"/>
          <w:tab w:val="clear" w:pos="1191"/>
          <w:tab w:val="clear" w:pos="1588"/>
          <w:tab w:val="clear" w:pos="1985"/>
        </w:tabs>
        <w:spacing w:before="240"/>
        <w:rPr>
          <w:sz w:val="20"/>
          <w:lang w:val="en-GB"/>
        </w:rPr>
      </w:pPr>
      <w:r w:rsidRPr="00555DA1">
        <w:rPr>
          <w:sz w:val="20"/>
          <w:lang w:val="en-GB"/>
        </w:rPr>
        <w:t>ITU-R policy on IPR is described in the Common Patent Policy for ITU-T/ITU-R/ISO/IEC referenced in Resolution ITU</w:t>
      </w:r>
      <w:r w:rsidR="007B64D7" w:rsidRPr="00555DA1">
        <w:rPr>
          <w:sz w:val="20"/>
          <w:lang w:val="en-GB"/>
        </w:rPr>
        <w:noBreakHyphen/>
      </w:r>
      <w:r w:rsidRPr="00555DA1">
        <w:rPr>
          <w:sz w:val="20"/>
          <w:lang w:val="en-GB"/>
        </w:rPr>
        <w:t xml:space="preserve">R 1. Forms to be used for the submission of patent statements and licensing declarations by patent holders are available from </w:t>
      </w:r>
      <w:hyperlink r:id="rId9" w:history="1">
        <w:r w:rsidRPr="00555DA1">
          <w:rPr>
            <w:rStyle w:val="Hyperlink"/>
            <w:sz w:val="20"/>
            <w:lang w:val="en-GB"/>
          </w:rPr>
          <w:t>http://www.itu.int/ITU-R/go/patents/en</w:t>
        </w:r>
      </w:hyperlink>
      <w:r w:rsidRPr="00555DA1">
        <w:rPr>
          <w:sz w:val="20"/>
          <w:lang w:val="en-GB"/>
        </w:rPr>
        <w:t xml:space="preserve"> where the Guidelines for Implementation of the Common Patent Policy for ITU</w:t>
      </w:r>
      <w:r w:rsidRPr="00555DA1">
        <w:rPr>
          <w:sz w:val="20"/>
          <w:lang w:val="en-GB"/>
        </w:rPr>
        <w:noBreakHyphen/>
        <w:t>T/ITU</w:t>
      </w:r>
      <w:r w:rsidRPr="00555DA1">
        <w:rPr>
          <w:sz w:val="20"/>
          <w:lang w:val="en-GB"/>
        </w:rPr>
        <w:noBreakHyphen/>
        <w:t xml:space="preserve">R/ISO/IEC and the ITU-R patent information database can also be found. </w:t>
      </w:r>
    </w:p>
    <w:p w14:paraId="3EA4F791" w14:textId="77777777" w:rsidR="00355566" w:rsidRPr="00555DA1" w:rsidRDefault="00355566" w:rsidP="000A57BE">
      <w:pPr>
        <w:jc w:val="center"/>
        <w:rPr>
          <w:sz w:val="22"/>
          <w:lang w:val="en-GB"/>
        </w:rPr>
      </w:pPr>
    </w:p>
    <w:p w14:paraId="59BA464C" w14:textId="77777777" w:rsidR="00355566" w:rsidRPr="00555DA1" w:rsidRDefault="00355566" w:rsidP="000A57BE">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5566" w:rsidRPr="00023A94" w14:paraId="4911603D" w14:textId="77777777">
        <w:tc>
          <w:tcPr>
            <w:tcW w:w="9360" w:type="dxa"/>
            <w:gridSpan w:val="2"/>
          </w:tcPr>
          <w:p w14:paraId="5A27BC88" w14:textId="77777777" w:rsidR="00355566" w:rsidRPr="00555DA1" w:rsidRDefault="00355566" w:rsidP="000A57BE">
            <w:pPr>
              <w:pStyle w:val="Chaptitle"/>
              <w:keepLines w:val="0"/>
              <w:tabs>
                <w:tab w:val="clear" w:pos="794"/>
                <w:tab w:val="clear" w:pos="1191"/>
                <w:tab w:val="clear" w:pos="1588"/>
                <w:tab w:val="clear" w:pos="1985"/>
              </w:tabs>
              <w:overflowPunct/>
              <w:spacing w:before="180"/>
              <w:textAlignment w:val="auto"/>
              <w:rPr>
                <w:sz w:val="22"/>
                <w:szCs w:val="22"/>
                <w:lang w:val="en-GB"/>
              </w:rPr>
            </w:pPr>
            <w:r w:rsidRPr="00555DA1">
              <w:rPr>
                <w:sz w:val="22"/>
                <w:szCs w:val="22"/>
                <w:lang w:val="en-GB"/>
              </w:rPr>
              <w:t xml:space="preserve">Series of ITU-R Recommendations </w:t>
            </w:r>
          </w:p>
          <w:p w14:paraId="41788EF7"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555DA1">
              <w:rPr>
                <w:b w:val="0"/>
                <w:sz w:val="18"/>
                <w:szCs w:val="18"/>
                <w:lang w:val="en-GB"/>
              </w:rPr>
              <w:t xml:space="preserve">(Also available online at </w:t>
            </w:r>
            <w:hyperlink r:id="rId10" w:history="1">
              <w:r w:rsidRPr="00555DA1">
                <w:rPr>
                  <w:rStyle w:val="Hyperlink"/>
                  <w:b w:val="0"/>
                  <w:sz w:val="18"/>
                  <w:szCs w:val="18"/>
                  <w:lang w:val="en-GB"/>
                </w:rPr>
                <w:t>http://www.itu.int/publ/R-REC/en</w:t>
              </w:r>
            </w:hyperlink>
            <w:r w:rsidRPr="00555DA1">
              <w:rPr>
                <w:b w:val="0"/>
                <w:sz w:val="18"/>
                <w:szCs w:val="18"/>
                <w:lang w:val="en-GB"/>
              </w:rPr>
              <w:t>)</w:t>
            </w:r>
          </w:p>
        </w:tc>
      </w:tr>
      <w:tr w:rsidR="00355566" w:rsidRPr="00555DA1" w14:paraId="2C3BB924" w14:textId="77777777">
        <w:tc>
          <w:tcPr>
            <w:tcW w:w="1140" w:type="dxa"/>
          </w:tcPr>
          <w:p w14:paraId="3AA5DB14" w14:textId="77777777" w:rsidR="00355566" w:rsidRPr="00555DA1" w:rsidRDefault="00355566" w:rsidP="000A57BE">
            <w:pPr>
              <w:spacing w:before="200" w:after="100"/>
              <w:ind w:left="57"/>
              <w:rPr>
                <w:b/>
                <w:bCs/>
                <w:sz w:val="20"/>
                <w:lang w:val="en-GB"/>
              </w:rPr>
            </w:pPr>
            <w:r w:rsidRPr="00555DA1">
              <w:rPr>
                <w:b/>
                <w:bCs/>
                <w:sz w:val="20"/>
                <w:lang w:val="en-GB"/>
              </w:rPr>
              <w:t>Series</w:t>
            </w:r>
          </w:p>
        </w:tc>
        <w:tc>
          <w:tcPr>
            <w:tcW w:w="8220" w:type="dxa"/>
          </w:tcPr>
          <w:p w14:paraId="07D25CB8"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555DA1">
              <w:rPr>
                <w:bCs/>
                <w:sz w:val="20"/>
                <w:lang w:val="en-GB"/>
              </w:rPr>
              <w:t>Title</w:t>
            </w:r>
          </w:p>
        </w:tc>
      </w:tr>
      <w:tr w:rsidR="00355566" w:rsidRPr="00555DA1" w14:paraId="545E49A7" w14:textId="77777777">
        <w:tc>
          <w:tcPr>
            <w:tcW w:w="1140" w:type="dxa"/>
          </w:tcPr>
          <w:p w14:paraId="0A3A59B2" w14:textId="77777777" w:rsidR="00355566" w:rsidRPr="00555DA1" w:rsidRDefault="00355566" w:rsidP="000A57BE">
            <w:pPr>
              <w:spacing w:before="30" w:after="30"/>
              <w:ind w:left="57"/>
              <w:jc w:val="left"/>
              <w:rPr>
                <w:b/>
                <w:bCs/>
                <w:sz w:val="20"/>
                <w:lang w:val="en-GB"/>
              </w:rPr>
            </w:pPr>
            <w:r w:rsidRPr="00555DA1">
              <w:rPr>
                <w:b/>
                <w:bCs/>
                <w:sz w:val="20"/>
                <w:lang w:val="en-GB"/>
              </w:rPr>
              <w:t>BO</w:t>
            </w:r>
          </w:p>
        </w:tc>
        <w:tc>
          <w:tcPr>
            <w:tcW w:w="8220" w:type="dxa"/>
          </w:tcPr>
          <w:p w14:paraId="7B8FBD4E"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555DA1">
              <w:rPr>
                <w:b w:val="0"/>
                <w:bCs/>
                <w:sz w:val="20"/>
                <w:lang w:val="en-GB"/>
              </w:rPr>
              <w:t>Satellite delivery</w:t>
            </w:r>
          </w:p>
        </w:tc>
      </w:tr>
      <w:tr w:rsidR="00355566" w:rsidRPr="00023A94" w14:paraId="29CACA34" w14:textId="77777777" w:rsidTr="000A57BE">
        <w:tc>
          <w:tcPr>
            <w:tcW w:w="1140" w:type="dxa"/>
            <w:tcBorders>
              <w:bottom w:val="nil"/>
            </w:tcBorders>
          </w:tcPr>
          <w:p w14:paraId="403C704C" w14:textId="77777777" w:rsidR="00355566" w:rsidRPr="00555DA1" w:rsidRDefault="00355566" w:rsidP="000A57BE">
            <w:pPr>
              <w:spacing w:before="30" w:after="30"/>
              <w:ind w:left="57"/>
              <w:jc w:val="left"/>
              <w:rPr>
                <w:b/>
                <w:bCs/>
                <w:sz w:val="20"/>
                <w:lang w:val="en-GB"/>
              </w:rPr>
            </w:pPr>
            <w:r w:rsidRPr="00555DA1">
              <w:rPr>
                <w:b/>
                <w:bCs/>
                <w:sz w:val="20"/>
                <w:lang w:val="en-GB"/>
              </w:rPr>
              <w:t>BR</w:t>
            </w:r>
          </w:p>
        </w:tc>
        <w:tc>
          <w:tcPr>
            <w:tcW w:w="8220" w:type="dxa"/>
            <w:tcBorders>
              <w:bottom w:val="nil"/>
            </w:tcBorders>
          </w:tcPr>
          <w:p w14:paraId="69ACEB46"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55DA1">
              <w:rPr>
                <w:b w:val="0"/>
                <w:sz w:val="20"/>
                <w:lang w:val="en-GB"/>
              </w:rPr>
              <w:t>Recording for production, archival and play-out; film for television</w:t>
            </w:r>
          </w:p>
        </w:tc>
      </w:tr>
      <w:tr w:rsidR="00355566" w:rsidRPr="00555DA1" w14:paraId="69B308E2" w14:textId="77777777" w:rsidTr="000A57BE">
        <w:tc>
          <w:tcPr>
            <w:tcW w:w="1140" w:type="dxa"/>
            <w:tcBorders>
              <w:top w:val="nil"/>
              <w:bottom w:val="nil"/>
            </w:tcBorders>
            <w:shd w:val="clear" w:color="auto" w:fill="auto"/>
          </w:tcPr>
          <w:p w14:paraId="63BBE456" w14:textId="77777777" w:rsidR="00355566" w:rsidRPr="00555DA1" w:rsidRDefault="00355566" w:rsidP="000A57BE">
            <w:pPr>
              <w:spacing w:before="30" w:after="30"/>
              <w:ind w:left="57"/>
              <w:jc w:val="left"/>
              <w:rPr>
                <w:rFonts w:hAnsi="Times New Roman Bold"/>
                <w:b/>
                <w:bCs/>
                <w:sz w:val="20"/>
                <w:lang w:val="en-GB"/>
              </w:rPr>
            </w:pPr>
            <w:r w:rsidRPr="00555DA1">
              <w:rPr>
                <w:rFonts w:hAnsi="Times New Roman Bold"/>
                <w:b/>
                <w:bCs/>
                <w:sz w:val="20"/>
                <w:lang w:val="en-GB"/>
              </w:rPr>
              <w:t>BS</w:t>
            </w:r>
          </w:p>
        </w:tc>
        <w:tc>
          <w:tcPr>
            <w:tcW w:w="8220" w:type="dxa"/>
            <w:tcBorders>
              <w:top w:val="nil"/>
              <w:bottom w:val="nil"/>
            </w:tcBorders>
            <w:shd w:val="clear" w:color="auto" w:fill="auto"/>
          </w:tcPr>
          <w:p w14:paraId="3A33A0F7"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555DA1">
              <w:rPr>
                <w:rFonts w:hAnsi="Times New Roman Bold"/>
                <w:b w:val="0"/>
                <w:sz w:val="20"/>
                <w:lang w:val="en-GB"/>
              </w:rPr>
              <w:t>Broadcasting service (sound)</w:t>
            </w:r>
          </w:p>
        </w:tc>
      </w:tr>
      <w:tr w:rsidR="00355566" w:rsidRPr="00555DA1" w14:paraId="061F8E13" w14:textId="77777777" w:rsidTr="000A57BE">
        <w:tc>
          <w:tcPr>
            <w:tcW w:w="1140" w:type="dxa"/>
            <w:tcBorders>
              <w:top w:val="nil"/>
              <w:bottom w:val="nil"/>
            </w:tcBorders>
            <w:shd w:val="clear" w:color="auto" w:fill="auto"/>
          </w:tcPr>
          <w:p w14:paraId="1468A830" w14:textId="77777777" w:rsidR="00355566" w:rsidRPr="00555DA1" w:rsidRDefault="00355566" w:rsidP="000A57BE">
            <w:pPr>
              <w:spacing w:before="30" w:after="30"/>
              <w:ind w:left="57"/>
              <w:jc w:val="left"/>
              <w:rPr>
                <w:b/>
                <w:bCs/>
                <w:sz w:val="20"/>
                <w:lang w:val="en-GB"/>
              </w:rPr>
            </w:pPr>
            <w:r w:rsidRPr="00555DA1">
              <w:rPr>
                <w:b/>
                <w:bCs/>
                <w:sz w:val="20"/>
                <w:lang w:val="en-GB"/>
              </w:rPr>
              <w:t>BT</w:t>
            </w:r>
          </w:p>
        </w:tc>
        <w:tc>
          <w:tcPr>
            <w:tcW w:w="8220" w:type="dxa"/>
            <w:tcBorders>
              <w:top w:val="nil"/>
              <w:bottom w:val="nil"/>
            </w:tcBorders>
            <w:shd w:val="clear" w:color="auto" w:fill="auto"/>
          </w:tcPr>
          <w:p w14:paraId="0E08E400"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55DA1">
              <w:rPr>
                <w:b w:val="0"/>
                <w:sz w:val="20"/>
                <w:lang w:val="en-GB"/>
              </w:rPr>
              <w:t>Broadcasting service (television)</w:t>
            </w:r>
          </w:p>
        </w:tc>
      </w:tr>
      <w:tr w:rsidR="00355566" w:rsidRPr="00555DA1" w14:paraId="1A6BC2D4" w14:textId="77777777" w:rsidTr="000A57BE">
        <w:tc>
          <w:tcPr>
            <w:tcW w:w="1140" w:type="dxa"/>
            <w:tcBorders>
              <w:top w:val="nil"/>
              <w:bottom w:val="nil"/>
            </w:tcBorders>
            <w:shd w:val="clear" w:color="auto" w:fill="auto"/>
          </w:tcPr>
          <w:p w14:paraId="039A199E" w14:textId="77777777" w:rsidR="00355566" w:rsidRPr="00555DA1" w:rsidRDefault="00355566" w:rsidP="000A57BE">
            <w:pPr>
              <w:spacing w:before="30" w:after="30"/>
              <w:ind w:left="57"/>
              <w:jc w:val="left"/>
              <w:rPr>
                <w:rFonts w:hAnsi="Times New Roman Bold"/>
                <w:b/>
                <w:bCs/>
                <w:sz w:val="20"/>
                <w:lang w:val="en-GB"/>
              </w:rPr>
            </w:pPr>
            <w:r w:rsidRPr="00555DA1">
              <w:rPr>
                <w:rFonts w:hAnsi="Times New Roman Bold"/>
                <w:b/>
                <w:bCs/>
                <w:sz w:val="20"/>
                <w:lang w:val="en-GB"/>
              </w:rPr>
              <w:t>F</w:t>
            </w:r>
          </w:p>
        </w:tc>
        <w:tc>
          <w:tcPr>
            <w:tcW w:w="8220" w:type="dxa"/>
            <w:tcBorders>
              <w:top w:val="nil"/>
              <w:bottom w:val="nil"/>
            </w:tcBorders>
            <w:shd w:val="clear" w:color="auto" w:fill="auto"/>
          </w:tcPr>
          <w:p w14:paraId="49D5640A" w14:textId="77777777" w:rsidR="00355566" w:rsidRPr="00555DA1"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555DA1">
              <w:rPr>
                <w:rFonts w:hAnsi="Times New Roman Bold"/>
                <w:sz w:val="20"/>
                <w:lang w:val="en-GB"/>
              </w:rPr>
              <w:t>Fixed service</w:t>
            </w:r>
          </w:p>
        </w:tc>
      </w:tr>
      <w:tr w:rsidR="00355566" w:rsidRPr="00555DA1" w14:paraId="4C7E70C0" w14:textId="77777777" w:rsidTr="000A57BE">
        <w:tc>
          <w:tcPr>
            <w:tcW w:w="1140" w:type="dxa"/>
            <w:tcBorders>
              <w:top w:val="nil"/>
              <w:bottom w:val="nil"/>
            </w:tcBorders>
            <w:shd w:val="clear" w:color="auto" w:fill="auto"/>
          </w:tcPr>
          <w:p w14:paraId="331E07C6" w14:textId="77777777" w:rsidR="00355566" w:rsidRPr="00555DA1" w:rsidRDefault="00355566" w:rsidP="000A57BE">
            <w:pPr>
              <w:spacing w:before="30" w:after="30"/>
              <w:ind w:left="57"/>
              <w:jc w:val="left"/>
              <w:rPr>
                <w:rFonts w:ascii="Times New Roman Bold" w:hAnsi="Times New Roman Bold" w:cs="Times New Roman Bold"/>
                <w:b/>
                <w:sz w:val="20"/>
                <w:lang w:val="en-GB"/>
              </w:rPr>
            </w:pPr>
            <w:r w:rsidRPr="00555DA1">
              <w:rPr>
                <w:rFonts w:ascii="Times New Roman Bold" w:hAnsi="Times New Roman Bold" w:cs="Times New Roman Bold"/>
                <w:b/>
                <w:sz w:val="20"/>
                <w:lang w:val="en-GB"/>
              </w:rPr>
              <w:t>M</w:t>
            </w:r>
          </w:p>
        </w:tc>
        <w:tc>
          <w:tcPr>
            <w:tcW w:w="8220" w:type="dxa"/>
            <w:tcBorders>
              <w:top w:val="nil"/>
              <w:bottom w:val="nil"/>
            </w:tcBorders>
            <w:shd w:val="clear" w:color="auto" w:fill="auto"/>
          </w:tcPr>
          <w:p w14:paraId="221CF8B8"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555DA1">
              <w:rPr>
                <w:rFonts w:hAnsi="Times New Roman Bold"/>
                <w:b w:val="0"/>
                <w:bCs/>
                <w:sz w:val="20"/>
                <w:lang w:val="en-GB"/>
              </w:rPr>
              <w:t>Mobile, radiodetermination, amateur and related satellite services</w:t>
            </w:r>
          </w:p>
        </w:tc>
      </w:tr>
      <w:tr w:rsidR="00355566" w:rsidRPr="00555DA1" w14:paraId="4F403515" w14:textId="77777777" w:rsidTr="000A57BE">
        <w:tc>
          <w:tcPr>
            <w:tcW w:w="1140" w:type="dxa"/>
            <w:tcBorders>
              <w:top w:val="nil"/>
              <w:bottom w:val="nil"/>
            </w:tcBorders>
            <w:shd w:val="clear" w:color="auto" w:fill="F3F3F3"/>
          </w:tcPr>
          <w:p w14:paraId="29B861A6" w14:textId="77777777" w:rsidR="00355566" w:rsidRPr="00555DA1" w:rsidRDefault="00355566" w:rsidP="000A57BE">
            <w:pPr>
              <w:spacing w:before="30" w:after="30"/>
              <w:ind w:left="57"/>
              <w:jc w:val="left"/>
              <w:rPr>
                <w:rFonts w:ascii="Times New Roman Bold" w:hAnsi="Times New Roman Bold" w:cs="Times New Roman Bold"/>
                <w:color w:val="000080"/>
                <w:sz w:val="20"/>
                <w:lang w:val="en-GB"/>
              </w:rPr>
            </w:pPr>
            <w:r w:rsidRPr="00555DA1">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2186E65D" w14:textId="77777777" w:rsidR="00355566" w:rsidRPr="00555DA1" w:rsidRDefault="00355566" w:rsidP="000A57BE">
            <w:pPr>
              <w:spacing w:before="30" w:after="30"/>
              <w:jc w:val="left"/>
              <w:rPr>
                <w:rFonts w:ascii="Times New Roman Bold" w:hAnsi="Times New Roman Bold" w:cs="Times New Roman Bold"/>
                <w:color w:val="000080"/>
                <w:sz w:val="20"/>
                <w:lang w:val="en-GB"/>
              </w:rPr>
            </w:pPr>
            <w:r w:rsidRPr="00555DA1">
              <w:rPr>
                <w:rFonts w:ascii="Times New Roman Bold" w:hAnsi="Times New Roman Bold" w:cs="Times New Roman Bold"/>
                <w:color w:val="000080"/>
                <w:sz w:val="20"/>
                <w:lang w:val="en-GB"/>
              </w:rPr>
              <w:t>Radiowave propagation</w:t>
            </w:r>
          </w:p>
        </w:tc>
      </w:tr>
      <w:tr w:rsidR="00355566" w:rsidRPr="00555DA1" w14:paraId="6F57843F" w14:textId="77777777" w:rsidTr="000A57BE">
        <w:tc>
          <w:tcPr>
            <w:tcW w:w="1140" w:type="dxa"/>
            <w:tcBorders>
              <w:top w:val="nil"/>
            </w:tcBorders>
          </w:tcPr>
          <w:p w14:paraId="6D41426A" w14:textId="77777777" w:rsidR="00355566" w:rsidRPr="00555DA1" w:rsidRDefault="00355566" w:rsidP="000A57BE">
            <w:pPr>
              <w:spacing w:before="30" w:after="30"/>
              <w:ind w:left="57"/>
              <w:jc w:val="left"/>
              <w:rPr>
                <w:b/>
                <w:bCs/>
                <w:sz w:val="20"/>
                <w:lang w:val="en-GB"/>
              </w:rPr>
            </w:pPr>
            <w:r w:rsidRPr="00555DA1">
              <w:rPr>
                <w:b/>
                <w:bCs/>
                <w:sz w:val="20"/>
                <w:lang w:val="en-GB"/>
              </w:rPr>
              <w:t>RA</w:t>
            </w:r>
          </w:p>
        </w:tc>
        <w:tc>
          <w:tcPr>
            <w:tcW w:w="8220" w:type="dxa"/>
            <w:tcBorders>
              <w:top w:val="nil"/>
            </w:tcBorders>
          </w:tcPr>
          <w:p w14:paraId="7B9DC9E6" w14:textId="77777777" w:rsidR="00355566" w:rsidRPr="00555DA1"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55DA1">
              <w:rPr>
                <w:sz w:val="20"/>
                <w:lang w:val="en-GB"/>
              </w:rPr>
              <w:t>Radio astronomy</w:t>
            </w:r>
          </w:p>
        </w:tc>
      </w:tr>
      <w:tr w:rsidR="00355566" w:rsidRPr="00555DA1" w14:paraId="0058D96E" w14:textId="77777777">
        <w:tc>
          <w:tcPr>
            <w:tcW w:w="1140" w:type="dxa"/>
          </w:tcPr>
          <w:p w14:paraId="0B79634B" w14:textId="77777777" w:rsidR="00355566" w:rsidRPr="00555DA1" w:rsidRDefault="00355566" w:rsidP="000A57BE">
            <w:pPr>
              <w:spacing w:before="30" w:after="30"/>
              <w:ind w:left="57"/>
              <w:jc w:val="left"/>
              <w:rPr>
                <w:b/>
                <w:bCs/>
                <w:sz w:val="20"/>
                <w:lang w:val="en-GB"/>
              </w:rPr>
            </w:pPr>
            <w:r w:rsidRPr="00555DA1">
              <w:rPr>
                <w:b/>
                <w:bCs/>
                <w:sz w:val="20"/>
                <w:lang w:val="en-GB"/>
              </w:rPr>
              <w:t>RS</w:t>
            </w:r>
          </w:p>
        </w:tc>
        <w:tc>
          <w:tcPr>
            <w:tcW w:w="8220" w:type="dxa"/>
          </w:tcPr>
          <w:p w14:paraId="4AE2F835" w14:textId="77777777" w:rsidR="00355566" w:rsidRPr="00555DA1"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55DA1">
              <w:rPr>
                <w:sz w:val="20"/>
                <w:lang w:val="en-GB"/>
              </w:rPr>
              <w:t>Remote sensing systems</w:t>
            </w:r>
          </w:p>
        </w:tc>
      </w:tr>
      <w:tr w:rsidR="00355566" w:rsidRPr="00555DA1" w14:paraId="6CA80F4C" w14:textId="77777777">
        <w:tc>
          <w:tcPr>
            <w:tcW w:w="1140" w:type="dxa"/>
          </w:tcPr>
          <w:p w14:paraId="6B9A1212" w14:textId="77777777" w:rsidR="00355566" w:rsidRPr="00555DA1" w:rsidRDefault="00355566" w:rsidP="000A57BE">
            <w:pPr>
              <w:spacing w:before="30" w:after="30"/>
              <w:ind w:left="57"/>
              <w:jc w:val="left"/>
              <w:rPr>
                <w:b/>
                <w:bCs/>
                <w:sz w:val="20"/>
                <w:lang w:val="en-GB"/>
              </w:rPr>
            </w:pPr>
            <w:r w:rsidRPr="00555DA1">
              <w:rPr>
                <w:b/>
                <w:bCs/>
                <w:sz w:val="20"/>
                <w:lang w:val="en-GB"/>
              </w:rPr>
              <w:t>S</w:t>
            </w:r>
          </w:p>
        </w:tc>
        <w:tc>
          <w:tcPr>
            <w:tcW w:w="8220" w:type="dxa"/>
          </w:tcPr>
          <w:p w14:paraId="10B436D4" w14:textId="77777777" w:rsidR="00355566" w:rsidRPr="00555DA1" w:rsidRDefault="00355566" w:rsidP="000A57BE">
            <w:pPr>
              <w:spacing w:before="30" w:after="30"/>
              <w:jc w:val="left"/>
              <w:rPr>
                <w:sz w:val="20"/>
                <w:lang w:val="en-GB"/>
              </w:rPr>
            </w:pPr>
            <w:r w:rsidRPr="00555DA1">
              <w:rPr>
                <w:sz w:val="20"/>
                <w:lang w:val="en-GB"/>
              </w:rPr>
              <w:t>Fixed-satellite service</w:t>
            </w:r>
          </w:p>
        </w:tc>
      </w:tr>
      <w:tr w:rsidR="00355566" w:rsidRPr="00555DA1" w14:paraId="7C49C855" w14:textId="77777777">
        <w:tc>
          <w:tcPr>
            <w:tcW w:w="1140" w:type="dxa"/>
          </w:tcPr>
          <w:p w14:paraId="065FBDDD" w14:textId="77777777" w:rsidR="00355566" w:rsidRPr="00555DA1" w:rsidRDefault="00355566" w:rsidP="000A57BE">
            <w:pPr>
              <w:spacing w:before="30" w:after="30"/>
              <w:ind w:left="57"/>
              <w:jc w:val="left"/>
              <w:rPr>
                <w:b/>
                <w:bCs/>
                <w:sz w:val="20"/>
                <w:lang w:val="en-GB"/>
              </w:rPr>
            </w:pPr>
            <w:r w:rsidRPr="00555DA1">
              <w:rPr>
                <w:b/>
                <w:bCs/>
                <w:sz w:val="20"/>
                <w:lang w:val="en-GB"/>
              </w:rPr>
              <w:t>SA</w:t>
            </w:r>
          </w:p>
        </w:tc>
        <w:tc>
          <w:tcPr>
            <w:tcW w:w="8220" w:type="dxa"/>
          </w:tcPr>
          <w:p w14:paraId="22038674" w14:textId="77777777" w:rsidR="00355566" w:rsidRPr="00555DA1" w:rsidRDefault="00355566" w:rsidP="000A57BE">
            <w:pPr>
              <w:spacing w:before="30" w:after="30"/>
              <w:jc w:val="left"/>
              <w:rPr>
                <w:sz w:val="20"/>
                <w:lang w:val="en-GB"/>
              </w:rPr>
            </w:pPr>
            <w:r w:rsidRPr="00555DA1">
              <w:rPr>
                <w:sz w:val="20"/>
                <w:lang w:val="en-GB"/>
              </w:rPr>
              <w:t>Space applications and meteorology</w:t>
            </w:r>
          </w:p>
        </w:tc>
      </w:tr>
      <w:tr w:rsidR="00355566" w:rsidRPr="00023A94" w14:paraId="57761A54" w14:textId="77777777" w:rsidTr="000A57BE">
        <w:tc>
          <w:tcPr>
            <w:tcW w:w="1140" w:type="dxa"/>
            <w:tcBorders>
              <w:bottom w:val="nil"/>
            </w:tcBorders>
          </w:tcPr>
          <w:p w14:paraId="35976DEC" w14:textId="77777777" w:rsidR="00355566" w:rsidRPr="00555DA1" w:rsidRDefault="00355566" w:rsidP="000A57BE">
            <w:pPr>
              <w:spacing w:before="30" w:after="30"/>
              <w:ind w:left="57"/>
              <w:jc w:val="left"/>
              <w:rPr>
                <w:b/>
                <w:bCs/>
                <w:sz w:val="20"/>
                <w:lang w:val="en-GB"/>
              </w:rPr>
            </w:pPr>
            <w:r w:rsidRPr="00555DA1">
              <w:rPr>
                <w:b/>
                <w:bCs/>
                <w:sz w:val="20"/>
                <w:lang w:val="en-GB"/>
              </w:rPr>
              <w:t>SF</w:t>
            </w:r>
          </w:p>
        </w:tc>
        <w:tc>
          <w:tcPr>
            <w:tcW w:w="8220" w:type="dxa"/>
            <w:tcBorders>
              <w:bottom w:val="nil"/>
            </w:tcBorders>
          </w:tcPr>
          <w:p w14:paraId="0D60D91E" w14:textId="77777777" w:rsidR="00355566" w:rsidRPr="00555DA1" w:rsidRDefault="00355566" w:rsidP="000A57BE">
            <w:pPr>
              <w:spacing w:before="30" w:after="30"/>
              <w:jc w:val="left"/>
              <w:rPr>
                <w:sz w:val="20"/>
                <w:lang w:val="en-GB"/>
              </w:rPr>
            </w:pPr>
            <w:r w:rsidRPr="00555DA1">
              <w:rPr>
                <w:sz w:val="20"/>
                <w:lang w:val="en-GB"/>
              </w:rPr>
              <w:t>Frequency sharing and coordination between fixed-satellite and fixed service systems</w:t>
            </w:r>
          </w:p>
        </w:tc>
      </w:tr>
      <w:tr w:rsidR="00355566" w:rsidRPr="00555DA1" w14:paraId="17C9A3C7" w14:textId="77777777" w:rsidTr="000A57BE">
        <w:tc>
          <w:tcPr>
            <w:tcW w:w="1140" w:type="dxa"/>
            <w:tcBorders>
              <w:top w:val="nil"/>
              <w:bottom w:val="nil"/>
            </w:tcBorders>
            <w:shd w:val="clear" w:color="auto" w:fill="auto"/>
          </w:tcPr>
          <w:p w14:paraId="68DCFED3" w14:textId="77777777" w:rsidR="00355566" w:rsidRPr="00555DA1" w:rsidRDefault="00355566" w:rsidP="000A57BE">
            <w:pPr>
              <w:spacing w:before="30" w:after="30"/>
              <w:ind w:left="57"/>
              <w:jc w:val="left"/>
              <w:rPr>
                <w:b/>
                <w:bCs/>
                <w:sz w:val="20"/>
                <w:lang w:val="en-GB"/>
              </w:rPr>
            </w:pPr>
            <w:r w:rsidRPr="00555DA1">
              <w:rPr>
                <w:b/>
                <w:bCs/>
                <w:sz w:val="20"/>
                <w:lang w:val="en-GB"/>
              </w:rPr>
              <w:t>SM</w:t>
            </w:r>
          </w:p>
        </w:tc>
        <w:tc>
          <w:tcPr>
            <w:tcW w:w="8220" w:type="dxa"/>
            <w:tcBorders>
              <w:top w:val="nil"/>
              <w:bottom w:val="nil"/>
            </w:tcBorders>
            <w:shd w:val="clear" w:color="auto" w:fill="auto"/>
          </w:tcPr>
          <w:p w14:paraId="0128DD97" w14:textId="77777777" w:rsidR="00355566" w:rsidRPr="00555DA1" w:rsidRDefault="00355566" w:rsidP="000A57BE">
            <w:pPr>
              <w:spacing w:before="30" w:after="30"/>
              <w:jc w:val="left"/>
              <w:rPr>
                <w:sz w:val="20"/>
                <w:lang w:val="en-GB"/>
              </w:rPr>
            </w:pPr>
            <w:r w:rsidRPr="00555DA1">
              <w:rPr>
                <w:sz w:val="20"/>
                <w:lang w:val="en-GB"/>
              </w:rPr>
              <w:t>Spectrum management</w:t>
            </w:r>
          </w:p>
        </w:tc>
      </w:tr>
      <w:tr w:rsidR="00355566" w:rsidRPr="00555DA1" w14:paraId="1672E3D9" w14:textId="77777777" w:rsidTr="000A57BE">
        <w:tc>
          <w:tcPr>
            <w:tcW w:w="1140" w:type="dxa"/>
            <w:tcBorders>
              <w:top w:val="nil"/>
            </w:tcBorders>
          </w:tcPr>
          <w:p w14:paraId="2D9CCC6E" w14:textId="77777777" w:rsidR="00355566" w:rsidRPr="00555DA1" w:rsidRDefault="00355566" w:rsidP="000A57BE">
            <w:pPr>
              <w:spacing w:before="30" w:after="30"/>
              <w:ind w:left="57"/>
              <w:jc w:val="left"/>
              <w:rPr>
                <w:b/>
                <w:bCs/>
                <w:sz w:val="20"/>
                <w:lang w:val="en-GB"/>
              </w:rPr>
            </w:pPr>
            <w:r w:rsidRPr="00555DA1">
              <w:rPr>
                <w:b/>
                <w:bCs/>
                <w:sz w:val="20"/>
                <w:lang w:val="en-GB"/>
              </w:rPr>
              <w:t>SNG</w:t>
            </w:r>
          </w:p>
        </w:tc>
        <w:tc>
          <w:tcPr>
            <w:tcW w:w="8220" w:type="dxa"/>
            <w:tcBorders>
              <w:top w:val="nil"/>
            </w:tcBorders>
          </w:tcPr>
          <w:p w14:paraId="735B73B5" w14:textId="77777777" w:rsidR="00355566" w:rsidRPr="00555DA1" w:rsidRDefault="00355566" w:rsidP="000A57BE">
            <w:pPr>
              <w:spacing w:before="30" w:after="30"/>
              <w:jc w:val="left"/>
              <w:rPr>
                <w:sz w:val="20"/>
                <w:lang w:val="en-GB"/>
              </w:rPr>
            </w:pPr>
            <w:r w:rsidRPr="00555DA1">
              <w:rPr>
                <w:sz w:val="20"/>
                <w:lang w:val="en-GB"/>
              </w:rPr>
              <w:t>Satellite news gathering</w:t>
            </w:r>
          </w:p>
        </w:tc>
      </w:tr>
      <w:tr w:rsidR="00355566" w:rsidRPr="00023A94" w14:paraId="510E5AEA" w14:textId="77777777">
        <w:tc>
          <w:tcPr>
            <w:tcW w:w="1140" w:type="dxa"/>
          </w:tcPr>
          <w:p w14:paraId="509BCC14" w14:textId="77777777" w:rsidR="00355566" w:rsidRPr="00555DA1" w:rsidRDefault="00355566" w:rsidP="000A57BE">
            <w:pPr>
              <w:spacing w:before="30" w:after="30"/>
              <w:ind w:left="57"/>
              <w:jc w:val="left"/>
              <w:rPr>
                <w:b/>
                <w:bCs/>
                <w:sz w:val="20"/>
                <w:lang w:val="en-GB"/>
              </w:rPr>
            </w:pPr>
            <w:r w:rsidRPr="00555DA1">
              <w:rPr>
                <w:b/>
                <w:bCs/>
                <w:sz w:val="20"/>
                <w:lang w:val="en-GB"/>
              </w:rPr>
              <w:t>TF</w:t>
            </w:r>
          </w:p>
        </w:tc>
        <w:tc>
          <w:tcPr>
            <w:tcW w:w="8220" w:type="dxa"/>
          </w:tcPr>
          <w:p w14:paraId="03F109B7" w14:textId="77777777" w:rsidR="00355566" w:rsidRPr="00555DA1" w:rsidRDefault="00355566" w:rsidP="000A57BE">
            <w:pPr>
              <w:spacing w:before="30" w:after="30"/>
              <w:jc w:val="left"/>
              <w:rPr>
                <w:sz w:val="20"/>
                <w:lang w:val="en-GB"/>
              </w:rPr>
            </w:pPr>
            <w:r w:rsidRPr="00555DA1">
              <w:rPr>
                <w:sz w:val="20"/>
                <w:lang w:val="en-GB"/>
              </w:rPr>
              <w:t>Time signals and frequency standards emissions</w:t>
            </w:r>
          </w:p>
        </w:tc>
      </w:tr>
      <w:tr w:rsidR="00355566" w:rsidRPr="00555DA1" w14:paraId="2251A137" w14:textId="77777777">
        <w:tc>
          <w:tcPr>
            <w:tcW w:w="1140" w:type="dxa"/>
          </w:tcPr>
          <w:p w14:paraId="2EC2AE02" w14:textId="77777777" w:rsidR="00355566" w:rsidRPr="00555DA1" w:rsidRDefault="00355566" w:rsidP="000A57BE">
            <w:pPr>
              <w:spacing w:before="30" w:after="30"/>
              <w:ind w:left="57"/>
              <w:jc w:val="left"/>
              <w:rPr>
                <w:b/>
                <w:bCs/>
                <w:sz w:val="20"/>
                <w:lang w:val="en-GB"/>
              </w:rPr>
            </w:pPr>
            <w:r w:rsidRPr="00555DA1">
              <w:rPr>
                <w:b/>
                <w:bCs/>
                <w:sz w:val="20"/>
                <w:lang w:val="en-GB"/>
              </w:rPr>
              <w:t>V</w:t>
            </w:r>
          </w:p>
        </w:tc>
        <w:tc>
          <w:tcPr>
            <w:tcW w:w="8220" w:type="dxa"/>
          </w:tcPr>
          <w:p w14:paraId="7D9A44E3" w14:textId="77777777" w:rsidR="00355566" w:rsidRPr="00555DA1" w:rsidRDefault="00355566" w:rsidP="000A57BE">
            <w:pPr>
              <w:spacing w:before="30" w:after="180"/>
              <w:jc w:val="left"/>
              <w:rPr>
                <w:sz w:val="20"/>
                <w:lang w:val="en-GB"/>
              </w:rPr>
            </w:pPr>
            <w:r w:rsidRPr="00555DA1">
              <w:rPr>
                <w:sz w:val="20"/>
                <w:lang w:val="en-GB"/>
              </w:rPr>
              <w:t>Vocabulary and related subjects</w:t>
            </w:r>
          </w:p>
        </w:tc>
      </w:tr>
    </w:tbl>
    <w:p w14:paraId="30A2926C" w14:textId="77777777" w:rsidR="00355566" w:rsidRPr="00555DA1" w:rsidRDefault="00355566" w:rsidP="000A57B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55566" w:rsidRPr="00555DA1" w14:paraId="673B3341" w14:textId="77777777">
        <w:tc>
          <w:tcPr>
            <w:tcW w:w="720" w:type="dxa"/>
          </w:tcPr>
          <w:p w14:paraId="67D81219" w14:textId="77777777" w:rsidR="00355566" w:rsidRPr="00555DA1" w:rsidRDefault="00355566" w:rsidP="000A57BE">
            <w:pPr>
              <w:jc w:val="center"/>
              <w:rPr>
                <w:sz w:val="22"/>
                <w:lang w:val="en-GB"/>
              </w:rPr>
            </w:pPr>
          </w:p>
        </w:tc>
      </w:tr>
    </w:tbl>
    <w:p w14:paraId="652A2D36" w14:textId="77777777" w:rsidR="00355566" w:rsidRPr="00555DA1" w:rsidRDefault="00355566" w:rsidP="000A57B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55566" w:rsidRPr="00023A94" w14:paraId="351D966A" w14:textId="77777777">
        <w:tc>
          <w:tcPr>
            <w:tcW w:w="9360" w:type="dxa"/>
          </w:tcPr>
          <w:p w14:paraId="1E156056" w14:textId="77777777" w:rsidR="00355566" w:rsidRPr="00084FAB" w:rsidRDefault="00355566" w:rsidP="000A57BE">
            <w:pPr>
              <w:spacing w:after="120"/>
              <w:jc w:val="center"/>
              <w:rPr>
                <w:spacing w:val="-4"/>
                <w:sz w:val="20"/>
                <w:lang w:val="en-GB"/>
              </w:rPr>
            </w:pPr>
            <w:r w:rsidRPr="00084FAB">
              <w:rPr>
                <w:b/>
                <w:bCs/>
                <w:i/>
                <w:iCs/>
                <w:spacing w:val="-4"/>
                <w:sz w:val="20"/>
                <w:lang w:val="en-GB"/>
              </w:rPr>
              <w:t>Note</w:t>
            </w:r>
            <w:r w:rsidRPr="00084FAB">
              <w:rPr>
                <w:spacing w:val="-4"/>
                <w:sz w:val="20"/>
                <w:lang w:val="en-GB"/>
              </w:rPr>
              <w:t xml:space="preserve">: </w:t>
            </w:r>
            <w:r w:rsidRPr="00084FAB">
              <w:rPr>
                <w:i/>
                <w:iCs/>
                <w:spacing w:val="-4"/>
                <w:sz w:val="20"/>
                <w:lang w:val="en-GB"/>
              </w:rPr>
              <w:t>This ITU-R Recommendation was approved in English under the procedure detailed in Resolution ITU-R 1.</w:t>
            </w:r>
          </w:p>
        </w:tc>
      </w:tr>
    </w:tbl>
    <w:p w14:paraId="2C3D9318" w14:textId="77777777" w:rsidR="00355566" w:rsidRPr="00555DA1" w:rsidRDefault="00355566" w:rsidP="000A57BE">
      <w:pPr>
        <w:spacing w:before="0"/>
        <w:jc w:val="center"/>
        <w:rPr>
          <w:sz w:val="22"/>
          <w:lang w:val="en-GB"/>
        </w:rPr>
      </w:pPr>
    </w:p>
    <w:p w14:paraId="5140D2F7" w14:textId="77777777" w:rsidR="00355566" w:rsidRPr="00555DA1" w:rsidRDefault="00355566" w:rsidP="000A57BE">
      <w:pPr>
        <w:spacing w:before="0"/>
        <w:jc w:val="right"/>
        <w:rPr>
          <w:i/>
          <w:iCs/>
          <w:sz w:val="20"/>
          <w:lang w:val="en-GB"/>
        </w:rPr>
      </w:pPr>
      <w:r w:rsidRPr="00555DA1">
        <w:rPr>
          <w:i/>
          <w:iCs/>
          <w:sz w:val="20"/>
          <w:lang w:val="en-GB"/>
        </w:rPr>
        <w:t>Electronic Publication</w:t>
      </w:r>
    </w:p>
    <w:p w14:paraId="3EEA2001" w14:textId="530D779E" w:rsidR="00355566" w:rsidRPr="00555DA1" w:rsidRDefault="00355566" w:rsidP="000A57BE">
      <w:pPr>
        <w:spacing w:before="0"/>
        <w:jc w:val="right"/>
        <w:rPr>
          <w:sz w:val="20"/>
          <w:lang w:val="en-GB"/>
        </w:rPr>
      </w:pPr>
      <w:r w:rsidRPr="00555DA1">
        <w:rPr>
          <w:sz w:val="20"/>
          <w:lang w:val="en-GB"/>
        </w:rPr>
        <w:t>Geneva, 20</w:t>
      </w:r>
      <w:r w:rsidR="007B64D7" w:rsidRPr="00555DA1">
        <w:rPr>
          <w:sz w:val="20"/>
          <w:lang w:val="en-GB"/>
        </w:rPr>
        <w:t>21</w:t>
      </w:r>
    </w:p>
    <w:p w14:paraId="36DA8AC6" w14:textId="77777777" w:rsidR="00355566" w:rsidRPr="00555DA1" w:rsidRDefault="00355566" w:rsidP="000A57BE">
      <w:pPr>
        <w:jc w:val="center"/>
        <w:rPr>
          <w:sz w:val="22"/>
          <w:lang w:val="en-GB"/>
        </w:rPr>
      </w:pPr>
    </w:p>
    <w:p w14:paraId="790AA18C" w14:textId="30B8026D" w:rsidR="00355566" w:rsidRPr="00555DA1" w:rsidRDefault="00355566" w:rsidP="000A57BE">
      <w:pPr>
        <w:jc w:val="center"/>
        <w:rPr>
          <w:sz w:val="20"/>
          <w:lang w:val="en-GB"/>
        </w:rPr>
      </w:pPr>
      <w:r w:rsidRPr="00555DA1">
        <w:rPr>
          <w:sz w:val="20"/>
          <w:lang w:val="en-GB"/>
        </w:rPr>
        <w:sym w:font="Symbol" w:char="F0E3"/>
      </w:r>
      <w:r w:rsidRPr="00555DA1">
        <w:rPr>
          <w:sz w:val="20"/>
          <w:lang w:val="en-GB"/>
        </w:rPr>
        <w:t xml:space="preserve"> ITU </w:t>
      </w:r>
      <w:bookmarkStart w:id="1" w:name="iiannee"/>
      <w:bookmarkEnd w:id="1"/>
      <w:r w:rsidRPr="00555DA1">
        <w:rPr>
          <w:sz w:val="20"/>
          <w:lang w:val="en-GB"/>
        </w:rPr>
        <w:t>20</w:t>
      </w:r>
      <w:r w:rsidR="007B64D7" w:rsidRPr="00555DA1">
        <w:rPr>
          <w:sz w:val="20"/>
          <w:lang w:val="en-GB"/>
        </w:rPr>
        <w:t>21</w:t>
      </w:r>
    </w:p>
    <w:p w14:paraId="27E46CF9" w14:textId="77777777" w:rsidR="00355566" w:rsidRPr="00555DA1" w:rsidRDefault="00355566" w:rsidP="000A57BE">
      <w:pPr>
        <w:rPr>
          <w:sz w:val="18"/>
          <w:szCs w:val="18"/>
          <w:lang w:val="en-GB"/>
        </w:rPr>
      </w:pPr>
      <w:r w:rsidRPr="00555DA1">
        <w:rPr>
          <w:sz w:val="18"/>
          <w:szCs w:val="18"/>
          <w:lang w:val="en-GB"/>
        </w:rPr>
        <w:t>All rights reserved. No part of this publication may be reproduced, by any means whatsoever, without written permission of ITU.</w:t>
      </w:r>
    </w:p>
    <w:p w14:paraId="013562B4" w14:textId="77777777" w:rsidR="00355566" w:rsidRPr="00555DA1" w:rsidRDefault="00355566" w:rsidP="000A57BE">
      <w:pPr>
        <w:spacing w:before="160"/>
        <w:rPr>
          <w:i/>
          <w:sz w:val="20"/>
          <w:lang w:val="en-GB"/>
        </w:rPr>
        <w:sectPr w:rsidR="00355566" w:rsidRPr="00555DA1" w:rsidSect="000A57B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818497C" w14:textId="54A2B31E" w:rsidR="00355566" w:rsidRPr="00555DA1" w:rsidRDefault="00355566" w:rsidP="0055626A">
      <w:pPr>
        <w:pStyle w:val="RecNo"/>
        <w:spacing w:before="0"/>
        <w:rPr>
          <w:lang w:val="en-GB"/>
        </w:rPr>
      </w:pPr>
      <w:bookmarkStart w:id="2" w:name="irecnoe"/>
      <w:bookmarkEnd w:id="2"/>
      <w:r w:rsidRPr="00555DA1">
        <w:rPr>
          <w:lang w:val="en-GB"/>
        </w:rPr>
        <w:lastRenderedPageBreak/>
        <w:t xml:space="preserve">RECOMMENDATION  </w:t>
      </w:r>
      <w:r w:rsidRPr="00555DA1">
        <w:rPr>
          <w:rStyle w:val="href"/>
          <w:lang w:val="en-GB"/>
        </w:rPr>
        <w:t>ITU-R  P.140</w:t>
      </w:r>
      <w:r w:rsidR="00691D31">
        <w:rPr>
          <w:rStyle w:val="href"/>
          <w:lang w:val="en-GB"/>
        </w:rPr>
        <w:t>9</w:t>
      </w:r>
      <w:r w:rsidRPr="00555DA1">
        <w:rPr>
          <w:rStyle w:val="href"/>
          <w:lang w:val="en-GB"/>
        </w:rPr>
        <w:t>-</w:t>
      </w:r>
      <w:r w:rsidR="00691D31">
        <w:rPr>
          <w:rStyle w:val="href"/>
          <w:lang w:val="en-GB"/>
        </w:rPr>
        <w:t>2</w:t>
      </w:r>
    </w:p>
    <w:p w14:paraId="56C81FCB" w14:textId="5AF64E8A" w:rsidR="00355566" w:rsidRPr="00555DA1" w:rsidRDefault="00691D31" w:rsidP="00355566">
      <w:pPr>
        <w:pStyle w:val="Rectitle"/>
        <w:rPr>
          <w:lang w:val="en-GB"/>
        </w:rPr>
      </w:pPr>
      <w:r w:rsidRPr="00691D31">
        <w:rPr>
          <w:lang w:val="en-GB"/>
        </w:rPr>
        <w:t>Propagation data and prediction methods for systems using high altitude platform stations and other elevated stations in the stratosphere</w:t>
      </w:r>
      <w:r w:rsidRPr="00691D31">
        <w:rPr>
          <w:lang w:val="en-GB"/>
        </w:rPr>
        <w:br/>
        <w:t xml:space="preserve">at frequencies greater than about </w:t>
      </w:r>
      <w:r w:rsidR="007D42BE">
        <w:rPr>
          <w:lang w:val="en-GB"/>
        </w:rPr>
        <w:t>0.7</w:t>
      </w:r>
      <w:r w:rsidRPr="00691D31">
        <w:rPr>
          <w:lang w:val="en-GB"/>
        </w:rPr>
        <w:t xml:space="preserve"> GHz</w:t>
      </w:r>
    </w:p>
    <w:p w14:paraId="6C2A90FC" w14:textId="0593F783" w:rsidR="00355566" w:rsidRPr="00555DA1" w:rsidRDefault="00355566" w:rsidP="00355566">
      <w:pPr>
        <w:pStyle w:val="Recdate"/>
        <w:rPr>
          <w:lang w:val="en-GB"/>
        </w:rPr>
      </w:pPr>
      <w:r w:rsidRPr="00555DA1">
        <w:rPr>
          <w:lang w:val="en-GB"/>
        </w:rPr>
        <w:t>(</w:t>
      </w:r>
      <w:r w:rsidR="00691D31" w:rsidRPr="00691D31">
        <w:rPr>
          <w:lang w:val="en-GB"/>
        </w:rPr>
        <w:t>1999-2012-2021</w:t>
      </w:r>
      <w:r w:rsidRPr="00555DA1">
        <w:rPr>
          <w:lang w:val="en-GB"/>
        </w:rPr>
        <w:t>)</w:t>
      </w:r>
    </w:p>
    <w:p w14:paraId="38090AE9" w14:textId="77777777" w:rsidR="00355566" w:rsidRPr="00555DA1" w:rsidRDefault="00355566" w:rsidP="00355566">
      <w:pPr>
        <w:pStyle w:val="HeadingSum"/>
        <w:rPr>
          <w:lang w:val="en-GB"/>
        </w:rPr>
      </w:pPr>
      <w:r w:rsidRPr="00555DA1">
        <w:rPr>
          <w:lang w:val="en-GB"/>
        </w:rPr>
        <w:t>Scope</w:t>
      </w:r>
    </w:p>
    <w:p w14:paraId="4DF44DC2" w14:textId="042DA5F0" w:rsidR="00355566" w:rsidRPr="00555DA1" w:rsidRDefault="00691D31" w:rsidP="00355566">
      <w:pPr>
        <w:pStyle w:val="Summary"/>
        <w:rPr>
          <w:rFonts w:eastAsia="MS Mincho"/>
          <w:lang w:val="en-GB"/>
        </w:rPr>
      </w:pPr>
      <w:r w:rsidRPr="00691D31">
        <w:rPr>
          <w:rFonts w:eastAsia="MS Mincho"/>
          <w:lang w:val="en-GB"/>
        </w:rPr>
        <w:t>This Recommendation provides information on the propagation prediction methods appropriate in the consideration of radiocommunication systems or networks involving the use of high-altitude platform stations, or other stations in the stratosphere. The propagation methods are provided separately for two different goals: prediction methods for interference assessment between systems or networks involving the use of high-altitude platform stations and other radiocommunication systems or networks, and prediction methods for the design of radiocommunication systems or networks involving the use of high-altitude platform stations.</w:t>
      </w:r>
    </w:p>
    <w:p w14:paraId="1B9B8AF2" w14:textId="77777777" w:rsidR="0055626A" w:rsidRPr="00555DA1" w:rsidRDefault="0055626A" w:rsidP="0055626A">
      <w:pPr>
        <w:pStyle w:val="Headingb"/>
        <w:rPr>
          <w:lang w:val="en-GB"/>
        </w:rPr>
      </w:pPr>
      <w:r w:rsidRPr="00555DA1">
        <w:rPr>
          <w:lang w:val="en-GB"/>
        </w:rPr>
        <w:t>Keywords</w:t>
      </w:r>
    </w:p>
    <w:p w14:paraId="392E1AF7" w14:textId="6B7A6436" w:rsidR="0055626A" w:rsidRPr="00555DA1" w:rsidRDefault="00691D31" w:rsidP="0055626A">
      <w:pPr>
        <w:rPr>
          <w:lang w:val="en-GB"/>
        </w:rPr>
      </w:pPr>
      <w:r w:rsidRPr="00691D31">
        <w:rPr>
          <w:lang w:val="en-GB"/>
        </w:rPr>
        <w:t>Basic transmission loss, high-altitude platform stations, interference</w:t>
      </w:r>
    </w:p>
    <w:p w14:paraId="3057DF66" w14:textId="08956C2F" w:rsidR="00355566" w:rsidRPr="00555DA1" w:rsidRDefault="00355566" w:rsidP="00355566">
      <w:pPr>
        <w:pStyle w:val="Normalaftertitle"/>
        <w:rPr>
          <w:lang w:val="en-GB"/>
        </w:rPr>
      </w:pPr>
      <w:r w:rsidRPr="00555DA1">
        <w:rPr>
          <w:lang w:val="en-GB"/>
        </w:rPr>
        <w:t>The ITU Radiocommunication Assembly,</w:t>
      </w:r>
    </w:p>
    <w:p w14:paraId="6E1EB48E" w14:textId="77777777" w:rsidR="00691D31" w:rsidRPr="00691D31" w:rsidRDefault="00691D31" w:rsidP="00691D31">
      <w:pPr>
        <w:pStyle w:val="Call"/>
        <w:rPr>
          <w:lang w:val="en-GB"/>
        </w:rPr>
      </w:pPr>
      <w:r w:rsidRPr="00691D31">
        <w:rPr>
          <w:lang w:val="en-GB"/>
        </w:rPr>
        <w:t>considering</w:t>
      </w:r>
    </w:p>
    <w:p w14:paraId="2B01A007" w14:textId="2902D396" w:rsidR="00691D31" w:rsidRPr="00691D31" w:rsidRDefault="00691D31" w:rsidP="00691D31">
      <w:pPr>
        <w:rPr>
          <w:lang w:val="en-GB"/>
        </w:rPr>
      </w:pPr>
      <w:r w:rsidRPr="00691D31">
        <w:rPr>
          <w:i/>
          <w:lang w:val="en-GB"/>
        </w:rPr>
        <w:t>a)</w:t>
      </w:r>
      <w:r w:rsidRPr="00691D31">
        <w:rPr>
          <w:lang w:val="en-GB"/>
        </w:rPr>
        <w:tab/>
        <w:t>that the Radio Regulations include provisions designating the use of systems employing high-altitude platform stations in the fixed service at up to 48.2 GHz and in the mobile service at about 2</w:t>
      </w:r>
      <w:r w:rsidR="00A9463D">
        <w:rPr>
          <w:lang w:val="en-GB"/>
        </w:rPr>
        <w:t> </w:t>
      </w:r>
      <w:r w:rsidRPr="00691D31">
        <w:rPr>
          <w:lang w:val="en-GB"/>
        </w:rPr>
        <w:t>GHz;</w:t>
      </w:r>
    </w:p>
    <w:p w14:paraId="7864EA81" w14:textId="77777777" w:rsidR="00691D31" w:rsidRPr="00691D31" w:rsidRDefault="00691D31" w:rsidP="00691D31">
      <w:pPr>
        <w:rPr>
          <w:lang w:val="en-GB"/>
        </w:rPr>
      </w:pPr>
      <w:r w:rsidRPr="00691D31">
        <w:rPr>
          <w:i/>
          <w:lang w:val="en-GB"/>
        </w:rPr>
        <w:t>b)</w:t>
      </w:r>
      <w:r w:rsidRPr="00691D31">
        <w:rPr>
          <w:lang w:val="en-GB"/>
        </w:rPr>
        <w:tab/>
        <w:t>that the frequency bands designated are also allocated for use by other services;</w:t>
      </w:r>
    </w:p>
    <w:p w14:paraId="52855F62" w14:textId="77777777" w:rsidR="00691D31" w:rsidRPr="00691D31" w:rsidRDefault="00691D31" w:rsidP="00691D31">
      <w:pPr>
        <w:rPr>
          <w:lang w:val="en-GB"/>
        </w:rPr>
      </w:pPr>
      <w:r w:rsidRPr="00691D31">
        <w:rPr>
          <w:i/>
          <w:lang w:val="en-GB"/>
        </w:rPr>
        <w:t>c)</w:t>
      </w:r>
      <w:r w:rsidRPr="00691D31">
        <w:rPr>
          <w:lang w:val="en-GB"/>
        </w:rPr>
        <w:tab/>
        <w:t>that studies have been made into systems and networks using elevated platforms, which may be at lower heights in the stratosphere,</w:t>
      </w:r>
    </w:p>
    <w:p w14:paraId="61A90AA4" w14:textId="77777777" w:rsidR="00691D31" w:rsidRPr="00691D31" w:rsidRDefault="00691D31" w:rsidP="00691D31">
      <w:pPr>
        <w:pStyle w:val="Call"/>
        <w:rPr>
          <w:lang w:val="en-GB"/>
        </w:rPr>
      </w:pPr>
      <w:r w:rsidRPr="00691D31">
        <w:rPr>
          <w:lang w:val="en-GB"/>
        </w:rPr>
        <w:t>recommends</w:t>
      </w:r>
    </w:p>
    <w:p w14:paraId="2D0A1FD4" w14:textId="77777777" w:rsidR="00691D31" w:rsidRPr="00691D31" w:rsidRDefault="00691D31" w:rsidP="00691D31">
      <w:pPr>
        <w:rPr>
          <w:lang w:val="en-GB"/>
        </w:rPr>
      </w:pPr>
      <w:r w:rsidRPr="00691D31">
        <w:rPr>
          <w:lang w:val="en-GB"/>
        </w:rPr>
        <w:t>that the propagation mechanisms and effects set out in Annex 1 be taken into account in the assessment of interference between systems or networks involving the use of high-altitude platform stations and other radiocommunication systems or networks, and in the design of systems using high-altitude platform stations and other elevated platforms in the stratosphere.</w:t>
      </w:r>
    </w:p>
    <w:p w14:paraId="7873D138" w14:textId="77777777" w:rsidR="00691D31" w:rsidRPr="00691D31" w:rsidRDefault="00691D31" w:rsidP="00691D31">
      <w:pPr>
        <w:rPr>
          <w:lang w:val="en-GB"/>
        </w:rPr>
      </w:pPr>
    </w:p>
    <w:p w14:paraId="0E2E3CF2" w14:textId="77777777" w:rsidR="00691D31" w:rsidRPr="00691D31" w:rsidRDefault="00691D31" w:rsidP="00691D31">
      <w:pPr>
        <w:rPr>
          <w:lang w:val="en-GB"/>
        </w:rPr>
      </w:pPr>
    </w:p>
    <w:p w14:paraId="1EE4BD19" w14:textId="77777777" w:rsidR="00691D31" w:rsidRPr="00B04B73" w:rsidRDefault="00691D31" w:rsidP="00691D31">
      <w:pPr>
        <w:pStyle w:val="AnnexNoTitle"/>
        <w:rPr>
          <w:lang w:val="en-GB"/>
        </w:rPr>
      </w:pPr>
      <w:r w:rsidRPr="00B04B73">
        <w:rPr>
          <w:lang w:val="en-GB"/>
        </w:rPr>
        <w:t>Annex 1</w:t>
      </w:r>
    </w:p>
    <w:p w14:paraId="48372FDD" w14:textId="77777777" w:rsidR="00691D31" w:rsidRPr="00691D31" w:rsidRDefault="00691D31" w:rsidP="00691D31">
      <w:pPr>
        <w:pStyle w:val="Heading1"/>
        <w:rPr>
          <w:lang w:val="en-GB"/>
        </w:rPr>
      </w:pPr>
      <w:r w:rsidRPr="00691D31">
        <w:rPr>
          <w:lang w:val="en-GB"/>
        </w:rPr>
        <w:t>1</w:t>
      </w:r>
      <w:r w:rsidRPr="00691D31">
        <w:rPr>
          <w:lang w:val="en-GB"/>
        </w:rPr>
        <w:tab/>
        <w:t>Introduction</w:t>
      </w:r>
    </w:p>
    <w:p w14:paraId="08340B94" w14:textId="77777777" w:rsidR="00691D31" w:rsidRPr="00691D31" w:rsidRDefault="00691D31" w:rsidP="00691D31">
      <w:pPr>
        <w:rPr>
          <w:lang w:val="en-GB"/>
        </w:rPr>
      </w:pPr>
      <w:r w:rsidRPr="00691D31">
        <w:rPr>
          <w:lang w:val="en-GB"/>
        </w:rPr>
        <w:t xml:space="preserve">This Recommendation provides information on the propagation methods appropriate in the consideration of radiocommunication systems or networks involving the use of high-altitude platform stations, or other stations in the stratosphere. For brevity, the phrase “high-altitude station” is used to refer both high-altitude platform stations and other stations in the stratosphere. </w:t>
      </w:r>
    </w:p>
    <w:p w14:paraId="4FACDB85" w14:textId="77777777" w:rsidR="00691D31" w:rsidRPr="00691D31" w:rsidRDefault="00691D31" w:rsidP="00A9463D">
      <w:pPr>
        <w:rPr>
          <w:rFonts w:eastAsia="Yu Mincho"/>
          <w:lang w:val="en-GB"/>
        </w:rPr>
      </w:pPr>
      <w:r w:rsidRPr="00691D31">
        <w:rPr>
          <w:rFonts w:eastAsia="Yu Mincho"/>
          <w:lang w:val="en-GB"/>
        </w:rPr>
        <w:t>As shown in Fig. 1, three following paths for high-altitude stations should be considered:</w:t>
      </w:r>
    </w:p>
    <w:p w14:paraId="356E6458" w14:textId="77777777" w:rsidR="00691D31" w:rsidRPr="00691D31" w:rsidRDefault="00691D31" w:rsidP="00691D31">
      <w:pPr>
        <w:pStyle w:val="enumlev1"/>
        <w:rPr>
          <w:lang w:val="en-GB"/>
        </w:rPr>
      </w:pPr>
      <w:r w:rsidRPr="00691D31">
        <w:rPr>
          <w:lang w:val="en-GB"/>
        </w:rPr>
        <w:t>–</w:t>
      </w:r>
      <w:r w:rsidRPr="00691D31">
        <w:rPr>
          <w:lang w:val="en-GB"/>
        </w:rPr>
        <w:tab/>
        <w:t>“high-altitude station – stations on the surface of the Earth”;</w:t>
      </w:r>
    </w:p>
    <w:p w14:paraId="670C5471" w14:textId="77777777" w:rsidR="00691D31" w:rsidRPr="00691D31" w:rsidRDefault="00691D31" w:rsidP="00691D31">
      <w:pPr>
        <w:pStyle w:val="enumlev1"/>
        <w:rPr>
          <w:lang w:val="en-GB"/>
        </w:rPr>
      </w:pPr>
      <w:r w:rsidRPr="00691D31">
        <w:rPr>
          <w:lang w:val="en-GB"/>
        </w:rPr>
        <w:lastRenderedPageBreak/>
        <w:t>–</w:t>
      </w:r>
      <w:r w:rsidRPr="00691D31">
        <w:rPr>
          <w:lang w:val="en-GB"/>
        </w:rPr>
        <w:tab/>
        <w:t xml:space="preserve">“high-altitude station – stations in the atmosphere”; </w:t>
      </w:r>
    </w:p>
    <w:p w14:paraId="5F105009" w14:textId="77777777" w:rsidR="00691D31" w:rsidRPr="00691D31" w:rsidRDefault="00691D31" w:rsidP="00691D31">
      <w:pPr>
        <w:pStyle w:val="enumlev1"/>
        <w:rPr>
          <w:lang w:val="en-GB"/>
        </w:rPr>
      </w:pPr>
      <w:r w:rsidRPr="00691D31">
        <w:rPr>
          <w:lang w:val="en-GB"/>
        </w:rPr>
        <w:t>–</w:t>
      </w:r>
      <w:r w:rsidRPr="00691D31">
        <w:rPr>
          <w:lang w:val="en-GB"/>
        </w:rPr>
        <w:tab/>
        <w:t>“high-altitude station – stations in space”.</w:t>
      </w:r>
    </w:p>
    <w:p w14:paraId="0FDB5312" w14:textId="77777777" w:rsidR="00691D31" w:rsidRPr="00691D31" w:rsidRDefault="00691D31" w:rsidP="00691D31">
      <w:pPr>
        <w:pStyle w:val="FigureNo"/>
        <w:rPr>
          <w:lang w:val="en-GB"/>
        </w:rPr>
      </w:pPr>
      <w:r w:rsidRPr="00691D31">
        <w:rPr>
          <w:lang w:val="en-GB"/>
        </w:rPr>
        <w:t>FIGURE 1</w:t>
      </w:r>
    </w:p>
    <w:p w14:paraId="6C0E9F4C" w14:textId="77777777" w:rsidR="00691D31" w:rsidRPr="00691D31" w:rsidRDefault="00691D31" w:rsidP="00691D31">
      <w:pPr>
        <w:pStyle w:val="Figuretitle"/>
        <w:rPr>
          <w:lang w:val="en-GB"/>
        </w:rPr>
      </w:pPr>
      <w:r w:rsidRPr="00691D31">
        <w:rPr>
          <w:lang w:val="en-GB"/>
        </w:rPr>
        <w:t>Propagation paths for high-altitude station</w:t>
      </w:r>
    </w:p>
    <w:p w14:paraId="08020493" w14:textId="3888FC70" w:rsidR="00691D31" w:rsidRPr="00AC73EB" w:rsidRDefault="00AC73EB" w:rsidP="00691D31">
      <w:pPr>
        <w:pStyle w:val="Figure"/>
        <w:rPr>
          <w:lang w:val="en-GB"/>
        </w:rPr>
      </w:pPr>
      <w:r>
        <w:rPr>
          <w:noProof/>
          <w:lang w:val="en-GB"/>
        </w:rPr>
        <w:drawing>
          <wp:inline distT="0" distB="0" distL="0" distR="0" wp14:anchorId="7A491845" wp14:editId="7840C21C">
            <wp:extent cx="4346457" cy="387401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09-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6457" cy="3874016"/>
                    </a:xfrm>
                    <a:prstGeom prst="rect">
                      <a:avLst/>
                    </a:prstGeom>
                  </pic:spPr>
                </pic:pic>
              </a:graphicData>
            </a:graphic>
          </wp:inline>
        </w:drawing>
      </w:r>
    </w:p>
    <w:p w14:paraId="5076267C" w14:textId="77777777" w:rsidR="00691D31" w:rsidRPr="00691D31" w:rsidRDefault="00691D31" w:rsidP="00A9463D">
      <w:pPr>
        <w:pStyle w:val="Normalaftertitle"/>
        <w:rPr>
          <w:lang w:val="en-GB"/>
        </w:rPr>
      </w:pPr>
      <w:r w:rsidRPr="00691D31">
        <w:rPr>
          <w:lang w:val="en-GB"/>
        </w:rPr>
        <w:t xml:space="preserve">For the “high-altitude station – stations on the surface of the Earth” path two different tasks may be considered: </w:t>
      </w:r>
    </w:p>
    <w:p w14:paraId="5FAF4DE5" w14:textId="77777777" w:rsidR="00691D31" w:rsidRPr="00691D31" w:rsidRDefault="00691D31" w:rsidP="00691D31">
      <w:pPr>
        <w:pStyle w:val="enumlev1"/>
        <w:rPr>
          <w:lang w:val="en-GB"/>
        </w:rPr>
      </w:pPr>
      <w:r w:rsidRPr="00691D31">
        <w:rPr>
          <w:lang w:val="en-GB"/>
        </w:rPr>
        <w:t>–</w:t>
      </w:r>
      <w:r w:rsidRPr="00691D31">
        <w:rPr>
          <w:lang w:val="en-GB"/>
        </w:rPr>
        <w:tab/>
        <w:t>design of systems using high-altitude stations;</w:t>
      </w:r>
    </w:p>
    <w:p w14:paraId="634C24C7" w14:textId="77777777" w:rsidR="00691D31" w:rsidRPr="00691D31" w:rsidRDefault="00691D31" w:rsidP="00691D31">
      <w:pPr>
        <w:pStyle w:val="enumlev1"/>
        <w:rPr>
          <w:lang w:val="en-GB"/>
        </w:rPr>
      </w:pPr>
      <w:r w:rsidRPr="00691D31">
        <w:rPr>
          <w:szCs w:val="24"/>
          <w:lang w:val="en-GB"/>
        </w:rPr>
        <w:t>–</w:t>
      </w:r>
      <w:r w:rsidRPr="00691D31">
        <w:rPr>
          <w:szCs w:val="24"/>
          <w:lang w:val="en-GB"/>
        </w:rPr>
        <w:tab/>
        <w:t>interference assessment between high-altitude station and station on the surface of the Earth.</w:t>
      </w:r>
    </w:p>
    <w:p w14:paraId="7B2BD748" w14:textId="77777777" w:rsidR="00691D31" w:rsidRPr="00691D31" w:rsidRDefault="00691D31" w:rsidP="00691D31">
      <w:pPr>
        <w:spacing w:line="276" w:lineRule="auto"/>
        <w:rPr>
          <w:szCs w:val="24"/>
          <w:lang w:val="en-GB"/>
        </w:rPr>
      </w:pPr>
      <w:r w:rsidRPr="00691D31">
        <w:rPr>
          <w:szCs w:val="24"/>
          <w:lang w:val="en-GB"/>
        </w:rPr>
        <w:t>For the “</w:t>
      </w:r>
      <w:r w:rsidRPr="00691D31">
        <w:rPr>
          <w:lang w:val="en-GB"/>
        </w:rPr>
        <w:t>high-altitude station – stations in the atmosphere”</w:t>
      </w:r>
      <w:r w:rsidRPr="00691D31">
        <w:rPr>
          <w:szCs w:val="24"/>
          <w:lang w:val="en-GB"/>
        </w:rPr>
        <w:t xml:space="preserve"> and “</w:t>
      </w:r>
      <w:r w:rsidRPr="00691D31">
        <w:rPr>
          <w:lang w:val="en-GB"/>
        </w:rPr>
        <w:t>high-altitude station – stations in space”</w:t>
      </w:r>
      <w:r w:rsidRPr="00691D31">
        <w:rPr>
          <w:szCs w:val="24"/>
          <w:lang w:val="en-GB"/>
        </w:rPr>
        <w:t xml:space="preserve"> paths only the interference assessment should be considered.</w:t>
      </w:r>
    </w:p>
    <w:p w14:paraId="5BEEE20F" w14:textId="77777777" w:rsidR="00691D31" w:rsidRPr="00691D31" w:rsidRDefault="00691D31" w:rsidP="00691D31">
      <w:pPr>
        <w:pStyle w:val="Heading1"/>
        <w:rPr>
          <w:lang w:val="en-GB"/>
        </w:rPr>
      </w:pPr>
      <w:bookmarkStart w:id="3" w:name="dsgno"/>
      <w:bookmarkEnd w:id="3"/>
      <w:r w:rsidRPr="00691D31">
        <w:rPr>
          <w:lang w:val="en-GB"/>
        </w:rPr>
        <w:t>2</w:t>
      </w:r>
      <w:r w:rsidRPr="00691D31">
        <w:rPr>
          <w:lang w:val="en-GB"/>
        </w:rPr>
        <w:tab/>
        <w:t>Propagation prediction methods for frequency sharing and compatibility studies</w:t>
      </w:r>
    </w:p>
    <w:p w14:paraId="766351DB" w14:textId="77777777" w:rsidR="00691D31" w:rsidRPr="00691D31" w:rsidRDefault="00691D31" w:rsidP="00691D31">
      <w:pPr>
        <w:pStyle w:val="Heading2"/>
        <w:rPr>
          <w:lang w:val="en-GB"/>
        </w:rPr>
      </w:pPr>
      <w:r w:rsidRPr="00691D31">
        <w:rPr>
          <w:lang w:val="en-GB"/>
        </w:rPr>
        <w:t>2.1</w:t>
      </w:r>
      <w:r w:rsidRPr="00691D31">
        <w:rPr>
          <w:lang w:val="en-GB"/>
        </w:rPr>
        <w:tab/>
        <w:t>Between high-altitude platform stations and other terrestrial stations</w:t>
      </w:r>
    </w:p>
    <w:p w14:paraId="5B483ACA" w14:textId="77777777" w:rsidR="00691D31" w:rsidRPr="00691D31" w:rsidRDefault="00691D31" w:rsidP="00691D31">
      <w:pPr>
        <w:rPr>
          <w:lang w:val="en-GB"/>
        </w:rPr>
      </w:pPr>
      <w:r w:rsidRPr="00691D31">
        <w:rPr>
          <w:spacing w:val="-2"/>
          <w:lang w:val="en-GB"/>
        </w:rPr>
        <w:t xml:space="preserve">For these propagation paths, the following </w:t>
      </w:r>
      <w:r w:rsidRPr="00691D31">
        <w:rPr>
          <w:lang w:val="en-GB"/>
        </w:rPr>
        <w:t>mechanisms and effects should be considered as appropriate:</w:t>
      </w:r>
    </w:p>
    <w:p w14:paraId="7D043783" w14:textId="77777777" w:rsidR="00691D31" w:rsidRPr="00691D31" w:rsidRDefault="00691D31" w:rsidP="00691D31">
      <w:pPr>
        <w:pStyle w:val="enumlev1"/>
        <w:rPr>
          <w:lang w:val="en-GB"/>
        </w:rPr>
      </w:pPr>
      <w:r w:rsidRPr="00691D31">
        <w:rPr>
          <w:lang w:val="en-GB"/>
        </w:rPr>
        <w:t>–</w:t>
      </w:r>
      <w:r w:rsidRPr="00691D31">
        <w:rPr>
          <w:lang w:val="en-GB"/>
        </w:rPr>
        <w:tab/>
        <w:t>free-space basic transmission loss;</w:t>
      </w:r>
    </w:p>
    <w:p w14:paraId="25D29E84" w14:textId="77777777" w:rsidR="00691D31" w:rsidRPr="00691D31" w:rsidRDefault="00691D31" w:rsidP="00691D31">
      <w:pPr>
        <w:pStyle w:val="enumlev1"/>
        <w:rPr>
          <w:lang w:val="en-GB"/>
        </w:rPr>
      </w:pPr>
      <w:r w:rsidRPr="00691D31">
        <w:rPr>
          <w:lang w:val="en-GB"/>
        </w:rPr>
        <w:t>–</w:t>
      </w:r>
      <w:r w:rsidRPr="00691D31">
        <w:rPr>
          <w:lang w:val="en-GB"/>
        </w:rPr>
        <w:tab/>
        <w:t>atmospheric attenuation due to gaseous absorption in the troposphere;</w:t>
      </w:r>
    </w:p>
    <w:p w14:paraId="1C180699" w14:textId="41234BA3" w:rsidR="00691D31" w:rsidRPr="00691D31" w:rsidRDefault="00691D31" w:rsidP="00691D31">
      <w:pPr>
        <w:pStyle w:val="enumlev1"/>
        <w:rPr>
          <w:lang w:val="en-GB"/>
        </w:rPr>
      </w:pPr>
      <w:r w:rsidRPr="00691D31">
        <w:rPr>
          <w:lang w:val="en-GB"/>
        </w:rPr>
        <w:t>–</w:t>
      </w:r>
      <w:r w:rsidRPr="00691D31">
        <w:rPr>
          <w:lang w:val="en-GB"/>
        </w:rPr>
        <w:tab/>
        <w:t xml:space="preserve">rain attenuation (precipitation, which includes rain, wet snow and clouds, is known to cause attenuation at frequencies above about 5 GHz; however, its presence is highly depending on the time and local location. If no reliable information regarding the precipitation is available </w:t>
      </w:r>
      <w:r w:rsidRPr="00691D31">
        <w:rPr>
          <w:lang w:val="en-GB"/>
        </w:rPr>
        <w:lastRenderedPageBreak/>
        <w:t>for the local location of terrestrial station under the analysis, it is recommended to set the rain attenuation to be zero for the assessment of unwanted path</w:t>
      </w:r>
      <w:r w:rsidR="00A9463D">
        <w:rPr>
          <w:lang w:val="en-GB"/>
        </w:rPr>
        <w:t>.</w:t>
      </w:r>
      <w:r w:rsidRPr="00691D31">
        <w:rPr>
          <w:lang w:val="en-GB"/>
        </w:rPr>
        <w:t>);</w:t>
      </w:r>
    </w:p>
    <w:p w14:paraId="60C1CA7C" w14:textId="77777777" w:rsidR="00691D31" w:rsidRPr="00691D31" w:rsidRDefault="00691D31" w:rsidP="00691D31">
      <w:pPr>
        <w:pStyle w:val="enumlev1"/>
        <w:rPr>
          <w:lang w:val="en-GB"/>
        </w:rPr>
      </w:pPr>
      <w:r w:rsidRPr="00691D31">
        <w:rPr>
          <w:lang w:val="en-GB"/>
        </w:rPr>
        <w:t>–</w:t>
      </w:r>
      <w:r w:rsidRPr="00691D31">
        <w:rPr>
          <w:lang w:val="en-GB"/>
        </w:rPr>
        <w:tab/>
        <w:t>rain scatter;</w:t>
      </w:r>
    </w:p>
    <w:p w14:paraId="0581EC04" w14:textId="77777777" w:rsidR="00691D31" w:rsidRPr="00691D31" w:rsidRDefault="00691D31" w:rsidP="00691D31">
      <w:pPr>
        <w:pStyle w:val="enumlev1"/>
        <w:rPr>
          <w:lang w:val="en-GB"/>
        </w:rPr>
      </w:pPr>
      <w:r w:rsidRPr="00691D31">
        <w:rPr>
          <w:lang w:val="en-GB"/>
        </w:rPr>
        <w:t>–</w:t>
      </w:r>
      <w:r w:rsidRPr="00691D31">
        <w:rPr>
          <w:lang w:val="en-GB"/>
        </w:rPr>
        <w:tab/>
        <w:t>tropospheric scintillation;</w:t>
      </w:r>
    </w:p>
    <w:p w14:paraId="6447F752" w14:textId="77777777" w:rsidR="00691D31" w:rsidRPr="00691D31" w:rsidRDefault="00691D31" w:rsidP="00691D31">
      <w:pPr>
        <w:pStyle w:val="enumlev1"/>
        <w:rPr>
          <w:lang w:val="en-GB"/>
        </w:rPr>
      </w:pPr>
      <w:r w:rsidRPr="00691D31">
        <w:rPr>
          <w:lang w:val="en-GB"/>
        </w:rPr>
        <w:t>–</w:t>
      </w:r>
      <w:r w:rsidRPr="00691D31">
        <w:rPr>
          <w:lang w:val="en-GB"/>
        </w:rPr>
        <w:tab/>
        <w:t>tropospheric scatter;</w:t>
      </w:r>
    </w:p>
    <w:p w14:paraId="37E7E286" w14:textId="77777777" w:rsidR="00691D31" w:rsidRPr="00691D31" w:rsidRDefault="00691D31" w:rsidP="00691D31">
      <w:pPr>
        <w:pStyle w:val="enumlev1"/>
        <w:rPr>
          <w:lang w:val="en-GB"/>
        </w:rPr>
      </w:pPr>
      <w:r w:rsidRPr="00691D31">
        <w:rPr>
          <w:lang w:val="en-GB"/>
        </w:rPr>
        <w:t>–</w:t>
      </w:r>
      <w:r w:rsidRPr="00691D31">
        <w:rPr>
          <w:lang w:val="en-GB"/>
        </w:rPr>
        <w:tab/>
        <w:t>diffraction due to spherical Earth;</w:t>
      </w:r>
    </w:p>
    <w:p w14:paraId="55EA116F" w14:textId="5CF30053" w:rsidR="00691D31" w:rsidRPr="00691D31" w:rsidRDefault="00691D31" w:rsidP="00691D31">
      <w:pPr>
        <w:pStyle w:val="enumlev1"/>
        <w:rPr>
          <w:lang w:val="en-GB"/>
        </w:rPr>
      </w:pPr>
      <w:r w:rsidRPr="00691D31">
        <w:rPr>
          <w:lang w:val="en-GB"/>
        </w:rPr>
        <w:t>–</w:t>
      </w:r>
      <w:r w:rsidRPr="00691D31">
        <w:rPr>
          <w:lang w:val="en-GB"/>
        </w:rPr>
        <w:tab/>
        <w:t>diffraction due to terrain and/or specific obstruction (if we have additional information regarding geographical information on victim station)</w:t>
      </w:r>
      <w:r w:rsidR="00A9463D">
        <w:rPr>
          <w:lang w:val="en-GB"/>
        </w:rPr>
        <w:t>;</w:t>
      </w:r>
    </w:p>
    <w:p w14:paraId="0FABB89A" w14:textId="2CAEAE60" w:rsidR="00691D31" w:rsidRPr="00691D31" w:rsidRDefault="00691D31" w:rsidP="00691D31">
      <w:pPr>
        <w:pStyle w:val="enumlev1"/>
        <w:rPr>
          <w:lang w:val="en-GB"/>
        </w:rPr>
      </w:pPr>
      <w:r w:rsidRPr="00691D31">
        <w:rPr>
          <w:lang w:val="en-GB"/>
        </w:rPr>
        <w:t>–</w:t>
      </w:r>
      <w:r w:rsidRPr="00691D31">
        <w:rPr>
          <w:lang w:val="en-GB"/>
        </w:rPr>
        <w:tab/>
        <w:t>clutter loss (</w:t>
      </w:r>
      <w:r w:rsidR="00A9463D">
        <w:rPr>
          <w:lang w:val="en-GB"/>
        </w:rPr>
        <w:t>T</w:t>
      </w:r>
      <w:r w:rsidRPr="00691D31">
        <w:rPr>
          <w:lang w:val="en-GB"/>
        </w:rPr>
        <w:t xml:space="preserve">he model in </w:t>
      </w:r>
      <w:r w:rsidR="00A9463D">
        <w:rPr>
          <w:lang w:val="en-GB"/>
        </w:rPr>
        <w:t xml:space="preserve">§ </w:t>
      </w:r>
      <w:r w:rsidRPr="00691D31">
        <w:rPr>
          <w:lang w:val="en-GB"/>
        </w:rPr>
        <w:t>3.3 of Recommendation ITU-R P.2108-0 is applicable only for the frequency range 10-100 GHz);</w:t>
      </w:r>
    </w:p>
    <w:p w14:paraId="49D5A74A" w14:textId="77777777" w:rsidR="00691D31" w:rsidRPr="00691D31" w:rsidRDefault="00691D31" w:rsidP="00691D31">
      <w:pPr>
        <w:pStyle w:val="enumlev1"/>
        <w:rPr>
          <w:lang w:val="en-GB"/>
        </w:rPr>
      </w:pPr>
      <w:r w:rsidRPr="00691D31">
        <w:rPr>
          <w:lang w:val="en-GB"/>
        </w:rPr>
        <w:t>–</w:t>
      </w:r>
      <w:r w:rsidRPr="00691D31">
        <w:rPr>
          <w:lang w:val="en-GB"/>
        </w:rPr>
        <w:tab/>
        <w:t>vegetation loss (If vegetation loss is needed to be considered for frequency sharing and compatibility studies, Recommendation ITU-R P.833 provides relevant information. The applicable areas and types of vegetation are limited to those described in Recommendation ITU-R P.833. If no reliable information regarding the vegetation is available for the local location of terrestrial station under the analysis, it is recommended to set the vegetation loss to be zero for the assessment of unwanted path.);</w:t>
      </w:r>
    </w:p>
    <w:p w14:paraId="247F9654" w14:textId="77777777" w:rsidR="00691D31" w:rsidRPr="00691D31" w:rsidRDefault="00691D31" w:rsidP="00691D31">
      <w:pPr>
        <w:pStyle w:val="enumlev1"/>
        <w:rPr>
          <w:lang w:val="en-GB"/>
        </w:rPr>
      </w:pPr>
      <w:r w:rsidRPr="00691D31">
        <w:rPr>
          <w:lang w:val="en-GB"/>
        </w:rPr>
        <w:t>–</w:t>
      </w:r>
      <w:r w:rsidRPr="00691D31">
        <w:rPr>
          <w:lang w:val="en-GB"/>
        </w:rPr>
        <w:tab/>
        <w:t>building entry loss (for applicable limits of the model, refer to Recommendation ITU-R P.2109-0);</w:t>
      </w:r>
    </w:p>
    <w:p w14:paraId="4DB6E331" w14:textId="55ED06B5" w:rsidR="00691D31" w:rsidRPr="00691D31" w:rsidRDefault="00691D31" w:rsidP="00691D31">
      <w:pPr>
        <w:rPr>
          <w:spacing w:val="-2"/>
          <w:lang w:val="en-GB"/>
        </w:rPr>
      </w:pPr>
      <w:r w:rsidRPr="00691D31">
        <w:rPr>
          <w:spacing w:val="-2"/>
          <w:lang w:val="en-GB"/>
        </w:rPr>
        <w:t>For the prediction of basic transmission loss, the use of the method described in Recommendation ITU</w:t>
      </w:r>
      <w:r w:rsidR="00A9463D">
        <w:rPr>
          <w:spacing w:val="-2"/>
          <w:lang w:val="en-GB"/>
        </w:rPr>
        <w:noBreakHyphen/>
      </w:r>
      <w:r w:rsidRPr="00691D31">
        <w:rPr>
          <w:spacing w:val="-2"/>
          <w:lang w:val="en-GB"/>
        </w:rPr>
        <w:t>R P.619 is recommended if any one of the following conditions is met:</w:t>
      </w:r>
    </w:p>
    <w:p w14:paraId="7C369DFF" w14:textId="77777777" w:rsidR="00691D31" w:rsidRPr="00691D31" w:rsidRDefault="00691D31" w:rsidP="00691D31">
      <w:pPr>
        <w:pStyle w:val="enumlev1"/>
        <w:rPr>
          <w:lang w:val="en-GB"/>
        </w:rPr>
      </w:pPr>
      <w:r w:rsidRPr="00691D31">
        <w:rPr>
          <w:lang w:val="en-GB"/>
        </w:rPr>
        <w:t>–</w:t>
      </w:r>
      <w:r w:rsidRPr="00691D31">
        <w:rPr>
          <w:lang w:val="en-GB"/>
        </w:rPr>
        <w:tab/>
        <w:t>When the frequency is above 30 GHz.</w:t>
      </w:r>
    </w:p>
    <w:p w14:paraId="56583F9D" w14:textId="4D1E05B6" w:rsidR="00691D31" w:rsidRPr="00691D31" w:rsidRDefault="00A9463D" w:rsidP="00691D31">
      <w:pPr>
        <w:pStyle w:val="enumlev1"/>
        <w:rPr>
          <w:lang w:val="en-GB"/>
        </w:rPr>
      </w:pPr>
      <w:r>
        <w:rPr>
          <w:lang w:val="en-GB"/>
        </w:rPr>
        <w:t>–</w:t>
      </w:r>
      <w:r>
        <w:rPr>
          <w:lang w:val="en-GB"/>
        </w:rPr>
        <w:tab/>
      </w:r>
      <w:r w:rsidR="00691D31" w:rsidRPr="00691D31">
        <w:rPr>
          <w:lang w:val="en-GB"/>
        </w:rPr>
        <w:t>When the antenna of the high</w:t>
      </w:r>
      <w:r>
        <w:rPr>
          <w:lang w:val="en-GB"/>
        </w:rPr>
        <w:t>-</w:t>
      </w:r>
      <w:r w:rsidR="00691D31" w:rsidRPr="00691D31">
        <w:rPr>
          <w:lang w:val="en-GB"/>
        </w:rPr>
        <w:t>altitude station is higher than 20 km</w:t>
      </w:r>
      <w:r>
        <w:rPr>
          <w:lang w:val="en-GB"/>
        </w:rPr>
        <w:t>.</w:t>
      </w:r>
    </w:p>
    <w:p w14:paraId="128D4D2B" w14:textId="77777777" w:rsidR="00691D31" w:rsidRPr="00691D31" w:rsidRDefault="00691D31" w:rsidP="00691D31">
      <w:pPr>
        <w:pStyle w:val="enumlev1"/>
        <w:rPr>
          <w:lang w:val="en-GB"/>
        </w:rPr>
      </w:pPr>
      <w:r w:rsidRPr="00691D31">
        <w:rPr>
          <w:lang w:val="en-GB"/>
        </w:rPr>
        <w:t>–</w:t>
      </w:r>
      <w:r w:rsidRPr="00691D31">
        <w:rPr>
          <w:lang w:val="en-GB"/>
        </w:rPr>
        <w:tab/>
        <w:t xml:space="preserve">When the analysis requires to take into account the diffraction loss due to specific terrain or other surface object. </w:t>
      </w:r>
    </w:p>
    <w:p w14:paraId="51D62A02" w14:textId="77777777" w:rsidR="00691D31" w:rsidRPr="00691D31" w:rsidRDefault="00691D31" w:rsidP="00691D31">
      <w:pPr>
        <w:pStyle w:val="enumlev1"/>
        <w:rPr>
          <w:lang w:val="en-GB"/>
        </w:rPr>
      </w:pPr>
      <w:r w:rsidRPr="00691D31">
        <w:rPr>
          <w:lang w:val="en-GB"/>
        </w:rPr>
        <w:t>–</w:t>
      </w:r>
      <w:r w:rsidRPr="00691D31">
        <w:rPr>
          <w:lang w:val="en-GB"/>
        </w:rPr>
        <w:tab/>
        <w:t>When the surface reflection multipath at the ground station or the facility has been mitigated using counterpoise.</w:t>
      </w:r>
    </w:p>
    <w:p w14:paraId="20168231" w14:textId="77777777" w:rsidR="00691D31" w:rsidRPr="00691D31" w:rsidRDefault="00691D31" w:rsidP="00691D31">
      <w:pPr>
        <w:pStyle w:val="enumlev1"/>
        <w:rPr>
          <w:lang w:val="en-GB"/>
        </w:rPr>
      </w:pPr>
      <w:r w:rsidRPr="00691D31">
        <w:rPr>
          <w:lang w:val="en-GB"/>
        </w:rPr>
        <w:t>–</w:t>
      </w:r>
      <w:r w:rsidRPr="00691D31">
        <w:rPr>
          <w:lang w:val="en-GB"/>
        </w:rPr>
        <w:tab/>
        <w:t>When directional antenna is used to mitigate surface reflection multipath at the ground station or the facility.</w:t>
      </w:r>
    </w:p>
    <w:p w14:paraId="1A8D681F" w14:textId="77777777" w:rsidR="00691D31" w:rsidRPr="00691D31" w:rsidRDefault="00691D31" w:rsidP="00691D31">
      <w:pPr>
        <w:rPr>
          <w:spacing w:val="-2"/>
          <w:lang w:val="en-GB"/>
        </w:rPr>
      </w:pPr>
      <w:r w:rsidRPr="00691D31">
        <w:rPr>
          <w:spacing w:val="-2"/>
          <w:lang w:val="en-GB"/>
        </w:rPr>
        <w:t xml:space="preserve">If none of the above conditions is met, the use of the method described in Recommendation ITU-R P.528 is recommended, with attention to </w:t>
      </w:r>
      <w:r w:rsidRPr="00691D31">
        <w:rPr>
          <w:i/>
          <w:iCs/>
          <w:spacing w:val="-2"/>
          <w:lang w:val="en-GB"/>
        </w:rPr>
        <w:t>recommends</w:t>
      </w:r>
      <w:r w:rsidRPr="00691D31">
        <w:rPr>
          <w:spacing w:val="-2"/>
          <w:lang w:val="en-GB"/>
        </w:rPr>
        <w:t xml:space="preserve"> 2 of the Recommendation.</w:t>
      </w:r>
    </w:p>
    <w:p w14:paraId="3DE02A54" w14:textId="2D9DA8E9" w:rsidR="00691D31" w:rsidRPr="00691D31" w:rsidRDefault="00691D31" w:rsidP="00691D31">
      <w:pPr>
        <w:rPr>
          <w:szCs w:val="22"/>
          <w:lang w:val="en-GB"/>
        </w:rPr>
      </w:pPr>
      <w:r w:rsidRPr="00691D31">
        <w:rPr>
          <w:szCs w:val="22"/>
          <w:lang w:val="en-GB"/>
        </w:rPr>
        <w:t xml:space="preserve">Variations in </w:t>
      </w:r>
      <w:r w:rsidR="00962106">
        <w:rPr>
          <w:szCs w:val="22"/>
          <w:lang w:val="en-GB"/>
        </w:rPr>
        <w:t xml:space="preserve">the </w:t>
      </w:r>
      <w:r w:rsidRPr="00691D31">
        <w:rPr>
          <w:szCs w:val="22"/>
          <w:lang w:val="en-GB"/>
        </w:rPr>
        <w:t>refractive index caused by atmospheric turbulence can cause spatial and temporal fades and enhancements in signal strength. The physical process consists of alternating focu</w:t>
      </w:r>
      <w:r w:rsidR="001E6D77">
        <w:rPr>
          <w:szCs w:val="22"/>
          <w:lang w:val="en-GB"/>
        </w:rPr>
        <w:t>s</w:t>
      </w:r>
      <w:r w:rsidRPr="00691D31">
        <w:rPr>
          <w:szCs w:val="22"/>
          <w:lang w:val="en-GB"/>
        </w:rPr>
        <w:t xml:space="preserve">sing and defocusing of a radio wave. The strength of these scintillations correlates well with the wet term of the atmospheric refractive index, which is related to water-vapour density. Calculation of losses due to tropospheric scintillation should be performed using the methodology provided in </w:t>
      </w:r>
      <w:r w:rsidR="00962106">
        <w:rPr>
          <w:szCs w:val="22"/>
          <w:lang w:val="en-GB"/>
        </w:rPr>
        <w:t>§</w:t>
      </w:r>
      <w:r w:rsidRPr="00691D31">
        <w:rPr>
          <w:szCs w:val="22"/>
          <w:lang w:val="en-GB"/>
        </w:rPr>
        <w:t xml:space="preserve"> 2.5.2 of Recommendation ITU-R </w:t>
      </w:r>
      <w:r w:rsidRPr="00573032">
        <w:rPr>
          <w:szCs w:val="22"/>
        </w:rPr>
        <w:t>Р</w:t>
      </w:r>
      <w:r w:rsidRPr="00691D31">
        <w:rPr>
          <w:szCs w:val="22"/>
          <w:lang w:val="en-GB"/>
        </w:rPr>
        <w:t>.619-4.</w:t>
      </w:r>
    </w:p>
    <w:p w14:paraId="5BC4B3C7" w14:textId="77777777" w:rsidR="00691D31" w:rsidRPr="00691D31" w:rsidRDefault="00691D31" w:rsidP="00691D31">
      <w:pPr>
        <w:pStyle w:val="Heading2"/>
        <w:rPr>
          <w:lang w:val="en-GB"/>
        </w:rPr>
      </w:pPr>
      <w:r w:rsidRPr="00691D31">
        <w:rPr>
          <w:lang w:val="en-GB"/>
        </w:rPr>
        <w:t>2.2</w:t>
      </w:r>
      <w:r w:rsidRPr="00691D31">
        <w:rPr>
          <w:lang w:val="en-GB"/>
        </w:rPr>
        <w:tab/>
        <w:t>Between high-altitude stations and space stations</w:t>
      </w:r>
    </w:p>
    <w:p w14:paraId="2431BC46" w14:textId="77777777" w:rsidR="00691D31" w:rsidRPr="00691D31" w:rsidRDefault="00691D31" w:rsidP="00691D31">
      <w:pPr>
        <w:rPr>
          <w:lang w:val="en-GB"/>
        </w:rPr>
      </w:pPr>
      <w:r w:rsidRPr="00691D31">
        <w:rPr>
          <w:spacing w:val="-2"/>
          <w:lang w:val="en-GB"/>
        </w:rPr>
        <w:t xml:space="preserve">For these propagation paths, the following </w:t>
      </w:r>
      <w:r w:rsidRPr="00691D31">
        <w:rPr>
          <w:lang w:val="en-GB"/>
        </w:rPr>
        <w:t>mechanisms and effects should be considered:</w:t>
      </w:r>
    </w:p>
    <w:p w14:paraId="2310A13F" w14:textId="77777777" w:rsidR="00691D31" w:rsidRPr="00691D31" w:rsidRDefault="00691D31" w:rsidP="00691D31">
      <w:pPr>
        <w:pStyle w:val="enumlev1"/>
        <w:rPr>
          <w:lang w:val="en-GB"/>
        </w:rPr>
      </w:pPr>
      <w:r w:rsidRPr="00691D31">
        <w:rPr>
          <w:lang w:val="en-GB"/>
        </w:rPr>
        <w:t>–</w:t>
      </w:r>
      <w:r w:rsidRPr="00691D31">
        <w:rPr>
          <w:lang w:val="en-GB"/>
        </w:rPr>
        <w:tab/>
        <w:t>free-space basic transmission loss;</w:t>
      </w:r>
    </w:p>
    <w:p w14:paraId="5006C33B" w14:textId="77777777" w:rsidR="00691D31" w:rsidRPr="00691D31" w:rsidRDefault="00691D31" w:rsidP="00691D31">
      <w:pPr>
        <w:pStyle w:val="enumlev1"/>
        <w:rPr>
          <w:lang w:val="en-GB"/>
        </w:rPr>
      </w:pPr>
      <w:r w:rsidRPr="00691D31">
        <w:rPr>
          <w:lang w:val="en-GB"/>
        </w:rPr>
        <w:t>–</w:t>
      </w:r>
      <w:r w:rsidRPr="00691D31">
        <w:rPr>
          <w:lang w:val="en-GB"/>
        </w:rPr>
        <w:tab/>
        <w:t>cross-polarization discrimination due to Faraday rotation;</w:t>
      </w:r>
    </w:p>
    <w:p w14:paraId="2E7C8401" w14:textId="77777777" w:rsidR="00691D31" w:rsidRPr="00691D31" w:rsidRDefault="00691D31" w:rsidP="00691D31">
      <w:pPr>
        <w:pStyle w:val="enumlev1"/>
        <w:rPr>
          <w:lang w:val="en-GB"/>
        </w:rPr>
      </w:pPr>
      <w:r w:rsidRPr="00691D31">
        <w:rPr>
          <w:lang w:val="en-GB"/>
        </w:rPr>
        <w:t>–</w:t>
      </w:r>
      <w:r w:rsidRPr="00691D31">
        <w:rPr>
          <w:lang w:val="en-GB"/>
        </w:rPr>
        <w:tab/>
        <w:t>ionospheric scintillation and absorption;</w:t>
      </w:r>
    </w:p>
    <w:p w14:paraId="79E0DE78" w14:textId="77777777" w:rsidR="00691D31" w:rsidRPr="00691D31" w:rsidRDefault="00691D31" w:rsidP="00691D31">
      <w:pPr>
        <w:pStyle w:val="enumlev1"/>
        <w:rPr>
          <w:lang w:val="en-GB" w:eastAsia="ja-JP"/>
        </w:rPr>
      </w:pPr>
      <w:r w:rsidRPr="00691D31">
        <w:rPr>
          <w:lang w:val="en-GB"/>
        </w:rPr>
        <w:t>–</w:t>
      </w:r>
      <w:r w:rsidRPr="00691D31">
        <w:rPr>
          <w:lang w:val="en-GB"/>
        </w:rPr>
        <w:tab/>
        <w:t>back scatter from the Earth’s surface (back scatter from the top of rain cells or from the melting layer is expected to be less important).</w:t>
      </w:r>
    </w:p>
    <w:p w14:paraId="42C3A611" w14:textId="77777777" w:rsidR="00691D31" w:rsidRPr="00691D31" w:rsidRDefault="00691D31" w:rsidP="00691D31">
      <w:pPr>
        <w:pStyle w:val="Heading3"/>
        <w:rPr>
          <w:lang w:val="en-GB"/>
        </w:rPr>
      </w:pPr>
      <w:r w:rsidRPr="00691D31">
        <w:rPr>
          <w:lang w:val="en-GB"/>
        </w:rPr>
        <w:lastRenderedPageBreak/>
        <w:t>2.2.1</w:t>
      </w:r>
      <w:r w:rsidRPr="00691D31">
        <w:rPr>
          <w:lang w:val="en-GB"/>
        </w:rPr>
        <w:tab/>
        <w:t>Free-space basic transmission loss</w:t>
      </w:r>
    </w:p>
    <w:p w14:paraId="66C6B968" w14:textId="77EB4C03" w:rsidR="00691D31" w:rsidRPr="00691D31" w:rsidRDefault="00691D31" w:rsidP="00691D31">
      <w:pPr>
        <w:rPr>
          <w:rFonts w:eastAsia="Yu Mincho"/>
          <w:lang w:val="en-GB"/>
        </w:rPr>
      </w:pPr>
      <w:r w:rsidRPr="00691D31">
        <w:rPr>
          <w:rFonts w:eastAsia="Yu Mincho"/>
          <w:lang w:val="en-GB"/>
        </w:rPr>
        <w:t>In order to calculate the free-space basic transmission loss</w:t>
      </w:r>
      <w:r w:rsidR="00B93A96">
        <w:rPr>
          <w:rFonts w:eastAsia="Yu Mincho"/>
          <w:lang w:val="en-GB"/>
        </w:rPr>
        <w:t>,</w:t>
      </w:r>
      <w:r w:rsidRPr="00691D31">
        <w:rPr>
          <w:rFonts w:eastAsia="Yu Mincho"/>
          <w:lang w:val="en-GB"/>
        </w:rPr>
        <w:t xml:space="preserve"> it is necessary to determine the length of an interference path </w:t>
      </w:r>
      <w:r w:rsidRPr="00691D31">
        <w:rPr>
          <w:rFonts w:eastAsia="Yu Mincho"/>
          <w:i/>
          <w:lang w:val="en-GB"/>
        </w:rPr>
        <w:t>r</w:t>
      </w:r>
      <w:r w:rsidRPr="00691D31">
        <w:rPr>
          <w:rFonts w:eastAsia="Yu Mincho"/>
          <w:lang w:val="en-GB"/>
        </w:rPr>
        <w:t>:</w:t>
      </w:r>
    </w:p>
    <w:p w14:paraId="70C3C5D0" w14:textId="0F959723" w:rsidR="00691D31" w:rsidRPr="00691D31" w:rsidRDefault="00691D31" w:rsidP="00691D31">
      <w:pPr>
        <w:pStyle w:val="Equation"/>
        <w:rPr>
          <w:rFonts w:eastAsia="Yu Mincho"/>
          <w:lang w:val="en-GB"/>
        </w:rPr>
      </w:pPr>
      <w:r w:rsidRPr="00691D31">
        <w:rPr>
          <w:rFonts w:eastAsia="Yu Mincho"/>
          <w:i/>
          <w:lang w:val="en-GB"/>
        </w:rPr>
        <w:tab/>
      </w:r>
      <w:r w:rsidRPr="00691D31">
        <w:rPr>
          <w:rFonts w:eastAsia="Yu Mincho"/>
          <w:i/>
          <w:lang w:val="en-GB"/>
        </w:rPr>
        <w:tab/>
        <w:t>r</w:t>
      </w:r>
      <w:r w:rsidRPr="00691D31">
        <w:rPr>
          <w:rFonts w:eastAsia="Yu Mincho"/>
          <w:lang w:val="en-GB"/>
        </w:rPr>
        <w:t xml:space="preserve"> = [(</w:t>
      </w:r>
      <w:r w:rsidRPr="00691D31">
        <w:rPr>
          <w:rFonts w:eastAsia="Yu Mincho"/>
          <w:i/>
          <w:lang w:val="en-GB"/>
        </w:rPr>
        <w:t>R</w:t>
      </w:r>
      <w:r w:rsidRPr="00691D31">
        <w:rPr>
          <w:rFonts w:eastAsia="Yu Mincho"/>
          <w:lang w:val="en-GB"/>
        </w:rPr>
        <w:t xml:space="preserve"> + </w:t>
      </w:r>
      <w:r w:rsidRPr="00691D31">
        <w:rPr>
          <w:rFonts w:eastAsia="Yu Mincho"/>
          <w:i/>
          <w:lang w:val="en-GB"/>
        </w:rPr>
        <w:t>h</w:t>
      </w:r>
      <w:r w:rsidRPr="00691D31">
        <w:rPr>
          <w:rFonts w:eastAsia="Yu Mincho"/>
          <w:i/>
          <w:vertAlign w:val="subscript"/>
          <w:lang w:val="en-GB"/>
        </w:rPr>
        <w:t>ant</w:t>
      </w:r>
      <w:r w:rsidRPr="00691D31">
        <w:rPr>
          <w:rFonts w:eastAsia="Yu Mincho"/>
          <w:lang w:val="en-GB"/>
        </w:rPr>
        <w:t>)</w:t>
      </w:r>
      <w:r w:rsidRPr="00691D31">
        <w:rPr>
          <w:rFonts w:eastAsia="Yu Mincho"/>
          <w:vertAlign w:val="superscript"/>
          <w:lang w:val="en-GB"/>
        </w:rPr>
        <w:t>2</w:t>
      </w:r>
      <w:r w:rsidRPr="00691D31">
        <w:rPr>
          <w:rFonts w:eastAsia="Yu Mincho"/>
          <w:lang w:val="en-GB"/>
        </w:rPr>
        <w:t xml:space="preserve"> + (</w:t>
      </w:r>
      <w:r w:rsidRPr="00691D31">
        <w:rPr>
          <w:rFonts w:eastAsia="Yu Mincho"/>
          <w:i/>
          <w:lang w:val="en-GB"/>
        </w:rPr>
        <w:t>R</w:t>
      </w:r>
      <w:r w:rsidRPr="00691D31">
        <w:rPr>
          <w:rFonts w:eastAsia="Yu Mincho"/>
          <w:lang w:val="en-GB"/>
        </w:rPr>
        <w:t xml:space="preserve"> + </w:t>
      </w:r>
      <w:r w:rsidRPr="00691D31">
        <w:rPr>
          <w:rFonts w:eastAsia="Yu Mincho"/>
          <w:i/>
          <w:lang w:val="en-GB"/>
        </w:rPr>
        <w:t xml:space="preserve"> h</w:t>
      </w:r>
      <w:r w:rsidRPr="00691D31">
        <w:rPr>
          <w:rFonts w:eastAsia="Yu Mincho"/>
          <w:i/>
          <w:vertAlign w:val="subscript"/>
          <w:lang w:val="en-GB"/>
        </w:rPr>
        <w:t>HS</w:t>
      </w:r>
      <w:r w:rsidRPr="00691D31">
        <w:rPr>
          <w:rFonts w:eastAsia="Yu Mincho"/>
          <w:lang w:val="en-GB"/>
        </w:rPr>
        <w:t>)</w:t>
      </w:r>
      <w:r w:rsidRPr="00691D31">
        <w:rPr>
          <w:rFonts w:eastAsia="Yu Mincho"/>
          <w:vertAlign w:val="superscript"/>
          <w:lang w:val="en-GB"/>
        </w:rPr>
        <w:t>2</w:t>
      </w:r>
      <w:r w:rsidRPr="00691D31">
        <w:rPr>
          <w:rFonts w:eastAsia="Yu Mincho"/>
          <w:lang w:val="en-GB"/>
        </w:rPr>
        <w:t xml:space="preserve"> – 2(</w:t>
      </w:r>
      <w:r w:rsidRPr="00691D31">
        <w:rPr>
          <w:rFonts w:eastAsia="Yu Mincho"/>
          <w:i/>
          <w:lang w:val="en-GB"/>
        </w:rPr>
        <w:t>R</w:t>
      </w:r>
      <w:r w:rsidRPr="00691D31">
        <w:rPr>
          <w:rFonts w:eastAsia="Yu Mincho"/>
          <w:lang w:val="en-GB"/>
        </w:rPr>
        <w:t xml:space="preserve"> + </w:t>
      </w:r>
      <w:r w:rsidRPr="00691D31">
        <w:rPr>
          <w:rFonts w:eastAsia="Yu Mincho"/>
          <w:i/>
          <w:lang w:val="en-GB"/>
        </w:rPr>
        <w:t>h</w:t>
      </w:r>
      <w:r w:rsidRPr="00691D31">
        <w:rPr>
          <w:rFonts w:eastAsia="Yu Mincho"/>
          <w:i/>
          <w:vertAlign w:val="subscript"/>
          <w:lang w:val="en-GB"/>
        </w:rPr>
        <w:t>ant</w:t>
      </w:r>
      <w:r w:rsidRPr="00691D31">
        <w:rPr>
          <w:rFonts w:eastAsia="Yu Mincho"/>
          <w:lang w:val="en-GB"/>
        </w:rPr>
        <w:t>)(</w:t>
      </w:r>
      <w:r w:rsidRPr="00691D31">
        <w:rPr>
          <w:rFonts w:eastAsia="Yu Mincho"/>
          <w:i/>
          <w:lang w:val="en-GB"/>
        </w:rPr>
        <w:t xml:space="preserve"> R</w:t>
      </w:r>
      <w:r w:rsidRPr="00691D31">
        <w:rPr>
          <w:rFonts w:eastAsia="Yu Mincho"/>
          <w:lang w:val="en-GB"/>
        </w:rPr>
        <w:t xml:space="preserve"> + </w:t>
      </w:r>
      <w:r w:rsidRPr="00691D31">
        <w:rPr>
          <w:rFonts w:eastAsia="Yu Mincho"/>
          <w:i/>
          <w:lang w:val="en-GB"/>
        </w:rPr>
        <w:t xml:space="preserve"> h</w:t>
      </w:r>
      <w:r w:rsidRPr="00691D31">
        <w:rPr>
          <w:rFonts w:eastAsia="Yu Mincho"/>
          <w:i/>
          <w:vertAlign w:val="subscript"/>
          <w:lang w:val="en-GB"/>
        </w:rPr>
        <w:t>HS</w:t>
      </w:r>
      <w:r w:rsidRPr="00691D31">
        <w:rPr>
          <w:rFonts w:eastAsia="Yu Mincho"/>
          <w:lang w:val="en-GB"/>
        </w:rPr>
        <w:t>)cos(</w:t>
      </w:r>
      <w:r w:rsidRPr="00691D31">
        <w:rPr>
          <w:rFonts w:eastAsia="Yu Mincho"/>
          <w:i/>
          <w:lang w:val="en-GB"/>
        </w:rPr>
        <w:t>r</w:t>
      </w:r>
      <w:r w:rsidRPr="00691D31">
        <w:rPr>
          <w:rFonts w:eastAsia="Yu Mincho"/>
          <w:i/>
          <w:vertAlign w:val="subscript"/>
          <w:lang w:val="en-GB"/>
        </w:rPr>
        <w:t>gr</w:t>
      </w:r>
      <w:r w:rsidRPr="00691D31">
        <w:rPr>
          <w:rFonts w:eastAsia="Yu Mincho"/>
          <w:lang w:val="en-GB"/>
        </w:rPr>
        <w:t xml:space="preserve"> /</w:t>
      </w:r>
      <w:r w:rsidRPr="00691D31">
        <w:rPr>
          <w:rFonts w:eastAsia="Yu Mincho"/>
          <w:i/>
          <w:lang w:val="en-GB"/>
        </w:rPr>
        <w:t>R</w:t>
      </w:r>
      <w:r w:rsidRPr="00691D31">
        <w:rPr>
          <w:rFonts w:eastAsia="Yu Mincho"/>
          <w:lang w:val="en-GB"/>
        </w:rPr>
        <w:t>)]</w:t>
      </w:r>
      <w:r w:rsidRPr="00691D31">
        <w:rPr>
          <w:rFonts w:eastAsia="Yu Mincho"/>
          <w:vertAlign w:val="superscript"/>
          <w:lang w:val="en-GB"/>
        </w:rPr>
        <w:t xml:space="preserve">0.5 </w:t>
      </w:r>
      <w:r w:rsidR="00B93A96">
        <w:rPr>
          <w:rFonts w:eastAsia="Yu Mincho"/>
          <w:lang w:val="en-GB"/>
        </w:rPr>
        <w:t>        </w:t>
      </w:r>
      <w:r w:rsidRPr="00691D31">
        <w:rPr>
          <w:rFonts w:eastAsia="Yu Mincho"/>
          <w:lang w:val="en-GB"/>
        </w:rPr>
        <w:t>(m)</w:t>
      </w:r>
      <w:r w:rsidRPr="00691D31">
        <w:rPr>
          <w:rFonts w:eastAsia="Yu Mincho"/>
          <w:lang w:val="en-GB"/>
        </w:rPr>
        <w:tab/>
        <w:t>(1)</w:t>
      </w:r>
    </w:p>
    <w:p w14:paraId="2188A025" w14:textId="77777777" w:rsidR="00691D31" w:rsidRPr="00691D31" w:rsidRDefault="00691D31" w:rsidP="00691D31">
      <w:pPr>
        <w:keepNext/>
        <w:keepLines/>
        <w:rPr>
          <w:rFonts w:eastAsia="Yu Mincho"/>
          <w:lang w:val="en-GB"/>
        </w:rPr>
      </w:pPr>
      <w:r w:rsidRPr="00691D31">
        <w:rPr>
          <w:rFonts w:eastAsia="Yu Mincho"/>
          <w:lang w:val="en-GB"/>
        </w:rPr>
        <w:t>where:</w:t>
      </w:r>
    </w:p>
    <w:p w14:paraId="11746E5B" w14:textId="50D65DD9" w:rsidR="00691D31" w:rsidRPr="00B04B73" w:rsidRDefault="00691D31" w:rsidP="00691D31">
      <w:pPr>
        <w:pStyle w:val="Equationlegend"/>
        <w:rPr>
          <w:rFonts w:eastAsia="Yu Mincho"/>
        </w:rPr>
      </w:pPr>
      <w:r w:rsidRPr="00B04B73">
        <w:rPr>
          <w:rFonts w:eastAsia="Yu Mincho"/>
        </w:rPr>
        <w:tab/>
      </w:r>
      <w:proofErr w:type="gramStart"/>
      <w:r w:rsidRPr="00B04B73">
        <w:rPr>
          <w:rFonts w:eastAsia="Yu Mincho"/>
          <w:i/>
        </w:rPr>
        <w:t>h</w:t>
      </w:r>
      <w:r w:rsidRPr="00B04B73">
        <w:rPr>
          <w:rFonts w:eastAsia="Yu Mincho"/>
          <w:i/>
          <w:vertAlign w:val="subscript"/>
        </w:rPr>
        <w:t>HS</w:t>
      </w:r>
      <w:r w:rsidR="00415A49">
        <w:rPr>
          <w:rFonts w:eastAsia="Yu Mincho"/>
          <w:iCs/>
        </w:rPr>
        <w:t xml:space="preserve"> :</w:t>
      </w:r>
      <w:proofErr w:type="gramEnd"/>
      <w:r w:rsidRPr="00B04B73">
        <w:rPr>
          <w:rFonts w:eastAsia="Yu Mincho"/>
          <w:i/>
          <w:vertAlign w:val="subscript"/>
        </w:rPr>
        <w:tab/>
      </w:r>
      <w:r w:rsidRPr="00B04B73">
        <w:rPr>
          <w:rFonts w:eastAsia="Yu Mincho"/>
        </w:rPr>
        <w:t>height of the high-altitude based station antenna above mean sea level (m)</w:t>
      </w:r>
    </w:p>
    <w:p w14:paraId="3ABA5467" w14:textId="7D88A7AE" w:rsidR="00691D31" w:rsidRPr="00B04B73" w:rsidRDefault="00691D31" w:rsidP="00691D31">
      <w:pPr>
        <w:pStyle w:val="Equationlegend"/>
        <w:rPr>
          <w:rFonts w:eastAsia="Yu Mincho"/>
        </w:rPr>
      </w:pPr>
      <w:r w:rsidRPr="00B04B73">
        <w:rPr>
          <w:rFonts w:eastAsia="Yu Mincho"/>
        </w:rPr>
        <w:tab/>
      </w:r>
      <w:proofErr w:type="gramStart"/>
      <w:r w:rsidRPr="00B04B73">
        <w:rPr>
          <w:rFonts w:eastAsia="Yu Mincho"/>
          <w:i/>
        </w:rPr>
        <w:t>h</w:t>
      </w:r>
      <w:r w:rsidRPr="00B04B73">
        <w:rPr>
          <w:rFonts w:eastAsia="Yu Mincho"/>
          <w:i/>
          <w:vertAlign w:val="subscript"/>
        </w:rPr>
        <w:t>ant</w:t>
      </w:r>
      <w:r w:rsidR="00415A49">
        <w:rPr>
          <w:rFonts w:eastAsia="Yu Mincho"/>
          <w:iCs/>
        </w:rPr>
        <w:t xml:space="preserve"> :</w:t>
      </w:r>
      <w:proofErr w:type="gramEnd"/>
      <w:r w:rsidRPr="00B04B73">
        <w:rPr>
          <w:rFonts w:eastAsia="Yu Mincho"/>
          <w:i/>
          <w:vertAlign w:val="subscript"/>
        </w:rPr>
        <w:tab/>
      </w:r>
      <w:r w:rsidRPr="00B04B73">
        <w:rPr>
          <w:rFonts w:eastAsia="Yu Mincho"/>
        </w:rPr>
        <w:t>height of the space station antenna above mean sea level (m)</w:t>
      </w:r>
    </w:p>
    <w:p w14:paraId="1944C7DD" w14:textId="6CA4BACF" w:rsidR="00691D31" w:rsidRPr="00B04B73" w:rsidRDefault="00691D31" w:rsidP="00691D31">
      <w:pPr>
        <w:pStyle w:val="Equationlegend"/>
        <w:rPr>
          <w:rFonts w:eastAsia="Yu Mincho"/>
        </w:rPr>
      </w:pPr>
      <w:r w:rsidRPr="00B04B73">
        <w:rPr>
          <w:rFonts w:eastAsia="Yu Mincho"/>
          <w:i/>
        </w:rPr>
        <w:tab/>
      </w:r>
      <w:proofErr w:type="gramStart"/>
      <w:r w:rsidRPr="00B04B73">
        <w:rPr>
          <w:rFonts w:eastAsia="Yu Mincho"/>
          <w:i/>
        </w:rPr>
        <w:t>R</w:t>
      </w:r>
      <w:r w:rsidR="00415A49">
        <w:rPr>
          <w:rFonts w:eastAsia="Yu Mincho"/>
          <w:i/>
        </w:rPr>
        <w:t xml:space="preserve"> </w:t>
      </w:r>
      <w:r w:rsidRPr="00415A49">
        <w:rPr>
          <w:rFonts w:eastAsia="Yu Mincho"/>
          <w:iCs/>
        </w:rPr>
        <w:t>:</w:t>
      </w:r>
      <w:proofErr w:type="gramEnd"/>
      <w:r w:rsidRPr="00B04B73">
        <w:rPr>
          <w:rFonts w:eastAsia="Yu Mincho"/>
          <w:i/>
        </w:rPr>
        <w:tab/>
      </w:r>
      <w:r w:rsidRPr="00B04B73">
        <w:rPr>
          <w:rFonts w:eastAsia="Yu Mincho"/>
        </w:rPr>
        <w:t>average Earth radius (6 371 × 10</w:t>
      </w:r>
      <w:r w:rsidRPr="00B04B73">
        <w:rPr>
          <w:rFonts w:eastAsia="Yu Mincho"/>
          <w:vertAlign w:val="superscript"/>
        </w:rPr>
        <w:t>3</w:t>
      </w:r>
      <w:r w:rsidRPr="00B04B73">
        <w:rPr>
          <w:rFonts w:eastAsia="Yu Mincho"/>
        </w:rPr>
        <w:t xml:space="preserve"> m)</w:t>
      </w:r>
    </w:p>
    <w:p w14:paraId="7EB437F5" w14:textId="77777777" w:rsidR="00691D31" w:rsidRPr="00B04B73" w:rsidRDefault="00691D31" w:rsidP="00691D31">
      <w:pPr>
        <w:pStyle w:val="Equationlegend"/>
        <w:rPr>
          <w:rFonts w:eastAsia="Yu Mincho"/>
        </w:rPr>
      </w:pPr>
      <w:r w:rsidRPr="00B04B73">
        <w:rPr>
          <w:rFonts w:eastAsia="Yu Mincho"/>
        </w:rPr>
        <w:tab/>
      </w:r>
      <w:proofErr w:type="gramStart"/>
      <w:r w:rsidRPr="00B04B73">
        <w:rPr>
          <w:rFonts w:eastAsia="Yu Mincho"/>
          <w:i/>
        </w:rPr>
        <w:t>r</w:t>
      </w:r>
      <w:r w:rsidRPr="00B04B73">
        <w:rPr>
          <w:rFonts w:eastAsia="Yu Mincho"/>
          <w:i/>
          <w:vertAlign w:val="subscript"/>
        </w:rPr>
        <w:t>gr</w:t>
      </w:r>
      <w:r w:rsidRPr="00415A49">
        <w:rPr>
          <w:rFonts w:eastAsia="Yu Mincho"/>
        </w:rPr>
        <w:t xml:space="preserve"> :</w:t>
      </w:r>
      <w:proofErr w:type="gramEnd"/>
      <w:r w:rsidRPr="00B04B73">
        <w:rPr>
          <w:rFonts w:eastAsia="Yu Mincho"/>
          <w:vertAlign w:val="subscript"/>
        </w:rPr>
        <w:tab/>
      </w:r>
      <w:r w:rsidRPr="00B04B73">
        <w:rPr>
          <w:rFonts w:eastAsia="Yu Mincho"/>
        </w:rPr>
        <w:t xml:space="preserve">great-circle path (m) between the projection of a space station on the surface of the Earth and the projection of a high-altitude based station on the surface of the Earth, as shown </w:t>
      </w:r>
      <w:r>
        <w:rPr>
          <w:rFonts w:eastAsia="Yu Mincho"/>
        </w:rPr>
        <w:t>i</w:t>
      </w:r>
      <w:r w:rsidRPr="00B04B73">
        <w:rPr>
          <w:rFonts w:eastAsia="Yu Mincho"/>
        </w:rPr>
        <w:t>n Fig</w:t>
      </w:r>
      <w:r>
        <w:rPr>
          <w:rFonts w:eastAsia="Yu Mincho"/>
        </w:rPr>
        <w:t>.</w:t>
      </w:r>
      <w:r w:rsidRPr="00B04B73">
        <w:rPr>
          <w:rFonts w:eastAsia="Yu Mincho"/>
        </w:rPr>
        <w:t xml:space="preserve"> </w:t>
      </w:r>
      <w:r>
        <w:rPr>
          <w:rFonts w:eastAsia="Yu Mincho"/>
        </w:rPr>
        <w:t>2</w:t>
      </w:r>
      <w:r w:rsidRPr="00B04B73">
        <w:rPr>
          <w:rFonts w:eastAsia="Yu Mincho"/>
        </w:rPr>
        <w:t>.</w:t>
      </w:r>
    </w:p>
    <w:p w14:paraId="62D3A791" w14:textId="77777777" w:rsidR="00691D31" w:rsidRPr="00B04B73" w:rsidRDefault="00691D31" w:rsidP="00691D31">
      <w:pPr>
        <w:pStyle w:val="FigureNo"/>
      </w:pPr>
      <w:r w:rsidRPr="00B04B73">
        <w:t xml:space="preserve">FIGURE </w:t>
      </w:r>
      <w:r>
        <w:t>2</w:t>
      </w:r>
    </w:p>
    <w:p w14:paraId="6CD03F5D" w14:textId="77777777" w:rsidR="00691D31" w:rsidRPr="00B04B73" w:rsidRDefault="00691D31" w:rsidP="00691D31">
      <w:pPr>
        <w:pStyle w:val="Figuretitle"/>
        <w:rPr>
          <w:bCs/>
        </w:rPr>
      </w:pPr>
      <w:r w:rsidRPr="00B04B73">
        <w:rPr>
          <w:rFonts w:eastAsia="Yu Mincho"/>
        </w:rPr>
        <w:t>HAPS-satellite path</w:t>
      </w:r>
    </w:p>
    <w:p w14:paraId="0C1BBCE3" w14:textId="02B99C98" w:rsidR="00691D31" w:rsidRPr="00B04B73" w:rsidRDefault="00AC73EB" w:rsidP="00691D31">
      <w:pPr>
        <w:pStyle w:val="Figure"/>
        <w:rPr>
          <w:rFonts w:eastAsia="Yu Mincho"/>
        </w:rPr>
      </w:pPr>
      <w:r>
        <w:rPr>
          <w:rFonts w:eastAsia="Yu Mincho"/>
          <w:noProof/>
        </w:rPr>
        <w:drawing>
          <wp:inline distT="0" distB="0" distL="0" distR="0" wp14:anchorId="25B93469" wp14:editId="3F205F94">
            <wp:extent cx="3925832" cy="396545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09-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5832" cy="3965456"/>
                    </a:xfrm>
                    <a:prstGeom prst="rect">
                      <a:avLst/>
                    </a:prstGeom>
                  </pic:spPr>
                </pic:pic>
              </a:graphicData>
            </a:graphic>
          </wp:inline>
        </w:drawing>
      </w:r>
    </w:p>
    <w:p w14:paraId="1F2A0BBC" w14:textId="77777777" w:rsidR="00691D31" w:rsidRPr="00691D31" w:rsidRDefault="00691D31" w:rsidP="00B93A96">
      <w:pPr>
        <w:pStyle w:val="Normalaftertitle"/>
        <w:rPr>
          <w:rFonts w:eastAsia="Yu Mincho"/>
          <w:lang w:val="en-GB"/>
        </w:rPr>
      </w:pPr>
      <w:r w:rsidRPr="00691D31">
        <w:rPr>
          <w:rFonts w:eastAsia="Yu Mincho"/>
          <w:lang w:val="en-GB"/>
        </w:rPr>
        <w:t>Calculation of the basic transmission loss in free space is expressed by the well-known formula:</w:t>
      </w:r>
    </w:p>
    <w:p w14:paraId="2B10F8C6" w14:textId="7A2F1B7B" w:rsidR="00691D31" w:rsidRPr="00691D31" w:rsidRDefault="00691D31" w:rsidP="00691D31">
      <w:pPr>
        <w:pStyle w:val="Equation"/>
        <w:rPr>
          <w:rFonts w:eastAsia="Yu Mincho"/>
          <w:lang w:val="en-GB"/>
        </w:rPr>
      </w:pPr>
      <w:r w:rsidRPr="00691D31">
        <w:rPr>
          <w:rFonts w:eastAsia="Yu Mincho"/>
          <w:i/>
          <w:lang w:val="en-GB"/>
        </w:rPr>
        <w:tab/>
      </w:r>
      <w:r w:rsidRPr="00691D31">
        <w:rPr>
          <w:rFonts w:eastAsia="Yu Mincho"/>
          <w:i/>
          <w:lang w:val="en-GB"/>
        </w:rPr>
        <w:tab/>
        <w:t>L</w:t>
      </w:r>
      <w:r w:rsidRPr="00691D31">
        <w:rPr>
          <w:rFonts w:eastAsia="Yu Mincho"/>
          <w:i/>
          <w:vertAlign w:val="subscript"/>
          <w:lang w:val="en-GB"/>
        </w:rPr>
        <w:t>bfs</w:t>
      </w:r>
      <w:r w:rsidRPr="00691D31">
        <w:rPr>
          <w:rFonts w:eastAsia="Yu Mincho"/>
          <w:i/>
          <w:lang w:val="en-GB"/>
        </w:rPr>
        <w:t> </w:t>
      </w:r>
      <w:r w:rsidRPr="00691D31">
        <w:rPr>
          <w:rFonts w:eastAsia="Yu Mincho"/>
          <w:lang w:val="en-GB"/>
        </w:rPr>
        <w:t>= 32.4 + 20log(</w:t>
      </w:r>
      <w:r w:rsidRPr="00691D31">
        <w:rPr>
          <w:rFonts w:eastAsia="Yu Mincho"/>
          <w:i/>
          <w:lang w:val="en-GB"/>
        </w:rPr>
        <w:t>f</w:t>
      </w:r>
      <w:r w:rsidRPr="00691D31">
        <w:rPr>
          <w:rFonts w:eastAsia="Yu Mincho"/>
          <w:lang w:val="en-GB"/>
        </w:rPr>
        <w:t>) + 20log(</w:t>
      </w:r>
      <w:r w:rsidRPr="00691D31">
        <w:rPr>
          <w:rFonts w:eastAsia="Yu Mincho"/>
          <w:i/>
          <w:lang w:val="en-GB"/>
        </w:rPr>
        <w:t>r</w:t>
      </w:r>
      <w:r w:rsidRPr="00691D31">
        <w:rPr>
          <w:rFonts w:eastAsia="Yu Mincho"/>
          <w:lang w:val="en-GB"/>
        </w:rPr>
        <w:t xml:space="preserve">) </w:t>
      </w:r>
      <w:r w:rsidR="00B93A96">
        <w:rPr>
          <w:rFonts w:eastAsia="Yu Mincho"/>
          <w:lang w:val="en-GB"/>
        </w:rPr>
        <w:t>        </w:t>
      </w:r>
      <w:r w:rsidRPr="00691D31">
        <w:rPr>
          <w:rFonts w:eastAsia="Yu Mincho"/>
          <w:lang w:val="en-GB"/>
        </w:rPr>
        <w:t>(dB)</w:t>
      </w:r>
      <w:r w:rsidRPr="00691D31">
        <w:rPr>
          <w:rFonts w:eastAsia="Yu Mincho"/>
          <w:lang w:val="en-GB"/>
        </w:rPr>
        <w:tab/>
        <w:t>(2)</w:t>
      </w:r>
    </w:p>
    <w:p w14:paraId="452496BA" w14:textId="77777777" w:rsidR="00691D31" w:rsidRPr="00691D31" w:rsidRDefault="00691D31" w:rsidP="00691D31">
      <w:pPr>
        <w:rPr>
          <w:rFonts w:eastAsia="Yu Mincho"/>
          <w:lang w:val="en-GB"/>
        </w:rPr>
      </w:pPr>
      <w:r w:rsidRPr="00691D31">
        <w:rPr>
          <w:rFonts w:eastAsia="Yu Mincho"/>
          <w:lang w:val="en-GB"/>
        </w:rPr>
        <w:t>where:</w:t>
      </w:r>
    </w:p>
    <w:p w14:paraId="27B72C66" w14:textId="77777777" w:rsidR="00691D31" w:rsidRPr="00B04B73" w:rsidRDefault="00691D31" w:rsidP="00691D31">
      <w:pPr>
        <w:pStyle w:val="Equationlegend"/>
        <w:rPr>
          <w:rFonts w:eastAsia="Yu Mincho"/>
        </w:rPr>
      </w:pPr>
      <w:r w:rsidRPr="00B04B73">
        <w:rPr>
          <w:rFonts w:eastAsia="Yu Mincho"/>
        </w:rPr>
        <w:tab/>
      </w:r>
      <w:r w:rsidRPr="00B04B73">
        <w:rPr>
          <w:rFonts w:eastAsia="Yu Mincho"/>
          <w:i/>
        </w:rPr>
        <w:t>f:</w:t>
      </w:r>
      <w:r w:rsidRPr="00B04B73">
        <w:rPr>
          <w:rFonts w:eastAsia="Yu Mincho"/>
          <w:i/>
        </w:rPr>
        <w:tab/>
      </w:r>
      <w:r w:rsidRPr="00B04B73">
        <w:rPr>
          <w:rFonts w:eastAsia="Yu Mincho"/>
        </w:rPr>
        <w:t>frequency (MHz)</w:t>
      </w:r>
    </w:p>
    <w:p w14:paraId="392EFBD4" w14:textId="77777777" w:rsidR="00691D31" w:rsidRPr="00B04B73" w:rsidRDefault="00691D31" w:rsidP="00691D31">
      <w:pPr>
        <w:pStyle w:val="Equationlegend"/>
        <w:rPr>
          <w:rFonts w:eastAsia="Yu Mincho"/>
        </w:rPr>
      </w:pPr>
      <w:r w:rsidRPr="00B04B73">
        <w:rPr>
          <w:rFonts w:eastAsia="Yu Mincho"/>
        </w:rPr>
        <w:tab/>
      </w:r>
      <w:r w:rsidRPr="00B04B73">
        <w:rPr>
          <w:rFonts w:eastAsia="Yu Mincho"/>
          <w:i/>
        </w:rPr>
        <w:t>r:</w:t>
      </w:r>
      <w:r w:rsidRPr="00B04B73">
        <w:rPr>
          <w:rFonts w:eastAsia="Yu Mincho"/>
          <w:i/>
        </w:rPr>
        <w:tab/>
      </w:r>
      <w:r w:rsidRPr="00B04B73">
        <w:rPr>
          <w:rFonts w:eastAsia="Yu Mincho"/>
        </w:rPr>
        <w:t>length of the interference path (km), determined by equation (</w:t>
      </w:r>
      <w:r>
        <w:rPr>
          <w:rFonts w:eastAsia="Yu Mincho"/>
        </w:rPr>
        <w:t>1</w:t>
      </w:r>
      <w:r w:rsidRPr="00B04B73">
        <w:rPr>
          <w:rFonts w:eastAsia="Yu Mincho"/>
        </w:rPr>
        <w:t>).</w:t>
      </w:r>
    </w:p>
    <w:p w14:paraId="5A7FC563" w14:textId="77777777" w:rsidR="00691D31" w:rsidRPr="00691D31" w:rsidRDefault="00691D31" w:rsidP="00691D31">
      <w:pPr>
        <w:pStyle w:val="Heading3"/>
        <w:rPr>
          <w:lang w:val="en-GB"/>
        </w:rPr>
      </w:pPr>
      <w:r w:rsidRPr="00691D31">
        <w:rPr>
          <w:lang w:val="en-GB"/>
        </w:rPr>
        <w:lastRenderedPageBreak/>
        <w:t>2.2.2</w:t>
      </w:r>
      <w:r w:rsidRPr="00691D31">
        <w:rPr>
          <w:lang w:val="en-GB"/>
        </w:rPr>
        <w:tab/>
        <w:t>Cross-polarization discrimination due to Faraday rotation</w:t>
      </w:r>
    </w:p>
    <w:p w14:paraId="72C44AD7" w14:textId="4A0A90BA" w:rsidR="00691D31" w:rsidRPr="00691D31" w:rsidRDefault="00691D31" w:rsidP="00691D31">
      <w:pPr>
        <w:rPr>
          <w:spacing w:val="-2"/>
          <w:lang w:val="en-GB"/>
        </w:rPr>
      </w:pPr>
      <w:r w:rsidRPr="00691D31">
        <w:rPr>
          <w:spacing w:val="-2"/>
          <w:lang w:val="en-GB"/>
        </w:rPr>
        <w:t>Faraday effect in the Earth</w:t>
      </w:r>
      <w:r w:rsidR="00DB5A74">
        <w:rPr>
          <w:spacing w:val="-2"/>
          <w:lang w:val="en-GB"/>
        </w:rPr>
        <w:t>ʼ</w:t>
      </w:r>
      <w:r w:rsidRPr="00691D31">
        <w:rPr>
          <w:spacing w:val="-2"/>
          <w:lang w:val="en-GB"/>
        </w:rPr>
        <w:t>s ionosphere is due to the fact that a wave with linear polarization can be considered as propagating in the ionosphere as two circular polarized waves each with a different phase velocity. So, between these two circular polarized waves appears a delay causing rotation of a resulting wave with linear polarization. The method to calculate the Faraday rotation is described in Recommendation ITU-R P.531 as follows:</w:t>
      </w:r>
    </w:p>
    <w:p w14:paraId="6F781F2D" w14:textId="77777777" w:rsidR="00691D31" w:rsidRPr="00691D31" w:rsidRDefault="00691D31" w:rsidP="00691D31">
      <w:pPr>
        <w:pStyle w:val="Equation"/>
        <w:rPr>
          <w:smallCaps/>
          <w:lang w:val="en-GB"/>
        </w:rPr>
      </w:pPr>
      <w:r w:rsidRPr="00691D31">
        <w:rPr>
          <w:lang w:val="en-GB"/>
        </w:rPr>
        <w:tab/>
      </w:r>
      <w:r w:rsidRPr="00691D31">
        <w:rPr>
          <w:lang w:val="en-GB"/>
        </w:rPr>
        <w:tab/>
      </w:r>
      <w:r w:rsidRPr="00B04B73">
        <w:rPr>
          <w:position w:val="-32"/>
        </w:rPr>
        <w:object w:dxaOrig="2360" w:dyaOrig="700" w14:anchorId="35C1F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5pt;height:36pt;mso-width-percent:0;mso-height-percent:0;mso-width-percent:0;mso-height-percent:0" o:ole="">
            <v:imagedata r:id="rId15" o:title=""/>
          </v:shape>
          <o:OLEObject Type="Embed" ProgID="Equation.3" ShapeID="_x0000_i1025" DrawAspect="Content" ObjectID="_1713791274" r:id="rId16"/>
        </w:object>
      </w:r>
      <w:r w:rsidRPr="00691D31">
        <w:rPr>
          <w:vertAlign w:val="superscript"/>
          <w:lang w:val="en-GB"/>
        </w:rPr>
        <w:tab/>
      </w:r>
      <w:r w:rsidRPr="00691D31">
        <w:rPr>
          <w:lang w:val="en-GB"/>
        </w:rPr>
        <w:t>(3)</w:t>
      </w:r>
    </w:p>
    <w:p w14:paraId="6E50F1F6" w14:textId="77777777" w:rsidR="00691D31" w:rsidRPr="00691D31" w:rsidRDefault="00691D31" w:rsidP="00691D31">
      <w:pPr>
        <w:keepNext/>
        <w:rPr>
          <w:lang w:val="en-GB"/>
        </w:rPr>
      </w:pPr>
      <w:r w:rsidRPr="00691D31">
        <w:rPr>
          <w:lang w:val="en-GB"/>
        </w:rPr>
        <w:t>where:</w:t>
      </w:r>
    </w:p>
    <w:p w14:paraId="325F6ADF" w14:textId="77777777" w:rsidR="00691D31" w:rsidRPr="00B04B73" w:rsidRDefault="00691D31" w:rsidP="00691D31">
      <w:pPr>
        <w:pStyle w:val="Equationlegend"/>
        <w:keepNext/>
      </w:pPr>
      <w:r w:rsidRPr="00B04B73">
        <w:rPr>
          <w:rFonts w:ascii="Symbol" w:hAnsi="Symbol"/>
        </w:rPr>
        <w:tab/>
      </w:r>
      <w:r w:rsidRPr="00B04B73">
        <w:rPr>
          <w:rFonts w:ascii="Symbol" w:hAnsi="Symbol"/>
        </w:rPr>
        <w:t></w:t>
      </w:r>
      <w:r w:rsidRPr="00B04B73">
        <w:rPr>
          <w:sz w:val="12"/>
        </w:rPr>
        <w:t> </w:t>
      </w:r>
      <w:r w:rsidRPr="00B04B73">
        <w:t>:</w:t>
      </w:r>
      <w:r w:rsidRPr="00B04B73">
        <w:tab/>
        <w:t>angle of rotation (rad)</w:t>
      </w:r>
    </w:p>
    <w:p w14:paraId="1193B446" w14:textId="77777777" w:rsidR="00691D31" w:rsidRPr="00B04B73" w:rsidRDefault="00691D31" w:rsidP="00691D31">
      <w:pPr>
        <w:pStyle w:val="Equationlegend"/>
        <w:keepNext/>
      </w:pPr>
      <w:r w:rsidRPr="00B04B73">
        <w:tab/>
      </w:r>
      <w:r w:rsidRPr="00B04B73">
        <w:rPr>
          <w:i/>
        </w:rPr>
        <w:t>B</w:t>
      </w:r>
      <w:r w:rsidRPr="00B04B73">
        <w:rPr>
          <w:i/>
          <w:vertAlign w:val="subscript"/>
        </w:rPr>
        <w:t>av</w:t>
      </w:r>
      <w:r w:rsidRPr="00B04B73">
        <w:rPr>
          <w:sz w:val="12"/>
        </w:rPr>
        <w:t> </w:t>
      </w:r>
      <w:r w:rsidRPr="00B04B73">
        <w:t>:</w:t>
      </w:r>
      <w:r w:rsidRPr="00B04B73">
        <w:tab/>
        <w:t xml:space="preserve">average Earth magnetic field (Wb </w:t>
      </w:r>
      <w:r w:rsidRPr="00B04B73">
        <w:sym w:font="Symbol" w:char="F0D7"/>
      </w:r>
      <w:r w:rsidRPr="00B04B73">
        <w:t xml:space="preserve"> m</w:t>
      </w:r>
      <w:r w:rsidRPr="00B04B73">
        <w:rPr>
          <w:vertAlign w:val="superscript"/>
        </w:rPr>
        <w:t xml:space="preserve">–2 </w:t>
      </w:r>
      <w:r w:rsidRPr="00B04B73">
        <w:t>or T)</w:t>
      </w:r>
    </w:p>
    <w:p w14:paraId="6A778AF0" w14:textId="77777777" w:rsidR="00691D31" w:rsidRPr="00B04B73" w:rsidRDefault="00691D31" w:rsidP="00691D31">
      <w:pPr>
        <w:pStyle w:val="Equationlegend"/>
      </w:pPr>
      <w:r w:rsidRPr="00B04B73">
        <w:tab/>
      </w:r>
      <w:r w:rsidRPr="00B04B73">
        <w:rPr>
          <w:i/>
        </w:rPr>
        <w:t>f</w:t>
      </w:r>
      <w:r w:rsidRPr="00B04B73">
        <w:rPr>
          <w:sz w:val="12"/>
        </w:rPr>
        <w:t> </w:t>
      </w:r>
      <w:r w:rsidRPr="00B04B73">
        <w:t>:</w:t>
      </w:r>
      <w:r w:rsidRPr="00B04B73">
        <w:tab/>
        <w:t>frequency (GHz)</w:t>
      </w:r>
    </w:p>
    <w:p w14:paraId="071A0B28" w14:textId="77777777" w:rsidR="00691D31" w:rsidRPr="00B04B73" w:rsidRDefault="00691D31" w:rsidP="00691D31">
      <w:pPr>
        <w:pStyle w:val="Equationlegend"/>
      </w:pPr>
      <w:r w:rsidRPr="00B04B73">
        <w:tab/>
      </w:r>
      <w:r w:rsidRPr="00B04B73">
        <w:rPr>
          <w:i/>
        </w:rPr>
        <w:t>N</w:t>
      </w:r>
      <w:r w:rsidRPr="00B04B73">
        <w:rPr>
          <w:i/>
          <w:vertAlign w:val="subscript"/>
        </w:rPr>
        <w:t>T</w:t>
      </w:r>
      <w:r w:rsidRPr="00B04B73">
        <w:rPr>
          <w:sz w:val="12"/>
        </w:rPr>
        <w:t> </w:t>
      </w:r>
      <w:r w:rsidRPr="00B04B73">
        <w:t>:</w:t>
      </w:r>
      <w:r w:rsidRPr="00B04B73">
        <w:tab/>
        <w:t xml:space="preserve">TEC (el </w:t>
      </w:r>
      <w:r w:rsidRPr="00B04B73">
        <w:sym w:font="Symbol" w:char="F0D7"/>
      </w:r>
      <w:r w:rsidRPr="00B04B73">
        <w:t xml:space="preserve"> m</w:t>
      </w:r>
      <w:r w:rsidRPr="00B04B73">
        <w:rPr>
          <w:vertAlign w:val="superscript"/>
        </w:rPr>
        <w:t>–2</w:t>
      </w:r>
      <w:r w:rsidRPr="00B04B73">
        <w:t>).</w:t>
      </w:r>
    </w:p>
    <w:p w14:paraId="0D2ABB93" w14:textId="77777777" w:rsidR="00691D31" w:rsidRPr="00691D31" w:rsidRDefault="00691D31" w:rsidP="00691D31">
      <w:pPr>
        <w:rPr>
          <w:lang w:val="en-GB"/>
        </w:rPr>
      </w:pPr>
      <w:r w:rsidRPr="00691D31">
        <w:rPr>
          <w:lang w:val="en-GB"/>
        </w:rPr>
        <w:t xml:space="preserve">If linear polarization is used, additional losses </w:t>
      </w:r>
      <w:r w:rsidRPr="00691D31">
        <w:rPr>
          <w:i/>
          <w:lang w:val="en-GB"/>
        </w:rPr>
        <w:t>L</w:t>
      </w:r>
      <w:r w:rsidRPr="00691D31">
        <w:rPr>
          <w:i/>
          <w:vertAlign w:val="subscript"/>
          <w:lang w:val="en-GB"/>
        </w:rPr>
        <w:t>F</w:t>
      </w:r>
      <w:r w:rsidRPr="00691D31">
        <w:rPr>
          <w:lang w:val="en-GB"/>
        </w:rPr>
        <w:t xml:space="preserve"> caused by Faraday rotation, </w:t>
      </w:r>
      <w:r w:rsidRPr="00B04B73">
        <w:rPr>
          <w:rFonts w:ascii="Symbol" w:hAnsi="Symbol"/>
        </w:rPr>
        <w:t></w:t>
      </w:r>
      <w:r w:rsidRPr="00691D31">
        <w:rPr>
          <w:lang w:val="en-GB"/>
        </w:rPr>
        <w:t xml:space="preserve"> (rad), can be calculated by the following equation:</w:t>
      </w:r>
    </w:p>
    <w:p w14:paraId="3B6AB92A" w14:textId="418FC15D" w:rsidR="00691D31" w:rsidRPr="00691D31" w:rsidRDefault="00691D31" w:rsidP="00691D31">
      <w:pPr>
        <w:pStyle w:val="Equation"/>
        <w:rPr>
          <w:lang w:val="en-GB"/>
        </w:rPr>
      </w:pPr>
      <w:r w:rsidRPr="00691D31">
        <w:rPr>
          <w:i/>
          <w:lang w:val="en-GB"/>
        </w:rPr>
        <w:tab/>
      </w:r>
      <w:r w:rsidRPr="00691D31">
        <w:rPr>
          <w:i/>
          <w:lang w:val="en-GB"/>
        </w:rPr>
        <w:tab/>
        <w:t>L</w:t>
      </w:r>
      <w:r w:rsidRPr="00691D31">
        <w:rPr>
          <w:i/>
          <w:vertAlign w:val="subscript"/>
          <w:lang w:val="en-GB"/>
        </w:rPr>
        <w:t>F</w:t>
      </w:r>
      <w:r w:rsidRPr="00691D31">
        <w:rPr>
          <w:i/>
          <w:lang w:val="en-GB"/>
        </w:rPr>
        <w:t xml:space="preserve"> = </w:t>
      </w:r>
      <w:r w:rsidRPr="00B04B73">
        <w:rPr>
          <w:iCs/>
        </w:rPr>
        <w:sym w:font="Symbol" w:char="F02D"/>
      </w:r>
      <w:r w:rsidRPr="00691D31">
        <w:rPr>
          <w:iCs/>
          <w:lang w:val="en-GB"/>
        </w:rPr>
        <w:t xml:space="preserve"> </w:t>
      </w:r>
      <w:r w:rsidRPr="00691D31">
        <w:rPr>
          <w:lang w:val="en-GB"/>
        </w:rPr>
        <w:t>20 log[cos (</w:t>
      </w:r>
      <w:r w:rsidRPr="00B04B73">
        <w:rPr>
          <w:rFonts w:ascii="Symbol" w:hAnsi="Symbol"/>
        </w:rPr>
        <w:t></w:t>
      </w:r>
      <w:r w:rsidRPr="00691D31">
        <w:rPr>
          <w:lang w:val="en-GB"/>
        </w:rPr>
        <w:t xml:space="preserve">)] </w:t>
      </w:r>
      <w:r w:rsidR="00DB5A74">
        <w:rPr>
          <w:rFonts w:eastAsia="Yu Mincho"/>
          <w:lang w:val="en-GB"/>
        </w:rPr>
        <w:t>        </w:t>
      </w:r>
      <w:r w:rsidRPr="00691D31">
        <w:rPr>
          <w:lang w:val="en-GB"/>
        </w:rPr>
        <w:t>(dB)</w:t>
      </w:r>
      <w:r w:rsidRPr="00691D31">
        <w:rPr>
          <w:lang w:val="en-GB"/>
        </w:rPr>
        <w:tab/>
        <w:t>(4)</w:t>
      </w:r>
    </w:p>
    <w:p w14:paraId="084E5408" w14:textId="77777777" w:rsidR="00691D31" w:rsidRPr="00691D31" w:rsidRDefault="00691D31" w:rsidP="00691D31">
      <w:pPr>
        <w:pStyle w:val="Heading3"/>
        <w:rPr>
          <w:rFonts w:eastAsia="Yu Mincho"/>
          <w:lang w:val="en-GB"/>
        </w:rPr>
      </w:pPr>
      <w:r w:rsidRPr="00691D31">
        <w:rPr>
          <w:bCs/>
          <w:lang w:val="en-GB"/>
        </w:rPr>
        <w:t>2.2.3</w:t>
      </w:r>
      <w:r w:rsidRPr="00691D31">
        <w:rPr>
          <w:bCs/>
          <w:lang w:val="en-GB"/>
        </w:rPr>
        <w:tab/>
        <w:t>S</w:t>
      </w:r>
      <w:r w:rsidRPr="00691D31">
        <w:rPr>
          <w:rFonts w:eastAsia="Yu Mincho"/>
          <w:lang w:val="en-GB"/>
        </w:rPr>
        <w:t>cintillation and absorption of radiowaves in the ionosphere</w:t>
      </w:r>
    </w:p>
    <w:p w14:paraId="3FFA6D3B" w14:textId="7CE81EE1" w:rsidR="00691D31" w:rsidRPr="00691D31" w:rsidRDefault="00691D31" w:rsidP="00691D31">
      <w:pPr>
        <w:rPr>
          <w:lang w:val="en-GB"/>
        </w:rPr>
      </w:pPr>
      <w:r w:rsidRPr="00691D31">
        <w:rPr>
          <w:lang w:val="en-GB"/>
        </w:rPr>
        <w:t xml:space="preserve">According to Recommendation ITU-R </w:t>
      </w:r>
      <w:r w:rsidRPr="00B04B73">
        <w:t>Р</w:t>
      </w:r>
      <w:r w:rsidRPr="00691D31">
        <w:rPr>
          <w:lang w:val="en-GB"/>
        </w:rPr>
        <w:t xml:space="preserve">.531-13 ionospheric scintillation on the path towards a satellite should be taken into account for frequencies lower than 3 GHz. Based on the existing data on absorption in the ionosphere contained in Recommendation ITU-R </w:t>
      </w:r>
      <w:r w:rsidRPr="00B04B73">
        <w:t>Р</w:t>
      </w:r>
      <w:r w:rsidRPr="00691D31">
        <w:rPr>
          <w:lang w:val="en-GB"/>
        </w:rPr>
        <w:t>.531-13 and the ITU-R Handbook on the ionosphere and its effects on radiowave propagation, it can be said that for equatorial and mid-latitude regions, radiowaves of frequencies above 70 MHz will assure penetration of the ionosphere without significant absorption. Measurements at middle latitudes indicate that, for a one-way traverse of the ionosphere at vertical incidence, the absorption at 30 MHz under normal conditions is typically 0.2 to 0.5 dB. During a solar flare, the absorption will increase but will be less than 5 dB. According to Table 1 in Recommendation ITU-R P.618, at mid-latitudes the atmospheric absorption of about 30° one-way transversal is less than 0.04 dB at 0.5 GHz, less than 0.01 dB at 1</w:t>
      </w:r>
      <w:r w:rsidR="00531F13">
        <w:rPr>
          <w:lang w:val="en-GB"/>
        </w:rPr>
        <w:t> </w:t>
      </w:r>
      <w:r w:rsidRPr="00691D31">
        <w:rPr>
          <w:lang w:val="en-GB"/>
        </w:rPr>
        <w:t>GHz and 3 GHz and less than 1 × 10</w:t>
      </w:r>
      <w:r w:rsidR="00531F13">
        <w:rPr>
          <w:vertAlign w:val="superscript"/>
          <w:lang w:val="en-GB"/>
        </w:rPr>
        <w:t>−</w:t>
      </w:r>
      <w:r w:rsidRPr="00691D31">
        <w:rPr>
          <w:vertAlign w:val="superscript"/>
          <w:lang w:val="en-GB"/>
        </w:rPr>
        <w:t>4</w:t>
      </w:r>
      <w:r w:rsidRPr="00691D31">
        <w:rPr>
          <w:lang w:val="en-GB"/>
        </w:rPr>
        <w:t xml:space="preserve"> dB at 10 GHz.</w:t>
      </w:r>
    </w:p>
    <w:p w14:paraId="053D3E5D" w14:textId="77777777" w:rsidR="00691D31" w:rsidRPr="00691D31" w:rsidRDefault="00691D31" w:rsidP="00691D31">
      <w:pPr>
        <w:rPr>
          <w:lang w:val="en-GB"/>
        </w:rPr>
      </w:pPr>
      <w:r w:rsidRPr="00691D31">
        <w:rPr>
          <w:lang w:val="en-GB"/>
        </w:rPr>
        <w:t>It can be concluded that on frequencies higher than 70 MHz scintillation and absorption losses are much lower than free-space basic transmission loss and can be neglected.</w:t>
      </w:r>
    </w:p>
    <w:p w14:paraId="198E25AB" w14:textId="77777777" w:rsidR="00691D31" w:rsidRPr="00691D31" w:rsidRDefault="00691D31" w:rsidP="00691D31">
      <w:pPr>
        <w:pStyle w:val="Heading3"/>
        <w:rPr>
          <w:lang w:val="en-GB"/>
        </w:rPr>
      </w:pPr>
      <w:r w:rsidRPr="00691D31">
        <w:rPr>
          <w:lang w:val="en-GB"/>
        </w:rPr>
        <w:t>2.2.4</w:t>
      </w:r>
      <w:r w:rsidRPr="00691D31">
        <w:rPr>
          <w:lang w:val="en-GB"/>
        </w:rPr>
        <w:tab/>
        <w:t>Back scatter from the Earth’s surface</w:t>
      </w:r>
    </w:p>
    <w:p w14:paraId="7D47C737" w14:textId="77777777" w:rsidR="00691D31" w:rsidRPr="00691D31" w:rsidRDefault="00691D31" w:rsidP="00691D31">
      <w:pPr>
        <w:rPr>
          <w:lang w:val="en-GB"/>
        </w:rPr>
      </w:pPr>
      <w:r w:rsidRPr="00691D31">
        <w:rPr>
          <w:lang w:val="en-GB"/>
        </w:rPr>
        <w:t>In addition, propagation paths should be considered which involve ground scatter or ground reflection. Until further information becomes available the following guidance can be given.</w:t>
      </w:r>
    </w:p>
    <w:p w14:paraId="45B28EBA" w14:textId="4478BF0F" w:rsidR="00691D31" w:rsidRPr="00691D31" w:rsidRDefault="00691D31" w:rsidP="00691D31">
      <w:pPr>
        <w:rPr>
          <w:lang w:val="en-GB"/>
        </w:rPr>
      </w:pPr>
      <w:r w:rsidRPr="00691D31">
        <w:rPr>
          <w:lang w:val="en-GB"/>
        </w:rPr>
        <w:t xml:space="preserve">In some cases, smooth surfaces with areas greater than 0.6 of the first Fresnel reflection zone may cause glints of good reflection with specular geometry. The signal in such cases may be determined from the e.i.r.p. in the appropriate direction, including the atmospheric attenuation loss due to two traverses of the troposphere for the slant angle involved, and assuming a reflection coefficient of </w:t>
      </w:r>
      <w:r w:rsidR="00531F13">
        <w:rPr>
          <w:lang w:val="en-GB"/>
        </w:rPr>
        <w:t>−</w:t>
      </w:r>
      <w:r w:rsidRPr="00691D31">
        <w:rPr>
          <w:lang w:val="en-GB"/>
        </w:rPr>
        <w:t>10</w:t>
      </w:r>
      <w:r w:rsidR="00531F13">
        <w:rPr>
          <w:lang w:val="en-GB"/>
        </w:rPr>
        <w:t> </w:t>
      </w:r>
      <w:r w:rsidRPr="00691D31">
        <w:rPr>
          <w:lang w:val="en-GB"/>
        </w:rPr>
        <w:t>dB (some</w:t>
      </w:r>
      <w:r w:rsidR="00531F13">
        <w:rPr>
          <w:lang w:val="en-GB"/>
        </w:rPr>
        <w:t xml:space="preserve"> </w:t>
      </w:r>
      <w:r w:rsidRPr="00691D31">
        <w:rPr>
          <w:lang w:val="en-GB"/>
        </w:rPr>
        <w:t>particular cases may have higher reflection coefficients).</w:t>
      </w:r>
    </w:p>
    <w:p w14:paraId="6E1A5840" w14:textId="6209DFCF" w:rsidR="00691D31" w:rsidRPr="00691D31" w:rsidRDefault="00691D31" w:rsidP="00691D31">
      <w:pPr>
        <w:rPr>
          <w:lang w:val="en-GB"/>
        </w:rPr>
      </w:pPr>
      <w:r w:rsidRPr="00691D31">
        <w:rPr>
          <w:lang w:val="en-GB"/>
        </w:rPr>
        <w:t>More generally</w:t>
      </w:r>
      <w:r w:rsidR="00531F13">
        <w:rPr>
          <w:lang w:val="en-GB"/>
        </w:rPr>
        <w:t>,</w:t>
      </w:r>
      <w:r w:rsidRPr="00691D31">
        <w:rPr>
          <w:lang w:val="en-GB"/>
        </w:rPr>
        <w:t xml:space="preserve"> the Earth’s surface may be considered as rough. In this case, it may be appropriate to assume radiation from the area wholly illuminated by the beam from the platform station into the half-space above the Earth’s surface, again with a typical scatter coefficient of </w:t>
      </w:r>
      <w:r w:rsidR="00531F13">
        <w:rPr>
          <w:lang w:val="en-GB"/>
        </w:rPr>
        <w:t>−</w:t>
      </w:r>
      <w:r w:rsidRPr="00691D31">
        <w:rPr>
          <w:lang w:val="en-GB"/>
        </w:rPr>
        <w:t>10 dB, i.e. assume a</w:t>
      </w:r>
      <w:r w:rsidR="00531F13">
        <w:rPr>
          <w:lang w:val="en-GB"/>
        </w:rPr>
        <w:t xml:space="preserve"> </w:t>
      </w:r>
      <w:r w:rsidRPr="00691D31">
        <w:rPr>
          <w:lang w:val="en-GB"/>
        </w:rPr>
        <w:t xml:space="preserve">source on the Earth’s surface radiating isotropically with a power given by: the actual transmitter power, reduced by the atmospheric attenuation loss due to the two traverses of the troposphere for </w:t>
      </w:r>
      <w:r w:rsidRPr="00691D31">
        <w:rPr>
          <w:lang w:val="en-GB"/>
        </w:rPr>
        <w:lastRenderedPageBreak/>
        <w:t>the slant angles involved, further reduced by 10 dB for the reflection coefficient, and then increased by 3 dB since the radiation is only into a half space. (See Recommendation ITU-R P.680-3 for further information on sea reflection.)</w:t>
      </w:r>
    </w:p>
    <w:p w14:paraId="03B8718F" w14:textId="77777777" w:rsidR="00691D31" w:rsidRPr="00691D31" w:rsidRDefault="00691D31" w:rsidP="00691D31">
      <w:pPr>
        <w:pStyle w:val="Heading2"/>
        <w:rPr>
          <w:lang w:val="en-GB"/>
        </w:rPr>
      </w:pPr>
      <w:r w:rsidRPr="00691D31">
        <w:rPr>
          <w:lang w:val="en-GB"/>
        </w:rPr>
        <w:t>2.3</w:t>
      </w:r>
      <w:r w:rsidRPr="00691D31">
        <w:rPr>
          <w:lang w:val="en-GB"/>
        </w:rPr>
        <w:tab/>
        <w:t>Between high-altitude stations and stations in atmosphere</w:t>
      </w:r>
    </w:p>
    <w:p w14:paraId="55E93A6A" w14:textId="77777777" w:rsidR="00691D31" w:rsidRPr="00691D31" w:rsidRDefault="00691D31" w:rsidP="00691D31">
      <w:pPr>
        <w:rPr>
          <w:spacing w:val="-2"/>
          <w:lang w:val="en-GB"/>
        </w:rPr>
      </w:pPr>
      <w:r w:rsidRPr="00691D31">
        <w:rPr>
          <w:lang w:val="en-GB"/>
        </w:rPr>
        <w:t xml:space="preserve">For these propagation paths, </w:t>
      </w:r>
      <w:r w:rsidRPr="00691D31">
        <w:rPr>
          <w:spacing w:val="-2"/>
          <w:lang w:val="en-GB"/>
        </w:rPr>
        <w:t xml:space="preserve">the following </w:t>
      </w:r>
      <w:r w:rsidRPr="00691D31">
        <w:rPr>
          <w:lang w:val="en-GB"/>
        </w:rPr>
        <w:t>mechanisms and effects should be considered:</w:t>
      </w:r>
    </w:p>
    <w:p w14:paraId="6F72C893" w14:textId="77777777" w:rsidR="00691D31" w:rsidRPr="00691D31" w:rsidRDefault="00691D31" w:rsidP="00691D31">
      <w:pPr>
        <w:pStyle w:val="enumlev1"/>
        <w:rPr>
          <w:lang w:val="en-GB"/>
        </w:rPr>
      </w:pPr>
      <w:r w:rsidRPr="00691D31">
        <w:rPr>
          <w:lang w:val="en-GB"/>
        </w:rPr>
        <w:t>–</w:t>
      </w:r>
      <w:r w:rsidRPr="00691D31">
        <w:rPr>
          <w:lang w:val="en-GB"/>
        </w:rPr>
        <w:tab/>
        <w:t>free-space basic transmission loss;</w:t>
      </w:r>
    </w:p>
    <w:p w14:paraId="2185A7F7" w14:textId="77777777" w:rsidR="00691D31" w:rsidRPr="00691D31" w:rsidRDefault="00691D31" w:rsidP="00691D31">
      <w:pPr>
        <w:pStyle w:val="enumlev1"/>
        <w:rPr>
          <w:lang w:val="en-GB"/>
        </w:rPr>
      </w:pPr>
      <w:r w:rsidRPr="00691D31">
        <w:rPr>
          <w:lang w:val="en-GB"/>
        </w:rPr>
        <w:t>–</w:t>
      </w:r>
      <w:r w:rsidRPr="00691D31">
        <w:rPr>
          <w:lang w:val="en-GB"/>
        </w:rPr>
        <w:tab/>
        <w:t>diffraction;</w:t>
      </w:r>
    </w:p>
    <w:p w14:paraId="1F896C40" w14:textId="77777777" w:rsidR="00691D31" w:rsidRPr="00691D31" w:rsidRDefault="00691D31" w:rsidP="00691D31">
      <w:pPr>
        <w:pStyle w:val="enumlev1"/>
        <w:rPr>
          <w:lang w:val="en-GB"/>
        </w:rPr>
      </w:pPr>
      <w:r w:rsidRPr="00691D31">
        <w:rPr>
          <w:lang w:val="en-GB"/>
        </w:rPr>
        <w:t>–</w:t>
      </w:r>
      <w:r w:rsidRPr="00691D31">
        <w:rPr>
          <w:lang w:val="en-GB"/>
        </w:rPr>
        <w:tab/>
        <w:t>tropospheric scintillation;</w:t>
      </w:r>
    </w:p>
    <w:p w14:paraId="760A8B98" w14:textId="77777777" w:rsidR="00691D31" w:rsidRPr="00691D31" w:rsidRDefault="00691D31" w:rsidP="00691D31">
      <w:pPr>
        <w:pStyle w:val="enumlev1"/>
        <w:rPr>
          <w:lang w:val="en-GB"/>
        </w:rPr>
      </w:pPr>
      <w:r w:rsidRPr="00691D31">
        <w:rPr>
          <w:lang w:val="en-GB"/>
        </w:rPr>
        <w:t>–</w:t>
      </w:r>
      <w:r w:rsidRPr="00691D31">
        <w:rPr>
          <w:lang w:val="en-GB"/>
        </w:rPr>
        <w:tab/>
        <w:t>attenuation by atmospheric gases.</w:t>
      </w:r>
    </w:p>
    <w:p w14:paraId="0D9A36D7" w14:textId="77777777" w:rsidR="00691D31" w:rsidRPr="00691D31" w:rsidRDefault="00691D31" w:rsidP="00691D31">
      <w:pPr>
        <w:rPr>
          <w:spacing w:val="-2"/>
          <w:lang w:val="en-GB"/>
        </w:rPr>
      </w:pPr>
      <w:r w:rsidRPr="00691D31">
        <w:rPr>
          <w:spacing w:val="-2"/>
          <w:lang w:val="en-GB"/>
        </w:rPr>
        <w:t xml:space="preserve">For the prediction of basic transmission loss in the frequency range 100 MHz to 30 GHz, the method of Recommendation ITU-R P.528 should be used, with attention to </w:t>
      </w:r>
      <w:r w:rsidRPr="00691D31">
        <w:rPr>
          <w:i/>
          <w:iCs/>
          <w:spacing w:val="-2"/>
          <w:lang w:val="en-GB"/>
        </w:rPr>
        <w:t>recommends</w:t>
      </w:r>
      <w:r w:rsidRPr="00691D31">
        <w:rPr>
          <w:spacing w:val="-2"/>
          <w:lang w:val="en-GB"/>
        </w:rPr>
        <w:t xml:space="preserve"> 2 of the Recommendation.</w:t>
      </w:r>
    </w:p>
    <w:p w14:paraId="703689E1" w14:textId="023C0F8D" w:rsidR="00691D31" w:rsidRPr="00691D31" w:rsidRDefault="00691D31" w:rsidP="00691D31">
      <w:pPr>
        <w:rPr>
          <w:szCs w:val="22"/>
          <w:lang w:val="en-GB"/>
        </w:rPr>
      </w:pPr>
      <w:r w:rsidRPr="00691D31">
        <w:rPr>
          <w:szCs w:val="22"/>
          <w:lang w:val="en-GB"/>
        </w:rPr>
        <w:t>Variations in refractive index caused by atmospheric turbulence can cause spatial and temporal fades and enhancements in signal strength. The physical process consists of alternating focus</w:t>
      </w:r>
      <w:r w:rsidR="001E6D77">
        <w:rPr>
          <w:szCs w:val="22"/>
          <w:lang w:val="en-GB"/>
        </w:rPr>
        <w:t>s</w:t>
      </w:r>
      <w:r w:rsidRPr="00691D31">
        <w:rPr>
          <w:szCs w:val="22"/>
          <w:lang w:val="en-GB"/>
        </w:rPr>
        <w:t xml:space="preserve">ing and defocusing of a radio wave. The strength of these scintillations correlates well with the wet term of the atmospheric refractive index, which is related to water-vapour density. Calculation of losses due to tropospheric scintillation should be performed using the methodology provided in </w:t>
      </w:r>
      <w:r w:rsidR="001E6D77">
        <w:rPr>
          <w:szCs w:val="22"/>
          <w:lang w:val="en-GB"/>
        </w:rPr>
        <w:t>§</w:t>
      </w:r>
      <w:r w:rsidRPr="00691D31">
        <w:rPr>
          <w:szCs w:val="22"/>
          <w:lang w:val="en-GB"/>
        </w:rPr>
        <w:t xml:space="preserve"> 2.5.2 of Recommendation ITU-R </w:t>
      </w:r>
      <w:r w:rsidRPr="00573032">
        <w:rPr>
          <w:szCs w:val="22"/>
        </w:rPr>
        <w:t>Р</w:t>
      </w:r>
      <w:r w:rsidRPr="00691D31">
        <w:rPr>
          <w:szCs w:val="22"/>
          <w:lang w:val="en-GB"/>
        </w:rPr>
        <w:t>.619-4.</w:t>
      </w:r>
    </w:p>
    <w:p w14:paraId="77546A48" w14:textId="77777777" w:rsidR="00691D31" w:rsidRPr="00691D31" w:rsidRDefault="00691D31" w:rsidP="00691D31">
      <w:pPr>
        <w:pStyle w:val="Heading1"/>
        <w:rPr>
          <w:lang w:val="en-GB"/>
        </w:rPr>
      </w:pPr>
      <w:r w:rsidRPr="00691D31">
        <w:rPr>
          <w:lang w:val="en-GB"/>
        </w:rPr>
        <w:t>3</w:t>
      </w:r>
      <w:r w:rsidRPr="00691D31">
        <w:rPr>
          <w:lang w:val="en-GB"/>
        </w:rPr>
        <w:tab/>
        <w:t>The propagation prediction methods for the design of systems using high-altitude stations</w:t>
      </w:r>
    </w:p>
    <w:p w14:paraId="7C7E3B92" w14:textId="77777777" w:rsidR="00691D31" w:rsidRPr="00691D31" w:rsidRDefault="00691D31" w:rsidP="00691D31">
      <w:pPr>
        <w:rPr>
          <w:lang w:val="en-GB"/>
        </w:rPr>
      </w:pPr>
      <w:r w:rsidRPr="00691D31">
        <w:rPr>
          <w:lang w:val="en-GB"/>
        </w:rPr>
        <w:t>The method of Recommendation ITU-R P.618 should be used, noting that effects due to the ionosphere will not apply.</w:t>
      </w:r>
    </w:p>
    <w:p w14:paraId="11C05424" w14:textId="3018FB1C" w:rsidR="00691D31" w:rsidRPr="00691D31" w:rsidRDefault="00691D31" w:rsidP="00691D31">
      <w:pPr>
        <w:rPr>
          <w:lang w:val="en-GB"/>
        </w:rPr>
      </w:pPr>
      <w:r w:rsidRPr="00691D31">
        <w:rPr>
          <w:lang w:val="en-GB"/>
        </w:rPr>
        <w:t>If terrestrial stations are in environments where vegetation loss is present, the method described in Recommendation ITU-R P.833 should be used. The applicable areas and types of vegetation are limited to those described in Recommendation ITU-R P.833.</w:t>
      </w:r>
    </w:p>
    <w:p w14:paraId="1A68A58C" w14:textId="77777777" w:rsidR="00691D31" w:rsidRPr="00691D31" w:rsidRDefault="00691D31" w:rsidP="00691D31">
      <w:pPr>
        <w:rPr>
          <w:spacing w:val="-2"/>
          <w:lang w:val="en-GB"/>
        </w:rPr>
      </w:pPr>
      <w:r w:rsidRPr="00691D31">
        <w:rPr>
          <w:spacing w:val="-2"/>
          <w:lang w:val="en-GB"/>
        </w:rPr>
        <w:t xml:space="preserve">If terrestrial stations are in environments where human shielding loss is present, the following method should be used to calculate the human shielding loss. Note that the human shielding loss includes the contribution of multi-paths, such as reflection(s) and/or diffraction(s), caused by surrounding environments. </w:t>
      </w:r>
    </w:p>
    <w:p w14:paraId="3BA3B5BD" w14:textId="77777777" w:rsidR="00691D31" w:rsidRPr="00691D31" w:rsidRDefault="00691D31" w:rsidP="00691D31">
      <w:pPr>
        <w:pStyle w:val="enumlev1"/>
        <w:rPr>
          <w:lang w:val="en-GB"/>
        </w:rPr>
      </w:pPr>
      <w:r w:rsidRPr="00691D31">
        <w:rPr>
          <w:lang w:val="en-GB"/>
        </w:rPr>
        <w:t>The human shielding loss model is provided for the following four cases:</w:t>
      </w:r>
    </w:p>
    <w:p w14:paraId="127FF140" w14:textId="77777777" w:rsidR="00691D31" w:rsidRPr="00691D31" w:rsidRDefault="00691D31" w:rsidP="00691D31">
      <w:pPr>
        <w:pStyle w:val="enumlev1"/>
        <w:rPr>
          <w:lang w:val="en-GB"/>
        </w:rPr>
      </w:pPr>
      <w:r w:rsidRPr="00691D31">
        <w:rPr>
          <w:lang w:val="en-GB" w:eastAsia="ja-JP"/>
        </w:rPr>
        <w:t>i)</w:t>
      </w:r>
      <w:r w:rsidRPr="00691D31">
        <w:rPr>
          <w:lang w:val="en-GB" w:eastAsia="ja-JP"/>
        </w:rPr>
        <w:tab/>
        <w:t>Human shielding loss at LOS or rural environments when the antenna is at head height,</w:t>
      </w:r>
    </w:p>
    <w:p w14:paraId="5156D2B4" w14:textId="77777777" w:rsidR="00691D31" w:rsidRPr="00691D31" w:rsidRDefault="00691D31" w:rsidP="00691D31">
      <w:pPr>
        <w:pStyle w:val="enumlev1"/>
        <w:rPr>
          <w:lang w:val="en-GB"/>
        </w:rPr>
      </w:pPr>
      <w:r w:rsidRPr="00691D31">
        <w:rPr>
          <w:lang w:val="en-GB" w:eastAsia="ja-JP"/>
        </w:rPr>
        <w:t>ii)</w:t>
      </w:r>
      <w:r w:rsidRPr="00691D31">
        <w:rPr>
          <w:lang w:val="en-GB" w:eastAsia="ja-JP"/>
        </w:rPr>
        <w:tab/>
        <w:t>Human shielding loss at urban or suburban environments when the antenna is at head height,</w:t>
      </w:r>
    </w:p>
    <w:p w14:paraId="0ADE34E9" w14:textId="77777777" w:rsidR="00691D31" w:rsidRPr="00691D31" w:rsidRDefault="00691D31" w:rsidP="00691D31">
      <w:pPr>
        <w:pStyle w:val="enumlev1"/>
        <w:rPr>
          <w:lang w:val="en-GB"/>
        </w:rPr>
      </w:pPr>
      <w:r w:rsidRPr="00691D31">
        <w:rPr>
          <w:lang w:val="en-GB" w:eastAsia="ja-JP"/>
        </w:rPr>
        <w:t>iii)</w:t>
      </w:r>
      <w:r w:rsidRPr="00691D31">
        <w:rPr>
          <w:lang w:val="en-GB" w:eastAsia="ja-JP"/>
        </w:rPr>
        <w:tab/>
        <w:t>Human shielding loss at LOS or rural environments when the antenna is at chest height,</w:t>
      </w:r>
    </w:p>
    <w:p w14:paraId="09A0893E" w14:textId="77777777" w:rsidR="00691D31" w:rsidRPr="00691D31" w:rsidRDefault="00691D31" w:rsidP="00691D31">
      <w:pPr>
        <w:pStyle w:val="enumlev1"/>
        <w:rPr>
          <w:lang w:val="en-GB"/>
        </w:rPr>
      </w:pPr>
      <w:r w:rsidRPr="00691D31">
        <w:rPr>
          <w:lang w:val="en-GB" w:eastAsia="ja-JP"/>
        </w:rPr>
        <w:t>iv)</w:t>
      </w:r>
      <w:r w:rsidRPr="00691D31">
        <w:rPr>
          <w:lang w:val="en-GB" w:eastAsia="ja-JP"/>
        </w:rPr>
        <w:tab/>
        <w:t>Human shielding loss at urban or suburban environments when the antenna is at chest height.</w:t>
      </w:r>
    </w:p>
    <w:p w14:paraId="6EBDC4A5" w14:textId="77777777" w:rsidR="00691D31" w:rsidRPr="00691D31" w:rsidRDefault="00691D31" w:rsidP="00691D31">
      <w:pPr>
        <w:pStyle w:val="enumlev1"/>
        <w:rPr>
          <w:lang w:val="en-GB" w:eastAsia="ja-JP"/>
        </w:rPr>
      </w:pPr>
      <w:r w:rsidRPr="00691D31">
        <w:rPr>
          <w:lang w:val="en-GB"/>
        </w:rPr>
        <w:t xml:space="preserve">The relevant parameters for </w:t>
      </w:r>
      <w:r w:rsidRPr="00691D31">
        <w:rPr>
          <w:lang w:val="en-GB" w:eastAsia="ja-JP"/>
        </w:rPr>
        <w:t>each</w:t>
      </w:r>
      <w:r w:rsidRPr="00691D31">
        <w:rPr>
          <w:lang w:val="en-GB"/>
        </w:rPr>
        <w:t xml:space="preserve"> situation are</w:t>
      </w:r>
      <w:r w:rsidRPr="00691D31">
        <w:rPr>
          <w:lang w:val="en-GB" w:eastAsia="ja-JP"/>
        </w:rPr>
        <w:t xml:space="preserve"> given as follows:</w:t>
      </w:r>
    </w:p>
    <w:p w14:paraId="012DE5D5" w14:textId="3B03E487" w:rsidR="00691D31" w:rsidRPr="00B04B73" w:rsidRDefault="00691D31" w:rsidP="00691D31">
      <w:pPr>
        <w:pStyle w:val="Equationlegend"/>
      </w:pPr>
      <w:r w:rsidRPr="00B04B73">
        <w:rPr>
          <w:i/>
        </w:rPr>
        <w:tab/>
      </w:r>
      <w:r w:rsidRPr="00B04B73">
        <w:rPr>
          <w:i/>
          <w:iCs/>
        </w:rPr>
        <w:t>f</w:t>
      </w:r>
      <w:r w:rsidRPr="00B04B73">
        <w:t xml:space="preserve">: </w:t>
      </w:r>
      <w:r>
        <w:tab/>
      </w:r>
      <w:r w:rsidRPr="00B04B73">
        <w:t>Frequency (GHz)</w:t>
      </w:r>
    </w:p>
    <w:p w14:paraId="58D6C178" w14:textId="22A9140C" w:rsidR="00691D31" w:rsidRPr="00B04B73" w:rsidRDefault="00691D31" w:rsidP="00691D31">
      <w:pPr>
        <w:pStyle w:val="Equationlegend"/>
      </w:pPr>
      <w:r w:rsidRPr="00B04B73">
        <w:rPr>
          <w:i/>
        </w:rPr>
        <w:tab/>
      </w:r>
      <w:r w:rsidR="009B2EC6">
        <w:rPr>
          <w:lang w:val="en-GB"/>
        </w:rPr>
        <w:t>φ</w:t>
      </w:r>
      <w:r w:rsidRPr="00B04B73">
        <w:rPr>
          <w:i/>
          <w:iCs/>
        </w:rPr>
        <w:t>:</w:t>
      </w:r>
      <w:r w:rsidRPr="00B04B73">
        <w:t xml:space="preserve"> </w:t>
      </w:r>
      <w:r w:rsidRPr="00B04B73">
        <w:tab/>
        <w:t>Azimuth angle (the acute angle between the direction of the HAPS and the direction of the road) (deg</w:t>
      </w:r>
      <w:r>
        <w:t>ree</w:t>
      </w:r>
      <w:r w:rsidRPr="00B04B73">
        <w:t>)</w:t>
      </w:r>
    </w:p>
    <w:p w14:paraId="41C8EF10" w14:textId="37F08CD1" w:rsidR="00691D31" w:rsidRPr="00B04B73" w:rsidRDefault="00691D31" w:rsidP="00691D31">
      <w:pPr>
        <w:pStyle w:val="Equationlegend"/>
      </w:pPr>
      <w:r w:rsidRPr="00B04B73">
        <w:rPr>
          <w:rFonts w:ascii="Symbol" w:hAnsi="Symbol"/>
          <w:iCs/>
        </w:rPr>
        <w:tab/>
      </w:r>
      <w:r w:rsidRPr="004C7E94">
        <w:rPr>
          <w:rFonts w:ascii="Symbol" w:hAnsi="Symbol"/>
        </w:rPr>
        <w:t></w:t>
      </w:r>
      <w:r w:rsidRPr="00B04B73">
        <w:rPr>
          <w:i/>
          <w:iCs/>
          <w:vertAlign w:val="subscript"/>
        </w:rPr>
        <w:t>a</w:t>
      </w:r>
      <w:r w:rsidRPr="00B04B73">
        <w:t xml:space="preserve">: </w:t>
      </w:r>
      <w:r w:rsidRPr="00B04B73">
        <w:tab/>
        <w:t>Elevation angle of arrival path direction (deg</w:t>
      </w:r>
      <w:r>
        <w:t>ree</w:t>
      </w:r>
      <w:r w:rsidRPr="00B04B73">
        <w:t>)</w:t>
      </w:r>
    </w:p>
    <w:p w14:paraId="54880F47" w14:textId="06BD5EC7" w:rsidR="00691D31" w:rsidRPr="00B04B73" w:rsidRDefault="00691D31" w:rsidP="00691D31">
      <w:pPr>
        <w:pStyle w:val="Equationlegend"/>
      </w:pPr>
      <w:r w:rsidRPr="00B04B73">
        <w:rPr>
          <w:i/>
        </w:rPr>
        <w:tab/>
      </w:r>
      <w:r w:rsidRPr="00B04B73">
        <w:rPr>
          <w:i/>
          <w:iCs/>
        </w:rPr>
        <w:t>h</w:t>
      </w:r>
      <w:r w:rsidRPr="00B04B73">
        <w:rPr>
          <w:i/>
          <w:iCs/>
          <w:vertAlign w:val="subscript"/>
        </w:rPr>
        <w:t>S</w:t>
      </w:r>
      <w:r w:rsidRPr="00B04B73">
        <w:t xml:space="preserve">: </w:t>
      </w:r>
      <w:r w:rsidRPr="00B04B73">
        <w:tab/>
        <w:t>Average building heights (m)</w:t>
      </w:r>
    </w:p>
    <w:p w14:paraId="02BF082A" w14:textId="77777777" w:rsidR="00691D31" w:rsidRPr="00B04B73" w:rsidRDefault="00691D31" w:rsidP="00691D31">
      <w:pPr>
        <w:pStyle w:val="Equationlegend"/>
      </w:pPr>
      <w:r w:rsidRPr="00B04B73">
        <w:rPr>
          <w:i/>
        </w:rPr>
        <w:lastRenderedPageBreak/>
        <w:tab/>
        <w:t>P</w:t>
      </w:r>
      <w:r w:rsidRPr="00B04B73">
        <w:t xml:space="preserve">: </w:t>
      </w:r>
      <w:r w:rsidRPr="00B04B73">
        <w:tab/>
        <w:t>Percentage of angles at which the human shielding loss does not exceed</w:t>
      </w:r>
      <w:r w:rsidRPr="00B04B73">
        <w:rPr>
          <w:i/>
          <w:iCs/>
        </w:rPr>
        <w:t xml:space="preserve"> Lhsl</w:t>
      </w:r>
      <w:r w:rsidRPr="00B04B73">
        <w:t xml:space="preserve"> when the human body is rotated 360 degrees (%).</w:t>
      </w:r>
    </w:p>
    <w:p w14:paraId="75A8DFEA" w14:textId="77777777" w:rsidR="00691D31" w:rsidRPr="00691D31" w:rsidRDefault="00691D31" w:rsidP="00691D31">
      <w:pPr>
        <w:rPr>
          <w:lang w:val="en-GB" w:eastAsia="zh-CN"/>
        </w:rPr>
      </w:pPr>
      <w:r w:rsidRPr="00691D31">
        <w:rPr>
          <w:lang w:val="en-GB" w:eastAsia="zh-CN"/>
        </w:rPr>
        <w:t>Here, this model is valid for the following:</w:t>
      </w:r>
    </w:p>
    <w:p w14:paraId="6AA2F7BD" w14:textId="2BCC5125" w:rsidR="00691D31" w:rsidRPr="00B04B73" w:rsidRDefault="00691D31" w:rsidP="00691D31">
      <w:pPr>
        <w:pStyle w:val="Equationlegend"/>
        <w:rPr>
          <w:lang w:eastAsia="ja-JP"/>
        </w:rPr>
      </w:pPr>
      <w:r w:rsidRPr="00B04B73">
        <w:rPr>
          <w:i/>
        </w:rPr>
        <w:tab/>
        <w:t>f</w:t>
      </w:r>
      <w:r w:rsidRPr="00B04B73">
        <w:rPr>
          <w:i/>
          <w:iCs/>
        </w:rPr>
        <w:t>:</w:t>
      </w:r>
      <w:r w:rsidRPr="00B04B73">
        <w:t xml:space="preserve"> </w:t>
      </w:r>
      <w:r w:rsidRPr="00B04B73">
        <w:tab/>
      </w:r>
      <w:r w:rsidRPr="00B04B73">
        <w:rPr>
          <w:lang w:eastAsia="ja-JP"/>
        </w:rPr>
        <w:t xml:space="preserve">0.7 to 3.35 </w:t>
      </w:r>
      <w:r w:rsidRPr="00B04B73">
        <w:t>GHz</w:t>
      </w:r>
    </w:p>
    <w:p w14:paraId="0906F571" w14:textId="2B3C9F39" w:rsidR="00691D31" w:rsidRPr="00B04B73" w:rsidRDefault="00691D31" w:rsidP="00691D31">
      <w:pPr>
        <w:pStyle w:val="Equationlegend"/>
      </w:pPr>
      <w:r w:rsidRPr="00B04B73">
        <w:rPr>
          <w:i/>
        </w:rPr>
        <w:tab/>
      </w:r>
      <w:r w:rsidR="009B2EC6">
        <w:rPr>
          <w:lang w:val="en-GB"/>
        </w:rPr>
        <w:t>φ</w:t>
      </w:r>
      <w:r w:rsidRPr="00B04B73">
        <w:rPr>
          <w:i/>
          <w:iCs/>
        </w:rPr>
        <w:t>:</w:t>
      </w:r>
      <w:r w:rsidRPr="00B04B73">
        <w:t xml:space="preserve"> </w:t>
      </w:r>
      <w:r w:rsidRPr="00B04B73">
        <w:tab/>
        <w:t>0 to 90 degrees</w:t>
      </w:r>
    </w:p>
    <w:p w14:paraId="6B02931D" w14:textId="1D860FFF" w:rsidR="00691D31" w:rsidRPr="00B04B73" w:rsidRDefault="00691D31" w:rsidP="00691D31">
      <w:pPr>
        <w:pStyle w:val="Equationlegend"/>
      </w:pPr>
      <w:r w:rsidRPr="00B04B73">
        <w:rPr>
          <w:rFonts w:ascii="Symbol" w:hAnsi="Symbol"/>
          <w:iCs/>
        </w:rPr>
        <w:tab/>
      </w:r>
      <w:r w:rsidRPr="00A17400">
        <w:rPr>
          <w:rFonts w:ascii="Symbol" w:hAnsi="Symbol"/>
        </w:rPr>
        <w:t></w:t>
      </w:r>
      <w:r w:rsidRPr="00B04B73">
        <w:rPr>
          <w:i/>
          <w:iCs/>
          <w:vertAlign w:val="subscript"/>
        </w:rPr>
        <w:t>a</w:t>
      </w:r>
      <w:r w:rsidRPr="00B04B73">
        <w:t xml:space="preserve">: </w:t>
      </w:r>
      <w:r w:rsidRPr="00B04B73">
        <w:tab/>
        <w:t>0 to 75 degrees</w:t>
      </w:r>
    </w:p>
    <w:p w14:paraId="5CD2C009" w14:textId="3AEEF644" w:rsidR="00691D31" w:rsidRPr="00B04B73" w:rsidRDefault="00691D31" w:rsidP="00691D31">
      <w:pPr>
        <w:pStyle w:val="Equationlegend"/>
      </w:pPr>
      <w:r w:rsidRPr="00B04B73">
        <w:rPr>
          <w:i/>
        </w:rPr>
        <w:tab/>
      </w:r>
      <w:r w:rsidRPr="00B04B73">
        <w:rPr>
          <w:i/>
          <w:iCs/>
        </w:rPr>
        <w:t>h</w:t>
      </w:r>
      <w:r w:rsidRPr="00B04B73">
        <w:rPr>
          <w:i/>
          <w:iCs/>
          <w:vertAlign w:val="subscript"/>
        </w:rPr>
        <w:t>S</w:t>
      </w:r>
      <w:r w:rsidRPr="00B04B73">
        <w:t xml:space="preserve">: </w:t>
      </w:r>
      <w:r w:rsidRPr="00B04B73">
        <w:tab/>
        <w:t>5 to 30 m</w:t>
      </w:r>
    </w:p>
    <w:p w14:paraId="1C1E06E4" w14:textId="0FFDB143" w:rsidR="00691D31" w:rsidRPr="00B04B73" w:rsidRDefault="00691D31" w:rsidP="00691D31">
      <w:pPr>
        <w:pStyle w:val="Equationlegend"/>
      </w:pPr>
      <w:r w:rsidRPr="00B04B73">
        <w:rPr>
          <w:i/>
        </w:rPr>
        <w:tab/>
        <w:t>P</w:t>
      </w:r>
      <w:r w:rsidRPr="00B04B73">
        <w:t xml:space="preserve">: </w:t>
      </w:r>
      <w:r w:rsidRPr="00B04B73">
        <w:tab/>
      </w:r>
      <w:r w:rsidRPr="00B04B73">
        <w:rPr>
          <w:szCs w:val="24"/>
          <w:lang w:eastAsia="ja-JP"/>
        </w:rPr>
        <w:t xml:space="preserve">0 to </w:t>
      </w:r>
      <w:r w:rsidRPr="006815C3">
        <w:t>100</w:t>
      </w:r>
      <w:r w:rsidRPr="00B04B73">
        <w:t>%.</w:t>
      </w:r>
    </w:p>
    <w:p w14:paraId="46FB28B4" w14:textId="3E51863A" w:rsidR="00691D31" w:rsidRPr="00691D31" w:rsidRDefault="00691D31" w:rsidP="00691D31">
      <w:pPr>
        <w:rPr>
          <w:lang w:val="en-GB" w:eastAsia="zh-CN"/>
        </w:rPr>
      </w:pPr>
      <w:r w:rsidRPr="00691D31">
        <w:rPr>
          <w:lang w:val="en-GB" w:eastAsia="zh-CN"/>
        </w:rPr>
        <w:t xml:space="preserve">The human shielding loss for the four cases </w:t>
      </w:r>
      <w:r w:rsidR="00A40D99">
        <w:rPr>
          <w:lang w:val="en-GB" w:eastAsia="zh-CN"/>
        </w:rPr>
        <w:t>is</w:t>
      </w:r>
      <w:r w:rsidRPr="00691D31">
        <w:rPr>
          <w:lang w:val="en-GB" w:eastAsia="zh-CN"/>
        </w:rPr>
        <w:t xml:space="preserve"> given by:</w:t>
      </w:r>
    </w:p>
    <w:p w14:paraId="2C554CFF" w14:textId="2D29081C" w:rsidR="00691D31" w:rsidRPr="00691D31" w:rsidRDefault="00691D31" w:rsidP="00691D31">
      <w:pPr>
        <w:pStyle w:val="Equation"/>
        <w:rPr>
          <w:lang w:val="en-GB"/>
        </w:rPr>
      </w:pPr>
      <w:r w:rsidRPr="00691D31">
        <w:rPr>
          <w:lang w:val="en-GB"/>
        </w:rPr>
        <w:tab/>
      </w:r>
      <w:r w:rsidRPr="00691D31">
        <w:rPr>
          <w:lang w:val="en-GB"/>
        </w:rPr>
        <w:tab/>
      </w:r>
      <w:r w:rsidRPr="00691D31">
        <w:rPr>
          <w:i/>
          <w:iCs/>
          <w:lang w:val="en-GB"/>
        </w:rPr>
        <w:t>Lhsl</w:t>
      </w:r>
      <w:r w:rsidRPr="00691D31">
        <w:rPr>
          <w:lang w:val="en-GB"/>
        </w:rPr>
        <w:t xml:space="preserve"> = </w:t>
      </w:r>
      <w:r w:rsidRPr="00691D31">
        <w:rPr>
          <w:i/>
          <w:iCs/>
          <w:lang w:val="en-GB"/>
        </w:rPr>
        <w:t>b</w:t>
      </w:r>
      <w:r w:rsidRPr="00691D31">
        <w:rPr>
          <w:lang w:val="en-GB"/>
        </w:rPr>
        <w:t>exp(</w:t>
      </w:r>
      <w:r w:rsidRPr="00691D31">
        <w:rPr>
          <w:i/>
          <w:iCs/>
          <w:lang w:val="en-GB"/>
        </w:rPr>
        <w:t>aP</w:t>
      </w:r>
      <w:r w:rsidRPr="00691D31">
        <w:rPr>
          <w:lang w:val="en-GB"/>
        </w:rPr>
        <w:t xml:space="preserve">) – 2 </w:t>
      </w:r>
      <w:r w:rsidR="00A40D99">
        <w:rPr>
          <w:lang w:val="en-GB"/>
        </w:rPr>
        <w:t>                </w:t>
      </w:r>
      <w:r w:rsidRPr="00691D31">
        <w:rPr>
          <w:lang w:val="en-GB"/>
        </w:rPr>
        <w:t>(dB)</w:t>
      </w:r>
      <w:r w:rsidRPr="00691D31">
        <w:rPr>
          <w:lang w:val="en-GB"/>
        </w:rPr>
        <w:tab/>
        <w:t>(5)</w:t>
      </w:r>
    </w:p>
    <w:p w14:paraId="5F7790AD" w14:textId="77777777" w:rsidR="00691D31" w:rsidRPr="00691D31" w:rsidRDefault="00691D31" w:rsidP="00691D31">
      <w:pPr>
        <w:keepNext/>
        <w:rPr>
          <w:lang w:val="en-GB"/>
        </w:rPr>
      </w:pPr>
      <w:r w:rsidRPr="00691D31">
        <w:rPr>
          <w:lang w:val="en-GB"/>
        </w:rPr>
        <w:t>where:</w:t>
      </w:r>
    </w:p>
    <w:p w14:paraId="08F625FA" w14:textId="77777777" w:rsidR="00691D31" w:rsidRPr="00691D31" w:rsidRDefault="00691D31" w:rsidP="00691D31">
      <w:pPr>
        <w:pStyle w:val="enumlev1"/>
        <w:keepNext/>
        <w:rPr>
          <w:lang w:val="en-GB"/>
        </w:rPr>
      </w:pPr>
      <w:r w:rsidRPr="00691D31">
        <w:rPr>
          <w:lang w:val="en-GB"/>
        </w:rPr>
        <w:tab/>
        <w:t>Case i)</w:t>
      </w:r>
    </w:p>
    <w:p w14:paraId="661B953A" w14:textId="1A748C28" w:rsidR="00691D31" w:rsidRPr="00691D31" w:rsidRDefault="00691D31" w:rsidP="00691D31">
      <w:pPr>
        <w:pStyle w:val="enumlev2"/>
        <w:rPr>
          <w:lang w:val="en-GB"/>
        </w:rPr>
      </w:pPr>
      <w:r w:rsidRPr="00691D31">
        <w:rPr>
          <w:lang w:val="en-GB"/>
        </w:rPr>
        <w:tab/>
      </w:r>
      <w:r w:rsidRPr="00691D31">
        <w:rPr>
          <w:i/>
          <w:iCs/>
          <w:lang w:val="en-GB"/>
        </w:rPr>
        <w:t>a</w:t>
      </w:r>
      <w:r w:rsidRPr="00691D31">
        <w:rPr>
          <w:lang w:val="en-GB"/>
        </w:rPr>
        <w:t xml:space="preserve"> = (0.75 + 0.125</w:t>
      </w:r>
      <w:r w:rsidRPr="00691D31">
        <w:rPr>
          <w:i/>
          <w:iCs/>
          <w:lang w:val="en-GB"/>
        </w:rPr>
        <w:t>f</w:t>
      </w:r>
      <w:r w:rsidR="00A40D99">
        <w:rPr>
          <w:i/>
          <w:iCs/>
          <w:lang w:val="en-GB"/>
        </w:rPr>
        <w:t xml:space="preserve"> </w:t>
      </w:r>
      <w:r w:rsidRPr="00691D31">
        <w:rPr>
          <w:lang w:val="en-GB"/>
        </w:rPr>
        <w:t>)(0.0366 – 0.0129 log</w:t>
      </w:r>
      <w:r w:rsidRPr="00691D31">
        <w:rPr>
          <w:vertAlign w:val="subscript"/>
          <w:lang w:val="en-GB"/>
        </w:rPr>
        <w:t>10</w:t>
      </w:r>
      <w:r w:rsidRPr="00691D31">
        <w:rPr>
          <w:lang w:val="en-GB"/>
        </w:rPr>
        <w:t>(</w:t>
      </w:r>
      <w:r w:rsidRPr="00B77DDE">
        <w:rPr>
          <w:rFonts w:ascii="Symbol" w:hAnsi="Symbol"/>
        </w:rPr>
        <w:t></w:t>
      </w:r>
      <w:r w:rsidRPr="00691D31">
        <w:rPr>
          <w:i/>
          <w:iCs/>
          <w:vertAlign w:val="subscript"/>
          <w:lang w:val="en-GB"/>
        </w:rPr>
        <w:t>a</w:t>
      </w:r>
      <w:r w:rsidRPr="00691D31">
        <w:rPr>
          <w:lang w:val="en-GB"/>
        </w:rPr>
        <w:t xml:space="preserve"> + 1))</w:t>
      </w:r>
    </w:p>
    <w:p w14:paraId="4B38AEC2" w14:textId="77777777" w:rsidR="00691D31" w:rsidRPr="00691D31" w:rsidRDefault="00691D31" w:rsidP="00691D31">
      <w:pPr>
        <w:pStyle w:val="enumlev2"/>
        <w:rPr>
          <w:lang w:val="en-GB"/>
        </w:rPr>
      </w:pPr>
      <w:r w:rsidRPr="00691D31">
        <w:rPr>
          <w:lang w:val="en-GB"/>
        </w:rPr>
        <w:tab/>
      </w:r>
      <w:r w:rsidRPr="00691D31">
        <w:rPr>
          <w:i/>
          <w:iCs/>
          <w:lang w:val="en-GB"/>
        </w:rPr>
        <w:t>b</w:t>
      </w:r>
      <w:r w:rsidRPr="00691D31">
        <w:rPr>
          <w:lang w:val="en-GB"/>
        </w:rPr>
        <w:t xml:space="preserve"> = 1.20 + 2.71 log</w:t>
      </w:r>
      <w:r w:rsidRPr="00691D31">
        <w:rPr>
          <w:vertAlign w:val="subscript"/>
          <w:lang w:val="en-GB"/>
        </w:rPr>
        <w:t>10</w:t>
      </w:r>
      <w:r w:rsidRPr="00691D31">
        <w:rPr>
          <w:lang w:val="en-GB"/>
        </w:rPr>
        <w:t>(</w:t>
      </w:r>
      <w:r w:rsidRPr="005F020B">
        <w:rPr>
          <w:rFonts w:ascii="Symbol" w:hAnsi="Symbol"/>
        </w:rPr>
        <w:t></w:t>
      </w:r>
      <w:r w:rsidRPr="00691D31">
        <w:rPr>
          <w:i/>
          <w:iCs/>
          <w:vertAlign w:val="subscript"/>
          <w:lang w:val="en-GB"/>
        </w:rPr>
        <w:t xml:space="preserve">a </w:t>
      </w:r>
      <w:r w:rsidRPr="00691D31">
        <w:rPr>
          <w:lang w:val="en-GB"/>
        </w:rPr>
        <w:t>+ 1)</w:t>
      </w:r>
    </w:p>
    <w:p w14:paraId="58951667" w14:textId="77777777" w:rsidR="00691D31" w:rsidRPr="00691D31" w:rsidRDefault="00691D31" w:rsidP="00691D31">
      <w:pPr>
        <w:pStyle w:val="enumlev1"/>
        <w:rPr>
          <w:lang w:val="en-GB"/>
        </w:rPr>
      </w:pPr>
      <w:r w:rsidRPr="00691D31">
        <w:rPr>
          <w:lang w:val="en-GB"/>
        </w:rPr>
        <w:tab/>
        <w:t>Case ii)</w:t>
      </w:r>
    </w:p>
    <w:p w14:paraId="6A8943A8" w14:textId="77777777" w:rsidR="00691D31" w:rsidRPr="00691D31" w:rsidRDefault="00691D31" w:rsidP="00691D31">
      <w:pPr>
        <w:pStyle w:val="enumlev2"/>
        <w:rPr>
          <w:lang w:val="en-GB"/>
        </w:rPr>
      </w:pPr>
      <w:r w:rsidRPr="00691D31">
        <w:rPr>
          <w:lang w:val="en-GB"/>
        </w:rPr>
        <w:tab/>
      </w:r>
      <w:r w:rsidRPr="00691D31">
        <w:rPr>
          <w:i/>
          <w:iCs/>
          <w:lang w:val="en-GB"/>
        </w:rPr>
        <w:t>a</w:t>
      </w:r>
      <w:r w:rsidRPr="00691D31">
        <w:rPr>
          <w:lang w:val="en-GB"/>
        </w:rPr>
        <w:t xml:space="preserve"> = (0.75 + 0.125</w:t>
      </w:r>
      <w:r w:rsidRPr="00691D31">
        <w:rPr>
          <w:i/>
          <w:iCs/>
          <w:lang w:val="en-GB"/>
        </w:rPr>
        <w:t>f</w:t>
      </w:r>
      <w:r w:rsidRPr="00691D31">
        <w:rPr>
          <w:lang w:val="en-GB"/>
        </w:rPr>
        <w:t xml:space="preserve"> )(0.0255 – 0.0124 log</w:t>
      </w:r>
      <w:r w:rsidRPr="00691D31">
        <w:rPr>
          <w:vertAlign w:val="subscript"/>
          <w:lang w:val="en-GB"/>
        </w:rPr>
        <w:t>10</w:t>
      </w:r>
      <w:r w:rsidRPr="00691D31">
        <w:rPr>
          <w:lang w:val="en-GB"/>
        </w:rPr>
        <w:t>(</w:t>
      </w:r>
      <w:r w:rsidRPr="00B77DDE">
        <w:rPr>
          <w:rFonts w:ascii="Symbol" w:hAnsi="Symbol"/>
        </w:rPr>
        <w:t></w:t>
      </w:r>
      <w:r w:rsidRPr="00691D31">
        <w:rPr>
          <w:i/>
          <w:iCs/>
          <w:vertAlign w:val="subscript"/>
          <w:lang w:val="en-GB"/>
        </w:rPr>
        <w:t xml:space="preserve">a </w:t>
      </w:r>
      <w:r w:rsidRPr="00691D31">
        <w:rPr>
          <w:lang w:val="en-GB"/>
        </w:rPr>
        <w:t xml:space="preserve">+ 1) + </w:t>
      </w:r>
      <w:r w:rsidRPr="00691D31">
        <w:rPr>
          <w:i/>
          <w:iCs/>
          <w:lang w:val="en-GB"/>
        </w:rPr>
        <w:t>E</w:t>
      </w:r>
      <w:r w:rsidRPr="00691D31">
        <w:rPr>
          <w:i/>
          <w:iCs/>
          <w:vertAlign w:val="subscript"/>
          <w:lang w:val="en-GB"/>
        </w:rPr>
        <w:t>a</w:t>
      </w:r>
      <w:r w:rsidRPr="00B77DDE">
        <w:rPr>
          <w:rFonts w:ascii="Symbol" w:hAnsi="Symbol"/>
          <w:vertAlign w:val="subscript"/>
        </w:rPr>
        <w:t></w:t>
      </w:r>
      <w:r w:rsidRPr="00691D31">
        <w:rPr>
          <w:lang w:val="en-GB"/>
        </w:rPr>
        <w:t xml:space="preserve"> + </w:t>
      </w:r>
      <w:r w:rsidRPr="00691D31">
        <w:rPr>
          <w:i/>
          <w:iCs/>
          <w:lang w:val="en-GB"/>
        </w:rPr>
        <w:t>E</w:t>
      </w:r>
      <w:r w:rsidRPr="00691D31">
        <w:rPr>
          <w:i/>
          <w:iCs/>
          <w:vertAlign w:val="subscript"/>
          <w:lang w:val="en-GB"/>
        </w:rPr>
        <w:t>ahs</w:t>
      </w:r>
      <w:r w:rsidRPr="00691D31">
        <w:rPr>
          <w:lang w:val="en-GB"/>
        </w:rPr>
        <w:t>)</w:t>
      </w:r>
    </w:p>
    <w:p w14:paraId="2EF586DB" w14:textId="49F5D2ED" w:rsidR="00691D31" w:rsidRPr="00691D31" w:rsidRDefault="00691D31" w:rsidP="00691D31">
      <w:pPr>
        <w:pStyle w:val="enumlev2"/>
        <w:rPr>
          <w:lang w:val="en-GB"/>
        </w:rPr>
      </w:pPr>
      <w:r w:rsidRPr="00691D31">
        <w:rPr>
          <w:lang w:val="en-GB"/>
        </w:rPr>
        <w:tab/>
      </w:r>
      <w:r w:rsidRPr="00691D31">
        <w:rPr>
          <w:i/>
          <w:iCs/>
          <w:lang w:val="en-GB"/>
        </w:rPr>
        <w:t>b</w:t>
      </w:r>
      <w:r w:rsidRPr="00691D31">
        <w:rPr>
          <w:lang w:val="en-GB"/>
        </w:rPr>
        <w:t xml:space="preserve"> = 0.55 + 2.76 log</w:t>
      </w:r>
      <w:r w:rsidRPr="00691D31">
        <w:rPr>
          <w:vertAlign w:val="subscript"/>
          <w:lang w:val="en-GB"/>
        </w:rPr>
        <w:t>10</w:t>
      </w:r>
      <w:r w:rsidRPr="00691D31">
        <w:rPr>
          <w:lang w:val="en-GB"/>
        </w:rPr>
        <w:t>(</w:t>
      </w:r>
      <w:r w:rsidRPr="00DD302D">
        <w:rPr>
          <w:rFonts w:ascii="Symbol" w:hAnsi="Symbol"/>
        </w:rPr>
        <w:t></w:t>
      </w:r>
      <w:r w:rsidRPr="00691D31">
        <w:rPr>
          <w:i/>
          <w:iCs/>
          <w:vertAlign w:val="subscript"/>
          <w:lang w:val="en-GB"/>
        </w:rPr>
        <w:t xml:space="preserve">a </w:t>
      </w:r>
      <w:r w:rsidRPr="00691D31">
        <w:rPr>
          <w:lang w:val="en-GB"/>
        </w:rPr>
        <w:t xml:space="preserve">+ 1) + </w:t>
      </w:r>
      <w:r w:rsidRPr="00691D31">
        <w:rPr>
          <w:i/>
          <w:iCs/>
          <w:lang w:val="en-GB"/>
        </w:rPr>
        <w:t>E</w:t>
      </w:r>
      <w:r w:rsidRPr="00691D31">
        <w:rPr>
          <w:i/>
          <w:iCs/>
          <w:vertAlign w:val="subscript"/>
          <w:lang w:val="en-GB"/>
        </w:rPr>
        <w:t>b</w:t>
      </w:r>
      <w:r w:rsidR="009B2EC6" w:rsidRPr="009B2EC6">
        <w:rPr>
          <w:vertAlign w:val="subscript"/>
          <w:lang w:val="en-GB"/>
        </w:rPr>
        <w:t>φ</w:t>
      </w:r>
      <w:r w:rsidRPr="00691D31">
        <w:rPr>
          <w:lang w:val="en-GB"/>
        </w:rPr>
        <w:t xml:space="preserve"> + </w:t>
      </w:r>
      <w:r w:rsidRPr="00691D31">
        <w:rPr>
          <w:i/>
          <w:iCs/>
          <w:lang w:val="en-GB"/>
        </w:rPr>
        <w:t>E</w:t>
      </w:r>
      <w:r w:rsidRPr="00691D31">
        <w:rPr>
          <w:i/>
          <w:iCs/>
          <w:vertAlign w:val="subscript"/>
          <w:lang w:val="en-GB"/>
        </w:rPr>
        <w:t>bhs</w:t>
      </w:r>
    </w:p>
    <w:p w14:paraId="1C435EF2" w14:textId="136F7403" w:rsidR="00691D31" w:rsidRPr="00691D31" w:rsidRDefault="00691D31" w:rsidP="00691D31">
      <w:pPr>
        <w:pStyle w:val="enumlev2"/>
        <w:rPr>
          <w:lang w:val="en-GB"/>
        </w:rPr>
      </w:pPr>
      <w:r w:rsidRPr="00691D31">
        <w:rPr>
          <w:lang w:val="en-GB"/>
        </w:rPr>
        <w:tab/>
      </w:r>
      <w:r w:rsidRPr="00691D31">
        <w:rPr>
          <w:i/>
          <w:iCs/>
          <w:lang w:val="en-GB"/>
        </w:rPr>
        <w:t>E</w:t>
      </w:r>
      <w:r w:rsidRPr="00691D31">
        <w:rPr>
          <w:i/>
          <w:iCs/>
          <w:vertAlign w:val="subscript"/>
          <w:lang w:val="en-GB"/>
        </w:rPr>
        <w:t>a</w:t>
      </w:r>
      <w:r w:rsidR="009B2EC6" w:rsidRPr="009B2EC6">
        <w:rPr>
          <w:vertAlign w:val="subscript"/>
          <w:lang w:val="en-GB"/>
        </w:rPr>
        <w:t>φ</w:t>
      </w:r>
      <w:r w:rsidRPr="00691D31">
        <w:rPr>
          <w:lang w:val="en-GB"/>
        </w:rPr>
        <w:t xml:space="preserve"> = 0.0013 – 0.0009 log</w:t>
      </w:r>
      <w:r w:rsidRPr="00691D31">
        <w:rPr>
          <w:vertAlign w:val="subscript"/>
          <w:lang w:val="en-GB"/>
        </w:rPr>
        <w:t>10</w:t>
      </w:r>
      <w:r w:rsidRPr="00691D31">
        <w:rPr>
          <w:lang w:val="en-GB"/>
        </w:rPr>
        <w:t>(</w:t>
      </w:r>
      <w:r w:rsidR="009B2EC6">
        <w:rPr>
          <w:lang w:val="en-GB"/>
        </w:rPr>
        <w:t>φ</w:t>
      </w:r>
      <w:r w:rsidR="009B2EC6">
        <w:rPr>
          <w:rFonts w:ascii="Symbol" w:hAnsi="Symbol"/>
          <w:i/>
          <w:iCs/>
        </w:rPr>
        <w:t xml:space="preserve"> </w:t>
      </w:r>
      <w:r w:rsidRPr="00691D31">
        <w:rPr>
          <w:lang w:val="en-GB"/>
        </w:rPr>
        <w:t>+ 1)</w:t>
      </w:r>
    </w:p>
    <w:p w14:paraId="5F9E2628" w14:textId="40F50B60" w:rsidR="00691D31" w:rsidRPr="00691D31" w:rsidRDefault="00691D31" w:rsidP="00691D31">
      <w:pPr>
        <w:pStyle w:val="enumlev2"/>
        <w:rPr>
          <w:lang w:val="en-GB"/>
        </w:rPr>
      </w:pPr>
      <w:r w:rsidRPr="00691D31">
        <w:rPr>
          <w:lang w:val="en-GB"/>
        </w:rPr>
        <w:tab/>
      </w:r>
      <w:r w:rsidRPr="00691D31">
        <w:rPr>
          <w:i/>
          <w:iCs/>
          <w:lang w:val="en-GB"/>
        </w:rPr>
        <w:t>E</w:t>
      </w:r>
      <w:r w:rsidRPr="00691D31">
        <w:rPr>
          <w:i/>
          <w:iCs/>
          <w:vertAlign w:val="subscript"/>
          <w:lang w:val="en-GB"/>
        </w:rPr>
        <w:t>ahs</w:t>
      </w:r>
      <w:r w:rsidRPr="00691D31">
        <w:rPr>
          <w:lang w:val="en-GB"/>
        </w:rPr>
        <w:t xml:space="preserve"> = </w:t>
      </w:r>
      <w:r w:rsidR="00A40D99">
        <w:rPr>
          <w:lang w:val="en-GB"/>
        </w:rPr>
        <w:t>−</w:t>
      </w:r>
      <w:r w:rsidRPr="00691D31">
        <w:rPr>
          <w:lang w:val="en-GB"/>
        </w:rPr>
        <w:t>0.0039 + 0.0032 log</w:t>
      </w:r>
      <w:r w:rsidRPr="00691D31">
        <w:rPr>
          <w:vertAlign w:val="subscript"/>
          <w:lang w:val="en-GB"/>
        </w:rPr>
        <w:t>10</w:t>
      </w:r>
      <w:r w:rsidRPr="00691D31">
        <w:rPr>
          <w:lang w:val="en-GB"/>
        </w:rPr>
        <w:t>(</w:t>
      </w:r>
      <w:r w:rsidRPr="00691D31">
        <w:rPr>
          <w:i/>
          <w:iCs/>
          <w:lang w:val="en-GB"/>
        </w:rPr>
        <w:t>hs</w:t>
      </w:r>
      <w:r w:rsidRPr="00691D31">
        <w:rPr>
          <w:lang w:val="en-GB"/>
        </w:rPr>
        <w:t>)</w:t>
      </w:r>
    </w:p>
    <w:p w14:paraId="512AA7DE" w14:textId="3ECDDA7C" w:rsidR="00691D31" w:rsidRPr="00691D31" w:rsidRDefault="00691D31" w:rsidP="00691D31">
      <w:pPr>
        <w:pStyle w:val="enumlev2"/>
        <w:rPr>
          <w:lang w:val="en-GB"/>
        </w:rPr>
      </w:pPr>
      <w:r w:rsidRPr="00691D31">
        <w:rPr>
          <w:lang w:val="en-GB"/>
        </w:rPr>
        <w:tab/>
      </w:r>
      <w:r w:rsidRPr="00691D31">
        <w:rPr>
          <w:i/>
          <w:iCs/>
          <w:lang w:val="en-GB"/>
        </w:rPr>
        <w:t>E</w:t>
      </w:r>
      <w:r w:rsidRPr="00691D31">
        <w:rPr>
          <w:i/>
          <w:iCs/>
          <w:vertAlign w:val="subscript"/>
          <w:lang w:val="en-GB"/>
        </w:rPr>
        <w:t>b</w:t>
      </w:r>
      <w:r w:rsidR="009B2EC6" w:rsidRPr="009B2EC6">
        <w:rPr>
          <w:vertAlign w:val="subscript"/>
          <w:lang w:val="en-GB"/>
        </w:rPr>
        <w:t>φ</w:t>
      </w:r>
      <w:r w:rsidRPr="00691D31">
        <w:rPr>
          <w:lang w:val="en-GB"/>
        </w:rPr>
        <w:t xml:space="preserve"> = 1.41 – 0.96 log</w:t>
      </w:r>
      <w:r w:rsidRPr="00691D31">
        <w:rPr>
          <w:vertAlign w:val="subscript"/>
          <w:lang w:val="en-GB"/>
        </w:rPr>
        <w:t>10</w:t>
      </w:r>
      <w:r w:rsidRPr="00691D31">
        <w:rPr>
          <w:lang w:val="en-GB"/>
        </w:rPr>
        <w:t>(</w:t>
      </w:r>
      <w:r w:rsidRPr="00B77DDE">
        <w:rPr>
          <w:rFonts w:ascii="Symbol" w:hAnsi="Symbol"/>
        </w:rPr>
        <w:t></w:t>
      </w:r>
      <w:r w:rsidRPr="00B04B73">
        <w:rPr>
          <w:rFonts w:ascii="Symbol" w:hAnsi="Symbol"/>
          <w:i/>
          <w:iCs/>
        </w:rPr>
        <w:t></w:t>
      </w:r>
      <w:r w:rsidRPr="00691D31">
        <w:rPr>
          <w:lang w:val="en-GB"/>
        </w:rPr>
        <w:t>+ 1)</w:t>
      </w:r>
    </w:p>
    <w:p w14:paraId="6C76D998" w14:textId="0F24295A" w:rsidR="00691D31" w:rsidRPr="00691D31" w:rsidRDefault="00691D31" w:rsidP="00691D31">
      <w:pPr>
        <w:pStyle w:val="enumlev2"/>
        <w:rPr>
          <w:lang w:val="en-GB"/>
        </w:rPr>
      </w:pPr>
      <w:r w:rsidRPr="00691D31">
        <w:rPr>
          <w:lang w:val="en-GB"/>
        </w:rPr>
        <w:tab/>
      </w:r>
      <w:r w:rsidRPr="00691D31">
        <w:rPr>
          <w:i/>
          <w:iCs/>
          <w:lang w:val="en-GB"/>
        </w:rPr>
        <w:t>E</w:t>
      </w:r>
      <w:r w:rsidRPr="00691D31">
        <w:rPr>
          <w:i/>
          <w:iCs/>
          <w:vertAlign w:val="subscript"/>
          <w:lang w:val="en-GB"/>
        </w:rPr>
        <w:t>bhs</w:t>
      </w:r>
      <w:r w:rsidRPr="00691D31">
        <w:rPr>
          <w:lang w:val="en-GB"/>
        </w:rPr>
        <w:t xml:space="preserve"> = </w:t>
      </w:r>
      <w:r w:rsidR="00A40D99">
        <w:rPr>
          <w:lang w:val="en-GB"/>
        </w:rPr>
        <w:t>−</w:t>
      </w:r>
      <w:r w:rsidRPr="00691D31">
        <w:rPr>
          <w:lang w:val="en-GB"/>
        </w:rPr>
        <w:t>1.01 + 0.80 log</w:t>
      </w:r>
      <w:r w:rsidRPr="00691D31">
        <w:rPr>
          <w:vertAlign w:val="subscript"/>
          <w:lang w:val="en-GB"/>
        </w:rPr>
        <w:t>10</w:t>
      </w:r>
      <w:r w:rsidRPr="00691D31">
        <w:rPr>
          <w:lang w:val="en-GB"/>
        </w:rPr>
        <w:t>(</w:t>
      </w:r>
      <w:r w:rsidRPr="00691D31">
        <w:rPr>
          <w:i/>
          <w:iCs/>
          <w:lang w:val="en-GB"/>
        </w:rPr>
        <w:t>hs</w:t>
      </w:r>
      <w:r w:rsidRPr="00691D31">
        <w:rPr>
          <w:lang w:val="en-GB"/>
        </w:rPr>
        <w:t>)</w:t>
      </w:r>
    </w:p>
    <w:p w14:paraId="26869647" w14:textId="77777777" w:rsidR="00691D31" w:rsidRPr="00691D31" w:rsidRDefault="00691D31" w:rsidP="00691D31">
      <w:pPr>
        <w:pStyle w:val="enumlev1"/>
        <w:rPr>
          <w:lang w:val="en-GB"/>
        </w:rPr>
      </w:pPr>
      <w:r w:rsidRPr="00691D31">
        <w:rPr>
          <w:lang w:val="en-GB"/>
        </w:rPr>
        <w:tab/>
        <w:t>Case iii)</w:t>
      </w:r>
    </w:p>
    <w:p w14:paraId="143FF797" w14:textId="77777777" w:rsidR="00691D31" w:rsidRPr="00691D31" w:rsidRDefault="00691D31" w:rsidP="00691D31">
      <w:pPr>
        <w:pStyle w:val="enumlev2"/>
        <w:rPr>
          <w:lang w:val="en-GB"/>
        </w:rPr>
      </w:pPr>
      <w:r w:rsidRPr="00691D31">
        <w:rPr>
          <w:lang w:val="en-GB"/>
        </w:rPr>
        <w:tab/>
      </w:r>
      <w:r w:rsidRPr="00691D31">
        <w:rPr>
          <w:i/>
          <w:iCs/>
          <w:lang w:val="en-GB"/>
        </w:rPr>
        <w:t>a</w:t>
      </w:r>
      <w:r w:rsidRPr="00691D31">
        <w:rPr>
          <w:lang w:val="en-GB"/>
        </w:rPr>
        <w:t xml:space="preserve"> = (0.875 + 0.0625</w:t>
      </w:r>
      <w:r w:rsidRPr="00691D31">
        <w:rPr>
          <w:i/>
          <w:iCs/>
          <w:lang w:val="en-GB"/>
        </w:rPr>
        <w:t xml:space="preserve">f </w:t>
      </w:r>
      <w:r w:rsidRPr="00691D31">
        <w:rPr>
          <w:lang w:val="en-GB"/>
        </w:rPr>
        <w:t>)(0.0420 – 0.0106 log</w:t>
      </w:r>
      <w:r w:rsidRPr="00691D31">
        <w:rPr>
          <w:vertAlign w:val="subscript"/>
          <w:lang w:val="en-GB"/>
        </w:rPr>
        <w:t>10</w:t>
      </w:r>
      <w:r w:rsidRPr="00691D31">
        <w:rPr>
          <w:lang w:val="en-GB"/>
        </w:rPr>
        <w:t>(</w:t>
      </w:r>
      <w:r w:rsidRPr="00A15770">
        <w:rPr>
          <w:rFonts w:ascii="Symbol" w:hAnsi="Symbol"/>
        </w:rPr>
        <w:t></w:t>
      </w:r>
      <w:r w:rsidRPr="00691D31">
        <w:rPr>
          <w:i/>
          <w:iCs/>
          <w:vertAlign w:val="subscript"/>
          <w:lang w:val="en-GB"/>
        </w:rPr>
        <w:t xml:space="preserve">a </w:t>
      </w:r>
      <w:r w:rsidRPr="00691D31">
        <w:rPr>
          <w:lang w:val="en-GB"/>
        </w:rPr>
        <w:t>+ 1))</w:t>
      </w:r>
    </w:p>
    <w:p w14:paraId="750A0E81" w14:textId="77777777" w:rsidR="00691D31" w:rsidRPr="00691D31" w:rsidRDefault="00691D31" w:rsidP="00691D31">
      <w:pPr>
        <w:pStyle w:val="enumlev2"/>
        <w:rPr>
          <w:lang w:val="en-GB"/>
        </w:rPr>
      </w:pPr>
      <w:r w:rsidRPr="00691D31">
        <w:rPr>
          <w:lang w:val="en-GB"/>
        </w:rPr>
        <w:tab/>
        <w:t>b = 1.07 + 1.72 log</w:t>
      </w:r>
      <w:r w:rsidRPr="00691D31">
        <w:rPr>
          <w:vertAlign w:val="subscript"/>
          <w:lang w:val="en-GB"/>
        </w:rPr>
        <w:t>10</w:t>
      </w:r>
      <w:r w:rsidRPr="00691D31">
        <w:rPr>
          <w:lang w:val="en-GB"/>
        </w:rPr>
        <w:t>(</w:t>
      </w:r>
      <w:r w:rsidRPr="00B77DDE">
        <w:rPr>
          <w:rFonts w:ascii="Symbol" w:hAnsi="Symbol"/>
        </w:rPr>
        <w:t></w:t>
      </w:r>
      <w:r w:rsidRPr="00691D31">
        <w:rPr>
          <w:i/>
          <w:iCs/>
          <w:vertAlign w:val="subscript"/>
          <w:lang w:val="en-GB"/>
        </w:rPr>
        <w:t xml:space="preserve">a </w:t>
      </w:r>
      <w:r w:rsidRPr="00691D31">
        <w:rPr>
          <w:lang w:val="en-GB"/>
        </w:rPr>
        <w:t>+ 1)</w:t>
      </w:r>
    </w:p>
    <w:p w14:paraId="1DDB62FA" w14:textId="77777777" w:rsidR="00691D31" w:rsidRPr="00691D31" w:rsidRDefault="00691D31" w:rsidP="00691D31">
      <w:pPr>
        <w:pStyle w:val="enumlev1"/>
        <w:rPr>
          <w:lang w:val="en-GB"/>
        </w:rPr>
      </w:pPr>
      <w:r w:rsidRPr="00691D31">
        <w:rPr>
          <w:lang w:val="en-GB"/>
        </w:rPr>
        <w:tab/>
        <w:t>Case iv)</w:t>
      </w:r>
    </w:p>
    <w:p w14:paraId="0470CAE5" w14:textId="586ABBAA" w:rsidR="00691D31" w:rsidRPr="00691D31" w:rsidRDefault="00691D31" w:rsidP="00691D31">
      <w:pPr>
        <w:pStyle w:val="enumlev2"/>
        <w:rPr>
          <w:lang w:val="en-GB"/>
        </w:rPr>
      </w:pPr>
      <w:r w:rsidRPr="00691D31">
        <w:rPr>
          <w:lang w:val="en-GB"/>
        </w:rPr>
        <w:tab/>
      </w:r>
      <w:r w:rsidRPr="00691D31">
        <w:rPr>
          <w:i/>
          <w:iCs/>
          <w:lang w:val="en-GB"/>
        </w:rPr>
        <w:t>a</w:t>
      </w:r>
      <w:r w:rsidRPr="00691D31">
        <w:rPr>
          <w:lang w:val="en-GB"/>
        </w:rPr>
        <w:t xml:space="preserve"> = (0.875 + </w:t>
      </w:r>
      <w:proofErr w:type="gramStart"/>
      <w:r w:rsidRPr="00691D31">
        <w:rPr>
          <w:lang w:val="en-GB"/>
        </w:rPr>
        <w:t>0.0625</w:t>
      </w:r>
      <w:r w:rsidRPr="00691D31">
        <w:rPr>
          <w:i/>
          <w:iCs/>
          <w:lang w:val="en-GB"/>
        </w:rPr>
        <w:t xml:space="preserve">f </w:t>
      </w:r>
      <w:r w:rsidRPr="00691D31">
        <w:rPr>
          <w:lang w:val="en-GB"/>
        </w:rPr>
        <w:t>)</w:t>
      </w:r>
      <w:proofErr w:type="gramEnd"/>
      <w:r w:rsidRPr="00691D31">
        <w:rPr>
          <w:lang w:val="en-GB"/>
        </w:rPr>
        <w:t>(0.0245 – 0.0098 log</w:t>
      </w:r>
      <w:r w:rsidRPr="00691D31">
        <w:rPr>
          <w:vertAlign w:val="subscript"/>
          <w:lang w:val="en-GB"/>
        </w:rPr>
        <w:t>10</w:t>
      </w:r>
      <w:r w:rsidRPr="00691D31">
        <w:rPr>
          <w:lang w:val="en-GB"/>
        </w:rPr>
        <w:t>(</w:t>
      </w:r>
      <w:r w:rsidRPr="00A15770">
        <w:rPr>
          <w:rFonts w:ascii="Symbol" w:hAnsi="Symbol"/>
        </w:rPr>
        <w:t></w:t>
      </w:r>
      <w:r w:rsidRPr="00691D31">
        <w:rPr>
          <w:i/>
          <w:iCs/>
          <w:vertAlign w:val="subscript"/>
          <w:lang w:val="en-GB"/>
        </w:rPr>
        <w:t>a</w:t>
      </w:r>
      <w:r w:rsidRPr="00B04B73">
        <w:rPr>
          <w:rFonts w:ascii="Symbol" w:hAnsi="Symbol"/>
          <w:i/>
          <w:iCs/>
        </w:rPr>
        <w:t></w:t>
      </w:r>
      <w:r w:rsidRPr="00691D31">
        <w:rPr>
          <w:lang w:val="en-GB"/>
        </w:rPr>
        <w:t xml:space="preserve">+ 1) + </w:t>
      </w:r>
      <w:r w:rsidRPr="00691D31">
        <w:rPr>
          <w:i/>
          <w:iCs/>
          <w:lang w:val="en-GB"/>
        </w:rPr>
        <w:t>E</w:t>
      </w:r>
      <w:r w:rsidRPr="00691D31">
        <w:rPr>
          <w:i/>
          <w:iCs/>
          <w:vertAlign w:val="subscript"/>
          <w:lang w:val="en-GB"/>
        </w:rPr>
        <w:t>a</w:t>
      </w:r>
      <w:r w:rsidR="009B2EC6">
        <w:rPr>
          <w:vertAlign w:val="subscript"/>
        </w:rPr>
        <w:t>φ</w:t>
      </w:r>
      <w:r w:rsidRPr="00691D31">
        <w:rPr>
          <w:lang w:val="en-GB"/>
        </w:rPr>
        <w:t xml:space="preserve"> + </w:t>
      </w:r>
      <w:r w:rsidRPr="00691D31">
        <w:rPr>
          <w:i/>
          <w:iCs/>
          <w:lang w:val="en-GB"/>
        </w:rPr>
        <w:t>E</w:t>
      </w:r>
      <w:r w:rsidRPr="00691D31">
        <w:rPr>
          <w:i/>
          <w:iCs/>
          <w:vertAlign w:val="subscript"/>
          <w:lang w:val="en-GB"/>
        </w:rPr>
        <w:t>ahs</w:t>
      </w:r>
      <w:r w:rsidRPr="00691D31">
        <w:rPr>
          <w:lang w:val="en-GB"/>
        </w:rPr>
        <w:t>)</w:t>
      </w:r>
    </w:p>
    <w:p w14:paraId="76245DE6" w14:textId="77777777" w:rsidR="00691D31" w:rsidRPr="00691D31" w:rsidRDefault="00691D31" w:rsidP="00691D31">
      <w:pPr>
        <w:pStyle w:val="enumlev2"/>
        <w:rPr>
          <w:lang w:val="en-GB"/>
        </w:rPr>
      </w:pPr>
      <w:r w:rsidRPr="00691D31">
        <w:rPr>
          <w:lang w:val="en-GB"/>
        </w:rPr>
        <w:tab/>
        <w:t>b = 0.58 + 1.94 1log</w:t>
      </w:r>
      <w:r w:rsidRPr="00691D31">
        <w:rPr>
          <w:vertAlign w:val="subscript"/>
          <w:lang w:val="en-GB"/>
        </w:rPr>
        <w:t>10</w:t>
      </w:r>
      <w:r w:rsidRPr="00691D31">
        <w:rPr>
          <w:lang w:val="en-GB"/>
        </w:rPr>
        <w:t>(</w:t>
      </w:r>
      <w:r w:rsidRPr="00A15770">
        <w:rPr>
          <w:rFonts w:ascii="Symbol" w:hAnsi="Symbol"/>
        </w:rPr>
        <w:t></w:t>
      </w:r>
      <w:r w:rsidRPr="00691D31">
        <w:rPr>
          <w:i/>
          <w:iCs/>
          <w:vertAlign w:val="subscript"/>
          <w:lang w:val="en-GB"/>
        </w:rPr>
        <w:t xml:space="preserve">a </w:t>
      </w:r>
      <w:r w:rsidRPr="00691D31">
        <w:rPr>
          <w:lang w:val="en-GB"/>
        </w:rPr>
        <w:t xml:space="preserve">+ 1) + </w:t>
      </w:r>
      <w:r w:rsidRPr="00691D31">
        <w:rPr>
          <w:i/>
          <w:iCs/>
          <w:lang w:val="en-GB"/>
        </w:rPr>
        <w:t>E</w:t>
      </w:r>
      <w:r w:rsidRPr="00691D31">
        <w:rPr>
          <w:i/>
          <w:iCs/>
          <w:vertAlign w:val="subscript"/>
          <w:lang w:val="en-GB"/>
        </w:rPr>
        <w:t>bhs</w:t>
      </w:r>
    </w:p>
    <w:p w14:paraId="6C332EEC" w14:textId="756771AF" w:rsidR="00691D31" w:rsidRPr="00691D31" w:rsidRDefault="00691D31" w:rsidP="00691D31">
      <w:pPr>
        <w:pStyle w:val="enumlev2"/>
        <w:rPr>
          <w:lang w:val="en-GB"/>
        </w:rPr>
      </w:pPr>
      <w:r w:rsidRPr="00691D31">
        <w:rPr>
          <w:lang w:val="en-GB"/>
        </w:rPr>
        <w:tab/>
      </w:r>
      <w:r w:rsidRPr="00691D31">
        <w:rPr>
          <w:i/>
          <w:iCs/>
          <w:lang w:val="en-GB"/>
        </w:rPr>
        <w:t>E</w:t>
      </w:r>
      <w:r w:rsidRPr="00691D31">
        <w:rPr>
          <w:i/>
          <w:iCs/>
          <w:vertAlign w:val="subscript"/>
          <w:lang w:val="en-GB"/>
        </w:rPr>
        <w:t>a</w:t>
      </w:r>
      <w:r w:rsidR="009B2EC6" w:rsidRPr="009B2EC6">
        <w:rPr>
          <w:vertAlign w:val="subscript"/>
          <w:lang w:val="en-GB"/>
        </w:rPr>
        <w:t>φ</w:t>
      </w:r>
      <w:r w:rsidRPr="00691D31">
        <w:rPr>
          <w:lang w:val="en-GB"/>
        </w:rPr>
        <w:t xml:space="preserve"> = 0.0076 – 0.0052 log</w:t>
      </w:r>
      <w:r w:rsidRPr="00691D31">
        <w:rPr>
          <w:vertAlign w:val="subscript"/>
          <w:lang w:val="en-GB"/>
        </w:rPr>
        <w:t>10</w:t>
      </w:r>
      <w:r w:rsidRPr="00691D31">
        <w:rPr>
          <w:lang w:val="en-GB"/>
        </w:rPr>
        <w:t>(</w:t>
      </w:r>
      <w:r w:rsidR="009B2EC6">
        <w:rPr>
          <w:lang w:val="en-GB"/>
        </w:rPr>
        <w:t>φ</w:t>
      </w:r>
      <w:r w:rsidRPr="00B04B73">
        <w:rPr>
          <w:rFonts w:ascii="Symbol" w:hAnsi="Symbol"/>
          <w:i/>
          <w:iCs/>
          <w:lang w:eastAsia="ja-JP"/>
        </w:rPr>
        <w:t></w:t>
      </w:r>
      <w:r w:rsidRPr="00691D31">
        <w:rPr>
          <w:lang w:val="en-GB"/>
        </w:rPr>
        <w:t>+ 1)</w:t>
      </w:r>
    </w:p>
    <w:p w14:paraId="029C0302" w14:textId="612F3576" w:rsidR="00691D31" w:rsidRPr="00691D31" w:rsidRDefault="00691D31" w:rsidP="00691D31">
      <w:pPr>
        <w:pStyle w:val="enumlev2"/>
        <w:rPr>
          <w:lang w:val="en-GB"/>
        </w:rPr>
      </w:pPr>
      <w:r w:rsidRPr="00691D31">
        <w:rPr>
          <w:lang w:val="en-GB"/>
        </w:rPr>
        <w:tab/>
      </w:r>
      <w:r w:rsidRPr="00691D31">
        <w:rPr>
          <w:i/>
          <w:iCs/>
          <w:lang w:val="en-GB"/>
        </w:rPr>
        <w:t>E</w:t>
      </w:r>
      <w:r w:rsidRPr="00691D31">
        <w:rPr>
          <w:i/>
          <w:iCs/>
          <w:vertAlign w:val="subscript"/>
          <w:lang w:val="en-GB"/>
        </w:rPr>
        <w:t>ahs</w:t>
      </w:r>
      <w:r w:rsidRPr="00691D31">
        <w:rPr>
          <w:lang w:val="en-GB"/>
        </w:rPr>
        <w:t xml:space="preserve"> = </w:t>
      </w:r>
      <w:r w:rsidR="00A40D99">
        <w:rPr>
          <w:lang w:val="en-GB"/>
        </w:rPr>
        <w:t>−</w:t>
      </w:r>
      <w:r w:rsidRPr="00691D31">
        <w:rPr>
          <w:lang w:val="en-GB"/>
        </w:rPr>
        <w:t>0.0090 + 0.0073 log</w:t>
      </w:r>
      <w:r w:rsidRPr="00691D31">
        <w:rPr>
          <w:vertAlign w:val="subscript"/>
          <w:lang w:val="en-GB"/>
        </w:rPr>
        <w:t>10</w:t>
      </w:r>
      <w:r w:rsidRPr="00691D31">
        <w:rPr>
          <w:lang w:val="en-GB"/>
        </w:rPr>
        <w:t>(</w:t>
      </w:r>
      <w:r w:rsidRPr="00691D31">
        <w:rPr>
          <w:i/>
          <w:iCs/>
          <w:lang w:val="en-GB"/>
        </w:rPr>
        <w:t>hs</w:t>
      </w:r>
      <w:r w:rsidRPr="00691D31">
        <w:rPr>
          <w:lang w:val="en-GB"/>
        </w:rPr>
        <w:t>)</w:t>
      </w:r>
    </w:p>
    <w:p w14:paraId="362C0D2A" w14:textId="0028A09A" w:rsidR="00691D31" w:rsidRPr="00691D31" w:rsidRDefault="00691D31" w:rsidP="00691D31">
      <w:pPr>
        <w:pStyle w:val="enumlev2"/>
        <w:rPr>
          <w:lang w:val="en-GB"/>
        </w:rPr>
      </w:pPr>
      <w:r w:rsidRPr="00691D31">
        <w:rPr>
          <w:lang w:val="en-GB"/>
        </w:rPr>
        <w:tab/>
      </w:r>
      <w:r w:rsidRPr="00691D31">
        <w:rPr>
          <w:i/>
          <w:iCs/>
          <w:lang w:val="en-GB"/>
        </w:rPr>
        <w:t>E</w:t>
      </w:r>
      <w:r w:rsidRPr="00691D31">
        <w:rPr>
          <w:i/>
          <w:iCs/>
          <w:vertAlign w:val="subscript"/>
          <w:lang w:val="en-GB"/>
        </w:rPr>
        <w:t>bhs</w:t>
      </w:r>
      <w:r w:rsidRPr="00691D31">
        <w:rPr>
          <w:lang w:val="en-GB"/>
        </w:rPr>
        <w:t xml:space="preserve"> = </w:t>
      </w:r>
      <w:r w:rsidR="00A40D99">
        <w:rPr>
          <w:lang w:val="en-GB"/>
        </w:rPr>
        <w:t>−</w:t>
      </w:r>
      <w:r w:rsidRPr="00691D31">
        <w:rPr>
          <w:lang w:val="en-GB"/>
        </w:rPr>
        <w:t>0.35 + 0.28 log</w:t>
      </w:r>
      <w:r w:rsidRPr="00691D31">
        <w:rPr>
          <w:vertAlign w:val="subscript"/>
          <w:lang w:val="en-GB"/>
        </w:rPr>
        <w:t>10</w:t>
      </w:r>
      <w:r w:rsidRPr="00691D31">
        <w:rPr>
          <w:lang w:val="en-GB"/>
        </w:rPr>
        <w:t>(</w:t>
      </w:r>
      <w:r w:rsidRPr="00691D31">
        <w:rPr>
          <w:i/>
          <w:iCs/>
          <w:lang w:val="en-GB"/>
        </w:rPr>
        <w:t>hs</w:t>
      </w:r>
      <w:r w:rsidRPr="00691D31">
        <w:rPr>
          <w:lang w:val="en-GB"/>
        </w:rPr>
        <w:t>)</w:t>
      </w:r>
    </w:p>
    <w:p w14:paraId="5301C8E5" w14:textId="6BD4E1F3" w:rsidR="00691D31" w:rsidRPr="00691D31" w:rsidRDefault="00691D31" w:rsidP="00691D31">
      <w:pPr>
        <w:rPr>
          <w:lang w:val="en-GB"/>
        </w:rPr>
      </w:pPr>
      <w:r w:rsidRPr="00691D31">
        <w:rPr>
          <w:lang w:val="en-GB"/>
        </w:rPr>
        <w:t xml:space="preserve">If </w:t>
      </w:r>
      <w:r w:rsidRPr="00691D31">
        <w:rPr>
          <w:i/>
          <w:iCs/>
          <w:lang w:val="en-GB"/>
        </w:rPr>
        <w:t>a</w:t>
      </w:r>
      <w:r w:rsidRPr="00691D31">
        <w:rPr>
          <w:lang w:val="en-GB"/>
        </w:rPr>
        <w:t xml:space="preserve"> is less than 0, set </w:t>
      </w:r>
      <w:r w:rsidRPr="00691D31">
        <w:rPr>
          <w:i/>
          <w:iCs/>
          <w:lang w:val="en-GB"/>
        </w:rPr>
        <w:t>a</w:t>
      </w:r>
      <w:r w:rsidRPr="00691D31">
        <w:rPr>
          <w:lang w:val="en-GB"/>
        </w:rPr>
        <w:t xml:space="preserve"> to 0.0001, and if </w:t>
      </w:r>
      <w:r w:rsidRPr="00691D31">
        <w:rPr>
          <w:i/>
          <w:iCs/>
          <w:lang w:val="en-GB"/>
        </w:rPr>
        <w:t>b</w:t>
      </w:r>
      <w:r w:rsidRPr="00691D31">
        <w:rPr>
          <w:lang w:val="en-GB"/>
        </w:rPr>
        <w:t xml:space="preserve"> is less than 0, set </w:t>
      </w:r>
      <w:r w:rsidRPr="00691D31">
        <w:rPr>
          <w:i/>
          <w:iCs/>
          <w:lang w:val="en-GB"/>
        </w:rPr>
        <w:t>b</w:t>
      </w:r>
      <w:r w:rsidRPr="00691D31">
        <w:rPr>
          <w:lang w:val="en-GB"/>
        </w:rPr>
        <w:t xml:space="preserve"> to 0.001 for Case ii) and iv). If </w:t>
      </w:r>
      <w:r w:rsidRPr="00691D31">
        <w:rPr>
          <w:i/>
          <w:iCs/>
          <w:lang w:val="en-GB"/>
        </w:rPr>
        <w:t>Lhsl</w:t>
      </w:r>
      <w:r w:rsidRPr="00691D31">
        <w:rPr>
          <w:lang w:val="en-GB"/>
        </w:rPr>
        <w:t xml:space="preserve"> exceeds 25 dB for Case i) and ii), </w:t>
      </w:r>
      <w:r w:rsidRPr="00691D31">
        <w:rPr>
          <w:i/>
          <w:iCs/>
          <w:lang w:val="en-GB"/>
        </w:rPr>
        <w:t>Lhsl</w:t>
      </w:r>
      <w:r w:rsidRPr="00691D31">
        <w:rPr>
          <w:lang w:val="en-GB"/>
        </w:rPr>
        <w:t xml:space="preserve"> = 25 dB is used as the upper limit. On the other hand, if </w:t>
      </w:r>
      <w:r w:rsidRPr="00691D31">
        <w:rPr>
          <w:i/>
          <w:iCs/>
          <w:lang w:val="en-GB"/>
        </w:rPr>
        <w:t>Lhsl</w:t>
      </w:r>
      <w:r w:rsidRPr="00691D31">
        <w:rPr>
          <w:lang w:val="en-GB"/>
        </w:rPr>
        <w:t xml:space="preserve"> exceeds 40 dB for Case iii) and iv), </w:t>
      </w:r>
      <w:r w:rsidRPr="00691D31">
        <w:rPr>
          <w:i/>
          <w:iCs/>
          <w:lang w:val="en-GB"/>
        </w:rPr>
        <w:t>Lhsl</w:t>
      </w:r>
      <w:r w:rsidRPr="00691D31">
        <w:rPr>
          <w:lang w:val="en-GB"/>
        </w:rPr>
        <w:t xml:space="preserve"> = 40 dB is used.</w:t>
      </w:r>
      <w:r w:rsidR="009B2EC6">
        <w:rPr>
          <w:lang w:val="en-GB"/>
        </w:rPr>
        <w:t xml:space="preserve"> </w:t>
      </w:r>
    </w:p>
    <w:p w14:paraId="0684D25C" w14:textId="77777777" w:rsidR="00691D31" w:rsidRPr="00691D31" w:rsidRDefault="00691D31" w:rsidP="00691D31">
      <w:pPr>
        <w:rPr>
          <w:lang w:val="en-GB"/>
        </w:rPr>
      </w:pPr>
      <w:r w:rsidRPr="00691D31">
        <w:rPr>
          <w:lang w:val="en-GB"/>
        </w:rPr>
        <w:t>Figure 3 shows an example of the human head shielding loss at varying elevation angles for 2 GHz.</w:t>
      </w:r>
    </w:p>
    <w:p w14:paraId="3086CCBE" w14:textId="77777777" w:rsidR="00691D31" w:rsidRPr="00691D31" w:rsidRDefault="00691D31" w:rsidP="00691D31">
      <w:pPr>
        <w:pStyle w:val="FigureNo"/>
        <w:rPr>
          <w:lang w:val="en-GB" w:eastAsia="zh-CN"/>
        </w:rPr>
      </w:pPr>
      <w:r w:rsidRPr="00691D31">
        <w:rPr>
          <w:lang w:val="en-GB" w:eastAsia="zh-CN"/>
        </w:rPr>
        <w:lastRenderedPageBreak/>
        <w:t>Figure 3</w:t>
      </w:r>
    </w:p>
    <w:p w14:paraId="3E696D24" w14:textId="7E5AC32C" w:rsidR="00691D31" w:rsidRDefault="00691D31" w:rsidP="00691D31">
      <w:pPr>
        <w:pStyle w:val="Figuretitle"/>
        <w:rPr>
          <w:lang w:val="en-GB"/>
        </w:rPr>
      </w:pPr>
      <w:r w:rsidRPr="00691D31">
        <w:rPr>
          <w:lang w:val="en-GB"/>
        </w:rPr>
        <w:t xml:space="preserve">Cumulative distribution of the human shielding loss when antenna is at head height at </w:t>
      </w:r>
      <w:r w:rsidRPr="00691D31">
        <w:rPr>
          <w:rFonts w:ascii="Times New Roman" w:hAnsi="Times New Roman"/>
          <w:i/>
          <w:iCs/>
          <w:lang w:val="en-GB" w:eastAsia="ja-JP"/>
        </w:rPr>
        <w:t>f</w:t>
      </w:r>
      <w:r w:rsidRPr="00691D31">
        <w:rPr>
          <w:lang w:val="en-GB"/>
        </w:rPr>
        <w:t xml:space="preserve"> = 2 GHz</w:t>
      </w:r>
    </w:p>
    <w:p w14:paraId="7AFE6332" w14:textId="345ADB31" w:rsidR="00023A94" w:rsidRPr="00023A94" w:rsidRDefault="00023A94" w:rsidP="00023A94">
      <w:pPr>
        <w:pStyle w:val="Figure"/>
        <w:rPr>
          <w:lang w:val="en-GB"/>
        </w:rPr>
      </w:pPr>
      <w:r>
        <w:rPr>
          <w:noProof/>
          <w:lang w:val="en-GB"/>
        </w:rPr>
        <w:drawing>
          <wp:inline distT="0" distB="0" distL="0" distR="0" wp14:anchorId="1C97A84A" wp14:editId="30E6310A">
            <wp:extent cx="6120765" cy="2576195"/>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09-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576195"/>
                    </a:xfrm>
                    <a:prstGeom prst="rect">
                      <a:avLst/>
                    </a:prstGeom>
                  </pic:spPr>
                </pic:pic>
              </a:graphicData>
            </a:graphic>
          </wp:inline>
        </w:drawing>
      </w:r>
    </w:p>
    <w:p w14:paraId="019DA09D" w14:textId="77777777" w:rsidR="00530811" w:rsidRPr="00555DA1" w:rsidRDefault="00530811" w:rsidP="00A40D99">
      <w:pPr>
        <w:rPr>
          <w:lang w:val="en-GB"/>
        </w:rPr>
      </w:pPr>
    </w:p>
    <w:p w14:paraId="17275F02" w14:textId="77777777" w:rsidR="00355566" w:rsidRPr="00555DA1" w:rsidRDefault="00355566" w:rsidP="00A87038">
      <w:pPr>
        <w:pStyle w:val="Line"/>
      </w:pPr>
    </w:p>
    <w:sectPr w:rsidR="00355566" w:rsidRPr="00555DA1" w:rsidSect="00A87038">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7DD2" w14:textId="77777777" w:rsidR="00827880" w:rsidRDefault="00827880">
      <w:r>
        <w:separator/>
      </w:r>
    </w:p>
  </w:endnote>
  <w:endnote w:type="continuationSeparator" w:id="0">
    <w:p w14:paraId="690CA66E" w14:textId="77777777" w:rsidR="00827880" w:rsidRDefault="008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63E69" w14:textId="77777777" w:rsidR="00827880" w:rsidRDefault="00827880">
      <w:r>
        <w:separator/>
      </w:r>
    </w:p>
  </w:footnote>
  <w:footnote w:type="continuationSeparator" w:id="0">
    <w:p w14:paraId="1378A779" w14:textId="77777777" w:rsidR="00827880" w:rsidRDefault="00827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23E8" w14:textId="77777777" w:rsidR="00D41973" w:rsidRDefault="00D4197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EB04" w14:textId="77777777" w:rsidR="00D41973" w:rsidRDefault="00D41973" w:rsidP="000A57BE">
    <w:pPr>
      <w:ind w:right="360" w:firstLine="360"/>
    </w:pPr>
    <w:r>
      <w:rPr>
        <w:noProof/>
        <w:lang w:val="en-GB" w:eastAsia="en-GB"/>
      </w:rPr>
      <w:drawing>
        <wp:anchor distT="0" distB="0" distL="114300" distR="114300" simplePos="0" relativeHeight="251659264" behindDoc="1" locked="0" layoutInCell="1" allowOverlap="1" wp14:anchorId="139D3CAA" wp14:editId="122CF8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5D1D" w14:textId="7033EFAA" w:rsidR="00D41973" w:rsidRPr="00FC42AF" w:rsidRDefault="00D41973" w:rsidP="00A87038">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3E93">
      <w:rPr>
        <w:rStyle w:val="PageNumber"/>
        <w:b/>
        <w:bCs/>
        <w:noProof/>
      </w:rPr>
      <w:t>ii</w:t>
    </w:r>
    <w:r>
      <w:rPr>
        <w:rStyle w:val="PageNumber"/>
        <w:b/>
        <w:bCs/>
      </w:rPr>
      <w:fldChar w:fldCharType="end"/>
    </w:r>
    <w:r w:rsidRPr="00FC42AF">
      <w:tab/>
    </w:r>
    <w:fldSimple w:instr=" DOCPROPERTY &quot;Header&quot; \* MERGEFORMAT ">
      <w:r w:rsidR="00005387" w:rsidRPr="0000538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D42BE">
      <w:rPr>
        <w:b/>
        <w:bCs/>
        <w:noProof/>
      </w:rPr>
      <w:t>ITU-R  P.1409-2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94AAA" w14:textId="3AD82F01" w:rsidR="00D41973" w:rsidRDefault="00D41973">
    <w:r>
      <w:tab/>
    </w:r>
    <w:fldSimple w:instr=" DOCPROPERTY &quot;Header&quot; \* MERGEFORMAT ">
      <w:r w:rsidR="00005387" w:rsidRPr="0000538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05387">
      <w:rPr>
        <w:b/>
        <w:bCs/>
        <w:noProof/>
      </w:rPr>
      <w:t>ITU-R  P.1409-2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E953" w14:textId="753479F4" w:rsidR="00D41973" w:rsidRDefault="00D41973" w:rsidP="00A87038">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3E93">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05387" w:rsidRPr="0000538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D42BE">
      <w:rPr>
        <w:b/>
        <w:bCs/>
        <w:noProof/>
      </w:rPr>
      <w:t>ITU-R  P.1409-2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CD06" w14:textId="4F32DC90" w:rsidR="00D41973" w:rsidRDefault="00D41973" w:rsidP="00A87038">
    <w:pPr>
      <w:tabs>
        <w:tab w:val="clear" w:pos="794"/>
        <w:tab w:val="clear" w:pos="1191"/>
        <w:tab w:val="clear" w:pos="1588"/>
        <w:tab w:val="clear" w:pos="1985"/>
        <w:tab w:val="center" w:pos="4848"/>
        <w:tab w:val="center" w:pos="9696"/>
      </w:tabs>
    </w:pPr>
    <w:r>
      <w:tab/>
    </w:r>
    <w:fldSimple w:instr=" DOCPROPERTY &quot;Header&quot; \* MERGEFORMAT ">
      <w:r w:rsidR="00005387" w:rsidRPr="0000538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42BE">
      <w:rPr>
        <w:b/>
        <w:bCs/>
        <w:noProof/>
      </w:rPr>
      <w:t>ITU-R  P.1409-2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3E9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47B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03448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563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B49C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84D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E607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6FF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1245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4029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BAB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7FB49C2"/>
    <w:multiLevelType w:val="hybridMultilevel"/>
    <w:tmpl w:val="954C12EE"/>
    <w:lvl w:ilvl="0" w:tplc="9428662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55859"/>
    <w:multiLevelType w:val="hybridMultilevel"/>
    <w:tmpl w:val="6CA6BACE"/>
    <w:lvl w:ilvl="0" w:tplc="C4E406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09B4999"/>
    <w:multiLevelType w:val="hybridMultilevel"/>
    <w:tmpl w:val="C6C055CC"/>
    <w:lvl w:ilvl="0" w:tplc="CB0E8E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1E82A08"/>
    <w:multiLevelType w:val="hybridMultilevel"/>
    <w:tmpl w:val="EE56DAE0"/>
    <w:lvl w:ilvl="0" w:tplc="D3C4BA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2"/>
  </w:num>
  <w:num w:numId="3">
    <w:abstractNumId w:val="16"/>
  </w:num>
  <w:num w:numId="4">
    <w:abstractNumId w:val="15"/>
  </w:num>
  <w:num w:numId="5">
    <w:abstractNumId w:val="17"/>
  </w:num>
  <w:num w:numId="6">
    <w:abstractNumId w:val="0"/>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4"/>
  </w:num>
  <w:num w:numId="18">
    <w:abstractNumId w:val="18"/>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566"/>
    <w:rsid w:val="00001B4C"/>
    <w:rsid w:val="00005387"/>
    <w:rsid w:val="00005A53"/>
    <w:rsid w:val="0001797B"/>
    <w:rsid w:val="00023A94"/>
    <w:rsid w:val="00025EC8"/>
    <w:rsid w:val="00027B18"/>
    <w:rsid w:val="0005080E"/>
    <w:rsid w:val="0005545B"/>
    <w:rsid w:val="0005695B"/>
    <w:rsid w:val="000772AC"/>
    <w:rsid w:val="00084FAB"/>
    <w:rsid w:val="00094268"/>
    <w:rsid w:val="000A57BE"/>
    <w:rsid w:val="000B6403"/>
    <w:rsid w:val="000C2394"/>
    <w:rsid w:val="000D53C9"/>
    <w:rsid w:val="000E4249"/>
    <w:rsid w:val="000E5A37"/>
    <w:rsid w:val="000F4CC4"/>
    <w:rsid w:val="0012612E"/>
    <w:rsid w:val="00150ABC"/>
    <w:rsid w:val="00167B85"/>
    <w:rsid w:val="001723AC"/>
    <w:rsid w:val="001B2AD6"/>
    <w:rsid w:val="001C152E"/>
    <w:rsid w:val="001C17CF"/>
    <w:rsid w:val="001D7412"/>
    <w:rsid w:val="001E30CE"/>
    <w:rsid w:val="001E6D77"/>
    <w:rsid w:val="0020646C"/>
    <w:rsid w:val="00213246"/>
    <w:rsid w:val="00215C7F"/>
    <w:rsid w:val="00217EBF"/>
    <w:rsid w:val="002344C8"/>
    <w:rsid w:val="00242AEE"/>
    <w:rsid w:val="00275595"/>
    <w:rsid w:val="002A1634"/>
    <w:rsid w:val="002B683E"/>
    <w:rsid w:val="002D76C4"/>
    <w:rsid w:val="002E3381"/>
    <w:rsid w:val="0030059E"/>
    <w:rsid w:val="00322F5B"/>
    <w:rsid w:val="00355566"/>
    <w:rsid w:val="00357380"/>
    <w:rsid w:val="00367A48"/>
    <w:rsid w:val="003A7B52"/>
    <w:rsid w:val="003F54D0"/>
    <w:rsid w:val="004053EE"/>
    <w:rsid w:val="00415A49"/>
    <w:rsid w:val="00446917"/>
    <w:rsid w:val="00455DE4"/>
    <w:rsid w:val="00473063"/>
    <w:rsid w:val="004764A0"/>
    <w:rsid w:val="00496224"/>
    <w:rsid w:val="004C50BE"/>
    <w:rsid w:val="004F5C91"/>
    <w:rsid w:val="00524EC0"/>
    <w:rsid w:val="0052529D"/>
    <w:rsid w:val="00530811"/>
    <w:rsid w:val="00531F13"/>
    <w:rsid w:val="00544208"/>
    <w:rsid w:val="00555DA1"/>
    <w:rsid w:val="0055626A"/>
    <w:rsid w:val="00557B87"/>
    <w:rsid w:val="0056359C"/>
    <w:rsid w:val="00581153"/>
    <w:rsid w:val="0058473E"/>
    <w:rsid w:val="00593E93"/>
    <w:rsid w:val="005B3980"/>
    <w:rsid w:val="005D7C34"/>
    <w:rsid w:val="005E4AB4"/>
    <w:rsid w:val="00607D68"/>
    <w:rsid w:val="006129D3"/>
    <w:rsid w:val="006218A6"/>
    <w:rsid w:val="00622266"/>
    <w:rsid w:val="00632AA2"/>
    <w:rsid w:val="006360A3"/>
    <w:rsid w:val="0064170E"/>
    <w:rsid w:val="0067436D"/>
    <w:rsid w:val="006876BA"/>
    <w:rsid w:val="00691D31"/>
    <w:rsid w:val="006C3B84"/>
    <w:rsid w:val="006E2012"/>
    <w:rsid w:val="007468DA"/>
    <w:rsid w:val="0075295E"/>
    <w:rsid w:val="007622FC"/>
    <w:rsid w:val="00767F85"/>
    <w:rsid w:val="007B64D7"/>
    <w:rsid w:val="007B6BE3"/>
    <w:rsid w:val="007D42BE"/>
    <w:rsid w:val="0081085C"/>
    <w:rsid w:val="008118A2"/>
    <w:rsid w:val="00827880"/>
    <w:rsid w:val="00837C86"/>
    <w:rsid w:val="008442A6"/>
    <w:rsid w:val="00845400"/>
    <w:rsid w:val="008974FA"/>
    <w:rsid w:val="008A4A44"/>
    <w:rsid w:val="008B7E7A"/>
    <w:rsid w:val="008D49D4"/>
    <w:rsid w:val="009117D4"/>
    <w:rsid w:val="00917582"/>
    <w:rsid w:val="00932030"/>
    <w:rsid w:val="00962106"/>
    <w:rsid w:val="009819FC"/>
    <w:rsid w:val="009A1088"/>
    <w:rsid w:val="009B2EC6"/>
    <w:rsid w:val="009C2A87"/>
    <w:rsid w:val="009C43D5"/>
    <w:rsid w:val="009D6E4E"/>
    <w:rsid w:val="009E00A8"/>
    <w:rsid w:val="009E3C86"/>
    <w:rsid w:val="009E7C2A"/>
    <w:rsid w:val="00A13F01"/>
    <w:rsid w:val="00A1762C"/>
    <w:rsid w:val="00A2525C"/>
    <w:rsid w:val="00A40D99"/>
    <w:rsid w:val="00A4227A"/>
    <w:rsid w:val="00A57EBD"/>
    <w:rsid w:val="00A6617B"/>
    <w:rsid w:val="00A87038"/>
    <w:rsid w:val="00A9463D"/>
    <w:rsid w:val="00AA1839"/>
    <w:rsid w:val="00AA7FB3"/>
    <w:rsid w:val="00AB0DC8"/>
    <w:rsid w:val="00AB5970"/>
    <w:rsid w:val="00AB5E4F"/>
    <w:rsid w:val="00AC3C79"/>
    <w:rsid w:val="00AC73EB"/>
    <w:rsid w:val="00AD06B8"/>
    <w:rsid w:val="00AE5815"/>
    <w:rsid w:val="00AF400E"/>
    <w:rsid w:val="00B1624A"/>
    <w:rsid w:val="00B17A5C"/>
    <w:rsid w:val="00B23632"/>
    <w:rsid w:val="00B44E24"/>
    <w:rsid w:val="00B67613"/>
    <w:rsid w:val="00B86048"/>
    <w:rsid w:val="00B93A96"/>
    <w:rsid w:val="00B9643F"/>
    <w:rsid w:val="00BA1479"/>
    <w:rsid w:val="00BA2AAE"/>
    <w:rsid w:val="00BA5F1E"/>
    <w:rsid w:val="00BB0D5D"/>
    <w:rsid w:val="00C21EF5"/>
    <w:rsid w:val="00C2566D"/>
    <w:rsid w:val="00C33C18"/>
    <w:rsid w:val="00C412E5"/>
    <w:rsid w:val="00C54C0C"/>
    <w:rsid w:val="00C62F58"/>
    <w:rsid w:val="00C74C80"/>
    <w:rsid w:val="00C818C0"/>
    <w:rsid w:val="00C83060"/>
    <w:rsid w:val="00C83460"/>
    <w:rsid w:val="00CA16C8"/>
    <w:rsid w:val="00CF71C3"/>
    <w:rsid w:val="00D10655"/>
    <w:rsid w:val="00D1090A"/>
    <w:rsid w:val="00D137A9"/>
    <w:rsid w:val="00D41973"/>
    <w:rsid w:val="00D97C23"/>
    <w:rsid w:val="00DA42FE"/>
    <w:rsid w:val="00DA46F1"/>
    <w:rsid w:val="00DB5A74"/>
    <w:rsid w:val="00DB707D"/>
    <w:rsid w:val="00DD2CA8"/>
    <w:rsid w:val="00DF4176"/>
    <w:rsid w:val="00E12F37"/>
    <w:rsid w:val="00E21599"/>
    <w:rsid w:val="00E35A96"/>
    <w:rsid w:val="00ED2B64"/>
    <w:rsid w:val="00EE6593"/>
    <w:rsid w:val="00F0738C"/>
    <w:rsid w:val="00F46BA0"/>
    <w:rsid w:val="00F814D1"/>
    <w:rsid w:val="00F82C4B"/>
    <w:rsid w:val="00FB24B4"/>
    <w:rsid w:val="00FD0765"/>
    <w:rsid w:val="00FD1396"/>
    <w:rsid w:val="00FD15CF"/>
    <w:rsid w:val="00FD506C"/>
    <w:rsid w:val="00FD5FE8"/>
    <w:rsid w:val="00FD7DC3"/>
    <w:rsid w:val="00FF79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1456F6F"/>
  <w15:docId w15:val="{84DBC4DB-6467-4DF0-BB36-222D2CC6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2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87038"/>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A87038"/>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772A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355566"/>
    <w:rPr>
      <w:color w:val="0000FF"/>
      <w:u w:val="single"/>
    </w:rPr>
  </w:style>
  <w:style w:type="character" w:customStyle="1" w:styleId="Heading1Char">
    <w:name w:val="Heading 1 Char"/>
    <w:basedOn w:val="DefaultParagraphFont"/>
    <w:link w:val="Heading1"/>
    <w:uiPriority w:val="9"/>
    <w:locked/>
    <w:rsid w:val="00355566"/>
    <w:rPr>
      <w:b/>
      <w:sz w:val="24"/>
      <w:lang w:val="fr-FR" w:eastAsia="en-US"/>
    </w:rPr>
  </w:style>
  <w:style w:type="character" w:customStyle="1" w:styleId="Heading2Char">
    <w:name w:val="Heading 2 Char"/>
    <w:basedOn w:val="DefaultParagraphFont"/>
    <w:link w:val="Heading2"/>
    <w:uiPriority w:val="9"/>
    <w:locked/>
    <w:rsid w:val="00355566"/>
    <w:rPr>
      <w:b/>
      <w:sz w:val="24"/>
      <w:lang w:val="fr-FR" w:eastAsia="en-US"/>
    </w:rPr>
  </w:style>
  <w:style w:type="character" w:customStyle="1" w:styleId="Heading3Char">
    <w:name w:val="Heading 3 Char"/>
    <w:basedOn w:val="DefaultParagraphFont"/>
    <w:link w:val="Heading3"/>
    <w:uiPriority w:val="9"/>
    <w:locked/>
    <w:rsid w:val="00355566"/>
    <w:rPr>
      <w:b/>
      <w:sz w:val="24"/>
      <w:lang w:val="fr-FR" w:eastAsia="en-US"/>
    </w:rPr>
  </w:style>
  <w:style w:type="character" w:customStyle="1" w:styleId="Heading4Char">
    <w:name w:val="Heading 4 Char"/>
    <w:basedOn w:val="DefaultParagraphFont"/>
    <w:link w:val="Heading4"/>
    <w:uiPriority w:val="9"/>
    <w:locked/>
    <w:rsid w:val="00355566"/>
    <w:rPr>
      <w:b/>
      <w:sz w:val="24"/>
      <w:lang w:val="fr-FR" w:eastAsia="en-US"/>
    </w:rPr>
  </w:style>
  <w:style w:type="character" w:customStyle="1" w:styleId="Heading5Char">
    <w:name w:val="Heading 5 Char"/>
    <w:basedOn w:val="DefaultParagraphFont"/>
    <w:link w:val="Heading5"/>
    <w:uiPriority w:val="9"/>
    <w:locked/>
    <w:rsid w:val="00355566"/>
    <w:rPr>
      <w:b/>
      <w:sz w:val="24"/>
      <w:lang w:val="fr-FR" w:eastAsia="en-US"/>
    </w:rPr>
  </w:style>
  <w:style w:type="character" w:customStyle="1" w:styleId="Heading6Char">
    <w:name w:val="Heading 6 Char"/>
    <w:basedOn w:val="DefaultParagraphFont"/>
    <w:link w:val="Heading6"/>
    <w:uiPriority w:val="9"/>
    <w:locked/>
    <w:rsid w:val="00355566"/>
    <w:rPr>
      <w:b/>
      <w:sz w:val="24"/>
      <w:lang w:val="fr-FR" w:eastAsia="en-US"/>
    </w:rPr>
  </w:style>
  <w:style w:type="character" w:customStyle="1" w:styleId="Heading7Char">
    <w:name w:val="Heading 7 Char"/>
    <w:basedOn w:val="DefaultParagraphFont"/>
    <w:link w:val="Heading7"/>
    <w:uiPriority w:val="9"/>
    <w:locked/>
    <w:rsid w:val="00355566"/>
    <w:rPr>
      <w:b/>
      <w:sz w:val="24"/>
      <w:lang w:val="fr-FR" w:eastAsia="en-US"/>
    </w:rPr>
  </w:style>
  <w:style w:type="character" w:customStyle="1" w:styleId="Heading8Char">
    <w:name w:val="Heading 8 Char"/>
    <w:basedOn w:val="DefaultParagraphFont"/>
    <w:link w:val="Heading8"/>
    <w:uiPriority w:val="9"/>
    <w:locked/>
    <w:rsid w:val="00355566"/>
    <w:rPr>
      <w:b/>
      <w:sz w:val="24"/>
      <w:lang w:val="fr-FR" w:eastAsia="en-US"/>
    </w:rPr>
  </w:style>
  <w:style w:type="character" w:customStyle="1" w:styleId="Heading9Char">
    <w:name w:val="Heading 9 Char"/>
    <w:basedOn w:val="DefaultParagraphFont"/>
    <w:link w:val="Heading9"/>
    <w:uiPriority w:val="9"/>
    <w:locked/>
    <w:rsid w:val="00355566"/>
    <w:rPr>
      <w:b/>
      <w:sz w:val="24"/>
      <w:lang w:val="fr-FR" w:eastAsia="en-US"/>
    </w:rPr>
  </w:style>
  <w:style w:type="paragraph" w:styleId="Header">
    <w:name w:val="header"/>
    <w:basedOn w:val="Normal"/>
    <w:link w:val="HeaderChar"/>
    <w:uiPriority w:val="99"/>
    <w:rsid w:val="00A87038"/>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87038"/>
    <w:rPr>
      <w:sz w:val="24"/>
      <w:lang w:val="fr-FR" w:eastAsia="en-US"/>
    </w:rPr>
  </w:style>
  <w:style w:type="character" w:customStyle="1" w:styleId="FootnoteTextChar">
    <w:name w:val="Footnote Text Char"/>
    <w:basedOn w:val="DefaultParagraphFont"/>
    <w:link w:val="FootnoteText"/>
    <w:locked/>
    <w:rsid w:val="00355566"/>
    <w:rPr>
      <w:sz w:val="22"/>
      <w:lang w:val="fr-FR" w:eastAsia="en-US"/>
    </w:rPr>
  </w:style>
  <w:style w:type="character" w:styleId="PlaceholderText">
    <w:name w:val="Placeholder Text"/>
    <w:basedOn w:val="DefaultParagraphFont"/>
    <w:uiPriority w:val="99"/>
    <w:semiHidden/>
    <w:rsid w:val="000E5A37"/>
    <w:rPr>
      <w:color w:val="808080"/>
    </w:rPr>
  </w:style>
  <w:style w:type="character" w:styleId="CommentReference">
    <w:name w:val="annotation reference"/>
    <w:basedOn w:val="DefaultParagraphFont"/>
    <w:uiPriority w:val="99"/>
    <w:rsid w:val="00025EC8"/>
    <w:rPr>
      <w:sz w:val="16"/>
      <w:szCs w:val="16"/>
    </w:rPr>
  </w:style>
  <w:style w:type="paragraph" w:styleId="CommentText">
    <w:name w:val="annotation text"/>
    <w:basedOn w:val="Normal"/>
    <w:link w:val="CommentTextChar"/>
    <w:uiPriority w:val="99"/>
    <w:rsid w:val="00025EC8"/>
    <w:rPr>
      <w:sz w:val="20"/>
    </w:rPr>
  </w:style>
  <w:style w:type="character" w:customStyle="1" w:styleId="CommentTextChar">
    <w:name w:val="Comment Text Char"/>
    <w:basedOn w:val="DefaultParagraphFont"/>
    <w:link w:val="CommentText"/>
    <w:uiPriority w:val="99"/>
    <w:rsid w:val="00025EC8"/>
    <w:rPr>
      <w:lang w:val="fr-FR" w:eastAsia="en-US"/>
    </w:rPr>
  </w:style>
  <w:style w:type="paragraph" w:customStyle="1" w:styleId="Artheading">
    <w:name w:val="Art_heading"/>
    <w:basedOn w:val="Normal"/>
    <w:next w:val="Normal"/>
    <w:rsid w:val="005562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5626A"/>
    <w:rPr>
      <w:vertAlign w:val="superscript"/>
    </w:rPr>
  </w:style>
  <w:style w:type="paragraph" w:customStyle="1" w:styleId="Figurewithouttitle">
    <w:name w:val="Figure_without_title"/>
    <w:basedOn w:val="FigureNo"/>
    <w:next w:val="Normal"/>
    <w:rsid w:val="0055626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5626A"/>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rsid w:val="005562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5626A"/>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5562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5626A"/>
    <w:pPr>
      <w:tabs>
        <w:tab w:val="left" w:pos="567"/>
        <w:tab w:val="left" w:pos="1701"/>
        <w:tab w:val="left" w:pos="2835"/>
      </w:tabs>
      <w:spacing w:before="240"/>
    </w:pPr>
    <w:rPr>
      <w:b w:val="0"/>
      <w:caps/>
    </w:rPr>
  </w:style>
  <w:style w:type="paragraph" w:customStyle="1" w:styleId="Title2">
    <w:name w:val="Title 2"/>
    <w:basedOn w:val="Source"/>
    <w:next w:val="Normal"/>
    <w:rsid w:val="0055626A"/>
    <w:pPr>
      <w:overflowPunct/>
      <w:autoSpaceDE/>
      <w:autoSpaceDN/>
      <w:adjustRightInd/>
      <w:spacing w:before="480"/>
      <w:textAlignment w:val="auto"/>
    </w:pPr>
    <w:rPr>
      <w:b w:val="0"/>
      <w:caps/>
    </w:rPr>
  </w:style>
  <w:style w:type="paragraph" w:customStyle="1" w:styleId="Title3">
    <w:name w:val="Title 3"/>
    <w:basedOn w:val="Title2"/>
    <w:next w:val="Normal"/>
    <w:rsid w:val="0055626A"/>
    <w:pPr>
      <w:spacing w:before="240"/>
    </w:pPr>
    <w:rPr>
      <w:caps w:val="0"/>
    </w:rPr>
  </w:style>
  <w:style w:type="paragraph" w:customStyle="1" w:styleId="Title4">
    <w:name w:val="Title 4"/>
    <w:basedOn w:val="Title3"/>
    <w:next w:val="Heading1"/>
    <w:rsid w:val="0055626A"/>
    <w:rPr>
      <w:b/>
    </w:rPr>
  </w:style>
  <w:style w:type="character" w:customStyle="1" w:styleId="Appdef">
    <w:name w:val="App_def"/>
    <w:basedOn w:val="DefaultParagraphFont"/>
    <w:rsid w:val="0055626A"/>
    <w:rPr>
      <w:rFonts w:ascii="Times New Roman" w:hAnsi="Times New Roman"/>
      <w:b/>
    </w:rPr>
  </w:style>
  <w:style w:type="character" w:customStyle="1" w:styleId="Appref">
    <w:name w:val="App_ref"/>
    <w:basedOn w:val="DefaultParagraphFont"/>
    <w:rsid w:val="0055626A"/>
  </w:style>
  <w:style w:type="character" w:customStyle="1" w:styleId="Artdef">
    <w:name w:val="Art_def"/>
    <w:basedOn w:val="DefaultParagraphFont"/>
    <w:rsid w:val="0055626A"/>
    <w:rPr>
      <w:rFonts w:ascii="Times New Roman" w:hAnsi="Times New Roman"/>
      <w:b/>
    </w:rPr>
  </w:style>
  <w:style w:type="character" w:customStyle="1" w:styleId="Artref">
    <w:name w:val="Art_ref"/>
    <w:basedOn w:val="DefaultParagraphFont"/>
    <w:rsid w:val="0055626A"/>
  </w:style>
  <w:style w:type="character" w:customStyle="1" w:styleId="Recdef">
    <w:name w:val="Rec_def"/>
    <w:basedOn w:val="DefaultParagraphFont"/>
    <w:rsid w:val="0055626A"/>
    <w:rPr>
      <w:b/>
    </w:rPr>
  </w:style>
  <w:style w:type="character" w:customStyle="1" w:styleId="Resdef">
    <w:name w:val="Res_def"/>
    <w:basedOn w:val="DefaultParagraphFont"/>
    <w:rsid w:val="0055626A"/>
    <w:rPr>
      <w:rFonts w:ascii="Times New Roman" w:hAnsi="Times New Roman"/>
      <w:b/>
    </w:rPr>
  </w:style>
  <w:style w:type="character" w:customStyle="1" w:styleId="Tablefreq">
    <w:name w:val="Table_freq"/>
    <w:basedOn w:val="DefaultParagraphFont"/>
    <w:rsid w:val="0055626A"/>
    <w:rPr>
      <w:b/>
      <w:color w:val="auto"/>
      <w:sz w:val="20"/>
    </w:rPr>
  </w:style>
  <w:style w:type="paragraph" w:customStyle="1" w:styleId="Formal">
    <w:name w:val="Formal"/>
    <w:basedOn w:val="ASN1"/>
    <w:rsid w:val="0055626A"/>
    <w:pPr>
      <w:tabs>
        <w:tab w:val="left" w:pos="1871"/>
      </w:tabs>
      <w:jc w:val="left"/>
    </w:pPr>
    <w:rPr>
      <w:rFonts w:ascii="Times New Roman Bold" w:hAnsi="Times New Roman Bold"/>
      <w:b w:val="0"/>
      <w:lang w:val="en-GB"/>
    </w:rPr>
  </w:style>
  <w:style w:type="paragraph" w:customStyle="1" w:styleId="Section1">
    <w:name w:val="Section_1"/>
    <w:basedOn w:val="Normal"/>
    <w:rsid w:val="005562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5626A"/>
    <w:rPr>
      <w:b w:val="0"/>
      <w:i/>
    </w:rPr>
  </w:style>
  <w:style w:type="paragraph" w:customStyle="1" w:styleId="AnnexNo">
    <w:name w:val="Annex_No"/>
    <w:basedOn w:val="Normal"/>
    <w:next w:val="Normal"/>
    <w:rsid w:val="005562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562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5626A"/>
  </w:style>
  <w:style w:type="paragraph" w:customStyle="1" w:styleId="Appendixtitle">
    <w:name w:val="Appendix_title"/>
    <w:basedOn w:val="Annextitle"/>
    <w:next w:val="Normal"/>
    <w:rsid w:val="0055626A"/>
  </w:style>
  <w:style w:type="paragraph" w:customStyle="1" w:styleId="Border">
    <w:name w:val="Border"/>
    <w:basedOn w:val="Normal"/>
    <w:rsid w:val="005562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562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562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562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562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5626A"/>
  </w:style>
  <w:style w:type="paragraph" w:customStyle="1" w:styleId="Normalaftertitle0">
    <w:name w:val="Normal after title"/>
    <w:basedOn w:val="Normal"/>
    <w:next w:val="Normal"/>
    <w:rsid w:val="005562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562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5626A"/>
    <w:pPr>
      <w:tabs>
        <w:tab w:val="clear" w:pos="794"/>
        <w:tab w:val="clear" w:pos="1191"/>
        <w:tab w:val="left" w:pos="1134"/>
      </w:tabs>
      <w:jc w:val="left"/>
    </w:pPr>
    <w:rPr>
      <w:lang w:val="en-GB"/>
    </w:rPr>
  </w:style>
  <w:style w:type="paragraph" w:customStyle="1" w:styleId="Section3">
    <w:name w:val="Section_3"/>
    <w:basedOn w:val="Section1"/>
    <w:rsid w:val="0055626A"/>
    <w:rPr>
      <w:b w:val="0"/>
    </w:rPr>
  </w:style>
  <w:style w:type="paragraph" w:customStyle="1" w:styleId="TableTextS5">
    <w:name w:val="Table_TextS5"/>
    <w:basedOn w:val="Normal"/>
    <w:rsid w:val="005562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562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562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562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5626A"/>
  </w:style>
  <w:style w:type="paragraph" w:customStyle="1" w:styleId="Committee">
    <w:name w:val="Committee"/>
    <w:basedOn w:val="Normal"/>
    <w:qFormat/>
    <w:rsid w:val="005562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562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5626A"/>
  </w:style>
  <w:style w:type="paragraph" w:customStyle="1" w:styleId="Subsection1">
    <w:name w:val="Subsection_1"/>
    <w:basedOn w:val="Section1"/>
    <w:next w:val="Normalaftertitle0"/>
    <w:qFormat/>
    <w:rsid w:val="0055626A"/>
  </w:style>
  <w:style w:type="paragraph" w:customStyle="1" w:styleId="Volumetitle">
    <w:name w:val="Volume_title"/>
    <w:basedOn w:val="Normal"/>
    <w:qFormat/>
    <w:rsid w:val="005562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5626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5626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5626A"/>
    <w:rPr>
      <w:rFonts w:ascii="Times New Roman" w:hAnsi="Times New Roman"/>
      <w:b w:val="0"/>
    </w:rPr>
  </w:style>
  <w:style w:type="paragraph" w:customStyle="1" w:styleId="Tablesplit">
    <w:name w:val="Table_split"/>
    <w:basedOn w:val="Tabletext"/>
    <w:qFormat/>
    <w:rsid w:val="0055626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styleId="BalloonText">
    <w:name w:val="Balloon Text"/>
    <w:basedOn w:val="Normal"/>
    <w:link w:val="BalloonTextChar"/>
    <w:uiPriority w:val="99"/>
    <w:semiHidden/>
    <w:unhideWhenUsed/>
    <w:rsid w:val="0055626A"/>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55626A"/>
    <w:rPr>
      <w:rFonts w:ascii="Tahoma" w:eastAsia="MS Mincho" w:hAnsi="Tahoma" w:cs="Tahoma"/>
      <w:sz w:val="16"/>
      <w:szCs w:val="16"/>
      <w:lang w:val="en-GB" w:eastAsia="en-US"/>
    </w:rPr>
  </w:style>
  <w:style w:type="paragraph" w:styleId="ListParagraph">
    <w:name w:val="List Paragraph"/>
    <w:basedOn w:val="Normal"/>
    <w:uiPriority w:val="34"/>
    <w:qFormat/>
    <w:rsid w:val="0055626A"/>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FiguretitleChar">
    <w:name w:val="Figure_title Char"/>
    <w:basedOn w:val="DefaultParagraphFont"/>
    <w:link w:val="Figuretitle"/>
    <w:rsid w:val="00632AA2"/>
    <w:rPr>
      <w:rFonts w:ascii="Times New Roman Bold" w:hAnsi="Times New Roman Bold"/>
      <w:b/>
      <w:sz w:val="18"/>
      <w:lang w:val="fr-FR" w:eastAsia="en-US"/>
    </w:rPr>
  </w:style>
  <w:style w:type="character" w:customStyle="1" w:styleId="FigureNoChar">
    <w:name w:val="Figure_No Char"/>
    <w:link w:val="FigureNo"/>
    <w:rsid w:val="00632AA2"/>
    <w:rPr>
      <w:caps/>
      <w:sz w:val="18"/>
      <w:lang w:val="fr-FR" w:eastAsia="en-US"/>
    </w:rPr>
  </w:style>
  <w:style w:type="character" w:customStyle="1" w:styleId="enumlev1Char">
    <w:name w:val="enumlev1 Char"/>
    <w:link w:val="enumlev1"/>
    <w:locked/>
    <w:rsid w:val="00691D31"/>
    <w:rPr>
      <w:sz w:val="24"/>
      <w:lang w:val="fr-FR" w:eastAsia="en-US"/>
    </w:rPr>
  </w:style>
  <w:style w:type="character" w:customStyle="1" w:styleId="FigureChar">
    <w:name w:val="Figure Char"/>
    <w:aliases w:val="fig Char"/>
    <w:link w:val="Figure"/>
    <w:rsid w:val="00691D31"/>
    <w:rPr>
      <w:caps/>
      <w:sz w:val="18"/>
      <w:lang w:val="fr-FR" w:eastAsia="en-US"/>
    </w:rPr>
  </w:style>
  <w:style w:type="character" w:customStyle="1" w:styleId="FigureNo0">
    <w:name w:val="Figure_No (文字)"/>
    <w:rsid w:val="00691D31"/>
    <w:rPr>
      <w:rFonts w:ascii="Times New Roman" w:hAnsi="Times New Roman"/>
      <w:caps/>
      <w:lang w:val="en-GB" w:eastAsia="en-US"/>
    </w:rPr>
  </w:style>
  <w:style w:type="character" w:customStyle="1" w:styleId="enumlev2Char">
    <w:name w:val="enumlev2 Char"/>
    <w:basedOn w:val="DefaultParagraphFont"/>
    <w:link w:val="enumlev2"/>
    <w:locked/>
    <w:rsid w:val="00691D31"/>
    <w:rPr>
      <w:sz w:val="24"/>
      <w:lang w:val="fr-FR" w:eastAsia="en-US"/>
    </w:rPr>
  </w:style>
  <w:style w:type="character" w:customStyle="1" w:styleId="EquationlegendChar">
    <w:name w:val="Equation_legend Char"/>
    <w:basedOn w:val="DefaultParagraphFont"/>
    <w:link w:val="Equationlegend"/>
    <w:locked/>
    <w:rsid w:val="00691D31"/>
    <w:rPr>
      <w:sz w:val="24"/>
      <w:lang w:eastAsia="en-US"/>
    </w:rPr>
  </w:style>
  <w:style w:type="character" w:customStyle="1" w:styleId="TabletextChar">
    <w:name w:val="Table_text Char"/>
    <w:link w:val="Tabletext"/>
    <w:locked/>
    <w:rsid w:val="00691D31"/>
    <w:rPr>
      <w:sz w:val="22"/>
      <w:lang w:val="fr-FR" w:eastAsia="en-US"/>
    </w:rPr>
  </w:style>
  <w:style w:type="character" w:customStyle="1" w:styleId="EquationChar">
    <w:name w:val="Equation Char"/>
    <w:link w:val="Equation"/>
    <w:locked/>
    <w:rsid w:val="00691D3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n"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210</TotalTime>
  <Pages>10</Pages>
  <Words>2634</Words>
  <Characters>14791</Characters>
  <Application>Microsoft Office Word</Application>
  <DocSecurity>0</DocSecurity>
  <Lines>462</Lines>
  <Paragraphs>12</Paragraphs>
  <ScaleCrop>false</ScaleCrop>
  <HeadingPairs>
    <vt:vector size="2" baseType="variant">
      <vt:variant>
        <vt:lpstr>Title</vt:lpstr>
      </vt:variant>
      <vt:variant>
        <vt:i4>1</vt:i4>
      </vt:variant>
    </vt:vector>
  </HeadingPairs>
  <TitlesOfParts>
    <vt:vector size="1" baseType="lpstr">
      <vt:lpstr>RECOMMENDATION  ITU-R  P.1409-2 - Propagation data and prediction methods for systems using high altitude platform stations and other elevated stations in the stratosphere at frequencies greater than about 1 GHz</vt:lpstr>
    </vt:vector>
  </TitlesOfParts>
  <Company>ITU</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P.1409-2 - Propagation data and prediction methods for systems using high altitude platform stations and other elevated stations in the stratosphere at frequencies greater than about 1 GHz</dc:title>
  <dc:subject>P Series = Radiowave propagation</dc:subject>
  <dc:creator>ITU Radiocommunication Bureau (BR)</dc:creator>
  <cp:keywords>P,1409-2</cp:keywords>
  <dc:description>Gachetc, 16/08/2021, ITU51013811</dc:description>
  <cp:lastModifiedBy>Al-Yammouni, Hala</cp:lastModifiedBy>
  <cp:revision>67</cp:revision>
  <cp:lastPrinted>2021-10-06T12:49:00Z</cp:lastPrinted>
  <dcterms:created xsi:type="dcterms:W3CDTF">2021-08-10T07:50:00Z</dcterms:created>
  <dcterms:modified xsi:type="dcterms:W3CDTF">2022-05-11T14:16:00Z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16 August 2021</vt:lpwstr>
  </property>
</Properties>
</file>