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007" w:rsidRPr="00575CB8" w:rsidRDefault="00611007" w:rsidP="00611007">
      <w:pPr>
        <w:rPr>
          <w:lang w:val="en-US"/>
        </w:rPr>
      </w:pPr>
      <w:bookmarkStart w:id="0" w:name="dbreak"/>
      <w:bookmarkEnd w:id="0"/>
    </w:p>
    <w:p w:rsidR="00611007" w:rsidRDefault="00611007" w:rsidP="00611007"/>
    <w:p w:rsidR="00611007" w:rsidRDefault="00611007" w:rsidP="00611007"/>
    <w:p w:rsidR="00611007" w:rsidRDefault="00611007" w:rsidP="00611007"/>
    <w:p w:rsidR="00611007" w:rsidRDefault="00611007" w:rsidP="00611007"/>
    <w:p w:rsidR="00611007" w:rsidRDefault="00611007" w:rsidP="00611007"/>
    <w:p w:rsidR="00611007" w:rsidRDefault="00611007" w:rsidP="00611007"/>
    <w:p w:rsidR="00611007" w:rsidRDefault="00611007" w:rsidP="00611007"/>
    <w:p w:rsidR="00611007" w:rsidRDefault="00611007" w:rsidP="00611007"/>
    <w:p w:rsidR="00611007" w:rsidRDefault="00611007" w:rsidP="00611007"/>
    <w:p w:rsidR="00611007" w:rsidRDefault="00611007" w:rsidP="00611007"/>
    <w:tbl>
      <w:tblPr>
        <w:tblW w:w="10089" w:type="dxa"/>
        <w:tblLook w:val="01E0" w:firstRow="1" w:lastRow="1" w:firstColumn="1" w:lastColumn="1" w:noHBand="0" w:noVBand="0"/>
      </w:tblPr>
      <w:tblGrid>
        <w:gridCol w:w="10089"/>
      </w:tblGrid>
      <w:tr w:rsidR="00611007" w:rsidRPr="00E5262C" w:rsidTr="00B13B06">
        <w:tc>
          <w:tcPr>
            <w:tcW w:w="10089" w:type="dxa"/>
          </w:tcPr>
          <w:p w:rsidR="00611007" w:rsidRPr="0010336F" w:rsidRDefault="00611007" w:rsidP="00B13B06">
            <w:pPr>
              <w:spacing w:before="380" w:line="280" w:lineRule="exact"/>
              <w:jc w:val="right"/>
              <w:rPr>
                <w:rFonts w:ascii="Tahoma" w:hAnsi="Tahoma" w:cs="Tahoma"/>
                <w:b/>
                <w:bCs/>
                <w:iCs/>
                <w:color w:val="243285"/>
                <w:sz w:val="32"/>
                <w:szCs w:val="32"/>
                <w:lang w:val="en-US"/>
              </w:rPr>
            </w:pPr>
          </w:p>
          <w:p w:rsidR="00611007" w:rsidRPr="0010336F" w:rsidRDefault="00611007" w:rsidP="000D1093">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0D1093">
              <w:rPr>
                <w:rFonts w:ascii="Tahoma" w:hAnsi="Tahoma" w:cs="Tahoma"/>
                <w:b/>
                <w:bCs/>
                <w:iCs/>
                <w:color w:val="243285"/>
                <w:sz w:val="36"/>
                <w:szCs w:val="36"/>
                <w:lang w:val="es-ES_tradnl"/>
              </w:rPr>
              <w:t>1409</w:t>
            </w:r>
            <w:r w:rsidR="008C11A4">
              <w:rPr>
                <w:rFonts w:ascii="Tahoma" w:hAnsi="Tahoma" w:cs="Tahoma"/>
                <w:b/>
                <w:bCs/>
                <w:iCs/>
                <w:color w:val="243285"/>
                <w:sz w:val="36"/>
                <w:szCs w:val="36"/>
                <w:lang w:val="es-ES_tradnl"/>
              </w:rPr>
              <w:t>-</w:t>
            </w:r>
            <w:r w:rsidR="000D1093">
              <w:rPr>
                <w:rFonts w:ascii="Tahoma" w:hAnsi="Tahoma" w:cs="Tahoma"/>
                <w:b/>
                <w:bCs/>
                <w:iCs/>
                <w:color w:val="243285"/>
                <w:sz w:val="36"/>
                <w:szCs w:val="36"/>
                <w:lang w:val="es-ES_tradnl"/>
              </w:rPr>
              <w:t>1</w:t>
            </w:r>
          </w:p>
          <w:p w:rsidR="00611007" w:rsidRPr="0010336F" w:rsidRDefault="00611007" w:rsidP="00611007">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611007" w:rsidRPr="0089546D" w:rsidTr="00B13B06">
        <w:tc>
          <w:tcPr>
            <w:tcW w:w="10089" w:type="dxa"/>
          </w:tcPr>
          <w:p w:rsidR="00611007" w:rsidRPr="0010336F" w:rsidRDefault="00611007" w:rsidP="00B13B06">
            <w:pPr>
              <w:spacing w:before="80" w:line="500" w:lineRule="exact"/>
              <w:jc w:val="right"/>
              <w:rPr>
                <w:rFonts w:ascii="Tahoma" w:hAnsi="Tahoma" w:cs="Tahoma"/>
                <w:b/>
                <w:bCs/>
                <w:iCs/>
                <w:color w:val="243285"/>
                <w:sz w:val="44"/>
                <w:szCs w:val="44"/>
                <w:lang w:val="es-ES_tradnl"/>
              </w:rPr>
            </w:pPr>
          </w:p>
          <w:p w:rsidR="00611007" w:rsidRDefault="000D1093" w:rsidP="00AA5165">
            <w:pPr>
              <w:spacing w:before="80" w:line="500" w:lineRule="exact"/>
              <w:jc w:val="right"/>
              <w:rPr>
                <w:rFonts w:ascii="Tahoma" w:hAnsi="Tahoma" w:cs="Tahoma"/>
                <w:b/>
                <w:bCs/>
                <w:color w:val="243285"/>
                <w:sz w:val="44"/>
                <w:szCs w:val="44"/>
                <w:lang w:val="es-ES_tradnl"/>
              </w:rPr>
            </w:pPr>
            <w:r w:rsidRPr="00F46F25">
              <w:rPr>
                <w:rFonts w:ascii="Tahoma" w:hAnsi="Tahoma" w:cs="Tahoma"/>
                <w:b/>
                <w:bCs/>
                <w:iCs/>
                <w:color w:val="243285"/>
                <w:sz w:val="44"/>
                <w:szCs w:val="44"/>
                <w:lang w:val="es-ES_tradnl"/>
              </w:rPr>
              <w:t>Datos de propagación y métodos</w:t>
            </w:r>
            <w:r w:rsidR="00FC11C8">
              <w:rPr>
                <w:rFonts w:ascii="Tahoma" w:hAnsi="Tahoma" w:cs="Tahoma"/>
                <w:b/>
                <w:bCs/>
                <w:iCs/>
                <w:color w:val="243285"/>
                <w:sz w:val="44"/>
                <w:szCs w:val="44"/>
                <w:lang w:val="es-ES_tradnl"/>
              </w:rPr>
              <w:t xml:space="preserve"> </w:t>
            </w:r>
            <w:r w:rsidRPr="00F46F25">
              <w:rPr>
                <w:rFonts w:ascii="Tahoma" w:hAnsi="Tahoma" w:cs="Tahoma"/>
                <w:b/>
                <w:bCs/>
                <w:iCs/>
                <w:color w:val="243285"/>
                <w:sz w:val="44"/>
                <w:szCs w:val="44"/>
                <w:lang w:val="es-ES_tradnl"/>
              </w:rPr>
              <w:t>de</w:t>
            </w:r>
            <w:r w:rsidR="00AA5165">
              <w:rPr>
                <w:rFonts w:ascii="Tahoma" w:hAnsi="Tahoma" w:cs="Tahoma"/>
                <w:b/>
                <w:bCs/>
                <w:iCs/>
                <w:color w:val="243285"/>
                <w:sz w:val="44"/>
                <w:szCs w:val="44"/>
                <w:lang w:val="es-ES_tradnl"/>
              </w:rPr>
              <w:br/>
            </w:r>
            <w:r w:rsidRPr="00F46F25">
              <w:rPr>
                <w:rFonts w:ascii="Tahoma" w:hAnsi="Tahoma" w:cs="Tahoma"/>
                <w:b/>
                <w:bCs/>
                <w:iCs/>
                <w:color w:val="243285"/>
                <w:sz w:val="44"/>
                <w:szCs w:val="44"/>
                <w:lang w:val="es-ES_tradnl"/>
              </w:rPr>
              <w:t>predicción para sistemas que</w:t>
            </w:r>
            <w:r w:rsidR="00AA5165">
              <w:rPr>
                <w:rFonts w:ascii="Tahoma" w:hAnsi="Tahoma" w:cs="Tahoma"/>
                <w:b/>
                <w:bCs/>
                <w:iCs/>
                <w:color w:val="243285"/>
                <w:sz w:val="44"/>
                <w:szCs w:val="44"/>
                <w:lang w:val="es-ES_tradnl"/>
              </w:rPr>
              <w:t xml:space="preserve"> </w:t>
            </w:r>
            <w:r w:rsidRPr="00F46F25">
              <w:rPr>
                <w:rFonts w:ascii="Tahoma" w:hAnsi="Tahoma" w:cs="Tahoma"/>
                <w:b/>
                <w:bCs/>
                <w:iCs/>
                <w:color w:val="243285"/>
                <w:sz w:val="44"/>
                <w:szCs w:val="44"/>
                <w:lang w:val="es-ES_tradnl"/>
              </w:rPr>
              <w:t xml:space="preserve">utilizan estaciones en </w:t>
            </w:r>
            <w:r w:rsidRPr="00117655">
              <w:rPr>
                <w:rFonts w:ascii="Tahoma" w:hAnsi="Tahoma" w:cs="Tahoma"/>
                <w:b/>
                <w:bCs/>
                <w:iCs/>
                <w:color w:val="243285"/>
                <w:sz w:val="44"/>
                <w:szCs w:val="44"/>
                <w:lang w:val="es-ES_tradnl"/>
              </w:rPr>
              <w:t>plataformas</w:t>
            </w:r>
            <w:r w:rsidR="00AA5165">
              <w:rPr>
                <w:rFonts w:ascii="Tahoma" w:hAnsi="Tahoma" w:cs="Tahoma"/>
                <w:b/>
                <w:bCs/>
                <w:iCs/>
                <w:color w:val="243285"/>
                <w:sz w:val="44"/>
                <w:szCs w:val="44"/>
                <w:lang w:val="es-ES_tradnl"/>
              </w:rPr>
              <w:t xml:space="preserve"> </w:t>
            </w:r>
            <w:r w:rsidR="00AA5165" w:rsidRPr="00117655">
              <w:rPr>
                <w:rFonts w:ascii="Tahoma" w:hAnsi="Tahoma" w:cs="Tahoma"/>
                <w:b/>
                <w:bCs/>
                <w:iCs/>
                <w:color w:val="243285"/>
                <w:sz w:val="44"/>
                <w:szCs w:val="44"/>
                <w:lang w:val="es-ES_tradnl"/>
              </w:rPr>
              <w:t>a gran</w:t>
            </w:r>
            <w:r w:rsidR="00AA5165">
              <w:rPr>
                <w:rFonts w:ascii="Tahoma" w:hAnsi="Tahoma" w:cs="Tahoma"/>
                <w:b/>
                <w:bCs/>
                <w:iCs/>
                <w:color w:val="243285"/>
                <w:sz w:val="44"/>
                <w:szCs w:val="44"/>
                <w:lang w:val="es-ES_tradnl"/>
              </w:rPr>
              <w:br/>
            </w:r>
            <w:r w:rsidRPr="00117655">
              <w:rPr>
                <w:rFonts w:ascii="Tahoma" w:hAnsi="Tahoma" w:cs="Tahoma"/>
                <w:b/>
                <w:bCs/>
                <w:iCs/>
                <w:color w:val="243285"/>
                <w:sz w:val="44"/>
                <w:szCs w:val="44"/>
                <w:lang w:val="es-ES_tradnl"/>
              </w:rPr>
              <w:t>altitud</w:t>
            </w:r>
            <w:r w:rsidR="00FC11C8">
              <w:rPr>
                <w:rFonts w:ascii="Tahoma" w:hAnsi="Tahoma" w:cs="Tahoma"/>
                <w:b/>
                <w:bCs/>
                <w:iCs/>
                <w:color w:val="243285"/>
                <w:sz w:val="44"/>
                <w:szCs w:val="44"/>
                <w:lang w:val="es-ES_tradnl"/>
              </w:rPr>
              <w:t xml:space="preserve"> </w:t>
            </w:r>
            <w:r w:rsidRPr="00117655">
              <w:rPr>
                <w:rFonts w:ascii="Tahoma" w:hAnsi="Tahoma" w:cs="Tahoma"/>
                <w:b/>
                <w:bCs/>
                <w:iCs/>
                <w:color w:val="243285"/>
                <w:sz w:val="44"/>
                <w:szCs w:val="44"/>
                <w:lang w:val="es-ES_tradnl"/>
              </w:rPr>
              <w:t>y otras estaciones</w:t>
            </w:r>
            <w:r w:rsidR="00AA5165">
              <w:rPr>
                <w:rFonts w:ascii="Tahoma" w:hAnsi="Tahoma" w:cs="Tahoma"/>
                <w:b/>
                <w:bCs/>
                <w:iCs/>
                <w:color w:val="243285"/>
                <w:sz w:val="44"/>
                <w:szCs w:val="44"/>
                <w:lang w:val="es-ES_tradnl"/>
              </w:rPr>
              <w:t xml:space="preserve"> </w:t>
            </w:r>
            <w:r w:rsidRPr="00117655">
              <w:rPr>
                <w:rFonts w:ascii="Tahoma" w:hAnsi="Tahoma" w:cs="Tahoma"/>
                <w:b/>
                <w:bCs/>
                <w:iCs/>
                <w:color w:val="243285"/>
                <w:sz w:val="44"/>
                <w:szCs w:val="44"/>
                <w:lang w:val="es-ES_tradnl"/>
              </w:rPr>
              <w:t>elevadas</w:t>
            </w:r>
            <w:r w:rsidR="00AA5165">
              <w:rPr>
                <w:rFonts w:ascii="Tahoma" w:hAnsi="Tahoma" w:cs="Tahoma"/>
                <w:b/>
                <w:bCs/>
                <w:iCs/>
                <w:color w:val="243285"/>
                <w:sz w:val="44"/>
                <w:szCs w:val="44"/>
                <w:lang w:val="es-ES_tradnl"/>
              </w:rPr>
              <w:br/>
            </w:r>
            <w:r w:rsidRPr="00117655">
              <w:rPr>
                <w:rFonts w:ascii="Tahoma" w:hAnsi="Tahoma" w:cs="Tahoma"/>
                <w:b/>
                <w:bCs/>
                <w:iCs/>
                <w:color w:val="243285"/>
                <w:sz w:val="44"/>
                <w:szCs w:val="44"/>
                <w:lang w:val="es-ES_tradnl"/>
              </w:rPr>
              <w:t>en la</w:t>
            </w:r>
            <w:r w:rsidRPr="00F46F25">
              <w:rPr>
                <w:rFonts w:ascii="Tahoma" w:hAnsi="Tahoma" w:cs="Tahoma"/>
                <w:b/>
                <w:bCs/>
                <w:iCs/>
                <w:color w:val="243285"/>
                <w:sz w:val="44"/>
                <w:szCs w:val="44"/>
                <w:lang w:val="es-ES_tradnl"/>
              </w:rPr>
              <w:t xml:space="preserve"> estratosfera</w:t>
            </w:r>
            <w:r w:rsidR="00AA5165">
              <w:rPr>
                <w:rFonts w:ascii="Tahoma" w:hAnsi="Tahoma" w:cs="Tahoma"/>
                <w:b/>
                <w:bCs/>
                <w:iCs/>
                <w:color w:val="243285"/>
                <w:sz w:val="44"/>
                <w:szCs w:val="44"/>
                <w:lang w:val="es-ES_tradnl"/>
              </w:rPr>
              <w:t xml:space="preserve"> en</w:t>
            </w:r>
            <w:r w:rsidR="00AA5165" w:rsidRPr="00F46F25">
              <w:rPr>
                <w:rFonts w:ascii="Tahoma" w:hAnsi="Tahoma" w:cs="Tahoma"/>
                <w:b/>
                <w:bCs/>
                <w:iCs/>
                <w:color w:val="243285"/>
                <w:sz w:val="44"/>
                <w:szCs w:val="44"/>
                <w:lang w:val="es-ES_tradnl"/>
              </w:rPr>
              <w:t xml:space="preserve"> </w:t>
            </w:r>
            <w:r w:rsidRPr="00F46F25">
              <w:rPr>
                <w:rFonts w:ascii="Tahoma" w:hAnsi="Tahoma" w:cs="Tahoma"/>
                <w:b/>
                <w:bCs/>
                <w:iCs/>
                <w:color w:val="243285"/>
                <w:sz w:val="44"/>
                <w:szCs w:val="44"/>
                <w:lang w:val="es-ES_tradnl"/>
              </w:rPr>
              <w:t>frecuencias</w:t>
            </w:r>
            <w:r w:rsidR="00AA5165">
              <w:rPr>
                <w:rFonts w:ascii="Tahoma" w:hAnsi="Tahoma" w:cs="Tahoma"/>
                <w:b/>
                <w:bCs/>
                <w:iCs/>
                <w:color w:val="243285"/>
                <w:sz w:val="44"/>
                <w:szCs w:val="44"/>
                <w:lang w:val="es-ES_tradnl"/>
              </w:rPr>
              <w:br/>
            </w:r>
            <w:r w:rsidRPr="00F46F25">
              <w:rPr>
                <w:rFonts w:ascii="Tahoma" w:hAnsi="Tahoma" w:cs="Tahoma"/>
                <w:b/>
                <w:bCs/>
                <w:iCs/>
                <w:color w:val="243285"/>
                <w:sz w:val="44"/>
                <w:szCs w:val="44"/>
                <w:lang w:val="es-ES_tradnl"/>
              </w:rPr>
              <w:t>superiores</w:t>
            </w:r>
            <w:r w:rsidR="00FC11C8">
              <w:rPr>
                <w:rFonts w:ascii="Tahoma" w:hAnsi="Tahoma" w:cs="Tahoma"/>
                <w:b/>
                <w:bCs/>
                <w:iCs/>
                <w:color w:val="243285"/>
                <w:sz w:val="44"/>
                <w:szCs w:val="44"/>
                <w:lang w:val="es-ES_tradnl"/>
              </w:rPr>
              <w:t xml:space="preserve"> </w:t>
            </w:r>
            <w:r w:rsidR="00AA5165">
              <w:rPr>
                <w:rFonts w:ascii="Tahoma" w:hAnsi="Tahoma" w:cs="Tahoma"/>
                <w:b/>
                <w:bCs/>
                <w:iCs/>
                <w:color w:val="243285"/>
                <w:sz w:val="44"/>
                <w:szCs w:val="44"/>
                <w:lang w:val="es-ES_tradnl"/>
              </w:rPr>
              <w:t>a</w:t>
            </w:r>
            <w:r w:rsidR="00AA5165" w:rsidRPr="00F46F25">
              <w:rPr>
                <w:rFonts w:ascii="Tahoma" w:hAnsi="Tahoma" w:cs="Tahoma"/>
                <w:b/>
                <w:bCs/>
                <w:iCs/>
                <w:color w:val="243285"/>
                <w:sz w:val="44"/>
                <w:szCs w:val="44"/>
                <w:lang w:val="es-ES_tradnl"/>
              </w:rPr>
              <w:t xml:space="preserve"> </w:t>
            </w:r>
            <w:r w:rsidRPr="00F46F25">
              <w:rPr>
                <w:rFonts w:ascii="Tahoma" w:hAnsi="Tahoma" w:cs="Tahoma"/>
                <w:b/>
                <w:bCs/>
                <w:iCs/>
                <w:color w:val="243285"/>
                <w:sz w:val="44"/>
                <w:szCs w:val="44"/>
                <w:lang w:val="es-ES_tradnl"/>
              </w:rPr>
              <w:t>1 GHz</w:t>
            </w:r>
            <w:r w:rsidR="00FC11C8">
              <w:rPr>
                <w:rFonts w:ascii="Tahoma" w:hAnsi="Tahoma" w:cs="Tahoma"/>
                <w:b/>
                <w:bCs/>
                <w:iCs/>
                <w:color w:val="243285"/>
                <w:sz w:val="44"/>
                <w:szCs w:val="44"/>
                <w:lang w:val="es-ES_tradnl"/>
              </w:rPr>
              <w:t xml:space="preserve"> </w:t>
            </w:r>
            <w:r w:rsidRPr="00F46F25">
              <w:rPr>
                <w:rFonts w:ascii="Tahoma" w:hAnsi="Tahoma" w:cs="Tahoma"/>
                <w:b/>
                <w:bCs/>
                <w:iCs/>
                <w:color w:val="243285"/>
                <w:sz w:val="44"/>
                <w:szCs w:val="44"/>
                <w:lang w:val="es-ES_tradnl"/>
              </w:rPr>
              <w:t>aproximadamente</w:t>
            </w:r>
          </w:p>
          <w:p w:rsidR="00611007" w:rsidRPr="0010336F" w:rsidRDefault="00611007" w:rsidP="00B13B06">
            <w:pPr>
              <w:spacing w:before="80" w:line="500" w:lineRule="exact"/>
              <w:jc w:val="right"/>
              <w:rPr>
                <w:rFonts w:ascii="Tahoma" w:hAnsi="Tahoma" w:cs="Tahoma"/>
                <w:b/>
                <w:bCs/>
                <w:iCs/>
                <w:color w:val="243285"/>
                <w:sz w:val="44"/>
                <w:szCs w:val="44"/>
                <w:lang w:val="es-ES_tradnl"/>
              </w:rPr>
            </w:pPr>
          </w:p>
        </w:tc>
      </w:tr>
      <w:tr w:rsidR="00611007" w:rsidRPr="0089546D" w:rsidTr="00B13B06">
        <w:tc>
          <w:tcPr>
            <w:tcW w:w="10089" w:type="dxa"/>
          </w:tcPr>
          <w:p w:rsidR="00611007" w:rsidRPr="0010336F" w:rsidRDefault="00611007" w:rsidP="00B13B06">
            <w:pPr>
              <w:spacing w:before="80" w:line="280" w:lineRule="exact"/>
              <w:ind w:right="640"/>
              <w:rPr>
                <w:rFonts w:ascii="Tahoma" w:hAnsi="Tahoma" w:cs="Tahoma"/>
                <w:b/>
                <w:bCs/>
                <w:iCs/>
                <w:color w:val="243285"/>
                <w:sz w:val="32"/>
                <w:szCs w:val="32"/>
                <w:lang w:val="es-ES_tradnl"/>
              </w:rPr>
            </w:pPr>
          </w:p>
          <w:p w:rsidR="00611007" w:rsidRPr="0010336F" w:rsidRDefault="00611007" w:rsidP="00B13B06">
            <w:pPr>
              <w:spacing w:before="80" w:line="280" w:lineRule="exact"/>
              <w:ind w:right="640"/>
              <w:rPr>
                <w:rFonts w:ascii="Tahoma" w:hAnsi="Tahoma" w:cs="Tahoma"/>
                <w:b/>
                <w:bCs/>
                <w:iCs/>
                <w:color w:val="243285"/>
                <w:sz w:val="32"/>
                <w:szCs w:val="32"/>
                <w:lang w:val="es-ES_tradnl"/>
              </w:rPr>
            </w:pPr>
          </w:p>
          <w:p w:rsidR="00611007" w:rsidRPr="0010336F" w:rsidRDefault="00611007" w:rsidP="00B13B06">
            <w:pPr>
              <w:spacing w:before="80" w:after="180" w:line="360" w:lineRule="exact"/>
              <w:ind w:right="720"/>
              <w:rPr>
                <w:rFonts w:ascii="Tahoma" w:hAnsi="Tahoma" w:cs="Tahoma"/>
                <w:b/>
                <w:bCs/>
                <w:iCs/>
                <w:color w:val="243285"/>
                <w:sz w:val="36"/>
                <w:szCs w:val="36"/>
                <w:lang w:val="es-ES_tradnl"/>
              </w:rPr>
            </w:pPr>
          </w:p>
          <w:p w:rsidR="00611007" w:rsidRPr="0010336F" w:rsidRDefault="00611007" w:rsidP="00B13B06">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611007" w:rsidRPr="0010336F" w:rsidRDefault="00611007" w:rsidP="00B13B06">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611007" w:rsidRPr="0026666F" w:rsidRDefault="00611007" w:rsidP="00611007">
      <w:pPr>
        <w:spacing w:before="80"/>
        <w:rPr>
          <w:i/>
          <w:sz w:val="22"/>
          <w:lang w:val="es-ES_tradnl"/>
        </w:rPr>
      </w:pPr>
    </w:p>
    <w:p w:rsidR="00611007" w:rsidRPr="0026666F" w:rsidRDefault="00611007" w:rsidP="00611007">
      <w:pPr>
        <w:spacing w:before="80"/>
        <w:rPr>
          <w:i/>
          <w:sz w:val="22"/>
          <w:lang w:val="es-ES_tradnl"/>
        </w:rPr>
      </w:pPr>
    </w:p>
    <w:p w:rsidR="00611007" w:rsidRPr="0026666F" w:rsidRDefault="00611007" w:rsidP="00611007">
      <w:pPr>
        <w:spacing w:before="80"/>
        <w:rPr>
          <w:i/>
          <w:sz w:val="22"/>
          <w:lang w:val="es-ES_tradnl"/>
        </w:rPr>
      </w:pPr>
    </w:p>
    <w:p w:rsidR="00611007" w:rsidRPr="0026666F" w:rsidRDefault="00611007" w:rsidP="00611007">
      <w:pPr>
        <w:spacing w:before="80"/>
        <w:rPr>
          <w:i/>
          <w:sz w:val="22"/>
          <w:lang w:val="es-ES_tradnl"/>
        </w:rPr>
      </w:pPr>
    </w:p>
    <w:p w:rsidR="00611007" w:rsidRPr="0026666F" w:rsidRDefault="00611007" w:rsidP="00611007">
      <w:pPr>
        <w:spacing w:before="80"/>
        <w:rPr>
          <w:i/>
          <w:sz w:val="22"/>
          <w:lang w:val="es-ES_tradnl"/>
        </w:rPr>
      </w:pPr>
    </w:p>
    <w:p w:rsidR="00611007" w:rsidRPr="0026666F" w:rsidRDefault="00611007" w:rsidP="00611007">
      <w:pPr>
        <w:spacing w:before="80"/>
        <w:rPr>
          <w:i/>
          <w:sz w:val="22"/>
          <w:lang w:val="es-ES_tradnl"/>
        </w:rPr>
      </w:pPr>
    </w:p>
    <w:p w:rsidR="00611007" w:rsidRPr="0026666F" w:rsidRDefault="00611007" w:rsidP="00611007">
      <w:pPr>
        <w:pStyle w:val="Equation"/>
        <w:tabs>
          <w:tab w:val="clear" w:pos="4820"/>
          <w:tab w:val="clear" w:pos="9639"/>
          <w:tab w:val="left" w:pos="1191"/>
          <w:tab w:val="left" w:pos="1588"/>
          <w:tab w:val="left" w:pos="1985"/>
        </w:tabs>
        <w:rPr>
          <w:rFonts w:ascii="Palatino Linotype" w:hAnsi="Palatino Linotype"/>
          <w:lang w:val="es-ES_tradnl"/>
        </w:rPr>
        <w:sectPr w:rsidR="00611007" w:rsidRPr="0026666F">
          <w:headerReference w:type="even" r:id="rId8"/>
          <w:headerReference w:type="default" r:id="rId9"/>
          <w:pgSz w:w="11907" w:h="16840" w:code="9"/>
          <w:pgMar w:top="1089" w:right="1089" w:bottom="284" w:left="1089" w:header="567" w:footer="284" w:gutter="0"/>
          <w:pgNumType w:start="1"/>
          <w:cols w:space="720"/>
        </w:sectPr>
      </w:pPr>
    </w:p>
    <w:p w:rsidR="00611007" w:rsidRPr="006C718C" w:rsidRDefault="00611007" w:rsidP="006110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611007" w:rsidRPr="006C718C" w:rsidRDefault="00611007" w:rsidP="00611007">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611007" w:rsidRPr="006C718C" w:rsidRDefault="00611007" w:rsidP="00611007">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611007" w:rsidRPr="00021E8A" w:rsidRDefault="00611007" w:rsidP="00611007">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611007" w:rsidRPr="00021E8A" w:rsidRDefault="00611007" w:rsidP="00611007">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611007" w:rsidRPr="007C36CA" w:rsidRDefault="00611007" w:rsidP="00611007">
      <w:pPr>
        <w:spacing w:before="0"/>
        <w:jc w:val="center"/>
        <w:rPr>
          <w:sz w:val="22"/>
          <w:lang w:val="es-ES_tradnl"/>
        </w:rPr>
      </w:pPr>
    </w:p>
    <w:p w:rsidR="00611007" w:rsidRPr="007C36CA" w:rsidRDefault="00611007" w:rsidP="00611007">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11007" w:rsidRPr="0089546D" w:rsidTr="00B13B06">
        <w:tc>
          <w:tcPr>
            <w:tcW w:w="9360" w:type="dxa"/>
            <w:gridSpan w:val="2"/>
          </w:tcPr>
          <w:p w:rsidR="00611007" w:rsidRPr="00021E8A" w:rsidRDefault="00611007" w:rsidP="00B13B06">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611007" w:rsidRPr="00763D08" w:rsidRDefault="00611007" w:rsidP="00B13B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611007" w:rsidRPr="00036EE3" w:rsidTr="00B13B06">
        <w:tc>
          <w:tcPr>
            <w:tcW w:w="1140" w:type="dxa"/>
            <w:tcBorders>
              <w:bottom w:val="nil"/>
            </w:tcBorders>
          </w:tcPr>
          <w:p w:rsidR="00611007" w:rsidRPr="00036EE3" w:rsidRDefault="00611007" w:rsidP="00B13B06">
            <w:pPr>
              <w:spacing w:before="180" w:after="100"/>
              <w:ind w:left="57"/>
              <w:rPr>
                <w:b/>
                <w:bCs/>
                <w:sz w:val="20"/>
                <w:lang w:val="en-US"/>
              </w:rPr>
            </w:pPr>
            <w:r w:rsidRPr="00036EE3">
              <w:rPr>
                <w:b/>
                <w:bCs/>
                <w:sz w:val="20"/>
                <w:lang w:val="en-US"/>
              </w:rPr>
              <w:t>Series</w:t>
            </w:r>
          </w:p>
        </w:tc>
        <w:tc>
          <w:tcPr>
            <w:tcW w:w="8220" w:type="dxa"/>
            <w:tcBorders>
              <w:bottom w:val="nil"/>
            </w:tcBorders>
          </w:tcPr>
          <w:p w:rsidR="00611007" w:rsidRPr="00036EE3" w:rsidRDefault="00611007" w:rsidP="00B13B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11007" w:rsidRPr="004532F7" w:rsidTr="00B13B06">
        <w:tc>
          <w:tcPr>
            <w:tcW w:w="1140" w:type="dxa"/>
            <w:tcBorders>
              <w:top w:val="nil"/>
              <w:bottom w:val="nil"/>
            </w:tcBorders>
            <w:shd w:val="clear" w:color="auto" w:fill="auto"/>
          </w:tcPr>
          <w:p w:rsidR="00611007" w:rsidRPr="004532F7" w:rsidRDefault="00611007" w:rsidP="00B13B06">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611007" w:rsidRPr="004532F7" w:rsidRDefault="00611007" w:rsidP="00B13B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611007" w:rsidRPr="0089546D" w:rsidTr="00B13B06">
        <w:tc>
          <w:tcPr>
            <w:tcW w:w="1140" w:type="dxa"/>
            <w:tcBorders>
              <w:top w:val="nil"/>
              <w:bottom w:val="nil"/>
            </w:tcBorders>
            <w:shd w:val="clear" w:color="auto" w:fill="auto"/>
          </w:tcPr>
          <w:p w:rsidR="00611007" w:rsidRPr="006B22C3" w:rsidRDefault="00611007" w:rsidP="00B13B06">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611007" w:rsidRPr="006B22C3" w:rsidRDefault="00611007" w:rsidP="00B13B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611007" w:rsidRPr="00847DD5" w:rsidTr="00B13B06">
        <w:tc>
          <w:tcPr>
            <w:tcW w:w="1140" w:type="dxa"/>
            <w:tcBorders>
              <w:top w:val="nil"/>
              <w:bottom w:val="nil"/>
            </w:tcBorders>
            <w:shd w:val="clear" w:color="auto" w:fill="auto"/>
          </w:tcPr>
          <w:p w:rsidR="00611007" w:rsidRPr="00847DD5" w:rsidRDefault="00611007" w:rsidP="00B13B06">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611007" w:rsidRPr="00847DD5" w:rsidRDefault="00611007" w:rsidP="00B13B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611007" w:rsidRPr="00ED2695" w:rsidTr="00B13B06">
        <w:tc>
          <w:tcPr>
            <w:tcW w:w="1140" w:type="dxa"/>
            <w:tcBorders>
              <w:top w:val="nil"/>
              <w:bottom w:val="nil"/>
            </w:tcBorders>
            <w:shd w:val="clear" w:color="auto" w:fill="auto"/>
          </w:tcPr>
          <w:p w:rsidR="00611007" w:rsidRPr="00ED2695" w:rsidRDefault="00611007" w:rsidP="00B13B06">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611007" w:rsidRPr="00021E8A" w:rsidRDefault="00611007" w:rsidP="00B13B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611007" w:rsidRPr="00366CEE" w:rsidTr="00B13B06">
        <w:tc>
          <w:tcPr>
            <w:tcW w:w="1140" w:type="dxa"/>
            <w:tcBorders>
              <w:top w:val="nil"/>
              <w:bottom w:val="nil"/>
            </w:tcBorders>
            <w:shd w:val="clear" w:color="auto" w:fill="auto"/>
          </w:tcPr>
          <w:p w:rsidR="00611007" w:rsidRPr="00366CEE" w:rsidRDefault="00611007" w:rsidP="00B13B06">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611007" w:rsidRPr="00366CEE" w:rsidRDefault="00611007" w:rsidP="00B13B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611007" w:rsidRPr="0089546D" w:rsidTr="00B13B06">
        <w:tc>
          <w:tcPr>
            <w:tcW w:w="1140" w:type="dxa"/>
            <w:tcBorders>
              <w:top w:val="nil"/>
              <w:bottom w:val="nil"/>
            </w:tcBorders>
            <w:shd w:val="clear" w:color="auto" w:fill="auto"/>
          </w:tcPr>
          <w:p w:rsidR="00611007" w:rsidRPr="0010336F" w:rsidRDefault="00611007" w:rsidP="00B13B06">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611007" w:rsidRPr="0010336F" w:rsidRDefault="00611007" w:rsidP="00B13B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611007" w:rsidRPr="0089546D" w:rsidTr="00B13B06">
        <w:tc>
          <w:tcPr>
            <w:tcW w:w="1140" w:type="dxa"/>
            <w:tcBorders>
              <w:top w:val="nil"/>
              <w:bottom w:val="nil"/>
            </w:tcBorders>
            <w:shd w:val="clear" w:color="auto" w:fill="F3F3F3"/>
          </w:tcPr>
          <w:p w:rsidR="00611007" w:rsidRPr="00366CEE" w:rsidRDefault="00611007" w:rsidP="00B13B06">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611007" w:rsidRPr="00366CEE" w:rsidRDefault="00611007" w:rsidP="00B13B06">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611007" w:rsidRPr="00036EE3" w:rsidTr="00B13B06">
        <w:tc>
          <w:tcPr>
            <w:tcW w:w="1140" w:type="dxa"/>
            <w:tcBorders>
              <w:top w:val="nil"/>
            </w:tcBorders>
          </w:tcPr>
          <w:p w:rsidR="00611007" w:rsidRPr="00036EE3" w:rsidRDefault="00611007" w:rsidP="00B13B06">
            <w:pPr>
              <w:spacing w:before="30" w:after="30"/>
              <w:ind w:left="57"/>
              <w:jc w:val="left"/>
              <w:rPr>
                <w:b/>
                <w:bCs/>
                <w:sz w:val="20"/>
                <w:lang w:val="en-US"/>
              </w:rPr>
            </w:pPr>
            <w:r w:rsidRPr="00036EE3">
              <w:rPr>
                <w:b/>
                <w:bCs/>
                <w:sz w:val="20"/>
                <w:lang w:val="en-US"/>
              </w:rPr>
              <w:t>RA</w:t>
            </w:r>
          </w:p>
        </w:tc>
        <w:tc>
          <w:tcPr>
            <w:tcW w:w="8220" w:type="dxa"/>
            <w:tcBorders>
              <w:top w:val="nil"/>
            </w:tcBorders>
          </w:tcPr>
          <w:p w:rsidR="00611007" w:rsidRPr="00021E8A" w:rsidRDefault="00611007" w:rsidP="00B13B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611007" w:rsidRPr="0089546D" w:rsidTr="00B13B06">
        <w:tc>
          <w:tcPr>
            <w:tcW w:w="1140" w:type="dxa"/>
          </w:tcPr>
          <w:p w:rsidR="00611007" w:rsidRPr="00036EE3" w:rsidRDefault="00611007" w:rsidP="00B13B06">
            <w:pPr>
              <w:spacing w:before="30" w:after="30"/>
              <w:ind w:left="57"/>
              <w:jc w:val="left"/>
              <w:rPr>
                <w:b/>
                <w:bCs/>
                <w:sz w:val="20"/>
                <w:lang w:val="en-US"/>
              </w:rPr>
            </w:pPr>
            <w:r w:rsidRPr="00036EE3">
              <w:rPr>
                <w:b/>
                <w:bCs/>
                <w:sz w:val="20"/>
                <w:lang w:val="en-US"/>
              </w:rPr>
              <w:t>RS</w:t>
            </w:r>
          </w:p>
        </w:tc>
        <w:tc>
          <w:tcPr>
            <w:tcW w:w="8220" w:type="dxa"/>
          </w:tcPr>
          <w:p w:rsidR="00611007" w:rsidRPr="00021E8A" w:rsidRDefault="00611007" w:rsidP="00B13B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611007" w:rsidRPr="00036EE3" w:rsidTr="00B13B06">
        <w:tc>
          <w:tcPr>
            <w:tcW w:w="1140" w:type="dxa"/>
          </w:tcPr>
          <w:p w:rsidR="00611007" w:rsidRPr="00036EE3" w:rsidRDefault="00611007" w:rsidP="00B13B06">
            <w:pPr>
              <w:spacing w:before="30" w:after="30"/>
              <w:ind w:left="57"/>
              <w:jc w:val="left"/>
              <w:rPr>
                <w:b/>
                <w:bCs/>
                <w:sz w:val="20"/>
                <w:lang w:val="en-US"/>
              </w:rPr>
            </w:pPr>
            <w:r w:rsidRPr="00036EE3">
              <w:rPr>
                <w:b/>
                <w:bCs/>
                <w:sz w:val="20"/>
                <w:lang w:val="en-US"/>
              </w:rPr>
              <w:t>S</w:t>
            </w:r>
          </w:p>
        </w:tc>
        <w:tc>
          <w:tcPr>
            <w:tcW w:w="8220" w:type="dxa"/>
          </w:tcPr>
          <w:p w:rsidR="00611007" w:rsidRPr="00021E8A" w:rsidRDefault="00611007" w:rsidP="00B13B06">
            <w:pPr>
              <w:spacing w:before="30" w:after="30"/>
              <w:jc w:val="left"/>
              <w:rPr>
                <w:bCs/>
                <w:sz w:val="20"/>
                <w:lang w:val="en-US"/>
              </w:rPr>
            </w:pPr>
            <w:r w:rsidRPr="00021E8A">
              <w:rPr>
                <w:bCs/>
                <w:sz w:val="20"/>
              </w:rPr>
              <w:t>Servicio fijo por satélite</w:t>
            </w:r>
          </w:p>
        </w:tc>
      </w:tr>
      <w:tr w:rsidR="00611007" w:rsidRPr="00036EE3" w:rsidTr="00B13B06">
        <w:tc>
          <w:tcPr>
            <w:tcW w:w="1140" w:type="dxa"/>
          </w:tcPr>
          <w:p w:rsidR="00611007" w:rsidRPr="00036EE3" w:rsidRDefault="00611007" w:rsidP="00B13B06">
            <w:pPr>
              <w:spacing w:before="30" w:after="30"/>
              <w:ind w:left="57"/>
              <w:jc w:val="left"/>
              <w:rPr>
                <w:b/>
                <w:bCs/>
                <w:sz w:val="20"/>
                <w:lang w:val="en-US"/>
              </w:rPr>
            </w:pPr>
            <w:r w:rsidRPr="00036EE3">
              <w:rPr>
                <w:b/>
                <w:bCs/>
                <w:sz w:val="20"/>
                <w:lang w:val="en-US"/>
              </w:rPr>
              <w:t>SA</w:t>
            </w:r>
          </w:p>
        </w:tc>
        <w:tc>
          <w:tcPr>
            <w:tcW w:w="8220" w:type="dxa"/>
          </w:tcPr>
          <w:p w:rsidR="00611007" w:rsidRPr="00021E8A" w:rsidRDefault="00611007" w:rsidP="00B13B06">
            <w:pPr>
              <w:spacing w:before="30" w:after="30"/>
              <w:jc w:val="left"/>
              <w:rPr>
                <w:bCs/>
                <w:sz w:val="20"/>
                <w:lang w:val="en-US"/>
              </w:rPr>
            </w:pPr>
            <w:r w:rsidRPr="00021E8A">
              <w:rPr>
                <w:bCs/>
                <w:sz w:val="20"/>
              </w:rPr>
              <w:t>Aplicaciones espaciales y meteorología</w:t>
            </w:r>
          </w:p>
        </w:tc>
      </w:tr>
      <w:tr w:rsidR="00611007" w:rsidRPr="0089546D" w:rsidTr="00B13B06">
        <w:tc>
          <w:tcPr>
            <w:tcW w:w="1140" w:type="dxa"/>
          </w:tcPr>
          <w:p w:rsidR="00611007" w:rsidRPr="00036EE3" w:rsidRDefault="00611007" w:rsidP="00B13B06">
            <w:pPr>
              <w:spacing w:before="30" w:after="30"/>
              <w:ind w:left="57"/>
              <w:jc w:val="left"/>
              <w:rPr>
                <w:b/>
                <w:bCs/>
                <w:sz w:val="20"/>
                <w:lang w:val="en-US"/>
              </w:rPr>
            </w:pPr>
            <w:r w:rsidRPr="00036EE3">
              <w:rPr>
                <w:b/>
                <w:bCs/>
                <w:sz w:val="20"/>
                <w:lang w:val="en-US"/>
              </w:rPr>
              <w:t>SF</w:t>
            </w:r>
          </w:p>
        </w:tc>
        <w:tc>
          <w:tcPr>
            <w:tcW w:w="8220" w:type="dxa"/>
          </w:tcPr>
          <w:p w:rsidR="00611007" w:rsidRPr="00021E8A" w:rsidRDefault="00611007" w:rsidP="00B13B06">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11007" w:rsidRPr="00036EE3" w:rsidTr="00B13B06">
        <w:tc>
          <w:tcPr>
            <w:tcW w:w="1140" w:type="dxa"/>
            <w:shd w:val="clear" w:color="auto" w:fill="auto"/>
          </w:tcPr>
          <w:p w:rsidR="00611007" w:rsidRPr="001240BC" w:rsidRDefault="00611007" w:rsidP="00B13B06">
            <w:pPr>
              <w:spacing w:before="30" w:after="30"/>
              <w:ind w:left="57"/>
              <w:jc w:val="left"/>
              <w:rPr>
                <w:b/>
                <w:bCs/>
                <w:sz w:val="20"/>
                <w:lang w:val="en-US"/>
              </w:rPr>
            </w:pPr>
            <w:r w:rsidRPr="001240BC">
              <w:rPr>
                <w:b/>
                <w:bCs/>
                <w:sz w:val="20"/>
                <w:lang w:val="en-US"/>
              </w:rPr>
              <w:t>SM</w:t>
            </w:r>
          </w:p>
        </w:tc>
        <w:tc>
          <w:tcPr>
            <w:tcW w:w="8220" w:type="dxa"/>
            <w:shd w:val="clear" w:color="auto" w:fill="auto"/>
          </w:tcPr>
          <w:p w:rsidR="00611007" w:rsidRPr="001240BC" w:rsidRDefault="00611007" w:rsidP="00B13B06">
            <w:pPr>
              <w:spacing w:before="30" w:after="30"/>
              <w:jc w:val="left"/>
              <w:rPr>
                <w:sz w:val="20"/>
                <w:lang w:val="en-US"/>
              </w:rPr>
            </w:pPr>
            <w:r w:rsidRPr="001240BC">
              <w:rPr>
                <w:sz w:val="20"/>
              </w:rPr>
              <w:t>Gestión del espectro</w:t>
            </w:r>
          </w:p>
        </w:tc>
      </w:tr>
      <w:tr w:rsidR="00611007" w:rsidRPr="00036EE3" w:rsidTr="00B13B06">
        <w:tc>
          <w:tcPr>
            <w:tcW w:w="1140" w:type="dxa"/>
          </w:tcPr>
          <w:p w:rsidR="00611007" w:rsidRPr="00036EE3" w:rsidRDefault="00611007" w:rsidP="00B13B06">
            <w:pPr>
              <w:spacing w:before="30" w:after="30"/>
              <w:ind w:left="57"/>
              <w:jc w:val="left"/>
              <w:rPr>
                <w:b/>
                <w:bCs/>
                <w:sz w:val="20"/>
                <w:lang w:val="en-US"/>
              </w:rPr>
            </w:pPr>
            <w:r w:rsidRPr="00036EE3">
              <w:rPr>
                <w:b/>
                <w:bCs/>
                <w:sz w:val="20"/>
                <w:lang w:val="en-US"/>
              </w:rPr>
              <w:t>SNG</w:t>
            </w:r>
          </w:p>
        </w:tc>
        <w:tc>
          <w:tcPr>
            <w:tcW w:w="8220" w:type="dxa"/>
          </w:tcPr>
          <w:p w:rsidR="00611007" w:rsidRPr="00021E8A" w:rsidRDefault="00611007" w:rsidP="00B13B06">
            <w:pPr>
              <w:spacing w:before="30" w:after="30"/>
              <w:jc w:val="left"/>
              <w:rPr>
                <w:bCs/>
                <w:sz w:val="20"/>
                <w:lang w:val="en-US"/>
              </w:rPr>
            </w:pPr>
            <w:r w:rsidRPr="00021E8A">
              <w:rPr>
                <w:bCs/>
                <w:sz w:val="20"/>
              </w:rPr>
              <w:t>Periodismo electrónico por satélite</w:t>
            </w:r>
          </w:p>
        </w:tc>
      </w:tr>
      <w:tr w:rsidR="00611007" w:rsidRPr="0089546D" w:rsidTr="00B13B06">
        <w:tc>
          <w:tcPr>
            <w:tcW w:w="1140" w:type="dxa"/>
          </w:tcPr>
          <w:p w:rsidR="00611007" w:rsidRPr="00036EE3" w:rsidRDefault="00611007" w:rsidP="00B13B06">
            <w:pPr>
              <w:spacing w:before="30" w:after="30"/>
              <w:ind w:left="57"/>
              <w:jc w:val="left"/>
              <w:rPr>
                <w:b/>
                <w:bCs/>
                <w:sz w:val="20"/>
                <w:lang w:val="en-US"/>
              </w:rPr>
            </w:pPr>
            <w:r w:rsidRPr="00036EE3">
              <w:rPr>
                <w:b/>
                <w:bCs/>
                <w:sz w:val="20"/>
                <w:lang w:val="en-US"/>
              </w:rPr>
              <w:t>TF</w:t>
            </w:r>
          </w:p>
        </w:tc>
        <w:tc>
          <w:tcPr>
            <w:tcW w:w="8220" w:type="dxa"/>
          </w:tcPr>
          <w:p w:rsidR="00611007" w:rsidRPr="00021E8A" w:rsidRDefault="00611007" w:rsidP="00B13B06">
            <w:pPr>
              <w:spacing w:before="30" w:after="30"/>
              <w:jc w:val="left"/>
              <w:rPr>
                <w:bCs/>
                <w:sz w:val="20"/>
                <w:lang w:val="es-ES_tradnl"/>
              </w:rPr>
            </w:pPr>
            <w:r w:rsidRPr="00021E8A">
              <w:rPr>
                <w:bCs/>
                <w:sz w:val="20"/>
                <w:lang w:val="es-ES_tradnl"/>
              </w:rPr>
              <w:t>Emisiones de frecuencias patrón y señales horarias</w:t>
            </w:r>
          </w:p>
        </w:tc>
      </w:tr>
      <w:tr w:rsidR="00611007" w:rsidRPr="00036EE3" w:rsidTr="00B13B06">
        <w:tc>
          <w:tcPr>
            <w:tcW w:w="1140" w:type="dxa"/>
          </w:tcPr>
          <w:p w:rsidR="00611007" w:rsidRPr="00036EE3" w:rsidRDefault="00611007" w:rsidP="00B13B06">
            <w:pPr>
              <w:spacing w:before="30" w:after="30"/>
              <w:ind w:left="57"/>
              <w:jc w:val="left"/>
              <w:rPr>
                <w:b/>
                <w:bCs/>
                <w:sz w:val="20"/>
                <w:lang w:val="en-US"/>
              </w:rPr>
            </w:pPr>
            <w:r w:rsidRPr="00036EE3">
              <w:rPr>
                <w:b/>
                <w:bCs/>
                <w:sz w:val="20"/>
                <w:lang w:val="en-US"/>
              </w:rPr>
              <w:t>V</w:t>
            </w:r>
          </w:p>
        </w:tc>
        <w:tc>
          <w:tcPr>
            <w:tcW w:w="8220" w:type="dxa"/>
          </w:tcPr>
          <w:p w:rsidR="00611007" w:rsidRPr="00021E8A" w:rsidRDefault="00611007" w:rsidP="00B13B06">
            <w:pPr>
              <w:spacing w:before="30" w:after="140"/>
              <w:jc w:val="left"/>
              <w:rPr>
                <w:bCs/>
                <w:sz w:val="20"/>
                <w:lang w:val="en-US"/>
              </w:rPr>
            </w:pPr>
            <w:r w:rsidRPr="00021E8A">
              <w:rPr>
                <w:bCs/>
                <w:sz w:val="20"/>
              </w:rPr>
              <w:t>Vocabulario y cuestiones afines</w:t>
            </w:r>
          </w:p>
        </w:tc>
      </w:tr>
    </w:tbl>
    <w:p w:rsidR="00611007" w:rsidRPr="00036EE3" w:rsidRDefault="00611007" w:rsidP="00611007">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11007" w:rsidTr="00B13B06">
        <w:tc>
          <w:tcPr>
            <w:tcW w:w="720" w:type="dxa"/>
          </w:tcPr>
          <w:p w:rsidR="00611007" w:rsidRDefault="00611007" w:rsidP="00B13B06">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11007" w:rsidRPr="0089546D" w:rsidTr="00B13B06">
        <w:tc>
          <w:tcPr>
            <w:tcW w:w="9360" w:type="dxa"/>
          </w:tcPr>
          <w:p w:rsidR="00611007" w:rsidRPr="00763D08" w:rsidRDefault="00611007" w:rsidP="00B13B06">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611007" w:rsidRPr="00763D08" w:rsidRDefault="00611007" w:rsidP="00611007">
      <w:pPr>
        <w:spacing w:before="0"/>
        <w:jc w:val="center"/>
        <w:rPr>
          <w:sz w:val="22"/>
          <w:lang w:val="es-ES_tradnl"/>
        </w:rPr>
      </w:pPr>
    </w:p>
    <w:p w:rsidR="00611007" w:rsidRPr="00763D08" w:rsidRDefault="00611007" w:rsidP="00611007">
      <w:pPr>
        <w:spacing w:before="60"/>
        <w:jc w:val="right"/>
        <w:rPr>
          <w:i/>
          <w:iCs/>
          <w:sz w:val="20"/>
          <w:lang w:val="es-ES_tradnl"/>
        </w:rPr>
      </w:pPr>
      <w:r w:rsidRPr="00763D08">
        <w:rPr>
          <w:i/>
          <w:iCs/>
          <w:sz w:val="20"/>
          <w:lang w:val="es-ES_tradnl"/>
        </w:rPr>
        <w:t>Publicación electrónica</w:t>
      </w:r>
    </w:p>
    <w:p w:rsidR="00611007" w:rsidRPr="00763D08" w:rsidRDefault="00611007" w:rsidP="00611007">
      <w:pPr>
        <w:spacing w:before="0" w:after="40"/>
        <w:jc w:val="right"/>
        <w:rPr>
          <w:sz w:val="20"/>
          <w:lang w:val="es-ES_tradnl"/>
        </w:rPr>
      </w:pPr>
      <w:r w:rsidRPr="00763D08">
        <w:rPr>
          <w:sz w:val="20"/>
          <w:lang w:val="es-ES_tradnl"/>
        </w:rPr>
        <w:t>Ginebra, 20</w:t>
      </w:r>
      <w:r>
        <w:rPr>
          <w:sz w:val="20"/>
          <w:lang w:val="es-ES_tradnl"/>
        </w:rPr>
        <w:t>12</w:t>
      </w:r>
    </w:p>
    <w:p w:rsidR="00611007" w:rsidRPr="00763D08" w:rsidRDefault="00611007" w:rsidP="00611007">
      <w:pPr>
        <w:spacing w:before="0"/>
        <w:jc w:val="center"/>
        <w:rPr>
          <w:sz w:val="22"/>
          <w:lang w:val="es-ES_tradnl"/>
        </w:rPr>
      </w:pPr>
    </w:p>
    <w:p w:rsidR="00611007" w:rsidRPr="00763D08" w:rsidRDefault="00611007" w:rsidP="00611007">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12</w:t>
      </w:r>
    </w:p>
    <w:p w:rsidR="00611007" w:rsidRPr="006C718C" w:rsidRDefault="00611007" w:rsidP="00611007">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611007" w:rsidRPr="006C718C" w:rsidRDefault="00611007" w:rsidP="00611007">
      <w:pPr>
        <w:spacing w:before="160"/>
        <w:rPr>
          <w:i/>
          <w:sz w:val="20"/>
          <w:highlight w:val="yellow"/>
          <w:lang w:val="es-ES_tradnl"/>
        </w:rPr>
        <w:sectPr w:rsidR="00611007" w:rsidRPr="006C718C" w:rsidSect="00B13B06">
          <w:headerReference w:type="even" r:id="rId12"/>
          <w:headerReference w:type="default" r:id="rId13"/>
          <w:pgSz w:w="11907" w:h="16834" w:code="9"/>
          <w:pgMar w:top="1418" w:right="1134" w:bottom="1134" w:left="1134" w:header="720" w:footer="482" w:gutter="0"/>
          <w:pgNumType w:fmt="lowerRoman" w:start="2"/>
          <w:cols w:space="720"/>
        </w:sectPr>
      </w:pPr>
    </w:p>
    <w:p w:rsidR="00611007" w:rsidRPr="0089546D" w:rsidRDefault="00611007" w:rsidP="000D1093">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sidR="000D1093">
        <w:rPr>
          <w:rStyle w:val="href"/>
          <w:lang w:val="es-ES_tradnl"/>
        </w:rPr>
        <w:t>1409</w:t>
      </w:r>
      <w:r>
        <w:rPr>
          <w:rStyle w:val="href"/>
          <w:lang w:val="es-ES_tradnl"/>
        </w:rPr>
        <w:t>-</w:t>
      </w:r>
      <w:r w:rsidR="000D1093">
        <w:rPr>
          <w:rStyle w:val="href"/>
          <w:lang w:val="es-ES_tradnl"/>
        </w:rPr>
        <w:t>1</w:t>
      </w:r>
    </w:p>
    <w:p w:rsidR="00611007" w:rsidRDefault="000D1093" w:rsidP="00D77BB2">
      <w:pPr>
        <w:pStyle w:val="Rectitle"/>
        <w:rPr>
          <w:lang w:val="es-ES_tradnl"/>
        </w:rPr>
      </w:pPr>
      <w:r w:rsidRPr="00117655">
        <w:rPr>
          <w:lang w:val="es-ES_tradnl"/>
        </w:rPr>
        <w:t>Datos de propagación y métodos de predicción para sistemas que utilizan estaciones en plataformas a gran altitud y otras estaciones elevadas</w:t>
      </w:r>
      <w:r w:rsidR="00D77BB2">
        <w:rPr>
          <w:lang w:val="es-ES_tradnl"/>
        </w:rPr>
        <w:br/>
      </w:r>
      <w:r w:rsidRPr="00117655">
        <w:rPr>
          <w:lang w:val="es-ES_tradnl"/>
        </w:rPr>
        <w:t>en la estratosfera en frecuencias superiores</w:t>
      </w:r>
      <w:r w:rsidR="00D77BB2">
        <w:rPr>
          <w:lang w:val="es-ES_tradnl"/>
        </w:rPr>
        <w:br/>
      </w:r>
      <w:r w:rsidRPr="00117655">
        <w:rPr>
          <w:lang w:val="es-ES_tradnl"/>
        </w:rPr>
        <w:t>a 1 GHz aproximadamente</w:t>
      </w:r>
    </w:p>
    <w:p w:rsidR="00BF1A7D" w:rsidRPr="0089546D" w:rsidRDefault="00BF1A7D" w:rsidP="00BF1A7D">
      <w:pPr>
        <w:pStyle w:val="Blanc"/>
        <w:rPr>
          <w:lang w:val="es-ES_tradnl"/>
        </w:rPr>
      </w:pPr>
    </w:p>
    <w:p w:rsidR="00611007" w:rsidRDefault="003577EB" w:rsidP="000D1093">
      <w:pPr>
        <w:pStyle w:val="Recdate"/>
        <w:rPr>
          <w:lang w:val="es-ES_tradnl"/>
        </w:rPr>
      </w:pPr>
      <w:r w:rsidRPr="0067014B">
        <w:rPr>
          <w:lang w:val="es-ES_tradnl"/>
        </w:rPr>
        <w:t>(1999</w:t>
      </w:r>
      <w:r>
        <w:rPr>
          <w:lang w:val="es-ES_tradnl"/>
        </w:rPr>
        <w:t>-2012</w:t>
      </w:r>
      <w:r w:rsidRPr="0067014B">
        <w:rPr>
          <w:lang w:val="es-ES_tradnl"/>
        </w:rPr>
        <w:t>)</w:t>
      </w:r>
    </w:p>
    <w:p w:rsidR="00A6617B" w:rsidRDefault="00611007" w:rsidP="00242AEE">
      <w:pPr>
        <w:pStyle w:val="HeadingSum"/>
      </w:pPr>
      <w:r w:rsidRPr="00014BAA">
        <w:t>Cometido</w:t>
      </w:r>
    </w:p>
    <w:p w:rsidR="00611007" w:rsidRDefault="000D1093" w:rsidP="005B086B">
      <w:pPr>
        <w:pStyle w:val="Summary"/>
      </w:pPr>
      <w:r w:rsidRPr="00117655">
        <w:t>Esta Recomendación proporciona información sobre los métodos de propagación adecuados al considerar los sistemas o redes de radiocomunicaciones que utilizan estaciones situadas en plataformas a gran altitud u otras estaciones en la estratosfera.</w:t>
      </w:r>
    </w:p>
    <w:p w:rsidR="00BF1A7D" w:rsidRPr="00E9005B" w:rsidRDefault="00BF1A7D" w:rsidP="00BF1A7D">
      <w:pPr>
        <w:pStyle w:val="Blanc"/>
        <w:jc w:val="left"/>
        <w:rPr>
          <w:lang w:val="es-ES_tradnl"/>
        </w:rPr>
      </w:pPr>
    </w:p>
    <w:p w:rsidR="00611007" w:rsidRDefault="00611007" w:rsidP="00611007">
      <w:pPr>
        <w:pStyle w:val="Normalaftertitle"/>
        <w:rPr>
          <w:szCs w:val="24"/>
          <w:lang w:val="es-ES_tradnl"/>
        </w:rPr>
      </w:pPr>
      <w:r w:rsidRPr="00014BAA">
        <w:rPr>
          <w:szCs w:val="24"/>
          <w:lang w:val="es-ES_tradnl"/>
        </w:rPr>
        <w:t>La Asamblea de Radiocomunicaciones de la UIT,</w:t>
      </w:r>
    </w:p>
    <w:p w:rsidR="003577EB" w:rsidRPr="0067014B" w:rsidRDefault="003577EB" w:rsidP="003577EB">
      <w:pPr>
        <w:pStyle w:val="Call"/>
        <w:jc w:val="left"/>
        <w:rPr>
          <w:lang w:val="es-ES_tradnl"/>
        </w:rPr>
      </w:pPr>
      <w:r w:rsidRPr="0067014B">
        <w:rPr>
          <w:lang w:val="es-ES_tradnl"/>
        </w:rPr>
        <w:t>considerando</w:t>
      </w:r>
    </w:p>
    <w:p w:rsidR="000D1093" w:rsidRPr="00F46F25" w:rsidRDefault="000D1093" w:rsidP="000D1093">
      <w:pPr>
        <w:rPr>
          <w:rFonts w:eastAsia="MS Mincho"/>
          <w:lang w:val="es-ES_tradnl" w:eastAsia="ja-JP"/>
        </w:rPr>
      </w:pPr>
      <w:r w:rsidRPr="00F46F25">
        <w:rPr>
          <w:rFonts w:eastAsia="MS Mincho"/>
          <w:lang w:val="es-ES_tradnl" w:eastAsia="ja-JP"/>
        </w:rPr>
        <w:t>a)</w:t>
      </w:r>
      <w:r w:rsidRPr="00F46F25">
        <w:rPr>
          <w:rFonts w:eastAsia="MS Mincho"/>
          <w:lang w:val="es-ES_tradnl" w:eastAsia="ja-JP"/>
        </w:rPr>
        <w:tab/>
      </w:r>
      <w:r w:rsidRPr="00F46F25">
        <w:rPr>
          <w:lang w:val="es-ES_tradnl"/>
        </w:rPr>
        <w:t xml:space="preserve">que el Reglamento de Radiocomunicaciones incluye </w:t>
      </w:r>
      <w:r w:rsidRPr="00117655">
        <w:rPr>
          <w:lang w:val="es-ES_tradnl"/>
        </w:rPr>
        <w:t>disposiciones que determinan la utilización de sistemas que emplean estaciones en plataformas a gran altitud del servicio fijo a unos 47 GHz y del servicio móvil a unos 2 GHz;</w:t>
      </w:r>
    </w:p>
    <w:p w:rsidR="000D1093" w:rsidRPr="00117655" w:rsidRDefault="000D1093" w:rsidP="000D1093">
      <w:pPr>
        <w:rPr>
          <w:szCs w:val="24"/>
          <w:lang w:val="es-ES_tradnl"/>
        </w:rPr>
      </w:pPr>
      <w:r w:rsidRPr="00F46F25">
        <w:rPr>
          <w:rFonts w:eastAsia="MS Mincho"/>
          <w:szCs w:val="24"/>
          <w:lang w:val="es-ES_tradnl" w:eastAsia="ja-JP"/>
        </w:rPr>
        <w:t>b)</w:t>
      </w:r>
      <w:r w:rsidRPr="00F46F25">
        <w:rPr>
          <w:rFonts w:eastAsia="MS Mincho"/>
          <w:szCs w:val="24"/>
          <w:lang w:val="es-ES_tradnl" w:eastAsia="ja-JP"/>
        </w:rPr>
        <w:tab/>
      </w:r>
      <w:r w:rsidRPr="00117655">
        <w:rPr>
          <w:szCs w:val="24"/>
          <w:lang w:val="es-ES_tradnl"/>
        </w:rPr>
        <w:t xml:space="preserve">que algunas de las bandas de frecuencias designadas también están atribuidas para su </w:t>
      </w:r>
      <w:r w:rsidR="00700151">
        <w:rPr>
          <w:szCs w:val="24"/>
          <w:lang w:val="es-ES_tradnl"/>
        </w:rPr>
        <w:t>utilización por otros servicios;</w:t>
      </w:r>
    </w:p>
    <w:p w:rsidR="000D1093" w:rsidRPr="00F46F25" w:rsidRDefault="000D1093" w:rsidP="000D1093">
      <w:pPr>
        <w:rPr>
          <w:rFonts w:eastAsia="MS Mincho"/>
          <w:szCs w:val="24"/>
          <w:lang w:val="es-ES_tradnl" w:eastAsia="ja-JP"/>
        </w:rPr>
      </w:pPr>
      <w:r w:rsidRPr="00117655">
        <w:rPr>
          <w:rFonts w:eastAsia="MS Mincho"/>
          <w:szCs w:val="24"/>
          <w:lang w:val="es-ES_tradnl" w:eastAsia="ja-JP"/>
        </w:rPr>
        <w:t>c)</w:t>
      </w:r>
      <w:r w:rsidRPr="00117655">
        <w:rPr>
          <w:rFonts w:eastAsia="MS Mincho"/>
          <w:szCs w:val="24"/>
          <w:lang w:val="es-ES_tradnl" w:eastAsia="ja-JP"/>
        </w:rPr>
        <w:tab/>
        <w:t>que se han realizado estudios sobre sistemas y redes que utilizan plataformas elevadas y pueden encontrarse a altura</w:t>
      </w:r>
      <w:r w:rsidR="00700151">
        <w:rPr>
          <w:rFonts w:eastAsia="MS Mincho"/>
          <w:szCs w:val="24"/>
          <w:lang w:val="es-ES_tradnl" w:eastAsia="ja-JP"/>
        </w:rPr>
        <w:t>s inferiores en la estratosfera,</w:t>
      </w:r>
    </w:p>
    <w:p w:rsidR="000D1093" w:rsidRPr="00F46F25" w:rsidRDefault="000D1093" w:rsidP="000D1093">
      <w:pPr>
        <w:pStyle w:val="Call"/>
        <w:rPr>
          <w:sz w:val="20"/>
          <w:lang w:val="es-ES_tradnl"/>
        </w:rPr>
      </w:pPr>
      <w:r w:rsidRPr="00F46F25">
        <w:rPr>
          <w:szCs w:val="24"/>
          <w:lang w:val="es-ES_tradnl"/>
        </w:rPr>
        <w:t>recomienda</w:t>
      </w:r>
    </w:p>
    <w:p w:rsidR="000D1093" w:rsidRDefault="000D1093" w:rsidP="000D1093">
      <w:pPr>
        <w:rPr>
          <w:lang w:val="es-ES_tradnl"/>
        </w:rPr>
      </w:pPr>
      <w:r w:rsidRPr="00EF681C">
        <w:rPr>
          <w:b/>
          <w:bCs/>
          <w:lang w:val="es-ES_tradnl"/>
        </w:rPr>
        <w:t>1</w:t>
      </w:r>
      <w:r w:rsidRPr="00F46F25">
        <w:rPr>
          <w:lang w:val="es-ES_tradnl"/>
        </w:rPr>
        <w:tab/>
        <w:t xml:space="preserve">que en el diseño de sistemas que utilizan estaciones en </w:t>
      </w:r>
      <w:r w:rsidRPr="00D978B2">
        <w:rPr>
          <w:lang w:val="es-ES_tradnl"/>
        </w:rPr>
        <w:t>plataformas a gran altitud y otras plataformas elevadas en la estratosfera, y en los estudios de compartici</w:t>
      </w:r>
      <w:r w:rsidRPr="00F46F25">
        <w:rPr>
          <w:lang w:val="es-ES_tradnl"/>
        </w:rPr>
        <w:t>ón y compatibilidad se tengan en cuenta los mecanismos y efectos de propagación indicados en el Anexo.</w:t>
      </w:r>
    </w:p>
    <w:p w:rsidR="00047A73" w:rsidRDefault="00047A73" w:rsidP="00EF681C">
      <w:pPr>
        <w:rPr>
          <w:lang w:val="es-ES_tradnl"/>
        </w:rPr>
      </w:pPr>
    </w:p>
    <w:p w:rsidR="00047A73" w:rsidRPr="00F46F25" w:rsidRDefault="00047A73" w:rsidP="00047A73">
      <w:pPr>
        <w:rPr>
          <w:lang w:val="es-ES_tradnl"/>
        </w:rPr>
      </w:pPr>
    </w:p>
    <w:p w:rsidR="000D1093" w:rsidRDefault="000D1093" w:rsidP="000D1093">
      <w:pPr>
        <w:pStyle w:val="AnnexNoTitle"/>
        <w:rPr>
          <w:lang w:val="es-ES_tradnl"/>
        </w:rPr>
      </w:pPr>
      <w:r w:rsidRPr="00F46F25">
        <w:rPr>
          <w:lang w:val="es-ES_tradnl"/>
        </w:rPr>
        <w:t>Anexo 1</w:t>
      </w:r>
    </w:p>
    <w:p w:rsidR="000D1093" w:rsidRPr="00F46F25" w:rsidRDefault="000D1093" w:rsidP="00C2027D">
      <w:pPr>
        <w:pStyle w:val="Heading1"/>
        <w:rPr>
          <w:lang w:val="es-ES_tradnl"/>
        </w:rPr>
      </w:pPr>
      <w:bookmarkStart w:id="4" w:name="_GoBack"/>
      <w:bookmarkEnd w:id="4"/>
      <w:r w:rsidRPr="00F46F25">
        <w:rPr>
          <w:lang w:val="es-ES_tradnl"/>
        </w:rPr>
        <w:t>1</w:t>
      </w:r>
      <w:r w:rsidRPr="00F46F25">
        <w:rPr>
          <w:lang w:val="es-ES_tradnl"/>
        </w:rPr>
        <w:tab/>
        <w:t>Introducción</w:t>
      </w:r>
    </w:p>
    <w:p w:rsidR="000D1093" w:rsidRPr="00F46F25" w:rsidRDefault="000D1093" w:rsidP="000D1093">
      <w:pPr>
        <w:rPr>
          <w:lang w:val="es-ES_tradnl"/>
        </w:rPr>
      </w:pPr>
      <w:r w:rsidRPr="00F46F25">
        <w:rPr>
          <w:lang w:val="es-ES_tradnl"/>
        </w:rPr>
        <w:t xml:space="preserve">Al realizar el diseño de sistemas o emprender estudios de compartición para sistemas que utilizan estaciones en plataformas a gran altitud </w:t>
      </w:r>
      <w:r w:rsidRPr="00D978B2">
        <w:rPr>
          <w:szCs w:val="24"/>
          <w:lang w:val="es-ES_tradnl"/>
        </w:rPr>
        <w:t>y otras plataformas elevadas en la estratosfera</w:t>
      </w:r>
      <w:r>
        <w:rPr>
          <w:szCs w:val="24"/>
          <w:lang w:val="es-ES_tradnl"/>
        </w:rPr>
        <w:t>,</w:t>
      </w:r>
      <w:r w:rsidRPr="00F46F25">
        <w:rPr>
          <w:lang w:val="es-ES_tradnl"/>
        </w:rPr>
        <w:t xml:space="preserve"> deben considerarse los siguientes mecanismos y efectos según el caso:</w:t>
      </w:r>
    </w:p>
    <w:p w:rsidR="000D1093" w:rsidRPr="00F46F25" w:rsidRDefault="000D1093" w:rsidP="000D1093">
      <w:pPr>
        <w:pStyle w:val="enumlev1"/>
        <w:rPr>
          <w:lang w:val="es-ES_tradnl"/>
        </w:rPr>
      </w:pPr>
      <w:r w:rsidRPr="00F46F25">
        <w:rPr>
          <w:lang w:val="es-ES_tradnl"/>
        </w:rPr>
        <w:t>–</w:t>
      </w:r>
      <w:r w:rsidRPr="00F46F25">
        <w:rPr>
          <w:lang w:val="es-ES_tradnl"/>
        </w:rPr>
        <w:tab/>
        <w:t>pérdidas de trayecto en espacio libre;</w:t>
      </w:r>
    </w:p>
    <w:p w:rsidR="000D1093" w:rsidRPr="00F46F25" w:rsidRDefault="000D1093" w:rsidP="000D1093">
      <w:pPr>
        <w:pStyle w:val="enumlev1"/>
        <w:rPr>
          <w:lang w:val="es-ES_tradnl"/>
        </w:rPr>
      </w:pPr>
      <w:r w:rsidRPr="00F46F25">
        <w:rPr>
          <w:lang w:val="es-ES_tradnl"/>
        </w:rPr>
        <w:t>–</w:t>
      </w:r>
      <w:r w:rsidRPr="00F46F25">
        <w:rPr>
          <w:lang w:val="es-ES_tradnl"/>
        </w:rPr>
        <w:tab/>
        <w:t>atenuación atmosférica debida a la absorción gaseosa en la troposfera; (es suficiente suponer que toda esta atenuación se produce en alturas inferiores a la de la plataforma);</w:t>
      </w:r>
    </w:p>
    <w:p w:rsidR="000D1093" w:rsidRPr="00F46F25" w:rsidRDefault="000D1093" w:rsidP="000D1093">
      <w:pPr>
        <w:pStyle w:val="enumlev1"/>
        <w:rPr>
          <w:lang w:val="es-ES_tradnl"/>
        </w:rPr>
      </w:pPr>
      <w:r w:rsidRPr="00F46F25">
        <w:rPr>
          <w:lang w:val="es-ES_tradnl"/>
        </w:rPr>
        <w:t>–</w:t>
      </w:r>
      <w:r w:rsidRPr="00F46F25">
        <w:rPr>
          <w:lang w:val="es-ES_tradnl"/>
        </w:rPr>
        <w:tab/>
        <w:t>atenuación debida a la lluvia;</w:t>
      </w:r>
    </w:p>
    <w:p w:rsidR="000D1093" w:rsidRPr="00F46F25" w:rsidRDefault="000D1093" w:rsidP="000D1093">
      <w:pPr>
        <w:pStyle w:val="enumlev1"/>
        <w:rPr>
          <w:lang w:val="es-ES_tradnl"/>
        </w:rPr>
      </w:pPr>
      <w:r w:rsidRPr="00F46F25">
        <w:rPr>
          <w:lang w:val="es-ES_tradnl"/>
        </w:rPr>
        <w:t>–</w:t>
      </w:r>
      <w:r w:rsidRPr="00F46F25">
        <w:rPr>
          <w:lang w:val="es-ES_tradnl"/>
        </w:rPr>
        <w:tab/>
        <w:t>atenuación debida a las nubes; (para porcentajes de tiempo inferiores al 1%, aproximadamente, los efectos de la atenuación causada por las nubes se incluyen en el método de predicción de atenuación debida a la lluvia);</w:t>
      </w:r>
    </w:p>
    <w:p w:rsidR="000D1093" w:rsidRPr="00F46F25" w:rsidRDefault="000D1093" w:rsidP="000D1093">
      <w:pPr>
        <w:pStyle w:val="enumlev1"/>
        <w:rPr>
          <w:lang w:val="es-ES_tradnl"/>
        </w:rPr>
      </w:pPr>
      <w:r w:rsidRPr="00F46F25">
        <w:rPr>
          <w:lang w:val="es-ES_tradnl"/>
        </w:rPr>
        <w:lastRenderedPageBreak/>
        <w:t>–</w:t>
      </w:r>
      <w:r w:rsidRPr="00F46F25">
        <w:rPr>
          <w:lang w:val="es-ES_tradnl"/>
        </w:rPr>
        <w:tab/>
        <w:t>retrodispersión desde la superficie de la Tierra; (se supone que la retrodispersión desde la parte superior de las células de lluvia o desde la capa de fusión es menos importante);</w:t>
      </w:r>
    </w:p>
    <w:p w:rsidR="000D1093" w:rsidRPr="00F46F25" w:rsidRDefault="000D1093" w:rsidP="000D1093">
      <w:pPr>
        <w:pStyle w:val="enumlev1"/>
        <w:rPr>
          <w:lang w:val="es-ES_tradnl"/>
        </w:rPr>
      </w:pPr>
      <w:r w:rsidRPr="00F46F25">
        <w:rPr>
          <w:lang w:val="es-ES_tradnl"/>
        </w:rPr>
        <w:t>–</w:t>
      </w:r>
      <w:r w:rsidRPr="00F46F25">
        <w:rPr>
          <w:lang w:val="es-ES_tradnl"/>
        </w:rPr>
        <w:tab/>
        <w:t>dispersión debida a la lluvia;</w:t>
      </w:r>
    </w:p>
    <w:p w:rsidR="000D1093" w:rsidRPr="00F46F25" w:rsidRDefault="000D1093" w:rsidP="000D1093">
      <w:pPr>
        <w:pStyle w:val="enumlev1"/>
        <w:rPr>
          <w:lang w:val="es-ES_tradnl"/>
        </w:rPr>
      </w:pPr>
      <w:bookmarkStart w:id="5" w:name="dsgno"/>
      <w:bookmarkEnd w:id="5"/>
      <w:r w:rsidRPr="00F46F25">
        <w:rPr>
          <w:lang w:val="es-ES_tradnl"/>
        </w:rPr>
        <w:t>–</w:t>
      </w:r>
      <w:r w:rsidRPr="00F46F25">
        <w:rPr>
          <w:lang w:val="es-ES_tradnl"/>
        </w:rPr>
        <w:tab/>
        <w:t>centelleo troposférico.</w:t>
      </w:r>
    </w:p>
    <w:p w:rsidR="000D1093" w:rsidRPr="00F46F25" w:rsidRDefault="000D1093" w:rsidP="00D77BB2">
      <w:pPr>
        <w:jc w:val="left"/>
        <w:rPr>
          <w:lang w:val="es-ES_tradnl"/>
        </w:rPr>
      </w:pPr>
      <w:r w:rsidRPr="00F46F25">
        <w:rPr>
          <w:lang w:val="es-ES_tradnl"/>
        </w:rPr>
        <w:t xml:space="preserve">Los efectos de propagación por conducto en la troposfera no se suponen importantes como modo de interferencia para los trayectos oblicuos (ángulos de elevación </w:t>
      </w:r>
      <w:r w:rsidRPr="00D978B2">
        <w:rPr>
          <w:lang w:val="es-ES_tradnl"/>
        </w:rPr>
        <w:t>muy superiores a 1</w:t>
      </w:r>
      <w:r w:rsidR="00D77BB2">
        <w:rPr>
          <w:lang w:val="es-ES_tradnl"/>
        </w:rPr>
        <w:t>°</w:t>
      </w:r>
      <w:r w:rsidRPr="00D978B2">
        <w:rPr>
          <w:lang w:val="es-ES_tradnl"/>
        </w:rPr>
        <w:t>) hacia o desde estaciones en plataforma.</w:t>
      </w:r>
    </w:p>
    <w:p w:rsidR="000D1093" w:rsidRPr="00F46F25" w:rsidRDefault="000D1093" w:rsidP="000D1093">
      <w:pPr>
        <w:pStyle w:val="Heading1"/>
        <w:rPr>
          <w:lang w:val="es-ES_tradnl"/>
        </w:rPr>
      </w:pPr>
      <w:r w:rsidRPr="00F46F25">
        <w:rPr>
          <w:lang w:val="es-ES_tradnl"/>
        </w:rPr>
        <w:t>2</w:t>
      </w:r>
      <w:r w:rsidRPr="00F46F25">
        <w:rPr>
          <w:lang w:val="es-ES_tradnl"/>
        </w:rPr>
        <w:tab/>
        <w:t>Métodos de predicción</w:t>
      </w:r>
    </w:p>
    <w:p w:rsidR="000D1093" w:rsidRPr="00F46F25" w:rsidRDefault="000D1093" w:rsidP="000D1093">
      <w:pPr>
        <w:rPr>
          <w:lang w:val="es-ES_tradnl"/>
        </w:rPr>
      </w:pPr>
      <w:r w:rsidRPr="00F46F25">
        <w:rPr>
          <w:lang w:val="es-ES_tradnl"/>
        </w:rPr>
        <w:t>En la mayoría de los casos, la información contenida en las Recomendaciones UIT-R debe utilizarse de la forma siguiente:</w:t>
      </w:r>
    </w:p>
    <w:p w:rsidR="000D1093" w:rsidRPr="00F46F25" w:rsidRDefault="000D1093" w:rsidP="000D1093">
      <w:pPr>
        <w:pStyle w:val="Heading2"/>
        <w:rPr>
          <w:lang w:val="es-ES_tradnl"/>
        </w:rPr>
      </w:pPr>
      <w:r w:rsidRPr="00F46F25">
        <w:rPr>
          <w:lang w:val="es-ES_tradnl"/>
        </w:rPr>
        <w:t>2.1</w:t>
      </w:r>
      <w:r w:rsidRPr="00F46F25">
        <w:rPr>
          <w:lang w:val="es-ES_tradnl"/>
        </w:rPr>
        <w:tab/>
        <w:t xml:space="preserve">Compartición de frecuencias entre estaciones en tierra pertenecientes a redes de plataformas a gran </w:t>
      </w:r>
      <w:r w:rsidRPr="00D978B2">
        <w:rPr>
          <w:lang w:val="es-ES_tradnl"/>
        </w:rPr>
        <w:t xml:space="preserve">altitud </w:t>
      </w:r>
      <w:r w:rsidRPr="00D978B2">
        <w:rPr>
          <w:szCs w:val="24"/>
          <w:lang w:val="es-ES_tradnl"/>
        </w:rPr>
        <w:t xml:space="preserve">y otras plataformas elevadas </w:t>
      </w:r>
      <w:r w:rsidRPr="00D978B2">
        <w:rPr>
          <w:lang w:val="es-ES_tradnl"/>
        </w:rPr>
        <w:t>y otras</w:t>
      </w:r>
      <w:r w:rsidRPr="00F46F25">
        <w:rPr>
          <w:lang w:val="es-ES_tradnl"/>
        </w:rPr>
        <w:t xml:space="preserve"> estaciones terrenales</w:t>
      </w:r>
    </w:p>
    <w:p w:rsidR="000D1093" w:rsidRPr="00F46F25" w:rsidRDefault="000D1093" w:rsidP="000D1093">
      <w:pPr>
        <w:rPr>
          <w:lang w:val="es-ES_tradnl"/>
        </w:rPr>
      </w:pPr>
      <w:r w:rsidRPr="00F46F25">
        <w:rPr>
          <w:lang w:val="es-ES_tradnl"/>
        </w:rPr>
        <w:t>Debe utilizarse el método de la Recomendación UIT-R P.620 para evaluar la distancia de coordinación y debe emplearse la Recomendación UIT-R P.452 para efectuar una evaluación detallada.</w:t>
      </w:r>
    </w:p>
    <w:p w:rsidR="000D1093" w:rsidRPr="00F46F25" w:rsidRDefault="000D1093" w:rsidP="000D1093">
      <w:pPr>
        <w:pStyle w:val="Heading2"/>
        <w:rPr>
          <w:lang w:val="es-ES_tradnl"/>
        </w:rPr>
      </w:pPr>
      <w:r w:rsidRPr="00F46F25">
        <w:rPr>
          <w:lang w:val="es-ES_tradnl"/>
        </w:rPr>
        <w:t>2.2</w:t>
      </w:r>
      <w:r w:rsidRPr="00F46F25">
        <w:rPr>
          <w:lang w:val="es-ES_tradnl"/>
        </w:rPr>
        <w:tab/>
        <w:t xml:space="preserve">Compartición de frecuencias entre estaciones espaciales y estaciones en tierra pertenecientes a redes de plataformas a gran altitud </w:t>
      </w:r>
      <w:r w:rsidRPr="00D978B2">
        <w:rPr>
          <w:lang w:val="es-ES_tradnl"/>
        </w:rPr>
        <w:t xml:space="preserve">y redes de otras </w:t>
      </w:r>
      <w:r w:rsidRPr="00D978B2">
        <w:rPr>
          <w:szCs w:val="24"/>
          <w:lang w:val="es-ES_tradnl"/>
        </w:rPr>
        <w:t>plataformas elevadas</w:t>
      </w:r>
    </w:p>
    <w:p w:rsidR="000D1093" w:rsidRPr="00F46F25" w:rsidRDefault="000D1093" w:rsidP="000D1093">
      <w:pPr>
        <w:rPr>
          <w:lang w:val="es-ES_tradnl"/>
        </w:rPr>
      </w:pPr>
      <w:r w:rsidRPr="00F46F25">
        <w:rPr>
          <w:lang w:val="es-ES_tradnl"/>
        </w:rPr>
        <w:t>El método descrito en la Recomendación UIT-R P.619 proporciona información importante al respecto.</w:t>
      </w:r>
    </w:p>
    <w:p w:rsidR="000D1093" w:rsidRPr="00F46F25" w:rsidRDefault="000D1093" w:rsidP="000D1093">
      <w:pPr>
        <w:pStyle w:val="Heading2"/>
        <w:rPr>
          <w:lang w:val="es-ES_tradnl"/>
        </w:rPr>
      </w:pPr>
      <w:r w:rsidRPr="00F46F25">
        <w:rPr>
          <w:lang w:val="es-ES_tradnl"/>
        </w:rPr>
        <w:t>2.3</w:t>
      </w:r>
      <w:r w:rsidRPr="00F46F25">
        <w:rPr>
          <w:lang w:val="es-ES_tradnl"/>
        </w:rPr>
        <w:tab/>
        <w:t xml:space="preserve">Compartición de frecuencias entre </w:t>
      </w:r>
      <w:r w:rsidRPr="00D978B2">
        <w:rPr>
          <w:lang w:val="es-ES_tradnl"/>
        </w:rPr>
        <w:t>redes de plataformas a gran altitud y redes de otras plataformas elevadas y otras estacion</w:t>
      </w:r>
      <w:r w:rsidRPr="00F46F25">
        <w:rPr>
          <w:lang w:val="es-ES_tradnl"/>
        </w:rPr>
        <w:t>es terrenales</w:t>
      </w:r>
    </w:p>
    <w:p w:rsidR="000D1093" w:rsidRPr="00F46F25" w:rsidRDefault="000D1093" w:rsidP="000D1093">
      <w:pPr>
        <w:rPr>
          <w:lang w:val="es-ES_tradnl"/>
        </w:rPr>
      </w:pPr>
      <w:r w:rsidRPr="00F46F25">
        <w:rPr>
          <w:lang w:val="es-ES_tradnl"/>
        </w:rPr>
        <w:t>El método descrito en la Recomendación UIT-R P.619 proporciona información importante también para este caso, ya que todas las pérdidas salvo las debidas a la dispersión en espacio-libre se producen a alturas inferiores a la de la plataforma.</w:t>
      </w:r>
    </w:p>
    <w:p w:rsidR="000D1093" w:rsidRPr="00F46F25" w:rsidRDefault="000D1093" w:rsidP="000D1093">
      <w:pPr>
        <w:pStyle w:val="Heading2"/>
        <w:rPr>
          <w:lang w:val="es-ES_tradnl"/>
        </w:rPr>
      </w:pPr>
      <w:r w:rsidRPr="00F46F25">
        <w:rPr>
          <w:lang w:val="es-ES_tradnl"/>
        </w:rPr>
        <w:t>2.4</w:t>
      </w:r>
      <w:r w:rsidRPr="00F46F25">
        <w:rPr>
          <w:lang w:val="es-ES_tradnl"/>
        </w:rPr>
        <w:tab/>
        <w:t>Compartición de frecuencias entre estaciones en plataforma y estaciones espaciales</w:t>
      </w:r>
    </w:p>
    <w:p w:rsidR="000D1093" w:rsidRPr="00F46F25" w:rsidRDefault="000D1093" w:rsidP="000D1093">
      <w:pPr>
        <w:rPr>
          <w:lang w:val="es-ES_tradnl"/>
        </w:rPr>
      </w:pPr>
      <w:r w:rsidRPr="00F46F25">
        <w:rPr>
          <w:lang w:val="es-ES_tradnl"/>
        </w:rPr>
        <w:t>Para el trayecto directo entre una estación en plataforma y una estación espacial es necesario considerar las pérdidas de trayecto en espacio-libre</w:t>
      </w:r>
      <w:r w:rsidRPr="00D978B2">
        <w:rPr>
          <w:lang w:val="es-ES_tradnl"/>
        </w:rPr>
        <w:t>, y también los efectos en el trayecto a través de la ionosfera, como describe la Recomendación UIT-R P.531</w:t>
      </w:r>
    </w:p>
    <w:p w:rsidR="000D1093" w:rsidRPr="00F46F25" w:rsidRDefault="000D1093" w:rsidP="000D1093">
      <w:pPr>
        <w:rPr>
          <w:lang w:val="es-ES_tradnl"/>
        </w:rPr>
      </w:pPr>
      <w:r w:rsidRPr="00F46F25">
        <w:rPr>
          <w:lang w:val="es-ES_tradnl"/>
        </w:rPr>
        <w:t xml:space="preserve">Además, deben considerarse los trayectos </w:t>
      </w:r>
      <w:r w:rsidRPr="00D978B2">
        <w:rPr>
          <w:lang w:val="es-ES_tradnl"/>
        </w:rPr>
        <w:t>de propagación</w:t>
      </w:r>
      <w:r w:rsidRPr="00F46F25">
        <w:rPr>
          <w:lang w:val="es-ES_tradnl"/>
        </w:rPr>
        <w:t xml:space="preserve"> en los que aparece dispersión en la superficie o reflexión en la superficie. Hasta que se disponga de más información al respecto pueden darse las siguientes orientaciones.</w:t>
      </w:r>
    </w:p>
    <w:p w:rsidR="000D1093" w:rsidRPr="00F46F25" w:rsidRDefault="000D1093" w:rsidP="000D1093">
      <w:pPr>
        <w:rPr>
          <w:lang w:val="es-ES_tradnl"/>
        </w:rPr>
      </w:pPr>
      <w:r w:rsidRPr="00F46F25">
        <w:rPr>
          <w:lang w:val="es-ES_tradnl"/>
        </w:rPr>
        <w:t xml:space="preserve">En algunos casos, las superficies lisas con </w:t>
      </w:r>
      <w:r w:rsidRPr="00D978B2">
        <w:rPr>
          <w:lang w:val="es-ES_tradnl"/>
        </w:rPr>
        <w:t>extensiones superiores a 0,6 veces la primera zona de reflexión de Fresnel pueden causar «destellos» de buena</w:t>
      </w:r>
      <w:r w:rsidRPr="00F46F25">
        <w:rPr>
          <w:lang w:val="es-ES_tradnl"/>
        </w:rPr>
        <w:t xml:space="preserve"> reflexión con geometría especular. La señal en tales casos puede determinarse a partir de la p.i.r.e. en la dirección apropiada, incluyendo las pérdidas de atenuación atmosférica debido a que se atraviesa dos veces la troposfera a causa del ángulo oblicuo y suponiendo un coeficiente de reflexión de –10 dB (algunos casos particulares pueden presentar coeficientes de reflexión superiores).</w:t>
      </w:r>
    </w:p>
    <w:p w:rsidR="00047A73" w:rsidRDefault="00047A73">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0D1093" w:rsidRPr="00F46F25" w:rsidRDefault="000D1093" w:rsidP="00D77BB2">
      <w:pPr>
        <w:rPr>
          <w:lang w:val="es-ES_tradnl"/>
        </w:rPr>
      </w:pPr>
      <w:r w:rsidRPr="00F46F25">
        <w:rPr>
          <w:lang w:val="es-ES_tradnl"/>
        </w:rPr>
        <w:lastRenderedPageBreak/>
        <w:t xml:space="preserve">De forma general, la superficie de la Tierra puede considerarse rugosa. En este caso puede que sea conveniente suponer una radiación desde la zona completamente iluminada por el haz procedente de la estación en plataforma y dirigido hacia el semiespacio por encima de la superficie de la Tierra, considerando nuevamente un coeficiente de dispersión típico de </w:t>
      </w:r>
      <w:r w:rsidR="00D77BB2">
        <w:rPr>
          <w:lang w:val="es-ES_tradnl"/>
        </w:rPr>
        <w:t>–</w:t>
      </w:r>
      <w:r w:rsidRPr="00F46F25">
        <w:rPr>
          <w:lang w:val="es-ES_tradnl"/>
        </w:rPr>
        <w:t>10 dB; es decir, suponiendo una fuente en la superficie de la Tierra que radia de manera isótropa con una potencia que viene determinada por la potencia del transmisor real menos las pérdidas de atenuación atmosférica debidas a que se atraviesa dos veces la troposfera a causa de los ángulos oblicuos utilizados, menos</w:t>
      </w:r>
      <w:r w:rsidR="00D77BB2">
        <w:rPr>
          <w:lang w:val="es-ES_tradnl"/>
        </w:rPr>
        <w:t> </w:t>
      </w:r>
      <w:r w:rsidRPr="00F46F25">
        <w:rPr>
          <w:lang w:val="es-ES_tradnl"/>
        </w:rPr>
        <w:t xml:space="preserve">10 dB, a causa del </w:t>
      </w:r>
      <w:r w:rsidRPr="00E54287">
        <w:rPr>
          <w:lang w:val="es-ES_tradnl"/>
        </w:rPr>
        <w:t>coeficiente de reflexión y más 3 dB, puesto que la radiación se realiza únicamente a la mitad del espacio. (Para más información sobre las reflexiones en el mar véase la Recomendación UIT-R P.680-3)</w:t>
      </w:r>
    </w:p>
    <w:p w:rsidR="000D1093" w:rsidRPr="00E54287" w:rsidRDefault="000D1093" w:rsidP="000D1093">
      <w:pPr>
        <w:pStyle w:val="Heading1"/>
        <w:rPr>
          <w:lang w:val="es-ES_tradnl"/>
        </w:rPr>
      </w:pPr>
      <w:r w:rsidRPr="00F46F25">
        <w:rPr>
          <w:lang w:val="es-ES_tradnl"/>
        </w:rPr>
        <w:t>3</w:t>
      </w:r>
      <w:r w:rsidRPr="00F46F25">
        <w:rPr>
          <w:lang w:val="es-ES_tradnl"/>
        </w:rPr>
        <w:tab/>
        <w:t xml:space="preserve">Predicción del comportamiento del sistema en sistemas que utilizan estaciones en </w:t>
      </w:r>
      <w:r w:rsidRPr="00E54287">
        <w:rPr>
          <w:lang w:val="es-ES_tradnl"/>
        </w:rPr>
        <w:t>plataformas a gran altitud y otras estaciones en plataformas elevadas</w:t>
      </w:r>
    </w:p>
    <w:p w:rsidR="000D1093" w:rsidRPr="00F46F25" w:rsidRDefault="000D1093" w:rsidP="000D1093">
      <w:pPr>
        <w:rPr>
          <w:lang w:val="es-ES_tradnl"/>
        </w:rPr>
      </w:pPr>
      <w:r w:rsidRPr="00E54287">
        <w:rPr>
          <w:lang w:val="es-ES_tradnl"/>
        </w:rPr>
        <w:t>Debe utilizarse el método de la Recomendación UIT-R P.618, observando que no se aplican los efectos debidos a la ionosfera.</w:t>
      </w:r>
    </w:p>
    <w:p w:rsidR="00611007" w:rsidRDefault="00611007" w:rsidP="00611007">
      <w:pPr>
        <w:rPr>
          <w:lang w:val="es-ES_tradnl"/>
        </w:rPr>
      </w:pPr>
    </w:p>
    <w:p w:rsidR="000D1093" w:rsidRDefault="000D1093" w:rsidP="00A71440">
      <w:pPr>
        <w:rPr>
          <w:lang w:val="es-ES_tradnl"/>
        </w:rPr>
      </w:pPr>
    </w:p>
    <w:p w:rsidR="000D1093" w:rsidRDefault="000D1093">
      <w:pPr>
        <w:jc w:val="center"/>
      </w:pPr>
      <w:r>
        <w:t>______________</w:t>
      </w:r>
    </w:p>
    <w:p w:rsidR="000D1093" w:rsidRPr="00611007" w:rsidRDefault="000D1093" w:rsidP="00611007">
      <w:pPr>
        <w:rPr>
          <w:lang w:val="es-ES_tradnl"/>
        </w:rPr>
      </w:pPr>
    </w:p>
    <w:sectPr w:rsidR="000D1093" w:rsidRPr="00611007" w:rsidSect="00FA1587">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165" w:rsidRDefault="00AA5165">
      <w:r>
        <w:separator/>
      </w:r>
    </w:p>
  </w:endnote>
  <w:endnote w:type="continuationSeparator" w:id="0">
    <w:p w:rsidR="00AA5165" w:rsidRDefault="00AA5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165" w:rsidRDefault="00AA5165">
      <w:r>
        <w:separator/>
      </w:r>
    </w:p>
  </w:footnote>
  <w:footnote w:type="continuationSeparator" w:id="0">
    <w:p w:rsidR="00AA5165" w:rsidRDefault="00AA51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165" w:rsidRDefault="00AA516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165" w:rsidRDefault="00AA5165" w:rsidP="00B13B06">
    <w:pPr>
      <w:pStyle w:val="Header"/>
      <w:ind w:right="360" w:firstLine="360"/>
    </w:pPr>
    <w:r>
      <w:rPr>
        <w:noProof/>
        <w:lang w:val="en-US" w:eastAsia="zh-CN"/>
      </w:rPr>
      <w:drawing>
        <wp:anchor distT="0" distB="0" distL="114300" distR="114300" simplePos="0" relativeHeight="251659264" behindDoc="1" locked="0" layoutInCell="1" allowOverlap="1" wp14:anchorId="35B1C295" wp14:editId="7F828FFD">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165" w:rsidRDefault="00AA5165" w:rsidP="00B13B06">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C2027D">
      <w:rPr>
        <w:rStyle w:val="PageNumber"/>
        <w:b/>
        <w:bCs/>
        <w:noProof/>
      </w:rPr>
      <w:t>ii</w:t>
    </w:r>
    <w:r>
      <w:rPr>
        <w:rStyle w:val="PageNumber"/>
        <w:b/>
        <w:bCs/>
      </w:rPr>
      <w:fldChar w:fldCharType="end"/>
    </w:r>
    <w:r>
      <w:tab/>
    </w:r>
    <w:fldSimple w:instr=" DOCPROPERTY &quot;Header&quot; \* MERGEFORMAT ">
      <w:r w:rsidR="00A71440" w:rsidRPr="00A71440">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C2027D">
      <w:rPr>
        <w:b/>
        <w:bCs/>
        <w:noProof/>
      </w:rPr>
      <w:t>UIT-R  P.1409-1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165" w:rsidRDefault="00AA5165">
    <w:pPr>
      <w:pStyle w:val="Header"/>
    </w:pPr>
    <w:r>
      <w:tab/>
    </w:r>
    <w:fldSimple w:instr=" DOCPROPERTY &quot;Header&quot; \* MERGEFORMAT ">
      <w:r w:rsidR="00A71440" w:rsidRPr="00A71440">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A71440">
      <w:rPr>
        <w:b/>
        <w:bCs/>
        <w:noProof/>
      </w:rPr>
      <w:t>UIT-R  P.1409-1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165" w:rsidRDefault="00AA516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2027D">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71440" w:rsidRPr="00A7144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2027D">
      <w:rPr>
        <w:b/>
        <w:bCs/>
        <w:noProof/>
      </w:rPr>
      <w:t>UIT-R  P.1409-1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165" w:rsidRDefault="00AA5165">
    <w:pPr>
      <w:pStyle w:val="Header"/>
    </w:pPr>
    <w:r>
      <w:tab/>
    </w:r>
    <w:fldSimple w:instr=" DOCPROPERTY &quot;Header&quot; \* MERGEFORMAT ">
      <w:r w:rsidR="00A71440" w:rsidRPr="00A7144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2027D">
      <w:rPr>
        <w:b/>
        <w:bCs/>
        <w:noProof/>
      </w:rPr>
      <w:t>UIT-R  P.1409-1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2027D">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007"/>
    <w:rsid w:val="00047A73"/>
    <w:rsid w:val="000D1093"/>
    <w:rsid w:val="000F7B99"/>
    <w:rsid w:val="00107201"/>
    <w:rsid w:val="00175020"/>
    <w:rsid w:val="001A3EBC"/>
    <w:rsid w:val="001A3FA2"/>
    <w:rsid w:val="001A7451"/>
    <w:rsid w:val="001B77AC"/>
    <w:rsid w:val="00217EBF"/>
    <w:rsid w:val="00242AEE"/>
    <w:rsid w:val="002826F8"/>
    <w:rsid w:val="002D76C4"/>
    <w:rsid w:val="00307ADF"/>
    <w:rsid w:val="003577EB"/>
    <w:rsid w:val="003C21D3"/>
    <w:rsid w:val="0041111C"/>
    <w:rsid w:val="004539FC"/>
    <w:rsid w:val="00483DE8"/>
    <w:rsid w:val="0052529D"/>
    <w:rsid w:val="005B086B"/>
    <w:rsid w:val="005F13AB"/>
    <w:rsid w:val="00607D68"/>
    <w:rsid w:val="00611007"/>
    <w:rsid w:val="006B100C"/>
    <w:rsid w:val="00700151"/>
    <w:rsid w:val="007468DA"/>
    <w:rsid w:val="008107D7"/>
    <w:rsid w:val="00860853"/>
    <w:rsid w:val="0089546D"/>
    <w:rsid w:val="008C11A4"/>
    <w:rsid w:val="00947C2F"/>
    <w:rsid w:val="009B781F"/>
    <w:rsid w:val="009E00A8"/>
    <w:rsid w:val="00A6617B"/>
    <w:rsid w:val="00A71440"/>
    <w:rsid w:val="00AA5165"/>
    <w:rsid w:val="00AB0DC8"/>
    <w:rsid w:val="00AB18FE"/>
    <w:rsid w:val="00B13B06"/>
    <w:rsid w:val="00B44E24"/>
    <w:rsid w:val="00B52E97"/>
    <w:rsid w:val="00BF1A7D"/>
    <w:rsid w:val="00C15F3B"/>
    <w:rsid w:val="00C2027D"/>
    <w:rsid w:val="00CD2454"/>
    <w:rsid w:val="00D712F4"/>
    <w:rsid w:val="00D77BB2"/>
    <w:rsid w:val="00D95E14"/>
    <w:rsid w:val="00DF4176"/>
    <w:rsid w:val="00EF0EC6"/>
    <w:rsid w:val="00EF681C"/>
    <w:rsid w:val="00F44B2D"/>
    <w:rsid w:val="00F50ACF"/>
    <w:rsid w:val="00FA1587"/>
    <w:rsid w:val="00FC11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100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3577EB"/>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11007"/>
    <w:rPr>
      <w:color w:val="0000FF"/>
      <w:u w:val="single"/>
    </w:rPr>
  </w:style>
  <w:style w:type="character" w:customStyle="1" w:styleId="Heading1Char">
    <w:name w:val="Heading 1 Char"/>
    <w:basedOn w:val="DefaultParagraphFont"/>
    <w:link w:val="Heading1"/>
    <w:rsid w:val="00611007"/>
    <w:rPr>
      <w:b/>
      <w:sz w:val="24"/>
      <w:lang w:val="fr-FR" w:eastAsia="en-US"/>
    </w:rPr>
  </w:style>
  <w:style w:type="character" w:customStyle="1" w:styleId="FigureNoChar">
    <w:name w:val="Figure_No Char"/>
    <w:basedOn w:val="DefaultParagraphFont"/>
    <w:link w:val="FigureNo"/>
    <w:rsid w:val="003577EB"/>
    <w:rPr>
      <w:caps/>
      <w:sz w:val="18"/>
      <w:lang w:val="fr-FR" w:eastAsia="en-US"/>
    </w:rPr>
  </w:style>
  <w:style w:type="character" w:customStyle="1" w:styleId="enumlev1Char">
    <w:name w:val="enumlev1 Char"/>
    <w:link w:val="enumlev1"/>
    <w:locked/>
    <w:rsid w:val="000D1093"/>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100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3577EB"/>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11007"/>
    <w:rPr>
      <w:color w:val="0000FF"/>
      <w:u w:val="single"/>
    </w:rPr>
  </w:style>
  <w:style w:type="character" w:customStyle="1" w:styleId="Heading1Char">
    <w:name w:val="Heading 1 Char"/>
    <w:basedOn w:val="DefaultParagraphFont"/>
    <w:link w:val="Heading1"/>
    <w:rsid w:val="00611007"/>
    <w:rPr>
      <w:b/>
      <w:sz w:val="24"/>
      <w:lang w:val="fr-FR" w:eastAsia="en-US"/>
    </w:rPr>
  </w:style>
  <w:style w:type="character" w:customStyle="1" w:styleId="FigureNoChar">
    <w:name w:val="Figure_No Char"/>
    <w:basedOn w:val="DefaultParagraphFont"/>
    <w:link w:val="FigureNo"/>
    <w:rsid w:val="003577EB"/>
    <w:rPr>
      <w:caps/>
      <w:sz w:val="18"/>
      <w:lang w:val="fr-FR" w:eastAsia="en-US"/>
    </w:rPr>
  </w:style>
  <w:style w:type="character" w:customStyle="1" w:styleId="enumlev1Char">
    <w:name w:val="enumlev1 Char"/>
    <w:link w:val="enumlev1"/>
    <w:locked/>
    <w:rsid w:val="000D1093"/>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3A3DE-A51E-4615-BC9A-668A503E1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50</TotalTime>
  <Pages>5</Pages>
  <Words>1298</Words>
  <Characters>7640</Characters>
  <Application>Microsoft Office Word</Application>
  <DocSecurity>0</DocSecurity>
  <Lines>173</Lines>
  <Paragraphs>25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14</cp:revision>
  <cp:lastPrinted>2012-07-03T10:01:00Z</cp:lastPrinted>
  <dcterms:created xsi:type="dcterms:W3CDTF">2012-07-03T09:26:00Z</dcterms:created>
  <dcterms:modified xsi:type="dcterms:W3CDTF">2012-07-03T12:34:00Z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