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214" w:rsidRPr="00D652FD" w:rsidRDefault="002E5214">
      <w:pPr>
        <w:rPr>
          <w:lang w:val="fr-CH"/>
        </w:rPr>
      </w:pPr>
      <w:bookmarkStart w:id="0" w:name="_GoBack"/>
      <w:bookmarkEnd w:id="0"/>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p w:rsidR="002E5214" w:rsidRPr="00D652FD" w:rsidRDefault="002E5214">
      <w:pPr>
        <w:rPr>
          <w:lang w:val="fr-CH"/>
        </w:rPr>
      </w:pPr>
    </w:p>
    <w:tbl>
      <w:tblPr>
        <w:tblW w:w="10089" w:type="dxa"/>
        <w:tblLook w:val="01E0" w:firstRow="1" w:lastRow="1" w:firstColumn="1" w:lastColumn="1" w:noHBand="0" w:noVBand="0"/>
      </w:tblPr>
      <w:tblGrid>
        <w:gridCol w:w="10089"/>
      </w:tblGrid>
      <w:tr w:rsidR="002E5214" w:rsidRPr="00D652FD">
        <w:tc>
          <w:tcPr>
            <w:tcW w:w="10089" w:type="dxa"/>
          </w:tcPr>
          <w:p w:rsidR="002E5214" w:rsidRPr="00D652FD" w:rsidRDefault="002E5214" w:rsidP="00013002">
            <w:pPr>
              <w:spacing w:before="380" w:line="280" w:lineRule="exact"/>
              <w:jc w:val="right"/>
              <w:rPr>
                <w:rFonts w:ascii="Tahoma" w:hAnsi="Tahoma" w:cs="Tahoma"/>
                <w:b/>
                <w:bCs/>
                <w:iCs/>
                <w:color w:val="243285"/>
                <w:sz w:val="32"/>
                <w:szCs w:val="32"/>
                <w:lang w:val="fr-CH"/>
              </w:rPr>
            </w:pPr>
          </w:p>
          <w:p w:rsidR="002E5214" w:rsidRPr="00D652FD" w:rsidRDefault="002E5214" w:rsidP="00D652FD">
            <w:pPr>
              <w:spacing w:before="380" w:line="280" w:lineRule="exact"/>
              <w:jc w:val="right"/>
              <w:rPr>
                <w:rFonts w:ascii="Tahoma" w:hAnsi="Tahoma" w:cs="Tahoma"/>
                <w:b/>
                <w:bCs/>
                <w:iCs/>
                <w:color w:val="243285"/>
                <w:sz w:val="36"/>
                <w:szCs w:val="36"/>
                <w:lang w:val="fr-CH"/>
              </w:rPr>
            </w:pPr>
            <w:r w:rsidRPr="00D652FD">
              <w:rPr>
                <w:rFonts w:ascii="Tahoma" w:hAnsi="Tahoma" w:cs="Tahoma"/>
                <w:b/>
                <w:bCs/>
                <w:iCs/>
                <w:color w:val="243285"/>
                <w:sz w:val="36"/>
                <w:szCs w:val="36"/>
                <w:lang w:val="fr-CH"/>
              </w:rPr>
              <w:t>Recommandation  UIT-R  P.</w:t>
            </w:r>
            <w:r w:rsidR="00D652FD" w:rsidRPr="00D652FD">
              <w:rPr>
                <w:rFonts w:ascii="Tahoma" w:hAnsi="Tahoma" w:cs="Tahoma"/>
                <w:b/>
                <w:bCs/>
                <w:iCs/>
                <w:color w:val="243285"/>
                <w:sz w:val="36"/>
                <w:szCs w:val="36"/>
                <w:lang w:val="fr-CH"/>
              </w:rPr>
              <w:t>1409-1</w:t>
            </w:r>
          </w:p>
          <w:p w:rsidR="002E5214" w:rsidRPr="00D652FD" w:rsidRDefault="002E5214" w:rsidP="00D652FD">
            <w:pPr>
              <w:spacing w:before="80" w:line="280" w:lineRule="exact"/>
              <w:jc w:val="right"/>
              <w:rPr>
                <w:rFonts w:ascii="Tahoma" w:hAnsi="Tahoma" w:cs="Tahoma"/>
                <w:b/>
                <w:bCs/>
                <w:iCs/>
                <w:color w:val="243285"/>
                <w:szCs w:val="24"/>
                <w:lang w:val="fr-CH"/>
              </w:rPr>
            </w:pPr>
            <w:r w:rsidRPr="00D652FD">
              <w:rPr>
                <w:rFonts w:ascii="Tahoma" w:hAnsi="Tahoma" w:cs="Tahoma"/>
                <w:b/>
                <w:bCs/>
                <w:iCs/>
                <w:color w:val="243285"/>
                <w:szCs w:val="24"/>
                <w:lang w:val="fr-CH"/>
              </w:rPr>
              <w:t>(</w:t>
            </w:r>
            <w:r w:rsidR="00D652FD" w:rsidRPr="00D652FD">
              <w:rPr>
                <w:rFonts w:ascii="Tahoma" w:hAnsi="Tahoma" w:cs="Tahoma"/>
                <w:b/>
                <w:bCs/>
                <w:iCs/>
                <w:color w:val="243285"/>
                <w:szCs w:val="24"/>
                <w:lang w:val="fr-CH"/>
              </w:rPr>
              <w:t>02</w:t>
            </w:r>
            <w:r w:rsidRPr="00D652FD">
              <w:rPr>
                <w:rFonts w:ascii="Tahoma" w:hAnsi="Tahoma" w:cs="Tahoma"/>
                <w:b/>
                <w:bCs/>
                <w:iCs/>
                <w:color w:val="243285"/>
                <w:szCs w:val="24"/>
                <w:lang w:val="fr-CH"/>
              </w:rPr>
              <w:t>/</w:t>
            </w:r>
            <w:r w:rsidR="00D652FD" w:rsidRPr="00D652FD">
              <w:rPr>
                <w:rFonts w:ascii="Tahoma" w:hAnsi="Tahoma" w:cs="Tahoma"/>
                <w:b/>
                <w:bCs/>
                <w:iCs/>
                <w:color w:val="243285"/>
                <w:szCs w:val="24"/>
                <w:lang w:val="fr-CH"/>
              </w:rPr>
              <w:t>2012</w:t>
            </w:r>
            <w:r w:rsidRPr="00D652FD">
              <w:rPr>
                <w:rFonts w:ascii="Tahoma" w:hAnsi="Tahoma" w:cs="Tahoma"/>
                <w:b/>
                <w:bCs/>
                <w:iCs/>
                <w:color w:val="243285"/>
                <w:szCs w:val="24"/>
                <w:lang w:val="fr-CH"/>
              </w:rPr>
              <w:t>)</w:t>
            </w:r>
          </w:p>
        </w:tc>
      </w:tr>
      <w:tr w:rsidR="002E5214" w:rsidRPr="00D652FD">
        <w:tc>
          <w:tcPr>
            <w:tcW w:w="10089" w:type="dxa"/>
          </w:tcPr>
          <w:p w:rsidR="002E5214" w:rsidRPr="00D652FD" w:rsidRDefault="002E5214" w:rsidP="00123FD5">
            <w:pPr>
              <w:spacing w:before="80" w:line="500" w:lineRule="exact"/>
              <w:jc w:val="right"/>
              <w:rPr>
                <w:rFonts w:ascii="Tahoma" w:hAnsi="Tahoma" w:cs="Tahoma"/>
                <w:b/>
                <w:bCs/>
                <w:iCs/>
                <w:color w:val="243285"/>
                <w:sz w:val="44"/>
                <w:szCs w:val="44"/>
                <w:lang w:val="fr-CH"/>
              </w:rPr>
            </w:pPr>
          </w:p>
          <w:p w:rsidR="002E5214" w:rsidRPr="00D652FD" w:rsidRDefault="00D652FD" w:rsidP="00D652FD">
            <w:pPr>
              <w:spacing w:before="80" w:line="500" w:lineRule="exact"/>
              <w:jc w:val="right"/>
              <w:rPr>
                <w:rFonts w:ascii="Tahoma" w:hAnsi="Tahoma" w:cs="Tahoma"/>
                <w:b/>
                <w:bCs/>
                <w:iCs/>
                <w:color w:val="243285"/>
                <w:sz w:val="44"/>
                <w:szCs w:val="44"/>
                <w:lang w:val="fr-CH"/>
              </w:rPr>
            </w:pPr>
            <w:r w:rsidRPr="00D652FD">
              <w:rPr>
                <w:rFonts w:ascii="Tahoma" w:hAnsi="Tahoma" w:cs="Tahoma"/>
                <w:b/>
                <w:bCs/>
                <w:color w:val="243285"/>
                <w:sz w:val="44"/>
                <w:szCs w:val="44"/>
                <w:lang w:val="fr-CH"/>
              </w:rPr>
              <w:t>Données de propagation et méthodes de prévision pour les systèmes utilisant des stations placées sur des plates-formes à haute altitude et d'autres stations stratosphériques élevées fonctionnant à des fréquences supérieures à environ 1 GHz</w:t>
            </w:r>
          </w:p>
        </w:tc>
      </w:tr>
      <w:tr w:rsidR="002E5214" w:rsidRPr="00D652FD">
        <w:tc>
          <w:tcPr>
            <w:tcW w:w="10089" w:type="dxa"/>
          </w:tcPr>
          <w:p w:rsidR="002E5214" w:rsidRPr="00D652FD" w:rsidRDefault="002E5214" w:rsidP="00AD267B">
            <w:pPr>
              <w:spacing w:before="80" w:line="280" w:lineRule="exact"/>
              <w:ind w:right="640"/>
              <w:rPr>
                <w:rFonts w:ascii="Tahoma" w:hAnsi="Tahoma" w:cs="Tahoma"/>
                <w:b/>
                <w:bCs/>
                <w:iCs/>
                <w:color w:val="243285"/>
                <w:sz w:val="32"/>
                <w:szCs w:val="32"/>
                <w:lang w:val="fr-CH"/>
              </w:rPr>
            </w:pPr>
          </w:p>
          <w:p w:rsidR="002E5214" w:rsidRPr="00D652FD" w:rsidRDefault="002E5214" w:rsidP="00AD267B">
            <w:pPr>
              <w:spacing w:before="80" w:line="280" w:lineRule="exact"/>
              <w:ind w:right="640"/>
              <w:rPr>
                <w:rFonts w:ascii="Tahoma" w:hAnsi="Tahoma" w:cs="Tahoma"/>
                <w:b/>
                <w:bCs/>
                <w:iCs/>
                <w:color w:val="243285"/>
                <w:sz w:val="32"/>
                <w:szCs w:val="32"/>
                <w:lang w:val="fr-CH"/>
              </w:rPr>
            </w:pPr>
          </w:p>
          <w:p w:rsidR="002E5214" w:rsidRPr="00D652FD" w:rsidRDefault="002E5214" w:rsidP="004A4D65">
            <w:pPr>
              <w:spacing w:before="80" w:after="180" w:line="360" w:lineRule="exact"/>
              <w:ind w:right="720"/>
              <w:rPr>
                <w:rFonts w:ascii="Tahoma" w:hAnsi="Tahoma" w:cs="Tahoma"/>
                <w:b/>
                <w:bCs/>
                <w:iCs/>
                <w:color w:val="243285"/>
                <w:sz w:val="36"/>
                <w:szCs w:val="36"/>
                <w:lang w:val="fr-CH"/>
              </w:rPr>
            </w:pPr>
          </w:p>
          <w:p w:rsidR="002E5214" w:rsidRPr="00D652FD" w:rsidRDefault="002E5214" w:rsidP="00DE5EA2">
            <w:pPr>
              <w:spacing w:before="80" w:after="180" w:line="360" w:lineRule="exact"/>
              <w:jc w:val="right"/>
              <w:rPr>
                <w:rFonts w:ascii="Tahoma" w:hAnsi="Tahoma" w:cs="Tahoma"/>
                <w:b/>
                <w:bCs/>
                <w:iCs/>
                <w:color w:val="243285"/>
                <w:sz w:val="36"/>
                <w:szCs w:val="36"/>
                <w:lang w:val="fr-CH"/>
              </w:rPr>
            </w:pPr>
            <w:r w:rsidRPr="00D652FD">
              <w:rPr>
                <w:rFonts w:ascii="Tahoma" w:hAnsi="Tahoma" w:cs="Tahoma"/>
                <w:b/>
                <w:bCs/>
                <w:iCs/>
                <w:color w:val="243285"/>
                <w:sz w:val="36"/>
                <w:szCs w:val="36"/>
                <w:lang w:val="fr-CH"/>
              </w:rPr>
              <w:t>Série P</w:t>
            </w:r>
          </w:p>
          <w:p w:rsidR="002E5214" w:rsidRPr="00D652FD" w:rsidRDefault="002E5214" w:rsidP="00AD267B">
            <w:pPr>
              <w:spacing w:before="80" w:line="420" w:lineRule="exact"/>
              <w:jc w:val="right"/>
              <w:rPr>
                <w:rFonts w:ascii="Tahoma" w:hAnsi="Tahoma" w:cs="Tahoma"/>
                <w:b/>
                <w:bCs/>
                <w:iCs/>
                <w:color w:val="243285"/>
                <w:sz w:val="36"/>
                <w:szCs w:val="36"/>
                <w:lang w:val="fr-CH"/>
              </w:rPr>
            </w:pPr>
            <w:r w:rsidRPr="00D652FD">
              <w:rPr>
                <w:rFonts w:ascii="Tahoma" w:hAnsi="Tahoma" w:cs="Tahoma"/>
                <w:b/>
                <w:bCs/>
                <w:iCs/>
                <w:color w:val="243285"/>
                <w:sz w:val="36"/>
                <w:szCs w:val="36"/>
                <w:lang w:val="fr-CH"/>
              </w:rPr>
              <w:t>Propagation des ondes radioélectriques</w:t>
            </w:r>
          </w:p>
        </w:tc>
      </w:tr>
    </w:tbl>
    <w:p w:rsidR="002E5214" w:rsidRPr="00D652FD" w:rsidRDefault="002E5214" w:rsidP="00CD659B">
      <w:pPr>
        <w:spacing w:before="80"/>
        <w:rPr>
          <w:i/>
          <w:sz w:val="22"/>
          <w:lang w:val="fr-CH"/>
        </w:rPr>
      </w:pPr>
    </w:p>
    <w:p w:rsidR="002E5214" w:rsidRPr="00D652FD" w:rsidRDefault="002E5214" w:rsidP="00CD659B">
      <w:pPr>
        <w:spacing w:before="80"/>
        <w:rPr>
          <w:i/>
          <w:sz w:val="22"/>
          <w:lang w:val="fr-CH"/>
        </w:rPr>
      </w:pPr>
    </w:p>
    <w:p w:rsidR="002E5214" w:rsidRPr="00D652FD" w:rsidRDefault="002E5214" w:rsidP="00CD659B">
      <w:pPr>
        <w:spacing w:before="80"/>
        <w:rPr>
          <w:i/>
          <w:sz w:val="22"/>
          <w:lang w:val="fr-CH"/>
        </w:rPr>
      </w:pPr>
    </w:p>
    <w:p w:rsidR="002E5214" w:rsidRPr="00D652FD" w:rsidRDefault="002E5214" w:rsidP="00CD659B">
      <w:pPr>
        <w:spacing w:before="80"/>
        <w:rPr>
          <w:i/>
          <w:sz w:val="22"/>
          <w:lang w:val="fr-CH"/>
        </w:rPr>
      </w:pPr>
    </w:p>
    <w:p w:rsidR="002E5214" w:rsidRPr="00D652FD" w:rsidRDefault="002E5214" w:rsidP="00CD659B">
      <w:pPr>
        <w:spacing w:before="80"/>
        <w:rPr>
          <w:i/>
          <w:sz w:val="22"/>
          <w:lang w:val="fr-CH"/>
        </w:rPr>
      </w:pPr>
    </w:p>
    <w:p w:rsidR="002E5214" w:rsidRPr="00D652FD" w:rsidRDefault="002E5214" w:rsidP="00CD659B">
      <w:pPr>
        <w:pStyle w:val="Equation"/>
        <w:tabs>
          <w:tab w:val="clear" w:pos="4820"/>
          <w:tab w:val="clear" w:pos="9639"/>
          <w:tab w:val="left" w:pos="1191"/>
          <w:tab w:val="left" w:pos="1588"/>
          <w:tab w:val="left" w:pos="1985"/>
        </w:tabs>
        <w:rPr>
          <w:rFonts w:ascii="Palatino Linotype" w:hAnsi="Palatino Linotype"/>
          <w:lang w:val="fr-CH"/>
        </w:rPr>
        <w:sectPr w:rsidR="002E5214" w:rsidRPr="00D652FD" w:rsidSect="00FF15C6">
          <w:headerReference w:type="even" r:id="rId7"/>
          <w:headerReference w:type="default" r:id="rId8"/>
          <w:pgSz w:w="11907" w:h="16834" w:code="9"/>
          <w:pgMar w:top="1418" w:right="1134" w:bottom="1134" w:left="1134" w:header="720" w:footer="482" w:gutter="0"/>
          <w:paperSrc w:first="15" w:other="15"/>
          <w:cols w:space="720"/>
        </w:sectPr>
      </w:pPr>
    </w:p>
    <w:p w:rsidR="002E5214" w:rsidRPr="00D652FD" w:rsidRDefault="002E5214"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D652FD">
        <w:rPr>
          <w:bCs/>
          <w:sz w:val="24"/>
          <w:szCs w:val="24"/>
          <w:lang w:val="fr-CH"/>
        </w:rPr>
        <w:lastRenderedPageBreak/>
        <w:t>Avant-propos</w:t>
      </w:r>
    </w:p>
    <w:p w:rsidR="002E5214" w:rsidRPr="00D652FD" w:rsidRDefault="002E5214" w:rsidP="00F54FBD">
      <w:pPr>
        <w:spacing w:before="240"/>
        <w:rPr>
          <w:sz w:val="20"/>
          <w:lang w:val="fr-CH"/>
        </w:rPr>
      </w:pPr>
      <w:r w:rsidRPr="00D652FD">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E5214" w:rsidRPr="00D652FD" w:rsidRDefault="002E5214" w:rsidP="00F54FBD">
      <w:pPr>
        <w:rPr>
          <w:sz w:val="20"/>
          <w:lang w:val="fr-CH"/>
        </w:rPr>
      </w:pPr>
      <w:r w:rsidRPr="00D652F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2E5214" w:rsidRPr="00D652FD" w:rsidRDefault="002E5214" w:rsidP="00614CC6">
      <w:pPr>
        <w:pStyle w:val="Heading1"/>
        <w:spacing w:before="360"/>
        <w:jc w:val="center"/>
        <w:rPr>
          <w:szCs w:val="24"/>
          <w:lang w:val="fr-CH"/>
        </w:rPr>
      </w:pPr>
      <w:r w:rsidRPr="00D652FD">
        <w:rPr>
          <w:szCs w:val="24"/>
          <w:lang w:val="fr-CH"/>
        </w:rPr>
        <w:t>Politique en matière de droits de propriété intellectuelle (IPR)</w:t>
      </w:r>
    </w:p>
    <w:p w:rsidR="002E5214" w:rsidRPr="00D652FD" w:rsidRDefault="002E5214" w:rsidP="00E44CBB">
      <w:pPr>
        <w:spacing w:before="240"/>
        <w:rPr>
          <w:sz w:val="20"/>
          <w:lang w:val="fr-CH"/>
        </w:rPr>
      </w:pPr>
      <w:r w:rsidRPr="00D652FD">
        <w:rPr>
          <w:sz w:val="20"/>
          <w:lang w:val="fr-CH"/>
        </w:rPr>
        <w:t>La politique de l'UIT</w:t>
      </w:r>
      <w:r w:rsidRPr="00D652FD">
        <w:rPr>
          <w:sz w:val="20"/>
          <w:lang w:val="fr-CH"/>
        </w:rPr>
        <w:noBreakHyphen/>
        <w:t>R en matière de droits de propriété intellectuelle est décrite dans la «Politique commune de l'UIT</w:t>
      </w:r>
      <w:r w:rsidRPr="00D652FD">
        <w:rPr>
          <w:sz w:val="20"/>
          <w:lang w:val="fr-CH"/>
        </w:rPr>
        <w:noBreakHyphen/>
        <w:t>T, l'UIT</w:t>
      </w:r>
      <w:r w:rsidRPr="00D652F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D652FD">
          <w:rPr>
            <w:rStyle w:val="Hyperlink"/>
            <w:sz w:val="20"/>
            <w:lang w:val="fr-CH"/>
          </w:rPr>
          <w:t>http://www.itu.int/ITU-R/go/patents/fr</w:t>
        </w:r>
      </w:hyperlink>
      <w:r w:rsidRPr="00D652FD">
        <w:rPr>
          <w:sz w:val="20"/>
          <w:lang w:val="fr-CH"/>
        </w:rPr>
        <w:t>, où l'on trouvera également les Lignes directrices pour la mise en oeuvre de la politique commune en matière de brevets de l'UIT</w:t>
      </w:r>
      <w:r w:rsidRPr="00D652FD">
        <w:rPr>
          <w:sz w:val="20"/>
          <w:lang w:val="fr-CH"/>
        </w:rPr>
        <w:noBreakHyphen/>
        <w:t>T, l'UIT</w:t>
      </w:r>
      <w:r w:rsidRPr="00D652FD">
        <w:rPr>
          <w:sz w:val="20"/>
          <w:lang w:val="fr-CH"/>
        </w:rPr>
        <w:noBreakHyphen/>
        <w:t>R, l'ISO et la CEI</w:t>
      </w:r>
      <w:r w:rsidRPr="00D652FD" w:rsidDel="0061025C">
        <w:rPr>
          <w:sz w:val="20"/>
          <w:lang w:val="fr-CH"/>
        </w:rPr>
        <w:t xml:space="preserve"> </w:t>
      </w:r>
      <w:r w:rsidRPr="00D652FD">
        <w:rPr>
          <w:sz w:val="20"/>
          <w:lang w:val="fr-CH"/>
        </w:rPr>
        <w:t>et la base de données en matière de brevets de l'UIT-R.</w:t>
      </w:r>
    </w:p>
    <w:p w:rsidR="002E5214" w:rsidRPr="00D652FD" w:rsidRDefault="002E5214"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5214" w:rsidRPr="00D652FD">
        <w:tc>
          <w:tcPr>
            <w:tcW w:w="9360" w:type="dxa"/>
            <w:gridSpan w:val="2"/>
          </w:tcPr>
          <w:p w:rsidR="002E5214" w:rsidRPr="00D652FD" w:rsidRDefault="002E5214"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D652FD">
              <w:rPr>
                <w:sz w:val="22"/>
                <w:szCs w:val="22"/>
                <w:lang w:val="fr-CH"/>
              </w:rPr>
              <w:t xml:space="preserve">Séries des Recommandations UIT-R </w:t>
            </w:r>
          </w:p>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D652FD">
              <w:rPr>
                <w:b w:val="0"/>
                <w:sz w:val="18"/>
                <w:szCs w:val="18"/>
                <w:lang w:val="fr-CH"/>
              </w:rPr>
              <w:t xml:space="preserve">(Egalement disponible en ligne: </w:t>
            </w:r>
            <w:hyperlink r:id="rId10" w:history="1">
              <w:r w:rsidRPr="00D652FD">
                <w:rPr>
                  <w:rStyle w:val="Hyperlink"/>
                  <w:b w:val="0"/>
                  <w:bCs/>
                  <w:sz w:val="18"/>
                  <w:szCs w:val="18"/>
                  <w:lang w:val="fr-CH"/>
                </w:rPr>
                <w:t>http://www.itu.int/publ/R-REC/fr</w:t>
              </w:r>
            </w:hyperlink>
            <w:r w:rsidRPr="00D652FD">
              <w:rPr>
                <w:b w:val="0"/>
                <w:bCs/>
                <w:sz w:val="18"/>
                <w:szCs w:val="18"/>
                <w:lang w:val="fr-CH"/>
              </w:rPr>
              <w:t>)</w:t>
            </w:r>
          </w:p>
        </w:tc>
      </w:tr>
      <w:tr w:rsidR="002E5214" w:rsidRPr="00D652FD" w:rsidTr="005E427C">
        <w:tc>
          <w:tcPr>
            <w:tcW w:w="1140" w:type="dxa"/>
            <w:tcBorders>
              <w:bottom w:val="nil"/>
            </w:tcBorders>
          </w:tcPr>
          <w:p w:rsidR="002E5214" w:rsidRPr="00D652FD" w:rsidRDefault="002E5214" w:rsidP="00614CC6">
            <w:pPr>
              <w:spacing w:before="90" w:after="100"/>
              <w:ind w:left="57"/>
              <w:rPr>
                <w:b/>
                <w:bCs/>
                <w:sz w:val="20"/>
                <w:lang w:val="fr-CH"/>
              </w:rPr>
            </w:pPr>
            <w:r w:rsidRPr="00D652FD">
              <w:rPr>
                <w:b/>
                <w:bCs/>
                <w:sz w:val="20"/>
                <w:lang w:val="fr-CH"/>
              </w:rPr>
              <w:t>Séries</w:t>
            </w:r>
          </w:p>
        </w:tc>
        <w:tc>
          <w:tcPr>
            <w:tcW w:w="8220" w:type="dxa"/>
            <w:tcBorders>
              <w:bottom w:val="nil"/>
            </w:tcBorders>
          </w:tcPr>
          <w:p w:rsidR="002E5214" w:rsidRPr="00D652FD" w:rsidRDefault="002E5214"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D652FD">
              <w:rPr>
                <w:bCs/>
                <w:sz w:val="20"/>
                <w:lang w:val="fr-CH"/>
              </w:rPr>
              <w:t>Titre</w:t>
            </w:r>
          </w:p>
        </w:tc>
      </w:tr>
      <w:tr w:rsidR="002E5214" w:rsidRPr="00D652FD" w:rsidTr="005E427C">
        <w:tc>
          <w:tcPr>
            <w:tcW w:w="1140" w:type="dxa"/>
            <w:tcBorders>
              <w:top w:val="nil"/>
              <w:bottom w:val="nil"/>
            </w:tcBorders>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BO</w:t>
            </w:r>
          </w:p>
        </w:tc>
        <w:tc>
          <w:tcPr>
            <w:tcW w:w="8220" w:type="dxa"/>
            <w:tcBorders>
              <w:top w:val="nil"/>
              <w:bottom w:val="nil"/>
            </w:tcBorders>
            <w:shd w:val="clear" w:color="auto" w:fill="auto"/>
          </w:tcPr>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652FD">
              <w:rPr>
                <w:b w:val="0"/>
                <w:sz w:val="20"/>
                <w:lang w:val="fr-CH"/>
              </w:rPr>
              <w:t>Diffusion par satellite</w:t>
            </w:r>
          </w:p>
        </w:tc>
      </w:tr>
      <w:tr w:rsidR="002E5214" w:rsidRPr="00D652FD" w:rsidTr="00E80F1D">
        <w:tc>
          <w:tcPr>
            <w:tcW w:w="1140" w:type="dxa"/>
            <w:tcBorders>
              <w:top w:val="nil"/>
              <w:bottom w:val="nil"/>
            </w:tcBorders>
          </w:tcPr>
          <w:p w:rsidR="002E5214" w:rsidRPr="00D652FD" w:rsidRDefault="002E5214" w:rsidP="00F336CC">
            <w:pPr>
              <w:spacing w:before="30" w:after="30"/>
              <w:ind w:left="57"/>
              <w:jc w:val="left"/>
              <w:rPr>
                <w:b/>
                <w:bCs/>
                <w:sz w:val="20"/>
                <w:lang w:val="fr-CH"/>
              </w:rPr>
            </w:pPr>
            <w:r w:rsidRPr="00D652FD">
              <w:rPr>
                <w:b/>
                <w:bCs/>
                <w:sz w:val="20"/>
                <w:lang w:val="fr-CH"/>
              </w:rPr>
              <w:t>BR</w:t>
            </w:r>
          </w:p>
        </w:tc>
        <w:tc>
          <w:tcPr>
            <w:tcW w:w="8220" w:type="dxa"/>
            <w:tcBorders>
              <w:top w:val="nil"/>
              <w:bottom w:val="nil"/>
            </w:tcBorders>
          </w:tcPr>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652FD">
              <w:rPr>
                <w:b w:val="0"/>
                <w:bCs/>
                <w:sz w:val="20"/>
                <w:lang w:val="fr-CH"/>
              </w:rPr>
              <w:t>Enregistrement pour la production, l'archivage et la diffusion; films pour la télévision</w:t>
            </w:r>
          </w:p>
        </w:tc>
      </w:tr>
      <w:tr w:rsidR="002E5214" w:rsidRPr="00D652FD" w:rsidTr="00E80F1D">
        <w:tc>
          <w:tcPr>
            <w:tcW w:w="1140" w:type="dxa"/>
            <w:tcBorders>
              <w:top w:val="nil"/>
              <w:bottom w:val="nil"/>
            </w:tcBorders>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BS</w:t>
            </w:r>
          </w:p>
        </w:tc>
        <w:tc>
          <w:tcPr>
            <w:tcW w:w="8220" w:type="dxa"/>
            <w:tcBorders>
              <w:top w:val="nil"/>
              <w:bottom w:val="nil"/>
            </w:tcBorders>
            <w:shd w:val="clear" w:color="auto" w:fill="auto"/>
          </w:tcPr>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652FD">
              <w:rPr>
                <w:b w:val="0"/>
                <w:sz w:val="20"/>
                <w:lang w:val="fr-CH"/>
              </w:rPr>
              <w:t>Service de radiodiffusion sonore</w:t>
            </w:r>
          </w:p>
        </w:tc>
      </w:tr>
      <w:tr w:rsidR="002E5214" w:rsidRPr="00D652FD" w:rsidTr="00DE5EA2">
        <w:tc>
          <w:tcPr>
            <w:tcW w:w="1140" w:type="dxa"/>
            <w:tcBorders>
              <w:top w:val="nil"/>
              <w:bottom w:val="nil"/>
            </w:tcBorders>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BT</w:t>
            </w:r>
          </w:p>
        </w:tc>
        <w:tc>
          <w:tcPr>
            <w:tcW w:w="8220" w:type="dxa"/>
            <w:tcBorders>
              <w:top w:val="nil"/>
              <w:bottom w:val="nil"/>
            </w:tcBorders>
            <w:shd w:val="clear" w:color="auto" w:fill="auto"/>
          </w:tcPr>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D652FD">
              <w:rPr>
                <w:b w:val="0"/>
                <w:bCs/>
                <w:sz w:val="20"/>
                <w:lang w:val="fr-CH"/>
              </w:rPr>
              <w:t>Service de radiodiffusion télévisuelle</w:t>
            </w:r>
          </w:p>
        </w:tc>
      </w:tr>
      <w:tr w:rsidR="002E5214" w:rsidRPr="00D652FD" w:rsidTr="00DE5EA2">
        <w:tc>
          <w:tcPr>
            <w:tcW w:w="1140" w:type="dxa"/>
            <w:tcBorders>
              <w:top w:val="nil"/>
              <w:bottom w:val="nil"/>
            </w:tcBorders>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F</w:t>
            </w:r>
          </w:p>
        </w:tc>
        <w:tc>
          <w:tcPr>
            <w:tcW w:w="8220" w:type="dxa"/>
            <w:tcBorders>
              <w:top w:val="nil"/>
              <w:bottom w:val="nil"/>
            </w:tcBorders>
            <w:shd w:val="clear" w:color="auto" w:fill="auto"/>
          </w:tcPr>
          <w:p w:rsidR="002E5214" w:rsidRPr="00D652FD" w:rsidRDefault="002E521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652FD">
              <w:rPr>
                <w:sz w:val="20"/>
                <w:lang w:val="fr-CH"/>
              </w:rPr>
              <w:t>Service fixe</w:t>
            </w:r>
          </w:p>
        </w:tc>
      </w:tr>
      <w:tr w:rsidR="002E5214" w:rsidRPr="00D652FD" w:rsidTr="00DE5EA2">
        <w:tc>
          <w:tcPr>
            <w:tcW w:w="1140" w:type="dxa"/>
            <w:tcBorders>
              <w:top w:val="nil"/>
              <w:bottom w:val="nil"/>
            </w:tcBorders>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M</w:t>
            </w:r>
          </w:p>
        </w:tc>
        <w:tc>
          <w:tcPr>
            <w:tcW w:w="8220" w:type="dxa"/>
            <w:tcBorders>
              <w:top w:val="nil"/>
              <w:bottom w:val="nil"/>
            </w:tcBorders>
            <w:shd w:val="clear" w:color="auto" w:fill="auto"/>
          </w:tcPr>
          <w:p w:rsidR="002E5214" w:rsidRPr="00D652FD" w:rsidRDefault="002E5214"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652FD">
              <w:rPr>
                <w:b w:val="0"/>
                <w:sz w:val="20"/>
                <w:lang w:val="fr-CH"/>
              </w:rPr>
              <w:t>Services mobile, de radiorepérage et d'amateur y compris les services par satellite associés</w:t>
            </w:r>
          </w:p>
        </w:tc>
      </w:tr>
      <w:tr w:rsidR="002E5214" w:rsidRPr="00D652FD" w:rsidTr="00DE5EA2">
        <w:tc>
          <w:tcPr>
            <w:tcW w:w="1140" w:type="dxa"/>
            <w:tcBorders>
              <w:top w:val="nil"/>
              <w:bottom w:val="nil"/>
            </w:tcBorders>
            <w:shd w:val="clear" w:color="auto" w:fill="F3F3F3"/>
          </w:tcPr>
          <w:p w:rsidR="002E5214" w:rsidRPr="00D652FD" w:rsidRDefault="002E5214" w:rsidP="00F336CC">
            <w:pPr>
              <w:spacing w:before="30" w:after="30"/>
              <w:ind w:left="57"/>
              <w:jc w:val="left"/>
              <w:rPr>
                <w:b/>
                <w:bCs/>
                <w:color w:val="000080"/>
                <w:sz w:val="20"/>
                <w:lang w:val="fr-CH"/>
              </w:rPr>
            </w:pPr>
            <w:r w:rsidRPr="00D652FD">
              <w:rPr>
                <w:b/>
                <w:bCs/>
                <w:color w:val="000080"/>
                <w:sz w:val="20"/>
                <w:lang w:val="fr-CH"/>
              </w:rPr>
              <w:t>P</w:t>
            </w:r>
          </w:p>
        </w:tc>
        <w:tc>
          <w:tcPr>
            <w:tcW w:w="8220" w:type="dxa"/>
            <w:tcBorders>
              <w:top w:val="nil"/>
              <w:bottom w:val="nil"/>
            </w:tcBorders>
            <w:shd w:val="clear" w:color="auto" w:fill="F3F3F3"/>
          </w:tcPr>
          <w:p w:rsidR="002E5214" w:rsidRPr="00D652FD" w:rsidRDefault="002E5214" w:rsidP="00F336CC">
            <w:pPr>
              <w:spacing w:before="30" w:after="30"/>
              <w:jc w:val="left"/>
              <w:rPr>
                <w:b/>
                <w:bCs/>
                <w:color w:val="000080"/>
                <w:sz w:val="20"/>
                <w:lang w:val="fr-CH"/>
              </w:rPr>
            </w:pPr>
            <w:r w:rsidRPr="00D652FD">
              <w:rPr>
                <w:b/>
                <w:bCs/>
                <w:color w:val="000080"/>
                <w:sz w:val="20"/>
                <w:lang w:val="fr-CH"/>
              </w:rPr>
              <w:t>Propagation des ondes radioélectriques</w:t>
            </w:r>
          </w:p>
        </w:tc>
      </w:tr>
      <w:tr w:rsidR="002E5214" w:rsidRPr="00D652FD" w:rsidTr="00DE5EA2">
        <w:tc>
          <w:tcPr>
            <w:tcW w:w="1140" w:type="dxa"/>
            <w:tcBorders>
              <w:top w:val="nil"/>
            </w:tcBorders>
          </w:tcPr>
          <w:p w:rsidR="002E5214" w:rsidRPr="00D652FD" w:rsidRDefault="002E5214" w:rsidP="00F336CC">
            <w:pPr>
              <w:spacing w:before="30" w:after="30"/>
              <w:ind w:left="57"/>
              <w:jc w:val="left"/>
              <w:rPr>
                <w:b/>
                <w:bCs/>
                <w:sz w:val="20"/>
                <w:lang w:val="fr-CH"/>
              </w:rPr>
            </w:pPr>
            <w:r w:rsidRPr="00D652FD">
              <w:rPr>
                <w:b/>
                <w:bCs/>
                <w:sz w:val="20"/>
                <w:lang w:val="fr-CH"/>
              </w:rPr>
              <w:t>RA</w:t>
            </w:r>
          </w:p>
        </w:tc>
        <w:tc>
          <w:tcPr>
            <w:tcW w:w="8220" w:type="dxa"/>
            <w:tcBorders>
              <w:top w:val="nil"/>
            </w:tcBorders>
          </w:tcPr>
          <w:p w:rsidR="002E5214" w:rsidRPr="00D652FD" w:rsidRDefault="002E521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652FD">
              <w:rPr>
                <w:sz w:val="20"/>
                <w:lang w:val="fr-CH"/>
              </w:rPr>
              <w:t>Radio astronomie</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RS</w:t>
            </w:r>
          </w:p>
        </w:tc>
        <w:tc>
          <w:tcPr>
            <w:tcW w:w="8220" w:type="dxa"/>
          </w:tcPr>
          <w:p w:rsidR="002E5214" w:rsidRPr="00D652FD" w:rsidRDefault="002E5214"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652FD">
              <w:rPr>
                <w:sz w:val="20"/>
                <w:lang w:val="fr-CH"/>
              </w:rPr>
              <w:t>Systèmes de télédétection</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S</w:t>
            </w:r>
          </w:p>
        </w:tc>
        <w:tc>
          <w:tcPr>
            <w:tcW w:w="8220" w:type="dxa"/>
          </w:tcPr>
          <w:p w:rsidR="002E5214" w:rsidRPr="00D652FD" w:rsidRDefault="002E5214" w:rsidP="00F336CC">
            <w:pPr>
              <w:spacing w:before="30" w:after="30"/>
              <w:jc w:val="left"/>
              <w:rPr>
                <w:sz w:val="20"/>
                <w:lang w:val="fr-CH"/>
              </w:rPr>
            </w:pPr>
            <w:r w:rsidRPr="00D652FD">
              <w:rPr>
                <w:sz w:val="20"/>
                <w:lang w:val="fr-CH"/>
              </w:rPr>
              <w:t>Service fixe par satellite</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SA</w:t>
            </w:r>
          </w:p>
        </w:tc>
        <w:tc>
          <w:tcPr>
            <w:tcW w:w="8220" w:type="dxa"/>
          </w:tcPr>
          <w:p w:rsidR="002E5214" w:rsidRPr="00D652FD" w:rsidRDefault="002E5214" w:rsidP="00F336CC">
            <w:pPr>
              <w:spacing w:before="30" w:after="30"/>
              <w:jc w:val="left"/>
              <w:rPr>
                <w:sz w:val="20"/>
                <w:lang w:val="fr-CH"/>
              </w:rPr>
            </w:pPr>
            <w:r w:rsidRPr="00D652FD">
              <w:rPr>
                <w:sz w:val="20"/>
                <w:lang w:val="fr-CH"/>
              </w:rPr>
              <w:t>Applications spatiales et météorologie</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SF</w:t>
            </w:r>
          </w:p>
        </w:tc>
        <w:tc>
          <w:tcPr>
            <w:tcW w:w="8220" w:type="dxa"/>
          </w:tcPr>
          <w:p w:rsidR="002E5214" w:rsidRPr="00D652FD" w:rsidRDefault="002E5214" w:rsidP="00F336CC">
            <w:pPr>
              <w:spacing w:before="30" w:after="30"/>
              <w:jc w:val="left"/>
              <w:rPr>
                <w:sz w:val="20"/>
                <w:lang w:val="fr-CH"/>
              </w:rPr>
            </w:pPr>
            <w:r w:rsidRPr="00D652FD">
              <w:rPr>
                <w:sz w:val="20"/>
                <w:lang w:val="fr-CH"/>
              </w:rPr>
              <w:t>Partage des fréquences et coordination entre les systèmes du service fixe par satellite et du service fixe</w:t>
            </w:r>
          </w:p>
        </w:tc>
      </w:tr>
      <w:tr w:rsidR="002E5214" w:rsidRPr="00D652FD">
        <w:tc>
          <w:tcPr>
            <w:tcW w:w="1140" w:type="dxa"/>
            <w:shd w:val="clear" w:color="auto" w:fill="auto"/>
          </w:tcPr>
          <w:p w:rsidR="002E5214" w:rsidRPr="00D652FD" w:rsidRDefault="002E5214" w:rsidP="00F336CC">
            <w:pPr>
              <w:spacing w:before="30" w:after="30"/>
              <w:ind w:left="57"/>
              <w:jc w:val="left"/>
              <w:rPr>
                <w:b/>
                <w:bCs/>
                <w:sz w:val="20"/>
                <w:lang w:val="fr-CH"/>
              </w:rPr>
            </w:pPr>
            <w:r w:rsidRPr="00D652FD">
              <w:rPr>
                <w:b/>
                <w:bCs/>
                <w:sz w:val="20"/>
                <w:lang w:val="fr-CH"/>
              </w:rPr>
              <w:t>SM</w:t>
            </w:r>
          </w:p>
        </w:tc>
        <w:tc>
          <w:tcPr>
            <w:tcW w:w="8220" w:type="dxa"/>
            <w:shd w:val="clear" w:color="auto" w:fill="auto"/>
          </w:tcPr>
          <w:p w:rsidR="002E5214" w:rsidRPr="00D652FD" w:rsidRDefault="002E5214" w:rsidP="00F336CC">
            <w:pPr>
              <w:spacing w:before="30" w:after="30"/>
              <w:jc w:val="left"/>
              <w:rPr>
                <w:sz w:val="20"/>
                <w:lang w:val="fr-CH"/>
              </w:rPr>
            </w:pPr>
            <w:r w:rsidRPr="00D652FD">
              <w:rPr>
                <w:sz w:val="20"/>
                <w:lang w:val="fr-CH"/>
              </w:rPr>
              <w:t>Gestion du spectre</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SNG</w:t>
            </w:r>
          </w:p>
        </w:tc>
        <w:tc>
          <w:tcPr>
            <w:tcW w:w="8220" w:type="dxa"/>
          </w:tcPr>
          <w:p w:rsidR="002E5214" w:rsidRPr="00D652FD" w:rsidRDefault="002E5214" w:rsidP="00F336CC">
            <w:pPr>
              <w:spacing w:before="30" w:after="30"/>
              <w:jc w:val="left"/>
              <w:rPr>
                <w:sz w:val="20"/>
                <w:lang w:val="fr-CH"/>
              </w:rPr>
            </w:pPr>
            <w:r w:rsidRPr="00D652FD">
              <w:rPr>
                <w:sz w:val="20"/>
                <w:lang w:val="fr-CH"/>
              </w:rPr>
              <w:t>Reportage d'actualités par satellite</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TF</w:t>
            </w:r>
          </w:p>
        </w:tc>
        <w:tc>
          <w:tcPr>
            <w:tcW w:w="8220" w:type="dxa"/>
          </w:tcPr>
          <w:p w:rsidR="002E5214" w:rsidRPr="00D652FD" w:rsidRDefault="002E5214" w:rsidP="00F336CC">
            <w:pPr>
              <w:spacing w:before="30" w:after="30"/>
              <w:jc w:val="left"/>
              <w:rPr>
                <w:sz w:val="20"/>
                <w:lang w:val="fr-CH"/>
              </w:rPr>
            </w:pPr>
            <w:r w:rsidRPr="00D652FD">
              <w:rPr>
                <w:sz w:val="20"/>
                <w:lang w:val="fr-CH"/>
              </w:rPr>
              <w:t>Emissions de fréquences étalon et de signaux horaires</w:t>
            </w:r>
          </w:p>
        </w:tc>
      </w:tr>
      <w:tr w:rsidR="002E5214" w:rsidRPr="00D652FD">
        <w:tc>
          <w:tcPr>
            <w:tcW w:w="1140" w:type="dxa"/>
          </w:tcPr>
          <w:p w:rsidR="002E5214" w:rsidRPr="00D652FD" w:rsidRDefault="002E5214" w:rsidP="00F336CC">
            <w:pPr>
              <w:spacing w:before="30" w:after="30"/>
              <w:ind w:left="57"/>
              <w:jc w:val="left"/>
              <w:rPr>
                <w:b/>
                <w:bCs/>
                <w:sz w:val="20"/>
                <w:lang w:val="fr-CH"/>
              </w:rPr>
            </w:pPr>
            <w:r w:rsidRPr="00D652FD">
              <w:rPr>
                <w:b/>
                <w:bCs/>
                <w:sz w:val="20"/>
                <w:lang w:val="fr-CH"/>
              </w:rPr>
              <w:t>V</w:t>
            </w:r>
          </w:p>
        </w:tc>
        <w:tc>
          <w:tcPr>
            <w:tcW w:w="8220" w:type="dxa"/>
          </w:tcPr>
          <w:p w:rsidR="002E5214" w:rsidRPr="00D652FD" w:rsidRDefault="002E5214" w:rsidP="00614CC6">
            <w:pPr>
              <w:spacing w:before="30" w:after="140"/>
              <w:jc w:val="left"/>
              <w:rPr>
                <w:sz w:val="20"/>
                <w:lang w:val="fr-CH"/>
              </w:rPr>
            </w:pPr>
            <w:r w:rsidRPr="00D652FD">
              <w:rPr>
                <w:sz w:val="20"/>
                <w:lang w:val="fr-CH"/>
              </w:rPr>
              <w:t>Vocabulaire et sujets associés</w:t>
            </w:r>
          </w:p>
        </w:tc>
      </w:tr>
    </w:tbl>
    <w:p w:rsidR="002E5214" w:rsidRPr="00D652FD" w:rsidRDefault="002E5214" w:rsidP="00614CC6">
      <w:pPr>
        <w:spacing w:before="0"/>
        <w:jc w:val="center"/>
        <w:rPr>
          <w:sz w:val="20"/>
          <w:lang w:val="fr-CH"/>
        </w:rPr>
      </w:pPr>
    </w:p>
    <w:p w:rsidR="002E5214" w:rsidRPr="00D652FD" w:rsidRDefault="002E5214"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E5214" w:rsidRPr="00D652FD">
        <w:tc>
          <w:tcPr>
            <w:tcW w:w="9360" w:type="dxa"/>
          </w:tcPr>
          <w:p w:rsidR="002E5214" w:rsidRPr="00D652FD" w:rsidRDefault="002E5214" w:rsidP="00962C55">
            <w:pPr>
              <w:spacing w:before="80" w:after="80"/>
              <w:jc w:val="left"/>
              <w:rPr>
                <w:i/>
                <w:iCs/>
                <w:sz w:val="20"/>
                <w:lang w:val="fr-CH"/>
              </w:rPr>
            </w:pPr>
            <w:r w:rsidRPr="00D652FD">
              <w:rPr>
                <w:b/>
                <w:bCs/>
                <w:i/>
                <w:iCs/>
                <w:sz w:val="20"/>
                <w:lang w:val="fr-CH"/>
              </w:rPr>
              <w:t>Note</w:t>
            </w:r>
            <w:r w:rsidRPr="00D652FD">
              <w:rPr>
                <w:i/>
                <w:iCs/>
                <w:sz w:val="20"/>
                <w:lang w:val="fr-CH"/>
              </w:rPr>
              <w:t>: Cette Recommandation UIT-R a été approuvée en anglais aux termes de la procédure détaillée dans la</w:t>
            </w:r>
            <w:r w:rsidRPr="00D652FD">
              <w:rPr>
                <w:i/>
                <w:iCs/>
                <w:sz w:val="20"/>
                <w:lang w:val="fr-CH"/>
              </w:rPr>
              <w:br/>
              <w:t xml:space="preserve">Résolution UIT-R 1. </w:t>
            </w:r>
          </w:p>
        </w:tc>
      </w:tr>
    </w:tbl>
    <w:p w:rsidR="002E5214" w:rsidRPr="00D652FD" w:rsidRDefault="002E5214" w:rsidP="00F54FBD">
      <w:pPr>
        <w:spacing w:before="0"/>
        <w:jc w:val="center"/>
        <w:rPr>
          <w:sz w:val="22"/>
          <w:lang w:val="fr-CH"/>
        </w:rPr>
      </w:pPr>
    </w:p>
    <w:p w:rsidR="002E5214" w:rsidRPr="00D652FD" w:rsidRDefault="002E5214" w:rsidP="00756B4D">
      <w:pPr>
        <w:spacing w:before="100"/>
        <w:jc w:val="right"/>
        <w:rPr>
          <w:i/>
          <w:iCs/>
          <w:sz w:val="20"/>
          <w:lang w:val="fr-CH"/>
        </w:rPr>
      </w:pPr>
      <w:r w:rsidRPr="00D652FD">
        <w:rPr>
          <w:i/>
          <w:iCs/>
          <w:sz w:val="20"/>
          <w:lang w:val="fr-CH"/>
        </w:rPr>
        <w:t>Publication électronique</w:t>
      </w:r>
    </w:p>
    <w:p w:rsidR="002E5214" w:rsidRPr="00D652FD" w:rsidRDefault="002E5214" w:rsidP="00673807">
      <w:pPr>
        <w:spacing w:before="0"/>
        <w:jc w:val="right"/>
        <w:rPr>
          <w:sz w:val="20"/>
          <w:lang w:val="fr-CH"/>
        </w:rPr>
      </w:pPr>
      <w:r w:rsidRPr="00D652FD">
        <w:rPr>
          <w:sz w:val="20"/>
          <w:lang w:val="fr-CH"/>
        </w:rPr>
        <w:t>Genève, 2012</w:t>
      </w:r>
    </w:p>
    <w:p w:rsidR="002E5214" w:rsidRPr="00D652FD" w:rsidRDefault="002E5214" w:rsidP="00673807">
      <w:pPr>
        <w:spacing w:before="200"/>
        <w:jc w:val="center"/>
        <w:rPr>
          <w:sz w:val="20"/>
          <w:lang w:val="fr-CH"/>
        </w:rPr>
      </w:pPr>
      <w:r w:rsidRPr="00D652FD">
        <w:rPr>
          <w:sz w:val="20"/>
          <w:lang w:val="fr-CH"/>
        </w:rPr>
        <w:sym w:font="Symbol" w:char="F0E3"/>
      </w:r>
      <w:r w:rsidRPr="00D652FD">
        <w:rPr>
          <w:sz w:val="20"/>
          <w:lang w:val="fr-CH"/>
        </w:rPr>
        <w:t xml:space="preserve"> UIT </w:t>
      </w:r>
      <w:bookmarkStart w:id="2" w:name="iiannee"/>
      <w:bookmarkEnd w:id="2"/>
      <w:r w:rsidRPr="00D652FD">
        <w:rPr>
          <w:sz w:val="20"/>
          <w:lang w:val="fr-CH"/>
        </w:rPr>
        <w:t>2012</w:t>
      </w:r>
    </w:p>
    <w:p w:rsidR="002E5214" w:rsidRPr="00D652FD" w:rsidRDefault="002E5214" w:rsidP="00614CC6">
      <w:pPr>
        <w:rPr>
          <w:sz w:val="18"/>
          <w:szCs w:val="18"/>
          <w:lang w:val="fr-CH"/>
        </w:rPr>
      </w:pPr>
      <w:r w:rsidRPr="00D652FD">
        <w:rPr>
          <w:sz w:val="18"/>
          <w:szCs w:val="18"/>
          <w:lang w:val="fr-CH"/>
        </w:rPr>
        <w:t>Tous droits réservés. Aucune partie de cette publication ne peut être reproduite, par quelque procédé que ce soit, sans l’accord écrit préalable de l’UIT.</w:t>
      </w:r>
    </w:p>
    <w:p w:rsidR="002E5214" w:rsidRPr="00D652FD" w:rsidRDefault="002E5214" w:rsidP="00CD659B">
      <w:pPr>
        <w:spacing w:before="160"/>
        <w:rPr>
          <w:i/>
          <w:sz w:val="20"/>
          <w:highlight w:val="yellow"/>
          <w:lang w:val="fr-CH"/>
        </w:rPr>
        <w:sectPr w:rsidR="002E5214" w:rsidRPr="00D652FD"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E5214" w:rsidRPr="00D652FD" w:rsidRDefault="002E5214" w:rsidP="00D652FD">
      <w:pPr>
        <w:pStyle w:val="RecNo"/>
        <w:spacing w:before="0"/>
        <w:rPr>
          <w:lang w:val="fr-CH"/>
        </w:rPr>
      </w:pPr>
      <w:bookmarkStart w:id="3" w:name="irecnoe"/>
      <w:bookmarkEnd w:id="3"/>
      <w:r w:rsidRPr="00D652FD">
        <w:rPr>
          <w:lang w:val="fr-CH"/>
        </w:rPr>
        <w:lastRenderedPageBreak/>
        <w:t xml:space="preserve">RECOMMANDATION  </w:t>
      </w:r>
      <w:r w:rsidRPr="00D652FD">
        <w:rPr>
          <w:rStyle w:val="href"/>
          <w:lang w:val="fr-CH"/>
        </w:rPr>
        <w:t>UIT-R  P.</w:t>
      </w:r>
      <w:r w:rsidR="00D652FD" w:rsidRPr="00D652FD">
        <w:rPr>
          <w:rStyle w:val="href"/>
          <w:lang w:val="fr-CH"/>
        </w:rPr>
        <w:t>1409-1</w:t>
      </w:r>
    </w:p>
    <w:p w:rsidR="00D652FD" w:rsidRPr="00D652FD" w:rsidRDefault="00D652FD" w:rsidP="00D652FD">
      <w:pPr>
        <w:pStyle w:val="Rectitle"/>
        <w:rPr>
          <w:lang w:val="fr-CH"/>
        </w:rPr>
      </w:pPr>
      <w:r w:rsidRPr="00D652FD">
        <w:rPr>
          <w:lang w:val="fr-CH"/>
        </w:rPr>
        <w:t>Données de propagation et méthodes de prévision pour les systèmes utilisant des</w:t>
      </w:r>
      <w:r>
        <w:rPr>
          <w:lang w:val="fr-CH"/>
        </w:rPr>
        <w:br/>
      </w:r>
      <w:r w:rsidRPr="00D652FD">
        <w:rPr>
          <w:lang w:val="fr-CH"/>
        </w:rPr>
        <w:t>stations placées sur des plates-formes à haute altitude et d'autres stations</w:t>
      </w:r>
      <w:r>
        <w:rPr>
          <w:lang w:val="fr-CH"/>
        </w:rPr>
        <w:br/>
      </w:r>
      <w:r w:rsidRPr="00D652FD">
        <w:rPr>
          <w:lang w:val="fr-CH"/>
        </w:rPr>
        <w:t>stratosphériques élevées fonctionnant à des fréquences</w:t>
      </w:r>
      <w:r w:rsidRPr="00D652FD">
        <w:rPr>
          <w:lang w:val="fr-CH"/>
        </w:rPr>
        <w:br/>
        <w:t>supérieures à environ 1 GHz</w:t>
      </w:r>
    </w:p>
    <w:p w:rsidR="00D652FD" w:rsidRPr="00D652FD" w:rsidRDefault="00D652FD" w:rsidP="00D652FD">
      <w:pPr>
        <w:pStyle w:val="Recdate"/>
        <w:rPr>
          <w:lang w:val="fr-CH"/>
        </w:rPr>
      </w:pPr>
      <w:bookmarkStart w:id="4" w:name="Revision_history"/>
      <w:r w:rsidRPr="00D652FD">
        <w:rPr>
          <w:lang w:val="fr-CH"/>
        </w:rPr>
        <w:t>(1999-2012)</w:t>
      </w:r>
      <w:bookmarkEnd w:id="4"/>
    </w:p>
    <w:p w:rsidR="00D652FD" w:rsidRPr="00D652FD" w:rsidRDefault="00D652FD" w:rsidP="00D652FD">
      <w:pPr>
        <w:pStyle w:val="HeadingSum"/>
        <w:rPr>
          <w:lang w:val="fr-CH"/>
        </w:rPr>
      </w:pPr>
      <w:r w:rsidRPr="00D652FD">
        <w:rPr>
          <w:lang w:val="fr-CH"/>
        </w:rPr>
        <w:t>Domaine d'application</w:t>
      </w:r>
    </w:p>
    <w:p w:rsidR="00D652FD" w:rsidRPr="00D652FD" w:rsidRDefault="00D652FD" w:rsidP="00D652FD">
      <w:pPr>
        <w:pStyle w:val="Summary"/>
        <w:rPr>
          <w:lang w:val="fr-CH"/>
        </w:rPr>
      </w:pPr>
      <w:r w:rsidRPr="00D652FD">
        <w:rPr>
          <w:lang w:val="fr-CH"/>
        </w:rPr>
        <w:t>Cette Recommandation contient des informations sur les méthodes de prévision de la propagation appropriées pour l'examen des systèmes ou réseaux de radiocommunication utilisant des stations placées sur des plates</w:t>
      </w:r>
      <w:r w:rsidRPr="00D652FD">
        <w:rPr>
          <w:lang w:val="fr-CH"/>
        </w:rPr>
        <w:noBreakHyphen/>
        <w:t>formes à haute altitude, ou d'autres stations stratosphériques.</w:t>
      </w:r>
    </w:p>
    <w:p w:rsidR="00D652FD" w:rsidRPr="00D652FD" w:rsidRDefault="00D652FD" w:rsidP="00D652FD">
      <w:pPr>
        <w:pStyle w:val="Normalaftertitle"/>
        <w:rPr>
          <w:lang w:val="fr-CH"/>
        </w:rPr>
      </w:pPr>
      <w:r w:rsidRPr="00D652FD">
        <w:rPr>
          <w:lang w:val="fr-CH"/>
        </w:rPr>
        <w:t>L'Assemblée des radiocommunications de l'UIT,</w:t>
      </w:r>
    </w:p>
    <w:p w:rsidR="00D652FD" w:rsidRPr="00D652FD" w:rsidRDefault="00D652FD" w:rsidP="00D652FD">
      <w:pPr>
        <w:pStyle w:val="Call"/>
        <w:rPr>
          <w:lang w:val="fr-CH"/>
        </w:rPr>
      </w:pPr>
      <w:r w:rsidRPr="00D652FD">
        <w:rPr>
          <w:lang w:val="fr-CH"/>
        </w:rPr>
        <w:t>considérant</w:t>
      </w:r>
    </w:p>
    <w:p w:rsidR="00D652FD" w:rsidRPr="00D652FD" w:rsidRDefault="00D652FD" w:rsidP="00D652FD">
      <w:pPr>
        <w:rPr>
          <w:lang w:val="fr-CH"/>
        </w:rPr>
      </w:pPr>
      <w:r w:rsidRPr="00D652FD">
        <w:rPr>
          <w:lang w:val="fr-CH"/>
        </w:rPr>
        <w:t>a)</w:t>
      </w:r>
      <w:r w:rsidRPr="00D652FD">
        <w:rPr>
          <w:lang w:val="fr-CH"/>
        </w:rPr>
        <w:tab/>
        <w:t>que le Règlement des radiocommunications contient des dispositions permettant d'utiliser des systèmes employant des stations placées sur des plates-formes à haute altitude fonctionnant dans le service fixe à environ 47 GHz ou dans le service mobile à environ 2 GHz;</w:t>
      </w:r>
    </w:p>
    <w:p w:rsidR="00D652FD" w:rsidRPr="00D652FD" w:rsidRDefault="00D652FD" w:rsidP="00D652FD">
      <w:pPr>
        <w:rPr>
          <w:lang w:val="fr-CH"/>
        </w:rPr>
      </w:pPr>
      <w:r w:rsidRPr="00D652FD">
        <w:rPr>
          <w:lang w:val="fr-CH"/>
        </w:rPr>
        <w:t>b)</w:t>
      </w:r>
      <w:r w:rsidRPr="00D652FD">
        <w:rPr>
          <w:lang w:val="fr-CH"/>
        </w:rPr>
        <w:tab/>
        <w:t>que certaines bandes de fréquences désignées sont également attribuées à d'autres services;</w:t>
      </w:r>
    </w:p>
    <w:p w:rsidR="00D652FD" w:rsidRPr="00D652FD" w:rsidRDefault="00D652FD" w:rsidP="00D652FD">
      <w:pPr>
        <w:rPr>
          <w:lang w:val="fr-CH"/>
        </w:rPr>
      </w:pPr>
      <w:r w:rsidRPr="00D652FD">
        <w:rPr>
          <w:lang w:val="fr-CH"/>
        </w:rPr>
        <w:t>c)</w:t>
      </w:r>
      <w:r w:rsidRPr="00D652FD">
        <w:rPr>
          <w:lang w:val="fr-CH"/>
        </w:rPr>
        <w:tab/>
        <w:t>que des études ont été menées concernant des systèmes et des réseaux utilisant des plates</w:t>
      </w:r>
      <w:r w:rsidRPr="00D652FD">
        <w:rPr>
          <w:lang w:val="fr-CH"/>
        </w:rPr>
        <w:noBreakHyphen/>
        <w:t>formes élevées, qui sont éventuellement situées à des altitudes plus basses dans la stratosphère,</w:t>
      </w:r>
    </w:p>
    <w:p w:rsidR="00D652FD" w:rsidRPr="00D652FD" w:rsidRDefault="00D652FD" w:rsidP="00D652FD">
      <w:pPr>
        <w:pStyle w:val="Call"/>
        <w:rPr>
          <w:lang w:val="fr-CH"/>
        </w:rPr>
      </w:pPr>
      <w:r w:rsidRPr="00D652FD">
        <w:rPr>
          <w:lang w:val="fr-CH"/>
        </w:rPr>
        <w:t>recommande</w:t>
      </w:r>
    </w:p>
    <w:p w:rsidR="00D652FD" w:rsidRPr="00D652FD" w:rsidRDefault="00D652FD" w:rsidP="00D652FD">
      <w:pPr>
        <w:rPr>
          <w:lang w:val="fr-CH"/>
        </w:rPr>
      </w:pPr>
      <w:r w:rsidRPr="00D652FD">
        <w:rPr>
          <w:b/>
          <w:lang w:val="fr-CH"/>
        </w:rPr>
        <w:t>1</w:t>
      </w:r>
      <w:r w:rsidRPr="00D652FD">
        <w:rPr>
          <w:lang w:val="fr-CH"/>
        </w:rPr>
        <w:tab/>
        <w:t>de prendre en considération les mécanismes et effets de propagation indiqués dans l'Annexe 1, pour concevoir des systèmes utilisant des stations placées sur des plates-formes à haute altitude et d'autres plates</w:t>
      </w:r>
      <w:r w:rsidRPr="00D652FD">
        <w:rPr>
          <w:lang w:val="fr-CH"/>
        </w:rPr>
        <w:noBreakHyphen/>
        <w:t>formes stratosphériques élevées ainsi que pour mener les études de partage et de compatibilité.</w:t>
      </w:r>
    </w:p>
    <w:p w:rsidR="00D652FD" w:rsidRPr="00D652FD" w:rsidRDefault="00D652FD" w:rsidP="00D652FD">
      <w:pPr>
        <w:rPr>
          <w:lang w:val="fr-CH"/>
        </w:rPr>
      </w:pPr>
    </w:p>
    <w:p w:rsidR="00D652FD" w:rsidRPr="00D652FD" w:rsidRDefault="00D652FD" w:rsidP="00D652FD">
      <w:pPr>
        <w:rPr>
          <w:lang w:val="fr-CH"/>
        </w:rPr>
      </w:pPr>
    </w:p>
    <w:p w:rsidR="00D652FD" w:rsidRPr="00D652FD" w:rsidRDefault="00D652FD" w:rsidP="00D652FD">
      <w:pPr>
        <w:pStyle w:val="AnnexNoTitle"/>
        <w:rPr>
          <w:lang w:val="fr-CH"/>
        </w:rPr>
      </w:pPr>
      <w:r w:rsidRPr="00D652FD">
        <w:rPr>
          <w:lang w:val="fr-CH"/>
        </w:rPr>
        <w:t>Annexe 1</w:t>
      </w:r>
    </w:p>
    <w:p w:rsidR="00D652FD" w:rsidRPr="00D652FD" w:rsidRDefault="00D652FD" w:rsidP="00D652FD">
      <w:pPr>
        <w:pStyle w:val="Heading1"/>
        <w:rPr>
          <w:lang w:val="fr-CH"/>
        </w:rPr>
      </w:pPr>
      <w:r w:rsidRPr="00D652FD">
        <w:rPr>
          <w:lang w:val="fr-CH"/>
        </w:rPr>
        <w:t>1</w:t>
      </w:r>
      <w:r w:rsidRPr="00D652FD">
        <w:rPr>
          <w:lang w:val="fr-CH"/>
        </w:rPr>
        <w:tab/>
        <w:t>Introduction</w:t>
      </w:r>
    </w:p>
    <w:p w:rsidR="00D652FD" w:rsidRPr="00D652FD" w:rsidRDefault="00D652FD" w:rsidP="00D652FD">
      <w:pPr>
        <w:rPr>
          <w:lang w:val="fr-CH"/>
        </w:rPr>
      </w:pPr>
      <w:r w:rsidRPr="00D652FD">
        <w:rPr>
          <w:lang w:val="fr-CH"/>
        </w:rPr>
        <w:t>Il convient de tenir compte, le cas échéant, des mécanismes et effets suivants pour concevoir des systèmes employant des stations placées sur des plates-formes à haute altitude et d'autres plates</w:t>
      </w:r>
      <w:r w:rsidRPr="00D652FD">
        <w:rPr>
          <w:lang w:val="fr-CH"/>
        </w:rPr>
        <w:noBreakHyphen/>
        <w:t>formes stratosphériques élevées ainsi que pour mener les études de partage concernant ces systèmes:</w:t>
      </w:r>
    </w:p>
    <w:p w:rsidR="00D652FD" w:rsidRPr="00D652FD" w:rsidRDefault="00D652FD" w:rsidP="00D652FD">
      <w:pPr>
        <w:pStyle w:val="enumlev1"/>
        <w:rPr>
          <w:lang w:val="fr-CH"/>
        </w:rPr>
      </w:pPr>
      <w:r w:rsidRPr="00D652FD">
        <w:rPr>
          <w:lang w:val="fr-CH"/>
        </w:rPr>
        <w:t>–</w:t>
      </w:r>
      <w:r w:rsidRPr="00D652FD">
        <w:rPr>
          <w:lang w:val="fr-CH"/>
        </w:rPr>
        <w:tab/>
        <w:t>affaiblissement sur le trajet en espace libre;</w:t>
      </w:r>
    </w:p>
    <w:p w:rsidR="00D652FD" w:rsidRPr="00D652FD" w:rsidRDefault="00D652FD" w:rsidP="00D652FD">
      <w:pPr>
        <w:pStyle w:val="enumlev1"/>
        <w:rPr>
          <w:lang w:val="fr-CH"/>
        </w:rPr>
      </w:pPr>
      <w:r w:rsidRPr="00D652FD">
        <w:rPr>
          <w:lang w:val="fr-CH"/>
        </w:rPr>
        <w:t>–</w:t>
      </w:r>
      <w:r w:rsidRPr="00D652FD">
        <w:rPr>
          <w:lang w:val="fr-CH"/>
        </w:rPr>
        <w:tab/>
        <w:t>affaiblissement atmosphérique dû à l'absorption par les gaz troposphériques; (il suffit de supposer que tout cet affaiblissement se produit aux altitudes inférieures à celle de la plate</w:t>
      </w:r>
      <w:r w:rsidRPr="00D652FD">
        <w:rPr>
          <w:lang w:val="fr-CH"/>
        </w:rPr>
        <w:noBreakHyphen/>
        <w:t>forme considérée);</w:t>
      </w:r>
    </w:p>
    <w:p w:rsidR="00D652FD" w:rsidRPr="00D652FD" w:rsidRDefault="00D652FD" w:rsidP="00D652FD">
      <w:pPr>
        <w:pStyle w:val="enumlev1"/>
        <w:rPr>
          <w:lang w:val="fr-CH"/>
        </w:rPr>
      </w:pPr>
      <w:r w:rsidRPr="00D652FD">
        <w:rPr>
          <w:lang w:val="fr-CH"/>
        </w:rPr>
        <w:t>–</w:t>
      </w:r>
      <w:r w:rsidRPr="00D652FD">
        <w:rPr>
          <w:lang w:val="fr-CH"/>
        </w:rPr>
        <w:tab/>
        <w:t>affaiblissement dû à la pluie;</w:t>
      </w:r>
    </w:p>
    <w:p w:rsidR="00D652FD" w:rsidRPr="00D652FD" w:rsidRDefault="00D652FD" w:rsidP="00D652FD">
      <w:pPr>
        <w:pStyle w:val="enumlev1"/>
        <w:rPr>
          <w:lang w:val="fr-CH"/>
        </w:rPr>
      </w:pPr>
      <w:r w:rsidRPr="00D652FD">
        <w:rPr>
          <w:lang w:val="fr-CH"/>
        </w:rPr>
        <w:lastRenderedPageBreak/>
        <w:t>–</w:t>
      </w:r>
      <w:r w:rsidRPr="00D652FD">
        <w:rPr>
          <w:lang w:val="fr-CH"/>
        </w:rPr>
        <w:tab/>
        <w:t>affaiblissement dû aux nuages; (pour les pourcentages de temps inférieurs à environ 1%, les effets de l'affaiblissement dû aux nuages sont inclus dans la méthode de prévision de l'affaiblissement dû à la pluie);</w:t>
      </w:r>
    </w:p>
    <w:p w:rsidR="00D652FD" w:rsidRPr="00D652FD" w:rsidRDefault="00D652FD" w:rsidP="00D652FD">
      <w:pPr>
        <w:pStyle w:val="enumlev1"/>
        <w:rPr>
          <w:lang w:val="fr-CH"/>
        </w:rPr>
      </w:pPr>
      <w:r w:rsidRPr="00D652FD">
        <w:rPr>
          <w:lang w:val="fr-CH"/>
        </w:rPr>
        <w:t>–</w:t>
      </w:r>
      <w:r w:rsidRPr="00D652FD">
        <w:rPr>
          <w:lang w:val="fr-CH"/>
        </w:rPr>
        <w:tab/>
        <w:t>rétrodiffusion par la surface de la Terre; (la rétrodiffusion par le haut des cellules de pluie ou par la couche de fusion devrait normalement être moins importante);</w:t>
      </w:r>
    </w:p>
    <w:p w:rsidR="00D652FD" w:rsidRPr="00D652FD" w:rsidRDefault="00D652FD" w:rsidP="00D652FD">
      <w:pPr>
        <w:pStyle w:val="enumlev1"/>
        <w:rPr>
          <w:lang w:val="fr-CH"/>
        </w:rPr>
      </w:pPr>
      <w:r w:rsidRPr="00D652FD">
        <w:rPr>
          <w:lang w:val="fr-CH"/>
        </w:rPr>
        <w:t>–</w:t>
      </w:r>
      <w:r w:rsidRPr="00D652FD">
        <w:rPr>
          <w:lang w:val="fr-CH"/>
        </w:rPr>
        <w:tab/>
        <w:t>diffusion par la pluie;</w:t>
      </w:r>
    </w:p>
    <w:p w:rsidR="00D652FD" w:rsidRPr="00D652FD" w:rsidRDefault="00D652FD" w:rsidP="00D652FD">
      <w:pPr>
        <w:pStyle w:val="enumlev1"/>
        <w:rPr>
          <w:lang w:val="fr-CH"/>
        </w:rPr>
      </w:pPr>
      <w:bookmarkStart w:id="5" w:name="dsgno"/>
      <w:bookmarkEnd w:id="5"/>
      <w:r w:rsidRPr="00D652FD">
        <w:rPr>
          <w:lang w:val="fr-CH"/>
        </w:rPr>
        <w:t>–</w:t>
      </w:r>
      <w:r w:rsidRPr="00D652FD">
        <w:rPr>
          <w:lang w:val="fr-CH"/>
        </w:rPr>
        <w:tab/>
        <w:t>scintillation troposphérique.</w:t>
      </w:r>
    </w:p>
    <w:p w:rsidR="00D652FD" w:rsidRPr="00D652FD" w:rsidRDefault="00D652FD" w:rsidP="00D652FD">
      <w:pPr>
        <w:rPr>
          <w:lang w:val="fr-CH"/>
        </w:rPr>
      </w:pPr>
      <w:r w:rsidRPr="00D652FD">
        <w:rPr>
          <w:lang w:val="fr-CH"/>
        </w:rPr>
        <w:t>Les effets de la propagation par conduits dans la troposphère ne devraient pas constituer un mode de brouillage important pour les trajets obliques (angles d'élévation très supérieurs à 1°) vers ou depuis les stations placées sur des plates-formes.</w:t>
      </w:r>
    </w:p>
    <w:p w:rsidR="00D652FD" w:rsidRPr="00D652FD" w:rsidRDefault="00D652FD" w:rsidP="00D652FD">
      <w:pPr>
        <w:pStyle w:val="Heading1"/>
        <w:rPr>
          <w:lang w:val="fr-CH"/>
        </w:rPr>
      </w:pPr>
      <w:r w:rsidRPr="00D652FD">
        <w:rPr>
          <w:lang w:val="fr-CH"/>
        </w:rPr>
        <w:t>2</w:t>
      </w:r>
      <w:r w:rsidRPr="00D652FD">
        <w:rPr>
          <w:lang w:val="fr-CH"/>
        </w:rPr>
        <w:tab/>
        <w:t>Méthodes de prévision</w:t>
      </w:r>
    </w:p>
    <w:p w:rsidR="00D652FD" w:rsidRPr="00D652FD" w:rsidRDefault="00D652FD" w:rsidP="00D652FD">
      <w:pPr>
        <w:rPr>
          <w:lang w:val="fr-CH"/>
        </w:rPr>
      </w:pPr>
      <w:r w:rsidRPr="00D652FD">
        <w:rPr>
          <w:lang w:val="fr-CH"/>
        </w:rPr>
        <w:t>Dans la plupart des cas, il convient d'utiliser comme suit les informations contenues dans d'autres Recomman</w:t>
      </w:r>
      <w:r w:rsidRPr="00D652FD">
        <w:rPr>
          <w:lang w:val="fr-CH"/>
        </w:rPr>
        <w:softHyphen/>
        <w:t>dations UIT</w:t>
      </w:r>
      <w:r w:rsidRPr="00D652FD">
        <w:rPr>
          <w:lang w:val="fr-CH"/>
        </w:rPr>
        <w:noBreakHyphen/>
        <w:t>R:</w:t>
      </w:r>
    </w:p>
    <w:p w:rsidR="00D652FD" w:rsidRPr="00D652FD" w:rsidRDefault="00D652FD" w:rsidP="00D652FD">
      <w:pPr>
        <w:pStyle w:val="Heading2"/>
        <w:rPr>
          <w:lang w:val="fr-CH"/>
        </w:rPr>
      </w:pPr>
      <w:r w:rsidRPr="00D652FD">
        <w:rPr>
          <w:lang w:val="fr-CH"/>
        </w:rPr>
        <w:t>2.1</w:t>
      </w:r>
      <w:r w:rsidRPr="00D652FD">
        <w:rPr>
          <w:lang w:val="fr-CH"/>
        </w:rPr>
        <w:tab/>
        <w:t>Partage de fréquences entre des stations au sol de réseaux utilisant des plates</w:t>
      </w:r>
      <w:r w:rsidRPr="00D652FD">
        <w:rPr>
          <w:lang w:val="fr-CH"/>
        </w:rPr>
        <w:noBreakHyphen/>
        <w:t>formes à haute altitude et d'autres plates</w:t>
      </w:r>
      <w:r w:rsidRPr="00D652FD">
        <w:rPr>
          <w:lang w:val="fr-CH"/>
        </w:rPr>
        <w:noBreakHyphen/>
        <w:t>formes élevées, et d'autres stations de Terre</w:t>
      </w:r>
    </w:p>
    <w:p w:rsidR="00D652FD" w:rsidRPr="00D652FD" w:rsidRDefault="00D652FD" w:rsidP="00D652FD">
      <w:pPr>
        <w:rPr>
          <w:lang w:val="fr-CH"/>
        </w:rPr>
      </w:pPr>
      <w:r w:rsidRPr="00D652FD">
        <w:rPr>
          <w:lang w:val="fr-CH"/>
        </w:rPr>
        <w:t>Il convient d'utiliser la méthode décrite dans la Recommandation UIT</w:t>
      </w:r>
      <w:r w:rsidRPr="00D652FD">
        <w:rPr>
          <w:lang w:val="fr-CH"/>
        </w:rPr>
        <w:noBreakHyphen/>
        <w:t>R P.620 pour évaluer la distance de coordination et la Recommandation UIT-R P.452 pour faire une évaluation détaillée.</w:t>
      </w:r>
    </w:p>
    <w:p w:rsidR="00D652FD" w:rsidRPr="00D652FD" w:rsidRDefault="00D652FD" w:rsidP="00D652FD">
      <w:pPr>
        <w:pStyle w:val="Heading2"/>
        <w:rPr>
          <w:lang w:val="fr-CH"/>
        </w:rPr>
      </w:pPr>
      <w:r w:rsidRPr="00D652FD">
        <w:rPr>
          <w:lang w:val="fr-CH"/>
        </w:rPr>
        <w:t>2.2</w:t>
      </w:r>
      <w:r w:rsidRPr="00D652FD">
        <w:rPr>
          <w:lang w:val="fr-CH"/>
        </w:rPr>
        <w:tab/>
        <w:t>Partage de fréquences entre des stations spatiales et des stations au sol de réseaux utilisant des plates</w:t>
      </w:r>
      <w:r w:rsidRPr="00D652FD">
        <w:rPr>
          <w:lang w:val="fr-CH"/>
        </w:rPr>
        <w:noBreakHyphen/>
        <w:t>formes à haute altitude ou d'autres plates</w:t>
      </w:r>
      <w:r w:rsidRPr="00D652FD">
        <w:rPr>
          <w:lang w:val="fr-CH"/>
        </w:rPr>
        <w:noBreakHyphen/>
        <w:t>formes élevées</w:t>
      </w:r>
    </w:p>
    <w:p w:rsidR="00D652FD" w:rsidRPr="00D652FD" w:rsidRDefault="00D652FD" w:rsidP="00D652FD">
      <w:pPr>
        <w:rPr>
          <w:lang w:val="fr-CH"/>
        </w:rPr>
      </w:pPr>
      <w:r w:rsidRPr="00D652FD">
        <w:rPr>
          <w:lang w:val="fr-CH"/>
        </w:rPr>
        <w:t>La méthode décrite dans la Recommandation UIT-R P.619 donne d'utiles informations.</w:t>
      </w:r>
    </w:p>
    <w:p w:rsidR="00D652FD" w:rsidRPr="00D652FD" w:rsidRDefault="00D652FD" w:rsidP="00D652FD">
      <w:pPr>
        <w:pStyle w:val="Heading2"/>
        <w:rPr>
          <w:lang w:val="fr-CH"/>
        </w:rPr>
      </w:pPr>
      <w:r w:rsidRPr="00D652FD">
        <w:rPr>
          <w:lang w:val="fr-CH"/>
        </w:rPr>
        <w:t>2.3</w:t>
      </w:r>
      <w:r w:rsidRPr="00D652FD">
        <w:rPr>
          <w:lang w:val="fr-CH"/>
        </w:rPr>
        <w:tab/>
        <w:t xml:space="preserve">Partage de fréquences entre des réseaux utilisant des plates-formes à haute altitude ou d'autres plates-formes élevées, et d'autres stations de Terre </w:t>
      </w:r>
    </w:p>
    <w:p w:rsidR="00D652FD" w:rsidRPr="00D652FD" w:rsidRDefault="00D652FD" w:rsidP="00D652FD">
      <w:pPr>
        <w:rPr>
          <w:lang w:val="fr-CH"/>
        </w:rPr>
      </w:pPr>
      <w:r w:rsidRPr="00D652FD">
        <w:rPr>
          <w:lang w:val="fr-CH"/>
        </w:rPr>
        <w:t>La méthode décrite dans la Recommandation UIT-R P.619 donne aussi des informations utiles pour ce cas, étant donné que tous les affaiblissements à l'exception des affaiblissements dus à l'étalement en espace libre se produisent aux altitudes inférieures à celle des plates</w:t>
      </w:r>
      <w:r w:rsidRPr="00D652FD">
        <w:rPr>
          <w:lang w:val="fr-CH"/>
        </w:rPr>
        <w:noBreakHyphen/>
        <w:t>formes.</w:t>
      </w:r>
    </w:p>
    <w:p w:rsidR="00D652FD" w:rsidRPr="00D652FD" w:rsidRDefault="00D652FD" w:rsidP="00D652FD">
      <w:pPr>
        <w:pStyle w:val="Heading2"/>
        <w:rPr>
          <w:lang w:val="fr-CH"/>
        </w:rPr>
      </w:pPr>
      <w:r w:rsidRPr="00D652FD">
        <w:rPr>
          <w:lang w:val="fr-CH"/>
        </w:rPr>
        <w:t>2.4</w:t>
      </w:r>
      <w:r w:rsidRPr="00D652FD">
        <w:rPr>
          <w:lang w:val="fr-CH"/>
        </w:rPr>
        <w:tab/>
        <w:t>Partage de fréquences entre des stations placées sur des plates-formes et des stations spatiales</w:t>
      </w:r>
    </w:p>
    <w:p w:rsidR="00D652FD" w:rsidRPr="00D652FD" w:rsidRDefault="00D652FD" w:rsidP="00D652FD">
      <w:pPr>
        <w:rPr>
          <w:lang w:val="fr-CH"/>
        </w:rPr>
      </w:pPr>
      <w:r w:rsidRPr="00D652FD">
        <w:rPr>
          <w:lang w:val="fr-CH"/>
        </w:rPr>
        <w:t>En ce qui concerne le trajet direct entre une station placée sur une plate-forme et une station spatiale, il faut considérer l'affaiblissement en espace libre ainsi que les effets de la propagation dans l'ionosphère décrits dans la Recommandation UIT-R P.531.</w:t>
      </w:r>
    </w:p>
    <w:p w:rsidR="00D652FD" w:rsidRPr="00D652FD" w:rsidRDefault="00D652FD" w:rsidP="00D652FD">
      <w:pPr>
        <w:rPr>
          <w:lang w:val="fr-CH"/>
        </w:rPr>
      </w:pPr>
      <w:r w:rsidRPr="00D652FD">
        <w:rPr>
          <w:lang w:val="fr-CH"/>
        </w:rPr>
        <w:t>Par ailleurs, il convient de prendre en considération les trajets de propagation qui font intervenir la diffusion ou la réflexion par le sol. Tant que l'on ne dispose pas d'informations supplémentaires, on peut donner les indications suivantes.</w:t>
      </w:r>
    </w:p>
    <w:p w:rsidR="00D652FD" w:rsidRPr="00D652FD" w:rsidRDefault="00D652FD" w:rsidP="00D652FD">
      <w:pPr>
        <w:rPr>
          <w:lang w:val="fr-CH"/>
        </w:rPr>
      </w:pPr>
      <w:r w:rsidRPr="00D652FD">
        <w:rPr>
          <w:lang w:val="fr-CH"/>
        </w:rPr>
        <w:t>Dans certains cas, des surfaces régulières d'aire supérieure à environ 0,6 fois la première zone de Fresnel peuvent être à l'origine de zones de réflexion intense (de type spéculaire). Le signal peut alors être déterminé à partir de la p.i.r.e. dans la direction appropriée, compte tenu de l'affaiblissement atmosphérique dû à deux traversées de la troposphère pour le trajet oblique considéré et dans l'hypothèse d'un coefficient de réflexion de –10 dB (dans certains cas particuliers, le coefficient de réflexion peut être supérieur).</w:t>
      </w:r>
    </w:p>
    <w:p w:rsidR="00D652FD" w:rsidRPr="00D652FD" w:rsidRDefault="00D652FD" w:rsidP="00D652FD">
      <w:pPr>
        <w:rPr>
          <w:lang w:val="fr-CH"/>
        </w:rPr>
      </w:pPr>
      <w:r w:rsidRPr="00D652FD">
        <w:rPr>
          <w:lang w:val="fr-CH"/>
        </w:rPr>
        <w:lastRenderedPageBreak/>
        <w:t>Plus généralement, la surface de la Terre peut être considérée comme irrégulière. Dans ce cas, il peut être utile de considérer le rayonnement, depuis la zone entièrement illuminée par le faisceau provenant de la station placée sur la plate-forme, dans le demi-espace au-dessus de la surface de la Terre, à nouveau avec un coefficient de diffusion type de –10 dB. Autrement dit, on considère une source située à la surface de la Terre produisant un rayonnement isotrope dont la puissance est donnée par: la puissance effective de l'émetteur, moins l'affaiblissement atmosphérique dû aux deux</w:t>
      </w:r>
      <w:r>
        <w:rPr>
          <w:lang w:val="fr-CH"/>
        </w:rPr>
        <w:t xml:space="preserve"> </w:t>
      </w:r>
      <w:r w:rsidRPr="00D652FD">
        <w:rPr>
          <w:lang w:val="fr-CH"/>
        </w:rPr>
        <w:t>traversées de la troposphère pour les trajets obliques considérés, moins 10 dB pour le coefficient de réflexion et plus 3 dB étant donné que la source ne rayonne que dans un demi-espace. (Voir la Recommandation UIT</w:t>
      </w:r>
      <w:r w:rsidRPr="00D652FD">
        <w:rPr>
          <w:lang w:val="fr-CH"/>
        </w:rPr>
        <w:noBreakHyphen/>
        <w:t>R P.680-3 pour plus d'informations concernant la réflexion sur la surface de la mer.)</w:t>
      </w:r>
    </w:p>
    <w:p w:rsidR="00D652FD" w:rsidRPr="00D652FD" w:rsidRDefault="00D652FD" w:rsidP="00D652FD">
      <w:pPr>
        <w:pStyle w:val="Heading1"/>
        <w:rPr>
          <w:lang w:val="fr-CH"/>
        </w:rPr>
      </w:pPr>
      <w:r w:rsidRPr="00D652FD">
        <w:rPr>
          <w:lang w:val="fr-CH"/>
        </w:rPr>
        <w:t>3</w:t>
      </w:r>
      <w:r w:rsidRPr="00D652FD">
        <w:rPr>
          <w:lang w:val="fr-CH"/>
        </w:rPr>
        <w:tab/>
        <w:t>Prévision de la qualité de fonctionnement des systèmes utilisant des stations placées sur des plates-formes à haute altitude ou sur d'autres plates</w:t>
      </w:r>
      <w:r w:rsidRPr="00D652FD">
        <w:rPr>
          <w:lang w:val="fr-CH"/>
        </w:rPr>
        <w:noBreakHyphen/>
        <w:t>formes élevées</w:t>
      </w:r>
    </w:p>
    <w:p w:rsidR="00D652FD" w:rsidRPr="00D652FD" w:rsidRDefault="00D652FD" w:rsidP="00D652FD">
      <w:pPr>
        <w:rPr>
          <w:lang w:val="fr-CH"/>
        </w:rPr>
      </w:pPr>
      <w:r w:rsidRPr="00D652FD">
        <w:rPr>
          <w:lang w:val="fr-CH"/>
        </w:rPr>
        <w:t>Il convient d'utiliser la méthode décrite dans la Recommandation UIT-R P.618, mais il est à noter que les effets liés à l'ionosphère ne s'appliquent pas.</w:t>
      </w:r>
    </w:p>
    <w:p w:rsidR="00D652FD" w:rsidRPr="00D652FD" w:rsidRDefault="00D652FD" w:rsidP="00D652FD">
      <w:pPr>
        <w:rPr>
          <w:lang w:val="fr-CH"/>
        </w:rPr>
      </w:pPr>
    </w:p>
    <w:p w:rsidR="00D652FD" w:rsidRPr="00D652FD" w:rsidRDefault="00D652FD" w:rsidP="00D652FD">
      <w:pPr>
        <w:rPr>
          <w:lang w:val="fr-CH"/>
        </w:rPr>
      </w:pPr>
    </w:p>
    <w:p w:rsidR="00D652FD" w:rsidRPr="00D652FD" w:rsidRDefault="00D652FD" w:rsidP="00D652FD">
      <w:pPr>
        <w:pStyle w:val="Line"/>
        <w:rPr>
          <w:lang w:val="fr-CH"/>
        </w:rPr>
      </w:pPr>
    </w:p>
    <w:p w:rsidR="00D652FD" w:rsidRPr="00D652FD" w:rsidRDefault="00D652FD" w:rsidP="00D652FD">
      <w:pPr>
        <w:rPr>
          <w:lang w:val="fr-CH"/>
        </w:rPr>
      </w:pPr>
    </w:p>
    <w:sectPr w:rsidR="00D652FD" w:rsidRPr="00D652FD" w:rsidSect="00D652F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214" w:rsidRDefault="002E5214">
      <w:r>
        <w:separator/>
      </w:r>
    </w:p>
  </w:endnote>
  <w:endnote w:type="continuationSeparator" w:id="0">
    <w:p w:rsidR="002E5214" w:rsidRDefault="002E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214" w:rsidRDefault="002E5214">
      <w:r>
        <w:separator/>
      </w:r>
    </w:p>
  </w:footnote>
  <w:footnote w:type="continuationSeparator" w:id="0">
    <w:p w:rsidR="002E5214" w:rsidRDefault="002E52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214" w:rsidRDefault="002E521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214" w:rsidRDefault="002E5214" w:rsidP="00C668C8">
    <w:pPr>
      <w:pStyle w:val="Header"/>
      <w:ind w:right="360" w:firstLine="360"/>
    </w:pPr>
    <w:r>
      <w:rPr>
        <w:noProof/>
        <w:lang w:val="en-US" w:eastAsia="zh-CN"/>
      </w:rPr>
      <w:drawing>
        <wp:anchor distT="0" distB="0" distL="114300" distR="114300" simplePos="0" relativeHeight="251659264" behindDoc="1" locked="0" layoutInCell="1" allowOverlap="1" wp14:anchorId="642282C7" wp14:editId="1AFFF7B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214" w:rsidRPr="00837CB5" w:rsidRDefault="002E521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4552D">
      <w:rPr>
        <w:rStyle w:val="PageNumber"/>
        <w:b/>
        <w:bCs/>
        <w:noProof/>
      </w:rPr>
      <w:t>ii</w:t>
    </w:r>
    <w:r>
      <w:rPr>
        <w:rStyle w:val="PageNumber"/>
        <w:b/>
        <w:bCs/>
      </w:rPr>
      <w:fldChar w:fldCharType="end"/>
    </w:r>
    <w:r w:rsidRPr="00837CB5">
      <w:tab/>
    </w:r>
    <w:fldSimple w:instr=" DOCPROPERTY &quot;Header&quot; \* MERGEFORMAT ">
      <w:r w:rsidR="00D652FD" w:rsidRPr="00D652F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4552D">
      <w:rPr>
        <w:b/>
        <w:bCs/>
        <w:noProof/>
      </w:rPr>
      <w:t>UIT-R  P.1409-1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214" w:rsidRDefault="002E5214">
    <w:pPr>
      <w:pStyle w:val="Header"/>
    </w:pPr>
    <w:r>
      <w:tab/>
    </w:r>
    <w:fldSimple w:instr=" DOCPROPERTY &quot;Header&quot; \* MERGEFORMAT ">
      <w:r w:rsidR="00D652FD" w:rsidRPr="00D652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52FD">
      <w:rPr>
        <w:b/>
        <w:bCs/>
        <w:noProof/>
      </w:rPr>
      <w:t>UIT-R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552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52FD" w:rsidRPr="00D652F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4552D">
      <w:rPr>
        <w:b/>
        <w:bCs/>
        <w:noProof/>
      </w:rPr>
      <w:t>UIT-R  P.1409-1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F4552D">
      <w:fldChar w:fldCharType="begin"/>
    </w:r>
    <w:r w:rsidR="00F4552D">
      <w:instrText xml:space="preserve"> DOCPROPERTY "Header" \* MERGEFORMAT </w:instrText>
    </w:r>
    <w:r w:rsidR="00F4552D">
      <w:fldChar w:fldCharType="separate"/>
    </w:r>
    <w:r w:rsidR="00D652FD" w:rsidRPr="00D652FD">
      <w:rPr>
        <w:b/>
        <w:bCs/>
      </w:rPr>
      <w:t xml:space="preserve">Rec. </w:t>
    </w:r>
    <w:r w:rsidR="00F4552D">
      <w:rPr>
        <w:b/>
        <w:bCs/>
      </w:rPr>
      <w:fldChar w:fldCharType="end"/>
    </w:r>
    <w:r>
      <w:rPr>
        <w:b/>
        <w:bCs/>
      </w:rPr>
      <w:t xml:space="preserve"> </w:t>
    </w:r>
    <w:r>
      <w:rPr>
        <w:b/>
        <w:bCs/>
      </w:rPr>
      <w:fldChar w:fldCharType="begin"/>
    </w:r>
    <w:r>
      <w:rPr>
        <w:b/>
        <w:bCs/>
      </w:rPr>
      <w:instrText>styleref href</w:instrText>
    </w:r>
    <w:r>
      <w:rPr>
        <w:b/>
        <w:bCs/>
      </w:rPr>
      <w:fldChar w:fldCharType="separate"/>
    </w:r>
    <w:r w:rsidR="00F4552D">
      <w:rPr>
        <w:b/>
        <w:bCs/>
        <w:noProof/>
      </w:rPr>
      <w:t>UIT-R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552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214"/>
    <w:rsid w:val="00217EBF"/>
    <w:rsid w:val="00242AEE"/>
    <w:rsid w:val="002D76C4"/>
    <w:rsid w:val="002E5214"/>
    <w:rsid w:val="0052529D"/>
    <w:rsid w:val="00607D68"/>
    <w:rsid w:val="007468DA"/>
    <w:rsid w:val="009E00A8"/>
    <w:rsid w:val="00A6617B"/>
    <w:rsid w:val="00AB0DC8"/>
    <w:rsid w:val="00B44E24"/>
    <w:rsid w:val="00D652FD"/>
    <w:rsid w:val="00DF4176"/>
    <w:rsid w:val="00F45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E5214"/>
    <w:rPr>
      <w:color w:val="0000FF"/>
      <w:u w:val="single"/>
    </w:rPr>
  </w:style>
  <w:style w:type="character" w:customStyle="1" w:styleId="AnnexNoTitleChar">
    <w:name w:val="Annex_NoTitle Char"/>
    <w:basedOn w:val="DefaultParagraphFont"/>
    <w:link w:val="AnnexNoTitle"/>
    <w:rsid w:val="00D652FD"/>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E5214"/>
    <w:rPr>
      <w:color w:val="0000FF"/>
      <w:u w:val="single"/>
    </w:rPr>
  </w:style>
  <w:style w:type="character" w:customStyle="1" w:styleId="AnnexNoTitleChar">
    <w:name w:val="Annex_NoTitle Char"/>
    <w:basedOn w:val="DefaultParagraphFont"/>
    <w:link w:val="AnnexNoTitle"/>
    <w:rsid w:val="00D652FD"/>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5</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2</cp:revision>
  <cp:lastPrinted>2005-02-10T15:54:00Z</cp:lastPrinted>
  <dcterms:created xsi:type="dcterms:W3CDTF">2012-06-19T07:45:00Z</dcterms:created>
  <dcterms:modified xsi:type="dcterms:W3CDTF">2012-06-19T07:45:00Z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