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153" w:rsidRDefault="00787153" w:rsidP="00787153">
      <w:bookmarkStart w:id="0" w:name="_GoBack"/>
      <w:bookmarkEnd w:id="0"/>
    </w:p>
    <w:p w:rsidR="00787153" w:rsidRDefault="00787153" w:rsidP="00787153"/>
    <w:p w:rsidR="00787153" w:rsidRDefault="00787153" w:rsidP="00787153"/>
    <w:p w:rsidR="00787153" w:rsidRDefault="00787153" w:rsidP="00787153"/>
    <w:p w:rsidR="00787153" w:rsidRDefault="00787153" w:rsidP="00787153"/>
    <w:p w:rsidR="00787153" w:rsidRDefault="00787153" w:rsidP="00787153"/>
    <w:p w:rsidR="00787153" w:rsidRDefault="00787153" w:rsidP="00787153"/>
    <w:p w:rsidR="00787153" w:rsidRDefault="00787153" w:rsidP="00787153"/>
    <w:p w:rsidR="00787153" w:rsidRDefault="00787153" w:rsidP="00787153"/>
    <w:p w:rsidR="00787153" w:rsidRDefault="00787153" w:rsidP="00787153"/>
    <w:p w:rsidR="00787153" w:rsidRDefault="00787153" w:rsidP="00787153"/>
    <w:p w:rsidR="00787153" w:rsidRDefault="00787153" w:rsidP="00787153"/>
    <w:tbl>
      <w:tblPr>
        <w:tblW w:w="10089" w:type="dxa"/>
        <w:tblLook w:val="01E0" w:firstRow="1" w:lastRow="1" w:firstColumn="1" w:lastColumn="1" w:noHBand="0" w:noVBand="0"/>
      </w:tblPr>
      <w:tblGrid>
        <w:gridCol w:w="10089"/>
      </w:tblGrid>
      <w:tr w:rsidR="00787153" w:rsidRPr="004F65E4" w:rsidTr="00B279D3">
        <w:tc>
          <w:tcPr>
            <w:tcW w:w="10089" w:type="dxa"/>
          </w:tcPr>
          <w:p w:rsidR="00787153" w:rsidRPr="001511A6" w:rsidRDefault="00787153" w:rsidP="00B279D3">
            <w:pPr>
              <w:spacing w:before="380" w:line="280" w:lineRule="exact"/>
              <w:jc w:val="right"/>
              <w:rPr>
                <w:rFonts w:ascii="Tahoma" w:hAnsi="Tahoma" w:cs="Tahoma"/>
                <w:b/>
                <w:bCs/>
                <w:iCs/>
                <w:color w:val="243285"/>
                <w:sz w:val="32"/>
                <w:szCs w:val="32"/>
                <w:lang w:val="en-US"/>
              </w:rPr>
            </w:pPr>
          </w:p>
          <w:p w:rsidR="00787153" w:rsidRPr="004F65E4" w:rsidRDefault="00787153" w:rsidP="0078715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1409-1</w:t>
            </w:r>
          </w:p>
          <w:p w:rsidR="00787153" w:rsidRPr="004F65E4" w:rsidRDefault="00787153" w:rsidP="0078715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787153" w:rsidRPr="006D4609" w:rsidTr="00B279D3">
        <w:tc>
          <w:tcPr>
            <w:tcW w:w="10089" w:type="dxa"/>
          </w:tcPr>
          <w:p w:rsidR="00787153" w:rsidRPr="00787153" w:rsidRDefault="00787153" w:rsidP="00B279D3">
            <w:pPr>
              <w:spacing w:before="80" w:line="500" w:lineRule="exact"/>
              <w:jc w:val="right"/>
              <w:rPr>
                <w:rFonts w:ascii="Tahoma" w:hAnsi="Tahoma" w:cs="Tahoma"/>
                <w:b/>
                <w:bCs/>
                <w:iCs/>
                <w:color w:val="243285"/>
                <w:sz w:val="44"/>
                <w:szCs w:val="44"/>
                <w:lang w:val="en-US"/>
              </w:rPr>
            </w:pPr>
          </w:p>
          <w:p w:rsidR="00787153" w:rsidRPr="001511A6" w:rsidRDefault="00787153" w:rsidP="00787153">
            <w:pPr>
              <w:spacing w:before="80" w:line="500" w:lineRule="exact"/>
              <w:jc w:val="right"/>
              <w:rPr>
                <w:rFonts w:ascii="Tahoma" w:hAnsi="Tahoma" w:cs="Tahoma"/>
                <w:b/>
                <w:bCs/>
                <w:iCs/>
                <w:color w:val="243285"/>
                <w:sz w:val="44"/>
                <w:szCs w:val="44"/>
                <w:lang w:val="en-US"/>
              </w:rPr>
            </w:pPr>
            <w:r w:rsidRPr="00787153">
              <w:rPr>
                <w:rFonts w:ascii="Tahoma" w:hAnsi="Tahoma" w:cs="Tahoma"/>
                <w:b/>
                <w:bCs/>
                <w:iCs/>
                <w:color w:val="243285"/>
                <w:sz w:val="44"/>
                <w:szCs w:val="44"/>
                <w:lang w:val="en-GB"/>
              </w:rPr>
              <w:t>Propagation data and prediction methods for systems using high altitude platform stations and other elevated stations in the stratosphere at frequencies greater than about 1 GHz</w:t>
            </w:r>
          </w:p>
          <w:p w:rsidR="00787153" w:rsidRPr="001511A6" w:rsidRDefault="00787153" w:rsidP="00B279D3">
            <w:pPr>
              <w:spacing w:before="80" w:line="500" w:lineRule="exact"/>
              <w:jc w:val="right"/>
              <w:rPr>
                <w:rFonts w:ascii="Tahoma" w:hAnsi="Tahoma" w:cs="Tahoma"/>
                <w:b/>
                <w:bCs/>
                <w:iCs/>
                <w:color w:val="243285"/>
                <w:sz w:val="40"/>
                <w:szCs w:val="40"/>
                <w:lang w:val="en-US"/>
              </w:rPr>
            </w:pPr>
          </w:p>
        </w:tc>
      </w:tr>
      <w:tr w:rsidR="00787153" w:rsidTr="00B279D3">
        <w:tc>
          <w:tcPr>
            <w:tcW w:w="10089" w:type="dxa"/>
          </w:tcPr>
          <w:p w:rsidR="00787153" w:rsidRPr="00787153" w:rsidRDefault="00787153" w:rsidP="00B279D3">
            <w:pPr>
              <w:spacing w:before="80" w:line="280" w:lineRule="exact"/>
              <w:ind w:right="640"/>
              <w:rPr>
                <w:rFonts w:ascii="Tahoma" w:hAnsi="Tahoma" w:cs="Tahoma"/>
                <w:b/>
                <w:bCs/>
                <w:iCs/>
                <w:color w:val="243285"/>
                <w:sz w:val="32"/>
                <w:szCs w:val="32"/>
                <w:lang w:val="en-US"/>
              </w:rPr>
            </w:pPr>
          </w:p>
          <w:p w:rsidR="00787153" w:rsidRPr="00787153" w:rsidRDefault="00787153" w:rsidP="00B279D3">
            <w:pPr>
              <w:spacing w:before="80" w:line="280" w:lineRule="exact"/>
              <w:ind w:right="640"/>
              <w:rPr>
                <w:rFonts w:ascii="Tahoma" w:hAnsi="Tahoma" w:cs="Tahoma"/>
                <w:b/>
                <w:bCs/>
                <w:iCs/>
                <w:color w:val="243285"/>
                <w:sz w:val="32"/>
                <w:szCs w:val="32"/>
                <w:lang w:val="en-US"/>
              </w:rPr>
            </w:pPr>
          </w:p>
          <w:p w:rsidR="00787153" w:rsidRPr="00787153" w:rsidRDefault="00787153" w:rsidP="00B279D3">
            <w:pPr>
              <w:spacing w:before="80" w:after="180" w:line="360" w:lineRule="exact"/>
              <w:ind w:right="720"/>
              <w:rPr>
                <w:rFonts w:ascii="Tahoma" w:hAnsi="Tahoma" w:cs="Tahoma"/>
                <w:b/>
                <w:bCs/>
                <w:iCs/>
                <w:color w:val="243285"/>
                <w:sz w:val="36"/>
                <w:szCs w:val="36"/>
                <w:lang w:val="en-US"/>
              </w:rPr>
            </w:pPr>
          </w:p>
          <w:p w:rsidR="00787153" w:rsidRPr="001511A6" w:rsidRDefault="00787153" w:rsidP="00B279D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787153" w:rsidRPr="00FC33E6" w:rsidRDefault="00787153" w:rsidP="00B279D3">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787153" w:rsidRDefault="00787153" w:rsidP="00787153">
      <w:pPr>
        <w:spacing w:before="80"/>
        <w:rPr>
          <w:i/>
          <w:sz w:val="22"/>
          <w:lang w:val="en-US"/>
        </w:rPr>
      </w:pPr>
    </w:p>
    <w:p w:rsidR="00787153" w:rsidRDefault="00787153" w:rsidP="00787153">
      <w:pPr>
        <w:spacing w:before="80"/>
        <w:rPr>
          <w:i/>
          <w:sz w:val="22"/>
          <w:lang w:val="en-US"/>
        </w:rPr>
      </w:pPr>
    </w:p>
    <w:p w:rsidR="00787153" w:rsidRDefault="00787153" w:rsidP="00787153">
      <w:pPr>
        <w:spacing w:before="80"/>
        <w:rPr>
          <w:i/>
          <w:sz w:val="22"/>
          <w:lang w:val="en-US"/>
        </w:rPr>
      </w:pPr>
    </w:p>
    <w:p w:rsidR="00787153" w:rsidRDefault="00787153" w:rsidP="00787153">
      <w:pPr>
        <w:spacing w:before="80"/>
        <w:rPr>
          <w:i/>
          <w:sz w:val="22"/>
          <w:lang w:val="en-US"/>
        </w:rPr>
      </w:pPr>
    </w:p>
    <w:p w:rsidR="00787153" w:rsidRDefault="00787153" w:rsidP="00787153">
      <w:pPr>
        <w:spacing w:before="80"/>
        <w:rPr>
          <w:i/>
          <w:sz w:val="22"/>
          <w:lang w:val="en-US"/>
        </w:rPr>
      </w:pPr>
    </w:p>
    <w:p w:rsidR="00787153" w:rsidRDefault="00787153" w:rsidP="00787153">
      <w:pPr>
        <w:spacing w:before="80"/>
        <w:rPr>
          <w:i/>
          <w:sz w:val="22"/>
          <w:lang w:val="en-US"/>
        </w:rPr>
      </w:pPr>
    </w:p>
    <w:p w:rsidR="00787153" w:rsidRDefault="00787153" w:rsidP="00787153">
      <w:pPr>
        <w:pStyle w:val="Equation"/>
        <w:tabs>
          <w:tab w:val="clear" w:pos="4820"/>
          <w:tab w:val="clear" w:pos="9639"/>
          <w:tab w:val="left" w:pos="1191"/>
          <w:tab w:val="left" w:pos="1588"/>
          <w:tab w:val="left" w:pos="1985"/>
        </w:tabs>
        <w:rPr>
          <w:rFonts w:ascii="Palatino Linotype" w:hAnsi="Palatino Linotype"/>
          <w:lang w:val="en-US"/>
        </w:rPr>
        <w:sectPr w:rsidR="00787153">
          <w:headerReference w:type="even" r:id="rId7"/>
          <w:headerReference w:type="default" r:id="rId8"/>
          <w:pgSz w:w="11907" w:h="16840" w:code="9"/>
          <w:pgMar w:top="1089" w:right="1089" w:bottom="284" w:left="1089" w:header="567" w:footer="284" w:gutter="0"/>
          <w:pgNumType w:start="1"/>
          <w:cols w:space="720"/>
        </w:sectPr>
      </w:pPr>
    </w:p>
    <w:p w:rsidR="00787153" w:rsidRPr="00586EF8" w:rsidRDefault="00787153" w:rsidP="007871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87153" w:rsidRDefault="00787153" w:rsidP="0078715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87153" w:rsidRDefault="00787153" w:rsidP="0078715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87153" w:rsidRPr="00B714F3" w:rsidRDefault="00787153" w:rsidP="00787153">
      <w:pPr>
        <w:pStyle w:val="Heading1"/>
        <w:spacing w:before="680"/>
        <w:jc w:val="center"/>
        <w:rPr>
          <w:szCs w:val="24"/>
          <w:lang w:val="en-US"/>
        </w:rPr>
      </w:pPr>
      <w:r w:rsidRPr="00B714F3">
        <w:rPr>
          <w:szCs w:val="24"/>
          <w:lang w:val="en-US"/>
        </w:rPr>
        <w:t>Policy on Intellectual Property Right (IPR)</w:t>
      </w:r>
    </w:p>
    <w:p w:rsidR="00787153" w:rsidRPr="00B714F3" w:rsidRDefault="00787153" w:rsidP="0078715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87153" w:rsidRDefault="00787153" w:rsidP="00787153">
      <w:pPr>
        <w:jc w:val="center"/>
        <w:rPr>
          <w:sz w:val="22"/>
          <w:lang w:val="en-US"/>
        </w:rPr>
      </w:pPr>
    </w:p>
    <w:p w:rsidR="00787153" w:rsidRDefault="00787153" w:rsidP="0078715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87153" w:rsidRPr="006D4609" w:rsidTr="00B279D3">
        <w:tc>
          <w:tcPr>
            <w:tcW w:w="9360" w:type="dxa"/>
            <w:gridSpan w:val="2"/>
          </w:tcPr>
          <w:p w:rsidR="00787153" w:rsidRPr="00036EE3" w:rsidRDefault="00787153" w:rsidP="00B279D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87153" w:rsidRPr="00036EE3" w:rsidRDefault="00787153" w:rsidP="00B27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787153" w:rsidRPr="00036EE3" w:rsidTr="00B279D3">
        <w:tc>
          <w:tcPr>
            <w:tcW w:w="1140" w:type="dxa"/>
          </w:tcPr>
          <w:p w:rsidR="00787153" w:rsidRPr="00036EE3" w:rsidRDefault="00787153" w:rsidP="00B279D3">
            <w:pPr>
              <w:spacing w:before="200" w:after="100"/>
              <w:ind w:left="57"/>
              <w:rPr>
                <w:b/>
                <w:bCs/>
                <w:sz w:val="20"/>
                <w:lang w:val="en-US"/>
              </w:rPr>
            </w:pPr>
            <w:r w:rsidRPr="00036EE3">
              <w:rPr>
                <w:b/>
                <w:bCs/>
                <w:sz w:val="20"/>
                <w:lang w:val="en-US"/>
              </w:rPr>
              <w:t>Series</w:t>
            </w:r>
          </w:p>
        </w:tc>
        <w:tc>
          <w:tcPr>
            <w:tcW w:w="8220" w:type="dxa"/>
          </w:tcPr>
          <w:p w:rsidR="00787153" w:rsidRPr="00036EE3" w:rsidRDefault="00787153" w:rsidP="00B27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87153" w:rsidRPr="00036EE3" w:rsidTr="00B279D3">
        <w:tc>
          <w:tcPr>
            <w:tcW w:w="1140" w:type="dxa"/>
          </w:tcPr>
          <w:p w:rsidR="00787153" w:rsidRPr="00036EE3" w:rsidRDefault="00787153" w:rsidP="00B279D3">
            <w:pPr>
              <w:spacing w:before="30" w:after="30"/>
              <w:ind w:left="57"/>
              <w:jc w:val="left"/>
              <w:rPr>
                <w:b/>
                <w:bCs/>
                <w:sz w:val="20"/>
                <w:lang w:val="en-US"/>
              </w:rPr>
            </w:pPr>
            <w:r w:rsidRPr="00036EE3">
              <w:rPr>
                <w:b/>
                <w:bCs/>
                <w:sz w:val="20"/>
                <w:lang w:val="en-US"/>
              </w:rPr>
              <w:t>BO</w:t>
            </w:r>
          </w:p>
        </w:tc>
        <w:tc>
          <w:tcPr>
            <w:tcW w:w="8220" w:type="dxa"/>
          </w:tcPr>
          <w:p w:rsidR="00787153" w:rsidRPr="00036EE3" w:rsidRDefault="00787153" w:rsidP="00B27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87153" w:rsidRPr="006D4609" w:rsidTr="00B279D3">
        <w:tc>
          <w:tcPr>
            <w:tcW w:w="1140" w:type="dxa"/>
            <w:tcBorders>
              <w:bottom w:val="nil"/>
            </w:tcBorders>
          </w:tcPr>
          <w:p w:rsidR="00787153" w:rsidRPr="00036EE3" w:rsidRDefault="00787153" w:rsidP="00B279D3">
            <w:pPr>
              <w:spacing w:before="30" w:after="30"/>
              <w:ind w:left="57"/>
              <w:jc w:val="left"/>
              <w:rPr>
                <w:b/>
                <w:bCs/>
                <w:sz w:val="20"/>
                <w:lang w:val="en-US"/>
              </w:rPr>
            </w:pPr>
            <w:r w:rsidRPr="00036EE3">
              <w:rPr>
                <w:b/>
                <w:bCs/>
                <w:sz w:val="20"/>
                <w:lang w:val="en-US"/>
              </w:rPr>
              <w:t>BR</w:t>
            </w:r>
          </w:p>
        </w:tc>
        <w:tc>
          <w:tcPr>
            <w:tcW w:w="8220" w:type="dxa"/>
            <w:tcBorders>
              <w:bottom w:val="nil"/>
            </w:tcBorders>
          </w:tcPr>
          <w:p w:rsidR="00787153" w:rsidRPr="00036EE3" w:rsidRDefault="00787153" w:rsidP="00B27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87153" w:rsidRPr="00036EE3" w:rsidTr="00B279D3">
        <w:tc>
          <w:tcPr>
            <w:tcW w:w="1140" w:type="dxa"/>
            <w:tcBorders>
              <w:top w:val="nil"/>
              <w:bottom w:val="nil"/>
            </w:tcBorders>
            <w:shd w:val="clear" w:color="auto" w:fill="auto"/>
          </w:tcPr>
          <w:p w:rsidR="00787153" w:rsidRPr="007D224F" w:rsidRDefault="00787153" w:rsidP="00B279D3">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87153" w:rsidRPr="007D224F" w:rsidRDefault="00787153" w:rsidP="00B27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87153" w:rsidRPr="00ED2695" w:rsidTr="00B279D3">
        <w:tc>
          <w:tcPr>
            <w:tcW w:w="1140" w:type="dxa"/>
            <w:tcBorders>
              <w:top w:val="nil"/>
              <w:bottom w:val="nil"/>
            </w:tcBorders>
            <w:shd w:val="clear" w:color="auto" w:fill="auto"/>
          </w:tcPr>
          <w:p w:rsidR="00787153" w:rsidRPr="00ED2695" w:rsidRDefault="00787153" w:rsidP="00B279D3">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87153" w:rsidRPr="00ED2695" w:rsidRDefault="00787153" w:rsidP="00B27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87153" w:rsidRPr="007D224F" w:rsidTr="00B279D3">
        <w:tc>
          <w:tcPr>
            <w:tcW w:w="1140" w:type="dxa"/>
            <w:tcBorders>
              <w:top w:val="nil"/>
              <w:bottom w:val="nil"/>
            </w:tcBorders>
            <w:shd w:val="clear" w:color="auto" w:fill="auto"/>
          </w:tcPr>
          <w:p w:rsidR="00787153" w:rsidRPr="0041667C" w:rsidRDefault="00787153" w:rsidP="00B279D3">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87153" w:rsidRPr="0041667C" w:rsidRDefault="00787153" w:rsidP="00B279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87153" w:rsidRPr="001A7DC3" w:rsidTr="00B279D3">
        <w:tc>
          <w:tcPr>
            <w:tcW w:w="1140" w:type="dxa"/>
            <w:tcBorders>
              <w:top w:val="nil"/>
              <w:bottom w:val="nil"/>
            </w:tcBorders>
            <w:shd w:val="clear" w:color="auto" w:fill="auto"/>
          </w:tcPr>
          <w:p w:rsidR="00787153" w:rsidRPr="001A7DC3" w:rsidRDefault="00787153" w:rsidP="00B279D3">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787153" w:rsidRPr="001A7DC3" w:rsidRDefault="00787153" w:rsidP="00B279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787153" w:rsidRPr="00036EE3" w:rsidTr="00B279D3">
        <w:tc>
          <w:tcPr>
            <w:tcW w:w="1140" w:type="dxa"/>
            <w:tcBorders>
              <w:top w:val="nil"/>
              <w:bottom w:val="nil"/>
            </w:tcBorders>
            <w:shd w:val="clear" w:color="auto" w:fill="F3F3F3"/>
          </w:tcPr>
          <w:p w:rsidR="00787153" w:rsidRPr="006E1148" w:rsidRDefault="00787153" w:rsidP="00B279D3">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787153" w:rsidRPr="006E1148" w:rsidRDefault="00787153" w:rsidP="00B279D3">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787153" w:rsidRPr="00036EE3" w:rsidTr="00B279D3">
        <w:tc>
          <w:tcPr>
            <w:tcW w:w="1140" w:type="dxa"/>
            <w:tcBorders>
              <w:top w:val="nil"/>
            </w:tcBorders>
          </w:tcPr>
          <w:p w:rsidR="00787153" w:rsidRPr="00036EE3" w:rsidRDefault="00787153" w:rsidP="00B279D3">
            <w:pPr>
              <w:spacing w:before="30" w:after="30"/>
              <w:ind w:left="57"/>
              <w:jc w:val="left"/>
              <w:rPr>
                <w:b/>
                <w:bCs/>
                <w:sz w:val="20"/>
                <w:lang w:val="en-US"/>
              </w:rPr>
            </w:pPr>
            <w:r w:rsidRPr="00036EE3">
              <w:rPr>
                <w:b/>
                <w:bCs/>
                <w:sz w:val="20"/>
                <w:lang w:val="en-US"/>
              </w:rPr>
              <w:t>RA</w:t>
            </w:r>
          </w:p>
        </w:tc>
        <w:tc>
          <w:tcPr>
            <w:tcW w:w="8220" w:type="dxa"/>
            <w:tcBorders>
              <w:top w:val="nil"/>
            </w:tcBorders>
          </w:tcPr>
          <w:p w:rsidR="00787153" w:rsidRPr="00036EE3" w:rsidRDefault="00787153" w:rsidP="00B279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87153" w:rsidRPr="00036EE3" w:rsidTr="00B279D3">
        <w:tc>
          <w:tcPr>
            <w:tcW w:w="1140" w:type="dxa"/>
          </w:tcPr>
          <w:p w:rsidR="00787153" w:rsidRPr="00036EE3" w:rsidRDefault="00787153" w:rsidP="00B279D3">
            <w:pPr>
              <w:spacing w:before="30" w:after="30"/>
              <w:ind w:left="57"/>
              <w:jc w:val="left"/>
              <w:rPr>
                <w:b/>
                <w:bCs/>
                <w:sz w:val="20"/>
                <w:lang w:val="en-US"/>
              </w:rPr>
            </w:pPr>
            <w:r w:rsidRPr="00036EE3">
              <w:rPr>
                <w:b/>
                <w:bCs/>
                <w:sz w:val="20"/>
                <w:lang w:val="en-US"/>
              </w:rPr>
              <w:t>RS</w:t>
            </w:r>
          </w:p>
        </w:tc>
        <w:tc>
          <w:tcPr>
            <w:tcW w:w="8220" w:type="dxa"/>
          </w:tcPr>
          <w:p w:rsidR="00787153" w:rsidRPr="00036EE3" w:rsidRDefault="00787153" w:rsidP="00B279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87153" w:rsidRPr="00036EE3" w:rsidTr="00B279D3">
        <w:tc>
          <w:tcPr>
            <w:tcW w:w="1140" w:type="dxa"/>
          </w:tcPr>
          <w:p w:rsidR="00787153" w:rsidRPr="00036EE3" w:rsidRDefault="00787153" w:rsidP="00B279D3">
            <w:pPr>
              <w:spacing w:before="30" w:after="30"/>
              <w:ind w:left="57"/>
              <w:jc w:val="left"/>
              <w:rPr>
                <w:b/>
                <w:bCs/>
                <w:sz w:val="20"/>
                <w:lang w:val="en-US"/>
              </w:rPr>
            </w:pPr>
            <w:r w:rsidRPr="00036EE3">
              <w:rPr>
                <w:b/>
                <w:bCs/>
                <w:sz w:val="20"/>
                <w:lang w:val="en-US"/>
              </w:rPr>
              <w:t>S</w:t>
            </w:r>
          </w:p>
        </w:tc>
        <w:tc>
          <w:tcPr>
            <w:tcW w:w="8220" w:type="dxa"/>
          </w:tcPr>
          <w:p w:rsidR="00787153" w:rsidRPr="00036EE3" w:rsidRDefault="00787153" w:rsidP="00B279D3">
            <w:pPr>
              <w:spacing w:before="30" w:after="30"/>
              <w:jc w:val="left"/>
              <w:rPr>
                <w:sz w:val="20"/>
                <w:lang w:val="en-US"/>
              </w:rPr>
            </w:pPr>
            <w:r w:rsidRPr="00036EE3">
              <w:rPr>
                <w:sz w:val="20"/>
                <w:lang w:val="en-US"/>
              </w:rPr>
              <w:t>Fixed-satellite service</w:t>
            </w:r>
          </w:p>
        </w:tc>
      </w:tr>
      <w:tr w:rsidR="00787153" w:rsidRPr="00036EE3" w:rsidTr="00B279D3">
        <w:tc>
          <w:tcPr>
            <w:tcW w:w="1140" w:type="dxa"/>
          </w:tcPr>
          <w:p w:rsidR="00787153" w:rsidRPr="00036EE3" w:rsidRDefault="00787153" w:rsidP="00B279D3">
            <w:pPr>
              <w:spacing w:before="30" w:after="30"/>
              <w:ind w:left="57"/>
              <w:jc w:val="left"/>
              <w:rPr>
                <w:b/>
                <w:bCs/>
                <w:sz w:val="20"/>
                <w:lang w:val="en-US"/>
              </w:rPr>
            </w:pPr>
            <w:r w:rsidRPr="00036EE3">
              <w:rPr>
                <w:b/>
                <w:bCs/>
                <w:sz w:val="20"/>
                <w:lang w:val="en-US"/>
              </w:rPr>
              <w:t>SA</w:t>
            </w:r>
          </w:p>
        </w:tc>
        <w:tc>
          <w:tcPr>
            <w:tcW w:w="8220" w:type="dxa"/>
          </w:tcPr>
          <w:p w:rsidR="00787153" w:rsidRPr="00036EE3" w:rsidRDefault="00787153" w:rsidP="00B279D3">
            <w:pPr>
              <w:spacing w:before="30" w:after="30"/>
              <w:jc w:val="left"/>
              <w:rPr>
                <w:sz w:val="20"/>
                <w:lang w:val="en-US"/>
              </w:rPr>
            </w:pPr>
            <w:r w:rsidRPr="00036EE3">
              <w:rPr>
                <w:sz w:val="20"/>
                <w:lang w:val="en-US"/>
              </w:rPr>
              <w:t>Space applications and meteorology</w:t>
            </w:r>
          </w:p>
        </w:tc>
      </w:tr>
      <w:tr w:rsidR="00787153" w:rsidRPr="006D4609" w:rsidTr="00B279D3">
        <w:tc>
          <w:tcPr>
            <w:tcW w:w="1140" w:type="dxa"/>
            <w:tcBorders>
              <w:bottom w:val="nil"/>
            </w:tcBorders>
          </w:tcPr>
          <w:p w:rsidR="00787153" w:rsidRPr="00036EE3" w:rsidRDefault="00787153" w:rsidP="00B279D3">
            <w:pPr>
              <w:spacing w:before="30" w:after="30"/>
              <w:ind w:left="57"/>
              <w:jc w:val="left"/>
              <w:rPr>
                <w:b/>
                <w:bCs/>
                <w:sz w:val="20"/>
                <w:lang w:val="en-US"/>
              </w:rPr>
            </w:pPr>
            <w:r w:rsidRPr="00036EE3">
              <w:rPr>
                <w:b/>
                <w:bCs/>
                <w:sz w:val="20"/>
                <w:lang w:val="en-US"/>
              </w:rPr>
              <w:t>SF</w:t>
            </w:r>
          </w:p>
        </w:tc>
        <w:tc>
          <w:tcPr>
            <w:tcW w:w="8220" w:type="dxa"/>
            <w:tcBorders>
              <w:bottom w:val="nil"/>
            </w:tcBorders>
          </w:tcPr>
          <w:p w:rsidR="00787153" w:rsidRPr="00036EE3" w:rsidRDefault="00787153" w:rsidP="00B279D3">
            <w:pPr>
              <w:spacing w:before="30" w:after="30"/>
              <w:jc w:val="left"/>
              <w:rPr>
                <w:sz w:val="20"/>
                <w:lang w:val="en-US"/>
              </w:rPr>
            </w:pPr>
            <w:r w:rsidRPr="00036EE3">
              <w:rPr>
                <w:sz w:val="20"/>
                <w:lang w:val="en-US"/>
              </w:rPr>
              <w:t>Frequency sharing and coordination between fixed-satellite and fixed service systems</w:t>
            </w:r>
          </w:p>
        </w:tc>
      </w:tr>
      <w:tr w:rsidR="00787153" w:rsidRPr="00036EE3" w:rsidTr="00B279D3">
        <w:tc>
          <w:tcPr>
            <w:tcW w:w="1140" w:type="dxa"/>
            <w:tcBorders>
              <w:top w:val="nil"/>
              <w:bottom w:val="nil"/>
            </w:tcBorders>
            <w:shd w:val="clear" w:color="auto" w:fill="auto"/>
          </w:tcPr>
          <w:p w:rsidR="00787153" w:rsidRPr="000A4386" w:rsidRDefault="00787153" w:rsidP="00B279D3">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87153" w:rsidRPr="000A4386" w:rsidRDefault="00787153" w:rsidP="00B279D3">
            <w:pPr>
              <w:spacing w:before="30" w:after="30"/>
              <w:jc w:val="left"/>
              <w:rPr>
                <w:sz w:val="20"/>
                <w:lang w:val="en-US"/>
              </w:rPr>
            </w:pPr>
            <w:r w:rsidRPr="000A4386">
              <w:rPr>
                <w:sz w:val="20"/>
                <w:lang w:val="en-US"/>
              </w:rPr>
              <w:t>Spectrum management</w:t>
            </w:r>
          </w:p>
        </w:tc>
      </w:tr>
      <w:tr w:rsidR="00787153" w:rsidRPr="00036EE3" w:rsidTr="00B279D3">
        <w:tc>
          <w:tcPr>
            <w:tcW w:w="1140" w:type="dxa"/>
            <w:tcBorders>
              <w:top w:val="nil"/>
            </w:tcBorders>
          </w:tcPr>
          <w:p w:rsidR="00787153" w:rsidRPr="00036EE3" w:rsidRDefault="00787153" w:rsidP="00B279D3">
            <w:pPr>
              <w:spacing w:before="30" w:after="30"/>
              <w:ind w:left="57"/>
              <w:jc w:val="left"/>
              <w:rPr>
                <w:b/>
                <w:bCs/>
                <w:sz w:val="20"/>
                <w:lang w:val="en-US"/>
              </w:rPr>
            </w:pPr>
            <w:r w:rsidRPr="00036EE3">
              <w:rPr>
                <w:b/>
                <w:bCs/>
                <w:sz w:val="20"/>
                <w:lang w:val="en-US"/>
              </w:rPr>
              <w:t>SNG</w:t>
            </w:r>
          </w:p>
        </w:tc>
        <w:tc>
          <w:tcPr>
            <w:tcW w:w="8220" w:type="dxa"/>
            <w:tcBorders>
              <w:top w:val="nil"/>
            </w:tcBorders>
          </w:tcPr>
          <w:p w:rsidR="00787153" w:rsidRPr="00036EE3" w:rsidRDefault="00787153" w:rsidP="00B279D3">
            <w:pPr>
              <w:spacing w:before="30" w:after="30"/>
              <w:jc w:val="left"/>
              <w:rPr>
                <w:sz w:val="20"/>
                <w:lang w:val="en-US"/>
              </w:rPr>
            </w:pPr>
            <w:r w:rsidRPr="00036EE3">
              <w:rPr>
                <w:sz w:val="20"/>
                <w:lang w:val="en-US"/>
              </w:rPr>
              <w:t>Satellite news gathering</w:t>
            </w:r>
          </w:p>
        </w:tc>
      </w:tr>
      <w:tr w:rsidR="00787153" w:rsidRPr="006D4609" w:rsidTr="00B279D3">
        <w:tc>
          <w:tcPr>
            <w:tcW w:w="1140" w:type="dxa"/>
          </w:tcPr>
          <w:p w:rsidR="00787153" w:rsidRPr="00036EE3" w:rsidRDefault="00787153" w:rsidP="00B279D3">
            <w:pPr>
              <w:spacing w:before="30" w:after="30"/>
              <w:ind w:left="57"/>
              <w:jc w:val="left"/>
              <w:rPr>
                <w:b/>
                <w:bCs/>
                <w:sz w:val="20"/>
                <w:lang w:val="en-US"/>
              </w:rPr>
            </w:pPr>
            <w:r w:rsidRPr="00036EE3">
              <w:rPr>
                <w:b/>
                <w:bCs/>
                <w:sz w:val="20"/>
                <w:lang w:val="en-US"/>
              </w:rPr>
              <w:t>TF</w:t>
            </w:r>
          </w:p>
        </w:tc>
        <w:tc>
          <w:tcPr>
            <w:tcW w:w="8220" w:type="dxa"/>
          </w:tcPr>
          <w:p w:rsidR="00787153" w:rsidRPr="00036EE3" w:rsidRDefault="00787153" w:rsidP="00B279D3">
            <w:pPr>
              <w:spacing w:before="30" w:after="30"/>
              <w:jc w:val="left"/>
              <w:rPr>
                <w:sz w:val="20"/>
                <w:lang w:val="en-US"/>
              </w:rPr>
            </w:pPr>
            <w:r w:rsidRPr="00036EE3">
              <w:rPr>
                <w:sz w:val="20"/>
                <w:lang w:val="en-US"/>
              </w:rPr>
              <w:t>Time signals and frequency standards emissions</w:t>
            </w:r>
          </w:p>
        </w:tc>
      </w:tr>
      <w:tr w:rsidR="00787153" w:rsidRPr="00036EE3" w:rsidTr="00B279D3">
        <w:tc>
          <w:tcPr>
            <w:tcW w:w="1140" w:type="dxa"/>
          </w:tcPr>
          <w:p w:rsidR="00787153" w:rsidRPr="00036EE3" w:rsidRDefault="00787153" w:rsidP="00B279D3">
            <w:pPr>
              <w:spacing w:before="30" w:after="30"/>
              <w:ind w:left="57"/>
              <w:jc w:val="left"/>
              <w:rPr>
                <w:b/>
                <w:bCs/>
                <w:sz w:val="20"/>
                <w:lang w:val="en-US"/>
              </w:rPr>
            </w:pPr>
            <w:r w:rsidRPr="00036EE3">
              <w:rPr>
                <w:b/>
                <w:bCs/>
                <w:sz w:val="20"/>
                <w:lang w:val="en-US"/>
              </w:rPr>
              <w:t>V</w:t>
            </w:r>
          </w:p>
        </w:tc>
        <w:tc>
          <w:tcPr>
            <w:tcW w:w="8220" w:type="dxa"/>
          </w:tcPr>
          <w:p w:rsidR="00787153" w:rsidRPr="00036EE3" w:rsidRDefault="00787153" w:rsidP="00B279D3">
            <w:pPr>
              <w:spacing w:before="30" w:after="180"/>
              <w:jc w:val="left"/>
              <w:rPr>
                <w:sz w:val="20"/>
                <w:lang w:val="en-US"/>
              </w:rPr>
            </w:pPr>
            <w:r w:rsidRPr="00036EE3">
              <w:rPr>
                <w:sz w:val="20"/>
                <w:lang w:val="en-US"/>
              </w:rPr>
              <w:t>Vocabulary and related subjects</w:t>
            </w:r>
          </w:p>
        </w:tc>
      </w:tr>
    </w:tbl>
    <w:p w:rsidR="00787153" w:rsidRPr="00036EE3" w:rsidRDefault="00787153" w:rsidP="0078715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87153" w:rsidTr="00B279D3">
        <w:tc>
          <w:tcPr>
            <w:tcW w:w="720" w:type="dxa"/>
          </w:tcPr>
          <w:p w:rsidR="00787153" w:rsidRDefault="00787153" w:rsidP="00B279D3">
            <w:pPr>
              <w:jc w:val="center"/>
              <w:rPr>
                <w:sz w:val="22"/>
                <w:lang w:val="en-US"/>
              </w:rPr>
            </w:pPr>
          </w:p>
        </w:tc>
      </w:tr>
    </w:tbl>
    <w:p w:rsidR="00787153" w:rsidRPr="00036EE3" w:rsidRDefault="00787153" w:rsidP="0078715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87153" w:rsidRPr="006D4609" w:rsidTr="00B279D3">
        <w:tc>
          <w:tcPr>
            <w:tcW w:w="9360" w:type="dxa"/>
          </w:tcPr>
          <w:p w:rsidR="00787153" w:rsidRPr="002F5199" w:rsidRDefault="00787153" w:rsidP="00B279D3">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87153" w:rsidRDefault="00787153" w:rsidP="00787153">
      <w:pPr>
        <w:spacing w:before="0"/>
        <w:jc w:val="center"/>
        <w:rPr>
          <w:sz w:val="22"/>
          <w:lang w:val="en-US"/>
        </w:rPr>
      </w:pPr>
    </w:p>
    <w:p w:rsidR="00787153" w:rsidRDefault="00787153" w:rsidP="00787153">
      <w:pPr>
        <w:spacing w:before="0"/>
        <w:jc w:val="center"/>
        <w:rPr>
          <w:sz w:val="22"/>
          <w:lang w:val="en-US"/>
        </w:rPr>
      </w:pPr>
    </w:p>
    <w:p w:rsidR="00787153" w:rsidRPr="002F5199" w:rsidRDefault="00787153" w:rsidP="00787153">
      <w:pPr>
        <w:spacing w:before="0"/>
        <w:jc w:val="right"/>
        <w:rPr>
          <w:i/>
          <w:iCs/>
          <w:sz w:val="20"/>
          <w:lang w:val="en-US"/>
        </w:rPr>
      </w:pPr>
      <w:r w:rsidRPr="002F5199">
        <w:rPr>
          <w:i/>
          <w:iCs/>
          <w:sz w:val="20"/>
          <w:lang w:val="en-US"/>
        </w:rPr>
        <w:t>Electronic Publication</w:t>
      </w:r>
    </w:p>
    <w:p w:rsidR="00787153" w:rsidRPr="002F5199" w:rsidRDefault="00787153" w:rsidP="00787153">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787153" w:rsidRDefault="00787153" w:rsidP="00787153">
      <w:pPr>
        <w:jc w:val="center"/>
        <w:rPr>
          <w:sz w:val="22"/>
          <w:lang w:val="en-US"/>
        </w:rPr>
      </w:pPr>
    </w:p>
    <w:p w:rsidR="00787153" w:rsidRPr="00470E28" w:rsidRDefault="00787153" w:rsidP="00787153">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787153" w:rsidRPr="00470E28" w:rsidRDefault="00787153" w:rsidP="0078715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87153" w:rsidRDefault="00787153" w:rsidP="00787153">
      <w:pPr>
        <w:spacing w:before="160"/>
        <w:rPr>
          <w:i/>
          <w:sz w:val="20"/>
          <w:lang w:val="en-US"/>
        </w:rPr>
        <w:sectPr w:rsidR="00787153"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87153" w:rsidRPr="00BF487A" w:rsidRDefault="00787153" w:rsidP="00787153">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1409-1</w:t>
      </w:r>
      <w:r w:rsidR="006B7B69" w:rsidRPr="006B7B69">
        <w:rPr>
          <w:rStyle w:val="FootnoteReference"/>
          <w:lang w:val="en-US"/>
        </w:rPr>
        <w:footnoteReference w:customMarkFollows="1" w:id="1"/>
        <w:sym w:font="Symbol" w:char="F02A"/>
      </w:r>
    </w:p>
    <w:p w:rsidR="00A6617B" w:rsidRDefault="00787153" w:rsidP="00787153">
      <w:pPr>
        <w:pStyle w:val="Rectitle"/>
        <w:rPr>
          <w:lang w:val="en-US"/>
        </w:rPr>
      </w:pPr>
      <w:r w:rsidRPr="00787153">
        <w:rPr>
          <w:lang w:val="en-US"/>
        </w:rPr>
        <w:t>Propagation data and prediction methods for systems using high altitude platform stations and other elevated stations in the stratosphere at frequencies greater than about 1 GHz</w:t>
      </w:r>
    </w:p>
    <w:p w:rsidR="00787153" w:rsidRPr="00787153" w:rsidRDefault="00787153" w:rsidP="00787153">
      <w:pPr>
        <w:pStyle w:val="Recdate"/>
        <w:rPr>
          <w:lang w:val="en-US"/>
        </w:rPr>
      </w:pPr>
      <w:r w:rsidRPr="00787153">
        <w:rPr>
          <w:lang w:val="en-US"/>
        </w:rPr>
        <w:t>(1999</w:t>
      </w:r>
      <w:r w:rsidR="00E91C60">
        <w:rPr>
          <w:lang w:val="en-US"/>
        </w:rPr>
        <w:t>-2012</w:t>
      </w:r>
      <w:r w:rsidRPr="00787153">
        <w:rPr>
          <w:lang w:val="en-US"/>
        </w:rPr>
        <w:t>)</w:t>
      </w:r>
    </w:p>
    <w:p w:rsidR="00787153" w:rsidRPr="00505A11" w:rsidRDefault="00787153" w:rsidP="00787153">
      <w:pPr>
        <w:pStyle w:val="HeadingSum"/>
        <w:rPr>
          <w:szCs w:val="22"/>
          <w:lang w:val="en-US"/>
        </w:rPr>
      </w:pPr>
      <w:r w:rsidRPr="00505A11">
        <w:rPr>
          <w:szCs w:val="22"/>
          <w:lang w:val="en-US"/>
        </w:rPr>
        <w:t>Scope</w:t>
      </w:r>
    </w:p>
    <w:p w:rsidR="00787153" w:rsidRPr="00505A11" w:rsidRDefault="00787153" w:rsidP="007E5CD0">
      <w:pPr>
        <w:pStyle w:val="Summary"/>
      </w:pPr>
      <w:r w:rsidRPr="00505A11">
        <w:t>This Recommendation provides information on the propagation methods appropriate in the consideration of radiocommunication systems or networks involving the use of high altitude platform stations, or other stations in the stratosphere.</w:t>
      </w:r>
    </w:p>
    <w:p w:rsidR="00787153" w:rsidRDefault="00787153" w:rsidP="00787153">
      <w:pPr>
        <w:pStyle w:val="Normalaftertitle0"/>
        <w:spacing w:before="480"/>
      </w:pPr>
      <w:r>
        <w:t>The ITU Radiocommunication Assembly,</w:t>
      </w:r>
    </w:p>
    <w:p w:rsidR="00787153" w:rsidRPr="00787153" w:rsidRDefault="00787153" w:rsidP="00787153">
      <w:pPr>
        <w:pStyle w:val="Call"/>
        <w:rPr>
          <w:lang w:val="en-US"/>
        </w:rPr>
      </w:pPr>
      <w:r w:rsidRPr="00787153">
        <w:rPr>
          <w:lang w:val="en-US"/>
        </w:rPr>
        <w:t>considering</w:t>
      </w:r>
    </w:p>
    <w:p w:rsidR="00787153" w:rsidRPr="00787153" w:rsidRDefault="00787153" w:rsidP="00787153">
      <w:pPr>
        <w:rPr>
          <w:lang w:val="en-US"/>
        </w:rPr>
      </w:pPr>
      <w:r w:rsidRPr="007E5CD0">
        <w:rPr>
          <w:i/>
          <w:lang w:val="en-US"/>
        </w:rPr>
        <w:t>a)</w:t>
      </w:r>
      <w:r w:rsidRPr="00787153">
        <w:rPr>
          <w:lang w:val="en-US"/>
        </w:rPr>
        <w:tab/>
        <w:t>that the Radio Regulations include provisions designating the use of systems employing high altitude platform stations in the fixed service at about 47 GHz and in the mobile service at about 2 GHz;</w:t>
      </w:r>
    </w:p>
    <w:p w:rsidR="00787153" w:rsidRPr="00787153" w:rsidRDefault="00787153" w:rsidP="00787153">
      <w:pPr>
        <w:rPr>
          <w:lang w:val="en-US"/>
        </w:rPr>
      </w:pPr>
      <w:r w:rsidRPr="007E5CD0">
        <w:rPr>
          <w:i/>
          <w:lang w:val="en-US"/>
        </w:rPr>
        <w:t>b)</w:t>
      </w:r>
      <w:r w:rsidRPr="00787153">
        <w:rPr>
          <w:lang w:val="en-US"/>
        </w:rPr>
        <w:tab/>
        <w:t>that some of the frequency bands designated are also allocated for use by other services;</w:t>
      </w:r>
    </w:p>
    <w:p w:rsidR="00787153" w:rsidRPr="00787153" w:rsidRDefault="00787153" w:rsidP="00140B73">
      <w:pPr>
        <w:rPr>
          <w:lang w:val="en-US"/>
        </w:rPr>
      </w:pPr>
      <w:r w:rsidRPr="007E5CD0">
        <w:rPr>
          <w:i/>
          <w:lang w:val="en-US"/>
        </w:rPr>
        <w:t>c)</w:t>
      </w:r>
      <w:r w:rsidRPr="00787153">
        <w:rPr>
          <w:lang w:val="en-US"/>
        </w:rPr>
        <w:tab/>
        <w:t>that studies have been made into systems and networks using elevated platforms</w:t>
      </w:r>
      <w:r w:rsidR="00140B73">
        <w:rPr>
          <w:lang w:val="en-US"/>
        </w:rPr>
        <w:t>,</w:t>
      </w:r>
      <w:r w:rsidRPr="00787153">
        <w:rPr>
          <w:lang w:val="en-US"/>
        </w:rPr>
        <w:t xml:space="preserve"> which may be at lower heights in the stratosphere,</w:t>
      </w:r>
    </w:p>
    <w:p w:rsidR="00787153" w:rsidRPr="00787153" w:rsidRDefault="00787153" w:rsidP="00787153">
      <w:pPr>
        <w:pStyle w:val="Call"/>
        <w:rPr>
          <w:lang w:val="en-US"/>
        </w:rPr>
      </w:pPr>
      <w:r w:rsidRPr="00787153">
        <w:rPr>
          <w:lang w:val="en-US"/>
        </w:rPr>
        <w:t>recommends</w:t>
      </w:r>
    </w:p>
    <w:p w:rsidR="00787153" w:rsidRPr="00787153" w:rsidRDefault="00787153" w:rsidP="00787153">
      <w:pPr>
        <w:rPr>
          <w:lang w:val="en-US"/>
        </w:rPr>
      </w:pPr>
      <w:r w:rsidRPr="00787153">
        <w:rPr>
          <w:b/>
          <w:bCs/>
          <w:lang w:val="en-US"/>
        </w:rPr>
        <w:t>1</w:t>
      </w:r>
      <w:r w:rsidRPr="00787153">
        <w:rPr>
          <w:lang w:val="en-US"/>
        </w:rPr>
        <w:tab/>
        <w:t>that the propagation mechanisms and effects set out in Annex 1 be taken into account in the design of systems using high altitude platform stations and other elevated platforms in the stratosphere, and in studies of sharing and compatibility.</w:t>
      </w:r>
    </w:p>
    <w:p w:rsidR="00787153" w:rsidRDefault="00787153" w:rsidP="00787153">
      <w:pPr>
        <w:rPr>
          <w:lang w:val="en-US"/>
        </w:rPr>
      </w:pPr>
    </w:p>
    <w:p w:rsidR="00E91C60" w:rsidRPr="00787153" w:rsidRDefault="00E91C60" w:rsidP="00787153">
      <w:pPr>
        <w:rPr>
          <w:lang w:val="en-US"/>
        </w:rPr>
      </w:pPr>
    </w:p>
    <w:p w:rsidR="00787153" w:rsidRPr="00140B73" w:rsidRDefault="00787153" w:rsidP="00E91C60">
      <w:pPr>
        <w:pStyle w:val="AnnexNoTitle"/>
        <w:rPr>
          <w:lang w:val="en-US"/>
        </w:rPr>
      </w:pPr>
      <w:r w:rsidRPr="00140B73">
        <w:rPr>
          <w:lang w:val="en-US"/>
        </w:rPr>
        <w:t>A</w:t>
      </w:r>
      <w:r w:rsidR="00E91C60" w:rsidRPr="00140B73">
        <w:rPr>
          <w:lang w:val="en-US"/>
        </w:rPr>
        <w:t xml:space="preserve">nnex </w:t>
      </w:r>
      <w:r w:rsidRPr="00140B73">
        <w:rPr>
          <w:lang w:val="en-US"/>
        </w:rPr>
        <w:t>1</w:t>
      </w:r>
    </w:p>
    <w:p w:rsidR="00787153" w:rsidRPr="00787153" w:rsidRDefault="00787153" w:rsidP="00787153">
      <w:pPr>
        <w:pStyle w:val="Heading1"/>
        <w:rPr>
          <w:lang w:val="en-US"/>
        </w:rPr>
      </w:pPr>
      <w:r w:rsidRPr="00787153">
        <w:rPr>
          <w:lang w:val="en-US"/>
        </w:rPr>
        <w:t>1</w:t>
      </w:r>
      <w:r w:rsidRPr="00787153">
        <w:rPr>
          <w:lang w:val="en-US"/>
        </w:rPr>
        <w:tab/>
        <w:t>Introduction</w:t>
      </w:r>
    </w:p>
    <w:p w:rsidR="00787153" w:rsidRPr="00787153" w:rsidRDefault="00787153" w:rsidP="00787153">
      <w:pPr>
        <w:rPr>
          <w:lang w:val="en-US"/>
        </w:rPr>
      </w:pPr>
      <w:r w:rsidRPr="00787153">
        <w:rPr>
          <w:lang w:val="en-US"/>
        </w:rPr>
        <w:t>The following mechanisms and effects should be considered, as appropriate, when undertaking system design or sharing studies for systems employing high altitude platform stations and other elevated platforms in the stratosphere:</w:t>
      </w:r>
    </w:p>
    <w:p w:rsidR="00787153" w:rsidRPr="00787153" w:rsidRDefault="00787153" w:rsidP="00C129A7">
      <w:pPr>
        <w:pStyle w:val="enumlev1"/>
        <w:rPr>
          <w:lang w:val="en-US"/>
        </w:rPr>
      </w:pPr>
      <w:r w:rsidRPr="00787153">
        <w:rPr>
          <w:lang w:val="en-US"/>
        </w:rPr>
        <w:t>–</w:t>
      </w:r>
      <w:r w:rsidRPr="00787153">
        <w:rPr>
          <w:lang w:val="en-US"/>
        </w:rPr>
        <w:tab/>
        <w:t xml:space="preserve">free-space </w:t>
      </w:r>
      <w:r w:rsidR="00C129A7">
        <w:rPr>
          <w:lang w:val="en-US"/>
        </w:rPr>
        <w:t>basic transmission</w:t>
      </w:r>
      <w:r w:rsidRPr="00787153">
        <w:rPr>
          <w:lang w:val="en-US"/>
        </w:rPr>
        <w:t xml:space="preserve"> loss;</w:t>
      </w:r>
    </w:p>
    <w:p w:rsidR="00787153" w:rsidRPr="00787153" w:rsidRDefault="00787153" w:rsidP="00787153">
      <w:pPr>
        <w:pStyle w:val="enumlev1"/>
        <w:rPr>
          <w:lang w:val="en-US"/>
        </w:rPr>
      </w:pPr>
      <w:r w:rsidRPr="00787153">
        <w:rPr>
          <w:lang w:val="en-US"/>
        </w:rPr>
        <w:t>–</w:t>
      </w:r>
      <w:r w:rsidRPr="00787153">
        <w:rPr>
          <w:lang w:val="en-US"/>
        </w:rPr>
        <w:tab/>
        <w:t>atmospheric attenuation due to gaseous absorption in the troposphere; (it is sufficient to assume that all this attenuation occurs at heights below that of a platform);</w:t>
      </w:r>
    </w:p>
    <w:p w:rsidR="00787153" w:rsidRPr="00787153" w:rsidRDefault="00787153" w:rsidP="00787153">
      <w:pPr>
        <w:pStyle w:val="enumlev1"/>
        <w:rPr>
          <w:lang w:val="en-US"/>
        </w:rPr>
      </w:pPr>
      <w:r w:rsidRPr="00787153">
        <w:rPr>
          <w:lang w:val="en-US"/>
        </w:rPr>
        <w:t>–</w:t>
      </w:r>
      <w:r w:rsidRPr="00787153">
        <w:rPr>
          <w:lang w:val="en-US"/>
        </w:rPr>
        <w:tab/>
        <w:t>rain attenuation;</w:t>
      </w:r>
    </w:p>
    <w:p w:rsidR="00787153" w:rsidRPr="00787153" w:rsidRDefault="00787153" w:rsidP="00787153">
      <w:pPr>
        <w:pStyle w:val="enumlev1"/>
        <w:rPr>
          <w:lang w:val="en-US"/>
        </w:rPr>
      </w:pPr>
      <w:r w:rsidRPr="00787153">
        <w:rPr>
          <w:lang w:val="en-US"/>
        </w:rPr>
        <w:t>–</w:t>
      </w:r>
      <w:r w:rsidRPr="00787153">
        <w:rPr>
          <w:lang w:val="en-US"/>
        </w:rPr>
        <w:tab/>
        <w:t>cloud attenuation; (for time percentages smaller than about 1% the effects of cloud attenuation are included within the rain attenuation prediction method);</w:t>
      </w:r>
    </w:p>
    <w:p w:rsidR="00787153" w:rsidRPr="00787153" w:rsidRDefault="00787153" w:rsidP="00787153">
      <w:pPr>
        <w:pStyle w:val="enumlev1"/>
        <w:rPr>
          <w:lang w:val="en-US"/>
        </w:rPr>
      </w:pPr>
      <w:r w:rsidRPr="00787153">
        <w:rPr>
          <w:lang w:val="en-US"/>
        </w:rPr>
        <w:lastRenderedPageBreak/>
        <w:t>–</w:t>
      </w:r>
      <w:r w:rsidRPr="00787153">
        <w:rPr>
          <w:lang w:val="en-US"/>
        </w:rPr>
        <w:tab/>
        <w:t>back scatter from the Earth’s surface; (back scatter from the top of rain cells or from the melting layer is expected to be less important);</w:t>
      </w:r>
    </w:p>
    <w:p w:rsidR="00787153" w:rsidRPr="00787153" w:rsidRDefault="00787153" w:rsidP="00787153">
      <w:pPr>
        <w:pStyle w:val="enumlev1"/>
        <w:rPr>
          <w:lang w:val="en-US"/>
        </w:rPr>
      </w:pPr>
      <w:r w:rsidRPr="00787153">
        <w:rPr>
          <w:lang w:val="en-US"/>
        </w:rPr>
        <w:t>–</w:t>
      </w:r>
      <w:r w:rsidRPr="00787153">
        <w:rPr>
          <w:lang w:val="en-US"/>
        </w:rPr>
        <w:tab/>
        <w:t>rain scatter;</w:t>
      </w:r>
    </w:p>
    <w:p w:rsidR="00787153" w:rsidRPr="00787153" w:rsidRDefault="00787153" w:rsidP="00787153">
      <w:pPr>
        <w:pStyle w:val="enumlev1"/>
        <w:rPr>
          <w:lang w:val="en-US"/>
        </w:rPr>
      </w:pPr>
      <w:bookmarkStart w:id="4" w:name="dsgno"/>
      <w:bookmarkEnd w:id="4"/>
      <w:r w:rsidRPr="00787153">
        <w:rPr>
          <w:lang w:val="en-US"/>
        </w:rPr>
        <w:t>–</w:t>
      </w:r>
      <w:r w:rsidRPr="00787153">
        <w:rPr>
          <w:lang w:val="en-US"/>
        </w:rPr>
        <w:tab/>
        <w:t>tropospheric scintillation.</w:t>
      </w:r>
    </w:p>
    <w:p w:rsidR="00787153" w:rsidRPr="00787153" w:rsidRDefault="00787153" w:rsidP="00787153">
      <w:pPr>
        <w:rPr>
          <w:lang w:val="en-US"/>
        </w:rPr>
      </w:pPr>
      <w:r w:rsidRPr="00787153">
        <w:rPr>
          <w:lang w:val="en-US"/>
        </w:rPr>
        <w:t>The effects of ducting within the troposphere are not expected to be important as an interference mode for the slant paths (elevation angles well above 1°) to or from platform stations.</w:t>
      </w:r>
    </w:p>
    <w:p w:rsidR="00787153" w:rsidRPr="00787153" w:rsidRDefault="00787153" w:rsidP="00787153">
      <w:pPr>
        <w:pStyle w:val="Heading1"/>
        <w:rPr>
          <w:lang w:val="en-US"/>
        </w:rPr>
      </w:pPr>
      <w:r w:rsidRPr="00787153">
        <w:rPr>
          <w:lang w:val="en-US"/>
        </w:rPr>
        <w:t>2</w:t>
      </w:r>
      <w:r w:rsidRPr="00787153">
        <w:rPr>
          <w:lang w:val="en-US"/>
        </w:rPr>
        <w:tab/>
        <w:t>Prediction methods</w:t>
      </w:r>
    </w:p>
    <w:p w:rsidR="00787153" w:rsidRPr="00787153" w:rsidRDefault="00787153" w:rsidP="00787153">
      <w:pPr>
        <w:rPr>
          <w:lang w:val="en-US"/>
        </w:rPr>
      </w:pPr>
      <w:r w:rsidRPr="00787153">
        <w:rPr>
          <w:lang w:val="en-US"/>
        </w:rPr>
        <w:t>For most cases other information contained in ITU-R Recommendations should be used as follows:</w:t>
      </w:r>
    </w:p>
    <w:p w:rsidR="00787153" w:rsidRPr="00787153" w:rsidRDefault="00787153" w:rsidP="00787153">
      <w:pPr>
        <w:pStyle w:val="Heading2"/>
        <w:rPr>
          <w:lang w:val="en-US"/>
        </w:rPr>
      </w:pPr>
      <w:r w:rsidRPr="00787153">
        <w:rPr>
          <w:lang w:val="en-US"/>
        </w:rPr>
        <w:t>2.1</w:t>
      </w:r>
      <w:r w:rsidRPr="00787153">
        <w:rPr>
          <w:lang w:val="en-US"/>
        </w:rPr>
        <w:tab/>
        <w:t>Frequency sharing between ground-based stations of high altitude platform networks and other elevated platform networks, and other terrestrial stations</w:t>
      </w:r>
    </w:p>
    <w:p w:rsidR="00787153" w:rsidRPr="00787153" w:rsidRDefault="00787153" w:rsidP="00787153">
      <w:pPr>
        <w:rPr>
          <w:lang w:val="en-US"/>
        </w:rPr>
      </w:pPr>
      <w:r w:rsidRPr="00787153">
        <w:rPr>
          <w:lang w:val="en-US"/>
        </w:rPr>
        <w:t>The method of Recommendation ITU-R P.620 should be used for the evaluation of coordination distance, and Recommendation ITU-R P.452 should be used for detailed evaluation.</w:t>
      </w:r>
    </w:p>
    <w:p w:rsidR="00787153" w:rsidRPr="00787153" w:rsidRDefault="00787153" w:rsidP="00787153">
      <w:pPr>
        <w:pStyle w:val="Heading2"/>
        <w:rPr>
          <w:lang w:val="en-US"/>
        </w:rPr>
      </w:pPr>
      <w:r w:rsidRPr="00787153">
        <w:rPr>
          <w:lang w:val="en-US"/>
        </w:rPr>
        <w:t>2.2</w:t>
      </w:r>
      <w:r w:rsidRPr="00787153">
        <w:rPr>
          <w:lang w:val="en-US"/>
        </w:rPr>
        <w:tab/>
        <w:t>Frequency sharing between space stations and ground-based stations of high altitude platform networks and other elevated platform networks</w:t>
      </w:r>
    </w:p>
    <w:p w:rsidR="00787153" w:rsidRPr="00787153" w:rsidRDefault="00787153" w:rsidP="00787153">
      <w:pPr>
        <w:rPr>
          <w:lang w:val="en-US"/>
        </w:rPr>
      </w:pPr>
      <w:r w:rsidRPr="00787153">
        <w:rPr>
          <w:lang w:val="en-US"/>
        </w:rPr>
        <w:t>The method described in Recommendation ITU-R P.619 provides relevant information.</w:t>
      </w:r>
    </w:p>
    <w:p w:rsidR="00787153" w:rsidRPr="00787153" w:rsidRDefault="00787153" w:rsidP="00787153">
      <w:pPr>
        <w:pStyle w:val="Heading2"/>
        <w:rPr>
          <w:lang w:val="en-US"/>
        </w:rPr>
      </w:pPr>
      <w:r w:rsidRPr="00787153">
        <w:rPr>
          <w:lang w:val="en-US"/>
        </w:rPr>
        <w:t>2.3</w:t>
      </w:r>
      <w:r w:rsidRPr="00787153">
        <w:rPr>
          <w:lang w:val="en-US"/>
        </w:rPr>
        <w:tab/>
        <w:t>Frequency sharing between high altitude platform networks and other elevated platform networks, and other terrestrial stations</w:t>
      </w:r>
    </w:p>
    <w:p w:rsidR="00787153" w:rsidRPr="00787153" w:rsidRDefault="00787153" w:rsidP="00787153">
      <w:pPr>
        <w:rPr>
          <w:lang w:val="en-US"/>
        </w:rPr>
      </w:pPr>
      <w:r w:rsidRPr="00787153">
        <w:rPr>
          <w:lang w:val="en-US"/>
        </w:rPr>
        <w:t>The method described in Recommendation ITU-R P.619 provides relevant information for this case also, since all losses except those due to free-space spreading occur below the height of the platform.</w:t>
      </w:r>
    </w:p>
    <w:p w:rsidR="00787153" w:rsidRPr="00787153" w:rsidRDefault="00787153" w:rsidP="00787153">
      <w:pPr>
        <w:pStyle w:val="Heading2"/>
        <w:rPr>
          <w:lang w:val="en-US"/>
        </w:rPr>
      </w:pPr>
      <w:r w:rsidRPr="00787153">
        <w:rPr>
          <w:lang w:val="en-US"/>
        </w:rPr>
        <w:t>2.4</w:t>
      </w:r>
      <w:r w:rsidRPr="00787153">
        <w:rPr>
          <w:lang w:val="en-US"/>
        </w:rPr>
        <w:tab/>
        <w:t>Frequency sharing between platform stations and space stations</w:t>
      </w:r>
    </w:p>
    <w:p w:rsidR="00787153" w:rsidRPr="00787153" w:rsidRDefault="00787153" w:rsidP="00C129A7">
      <w:pPr>
        <w:rPr>
          <w:lang w:val="en-US"/>
        </w:rPr>
      </w:pPr>
      <w:r w:rsidRPr="00787153">
        <w:rPr>
          <w:lang w:val="en-US"/>
        </w:rPr>
        <w:t>For the direct path between a platform station and a space station</w:t>
      </w:r>
      <w:r w:rsidR="00140B73">
        <w:rPr>
          <w:lang w:val="en-US"/>
        </w:rPr>
        <w:t>,</w:t>
      </w:r>
      <w:r w:rsidRPr="00787153">
        <w:rPr>
          <w:lang w:val="en-US"/>
        </w:rPr>
        <w:t xml:space="preserve"> it is necessary to consider free-space </w:t>
      </w:r>
      <w:r w:rsidR="00C129A7">
        <w:rPr>
          <w:lang w:val="en-US"/>
        </w:rPr>
        <w:t>basic transmission</w:t>
      </w:r>
      <w:r w:rsidRPr="00787153">
        <w:rPr>
          <w:lang w:val="en-US"/>
        </w:rPr>
        <w:t xml:space="preserve"> loss and also the effects on the path through the ionosphere as described in Recommendation ITU-R P.531.</w:t>
      </w:r>
    </w:p>
    <w:p w:rsidR="00787153" w:rsidRPr="00787153" w:rsidRDefault="00787153" w:rsidP="00787153">
      <w:pPr>
        <w:rPr>
          <w:lang w:val="en-US"/>
        </w:rPr>
      </w:pPr>
      <w:r w:rsidRPr="00787153">
        <w:rPr>
          <w:lang w:val="en-US"/>
        </w:rPr>
        <w:t>In addition, propagation paths should be considered which involve ground scatter or ground reflection. Until further information becomes available the following guidance can be given.</w:t>
      </w:r>
    </w:p>
    <w:p w:rsidR="00787153" w:rsidRPr="00787153" w:rsidRDefault="00787153" w:rsidP="00787153">
      <w:pPr>
        <w:rPr>
          <w:lang w:val="en-US"/>
        </w:rPr>
      </w:pPr>
      <w:r w:rsidRPr="00787153">
        <w:rPr>
          <w:lang w:val="en-US"/>
        </w:rPr>
        <w:t xml:space="preserve">In some cases, smooth surfaces with areas greater than 0.6 of the first Fresnel reflection zone may cause glints of good reflection with specular geometry. The signal in such cases may be determined from the e.i.r.p. in the appropriate direction, including the atmospheric attenuation loss due to two traverses of the troposphere for the slant angle involved, and assuming a reflection coefficient of </w:t>
      </w:r>
      <w:r w:rsidR="00140B73">
        <w:rPr>
          <w:lang w:val="en-US"/>
        </w:rPr>
        <w:br/>
      </w:r>
      <w:r w:rsidRPr="00787153">
        <w:rPr>
          <w:lang w:val="en-US"/>
        </w:rPr>
        <w:t>–10 dB (some particular cases may have higher reflection coefficients).</w:t>
      </w:r>
    </w:p>
    <w:p w:rsidR="00787153" w:rsidRPr="00787153" w:rsidRDefault="00787153" w:rsidP="00787153">
      <w:pPr>
        <w:rPr>
          <w:lang w:val="en-US"/>
        </w:rPr>
      </w:pPr>
      <w:r w:rsidRPr="00787153">
        <w:rPr>
          <w:lang w:val="en-US"/>
        </w:rPr>
        <w:t>More generally the Earth’s surface may be considered as rough. In this case</w:t>
      </w:r>
      <w:r w:rsidR="00140B73">
        <w:rPr>
          <w:lang w:val="en-US"/>
        </w:rPr>
        <w:t>,</w:t>
      </w:r>
      <w:r w:rsidRPr="00787153">
        <w:rPr>
          <w:lang w:val="en-US"/>
        </w:rPr>
        <w:t xml:space="preserve"> it may be appropriate to assume radiation from the area wholly illuminated by the beam from the platform station into the half-space above the Earth’s surface, again with a typical scatter coefficient of –10 dB, i.e. assume a source on the Earth’s surface radiating isotropically with a power given by: the actual transmitter power, reduced by the atmospheric attenuation loss due to the two traverses of the troposphere for the slant angles involved, further reduced by 10 dB for the reflection coefficient, and then increased by 3 dB since the radiation is only into a half space. (See Recommendation ITU-R P.680-3 for further information on sea reflection.)</w:t>
      </w:r>
    </w:p>
    <w:p w:rsidR="00787153" w:rsidRPr="00787153" w:rsidRDefault="00787153" w:rsidP="00787153">
      <w:pPr>
        <w:pStyle w:val="Heading1"/>
        <w:rPr>
          <w:lang w:val="en-US"/>
        </w:rPr>
      </w:pPr>
      <w:r w:rsidRPr="00787153">
        <w:rPr>
          <w:lang w:val="en-US"/>
        </w:rPr>
        <w:lastRenderedPageBreak/>
        <w:t>3</w:t>
      </w:r>
      <w:r w:rsidRPr="00787153">
        <w:rPr>
          <w:lang w:val="en-US"/>
        </w:rPr>
        <w:tab/>
        <w:t>The prediction of system performance for systems using high altitude and other elevated platform stations</w:t>
      </w:r>
    </w:p>
    <w:p w:rsidR="00787153" w:rsidRPr="00787153" w:rsidRDefault="00787153" w:rsidP="00787153">
      <w:pPr>
        <w:rPr>
          <w:lang w:val="en-US"/>
        </w:rPr>
      </w:pPr>
      <w:r w:rsidRPr="00787153">
        <w:rPr>
          <w:lang w:val="en-US"/>
        </w:rPr>
        <w:t>The method of Recommendation ITU-R P.618 should be used, noting that effects due to the ionosphere will not apply.</w:t>
      </w:r>
    </w:p>
    <w:p w:rsidR="00787153" w:rsidRPr="00787153" w:rsidRDefault="00787153" w:rsidP="00787153">
      <w:pPr>
        <w:rPr>
          <w:lang w:val="en-US"/>
        </w:rPr>
      </w:pPr>
    </w:p>
    <w:p w:rsidR="00787153" w:rsidRPr="00787153" w:rsidRDefault="00787153" w:rsidP="007E5CD0">
      <w:pPr>
        <w:pStyle w:val="Line"/>
      </w:pPr>
    </w:p>
    <w:sectPr w:rsidR="00787153" w:rsidRPr="00787153" w:rsidSect="00E91C60">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7CF" w:rsidRDefault="006C77CF">
      <w:r>
        <w:separator/>
      </w:r>
    </w:p>
  </w:endnote>
  <w:endnote w:type="continuationSeparator" w:id="0">
    <w:p w:rsidR="006C77CF" w:rsidRDefault="006C7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7CF" w:rsidRDefault="006C77CF">
      <w:r>
        <w:separator/>
      </w:r>
    </w:p>
  </w:footnote>
  <w:footnote w:type="continuationSeparator" w:id="0">
    <w:p w:rsidR="006C77CF" w:rsidRDefault="006C77CF">
      <w:r>
        <w:continuationSeparator/>
      </w:r>
    </w:p>
  </w:footnote>
  <w:footnote w:id="1">
    <w:p w:rsidR="006B7B69" w:rsidRPr="006B7B69" w:rsidRDefault="006B7B69">
      <w:pPr>
        <w:pStyle w:val="FootnoteText"/>
        <w:rPr>
          <w:lang w:val="en-GB"/>
        </w:rPr>
      </w:pPr>
      <w:r w:rsidRPr="006B7B69">
        <w:rPr>
          <w:rStyle w:val="FootnoteReference"/>
        </w:rPr>
        <w:sym w:font="Symbol" w:char="F02A"/>
      </w:r>
      <w:r w:rsidRPr="006B7B69">
        <w:rPr>
          <w:lang w:val="en-GB"/>
        </w:rPr>
        <w:t xml:space="preserve"> </w:t>
      </w:r>
      <w:r w:rsidRPr="006B7B69">
        <w:rPr>
          <w:lang w:val="en-US"/>
        </w:rPr>
        <w:tab/>
      </w:r>
      <w:r w:rsidRPr="006B7B69">
        <w:rPr>
          <w:sz w:val="24"/>
          <w:szCs w:val="24"/>
          <w:lang w:val="en-GB"/>
        </w:rPr>
        <w:t>Radiocommunication Study Group 3 made editorial amendments to this Recommendation in the year 2019 in accordance with Resolution ITU-R 1</w:t>
      </w:r>
      <w:r>
        <w:rPr>
          <w:sz w:val="24"/>
          <w:szCs w:val="24"/>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153" w:rsidRDefault="0078715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153" w:rsidRDefault="00787153" w:rsidP="00B033C8">
    <w:pPr>
      <w:pStyle w:val="Header"/>
      <w:ind w:right="360" w:firstLine="360"/>
    </w:pPr>
    <w:r>
      <w:rPr>
        <w:noProof/>
        <w:lang w:val="en-GB" w:eastAsia="en-GB"/>
      </w:rPr>
      <w:drawing>
        <wp:anchor distT="0" distB="0" distL="114300" distR="114300" simplePos="0" relativeHeight="251659264" behindDoc="1" locked="0" layoutInCell="1" allowOverlap="1" wp14:anchorId="43353BB2" wp14:editId="6C4001C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153" w:rsidRPr="00FC42AF" w:rsidRDefault="0078715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A3715">
      <w:rPr>
        <w:rStyle w:val="PageNumber"/>
        <w:b/>
        <w:bCs/>
        <w:noProof/>
      </w:rPr>
      <w:t>ii</w:t>
    </w:r>
    <w:r>
      <w:rPr>
        <w:rStyle w:val="PageNumber"/>
        <w:b/>
        <w:bCs/>
      </w:rPr>
      <w:fldChar w:fldCharType="end"/>
    </w:r>
    <w:r w:rsidRPr="00FC42AF">
      <w:tab/>
    </w:r>
    <w:r w:rsidR="006C77CF">
      <w:rPr>
        <w:b/>
        <w:bCs/>
      </w:rPr>
      <w:fldChar w:fldCharType="begin"/>
    </w:r>
    <w:r w:rsidR="006C77CF">
      <w:rPr>
        <w:b/>
        <w:bCs/>
      </w:rPr>
      <w:instrText xml:space="preserve"> DOCPROPERTY "Header" \* MERGEFORMAT </w:instrText>
    </w:r>
    <w:r w:rsidR="006C77CF">
      <w:rPr>
        <w:b/>
        <w:bCs/>
      </w:rPr>
      <w:fldChar w:fldCharType="separate"/>
    </w:r>
    <w:r w:rsidR="00BA3715">
      <w:rPr>
        <w:b/>
        <w:bCs/>
      </w:rPr>
      <w:t xml:space="preserve">Rec. </w:t>
    </w:r>
    <w:r w:rsidR="006C77C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A3715">
      <w:rPr>
        <w:b/>
        <w:bCs/>
        <w:noProof/>
      </w:rPr>
      <w:t>ITU-R  P.1409-1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153" w:rsidRDefault="00787153">
    <w:pPr>
      <w:pStyle w:val="Header"/>
    </w:pPr>
    <w:r>
      <w:tab/>
    </w:r>
    <w:r w:rsidR="006C77CF">
      <w:rPr>
        <w:b/>
        <w:bCs/>
      </w:rPr>
      <w:fldChar w:fldCharType="begin"/>
    </w:r>
    <w:r w:rsidR="006C77CF">
      <w:rPr>
        <w:b/>
        <w:bCs/>
      </w:rPr>
      <w:instrText xml:space="preserve"> DOCPROPERTY "Header" \* MERGEFORMAT </w:instrText>
    </w:r>
    <w:r w:rsidR="006C77CF">
      <w:rPr>
        <w:b/>
        <w:bCs/>
      </w:rPr>
      <w:fldChar w:fldCharType="separate"/>
    </w:r>
    <w:r w:rsidR="00BA3715">
      <w:rPr>
        <w:b/>
        <w:bCs/>
      </w:rPr>
      <w:t xml:space="preserve">Rec. </w:t>
    </w:r>
    <w:r w:rsidR="006C77CF">
      <w:rPr>
        <w:b/>
        <w:bCs/>
      </w:rPr>
      <w:fldChar w:fldCharType="end"/>
    </w:r>
    <w:r>
      <w:rPr>
        <w:b/>
        <w:bCs/>
      </w:rPr>
      <w:t xml:space="preserve"> </w:t>
    </w:r>
    <w:r>
      <w:rPr>
        <w:b/>
        <w:bCs/>
      </w:rPr>
      <w:fldChar w:fldCharType="begin"/>
    </w:r>
    <w:r>
      <w:rPr>
        <w:b/>
        <w:bCs/>
      </w:rPr>
      <w:instrText>styleref href</w:instrText>
    </w:r>
    <w:r>
      <w:rPr>
        <w:b/>
        <w:bCs/>
      </w:rPr>
      <w:fldChar w:fldCharType="separate"/>
    </w:r>
    <w:r w:rsidR="00BA3715">
      <w:rPr>
        <w:b/>
        <w:bCs/>
        <w:noProof/>
      </w:rPr>
      <w:t>ITU-R  P.1409-1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3715">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A3715" w:rsidRPr="00BA371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A3715">
      <w:rPr>
        <w:b/>
        <w:bCs/>
        <w:noProof/>
        <w:lang w:val="en-US"/>
      </w:rPr>
      <w:t>ITU-R  P.1409-1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6C77CF">
      <w:rPr>
        <w:b/>
        <w:bCs/>
      </w:rPr>
      <w:fldChar w:fldCharType="begin"/>
    </w:r>
    <w:r w:rsidR="006C77CF">
      <w:rPr>
        <w:b/>
        <w:bCs/>
      </w:rPr>
      <w:instrText xml:space="preserve"> DOCPROPERTY "Header" \* MERGEFORMAT </w:instrText>
    </w:r>
    <w:r w:rsidR="006C77CF">
      <w:rPr>
        <w:b/>
        <w:bCs/>
      </w:rPr>
      <w:fldChar w:fldCharType="separate"/>
    </w:r>
    <w:r w:rsidR="00BA3715">
      <w:rPr>
        <w:b/>
        <w:bCs/>
      </w:rPr>
      <w:t xml:space="preserve">Rec. </w:t>
    </w:r>
    <w:r w:rsidR="006C77CF">
      <w:rPr>
        <w:b/>
        <w:bCs/>
      </w:rPr>
      <w:fldChar w:fldCharType="end"/>
    </w:r>
    <w:r>
      <w:rPr>
        <w:b/>
        <w:bCs/>
      </w:rPr>
      <w:t xml:space="preserve"> </w:t>
    </w:r>
    <w:r>
      <w:rPr>
        <w:b/>
        <w:bCs/>
      </w:rPr>
      <w:fldChar w:fldCharType="begin"/>
    </w:r>
    <w:r>
      <w:rPr>
        <w:b/>
        <w:bCs/>
      </w:rPr>
      <w:instrText>styleref href</w:instrText>
    </w:r>
    <w:r>
      <w:rPr>
        <w:b/>
        <w:bCs/>
      </w:rPr>
      <w:fldChar w:fldCharType="separate"/>
    </w:r>
    <w:r w:rsidR="00BA3715">
      <w:rPr>
        <w:b/>
        <w:bCs/>
        <w:noProof/>
      </w:rPr>
      <w:t>ITU-R  P.1409-1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A3715">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153"/>
    <w:rsid w:val="00140B73"/>
    <w:rsid w:val="00217EBF"/>
    <w:rsid w:val="00242AEE"/>
    <w:rsid w:val="002D76C4"/>
    <w:rsid w:val="0052529D"/>
    <w:rsid w:val="00607D68"/>
    <w:rsid w:val="006B7B69"/>
    <w:rsid w:val="006C77CF"/>
    <w:rsid w:val="006D4609"/>
    <w:rsid w:val="007468DA"/>
    <w:rsid w:val="007602AC"/>
    <w:rsid w:val="00787153"/>
    <w:rsid w:val="007E5CD0"/>
    <w:rsid w:val="009E00A8"/>
    <w:rsid w:val="00A6617B"/>
    <w:rsid w:val="00AB0DC8"/>
    <w:rsid w:val="00B44E24"/>
    <w:rsid w:val="00BA3715"/>
    <w:rsid w:val="00C129A7"/>
    <w:rsid w:val="00DF4176"/>
    <w:rsid w:val="00E91C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5:docId w15:val="{4BBA94A1-A337-4718-88B8-342BF02C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CD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E5CD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87153"/>
    <w:rPr>
      <w:color w:val="0000FF"/>
      <w:u w:val="single"/>
    </w:rPr>
  </w:style>
  <w:style w:type="paragraph" w:customStyle="1" w:styleId="AnnexNo">
    <w:name w:val="Annex_No"/>
    <w:basedOn w:val="Normal"/>
    <w:next w:val="Normal"/>
    <w:link w:val="AnnexNoChar"/>
    <w:rsid w:val="0078715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Normalaftertitle0">
    <w:name w:val="Normal after title"/>
    <w:basedOn w:val="Normal"/>
    <w:next w:val="Normal"/>
    <w:rsid w:val="0078715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locked/>
    <w:rsid w:val="00787153"/>
    <w:rPr>
      <w:sz w:val="24"/>
      <w:lang w:val="fr-FR" w:eastAsia="en-US"/>
    </w:rPr>
  </w:style>
  <w:style w:type="character" w:customStyle="1" w:styleId="AnnexNoChar">
    <w:name w:val="Annex_No Char"/>
    <w:link w:val="AnnexNo"/>
    <w:locked/>
    <w:rsid w:val="00787153"/>
    <w:rPr>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00DB0-8805-4F8C-902A-B11365F4F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1</Pages>
  <Words>1022</Words>
  <Characters>6524</Characters>
  <Application>Microsoft Office Word</Application>
  <DocSecurity>0</DocSecurity>
  <Lines>186</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9</cp:revision>
  <cp:lastPrinted>2019-05-31T08:16:00Z</cp:lastPrinted>
  <dcterms:created xsi:type="dcterms:W3CDTF">2012-02-08T07:12:00Z</dcterms:created>
  <dcterms:modified xsi:type="dcterms:W3CDTF">2019-05-31T08:17:00Z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