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5037F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5037FE">
              <w:rPr>
                <w:rFonts w:ascii="Tahoma" w:hAnsi="Tahoma" w:cs="Tahoma" w:hint="eastAsia"/>
                <w:b/>
                <w:bCs/>
                <w:iCs/>
                <w:color w:val="243285"/>
                <w:sz w:val="36"/>
                <w:szCs w:val="36"/>
                <w:lang w:eastAsia="zh-CN"/>
              </w:rPr>
              <w:t>409-1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5037F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5037FE">
              <w:rPr>
                <w:rFonts w:ascii="Tahoma" w:hAnsi="Tahoma" w:cs="Tahoma" w:hint="eastAsia"/>
                <w:b/>
                <w:bCs/>
                <w:iCs/>
                <w:color w:val="243285"/>
                <w:szCs w:val="24"/>
                <w:lang w:eastAsia="zh-CN"/>
              </w:rPr>
              <w:t>02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037FE">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9A3F79" w:rsidRPr="007B31CB" w:rsidTr="009A3F79">
        <w:tc>
          <w:tcPr>
            <w:tcW w:w="10089" w:type="dxa"/>
          </w:tcPr>
          <w:p w:rsidR="009A3F79" w:rsidRPr="005037FE" w:rsidRDefault="009A3F79" w:rsidP="009A3F79">
            <w:pPr>
              <w:spacing w:before="80" w:line="500" w:lineRule="exact"/>
              <w:jc w:val="right"/>
              <w:rPr>
                <w:rFonts w:ascii="Trebuchet MS" w:eastAsia="SimHei" w:hAnsi="Trebuchet MS" w:cs="Tahoma"/>
                <w:b/>
                <w:bCs/>
                <w:color w:val="243285"/>
                <w:sz w:val="44"/>
                <w:szCs w:val="44"/>
                <w:lang w:val="en-US" w:eastAsia="zh-CN"/>
              </w:rPr>
            </w:pPr>
          </w:p>
          <w:p w:rsidR="009A3F79" w:rsidRPr="005037FE" w:rsidRDefault="005037FE" w:rsidP="005037FE">
            <w:pPr>
              <w:spacing w:before="80" w:line="500" w:lineRule="exact"/>
              <w:jc w:val="right"/>
              <w:rPr>
                <w:rFonts w:ascii="Trebuchet MS" w:eastAsia="SimHei" w:hAnsi="Trebuchet MS" w:cs="Tahoma"/>
                <w:b/>
                <w:bCs/>
                <w:color w:val="243285"/>
                <w:sz w:val="44"/>
                <w:szCs w:val="44"/>
                <w:lang w:val="en-US" w:eastAsia="zh-CN"/>
              </w:rPr>
            </w:pPr>
            <w:r w:rsidRPr="005037FE">
              <w:rPr>
                <w:rFonts w:ascii="Trebuchet MS" w:eastAsia="SimHei" w:hAnsi="Trebuchet MS" w:cs="Tahoma"/>
                <w:b/>
                <w:bCs/>
                <w:color w:val="243285"/>
                <w:sz w:val="44"/>
                <w:szCs w:val="44"/>
                <w:lang w:val="en-US" w:eastAsia="zh-CN"/>
              </w:rPr>
              <w:t>在约</w:t>
            </w:r>
            <w:r w:rsidRPr="005037FE">
              <w:rPr>
                <w:rFonts w:ascii="Tahoma" w:hAnsi="Tahoma" w:cs="Tahoma"/>
                <w:b/>
                <w:bCs/>
                <w:iCs/>
                <w:color w:val="243285"/>
                <w:sz w:val="44"/>
                <w:szCs w:val="44"/>
                <w:lang w:eastAsia="zh-CN"/>
              </w:rPr>
              <w:t>1 GHz</w:t>
            </w:r>
            <w:r w:rsidRPr="005037FE">
              <w:rPr>
                <w:rFonts w:ascii="Trebuchet MS" w:eastAsia="SimHei" w:hAnsi="Trebuchet MS" w:cs="Tahoma"/>
                <w:b/>
                <w:bCs/>
                <w:color w:val="243285"/>
                <w:sz w:val="44"/>
                <w:szCs w:val="44"/>
                <w:lang w:val="en-US" w:eastAsia="zh-CN"/>
              </w:rPr>
              <w:t>以上频率使用高空平台台站</w:t>
            </w:r>
            <w:r>
              <w:rPr>
                <w:rFonts w:ascii="Trebuchet MS" w:eastAsia="SimHei" w:hAnsi="Trebuchet MS" w:cs="Tahoma" w:hint="eastAsia"/>
                <w:b/>
                <w:bCs/>
                <w:color w:val="243285"/>
                <w:sz w:val="44"/>
                <w:szCs w:val="44"/>
                <w:lang w:val="en-US" w:eastAsia="zh-CN"/>
              </w:rPr>
              <w:br/>
            </w:r>
            <w:r w:rsidRPr="005037FE">
              <w:rPr>
                <w:rFonts w:ascii="Trebuchet MS" w:eastAsia="SimHei" w:hAnsi="Trebuchet MS" w:cs="Tahoma"/>
                <w:b/>
                <w:bCs/>
                <w:color w:val="243285"/>
                <w:sz w:val="44"/>
                <w:szCs w:val="44"/>
                <w:lang w:val="en-US" w:eastAsia="zh-CN"/>
              </w:rPr>
              <w:t>和平流层其它高空台站的系统</w:t>
            </w:r>
            <w:r>
              <w:rPr>
                <w:rFonts w:ascii="Trebuchet MS" w:eastAsia="SimHei" w:hAnsi="Trebuchet MS" w:cs="Tahoma" w:hint="eastAsia"/>
                <w:b/>
                <w:bCs/>
                <w:color w:val="243285"/>
                <w:sz w:val="44"/>
                <w:szCs w:val="44"/>
                <w:lang w:val="en-US" w:eastAsia="zh-CN"/>
              </w:rPr>
              <w:br/>
            </w:r>
            <w:r w:rsidRPr="005037FE">
              <w:rPr>
                <w:rFonts w:ascii="Trebuchet MS" w:eastAsia="SimHei" w:hAnsi="Trebuchet MS" w:cs="Tahoma"/>
                <w:b/>
                <w:bCs/>
                <w:color w:val="243285"/>
                <w:sz w:val="44"/>
                <w:szCs w:val="44"/>
                <w:lang w:val="en-US" w:eastAsia="zh-CN"/>
              </w:rPr>
              <w:t>的传播数据和预测方法</w:t>
            </w:r>
            <w:r w:rsidR="009A3F79" w:rsidRPr="005037FE">
              <w:rPr>
                <w:rFonts w:ascii="Trebuchet MS" w:eastAsia="SimHei" w:hAnsi="Trebuchet MS" w:cs="Tahoma"/>
                <w:b/>
                <w:bCs/>
                <w:color w:val="243285"/>
                <w:sz w:val="44"/>
                <w:szCs w:val="44"/>
                <w:lang w:val="en-US" w:eastAsia="zh-CN"/>
              </w:rPr>
              <w:t>法</w:t>
            </w:r>
          </w:p>
          <w:p w:rsidR="009A3F79" w:rsidRPr="005037FE" w:rsidRDefault="009A3F79" w:rsidP="009A3F79">
            <w:pPr>
              <w:spacing w:before="80" w:line="500" w:lineRule="exact"/>
              <w:jc w:val="right"/>
              <w:rPr>
                <w:rFonts w:ascii="Trebuchet MS" w:eastAsia="SimHei" w:hAnsi="Trebuchet MS" w:cs="Tahoma"/>
                <w:b/>
                <w:bCs/>
                <w:color w:val="243285"/>
                <w:sz w:val="44"/>
                <w:szCs w:val="44"/>
                <w:lang w:val="en-US" w:eastAsia="zh-CN"/>
              </w:rPr>
            </w:pPr>
            <w:r w:rsidRPr="005037FE">
              <w:rPr>
                <w:rFonts w:ascii="Trebuchet MS" w:eastAsia="SimHei" w:hAnsi="Trebuchet MS" w:cs="Tahoma"/>
                <w:b/>
                <w:bCs/>
                <w:color w:val="243285"/>
                <w:sz w:val="44"/>
                <w:szCs w:val="44"/>
                <w:lang w:val="en-US" w:eastAsia="zh-CN"/>
              </w:rPr>
              <w:t xml:space="preserve"> </w:t>
            </w:r>
          </w:p>
        </w:tc>
      </w:tr>
      <w:tr w:rsidR="009A3F79" w:rsidTr="009A3F79">
        <w:tc>
          <w:tcPr>
            <w:tcW w:w="10089" w:type="dxa"/>
          </w:tcPr>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headerReference w:type="even" r:id="rId9"/>
          <w:headerReference w:type="default" r:id="rId10"/>
          <w:pgSz w:w="11907" w:h="16834" w:code="9"/>
          <w:pgMar w:top="1418" w:right="1134" w:bottom="1134" w:left="1134" w:header="720" w:footer="482"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5037F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037FE">
        <w:rPr>
          <w:rFonts w:hint="eastAsia"/>
          <w:sz w:val="20"/>
          <w:lang w:eastAsia="zh-CN"/>
        </w:rPr>
        <w:t>2</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5037F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w:t>
      </w:r>
      <w:r w:rsidR="005037FE">
        <w:rPr>
          <w:rFonts w:hint="eastAsia"/>
          <w:sz w:val="20"/>
          <w:lang w:val="en-US" w:eastAsia="zh-CN"/>
        </w:rPr>
        <w:t>2</w:t>
      </w:r>
    </w:p>
    <w:p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03539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9A3F79" w:rsidRDefault="00934ED7" w:rsidP="00035398">
      <w:pPr>
        <w:pStyle w:val="RecNoBR"/>
        <w:spacing w:before="240"/>
        <w:rPr>
          <w:lang w:eastAsia="zh-CN"/>
        </w:rPr>
      </w:pPr>
      <w:bookmarkStart w:id="1" w:name="irecnoe"/>
      <w:bookmarkStart w:id="2" w:name="OLE_LINK3"/>
      <w:bookmarkStart w:id="3" w:name="OLE_LINK4"/>
      <w:bookmarkEnd w:id="1"/>
      <w:r w:rsidRPr="009A3F79">
        <w:rPr>
          <w:lang w:eastAsia="zh-CN"/>
        </w:rPr>
        <w:lastRenderedPageBreak/>
        <w:t xml:space="preserve">ITU-R  </w:t>
      </w:r>
      <w:r w:rsidR="00331D32" w:rsidRPr="009A3F79">
        <w:rPr>
          <w:lang w:eastAsia="zh-CN"/>
        </w:rPr>
        <w:t>P</w:t>
      </w:r>
      <w:r w:rsidRPr="009A3F79">
        <w:rPr>
          <w:lang w:eastAsia="zh-CN"/>
        </w:rPr>
        <w:t>.</w:t>
      </w:r>
      <w:r w:rsidR="009B1FA0" w:rsidRPr="009A3F79">
        <w:rPr>
          <w:lang w:eastAsia="zh-CN"/>
        </w:rPr>
        <w:t>1</w:t>
      </w:r>
      <w:r w:rsidR="005037FE">
        <w:rPr>
          <w:rFonts w:hint="eastAsia"/>
          <w:lang w:eastAsia="zh-CN"/>
        </w:rPr>
        <w:t>409-1</w:t>
      </w:r>
      <w:r w:rsidR="0046785B" w:rsidRPr="009A3F79">
        <w:rPr>
          <w:rFonts w:hint="eastAsia"/>
          <w:lang w:eastAsia="zh-CN"/>
        </w:rPr>
        <w:t>建议书</w:t>
      </w:r>
      <w:bookmarkEnd w:id="2"/>
      <w:bookmarkEnd w:id="3"/>
    </w:p>
    <w:p w:rsidR="009B1FA0" w:rsidRDefault="005037FE" w:rsidP="00035398">
      <w:pPr>
        <w:pStyle w:val="RectitleBR"/>
        <w:rPr>
          <w:lang w:val="en-US" w:eastAsia="zh-CN"/>
        </w:rPr>
      </w:pPr>
      <w:r>
        <w:rPr>
          <w:rFonts w:hint="eastAsia"/>
          <w:lang w:eastAsia="zh-CN"/>
        </w:rPr>
        <w:t>在约</w:t>
      </w:r>
      <w:r>
        <w:rPr>
          <w:lang w:eastAsia="zh-CN"/>
        </w:rPr>
        <w:t>1 GHz</w:t>
      </w:r>
      <w:r>
        <w:rPr>
          <w:rFonts w:hint="eastAsia"/>
          <w:lang w:eastAsia="zh-CN"/>
        </w:rPr>
        <w:t>以上频率使用高空平台台站和平流层</w:t>
      </w:r>
      <w:r w:rsidR="00304D08">
        <w:rPr>
          <w:lang w:eastAsia="zh-CN"/>
        </w:rPr>
        <w:br/>
      </w:r>
      <w:r>
        <w:rPr>
          <w:rFonts w:hint="eastAsia"/>
          <w:lang w:eastAsia="zh-CN"/>
        </w:rPr>
        <w:t>其它高空台站的系统的传播数据和预测方法</w:t>
      </w:r>
    </w:p>
    <w:p w:rsidR="009B1FA0" w:rsidRPr="009B1FA0" w:rsidRDefault="00EE75E4" w:rsidP="00035398">
      <w:pPr>
        <w:pStyle w:val="Recdate"/>
        <w:rPr>
          <w:lang w:val="en-US" w:eastAsia="zh-CN"/>
        </w:rPr>
      </w:pPr>
      <w:bookmarkStart w:id="4" w:name="dbreak"/>
      <w:bookmarkEnd w:id="4"/>
      <w:r>
        <w:rPr>
          <w:rFonts w:hint="eastAsia"/>
          <w:lang w:val="en-US" w:eastAsia="zh-CN"/>
        </w:rPr>
        <w:t>（</w:t>
      </w:r>
      <w:r w:rsidR="005037FE">
        <w:rPr>
          <w:rFonts w:hint="eastAsia"/>
          <w:lang w:val="en-US" w:eastAsia="zh-CN"/>
        </w:rPr>
        <w:t>1999-</w:t>
      </w:r>
      <w:r w:rsidR="009B1FA0" w:rsidRPr="009B1FA0">
        <w:rPr>
          <w:lang w:val="en-US" w:eastAsia="zh-CN"/>
        </w:rPr>
        <w:t>20</w:t>
      </w:r>
      <w:r w:rsidR="005037FE">
        <w:rPr>
          <w:rFonts w:hint="eastAsia"/>
          <w:lang w:val="en-US" w:eastAsia="zh-CN"/>
        </w:rPr>
        <w:t>12</w:t>
      </w:r>
      <w:r>
        <w:rPr>
          <w:rFonts w:hint="eastAsia"/>
          <w:lang w:val="en-US" w:eastAsia="zh-CN"/>
        </w:rPr>
        <w:t>年）</w:t>
      </w:r>
    </w:p>
    <w:p w:rsidR="009B1FA0" w:rsidRPr="00F15F4F" w:rsidRDefault="00372560" w:rsidP="00035398">
      <w:pPr>
        <w:pStyle w:val="Heading1"/>
        <w:rPr>
          <w:szCs w:val="24"/>
          <w:lang w:val="en-US" w:eastAsia="zh-CN"/>
        </w:rPr>
      </w:pPr>
      <w:r w:rsidRPr="00F15F4F">
        <w:rPr>
          <w:rFonts w:hint="eastAsia"/>
          <w:szCs w:val="24"/>
          <w:lang w:val="en-US" w:eastAsia="zh-CN"/>
        </w:rPr>
        <w:t>范围</w:t>
      </w:r>
    </w:p>
    <w:p w:rsidR="005037FE" w:rsidRPr="00035398" w:rsidRDefault="00715EEC" w:rsidP="00035398">
      <w:pPr>
        <w:ind w:firstLineChars="200" w:firstLine="480"/>
        <w:rPr>
          <w:lang w:eastAsia="zh-CN"/>
        </w:rPr>
      </w:pPr>
      <w:r w:rsidRPr="00035398">
        <w:rPr>
          <w:rFonts w:hint="eastAsia"/>
          <w:lang w:eastAsia="zh-CN"/>
        </w:rPr>
        <w:t>本建议书介绍</w:t>
      </w:r>
      <w:r w:rsidR="00F15F4F" w:rsidRPr="00035398">
        <w:rPr>
          <w:rFonts w:hint="eastAsia"/>
          <w:lang w:eastAsia="zh-CN"/>
        </w:rPr>
        <w:t>了有关</w:t>
      </w:r>
      <w:r w:rsidRPr="00035398">
        <w:rPr>
          <w:rFonts w:hint="eastAsia"/>
          <w:lang w:eastAsia="zh-CN"/>
        </w:rPr>
        <w:t>适用于</w:t>
      </w:r>
      <w:r w:rsidR="00F15F4F" w:rsidRPr="00035398">
        <w:rPr>
          <w:rFonts w:hint="eastAsia"/>
          <w:lang w:eastAsia="zh-CN"/>
        </w:rPr>
        <w:t>采用</w:t>
      </w:r>
      <w:r w:rsidRPr="00035398">
        <w:rPr>
          <w:rFonts w:hint="eastAsia"/>
          <w:lang w:eastAsia="zh-CN"/>
        </w:rPr>
        <w:t>高空平台台站或平流层其</w:t>
      </w:r>
      <w:r w:rsidR="00F15F4F" w:rsidRPr="00035398">
        <w:rPr>
          <w:rFonts w:hint="eastAsia"/>
          <w:lang w:eastAsia="zh-CN"/>
        </w:rPr>
        <w:t>它</w:t>
      </w:r>
      <w:r w:rsidRPr="00035398">
        <w:rPr>
          <w:rFonts w:hint="eastAsia"/>
          <w:lang w:eastAsia="zh-CN"/>
        </w:rPr>
        <w:t>台站的无线电通信系统和网络</w:t>
      </w:r>
      <w:r w:rsidR="00F15F4F" w:rsidRPr="00035398">
        <w:rPr>
          <w:rFonts w:hint="eastAsia"/>
          <w:lang w:eastAsia="zh-CN"/>
        </w:rPr>
        <w:t>考虑的传播方法</w:t>
      </w:r>
      <w:r w:rsidRPr="00035398">
        <w:rPr>
          <w:rFonts w:hint="eastAsia"/>
          <w:lang w:eastAsia="zh-CN"/>
        </w:rPr>
        <w:t>。</w:t>
      </w:r>
    </w:p>
    <w:p w:rsidR="009B1FA0" w:rsidRPr="00F47916" w:rsidRDefault="00372560" w:rsidP="00035398">
      <w:pPr>
        <w:pStyle w:val="Normalaftertitle"/>
        <w:spacing w:before="720"/>
        <w:rPr>
          <w:lang w:val="en-US" w:eastAsia="zh-CN"/>
        </w:rPr>
      </w:pPr>
      <w:r>
        <w:rPr>
          <w:rFonts w:hint="eastAsia"/>
          <w:lang w:val="en-US" w:eastAsia="zh-CN"/>
        </w:rPr>
        <w:t>无线电通信全会，</w:t>
      </w:r>
    </w:p>
    <w:p w:rsidR="009B1FA0" w:rsidRPr="00EE75E4" w:rsidRDefault="00372560" w:rsidP="00035398">
      <w:pPr>
        <w:pStyle w:val="Call"/>
        <w:rPr>
          <w:rFonts w:ascii="STKaiti" w:eastAsia="STKaiti" w:hAnsi="STKaiti"/>
          <w:i w:val="0"/>
          <w:iCs/>
          <w:lang w:val="en-US" w:eastAsia="zh-CN"/>
        </w:rPr>
      </w:pPr>
      <w:r w:rsidRPr="00EE75E4">
        <w:rPr>
          <w:rFonts w:ascii="STKaiti" w:eastAsia="STKaiti" w:hAnsi="STKaiti" w:hint="eastAsia"/>
          <w:i w:val="0"/>
          <w:iCs/>
          <w:lang w:val="en-US" w:eastAsia="zh-CN"/>
        </w:rPr>
        <w:t>考虑到</w:t>
      </w:r>
    </w:p>
    <w:p w:rsidR="00531032" w:rsidRDefault="005037FE" w:rsidP="00DB09D5">
      <w:pPr>
        <w:rPr>
          <w:lang w:val="en-US" w:eastAsia="zh-CN"/>
        </w:rPr>
      </w:pPr>
      <w:r w:rsidRPr="00787153">
        <w:rPr>
          <w:lang w:val="en-US" w:eastAsia="zh-CN"/>
        </w:rPr>
        <w:t>a)</w:t>
      </w:r>
      <w:r w:rsidRPr="00787153">
        <w:rPr>
          <w:lang w:val="en-US" w:eastAsia="zh-CN"/>
        </w:rPr>
        <w:tab/>
      </w:r>
      <w:r w:rsidR="00715EEC">
        <w:rPr>
          <w:rFonts w:hint="eastAsia"/>
          <w:lang w:val="en-US" w:eastAsia="zh-CN"/>
        </w:rPr>
        <w:t>《无线电规则》</w:t>
      </w:r>
      <w:r w:rsidR="00F15F4F">
        <w:rPr>
          <w:rFonts w:hint="eastAsia"/>
          <w:lang w:val="en-US" w:eastAsia="zh-CN"/>
        </w:rPr>
        <w:t>中的条款规</w:t>
      </w:r>
      <w:r w:rsidR="00715EEC">
        <w:rPr>
          <w:rFonts w:hint="eastAsia"/>
          <w:lang w:val="en-US" w:eastAsia="zh-CN"/>
        </w:rPr>
        <w:t>定使用在约</w:t>
      </w:r>
      <w:r w:rsidR="00715EEC" w:rsidRPr="00715EEC">
        <w:rPr>
          <w:lang w:val="en-US" w:eastAsia="zh-CN"/>
        </w:rPr>
        <w:t xml:space="preserve">47 GHz </w:t>
      </w:r>
      <w:r w:rsidR="00F15F4F">
        <w:rPr>
          <w:rFonts w:hint="eastAsia"/>
          <w:lang w:val="en-US" w:eastAsia="zh-CN"/>
        </w:rPr>
        <w:t>从事</w:t>
      </w:r>
      <w:r w:rsidR="00715EEC">
        <w:rPr>
          <w:rFonts w:hint="eastAsia"/>
          <w:lang w:val="en-US" w:eastAsia="zh-CN"/>
        </w:rPr>
        <w:t>固定业务和</w:t>
      </w:r>
      <w:r w:rsidR="00F15F4F">
        <w:rPr>
          <w:rFonts w:hint="eastAsia"/>
          <w:lang w:val="en-US" w:eastAsia="zh-CN"/>
        </w:rPr>
        <w:t>在</w:t>
      </w:r>
      <w:r w:rsidR="00715EEC">
        <w:rPr>
          <w:rFonts w:hint="eastAsia"/>
          <w:lang w:val="en-US" w:eastAsia="zh-CN"/>
        </w:rPr>
        <w:t>约</w:t>
      </w:r>
      <w:r w:rsidR="00715EEC" w:rsidRPr="00715EEC">
        <w:rPr>
          <w:lang w:val="en-US" w:eastAsia="zh-CN"/>
        </w:rPr>
        <w:t xml:space="preserve">2 GHz </w:t>
      </w:r>
      <w:r w:rsidR="00F15F4F">
        <w:rPr>
          <w:rFonts w:hint="eastAsia"/>
          <w:lang w:val="en-US" w:eastAsia="zh-CN"/>
        </w:rPr>
        <w:t>从事</w:t>
      </w:r>
      <w:r w:rsidR="00715EEC">
        <w:rPr>
          <w:rFonts w:hint="eastAsia"/>
          <w:lang w:val="en-US" w:eastAsia="zh-CN"/>
        </w:rPr>
        <w:t>移动业务</w:t>
      </w:r>
      <w:r w:rsidR="00F15F4F">
        <w:rPr>
          <w:rFonts w:hint="eastAsia"/>
          <w:lang w:val="en-US" w:eastAsia="zh-CN"/>
        </w:rPr>
        <w:t>的</w:t>
      </w:r>
      <w:r w:rsidR="00715EEC">
        <w:rPr>
          <w:rFonts w:hint="eastAsia"/>
          <w:lang w:val="en-US" w:eastAsia="zh-CN"/>
        </w:rPr>
        <w:t>高空平台台站系统；</w:t>
      </w:r>
    </w:p>
    <w:p w:rsidR="005037FE" w:rsidRPr="00787153" w:rsidRDefault="005037FE" w:rsidP="00035398">
      <w:pPr>
        <w:rPr>
          <w:lang w:val="en-US" w:eastAsia="zh-CN"/>
        </w:rPr>
      </w:pPr>
      <w:r w:rsidRPr="00787153">
        <w:rPr>
          <w:lang w:val="en-US" w:eastAsia="zh-CN"/>
        </w:rPr>
        <w:t>b)</w:t>
      </w:r>
      <w:r w:rsidRPr="00787153">
        <w:rPr>
          <w:lang w:val="en-US" w:eastAsia="zh-CN"/>
        </w:rPr>
        <w:tab/>
      </w:r>
      <w:r w:rsidR="00715EEC">
        <w:rPr>
          <w:rFonts w:hint="eastAsia"/>
          <w:lang w:val="en-US" w:eastAsia="zh-CN"/>
        </w:rPr>
        <w:t>某些指定频段也在划分后用于其</w:t>
      </w:r>
      <w:r w:rsidR="00F15F4F">
        <w:rPr>
          <w:rFonts w:hint="eastAsia"/>
          <w:lang w:val="en-US" w:eastAsia="zh-CN"/>
        </w:rPr>
        <w:t>它</w:t>
      </w:r>
      <w:r w:rsidR="00715EEC">
        <w:rPr>
          <w:rFonts w:hint="eastAsia"/>
          <w:lang w:val="en-US" w:eastAsia="zh-CN"/>
        </w:rPr>
        <w:t>业务；</w:t>
      </w:r>
    </w:p>
    <w:p w:rsidR="005037FE" w:rsidRPr="00787153" w:rsidRDefault="005037FE" w:rsidP="00035398">
      <w:pPr>
        <w:rPr>
          <w:lang w:val="en-US" w:eastAsia="zh-CN"/>
        </w:rPr>
      </w:pPr>
      <w:r w:rsidRPr="00787153">
        <w:rPr>
          <w:lang w:val="en-US" w:eastAsia="zh-CN"/>
        </w:rPr>
        <w:t>c)</w:t>
      </w:r>
      <w:r w:rsidRPr="00787153">
        <w:rPr>
          <w:lang w:val="en-US" w:eastAsia="zh-CN"/>
        </w:rPr>
        <w:tab/>
      </w:r>
      <w:r w:rsidR="00715EEC">
        <w:rPr>
          <w:rFonts w:hint="eastAsia"/>
          <w:lang w:val="en-US" w:eastAsia="zh-CN"/>
        </w:rPr>
        <w:t>对可能在平流层较低高度采用</w:t>
      </w:r>
      <w:r w:rsidR="00F15F4F">
        <w:rPr>
          <w:rFonts w:hint="eastAsia"/>
          <w:lang w:val="en-US" w:eastAsia="zh-CN"/>
        </w:rPr>
        <w:t>高架平</w:t>
      </w:r>
      <w:r w:rsidR="00715EEC">
        <w:rPr>
          <w:rFonts w:hint="eastAsia"/>
          <w:lang w:val="en-US" w:eastAsia="zh-CN"/>
        </w:rPr>
        <w:t>台台站的系统和网络进行研究，</w:t>
      </w:r>
    </w:p>
    <w:p w:rsidR="005037FE" w:rsidRPr="0017709E" w:rsidRDefault="00715EEC" w:rsidP="00035398">
      <w:pPr>
        <w:pStyle w:val="Call"/>
        <w:rPr>
          <w:rFonts w:ascii="STKaiti" w:eastAsia="STKaiti" w:hAnsi="STKaiti"/>
          <w:i w:val="0"/>
          <w:iCs/>
          <w:lang w:val="en-US" w:eastAsia="zh-CN"/>
        </w:rPr>
      </w:pPr>
      <w:r w:rsidRPr="0017709E">
        <w:rPr>
          <w:rFonts w:ascii="STKaiti" w:eastAsia="STKaiti" w:hAnsi="STKaiti" w:hint="eastAsia"/>
          <w:i w:val="0"/>
          <w:iCs/>
          <w:lang w:val="en-US" w:eastAsia="zh-CN"/>
        </w:rPr>
        <w:t>建议</w:t>
      </w:r>
    </w:p>
    <w:p w:rsidR="005037FE" w:rsidRPr="00787153" w:rsidRDefault="005037FE" w:rsidP="00035398">
      <w:pPr>
        <w:rPr>
          <w:lang w:val="en-US" w:eastAsia="zh-CN"/>
        </w:rPr>
      </w:pPr>
      <w:r w:rsidRPr="00787153">
        <w:rPr>
          <w:b/>
          <w:bCs/>
          <w:lang w:val="en-US" w:eastAsia="zh-CN"/>
        </w:rPr>
        <w:t>1</w:t>
      </w:r>
      <w:r w:rsidRPr="00787153">
        <w:rPr>
          <w:lang w:val="en-US" w:eastAsia="zh-CN"/>
        </w:rPr>
        <w:tab/>
      </w:r>
      <w:r w:rsidR="000F3351">
        <w:rPr>
          <w:rFonts w:hint="eastAsia"/>
          <w:lang w:val="en-US" w:eastAsia="zh-CN"/>
        </w:rPr>
        <w:t>在</w:t>
      </w:r>
      <w:r w:rsidR="00F15F4F">
        <w:rPr>
          <w:rFonts w:hint="eastAsia"/>
          <w:lang w:val="en-US" w:eastAsia="zh-CN"/>
        </w:rPr>
        <w:t>设计</w:t>
      </w:r>
      <w:r w:rsidR="000F3351">
        <w:rPr>
          <w:rFonts w:hint="eastAsia"/>
          <w:lang w:val="en-US" w:eastAsia="zh-CN"/>
        </w:rPr>
        <w:t>采用高空平台台站和其</w:t>
      </w:r>
      <w:r w:rsidR="00F15F4F">
        <w:rPr>
          <w:rFonts w:hint="eastAsia"/>
          <w:lang w:val="en-US" w:eastAsia="zh-CN"/>
        </w:rPr>
        <w:t>它</w:t>
      </w:r>
      <w:r w:rsidR="000F3351">
        <w:rPr>
          <w:rFonts w:hint="eastAsia"/>
          <w:lang w:val="en-US" w:eastAsia="zh-CN"/>
        </w:rPr>
        <w:t>平流层高</w:t>
      </w:r>
      <w:r w:rsidR="00F15F4F">
        <w:rPr>
          <w:rFonts w:hint="eastAsia"/>
          <w:lang w:val="en-US" w:eastAsia="zh-CN"/>
        </w:rPr>
        <w:t>架</w:t>
      </w:r>
      <w:r w:rsidR="000F3351">
        <w:rPr>
          <w:rFonts w:hint="eastAsia"/>
          <w:lang w:val="en-US" w:eastAsia="zh-CN"/>
        </w:rPr>
        <w:t>台站的系统和开展共用及</w:t>
      </w:r>
      <w:r w:rsidR="00715EEC">
        <w:rPr>
          <w:rFonts w:hint="eastAsia"/>
          <w:lang w:val="en-US" w:eastAsia="zh-CN"/>
        </w:rPr>
        <w:t>兼容性研究时</w:t>
      </w:r>
      <w:r w:rsidR="00F15F4F">
        <w:rPr>
          <w:rFonts w:hint="eastAsia"/>
          <w:lang w:val="en-US" w:eastAsia="zh-CN"/>
        </w:rPr>
        <w:t>，酌情</w:t>
      </w:r>
      <w:r w:rsidR="00715EEC">
        <w:rPr>
          <w:rFonts w:hint="eastAsia"/>
          <w:lang w:val="en-US" w:eastAsia="zh-CN"/>
        </w:rPr>
        <w:t>考虑到附件</w:t>
      </w:r>
      <w:r w:rsidR="00715EEC">
        <w:rPr>
          <w:rFonts w:hint="eastAsia"/>
          <w:lang w:val="en-US" w:eastAsia="zh-CN"/>
        </w:rPr>
        <w:t>1</w:t>
      </w:r>
      <w:r w:rsidR="00715EEC">
        <w:rPr>
          <w:rFonts w:hint="eastAsia"/>
          <w:lang w:val="en-US" w:eastAsia="zh-CN"/>
        </w:rPr>
        <w:t>提出的传播机制和</w:t>
      </w:r>
      <w:r w:rsidR="00F15F4F">
        <w:rPr>
          <w:rFonts w:hint="eastAsia"/>
          <w:lang w:val="en-US" w:eastAsia="zh-CN"/>
        </w:rPr>
        <w:t>效应</w:t>
      </w:r>
      <w:r w:rsidR="00715EEC">
        <w:rPr>
          <w:rFonts w:hint="eastAsia"/>
          <w:lang w:val="en-US" w:eastAsia="zh-CN"/>
        </w:rPr>
        <w:t>。</w:t>
      </w:r>
    </w:p>
    <w:p w:rsidR="009B1FA0" w:rsidRDefault="009B1FA0" w:rsidP="00035398">
      <w:pPr>
        <w:rPr>
          <w:lang w:val="en-US" w:eastAsia="zh-CN"/>
        </w:rPr>
      </w:pPr>
    </w:p>
    <w:p w:rsidR="009B1FA0" w:rsidRDefault="009B1FA0" w:rsidP="00035398">
      <w:pPr>
        <w:rPr>
          <w:lang w:val="en-US" w:eastAsia="zh-CN"/>
        </w:rPr>
      </w:pPr>
    </w:p>
    <w:p w:rsidR="009B1FA0" w:rsidRPr="009B1FA0" w:rsidRDefault="00A94B3F" w:rsidP="00035398">
      <w:pPr>
        <w:pStyle w:val="AnnexNoTitle"/>
        <w:rPr>
          <w:lang w:val="en-US" w:eastAsia="zh-CN"/>
        </w:rPr>
      </w:pPr>
      <w:bookmarkStart w:id="5" w:name="OLE_LINK1"/>
      <w:r>
        <w:rPr>
          <w:rFonts w:hint="eastAsia"/>
          <w:lang w:val="en-US" w:eastAsia="zh-CN"/>
        </w:rPr>
        <w:t>附件</w:t>
      </w:r>
      <w:r w:rsidRPr="009B1FA0">
        <w:rPr>
          <w:lang w:val="en-US" w:eastAsia="zh-CN"/>
        </w:rPr>
        <w:t xml:space="preserve"> 1</w:t>
      </w:r>
      <w:bookmarkEnd w:id="5"/>
    </w:p>
    <w:p w:rsidR="005037FE" w:rsidRPr="00787153" w:rsidRDefault="005037FE" w:rsidP="00035398">
      <w:pPr>
        <w:pStyle w:val="Heading1"/>
        <w:rPr>
          <w:lang w:val="en-US" w:eastAsia="zh-CN"/>
        </w:rPr>
      </w:pPr>
      <w:r w:rsidRPr="00787153">
        <w:rPr>
          <w:lang w:val="en-US" w:eastAsia="zh-CN"/>
        </w:rPr>
        <w:t>1</w:t>
      </w:r>
      <w:r w:rsidRPr="00787153">
        <w:rPr>
          <w:lang w:val="en-US" w:eastAsia="zh-CN"/>
        </w:rPr>
        <w:tab/>
      </w:r>
      <w:r w:rsidR="00715EEC">
        <w:rPr>
          <w:rFonts w:hint="eastAsia"/>
          <w:lang w:val="en-US" w:eastAsia="zh-CN"/>
        </w:rPr>
        <w:t>引言</w:t>
      </w:r>
    </w:p>
    <w:p w:rsidR="005037FE" w:rsidRPr="00787153" w:rsidRDefault="00715EEC" w:rsidP="004D3BC2">
      <w:pPr>
        <w:ind w:firstLineChars="200" w:firstLine="480"/>
        <w:rPr>
          <w:lang w:val="en-US" w:eastAsia="zh-CN"/>
        </w:rPr>
      </w:pPr>
      <w:r>
        <w:rPr>
          <w:rFonts w:hint="eastAsia"/>
          <w:lang w:val="en-US" w:eastAsia="zh-CN"/>
        </w:rPr>
        <w:t>在对使用高空平台台站和平流层其他高空台站的系统进行设计和共用研究时，因酌情考虑到以下机制和</w:t>
      </w:r>
      <w:r w:rsidR="00EF1221">
        <w:rPr>
          <w:rFonts w:hint="eastAsia"/>
          <w:lang w:val="en-US" w:eastAsia="zh-CN"/>
        </w:rPr>
        <w:t>效应</w:t>
      </w:r>
      <w:r>
        <w:rPr>
          <w:rFonts w:hint="eastAsia"/>
          <w:lang w:val="en-US" w:eastAsia="zh-CN"/>
        </w:rPr>
        <w:t>：</w:t>
      </w:r>
    </w:p>
    <w:p w:rsidR="005037FE" w:rsidRPr="00787153" w:rsidRDefault="005037FE" w:rsidP="00035398">
      <w:pPr>
        <w:pStyle w:val="enumlev1"/>
        <w:rPr>
          <w:lang w:val="en-US" w:eastAsia="zh-CN"/>
        </w:rPr>
      </w:pPr>
      <w:r w:rsidRPr="00787153">
        <w:rPr>
          <w:lang w:val="en-US" w:eastAsia="zh-CN"/>
        </w:rPr>
        <w:t>–</w:t>
      </w:r>
      <w:r w:rsidRPr="00787153">
        <w:rPr>
          <w:lang w:val="en-US" w:eastAsia="zh-CN"/>
        </w:rPr>
        <w:tab/>
      </w:r>
      <w:r w:rsidR="00715EEC">
        <w:rPr>
          <w:rFonts w:hint="eastAsia"/>
          <w:lang w:val="en-US" w:eastAsia="zh-CN"/>
        </w:rPr>
        <w:t>自由空间路径损耗；</w:t>
      </w:r>
    </w:p>
    <w:p w:rsidR="005037FE" w:rsidRPr="00787153" w:rsidRDefault="005037FE" w:rsidP="00035398">
      <w:pPr>
        <w:pStyle w:val="enumlev1"/>
        <w:rPr>
          <w:lang w:val="en-US" w:eastAsia="zh-CN"/>
        </w:rPr>
      </w:pPr>
      <w:r w:rsidRPr="00787153">
        <w:rPr>
          <w:lang w:val="en-US" w:eastAsia="zh-CN"/>
        </w:rPr>
        <w:t>–</w:t>
      </w:r>
      <w:r w:rsidRPr="00787153">
        <w:rPr>
          <w:lang w:val="en-US" w:eastAsia="zh-CN"/>
        </w:rPr>
        <w:tab/>
      </w:r>
      <w:r w:rsidR="00715EEC">
        <w:rPr>
          <w:rFonts w:hint="eastAsia"/>
          <w:lang w:val="en-US" w:eastAsia="zh-CN"/>
        </w:rPr>
        <w:t>对流层气体吸收引起的</w:t>
      </w:r>
      <w:r w:rsidR="000F3351">
        <w:rPr>
          <w:rFonts w:hint="eastAsia"/>
          <w:lang w:val="en-US" w:eastAsia="zh-CN"/>
        </w:rPr>
        <w:t>大气衰减；</w:t>
      </w:r>
      <w:r w:rsidR="00406911">
        <w:rPr>
          <w:rFonts w:hint="eastAsia"/>
          <w:lang w:val="en-US" w:eastAsia="zh-CN"/>
        </w:rPr>
        <w:t>（有足够理由假设，所有这类衰减都发生在平台台站以下的高度）；</w:t>
      </w:r>
    </w:p>
    <w:p w:rsidR="005037FE" w:rsidRPr="00787153" w:rsidRDefault="005037FE" w:rsidP="00035398">
      <w:pPr>
        <w:pStyle w:val="enumlev1"/>
        <w:rPr>
          <w:lang w:val="en-US" w:eastAsia="zh-CN"/>
        </w:rPr>
      </w:pPr>
      <w:r w:rsidRPr="00787153">
        <w:rPr>
          <w:lang w:val="en-US" w:eastAsia="zh-CN"/>
        </w:rPr>
        <w:t>–</w:t>
      </w:r>
      <w:r w:rsidRPr="00787153">
        <w:rPr>
          <w:lang w:val="en-US" w:eastAsia="zh-CN"/>
        </w:rPr>
        <w:tab/>
      </w:r>
      <w:r w:rsidR="00406911">
        <w:rPr>
          <w:rFonts w:hint="eastAsia"/>
          <w:lang w:val="en-US" w:eastAsia="zh-CN"/>
        </w:rPr>
        <w:t>雨衰减；</w:t>
      </w:r>
    </w:p>
    <w:p w:rsidR="005037FE" w:rsidRPr="00787153" w:rsidRDefault="005037FE" w:rsidP="00035398">
      <w:pPr>
        <w:pStyle w:val="enumlev1"/>
        <w:rPr>
          <w:lang w:val="en-US" w:eastAsia="zh-CN"/>
        </w:rPr>
      </w:pPr>
      <w:r w:rsidRPr="00787153">
        <w:rPr>
          <w:lang w:val="en-US" w:eastAsia="zh-CN"/>
        </w:rPr>
        <w:t>–</w:t>
      </w:r>
      <w:r w:rsidRPr="00787153">
        <w:rPr>
          <w:lang w:val="en-US" w:eastAsia="zh-CN"/>
        </w:rPr>
        <w:tab/>
      </w:r>
      <w:r w:rsidR="00406911">
        <w:rPr>
          <w:rFonts w:hint="eastAsia"/>
          <w:lang w:val="en-US" w:eastAsia="zh-CN"/>
        </w:rPr>
        <w:t>云衰减；（在时间比例小于</w:t>
      </w:r>
      <w:r w:rsidR="00406911">
        <w:rPr>
          <w:rFonts w:hint="eastAsia"/>
          <w:lang w:val="en-US" w:eastAsia="zh-CN"/>
        </w:rPr>
        <w:t>1%</w:t>
      </w:r>
      <w:r w:rsidR="00406911">
        <w:rPr>
          <w:rFonts w:hint="eastAsia"/>
          <w:lang w:val="en-US" w:eastAsia="zh-CN"/>
        </w:rPr>
        <w:t>时，云衰减的效应被纳入雨衰减预测方法）；</w:t>
      </w:r>
    </w:p>
    <w:p w:rsidR="00531032" w:rsidRDefault="005037FE" w:rsidP="00035398">
      <w:pPr>
        <w:pStyle w:val="enumlev1"/>
        <w:jc w:val="left"/>
        <w:rPr>
          <w:lang w:val="en-US" w:eastAsia="zh-CN"/>
        </w:rPr>
      </w:pPr>
      <w:r w:rsidRPr="00787153">
        <w:rPr>
          <w:lang w:val="en-US" w:eastAsia="zh-CN"/>
        </w:rPr>
        <w:t>–</w:t>
      </w:r>
      <w:r w:rsidRPr="00787153">
        <w:rPr>
          <w:lang w:val="en-US" w:eastAsia="zh-CN"/>
        </w:rPr>
        <w:tab/>
      </w:r>
      <w:r w:rsidR="000F3351">
        <w:rPr>
          <w:rFonts w:hint="eastAsia"/>
          <w:lang w:val="en-US" w:eastAsia="zh-CN"/>
        </w:rPr>
        <w:t>地球表面的反向</w:t>
      </w:r>
      <w:r w:rsidR="00406911">
        <w:rPr>
          <w:rFonts w:hint="eastAsia"/>
          <w:lang w:val="en-US" w:eastAsia="zh-CN"/>
        </w:rPr>
        <w:t>散射；</w:t>
      </w:r>
      <w:r w:rsidR="00035398">
        <w:rPr>
          <w:lang w:val="en-US" w:eastAsia="zh-CN"/>
        </w:rPr>
        <w:br/>
      </w:r>
      <w:r w:rsidR="00406911" w:rsidRPr="00531032">
        <w:rPr>
          <w:rFonts w:hint="eastAsia"/>
          <w:lang w:val="en-US" w:eastAsia="zh-CN"/>
        </w:rPr>
        <w:t>（雨胞顶部和融化层的反向散射被认为不那么重要）；</w:t>
      </w:r>
    </w:p>
    <w:p w:rsidR="005037FE" w:rsidRPr="00787153" w:rsidRDefault="005037FE" w:rsidP="00035398">
      <w:pPr>
        <w:pStyle w:val="enumlev1"/>
        <w:rPr>
          <w:lang w:val="en-US" w:eastAsia="zh-CN"/>
        </w:rPr>
      </w:pPr>
      <w:r w:rsidRPr="00787153">
        <w:rPr>
          <w:lang w:val="en-US" w:eastAsia="zh-CN"/>
        </w:rPr>
        <w:t>–</w:t>
      </w:r>
      <w:r w:rsidRPr="00787153">
        <w:rPr>
          <w:lang w:val="en-US" w:eastAsia="zh-CN"/>
        </w:rPr>
        <w:tab/>
      </w:r>
      <w:r w:rsidR="00406911">
        <w:rPr>
          <w:rFonts w:hint="eastAsia"/>
          <w:lang w:val="en-US" w:eastAsia="zh-CN"/>
        </w:rPr>
        <w:t>雨散射；</w:t>
      </w:r>
    </w:p>
    <w:p w:rsidR="005037FE" w:rsidRPr="00787153" w:rsidRDefault="005037FE" w:rsidP="00035398">
      <w:pPr>
        <w:pStyle w:val="enumlev1"/>
        <w:rPr>
          <w:lang w:val="en-US" w:eastAsia="zh-CN"/>
        </w:rPr>
      </w:pPr>
      <w:bookmarkStart w:id="6" w:name="dsgno"/>
      <w:bookmarkEnd w:id="6"/>
      <w:r w:rsidRPr="00787153">
        <w:rPr>
          <w:lang w:val="en-US" w:eastAsia="zh-CN"/>
        </w:rPr>
        <w:lastRenderedPageBreak/>
        <w:t>–</w:t>
      </w:r>
      <w:r w:rsidRPr="00787153">
        <w:rPr>
          <w:lang w:val="en-US" w:eastAsia="zh-CN"/>
        </w:rPr>
        <w:tab/>
      </w:r>
      <w:r w:rsidR="00406911">
        <w:rPr>
          <w:rFonts w:hint="eastAsia"/>
          <w:lang w:val="en-US" w:eastAsia="zh-CN"/>
        </w:rPr>
        <w:t>对流层闪烁。</w:t>
      </w:r>
    </w:p>
    <w:p w:rsidR="005037FE" w:rsidRPr="00787153" w:rsidRDefault="00406911" w:rsidP="00035398">
      <w:pPr>
        <w:ind w:firstLineChars="200" w:firstLine="480"/>
        <w:rPr>
          <w:lang w:val="en-US" w:eastAsia="zh-CN"/>
        </w:rPr>
      </w:pPr>
      <w:r>
        <w:rPr>
          <w:rFonts w:hint="eastAsia"/>
          <w:lang w:val="en-US" w:eastAsia="zh-CN"/>
        </w:rPr>
        <w:t>对流层内的管道效应不被认为与往来于平台台站的斜光路（远大于</w:t>
      </w:r>
      <w:r w:rsidRPr="00406911">
        <w:rPr>
          <w:lang w:val="en-US" w:eastAsia="zh-CN"/>
        </w:rPr>
        <w:t>1°</w:t>
      </w:r>
      <w:r>
        <w:rPr>
          <w:rFonts w:hint="eastAsia"/>
          <w:lang w:val="en-US" w:eastAsia="zh-CN"/>
        </w:rPr>
        <w:t>）的干扰模式具有同等重要性。</w:t>
      </w:r>
    </w:p>
    <w:p w:rsidR="005037FE" w:rsidRPr="00787153" w:rsidRDefault="005037FE" w:rsidP="00035398">
      <w:pPr>
        <w:pStyle w:val="Heading1"/>
        <w:rPr>
          <w:lang w:val="en-US" w:eastAsia="zh-CN"/>
        </w:rPr>
      </w:pPr>
      <w:r w:rsidRPr="00787153">
        <w:rPr>
          <w:lang w:val="en-US" w:eastAsia="zh-CN"/>
        </w:rPr>
        <w:t>2</w:t>
      </w:r>
      <w:r w:rsidRPr="00787153">
        <w:rPr>
          <w:lang w:val="en-US" w:eastAsia="zh-CN"/>
        </w:rPr>
        <w:tab/>
      </w:r>
      <w:r w:rsidR="00406911">
        <w:rPr>
          <w:rFonts w:hint="eastAsia"/>
          <w:lang w:val="en-US" w:eastAsia="zh-CN"/>
        </w:rPr>
        <w:t>预测方法</w:t>
      </w:r>
    </w:p>
    <w:p w:rsidR="005037FE" w:rsidRPr="00787153" w:rsidRDefault="00406911" w:rsidP="00035398">
      <w:pPr>
        <w:ind w:firstLineChars="200" w:firstLine="480"/>
        <w:rPr>
          <w:lang w:val="en-US" w:eastAsia="zh-CN"/>
        </w:rPr>
      </w:pPr>
      <w:r>
        <w:rPr>
          <w:rFonts w:hint="eastAsia"/>
          <w:lang w:val="en-US" w:eastAsia="zh-CN"/>
        </w:rPr>
        <w:t>在多数情况下</w:t>
      </w:r>
      <w:r w:rsidR="000F3351">
        <w:rPr>
          <w:rFonts w:hint="eastAsia"/>
          <w:lang w:val="en-US" w:eastAsia="zh-CN"/>
        </w:rPr>
        <w:t>，</w:t>
      </w:r>
      <w:r>
        <w:rPr>
          <w:rFonts w:hint="eastAsia"/>
          <w:lang w:val="en-US" w:eastAsia="zh-CN"/>
        </w:rPr>
        <w:t>ITU-R</w:t>
      </w:r>
      <w:r w:rsidR="000F3351">
        <w:rPr>
          <w:rFonts w:hint="eastAsia"/>
          <w:lang w:val="en-US" w:eastAsia="zh-CN"/>
        </w:rPr>
        <w:t>建议书包括的其</w:t>
      </w:r>
      <w:r w:rsidR="00EF1221">
        <w:rPr>
          <w:rFonts w:hint="eastAsia"/>
          <w:lang w:val="en-US" w:eastAsia="zh-CN"/>
        </w:rPr>
        <w:t>它</w:t>
      </w:r>
      <w:r w:rsidR="000F3351">
        <w:rPr>
          <w:rFonts w:hint="eastAsia"/>
          <w:lang w:val="en-US" w:eastAsia="zh-CN"/>
        </w:rPr>
        <w:t>信息应</w:t>
      </w:r>
      <w:r>
        <w:rPr>
          <w:rFonts w:hint="eastAsia"/>
          <w:lang w:val="en-US" w:eastAsia="zh-CN"/>
        </w:rPr>
        <w:t>按以下方式使用：</w:t>
      </w:r>
    </w:p>
    <w:p w:rsidR="005037FE" w:rsidRPr="00787153" w:rsidRDefault="005037FE" w:rsidP="00035398">
      <w:pPr>
        <w:pStyle w:val="Heading2"/>
        <w:rPr>
          <w:lang w:val="en-US" w:eastAsia="zh-CN"/>
        </w:rPr>
      </w:pPr>
      <w:r w:rsidRPr="00787153">
        <w:rPr>
          <w:lang w:val="en-US" w:eastAsia="zh-CN"/>
        </w:rPr>
        <w:t>2.1</w:t>
      </w:r>
      <w:r w:rsidRPr="00787153">
        <w:rPr>
          <w:lang w:val="en-US" w:eastAsia="zh-CN"/>
        </w:rPr>
        <w:tab/>
      </w:r>
      <w:r w:rsidR="00406911">
        <w:rPr>
          <w:rFonts w:hint="eastAsia"/>
          <w:lang w:val="en-US" w:eastAsia="zh-CN"/>
        </w:rPr>
        <w:t>高空平台台站网络的地基台站和其</w:t>
      </w:r>
      <w:r w:rsidR="00EF1221">
        <w:rPr>
          <w:rFonts w:hint="eastAsia"/>
          <w:lang w:val="en-US" w:eastAsia="zh-CN"/>
        </w:rPr>
        <w:t>它</w:t>
      </w:r>
      <w:r w:rsidR="00406911">
        <w:rPr>
          <w:rFonts w:hint="eastAsia"/>
          <w:lang w:val="en-US" w:eastAsia="zh-CN"/>
        </w:rPr>
        <w:t>高</w:t>
      </w:r>
      <w:r w:rsidR="00EF1221">
        <w:rPr>
          <w:rFonts w:hint="eastAsia"/>
          <w:lang w:val="en-US" w:eastAsia="zh-CN"/>
        </w:rPr>
        <w:t>架</w:t>
      </w:r>
      <w:r w:rsidR="00406911">
        <w:rPr>
          <w:rFonts w:hint="eastAsia"/>
          <w:lang w:val="en-US" w:eastAsia="zh-CN"/>
        </w:rPr>
        <w:t>平台网络以及其</w:t>
      </w:r>
      <w:r w:rsidR="00EF1221">
        <w:rPr>
          <w:rFonts w:hint="eastAsia"/>
          <w:lang w:val="en-US" w:eastAsia="zh-CN"/>
        </w:rPr>
        <w:t>它</w:t>
      </w:r>
      <w:r w:rsidR="00406911">
        <w:rPr>
          <w:rFonts w:hint="eastAsia"/>
          <w:lang w:val="en-US" w:eastAsia="zh-CN"/>
        </w:rPr>
        <w:t>地面</w:t>
      </w:r>
      <w:r w:rsidR="004F208B">
        <w:rPr>
          <w:rFonts w:hint="eastAsia"/>
          <w:lang w:val="en-US" w:eastAsia="zh-CN"/>
        </w:rPr>
        <w:t>台站间的频率共用</w:t>
      </w:r>
    </w:p>
    <w:p w:rsidR="005037FE" w:rsidRPr="00787153" w:rsidRDefault="005037FE" w:rsidP="00035398">
      <w:pPr>
        <w:ind w:firstLineChars="200" w:firstLine="480"/>
        <w:rPr>
          <w:lang w:val="en-US" w:eastAsia="zh-CN"/>
        </w:rPr>
      </w:pPr>
      <w:r w:rsidRPr="00531032">
        <w:rPr>
          <w:lang w:val="en-US" w:eastAsia="zh-CN"/>
        </w:rPr>
        <w:t xml:space="preserve">ITU-R </w:t>
      </w:r>
      <w:r w:rsidR="004F208B" w:rsidRPr="00531032">
        <w:rPr>
          <w:lang w:val="en-US" w:eastAsia="zh-CN"/>
        </w:rPr>
        <w:t>P</w:t>
      </w:r>
      <w:r w:rsidR="004F208B">
        <w:rPr>
          <w:lang w:val="en-US" w:eastAsia="zh-CN"/>
        </w:rPr>
        <w:t>.620</w:t>
      </w:r>
      <w:r w:rsidR="004F208B">
        <w:rPr>
          <w:rFonts w:hint="eastAsia"/>
          <w:lang w:val="en-US" w:eastAsia="zh-CN"/>
        </w:rPr>
        <w:t>建议书的方法应被用于协调距离评估，而</w:t>
      </w:r>
      <w:r w:rsidR="004F208B">
        <w:rPr>
          <w:rFonts w:hint="eastAsia"/>
          <w:lang w:val="en-US" w:eastAsia="zh-CN"/>
        </w:rPr>
        <w:t>ITU-R P.452</w:t>
      </w:r>
      <w:r w:rsidR="004F208B">
        <w:rPr>
          <w:rFonts w:hint="eastAsia"/>
          <w:lang w:val="en-US" w:eastAsia="zh-CN"/>
        </w:rPr>
        <w:t>建议书应被用于详细评估。</w:t>
      </w:r>
    </w:p>
    <w:p w:rsidR="005037FE" w:rsidRPr="00787153" w:rsidRDefault="005037FE" w:rsidP="00035398">
      <w:pPr>
        <w:pStyle w:val="Heading2"/>
        <w:rPr>
          <w:lang w:val="en-US" w:eastAsia="zh-CN"/>
        </w:rPr>
      </w:pPr>
      <w:r w:rsidRPr="00787153">
        <w:rPr>
          <w:lang w:val="en-US" w:eastAsia="zh-CN"/>
        </w:rPr>
        <w:t>2.2</w:t>
      </w:r>
      <w:r w:rsidRPr="00787153">
        <w:rPr>
          <w:lang w:val="en-US" w:eastAsia="zh-CN"/>
        </w:rPr>
        <w:tab/>
      </w:r>
      <w:r w:rsidR="004F208B">
        <w:rPr>
          <w:rFonts w:hint="eastAsia"/>
          <w:lang w:val="en-US" w:eastAsia="zh-CN"/>
        </w:rPr>
        <w:t>高空平台台站网络的空间台站和地基台站以及其</w:t>
      </w:r>
      <w:r w:rsidR="00EF1221">
        <w:rPr>
          <w:rFonts w:hint="eastAsia"/>
          <w:lang w:val="en-US" w:eastAsia="zh-CN"/>
        </w:rPr>
        <w:t>它</w:t>
      </w:r>
      <w:r w:rsidR="004F208B">
        <w:rPr>
          <w:rFonts w:hint="eastAsia"/>
          <w:lang w:val="en-US" w:eastAsia="zh-CN"/>
        </w:rPr>
        <w:t>高</w:t>
      </w:r>
      <w:r w:rsidR="00EF1221">
        <w:rPr>
          <w:rFonts w:hint="eastAsia"/>
          <w:lang w:val="en-US" w:eastAsia="zh-CN"/>
        </w:rPr>
        <w:t>架</w:t>
      </w:r>
      <w:r w:rsidR="004F208B">
        <w:rPr>
          <w:rFonts w:hint="eastAsia"/>
          <w:lang w:val="en-US" w:eastAsia="zh-CN"/>
        </w:rPr>
        <w:t>平台网络之间的频率共用</w:t>
      </w:r>
    </w:p>
    <w:p w:rsidR="005037FE" w:rsidRPr="00787153" w:rsidRDefault="005037FE" w:rsidP="00035398">
      <w:pPr>
        <w:ind w:firstLineChars="200" w:firstLine="480"/>
        <w:rPr>
          <w:lang w:val="en-US" w:eastAsia="zh-CN"/>
        </w:rPr>
      </w:pPr>
      <w:r w:rsidRPr="00787153">
        <w:rPr>
          <w:lang w:val="en-US" w:eastAsia="zh-CN"/>
        </w:rPr>
        <w:t>ITU-R P.619</w:t>
      </w:r>
      <w:r w:rsidR="00957EA6">
        <w:rPr>
          <w:rFonts w:hint="eastAsia"/>
          <w:lang w:val="en-US" w:eastAsia="zh-CN"/>
        </w:rPr>
        <w:t>建议书涉及的方法提供了相关信息。</w:t>
      </w:r>
      <w:bookmarkStart w:id="7" w:name="_GoBack"/>
      <w:bookmarkEnd w:id="7"/>
    </w:p>
    <w:p w:rsidR="005037FE" w:rsidRPr="00787153" w:rsidRDefault="005037FE" w:rsidP="00035398">
      <w:pPr>
        <w:pStyle w:val="Heading2"/>
        <w:rPr>
          <w:lang w:val="en-US" w:eastAsia="zh-CN"/>
        </w:rPr>
      </w:pPr>
      <w:r w:rsidRPr="00787153">
        <w:rPr>
          <w:lang w:val="en-US" w:eastAsia="zh-CN"/>
        </w:rPr>
        <w:t>2.3</w:t>
      </w:r>
      <w:r w:rsidRPr="00787153">
        <w:rPr>
          <w:lang w:val="en-US" w:eastAsia="zh-CN"/>
        </w:rPr>
        <w:tab/>
      </w:r>
      <w:r w:rsidR="00957EA6">
        <w:rPr>
          <w:rFonts w:hint="eastAsia"/>
          <w:lang w:val="en-US" w:eastAsia="zh-CN"/>
        </w:rPr>
        <w:t>高空平台网络和其</w:t>
      </w:r>
      <w:r w:rsidR="00EF1221">
        <w:rPr>
          <w:rFonts w:hint="eastAsia"/>
          <w:lang w:val="en-US" w:eastAsia="zh-CN"/>
        </w:rPr>
        <w:t>它高架</w:t>
      </w:r>
      <w:r w:rsidR="00957EA6">
        <w:rPr>
          <w:rFonts w:hint="eastAsia"/>
          <w:lang w:val="en-US" w:eastAsia="zh-CN"/>
        </w:rPr>
        <w:t>平台网络以及其</w:t>
      </w:r>
      <w:r w:rsidR="00EF1221">
        <w:rPr>
          <w:rFonts w:hint="eastAsia"/>
          <w:lang w:val="en-US" w:eastAsia="zh-CN"/>
        </w:rPr>
        <w:t>它</w:t>
      </w:r>
      <w:r w:rsidR="00957EA6">
        <w:rPr>
          <w:rFonts w:hint="eastAsia"/>
          <w:lang w:val="en-US" w:eastAsia="zh-CN"/>
        </w:rPr>
        <w:t>地面台站间的频率共用</w:t>
      </w:r>
    </w:p>
    <w:p w:rsidR="005037FE" w:rsidRPr="00787153" w:rsidRDefault="005037FE" w:rsidP="00035398">
      <w:pPr>
        <w:ind w:firstLineChars="200" w:firstLine="480"/>
        <w:rPr>
          <w:lang w:val="en-US" w:eastAsia="zh-CN"/>
        </w:rPr>
      </w:pPr>
      <w:r w:rsidRPr="00787153">
        <w:rPr>
          <w:lang w:val="en-US" w:eastAsia="zh-CN"/>
        </w:rPr>
        <w:t>ITU-R P.619</w:t>
      </w:r>
      <w:r w:rsidR="00957EA6">
        <w:rPr>
          <w:rFonts w:hint="eastAsia"/>
          <w:lang w:val="en-US" w:eastAsia="zh-CN"/>
        </w:rPr>
        <w:t>建议书提及的方法也为此种案例提供了相关信息，因为</w:t>
      </w:r>
      <w:r w:rsidR="00EF1221">
        <w:rPr>
          <w:rFonts w:hint="eastAsia"/>
          <w:lang w:val="en-US" w:eastAsia="zh-CN"/>
        </w:rPr>
        <w:t>除</w:t>
      </w:r>
      <w:r w:rsidR="00957EA6">
        <w:rPr>
          <w:rFonts w:hint="eastAsia"/>
          <w:lang w:val="en-US" w:eastAsia="zh-CN"/>
        </w:rPr>
        <w:t>自由空间扩散引起的损耗外</w:t>
      </w:r>
      <w:r w:rsidR="00EF1221">
        <w:rPr>
          <w:rFonts w:hint="eastAsia"/>
          <w:lang w:val="en-US" w:eastAsia="zh-CN"/>
        </w:rPr>
        <w:t>，</w:t>
      </w:r>
      <w:r w:rsidR="00957EA6">
        <w:rPr>
          <w:rFonts w:hint="eastAsia"/>
          <w:lang w:val="en-US" w:eastAsia="zh-CN"/>
        </w:rPr>
        <w:t>所有损耗都</w:t>
      </w:r>
      <w:r w:rsidR="00EF1221">
        <w:rPr>
          <w:rFonts w:hint="eastAsia"/>
          <w:lang w:val="en-US" w:eastAsia="zh-CN"/>
        </w:rPr>
        <w:t>发生</w:t>
      </w:r>
      <w:r w:rsidR="00957EA6">
        <w:rPr>
          <w:rFonts w:hint="eastAsia"/>
          <w:lang w:val="en-US" w:eastAsia="zh-CN"/>
        </w:rPr>
        <w:t>在平台高度以下。</w:t>
      </w:r>
    </w:p>
    <w:p w:rsidR="005037FE" w:rsidRPr="00787153" w:rsidRDefault="005037FE" w:rsidP="00035398">
      <w:pPr>
        <w:pStyle w:val="Heading2"/>
        <w:rPr>
          <w:lang w:val="en-US" w:eastAsia="zh-CN"/>
        </w:rPr>
      </w:pPr>
      <w:r w:rsidRPr="00787153">
        <w:rPr>
          <w:lang w:val="en-US" w:eastAsia="zh-CN"/>
        </w:rPr>
        <w:t>2.4</w:t>
      </w:r>
      <w:r w:rsidRPr="00787153">
        <w:rPr>
          <w:lang w:val="en-US" w:eastAsia="zh-CN"/>
        </w:rPr>
        <w:tab/>
      </w:r>
      <w:r w:rsidR="00957EA6">
        <w:rPr>
          <w:rFonts w:hint="eastAsia"/>
          <w:lang w:val="en-US" w:eastAsia="zh-CN"/>
        </w:rPr>
        <w:t>平台台站和空间台站之间的频率共用</w:t>
      </w:r>
    </w:p>
    <w:p w:rsidR="00957EA6" w:rsidRDefault="00957EA6" w:rsidP="00035398">
      <w:pPr>
        <w:ind w:firstLineChars="200" w:firstLine="480"/>
        <w:jc w:val="left"/>
        <w:rPr>
          <w:lang w:val="en-US" w:eastAsia="zh-CN"/>
        </w:rPr>
      </w:pPr>
      <w:r>
        <w:rPr>
          <w:rFonts w:hint="eastAsia"/>
          <w:lang w:val="en-US" w:eastAsia="zh-CN"/>
        </w:rPr>
        <w:t>对于平台台站和空间台站之间的直接路径而言，必须考虑到自由空间路径损耗以及</w:t>
      </w:r>
      <w:r w:rsidR="00035398">
        <w:rPr>
          <w:lang w:val="en-US" w:eastAsia="zh-CN"/>
        </w:rPr>
        <w:br/>
      </w:r>
      <w:r>
        <w:rPr>
          <w:rFonts w:hint="eastAsia"/>
          <w:lang w:val="en-US" w:eastAsia="zh-CN"/>
        </w:rPr>
        <w:t>ITU-R P.531</w:t>
      </w:r>
      <w:r>
        <w:rPr>
          <w:rFonts w:hint="eastAsia"/>
          <w:lang w:val="en-US" w:eastAsia="zh-CN"/>
        </w:rPr>
        <w:t>建议书</w:t>
      </w:r>
      <w:r w:rsidR="00EF1221">
        <w:rPr>
          <w:rFonts w:hint="eastAsia"/>
          <w:lang w:val="en-US" w:eastAsia="zh-CN"/>
        </w:rPr>
        <w:t>介绍</w:t>
      </w:r>
      <w:r>
        <w:rPr>
          <w:rFonts w:hint="eastAsia"/>
          <w:lang w:val="en-US" w:eastAsia="zh-CN"/>
        </w:rPr>
        <w:t>的</w:t>
      </w:r>
      <w:r w:rsidR="00EF1221">
        <w:rPr>
          <w:rFonts w:hint="eastAsia"/>
          <w:lang w:val="en-US" w:eastAsia="zh-CN"/>
        </w:rPr>
        <w:t>经</w:t>
      </w:r>
      <w:r>
        <w:rPr>
          <w:rFonts w:hint="eastAsia"/>
          <w:lang w:val="en-US" w:eastAsia="zh-CN"/>
        </w:rPr>
        <w:t>电离层的路径</w:t>
      </w:r>
      <w:r w:rsidR="00EF1221">
        <w:rPr>
          <w:rFonts w:hint="eastAsia"/>
          <w:lang w:val="en-US" w:eastAsia="zh-CN"/>
        </w:rPr>
        <w:t>所受</w:t>
      </w:r>
      <w:r>
        <w:rPr>
          <w:rFonts w:hint="eastAsia"/>
          <w:lang w:val="en-US" w:eastAsia="zh-CN"/>
        </w:rPr>
        <w:t>的影响。</w:t>
      </w:r>
    </w:p>
    <w:p w:rsidR="003413BE" w:rsidRDefault="003413BE" w:rsidP="00035398">
      <w:pPr>
        <w:ind w:firstLineChars="200" w:firstLine="480"/>
        <w:rPr>
          <w:lang w:val="en-US" w:eastAsia="zh-CN"/>
        </w:rPr>
      </w:pPr>
      <w:r>
        <w:rPr>
          <w:rFonts w:hint="eastAsia"/>
          <w:lang w:val="en-US" w:eastAsia="zh-CN"/>
        </w:rPr>
        <w:t>此外，还应考虑到涉及地面散射和</w:t>
      </w:r>
      <w:r w:rsidR="00957EA6">
        <w:rPr>
          <w:rFonts w:hint="eastAsia"/>
          <w:lang w:val="en-US" w:eastAsia="zh-CN"/>
        </w:rPr>
        <w:t>地面反射的传播路径。在可获得进一步的信息之前，可提供以下指导</w:t>
      </w:r>
      <w:r w:rsidR="007F41BA">
        <w:rPr>
          <w:rFonts w:hint="eastAsia"/>
          <w:lang w:val="en-US" w:eastAsia="zh-CN"/>
        </w:rPr>
        <w:t>意见</w:t>
      </w:r>
      <w:r>
        <w:rPr>
          <w:rFonts w:hint="eastAsia"/>
          <w:lang w:val="en-US" w:eastAsia="zh-CN"/>
        </w:rPr>
        <w:t>。</w:t>
      </w:r>
    </w:p>
    <w:p w:rsidR="005037FE" w:rsidRPr="00787153" w:rsidRDefault="003413BE" w:rsidP="00035398">
      <w:pPr>
        <w:ind w:firstLineChars="200" w:firstLine="480"/>
        <w:rPr>
          <w:lang w:val="en-US" w:eastAsia="zh-CN"/>
        </w:rPr>
      </w:pPr>
      <w:r>
        <w:rPr>
          <w:rFonts w:hint="eastAsia"/>
          <w:lang w:val="en-US" w:eastAsia="zh-CN"/>
        </w:rPr>
        <w:t>在某些情况下，</w:t>
      </w:r>
      <w:r w:rsidR="007F41BA">
        <w:rPr>
          <w:rFonts w:hint="eastAsia"/>
          <w:lang w:val="en-US" w:eastAsia="zh-CN"/>
        </w:rPr>
        <w:t>大于首个菲涅尔</w:t>
      </w:r>
      <w:r w:rsidR="007F41BA" w:rsidRPr="003413BE">
        <w:rPr>
          <w:rFonts w:hint="eastAsia"/>
          <w:lang w:val="en-US" w:eastAsia="zh-CN"/>
        </w:rPr>
        <w:t>反射区</w:t>
      </w:r>
      <w:r w:rsidR="007F41BA">
        <w:rPr>
          <w:rFonts w:hint="eastAsia"/>
          <w:lang w:val="en-US" w:eastAsia="zh-CN"/>
        </w:rPr>
        <w:t>面</w:t>
      </w:r>
      <w:r w:rsidR="007F41BA" w:rsidRPr="003413BE">
        <w:rPr>
          <w:rFonts w:hint="eastAsia"/>
          <w:lang w:val="en-US" w:eastAsia="zh-CN"/>
        </w:rPr>
        <w:t>积</w:t>
      </w:r>
      <w:r w:rsidR="007F41BA">
        <w:rPr>
          <w:rFonts w:hint="eastAsia"/>
          <w:lang w:val="en-US" w:eastAsia="zh-CN"/>
        </w:rPr>
        <w:t>0.6</w:t>
      </w:r>
      <w:r w:rsidR="007F41BA">
        <w:rPr>
          <w:rFonts w:hint="eastAsia"/>
          <w:lang w:val="en-US" w:eastAsia="zh-CN"/>
        </w:rPr>
        <w:t>的光滑表</w:t>
      </w:r>
      <w:r w:rsidR="007F41BA" w:rsidRPr="003413BE">
        <w:rPr>
          <w:rFonts w:hint="eastAsia"/>
          <w:lang w:val="en-US" w:eastAsia="zh-CN"/>
        </w:rPr>
        <w:t>面</w:t>
      </w:r>
      <w:r w:rsidR="007F41BA">
        <w:rPr>
          <w:rFonts w:hint="eastAsia"/>
          <w:lang w:val="en-US" w:eastAsia="zh-CN"/>
        </w:rPr>
        <w:t>，可能</w:t>
      </w:r>
      <w:r>
        <w:rPr>
          <w:rFonts w:hint="eastAsia"/>
          <w:lang w:val="en-US" w:eastAsia="zh-CN"/>
        </w:rPr>
        <w:t>通过镜面几何引起良性反射闪烁。可从适当方向的</w:t>
      </w:r>
      <w:r>
        <w:rPr>
          <w:lang w:val="en-US" w:eastAsia="zh-CN"/>
        </w:rPr>
        <w:t>e.i.r.p.</w:t>
      </w:r>
      <w:r>
        <w:rPr>
          <w:rFonts w:hint="eastAsia"/>
          <w:lang w:val="en-US" w:eastAsia="zh-CN"/>
        </w:rPr>
        <w:t>确定此种情况下的信号，包括对涉及的</w:t>
      </w:r>
      <w:r w:rsidR="00531032" w:rsidRPr="0017709E">
        <w:rPr>
          <w:rFonts w:hint="eastAsia"/>
          <w:lang w:val="en-US" w:eastAsia="zh-CN"/>
        </w:rPr>
        <w:t>斜角</w:t>
      </w:r>
      <w:r>
        <w:rPr>
          <w:rFonts w:hint="eastAsia"/>
          <w:lang w:val="en-US" w:eastAsia="zh-CN"/>
        </w:rPr>
        <w:t>因对流层的两次穿越引起的大气衰减损耗，并假设反射系数为</w:t>
      </w:r>
      <w:r>
        <w:rPr>
          <w:rFonts w:hint="eastAsia"/>
          <w:lang w:val="en-US" w:eastAsia="zh-CN"/>
        </w:rPr>
        <w:t>-10dB</w:t>
      </w:r>
      <w:r>
        <w:rPr>
          <w:rFonts w:hint="eastAsia"/>
          <w:lang w:val="en-US" w:eastAsia="zh-CN"/>
        </w:rPr>
        <w:t>（某些情况下会出现较高的反射系数）。</w:t>
      </w:r>
    </w:p>
    <w:p w:rsidR="0017709E" w:rsidRDefault="003413BE" w:rsidP="00035398">
      <w:pPr>
        <w:ind w:firstLineChars="200" w:firstLine="480"/>
        <w:rPr>
          <w:lang w:val="en-US" w:eastAsia="zh-CN"/>
        </w:rPr>
      </w:pPr>
      <w:r>
        <w:rPr>
          <w:rFonts w:hint="eastAsia"/>
          <w:lang w:val="en-US" w:eastAsia="zh-CN"/>
        </w:rPr>
        <w:t>从更广义上讲，可认</w:t>
      </w:r>
      <w:r w:rsidR="00531032">
        <w:rPr>
          <w:rFonts w:hint="eastAsia"/>
          <w:lang w:val="en-US" w:eastAsia="zh-CN"/>
        </w:rPr>
        <w:t>为地球表面是粗糙的。</w:t>
      </w:r>
      <w:r w:rsidR="007F41BA">
        <w:rPr>
          <w:rFonts w:hint="eastAsia"/>
          <w:lang w:val="en-US" w:eastAsia="zh-CN"/>
        </w:rPr>
        <w:t>对于</w:t>
      </w:r>
      <w:r w:rsidR="00531032">
        <w:rPr>
          <w:rFonts w:hint="eastAsia"/>
          <w:lang w:val="en-US" w:eastAsia="zh-CN"/>
        </w:rPr>
        <w:t>这种情况</w:t>
      </w:r>
      <w:r w:rsidR="007F41BA">
        <w:rPr>
          <w:rFonts w:hint="eastAsia"/>
          <w:lang w:val="en-US" w:eastAsia="zh-CN"/>
        </w:rPr>
        <w:t>的</w:t>
      </w:r>
      <w:r w:rsidR="00531032">
        <w:rPr>
          <w:rFonts w:hint="eastAsia"/>
          <w:lang w:val="en-US" w:eastAsia="zh-CN"/>
        </w:rPr>
        <w:t>适当假设是，对地球表面上空半空间的辐射来自于完全由平台台站波速照明的区域，其</w:t>
      </w:r>
      <w:r w:rsidR="007F41BA">
        <w:rPr>
          <w:rFonts w:hint="eastAsia"/>
          <w:lang w:val="en-US" w:eastAsia="zh-CN"/>
        </w:rPr>
        <w:t>典型</w:t>
      </w:r>
      <w:r w:rsidR="00531032">
        <w:rPr>
          <w:rFonts w:hint="eastAsia"/>
          <w:lang w:val="en-US" w:eastAsia="zh-CN"/>
        </w:rPr>
        <w:t>散射系数也为</w:t>
      </w:r>
      <w:r>
        <w:rPr>
          <w:rFonts w:hint="eastAsia"/>
          <w:lang w:val="en-US" w:eastAsia="zh-CN"/>
        </w:rPr>
        <w:t>-10dB</w:t>
      </w:r>
      <w:r w:rsidR="00531032">
        <w:rPr>
          <w:rFonts w:hint="eastAsia"/>
          <w:lang w:val="en-US" w:eastAsia="zh-CN"/>
        </w:rPr>
        <w:t>，</w:t>
      </w:r>
      <w:r w:rsidR="007F41BA">
        <w:rPr>
          <w:rFonts w:hint="eastAsia"/>
          <w:lang w:val="en-US" w:eastAsia="zh-CN"/>
        </w:rPr>
        <w:t>即</w:t>
      </w:r>
      <w:r>
        <w:rPr>
          <w:rFonts w:hint="eastAsia"/>
          <w:lang w:val="en-US" w:eastAsia="zh-CN"/>
        </w:rPr>
        <w:t>假设地表向电离层辐射来源的功率来自：因对流层两次穿越给涉及的</w:t>
      </w:r>
      <w:r w:rsidRPr="0017709E">
        <w:rPr>
          <w:rFonts w:hint="eastAsia"/>
          <w:lang w:val="en-US" w:eastAsia="zh-CN"/>
        </w:rPr>
        <w:t>斜角</w:t>
      </w:r>
      <w:r>
        <w:rPr>
          <w:rFonts w:hint="eastAsia"/>
          <w:lang w:val="en-US" w:eastAsia="zh-CN"/>
        </w:rPr>
        <w:t>造成的大气衰减损耗而</w:t>
      </w:r>
    </w:p>
    <w:p w:rsidR="005037FE" w:rsidRPr="00787153" w:rsidRDefault="003413BE" w:rsidP="00035398">
      <w:pPr>
        <w:ind w:firstLineChars="200" w:firstLine="480"/>
        <w:rPr>
          <w:lang w:val="en-US" w:eastAsia="zh-CN"/>
        </w:rPr>
      </w:pPr>
      <w:r>
        <w:rPr>
          <w:rFonts w:hint="eastAsia"/>
          <w:lang w:val="en-US" w:eastAsia="zh-CN"/>
        </w:rPr>
        <w:t>削减的实际</w:t>
      </w:r>
      <w:r w:rsidR="00EA2D91">
        <w:rPr>
          <w:rFonts w:hint="eastAsia"/>
          <w:lang w:val="en-US" w:eastAsia="zh-CN"/>
        </w:rPr>
        <w:t>发射机</w:t>
      </w:r>
      <w:r>
        <w:rPr>
          <w:rFonts w:hint="eastAsia"/>
          <w:lang w:val="en-US" w:eastAsia="zh-CN"/>
        </w:rPr>
        <w:t>功率，该功率</w:t>
      </w:r>
      <w:r w:rsidR="00EA2D91">
        <w:rPr>
          <w:rFonts w:hint="eastAsia"/>
          <w:lang w:val="en-US" w:eastAsia="zh-CN"/>
        </w:rPr>
        <w:t>因</w:t>
      </w:r>
      <w:r w:rsidR="00EA2D91">
        <w:rPr>
          <w:rFonts w:hint="eastAsia"/>
          <w:lang w:val="en-US" w:eastAsia="zh-CN"/>
        </w:rPr>
        <w:t>10dB</w:t>
      </w:r>
      <w:r w:rsidR="00EA2D91">
        <w:rPr>
          <w:rFonts w:hint="eastAsia"/>
          <w:lang w:val="en-US" w:eastAsia="zh-CN"/>
        </w:rPr>
        <w:t>的反射系数而进一步降低，随后因为辐射仅为半空间而提高</w:t>
      </w:r>
      <w:r w:rsidR="00EA2D91">
        <w:rPr>
          <w:rFonts w:hint="eastAsia"/>
          <w:lang w:val="en-US" w:eastAsia="zh-CN"/>
        </w:rPr>
        <w:t>3dB</w:t>
      </w:r>
      <w:r w:rsidR="00EA2D91">
        <w:rPr>
          <w:rFonts w:hint="eastAsia"/>
          <w:lang w:val="en-US" w:eastAsia="zh-CN"/>
        </w:rPr>
        <w:t>。（有关海洋反射的更多信息见</w:t>
      </w:r>
      <w:r w:rsidR="00EA2D91">
        <w:rPr>
          <w:rFonts w:hint="eastAsia"/>
          <w:lang w:val="en-US" w:eastAsia="zh-CN"/>
        </w:rPr>
        <w:t>ITU-RP.680-3</w:t>
      </w:r>
      <w:r w:rsidR="00EA2D91">
        <w:rPr>
          <w:rFonts w:hint="eastAsia"/>
          <w:lang w:val="en-US" w:eastAsia="zh-CN"/>
        </w:rPr>
        <w:t>建议书。）</w:t>
      </w:r>
    </w:p>
    <w:p w:rsidR="00503BA1" w:rsidRDefault="00503BA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037FE" w:rsidRPr="00787153" w:rsidRDefault="005037FE" w:rsidP="00035398">
      <w:pPr>
        <w:pStyle w:val="Heading1"/>
        <w:rPr>
          <w:lang w:val="en-US" w:eastAsia="zh-CN"/>
        </w:rPr>
      </w:pPr>
      <w:r w:rsidRPr="00787153">
        <w:rPr>
          <w:lang w:val="en-US" w:eastAsia="zh-CN"/>
        </w:rPr>
        <w:lastRenderedPageBreak/>
        <w:t>3</w:t>
      </w:r>
      <w:r w:rsidRPr="00787153">
        <w:rPr>
          <w:lang w:val="en-US" w:eastAsia="zh-CN"/>
        </w:rPr>
        <w:tab/>
      </w:r>
      <w:r w:rsidR="00EA2D91">
        <w:rPr>
          <w:rFonts w:hint="eastAsia"/>
          <w:lang w:val="en-US" w:eastAsia="zh-CN"/>
        </w:rPr>
        <w:t>对使用高空和其</w:t>
      </w:r>
      <w:r w:rsidR="00211BB3">
        <w:rPr>
          <w:rFonts w:hint="eastAsia"/>
          <w:lang w:val="en-US" w:eastAsia="zh-CN"/>
        </w:rPr>
        <w:t>它</w:t>
      </w:r>
      <w:r w:rsidR="00EA2D91">
        <w:rPr>
          <w:rFonts w:hint="eastAsia"/>
          <w:lang w:val="en-US" w:eastAsia="zh-CN"/>
        </w:rPr>
        <w:t>高架平台台站的系统的系统性能预测</w:t>
      </w:r>
    </w:p>
    <w:p w:rsidR="005037FE" w:rsidRPr="00787153" w:rsidRDefault="00211BB3" w:rsidP="00035398">
      <w:pPr>
        <w:ind w:firstLineChars="200" w:firstLine="480"/>
        <w:rPr>
          <w:lang w:val="en-US" w:eastAsia="zh-CN"/>
        </w:rPr>
      </w:pPr>
      <w:r>
        <w:rPr>
          <w:rFonts w:hint="eastAsia"/>
          <w:lang w:val="en-US" w:eastAsia="zh-CN"/>
        </w:rPr>
        <w:t>应采用</w:t>
      </w:r>
      <w:r w:rsidR="005037FE" w:rsidRPr="00787153">
        <w:rPr>
          <w:lang w:val="en-US" w:eastAsia="zh-CN"/>
        </w:rPr>
        <w:t xml:space="preserve">ITU-R P.618 </w:t>
      </w:r>
      <w:r w:rsidR="00EA2D91">
        <w:rPr>
          <w:rFonts w:hint="eastAsia"/>
          <w:lang w:val="en-US" w:eastAsia="zh-CN"/>
        </w:rPr>
        <w:t>提出的方法，并注意</w:t>
      </w:r>
      <w:r>
        <w:rPr>
          <w:rFonts w:hint="eastAsia"/>
          <w:lang w:val="en-US" w:eastAsia="zh-CN"/>
        </w:rPr>
        <w:t>到</w:t>
      </w:r>
      <w:r w:rsidR="00EA2D91">
        <w:rPr>
          <w:rFonts w:hint="eastAsia"/>
          <w:lang w:val="en-US" w:eastAsia="zh-CN"/>
        </w:rPr>
        <w:t>电离层</w:t>
      </w:r>
      <w:r>
        <w:rPr>
          <w:rFonts w:hint="eastAsia"/>
          <w:lang w:val="en-US" w:eastAsia="zh-CN"/>
        </w:rPr>
        <w:t>引发的</w:t>
      </w:r>
      <w:r w:rsidR="00EA2D91">
        <w:rPr>
          <w:rFonts w:hint="eastAsia"/>
          <w:lang w:val="en-US" w:eastAsia="zh-CN"/>
        </w:rPr>
        <w:t>效应不适用。</w:t>
      </w:r>
    </w:p>
    <w:p w:rsidR="005037FE" w:rsidRDefault="005037FE" w:rsidP="00035398">
      <w:pPr>
        <w:rPr>
          <w:lang w:val="en-US" w:eastAsia="zh-CN"/>
        </w:rPr>
      </w:pPr>
    </w:p>
    <w:p w:rsidR="00503BA1" w:rsidRDefault="00503BA1" w:rsidP="00035398">
      <w:pPr>
        <w:rPr>
          <w:lang w:val="en-US" w:eastAsia="zh-CN"/>
        </w:rPr>
      </w:pPr>
    </w:p>
    <w:p w:rsidR="003901FE" w:rsidRPr="003901FE" w:rsidRDefault="005037FE" w:rsidP="00035398">
      <w:pPr>
        <w:pStyle w:val="Recref"/>
        <w:rPr>
          <w:lang w:val="en-GB" w:eastAsia="zh-CN"/>
        </w:rPr>
      </w:pPr>
      <w:r>
        <w:rPr>
          <w:lang w:val="en-US"/>
        </w:rPr>
        <w:t>_______________</w:t>
      </w:r>
    </w:p>
    <w:sectPr w:rsidR="003901FE" w:rsidRPr="003901FE" w:rsidSect="007565CC">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7B" w:rsidRDefault="00406D7B">
      <w:r>
        <w:separator/>
      </w:r>
    </w:p>
  </w:endnote>
  <w:endnote w:type="continuationSeparator" w:id="0">
    <w:p w:rsidR="00406D7B" w:rsidRDefault="0040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7B" w:rsidRDefault="00406D7B">
      <w:r>
        <w:separator/>
      </w:r>
    </w:p>
  </w:footnote>
  <w:footnote w:type="continuationSeparator" w:id="0">
    <w:p w:rsidR="00406D7B" w:rsidRDefault="00406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7B" w:rsidRDefault="00406D7B"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3BC2">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7B" w:rsidRDefault="00406D7B" w:rsidP="009A3F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7B" w:rsidRDefault="00406D7B" w:rsidP="003901FE">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5B2B75">
      <w:rPr>
        <w:rStyle w:val="PageNumber"/>
        <w:b/>
        <w:bCs/>
        <w:noProof/>
        <w:lang w:val="en-US" w:eastAsia="zh-CN"/>
      </w:rPr>
      <w:t>2</w:t>
    </w:r>
    <w:r>
      <w:rPr>
        <w:rStyle w:val="PageNumber"/>
        <w:b/>
        <w:bCs/>
      </w:rPr>
      <w:fldChar w:fldCharType="end"/>
    </w:r>
    <w:r>
      <w:rPr>
        <w:lang w:val="en-US" w:eastAsia="zh-CN"/>
      </w:rPr>
      <w:tab/>
    </w:r>
    <w:r>
      <w:rPr>
        <w:b/>
        <w:bCs/>
      </w:rPr>
      <w:t>ITU-R  P.1</w:t>
    </w:r>
    <w:r>
      <w:rPr>
        <w:rFonts w:hint="eastAsia"/>
        <w:b/>
        <w:bCs/>
        <w:lang w:eastAsia="zh-CN"/>
      </w:rPr>
      <w:t xml:space="preserve">409-1 </w:t>
    </w:r>
    <w:r w:rsidRPr="009A3F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7B" w:rsidRDefault="00406D7B"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4D3BC2">
      <w:rPr>
        <w:rStyle w:val="PageNumber"/>
        <w:b/>
        <w:bCs/>
        <w:noProof/>
        <w:lang w:eastAsia="zh-CN"/>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7B" w:rsidRDefault="00406D7B" w:rsidP="009A3F79">
    <w:pPr>
      <w:pStyle w:val="Header"/>
      <w:rPr>
        <w:lang w:eastAsia="zh-CN"/>
      </w:rPr>
    </w:pPr>
    <w:r>
      <w:tab/>
    </w:r>
    <w:r>
      <w:rPr>
        <w:b/>
        <w:bCs/>
      </w:rPr>
      <w:t>ITU-R  P.1</w:t>
    </w:r>
    <w:r>
      <w:rPr>
        <w:rFonts w:hint="eastAsia"/>
        <w:b/>
        <w:bCs/>
        <w:lang w:eastAsia="zh-CN"/>
      </w:rPr>
      <w:t xml:space="preserve">409-1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5B2B75">
      <w:rPr>
        <w:rStyle w:val="PageNumber"/>
        <w:b/>
        <w:bCs/>
        <w:noProof/>
        <w:lang w:eastAsia="zh-CN"/>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5398"/>
    <w:rsid w:val="00036EE3"/>
    <w:rsid w:val="000667DD"/>
    <w:rsid w:val="00072484"/>
    <w:rsid w:val="00096612"/>
    <w:rsid w:val="000A417F"/>
    <w:rsid w:val="000B7683"/>
    <w:rsid w:val="000D0677"/>
    <w:rsid w:val="000D3523"/>
    <w:rsid w:val="000F3351"/>
    <w:rsid w:val="00102934"/>
    <w:rsid w:val="00147110"/>
    <w:rsid w:val="001533E7"/>
    <w:rsid w:val="0017709E"/>
    <w:rsid w:val="00192E56"/>
    <w:rsid w:val="00196D1D"/>
    <w:rsid w:val="001A49DA"/>
    <w:rsid w:val="001D3E06"/>
    <w:rsid w:val="001E0863"/>
    <w:rsid w:val="002058CE"/>
    <w:rsid w:val="00211BB3"/>
    <w:rsid w:val="002165F1"/>
    <w:rsid w:val="00221369"/>
    <w:rsid w:val="00271475"/>
    <w:rsid w:val="00276D21"/>
    <w:rsid w:val="00296D7F"/>
    <w:rsid w:val="002B1597"/>
    <w:rsid w:val="002B257B"/>
    <w:rsid w:val="002B3CF6"/>
    <w:rsid w:val="002C768A"/>
    <w:rsid w:val="002D76C4"/>
    <w:rsid w:val="002F5199"/>
    <w:rsid w:val="00304D08"/>
    <w:rsid w:val="00323211"/>
    <w:rsid w:val="00331D32"/>
    <w:rsid w:val="003413BE"/>
    <w:rsid w:val="00346588"/>
    <w:rsid w:val="00372560"/>
    <w:rsid w:val="0039005C"/>
    <w:rsid w:val="003901FE"/>
    <w:rsid w:val="003B62C3"/>
    <w:rsid w:val="003B746D"/>
    <w:rsid w:val="003F062D"/>
    <w:rsid w:val="00406911"/>
    <w:rsid w:val="00406D7B"/>
    <w:rsid w:val="00420DFD"/>
    <w:rsid w:val="00425118"/>
    <w:rsid w:val="00437E42"/>
    <w:rsid w:val="00456A68"/>
    <w:rsid w:val="0046785B"/>
    <w:rsid w:val="00470E28"/>
    <w:rsid w:val="00473C30"/>
    <w:rsid w:val="0048052C"/>
    <w:rsid w:val="004934C5"/>
    <w:rsid w:val="004A3A17"/>
    <w:rsid w:val="004D2880"/>
    <w:rsid w:val="004D3BC2"/>
    <w:rsid w:val="004F208B"/>
    <w:rsid w:val="0050224A"/>
    <w:rsid w:val="005037FC"/>
    <w:rsid w:val="005037FE"/>
    <w:rsid w:val="00503BA1"/>
    <w:rsid w:val="00510AB1"/>
    <w:rsid w:val="00531032"/>
    <w:rsid w:val="0053511D"/>
    <w:rsid w:val="00545DC8"/>
    <w:rsid w:val="00551944"/>
    <w:rsid w:val="00556548"/>
    <w:rsid w:val="00586EF8"/>
    <w:rsid w:val="00595D42"/>
    <w:rsid w:val="005B2B75"/>
    <w:rsid w:val="005B49AB"/>
    <w:rsid w:val="005B50E7"/>
    <w:rsid w:val="005C2FBC"/>
    <w:rsid w:val="005E368B"/>
    <w:rsid w:val="005E7B4F"/>
    <w:rsid w:val="005F003C"/>
    <w:rsid w:val="00607D68"/>
    <w:rsid w:val="006149B1"/>
    <w:rsid w:val="006249E0"/>
    <w:rsid w:val="00635157"/>
    <w:rsid w:val="006508D3"/>
    <w:rsid w:val="00680D2B"/>
    <w:rsid w:val="00681B32"/>
    <w:rsid w:val="006B1D2B"/>
    <w:rsid w:val="006E2037"/>
    <w:rsid w:val="006E427A"/>
    <w:rsid w:val="006E6199"/>
    <w:rsid w:val="00712870"/>
    <w:rsid w:val="00715EEC"/>
    <w:rsid w:val="007431E9"/>
    <w:rsid w:val="00743D85"/>
    <w:rsid w:val="00753CF4"/>
    <w:rsid w:val="007565CC"/>
    <w:rsid w:val="00763B9A"/>
    <w:rsid w:val="00781479"/>
    <w:rsid w:val="00792F87"/>
    <w:rsid w:val="007A5967"/>
    <w:rsid w:val="007A6AA8"/>
    <w:rsid w:val="007A6AD0"/>
    <w:rsid w:val="007B323B"/>
    <w:rsid w:val="007C01CA"/>
    <w:rsid w:val="007D0089"/>
    <w:rsid w:val="007E2B6B"/>
    <w:rsid w:val="007F41BA"/>
    <w:rsid w:val="007F77EA"/>
    <w:rsid w:val="00817CB8"/>
    <w:rsid w:val="008310C9"/>
    <w:rsid w:val="00844AB9"/>
    <w:rsid w:val="008473E4"/>
    <w:rsid w:val="00853CC5"/>
    <w:rsid w:val="008618C5"/>
    <w:rsid w:val="0086771B"/>
    <w:rsid w:val="00896C78"/>
    <w:rsid w:val="008B3E3C"/>
    <w:rsid w:val="008C7848"/>
    <w:rsid w:val="008E21F3"/>
    <w:rsid w:val="008E5CA7"/>
    <w:rsid w:val="008E71B9"/>
    <w:rsid w:val="008F57D1"/>
    <w:rsid w:val="00906AD6"/>
    <w:rsid w:val="00917AF2"/>
    <w:rsid w:val="0092418A"/>
    <w:rsid w:val="00934ED7"/>
    <w:rsid w:val="0094404C"/>
    <w:rsid w:val="009543C3"/>
    <w:rsid w:val="00957EA6"/>
    <w:rsid w:val="009650A8"/>
    <w:rsid w:val="00966E1B"/>
    <w:rsid w:val="00987127"/>
    <w:rsid w:val="00987771"/>
    <w:rsid w:val="009947C0"/>
    <w:rsid w:val="009A3F79"/>
    <w:rsid w:val="009A4635"/>
    <w:rsid w:val="009A554E"/>
    <w:rsid w:val="009B1FA0"/>
    <w:rsid w:val="009E087C"/>
    <w:rsid w:val="009F2D2C"/>
    <w:rsid w:val="00A03E80"/>
    <w:rsid w:val="00A17439"/>
    <w:rsid w:val="00A31928"/>
    <w:rsid w:val="00A46B8F"/>
    <w:rsid w:val="00A47503"/>
    <w:rsid w:val="00A504AC"/>
    <w:rsid w:val="00A64DF8"/>
    <w:rsid w:val="00A6617B"/>
    <w:rsid w:val="00A70F1E"/>
    <w:rsid w:val="00A71FE5"/>
    <w:rsid w:val="00A94B3F"/>
    <w:rsid w:val="00A971A1"/>
    <w:rsid w:val="00AA3AD8"/>
    <w:rsid w:val="00AA63A5"/>
    <w:rsid w:val="00AB0DC8"/>
    <w:rsid w:val="00AC1838"/>
    <w:rsid w:val="00AD7E2E"/>
    <w:rsid w:val="00AE51D1"/>
    <w:rsid w:val="00AE7B89"/>
    <w:rsid w:val="00B02364"/>
    <w:rsid w:val="00B033C8"/>
    <w:rsid w:val="00B33425"/>
    <w:rsid w:val="00B44E24"/>
    <w:rsid w:val="00B54ECC"/>
    <w:rsid w:val="00B714F3"/>
    <w:rsid w:val="00B7694A"/>
    <w:rsid w:val="00B87B6B"/>
    <w:rsid w:val="00BB4FB9"/>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B0F14"/>
    <w:rsid w:val="00CD659B"/>
    <w:rsid w:val="00CE67F5"/>
    <w:rsid w:val="00D115E0"/>
    <w:rsid w:val="00D422B1"/>
    <w:rsid w:val="00D448E6"/>
    <w:rsid w:val="00D6708F"/>
    <w:rsid w:val="00D83556"/>
    <w:rsid w:val="00DA168D"/>
    <w:rsid w:val="00DA1E43"/>
    <w:rsid w:val="00DB09D5"/>
    <w:rsid w:val="00DE4463"/>
    <w:rsid w:val="00DE50D0"/>
    <w:rsid w:val="00DF4176"/>
    <w:rsid w:val="00E16513"/>
    <w:rsid w:val="00E17240"/>
    <w:rsid w:val="00E204C4"/>
    <w:rsid w:val="00E23C36"/>
    <w:rsid w:val="00E620AB"/>
    <w:rsid w:val="00E713C1"/>
    <w:rsid w:val="00E74595"/>
    <w:rsid w:val="00E80F77"/>
    <w:rsid w:val="00EA2D91"/>
    <w:rsid w:val="00EB6409"/>
    <w:rsid w:val="00EC388C"/>
    <w:rsid w:val="00ED2695"/>
    <w:rsid w:val="00EE4DA4"/>
    <w:rsid w:val="00EE75E4"/>
    <w:rsid w:val="00EF1221"/>
    <w:rsid w:val="00F137A3"/>
    <w:rsid w:val="00F15F4F"/>
    <w:rsid w:val="00F30C9B"/>
    <w:rsid w:val="00F354B1"/>
    <w:rsid w:val="00F43F17"/>
    <w:rsid w:val="00F550FD"/>
    <w:rsid w:val="00F9588B"/>
    <w:rsid w:val="00FA2026"/>
    <w:rsid w:val="00FA67C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link w:val="enumlev1"/>
    <w:locked/>
    <w:rsid w:val="005037FE"/>
    <w:rPr>
      <w:sz w:val="24"/>
      <w:lang w:val="fr-FR" w:eastAsia="en-US"/>
    </w:rPr>
  </w:style>
  <w:style w:type="paragraph" w:styleId="BalloonText">
    <w:name w:val="Balloon Text"/>
    <w:basedOn w:val="Normal"/>
    <w:link w:val="BalloonTextChar"/>
    <w:rsid w:val="0017709E"/>
    <w:pPr>
      <w:spacing w:before="0"/>
    </w:pPr>
    <w:rPr>
      <w:rFonts w:ascii="Tahoma" w:hAnsi="Tahoma" w:cs="Tahoma"/>
      <w:sz w:val="16"/>
      <w:szCs w:val="16"/>
    </w:rPr>
  </w:style>
  <w:style w:type="character" w:customStyle="1" w:styleId="BalloonTextChar">
    <w:name w:val="Balloon Text Char"/>
    <w:basedOn w:val="DefaultParagraphFont"/>
    <w:link w:val="BalloonText"/>
    <w:rsid w:val="0017709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link w:val="enumlev1"/>
    <w:locked/>
    <w:rsid w:val="005037FE"/>
    <w:rPr>
      <w:sz w:val="24"/>
      <w:lang w:val="fr-FR" w:eastAsia="en-US"/>
    </w:rPr>
  </w:style>
  <w:style w:type="paragraph" w:styleId="BalloonText">
    <w:name w:val="Balloon Text"/>
    <w:basedOn w:val="Normal"/>
    <w:link w:val="BalloonTextChar"/>
    <w:rsid w:val="0017709E"/>
    <w:pPr>
      <w:spacing w:before="0"/>
    </w:pPr>
    <w:rPr>
      <w:rFonts w:ascii="Tahoma" w:hAnsi="Tahoma" w:cs="Tahoma"/>
      <w:sz w:val="16"/>
      <w:szCs w:val="16"/>
    </w:rPr>
  </w:style>
  <w:style w:type="character" w:customStyle="1" w:styleId="BalloonTextChar">
    <w:name w:val="Balloon Text Char"/>
    <w:basedOn w:val="DefaultParagraphFont"/>
    <w:link w:val="BalloonText"/>
    <w:rsid w:val="0017709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C08E-C46B-4E8E-A44A-2AE9463D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TotalTime>
  <Pages>5</Pages>
  <Words>1738</Words>
  <Characters>623</Characters>
  <Application>Microsoft Office Word</Application>
  <DocSecurity>0</DocSecurity>
  <Lines>47</Lines>
  <Paragraphs>26</Paragraphs>
  <ScaleCrop>false</ScaleCrop>
  <HeadingPairs>
    <vt:vector size="2" baseType="variant">
      <vt:variant>
        <vt:lpstr>Title</vt:lpstr>
      </vt:variant>
      <vt:variant>
        <vt:i4>1</vt:i4>
      </vt:variant>
    </vt:vector>
  </HeadingPairs>
  <TitlesOfParts>
    <vt:vector size="1" baseType="lpstr">
      <vt:lpstr>ITU-R P.1853建议书 - 对流层衰减时间系列的合成方法</vt:lpstr>
    </vt:vector>
  </TitlesOfParts>
  <Manager/>
  <Company>ITU</Company>
  <LinksUpToDate>false</LinksUpToDate>
  <CharactersWithSpaces>2335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P.1409-1建议书 - 在约1 GHz以上频率使用高空平台台站和平流层其它高空台站的系统的传播数据和预测方法</dc:title>
  <dc:subject/>
  <dc:creator>lij</dc:creator>
  <cp:keywords/>
  <dc:description>Edition                       1.11.07      SP_x000d_
corr. editeur: 14.2.08/KJ_x000d_
REV - 18-02-08 - HB_x000d_
1era epreuve: 29.10.09/SC</dc:description>
  <cp:lastModifiedBy>lij</cp:lastModifiedBy>
  <cp:revision>5</cp:revision>
  <cp:lastPrinted>2012-07-02T14:28:00Z</cp:lastPrinted>
  <dcterms:created xsi:type="dcterms:W3CDTF">2012-06-11T11:21:00Z</dcterms:created>
  <dcterms:modified xsi:type="dcterms:W3CDTF">2012-07-02T14:28:00Z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