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458" w:rsidRDefault="003F5458"/>
    <w:p w:rsidR="003F5458" w:rsidRDefault="003F5458"/>
    <w:p w:rsidR="003F5458" w:rsidRDefault="003F5458"/>
    <w:p w:rsidR="003F5458" w:rsidRDefault="003F5458"/>
    <w:p w:rsidR="003F5458" w:rsidRDefault="003F5458"/>
    <w:p w:rsidR="003F5458" w:rsidRDefault="003F5458"/>
    <w:p w:rsidR="003F5458" w:rsidRDefault="003F5458"/>
    <w:p w:rsidR="003F5458" w:rsidRDefault="003F5458"/>
    <w:p w:rsidR="003F5458" w:rsidRDefault="003F5458"/>
    <w:p w:rsidR="003F5458" w:rsidRDefault="003F5458"/>
    <w:p w:rsidR="003F5458" w:rsidRDefault="003F5458"/>
    <w:p w:rsidR="003F5458" w:rsidRDefault="003F5458"/>
    <w:tbl>
      <w:tblPr>
        <w:tblW w:w="10089" w:type="dxa"/>
        <w:tblLook w:val="01E0"/>
      </w:tblPr>
      <w:tblGrid>
        <w:gridCol w:w="10089"/>
      </w:tblGrid>
      <w:tr w:rsidR="003F5458" w:rsidRPr="00A443C2">
        <w:tc>
          <w:tcPr>
            <w:tcW w:w="10089" w:type="dxa"/>
          </w:tcPr>
          <w:p w:rsidR="003F5458" w:rsidRPr="00B033C8" w:rsidRDefault="003F5458" w:rsidP="00D96065">
            <w:pPr>
              <w:spacing w:before="380" w:line="280" w:lineRule="exact"/>
              <w:jc w:val="right"/>
              <w:rPr>
                <w:rFonts w:ascii="Tahoma" w:hAnsi="Tahoma" w:cs="Tahoma"/>
                <w:b/>
                <w:bCs/>
                <w:iCs/>
                <w:color w:val="243285"/>
                <w:sz w:val="32"/>
                <w:szCs w:val="32"/>
                <w:lang w:val="en-US"/>
              </w:rPr>
            </w:pPr>
          </w:p>
          <w:p w:rsidR="003F5458" w:rsidRPr="00A443C2" w:rsidRDefault="003F5458" w:rsidP="0098026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98026A">
              <w:rPr>
                <w:rFonts w:ascii="Tahoma" w:hAnsi="Tahoma" w:cs="Tahoma"/>
                <w:b/>
                <w:bCs/>
                <w:iCs/>
                <w:color w:val="243285"/>
                <w:sz w:val="36"/>
                <w:szCs w:val="36"/>
              </w:rPr>
              <w:t>1321-3</w:t>
            </w:r>
          </w:p>
          <w:p w:rsidR="003F5458" w:rsidRPr="00A443C2" w:rsidRDefault="003F5458" w:rsidP="0098026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98026A">
              <w:rPr>
                <w:rFonts w:ascii="Tahoma" w:hAnsi="Tahoma" w:cs="Tahoma"/>
                <w:b/>
                <w:bCs/>
                <w:iCs/>
                <w:color w:val="243285"/>
                <w:szCs w:val="24"/>
              </w:rPr>
              <w:t>1</w:t>
            </w:r>
            <w:r w:rsidRPr="00A443C2">
              <w:rPr>
                <w:rFonts w:ascii="Tahoma" w:hAnsi="Tahoma" w:cs="Tahoma"/>
                <w:b/>
                <w:bCs/>
                <w:iCs/>
                <w:color w:val="243285"/>
                <w:szCs w:val="24"/>
              </w:rPr>
              <w:t>0/</w:t>
            </w:r>
            <w:r w:rsidR="0098026A">
              <w:rPr>
                <w:rFonts w:ascii="Tahoma" w:hAnsi="Tahoma" w:cs="Tahoma"/>
                <w:b/>
                <w:bCs/>
                <w:iCs/>
                <w:color w:val="243285"/>
                <w:szCs w:val="24"/>
              </w:rPr>
              <w:t>2009</w:t>
            </w:r>
            <w:r w:rsidRPr="00A443C2">
              <w:rPr>
                <w:rFonts w:ascii="Tahoma" w:hAnsi="Tahoma" w:cs="Tahoma"/>
                <w:b/>
                <w:bCs/>
                <w:iCs/>
                <w:color w:val="243285"/>
                <w:szCs w:val="24"/>
              </w:rPr>
              <w:t>)</w:t>
            </w:r>
          </w:p>
        </w:tc>
      </w:tr>
      <w:tr w:rsidR="003F5458" w:rsidRPr="00F54FBD">
        <w:tc>
          <w:tcPr>
            <w:tcW w:w="10089" w:type="dxa"/>
          </w:tcPr>
          <w:p w:rsidR="003F5458" w:rsidRDefault="003F5458" w:rsidP="00D96065">
            <w:pPr>
              <w:spacing w:before="80" w:line="500" w:lineRule="exact"/>
              <w:jc w:val="right"/>
              <w:rPr>
                <w:rFonts w:ascii="Tahoma" w:hAnsi="Tahoma" w:cs="Tahoma"/>
                <w:b/>
                <w:bCs/>
                <w:iCs/>
                <w:color w:val="243285"/>
                <w:sz w:val="44"/>
                <w:szCs w:val="44"/>
              </w:rPr>
            </w:pPr>
          </w:p>
          <w:p w:rsidR="003F5458" w:rsidRDefault="0098026A" w:rsidP="00D96065">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Facteurs de propagation qui influent sur les systèmes utilisant des techniques de modulation numérique dans les bandes d'ondes kilométriques et hectométriques</w:t>
            </w:r>
          </w:p>
          <w:p w:rsidR="003F5458" w:rsidRPr="00F54FBD" w:rsidRDefault="003F5458" w:rsidP="00D96065">
            <w:pPr>
              <w:spacing w:before="80" w:line="500" w:lineRule="exact"/>
              <w:jc w:val="right"/>
              <w:rPr>
                <w:rFonts w:ascii="Tahoma" w:hAnsi="Tahoma" w:cs="Tahoma"/>
                <w:b/>
                <w:bCs/>
                <w:iCs/>
                <w:color w:val="243285"/>
                <w:sz w:val="44"/>
                <w:szCs w:val="44"/>
              </w:rPr>
            </w:pPr>
          </w:p>
        </w:tc>
      </w:tr>
      <w:tr w:rsidR="003F5458" w:rsidRPr="00F54FBD">
        <w:tc>
          <w:tcPr>
            <w:tcW w:w="10089" w:type="dxa"/>
          </w:tcPr>
          <w:p w:rsidR="003F5458" w:rsidRPr="00F54FBD" w:rsidRDefault="003F5458" w:rsidP="00D96065">
            <w:pPr>
              <w:spacing w:before="80" w:line="280" w:lineRule="exact"/>
              <w:ind w:right="640"/>
              <w:rPr>
                <w:rFonts w:ascii="Tahoma" w:hAnsi="Tahoma" w:cs="Tahoma"/>
                <w:b/>
                <w:bCs/>
                <w:iCs/>
                <w:color w:val="243285"/>
                <w:sz w:val="32"/>
                <w:szCs w:val="32"/>
              </w:rPr>
            </w:pPr>
          </w:p>
          <w:p w:rsidR="003F5458" w:rsidRPr="00F54FBD" w:rsidRDefault="003F5458" w:rsidP="00D96065">
            <w:pPr>
              <w:spacing w:before="80" w:line="280" w:lineRule="exact"/>
              <w:ind w:right="640"/>
              <w:rPr>
                <w:rFonts w:ascii="Tahoma" w:hAnsi="Tahoma" w:cs="Tahoma"/>
                <w:b/>
                <w:bCs/>
                <w:iCs/>
                <w:color w:val="243285"/>
                <w:sz w:val="32"/>
                <w:szCs w:val="32"/>
              </w:rPr>
            </w:pPr>
          </w:p>
          <w:p w:rsidR="003F5458" w:rsidRPr="00F54FBD" w:rsidRDefault="003F5458" w:rsidP="00D96065">
            <w:pPr>
              <w:spacing w:before="80" w:after="180" w:line="360" w:lineRule="exact"/>
              <w:ind w:right="720"/>
              <w:rPr>
                <w:rFonts w:ascii="Tahoma" w:hAnsi="Tahoma" w:cs="Tahoma"/>
                <w:b/>
                <w:bCs/>
                <w:iCs/>
                <w:color w:val="243285"/>
                <w:sz w:val="36"/>
                <w:szCs w:val="36"/>
              </w:rPr>
            </w:pPr>
          </w:p>
          <w:p w:rsidR="003F5458" w:rsidRPr="00F54FBD" w:rsidRDefault="003F5458" w:rsidP="00D9606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3F5458" w:rsidRPr="00F54FBD" w:rsidRDefault="003F5458" w:rsidP="00D96065">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3F5458" w:rsidRPr="00F54FBD" w:rsidRDefault="003F5458" w:rsidP="00D96065">
      <w:pPr>
        <w:spacing w:before="80"/>
        <w:rPr>
          <w:i/>
          <w:sz w:val="22"/>
        </w:rPr>
      </w:pPr>
    </w:p>
    <w:p w:rsidR="003F5458" w:rsidRPr="00F54FBD" w:rsidRDefault="003F5458" w:rsidP="00D96065">
      <w:pPr>
        <w:spacing w:before="80"/>
        <w:rPr>
          <w:i/>
          <w:sz w:val="22"/>
        </w:rPr>
      </w:pPr>
    </w:p>
    <w:p w:rsidR="003F5458" w:rsidRPr="00F54FBD" w:rsidRDefault="003F5458" w:rsidP="00D96065">
      <w:pPr>
        <w:spacing w:before="80"/>
        <w:rPr>
          <w:i/>
          <w:sz w:val="22"/>
        </w:rPr>
      </w:pPr>
    </w:p>
    <w:p w:rsidR="003F5458" w:rsidRPr="00F54FBD" w:rsidRDefault="003F5458" w:rsidP="00D96065">
      <w:pPr>
        <w:spacing w:before="80"/>
        <w:rPr>
          <w:i/>
          <w:sz w:val="22"/>
        </w:rPr>
      </w:pPr>
    </w:p>
    <w:p w:rsidR="003F5458" w:rsidRPr="00F54FBD" w:rsidRDefault="003F5458" w:rsidP="00D96065">
      <w:pPr>
        <w:spacing w:before="80"/>
        <w:rPr>
          <w:i/>
          <w:sz w:val="22"/>
        </w:rPr>
      </w:pPr>
    </w:p>
    <w:p w:rsidR="003F5458" w:rsidRPr="00F54FBD" w:rsidRDefault="003F5458" w:rsidP="00D96065">
      <w:pPr>
        <w:spacing w:before="80"/>
        <w:rPr>
          <w:i/>
          <w:sz w:val="22"/>
        </w:rPr>
      </w:pPr>
    </w:p>
    <w:p w:rsidR="003F5458" w:rsidRPr="00F54FBD" w:rsidRDefault="003F5458" w:rsidP="00D96065">
      <w:pPr>
        <w:pStyle w:val="Equation"/>
        <w:tabs>
          <w:tab w:val="clear" w:pos="4820"/>
          <w:tab w:val="clear" w:pos="9639"/>
          <w:tab w:val="left" w:pos="1191"/>
          <w:tab w:val="left" w:pos="1588"/>
          <w:tab w:val="left" w:pos="1985"/>
        </w:tabs>
        <w:rPr>
          <w:rFonts w:ascii="Palatino Linotype" w:hAnsi="Palatino Linotype"/>
        </w:rPr>
        <w:sectPr w:rsidR="003F5458" w:rsidRPr="00F54FBD" w:rsidSect="00D96065">
          <w:headerReference w:type="even" r:id="rId6"/>
          <w:headerReference w:type="default" r:id="rId7"/>
          <w:pgSz w:w="11907" w:h="16834" w:code="9"/>
          <w:pgMar w:top="1418" w:right="1134" w:bottom="1134" w:left="1134" w:header="720" w:footer="482" w:gutter="0"/>
          <w:paperSrc w:first="15" w:other="15"/>
          <w:cols w:space="720"/>
        </w:sectPr>
      </w:pPr>
    </w:p>
    <w:p w:rsidR="003F5458" w:rsidRPr="00F54FBD" w:rsidRDefault="003F5458" w:rsidP="00D960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3F5458" w:rsidRPr="00F54FBD" w:rsidRDefault="003F5458" w:rsidP="00D96065">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F5458" w:rsidRPr="00F54FBD" w:rsidRDefault="003F5458" w:rsidP="00D96065">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3F5458" w:rsidRPr="00E44CBB" w:rsidRDefault="003F5458" w:rsidP="00D96065">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3F5458" w:rsidRPr="00E44CBB" w:rsidRDefault="003F5458" w:rsidP="00D96065">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3F5458" w:rsidRPr="00645D7F" w:rsidRDefault="003F5458" w:rsidP="00D9606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3F5458" w:rsidRPr="009454F8">
        <w:tc>
          <w:tcPr>
            <w:tcW w:w="9360" w:type="dxa"/>
            <w:gridSpan w:val="2"/>
          </w:tcPr>
          <w:p w:rsidR="003F5458" w:rsidRPr="009454F8" w:rsidRDefault="003F5458" w:rsidP="00D96065">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3F5458" w:rsidRPr="009454F8" w:rsidRDefault="003F5458" w:rsidP="00D960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3F5458" w:rsidRPr="00036EE3" w:rsidTr="00D96065">
        <w:tc>
          <w:tcPr>
            <w:tcW w:w="1140" w:type="dxa"/>
            <w:tcBorders>
              <w:bottom w:val="nil"/>
            </w:tcBorders>
          </w:tcPr>
          <w:p w:rsidR="003F5458" w:rsidRPr="00614CC6" w:rsidRDefault="003F5458" w:rsidP="00D96065">
            <w:pPr>
              <w:spacing w:before="90" w:after="100"/>
              <w:ind w:left="57"/>
              <w:rPr>
                <w:b/>
                <w:bCs/>
                <w:sz w:val="20"/>
                <w:lang w:val="en-US"/>
              </w:rPr>
            </w:pPr>
            <w:r w:rsidRPr="00614CC6">
              <w:rPr>
                <w:b/>
                <w:bCs/>
                <w:sz w:val="20"/>
                <w:lang w:val="en-US"/>
              </w:rPr>
              <w:t>Séries</w:t>
            </w:r>
          </w:p>
        </w:tc>
        <w:tc>
          <w:tcPr>
            <w:tcW w:w="8220" w:type="dxa"/>
            <w:tcBorders>
              <w:bottom w:val="nil"/>
            </w:tcBorders>
          </w:tcPr>
          <w:p w:rsidR="003F5458" w:rsidRPr="00614CC6" w:rsidRDefault="003F5458" w:rsidP="00D960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3F5458" w:rsidRPr="005E427C" w:rsidTr="00D96065">
        <w:tc>
          <w:tcPr>
            <w:tcW w:w="1140" w:type="dxa"/>
            <w:tcBorders>
              <w:top w:val="nil"/>
              <w:bottom w:val="nil"/>
            </w:tcBorders>
            <w:shd w:val="clear" w:color="auto" w:fill="auto"/>
          </w:tcPr>
          <w:p w:rsidR="003F5458" w:rsidRPr="005E427C" w:rsidRDefault="003F5458" w:rsidP="00D96065">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3F5458" w:rsidRPr="005E427C" w:rsidRDefault="003F5458" w:rsidP="00D960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3F5458" w:rsidRPr="009454F8" w:rsidTr="00D96065">
        <w:tc>
          <w:tcPr>
            <w:tcW w:w="1140" w:type="dxa"/>
            <w:tcBorders>
              <w:top w:val="nil"/>
              <w:bottom w:val="nil"/>
            </w:tcBorders>
          </w:tcPr>
          <w:p w:rsidR="003F5458" w:rsidRPr="00614CC6" w:rsidRDefault="003F5458" w:rsidP="00D96065">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3F5458" w:rsidRPr="00614CC6" w:rsidRDefault="003F5458" w:rsidP="00D960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3F5458" w:rsidRPr="00E80F1D" w:rsidTr="00D96065">
        <w:tc>
          <w:tcPr>
            <w:tcW w:w="1140" w:type="dxa"/>
            <w:tcBorders>
              <w:top w:val="nil"/>
              <w:bottom w:val="nil"/>
            </w:tcBorders>
            <w:shd w:val="clear" w:color="auto" w:fill="auto"/>
          </w:tcPr>
          <w:p w:rsidR="003F5458" w:rsidRPr="00E80F1D" w:rsidRDefault="003F5458" w:rsidP="00D96065">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3F5458" w:rsidRPr="00E80F1D" w:rsidRDefault="003F5458" w:rsidP="00D960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3F5458" w:rsidRPr="00ED2695" w:rsidTr="00D96065">
        <w:tc>
          <w:tcPr>
            <w:tcW w:w="1140" w:type="dxa"/>
            <w:tcBorders>
              <w:top w:val="nil"/>
              <w:bottom w:val="nil"/>
            </w:tcBorders>
            <w:shd w:val="clear" w:color="auto" w:fill="auto"/>
          </w:tcPr>
          <w:p w:rsidR="003F5458" w:rsidRPr="00614CC6" w:rsidRDefault="003F5458" w:rsidP="00D96065">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3F5458" w:rsidRPr="00614CC6" w:rsidRDefault="003F5458" w:rsidP="00D960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3F5458" w:rsidRPr="00DE5EA2" w:rsidTr="00D96065">
        <w:tc>
          <w:tcPr>
            <w:tcW w:w="1140" w:type="dxa"/>
            <w:tcBorders>
              <w:top w:val="nil"/>
              <w:bottom w:val="nil"/>
            </w:tcBorders>
            <w:shd w:val="clear" w:color="auto" w:fill="auto"/>
          </w:tcPr>
          <w:p w:rsidR="003F5458" w:rsidRPr="00DE5EA2" w:rsidRDefault="003F5458" w:rsidP="00D96065">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3F5458" w:rsidRPr="00DE5EA2" w:rsidRDefault="003F5458" w:rsidP="00D960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3F5458" w:rsidRPr="00B21066" w:rsidTr="00D96065">
        <w:tc>
          <w:tcPr>
            <w:tcW w:w="1140" w:type="dxa"/>
            <w:tcBorders>
              <w:top w:val="nil"/>
              <w:bottom w:val="nil"/>
            </w:tcBorders>
            <w:shd w:val="clear" w:color="auto" w:fill="auto"/>
          </w:tcPr>
          <w:p w:rsidR="003F5458" w:rsidRPr="00B21066" w:rsidRDefault="003F5458" w:rsidP="00D96065">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3F5458" w:rsidRPr="00B21066" w:rsidRDefault="003F5458" w:rsidP="00D960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3F5458" w:rsidRPr="00DE5EA2" w:rsidTr="00D96065">
        <w:tc>
          <w:tcPr>
            <w:tcW w:w="1140" w:type="dxa"/>
            <w:tcBorders>
              <w:top w:val="nil"/>
              <w:bottom w:val="nil"/>
            </w:tcBorders>
            <w:shd w:val="clear" w:color="auto" w:fill="F3F3F3"/>
          </w:tcPr>
          <w:p w:rsidR="003F5458" w:rsidRPr="00DE5EA2" w:rsidRDefault="003F5458" w:rsidP="00D96065">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3F5458" w:rsidRPr="00DE5EA2" w:rsidRDefault="003F5458" w:rsidP="00D96065">
            <w:pPr>
              <w:spacing w:before="30" w:after="30"/>
              <w:jc w:val="left"/>
              <w:rPr>
                <w:b/>
                <w:bCs/>
                <w:color w:val="000080"/>
                <w:sz w:val="20"/>
                <w:lang w:val="fr-CH"/>
              </w:rPr>
            </w:pPr>
            <w:r w:rsidRPr="00DE5EA2">
              <w:rPr>
                <w:b/>
                <w:bCs/>
                <w:color w:val="000080"/>
                <w:sz w:val="20"/>
              </w:rPr>
              <w:t>Propagation des ondes radioélectriques</w:t>
            </w:r>
          </w:p>
        </w:tc>
      </w:tr>
      <w:tr w:rsidR="003F5458" w:rsidRPr="00036EE3" w:rsidTr="00D96065">
        <w:tc>
          <w:tcPr>
            <w:tcW w:w="1140" w:type="dxa"/>
            <w:tcBorders>
              <w:top w:val="nil"/>
            </w:tcBorders>
          </w:tcPr>
          <w:p w:rsidR="003F5458" w:rsidRPr="00614CC6" w:rsidRDefault="003F5458" w:rsidP="00D96065">
            <w:pPr>
              <w:spacing w:before="30" w:after="30"/>
              <w:ind w:left="57"/>
              <w:jc w:val="left"/>
              <w:rPr>
                <w:b/>
                <w:bCs/>
                <w:sz w:val="20"/>
                <w:lang w:val="en-US"/>
              </w:rPr>
            </w:pPr>
            <w:r w:rsidRPr="00614CC6">
              <w:rPr>
                <w:b/>
                <w:bCs/>
                <w:sz w:val="20"/>
                <w:lang w:val="en-US"/>
              </w:rPr>
              <w:t>RA</w:t>
            </w:r>
          </w:p>
        </w:tc>
        <w:tc>
          <w:tcPr>
            <w:tcW w:w="8220" w:type="dxa"/>
            <w:tcBorders>
              <w:top w:val="nil"/>
            </w:tcBorders>
          </w:tcPr>
          <w:p w:rsidR="003F5458" w:rsidRPr="00614CC6" w:rsidRDefault="003F5458" w:rsidP="00D960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3F5458" w:rsidRPr="00036EE3">
        <w:tc>
          <w:tcPr>
            <w:tcW w:w="1140" w:type="dxa"/>
          </w:tcPr>
          <w:p w:rsidR="003F5458" w:rsidRPr="00614CC6" w:rsidRDefault="003F5458" w:rsidP="00D96065">
            <w:pPr>
              <w:spacing w:before="30" w:after="30"/>
              <w:ind w:left="57"/>
              <w:jc w:val="left"/>
              <w:rPr>
                <w:b/>
                <w:bCs/>
                <w:sz w:val="20"/>
                <w:lang w:val="en-US"/>
              </w:rPr>
            </w:pPr>
            <w:r w:rsidRPr="00614CC6">
              <w:rPr>
                <w:b/>
                <w:bCs/>
                <w:sz w:val="20"/>
                <w:lang w:val="en-US"/>
              </w:rPr>
              <w:t>RS</w:t>
            </w:r>
          </w:p>
        </w:tc>
        <w:tc>
          <w:tcPr>
            <w:tcW w:w="8220" w:type="dxa"/>
          </w:tcPr>
          <w:p w:rsidR="003F5458" w:rsidRPr="00614CC6" w:rsidRDefault="003F5458" w:rsidP="00D960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3F5458" w:rsidRPr="00036EE3">
        <w:tc>
          <w:tcPr>
            <w:tcW w:w="1140" w:type="dxa"/>
          </w:tcPr>
          <w:p w:rsidR="003F5458" w:rsidRPr="00614CC6" w:rsidRDefault="003F5458" w:rsidP="00D96065">
            <w:pPr>
              <w:spacing w:before="30" w:after="30"/>
              <w:ind w:left="57"/>
              <w:jc w:val="left"/>
              <w:rPr>
                <w:b/>
                <w:bCs/>
                <w:sz w:val="20"/>
                <w:lang w:val="en-US"/>
              </w:rPr>
            </w:pPr>
            <w:r w:rsidRPr="00614CC6">
              <w:rPr>
                <w:b/>
                <w:bCs/>
                <w:sz w:val="20"/>
                <w:lang w:val="en-US"/>
              </w:rPr>
              <w:t>S</w:t>
            </w:r>
          </w:p>
        </w:tc>
        <w:tc>
          <w:tcPr>
            <w:tcW w:w="8220" w:type="dxa"/>
          </w:tcPr>
          <w:p w:rsidR="003F5458" w:rsidRPr="00614CC6" w:rsidRDefault="003F5458" w:rsidP="00D96065">
            <w:pPr>
              <w:spacing w:before="30" w:after="30"/>
              <w:jc w:val="left"/>
              <w:rPr>
                <w:sz w:val="20"/>
                <w:lang w:val="en-US"/>
              </w:rPr>
            </w:pPr>
            <w:r w:rsidRPr="00614CC6">
              <w:rPr>
                <w:sz w:val="20"/>
              </w:rPr>
              <w:t>Service fixe par satellite</w:t>
            </w:r>
          </w:p>
        </w:tc>
      </w:tr>
      <w:tr w:rsidR="003F5458" w:rsidRPr="00036EE3">
        <w:tc>
          <w:tcPr>
            <w:tcW w:w="1140" w:type="dxa"/>
          </w:tcPr>
          <w:p w:rsidR="003F5458" w:rsidRPr="00614CC6" w:rsidRDefault="003F5458" w:rsidP="00D96065">
            <w:pPr>
              <w:spacing w:before="30" w:after="30"/>
              <w:ind w:left="57"/>
              <w:jc w:val="left"/>
              <w:rPr>
                <w:b/>
                <w:bCs/>
                <w:sz w:val="20"/>
                <w:lang w:val="en-US"/>
              </w:rPr>
            </w:pPr>
            <w:r w:rsidRPr="00614CC6">
              <w:rPr>
                <w:b/>
                <w:bCs/>
                <w:sz w:val="20"/>
                <w:lang w:val="en-US"/>
              </w:rPr>
              <w:t>SA</w:t>
            </w:r>
          </w:p>
        </w:tc>
        <w:tc>
          <w:tcPr>
            <w:tcW w:w="8220" w:type="dxa"/>
          </w:tcPr>
          <w:p w:rsidR="003F5458" w:rsidRPr="00614CC6" w:rsidRDefault="003F5458" w:rsidP="00D96065">
            <w:pPr>
              <w:spacing w:before="30" w:after="30"/>
              <w:jc w:val="left"/>
              <w:rPr>
                <w:sz w:val="20"/>
                <w:lang w:val="en-US"/>
              </w:rPr>
            </w:pPr>
            <w:r w:rsidRPr="00614CC6">
              <w:rPr>
                <w:sz w:val="20"/>
              </w:rPr>
              <w:t>Applications spatiales et météorologie</w:t>
            </w:r>
          </w:p>
        </w:tc>
      </w:tr>
      <w:tr w:rsidR="003F5458" w:rsidRPr="00614CC6">
        <w:tc>
          <w:tcPr>
            <w:tcW w:w="1140" w:type="dxa"/>
          </w:tcPr>
          <w:p w:rsidR="003F5458" w:rsidRPr="00614CC6" w:rsidRDefault="003F5458" w:rsidP="00D96065">
            <w:pPr>
              <w:spacing w:before="30" w:after="30"/>
              <w:ind w:left="57"/>
              <w:jc w:val="left"/>
              <w:rPr>
                <w:b/>
                <w:bCs/>
                <w:sz w:val="20"/>
                <w:lang w:val="en-US"/>
              </w:rPr>
            </w:pPr>
            <w:r w:rsidRPr="00614CC6">
              <w:rPr>
                <w:b/>
                <w:bCs/>
                <w:sz w:val="20"/>
                <w:lang w:val="en-US"/>
              </w:rPr>
              <w:t>SF</w:t>
            </w:r>
          </w:p>
        </w:tc>
        <w:tc>
          <w:tcPr>
            <w:tcW w:w="8220" w:type="dxa"/>
          </w:tcPr>
          <w:p w:rsidR="003F5458" w:rsidRPr="00614CC6" w:rsidRDefault="003F5458" w:rsidP="00D96065">
            <w:pPr>
              <w:spacing w:before="30" w:after="30"/>
              <w:jc w:val="left"/>
              <w:rPr>
                <w:sz w:val="20"/>
              </w:rPr>
            </w:pPr>
            <w:r w:rsidRPr="00614CC6">
              <w:rPr>
                <w:sz w:val="20"/>
              </w:rPr>
              <w:t>Partage des fréquences et coordination entre les systèmes du service fixe par satellite et du service fixe</w:t>
            </w:r>
          </w:p>
        </w:tc>
      </w:tr>
      <w:tr w:rsidR="003F5458" w:rsidRPr="00036EE3">
        <w:tc>
          <w:tcPr>
            <w:tcW w:w="1140" w:type="dxa"/>
            <w:shd w:val="clear" w:color="auto" w:fill="auto"/>
          </w:tcPr>
          <w:p w:rsidR="003F5458" w:rsidRPr="00592F9F" w:rsidRDefault="003F5458" w:rsidP="00D96065">
            <w:pPr>
              <w:spacing w:before="30" w:after="30"/>
              <w:ind w:left="57"/>
              <w:jc w:val="left"/>
              <w:rPr>
                <w:b/>
                <w:bCs/>
                <w:sz w:val="20"/>
                <w:lang w:val="en-US"/>
              </w:rPr>
            </w:pPr>
            <w:r w:rsidRPr="00592F9F">
              <w:rPr>
                <w:b/>
                <w:bCs/>
                <w:sz w:val="20"/>
                <w:lang w:val="en-US"/>
              </w:rPr>
              <w:t>SM</w:t>
            </w:r>
          </w:p>
        </w:tc>
        <w:tc>
          <w:tcPr>
            <w:tcW w:w="8220" w:type="dxa"/>
            <w:shd w:val="clear" w:color="auto" w:fill="auto"/>
          </w:tcPr>
          <w:p w:rsidR="003F5458" w:rsidRPr="00592F9F" w:rsidRDefault="003F5458" w:rsidP="00D96065">
            <w:pPr>
              <w:spacing w:before="30" w:after="30"/>
              <w:jc w:val="left"/>
              <w:rPr>
                <w:sz w:val="20"/>
                <w:lang w:val="en-US"/>
              </w:rPr>
            </w:pPr>
            <w:r w:rsidRPr="00592F9F">
              <w:rPr>
                <w:sz w:val="20"/>
              </w:rPr>
              <w:t>Gestion du spectre</w:t>
            </w:r>
          </w:p>
        </w:tc>
      </w:tr>
      <w:tr w:rsidR="003F5458" w:rsidRPr="00036EE3">
        <w:tc>
          <w:tcPr>
            <w:tcW w:w="1140" w:type="dxa"/>
          </w:tcPr>
          <w:p w:rsidR="003F5458" w:rsidRPr="00614CC6" w:rsidRDefault="003F5458" w:rsidP="00D96065">
            <w:pPr>
              <w:spacing w:before="30" w:after="30"/>
              <w:ind w:left="57"/>
              <w:jc w:val="left"/>
              <w:rPr>
                <w:b/>
                <w:bCs/>
                <w:sz w:val="20"/>
                <w:lang w:val="en-US"/>
              </w:rPr>
            </w:pPr>
            <w:r w:rsidRPr="00614CC6">
              <w:rPr>
                <w:b/>
                <w:bCs/>
                <w:sz w:val="20"/>
                <w:lang w:val="en-US"/>
              </w:rPr>
              <w:t>SNG</w:t>
            </w:r>
          </w:p>
        </w:tc>
        <w:tc>
          <w:tcPr>
            <w:tcW w:w="8220" w:type="dxa"/>
          </w:tcPr>
          <w:p w:rsidR="003F5458" w:rsidRPr="00614CC6" w:rsidRDefault="003F5458" w:rsidP="00D96065">
            <w:pPr>
              <w:spacing w:before="30" w:after="30"/>
              <w:jc w:val="left"/>
              <w:rPr>
                <w:sz w:val="20"/>
                <w:lang w:val="en-US"/>
              </w:rPr>
            </w:pPr>
            <w:r w:rsidRPr="00614CC6">
              <w:rPr>
                <w:sz w:val="20"/>
              </w:rPr>
              <w:t>Reportage d'actualités par satellite</w:t>
            </w:r>
          </w:p>
        </w:tc>
      </w:tr>
      <w:tr w:rsidR="003F5458" w:rsidRPr="00614CC6">
        <w:tc>
          <w:tcPr>
            <w:tcW w:w="1140" w:type="dxa"/>
          </w:tcPr>
          <w:p w:rsidR="003F5458" w:rsidRPr="00614CC6" w:rsidRDefault="003F5458" w:rsidP="00D96065">
            <w:pPr>
              <w:spacing w:before="30" w:after="30"/>
              <w:ind w:left="57"/>
              <w:jc w:val="left"/>
              <w:rPr>
                <w:b/>
                <w:bCs/>
                <w:sz w:val="20"/>
                <w:lang w:val="en-US"/>
              </w:rPr>
            </w:pPr>
            <w:r w:rsidRPr="00614CC6">
              <w:rPr>
                <w:b/>
                <w:bCs/>
                <w:sz w:val="20"/>
                <w:lang w:val="en-US"/>
              </w:rPr>
              <w:t>TF</w:t>
            </w:r>
          </w:p>
        </w:tc>
        <w:tc>
          <w:tcPr>
            <w:tcW w:w="8220" w:type="dxa"/>
          </w:tcPr>
          <w:p w:rsidR="003F5458" w:rsidRPr="00614CC6" w:rsidRDefault="003F5458" w:rsidP="00D96065">
            <w:pPr>
              <w:spacing w:before="30" w:after="30"/>
              <w:jc w:val="left"/>
              <w:rPr>
                <w:sz w:val="20"/>
              </w:rPr>
            </w:pPr>
            <w:r w:rsidRPr="00614CC6">
              <w:rPr>
                <w:sz w:val="20"/>
              </w:rPr>
              <w:t>Emissions de fréquences étalon et de signaux horaires</w:t>
            </w:r>
          </w:p>
        </w:tc>
      </w:tr>
      <w:tr w:rsidR="003F5458" w:rsidRPr="00036EE3">
        <w:tc>
          <w:tcPr>
            <w:tcW w:w="1140" w:type="dxa"/>
          </w:tcPr>
          <w:p w:rsidR="003F5458" w:rsidRPr="00614CC6" w:rsidRDefault="003F5458" w:rsidP="00D96065">
            <w:pPr>
              <w:spacing w:before="30" w:after="30"/>
              <w:ind w:left="57"/>
              <w:jc w:val="left"/>
              <w:rPr>
                <w:b/>
                <w:bCs/>
                <w:sz w:val="20"/>
                <w:lang w:val="en-US"/>
              </w:rPr>
            </w:pPr>
            <w:r w:rsidRPr="00614CC6">
              <w:rPr>
                <w:b/>
                <w:bCs/>
                <w:sz w:val="20"/>
                <w:lang w:val="en-US"/>
              </w:rPr>
              <w:t>V</w:t>
            </w:r>
          </w:p>
        </w:tc>
        <w:tc>
          <w:tcPr>
            <w:tcW w:w="8220" w:type="dxa"/>
          </w:tcPr>
          <w:p w:rsidR="003F5458" w:rsidRPr="00614CC6" w:rsidRDefault="003F5458" w:rsidP="00D96065">
            <w:pPr>
              <w:spacing w:before="30" w:after="140"/>
              <w:jc w:val="left"/>
              <w:rPr>
                <w:sz w:val="20"/>
                <w:lang w:val="en-US"/>
              </w:rPr>
            </w:pPr>
            <w:r w:rsidRPr="00614CC6">
              <w:rPr>
                <w:sz w:val="20"/>
              </w:rPr>
              <w:t>Vocabulaire et sujets associés</w:t>
            </w:r>
          </w:p>
        </w:tc>
      </w:tr>
    </w:tbl>
    <w:p w:rsidR="003F5458" w:rsidRPr="00036EE3" w:rsidRDefault="003F5458" w:rsidP="00D96065">
      <w:pPr>
        <w:spacing w:before="0"/>
        <w:jc w:val="center"/>
        <w:rPr>
          <w:sz w:val="20"/>
          <w:lang w:val="en-US"/>
        </w:rPr>
      </w:pPr>
    </w:p>
    <w:p w:rsidR="003F5458" w:rsidRPr="00036EE3" w:rsidRDefault="003F5458" w:rsidP="00D96065">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3F5458" w:rsidRPr="00756B4D">
        <w:tc>
          <w:tcPr>
            <w:tcW w:w="9360" w:type="dxa"/>
          </w:tcPr>
          <w:p w:rsidR="003F5458" w:rsidRPr="00756B4D" w:rsidRDefault="003F5458" w:rsidP="00D96065">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3F5458" w:rsidRPr="00756B4D" w:rsidRDefault="003F5458" w:rsidP="00D96065">
      <w:pPr>
        <w:spacing w:before="0"/>
        <w:jc w:val="center"/>
        <w:rPr>
          <w:sz w:val="22"/>
        </w:rPr>
      </w:pPr>
    </w:p>
    <w:p w:rsidR="003F5458" w:rsidRPr="00614CC6" w:rsidRDefault="003F5458" w:rsidP="00D96065">
      <w:pPr>
        <w:spacing w:before="100"/>
        <w:jc w:val="right"/>
        <w:rPr>
          <w:i/>
          <w:iCs/>
          <w:sz w:val="20"/>
        </w:rPr>
      </w:pPr>
      <w:r w:rsidRPr="00614CC6">
        <w:rPr>
          <w:i/>
          <w:iCs/>
          <w:sz w:val="20"/>
        </w:rPr>
        <w:t>Publication électronique</w:t>
      </w:r>
    </w:p>
    <w:p w:rsidR="003F5458" w:rsidRPr="00614CC6" w:rsidRDefault="003F5458" w:rsidP="00D96065">
      <w:pPr>
        <w:spacing w:before="0"/>
        <w:jc w:val="right"/>
        <w:rPr>
          <w:sz w:val="20"/>
        </w:rPr>
      </w:pPr>
      <w:r w:rsidRPr="00614CC6">
        <w:rPr>
          <w:sz w:val="20"/>
        </w:rPr>
        <w:t>Genève, 20</w:t>
      </w:r>
      <w:r>
        <w:rPr>
          <w:sz w:val="20"/>
        </w:rPr>
        <w:t>10</w:t>
      </w:r>
    </w:p>
    <w:p w:rsidR="003F5458" w:rsidRPr="00614CC6" w:rsidRDefault="003F5458" w:rsidP="00D96065">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3F5458" w:rsidRPr="00614CC6" w:rsidRDefault="003F5458" w:rsidP="00D96065">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3F5458" w:rsidRPr="00614CC6" w:rsidRDefault="003F5458" w:rsidP="00D96065">
      <w:pPr>
        <w:spacing w:before="160"/>
        <w:rPr>
          <w:i/>
          <w:sz w:val="20"/>
          <w:highlight w:val="yellow"/>
        </w:rPr>
        <w:sectPr w:rsidR="003F5458" w:rsidRPr="00614CC6" w:rsidSect="00D96065">
          <w:headerReference w:type="even" r:id="rId10"/>
          <w:headerReference w:type="default" r:id="rId11"/>
          <w:pgSz w:w="11907" w:h="16834" w:code="9"/>
          <w:pgMar w:top="1418" w:right="1134" w:bottom="1134" w:left="1134" w:header="720" w:footer="482" w:gutter="0"/>
          <w:pgNumType w:fmt="lowerRoman" w:start="2"/>
          <w:cols w:space="720"/>
        </w:sectPr>
      </w:pPr>
    </w:p>
    <w:p w:rsidR="003F5458" w:rsidRPr="00756B4D" w:rsidRDefault="003F5458" w:rsidP="0098026A">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0098026A">
        <w:rPr>
          <w:rStyle w:val="href"/>
        </w:rPr>
        <w:t>1321-3</w:t>
      </w:r>
    </w:p>
    <w:p w:rsidR="00BE5F00" w:rsidRDefault="00BE5F00" w:rsidP="00BE5F00">
      <w:pPr>
        <w:pStyle w:val="Rectitle"/>
      </w:pPr>
      <w:r>
        <w:t>Facteurs de propagation qui influent sur les systèmes utilisant</w:t>
      </w:r>
      <w:r>
        <w:br/>
        <w:t>des techniques de modulation numérique dans les bandes</w:t>
      </w:r>
      <w:r>
        <w:br/>
        <w:t>d'ondes kilométriques et hectométriques</w:t>
      </w:r>
    </w:p>
    <w:p w:rsidR="00BE5F00" w:rsidRDefault="00BE5F00" w:rsidP="00BE5F00">
      <w:pPr>
        <w:pStyle w:val="Recref"/>
      </w:pPr>
      <w:r>
        <w:t>(Question UIT-R 225/3)</w:t>
      </w:r>
    </w:p>
    <w:p w:rsidR="00BE5F00" w:rsidRDefault="00BE5F00" w:rsidP="00BE5F00">
      <w:pPr>
        <w:pStyle w:val="Recdate"/>
      </w:pPr>
    </w:p>
    <w:p w:rsidR="00BE5F00" w:rsidRDefault="00BE5F00" w:rsidP="00BE5F00">
      <w:pPr>
        <w:pStyle w:val="Recdate"/>
      </w:pPr>
      <w:r>
        <w:t>(1997-2005-2007-2009)</w:t>
      </w:r>
    </w:p>
    <w:p w:rsidR="00BE5F00" w:rsidRDefault="00BE5F00" w:rsidP="00BE5F00">
      <w:pPr>
        <w:spacing w:before="0"/>
      </w:pPr>
    </w:p>
    <w:p w:rsidR="00BE5F00" w:rsidRPr="00A02D51" w:rsidRDefault="00BE5F00" w:rsidP="00BE5F00">
      <w:pPr>
        <w:pStyle w:val="HeadingSum"/>
        <w:rPr>
          <w:sz w:val="24"/>
          <w:szCs w:val="24"/>
          <w:lang w:val="fr-FR"/>
        </w:rPr>
      </w:pPr>
      <w:r>
        <w:rPr>
          <w:sz w:val="24"/>
          <w:szCs w:val="24"/>
          <w:lang w:val="fr-FR"/>
        </w:rPr>
        <w:t>Champ d'application</w:t>
      </w:r>
    </w:p>
    <w:p w:rsidR="00BE5F00" w:rsidRPr="00A02D51" w:rsidRDefault="00BE5F00" w:rsidP="00BE5F00">
      <w:pPr>
        <w:pStyle w:val="Summary"/>
        <w:rPr>
          <w:sz w:val="24"/>
          <w:szCs w:val="24"/>
          <w:lang w:val="fr-FR"/>
        </w:rPr>
      </w:pPr>
      <w:r w:rsidRPr="00A02D51">
        <w:rPr>
          <w:sz w:val="24"/>
          <w:szCs w:val="24"/>
          <w:lang w:val="fr-FR"/>
        </w:rPr>
        <w:t xml:space="preserve">La présente Recommandation contient des informations sur les caractéristiques de la propagation de l'onde de sol et de l'onde ionosphérique dans les bandes d'ondes kilométriques et hectométriques, qui peuvent </w:t>
      </w:r>
      <w:r>
        <w:rPr>
          <w:sz w:val="24"/>
          <w:szCs w:val="24"/>
          <w:lang w:val="fr-FR"/>
        </w:rPr>
        <w:t xml:space="preserve">affecter </w:t>
      </w:r>
      <w:r w:rsidRPr="00A02D51">
        <w:rPr>
          <w:sz w:val="24"/>
          <w:szCs w:val="24"/>
          <w:lang w:val="fr-FR"/>
        </w:rPr>
        <w:t>l'utilisation des méthodes de modulation numérique dans ces bandes.</w:t>
      </w:r>
    </w:p>
    <w:p w:rsidR="00BE5F00" w:rsidRDefault="00BE5F00" w:rsidP="00BE5F00">
      <w:pPr>
        <w:pStyle w:val="Normalaftertitle"/>
      </w:pPr>
      <w:r>
        <w:t>L'Assemblée des radiocommunications de l'UIT,</w:t>
      </w:r>
    </w:p>
    <w:p w:rsidR="00BE5F00" w:rsidRDefault="00BE5F00" w:rsidP="00BE5F00">
      <w:pPr>
        <w:pStyle w:val="Call"/>
      </w:pPr>
      <w:r>
        <w:t>considérant</w:t>
      </w:r>
    </w:p>
    <w:p w:rsidR="00BE5F00" w:rsidRDefault="00BE5F00" w:rsidP="00BE5F00">
      <w:r>
        <w:t>a)</w:t>
      </w:r>
      <w:r>
        <w:tab/>
        <w:t>que les méthodes de modulation numérique pour la radiodiffusion sonore en ondes kilométriques et hectométriques sont actuellement à l'étude;</w:t>
      </w:r>
    </w:p>
    <w:p w:rsidR="00BE5F00" w:rsidRDefault="00BE5F00" w:rsidP="00BE5F00">
      <w:r>
        <w:t>b)</w:t>
      </w:r>
      <w:r>
        <w:tab/>
        <w:t>qu'il est nécessaire de disposer d'informations sur les caractéristiques de propagation à ces fréquences pour définir des méthodes de modulation,</w:t>
      </w:r>
    </w:p>
    <w:p w:rsidR="00BE5F00" w:rsidRDefault="00BE5F00" w:rsidP="00BE5F00">
      <w:pPr>
        <w:pStyle w:val="Call"/>
      </w:pPr>
      <w:r>
        <w:t>recommande</w:t>
      </w:r>
    </w:p>
    <w:p w:rsidR="00BE5F00" w:rsidRDefault="00BE5F00" w:rsidP="00BE5F00">
      <w:r>
        <w:rPr>
          <w:b/>
        </w:rPr>
        <w:t>1</w:t>
      </w:r>
      <w:r>
        <w:tab/>
        <w:t>d'utiliser les informations données en Annexe 1 pour définir des méthodes de modulation numérique utilisables en radiodiffusion en ondes hectométriques et kilométriques.</w:t>
      </w:r>
    </w:p>
    <w:p w:rsidR="00BE5F00" w:rsidRDefault="00BE5F00" w:rsidP="00BE5F00"/>
    <w:p w:rsidR="00BE5F00" w:rsidRDefault="00BE5F00" w:rsidP="00BE5F00">
      <w:pPr>
        <w:pStyle w:val="AnnexNoTitle"/>
      </w:pPr>
      <w:bookmarkStart w:id="3" w:name="_Toc122851423"/>
      <w:r>
        <w:t>Annexe  1</w:t>
      </w:r>
      <w:bookmarkEnd w:id="3"/>
    </w:p>
    <w:p w:rsidR="00BE5F00" w:rsidRDefault="00BE5F00" w:rsidP="00BE5F00">
      <w:pPr>
        <w:pStyle w:val="Heading1"/>
      </w:pPr>
      <w:bookmarkStart w:id="4" w:name="_Toc122851424"/>
      <w:r>
        <w:t>1</w:t>
      </w:r>
      <w:r>
        <w:tab/>
        <w:t>Introduction</w:t>
      </w:r>
      <w:bookmarkEnd w:id="4"/>
    </w:p>
    <w:p w:rsidR="00BE5F00" w:rsidRDefault="00BE5F00" w:rsidP="00BE5F00">
      <w:r>
        <w:t>La plupart des services de radiodiffusion en ondes hectométriques et kilométriques sont fondés sur les caractéristiques du mode de propagation de l'onde de sol (voir la Recommandation UIT-R P.368). Dans ce mode, pendant la journée et en l'absence de brouillage, la portée est limitée par l'intensité du bruit radioélectrique causé par la foudre et par des sources artificielles (voir la Recommandation UIT-R P.372) et par le rapport signal à bruit spécifié. De nuit, les modes de propagation ionosphérique deviennent importants (voir la Recommandation UIT-R P.1147). Dans le cas de la modulation d'amplitude analogique, ces modes limitent la portée puisque le brouillage entre l'onde de sol et les modes de l'onde ionosphérique déphasés se traduit par une qualité du signal insuffisante. Les signaux transmis par l'onde ionosphérique provenant des autres émissions à distance peuvent également causer des brouillages nocturnes importants, ce qui peut également limiter la couverture du service à des portées où l'onde de sol permet d'obtenir un signal suffisamment intense; les différents aspects relatifs aux brouillages causés par d'autres signaux ne sont pas traités de façon détaillée dans la présente Annexe.</w:t>
      </w:r>
    </w:p>
    <w:p w:rsidR="00BE5F00" w:rsidRDefault="00BE5F00" w:rsidP="00BE5F00">
      <w:r>
        <w:lastRenderedPageBreak/>
        <w:t>Les méthodes de modulation numérique peuvent également être influencées par la présence des modes de signaux retardés, mais il est possible par une définition d'une modulation convenable de compenser ou d'exploiter cet effet. La présente Annexe présente des modèles très simples de cet environnement multitrajet, qui sont censés être adaptés à la définition de techniques de modulation. Selon la technique de modulation retenue, il pourra être nécessaire de disposer de méthodes de prévision plus détaillées pour la planification des services.</w:t>
      </w:r>
    </w:p>
    <w:p w:rsidR="00BE5F00" w:rsidRDefault="00BE5F00" w:rsidP="00BE5F00">
      <w:pPr>
        <w:pStyle w:val="Heading1"/>
      </w:pPr>
      <w:bookmarkStart w:id="5" w:name="_Toc122851425"/>
      <w:r>
        <w:t>2</w:t>
      </w:r>
      <w:r>
        <w:tab/>
        <w:t>Modes de propagation</w:t>
      </w:r>
      <w:bookmarkEnd w:id="5"/>
    </w:p>
    <w:p w:rsidR="00BE5F00" w:rsidRDefault="00BE5F00" w:rsidP="00BE5F00">
      <w:pPr>
        <w:pStyle w:val="Heading2"/>
      </w:pPr>
      <w:bookmarkStart w:id="6" w:name="_Toc122851426"/>
      <w:r>
        <w:t>2.1</w:t>
      </w:r>
      <w:r>
        <w:tab/>
        <w:t>Mode de propagation de l'onde de sol</w:t>
      </w:r>
      <w:bookmarkEnd w:id="6"/>
    </w:p>
    <w:p w:rsidR="00BE5F00" w:rsidRDefault="00BE5F00" w:rsidP="00BE5F00">
      <w:r>
        <w:t xml:space="preserve">Souvent, l'onde de sol peut ne pas être constante (voir le § 4). Comme indiqué dans la Recommandation UIT-R P.368, l'amplitude du signal dépend de la portée et des caractéristiques électriques du sol. </w:t>
      </w:r>
      <w:r w:rsidRPr="00456408">
        <w:t xml:space="preserve">De plus, l'amplitude du signal n'est pas constante pour des changements d'emplacement </w:t>
      </w:r>
      <w:r>
        <w:t>(</w:t>
      </w:r>
      <w:r w:rsidRPr="00456408">
        <w:t>de l'ordre de quelques centaines de mètres</w:t>
      </w:r>
      <w:r>
        <w:t>)</w:t>
      </w:r>
      <w:r w:rsidRPr="00456408">
        <w:t>.</w:t>
      </w:r>
    </w:p>
    <w:p w:rsidR="00BE5F00" w:rsidRDefault="00BE5F00" w:rsidP="00BE5F00">
      <w:pPr>
        <w:pStyle w:val="Heading2"/>
      </w:pPr>
      <w:bookmarkStart w:id="7" w:name="_Toc122851427"/>
      <w:r>
        <w:t>2.2</w:t>
      </w:r>
      <w:r>
        <w:tab/>
        <w:t>Mode de propagation de l'onde ionosphérique</w:t>
      </w:r>
      <w:bookmarkEnd w:id="7"/>
    </w:p>
    <w:p w:rsidR="00BE5F00" w:rsidRDefault="00BE5F00" w:rsidP="00BE5F00">
      <w:r>
        <w:t>Pendant la journée, l'affaiblissement du signal dans la partie basse de la région D de l'ionosphère empêche effectivement la propagation de l'onde ionosphérique. La présente Annexe s'intéresse essentiellement aux conditions nocturnes lorsque la propagation de l'onde ionosphérique peut être importante.</w:t>
      </w:r>
    </w:p>
    <w:p w:rsidR="00BE5F00" w:rsidRDefault="00BE5F00" w:rsidP="00BE5F00">
      <w:r>
        <w:t>La couche E de l'ionosphère diminue après le coucher du soleil, mais la fréquence critique, foE, se trouvera dans la bande de radiodiffusion des ondes hectométriques, au moins pendant la première partie de la nuit. Les signaux à des fréquences inférieures à la fréquence critique seront toujours réfléchis par la couche E, mais il y aura également des réflexions en plusieurs bonds. Les signaux aux fréquences supérieures à la fréquence critique peuvent toujours être réfléchis par la couche E, en particulier pour les portées plus importantes, mais les signaux franchiront également la couche E pour être réfléchis dans la région F plus haute. Établie à partir d'un modèle simple de la couche E, la Fig. 1 indique les modes de propagation des signaux disponibles pour trois fréquences dans la bande des ondes hectométriques, montrant la façon dont la présence de ces modes varie avec la portée au sol et dans le temps après le coucher du soleil. Ces modes seront différés par rapport au mode de propagation de l'onde de sol.</w:t>
      </w:r>
    </w:p>
    <w:p w:rsidR="00BE5F00" w:rsidRDefault="00BE5F00" w:rsidP="00BE5F00">
      <w:r>
        <w:t>La Recommandation UIT-R P.1147 contient les prévisions de la puissance composite du signal pour les modes de propagation de l'onde ionosphérique disponibles et par conséquent ne donne pas les informations nécessaires sur les amplitudes relatives de chacun des modes. Cependant, la Recommandation UIT-R P.684 donne ce type d'information, bien qu'elle ne concerne que les fréquences inférieures à 500 kHz. En particulier, cette Recommandation donne les valeurs des coefficients de réflexion ionosphérique dans les conditions d'activité solaire minimale déterminées à partir de résultats expérimentaux, et de certaines hypothèses comme indiqué dans la Recommandation.</w:t>
      </w:r>
    </w:p>
    <w:p w:rsidR="00BE5F00" w:rsidRDefault="00BE5F00" w:rsidP="00BE5F00">
      <w:pPr>
        <w:pStyle w:val="Heading1"/>
      </w:pPr>
      <w:bookmarkStart w:id="8" w:name="_Toc122851428"/>
      <w:r>
        <w:lastRenderedPageBreak/>
        <w:t>3</w:t>
      </w:r>
      <w:r>
        <w:tab/>
        <w:t>Etalement temporel par trajets multiples</w:t>
      </w:r>
      <w:bookmarkEnd w:id="8"/>
    </w:p>
    <w:p w:rsidR="00BE5F00" w:rsidRDefault="00BE5F00" w:rsidP="00645D7F">
      <w:pPr>
        <w:keepNext/>
        <w:keepLines/>
      </w:pPr>
      <w:r>
        <w:t>Sur la base des modèles de propagation simples précités, la Fig. 2 montre les valeurs médianes attendues du champ et les retards temporels relatifs pour 3 portées (100, 200 et 500 km) et pour deux fréquences (700 kHz et 1 MHz). Les champs sont donnés pour une puissance e.m.r.p. de 1</w:t>
      </w:r>
      <w:r w:rsidR="00645D7F">
        <w:t> </w:t>
      </w:r>
      <w:r>
        <w:t>kW et n'incluent pas les effets liés au diagramme de rayonnement vertical de l'antenne d'émission – ce qui peut réduire les niveaux des signaux de l'onde ionosphérique aux faibles distances.</w:t>
      </w:r>
    </w:p>
    <w:p w:rsidR="00BE5F00" w:rsidRDefault="00BE5F00" w:rsidP="00645D7F">
      <w:pPr>
        <w:keepNext/>
        <w:keepLines/>
      </w:pPr>
      <w:r>
        <w:t>Le mode indiqué à 0 ms concerne l'onde de sol, et les intensités sont indiquées pour trois valeurs de conductivité du sol à savoir 5 S/m (eau de mer), 10</w:t>
      </w:r>
      <w:r>
        <w:rPr>
          <w:position w:val="6"/>
          <w:sz w:val="16"/>
        </w:rPr>
        <w:t>–2</w:t>
      </w:r>
      <w:r>
        <w:t xml:space="preserve"> (sol de bonne qualité), et 10</w:t>
      </w:r>
      <w:r>
        <w:rPr>
          <w:position w:val="6"/>
          <w:sz w:val="16"/>
        </w:rPr>
        <w:t>–3</w:t>
      </w:r>
      <w:r>
        <w:t xml:space="preserve"> (sol de mauvaise qualité).</w:t>
      </w:r>
    </w:p>
    <w:p w:rsidR="00BE5F00" w:rsidRDefault="00BE5F00" w:rsidP="00645D7F">
      <w:pPr>
        <w:keepNext/>
        <w:keepLines/>
      </w:pPr>
      <w:r>
        <w:t>Les composantes de l'onde ionosphérique sont indiquées avec le mode associé et les niveaux représentent approximativement les valeurs médianes du champ quatre heures après le coucher du soleil en période d'activité solaire minimale.</w:t>
      </w:r>
    </w:p>
    <w:p w:rsidR="00BE5F00" w:rsidRDefault="00BE5F00" w:rsidP="00BE5F00">
      <w:pPr>
        <w:pStyle w:val="FigureNo"/>
        <w:spacing w:before="360" w:after="0"/>
      </w:pPr>
      <w:r>
        <w:object w:dxaOrig="7771" w:dyaOrig="13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45pt;height:664.85pt" o:ole="" o:allowoverlap="f">
            <v:imagedata r:id="rId12" o:title=""/>
          </v:shape>
          <o:OLEObject Type="Embed" ProgID="CorelDRAW.Graphic.14" ShapeID="_x0000_i1025" DrawAspect="Content" ObjectID="_1334143072" r:id="rId13"/>
        </w:object>
      </w:r>
    </w:p>
    <w:p w:rsidR="00BE5F00" w:rsidRDefault="00BE5F00" w:rsidP="00BE5F00">
      <w:pPr>
        <w:pStyle w:val="FigureNo"/>
      </w:pPr>
      <w:r>
        <w:object w:dxaOrig="9401" w:dyaOrig="13450">
          <v:shape id="_x0000_i1026" type="#_x0000_t75" style="width:469.85pt;height:672.3pt" o:ole="" o:allowoverlap="f">
            <v:imagedata r:id="rId14" o:title=""/>
          </v:shape>
          <o:OLEObject Type="Embed" ProgID="CorelDRAW.Graphic.14" ShapeID="_x0000_i1026" DrawAspect="Content" ObjectID="_1334143073" r:id="rId15"/>
        </w:object>
      </w:r>
    </w:p>
    <w:p w:rsidR="00645D7F" w:rsidRDefault="00645D7F" w:rsidP="00D21BC4"/>
    <w:p w:rsidR="00D21BC4" w:rsidRDefault="00D21BC4" w:rsidP="00D21BC4">
      <w:r>
        <w:lastRenderedPageBreak/>
        <w:t>La Fig. 3 représente le retard des modes de propagation de l'onde ionosphérique en un bond dans les régions E et F par rapport à l'onde de sol pour des portées supérieures à 1</w:t>
      </w:r>
      <w:r>
        <w:rPr>
          <w:rFonts w:ascii="Tms Rmn" w:hAnsi="Tms Rmn"/>
          <w:sz w:val="12"/>
        </w:rPr>
        <w:t> </w:t>
      </w:r>
      <w:r>
        <w:t>000 km et la Fig. 4 donne les retards relatifs entre les modes de propagation de l'onde de sol en un seul bond et en plusieurs bonds.</w:t>
      </w:r>
    </w:p>
    <w:p w:rsidR="00BE5F00" w:rsidRDefault="00BE5F00" w:rsidP="00BE5F00">
      <w:pPr>
        <w:pStyle w:val="FigureNo"/>
      </w:pPr>
      <w:r>
        <w:object w:dxaOrig="4508" w:dyaOrig="5521">
          <v:shape id="_x0000_i1027" type="#_x0000_t75" style="width:225.8pt;height:275.85pt" o:ole="" o:allowoverlap="f">
            <v:imagedata r:id="rId16" o:title=""/>
          </v:shape>
          <o:OLEObject Type="Embed" ProgID="CorelDraw.Graphic.12" ShapeID="_x0000_i1027" DrawAspect="Content" ObjectID="_1334143074" r:id="rId17"/>
        </w:object>
      </w:r>
    </w:p>
    <w:p w:rsidR="00BE5F00" w:rsidRPr="00961F99" w:rsidRDefault="00BE5F00" w:rsidP="00BE5F00">
      <w:pPr>
        <w:pStyle w:val="FigureNo"/>
        <w:keepNext w:val="0"/>
        <w:keepLines w:val="0"/>
      </w:pPr>
      <w:r>
        <w:object w:dxaOrig="3932" w:dyaOrig="5454">
          <v:shape id="_x0000_i1028" type="#_x0000_t75" style="width:196.35pt;height:273.05pt" o:ole="" o:allowoverlap="f">
            <v:imagedata r:id="rId18" o:title=""/>
          </v:shape>
          <o:OLEObject Type="Embed" ProgID="CorelDraw.Graphic.12" ShapeID="_x0000_i1028" DrawAspect="Content" ObjectID="_1334143075" r:id="rId19"/>
        </w:object>
      </w:r>
    </w:p>
    <w:p w:rsidR="00645D7F" w:rsidRDefault="00645D7F" w:rsidP="00D21BC4">
      <w:bookmarkStart w:id="9" w:name="_Toc122851429"/>
    </w:p>
    <w:p w:rsidR="00645D7F" w:rsidRDefault="00645D7F" w:rsidP="00D21BC4"/>
    <w:p w:rsidR="00D21BC4" w:rsidRDefault="00D21BC4" w:rsidP="00D21BC4">
      <w:r>
        <w:lastRenderedPageBreak/>
        <w:t>La plage de distances pour laquelle les amplitudes de l'onde de sol et de l'onde ionosphérique sont similaires présente un intérêt particulier étant donné que l'évanouissement existant dans cette zone est particulièrement important. Cette zone a été appelée la zone d'évanouissement nocturne et a souvent déterminé la limite de portée pour la radiodiffusion en ondes hectométriques de bonne qualité.</w:t>
      </w:r>
    </w:p>
    <w:p w:rsidR="00BE5F00" w:rsidRDefault="00BE5F00" w:rsidP="00BE5F00">
      <w:pPr>
        <w:pStyle w:val="Heading1"/>
        <w:keepNext w:val="0"/>
        <w:keepLines w:val="0"/>
      </w:pPr>
      <w:r>
        <w:t>4</w:t>
      </w:r>
      <w:r>
        <w:tab/>
        <w:t>Variabilité</w:t>
      </w:r>
      <w:bookmarkEnd w:id="9"/>
    </w:p>
    <w:p w:rsidR="00BE5F00" w:rsidRPr="00780436" w:rsidRDefault="00BE5F00" w:rsidP="00BE5F00">
      <w:pPr>
        <w:pStyle w:val="Heading2"/>
      </w:pPr>
      <w:r w:rsidRPr="00456408">
        <w:t>4.1</w:t>
      </w:r>
      <w:r w:rsidRPr="00456408">
        <w:tab/>
        <w:t>Variations diurnes d'un signal</w:t>
      </w:r>
    </w:p>
    <w:p w:rsidR="00BE5F00" w:rsidRDefault="00BE5F00" w:rsidP="00BE5F00">
      <w:r>
        <w:t>Le champ des ondes de Terre peut varier en fonction de la température hivernale. La fourchette moyenne annuelle (différence entre le champ médian par mois pendant l'été et l'hiver) pour la gamme 500-1 000 kHz est indiquée dans le Tableau 1 pour la latitude de l'hémisphère Nord où la température moyenne en janvier est inférieure à environ 4° C.</w:t>
      </w:r>
    </w:p>
    <w:p w:rsidR="00BE5F00" w:rsidRPr="004F5A5C" w:rsidRDefault="00BE5F00" w:rsidP="00BE5F00">
      <w:pPr>
        <w:pStyle w:val="TableNo"/>
      </w:pPr>
      <w:r w:rsidRPr="004F5A5C">
        <w:t>TABLEAU 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663"/>
        <w:gridCol w:w="1077"/>
        <w:gridCol w:w="1372"/>
        <w:gridCol w:w="1371"/>
        <w:gridCol w:w="1372"/>
      </w:tblGrid>
      <w:tr w:rsidR="00BE5F00" w:rsidTr="00645D7F">
        <w:trPr>
          <w:jc w:val="center"/>
        </w:trPr>
        <w:tc>
          <w:tcPr>
            <w:tcW w:w="3663" w:type="dxa"/>
          </w:tcPr>
          <w:p w:rsidR="00BE5F00" w:rsidRPr="00562F28" w:rsidRDefault="00BE5F00" w:rsidP="00D96065">
            <w:pPr>
              <w:pStyle w:val="Tabletext"/>
              <w:rPr>
                <w:b/>
              </w:rPr>
            </w:pPr>
            <w:r w:rsidRPr="00562F28">
              <w:t xml:space="preserve">Température moyenne en janvier dans l'hémisphère Nord </w:t>
            </w:r>
            <w:r>
              <w:t>(</w:t>
            </w:r>
            <w:r w:rsidRPr="00562F28">
              <w:t>°C</w:t>
            </w:r>
            <w:r>
              <w:t>)</w:t>
            </w:r>
          </w:p>
        </w:tc>
        <w:tc>
          <w:tcPr>
            <w:tcW w:w="1077" w:type="dxa"/>
            <w:vAlign w:val="center"/>
          </w:tcPr>
          <w:p w:rsidR="00BE5F00" w:rsidRDefault="00BE5F00" w:rsidP="00645D7F">
            <w:pPr>
              <w:pStyle w:val="Tabletext"/>
              <w:jc w:val="center"/>
            </w:pPr>
            <w:r>
              <w:t>4</w:t>
            </w:r>
          </w:p>
        </w:tc>
        <w:tc>
          <w:tcPr>
            <w:tcW w:w="1372" w:type="dxa"/>
            <w:vAlign w:val="center"/>
          </w:tcPr>
          <w:p w:rsidR="00BE5F00" w:rsidRDefault="00BE5F00" w:rsidP="00645D7F">
            <w:pPr>
              <w:pStyle w:val="Tabletext"/>
              <w:jc w:val="center"/>
            </w:pPr>
            <w:r>
              <w:t>0</w:t>
            </w:r>
          </w:p>
        </w:tc>
        <w:tc>
          <w:tcPr>
            <w:tcW w:w="1371" w:type="dxa"/>
            <w:vAlign w:val="center"/>
          </w:tcPr>
          <w:p w:rsidR="00BE5F00" w:rsidRDefault="00BE5F00" w:rsidP="00645D7F">
            <w:pPr>
              <w:pStyle w:val="Tabletext"/>
              <w:jc w:val="center"/>
            </w:pPr>
            <w:r>
              <w:t>–10</w:t>
            </w:r>
          </w:p>
        </w:tc>
        <w:tc>
          <w:tcPr>
            <w:tcW w:w="1372" w:type="dxa"/>
            <w:vAlign w:val="center"/>
          </w:tcPr>
          <w:p w:rsidR="00BE5F00" w:rsidRDefault="00BE5F00" w:rsidP="00645D7F">
            <w:pPr>
              <w:pStyle w:val="Tabletext"/>
              <w:jc w:val="center"/>
            </w:pPr>
            <w:r>
              <w:t>–16</w:t>
            </w:r>
          </w:p>
        </w:tc>
      </w:tr>
      <w:tr w:rsidR="00BE5F00" w:rsidTr="00645D7F">
        <w:trPr>
          <w:jc w:val="center"/>
        </w:trPr>
        <w:tc>
          <w:tcPr>
            <w:tcW w:w="3663" w:type="dxa"/>
          </w:tcPr>
          <w:p w:rsidR="00BE5F00" w:rsidRPr="00562F28" w:rsidRDefault="00BE5F00" w:rsidP="00D96065">
            <w:pPr>
              <w:pStyle w:val="Tabletext"/>
              <w:rPr>
                <w:b/>
              </w:rPr>
            </w:pPr>
            <w:r w:rsidRPr="00562F28">
              <w:t xml:space="preserve">Gamme des champs été-hiver </w:t>
            </w:r>
            <w:r w:rsidRPr="00527F4A">
              <w:rPr>
                <w:i/>
              </w:rPr>
              <w:t>U</w:t>
            </w:r>
            <w:r>
              <w:t xml:space="preserve"> (</w:t>
            </w:r>
            <w:r w:rsidRPr="00562F28">
              <w:t>dB</w:t>
            </w:r>
            <w:r>
              <w:t>)</w:t>
            </w:r>
          </w:p>
        </w:tc>
        <w:tc>
          <w:tcPr>
            <w:tcW w:w="1077" w:type="dxa"/>
            <w:vAlign w:val="center"/>
          </w:tcPr>
          <w:p w:rsidR="00BE5F00" w:rsidRDefault="00BE5F00" w:rsidP="00645D7F">
            <w:pPr>
              <w:pStyle w:val="Tabletext"/>
              <w:jc w:val="center"/>
            </w:pPr>
            <w:r>
              <w:t>4</w:t>
            </w:r>
          </w:p>
        </w:tc>
        <w:tc>
          <w:tcPr>
            <w:tcW w:w="1372" w:type="dxa"/>
            <w:vAlign w:val="center"/>
          </w:tcPr>
          <w:p w:rsidR="00BE5F00" w:rsidRDefault="00BE5F00" w:rsidP="00645D7F">
            <w:pPr>
              <w:pStyle w:val="Tabletext"/>
              <w:jc w:val="center"/>
            </w:pPr>
            <w:r>
              <w:t>8</w:t>
            </w:r>
          </w:p>
        </w:tc>
        <w:tc>
          <w:tcPr>
            <w:tcW w:w="1371" w:type="dxa"/>
            <w:vAlign w:val="center"/>
          </w:tcPr>
          <w:p w:rsidR="00BE5F00" w:rsidRDefault="00BE5F00" w:rsidP="00645D7F">
            <w:pPr>
              <w:pStyle w:val="Tabletext"/>
              <w:jc w:val="center"/>
            </w:pPr>
            <w:r>
              <w:t>13</w:t>
            </w:r>
          </w:p>
        </w:tc>
        <w:tc>
          <w:tcPr>
            <w:tcW w:w="1372" w:type="dxa"/>
            <w:vAlign w:val="center"/>
          </w:tcPr>
          <w:p w:rsidR="00BE5F00" w:rsidRDefault="00BE5F00" w:rsidP="00645D7F">
            <w:pPr>
              <w:pStyle w:val="Tabletext"/>
              <w:jc w:val="center"/>
            </w:pPr>
            <w:r>
              <w:t>15</w:t>
            </w:r>
          </w:p>
        </w:tc>
      </w:tr>
    </w:tbl>
    <w:p w:rsidR="00BE5F00" w:rsidRPr="00961F99" w:rsidRDefault="00BE5F00" w:rsidP="00BE5F00">
      <w:pPr>
        <w:pStyle w:val="Tablefin"/>
      </w:pPr>
    </w:p>
    <w:p w:rsidR="00BE5F00" w:rsidRPr="00456408" w:rsidRDefault="00BE5F00" w:rsidP="00BE5F00">
      <w:r w:rsidRPr="00456408">
        <w:t xml:space="preserve">Dans la bande d'ondes kilométriques, la gamme de variations du champ à des latitudes moyennes dans un climat continental (mesurée en Europe continentale et en Sibérie) dépend de la distance et de la fréquence, qui dépendent du paramètre </w:t>
      </w:r>
      <w:r w:rsidRPr="00456408">
        <w:rPr>
          <w:i/>
          <w:iCs/>
        </w:rPr>
        <w:t>q</w:t>
      </w:r>
      <w:r w:rsidRPr="00456408">
        <w:t> = </w:t>
      </w:r>
      <w:r w:rsidRPr="00456408">
        <w:rPr>
          <w:i/>
          <w:iCs/>
        </w:rPr>
        <w:t>d · f</w:t>
      </w:r>
      <w:r w:rsidRPr="00456408">
        <w:rPr>
          <w:vertAlign w:val="superscript"/>
        </w:rPr>
        <w:t>1/2</w:t>
      </w:r>
      <w:r w:rsidRPr="00456408">
        <w:t xml:space="preserve">, où </w:t>
      </w:r>
      <w:r w:rsidRPr="00456408">
        <w:rPr>
          <w:i/>
          <w:iCs/>
        </w:rPr>
        <w:t>d</w:t>
      </w:r>
      <w:r w:rsidRPr="00456408">
        <w:t xml:space="preserve"> est la distance </w:t>
      </w:r>
      <w:r>
        <w:t>(</w:t>
      </w:r>
      <w:r w:rsidRPr="00456408">
        <w:t>k</w:t>
      </w:r>
      <w:r>
        <w:t>m)</w:t>
      </w:r>
      <w:r w:rsidRPr="00456408">
        <w:t xml:space="preserve"> et </w:t>
      </w:r>
      <w:r w:rsidRPr="00456408">
        <w:rPr>
          <w:i/>
          <w:iCs/>
        </w:rPr>
        <w:t>f</w:t>
      </w:r>
      <w:r w:rsidRPr="00456408">
        <w:t xml:space="preserve"> la fréquence </w:t>
      </w:r>
      <w:r>
        <w:t>(MHz)</w:t>
      </w:r>
      <w:r w:rsidRPr="00456408">
        <w:t xml:space="preserve">. Les valeurs de </w:t>
      </w:r>
      <w:r w:rsidRPr="00456408">
        <w:rPr>
          <w:i/>
          <w:iCs/>
        </w:rPr>
        <w:t>q</w:t>
      </w:r>
      <w:r w:rsidRPr="00456408">
        <w:t xml:space="preserve"> &lt; 500, environ, caractérisent la variation des ondes de sol et les valeurs de </w:t>
      </w:r>
      <w:r w:rsidRPr="00456408">
        <w:rPr>
          <w:i/>
          <w:iCs/>
        </w:rPr>
        <w:t>q</w:t>
      </w:r>
      <w:r w:rsidRPr="00456408">
        <w:t> &gt; 500 celle des ondes ionosphériques.</w:t>
      </w:r>
    </w:p>
    <w:p w:rsidR="00BE5F00" w:rsidRPr="00456408" w:rsidRDefault="00BE5F00" w:rsidP="00BE5F00">
      <w:r w:rsidRPr="00456408">
        <w:t>Formules correspondantes pour exprimer la gamme de variations:</w:t>
      </w:r>
    </w:p>
    <w:p w:rsidR="00BE5F00" w:rsidRPr="00456408" w:rsidRDefault="00BE5F00" w:rsidP="00BE5F00">
      <w:pPr>
        <w:pStyle w:val="enumlev1"/>
      </w:pPr>
      <w:r w:rsidRPr="00456408">
        <w:t>–</w:t>
      </w:r>
      <w:r w:rsidRPr="00456408">
        <w:tab/>
        <w:t>pour les trajets dans une zone peu boisée:</w:t>
      </w:r>
    </w:p>
    <w:p w:rsidR="00BE5F00" w:rsidRPr="00456408" w:rsidRDefault="00BE5F00" w:rsidP="00BE5F00">
      <w:pPr>
        <w:pStyle w:val="Equation"/>
      </w:pPr>
      <w:r w:rsidRPr="00456408">
        <w:tab/>
      </w:r>
      <w:r w:rsidRPr="00456408">
        <w:tab/>
      </w:r>
      <w:r w:rsidR="00645D7F" w:rsidRPr="005E7F8C">
        <w:rPr>
          <w:position w:val="-12"/>
        </w:rPr>
        <w:object w:dxaOrig="3240" w:dyaOrig="420">
          <v:shape id="_x0000_i1029" type="#_x0000_t75" style="width:162.25pt;height:21.05pt" o:ole="">
            <v:imagedata r:id="rId20" o:title=""/>
          </v:shape>
          <o:OLEObject Type="Embed" ProgID="Equation.3" ShapeID="_x0000_i1029" DrawAspect="Content" ObjectID="_1334143076" r:id="rId21"/>
        </w:object>
      </w:r>
      <w:r w:rsidRPr="00456408">
        <w:t>    </w:t>
      </w:r>
      <w:r>
        <w:t xml:space="preserve">           </w:t>
      </w:r>
      <w:r w:rsidRPr="00456408">
        <w:t>dB</w:t>
      </w:r>
    </w:p>
    <w:p w:rsidR="00BE5F00" w:rsidRPr="00456408" w:rsidRDefault="00BE5F00" w:rsidP="00BE5F00">
      <w:pPr>
        <w:pStyle w:val="enumlev1"/>
      </w:pPr>
      <w:r w:rsidRPr="00456408">
        <w:t>–</w:t>
      </w:r>
      <w:r w:rsidRPr="00456408">
        <w:tab/>
        <w:t>pour les trajets dans une zone fortement boisée:</w:t>
      </w:r>
    </w:p>
    <w:p w:rsidR="00BE5F00" w:rsidRPr="00456408" w:rsidRDefault="00BE5F00" w:rsidP="00BE5F00">
      <w:pPr>
        <w:pStyle w:val="Equation"/>
      </w:pPr>
      <w:r w:rsidRPr="00456408">
        <w:tab/>
      </w:r>
      <w:r w:rsidRPr="00456408">
        <w:tab/>
      </w:r>
      <w:r w:rsidRPr="00456408">
        <w:rPr>
          <w:position w:val="-12"/>
        </w:rPr>
        <w:object w:dxaOrig="2960" w:dyaOrig="360">
          <v:shape id="_x0000_i1030" type="#_x0000_t75" style="width:147.75pt;height:18.25pt" o:ole="">
            <v:imagedata r:id="rId22" o:title=""/>
          </v:shape>
          <o:OLEObject Type="Embed" ProgID="Equation.3" ShapeID="_x0000_i1030" DrawAspect="Content" ObjectID="_1334143077" r:id="rId23"/>
        </w:object>
      </w:r>
      <w:r w:rsidRPr="00456408">
        <w:t>    </w:t>
      </w:r>
      <w:r>
        <w:t xml:space="preserve">              </w:t>
      </w:r>
      <w:r w:rsidRPr="00456408">
        <w:t>dB</w:t>
      </w:r>
    </w:p>
    <w:p w:rsidR="00BE5F00" w:rsidRPr="00456408" w:rsidRDefault="00BE5F00" w:rsidP="00BE5F00">
      <w:pPr>
        <w:pStyle w:val="Heading2"/>
      </w:pPr>
      <w:r w:rsidRPr="00456408">
        <w:t>4.2</w:t>
      </w:r>
      <w:r w:rsidRPr="00456408">
        <w:tab/>
        <w:t>Variations diurnes d'un signal d'un point à un autre</w:t>
      </w:r>
    </w:p>
    <w:p w:rsidR="00BE5F00" w:rsidRPr="00456408" w:rsidRDefault="00BE5F00" w:rsidP="00BE5F00">
      <w:r w:rsidRPr="00456408">
        <w:t>Dans la bande d'ondes hectométriques, on constate que les écarts types des variations de niveau d'un signal entre des points distants d'environ 1 km sont similaires dans les différentes parties du monde. La distribution de probabilité suit pratiquement une loi log-normale, avec un écart quadratique moyen σ = 3,7 dB, comme le montre la Fig. 5.</w:t>
      </w:r>
    </w:p>
    <w:p w:rsidR="00BE5F00" w:rsidRDefault="00BE5F00" w:rsidP="00BE5F00">
      <w:r w:rsidRPr="00456408">
        <w:t xml:space="preserve">Dans un environnement urbain, dans les rues et les quartiers, l'écart type est aussi proche de 4 dB. Dans les zones urbaines densément construites, en particulier à des distances de l'émetteur </w:t>
      </w:r>
      <w:r>
        <w:t>(</w:t>
      </w:r>
      <w:r w:rsidRPr="00456408">
        <w:t>inférieures à 1 km</w:t>
      </w:r>
      <w:r>
        <w:t>)</w:t>
      </w:r>
      <w:r w:rsidRPr="00456408">
        <w:t>, l'écart type augmente et atteint 7 à 8 dB. A l'intérieur des bâtiments, dans de rares cas, l'absorption additionnelle peut atteindre 20 dB.</w:t>
      </w:r>
    </w:p>
    <w:p w:rsidR="00BE5F00" w:rsidRPr="00456408" w:rsidRDefault="00BE5F00" w:rsidP="00BE5F00">
      <w:pPr>
        <w:pStyle w:val="Heading2"/>
      </w:pPr>
      <w:r w:rsidRPr="00456408">
        <w:t>4.3</w:t>
      </w:r>
      <w:r w:rsidRPr="00456408">
        <w:tab/>
        <w:t>Variations nocturnes d'un signal</w:t>
      </w:r>
    </w:p>
    <w:p w:rsidR="00BE5F00" w:rsidRDefault="00BE5F00" w:rsidP="00BE5F00">
      <w:r>
        <w:t xml:space="preserve">Les modes de propagation de l'onde ionosphérique seront sujets à une variabilité à long terme entre les nuits lorsque les valeurs médianes horaires présentent une distribution log-normale avec une plage semi-interdécile comprise entre 3,5 et 9 dB. Pendant une heure, l'évanouissement des modes </w:t>
      </w:r>
      <w:r>
        <w:lastRenderedPageBreak/>
        <w:t>individuels présentent également une distribution log-normale. Les données de mesure sont peu nombreuses, mais on peut prendre par hypothèse une valeur caractéristique de 3 dB environ pour l'écart type. La fréquence des évanouissements est comprise entre 10 et 30 évanouissements par heure.</w:t>
      </w:r>
    </w:p>
    <w:p w:rsidR="00BE5F00" w:rsidRDefault="00BE5F00" w:rsidP="00BE5F00">
      <w:r>
        <w:t>Pour les cas où il faut prendre en considération les modes de propagation composites de l'onde de sol et de l'onde ionosphérique, c'est-à-dire dans les cas où ces modes ne peuvent être distingués dans le système de réception, la distribution des évanouissements du signal est indiquée dans l'Appendice 1 à l'Annexe 1.</w:t>
      </w:r>
    </w:p>
    <w:p w:rsidR="00BE5F00" w:rsidRDefault="00BE5F00" w:rsidP="00BE5F00">
      <w:r>
        <w:t>Le décalage de fréquence des modes de propagation de l'onde ionosphérique, dû à l'effet Doppler résultant de la réflexion sur des couches ionosphériques en mouvement est faible.</w:t>
      </w:r>
    </w:p>
    <w:p w:rsidR="00BE5F00" w:rsidRDefault="00BE5F00" w:rsidP="00BE5F00">
      <w:pPr>
        <w:pStyle w:val="FigureNo"/>
      </w:pPr>
      <w:r>
        <w:object w:dxaOrig="5965" w:dyaOrig="4800">
          <v:shape id="_x0000_i1031" type="#_x0000_t75" style="width:298.75pt;height:239.85pt" o:ole="" o:allowoverlap="f">
            <v:imagedata r:id="rId24" o:title=""/>
          </v:shape>
          <o:OLEObject Type="Embed" ProgID="CorelDraw.Graphic.12" ShapeID="_x0000_i1031" DrawAspect="Content" ObjectID="_1334143078" r:id="rId25"/>
        </w:object>
      </w:r>
    </w:p>
    <w:p w:rsidR="00BE5F00" w:rsidRPr="004F5A5C" w:rsidRDefault="00BE5F00" w:rsidP="00BE5F00">
      <w:pPr>
        <w:pStyle w:val="Heading2"/>
      </w:pPr>
      <w:r w:rsidRPr="004F5A5C">
        <w:t>4.4</w:t>
      </w:r>
      <w:r w:rsidRPr="004F5A5C">
        <w:tab/>
        <w:t>Caractéristiques des dépassements et des évanouissements dans les canaux ionosphériques dans les bandes d'ondes kilométriques et hectométriques</w:t>
      </w:r>
    </w:p>
    <w:p w:rsidR="00BE5F00" w:rsidRPr="00E800E0" w:rsidRDefault="00BE5F00" w:rsidP="005670D0">
      <w:pPr>
        <w:rPr>
          <w:lang w:val="fr-CH"/>
        </w:rPr>
      </w:pPr>
      <w:r w:rsidRPr="00E800E0">
        <w:rPr>
          <w:lang w:val="fr-CH"/>
        </w:rPr>
        <w:t>Pour l'analyse et la planification des systèmes de radiocommunication à modulation numérique dans les bandes d'ondes kilométriques et hectométriques, la description des caractéristiques des valeurs moyennes et de la dispersion du signal s'avère insuffisante</w:t>
      </w:r>
      <w:r w:rsidRPr="00E800E0">
        <w:rPr>
          <w:rFonts w:ascii="Times New Roman CYR" w:hAnsi="Times New Roman CYR" w:cs="Times New Roman CYR"/>
          <w:lang w:val="fr-CH"/>
        </w:rPr>
        <w:t xml:space="preserve">. Il est nécessaire de prendre en compte des propriétés plus détaillées des </w:t>
      </w:r>
      <w:r>
        <w:rPr>
          <w:rFonts w:ascii="Times New Roman CYR" w:hAnsi="Times New Roman CYR" w:cs="Times New Roman CYR"/>
          <w:lang w:val="fr-CH"/>
        </w:rPr>
        <w:t>dépassements</w:t>
      </w:r>
      <w:r w:rsidRPr="00E800E0">
        <w:rPr>
          <w:rFonts w:ascii="Times New Roman CYR" w:hAnsi="Times New Roman CYR" w:cs="Times New Roman CYR"/>
          <w:lang w:val="fr-CH"/>
        </w:rPr>
        <w:t xml:space="preserve"> et des évanouissements, il faut en particulier </w:t>
      </w:r>
      <w:r>
        <w:rPr>
          <w:rFonts w:ascii="Times New Roman CYR" w:hAnsi="Times New Roman CYR" w:cs="Times New Roman CYR"/>
          <w:lang w:val="fr-CH"/>
        </w:rPr>
        <w:t xml:space="preserve">connaître </w:t>
      </w:r>
      <w:r w:rsidRPr="00E800E0">
        <w:rPr>
          <w:rFonts w:ascii="Times New Roman CYR" w:hAnsi="Times New Roman CYR" w:cs="Times New Roman CYR"/>
          <w:lang w:val="fr-CH"/>
        </w:rPr>
        <w:t xml:space="preserve">la distribution de probabilité des durées des </w:t>
      </w:r>
      <w:r>
        <w:rPr>
          <w:rFonts w:ascii="Times New Roman CYR" w:hAnsi="Times New Roman CYR" w:cs="Times New Roman CYR"/>
          <w:lang w:val="fr-CH"/>
        </w:rPr>
        <w:t>dépassements</w:t>
      </w:r>
      <w:r w:rsidRPr="00E800E0">
        <w:rPr>
          <w:rFonts w:ascii="Times New Roman CYR" w:hAnsi="Times New Roman CYR" w:cs="Times New Roman CYR"/>
          <w:lang w:val="fr-CH"/>
        </w:rPr>
        <w:t xml:space="preserve"> et des évanouissements</w:t>
      </w:r>
      <w:r w:rsidRPr="00E800E0">
        <w:rPr>
          <w:lang w:val="fr-CH"/>
        </w:rPr>
        <w:t>,</w:t>
      </w:r>
      <w:r w:rsidRPr="00E800E0">
        <w:rPr>
          <w:i/>
          <w:iCs/>
          <w:lang w:val="fr-CH"/>
        </w:rPr>
        <w:t xml:space="preserve"> </w:t>
      </w:r>
      <w:r w:rsidRPr="00E800E0">
        <w:rPr>
          <w:rFonts w:ascii="Times New Roman CYR" w:hAnsi="Times New Roman CYR" w:cs="Times New Roman CYR"/>
          <w:lang w:val="fr-CH"/>
        </w:rPr>
        <w:t>pour diverses valeurs du rapport signal/brouillage. L</w:t>
      </w:r>
      <w:r>
        <w:rPr>
          <w:rFonts w:ascii="Times New Roman CYR" w:hAnsi="Times New Roman CYR" w:cs="Times New Roman CYR"/>
          <w:lang w:val="fr-CH"/>
        </w:rPr>
        <w:t>'Appendice 2 contient l</w:t>
      </w:r>
      <w:r w:rsidRPr="00E800E0">
        <w:rPr>
          <w:rFonts w:ascii="Times New Roman CYR" w:hAnsi="Times New Roman CYR" w:cs="Times New Roman CYR"/>
          <w:lang w:val="fr-CH"/>
        </w:rPr>
        <w:t xml:space="preserve">es caractéristiques statistiques des </w:t>
      </w:r>
      <w:r>
        <w:rPr>
          <w:rFonts w:ascii="Times New Roman CYR" w:hAnsi="Times New Roman CYR" w:cs="Times New Roman CYR"/>
          <w:lang w:val="fr-CH"/>
        </w:rPr>
        <w:t>dépassements</w:t>
      </w:r>
      <w:r w:rsidRPr="00E800E0">
        <w:rPr>
          <w:rFonts w:ascii="Times New Roman CYR" w:hAnsi="Times New Roman CYR" w:cs="Times New Roman CYR"/>
          <w:lang w:val="fr-CH"/>
        </w:rPr>
        <w:t xml:space="preserve"> et des évanouissements qui </w:t>
      </w:r>
      <w:r w:rsidRPr="00E800E0">
        <w:rPr>
          <w:lang w:val="fr-CH"/>
        </w:rPr>
        <w:t>ont été obtenues sur une période de deux ans pour deux liaisons</w:t>
      </w:r>
      <w:r w:rsidRPr="00E800E0">
        <w:rPr>
          <w:rFonts w:ascii="Times New Roman CYR" w:hAnsi="Times New Roman CYR" w:cs="Times New Roman CYR"/>
          <w:lang w:val="fr-CH"/>
        </w:rPr>
        <w:t>, l'une dans la bande d'ondes kilométriques (1 550 km à 155 </w:t>
      </w:r>
      <w:r w:rsidRPr="00E800E0">
        <w:rPr>
          <w:lang w:val="fr-CH"/>
        </w:rPr>
        <w:t>kHz</w:t>
      </w:r>
      <w:r w:rsidRPr="00E800E0">
        <w:rPr>
          <w:rFonts w:ascii="Times New Roman CYR" w:hAnsi="Times New Roman CYR" w:cs="Times New Roman CYR"/>
          <w:lang w:val="fr-CH"/>
        </w:rPr>
        <w:t>) et l'autre dans la bande d'ondes hectométriques (860 km à 539 </w:t>
      </w:r>
      <w:r w:rsidRPr="00E800E0">
        <w:rPr>
          <w:lang w:val="fr-CH"/>
        </w:rPr>
        <w:t>kHz</w:t>
      </w:r>
      <w:r w:rsidRPr="00E800E0">
        <w:rPr>
          <w:rFonts w:ascii="Times New Roman CYR" w:hAnsi="Times New Roman CYR" w:cs="Times New Roman CYR"/>
          <w:lang w:val="fr-CH"/>
        </w:rPr>
        <w:t xml:space="preserve">). </w:t>
      </w:r>
      <w:r w:rsidRPr="00E800E0">
        <w:rPr>
          <w:lang w:val="fr-CH"/>
        </w:rPr>
        <w:t xml:space="preserve">Les résultats concernent </w:t>
      </w:r>
      <w:r>
        <w:rPr>
          <w:lang w:val="fr-CH"/>
        </w:rPr>
        <w:t>d</w:t>
      </w:r>
      <w:r w:rsidRPr="00E800E0">
        <w:rPr>
          <w:lang w:val="fr-CH"/>
        </w:rPr>
        <w:t>es latitudes géographiques moyennes dans l'hémisphère est et une activité modérée des taches solaires (SSN</w:t>
      </w:r>
      <w:r w:rsidR="005670D0">
        <w:rPr>
          <w:lang w:val="fr-CH"/>
        </w:rPr>
        <w:t> </w:t>
      </w:r>
      <w:r w:rsidRPr="00E800E0">
        <w:rPr>
          <w:lang w:val="fr-CH"/>
        </w:rPr>
        <w:sym w:font="Mathematica1" w:char="00BB"/>
      </w:r>
      <w:r w:rsidR="005670D0">
        <w:rPr>
          <w:lang w:val="fr-CH"/>
        </w:rPr>
        <w:t> </w:t>
      </w:r>
      <w:r w:rsidRPr="00E800E0">
        <w:rPr>
          <w:lang w:val="fr-CH"/>
        </w:rPr>
        <w:t>40).</w:t>
      </w:r>
    </w:p>
    <w:p w:rsidR="00BE5F00" w:rsidRPr="00E800E0" w:rsidRDefault="00BE5F00" w:rsidP="00BE5F00">
      <w:pPr>
        <w:rPr>
          <w:lang w:val="fr-CH"/>
        </w:rPr>
      </w:pPr>
      <w:r w:rsidRPr="00E800E0">
        <w:rPr>
          <w:rFonts w:ascii="Times New Roman CYR" w:hAnsi="Times New Roman CYR" w:cs="Times New Roman CYR"/>
          <w:lang w:val="fr-CH"/>
        </w:rPr>
        <w:t xml:space="preserve">Les Tableaux 3 et 4 de l'Appendice 2 </w:t>
      </w:r>
      <w:r>
        <w:rPr>
          <w:rFonts w:ascii="Times New Roman CYR" w:hAnsi="Times New Roman CYR" w:cs="Times New Roman CYR"/>
          <w:lang w:val="fr-CH"/>
        </w:rPr>
        <w:t>donnent le nombre de dépassements</w:t>
      </w:r>
      <w:r w:rsidRPr="00E800E0">
        <w:rPr>
          <w:rFonts w:ascii="Times New Roman CYR" w:hAnsi="Times New Roman CYR" w:cs="Times New Roman CYR"/>
          <w:lang w:val="fr-CH"/>
        </w:rPr>
        <w:t xml:space="preserve"> et d'évanouissements par heure </w:t>
      </w:r>
      <w:r>
        <w:rPr>
          <w:rFonts w:ascii="Times New Roman CYR" w:hAnsi="Times New Roman CYR" w:cs="Times New Roman CYR"/>
          <w:lang w:val="fr-CH"/>
        </w:rPr>
        <w:t xml:space="preserve">sur </w:t>
      </w:r>
      <w:r w:rsidRPr="00E800E0">
        <w:rPr>
          <w:rFonts w:ascii="Times New Roman CYR" w:hAnsi="Times New Roman CYR" w:cs="Times New Roman CYR"/>
          <w:lang w:val="fr-CH"/>
        </w:rPr>
        <w:t>chaque liaison. Les Figures 6 et 7 représentent le</w:t>
      </w:r>
      <w:r>
        <w:rPr>
          <w:rFonts w:ascii="Times New Roman CYR" w:hAnsi="Times New Roman CYR" w:cs="Times New Roman CYR"/>
          <w:lang w:val="fr-CH"/>
        </w:rPr>
        <w:t>s diagrammes de dispersion du</w:t>
      </w:r>
      <w:r w:rsidRPr="00E800E0">
        <w:rPr>
          <w:rFonts w:ascii="Times New Roman CYR" w:hAnsi="Times New Roman CYR" w:cs="Times New Roman CYR"/>
          <w:lang w:val="fr-CH"/>
        </w:rPr>
        <w:t xml:space="preserve"> nombre de durées d</w:t>
      </w:r>
      <w:r>
        <w:rPr>
          <w:rFonts w:ascii="Times New Roman CYR" w:hAnsi="Times New Roman CYR" w:cs="Times New Roman CYR"/>
          <w:lang w:val="fr-CH"/>
        </w:rPr>
        <w:t>es dépassements</w:t>
      </w:r>
      <w:r w:rsidRPr="00E800E0">
        <w:rPr>
          <w:rFonts w:ascii="Times New Roman CYR" w:hAnsi="Times New Roman CYR" w:cs="Times New Roman CYR"/>
          <w:lang w:val="fr-CH"/>
        </w:rPr>
        <w:t xml:space="preserve"> (%) </w:t>
      </w:r>
      <w:r>
        <w:rPr>
          <w:rFonts w:ascii="Times New Roman CYR" w:hAnsi="Times New Roman CYR" w:cs="Times New Roman CYR"/>
          <w:lang w:val="fr-CH"/>
        </w:rPr>
        <w:t>pour le seuil corresponda</w:t>
      </w:r>
      <w:r w:rsidRPr="00E800E0">
        <w:rPr>
          <w:rFonts w:ascii="Times New Roman CYR" w:hAnsi="Times New Roman CYR" w:cs="Times New Roman CYR"/>
          <w:lang w:val="fr-CH"/>
        </w:rPr>
        <w:t xml:space="preserve">nt à la valeur médiane </w:t>
      </w:r>
      <w:r>
        <w:rPr>
          <w:rFonts w:ascii="Times New Roman CYR" w:hAnsi="Times New Roman CYR" w:cs="Times New Roman CYR"/>
          <w:lang w:val="fr-CH"/>
        </w:rPr>
        <w:t xml:space="preserve">sur </w:t>
      </w:r>
      <w:r w:rsidRPr="00E800E0">
        <w:rPr>
          <w:rFonts w:ascii="Times New Roman CYR" w:hAnsi="Times New Roman CYR" w:cs="Times New Roman CYR"/>
          <w:lang w:val="fr-CH"/>
        </w:rPr>
        <w:t>chaque liaison.</w:t>
      </w:r>
    </w:p>
    <w:p w:rsidR="00BE5F00" w:rsidRPr="00E800E0" w:rsidRDefault="00BE5F00" w:rsidP="00BE5F00">
      <w:pPr>
        <w:pStyle w:val="Heading1"/>
        <w:rPr>
          <w:lang w:val="fr-CH"/>
        </w:rPr>
      </w:pPr>
      <w:bookmarkStart w:id="10" w:name="_Toc122851430"/>
      <w:r w:rsidRPr="00E800E0">
        <w:rPr>
          <w:lang w:val="fr-CH"/>
        </w:rPr>
        <w:lastRenderedPageBreak/>
        <w:t>5</w:t>
      </w:r>
      <w:r w:rsidRPr="00E800E0">
        <w:rPr>
          <w:lang w:val="fr-CH"/>
        </w:rPr>
        <w:tab/>
        <w:t>Conclusions</w:t>
      </w:r>
      <w:bookmarkEnd w:id="10"/>
    </w:p>
    <w:p w:rsidR="00BE5F00" w:rsidRPr="00E800E0" w:rsidRDefault="00BE5F00" w:rsidP="00BE5F00">
      <w:pPr>
        <w:keepNext/>
        <w:keepLines/>
        <w:rPr>
          <w:lang w:val="fr-CH"/>
        </w:rPr>
      </w:pPr>
      <w:r w:rsidRPr="00E800E0">
        <w:rPr>
          <w:lang w:val="fr-CH"/>
        </w:rPr>
        <w:t>La Recommandation UIT-R P.1407 identifie un ensemble de paramètres à utiliser pour décrire les effets liés à la propagation par trajets multiples. La «fenêtre de retard» où se trouve environ 98% de l'énergie totale, peut être déterminée à partir de la Fig. 2 comme étant inférieure à 3 ms. Il convient de noter que dans certaines circonstances la première composante des trajets multiples ne sera pas celle qui présentera l'amplitude la plus élevée.</w:t>
      </w:r>
    </w:p>
    <w:p w:rsidR="00BE5F00" w:rsidRPr="00E800E0" w:rsidRDefault="00BE5F00" w:rsidP="00BE5F00">
      <w:pPr>
        <w:rPr>
          <w:lang w:val="fr-CH"/>
        </w:rPr>
      </w:pPr>
    </w:p>
    <w:p w:rsidR="00BE5F00" w:rsidRPr="00E800E0" w:rsidRDefault="00BE5F00" w:rsidP="00BE5F00">
      <w:pPr>
        <w:pStyle w:val="AppendixNoTitle"/>
        <w:rPr>
          <w:lang w:val="fr-CH"/>
        </w:rPr>
      </w:pPr>
      <w:bookmarkStart w:id="11" w:name="_Toc122851431"/>
      <w:r w:rsidRPr="00E800E0">
        <w:rPr>
          <w:lang w:val="fr-CH"/>
        </w:rPr>
        <w:t>Appendice 1</w:t>
      </w:r>
      <w:r w:rsidRPr="00E800E0">
        <w:rPr>
          <w:lang w:val="fr-CH"/>
        </w:rPr>
        <w:br/>
        <w:t>à l'Annexe 1</w:t>
      </w:r>
      <w:bookmarkEnd w:id="11"/>
    </w:p>
    <w:p w:rsidR="00BE5F00" w:rsidRPr="00E800E0" w:rsidRDefault="00BE5F00" w:rsidP="00BE5F00">
      <w:pPr>
        <w:pStyle w:val="Normalaftertitle"/>
        <w:rPr>
          <w:lang w:val="fr-CH"/>
        </w:rPr>
      </w:pPr>
      <w:r w:rsidRPr="00E800E0">
        <w:rPr>
          <w:lang w:val="fr-CH"/>
        </w:rPr>
        <w:t xml:space="preserve">L'amplitude composite du signal, </w:t>
      </w:r>
      <w:r w:rsidRPr="00E800E0">
        <w:rPr>
          <w:i/>
          <w:lang w:val="fr-CH"/>
        </w:rPr>
        <w:t>e</w:t>
      </w:r>
      <w:r w:rsidRPr="00E800E0">
        <w:rPr>
          <w:lang w:val="fr-CH"/>
        </w:rPr>
        <w:t>, correspondant à une combinaison du signal constant de l'onde de sol et d'un signal de l'onde ionosphérique à distribution log-normale est obtenue par addition des puissances:</w:t>
      </w:r>
    </w:p>
    <w:p w:rsidR="00BE5F00" w:rsidRPr="00E800E0" w:rsidRDefault="00BE5F00" w:rsidP="00BE5F00">
      <w:pPr>
        <w:pStyle w:val="Blanc"/>
        <w:rPr>
          <w:lang w:val="fr-CH"/>
        </w:rPr>
      </w:pPr>
    </w:p>
    <w:p w:rsidR="00BE5F00" w:rsidRPr="00E800E0" w:rsidRDefault="00BE5F00" w:rsidP="00BE5F00">
      <w:pPr>
        <w:pStyle w:val="Equation"/>
        <w:rPr>
          <w:lang w:val="fr-CH"/>
        </w:rPr>
      </w:pPr>
      <w:r w:rsidRPr="00E800E0">
        <w:rPr>
          <w:lang w:val="fr-CH"/>
        </w:rPr>
        <w:tab/>
      </w:r>
      <w:r w:rsidRPr="00E800E0">
        <w:rPr>
          <w:lang w:val="fr-CH"/>
        </w:rPr>
        <w:tab/>
      </w:r>
      <w:r w:rsidRPr="00E800E0">
        <w:rPr>
          <w:position w:val="-14"/>
          <w:lang w:val="fr-CH"/>
        </w:rPr>
        <w:object w:dxaOrig="1340" w:dyaOrig="480">
          <v:shape id="_x0000_i1032" type="#_x0000_t75" style="width:66.85pt;height:23.85pt" o:ole="">
            <v:imagedata r:id="rId26" o:title=""/>
          </v:shape>
          <o:OLEObject Type="Embed" ProgID="Equation.3" ShapeID="_x0000_i1032" DrawAspect="Content" ObjectID="_1334143079" r:id="rId27"/>
        </w:object>
      </w:r>
    </w:p>
    <w:p w:rsidR="00BE5F00" w:rsidRPr="00E800E0" w:rsidRDefault="00BE5F00" w:rsidP="00BE5F00">
      <w:pPr>
        <w:pStyle w:val="Blanc"/>
        <w:rPr>
          <w:lang w:val="fr-CH"/>
        </w:rPr>
      </w:pPr>
    </w:p>
    <w:p w:rsidR="00BE5F00" w:rsidRPr="00E800E0" w:rsidRDefault="00BE5F00" w:rsidP="00BE5F00">
      <w:pPr>
        <w:rPr>
          <w:lang w:val="fr-CH"/>
        </w:rPr>
      </w:pPr>
      <w:r w:rsidRPr="00E800E0">
        <w:rPr>
          <w:lang w:val="fr-CH"/>
        </w:rPr>
        <w:t xml:space="preserve">dans laquelle </w:t>
      </w:r>
      <w:r w:rsidRPr="00E800E0">
        <w:rPr>
          <w:i/>
          <w:lang w:val="fr-CH"/>
        </w:rPr>
        <w:t>e</w:t>
      </w:r>
      <w:r w:rsidRPr="00E800E0">
        <w:rPr>
          <w:i/>
          <w:position w:val="-4"/>
          <w:sz w:val="16"/>
          <w:lang w:val="fr-CH"/>
        </w:rPr>
        <w:t>e</w:t>
      </w:r>
      <w:r w:rsidRPr="00E800E0">
        <w:rPr>
          <w:lang w:val="fr-CH"/>
        </w:rPr>
        <w:t xml:space="preserve"> et </w:t>
      </w:r>
      <w:r w:rsidRPr="00E800E0">
        <w:rPr>
          <w:i/>
          <w:lang w:val="fr-CH"/>
        </w:rPr>
        <w:t>e</w:t>
      </w:r>
      <w:r w:rsidRPr="00E800E0">
        <w:rPr>
          <w:i/>
          <w:position w:val="-4"/>
          <w:sz w:val="16"/>
          <w:lang w:val="fr-CH"/>
        </w:rPr>
        <w:t>i</w:t>
      </w:r>
      <w:r w:rsidRPr="00E800E0">
        <w:rPr>
          <w:lang w:val="fr-CH"/>
        </w:rPr>
        <w:t xml:space="preserve"> sont respectivement les niveaux des composantes relative à l'onde de sol et relative à l'onde ionosphérique généralement exprimés en </w:t>
      </w:r>
      <w:r w:rsidRPr="00E800E0">
        <w:rPr>
          <w:lang w:val="fr-CH"/>
        </w:rPr>
        <w:sym w:font="Symbol" w:char="F06D"/>
      </w:r>
      <w:r w:rsidRPr="00E800E0">
        <w:rPr>
          <w:lang w:val="fr-CH"/>
        </w:rPr>
        <w:t>V/m.</w:t>
      </w:r>
    </w:p>
    <w:p w:rsidR="00BE5F00" w:rsidRPr="00E800E0" w:rsidRDefault="00BE5F00" w:rsidP="00BE5F00">
      <w:pPr>
        <w:rPr>
          <w:lang w:val="fr-CH"/>
        </w:rPr>
      </w:pPr>
      <w:r w:rsidRPr="00E800E0">
        <w:rPr>
          <w:lang w:val="fr-CH"/>
        </w:rPr>
        <w:t xml:space="preserve">La composante onde ionosphérique, </w:t>
      </w:r>
      <w:r w:rsidRPr="00E800E0">
        <w:rPr>
          <w:i/>
          <w:lang w:val="fr-CH"/>
        </w:rPr>
        <w:t>e</w:t>
      </w:r>
      <w:r w:rsidRPr="00E800E0">
        <w:rPr>
          <w:i/>
          <w:position w:val="-4"/>
          <w:sz w:val="16"/>
          <w:lang w:val="fr-CH"/>
        </w:rPr>
        <w:t>i</w:t>
      </w:r>
      <w:r w:rsidRPr="00E800E0">
        <w:rPr>
          <w:lang w:val="fr-CH"/>
        </w:rPr>
        <w:t>, a une distribution log-normale (voir l'équation (6) de la Recomman</w:t>
      </w:r>
      <w:r w:rsidRPr="00E800E0">
        <w:rPr>
          <w:lang w:val="fr-CH"/>
        </w:rPr>
        <w:softHyphen/>
        <w:t>dation UIT</w:t>
      </w:r>
      <w:r w:rsidRPr="00E800E0">
        <w:rPr>
          <w:lang w:val="fr-CH"/>
        </w:rPr>
        <w:noBreakHyphen/>
        <w:t>R P.1057). Pour des raisons de commodité, on suppose que la composante de l'onde de sol présente également une distribution log-normale et que le résultat final est obtenu en fixant son écart type comme étant égal à 0 dB.</w:t>
      </w:r>
    </w:p>
    <w:p w:rsidR="00BE5F00" w:rsidRPr="00E800E0" w:rsidRDefault="00BE5F00" w:rsidP="00BE5F00">
      <w:pPr>
        <w:rPr>
          <w:lang w:val="fr-CH"/>
        </w:rPr>
      </w:pPr>
      <w:r w:rsidRPr="00E800E0">
        <w:rPr>
          <w:lang w:val="fr-CH"/>
        </w:rPr>
        <w:t>La combinaison des deux distributions log-normales donne lieu également à une distribution log</w:t>
      </w:r>
      <w:r w:rsidRPr="00E800E0">
        <w:rPr>
          <w:lang w:val="fr-CH"/>
        </w:rPr>
        <w:noBreakHyphen/>
        <w:t>normale dans laquelle le niveau moyen est la somme de chacun des niveaux moyens (c'est</w:t>
      </w:r>
      <w:r w:rsidRPr="00E800E0">
        <w:rPr>
          <w:lang w:val="fr-CH"/>
        </w:rPr>
        <w:noBreakHyphen/>
        <w:t>à</w:t>
      </w:r>
      <w:r w:rsidRPr="00E800E0">
        <w:rPr>
          <w:lang w:val="fr-CH"/>
        </w:rPr>
        <w:noBreakHyphen/>
        <w:t>dire en amplitude et non en décibels) et sa variance est la somme des deux variances.</w:t>
      </w:r>
    </w:p>
    <w:p w:rsidR="00BE5F00" w:rsidRPr="00E800E0" w:rsidRDefault="00BE5F00" w:rsidP="00BE5F00">
      <w:pPr>
        <w:rPr>
          <w:lang w:val="fr-CH"/>
        </w:rPr>
      </w:pPr>
      <w:r w:rsidRPr="00E800E0">
        <w:rPr>
          <w:lang w:val="fr-CH"/>
        </w:rPr>
        <w:t>Pour une distribution log-normale (voir la Recommandation UIT-R P.1057) la moyenne et l'écart type des niveaux des signaux (</w:t>
      </w:r>
      <w:r w:rsidRPr="00E800E0">
        <w:rPr>
          <w:lang w:val="fr-CH"/>
        </w:rPr>
        <w:sym w:font="Symbol" w:char="F06D"/>
      </w:r>
      <w:r w:rsidRPr="00E800E0">
        <w:rPr>
          <w:lang w:val="fr-CH"/>
        </w:rPr>
        <w:t>V/m) sont donnés par:</w:t>
      </w:r>
    </w:p>
    <w:p w:rsidR="00BE5F00" w:rsidRPr="00E800E0" w:rsidRDefault="00BE5F00" w:rsidP="00BE5F00">
      <w:pPr>
        <w:pStyle w:val="Blanc"/>
        <w:rPr>
          <w:lang w:val="fr-CH"/>
        </w:rPr>
      </w:pPr>
    </w:p>
    <w:p w:rsidR="00BE5F00" w:rsidRPr="00E800E0" w:rsidRDefault="00BE5F00" w:rsidP="00BE5F00">
      <w:pPr>
        <w:pStyle w:val="Equation"/>
        <w:rPr>
          <w:lang w:val="fr-CH"/>
        </w:rPr>
      </w:pPr>
      <w:r w:rsidRPr="00E800E0">
        <w:rPr>
          <w:lang w:val="fr-CH"/>
        </w:rPr>
        <w:tab/>
      </w:r>
      <w:r w:rsidRPr="00E800E0">
        <w:rPr>
          <w:lang w:val="fr-CH"/>
        </w:rPr>
        <w:tab/>
      </w:r>
      <w:r w:rsidRPr="00E800E0">
        <w:rPr>
          <w:position w:val="-10"/>
          <w:lang w:val="fr-CH"/>
        </w:rPr>
        <w:object w:dxaOrig="2220" w:dyaOrig="440">
          <v:shape id="_x0000_i1033" type="#_x0000_t75" style="width:110.8pt;height:21.95pt" o:ole="">
            <v:imagedata r:id="rId28" o:title=""/>
          </v:shape>
          <o:OLEObject Type="Embed" ProgID="Equation.3" ShapeID="_x0000_i1033" DrawAspect="Content" ObjectID="_1334143080" r:id="rId29"/>
        </w:object>
      </w:r>
    </w:p>
    <w:p w:rsidR="00BE5F00" w:rsidRPr="00E800E0" w:rsidRDefault="00BE5F00" w:rsidP="00BE5F00">
      <w:pPr>
        <w:pStyle w:val="Blanc"/>
        <w:rPr>
          <w:lang w:val="fr-CH"/>
        </w:rPr>
      </w:pPr>
    </w:p>
    <w:p w:rsidR="00BE5F00" w:rsidRPr="00E800E0" w:rsidRDefault="00BE5F00" w:rsidP="00BE5F00">
      <w:pPr>
        <w:pStyle w:val="Equation"/>
        <w:tabs>
          <w:tab w:val="left" w:pos="3402"/>
        </w:tabs>
        <w:rPr>
          <w:lang w:val="fr-CH"/>
        </w:rPr>
      </w:pPr>
      <w:r w:rsidRPr="00E800E0">
        <w:rPr>
          <w:lang w:val="fr-CH"/>
        </w:rPr>
        <w:tab/>
      </w:r>
      <w:r w:rsidRPr="00E800E0">
        <w:rPr>
          <w:lang w:val="fr-CH"/>
        </w:rPr>
        <w:tab/>
      </w:r>
      <w:r w:rsidRPr="00E800E0">
        <w:rPr>
          <w:position w:val="-26"/>
          <w:lang w:val="fr-CH"/>
        </w:rPr>
        <w:object w:dxaOrig="3340" w:dyaOrig="680">
          <v:shape id="_x0000_i1034" type="#_x0000_t75" style="width:167.4pt;height:33.65pt" o:ole="">
            <v:imagedata r:id="rId30" o:title=""/>
          </v:shape>
          <o:OLEObject Type="Embed" ProgID="Equation.3" ShapeID="_x0000_i1034" DrawAspect="Content" ObjectID="_1334143081" r:id="rId31"/>
        </w:object>
      </w:r>
    </w:p>
    <w:p w:rsidR="00BE5F00" w:rsidRPr="00E800E0" w:rsidRDefault="00BE5F00" w:rsidP="00BE5F00">
      <w:pPr>
        <w:pStyle w:val="Blanc"/>
        <w:rPr>
          <w:lang w:val="fr-CH"/>
        </w:rPr>
      </w:pPr>
    </w:p>
    <w:p w:rsidR="00BE5F00" w:rsidRPr="00E800E0" w:rsidRDefault="00BE5F00" w:rsidP="00BE5F00">
      <w:pPr>
        <w:rPr>
          <w:lang w:val="fr-CH"/>
        </w:rPr>
      </w:pPr>
      <w:r w:rsidRPr="00E800E0">
        <w:rPr>
          <w:lang w:val="fr-CH"/>
        </w:rPr>
        <w:t xml:space="preserve">dans laquelle </w:t>
      </w:r>
      <w:r w:rsidRPr="00E800E0">
        <w:rPr>
          <w:i/>
          <w:lang w:val="fr-CH"/>
        </w:rPr>
        <w:t>m</w:t>
      </w:r>
      <w:r w:rsidRPr="00E800E0">
        <w:rPr>
          <w:lang w:val="fr-CH"/>
        </w:rPr>
        <w:t xml:space="preserve"> est la moyenne et </w:t>
      </w:r>
      <w:r w:rsidRPr="00E800E0">
        <w:rPr>
          <w:rFonts w:ascii="Symbol" w:hAnsi="Symbol"/>
          <w:lang w:val="fr-CH"/>
        </w:rPr>
        <w:sym w:font="Symbol" w:char="F073"/>
      </w:r>
      <w:r w:rsidRPr="00E800E0">
        <w:rPr>
          <w:lang w:val="fr-CH"/>
        </w:rPr>
        <w:t xml:space="preserve"> l'écart type de la distribution log-normale.</w:t>
      </w:r>
    </w:p>
    <w:p w:rsidR="00BE5F00" w:rsidRPr="00E800E0" w:rsidRDefault="00BE5F00" w:rsidP="00BE5F00">
      <w:pPr>
        <w:rPr>
          <w:lang w:val="fr-CH"/>
        </w:rPr>
      </w:pPr>
      <w:r w:rsidRPr="00E800E0">
        <w:rPr>
          <w:lang w:val="fr-CH"/>
        </w:rPr>
        <w:t>A partir de ces considérations il est possible d'évaluer les paramètres pour la distribution combinée. Le Tableau 2 contient des exemples de résultats dans lesquels l'écart type de la composante de l'onde ionosphérique log-normale est de 3 dB.</w:t>
      </w:r>
    </w:p>
    <w:p w:rsidR="00BE5F00" w:rsidRPr="004F5A5C" w:rsidRDefault="00E34625" w:rsidP="00BE5F00">
      <w:pPr>
        <w:pStyle w:val="TableNo"/>
        <w:keepLines/>
      </w:pPr>
      <w:r>
        <w:lastRenderedPageBreak/>
        <w:t xml:space="preserve">TABLEAU </w:t>
      </w:r>
      <w:r w:rsidR="00BE5F00" w:rsidRPr="004F5A5C">
        <w:t>2</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843"/>
        <w:gridCol w:w="4678"/>
        <w:gridCol w:w="2660"/>
      </w:tblGrid>
      <w:tr w:rsidR="00BE5F00" w:rsidRPr="00E800E0" w:rsidTr="005670D0">
        <w:trPr>
          <w:jc w:val="center"/>
        </w:trPr>
        <w:tc>
          <w:tcPr>
            <w:tcW w:w="1843" w:type="dxa"/>
          </w:tcPr>
          <w:p w:rsidR="00BE5F00" w:rsidRPr="00E800E0" w:rsidRDefault="00BE5F00" w:rsidP="005670D0">
            <w:pPr>
              <w:pStyle w:val="Tabletext"/>
              <w:keepNext/>
              <w:keepLines/>
              <w:jc w:val="center"/>
              <w:rPr>
                <w:lang w:val="fr-CH"/>
              </w:rPr>
            </w:pPr>
            <w:r w:rsidRPr="00E800E0">
              <w:rPr>
                <w:i/>
                <w:lang w:val="fr-CH"/>
              </w:rPr>
              <w:t>e</w:t>
            </w:r>
            <w:r w:rsidRPr="00E800E0">
              <w:rPr>
                <w:i/>
                <w:vertAlign w:val="subscript"/>
                <w:lang w:val="fr-CH"/>
              </w:rPr>
              <w:t>i</w:t>
            </w:r>
            <w:r w:rsidRPr="00E800E0">
              <w:rPr>
                <w:rFonts w:ascii="Tms Rmn" w:hAnsi="Tms Rmn"/>
                <w:sz w:val="12"/>
                <w:lang w:val="fr-CH"/>
              </w:rPr>
              <w:t> </w:t>
            </w:r>
            <w:r w:rsidRPr="00E800E0">
              <w:rPr>
                <w:lang w:val="fr-CH"/>
              </w:rPr>
              <w:t>/</w:t>
            </w:r>
            <w:r w:rsidRPr="00E800E0">
              <w:rPr>
                <w:rFonts w:ascii="Tms Rmn" w:hAnsi="Tms Rmn"/>
                <w:sz w:val="12"/>
                <w:lang w:val="fr-CH"/>
              </w:rPr>
              <w:t> </w:t>
            </w:r>
            <w:r w:rsidRPr="00E800E0">
              <w:rPr>
                <w:i/>
                <w:lang w:val="fr-CH"/>
              </w:rPr>
              <w:t>e</w:t>
            </w:r>
            <w:r w:rsidRPr="00E800E0">
              <w:rPr>
                <w:i/>
                <w:vertAlign w:val="subscript"/>
                <w:lang w:val="fr-CH"/>
              </w:rPr>
              <w:t>e</w:t>
            </w:r>
          </w:p>
        </w:tc>
        <w:tc>
          <w:tcPr>
            <w:tcW w:w="4678" w:type="dxa"/>
          </w:tcPr>
          <w:p w:rsidR="00BE5F00" w:rsidRPr="00E800E0" w:rsidRDefault="00BE5F00" w:rsidP="005670D0">
            <w:pPr>
              <w:pStyle w:val="Tabletext"/>
              <w:keepNext/>
              <w:keepLines/>
              <w:jc w:val="center"/>
              <w:rPr>
                <w:lang w:val="fr-CH"/>
              </w:rPr>
            </w:pPr>
            <w:r w:rsidRPr="00E800E0">
              <w:rPr>
                <w:lang w:val="fr-CH"/>
              </w:rPr>
              <w:t>Niveau moyen par rapport à la moyenne de la</w:t>
            </w:r>
            <w:r w:rsidRPr="00E800E0">
              <w:rPr>
                <w:lang w:val="fr-CH"/>
              </w:rPr>
              <w:br/>
              <w:t>composante de l'onde de sol</w:t>
            </w:r>
          </w:p>
        </w:tc>
        <w:tc>
          <w:tcPr>
            <w:tcW w:w="2660" w:type="dxa"/>
          </w:tcPr>
          <w:p w:rsidR="00BE5F00" w:rsidRPr="00E800E0" w:rsidRDefault="00BE5F00" w:rsidP="005670D0">
            <w:pPr>
              <w:pStyle w:val="Tabletext"/>
              <w:keepNext/>
              <w:keepLines/>
              <w:jc w:val="center"/>
              <w:rPr>
                <w:lang w:val="fr-CH"/>
              </w:rPr>
            </w:pPr>
            <w:r w:rsidRPr="00E800E0">
              <w:rPr>
                <w:lang w:val="fr-CH"/>
              </w:rPr>
              <w:t>Ecart type</w:t>
            </w:r>
          </w:p>
        </w:tc>
      </w:tr>
      <w:tr w:rsidR="00BE5F00" w:rsidRPr="00E800E0" w:rsidTr="00D96065">
        <w:trPr>
          <w:jc w:val="center"/>
        </w:trPr>
        <w:tc>
          <w:tcPr>
            <w:tcW w:w="1843" w:type="dxa"/>
          </w:tcPr>
          <w:p w:rsidR="00BE5F00" w:rsidRPr="00E800E0" w:rsidRDefault="00BE5F00" w:rsidP="00D96065">
            <w:pPr>
              <w:pStyle w:val="Tabletext"/>
              <w:keepNext/>
              <w:keepLines/>
              <w:jc w:val="center"/>
              <w:rPr>
                <w:lang w:val="fr-CH"/>
              </w:rPr>
            </w:pPr>
            <w:r w:rsidRPr="00E800E0">
              <w:rPr>
                <w:lang w:val="fr-CH"/>
              </w:rPr>
              <w:t>0,5 (–</w:t>
            </w:r>
            <w:r w:rsidRPr="00E800E0">
              <w:rPr>
                <w:rFonts w:ascii="Tms Rmn" w:hAnsi="Tms Rmn"/>
                <w:sz w:val="12"/>
                <w:lang w:val="fr-CH"/>
              </w:rPr>
              <w:t> </w:t>
            </w:r>
            <w:r w:rsidRPr="00E800E0">
              <w:rPr>
                <w:lang w:val="fr-CH"/>
              </w:rPr>
              <w:t>6 dB)</w:t>
            </w:r>
          </w:p>
        </w:tc>
        <w:tc>
          <w:tcPr>
            <w:tcW w:w="4678" w:type="dxa"/>
          </w:tcPr>
          <w:p w:rsidR="00BE5F00" w:rsidRPr="00E800E0" w:rsidRDefault="00BE5F00" w:rsidP="00D96065">
            <w:pPr>
              <w:pStyle w:val="Tabletext"/>
              <w:keepNext/>
              <w:keepLines/>
              <w:jc w:val="center"/>
              <w:rPr>
                <w:lang w:val="fr-CH"/>
              </w:rPr>
            </w:pPr>
            <w:r w:rsidRPr="00E800E0">
              <w:rPr>
                <w:rFonts w:ascii="Symbol" w:hAnsi="Symbol"/>
                <w:lang w:val="fr-CH"/>
              </w:rPr>
              <w:t></w:t>
            </w:r>
            <w:r w:rsidRPr="00E800E0">
              <w:rPr>
                <w:lang w:val="fr-CH"/>
              </w:rPr>
              <w:t>1,3 dB</w:t>
            </w:r>
          </w:p>
        </w:tc>
        <w:tc>
          <w:tcPr>
            <w:tcW w:w="2660" w:type="dxa"/>
          </w:tcPr>
          <w:p w:rsidR="00BE5F00" w:rsidRPr="00E800E0" w:rsidRDefault="00BE5F00" w:rsidP="00D96065">
            <w:pPr>
              <w:pStyle w:val="Tabletext"/>
              <w:keepNext/>
              <w:keepLines/>
              <w:jc w:val="center"/>
              <w:rPr>
                <w:lang w:val="fr-CH"/>
              </w:rPr>
            </w:pPr>
            <w:r w:rsidRPr="00E800E0">
              <w:rPr>
                <w:lang w:val="fr-CH"/>
              </w:rPr>
              <w:t>0,72 dB</w:t>
            </w:r>
          </w:p>
        </w:tc>
      </w:tr>
      <w:tr w:rsidR="00BE5F00" w:rsidRPr="00E800E0" w:rsidTr="00D96065">
        <w:trPr>
          <w:jc w:val="center"/>
        </w:trPr>
        <w:tc>
          <w:tcPr>
            <w:tcW w:w="1843" w:type="dxa"/>
          </w:tcPr>
          <w:p w:rsidR="00BE5F00" w:rsidRPr="00E800E0" w:rsidRDefault="00BE5F00" w:rsidP="00D96065">
            <w:pPr>
              <w:pStyle w:val="Tabletext"/>
              <w:keepNext/>
              <w:keepLines/>
              <w:jc w:val="center"/>
              <w:rPr>
                <w:lang w:val="fr-CH"/>
              </w:rPr>
            </w:pPr>
            <w:r w:rsidRPr="00E800E0">
              <w:rPr>
                <w:lang w:val="fr-CH"/>
              </w:rPr>
              <w:t>1 (0 dB)</w:t>
            </w:r>
          </w:p>
        </w:tc>
        <w:tc>
          <w:tcPr>
            <w:tcW w:w="4678" w:type="dxa"/>
          </w:tcPr>
          <w:p w:rsidR="00BE5F00" w:rsidRPr="00E800E0" w:rsidRDefault="00BE5F00" w:rsidP="005670D0">
            <w:pPr>
              <w:pStyle w:val="Tabletext"/>
              <w:keepNext/>
              <w:keepLines/>
              <w:jc w:val="center"/>
              <w:rPr>
                <w:lang w:val="fr-CH"/>
              </w:rPr>
            </w:pPr>
            <w:r w:rsidRPr="00E800E0">
              <w:rPr>
                <w:rFonts w:ascii="Symbol" w:hAnsi="Symbol"/>
                <w:lang w:val="fr-CH"/>
              </w:rPr>
              <w:t></w:t>
            </w:r>
            <w:r w:rsidRPr="00E800E0">
              <w:rPr>
                <w:lang w:val="fr-CH"/>
              </w:rPr>
              <w:t>4,4</w:t>
            </w:r>
          </w:p>
        </w:tc>
        <w:tc>
          <w:tcPr>
            <w:tcW w:w="2660" w:type="dxa"/>
          </w:tcPr>
          <w:p w:rsidR="00BE5F00" w:rsidRPr="00E800E0" w:rsidRDefault="00BE5F00" w:rsidP="00D96065">
            <w:pPr>
              <w:pStyle w:val="Tabletext"/>
              <w:keepNext/>
              <w:keepLines/>
              <w:jc w:val="center"/>
              <w:rPr>
                <w:lang w:val="fr-CH"/>
              </w:rPr>
            </w:pPr>
            <w:r w:rsidRPr="00E800E0">
              <w:rPr>
                <w:lang w:val="fr-CH"/>
              </w:rPr>
              <w:t>1,35</w:t>
            </w:r>
          </w:p>
        </w:tc>
      </w:tr>
      <w:tr w:rsidR="00BE5F00" w:rsidRPr="00E800E0" w:rsidTr="00D96065">
        <w:trPr>
          <w:jc w:val="center"/>
        </w:trPr>
        <w:tc>
          <w:tcPr>
            <w:tcW w:w="1843" w:type="dxa"/>
          </w:tcPr>
          <w:p w:rsidR="00BE5F00" w:rsidRPr="00E800E0" w:rsidRDefault="00BE5F00" w:rsidP="00D96065">
            <w:pPr>
              <w:pStyle w:val="Tabletext"/>
              <w:keepNext/>
              <w:keepLines/>
              <w:jc w:val="center"/>
              <w:rPr>
                <w:lang w:val="fr-CH"/>
              </w:rPr>
            </w:pPr>
            <w:r w:rsidRPr="00E800E0">
              <w:rPr>
                <w:lang w:val="fr-CH"/>
              </w:rPr>
              <w:t>2 (</w:t>
            </w:r>
            <w:r w:rsidRPr="00E800E0">
              <w:rPr>
                <w:rFonts w:ascii="Symbol" w:hAnsi="Symbol"/>
                <w:lang w:val="fr-CH"/>
              </w:rPr>
              <w:t></w:t>
            </w:r>
            <w:r w:rsidRPr="00E800E0">
              <w:rPr>
                <w:rFonts w:ascii="Tms Rmn" w:hAnsi="Tms Rmn"/>
                <w:sz w:val="12"/>
                <w:lang w:val="fr-CH"/>
              </w:rPr>
              <w:t> </w:t>
            </w:r>
            <w:r w:rsidRPr="00E800E0">
              <w:rPr>
                <w:lang w:val="fr-CH"/>
              </w:rPr>
              <w:t>6 dB)</w:t>
            </w:r>
          </w:p>
        </w:tc>
        <w:tc>
          <w:tcPr>
            <w:tcW w:w="4678" w:type="dxa"/>
          </w:tcPr>
          <w:p w:rsidR="00BE5F00" w:rsidRPr="00E800E0" w:rsidRDefault="00BE5F00" w:rsidP="00D96065">
            <w:pPr>
              <w:pStyle w:val="Tabletext"/>
              <w:keepNext/>
              <w:keepLines/>
              <w:jc w:val="center"/>
              <w:rPr>
                <w:lang w:val="fr-CH"/>
              </w:rPr>
            </w:pPr>
            <w:r w:rsidRPr="00E800E0">
              <w:rPr>
                <w:rFonts w:ascii="Symbol" w:hAnsi="Symbol"/>
                <w:lang w:val="fr-CH"/>
              </w:rPr>
              <w:t></w:t>
            </w:r>
            <w:r w:rsidRPr="00E800E0">
              <w:rPr>
                <w:lang w:val="fr-CH"/>
              </w:rPr>
              <w:t>5,7</w:t>
            </w:r>
          </w:p>
        </w:tc>
        <w:tc>
          <w:tcPr>
            <w:tcW w:w="2660" w:type="dxa"/>
          </w:tcPr>
          <w:p w:rsidR="00BE5F00" w:rsidRPr="00E800E0" w:rsidRDefault="00BE5F00" w:rsidP="00D96065">
            <w:pPr>
              <w:pStyle w:val="Tabletext"/>
              <w:keepNext/>
              <w:keepLines/>
              <w:jc w:val="center"/>
              <w:rPr>
                <w:lang w:val="fr-CH"/>
              </w:rPr>
            </w:pPr>
            <w:r w:rsidRPr="00E800E0">
              <w:rPr>
                <w:lang w:val="fr-CH"/>
              </w:rPr>
              <w:t>2,0</w:t>
            </w:r>
          </w:p>
        </w:tc>
      </w:tr>
    </w:tbl>
    <w:p w:rsidR="00BE5F00" w:rsidRDefault="00BE5F00" w:rsidP="001D5C9F">
      <w:pPr>
        <w:pStyle w:val="Tablefin"/>
      </w:pPr>
    </w:p>
    <w:p w:rsidR="005670D0" w:rsidRPr="00E800E0" w:rsidRDefault="005670D0" w:rsidP="005670D0">
      <w:pPr>
        <w:rPr>
          <w:lang w:val="fr-CH"/>
        </w:rPr>
      </w:pPr>
    </w:p>
    <w:p w:rsidR="00BE5F00" w:rsidRPr="00E800E0" w:rsidRDefault="00BE5F00" w:rsidP="005670D0">
      <w:pPr>
        <w:pStyle w:val="AppendixNoTitle"/>
        <w:rPr>
          <w:lang w:val="fr-CH"/>
        </w:rPr>
      </w:pPr>
      <w:r w:rsidRPr="00E800E0">
        <w:rPr>
          <w:lang w:val="fr-CH"/>
        </w:rPr>
        <w:t>Appendice 2</w:t>
      </w:r>
      <w:r w:rsidRPr="00E800E0">
        <w:rPr>
          <w:lang w:val="fr-CH"/>
        </w:rPr>
        <w:br/>
        <w:t>à l'Annexe 1</w:t>
      </w:r>
    </w:p>
    <w:p w:rsidR="00BE5F00" w:rsidRPr="00E800E0" w:rsidRDefault="00BE5F00" w:rsidP="00BE5F00">
      <w:pPr>
        <w:pStyle w:val="TableNo"/>
        <w:rPr>
          <w:lang w:val="fr-CH"/>
        </w:rPr>
      </w:pPr>
      <w:r w:rsidRPr="004F5A5C">
        <w:t>TABLEAU</w:t>
      </w:r>
      <w:r w:rsidRPr="00E800E0">
        <w:rPr>
          <w:lang w:val="fr-CH"/>
        </w:rPr>
        <w:t xml:space="preserve"> 3</w:t>
      </w:r>
    </w:p>
    <w:p w:rsidR="00BE5F00" w:rsidRPr="004F5A5C" w:rsidRDefault="00BE5F00" w:rsidP="005670D0">
      <w:pPr>
        <w:pStyle w:val="Tabletitle"/>
      </w:pPr>
      <w:r w:rsidRPr="004F5A5C">
        <w:t xml:space="preserve">Nombre de dépassements et d'évanouissements par heure </w:t>
      </w:r>
      <w:r w:rsidR="005670D0">
        <w:br/>
      </w:r>
      <w:r w:rsidRPr="004F5A5C">
        <w:t>sur une liaison dans la bande d'ondes kilométriques</w:t>
      </w:r>
    </w:p>
    <w:tbl>
      <w:tblPr>
        <w:tblW w:w="0" w:type="auto"/>
        <w:jc w:val="center"/>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6"/>
        <w:gridCol w:w="541"/>
        <w:gridCol w:w="709"/>
        <w:gridCol w:w="584"/>
        <w:gridCol w:w="567"/>
        <w:gridCol w:w="709"/>
        <w:gridCol w:w="708"/>
        <w:gridCol w:w="567"/>
        <w:gridCol w:w="650"/>
        <w:gridCol w:w="680"/>
      </w:tblGrid>
      <w:tr w:rsidR="00BE5F00" w:rsidRPr="00E800E0" w:rsidTr="00E34625">
        <w:trPr>
          <w:jc w:val="center"/>
        </w:trPr>
        <w:tc>
          <w:tcPr>
            <w:tcW w:w="3216" w:type="dxa"/>
            <w:shd w:val="clear" w:color="auto" w:fill="auto"/>
          </w:tcPr>
          <w:p w:rsidR="00BE5F00" w:rsidRPr="00E34625" w:rsidRDefault="00BE5F00" w:rsidP="00E34625">
            <w:pPr>
              <w:pStyle w:val="Tablehead"/>
            </w:pPr>
          </w:p>
        </w:tc>
        <w:tc>
          <w:tcPr>
            <w:tcW w:w="5715" w:type="dxa"/>
            <w:gridSpan w:val="9"/>
            <w:shd w:val="clear" w:color="auto" w:fill="auto"/>
          </w:tcPr>
          <w:p w:rsidR="00BE5F00" w:rsidRPr="00E34625" w:rsidRDefault="00BE5F00" w:rsidP="00E34625">
            <w:pPr>
              <w:pStyle w:val="Tablehead"/>
            </w:pPr>
            <w:r w:rsidRPr="00E34625">
              <w:t>Heure</w:t>
            </w:r>
          </w:p>
        </w:tc>
      </w:tr>
      <w:tr w:rsidR="00E34625" w:rsidRPr="00E800E0" w:rsidTr="00E34625">
        <w:trPr>
          <w:jc w:val="center"/>
        </w:trPr>
        <w:tc>
          <w:tcPr>
            <w:tcW w:w="3216" w:type="dxa"/>
            <w:shd w:val="clear" w:color="auto" w:fill="auto"/>
          </w:tcPr>
          <w:p w:rsidR="00BE5F00" w:rsidRPr="00E34625" w:rsidRDefault="00BE5F00" w:rsidP="00E34625">
            <w:pPr>
              <w:pStyle w:val="Tabletext"/>
            </w:pPr>
            <w:r w:rsidRPr="00E34625">
              <w:t>Niveau seuil</w:t>
            </w:r>
          </w:p>
        </w:tc>
        <w:tc>
          <w:tcPr>
            <w:tcW w:w="541" w:type="dxa"/>
            <w:shd w:val="clear" w:color="auto" w:fill="auto"/>
            <w:vAlign w:val="center"/>
          </w:tcPr>
          <w:p w:rsidR="00BE5F00" w:rsidRPr="00E34625" w:rsidRDefault="00BE5F00" w:rsidP="00E34625">
            <w:pPr>
              <w:pStyle w:val="Tabletext"/>
              <w:jc w:val="center"/>
            </w:pPr>
            <w:r w:rsidRPr="00E34625">
              <w:t>18</w:t>
            </w:r>
          </w:p>
        </w:tc>
        <w:tc>
          <w:tcPr>
            <w:tcW w:w="709" w:type="dxa"/>
            <w:shd w:val="clear" w:color="auto" w:fill="auto"/>
            <w:vAlign w:val="center"/>
          </w:tcPr>
          <w:p w:rsidR="00BE5F00" w:rsidRPr="00E34625" w:rsidRDefault="00BE5F00" w:rsidP="00E34625">
            <w:pPr>
              <w:pStyle w:val="Tabletext"/>
              <w:jc w:val="center"/>
            </w:pPr>
            <w:r w:rsidRPr="00E34625">
              <w:t>19</w:t>
            </w:r>
          </w:p>
        </w:tc>
        <w:tc>
          <w:tcPr>
            <w:tcW w:w="584" w:type="dxa"/>
            <w:shd w:val="clear" w:color="auto" w:fill="auto"/>
            <w:vAlign w:val="center"/>
          </w:tcPr>
          <w:p w:rsidR="00BE5F00" w:rsidRPr="00E34625" w:rsidRDefault="00BE5F00" w:rsidP="00E34625">
            <w:pPr>
              <w:pStyle w:val="Tabletext"/>
              <w:jc w:val="center"/>
            </w:pPr>
            <w:r w:rsidRPr="00E34625">
              <w:t>20</w:t>
            </w:r>
          </w:p>
        </w:tc>
        <w:tc>
          <w:tcPr>
            <w:tcW w:w="567" w:type="dxa"/>
            <w:shd w:val="clear" w:color="auto" w:fill="auto"/>
            <w:vAlign w:val="center"/>
          </w:tcPr>
          <w:p w:rsidR="00BE5F00" w:rsidRPr="00E34625" w:rsidRDefault="00BE5F00" w:rsidP="00E34625">
            <w:pPr>
              <w:pStyle w:val="Tabletext"/>
              <w:jc w:val="center"/>
            </w:pPr>
            <w:r w:rsidRPr="00E34625">
              <w:t>21</w:t>
            </w:r>
          </w:p>
        </w:tc>
        <w:tc>
          <w:tcPr>
            <w:tcW w:w="709" w:type="dxa"/>
            <w:shd w:val="clear" w:color="auto" w:fill="auto"/>
            <w:vAlign w:val="center"/>
          </w:tcPr>
          <w:p w:rsidR="00BE5F00" w:rsidRPr="00E34625" w:rsidRDefault="00BE5F00" w:rsidP="00E34625">
            <w:pPr>
              <w:pStyle w:val="Tabletext"/>
              <w:jc w:val="center"/>
            </w:pPr>
            <w:r w:rsidRPr="00E34625">
              <w:t>22</w:t>
            </w:r>
          </w:p>
        </w:tc>
        <w:tc>
          <w:tcPr>
            <w:tcW w:w="708" w:type="dxa"/>
            <w:shd w:val="clear" w:color="auto" w:fill="auto"/>
            <w:vAlign w:val="center"/>
          </w:tcPr>
          <w:p w:rsidR="00BE5F00" w:rsidRPr="00E34625" w:rsidRDefault="00BE5F00" w:rsidP="00E34625">
            <w:pPr>
              <w:pStyle w:val="Tabletext"/>
              <w:jc w:val="center"/>
            </w:pPr>
            <w:r w:rsidRPr="00E34625">
              <w:t>23</w:t>
            </w:r>
          </w:p>
        </w:tc>
        <w:tc>
          <w:tcPr>
            <w:tcW w:w="567" w:type="dxa"/>
            <w:shd w:val="clear" w:color="auto" w:fill="auto"/>
            <w:vAlign w:val="center"/>
          </w:tcPr>
          <w:p w:rsidR="00BE5F00" w:rsidRPr="00E34625" w:rsidRDefault="00BE5F00" w:rsidP="00E34625">
            <w:pPr>
              <w:pStyle w:val="Tabletext"/>
              <w:jc w:val="center"/>
            </w:pPr>
            <w:r w:rsidRPr="00E34625">
              <w:t>24</w:t>
            </w:r>
          </w:p>
        </w:tc>
        <w:tc>
          <w:tcPr>
            <w:tcW w:w="650" w:type="dxa"/>
            <w:shd w:val="clear" w:color="auto" w:fill="auto"/>
            <w:vAlign w:val="center"/>
          </w:tcPr>
          <w:p w:rsidR="00BE5F00" w:rsidRPr="00E34625" w:rsidRDefault="00BE5F00" w:rsidP="00E34625">
            <w:pPr>
              <w:pStyle w:val="Tabletext"/>
              <w:jc w:val="center"/>
            </w:pPr>
            <w:r w:rsidRPr="00E34625">
              <w:t>01</w:t>
            </w:r>
          </w:p>
        </w:tc>
        <w:tc>
          <w:tcPr>
            <w:tcW w:w="680" w:type="dxa"/>
            <w:shd w:val="clear" w:color="auto" w:fill="auto"/>
            <w:vAlign w:val="center"/>
          </w:tcPr>
          <w:p w:rsidR="00BE5F00" w:rsidRPr="00E34625" w:rsidRDefault="00BE5F00" w:rsidP="00E34625">
            <w:pPr>
              <w:pStyle w:val="Tabletext"/>
              <w:jc w:val="center"/>
            </w:pPr>
            <w:r w:rsidRPr="00E34625">
              <w:t>02</w:t>
            </w:r>
          </w:p>
        </w:tc>
      </w:tr>
      <w:tr w:rsidR="00E34625" w:rsidRPr="00E800E0" w:rsidTr="00E34625">
        <w:trPr>
          <w:jc w:val="center"/>
        </w:trPr>
        <w:tc>
          <w:tcPr>
            <w:tcW w:w="3216" w:type="dxa"/>
            <w:shd w:val="clear" w:color="auto" w:fill="auto"/>
          </w:tcPr>
          <w:p w:rsidR="00BE5F00" w:rsidRPr="00E34625" w:rsidRDefault="00BE5F00" w:rsidP="00E34625">
            <w:pPr>
              <w:pStyle w:val="Tabletext"/>
            </w:pPr>
            <w:r w:rsidRPr="00E34625">
              <w:t>Valeur médiane (dépassement)</w:t>
            </w:r>
          </w:p>
        </w:tc>
        <w:tc>
          <w:tcPr>
            <w:tcW w:w="541" w:type="dxa"/>
            <w:shd w:val="clear" w:color="auto" w:fill="auto"/>
            <w:vAlign w:val="center"/>
          </w:tcPr>
          <w:p w:rsidR="00BE5F00" w:rsidRPr="00E34625" w:rsidRDefault="00BE5F00" w:rsidP="00E34625">
            <w:pPr>
              <w:pStyle w:val="Tabletext"/>
              <w:jc w:val="center"/>
            </w:pPr>
            <w:r w:rsidRPr="00E34625">
              <w:t>2,3</w:t>
            </w:r>
          </w:p>
        </w:tc>
        <w:tc>
          <w:tcPr>
            <w:tcW w:w="709" w:type="dxa"/>
            <w:shd w:val="clear" w:color="auto" w:fill="auto"/>
            <w:vAlign w:val="center"/>
          </w:tcPr>
          <w:p w:rsidR="00BE5F00" w:rsidRPr="00E34625" w:rsidRDefault="00BE5F00" w:rsidP="00E34625">
            <w:pPr>
              <w:pStyle w:val="Tabletext"/>
              <w:jc w:val="center"/>
            </w:pPr>
            <w:r w:rsidRPr="00E34625">
              <w:t>2,7</w:t>
            </w:r>
          </w:p>
        </w:tc>
        <w:tc>
          <w:tcPr>
            <w:tcW w:w="584" w:type="dxa"/>
            <w:shd w:val="clear" w:color="auto" w:fill="auto"/>
            <w:vAlign w:val="center"/>
          </w:tcPr>
          <w:p w:rsidR="00BE5F00" w:rsidRPr="00E34625" w:rsidRDefault="00BE5F00" w:rsidP="00E34625">
            <w:pPr>
              <w:pStyle w:val="Tabletext"/>
              <w:jc w:val="center"/>
            </w:pPr>
            <w:r w:rsidRPr="00E34625">
              <w:t>3,1</w:t>
            </w:r>
          </w:p>
        </w:tc>
        <w:tc>
          <w:tcPr>
            <w:tcW w:w="567" w:type="dxa"/>
            <w:shd w:val="clear" w:color="auto" w:fill="auto"/>
            <w:vAlign w:val="center"/>
          </w:tcPr>
          <w:p w:rsidR="00BE5F00" w:rsidRPr="00E34625" w:rsidRDefault="00BE5F00" w:rsidP="00E34625">
            <w:pPr>
              <w:pStyle w:val="Tabletext"/>
              <w:jc w:val="center"/>
            </w:pPr>
            <w:r w:rsidRPr="00E34625">
              <w:t>3,7</w:t>
            </w:r>
          </w:p>
        </w:tc>
        <w:tc>
          <w:tcPr>
            <w:tcW w:w="709" w:type="dxa"/>
            <w:shd w:val="clear" w:color="auto" w:fill="auto"/>
            <w:vAlign w:val="center"/>
          </w:tcPr>
          <w:p w:rsidR="00BE5F00" w:rsidRPr="00E34625" w:rsidRDefault="00BE5F00" w:rsidP="00E34625">
            <w:pPr>
              <w:pStyle w:val="Tabletext"/>
              <w:jc w:val="center"/>
            </w:pPr>
            <w:r w:rsidRPr="00E34625">
              <w:t>4,1</w:t>
            </w:r>
          </w:p>
        </w:tc>
        <w:tc>
          <w:tcPr>
            <w:tcW w:w="708" w:type="dxa"/>
            <w:shd w:val="clear" w:color="auto" w:fill="auto"/>
            <w:vAlign w:val="center"/>
          </w:tcPr>
          <w:p w:rsidR="00BE5F00" w:rsidRPr="00E34625" w:rsidRDefault="00BE5F00" w:rsidP="00E34625">
            <w:pPr>
              <w:pStyle w:val="Tabletext"/>
              <w:jc w:val="center"/>
            </w:pPr>
            <w:r w:rsidRPr="00E34625">
              <w:t>4,6</w:t>
            </w:r>
          </w:p>
        </w:tc>
        <w:tc>
          <w:tcPr>
            <w:tcW w:w="567" w:type="dxa"/>
            <w:shd w:val="clear" w:color="auto" w:fill="auto"/>
            <w:vAlign w:val="center"/>
          </w:tcPr>
          <w:p w:rsidR="00BE5F00" w:rsidRPr="00E34625" w:rsidRDefault="00BE5F00" w:rsidP="00E34625">
            <w:pPr>
              <w:pStyle w:val="Tabletext"/>
              <w:jc w:val="center"/>
            </w:pPr>
            <w:r w:rsidRPr="00E34625">
              <w:t>4,4</w:t>
            </w:r>
          </w:p>
        </w:tc>
        <w:tc>
          <w:tcPr>
            <w:tcW w:w="650" w:type="dxa"/>
            <w:shd w:val="clear" w:color="auto" w:fill="auto"/>
            <w:vAlign w:val="center"/>
          </w:tcPr>
          <w:p w:rsidR="00BE5F00" w:rsidRPr="00E34625" w:rsidRDefault="00BE5F00" w:rsidP="00E34625">
            <w:pPr>
              <w:pStyle w:val="Tabletext"/>
              <w:jc w:val="center"/>
            </w:pPr>
            <w:r w:rsidRPr="00E34625">
              <w:t>3,9</w:t>
            </w:r>
          </w:p>
        </w:tc>
        <w:tc>
          <w:tcPr>
            <w:tcW w:w="680" w:type="dxa"/>
            <w:shd w:val="clear" w:color="auto" w:fill="auto"/>
            <w:vAlign w:val="center"/>
          </w:tcPr>
          <w:p w:rsidR="00BE5F00" w:rsidRPr="00E34625" w:rsidRDefault="00BE5F00" w:rsidP="00E34625">
            <w:pPr>
              <w:pStyle w:val="Tabletext"/>
              <w:jc w:val="center"/>
            </w:pPr>
            <w:r w:rsidRPr="00E34625">
              <w:t>3,5</w:t>
            </w:r>
          </w:p>
        </w:tc>
      </w:tr>
      <w:tr w:rsidR="00E34625" w:rsidRPr="00E800E0" w:rsidTr="00E34625">
        <w:trPr>
          <w:jc w:val="center"/>
        </w:trPr>
        <w:tc>
          <w:tcPr>
            <w:tcW w:w="3216" w:type="dxa"/>
            <w:shd w:val="clear" w:color="auto" w:fill="auto"/>
          </w:tcPr>
          <w:p w:rsidR="00BE5F00" w:rsidRPr="00E34625" w:rsidRDefault="00BE5F00" w:rsidP="00E34625">
            <w:pPr>
              <w:pStyle w:val="Tabletext"/>
              <w:jc w:val="left"/>
            </w:pPr>
            <w:r w:rsidRPr="00E34625">
              <w:t>Décile inférieur (évanouissement)</w:t>
            </w:r>
          </w:p>
        </w:tc>
        <w:tc>
          <w:tcPr>
            <w:tcW w:w="541" w:type="dxa"/>
            <w:shd w:val="clear" w:color="auto" w:fill="auto"/>
            <w:vAlign w:val="center"/>
          </w:tcPr>
          <w:p w:rsidR="00BE5F00" w:rsidRPr="00E34625" w:rsidRDefault="00BE5F00" w:rsidP="00E34625">
            <w:pPr>
              <w:pStyle w:val="Tabletext"/>
              <w:jc w:val="center"/>
            </w:pPr>
            <w:r w:rsidRPr="00E34625">
              <w:t>1,5</w:t>
            </w:r>
          </w:p>
        </w:tc>
        <w:tc>
          <w:tcPr>
            <w:tcW w:w="709" w:type="dxa"/>
            <w:shd w:val="clear" w:color="auto" w:fill="auto"/>
            <w:vAlign w:val="center"/>
          </w:tcPr>
          <w:p w:rsidR="00BE5F00" w:rsidRPr="00E34625" w:rsidRDefault="00BE5F00" w:rsidP="00E34625">
            <w:pPr>
              <w:pStyle w:val="Tabletext"/>
              <w:jc w:val="center"/>
            </w:pPr>
            <w:r w:rsidRPr="00E34625">
              <w:t>1,75</w:t>
            </w:r>
          </w:p>
        </w:tc>
        <w:tc>
          <w:tcPr>
            <w:tcW w:w="584" w:type="dxa"/>
            <w:shd w:val="clear" w:color="auto" w:fill="auto"/>
            <w:vAlign w:val="center"/>
          </w:tcPr>
          <w:p w:rsidR="00BE5F00" w:rsidRPr="00E34625" w:rsidRDefault="00BE5F00" w:rsidP="00E34625">
            <w:pPr>
              <w:pStyle w:val="Tabletext"/>
              <w:jc w:val="center"/>
            </w:pPr>
            <w:r w:rsidRPr="00E34625">
              <w:t>2</w:t>
            </w:r>
          </w:p>
        </w:tc>
        <w:tc>
          <w:tcPr>
            <w:tcW w:w="567" w:type="dxa"/>
            <w:shd w:val="clear" w:color="auto" w:fill="auto"/>
            <w:vAlign w:val="center"/>
          </w:tcPr>
          <w:p w:rsidR="00BE5F00" w:rsidRPr="00E34625" w:rsidRDefault="00BE5F00" w:rsidP="00E34625">
            <w:pPr>
              <w:pStyle w:val="Tabletext"/>
              <w:jc w:val="center"/>
            </w:pPr>
            <w:r w:rsidRPr="00E34625">
              <w:t>2,3</w:t>
            </w:r>
          </w:p>
        </w:tc>
        <w:tc>
          <w:tcPr>
            <w:tcW w:w="709" w:type="dxa"/>
            <w:shd w:val="clear" w:color="auto" w:fill="auto"/>
            <w:vAlign w:val="center"/>
          </w:tcPr>
          <w:p w:rsidR="00BE5F00" w:rsidRPr="00E34625" w:rsidRDefault="00BE5F00" w:rsidP="00E34625">
            <w:pPr>
              <w:pStyle w:val="Tabletext"/>
              <w:jc w:val="center"/>
            </w:pPr>
            <w:r w:rsidRPr="00E34625">
              <w:t>2,6</w:t>
            </w:r>
          </w:p>
        </w:tc>
        <w:tc>
          <w:tcPr>
            <w:tcW w:w="708" w:type="dxa"/>
            <w:shd w:val="clear" w:color="auto" w:fill="auto"/>
            <w:vAlign w:val="center"/>
          </w:tcPr>
          <w:p w:rsidR="00BE5F00" w:rsidRPr="00E34625" w:rsidRDefault="00BE5F00" w:rsidP="00E34625">
            <w:pPr>
              <w:pStyle w:val="Tabletext"/>
              <w:jc w:val="center"/>
            </w:pPr>
            <w:r w:rsidRPr="00E34625">
              <w:t>2,6</w:t>
            </w:r>
          </w:p>
        </w:tc>
        <w:tc>
          <w:tcPr>
            <w:tcW w:w="567" w:type="dxa"/>
            <w:shd w:val="clear" w:color="auto" w:fill="auto"/>
            <w:vAlign w:val="center"/>
          </w:tcPr>
          <w:p w:rsidR="00BE5F00" w:rsidRPr="00E34625" w:rsidRDefault="00BE5F00" w:rsidP="00E34625">
            <w:pPr>
              <w:pStyle w:val="Tabletext"/>
              <w:jc w:val="center"/>
            </w:pPr>
            <w:r w:rsidRPr="00E34625">
              <w:t>2,3</w:t>
            </w:r>
          </w:p>
        </w:tc>
        <w:tc>
          <w:tcPr>
            <w:tcW w:w="650" w:type="dxa"/>
            <w:shd w:val="clear" w:color="auto" w:fill="auto"/>
            <w:vAlign w:val="center"/>
          </w:tcPr>
          <w:p w:rsidR="00BE5F00" w:rsidRPr="00E34625" w:rsidRDefault="00BE5F00" w:rsidP="00E34625">
            <w:pPr>
              <w:pStyle w:val="Tabletext"/>
              <w:jc w:val="center"/>
            </w:pPr>
            <w:r w:rsidRPr="00E34625">
              <w:t>2</w:t>
            </w:r>
          </w:p>
        </w:tc>
        <w:tc>
          <w:tcPr>
            <w:tcW w:w="680" w:type="dxa"/>
            <w:shd w:val="clear" w:color="auto" w:fill="auto"/>
            <w:vAlign w:val="center"/>
          </w:tcPr>
          <w:p w:rsidR="00BE5F00" w:rsidRPr="00E34625" w:rsidRDefault="00BE5F00" w:rsidP="00E34625">
            <w:pPr>
              <w:pStyle w:val="Tabletext"/>
              <w:jc w:val="center"/>
            </w:pPr>
            <w:r w:rsidRPr="00E34625">
              <w:t>1,7</w:t>
            </w:r>
          </w:p>
        </w:tc>
      </w:tr>
      <w:tr w:rsidR="00E34625" w:rsidRPr="00E800E0" w:rsidTr="00E34625">
        <w:trPr>
          <w:jc w:val="center"/>
        </w:trPr>
        <w:tc>
          <w:tcPr>
            <w:tcW w:w="3216" w:type="dxa"/>
            <w:shd w:val="clear" w:color="auto" w:fill="auto"/>
          </w:tcPr>
          <w:p w:rsidR="00BE5F00" w:rsidRPr="00E34625" w:rsidRDefault="00BE5F00" w:rsidP="00E34625">
            <w:pPr>
              <w:pStyle w:val="Tabletext"/>
            </w:pPr>
            <w:r w:rsidRPr="00E34625">
              <w:t>Décile supérieur (dépassement)</w:t>
            </w:r>
          </w:p>
        </w:tc>
        <w:tc>
          <w:tcPr>
            <w:tcW w:w="541" w:type="dxa"/>
            <w:shd w:val="clear" w:color="auto" w:fill="auto"/>
            <w:vAlign w:val="center"/>
          </w:tcPr>
          <w:p w:rsidR="00BE5F00" w:rsidRPr="00E34625" w:rsidRDefault="00BE5F00" w:rsidP="00E34625">
            <w:pPr>
              <w:pStyle w:val="Tabletext"/>
              <w:jc w:val="center"/>
            </w:pPr>
            <w:r w:rsidRPr="00E34625">
              <w:t>1,6</w:t>
            </w:r>
          </w:p>
        </w:tc>
        <w:tc>
          <w:tcPr>
            <w:tcW w:w="709" w:type="dxa"/>
            <w:shd w:val="clear" w:color="auto" w:fill="auto"/>
            <w:vAlign w:val="center"/>
          </w:tcPr>
          <w:p w:rsidR="00BE5F00" w:rsidRPr="00E34625" w:rsidRDefault="00BE5F00" w:rsidP="00E34625">
            <w:pPr>
              <w:pStyle w:val="Tabletext"/>
              <w:jc w:val="center"/>
            </w:pPr>
            <w:r w:rsidRPr="00E34625">
              <w:t>1,8</w:t>
            </w:r>
          </w:p>
        </w:tc>
        <w:tc>
          <w:tcPr>
            <w:tcW w:w="584" w:type="dxa"/>
            <w:shd w:val="clear" w:color="auto" w:fill="auto"/>
            <w:vAlign w:val="center"/>
          </w:tcPr>
          <w:p w:rsidR="00BE5F00" w:rsidRPr="00E34625" w:rsidRDefault="00BE5F00" w:rsidP="00E34625">
            <w:pPr>
              <w:pStyle w:val="Tabletext"/>
              <w:jc w:val="center"/>
            </w:pPr>
            <w:r w:rsidRPr="00E34625">
              <w:t>1,9</w:t>
            </w:r>
          </w:p>
        </w:tc>
        <w:tc>
          <w:tcPr>
            <w:tcW w:w="567" w:type="dxa"/>
            <w:shd w:val="clear" w:color="auto" w:fill="auto"/>
            <w:vAlign w:val="center"/>
          </w:tcPr>
          <w:p w:rsidR="00BE5F00" w:rsidRPr="00E34625" w:rsidRDefault="00BE5F00" w:rsidP="00E34625">
            <w:pPr>
              <w:pStyle w:val="Tabletext"/>
              <w:jc w:val="center"/>
            </w:pPr>
            <w:r w:rsidRPr="00E34625">
              <w:t>2,1</w:t>
            </w:r>
          </w:p>
        </w:tc>
        <w:tc>
          <w:tcPr>
            <w:tcW w:w="709" w:type="dxa"/>
            <w:shd w:val="clear" w:color="auto" w:fill="auto"/>
            <w:vAlign w:val="center"/>
          </w:tcPr>
          <w:p w:rsidR="00BE5F00" w:rsidRPr="00E34625" w:rsidRDefault="00BE5F00" w:rsidP="00E34625">
            <w:pPr>
              <w:pStyle w:val="Tabletext"/>
              <w:jc w:val="center"/>
            </w:pPr>
            <w:r w:rsidRPr="00E34625">
              <w:t>2,25</w:t>
            </w:r>
          </w:p>
        </w:tc>
        <w:tc>
          <w:tcPr>
            <w:tcW w:w="708" w:type="dxa"/>
            <w:shd w:val="clear" w:color="auto" w:fill="auto"/>
            <w:vAlign w:val="center"/>
          </w:tcPr>
          <w:p w:rsidR="00BE5F00" w:rsidRPr="00E34625" w:rsidRDefault="00BE5F00" w:rsidP="00E34625">
            <w:pPr>
              <w:pStyle w:val="Tabletext"/>
              <w:jc w:val="center"/>
            </w:pPr>
            <w:r w:rsidRPr="00E34625">
              <w:t>2,4</w:t>
            </w:r>
          </w:p>
        </w:tc>
        <w:tc>
          <w:tcPr>
            <w:tcW w:w="567" w:type="dxa"/>
            <w:shd w:val="clear" w:color="auto" w:fill="auto"/>
            <w:vAlign w:val="center"/>
          </w:tcPr>
          <w:p w:rsidR="00BE5F00" w:rsidRPr="00E34625" w:rsidRDefault="00BE5F00" w:rsidP="00E34625">
            <w:pPr>
              <w:pStyle w:val="Tabletext"/>
              <w:jc w:val="center"/>
            </w:pPr>
            <w:r w:rsidRPr="00E34625">
              <w:t>2,4</w:t>
            </w:r>
          </w:p>
        </w:tc>
        <w:tc>
          <w:tcPr>
            <w:tcW w:w="650" w:type="dxa"/>
            <w:shd w:val="clear" w:color="auto" w:fill="auto"/>
            <w:vAlign w:val="center"/>
          </w:tcPr>
          <w:p w:rsidR="00BE5F00" w:rsidRPr="00E34625" w:rsidRDefault="00BE5F00" w:rsidP="00E34625">
            <w:pPr>
              <w:pStyle w:val="Tabletext"/>
              <w:jc w:val="center"/>
            </w:pPr>
            <w:r w:rsidRPr="00E34625">
              <w:t>2,3</w:t>
            </w:r>
          </w:p>
        </w:tc>
        <w:tc>
          <w:tcPr>
            <w:tcW w:w="680" w:type="dxa"/>
            <w:shd w:val="clear" w:color="auto" w:fill="auto"/>
            <w:vAlign w:val="center"/>
          </w:tcPr>
          <w:p w:rsidR="00BE5F00" w:rsidRPr="00E34625" w:rsidRDefault="00BE5F00" w:rsidP="00E34625">
            <w:pPr>
              <w:pStyle w:val="Tabletext"/>
              <w:jc w:val="center"/>
            </w:pPr>
            <w:r w:rsidRPr="00E34625">
              <w:t>2,2</w:t>
            </w:r>
          </w:p>
        </w:tc>
      </w:tr>
    </w:tbl>
    <w:p w:rsidR="001D5C9F" w:rsidRDefault="001D5C9F" w:rsidP="001D5C9F">
      <w:pPr>
        <w:pStyle w:val="Tablefin"/>
      </w:pPr>
    </w:p>
    <w:p w:rsidR="00BE5F00" w:rsidRPr="004F5A5C" w:rsidRDefault="00BE5F00" w:rsidP="00BE5F00">
      <w:pPr>
        <w:pStyle w:val="TableNo"/>
        <w:keepLines/>
      </w:pPr>
      <w:r w:rsidRPr="004F5A5C">
        <w:t>TABLEAU 4</w:t>
      </w:r>
    </w:p>
    <w:p w:rsidR="00BE5F00" w:rsidRPr="004F5A5C" w:rsidRDefault="00BE5F00" w:rsidP="00BE5F00">
      <w:pPr>
        <w:pStyle w:val="Tabletitle"/>
        <w:keepLines/>
      </w:pPr>
      <w:r w:rsidRPr="004F5A5C">
        <w:t xml:space="preserve">Nombre de dépassements et d'évanouissements par heure </w:t>
      </w:r>
      <w:r w:rsidR="00E34625">
        <w:br/>
      </w:r>
      <w:r w:rsidRPr="004F5A5C">
        <w:t>sur une liaison dans la bande d'ondes hectométriques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0"/>
        <w:gridCol w:w="570"/>
        <w:gridCol w:w="567"/>
        <w:gridCol w:w="567"/>
        <w:gridCol w:w="567"/>
        <w:gridCol w:w="567"/>
        <w:gridCol w:w="567"/>
        <w:gridCol w:w="567"/>
        <w:gridCol w:w="567"/>
        <w:gridCol w:w="567"/>
        <w:gridCol w:w="661"/>
      </w:tblGrid>
      <w:tr w:rsidR="00BE5F00" w:rsidRPr="00E800E0" w:rsidTr="00E34625">
        <w:trPr>
          <w:jc w:val="center"/>
        </w:trPr>
        <w:tc>
          <w:tcPr>
            <w:tcW w:w="0" w:type="auto"/>
            <w:shd w:val="clear" w:color="auto" w:fill="auto"/>
          </w:tcPr>
          <w:p w:rsidR="00BE5F00" w:rsidRPr="00E34625" w:rsidRDefault="00BE5F00" w:rsidP="00E34625">
            <w:pPr>
              <w:pStyle w:val="Tablehead"/>
            </w:pPr>
          </w:p>
        </w:tc>
        <w:tc>
          <w:tcPr>
            <w:tcW w:w="5767" w:type="dxa"/>
            <w:gridSpan w:val="10"/>
            <w:shd w:val="clear" w:color="auto" w:fill="auto"/>
          </w:tcPr>
          <w:p w:rsidR="00BE5F00" w:rsidRPr="00E34625" w:rsidRDefault="00BE5F00" w:rsidP="00E34625">
            <w:pPr>
              <w:pStyle w:val="Tablehead"/>
            </w:pPr>
            <w:r w:rsidRPr="00E34625">
              <w:t>Heure</w:t>
            </w:r>
          </w:p>
        </w:tc>
      </w:tr>
      <w:tr w:rsidR="00BE5F00" w:rsidRPr="00E800E0" w:rsidTr="00E34625">
        <w:trPr>
          <w:jc w:val="center"/>
        </w:trPr>
        <w:tc>
          <w:tcPr>
            <w:tcW w:w="0" w:type="auto"/>
            <w:shd w:val="clear" w:color="auto" w:fill="auto"/>
          </w:tcPr>
          <w:p w:rsidR="00BE5F00" w:rsidRPr="00E34625" w:rsidRDefault="00BE5F00" w:rsidP="00E34625">
            <w:pPr>
              <w:pStyle w:val="Tabletext"/>
            </w:pPr>
            <w:r w:rsidRPr="00E34625">
              <w:t>Niveau seuil</w:t>
            </w:r>
          </w:p>
        </w:tc>
        <w:tc>
          <w:tcPr>
            <w:tcW w:w="570" w:type="dxa"/>
            <w:shd w:val="clear" w:color="auto" w:fill="auto"/>
          </w:tcPr>
          <w:p w:rsidR="00BE5F00" w:rsidRPr="00E34625" w:rsidRDefault="00BE5F00" w:rsidP="00E34625">
            <w:pPr>
              <w:pStyle w:val="Tabletext"/>
              <w:jc w:val="center"/>
            </w:pPr>
            <w:r w:rsidRPr="00E34625">
              <w:t>18</w:t>
            </w:r>
          </w:p>
        </w:tc>
        <w:tc>
          <w:tcPr>
            <w:tcW w:w="567" w:type="dxa"/>
            <w:shd w:val="clear" w:color="auto" w:fill="auto"/>
          </w:tcPr>
          <w:p w:rsidR="00BE5F00" w:rsidRPr="00E34625" w:rsidRDefault="00BE5F00" w:rsidP="00E34625">
            <w:pPr>
              <w:pStyle w:val="Tabletext"/>
              <w:jc w:val="center"/>
            </w:pPr>
            <w:r w:rsidRPr="00E34625">
              <w:t>19</w:t>
            </w:r>
          </w:p>
        </w:tc>
        <w:tc>
          <w:tcPr>
            <w:tcW w:w="567" w:type="dxa"/>
            <w:shd w:val="clear" w:color="auto" w:fill="auto"/>
          </w:tcPr>
          <w:p w:rsidR="00BE5F00" w:rsidRPr="00E34625" w:rsidRDefault="00BE5F00" w:rsidP="00E34625">
            <w:pPr>
              <w:pStyle w:val="Tabletext"/>
              <w:jc w:val="center"/>
            </w:pPr>
            <w:r w:rsidRPr="00E34625">
              <w:t>20</w:t>
            </w:r>
          </w:p>
        </w:tc>
        <w:tc>
          <w:tcPr>
            <w:tcW w:w="567" w:type="dxa"/>
            <w:shd w:val="clear" w:color="auto" w:fill="auto"/>
          </w:tcPr>
          <w:p w:rsidR="00BE5F00" w:rsidRPr="00E34625" w:rsidRDefault="00BE5F00" w:rsidP="00E34625">
            <w:pPr>
              <w:pStyle w:val="Tabletext"/>
              <w:jc w:val="center"/>
            </w:pPr>
            <w:r w:rsidRPr="00E34625">
              <w:t>21</w:t>
            </w:r>
          </w:p>
        </w:tc>
        <w:tc>
          <w:tcPr>
            <w:tcW w:w="567" w:type="dxa"/>
            <w:shd w:val="clear" w:color="auto" w:fill="auto"/>
          </w:tcPr>
          <w:p w:rsidR="00BE5F00" w:rsidRPr="00E34625" w:rsidRDefault="00BE5F00" w:rsidP="00E34625">
            <w:pPr>
              <w:pStyle w:val="Tabletext"/>
              <w:jc w:val="center"/>
            </w:pPr>
            <w:r w:rsidRPr="00E34625">
              <w:t>22</w:t>
            </w:r>
          </w:p>
        </w:tc>
        <w:tc>
          <w:tcPr>
            <w:tcW w:w="567" w:type="dxa"/>
            <w:shd w:val="clear" w:color="auto" w:fill="auto"/>
          </w:tcPr>
          <w:p w:rsidR="00BE5F00" w:rsidRPr="00E34625" w:rsidRDefault="00BE5F00" w:rsidP="00E34625">
            <w:pPr>
              <w:pStyle w:val="Tabletext"/>
              <w:jc w:val="center"/>
            </w:pPr>
            <w:r w:rsidRPr="00E34625">
              <w:t>23</w:t>
            </w:r>
          </w:p>
        </w:tc>
        <w:tc>
          <w:tcPr>
            <w:tcW w:w="567" w:type="dxa"/>
            <w:shd w:val="clear" w:color="auto" w:fill="auto"/>
          </w:tcPr>
          <w:p w:rsidR="00BE5F00" w:rsidRPr="00E34625" w:rsidRDefault="00BE5F00" w:rsidP="00E34625">
            <w:pPr>
              <w:pStyle w:val="Tabletext"/>
              <w:jc w:val="center"/>
            </w:pPr>
            <w:r w:rsidRPr="00E34625">
              <w:t>24</w:t>
            </w:r>
          </w:p>
        </w:tc>
        <w:tc>
          <w:tcPr>
            <w:tcW w:w="567" w:type="dxa"/>
            <w:shd w:val="clear" w:color="auto" w:fill="auto"/>
          </w:tcPr>
          <w:p w:rsidR="00BE5F00" w:rsidRPr="00E34625" w:rsidRDefault="00BE5F00" w:rsidP="00E34625">
            <w:pPr>
              <w:pStyle w:val="Tabletext"/>
              <w:jc w:val="center"/>
            </w:pPr>
            <w:r w:rsidRPr="00E34625">
              <w:t>01</w:t>
            </w:r>
          </w:p>
        </w:tc>
        <w:tc>
          <w:tcPr>
            <w:tcW w:w="567" w:type="dxa"/>
            <w:shd w:val="clear" w:color="auto" w:fill="auto"/>
          </w:tcPr>
          <w:p w:rsidR="00BE5F00" w:rsidRPr="00E34625" w:rsidRDefault="00BE5F00" w:rsidP="00E34625">
            <w:pPr>
              <w:pStyle w:val="Tabletext"/>
              <w:jc w:val="center"/>
            </w:pPr>
            <w:r w:rsidRPr="00E34625">
              <w:t>02</w:t>
            </w:r>
          </w:p>
        </w:tc>
        <w:tc>
          <w:tcPr>
            <w:tcW w:w="661" w:type="dxa"/>
            <w:shd w:val="clear" w:color="auto" w:fill="auto"/>
          </w:tcPr>
          <w:p w:rsidR="00BE5F00" w:rsidRPr="00E34625" w:rsidRDefault="00BE5F00" w:rsidP="00E34625">
            <w:pPr>
              <w:pStyle w:val="Tabletext"/>
              <w:jc w:val="center"/>
            </w:pPr>
            <w:r w:rsidRPr="00E34625">
              <w:t>03</w:t>
            </w:r>
          </w:p>
        </w:tc>
      </w:tr>
      <w:tr w:rsidR="00BE5F00" w:rsidRPr="00E800E0" w:rsidTr="00E34625">
        <w:trPr>
          <w:jc w:val="center"/>
        </w:trPr>
        <w:tc>
          <w:tcPr>
            <w:tcW w:w="0" w:type="auto"/>
            <w:shd w:val="clear" w:color="auto" w:fill="auto"/>
          </w:tcPr>
          <w:p w:rsidR="00BE5F00" w:rsidRPr="00E34625" w:rsidRDefault="00BE5F00" w:rsidP="00E34625">
            <w:pPr>
              <w:pStyle w:val="Tabletext"/>
            </w:pPr>
            <w:r w:rsidRPr="00E34625">
              <w:t>Valeur médiane (dépassement)</w:t>
            </w:r>
          </w:p>
        </w:tc>
        <w:tc>
          <w:tcPr>
            <w:tcW w:w="570" w:type="dxa"/>
            <w:shd w:val="clear" w:color="auto" w:fill="auto"/>
          </w:tcPr>
          <w:p w:rsidR="00BE5F00" w:rsidRPr="00E34625" w:rsidRDefault="00BE5F00" w:rsidP="00E34625">
            <w:pPr>
              <w:pStyle w:val="Tabletext"/>
              <w:jc w:val="center"/>
            </w:pPr>
            <w:r w:rsidRPr="00E34625">
              <w:t>1,8</w:t>
            </w:r>
          </w:p>
        </w:tc>
        <w:tc>
          <w:tcPr>
            <w:tcW w:w="567" w:type="dxa"/>
            <w:shd w:val="clear" w:color="auto" w:fill="auto"/>
          </w:tcPr>
          <w:p w:rsidR="00BE5F00" w:rsidRPr="00E34625" w:rsidRDefault="00BE5F00" w:rsidP="00E34625">
            <w:pPr>
              <w:pStyle w:val="Tabletext"/>
              <w:jc w:val="center"/>
            </w:pPr>
            <w:r w:rsidRPr="00E34625">
              <w:t>2</w:t>
            </w:r>
          </w:p>
        </w:tc>
        <w:tc>
          <w:tcPr>
            <w:tcW w:w="567" w:type="dxa"/>
            <w:shd w:val="clear" w:color="auto" w:fill="auto"/>
          </w:tcPr>
          <w:p w:rsidR="00BE5F00" w:rsidRPr="00E34625" w:rsidRDefault="00BE5F00" w:rsidP="00E34625">
            <w:pPr>
              <w:pStyle w:val="Tabletext"/>
              <w:jc w:val="center"/>
            </w:pPr>
            <w:r w:rsidRPr="00E34625">
              <w:t>2,3</w:t>
            </w:r>
          </w:p>
        </w:tc>
        <w:tc>
          <w:tcPr>
            <w:tcW w:w="567" w:type="dxa"/>
            <w:shd w:val="clear" w:color="auto" w:fill="auto"/>
          </w:tcPr>
          <w:p w:rsidR="00BE5F00" w:rsidRPr="00E34625" w:rsidRDefault="00BE5F00" w:rsidP="00E34625">
            <w:pPr>
              <w:pStyle w:val="Tabletext"/>
              <w:jc w:val="center"/>
            </w:pPr>
            <w:r w:rsidRPr="00E34625">
              <w:t>2,7</w:t>
            </w:r>
          </w:p>
        </w:tc>
        <w:tc>
          <w:tcPr>
            <w:tcW w:w="567" w:type="dxa"/>
            <w:shd w:val="clear" w:color="auto" w:fill="auto"/>
          </w:tcPr>
          <w:p w:rsidR="00BE5F00" w:rsidRPr="00E34625" w:rsidRDefault="00BE5F00" w:rsidP="00E34625">
            <w:pPr>
              <w:pStyle w:val="Tabletext"/>
              <w:jc w:val="center"/>
            </w:pPr>
            <w:r w:rsidRPr="00E34625">
              <w:t>2,9</w:t>
            </w:r>
          </w:p>
        </w:tc>
        <w:tc>
          <w:tcPr>
            <w:tcW w:w="567" w:type="dxa"/>
            <w:shd w:val="clear" w:color="auto" w:fill="auto"/>
          </w:tcPr>
          <w:p w:rsidR="00BE5F00" w:rsidRPr="00E34625" w:rsidRDefault="00BE5F00" w:rsidP="00E34625">
            <w:pPr>
              <w:pStyle w:val="Tabletext"/>
              <w:jc w:val="center"/>
            </w:pPr>
            <w:r w:rsidRPr="00E34625">
              <w:t>3,2</w:t>
            </w:r>
          </w:p>
        </w:tc>
        <w:tc>
          <w:tcPr>
            <w:tcW w:w="567" w:type="dxa"/>
            <w:shd w:val="clear" w:color="auto" w:fill="auto"/>
          </w:tcPr>
          <w:p w:rsidR="00BE5F00" w:rsidRPr="00E34625" w:rsidRDefault="00BE5F00" w:rsidP="00E34625">
            <w:pPr>
              <w:pStyle w:val="Tabletext"/>
              <w:jc w:val="center"/>
            </w:pPr>
            <w:r w:rsidRPr="00E34625">
              <w:t>3,5</w:t>
            </w:r>
          </w:p>
        </w:tc>
        <w:tc>
          <w:tcPr>
            <w:tcW w:w="567" w:type="dxa"/>
            <w:shd w:val="clear" w:color="auto" w:fill="auto"/>
          </w:tcPr>
          <w:p w:rsidR="00BE5F00" w:rsidRPr="00E34625" w:rsidRDefault="00BE5F00" w:rsidP="00E34625">
            <w:pPr>
              <w:pStyle w:val="Tabletext"/>
              <w:jc w:val="center"/>
            </w:pPr>
            <w:r w:rsidRPr="00E34625">
              <w:t>3,5</w:t>
            </w:r>
          </w:p>
        </w:tc>
        <w:tc>
          <w:tcPr>
            <w:tcW w:w="567" w:type="dxa"/>
            <w:shd w:val="clear" w:color="auto" w:fill="auto"/>
          </w:tcPr>
          <w:p w:rsidR="00BE5F00" w:rsidRPr="00E34625" w:rsidRDefault="00BE5F00" w:rsidP="00E34625">
            <w:pPr>
              <w:pStyle w:val="Tabletext"/>
              <w:jc w:val="center"/>
            </w:pPr>
            <w:r w:rsidRPr="00E34625">
              <w:t>3</w:t>
            </w:r>
          </w:p>
        </w:tc>
        <w:tc>
          <w:tcPr>
            <w:tcW w:w="661" w:type="dxa"/>
            <w:shd w:val="clear" w:color="auto" w:fill="auto"/>
          </w:tcPr>
          <w:p w:rsidR="00BE5F00" w:rsidRPr="00E34625" w:rsidRDefault="00BE5F00" w:rsidP="00E34625">
            <w:pPr>
              <w:pStyle w:val="Tabletext"/>
              <w:jc w:val="center"/>
            </w:pPr>
            <w:r w:rsidRPr="00E34625">
              <w:t>2,7</w:t>
            </w:r>
          </w:p>
        </w:tc>
      </w:tr>
      <w:tr w:rsidR="00BE5F00" w:rsidRPr="00E800E0" w:rsidTr="00E34625">
        <w:trPr>
          <w:jc w:val="center"/>
        </w:trPr>
        <w:tc>
          <w:tcPr>
            <w:tcW w:w="0" w:type="auto"/>
            <w:shd w:val="clear" w:color="auto" w:fill="auto"/>
          </w:tcPr>
          <w:p w:rsidR="00BE5F00" w:rsidRPr="00E34625" w:rsidRDefault="00BE5F00" w:rsidP="00E34625">
            <w:pPr>
              <w:pStyle w:val="Tabletext"/>
              <w:jc w:val="left"/>
            </w:pPr>
            <w:r w:rsidRPr="00E34625">
              <w:t>Décile inférieur (évanouissement)</w:t>
            </w:r>
          </w:p>
        </w:tc>
        <w:tc>
          <w:tcPr>
            <w:tcW w:w="570" w:type="dxa"/>
            <w:shd w:val="clear" w:color="auto" w:fill="auto"/>
          </w:tcPr>
          <w:p w:rsidR="00BE5F00" w:rsidRPr="00E34625" w:rsidRDefault="00BE5F00" w:rsidP="00E34625">
            <w:pPr>
              <w:pStyle w:val="Tabletext"/>
              <w:jc w:val="center"/>
            </w:pPr>
            <w:r w:rsidRPr="00E34625">
              <w:t>1,5</w:t>
            </w:r>
          </w:p>
        </w:tc>
        <w:tc>
          <w:tcPr>
            <w:tcW w:w="567" w:type="dxa"/>
            <w:shd w:val="clear" w:color="auto" w:fill="auto"/>
          </w:tcPr>
          <w:p w:rsidR="00BE5F00" w:rsidRPr="00E34625" w:rsidRDefault="00BE5F00" w:rsidP="00E34625">
            <w:pPr>
              <w:pStyle w:val="Tabletext"/>
              <w:jc w:val="center"/>
            </w:pPr>
            <w:r w:rsidRPr="00E34625">
              <w:t>1,7</w:t>
            </w:r>
          </w:p>
        </w:tc>
        <w:tc>
          <w:tcPr>
            <w:tcW w:w="567" w:type="dxa"/>
            <w:shd w:val="clear" w:color="auto" w:fill="auto"/>
          </w:tcPr>
          <w:p w:rsidR="00BE5F00" w:rsidRPr="00E34625" w:rsidRDefault="00BE5F00" w:rsidP="00E34625">
            <w:pPr>
              <w:pStyle w:val="Tabletext"/>
              <w:jc w:val="center"/>
            </w:pPr>
            <w:r w:rsidRPr="00E34625">
              <w:t>1,9</w:t>
            </w:r>
          </w:p>
        </w:tc>
        <w:tc>
          <w:tcPr>
            <w:tcW w:w="567" w:type="dxa"/>
            <w:shd w:val="clear" w:color="auto" w:fill="auto"/>
          </w:tcPr>
          <w:p w:rsidR="00BE5F00" w:rsidRPr="00E34625" w:rsidRDefault="00BE5F00" w:rsidP="00E34625">
            <w:pPr>
              <w:pStyle w:val="Tabletext"/>
              <w:jc w:val="center"/>
            </w:pPr>
            <w:r w:rsidRPr="00E34625">
              <w:t>2,1</w:t>
            </w:r>
          </w:p>
        </w:tc>
        <w:tc>
          <w:tcPr>
            <w:tcW w:w="567" w:type="dxa"/>
            <w:shd w:val="clear" w:color="auto" w:fill="auto"/>
          </w:tcPr>
          <w:p w:rsidR="00BE5F00" w:rsidRPr="00E34625" w:rsidRDefault="00BE5F00" w:rsidP="00E34625">
            <w:pPr>
              <w:pStyle w:val="Tabletext"/>
              <w:jc w:val="center"/>
            </w:pPr>
            <w:r w:rsidRPr="00E34625">
              <w:t>2,2</w:t>
            </w:r>
          </w:p>
        </w:tc>
        <w:tc>
          <w:tcPr>
            <w:tcW w:w="567" w:type="dxa"/>
            <w:shd w:val="clear" w:color="auto" w:fill="auto"/>
          </w:tcPr>
          <w:p w:rsidR="00BE5F00" w:rsidRPr="00E34625" w:rsidRDefault="00BE5F00" w:rsidP="00E34625">
            <w:pPr>
              <w:pStyle w:val="Tabletext"/>
              <w:jc w:val="center"/>
            </w:pPr>
            <w:r w:rsidRPr="00E34625">
              <w:t>2,4</w:t>
            </w:r>
          </w:p>
        </w:tc>
        <w:tc>
          <w:tcPr>
            <w:tcW w:w="567" w:type="dxa"/>
            <w:shd w:val="clear" w:color="auto" w:fill="auto"/>
          </w:tcPr>
          <w:p w:rsidR="00BE5F00" w:rsidRPr="00E34625" w:rsidRDefault="00BE5F00" w:rsidP="00E34625">
            <w:pPr>
              <w:pStyle w:val="Tabletext"/>
              <w:jc w:val="center"/>
            </w:pPr>
            <w:r w:rsidRPr="00E34625">
              <w:t>2,5</w:t>
            </w:r>
          </w:p>
        </w:tc>
        <w:tc>
          <w:tcPr>
            <w:tcW w:w="567" w:type="dxa"/>
            <w:shd w:val="clear" w:color="auto" w:fill="auto"/>
          </w:tcPr>
          <w:p w:rsidR="00BE5F00" w:rsidRPr="00E34625" w:rsidRDefault="00BE5F00" w:rsidP="00E34625">
            <w:pPr>
              <w:pStyle w:val="Tabletext"/>
              <w:jc w:val="center"/>
            </w:pPr>
            <w:r w:rsidRPr="00E34625">
              <w:t>2,4</w:t>
            </w:r>
          </w:p>
        </w:tc>
        <w:tc>
          <w:tcPr>
            <w:tcW w:w="567" w:type="dxa"/>
            <w:shd w:val="clear" w:color="auto" w:fill="auto"/>
          </w:tcPr>
          <w:p w:rsidR="00BE5F00" w:rsidRPr="00E34625" w:rsidRDefault="00BE5F00" w:rsidP="00E34625">
            <w:pPr>
              <w:pStyle w:val="Tabletext"/>
              <w:jc w:val="center"/>
            </w:pPr>
            <w:r w:rsidRPr="00E34625">
              <w:t>2,3</w:t>
            </w:r>
          </w:p>
        </w:tc>
        <w:tc>
          <w:tcPr>
            <w:tcW w:w="661" w:type="dxa"/>
            <w:shd w:val="clear" w:color="auto" w:fill="auto"/>
          </w:tcPr>
          <w:p w:rsidR="00BE5F00" w:rsidRPr="00E34625" w:rsidRDefault="00BE5F00" w:rsidP="00E34625">
            <w:pPr>
              <w:pStyle w:val="Tabletext"/>
              <w:jc w:val="center"/>
            </w:pPr>
            <w:r w:rsidRPr="00E34625">
              <w:t>2,1</w:t>
            </w:r>
          </w:p>
        </w:tc>
      </w:tr>
      <w:tr w:rsidR="00BE5F00" w:rsidRPr="00E800E0" w:rsidTr="00E34625">
        <w:trPr>
          <w:jc w:val="center"/>
        </w:trPr>
        <w:tc>
          <w:tcPr>
            <w:tcW w:w="0" w:type="auto"/>
            <w:shd w:val="clear" w:color="auto" w:fill="auto"/>
          </w:tcPr>
          <w:p w:rsidR="00BE5F00" w:rsidRPr="00E34625" w:rsidRDefault="00BE5F00" w:rsidP="00E34625">
            <w:pPr>
              <w:pStyle w:val="Tabletext"/>
            </w:pPr>
            <w:r w:rsidRPr="00E34625">
              <w:t>Décile supérieur (dépassement)</w:t>
            </w:r>
          </w:p>
        </w:tc>
        <w:tc>
          <w:tcPr>
            <w:tcW w:w="570" w:type="dxa"/>
            <w:shd w:val="clear" w:color="auto" w:fill="auto"/>
          </w:tcPr>
          <w:p w:rsidR="00BE5F00" w:rsidRPr="00E34625" w:rsidRDefault="00BE5F00" w:rsidP="00E34625">
            <w:pPr>
              <w:pStyle w:val="Tabletext"/>
              <w:jc w:val="center"/>
            </w:pPr>
            <w:r w:rsidRPr="00E34625">
              <w:t>1,4</w:t>
            </w:r>
          </w:p>
        </w:tc>
        <w:tc>
          <w:tcPr>
            <w:tcW w:w="567" w:type="dxa"/>
            <w:shd w:val="clear" w:color="auto" w:fill="auto"/>
          </w:tcPr>
          <w:p w:rsidR="00BE5F00" w:rsidRPr="00E34625" w:rsidRDefault="00BE5F00" w:rsidP="00E34625">
            <w:pPr>
              <w:pStyle w:val="Tabletext"/>
              <w:jc w:val="center"/>
            </w:pPr>
            <w:r w:rsidRPr="00E34625">
              <w:t>1,5</w:t>
            </w:r>
          </w:p>
        </w:tc>
        <w:tc>
          <w:tcPr>
            <w:tcW w:w="567" w:type="dxa"/>
            <w:shd w:val="clear" w:color="auto" w:fill="auto"/>
          </w:tcPr>
          <w:p w:rsidR="00BE5F00" w:rsidRPr="00E34625" w:rsidRDefault="00BE5F00" w:rsidP="00E34625">
            <w:pPr>
              <w:pStyle w:val="Tabletext"/>
              <w:jc w:val="center"/>
            </w:pPr>
            <w:r w:rsidRPr="00E34625">
              <w:t>1,7</w:t>
            </w:r>
          </w:p>
        </w:tc>
        <w:tc>
          <w:tcPr>
            <w:tcW w:w="567" w:type="dxa"/>
            <w:shd w:val="clear" w:color="auto" w:fill="auto"/>
          </w:tcPr>
          <w:p w:rsidR="00BE5F00" w:rsidRPr="00E34625" w:rsidRDefault="00BE5F00" w:rsidP="00E34625">
            <w:pPr>
              <w:pStyle w:val="Tabletext"/>
              <w:jc w:val="center"/>
            </w:pPr>
            <w:r w:rsidRPr="00E34625">
              <w:t>1,8</w:t>
            </w:r>
          </w:p>
        </w:tc>
        <w:tc>
          <w:tcPr>
            <w:tcW w:w="567" w:type="dxa"/>
            <w:shd w:val="clear" w:color="auto" w:fill="auto"/>
          </w:tcPr>
          <w:p w:rsidR="00BE5F00" w:rsidRPr="00E34625" w:rsidRDefault="00BE5F00" w:rsidP="00E34625">
            <w:pPr>
              <w:pStyle w:val="Tabletext"/>
              <w:jc w:val="center"/>
            </w:pPr>
            <w:r w:rsidRPr="00E34625">
              <w:t>1,9</w:t>
            </w:r>
          </w:p>
        </w:tc>
        <w:tc>
          <w:tcPr>
            <w:tcW w:w="567" w:type="dxa"/>
            <w:shd w:val="clear" w:color="auto" w:fill="auto"/>
          </w:tcPr>
          <w:p w:rsidR="00BE5F00" w:rsidRPr="00E34625" w:rsidRDefault="00BE5F00" w:rsidP="00E34625">
            <w:pPr>
              <w:pStyle w:val="Tabletext"/>
              <w:jc w:val="center"/>
            </w:pPr>
            <w:r w:rsidRPr="00E34625">
              <w:t>2</w:t>
            </w:r>
          </w:p>
        </w:tc>
        <w:tc>
          <w:tcPr>
            <w:tcW w:w="567" w:type="dxa"/>
            <w:shd w:val="clear" w:color="auto" w:fill="auto"/>
          </w:tcPr>
          <w:p w:rsidR="00BE5F00" w:rsidRPr="00E34625" w:rsidRDefault="00BE5F00" w:rsidP="00E34625">
            <w:pPr>
              <w:pStyle w:val="Tabletext"/>
              <w:jc w:val="center"/>
            </w:pPr>
            <w:r w:rsidRPr="00E34625">
              <w:t>2,1</w:t>
            </w:r>
          </w:p>
        </w:tc>
        <w:tc>
          <w:tcPr>
            <w:tcW w:w="567" w:type="dxa"/>
            <w:shd w:val="clear" w:color="auto" w:fill="auto"/>
          </w:tcPr>
          <w:p w:rsidR="00BE5F00" w:rsidRPr="00E34625" w:rsidRDefault="00BE5F00" w:rsidP="00E34625">
            <w:pPr>
              <w:pStyle w:val="Tabletext"/>
              <w:jc w:val="center"/>
            </w:pPr>
            <w:r w:rsidRPr="00E34625">
              <w:t>2,1</w:t>
            </w:r>
          </w:p>
        </w:tc>
        <w:tc>
          <w:tcPr>
            <w:tcW w:w="567" w:type="dxa"/>
            <w:shd w:val="clear" w:color="auto" w:fill="auto"/>
          </w:tcPr>
          <w:p w:rsidR="00BE5F00" w:rsidRPr="00E34625" w:rsidRDefault="00BE5F00" w:rsidP="00E34625">
            <w:pPr>
              <w:pStyle w:val="Tabletext"/>
              <w:jc w:val="center"/>
            </w:pPr>
            <w:r w:rsidRPr="00E34625">
              <w:t>2</w:t>
            </w:r>
          </w:p>
        </w:tc>
        <w:tc>
          <w:tcPr>
            <w:tcW w:w="661" w:type="dxa"/>
            <w:shd w:val="clear" w:color="auto" w:fill="auto"/>
          </w:tcPr>
          <w:p w:rsidR="00BE5F00" w:rsidRPr="00E34625" w:rsidRDefault="00BE5F00" w:rsidP="00E34625">
            <w:pPr>
              <w:pStyle w:val="Tabletext"/>
              <w:jc w:val="center"/>
            </w:pPr>
            <w:r w:rsidRPr="00E34625">
              <w:t>1,8</w:t>
            </w:r>
          </w:p>
        </w:tc>
      </w:tr>
    </w:tbl>
    <w:p w:rsidR="001D5C9F" w:rsidRPr="001D5C9F" w:rsidRDefault="001D5C9F" w:rsidP="001D5C9F">
      <w:pPr>
        <w:pStyle w:val="Tablefin"/>
      </w:pPr>
    </w:p>
    <w:p w:rsidR="00BE5F00" w:rsidRPr="004F5A5C" w:rsidRDefault="00BE5F00" w:rsidP="00BE5F00">
      <w:pPr>
        <w:rPr>
          <w:b/>
          <w:bCs/>
          <w:lang w:val="fr-CH"/>
        </w:rPr>
      </w:pPr>
      <w:r w:rsidRPr="004F5A5C">
        <w:rPr>
          <w:b/>
          <w:bCs/>
          <w:lang w:val="fr-CH"/>
        </w:rPr>
        <w:t>Distribution de la durée des dépassements pour la valeur médiane dans les bandes d'ondes kilométriques et hectométriques</w:t>
      </w:r>
    </w:p>
    <w:p w:rsidR="00BE5F00" w:rsidRPr="00E800E0" w:rsidRDefault="00BE5F00" w:rsidP="00BE5F00">
      <w:pPr>
        <w:rPr>
          <w:lang w:val="fr-CH"/>
        </w:rPr>
      </w:pPr>
      <w:r w:rsidRPr="00E800E0">
        <w:rPr>
          <w:lang w:val="fr-CH"/>
        </w:rPr>
        <w:t xml:space="preserve">On peut utiliser la distribution suivante </w:t>
      </w:r>
      <w:r>
        <w:rPr>
          <w:lang w:val="fr-CH"/>
        </w:rPr>
        <w:t xml:space="preserve">pour donner une </w:t>
      </w:r>
      <w:r w:rsidRPr="00E800E0">
        <w:rPr>
          <w:lang w:val="fr-CH"/>
        </w:rPr>
        <w:t xml:space="preserve">approximation des caractéristiques statistiques des durées des </w:t>
      </w:r>
      <w:r>
        <w:rPr>
          <w:lang w:val="fr-CH"/>
        </w:rPr>
        <w:t>dépassements</w:t>
      </w:r>
      <w:r w:rsidRPr="00E800E0">
        <w:rPr>
          <w:lang w:val="fr-CH"/>
        </w:rPr>
        <w:t xml:space="preserve"> pour la valeur </w:t>
      </w:r>
      <w:r>
        <w:rPr>
          <w:lang w:val="fr-CH"/>
        </w:rPr>
        <w:t xml:space="preserve">médiane </w:t>
      </w:r>
      <w:r w:rsidRPr="00E800E0">
        <w:rPr>
          <w:lang w:val="fr-CH"/>
        </w:rPr>
        <w:t>dans les bandes d'ondes kilométriques et hectométriques:</w:t>
      </w:r>
    </w:p>
    <w:p w:rsidR="00BE5F00" w:rsidRPr="00E800E0" w:rsidRDefault="00BE5F00" w:rsidP="00BE5F00">
      <w:pPr>
        <w:pStyle w:val="Equation"/>
        <w:spacing w:before="200" w:line="600" w:lineRule="auto"/>
        <w:rPr>
          <w:lang w:val="fr-CH"/>
        </w:rPr>
      </w:pPr>
      <w:r w:rsidRPr="00E800E0">
        <w:rPr>
          <w:lang w:val="fr-CH"/>
        </w:rPr>
        <w:tab/>
      </w:r>
      <w:r w:rsidRPr="00E800E0">
        <w:rPr>
          <w:lang w:val="fr-CH"/>
        </w:rPr>
        <w:tab/>
      </w:r>
      <w:r w:rsidR="009367ED" w:rsidRPr="009367ED">
        <w:rPr>
          <w:position w:val="-24"/>
          <w:lang w:val="fr-CH"/>
        </w:rPr>
        <w:object w:dxaOrig="6840" w:dyaOrig="600">
          <v:shape id="_x0000_i1035" type="#_x0000_t75" style="width:341.3pt;height:29.9pt" o:ole="">
            <v:imagedata r:id="rId32" o:title=""/>
          </v:shape>
          <o:OLEObject Type="Embed" ProgID="Equation.3" ShapeID="_x0000_i1035" DrawAspect="Content" ObjectID="_1334143082" r:id="rId33"/>
        </w:object>
      </w:r>
      <w:r w:rsidRPr="00E800E0">
        <w:rPr>
          <w:lang w:val="fr-CH"/>
        </w:rPr>
        <w:tab/>
        <w:t>(1)</w:t>
      </w:r>
    </w:p>
    <w:p w:rsidR="00BE5F00" w:rsidRPr="00E800E0" w:rsidRDefault="00BE5F00" w:rsidP="00BE5F00">
      <w:pPr>
        <w:spacing w:before="160" w:line="600" w:lineRule="auto"/>
        <w:rPr>
          <w:lang w:val="fr-CH"/>
        </w:rPr>
      </w:pPr>
      <w:r w:rsidRPr="00E800E0">
        <w:rPr>
          <w:lang w:val="fr-CH"/>
        </w:rPr>
        <w:t xml:space="preserve">où </w:t>
      </w:r>
      <w:r w:rsidRPr="00E800E0">
        <w:rPr>
          <w:i/>
          <w:lang w:val="fr-CH"/>
        </w:rPr>
        <w:t>t</w:t>
      </w:r>
      <w:r w:rsidRPr="00E800E0">
        <w:rPr>
          <w:lang w:val="fr-CH"/>
        </w:rPr>
        <w:t xml:space="preserve"> (min) est supérieur ou égal à 0 et </w:t>
      </w:r>
      <w:r w:rsidRPr="00E800E0">
        <w:rPr>
          <w:i/>
          <w:lang w:val="fr-CH"/>
        </w:rPr>
        <w:t>d</w:t>
      </w:r>
      <w:r w:rsidRPr="00E800E0">
        <w:rPr>
          <w:lang w:val="fr-CH"/>
        </w:rPr>
        <w:t xml:space="preserve">, </w:t>
      </w:r>
      <w:r w:rsidRPr="00E800E0">
        <w:rPr>
          <w:i/>
          <w:lang w:val="fr-CH"/>
        </w:rPr>
        <w:t>b</w:t>
      </w:r>
      <w:r w:rsidRPr="00E800E0">
        <w:rPr>
          <w:lang w:val="fr-CH"/>
        </w:rPr>
        <w:t xml:space="preserve">, </w:t>
      </w:r>
      <w:r w:rsidRPr="00E800E0">
        <w:rPr>
          <w:i/>
          <w:lang w:val="fr-CH"/>
        </w:rPr>
        <w:t>q</w:t>
      </w:r>
      <w:r w:rsidRPr="00E800E0">
        <w:rPr>
          <w:lang w:val="fr-CH"/>
        </w:rPr>
        <w:t xml:space="preserve"> et </w:t>
      </w:r>
      <w:r w:rsidRPr="00E800E0">
        <w:rPr>
          <w:i/>
          <w:lang w:val="fr-CH"/>
        </w:rPr>
        <w:t>r</w:t>
      </w:r>
      <w:r w:rsidRPr="00E800E0">
        <w:rPr>
          <w:lang w:val="fr-CH"/>
        </w:rPr>
        <w:t xml:space="preserve"> sont des paramètres choisis.</w:t>
      </w:r>
    </w:p>
    <w:p w:rsidR="00BE5F00" w:rsidRPr="004F5A5C" w:rsidRDefault="00BE5F00" w:rsidP="00BE5F00">
      <w:pPr>
        <w:rPr>
          <w:b/>
          <w:bCs/>
          <w:lang w:val="fr-CH"/>
        </w:rPr>
      </w:pPr>
      <w:r w:rsidRPr="004F5A5C">
        <w:rPr>
          <w:b/>
          <w:bCs/>
          <w:lang w:val="fr-CH"/>
        </w:rPr>
        <w:lastRenderedPageBreak/>
        <w:t xml:space="preserve">Distribution de la durée des dépassements pour le décile supérieur et de la durée des évanouissements pour le décile inférieur dans les bandes d'ondes kilométriques et hectométriques </w:t>
      </w:r>
    </w:p>
    <w:p w:rsidR="00BE5F00" w:rsidRPr="00E800E0" w:rsidRDefault="00BE5F00" w:rsidP="00BE5F00">
      <w:pPr>
        <w:rPr>
          <w:lang w:val="fr-CH"/>
        </w:rPr>
      </w:pPr>
      <w:r w:rsidRPr="00E800E0">
        <w:rPr>
          <w:lang w:val="fr-CH"/>
        </w:rPr>
        <w:t>La distribution de probabilité de la durée des évanouissem</w:t>
      </w:r>
      <w:r>
        <w:rPr>
          <w:lang w:val="fr-CH"/>
        </w:rPr>
        <w:t>ents pour les seuils corresponda</w:t>
      </w:r>
      <w:r w:rsidRPr="00E800E0">
        <w:rPr>
          <w:lang w:val="fr-CH"/>
        </w:rPr>
        <w:t>nt au déc</w:t>
      </w:r>
      <w:r>
        <w:rPr>
          <w:lang w:val="fr-CH"/>
        </w:rPr>
        <w:t>i</w:t>
      </w:r>
      <w:r w:rsidRPr="00E800E0">
        <w:rPr>
          <w:lang w:val="fr-CH"/>
        </w:rPr>
        <w:t xml:space="preserve">le supérieur et au décile inférieur est bien décrite par une distribution Gamma: </w:t>
      </w:r>
      <w:r w:rsidRPr="00E800E0">
        <w:rPr>
          <w:rFonts w:ascii="Tahoma" w:hAnsi="Tahoma" w:cs="Tahoma"/>
          <w:b/>
          <w:bCs/>
          <w:i/>
          <w:iCs/>
          <w:lang w:val="fr-CH"/>
        </w:rPr>
        <w:t xml:space="preserve"> </w:t>
      </w:r>
    </w:p>
    <w:p w:rsidR="00BE5F00" w:rsidRPr="00E800E0" w:rsidRDefault="00BE5F00" w:rsidP="00BE5F00">
      <w:pPr>
        <w:pStyle w:val="Equation"/>
        <w:spacing w:line="600" w:lineRule="auto"/>
        <w:rPr>
          <w:lang w:val="fr-CH"/>
        </w:rPr>
      </w:pPr>
      <w:r w:rsidRPr="00E800E0">
        <w:rPr>
          <w:lang w:val="fr-CH"/>
        </w:rPr>
        <w:tab/>
      </w:r>
      <w:r w:rsidRPr="00E800E0">
        <w:rPr>
          <w:lang w:val="fr-CH"/>
        </w:rPr>
        <w:tab/>
      </w:r>
      <w:r w:rsidRPr="00E800E0">
        <w:rPr>
          <w:position w:val="-28"/>
          <w:lang w:val="fr-CH"/>
        </w:rPr>
        <w:object w:dxaOrig="5440" w:dyaOrig="720">
          <v:shape id="_x0000_i1036" type="#_x0000_t75" style="width:272.1pt;height:36pt" o:ole="">
            <v:imagedata r:id="rId34" o:title=""/>
          </v:shape>
          <o:OLEObject Type="Embed" ProgID="Equation.3" ShapeID="_x0000_i1036" DrawAspect="Content" ObjectID="_1334143083" r:id="rId35"/>
        </w:object>
      </w:r>
      <w:r w:rsidRPr="00E800E0">
        <w:rPr>
          <w:lang w:val="fr-CH"/>
        </w:rPr>
        <w:tab/>
        <w:t>(2)</w:t>
      </w:r>
    </w:p>
    <w:p w:rsidR="00BE5F00" w:rsidRPr="00E800E0" w:rsidRDefault="00BE5F00" w:rsidP="00BE5F00">
      <w:pPr>
        <w:spacing w:line="600" w:lineRule="auto"/>
        <w:rPr>
          <w:lang w:val="fr-CH"/>
        </w:rPr>
      </w:pPr>
      <w:r w:rsidRPr="00E800E0">
        <w:rPr>
          <w:lang w:val="fr-CH"/>
        </w:rPr>
        <w:t xml:space="preserve">où: </w:t>
      </w:r>
    </w:p>
    <w:p w:rsidR="00BE5F00" w:rsidRPr="00E800E0" w:rsidRDefault="00BE5F00" w:rsidP="00BE5F00">
      <w:pPr>
        <w:pStyle w:val="Equationlegend"/>
        <w:ind w:left="2880" w:hanging="2880"/>
        <w:rPr>
          <w:lang w:val="fr-CH"/>
        </w:rPr>
      </w:pPr>
      <w:r w:rsidRPr="00E800E0">
        <w:rPr>
          <w:i/>
          <w:lang w:val="fr-CH"/>
        </w:rPr>
        <w:tab/>
      </w:r>
      <w:r w:rsidRPr="00E800E0">
        <w:rPr>
          <w:i/>
          <w:lang w:val="fr-CH"/>
        </w:rPr>
        <w:tab/>
        <w:t>p</w:t>
      </w:r>
      <w:r w:rsidRPr="00E800E0">
        <w:rPr>
          <w:i/>
          <w:vertAlign w:val="subscript"/>
          <w:lang w:val="fr-CH"/>
        </w:rPr>
        <w:t>G</w:t>
      </w:r>
      <w:r w:rsidRPr="00E800E0">
        <w:rPr>
          <w:iCs/>
          <w:vertAlign w:val="subscript"/>
          <w:lang w:val="fr-CH"/>
        </w:rPr>
        <w:t>:</w:t>
      </w:r>
      <w:r w:rsidRPr="00E800E0">
        <w:rPr>
          <w:iCs/>
          <w:vertAlign w:val="subscript"/>
          <w:lang w:val="fr-CH"/>
        </w:rPr>
        <w:tab/>
      </w:r>
      <w:r w:rsidRPr="00E800E0">
        <w:rPr>
          <w:lang w:val="fr-CH"/>
        </w:rPr>
        <w:t>distribution de probabilité</w:t>
      </w:r>
    </w:p>
    <w:p w:rsidR="00BE5F00" w:rsidRPr="00E800E0" w:rsidRDefault="00BE5F00" w:rsidP="00BE5F00">
      <w:pPr>
        <w:pStyle w:val="Equationlegend"/>
        <w:ind w:left="2880" w:hanging="2880"/>
        <w:rPr>
          <w:lang w:val="fr-CH"/>
        </w:rPr>
      </w:pPr>
      <w:r w:rsidRPr="00E800E0">
        <w:rPr>
          <w:lang w:val="fr-CH"/>
        </w:rPr>
        <w:tab/>
      </w:r>
      <w:r w:rsidRPr="00E800E0">
        <w:rPr>
          <w:lang w:val="fr-CH"/>
        </w:rPr>
        <w:tab/>
      </w:r>
      <w:r w:rsidRPr="00E800E0">
        <w:rPr>
          <w:i/>
          <w:lang w:val="fr-CH"/>
        </w:rPr>
        <w:t>P</w:t>
      </w:r>
      <w:r w:rsidRPr="00E800E0">
        <w:rPr>
          <w:i/>
          <w:szCs w:val="24"/>
          <w:vertAlign w:val="subscript"/>
          <w:lang w:val="fr-CH"/>
        </w:rPr>
        <w:t>G</w:t>
      </w:r>
      <w:r w:rsidRPr="00E800E0">
        <w:rPr>
          <w:iCs/>
          <w:szCs w:val="24"/>
          <w:vertAlign w:val="subscript"/>
          <w:lang w:val="fr-CH"/>
        </w:rPr>
        <w:t>:</w:t>
      </w:r>
      <w:r w:rsidRPr="00E800E0">
        <w:rPr>
          <w:iCs/>
          <w:szCs w:val="24"/>
          <w:vertAlign w:val="subscript"/>
          <w:lang w:val="fr-CH"/>
        </w:rPr>
        <w:tab/>
      </w:r>
      <w:r w:rsidRPr="00E800E0">
        <w:rPr>
          <w:lang w:val="fr-CH"/>
        </w:rPr>
        <w:t>distribution cumulative</w:t>
      </w:r>
    </w:p>
    <w:p w:rsidR="00BE5F00" w:rsidRPr="00E800E0" w:rsidRDefault="00BE5F00" w:rsidP="00BE5F00">
      <w:pPr>
        <w:pStyle w:val="Equationlegend"/>
        <w:ind w:left="2880" w:hanging="2880"/>
        <w:rPr>
          <w:lang w:val="fr-CH"/>
        </w:rPr>
      </w:pPr>
      <w:r w:rsidRPr="00E800E0">
        <w:rPr>
          <w:lang w:val="fr-CH"/>
        </w:rPr>
        <w:tab/>
      </w:r>
      <w:r w:rsidRPr="00E800E0">
        <w:rPr>
          <w:lang w:val="fr-CH"/>
        </w:rPr>
        <w:tab/>
      </w:r>
      <w:r w:rsidRPr="00E800E0">
        <w:rPr>
          <w:i/>
          <w:lang w:val="fr-CH"/>
        </w:rPr>
        <w:t>t</w:t>
      </w:r>
      <w:r w:rsidRPr="00E800E0">
        <w:rPr>
          <w:iCs/>
          <w:lang w:val="fr-CH"/>
        </w:rPr>
        <w:t>:</w:t>
      </w:r>
      <w:r w:rsidRPr="00E800E0">
        <w:rPr>
          <w:iCs/>
          <w:lang w:val="fr-CH"/>
        </w:rPr>
        <w:tab/>
      </w:r>
      <w:r w:rsidRPr="00E800E0">
        <w:rPr>
          <w:lang w:val="fr-CH"/>
        </w:rPr>
        <w:t>durée (min)</w:t>
      </w:r>
    </w:p>
    <w:p w:rsidR="00BE5F00" w:rsidRPr="00E800E0" w:rsidRDefault="00BE5F00" w:rsidP="00BE5F00">
      <w:pPr>
        <w:pStyle w:val="Equationlegend"/>
        <w:ind w:left="2880" w:hanging="2880"/>
        <w:rPr>
          <w:lang w:val="fr-CH"/>
        </w:rPr>
      </w:pPr>
      <w:r w:rsidRPr="00E800E0">
        <w:rPr>
          <w:lang w:val="fr-CH"/>
        </w:rPr>
        <w:tab/>
      </w:r>
      <w:r w:rsidRPr="00E800E0">
        <w:rPr>
          <w:lang w:val="fr-CH"/>
        </w:rPr>
        <w:tab/>
        <w:t>λ et α:</w:t>
      </w:r>
      <w:r w:rsidRPr="00E800E0">
        <w:rPr>
          <w:lang w:val="fr-CH"/>
        </w:rPr>
        <w:tab/>
        <w:t>paramètres choisis.</w:t>
      </w:r>
    </w:p>
    <w:p w:rsidR="00BE5F00" w:rsidRPr="00E800E0" w:rsidRDefault="00BE5F00" w:rsidP="00BE5F00">
      <w:pPr>
        <w:rPr>
          <w:lang w:val="fr-CH"/>
        </w:rPr>
      </w:pPr>
      <w:r w:rsidRPr="00E800E0">
        <w:rPr>
          <w:lang w:val="fr-CH"/>
        </w:rPr>
        <w:t>Le Tableau 5 ci-dessous indique la distribution et les valeurs des paramètres pour plusieurs niveaux seuils.</w:t>
      </w:r>
    </w:p>
    <w:p w:rsidR="00BE5F00" w:rsidRPr="00E800E0" w:rsidRDefault="00BE5F00" w:rsidP="00BE5F00">
      <w:pPr>
        <w:pStyle w:val="TableNo"/>
        <w:rPr>
          <w:lang w:val="fr-CH"/>
        </w:rPr>
      </w:pPr>
      <w:r w:rsidRPr="00E800E0">
        <w:rPr>
          <w:lang w:val="fr-CH"/>
        </w:rPr>
        <w:t>TABLEAU 5</w:t>
      </w:r>
    </w:p>
    <w:p w:rsidR="00BE5F00" w:rsidRPr="004F5A5C" w:rsidRDefault="00BE5F00" w:rsidP="00BE5F00">
      <w:pPr>
        <w:pStyle w:val="Tabletitle"/>
      </w:pPr>
      <w:r w:rsidRPr="004F5A5C">
        <w:t>Distribution et paramètres pour plusieurs seuils</w:t>
      </w:r>
    </w:p>
    <w:tbl>
      <w:tblPr>
        <w:tblStyle w:val="TableGrid"/>
        <w:tblW w:w="9574" w:type="dxa"/>
        <w:jc w:val="center"/>
        <w:tblLook w:val="01E0"/>
      </w:tblPr>
      <w:tblGrid>
        <w:gridCol w:w="1669"/>
        <w:gridCol w:w="1411"/>
        <w:gridCol w:w="1850"/>
        <w:gridCol w:w="1417"/>
        <w:gridCol w:w="3227"/>
      </w:tblGrid>
      <w:tr w:rsidR="00BE5F00" w:rsidRPr="00E800E0" w:rsidTr="005F51A7">
        <w:trPr>
          <w:jc w:val="center"/>
        </w:trPr>
        <w:tc>
          <w:tcPr>
            <w:tcW w:w="1669" w:type="dxa"/>
            <w:vAlign w:val="center"/>
          </w:tcPr>
          <w:p w:rsidR="00BE5F00" w:rsidRPr="005532D9" w:rsidRDefault="00BE5F00" w:rsidP="00D96065">
            <w:pPr>
              <w:pStyle w:val="Tablehead"/>
            </w:pPr>
            <w:r w:rsidRPr="005532D9">
              <w:t>Bande</w:t>
            </w:r>
          </w:p>
        </w:tc>
        <w:tc>
          <w:tcPr>
            <w:tcW w:w="1411" w:type="dxa"/>
            <w:vAlign w:val="center"/>
          </w:tcPr>
          <w:p w:rsidR="00BE5F00" w:rsidRPr="005532D9" w:rsidRDefault="00BE5F00" w:rsidP="00D96065">
            <w:pPr>
              <w:pStyle w:val="Tablehead"/>
            </w:pPr>
            <w:r w:rsidRPr="005532D9">
              <w:t>Niveau seuil</w:t>
            </w:r>
          </w:p>
        </w:tc>
        <w:tc>
          <w:tcPr>
            <w:tcW w:w="1850" w:type="dxa"/>
            <w:vAlign w:val="center"/>
          </w:tcPr>
          <w:p w:rsidR="00BE5F00" w:rsidRPr="005532D9" w:rsidRDefault="00BE5F00" w:rsidP="00D96065">
            <w:pPr>
              <w:pStyle w:val="Tablehead"/>
            </w:pPr>
            <w:r w:rsidRPr="005532D9">
              <w:t>Dépassement ou évanouissement</w:t>
            </w:r>
          </w:p>
        </w:tc>
        <w:tc>
          <w:tcPr>
            <w:tcW w:w="1417" w:type="dxa"/>
            <w:vAlign w:val="center"/>
          </w:tcPr>
          <w:p w:rsidR="00BE5F00" w:rsidRPr="005532D9" w:rsidRDefault="00BE5F00" w:rsidP="00D96065">
            <w:pPr>
              <w:pStyle w:val="Tablehead"/>
            </w:pPr>
            <w:r w:rsidRPr="005532D9">
              <w:t>Distribution</w:t>
            </w:r>
          </w:p>
        </w:tc>
        <w:tc>
          <w:tcPr>
            <w:tcW w:w="3227" w:type="dxa"/>
            <w:vAlign w:val="center"/>
          </w:tcPr>
          <w:p w:rsidR="00BE5F00" w:rsidRPr="005532D9" w:rsidRDefault="00BE5F00" w:rsidP="00D96065">
            <w:pPr>
              <w:pStyle w:val="Tablehead"/>
            </w:pPr>
            <w:r w:rsidRPr="005532D9">
              <w:t>Paramètres</w:t>
            </w:r>
          </w:p>
        </w:tc>
      </w:tr>
      <w:tr w:rsidR="00BE5F00" w:rsidRPr="00E800E0" w:rsidTr="005F51A7">
        <w:trPr>
          <w:jc w:val="center"/>
        </w:trPr>
        <w:tc>
          <w:tcPr>
            <w:tcW w:w="1669" w:type="dxa"/>
          </w:tcPr>
          <w:p w:rsidR="00BE5F00" w:rsidRPr="005532D9" w:rsidRDefault="00BE5F00" w:rsidP="005F51A7">
            <w:pPr>
              <w:pStyle w:val="Tabletext"/>
              <w:jc w:val="center"/>
            </w:pPr>
            <w:r w:rsidRPr="005532D9">
              <w:t>Ondes kilométriques</w:t>
            </w:r>
          </w:p>
        </w:tc>
        <w:tc>
          <w:tcPr>
            <w:tcW w:w="1411" w:type="dxa"/>
          </w:tcPr>
          <w:p w:rsidR="00BE5F00" w:rsidRPr="005532D9" w:rsidRDefault="00BE5F00" w:rsidP="005F51A7">
            <w:pPr>
              <w:pStyle w:val="Tabletext"/>
              <w:jc w:val="center"/>
            </w:pPr>
            <w:r w:rsidRPr="005532D9">
              <w:t>valeur médiane</w:t>
            </w:r>
          </w:p>
        </w:tc>
        <w:tc>
          <w:tcPr>
            <w:tcW w:w="1850" w:type="dxa"/>
          </w:tcPr>
          <w:p w:rsidR="00BE5F00" w:rsidRPr="005532D9" w:rsidRDefault="00BE5F00" w:rsidP="005F51A7">
            <w:pPr>
              <w:pStyle w:val="Tabletext"/>
              <w:jc w:val="center"/>
            </w:pPr>
            <w:r w:rsidRPr="005532D9">
              <w:t>dépassement</w:t>
            </w:r>
          </w:p>
        </w:tc>
        <w:tc>
          <w:tcPr>
            <w:tcW w:w="1417" w:type="dxa"/>
          </w:tcPr>
          <w:p w:rsidR="00BE5F00" w:rsidRPr="005532D9" w:rsidRDefault="00BE5F00" w:rsidP="005F51A7">
            <w:pPr>
              <w:pStyle w:val="Tabletext"/>
              <w:jc w:val="center"/>
            </w:pPr>
            <w:r>
              <w:t>E</w:t>
            </w:r>
            <w:r w:rsidRPr="005532D9">
              <w:t>quation (1)</w:t>
            </w:r>
          </w:p>
        </w:tc>
        <w:tc>
          <w:tcPr>
            <w:tcW w:w="3227" w:type="dxa"/>
          </w:tcPr>
          <w:p w:rsidR="00BE5F00" w:rsidRPr="005532D9" w:rsidRDefault="00BE5F00" w:rsidP="005F51A7">
            <w:pPr>
              <w:pStyle w:val="Tabletext"/>
              <w:jc w:val="center"/>
            </w:pPr>
            <w:r w:rsidRPr="005532D9">
              <w:t>b = 0,32, d = 3,0, q = 4,0, r = 3,8</w:t>
            </w:r>
          </w:p>
        </w:tc>
      </w:tr>
      <w:tr w:rsidR="00BE5F00" w:rsidRPr="00E800E0" w:rsidTr="005F51A7">
        <w:trPr>
          <w:jc w:val="center"/>
        </w:trPr>
        <w:tc>
          <w:tcPr>
            <w:tcW w:w="1669" w:type="dxa"/>
          </w:tcPr>
          <w:p w:rsidR="00BE5F00" w:rsidRPr="005532D9" w:rsidRDefault="00BE5F00" w:rsidP="005F51A7">
            <w:pPr>
              <w:pStyle w:val="Tabletext"/>
              <w:jc w:val="center"/>
            </w:pPr>
            <w:r w:rsidRPr="005532D9">
              <w:t>Ondes kilométriques</w:t>
            </w:r>
          </w:p>
        </w:tc>
        <w:tc>
          <w:tcPr>
            <w:tcW w:w="1411" w:type="dxa"/>
          </w:tcPr>
          <w:p w:rsidR="00BE5F00" w:rsidRPr="005532D9" w:rsidRDefault="00BE5F00" w:rsidP="005F51A7">
            <w:pPr>
              <w:pStyle w:val="Tabletext"/>
              <w:jc w:val="center"/>
            </w:pPr>
            <w:r w:rsidRPr="005532D9">
              <w:t>décile inférieur</w:t>
            </w:r>
          </w:p>
        </w:tc>
        <w:tc>
          <w:tcPr>
            <w:tcW w:w="1850" w:type="dxa"/>
          </w:tcPr>
          <w:p w:rsidR="00BE5F00" w:rsidRPr="005532D9" w:rsidRDefault="00BE5F00" w:rsidP="005F51A7">
            <w:pPr>
              <w:pStyle w:val="Tabletext"/>
              <w:jc w:val="center"/>
            </w:pPr>
            <w:r w:rsidRPr="005532D9">
              <w:t>évanouissement</w:t>
            </w:r>
          </w:p>
        </w:tc>
        <w:tc>
          <w:tcPr>
            <w:tcW w:w="1417" w:type="dxa"/>
          </w:tcPr>
          <w:p w:rsidR="00BE5F00" w:rsidRPr="005532D9" w:rsidRDefault="00BE5F00" w:rsidP="005F51A7">
            <w:pPr>
              <w:pStyle w:val="Tabletext"/>
              <w:jc w:val="center"/>
            </w:pPr>
            <w:r>
              <w:t>E</w:t>
            </w:r>
            <w:r w:rsidRPr="005532D9">
              <w:t>quation (2)</w:t>
            </w:r>
          </w:p>
        </w:tc>
        <w:tc>
          <w:tcPr>
            <w:tcW w:w="3227" w:type="dxa"/>
          </w:tcPr>
          <w:p w:rsidR="00BE5F00" w:rsidRPr="005532D9" w:rsidRDefault="00BE5F00" w:rsidP="005F51A7">
            <w:pPr>
              <w:pStyle w:val="Tabletext"/>
              <w:jc w:val="center"/>
            </w:pPr>
            <w:r w:rsidRPr="005532D9">
              <w:t>α = 2,00, λ = 0,67</w:t>
            </w:r>
          </w:p>
        </w:tc>
      </w:tr>
      <w:tr w:rsidR="00BE5F00" w:rsidRPr="00E800E0" w:rsidTr="005F51A7">
        <w:trPr>
          <w:jc w:val="center"/>
        </w:trPr>
        <w:tc>
          <w:tcPr>
            <w:tcW w:w="1669" w:type="dxa"/>
          </w:tcPr>
          <w:p w:rsidR="00BE5F00" w:rsidRPr="005532D9" w:rsidRDefault="00BE5F00" w:rsidP="005F51A7">
            <w:pPr>
              <w:pStyle w:val="Tabletext"/>
              <w:jc w:val="center"/>
            </w:pPr>
            <w:r w:rsidRPr="005532D9">
              <w:t>Ondes kilométriques</w:t>
            </w:r>
          </w:p>
        </w:tc>
        <w:tc>
          <w:tcPr>
            <w:tcW w:w="1411" w:type="dxa"/>
          </w:tcPr>
          <w:p w:rsidR="00BE5F00" w:rsidRPr="005532D9" w:rsidRDefault="00BE5F00" w:rsidP="005F51A7">
            <w:pPr>
              <w:pStyle w:val="Tabletext"/>
              <w:jc w:val="center"/>
            </w:pPr>
            <w:r w:rsidRPr="005532D9">
              <w:t>décile supérieur</w:t>
            </w:r>
          </w:p>
        </w:tc>
        <w:tc>
          <w:tcPr>
            <w:tcW w:w="1850" w:type="dxa"/>
          </w:tcPr>
          <w:p w:rsidR="00BE5F00" w:rsidRPr="005532D9" w:rsidRDefault="00BE5F00" w:rsidP="005F51A7">
            <w:pPr>
              <w:pStyle w:val="Tabletext"/>
              <w:jc w:val="center"/>
            </w:pPr>
            <w:r w:rsidRPr="005532D9">
              <w:t>dépassement</w:t>
            </w:r>
          </w:p>
        </w:tc>
        <w:tc>
          <w:tcPr>
            <w:tcW w:w="1417" w:type="dxa"/>
          </w:tcPr>
          <w:p w:rsidR="00BE5F00" w:rsidRPr="005532D9" w:rsidRDefault="00BE5F00" w:rsidP="005F51A7">
            <w:pPr>
              <w:pStyle w:val="Tabletext"/>
              <w:jc w:val="center"/>
            </w:pPr>
            <w:r>
              <w:t>E</w:t>
            </w:r>
            <w:r w:rsidRPr="005532D9">
              <w:t>quation (2)</w:t>
            </w:r>
          </w:p>
        </w:tc>
        <w:tc>
          <w:tcPr>
            <w:tcW w:w="3227" w:type="dxa"/>
          </w:tcPr>
          <w:p w:rsidR="00BE5F00" w:rsidRPr="005532D9" w:rsidRDefault="00BE5F00" w:rsidP="005F51A7">
            <w:pPr>
              <w:pStyle w:val="Tabletext"/>
              <w:jc w:val="center"/>
            </w:pPr>
            <w:r w:rsidRPr="005532D9">
              <w:t>α = 2,20, λ = 0,67</w:t>
            </w:r>
          </w:p>
        </w:tc>
      </w:tr>
      <w:tr w:rsidR="00BE5F00" w:rsidRPr="00E800E0" w:rsidTr="005F51A7">
        <w:trPr>
          <w:jc w:val="center"/>
        </w:trPr>
        <w:tc>
          <w:tcPr>
            <w:tcW w:w="1669" w:type="dxa"/>
          </w:tcPr>
          <w:p w:rsidR="00BE5F00" w:rsidRPr="005532D9" w:rsidRDefault="00BE5F00" w:rsidP="005F51A7">
            <w:pPr>
              <w:pStyle w:val="Tabletext"/>
              <w:jc w:val="center"/>
            </w:pPr>
            <w:r w:rsidRPr="005532D9">
              <w:t>Ondes hectométriques</w:t>
            </w:r>
          </w:p>
        </w:tc>
        <w:tc>
          <w:tcPr>
            <w:tcW w:w="1411" w:type="dxa"/>
          </w:tcPr>
          <w:p w:rsidR="00BE5F00" w:rsidRPr="005532D9" w:rsidRDefault="00BE5F00" w:rsidP="005F51A7">
            <w:pPr>
              <w:pStyle w:val="Tabletext"/>
              <w:jc w:val="center"/>
            </w:pPr>
            <w:r w:rsidRPr="005532D9">
              <w:t>valeur médiane</w:t>
            </w:r>
          </w:p>
        </w:tc>
        <w:tc>
          <w:tcPr>
            <w:tcW w:w="1850" w:type="dxa"/>
          </w:tcPr>
          <w:p w:rsidR="00BE5F00" w:rsidRPr="005532D9" w:rsidRDefault="00BE5F00" w:rsidP="005F51A7">
            <w:pPr>
              <w:pStyle w:val="Tabletext"/>
              <w:jc w:val="center"/>
            </w:pPr>
            <w:r w:rsidRPr="005532D9">
              <w:t>dépassement</w:t>
            </w:r>
          </w:p>
        </w:tc>
        <w:tc>
          <w:tcPr>
            <w:tcW w:w="1417" w:type="dxa"/>
          </w:tcPr>
          <w:p w:rsidR="00BE5F00" w:rsidRPr="005532D9" w:rsidRDefault="00BE5F00" w:rsidP="005F51A7">
            <w:pPr>
              <w:pStyle w:val="Tabletext"/>
              <w:jc w:val="center"/>
            </w:pPr>
            <w:r>
              <w:t>E</w:t>
            </w:r>
            <w:r w:rsidRPr="005532D9">
              <w:t>quation (1)</w:t>
            </w:r>
          </w:p>
        </w:tc>
        <w:tc>
          <w:tcPr>
            <w:tcW w:w="3227" w:type="dxa"/>
          </w:tcPr>
          <w:p w:rsidR="00BE5F00" w:rsidRPr="005532D9" w:rsidRDefault="00BE5F00" w:rsidP="005F51A7">
            <w:pPr>
              <w:pStyle w:val="Tabletext"/>
              <w:jc w:val="center"/>
            </w:pPr>
            <w:r w:rsidRPr="005532D9">
              <w:t>b = 0,3, d = 0,8, q = 1,8, r</w:t>
            </w:r>
            <w:r w:rsidR="005F51A7">
              <w:t xml:space="preserve"> </w:t>
            </w:r>
            <w:r w:rsidRPr="005532D9">
              <w:t>= 2,2</w:t>
            </w:r>
          </w:p>
        </w:tc>
      </w:tr>
      <w:tr w:rsidR="00BE5F00" w:rsidRPr="00E800E0" w:rsidTr="005F51A7">
        <w:trPr>
          <w:jc w:val="center"/>
        </w:trPr>
        <w:tc>
          <w:tcPr>
            <w:tcW w:w="1669" w:type="dxa"/>
          </w:tcPr>
          <w:p w:rsidR="00BE5F00" w:rsidRPr="005532D9" w:rsidRDefault="00BE5F00" w:rsidP="005F51A7">
            <w:pPr>
              <w:pStyle w:val="Tabletext"/>
              <w:jc w:val="center"/>
            </w:pPr>
            <w:r w:rsidRPr="005532D9">
              <w:t>Ondes hectométriques</w:t>
            </w:r>
          </w:p>
        </w:tc>
        <w:tc>
          <w:tcPr>
            <w:tcW w:w="1411" w:type="dxa"/>
          </w:tcPr>
          <w:p w:rsidR="00BE5F00" w:rsidRPr="005532D9" w:rsidRDefault="00BE5F00" w:rsidP="005F51A7">
            <w:pPr>
              <w:pStyle w:val="Tabletext"/>
              <w:jc w:val="center"/>
            </w:pPr>
            <w:r w:rsidRPr="005532D9">
              <w:t>décile inférieur</w:t>
            </w:r>
          </w:p>
        </w:tc>
        <w:tc>
          <w:tcPr>
            <w:tcW w:w="1850" w:type="dxa"/>
          </w:tcPr>
          <w:p w:rsidR="00BE5F00" w:rsidRPr="005532D9" w:rsidRDefault="00BE5F00" w:rsidP="005F51A7">
            <w:pPr>
              <w:pStyle w:val="Tabletext"/>
              <w:jc w:val="center"/>
            </w:pPr>
            <w:r w:rsidRPr="005532D9">
              <w:t>évanouissement</w:t>
            </w:r>
          </w:p>
        </w:tc>
        <w:tc>
          <w:tcPr>
            <w:tcW w:w="1417" w:type="dxa"/>
          </w:tcPr>
          <w:p w:rsidR="00BE5F00" w:rsidRPr="005532D9" w:rsidRDefault="00BE5F00" w:rsidP="005F51A7">
            <w:pPr>
              <w:pStyle w:val="Tabletext"/>
              <w:jc w:val="center"/>
            </w:pPr>
            <w:r>
              <w:t>E</w:t>
            </w:r>
            <w:r w:rsidRPr="005532D9">
              <w:t>quation (2)</w:t>
            </w:r>
          </w:p>
        </w:tc>
        <w:tc>
          <w:tcPr>
            <w:tcW w:w="3227" w:type="dxa"/>
          </w:tcPr>
          <w:p w:rsidR="00BE5F00" w:rsidRPr="005532D9" w:rsidRDefault="00BE5F00" w:rsidP="005F51A7">
            <w:pPr>
              <w:pStyle w:val="Tabletext"/>
              <w:jc w:val="center"/>
            </w:pPr>
            <w:r w:rsidRPr="005532D9">
              <w:t>α = 3,30, λ = 1,13</w:t>
            </w:r>
          </w:p>
        </w:tc>
      </w:tr>
      <w:tr w:rsidR="00BE5F00" w:rsidRPr="00E800E0" w:rsidTr="005F51A7">
        <w:trPr>
          <w:jc w:val="center"/>
        </w:trPr>
        <w:tc>
          <w:tcPr>
            <w:tcW w:w="1669" w:type="dxa"/>
          </w:tcPr>
          <w:p w:rsidR="00BE5F00" w:rsidRPr="005532D9" w:rsidRDefault="00BE5F00" w:rsidP="005F51A7">
            <w:pPr>
              <w:pStyle w:val="Tabletext"/>
              <w:jc w:val="center"/>
            </w:pPr>
            <w:r w:rsidRPr="005532D9">
              <w:t>Ondes hectométriques</w:t>
            </w:r>
          </w:p>
        </w:tc>
        <w:tc>
          <w:tcPr>
            <w:tcW w:w="1411" w:type="dxa"/>
          </w:tcPr>
          <w:p w:rsidR="00BE5F00" w:rsidRPr="005532D9" w:rsidRDefault="00BE5F00" w:rsidP="005F51A7">
            <w:pPr>
              <w:pStyle w:val="Tabletext"/>
              <w:jc w:val="center"/>
            </w:pPr>
            <w:r w:rsidRPr="005532D9">
              <w:t>décile supérieur</w:t>
            </w:r>
          </w:p>
        </w:tc>
        <w:tc>
          <w:tcPr>
            <w:tcW w:w="1850" w:type="dxa"/>
          </w:tcPr>
          <w:p w:rsidR="00BE5F00" w:rsidRPr="005532D9" w:rsidRDefault="00BE5F00" w:rsidP="005F51A7">
            <w:pPr>
              <w:pStyle w:val="Tabletext"/>
              <w:jc w:val="center"/>
            </w:pPr>
            <w:r w:rsidRPr="005532D9">
              <w:t>dépassement</w:t>
            </w:r>
          </w:p>
        </w:tc>
        <w:tc>
          <w:tcPr>
            <w:tcW w:w="1417" w:type="dxa"/>
          </w:tcPr>
          <w:p w:rsidR="00BE5F00" w:rsidRPr="005532D9" w:rsidRDefault="00BE5F00" w:rsidP="005F51A7">
            <w:pPr>
              <w:pStyle w:val="Tabletext"/>
              <w:jc w:val="center"/>
            </w:pPr>
            <w:r>
              <w:t>E</w:t>
            </w:r>
            <w:r w:rsidRPr="005532D9">
              <w:t>quation (2)</w:t>
            </w:r>
          </w:p>
        </w:tc>
        <w:tc>
          <w:tcPr>
            <w:tcW w:w="3227" w:type="dxa"/>
          </w:tcPr>
          <w:p w:rsidR="00BE5F00" w:rsidRPr="005532D9" w:rsidRDefault="00BE5F00" w:rsidP="005F51A7">
            <w:pPr>
              <w:pStyle w:val="Tabletext"/>
              <w:jc w:val="center"/>
            </w:pPr>
            <w:r w:rsidRPr="005532D9">
              <w:t>α = 2,95, λ = 0,7</w:t>
            </w:r>
          </w:p>
        </w:tc>
      </w:tr>
    </w:tbl>
    <w:p w:rsidR="001D5C9F" w:rsidRDefault="001D5C9F" w:rsidP="001D5C9F">
      <w:pPr>
        <w:pStyle w:val="Tablefin"/>
      </w:pPr>
    </w:p>
    <w:p w:rsidR="00BE5F00" w:rsidRPr="00E800E0" w:rsidRDefault="00BE5F00" w:rsidP="00BE5F00">
      <w:pPr>
        <w:rPr>
          <w:lang w:val="fr-CH"/>
        </w:rPr>
      </w:pPr>
      <w:r>
        <w:rPr>
          <w:lang w:val="fr-CH"/>
        </w:rPr>
        <w:t>Il ressort d</w:t>
      </w:r>
      <w:r w:rsidRPr="00E800E0">
        <w:rPr>
          <w:lang w:val="fr-CH"/>
        </w:rPr>
        <w:t xml:space="preserve">es données expérimentales </w:t>
      </w:r>
      <w:r>
        <w:rPr>
          <w:lang w:val="fr-CH"/>
        </w:rPr>
        <w:t xml:space="preserve">que la différence entre </w:t>
      </w:r>
      <w:r w:rsidRPr="00E800E0">
        <w:rPr>
          <w:lang w:val="fr-CH"/>
        </w:rPr>
        <w:t xml:space="preserve">les valeurs médianes de la durée des </w:t>
      </w:r>
      <w:r>
        <w:rPr>
          <w:lang w:val="fr-CH"/>
        </w:rPr>
        <w:t>dépassements</w:t>
      </w:r>
      <w:r w:rsidRPr="00E800E0">
        <w:rPr>
          <w:lang w:val="fr-CH"/>
        </w:rPr>
        <w:t xml:space="preserve"> pour les bandes d'ondes kilométriques et hectométriques est peu importante: environ 1 min (5 min pour la bande d'ondes kilométriques et 4 min pour la bande d'ondes hectométriques). </w:t>
      </w:r>
    </w:p>
    <w:p w:rsidR="00BE5F00" w:rsidRPr="00BA72CE" w:rsidRDefault="00BE5F00" w:rsidP="00BE5F00">
      <w:pPr>
        <w:pStyle w:val="FigureNo"/>
      </w:pPr>
      <w:r w:rsidRPr="00BA72CE">
        <w:lastRenderedPageBreak/>
        <w:t>Figure 6</w:t>
      </w:r>
    </w:p>
    <w:p w:rsidR="00BE5F00" w:rsidRPr="00BA72CE" w:rsidRDefault="00BE5F00" w:rsidP="00BE5F00">
      <w:pPr>
        <w:pStyle w:val="Figuretitle"/>
      </w:pPr>
      <w:r w:rsidRPr="00BA72CE">
        <w:t xml:space="preserve">Nombre de durées des dépassements (%) par heure pour le seuil correspondant à la valeur médiane </w:t>
      </w:r>
      <w:r w:rsidR="001D5C9F">
        <w:br/>
      </w:r>
      <w:r w:rsidRPr="00BA72CE">
        <w:t>sur une liaison dans la bande d'ondes kilométriques et distribution intégrale</w:t>
      </w:r>
    </w:p>
    <w:p w:rsidR="00BE5F00" w:rsidRPr="00E800E0" w:rsidRDefault="00EC1799" w:rsidP="00BE5F00">
      <w:pPr>
        <w:pStyle w:val="Figure"/>
        <w:spacing w:line="600" w:lineRule="auto"/>
        <w:rPr>
          <w:lang w:val="fr-CH"/>
        </w:rPr>
      </w:pPr>
      <w:r w:rsidRPr="00E800E0">
        <w:rPr>
          <w:lang w:val="fr-CH"/>
        </w:rPr>
        <w:object w:dxaOrig="5220" w:dyaOrig="4280">
          <v:shape id="_x0000_i1043" type="#_x0000_t75" style="width:260.9pt;height:214.15pt" o:ole="">
            <v:imagedata r:id="rId36" o:title=""/>
          </v:shape>
          <o:OLEObject Type="Embed" ProgID="CorelDRAW.Graphic.14" ShapeID="_x0000_i1043" DrawAspect="Content" ObjectID="_1334143084" r:id="rId37"/>
        </w:object>
      </w:r>
    </w:p>
    <w:p w:rsidR="00BE5F00" w:rsidRPr="00BA72CE" w:rsidRDefault="00BE5F00" w:rsidP="00BE5F00">
      <w:pPr>
        <w:pStyle w:val="FigureNo"/>
      </w:pPr>
      <w:r w:rsidRPr="00BA72CE">
        <w:t>Figure 7</w:t>
      </w:r>
    </w:p>
    <w:p w:rsidR="00BE5F00" w:rsidRPr="00BA72CE" w:rsidRDefault="00BE5F00" w:rsidP="00BE5F00">
      <w:pPr>
        <w:pStyle w:val="Figuretitle"/>
      </w:pPr>
      <w:r w:rsidRPr="00BA72CE">
        <w:t xml:space="preserve">Nombre de durées des dépassements (%) par heure pour le seuil correspondant à la valeur médiane </w:t>
      </w:r>
      <w:r w:rsidR="001D5C9F">
        <w:br/>
      </w:r>
      <w:r w:rsidRPr="00BA72CE">
        <w:t>sur une liaison dans la bande d'ondes hectométriques et distribution intégrale</w:t>
      </w:r>
    </w:p>
    <w:p w:rsidR="00BE5F00" w:rsidRPr="00E800E0" w:rsidRDefault="00EC1799" w:rsidP="00BE5F00">
      <w:pPr>
        <w:pStyle w:val="Figure"/>
        <w:spacing w:line="600" w:lineRule="auto"/>
        <w:rPr>
          <w:lang w:val="fr-CH"/>
        </w:rPr>
      </w:pPr>
      <w:r w:rsidRPr="00E800E0">
        <w:rPr>
          <w:lang w:val="fr-CH"/>
        </w:rPr>
        <w:object w:dxaOrig="5220" w:dyaOrig="4574">
          <v:shape id="_x0000_i1045" type="#_x0000_t75" style="width:260.9pt;height:228.6pt" o:ole="">
            <v:imagedata r:id="rId38" o:title=""/>
          </v:shape>
          <o:OLEObject Type="Embed" ProgID="CorelDRAW.Graphic.14" ShapeID="_x0000_i1045" DrawAspect="Content" ObjectID="_1334143085" r:id="rId39"/>
        </w:object>
      </w:r>
    </w:p>
    <w:p w:rsidR="00A6617B" w:rsidRPr="00A6617B" w:rsidRDefault="00BE5F00" w:rsidP="00EC1799">
      <w:pPr>
        <w:jc w:val="center"/>
        <w:rPr>
          <w:lang w:val="en-US"/>
        </w:rPr>
      </w:pPr>
      <w:r w:rsidRPr="00E800E0">
        <w:rPr>
          <w:lang w:val="fr-CH"/>
        </w:rPr>
        <w:t>______________</w:t>
      </w:r>
    </w:p>
    <w:sectPr w:rsidR="00A6617B" w:rsidRPr="00A6617B" w:rsidSect="00C34211">
      <w:headerReference w:type="even" r:id="rId40"/>
      <w:headerReference w:type="default" r:id="rId41"/>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799" w:rsidRDefault="00EC1799">
      <w:r>
        <w:separator/>
      </w:r>
    </w:p>
  </w:endnote>
  <w:endnote w:type="continuationSeparator" w:id="0">
    <w:p w:rsidR="00EC1799" w:rsidRDefault="00EC17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CYR">
    <w:altName w:val="Times New Roman"/>
    <w:charset w:val="00"/>
    <w:family w:val="roman"/>
    <w:pitch w:val="variable"/>
    <w:sig w:usb0="20002A87" w:usb1="80000000" w:usb2="00000008" w:usb3="00000000" w:csb0="000001FF" w:csb1="00000000"/>
  </w:font>
  <w:font w:name="Mathematica1">
    <w:altName w:val="Symbol"/>
    <w:charset w:val="02"/>
    <w:family w:val="auto"/>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799" w:rsidRDefault="00EC1799">
      <w:r>
        <w:separator/>
      </w:r>
    </w:p>
  </w:footnote>
  <w:footnote w:type="continuationSeparator" w:id="0">
    <w:p w:rsidR="00EC1799" w:rsidRDefault="00EC17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799" w:rsidRDefault="00EC1799">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799" w:rsidRDefault="00EC1799" w:rsidP="00D96065">
    <w:pPr>
      <w:pStyle w:val="Header"/>
      <w:ind w:right="360" w:firstLine="360"/>
    </w:pPr>
    <w:r w:rsidRPr="008B639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799" w:rsidRPr="00837CB5" w:rsidRDefault="00EC179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fldSimple w:instr=" DOCPROPERTY &quot;Header&quot; \* MERGEFORMAT ">
      <w:r w:rsidRPr="00EC179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Pr>
        <w:b/>
        <w:bCs/>
        <w:noProof/>
      </w:rPr>
      <w:t>UIT-R  P.1321-3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799" w:rsidRDefault="00EC1799">
    <w:pPr>
      <w:pStyle w:val="Header"/>
    </w:pPr>
    <w:r>
      <w:tab/>
    </w:r>
    <w:fldSimple w:instr=" DOCPROPERTY &quot;Header&quot; \* MERGEFORMAT ">
      <w:r w:rsidRPr="00EC1799">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P.1321-3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799" w:rsidRDefault="00EC179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12</w:t>
    </w:r>
    <w:r>
      <w:rPr>
        <w:rStyle w:val="PageNumber"/>
        <w:b/>
        <w:bCs/>
      </w:rPr>
      <w:fldChar w:fldCharType="end"/>
    </w:r>
    <w:r>
      <w:rPr>
        <w:lang w:val="en-US"/>
      </w:rPr>
      <w:tab/>
    </w:r>
    <w:fldSimple w:instr=" DOCPROPERTY &quot;Header&quot; \* MERGEFORMAT ">
      <w:r w:rsidRPr="00EC1799">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Pr>
        <w:b/>
        <w:bCs/>
        <w:noProof/>
      </w:rPr>
      <w:t>UIT-R  P.1321-3</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799" w:rsidRDefault="00EC1799">
    <w:pPr>
      <w:pStyle w:val="Header"/>
    </w:pPr>
    <w:r>
      <w:tab/>
    </w:r>
    <w:fldSimple w:instr=" DOCPROPERTY &quot;Header&quot; \* MERGEFORMAT ">
      <w:r w:rsidRPr="00EC1799">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P.1321-3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13</w:t>
    </w:r>
    <w:r>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3F5458"/>
    <w:rsid w:val="000113A3"/>
    <w:rsid w:val="001D5C9F"/>
    <w:rsid w:val="00217EBF"/>
    <w:rsid w:val="00224FE5"/>
    <w:rsid w:val="002D0E95"/>
    <w:rsid w:val="002D76C4"/>
    <w:rsid w:val="003F5458"/>
    <w:rsid w:val="005670D0"/>
    <w:rsid w:val="005F51A7"/>
    <w:rsid w:val="00607D68"/>
    <w:rsid w:val="00645D7F"/>
    <w:rsid w:val="007468DA"/>
    <w:rsid w:val="008B6399"/>
    <w:rsid w:val="009367ED"/>
    <w:rsid w:val="0098026A"/>
    <w:rsid w:val="00A6617B"/>
    <w:rsid w:val="00AB0DC8"/>
    <w:rsid w:val="00B44E24"/>
    <w:rsid w:val="00BE5F00"/>
    <w:rsid w:val="00C06F64"/>
    <w:rsid w:val="00C21584"/>
    <w:rsid w:val="00C34211"/>
    <w:rsid w:val="00D21BC4"/>
    <w:rsid w:val="00D96065"/>
    <w:rsid w:val="00DF4176"/>
    <w:rsid w:val="00E34625"/>
    <w:rsid w:val="00EC1799"/>
    <w:rsid w:val="00FD4D91"/>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0E9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D0E95"/>
    <w:pPr>
      <w:keepNext/>
      <w:keepLines/>
      <w:spacing w:before="480"/>
      <w:ind w:left="794" w:hanging="794"/>
      <w:outlineLvl w:val="0"/>
    </w:pPr>
    <w:rPr>
      <w:b/>
    </w:rPr>
  </w:style>
  <w:style w:type="paragraph" w:styleId="Heading2">
    <w:name w:val="heading 2"/>
    <w:basedOn w:val="Heading1"/>
    <w:next w:val="Normal"/>
    <w:qFormat/>
    <w:rsid w:val="002D0E95"/>
    <w:pPr>
      <w:spacing w:before="320"/>
      <w:outlineLvl w:val="1"/>
    </w:pPr>
  </w:style>
  <w:style w:type="paragraph" w:styleId="Heading3">
    <w:name w:val="heading 3"/>
    <w:basedOn w:val="Heading1"/>
    <w:next w:val="Normal"/>
    <w:qFormat/>
    <w:rsid w:val="002D0E95"/>
    <w:pPr>
      <w:spacing w:before="200"/>
      <w:outlineLvl w:val="2"/>
    </w:pPr>
  </w:style>
  <w:style w:type="paragraph" w:styleId="Heading4">
    <w:name w:val="heading 4"/>
    <w:basedOn w:val="Heading3"/>
    <w:next w:val="Normal"/>
    <w:qFormat/>
    <w:rsid w:val="002D0E95"/>
    <w:pPr>
      <w:tabs>
        <w:tab w:val="clear" w:pos="794"/>
        <w:tab w:val="left" w:pos="992"/>
      </w:tabs>
      <w:ind w:left="992" w:hanging="992"/>
      <w:outlineLvl w:val="3"/>
    </w:pPr>
  </w:style>
  <w:style w:type="paragraph" w:styleId="Heading5">
    <w:name w:val="heading 5"/>
    <w:basedOn w:val="Heading4"/>
    <w:next w:val="Normal"/>
    <w:qFormat/>
    <w:rsid w:val="002D0E95"/>
    <w:pPr>
      <w:outlineLvl w:val="4"/>
    </w:pPr>
  </w:style>
  <w:style w:type="paragraph" w:styleId="Heading6">
    <w:name w:val="heading 6"/>
    <w:basedOn w:val="Heading4"/>
    <w:next w:val="Normal"/>
    <w:qFormat/>
    <w:rsid w:val="002D0E95"/>
    <w:pPr>
      <w:tabs>
        <w:tab w:val="clear" w:pos="992"/>
        <w:tab w:val="clear" w:pos="1191"/>
      </w:tabs>
      <w:ind w:left="1588" w:hanging="1588"/>
      <w:outlineLvl w:val="5"/>
    </w:pPr>
  </w:style>
  <w:style w:type="paragraph" w:styleId="Heading7">
    <w:name w:val="heading 7"/>
    <w:basedOn w:val="Heading6"/>
    <w:next w:val="Normal"/>
    <w:qFormat/>
    <w:rsid w:val="002D0E95"/>
    <w:pPr>
      <w:outlineLvl w:val="6"/>
    </w:pPr>
  </w:style>
  <w:style w:type="paragraph" w:styleId="Heading8">
    <w:name w:val="heading 8"/>
    <w:basedOn w:val="Heading6"/>
    <w:next w:val="Normal"/>
    <w:qFormat/>
    <w:rsid w:val="002D0E95"/>
    <w:pPr>
      <w:outlineLvl w:val="7"/>
    </w:pPr>
  </w:style>
  <w:style w:type="paragraph" w:styleId="Heading9">
    <w:name w:val="heading 9"/>
    <w:basedOn w:val="Heading6"/>
    <w:next w:val="Normal"/>
    <w:qFormat/>
    <w:rsid w:val="002D0E95"/>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D0E9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D0E9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D0E95"/>
  </w:style>
  <w:style w:type="paragraph" w:customStyle="1" w:styleId="Headingb">
    <w:name w:val="Heading_b"/>
    <w:basedOn w:val="Heading3"/>
    <w:next w:val="Normal"/>
    <w:rsid w:val="002D0E95"/>
    <w:pPr>
      <w:spacing w:before="160"/>
      <w:ind w:left="0" w:firstLine="0"/>
      <w:outlineLvl w:val="9"/>
    </w:pPr>
  </w:style>
  <w:style w:type="paragraph" w:customStyle="1" w:styleId="Headingi">
    <w:name w:val="Heading_i"/>
    <w:basedOn w:val="Heading3"/>
    <w:next w:val="Normal"/>
    <w:rsid w:val="002D0E95"/>
    <w:pPr>
      <w:spacing w:before="160"/>
      <w:ind w:left="0" w:firstLine="0"/>
    </w:pPr>
    <w:rPr>
      <w:b w:val="0"/>
      <w:i/>
    </w:rPr>
  </w:style>
  <w:style w:type="character" w:customStyle="1" w:styleId="href">
    <w:name w:val="href"/>
    <w:basedOn w:val="DefaultParagraphFont"/>
    <w:rsid w:val="002D0E95"/>
  </w:style>
  <w:style w:type="paragraph" w:customStyle="1" w:styleId="enumlev1">
    <w:name w:val="enumlev1"/>
    <w:basedOn w:val="Normal"/>
    <w:rsid w:val="002D0E95"/>
    <w:pPr>
      <w:spacing w:before="80"/>
      <w:ind w:left="794" w:hanging="794"/>
    </w:pPr>
  </w:style>
  <w:style w:type="paragraph" w:customStyle="1" w:styleId="enumlev2">
    <w:name w:val="enumlev2"/>
    <w:basedOn w:val="enumlev1"/>
    <w:rsid w:val="002D0E95"/>
    <w:pPr>
      <w:ind w:left="1191" w:hanging="397"/>
    </w:pPr>
  </w:style>
  <w:style w:type="paragraph" w:customStyle="1" w:styleId="enumlev3">
    <w:name w:val="enumlev3"/>
    <w:basedOn w:val="enumlev2"/>
    <w:rsid w:val="002D0E95"/>
    <w:pPr>
      <w:ind w:left="1588"/>
    </w:pPr>
  </w:style>
  <w:style w:type="paragraph" w:customStyle="1" w:styleId="Normalaftertitle">
    <w:name w:val="Normal_after_title"/>
    <w:basedOn w:val="Normal"/>
    <w:next w:val="Normal"/>
    <w:rsid w:val="002D0E95"/>
    <w:pPr>
      <w:spacing w:before="320"/>
    </w:pPr>
  </w:style>
  <w:style w:type="paragraph" w:customStyle="1" w:styleId="Note">
    <w:name w:val="Note"/>
    <w:basedOn w:val="Normal"/>
    <w:rsid w:val="002D0E9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D0E9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2D0E95"/>
    <w:pPr>
      <w:spacing w:before="240"/>
    </w:pPr>
    <w:rPr>
      <w:sz w:val="22"/>
      <w:lang w:val="es-ES_tradnl"/>
    </w:rPr>
  </w:style>
  <w:style w:type="paragraph" w:customStyle="1" w:styleId="Recref">
    <w:name w:val="Rec_ref"/>
    <w:basedOn w:val="Normal"/>
    <w:next w:val="Recdate"/>
    <w:rsid w:val="002D0E95"/>
    <w:pPr>
      <w:jc w:val="center"/>
    </w:pPr>
  </w:style>
  <w:style w:type="paragraph" w:customStyle="1" w:styleId="Recdate">
    <w:name w:val="Rec_date"/>
    <w:basedOn w:val="Recref"/>
    <w:next w:val="Normalaftertitle"/>
    <w:rsid w:val="002D0E95"/>
    <w:pPr>
      <w:jc w:val="right"/>
    </w:pPr>
  </w:style>
  <w:style w:type="paragraph" w:customStyle="1" w:styleId="AnnexNoTitle">
    <w:name w:val="Annex_NoTitle"/>
    <w:basedOn w:val="Normal"/>
    <w:next w:val="Normalaftertitle"/>
    <w:link w:val="AnnexNoTitleChar"/>
    <w:rsid w:val="002D0E95"/>
    <w:pPr>
      <w:keepNext/>
      <w:keepLines/>
      <w:spacing w:before="480" w:after="80"/>
      <w:jc w:val="center"/>
    </w:pPr>
    <w:rPr>
      <w:b/>
      <w:sz w:val="28"/>
    </w:rPr>
  </w:style>
  <w:style w:type="paragraph" w:customStyle="1" w:styleId="AppendixNoTitle">
    <w:name w:val="Appendix_NoTitle"/>
    <w:basedOn w:val="AnnexNoTitle"/>
    <w:next w:val="Normal"/>
    <w:rsid w:val="002D0E95"/>
  </w:style>
  <w:style w:type="paragraph" w:customStyle="1" w:styleId="Tablefin">
    <w:name w:val="Table_fin"/>
    <w:basedOn w:val="Normal"/>
    <w:next w:val="Normal"/>
    <w:rsid w:val="002D0E95"/>
    <w:pPr>
      <w:spacing w:before="0"/>
    </w:pPr>
    <w:rPr>
      <w:sz w:val="20"/>
      <w:lang w:val="en-GB"/>
    </w:rPr>
  </w:style>
  <w:style w:type="paragraph" w:customStyle="1" w:styleId="Tablehead">
    <w:name w:val="Table_head"/>
    <w:basedOn w:val="Normal"/>
    <w:next w:val="Normal"/>
    <w:rsid w:val="002D0E9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D0E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D0E95"/>
    <w:pPr>
      <w:keepNext/>
      <w:spacing w:before="360" w:after="120"/>
      <w:jc w:val="center"/>
    </w:pPr>
  </w:style>
  <w:style w:type="paragraph" w:customStyle="1" w:styleId="Tabletext">
    <w:name w:val="Table_text"/>
    <w:basedOn w:val="Normal"/>
    <w:rsid w:val="002D0E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D0E95"/>
    <w:pPr>
      <w:tabs>
        <w:tab w:val="clear" w:pos="1191"/>
        <w:tab w:val="clear" w:pos="1588"/>
        <w:tab w:val="clear" w:pos="1985"/>
        <w:tab w:val="center" w:pos="4820"/>
        <w:tab w:val="right" w:pos="9639"/>
      </w:tabs>
    </w:pPr>
  </w:style>
  <w:style w:type="paragraph" w:customStyle="1" w:styleId="Equationlegend">
    <w:name w:val="Equation_legend"/>
    <w:basedOn w:val="NormalIndent"/>
    <w:rsid w:val="002D0E9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D0E95"/>
    <w:pPr>
      <w:ind w:left="794"/>
    </w:pPr>
  </w:style>
  <w:style w:type="paragraph" w:customStyle="1" w:styleId="Figurelegend">
    <w:name w:val="Figure_legend"/>
    <w:basedOn w:val="Normal"/>
    <w:rsid w:val="002D0E9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2D0E9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D0E95"/>
    <w:pPr>
      <w:keepNext/>
      <w:keepLines/>
      <w:spacing w:before="480"/>
      <w:jc w:val="center"/>
    </w:pPr>
    <w:rPr>
      <w:sz w:val="28"/>
    </w:rPr>
  </w:style>
  <w:style w:type="paragraph" w:customStyle="1" w:styleId="Arttitle">
    <w:name w:val="Art_title"/>
    <w:basedOn w:val="Normal"/>
    <w:next w:val="Normalaftertitle"/>
    <w:rsid w:val="002D0E95"/>
    <w:pPr>
      <w:keepNext/>
      <w:keepLines/>
      <w:spacing w:before="240"/>
      <w:jc w:val="center"/>
    </w:pPr>
    <w:rPr>
      <w:b/>
      <w:sz w:val="28"/>
    </w:rPr>
  </w:style>
  <w:style w:type="paragraph" w:customStyle="1" w:styleId="Blanc">
    <w:name w:val="Blanc"/>
    <w:basedOn w:val="Normal"/>
    <w:next w:val="Tabletext"/>
    <w:rsid w:val="002D0E9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D0E9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D0E95"/>
    <w:pPr>
      <w:keepNext/>
      <w:keepLines/>
      <w:spacing w:before="160"/>
      <w:ind w:left="794"/>
    </w:pPr>
    <w:rPr>
      <w:i/>
    </w:rPr>
  </w:style>
  <w:style w:type="paragraph" w:customStyle="1" w:styleId="ChapNo">
    <w:name w:val="Chap_No"/>
    <w:basedOn w:val="ArtNo"/>
    <w:next w:val="Chaptitle"/>
    <w:rsid w:val="002D0E95"/>
    <w:rPr>
      <w:b/>
    </w:rPr>
  </w:style>
  <w:style w:type="paragraph" w:customStyle="1" w:styleId="Chaptitle">
    <w:name w:val="Chap_title"/>
    <w:basedOn w:val="Arttitle"/>
    <w:next w:val="Normalaftertitle"/>
    <w:rsid w:val="002D0E95"/>
  </w:style>
  <w:style w:type="character" w:styleId="FootnoteReference">
    <w:name w:val="footnote reference"/>
    <w:basedOn w:val="DefaultParagraphFont"/>
    <w:semiHidden/>
    <w:rsid w:val="002D0E95"/>
    <w:rPr>
      <w:position w:val="6"/>
      <w:sz w:val="18"/>
    </w:rPr>
  </w:style>
  <w:style w:type="paragraph" w:styleId="FootnoteText">
    <w:name w:val="footnote text"/>
    <w:basedOn w:val="Normal"/>
    <w:semiHidden/>
    <w:rsid w:val="002D0E95"/>
    <w:pPr>
      <w:keepLines/>
      <w:tabs>
        <w:tab w:val="left" w:pos="255"/>
      </w:tabs>
      <w:ind w:left="255" w:hanging="255"/>
    </w:pPr>
    <w:rPr>
      <w:sz w:val="22"/>
    </w:rPr>
  </w:style>
  <w:style w:type="paragraph" w:styleId="Index1">
    <w:name w:val="index 1"/>
    <w:basedOn w:val="Normal"/>
    <w:next w:val="Normal"/>
    <w:semiHidden/>
    <w:rsid w:val="002D0E95"/>
  </w:style>
  <w:style w:type="paragraph" w:styleId="Index2">
    <w:name w:val="index 2"/>
    <w:basedOn w:val="Normal"/>
    <w:next w:val="Normal"/>
    <w:semiHidden/>
    <w:rsid w:val="002D0E95"/>
    <w:pPr>
      <w:ind w:left="283"/>
    </w:pPr>
  </w:style>
  <w:style w:type="paragraph" w:styleId="Index3">
    <w:name w:val="index 3"/>
    <w:basedOn w:val="Normal"/>
    <w:next w:val="Normal"/>
    <w:semiHidden/>
    <w:rsid w:val="002D0E95"/>
    <w:pPr>
      <w:ind w:left="566"/>
    </w:pPr>
  </w:style>
  <w:style w:type="paragraph" w:styleId="IndexHeading">
    <w:name w:val="index heading"/>
    <w:basedOn w:val="Normal"/>
    <w:next w:val="Index1"/>
    <w:semiHidden/>
    <w:rsid w:val="002D0E95"/>
  </w:style>
  <w:style w:type="paragraph" w:customStyle="1" w:styleId="Line">
    <w:name w:val="Line"/>
    <w:basedOn w:val="Normal"/>
    <w:next w:val="Normal"/>
    <w:rsid w:val="002D0E9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D0E9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D0E95"/>
  </w:style>
  <w:style w:type="paragraph" w:customStyle="1" w:styleId="Partref">
    <w:name w:val="Part_ref"/>
    <w:basedOn w:val="Normal"/>
    <w:next w:val="Normal"/>
    <w:rsid w:val="002D0E95"/>
    <w:pPr>
      <w:keepNext/>
      <w:keepLines/>
      <w:spacing w:after="280"/>
      <w:jc w:val="center"/>
    </w:pPr>
  </w:style>
  <w:style w:type="paragraph" w:customStyle="1" w:styleId="Parttitle">
    <w:name w:val="Part_title"/>
    <w:basedOn w:val="Normal"/>
    <w:next w:val="Normalaftertitle"/>
    <w:rsid w:val="002D0E9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D0E95"/>
  </w:style>
  <w:style w:type="paragraph" w:customStyle="1" w:styleId="QuestionNo">
    <w:name w:val="Question_No"/>
    <w:basedOn w:val="RecNo"/>
    <w:next w:val="Normal"/>
    <w:rsid w:val="002D0E95"/>
  </w:style>
  <w:style w:type="paragraph" w:customStyle="1" w:styleId="Questionref">
    <w:name w:val="Question_ref"/>
    <w:basedOn w:val="Recref"/>
    <w:next w:val="Questiondate"/>
    <w:rsid w:val="002D0E95"/>
  </w:style>
  <w:style w:type="paragraph" w:customStyle="1" w:styleId="Questiontitle">
    <w:name w:val="Question_title"/>
    <w:basedOn w:val="Normal"/>
    <w:next w:val="Questionref"/>
    <w:rsid w:val="002D0E95"/>
  </w:style>
  <w:style w:type="paragraph" w:customStyle="1" w:styleId="Reftext">
    <w:name w:val="Ref_text"/>
    <w:basedOn w:val="Normal"/>
    <w:rsid w:val="002D0E95"/>
    <w:pPr>
      <w:ind w:left="794" w:hanging="794"/>
    </w:pPr>
    <w:rPr>
      <w:sz w:val="22"/>
    </w:rPr>
  </w:style>
  <w:style w:type="paragraph" w:customStyle="1" w:styleId="Reftitle">
    <w:name w:val="Ref_title"/>
    <w:basedOn w:val="Normal"/>
    <w:next w:val="Reftext"/>
    <w:rsid w:val="002D0E9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D0E95"/>
  </w:style>
  <w:style w:type="paragraph" w:customStyle="1" w:styleId="RepNo">
    <w:name w:val="Rep_No"/>
    <w:basedOn w:val="RecNo"/>
    <w:next w:val="Reptitle"/>
    <w:rsid w:val="002D0E95"/>
  </w:style>
  <w:style w:type="paragraph" w:customStyle="1" w:styleId="Repref">
    <w:name w:val="Rep_ref"/>
    <w:basedOn w:val="Recref"/>
    <w:next w:val="Repdate"/>
    <w:rsid w:val="002D0E95"/>
  </w:style>
  <w:style w:type="paragraph" w:customStyle="1" w:styleId="Reptitle">
    <w:name w:val="Rep_title"/>
    <w:basedOn w:val="Rectitle"/>
    <w:next w:val="Repref"/>
    <w:rsid w:val="002D0E95"/>
  </w:style>
  <w:style w:type="paragraph" w:customStyle="1" w:styleId="Resdate">
    <w:name w:val="Res_date"/>
    <w:basedOn w:val="Recdate"/>
    <w:next w:val="Normalaftertitle"/>
    <w:rsid w:val="002D0E95"/>
  </w:style>
  <w:style w:type="paragraph" w:customStyle="1" w:styleId="ResNo">
    <w:name w:val="Res_No"/>
    <w:basedOn w:val="RecNo"/>
    <w:next w:val="Restitle"/>
    <w:rsid w:val="002D0E95"/>
  </w:style>
  <w:style w:type="paragraph" w:customStyle="1" w:styleId="Resref">
    <w:name w:val="Res_ref"/>
    <w:basedOn w:val="Recref"/>
    <w:next w:val="Resdate"/>
    <w:rsid w:val="002D0E95"/>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2D0E95"/>
  </w:style>
  <w:style w:type="paragraph" w:customStyle="1" w:styleId="Sectiontitle">
    <w:name w:val="Section_title"/>
    <w:basedOn w:val="Normal"/>
    <w:next w:val="Normalaftertitle"/>
    <w:rsid w:val="002D0E9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D0E95"/>
    <w:pPr>
      <w:tabs>
        <w:tab w:val="clear" w:pos="794"/>
        <w:tab w:val="clear" w:pos="1191"/>
        <w:tab w:val="clear" w:pos="1588"/>
        <w:tab w:val="clear" w:pos="1985"/>
        <w:tab w:val="right" w:pos="9611"/>
      </w:tabs>
    </w:pPr>
    <w:rPr>
      <w:i/>
    </w:rPr>
  </w:style>
  <w:style w:type="paragraph" w:styleId="TOC1">
    <w:name w:val="toc 1"/>
    <w:basedOn w:val="Normal"/>
    <w:semiHidden/>
    <w:rsid w:val="002D0E9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D0E95"/>
    <w:pPr>
      <w:tabs>
        <w:tab w:val="clear" w:pos="567"/>
        <w:tab w:val="left" w:pos="1276"/>
      </w:tabs>
      <w:spacing w:before="160"/>
      <w:ind w:left="1276" w:hanging="709"/>
    </w:pPr>
  </w:style>
  <w:style w:type="paragraph" w:styleId="TOC3">
    <w:name w:val="toc 3"/>
    <w:basedOn w:val="TOC2"/>
    <w:semiHidden/>
    <w:rsid w:val="002D0E95"/>
    <w:pPr>
      <w:tabs>
        <w:tab w:val="clear" w:pos="1276"/>
        <w:tab w:val="left" w:pos="2155"/>
      </w:tabs>
      <w:ind w:left="2155" w:hanging="879"/>
    </w:pPr>
  </w:style>
  <w:style w:type="paragraph" w:styleId="TOC4">
    <w:name w:val="toc 4"/>
    <w:basedOn w:val="TOC3"/>
    <w:semiHidden/>
    <w:rsid w:val="002D0E95"/>
    <w:pPr>
      <w:tabs>
        <w:tab w:val="left" w:pos="3261"/>
      </w:tabs>
      <w:spacing w:before="80"/>
      <w:ind w:left="3261" w:hanging="993"/>
    </w:pPr>
  </w:style>
  <w:style w:type="paragraph" w:styleId="TOC5">
    <w:name w:val="toc 5"/>
    <w:basedOn w:val="TOC4"/>
    <w:semiHidden/>
    <w:rsid w:val="002D0E95"/>
  </w:style>
  <w:style w:type="paragraph" w:styleId="TOC6">
    <w:name w:val="toc 6"/>
    <w:basedOn w:val="TOC4"/>
    <w:semiHidden/>
    <w:rsid w:val="002D0E95"/>
  </w:style>
  <w:style w:type="paragraph" w:styleId="TOC7">
    <w:name w:val="toc 7"/>
    <w:basedOn w:val="TOC4"/>
    <w:semiHidden/>
    <w:rsid w:val="002D0E95"/>
  </w:style>
  <w:style w:type="paragraph" w:styleId="TOC8">
    <w:name w:val="toc 8"/>
    <w:basedOn w:val="TOC4"/>
    <w:semiHidden/>
    <w:rsid w:val="002D0E95"/>
  </w:style>
  <w:style w:type="paragraph" w:customStyle="1" w:styleId="Rectitle">
    <w:name w:val="Rec_title"/>
    <w:basedOn w:val="Normal"/>
    <w:next w:val="Recref"/>
    <w:rsid w:val="002D0E95"/>
    <w:pPr>
      <w:keepNext/>
      <w:keepLines/>
      <w:spacing w:before="240"/>
      <w:jc w:val="center"/>
    </w:pPr>
    <w:rPr>
      <w:b/>
      <w:sz w:val="28"/>
    </w:rPr>
  </w:style>
  <w:style w:type="paragraph" w:customStyle="1" w:styleId="Annexref">
    <w:name w:val="Annex_ref"/>
    <w:basedOn w:val="Normal"/>
    <w:next w:val="Normalaftertitle"/>
    <w:rsid w:val="002D0E95"/>
    <w:pPr>
      <w:keepNext/>
      <w:keepLines/>
      <w:spacing w:after="280"/>
      <w:jc w:val="center"/>
    </w:pPr>
  </w:style>
  <w:style w:type="paragraph" w:customStyle="1" w:styleId="Appendixref">
    <w:name w:val="Appendix_ref"/>
    <w:basedOn w:val="Annexref"/>
    <w:next w:val="Normalaftertitle"/>
    <w:rsid w:val="002D0E95"/>
  </w:style>
  <w:style w:type="paragraph" w:customStyle="1" w:styleId="Figuretitle">
    <w:name w:val="Figure_title"/>
    <w:basedOn w:val="Normal"/>
    <w:next w:val="Figure"/>
    <w:rsid w:val="002D0E9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D0E95"/>
    <w:pPr>
      <w:keepNext/>
      <w:spacing w:before="0" w:after="120"/>
      <w:jc w:val="center"/>
    </w:pPr>
    <w:rPr>
      <w:b/>
    </w:rPr>
  </w:style>
  <w:style w:type="paragraph" w:customStyle="1" w:styleId="Summary">
    <w:name w:val="Summary"/>
    <w:basedOn w:val="Normal"/>
    <w:next w:val="Normalaftertitle"/>
    <w:rsid w:val="002D0E95"/>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BE5F00"/>
    <w:rPr>
      <w:b/>
      <w:sz w:val="24"/>
      <w:lang w:val="fr-FR" w:eastAsia="en-US"/>
    </w:rPr>
  </w:style>
  <w:style w:type="character" w:customStyle="1" w:styleId="AnnexNoTitleChar">
    <w:name w:val="Annex_NoTitle Char"/>
    <w:basedOn w:val="DefaultParagraphFont"/>
    <w:link w:val="AnnexNoTitle"/>
    <w:rsid w:val="00BE5F00"/>
    <w:rPr>
      <w:b/>
      <w:sz w:val="28"/>
      <w:lang w:val="fr-FR" w:eastAsia="en-US"/>
    </w:rPr>
  </w:style>
  <w:style w:type="table" w:styleId="TableGrid">
    <w:name w:val="Table Grid"/>
    <w:basedOn w:val="TableNormal"/>
    <w:rsid w:val="00BE5F0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3F5458"/>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4.bin"/><Relationship Id="rId3" Type="http://schemas.openxmlformats.org/officeDocument/2006/relationships/webSettings" Target="webSettings.xml"/><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9.bin"/><Relationship Id="rId41"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emf"/><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266</TotalTime>
  <Pages>14</Pages>
  <Words>2994</Words>
  <Characters>17008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dc:creator>
  <cp:keywords/>
  <dc:description/>
  <cp:lastModifiedBy>brice</cp:lastModifiedBy>
  <cp:revision>14</cp:revision>
  <cp:lastPrinted>2010-04-30T08:28:00Z</cp:lastPrinted>
  <dcterms:created xsi:type="dcterms:W3CDTF">2010-04-29T12:08:00Z</dcterms:created>
  <dcterms:modified xsi:type="dcterms:W3CDTF">2010-04-30T12:28:00Z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