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12AA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1F77B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1F77B3">
              <w:rPr>
                <w:rFonts w:ascii="Tahoma" w:hAnsi="Tahoma" w:cs="Tahoma"/>
                <w:b/>
                <w:bCs/>
                <w:iCs/>
                <w:color w:val="243285"/>
                <w:sz w:val="36"/>
                <w:szCs w:val="36"/>
                <w:lang w:val="es-ES_tradnl"/>
              </w:rPr>
              <w:t>1238-8</w:t>
            </w:r>
          </w:p>
          <w:p w:rsidR="00B1717A" w:rsidRPr="0010336F" w:rsidRDefault="00B1717A" w:rsidP="001F77B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F77B3">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1F77B3">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297D25"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1F77B3" w:rsidP="001F77B3">
            <w:pPr>
              <w:spacing w:before="80" w:line="500" w:lineRule="exact"/>
              <w:jc w:val="right"/>
              <w:rPr>
                <w:rFonts w:ascii="Tahoma" w:hAnsi="Tahoma" w:cs="Tahoma"/>
                <w:b/>
                <w:bCs/>
                <w:color w:val="243285"/>
                <w:sz w:val="44"/>
                <w:szCs w:val="44"/>
                <w:lang w:val="es-ES_tradnl"/>
              </w:rPr>
            </w:pPr>
            <w:r w:rsidRPr="001F77B3">
              <w:rPr>
                <w:rFonts w:ascii="Tahoma" w:hAnsi="Tahoma" w:cs="Tahoma"/>
                <w:b/>
                <w:bCs/>
                <w:color w:val="243285"/>
                <w:sz w:val="44"/>
                <w:szCs w:val="44"/>
                <w:lang w:val="es-ES_tradnl"/>
              </w:rPr>
              <w:t>Datos de propagación y métodos de predicción para la planificación</w:t>
            </w:r>
            <w:r w:rsidRPr="001F77B3">
              <w:rPr>
                <w:rFonts w:ascii="Tahoma" w:hAnsi="Tahoma" w:cs="Tahoma"/>
                <w:b/>
                <w:bCs/>
                <w:color w:val="243285"/>
                <w:sz w:val="44"/>
                <w:szCs w:val="44"/>
                <w:lang w:val="es-ES_tradnl"/>
              </w:rPr>
              <w:br/>
              <w:t>de sistemas de radiocomunicaciones en interiores y redes</w:t>
            </w:r>
            <w:r>
              <w:rPr>
                <w:rFonts w:ascii="Tahoma" w:hAnsi="Tahoma" w:cs="Tahoma"/>
                <w:b/>
                <w:bCs/>
                <w:color w:val="243285"/>
                <w:sz w:val="44"/>
                <w:szCs w:val="44"/>
                <w:lang w:val="es-ES_tradnl"/>
              </w:rPr>
              <w:t xml:space="preserve"> </w:t>
            </w:r>
            <w:r w:rsidRPr="001F77B3">
              <w:rPr>
                <w:rFonts w:ascii="Tahoma" w:hAnsi="Tahoma" w:cs="Tahoma"/>
                <w:b/>
                <w:bCs/>
                <w:color w:val="243285"/>
                <w:sz w:val="44"/>
                <w:szCs w:val="44"/>
                <w:lang w:val="es-ES_tradnl"/>
              </w:rPr>
              <w:t>radioeléctricas de área local en la gama de frecuencias</w:t>
            </w:r>
            <w:r w:rsidRPr="001F77B3">
              <w:rPr>
                <w:rFonts w:ascii="Tahoma" w:hAnsi="Tahoma" w:cs="Tahoma"/>
                <w:b/>
                <w:bCs/>
                <w:color w:val="243285"/>
                <w:sz w:val="44"/>
                <w:szCs w:val="44"/>
                <w:lang w:val="es-ES_tradnl"/>
              </w:rPr>
              <w:br/>
              <w:t>de 300 MHz a 100 GHz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97D25"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97D2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97D2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297D25"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97D25"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297D2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297D2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97D2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97D25"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1F77B3">
        <w:rPr>
          <w:rStyle w:val="href"/>
          <w:lang w:val="es-ES_tradnl"/>
        </w:rPr>
        <w:t>1238-8</w:t>
      </w:r>
      <w:r w:rsidR="00297D25">
        <w:rPr>
          <w:rStyle w:val="FootnoteReference"/>
          <w:lang w:val="es-ES_tradnl"/>
        </w:rPr>
        <w:footnoteReference w:customMarkFollows="1" w:id="1"/>
        <w:t>*</w:t>
      </w:r>
    </w:p>
    <w:p w:rsidR="001F77B3" w:rsidRPr="007A6DF0" w:rsidRDefault="001F77B3" w:rsidP="001F77B3">
      <w:pPr>
        <w:pStyle w:val="Rectitle"/>
        <w:rPr>
          <w:lang w:val="es-ES_tradnl"/>
        </w:rPr>
      </w:pPr>
      <w:r w:rsidRPr="007A6DF0">
        <w:rPr>
          <w:lang w:val="es-ES_tradnl"/>
        </w:rPr>
        <w:t>Datos de propagación y métodos de predicción para la planificación</w:t>
      </w:r>
      <w:r w:rsidRPr="007A6DF0">
        <w:rPr>
          <w:lang w:val="es-ES_tradnl"/>
        </w:rPr>
        <w:br/>
        <w:t>de sistemas de radiocomunicaciones en interiores y redes</w:t>
      </w:r>
      <w:r w:rsidRPr="007A6DF0">
        <w:rPr>
          <w:lang w:val="es-ES_tradnl"/>
        </w:rPr>
        <w:br/>
        <w:t>radioeléctricas de área</w:t>
      </w:r>
      <w:bookmarkStart w:id="4" w:name="Pre_title"/>
      <w:r w:rsidRPr="007A6DF0">
        <w:rPr>
          <w:lang w:val="es-ES_tradnl"/>
        </w:rPr>
        <w:t xml:space="preserve"> local en la gama de frecuencias</w:t>
      </w:r>
      <w:r w:rsidRPr="007A6DF0">
        <w:rPr>
          <w:lang w:val="es-ES_tradnl"/>
        </w:rPr>
        <w:br/>
        <w:t>de 300 MHz a 100 GHz</w:t>
      </w:r>
      <w:bookmarkEnd w:id="4"/>
    </w:p>
    <w:p w:rsidR="001F77B3" w:rsidRPr="007A6DF0" w:rsidRDefault="001F77B3" w:rsidP="001F77B3">
      <w:pPr>
        <w:pStyle w:val="Recref"/>
        <w:rPr>
          <w:lang w:val="es-ES_tradnl"/>
        </w:rPr>
      </w:pPr>
      <w:bookmarkStart w:id="5" w:name="Related_Questions"/>
      <w:r w:rsidRPr="007A6DF0">
        <w:rPr>
          <w:lang w:val="es-ES_tradnl"/>
        </w:rPr>
        <w:t>(Cuestión UIT-R 211/3)</w:t>
      </w:r>
      <w:bookmarkEnd w:id="5"/>
    </w:p>
    <w:p w:rsidR="001F77B3" w:rsidRPr="007A6DF0" w:rsidRDefault="001F77B3" w:rsidP="001F77B3">
      <w:pPr>
        <w:pStyle w:val="Blanc"/>
        <w:rPr>
          <w:lang w:val="es-ES_tradnl"/>
        </w:rPr>
      </w:pPr>
      <w:bookmarkStart w:id="6" w:name="Revision_history"/>
    </w:p>
    <w:p w:rsidR="001F77B3" w:rsidRPr="007A6DF0" w:rsidRDefault="001F77B3" w:rsidP="001F77B3">
      <w:pPr>
        <w:pStyle w:val="Recdate"/>
        <w:rPr>
          <w:lang w:val="es-ES_tradnl"/>
        </w:rPr>
      </w:pPr>
      <w:r w:rsidRPr="007A6DF0">
        <w:rPr>
          <w:lang w:val="es-ES_tradnl"/>
        </w:rPr>
        <w:t>(1997-1999-2001-2003-2005-2007-2009-2012-2015)</w:t>
      </w:r>
      <w:bookmarkEnd w:id="6"/>
    </w:p>
    <w:p w:rsidR="001F77B3" w:rsidRPr="007A6DF0" w:rsidRDefault="001F77B3" w:rsidP="001A2624">
      <w:pPr>
        <w:pStyle w:val="HeadingSum"/>
      </w:pPr>
      <w:r w:rsidRPr="001A2624">
        <w:t>Cometido</w:t>
      </w:r>
    </w:p>
    <w:p w:rsidR="001F77B3" w:rsidRPr="007A6DF0" w:rsidRDefault="001F77B3" w:rsidP="001F77B3">
      <w:pPr>
        <w:pStyle w:val="Summary"/>
        <w:spacing w:after="0"/>
        <w:rPr>
          <w:szCs w:val="24"/>
          <w:lang w:eastAsia="ja-JP"/>
        </w:rPr>
      </w:pPr>
      <w:r w:rsidRPr="007A6DF0">
        <w:t>En esta Recomendación se proporciona orientación sobre la propagación en interiores en la gama de frecuencias de 300</w:t>
      </w:r>
      <w:r w:rsidRPr="007A6DF0">
        <w:rPr>
          <w:szCs w:val="24"/>
          <w:lang w:eastAsia="ja-JP"/>
        </w:rPr>
        <w:t xml:space="preserve"> MHz a</w:t>
      </w:r>
      <w:r w:rsidRPr="007A6DF0">
        <w:rPr>
          <w:sz w:val="24"/>
          <w:szCs w:val="24"/>
          <w:lang w:eastAsia="ja-JP"/>
        </w:rPr>
        <w:t xml:space="preserve"> 100 GHz</w:t>
      </w:r>
      <w:r w:rsidRPr="007A6DF0">
        <w:rPr>
          <w:szCs w:val="24"/>
          <w:lang w:eastAsia="ja-JP"/>
        </w:rPr>
        <w:t>, y se brinda información sobre:</w:t>
      </w:r>
    </w:p>
    <w:p w:rsidR="001F77B3" w:rsidRPr="007A6DF0" w:rsidRDefault="001F77B3" w:rsidP="001F77B3">
      <w:pPr>
        <w:pStyle w:val="enumlev1"/>
        <w:rPr>
          <w:lang w:val="es-ES_tradnl"/>
        </w:rPr>
      </w:pPr>
      <w:r w:rsidRPr="007A6DF0">
        <w:rPr>
          <w:lang w:val="es-ES_tradnl"/>
        </w:rPr>
        <w:t>–</w:t>
      </w:r>
      <w:r w:rsidRPr="007A6DF0">
        <w:rPr>
          <w:lang w:val="es-ES_tradnl"/>
        </w:rPr>
        <w:tab/>
        <w:t>los modelos de pérdida de trayecto;</w:t>
      </w:r>
    </w:p>
    <w:p w:rsidR="001F77B3" w:rsidRPr="007A6DF0" w:rsidRDefault="001F77B3" w:rsidP="001F77B3">
      <w:pPr>
        <w:pStyle w:val="enumlev1"/>
        <w:rPr>
          <w:lang w:val="es-ES_tradnl"/>
        </w:rPr>
      </w:pPr>
      <w:r w:rsidRPr="007A6DF0">
        <w:rPr>
          <w:lang w:val="es-ES_tradnl"/>
        </w:rPr>
        <w:t>–</w:t>
      </w:r>
      <w:r w:rsidRPr="007A6DF0">
        <w:rPr>
          <w:lang w:val="es-ES_tradnl"/>
        </w:rPr>
        <w:tab/>
        <w:t>los modelos de dispersión del retardo;</w:t>
      </w:r>
    </w:p>
    <w:p w:rsidR="001F77B3" w:rsidRPr="007A6DF0" w:rsidRDefault="001F77B3" w:rsidP="001F77B3">
      <w:pPr>
        <w:pStyle w:val="enumlev1"/>
        <w:rPr>
          <w:lang w:val="es-ES_tradnl"/>
        </w:rPr>
      </w:pPr>
      <w:r w:rsidRPr="007A6DF0">
        <w:rPr>
          <w:lang w:val="es-ES_tradnl"/>
        </w:rPr>
        <w:t>–</w:t>
      </w:r>
      <w:r w:rsidRPr="007A6DF0">
        <w:rPr>
          <w:lang w:val="es-ES_tradnl"/>
        </w:rPr>
        <w:tab/>
        <w:t>los efectos del diagrama de radiación de antena y de la polarización;</w:t>
      </w:r>
    </w:p>
    <w:p w:rsidR="001F77B3" w:rsidRPr="007A6DF0" w:rsidRDefault="001F77B3" w:rsidP="001F77B3">
      <w:pPr>
        <w:pStyle w:val="enumlev1"/>
        <w:rPr>
          <w:lang w:val="es-ES_tradnl"/>
        </w:rPr>
      </w:pPr>
      <w:r w:rsidRPr="007A6DF0">
        <w:rPr>
          <w:lang w:val="es-ES_tradnl"/>
        </w:rPr>
        <w:t>–</w:t>
      </w:r>
      <w:r w:rsidRPr="007A6DF0">
        <w:rPr>
          <w:lang w:val="es-ES_tradnl"/>
        </w:rPr>
        <w:tab/>
        <w:t>los efectos de la ubicación del transmisor y el receptor;</w:t>
      </w:r>
    </w:p>
    <w:p w:rsidR="001F77B3" w:rsidRPr="007A6DF0" w:rsidRDefault="001F77B3" w:rsidP="001F77B3">
      <w:pPr>
        <w:pStyle w:val="enumlev1"/>
        <w:rPr>
          <w:lang w:val="es-ES_tradnl"/>
        </w:rPr>
      </w:pPr>
      <w:r w:rsidRPr="007A6DF0">
        <w:rPr>
          <w:lang w:val="es-ES_tradnl"/>
        </w:rPr>
        <w:t>–</w:t>
      </w:r>
      <w:r w:rsidRPr="007A6DF0">
        <w:rPr>
          <w:lang w:val="es-ES_tradnl"/>
        </w:rPr>
        <w:tab/>
        <w:t>los efectos de los materiales de construcción, los acabados y el mobiliario;</w:t>
      </w:r>
    </w:p>
    <w:p w:rsidR="001F77B3" w:rsidRPr="007A6DF0" w:rsidRDefault="001F77B3" w:rsidP="001F77B3">
      <w:pPr>
        <w:pStyle w:val="enumlev1"/>
        <w:rPr>
          <w:lang w:val="es-ES_tradnl"/>
        </w:rPr>
      </w:pPr>
      <w:r w:rsidRPr="007A6DF0">
        <w:rPr>
          <w:lang w:val="es-ES_tradnl"/>
        </w:rPr>
        <w:t>–</w:t>
      </w:r>
      <w:r w:rsidRPr="007A6DF0">
        <w:rPr>
          <w:lang w:val="es-ES_tradnl"/>
        </w:rPr>
        <w:tab/>
        <w:t>los efectos del movimiento de los objetos en la sala;</w:t>
      </w:r>
    </w:p>
    <w:p w:rsidR="001F77B3" w:rsidRPr="007A6DF0" w:rsidRDefault="001F77B3" w:rsidP="001F77B3">
      <w:pPr>
        <w:pStyle w:val="enumlev1"/>
        <w:rPr>
          <w:lang w:val="es-ES_tradnl"/>
        </w:rPr>
      </w:pPr>
      <w:r w:rsidRPr="007A6DF0">
        <w:rPr>
          <w:lang w:val="es-ES_tradnl"/>
        </w:rPr>
        <w:t>–</w:t>
      </w:r>
      <w:r w:rsidRPr="007A6DF0">
        <w:rPr>
          <w:lang w:val="es-ES_tradnl"/>
        </w:rPr>
        <w:tab/>
        <w:t>el modelo estadístico en caso de utilización estática.</w:t>
      </w:r>
    </w:p>
    <w:p w:rsidR="001F77B3" w:rsidRPr="007A6DF0" w:rsidRDefault="001F77B3" w:rsidP="001F77B3">
      <w:pPr>
        <w:pStyle w:val="Normalaftertitle"/>
        <w:rPr>
          <w:lang w:val="es-ES_tradnl"/>
        </w:rPr>
      </w:pPr>
      <w:r w:rsidRPr="007A6DF0">
        <w:rPr>
          <w:lang w:val="es-ES_tradnl"/>
        </w:rPr>
        <w:t>La Asamblea de Radiocomunicaciones de la UIT,</w:t>
      </w:r>
    </w:p>
    <w:p w:rsidR="001F77B3" w:rsidRPr="007A6DF0" w:rsidRDefault="001F77B3" w:rsidP="001F77B3">
      <w:pPr>
        <w:pStyle w:val="Call"/>
        <w:rPr>
          <w:lang w:val="es-ES_tradnl"/>
        </w:rPr>
      </w:pPr>
      <w:r w:rsidRPr="007A6DF0">
        <w:rPr>
          <w:lang w:val="es-ES_tradnl"/>
        </w:rPr>
        <w:t>considerando</w:t>
      </w:r>
    </w:p>
    <w:p w:rsidR="001F77B3" w:rsidRPr="007A6DF0" w:rsidRDefault="001F77B3" w:rsidP="001F77B3">
      <w:pPr>
        <w:rPr>
          <w:lang w:val="es-ES_tradnl"/>
        </w:rPr>
      </w:pPr>
      <w:r w:rsidRPr="00E777BE">
        <w:rPr>
          <w:i/>
          <w:iCs/>
          <w:lang w:val="es-ES_tradnl"/>
        </w:rPr>
        <w:t>a)</w:t>
      </w:r>
      <w:r w:rsidRPr="007A6DF0">
        <w:rPr>
          <w:lang w:val="es-ES_tradnl"/>
        </w:rPr>
        <w:tab/>
        <w:t>que se están desarrollando muchas nuevas aplicaciones de comunicaciones personales de corto alcance (distancia de explotación inferior a 1 km), que funcionarán en interiores;</w:t>
      </w:r>
    </w:p>
    <w:p w:rsidR="001F77B3" w:rsidRPr="003C722D" w:rsidRDefault="001F77B3" w:rsidP="001F77B3">
      <w:pPr>
        <w:rPr>
          <w:lang w:val="es-ES_tradnl"/>
        </w:rPr>
      </w:pPr>
      <w:r w:rsidRPr="003C722D">
        <w:rPr>
          <w:i/>
          <w:iCs/>
          <w:lang w:val="es-ES_tradnl"/>
        </w:rPr>
        <w:t>b)</w:t>
      </w:r>
      <w:r w:rsidRPr="003C722D">
        <w:rPr>
          <w:lang w:val="es-ES_tradnl"/>
        </w:rPr>
        <w:tab/>
        <w:t xml:space="preserve">que hay una gran demanda de redes radioeléctricas de área local (RLAN, </w:t>
      </w:r>
      <w:r w:rsidRPr="003C722D">
        <w:rPr>
          <w:i/>
          <w:iCs/>
          <w:lang w:val="es-ES_tradnl"/>
        </w:rPr>
        <w:t>radio local area networks</w:t>
      </w:r>
      <w:r w:rsidRPr="003C722D">
        <w:rPr>
          <w:lang w:val="es-ES_tradnl"/>
        </w:rPr>
        <w:t xml:space="preserve">) y de centralitas privadas empresariales inalámbricas (WPBX, </w:t>
      </w:r>
      <w:r w:rsidRPr="003C722D">
        <w:rPr>
          <w:i/>
          <w:iCs/>
          <w:lang w:val="es-ES_tradnl"/>
        </w:rPr>
        <w:t>wireless private business exchanges</w:t>
      </w:r>
      <w:r w:rsidRPr="003C722D">
        <w:rPr>
          <w:lang w:val="es-ES_tradnl"/>
        </w:rPr>
        <w:t>), como demuestran los productos existentes y la intensa actividad de investigación;</w:t>
      </w:r>
    </w:p>
    <w:p w:rsidR="001F77B3" w:rsidRPr="007A6DF0" w:rsidRDefault="001F77B3" w:rsidP="001F77B3">
      <w:pPr>
        <w:rPr>
          <w:lang w:val="es-ES_tradnl"/>
        </w:rPr>
      </w:pPr>
      <w:r w:rsidRPr="003C722D">
        <w:rPr>
          <w:i/>
          <w:iCs/>
          <w:lang w:val="es-ES_tradnl"/>
        </w:rPr>
        <w:t>c)</w:t>
      </w:r>
      <w:r w:rsidRPr="003C722D">
        <w:rPr>
          <w:lang w:val="es-ES_tradnl"/>
        </w:rPr>
        <w:tab/>
        <w:t xml:space="preserve">que conviene establecer normas RLAN compatibles con las comunicaciones alámbricas e </w:t>
      </w:r>
      <w:r w:rsidRPr="007A6DF0">
        <w:rPr>
          <w:lang w:val="es-ES_tradnl"/>
        </w:rPr>
        <w:t>inalámbricas;</w:t>
      </w:r>
    </w:p>
    <w:p w:rsidR="001F77B3" w:rsidRPr="007A6DF0" w:rsidRDefault="001F77B3" w:rsidP="001F77B3">
      <w:pPr>
        <w:rPr>
          <w:lang w:val="es-ES_tradnl"/>
        </w:rPr>
      </w:pPr>
      <w:r w:rsidRPr="00E777BE">
        <w:rPr>
          <w:i/>
          <w:iCs/>
          <w:lang w:val="es-ES_tradnl"/>
        </w:rPr>
        <w:t>d)</w:t>
      </w:r>
      <w:r w:rsidRPr="007A6DF0">
        <w:rPr>
          <w:lang w:val="es-ES_tradnl"/>
        </w:rPr>
        <w:tab/>
        <w:t xml:space="preserve">que los sistemas de corto alcance que consumen poca potencia tienen muchas ventajas para el suministro de servicios en entornos móviles y personales, como las redes de sensores RF y los dispositivos inalámbricos que utilizan los </w:t>
      </w:r>
      <w:r w:rsidRPr="007A6DF0">
        <w:rPr>
          <w:color w:val="000000"/>
          <w:lang w:val="es-ES_tradnl"/>
        </w:rPr>
        <w:t>espacios en blanco de las bandas de televisión</w:t>
      </w:r>
      <w:r w:rsidRPr="007A6DF0">
        <w:rPr>
          <w:lang w:val="es-ES_tradnl"/>
        </w:rPr>
        <w:t>;</w:t>
      </w:r>
    </w:p>
    <w:p w:rsidR="001F77B3" w:rsidRPr="007A6DF0" w:rsidRDefault="001F77B3" w:rsidP="001F77B3">
      <w:pPr>
        <w:rPr>
          <w:lang w:val="es-ES_tradnl"/>
        </w:rPr>
      </w:pPr>
      <w:r w:rsidRPr="00E777BE">
        <w:rPr>
          <w:i/>
          <w:iCs/>
          <w:lang w:val="es-ES_tradnl"/>
        </w:rPr>
        <w:t>e)</w:t>
      </w:r>
      <w:r w:rsidRPr="007A6DF0">
        <w:rPr>
          <w:lang w:val="es-ES_tradnl"/>
        </w:rPr>
        <w:tab/>
        <w:t>que el conocimiento de las características de propagación dentro de los edificios y la interferencia ocasionada por múltiples usuarios en la misma zona es crítico para el diseño eficaz de los sistemas;</w:t>
      </w:r>
    </w:p>
    <w:p w:rsidR="001F77B3" w:rsidRPr="007A6DF0" w:rsidRDefault="001F77B3" w:rsidP="001F77B3">
      <w:pPr>
        <w:rPr>
          <w:lang w:val="es-ES_tradnl"/>
        </w:rPr>
      </w:pPr>
      <w:r w:rsidRPr="00E777BE">
        <w:rPr>
          <w:i/>
          <w:iCs/>
          <w:lang w:val="es-ES_tradnl"/>
        </w:rPr>
        <w:t>f)</w:t>
      </w:r>
      <w:r w:rsidRPr="007A6DF0">
        <w:rPr>
          <w:lang w:val="es-ES_tradnl"/>
        </w:rPr>
        <w:tab/>
        <w:t>que se requieren modelos generales (esto es, independientes de la instalación) y asesoramiento para comenzar a planificar los sistemas y evaluar la interferencia, así como para elaborar modelos determinísticos (para una instalación determinada), con el fin de realizar evaluaciones detalladas,</w:t>
      </w:r>
    </w:p>
    <w:p w:rsidR="001F77B3" w:rsidRPr="007A6DF0" w:rsidRDefault="001F77B3" w:rsidP="001F77B3">
      <w:pPr>
        <w:pStyle w:val="Call"/>
        <w:rPr>
          <w:lang w:val="es-ES_tradnl"/>
        </w:rPr>
      </w:pPr>
      <w:r w:rsidRPr="007A6DF0">
        <w:rPr>
          <w:lang w:val="es-ES_tradnl"/>
        </w:rPr>
        <w:lastRenderedPageBreak/>
        <w:t>observando</w:t>
      </w:r>
    </w:p>
    <w:p w:rsidR="001F77B3" w:rsidRPr="007A6DF0" w:rsidRDefault="001F77B3" w:rsidP="001F77B3">
      <w:pPr>
        <w:keepNext/>
        <w:keepLines/>
        <w:rPr>
          <w:lang w:val="es-ES_tradnl"/>
        </w:rPr>
      </w:pPr>
      <w:r w:rsidRPr="00E777BE">
        <w:rPr>
          <w:i/>
          <w:iCs/>
          <w:lang w:val="es-ES_tradnl"/>
        </w:rPr>
        <w:t>a)</w:t>
      </w:r>
      <w:r w:rsidRPr="007A6DF0">
        <w:rPr>
          <w:lang w:val="es-ES_tradnl"/>
        </w:rPr>
        <w:tab/>
        <w:t>que la Recomendación UIT-R P.1411 ofrece directivas sobre la propagación en exteriores de corto alcance en la gama de frecuencias comprendida entre 300 MHz y 100 GHz y que dicha Recomendación debe consultarse en las situaciones en que se presentan condiciones de propagación en interiores y en exteriores,</w:t>
      </w:r>
    </w:p>
    <w:p w:rsidR="001F77B3" w:rsidRPr="007A6DF0" w:rsidRDefault="001F77B3" w:rsidP="001F77B3">
      <w:pPr>
        <w:keepNext/>
        <w:keepLines/>
        <w:rPr>
          <w:lang w:val="es-ES_tradnl"/>
        </w:rPr>
      </w:pPr>
      <w:r w:rsidRPr="00E777BE">
        <w:rPr>
          <w:i/>
          <w:iCs/>
          <w:lang w:val="es-ES_tradnl"/>
        </w:rPr>
        <w:t>b)</w:t>
      </w:r>
      <w:r w:rsidRPr="007A6DF0">
        <w:rPr>
          <w:lang w:val="es-ES_tradnl"/>
        </w:rPr>
        <w:tab/>
        <w:t>que la Recomendación UIT-R P.2040 contiene directrices sobre los efectos de las propiedades de los materiales y estructuras de construcción en la propagación de las ondas radioeléctricas,</w:t>
      </w:r>
    </w:p>
    <w:p w:rsidR="001F77B3" w:rsidRPr="007A6DF0" w:rsidRDefault="001F77B3" w:rsidP="001F77B3">
      <w:pPr>
        <w:pStyle w:val="Call"/>
        <w:rPr>
          <w:lang w:val="es-ES_tradnl"/>
        </w:rPr>
      </w:pPr>
      <w:r w:rsidRPr="007A6DF0">
        <w:rPr>
          <w:lang w:val="es-ES_tradnl"/>
        </w:rPr>
        <w:t>recomienda</w:t>
      </w:r>
    </w:p>
    <w:p w:rsidR="001F77B3" w:rsidRPr="007A6DF0" w:rsidRDefault="001F77B3" w:rsidP="001F77B3">
      <w:pPr>
        <w:rPr>
          <w:lang w:val="es-ES_tradnl"/>
        </w:rPr>
      </w:pPr>
      <w:r w:rsidRPr="007A6DF0">
        <w:rPr>
          <w:b/>
          <w:lang w:val="es-ES_tradnl"/>
        </w:rPr>
        <w:tab/>
      </w:r>
      <w:r w:rsidRPr="007A6DF0">
        <w:rPr>
          <w:lang w:val="es-ES_tradnl"/>
        </w:rPr>
        <w:t>que se adopte la información y los métodos consignados en el Anexo 1 para evaluar las características de propagación de los sistemas radioeléctricos de interiores entre 300 MHz y 100 GHz.</w:t>
      </w:r>
    </w:p>
    <w:p w:rsidR="001F77B3" w:rsidRPr="007A6DF0" w:rsidRDefault="001F77B3" w:rsidP="001F77B3">
      <w:pPr>
        <w:rPr>
          <w:lang w:val="es-ES_tradnl"/>
        </w:rPr>
      </w:pPr>
    </w:p>
    <w:p w:rsidR="001F77B3" w:rsidRPr="007A6DF0" w:rsidRDefault="001F77B3" w:rsidP="001F77B3">
      <w:pPr>
        <w:rPr>
          <w:lang w:val="es-ES_tradnl"/>
        </w:rPr>
      </w:pPr>
    </w:p>
    <w:p w:rsidR="001F77B3" w:rsidRPr="007A6DF0" w:rsidRDefault="001F77B3" w:rsidP="001F77B3">
      <w:pPr>
        <w:pStyle w:val="AnnexNoTitle"/>
        <w:rPr>
          <w:lang w:val="es-ES_tradnl"/>
        </w:rPr>
      </w:pPr>
      <w:bookmarkStart w:id="7" w:name="_Toc108941580"/>
      <w:r w:rsidRPr="007A6DF0">
        <w:rPr>
          <w:lang w:val="es-ES_tradnl"/>
        </w:rPr>
        <w:t>Anexo 1</w:t>
      </w:r>
      <w:bookmarkEnd w:id="7"/>
    </w:p>
    <w:p w:rsidR="001F77B3" w:rsidRPr="007A6DF0" w:rsidRDefault="001F77B3" w:rsidP="001F77B3">
      <w:pPr>
        <w:pStyle w:val="Heading1"/>
        <w:rPr>
          <w:lang w:val="es-ES_tradnl"/>
        </w:rPr>
      </w:pPr>
      <w:bookmarkStart w:id="8" w:name="_Toc392305217"/>
      <w:bookmarkStart w:id="9" w:name="_Toc108941581"/>
      <w:r w:rsidRPr="007A6DF0">
        <w:rPr>
          <w:lang w:val="es-ES_tradnl"/>
        </w:rPr>
        <w:t>1</w:t>
      </w:r>
      <w:r w:rsidRPr="007A6DF0">
        <w:rPr>
          <w:lang w:val="es-ES_tradnl"/>
        </w:rPr>
        <w:tab/>
        <w:t>Introducción</w:t>
      </w:r>
      <w:bookmarkEnd w:id="8"/>
      <w:bookmarkEnd w:id="9"/>
    </w:p>
    <w:p w:rsidR="001F77B3" w:rsidRPr="007A6DF0" w:rsidRDefault="001F77B3" w:rsidP="001F77B3">
      <w:pPr>
        <w:rPr>
          <w:lang w:val="es-ES_tradnl"/>
        </w:rPr>
      </w:pPr>
      <w:r w:rsidRPr="007A6DF0">
        <w:rPr>
          <w:lang w:val="es-ES_tradnl"/>
        </w:rPr>
        <w:t>En el caso de los sistemas radioeléctricos de interiores, la predicción de la propagación difiere en cierta medida de la que se efectúa en relación con los sistemas de exteriores. El objetivo, como sucede en el caso de los sistemas de exteriores, es garantizar una cobertura eficaz de la zona deseada (para garantizar un trayecto fiable, cuando se trata de sistemas punto a punto) y evitar la interferencia tanto dentro del sistema como con otros sistemas. No obstante, en interiores la cobertura depende notablemente de la geometría de los edificios, cuyos límites afectan además a la propagación. Aparte de la reutilización de frecuencias en el mismo piso de un edificio, suele ser necesario reutilizar una frecuencia entre diferentes pisos del mismo edificio, por lo cual hay que considerar una tercera dimensión en las cuestiones de interferencia. Por último, la gama de ondas muy cortas, especialmente cuando se utilizan frecuencias de ondas milimétricas, implica que los pequeños cambios en el entorno inmediato del trayecto radioeléctrico pueden afectar sustancialmente a las características de propagación.</w:t>
      </w:r>
    </w:p>
    <w:p w:rsidR="001F77B3" w:rsidRPr="007A6DF0" w:rsidRDefault="001F77B3" w:rsidP="001F77B3">
      <w:pPr>
        <w:rPr>
          <w:lang w:val="es-ES_tradnl"/>
        </w:rPr>
      </w:pPr>
      <w:r w:rsidRPr="007A6DF0">
        <w:rPr>
          <w:lang w:val="es-ES_tradnl"/>
        </w:rPr>
        <w:t>Debido a la complejidad de estos factores, sería necesario un conocimiento detallado del lugar de instalación como por ejemplo, geometría, materiales, mobiliario y normas de utilización previstas, para proyectar concretamente un sistema radioeléctrico en interiores. No obstante, durante la planificación inicial de un sistema hay que estimar el número de estaciones de base necesarias para proporcionar cobertura a estaciones móviles diseminadas dentro de la zona y estimar la interferencia que puede ocasionarse a otros servicios o producirse entre los sistemas. Para esa planificación de sistemas se necesitan modelos que representen en general las características de propagación en ese entorno. Ahora bien, el modelo no debe exigir la aportación de un gran volumen de información por parte del usuario para poder efectuar los cálculos necesarios.</w:t>
      </w:r>
    </w:p>
    <w:p w:rsidR="001F77B3" w:rsidRPr="007A6DF0" w:rsidRDefault="001F77B3" w:rsidP="001F77B3">
      <w:pPr>
        <w:rPr>
          <w:lang w:val="es-ES_tradnl"/>
        </w:rPr>
      </w:pPr>
      <w:r w:rsidRPr="007A6DF0">
        <w:rPr>
          <w:lang w:val="es-ES_tradnl"/>
        </w:rPr>
        <w:t>En este Anexo se describen principalmente modelos generales independientes del lugar de instalación y se ofrece información cualitativa sobre los factores que pueden afectar a la propagación en un entorno radioeléctrico en interiores. Siempre que ha sido posible, hemos presentado modelos aplicables a una instalación determinada. En muchos casos, los datos disponibles para elaborar modelos son limitados, tanto en lo que concierne a las frecuencias como a los entornos de prueba; es de esperar que se amplíe la información contenida en este Anexo cuando se disponga de más datos. Asimismo, aunque la precisión de los modelos mejorará con la experiencia que se adquiera de su aplicación, este Anexo contiene la mejor información disponible hasta el momento.</w:t>
      </w:r>
    </w:p>
    <w:p w:rsidR="001F77B3" w:rsidRPr="007A6DF0" w:rsidRDefault="001F77B3" w:rsidP="001F77B3">
      <w:pPr>
        <w:pStyle w:val="Heading1"/>
        <w:rPr>
          <w:lang w:val="es-ES_tradnl"/>
        </w:rPr>
      </w:pPr>
      <w:bookmarkStart w:id="10" w:name="_Toc392305218"/>
      <w:bookmarkStart w:id="11" w:name="_Toc108941582"/>
      <w:r w:rsidRPr="007A6DF0">
        <w:rPr>
          <w:lang w:val="es-ES_tradnl"/>
        </w:rPr>
        <w:lastRenderedPageBreak/>
        <w:t>2</w:t>
      </w:r>
      <w:r w:rsidRPr="007A6DF0">
        <w:rPr>
          <w:lang w:val="es-ES_tradnl"/>
        </w:rPr>
        <w:tab/>
        <w:t>Degradación de la propagación y mediciones de calidad de los sistemas radioeléctricos en interiores</w:t>
      </w:r>
      <w:bookmarkEnd w:id="10"/>
      <w:bookmarkEnd w:id="11"/>
    </w:p>
    <w:p w:rsidR="001F77B3" w:rsidRPr="007A6DF0" w:rsidRDefault="001F77B3" w:rsidP="001F77B3">
      <w:pPr>
        <w:rPr>
          <w:lang w:val="es-ES_tradnl"/>
        </w:rPr>
      </w:pPr>
      <w:r w:rsidRPr="007A6DF0">
        <w:rPr>
          <w:lang w:val="es-ES_tradnl"/>
        </w:rPr>
        <w:t>Las degradaciones de la propagación en un canal radioeléctrico en interiores se deben principalmente a:</w:t>
      </w:r>
    </w:p>
    <w:p w:rsidR="001F77B3" w:rsidRPr="007A6DF0" w:rsidRDefault="001F77B3" w:rsidP="001F77B3">
      <w:pPr>
        <w:pStyle w:val="enumlev1"/>
        <w:rPr>
          <w:lang w:val="es-ES_tradnl"/>
        </w:rPr>
      </w:pPr>
      <w:r w:rsidRPr="007A6DF0">
        <w:rPr>
          <w:lang w:val="es-ES_tradnl"/>
        </w:rPr>
        <w:t>–</w:t>
      </w:r>
      <w:r w:rsidRPr="007A6DF0">
        <w:rPr>
          <w:lang w:val="es-ES_tradnl"/>
        </w:rPr>
        <w:tab/>
        <w:t>la reflexión de los objetos (incluidas paredes y suelos) y la difracción en torno a éstos dentro de las salas;</w:t>
      </w:r>
    </w:p>
    <w:p w:rsidR="001F77B3" w:rsidRPr="007A6DF0" w:rsidRDefault="001F77B3" w:rsidP="001F77B3">
      <w:pPr>
        <w:pStyle w:val="enumlev1"/>
        <w:rPr>
          <w:lang w:val="es-ES_tradnl"/>
        </w:rPr>
      </w:pPr>
      <w:r w:rsidRPr="007A6DF0">
        <w:rPr>
          <w:lang w:val="es-ES_tradnl"/>
        </w:rPr>
        <w:t>–</w:t>
      </w:r>
      <w:r w:rsidRPr="007A6DF0">
        <w:rPr>
          <w:lang w:val="es-ES_tradnl"/>
        </w:rPr>
        <w:tab/>
        <w:t>la pérdida de transmisión a través de paredes, suelos y otros obstáculos;</w:t>
      </w:r>
    </w:p>
    <w:p w:rsidR="001F77B3" w:rsidRPr="007A6DF0" w:rsidRDefault="001F77B3" w:rsidP="001F77B3">
      <w:pPr>
        <w:pStyle w:val="enumlev1"/>
        <w:rPr>
          <w:lang w:val="es-ES_tradnl"/>
        </w:rPr>
      </w:pPr>
      <w:r w:rsidRPr="007A6DF0">
        <w:rPr>
          <w:lang w:val="es-ES_tradnl"/>
        </w:rPr>
        <w:t>–</w:t>
      </w:r>
      <w:r w:rsidRPr="007A6DF0">
        <w:rPr>
          <w:lang w:val="es-ES_tradnl"/>
        </w:rPr>
        <w:tab/>
        <w:t>la canalización de la energía, especialmente en pasillos a frecuencias elevadas;</w:t>
      </w:r>
    </w:p>
    <w:p w:rsidR="001F77B3" w:rsidRPr="007A6DF0" w:rsidRDefault="001F77B3" w:rsidP="001F77B3">
      <w:pPr>
        <w:pStyle w:val="enumlev1"/>
        <w:rPr>
          <w:lang w:val="es-ES_tradnl"/>
        </w:rPr>
      </w:pPr>
      <w:r w:rsidRPr="007A6DF0">
        <w:rPr>
          <w:lang w:val="es-ES_tradnl"/>
        </w:rPr>
        <w:t>–</w:t>
      </w:r>
      <w:r w:rsidRPr="007A6DF0">
        <w:rPr>
          <w:lang w:val="es-ES_tradnl"/>
        </w:rPr>
        <w:tab/>
        <w:t>el movimiento de personas y objetos en la sala, lo que puede incluir uno o ambos extremos del enlace radioeléctrico;</w:t>
      </w:r>
    </w:p>
    <w:p w:rsidR="001F77B3" w:rsidRPr="007A6DF0" w:rsidRDefault="001F77B3" w:rsidP="001F77B3">
      <w:pPr>
        <w:rPr>
          <w:lang w:val="es-ES_tradnl"/>
        </w:rPr>
      </w:pPr>
      <w:r w:rsidRPr="007A6DF0">
        <w:rPr>
          <w:lang w:val="es-ES_tradnl"/>
        </w:rPr>
        <w:t>y producir degradaciones tales como:</w:t>
      </w:r>
    </w:p>
    <w:p w:rsidR="001F77B3" w:rsidRPr="007A6DF0" w:rsidRDefault="001F77B3" w:rsidP="001F77B3">
      <w:pPr>
        <w:pStyle w:val="enumlev1"/>
        <w:rPr>
          <w:lang w:val="es-ES_tradnl"/>
        </w:rPr>
      </w:pPr>
      <w:r w:rsidRPr="007A6DF0">
        <w:rPr>
          <w:lang w:val="es-ES_tradnl"/>
        </w:rPr>
        <w:t>–</w:t>
      </w:r>
      <w:r w:rsidRPr="007A6DF0">
        <w:rPr>
          <w:lang w:val="es-ES_tradnl"/>
        </w:rPr>
        <w:tab/>
        <w:t>la pérdida del trayecto – no sólo la pérdida en el espacio libre sino también la pérdida adicional debida a los obstáculos y la transmisión a través de materiales de construcción. La pérdida en el espacio libre se puede reducir mediante la distribución de canales;</w:t>
      </w:r>
    </w:p>
    <w:p w:rsidR="001F77B3" w:rsidRPr="007A6DF0" w:rsidRDefault="001F77B3" w:rsidP="001F77B3">
      <w:pPr>
        <w:pStyle w:val="enumlev1"/>
        <w:rPr>
          <w:lang w:val="es-ES_tradnl"/>
        </w:rPr>
      </w:pPr>
      <w:r w:rsidRPr="007A6DF0">
        <w:rPr>
          <w:lang w:val="es-ES_tradnl"/>
        </w:rPr>
        <w:t>–</w:t>
      </w:r>
      <w:r w:rsidRPr="007A6DF0">
        <w:rPr>
          <w:lang w:val="es-ES_tradnl"/>
        </w:rPr>
        <w:tab/>
        <w:t>la variación temporal y espacial de la pérdida del trayecto;</w:t>
      </w:r>
    </w:p>
    <w:p w:rsidR="001F77B3" w:rsidRPr="007A6DF0" w:rsidRDefault="001F77B3" w:rsidP="001F77B3">
      <w:pPr>
        <w:pStyle w:val="enumlev1"/>
        <w:rPr>
          <w:lang w:val="es-ES_tradnl"/>
        </w:rPr>
      </w:pPr>
      <w:r w:rsidRPr="007A6DF0">
        <w:rPr>
          <w:lang w:val="es-ES_tradnl"/>
        </w:rPr>
        <w:t>–</w:t>
      </w:r>
      <w:r w:rsidRPr="007A6DF0">
        <w:rPr>
          <w:lang w:val="es-ES_tradnl"/>
        </w:rPr>
        <w:tab/>
        <w:t>los efectos de los trayectos múltiples de los componentes reflejados y difractados de la onda;</w:t>
      </w:r>
    </w:p>
    <w:p w:rsidR="001F77B3" w:rsidRPr="007A6DF0" w:rsidRDefault="001F77B3" w:rsidP="001F77B3">
      <w:pPr>
        <w:pStyle w:val="enumlev1"/>
        <w:rPr>
          <w:lang w:val="es-ES_tradnl"/>
        </w:rPr>
      </w:pPr>
      <w:r w:rsidRPr="007A6DF0">
        <w:rPr>
          <w:lang w:val="es-ES_tradnl"/>
        </w:rPr>
        <w:t>–</w:t>
      </w:r>
      <w:r w:rsidRPr="007A6DF0">
        <w:rPr>
          <w:lang w:val="es-ES_tradnl"/>
        </w:rPr>
        <w:tab/>
        <w:t>el desajuste de la polarización ocasionado por la alineación aleatoria del terminal móvil.</w:t>
      </w:r>
    </w:p>
    <w:p w:rsidR="001F77B3" w:rsidRPr="007A6DF0" w:rsidRDefault="001F77B3" w:rsidP="001F77B3">
      <w:pPr>
        <w:rPr>
          <w:lang w:val="es-ES_tradnl"/>
        </w:rPr>
      </w:pPr>
      <w:r w:rsidRPr="007A6DF0">
        <w:rPr>
          <w:lang w:val="es-ES_tradnl"/>
        </w:rPr>
        <w:t>Los servicios de comunicaciones inalámbricas de interiores pueden caracterizarse por los siguientes aspectos:</w:t>
      </w:r>
    </w:p>
    <w:p w:rsidR="001F77B3" w:rsidRPr="007A6DF0" w:rsidRDefault="001F77B3" w:rsidP="001F77B3">
      <w:pPr>
        <w:pStyle w:val="enumlev1"/>
        <w:rPr>
          <w:lang w:val="es-ES_tradnl"/>
        </w:rPr>
      </w:pPr>
      <w:r w:rsidRPr="007A6DF0">
        <w:rPr>
          <w:lang w:val="es-ES_tradnl"/>
        </w:rPr>
        <w:t>–</w:t>
      </w:r>
      <w:r w:rsidRPr="007A6DF0">
        <w:rPr>
          <w:lang w:val="es-ES_tradnl"/>
        </w:rPr>
        <w:tab/>
        <w:t>velocidad de datos alta/media/baja;</w:t>
      </w:r>
    </w:p>
    <w:p w:rsidR="001F77B3" w:rsidRPr="007A6DF0" w:rsidRDefault="001F77B3" w:rsidP="001F77B3">
      <w:pPr>
        <w:pStyle w:val="enumlev1"/>
        <w:rPr>
          <w:lang w:val="es-ES_tradnl"/>
        </w:rPr>
      </w:pPr>
      <w:r w:rsidRPr="007A6DF0">
        <w:rPr>
          <w:lang w:val="es-ES_tradnl"/>
        </w:rPr>
        <w:t>–</w:t>
      </w:r>
      <w:r w:rsidRPr="007A6DF0">
        <w:rPr>
          <w:lang w:val="es-ES_tradnl"/>
        </w:rPr>
        <w:tab/>
        <w:t>zona de cobertura de cada estación de base (por ejemplo, habitación, piso, edificio);</w:t>
      </w:r>
    </w:p>
    <w:p w:rsidR="001F77B3" w:rsidRPr="007A6DF0" w:rsidRDefault="001F77B3" w:rsidP="001F77B3">
      <w:pPr>
        <w:pStyle w:val="enumlev1"/>
        <w:rPr>
          <w:lang w:val="es-ES_tradnl"/>
        </w:rPr>
      </w:pPr>
      <w:r w:rsidRPr="007A6DF0">
        <w:rPr>
          <w:lang w:val="es-ES_tradnl"/>
        </w:rPr>
        <w:t>–</w:t>
      </w:r>
      <w:r w:rsidRPr="007A6DF0">
        <w:rPr>
          <w:lang w:val="es-ES_tradnl"/>
        </w:rPr>
        <w:tab/>
        <w:t>móvil/portátil/fijo;</w:t>
      </w:r>
    </w:p>
    <w:p w:rsidR="001F77B3" w:rsidRPr="007A6DF0" w:rsidRDefault="001F77B3" w:rsidP="001F77B3">
      <w:pPr>
        <w:pStyle w:val="enumlev1"/>
        <w:rPr>
          <w:lang w:val="es-ES_tradnl"/>
        </w:rPr>
      </w:pPr>
      <w:r w:rsidRPr="007A6DF0">
        <w:rPr>
          <w:lang w:val="es-ES_tradnl"/>
        </w:rPr>
        <w:t>–</w:t>
      </w:r>
      <w:r w:rsidRPr="007A6DF0">
        <w:rPr>
          <w:lang w:val="es-ES_tradnl"/>
        </w:rPr>
        <w:tab/>
        <w:t>en tiempo real/casi real/no en tiempo real;</w:t>
      </w:r>
    </w:p>
    <w:p w:rsidR="001F77B3" w:rsidRPr="007A6DF0" w:rsidRDefault="001F77B3" w:rsidP="001F77B3">
      <w:pPr>
        <w:pStyle w:val="enumlev1"/>
        <w:rPr>
          <w:lang w:val="es-ES_tradnl"/>
        </w:rPr>
      </w:pPr>
      <w:r w:rsidRPr="007A6DF0">
        <w:rPr>
          <w:lang w:val="es-ES_tradnl"/>
        </w:rPr>
        <w:t>–</w:t>
      </w:r>
      <w:r w:rsidRPr="007A6DF0">
        <w:rPr>
          <w:lang w:val="es-ES_tradnl"/>
        </w:rPr>
        <w:tab/>
        <w:t>topología de la red (por ejemplo, punto a punto, punto a multipunto, de cada punto a cada punto).</w:t>
      </w:r>
    </w:p>
    <w:p w:rsidR="001F77B3" w:rsidRPr="007A6DF0" w:rsidRDefault="001F77B3" w:rsidP="001F77B3">
      <w:pPr>
        <w:rPr>
          <w:lang w:val="es-ES_tradnl"/>
        </w:rPr>
      </w:pPr>
      <w:r w:rsidRPr="007A6DF0">
        <w:rPr>
          <w:lang w:val="es-ES_tradnl"/>
        </w:rPr>
        <w:t>Conviene determinar las características de propagación de canal más adecuadas para describir su calidad con respecto a diferentes aplicaciones como, por ejemplo, los servicios de comunicación vocal, transferencia de datos a diferentes velocidades y vídeo. En el Cuadro 1 se indican las características más significativas de servicios típicos.</w:t>
      </w:r>
    </w:p>
    <w:p w:rsidR="001F77B3" w:rsidRPr="007A6DF0" w:rsidRDefault="001F77B3" w:rsidP="004C63FE">
      <w:pPr>
        <w:pStyle w:val="TableNo"/>
        <w:keepLines/>
        <w:rPr>
          <w:lang w:val="es-ES_tradnl"/>
        </w:rPr>
      </w:pPr>
      <w:bookmarkStart w:id="12" w:name="_Toc392305219"/>
      <w:r w:rsidRPr="007A6DF0">
        <w:rPr>
          <w:lang w:val="es-ES_tradnl"/>
        </w:rPr>
        <w:lastRenderedPageBreak/>
        <w:t>CUADRO  1</w:t>
      </w:r>
    </w:p>
    <w:p w:rsidR="001F77B3" w:rsidRPr="007A6DF0" w:rsidRDefault="001F77B3" w:rsidP="004C63FE">
      <w:pPr>
        <w:pStyle w:val="Tabletitle"/>
        <w:keepLines/>
        <w:rPr>
          <w:lang w:val="es-ES_tradnl"/>
        </w:rPr>
      </w:pPr>
      <w:r w:rsidRPr="007A6DF0">
        <w:rPr>
          <w:lang w:val="es-ES_tradnl"/>
        </w:rPr>
        <w:t>Servicios típicos y degradaciones de la propagación</w:t>
      </w:r>
    </w:p>
    <w:tbl>
      <w:tblPr>
        <w:tblW w:w="9639" w:type="dxa"/>
        <w:jc w:val="center"/>
        <w:tblLayout w:type="fixed"/>
        <w:tblCellMar>
          <w:left w:w="107" w:type="dxa"/>
          <w:right w:w="107" w:type="dxa"/>
        </w:tblCellMar>
        <w:tblLook w:val="0000" w:firstRow="0" w:lastRow="0" w:firstColumn="0" w:lastColumn="0" w:noHBand="0" w:noVBand="0"/>
      </w:tblPr>
      <w:tblGrid>
        <w:gridCol w:w="2045"/>
        <w:gridCol w:w="3797"/>
        <w:gridCol w:w="3797"/>
      </w:tblGrid>
      <w:tr w:rsidR="001F77B3" w:rsidRPr="00297D25" w:rsidTr="008E512C">
        <w:trPr>
          <w:cantSplit/>
          <w:jc w:val="center"/>
        </w:trPr>
        <w:tc>
          <w:tcPr>
            <w:tcW w:w="204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4C63FE">
            <w:pPr>
              <w:pStyle w:val="Tablehead"/>
              <w:keepLines/>
              <w:rPr>
                <w:lang w:val="es-ES_tradnl"/>
              </w:rPr>
            </w:pPr>
            <w:r w:rsidRPr="007A6DF0">
              <w:rPr>
                <w:lang w:val="es-ES_tradnl"/>
              </w:rPr>
              <w:t>Servicio</w:t>
            </w:r>
          </w:p>
        </w:tc>
        <w:tc>
          <w:tcPr>
            <w:tcW w:w="379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4C63FE">
            <w:pPr>
              <w:pStyle w:val="Tablehead"/>
              <w:keepLines/>
              <w:rPr>
                <w:lang w:val="es-ES_tradnl"/>
              </w:rPr>
            </w:pPr>
            <w:r w:rsidRPr="007A6DF0">
              <w:rPr>
                <w:lang w:val="es-ES_tradnl"/>
              </w:rPr>
              <w:t>Características</w:t>
            </w:r>
          </w:p>
        </w:tc>
        <w:tc>
          <w:tcPr>
            <w:tcW w:w="379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4C63FE">
            <w:pPr>
              <w:pStyle w:val="Tablehead"/>
              <w:keepLines/>
              <w:rPr>
                <w:lang w:val="es-ES_tradnl"/>
              </w:rPr>
            </w:pPr>
            <w:r w:rsidRPr="007A6DF0">
              <w:rPr>
                <w:lang w:val="es-ES_tradnl"/>
              </w:rPr>
              <w:t>Degradaciones perjudiciales</w:t>
            </w:r>
            <w:r w:rsidRPr="007A6DF0">
              <w:rPr>
                <w:lang w:val="es-ES_tradnl"/>
              </w:rPr>
              <w:br/>
              <w:t>de la propagación</w:t>
            </w:r>
          </w:p>
        </w:tc>
      </w:tr>
      <w:tr w:rsidR="001F77B3" w:rsidRPr="00297D25" w:rsidTr="008E512C">
        <w:trPr>
          <w:cantSplit/>
          <w:jc w:val="center"/>
        </w:trPr>
        <w:tc>
          <w:tcPr>
            <w:tcW w:w="2045"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Red de área local inalámbrica</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Alta velocidad de datos, una o varias habitaciones, portátil, no en tiempo real, punto a multipunto o de cada punto a cada punto</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Pérdida de trayecto – Distribución temporal y espacial</w:t>
            </w:r>
          </w:p>
          <w:p w:rsidR="001F77B3" w:rsidRPr="007A6DF0" w:rsidRDefault="001F77B3" w:rsidP="004C63FE">
            <w:pPr>
              <w:pStyle w:val="Tabletext"/>
              <w:keepNext/>
              <w:keepLines/>
              <w:jc w:val="left"/>
              <w:rPr>
                <w:lang w:val="es-ES_tradnl"/>
              </w:rPr>
            </w:pPr>
            <w:r w:rsidRPr="007A6DF0">
              <w:rPr>
                <w:lang w:val="es-ES_tradnl"/>
              </w:rPr>
              <w:t>Retardo de propagación por trayectos múltiples</w:t>
            </w:r>
          </w:p>
          <w:p w:rsidR="001F77B3" w:rsidRPr="007A6DF0" w:rsidRDefault="001F77B3" w:rsidP="004C63FE">
            <w:pPr>
              <w:pStyle w:val="Tabletext"/>
              <w:keepNext/>
              <w:keepLines/>
              <w:jc w:val="left"/>
              <w:rPr>
                <w:lang w:val="es-ES_tradnl"/>
              </w:rPr>
            </w:pPr>
            <w:r w:rsidRPr="007A6DF0">
              <w:rPr>
                <w:lang w:val="es-ES_tradnl"/>
              </w:rPr>
              <w:t>Relación de intensidades en el modo deseado y en el no deseado</w:t>
            </w:r>
          </w:p>
        </w:tc>
      </w:tr>
      <w:tr w:rsidR="001F77B3" w:rsidRPr="00297D25" w:rsidTr="008E512C">
        <w:trPr>
          <w:cantSplit/>
          <w:jc w:val="center"/>
        </w:trPr>
        <w:tc>
          <w:tcPr>
            <w:tcW w:w="2045"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WPBX</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Velocidad de datos media, múltiples habitaciones, uno o múltiples pisos, en tiempo real, móvil, punto a multipunto</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4C63FE">
            <w:pPr>
              <w:pStyle w:val="Tabletext"/>
              <w:keepNext/>
              <w:keepLines/>
              <w:jc w:val="left"/>
              <w:rPr>
                <w:lang w:val="es-ES_tradnl"/>
              </w:rPr>
            </w:pPr>
            <w:r w:rsidRPr="007A6DF0">
              <w:rPr>
                <w:lang w:val="es-ES_tradnl"/>
              </w:rPr>
              <w:t>Pérdida de trayecto – Distribución temporal y espacial</w:t>
            </w:r>
          </w:p>
        </w:tc>
      </w:tr>
      <w:tr w:rsidR="001F77B3" w:rsidRPr="00297D25" w:rsidTr="008E512C">
        <w:trPr>
          <w:cantSplit/>
          <w:jc w:val="center"/>
        </w:trPr>
        <w:tc>
          <w:tcPr>
            <w:tcW w:w="2045"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Radiobúsqueda en interiores</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Baja velocidad de datos, múltiples pisos, no en tiempo real, móvil, punto a multipunto</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Pérdida de trayecto – Distribución temporal y espacial</w:t>
            </w:r>
          </w:p>
        </w:tc>
      </w:tr>
      <w:tr w:rsidR="001F77B3" w:rsidRPr="00297D25" w:rsidTr="008E512C">
        <w:trPr>
          <w:cantSplit/>
          <w:jc w:val="center"/>
        </w:trPr>
        <w:tc>
          <w:tcPr>
            <w:tcW w:w="2045"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Vídeo inalámbrico en interiores</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Alta velocidad de datos, múltiples habitaciones, en tiempo real, móvil o portátil, punto a punto</w:t>
            </w:r>
          </w:p>
        </w:tc>
        <w:tc>
          <w:tcPr>
            <w:tcW w:w="379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left"/>
              <w:rPr>
                <w:lang w:val="es-ES_tradnl"/>
              </w:rPr>
            </w:pPr>
            <w:r w:rsidRPr="007A6DF0">
              <w:rPr>
                <w:lang w:val="es-ES_tradnl"/>
              </w:rPr>
              <w:t>Pérdida de trayecto – Distribución temporal y espacial</w:t>
            </w:r>
          </w:p>
          <w:p w:rsidR="001F77B3" w:rsidRPr="007A6DF0" w:rsidRDefault="001F77B3" w:rsidP="008E512C">
            <w:pPr>
              <w:pStyle w:val="Tabletext"/>
              <w:jc w:val="left"/>
              <w:rPr>
                <w:lang w:val="es-ES_tradnl"/>
              </w:rPr>
            </w:pPr>
            <w:r w:rsidRPr="007A6DF0">
              <w:rPr>
                <w:lang w:val="es-ES_tradnl"/>
              </w:rPr>
              <w:t>Retardo de propagación por trayectos múltiples</w:t>
            </w:r>
          </w:p>
        </w:tc>
      </w:tr>
    </w:tbl>
    <w:p w:rsidR="001F77B3" w:rsidRPr="007A6DF0" w:rsidRDefault="001F77B3" w:rsidP="001F77B3">
      <w:pPr>
        <w:pStyle w:val="Tablefin"/>
        <w:rPr>
          <w:lang w:val="es-ES_tradnl"/>
        </w:rPr>
      </w:pPr>
      <w:bookmarkStart w:id="13" w:name="_Toc108941583"/>
      <w:bookmarkStart w:id="14" w:name="_Toc108941584"/>
      <w:bookmarkEnd w:id="12"/>
    </w:p>
    <w:p w:rsidR="001F77B3" w:rsidRPr="007A6DF0" w:rsidRDefault="001F77B3" w:rsidP="001F77B3">
      <w:pPr>
        <w:pStyle w:val="Heading1"/>
        <w:rPr>
          <w:lang w:val="es-ES_tradnl"/>
        </w:rPr>
      </w:pPr>
      <w:r w:rsidRPr="007A6DF0">
        <w:rPr>
          <w:lang w:val="es-ES_tradnl"/>
        </w:rPr>
        <w:t>3</w:t>
      </w:r>
      <w:r w:rsidRPr="007A6DF0">
        <w:rPr>
          <w:lang w:val="es-ES_tradnl"/>
        </w:rPr>
        <w:tab/>
        <w:t>Modelos de pérdida de trayecto</w:t>
      </w:r>
      <w:bookmarkEnd w:id="13"/>
    </w:p>
    <w:p w:rsidR="001F77B3" w:rsidRPr="007A6DF0" w:rsidRDefault="001F77B3" w:rsidP="001F77B3">
      <w:pPr>
        <w:rPr>
          <w:lang w:val="es-ES_tradnl"/>
        </w:rPr>
      </w:pPr>
      <w:r w:rsidRPr="007A6DF0">
        <w:rPr>
          <w:lang w:val="es-ES_tradnl"/>
        </w:rPr>
        <w:t>La utilización del presente modelo de pérdida de transmisión en interiores supone que la estación de base y el terminal portátil están situados en el mismo edificio. La pérdida de trayecto radioeléctrico entre la estación básica y la móvil/portátil en interiores puede estimarse aplicando modelos generales o específicos para cada instalación.</w:t>
      </w:r>
    </w:p>
    <w:p w:rsidR="001F77B3" w:rsidRPr="007A6DF0" w:rsidRDefault="001F77B3" w:rsidP="001F77B3">
      <w:pPr>
        <w:pStyle w:val="Heading2"/>
        <w:rPr>
          <w:lang w:val="es-ES_tradnl"/>
        </w:rPr>
      </w:pPr>
      <w:r w:rsidRPr="007A6DF0">
        <w:rPr>
          <w:lang w:val="es-ES_tradnl"/>
        </w:rPr>
        <w:t>3.1</w:t>
      </w:r>
      <w:r w:rsidRPr="007A6DF0">
        <w:rPr>
          <w:lang w:val="es-ES_tradnl"/>
        </w:rPr>
        <w:tab/>
        <w:t>Modelos generales en cuanto al lugar de instalación</w:t>
      </w:r>
      <w:bookmarkEnd w:id="14"/>
    </w:p>
    <w:p w:rsidR="001F77B3" w:rsidRPr="007A6DF0" w:rsidRDefault="001F77B3" w:rsidP="001F77B3">
      <w:pPr>
        <w:rPr>
          <w:lang w:val="es-ES_tradnl"/>
        </w:rPr>
      </w:pPr>
      <w:r w:rsidRPr="007A6DF0">
        <w:rPr>
          <w:lang w:val="es-ES_tradnl"/>
        </w:rPr>
        <w:t>Los modelos que se describen en este punto se consideran generales en cuanto al lugar de instalación, ya que requieren poca información sobre el trayecto o el lugar de instalación. La pérdida de trayecto radioeléctrico en interiores se caracteriza por una pérdida de trayecto media y las estadísticas asociadas de desvanecimiento debido a sombras. Existen varios modelos de pérdida de trayecto en interiores que tienen en cuenta la atenuación de la señal a través de múltiples paredes y/o pisos. En el modelo descrito en este punto se considera la pérdida a través de varios pisos, a fin de tener presentes características tales como la reutilización de frecuencias entre distintos pisos. Los coeficientes de pérdida de potencia debida a la distancia que se indican a continuación tienen en cuenta implícitamente la transmisión a través de paredes así como a través de obstáculos y por encima de éstos, así como otros factores de pérdidas que pueden manifestarse en un solo piso de un edificio. Los modelos para instalaciones específicas podrían ofrecer la posibilidad de incorporar explícitamente la pérdida debida a cada pared, en lugar de incluirla en el modelo basado en la distancia.</w:t>
      </w:r>
    </w:p>
    <w:p w:rsidR="001F77B3" w:rsidRPr="007A6DF0" w:rsidRDefault="001F77B3" w:rsidP="001F77B3">
      <w:pPr>
        <w:rPr>
          <w:lang w:val="es-ES_tradnl"/>
        </w:rPr>
      </w:pPr>
      <w:r w:rsidRPr="007A6DF0">
        <w:rPr>
          <w:lang w:val="es-ES_tradnl"/>
        </w:rPr>
        <w:t>El modelo básico se presenta como sigue:</w:t>
      </w:r>
    </w:p>
    <w:p w:rsidR="001F77B3" w:rsidRPr="007A6DF0" w:rsidRDefault="001F77B3" w:rsidP="001F77B3">
      <w:pPr>
        <w:pStyle w:val="Blanc"/>
        <w:rPr>
          <w:lang w:val="es-ES_tradnl"/>
        </w:rPr>
      </w:pPr>
    </w:p>
    <w:p w:rsidR="001F77B3" w:rsidRPr="001F77B3" w:rsidRDefault="001F77B3" w:rsidP="008E512C">
      <w:pPr>
        <w:pStyle w:val="Equation"/>
        <w:rPr>
          <w:lang w:val="en-GB"/>
        </w:rPr>
      </w:pPr>
      <w:r w:rsidRPr="007A6DF0">
        <w:rPr>
          <w:lang w:val="es-ES_tradnl"/>
        </w:rPr>
        <w:tab/>
      </w:r>
      <w:r w:rsidRPr="007A6DF0">
        <w:rPr>
          <w:lang w:val="es-ES_tradnl"/>
        </w:rPr>
        <w:tab/>
      </w:r>
      <w:r w:rsidRPr="001F77B3">
        <w:rPr>
          <w:i/>
          <w:lang w:val="en-GB"/>
        </w:rPr>
        <w:t>L</w:t>
      </w:r>
      <w:r w:rsidRPr="001F77B3">
        <w:rPr>
          <w:i/>
          <w:position w:val="-4"/>
          <w:sz w:val="20"/>
          <w:lang w:val="en-GB"/>
        </w:rPr>
        <w:t>total</w:t>
      </w:r>
      <w:r w:rsidRPr="001F77B3">
        <w:rPr>
          <w:lang w:val="en-GB"/>
        </w:rPr>
        <w:t xml:space="preserve">  </w:t>
      </w:r>
      <w:r w:rsidRPr="007A6DF0">
        <w:rPr>
          <w:rFonts w:ascii="Symbol" w:hAnsi="Symbol"/>
          <w:lang w:val="es-ES_tradnl"/>
        </w:rPr>
        <w:t></w:t>
      </w:r>
      <w:r w:rsidRPr="001F77B3">
        <w:rPr>
          <w:lang w:val="en-GB"/>
        </w:rPr>
        <w:t xml:space="preserve">  </w:t>
      </w:r>
      <w:r w:rsidRPr="001F77B3">
        <w:rPr>
          <w:i/>
          <w:lang w:val="en-GB"/>
        </w:rPr>
        <w:t>L</w:t>
      </w:r>
      <w:r w:rsidRPr="001F77B3">
        <w:rPr>
          <w:iCs/>
          <w:lang w:val="en-GB"/>
        </w:rPr>
        <w:t>(</w:t>
      </w:r>
      <w:r w:rsidRPr="001F77B3">
        <w:rPr>
          <w:i/>
          <w:lang w:val="en-GB"/>
        </w:rPr>
        <w:t>d</w:t>
      </w:r>
      <w:r w:rsidRPr="001F77B3">
        <w:rPr>
          <w:i/>
          <w:vertAlign w:val="subscript"/>
          <w:lang w:val="en-GB"/>
        </w:rPr>
        <w:t>o</w:t>
      </w:r>
      <w:r w:rsidRPr="001F77B3">
        <w:rPr>
          <w:iCs/>
          <w:lang w:val="en-GB"/>
        </w:rPr>
        <w:t>)</w:t>
      </w:r>
      <w:r w:rsidRPr="001F77B3">
        <w:rPr>
          <w:lang w:val="en-GB"/>
        </w:rPr>
        <w:t xml:space="preserve">  </w:t>
      </w:r>
      <w:r w:rsidRPr="007A6DF0">
        <w:rPr>
          <w:rFonts w:ascii="Symbol" w:hAnsi="Symbol"/>
          <w:lang w:val="es-ES_tradnl"/>
        </w:rPr>
        <w:t></w:t>
      </w:r>
      <w:r w:rsidRPr="001F77B3">
        <w:rPr>
          <w:lang w:val="en-GB"/>
        </w:rPr>
        <w:t xml:space="preserve">  </w:t>
      </w:r>
      <w:r w:rsidRPr="001F77B3">
        <w:rPr>
          <w:i/>
          <w:lang w:val="en-GB"/>
        </w:rPr>
        <w:t>N</w:t>
      </w:r>
      <w:r w:rsidRPr="001F77B3">
        <w:rPr>
          <w:lang w:val="en-GB"/>
        </w:rPr>
        <w:t xml:space="preserve"> log</w:t>
      </w:r>
      <w:r w:rsidRPr="001F77B3">
        <w:rPr>
          <w:position w:val="-4"/>
          <w:sz w:val="20"/>
          <w:lang w:val="en-GB"/>
        </w:rPr>
        <w:t>10</w:t>
      </w:r>
      <w:r w:rsidRPr="001F77B3">
        <w:rPr>
          <w:lang w:val="en-GB"/>
        </w:rPr>
        <w:t xml:space="preserve"> </w:t>
      </w:r>
      <m:oMath>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o</m:t>
                </m:r>
              </m:sub>
            </m:sSub>
          </m:den>
        </m:f>
      </m:oMath>
      <w:r w:rsidRPr="001F77B3">
        <w:rPr>
          <w:lang w:val="en-GB"/>
        </w:rPr>
        <w:t xml:space="preserve">  </w:t>
      </w:r>
      <w:r w:rsidRPr="007A6DF0">
        <w:rPr>
          <w:rFonts w:ascii="Symbol" w:hAnsi="Symbol"/>
          <w:lang w:val="es-ES_tradnl"/>
        </w:rPr>
        <w:t></w:t>
      </w:r>
      <w:r w:rsidRPr="001F77B3">
        <w:rPr>
          <w:lang w:val="en-GB"/>
        </w:rPr>
        <w:t xml:space="preserve">  </w:t>
      </w:r>
      <w:r w:rsidRPr="001F77B3">
        <w:rPr>
          <w:i/>
          <w:lang w:val="en-GB"/>
        </w:rPr>
        <w:t>L</w:t>
      </w:r>
      <w:r w:rsidRPr="001F77B3">
        <w:rPr>
          <w:i/>
          <w:position w:val="-4"/>
          <w:sz w:val="20"/>
          <w:lang w:val="en-GB"/>
        </w:rPr>
        <w:t>f</w:t>
      </w:r>
      <w:r w:rsidRPr="001F77B3">
        <w:rPr>
          <w:sz w:val="8"/>
          <w:lang w:val="en-GB"/>
        </w:rPr>
        <w:t xml:space="preserve">  </w:t>
      </w:r>
      <w:r w:rsidRPr="001F77B3">
        <w:rPr>
          <w:lang w:val="en-GB"/>
        </w:rPr>
        <w:t>(</w:t>
      </w:r>
      <w:r w:rsidRPr="001F77B3">
        <w:rPr>
          <w:i/>
          <w:lang w:val="en-GB"/>
        </w:rPr>
        <w:t>n</w:t>
      </w:r>
      <w:r w:rsidRPr="001F77B3">
        <w:rPr>
          <w:lang w:val="en-GB"/>
        </w:rPr>
        <w:t>)                    dB</w:t>
      </w:r>
      <w:r w:rsidRPr="001F77B3">
        <w:rPr>
          <w:lang w:val="en-GB"/>
        </w:rPr>
        <w:tab/>
        <w:t>(1)</w:t>
      </w:r>
    </w:p>
    <w:p w:rsidR="001F77B3" w:rsidRPr="007A6DF0" w:rsidRDefault="001F77B3" w:rsidP="006230B0">
      <w:pPr>
        <w:keepNext/>
        <w:keepLines/>
        <w:rPr>
          <w:lang w:val="es-ES_tradnl"/>
        </w:rPr>
      </w:pPr>
      <w:r w:rsidRPr="007A6DF0">
        <w:rPr>
          <w:lang w:val="es-ES_tradnl"/>
        </w:rPr>
        <w:lastRenderedPageBreak/>
        <w:t>donde:</w:t>
      </w:r>
    </w:p>
    <w:p w:rsidR="001F77B3" w:rsidRPr="007A6DF0" w:rsidRDefault="001F77B3" w:rsidP="006230B0">
      <w:pPr>
        <w:pStyle w:val="Equationlegend"/>
        <w:keepNext/>
        <w:keepLines/>
        <w:rPr>
          <w:lang w:val="es-ES_tradnl"/>
        </w:rPr>
      </w:pPr>
      <w:r w:rsidRPr="007A6DF0">
        <w:rPr>
          <w:lang w:val="es-ES_tradnl"/>
        </w:rPr>
        <w:tab/>
      </w:r>
      <w:r w:rsidRPr="007A6DF0">
        <w:rPr>
          <w:i/>
          <w:lang w:val="es-ES_tradnl"/>
        </w:rPr>
        <w:t>N</w:t>
      </w:r>
      <w:r w:rsidRPr="007A6DF0">
        <w:rPr>
          <w:sz w:val="12"/>
          <w:lang w:val="es-ES_tradnl"/>
        </w:rPr>
        <w:t> </w:t>
      </w:r>
      <w:r w:rsidRPr="007A6DF0">
        <w:rPr>
          <w:lang w:val="es-ES_tradnl"/>
        </w:rPr>
        <w:t>:</w:t>
      </w:r>
      <w:r w:rsidRPr="007A6DF0">
        <w:rPr>
          <w:lang w:val="es-ES_tradnl"/>
        </w:rPr>
        <w:tab/>
        <w:t>coeficiente de pérdida de potencia debida a la distancia</w:t>
      </w:r>
    </w:p>
    <w:p w:rsidR="001F77B3" w:rsidRPr="007A6DF0" w:rsidRDefault="001F77B3" w:rsidP="001F77B3">
      <w:pPr>
        <w:pStyle w:val="Equationlegend"/>
        <w:rPr>
          <w:lang w:val="es-ES_tradnl"/>
        </w:rPr>
      </w:pPr>
      <w:r w:rsidRPr="007A6DF0">
        <w:rPr>
          <w:lang w:val="es-ES_tradnl"/>
        </w:rPr>
        <w:tab/>
      </w:r>
      <w:r w:rsidRPr="007A6DF0">
        <w:rPr>
          <w:i/>
          <w:lang w:val="es-ES_tradnl"/>
        </w:rPr>
        <w:t>f</w:t>
      </w:r>
      <w:r w:rsidRPr="007A6DF0">
        <w:rPr>
          <w:sz w:val="12"/>
          <w:lang w:val="es-ES_tradnl"/>
        </w:rPr>
        <w:t> </w:t>
      </w:r>
      <w:r w:rsidRPr="007A6DF0">
        <w:rPr>
          <w:lang w:val="es-ES_tradnl"/>
        </w:rPr>
        <w:t>:</w:t>
      </w:r>
      <w:r w:rsidRPr="007A6DF0">
        <w:rPr>
          <w:lang w:val="es-ES_tradnl"/>
        </w:rPr>
        <w:tab/>
        <w:t>frecuencia (MHz)</w:t>
      </w:r>
    </w:p>
    <w:p w:rsidR="001F77B3" w:rsidRPr="007A6DF0" w:rsidRDefault="001F77B3" w:rsidP="001F77B3">
      <w:pPr>
        <w:pStyle w:val="Equationlegend"/>
        <w:rPr>
          <w:lang w:val="es-ES_tradnl"/>
        </w:rPr>
      </w:pPr>
      <w:r w:rsidRPr="007A6DF0">
        <w:rPr>
          <w:lang w:val="es-ES_tradnl"/>
        </w:rPr>
        <w:tab/>
      </w:r>
      <w:r w:rsidRPr="007A6DF0">
        <w:rPr>
          <w:i/>
          <w:lang w:val="es-ES_tradnl"/>
        </w:rPr>
        <w:t>d</w:t>
      </w:r>
      <w:r w:rsidRPr="007A6DF0">
        <w:rPr>
          <w:sz w:val="12"/>
          <w:lang w:val="es-ES_tradnl"/>
        </w:rPr>
        <w:t> </w:t>
      </w:r>
      <w:r w:rsidRPr="007A6DF0">
        <w:rPr>
          <w:lang w:val="es-ES_tradnl"/>
        </w:rPr>
        <w:t>:</w:t>
      </w:r>
      <w:r w:rsidRPr="007A6DF0">
        <w:rPr>
          <w:lang w:val="es-ES_tradnl"/>
        </w:rPr>
        <w:tab/>
        <w:t>distancia de separación (m) entre la estación de base</w:t>
      </w:r>
      <w:r w:rsidR="008E512C">
        <w:rPr>
          <w:lang w:val="es-ES_tradnl"/>
        </w:rPr>
        <w:t xml:space="preserve"> y el terminal portátil (siendo </w:t>
      </w:r>
      <w:r w:rsidRPr="007A6DF0">
        <w:rPr>
          <w:i/>
          <w:iCs/>
          <w:lang w:val="es-ES_tradnl"/>
        </w:rPr>
        <w:t>d</w:t>
      </w:r>
      <w:r w:rsidRPr="007A6DF0">
        <w:rPr>
          <w:lang w:val="es-ES_tradnl"/>
        </w:rPr>
        <w:t xml:space="preserve"> </w:t>
      </w:r>
      <w:r w:rsidRPr="007A6DF0">
        <w:rPr>
          <w:lang w:val="es-ES_tradnl"/>
        </w:rPr>
        <w:sym w:font="Symbol" w:char="F03E"/>
      </w:r>
      <w:r w:rsidRPr="007A6DF0">
        <w:rPr>
          <w:lang w:val="es-ES_tradnl"/>
        </w:rPr>
        <w:t xml:space="preserve"> 1 m)</w:t>
      </w:r>
    </w:p>
    <w:p w:rsidR="001F77B3" w:rsidRPr="007A6DF0" w:rsidRDefault="001F77B3" w:rsidP="001F77B3">
      <w:pPr>
        <w:pStyle w:val="Equationlegend"/>
        <w:rPr>
          <w:lang w:val="es-ES_tradnl" w:eastAsia="ja-JP"/>
        </w:rPr>
      </w:pPr>
      <w:r w:rsidRPr="007A6DF0">
        <w:rPr>
          <w:i/>
          <w:lang w:val="es-ES_tradnl" w:eastAsia="ja-JP"/>
        </w:rPr>
        <w:tab/>
        <w:t>d</w:t>
      </w:r>
      <w:r w:rsidRPr="007A6DF0">
        <w:rPr>
          <w:i/>
          <w:vertAlign w:val="subscript"/>
          <w:lang w:val="es-ES_tradnl" w:eastAsia="ja-JP"/>
        </w:rPr>
        <w:t>o</w:t>
      </w:r>
      <w:r w:rsidRPr="007A6DF0">
        <w:rPr>
          <w:vertAlign w:val="subscript"/>
          <w:lang w:val="es-ES_tradnl" w:eastAsia="ja-JP"/>
        </w:rPr>
        <w:t xml:space="preserve"> </w:t>
      </w:r>
      <w:r w:rsidRPr="007A6DF0">
        <w:rPr>
          <w:lang w:val="es-ES_tradnl" w:eastAsia="ja-JP"/>
        </w:rPr>
        <w:t>:</w:t>
      </w:r>
      <w:r w:rsidRPr="007A6DF0">
        <w:rPr>
          <w:lang w:val="es-ES_tradnl" w:eastAsia="ja-JP"/>
        </w:rPr>
        <w:tab/>
        <w:t xml:space="preserve">distancia de referencia (m) </w:t>
      </w:r>
    </w:p>
    <w:p w:rsidR="001F77B3" w:rsidRPr="007A6DF0" w:rsidRDefault="001F77B3" w:rsidP="001F77B3">
      <w:pPr>
        <w:pStyle w:val="Equationlegend"/>
        <w:rPr>
          <w:iCs/>
          <w:lang w:val="es-ES_tradnl"/>
        </w:rPr>
      </w:pPr>
      <w:r w:rsidRPr="007A6DF0">
        <w:rPr>
          <w:i/>
          <w:lang w:val="es-ES_tradnl"/>
        </w:rPr>
        <w:tab/>
        <w:t>L</w:t>
      </w:r>
      <w:r w:rsidRPr="007A6DF0">
        <w:rPr>
          <w:iCs/>
          <w:lang w:val="es-ES_tradnl"/>
        </w:rPr>
        <w:t>(</w:t>
      </w:r>
      <w:r w:rsidRPr="007A6DF0">
        <w:rPr>
          <w:i/>
          <w:lang w:val="es-ES_tradnl" w:eastAsia="ja-JP"/>
        </w:rPr>
        <w:t>d</w:t>
      </w:r>
      <w:r w:rsidRPr="007A6DF0">
        <w:rPr>
          <w:i/>
          <w:vertAlign w:val="subscript"/>
          <w:lang w:val="es-ES_tradnl" w:eastAsia="ja-JP"/>
        </w:rPr>
        <w:t>o</w:t>
      </w:r>
      <w:r w:rsidRPr="007A6DF0">
        <w:rPr>
          <w:iCs/>
          <w:lang w:val="es-ES_tradnl" w:eastAsia="ja-JP"/>
        </w:rPr>
        <w:t>)</w:t>
      </w:r>
      <w:r w:rsidRPr="007A6DF0">
        <w:rPr>
          <w:vertAlign w:val="subscript"/>
          <w:lang w:val="es-ES_tradnl" w:eastAsia="ja-JP"/>
        </w:rPr>
        <w:t xml:space="preserve"> </w:t>
      </w:r>
      <w:r w:rsidRPr="007A6DF0">
        <w:rPr>
          <w:lang w:val="es-ES_tradnl" w:eastAsia="ja-JP"/>
        </w:rPr>
        <w:t>:</w:t>
      </w:r>
      <w:r w:rsidRPr="007A6DF0">
        <w:rPr>
          <w:lang w:val="es-ES_tradnl" w:eastAsia="ja-JP"/>
        </w:rPr>
        <w:tab/>
        <w:t xml:space="preserve">pérdida en el trayecto en </w:t>
      </w:r>
      <w:r w:rsidRPr="007A6DF0">
        <w:rPr>
          <w:i/>
          <w:lang w:val="es-ES_tradnl" w:eastAsia="ja-JP"/>
        </w:rPr>
        <w:t>d</w:t>
      </w:r>
      <w:r w:rsidRPr="007A6DF0">
        <w:rPr>
          <w:i/>
          <w:vertAlign w:val="subscript"/>
          <w:lang w:val="es-ES_tradnl" w:eastAsia="ja-JP"/>
        </w:rPr>
        <w:t>o</w:t>
      </w:r>
      <w:r w:rsidRPr="007A6DF0">
        <w:rPr>
          <w:lang w:val="es-ES_tradnl" w:eastAsia="ja-JP"/>
        </w:rPr>
        <w:t xml:space="preserve"> (dB), para una distancia de referencia </w:t>
      </w:r>
      <w:r w:rsidRPr="007A6DF0">
        <w:rPr>
          <w:i/>
          <w:lang w:val="es-ES_tradnl" w:eastAsia="ja-JP"/>
        </w:rPr>
        <w:t>d</w:t>
      </w:r>
      <w:r w:rsidRPr="007A6DF0">
        <w:rPr>
          <w:i/>
          <w:vertAlign w:val="subscript"/>
          <w:lang w:val="es-ES_tradnl" w:eastAsia="ja-JP"/>
        </w:rPr>
        <w:t xml:space="preserve">o </w:t>
      </w:r>
      <w:r w:rsidRPr="007A6DF0">
        <w:rPr>
          <w:iCs/>
          <w:lang w:val="es-ES_tradnl" w:eastAsia="ja-JP"/>
        </w:rPr>
        <w:t xml:space="preserve">a 1m, y suponiendo propagación en el espacio libre </w:t>
      </w:r>
      <w:r w:rsidRPr="007A6DF0">
        <w:rPr>
          <w:i/>
          <w:lang w:val="es-ES_tradnl"/>
        </w:rPr>
        <w:t>L</w:t>
      </w:r>
      <w:r w:rsidRPr="007A6DF0">
        <w:rPr>
          <w:iCs/>
          <w:lang w:val="es-ES_tradnl"/>
        </w:rPr>
        <w:t>(</w:t>
      </w:r>
      <w:r w:rsidRPr="007A6DF0">
        <w:rPr>
          <w:i/>
          <w:lang w:val="es-ES_tradnl" w:eastAsia="ja-JP"/>
        </w:rPr>
        <w:t>d</w:t>
      </w:r>
      <w:r w:rsidRPr="007A6DF0">
        <w:rPr>
          <w:i/>
          <w:vertAlign w:val="subscript"/>
          <w:lang w:val="es-ES_tradnl" w:eastAsia="ja-JP"/>
        </w:rPr>
        <w:t>o</w:t>
      </w:r>
      <w:r w:rsidRPr="007A6DF0">
        <w:rPr>
          <w:iCs/>
          <w:lang w:val="es-ES_tradnl" w:eastAsia="ja-JP"/>
        </w:rPr>
        <w:t>)</w:t>
      </w:r>
      <w:r w:rsidRPr="007A6DF0">
        <w:rPr>
          <w:i/>
          <w:vertAlign w:val="subscript"/>
          <w:lang w:val="es-ES_tradnl" w:eastAsia="ja-JP"/>
        </w:rPr>
        <w:t xml:space="preserve"> </w:t>
      </w:r>
      <w:r w:rsidRPr="007A6DF0">
        <w:rPr>
          <w:lang w:val="es-ES_tradnl" w:eastAsia="ko-KR"/>
        </w:rPr>
        <w:t>=</w:t>
      </w:r>
      <w:r w:rsidRPr="007A6DF0">
        <w:rPr>
          <w:lang w:val="es-ES_tradnl" w:eastAsia="ja-JP"/>
        </w:rPr>
        <w:t xml:space="preserve"> </w:t>
      </w:r>
      <w:r w:rsidRPr="007A6DF0">
        <w:rPr>
          <w:lang w:val="es-ES_tradnl"/>
        </w:rPr>
        <w:t>20 log</w:t>
      </w:r>
      <w:r w:rsidRPr="007A6DF0">
        <w:rPr>
          <w:position w:val="-4"/>
          <w:sz w:val="20"/>
          <w:lang w:val="es-ES_tradnl"/>
        </w:rPr>
        <w:t>10</w:t>
      </w:r>
      <w:r w:rsidRPr="007A6DF0">
        <w:rPr>
          <w:lang w:val="es-ES_tradnl"/>
        </w:rPr>
        <w:t xml:space="preserve"> </w:t>
      </w:r>
      <w:r w:rsidRPr="007A6DF0">
        <w:rPr>
          <w:i/>
          <w:lang w:val="es-ES_tradnl"/>
        </w:rPr>
        <w:t>f</w:t>
      </w:r>
      <w:r w:rsidRPr="007A6DF0">
        <w:rPr>
          <w:lang w:val="es-ES_tradnl"/>
        </w:rPr>
        <w:t xml:space="preserve"> −28, donde </w:t>
      </w:r>
      <w:r w:rsidRPr="007A6DF0">
        <w:rPr>
          <w:i/>
          <w:lang w:val="es-ES_tradnl"/>
        </w:rPr>
        <w:t>f</w:t>
      </w:r>
      <w:r w:rsidR="008E512C">
        <w:rPr>
          <w:lang w:val="es-ES_tradnl"/>
        </w:rPr>
        <w:t xml:space="preserve"> es en </w:t>
      </w:r>
      <w:r w:rsidRPr="007A6DF0">
        <w:rPr>
          <w:lang w:val="es-ES_tradnl"/>
        </w:rPr>
        <w:t>MHz</w:t>
      </w:r>
      <w:r w:rsidRPr="007A6DF0">
        <w:rPr>
          <w:iCs/>
          <w:lang w:val="es-ES_tradnl" w:eastAsia="ja-JP"/>
        </w:rPr>
        <w:t xml:space="preserve"> </w:t>
      </w:r>
    </w:p>
    <w:p w:rsidR="001F77B3" w:rsidRPr="007A6DF0" w:rsidRDefault="001F77B3" w:rsidP="001F77B3">
      <w:pPr>
        <w:pStyle w:val="Equationlegend"/>
        <w:rPr>
          <w:lang w:val="es-ES_tradnl"/>
        </w:rPr>
      </w:pPr>
      <w:r w:rsidRPr="007A6DF0">
        <w:rPr>
          <w:lang w:val="es-ES_tradnl"/>
        </w:rPr>
        <w:tab/>
      </w:r>
      <w:r w:rsidRPr="007A6DF0">
        <w:rPr>
          <w:i/>
          <w:lang w:val="es-ES_tradnl"/>
        </w:rPr>
        <w:t>L</w:t>
      </w:r>
      <w:r w:rsidRPr="007A6DF0">
        <w:rPr>
          <w:i/>
          <w:vertAlign w:val="subscript"/>
          <w:lang w:val="es-ES_tradnl"/>
        </w:rPr>
        <w:t>f</w:t>
      </w:r>
      <w:r w:rsidRPr="007A6DF0">
        <w:rPr>
          <w:sz w:val="12"/>
          <w:lang w:val="es-ES_tradnl"/>
        </w:rPr>
        <w:t> </w:t>
      </w:r>
      <w:r w:rsidRPr="007A6DF0">
        <w:rPr>
          <w:lang w:val="es-ES_tradnl"/>
        </w:rPr>
        <w:t>:</w:t>
      </w:r>
      <w:r w:rsidRPr="007A6DF0">
        <w:rPr>
          <w:position w:val="-4"/>
          <w:lang w:val="es-ES_tradnl"/>
        </w:rPr>
        <w:tab/>
      </w:r>
      <w:r w:rsidRPr="007A6DF0">
        <w:rPr>
          <w:lang w:val="es-ES_tradnl"/>
        </w:rPr>
        <w:t>factor de pérdida debida a la penetración en el suelo (dB)</w:t>
      </w:r>
    </w:p>
    <w:p w:rsidR="001F77B3" w:rsidRPr="007A6DF0" w:rsidRDefault="001F77B3" w:rsidP="001F77B3">
      <w:pPr>
        <w:pStyle w:val="Equationlegend"/>
        <w:rPr>
          <w:lang w:val="es-ES_tradnl"/>
        </w:rPr>
      </w:pPr>
      <w:r w:rsidRPr="007A6DF0">
        <w:rPr>
          <w:lang w:val="es-ES_tradnl"/>
        </w:rPr>
        <w:tab/>
      </w:r>
      <w:r w:rsidRPr="007A6DF0">
        <w:rPr>
          <w:i/>
          <w:lang w:val="es-ES_tradnl"/>
        </w:rPr>
        <w:t>n</w:t>
      </w:r>
      <w:r w:rsidRPr="007A6DF0">
        <w:rPr>
          <w:sz w:val="12"/>
          <w:lang w:val="es-ES_tradnl"/>
        </w:rPr>
        <w:t> </w:t>
      </w:r>
      <w:r w:rsidRPr="007A6DF0">
        <w:rPr>
          <w:lang w:val="es-ES_tradnl"/>
        </w:rPr>
        <w:t>:</w:t>
      </w:r>
      <w:r w:rsidRPr="007A6DF0">
        <w:rPr>
          <w:lang w:val="es-ES_tradnl"/>
        </w:rPr>
        <w:tab/>
        <w:t>número de pisos entre la estación de base y el terminal portátil (</w:t>
      </w:r>
      <w:r w:rsidRPr="007A6DF0">
        <w:rPr>
          <w:i/>
          <w:iCs/>
          <w:lang w:val="es-ES_tradnl"/>
        </w:rPr>
        <w:t>n</w:t>
      </w:r>
      <w:r w:rsidRPr="007A6DF0">
        <w:rPr>
          <w:lang w:val="es-ES_tradnl"/>
        </w:rPr>
        <w:t xml:space="preserve"> </w:t>
      </w:r>
      <w:r w:rsidRPr="007A6DF0">
        <w:rPr>
          <w:lang w:val="es-ES_tradnl"/>
        </w:rPr>
        <w:sym w:font="Symbol" w:char="F0B3"/>
      </w:r>
      <w:r w:rsidRPr="007A6DF0">
        <w:rPr>
          <w:lang w:val="es-ES_tradnl"/>
        </w:rPr>
        <w:t xml:space="preserve"> 0), </w:t>
      </w:r>
      <w:r w:rsidRPr="007A6DF0">
        <w:rPr>
          <w:i/>
          <w:lang w:val="es-ES_tradnl" w:eastAsia="ja-JP"/>
        </w:rPr>
        <w:t>L</w:t>
      </w:r>
      <w:r w:rsidRPr="007A6DF0">
        <w:rPr>
          <w:i/>
          <w:vertAlign w:val="subscript"/>
          <w:lang w:val="es-ES_tradnl" w:eastAsia="ja-JP"/>
        </w:rPr>
        <w:t>f</w:t>
      </w:r>
      <w:r w:rsidRPr="007A6DF0">
        <w:rPr>
          <w:lang w:val="es-ES_tradnl" w:eastAsia="ja-JP"/>
        </w:rPr>
        <w:t xml:space="preserve"> = 0 dB para </w:t>
      </w:r>
      <w:r w:rsidRPr="007A6DF0">
        <w:rPr>
          <w:i/>
          <w:lang w:val="es-ES_tradnl" w:eastAsia="ja-JP"/>
        </w:rPr>
        <w:t>n</w:t>
      </w:r>
      <w:r w:rsidRPr="007A6DF0">
        <w:rPr>
          <w:lang w:val="es-ES_tradnl" w:eastAsia="ja-JP"/>
        </w:rPr>
        <w:t xml:space="preserve"> = 0.</w:t>
      </w:r>
    </w:p>
    <w:p w:rsidR="001F77B3" w:rsidRPr="007A6DF0" w:rsidRDefault="001F77B3" w:rsidP="001F77B3">
      <w:pPr>
        <w:rPr>
          <w:lang w:val="es-ES_tradnl"/>
        </w:rPr>
      </w:pPr>
      <w:r w:rsidRPr="007A6DF0">
        <w:rPr>
          <w:lang w:val="es-ES_tradnl"/>
        </w:rPr>
        <w:t>En los Cuadros 2 y 3 se indican los parámetros típicos basados en el resultado de algunas medidas que se han realizado. Al final de este punto se especifican adicionalmente directrices generales.</w:t>
      </w:r>
    </w:p>
    <w:p w:rsidR="001F77B3" w:rsidRPr="007A6DF0" w:rsidRDefault="001F77B3" w:rsidP="001F77B3">
      <w:pPr>
        <w:pStyle w:val="TableNo"/>
        <w:rPr>
          <w:lang w:val="es-ES_tradnl"/>
        </w:rPr>
      </w:pPr>
      <w:r w:rsidRPr="007A6DF0">
        <w:rPr>
          <w:lang w:val="es-ES_tradnl"/>
        </w:rPr>
        <w:t>CUADRO  2</w:t>
      </w:r>
    </w:p>
    <w:p w:rsidR="001F77B3" w:rsidRPr="007A6DF0" w:rsidRDefault="001F77B3" w:rsidP="001F77B3">
      <w:pPr>
        <w:pStyle w:val="Tabletitle"/>
        <w:rPr>
          <w:lang w:val="es-ES_tradnl"/>
        </w:rPr>
      </w:pPr>
      <w:r w:rsidRPr="007A6DF0">
        <w:rPr>
          <w:lang w:val="es-ES_tradnl"/>
        </w:rPr>
        <w:t xml:space="preserve">Coeficientes de pérdida de potencia, </w:t>
      </w:r>
      <w:r w:rsidRPr="007A6DF0">
        <w:rPr>
          <w:i/>
          <w:lang w:val="es-ES_tradnl"/>
        </w:rPr>
        <w:t>N</w:t>
      </w:r>
      <w:r w:rsidRPr="007A6DF0">
        <w:rPr>
          <w:lang w:val="es-ES_tradnl"/>
        </w:rPr>
        <w:t>, para el cálculo</w:t>
      </w:r>
      <w:r w:rsidRPr="007A6DF0">
        <w:rPr>
          <w:lang w:val="es-ES_tradnl"/>
        </w:rPr>
        <w:br/>
        <w:t>de la pérdida de transmisión en interiores</w:t>
      </w:r>
    </w:p>
    <w:tbl>
      <w:tblPr>
        <w:tblW w:w="10057" w:type="dxa"/>
        <w:jc w:val="center"/>
        <w:tblLayout w:type="fixed"/>
        <w:tblCellMar>
          <w:left w:w="107" w:type="dxa"/>
          <w:right w:w="107" w:type="dxa"/>
        </w:tblCellMar>
        <w:tblLook w:val="0000" w:firstRow="0" w:lastRow="0" w:firstColumn="0" w:lastColumn="0" w:noHBand="0" w:noVBand="0"/>
      </w:tblPr>
      <w:tblGrid>
        <w:gridCol w:w="1552"/>
        <w:gridCol w:w="1842"/>
        <w:gridCol w:w="1701"/>
        <w:gridCol w:w="2127"/>
        <w:gridCol w:w="1417"/>
        <w:gridCol w:w="1418"/>
      </w:tblGrid>
      <w:tr w:rsidR="001F77B3" w:rsidRPr="007A6DF0" w:rsidTr="006230B0">
        <w:trPr>
          <w:cantSplit/>
          <w:trHeight w:val="20"/>
          <w:jc w:val="center"/>
        </w:trPr>
        <w:tc>
          <w:tcPr>
            <w:tcW w:w="1552"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Frecuencia</w:t>
            </w:r>
          </w:p>
        </w:tc>
        <w:tc>
          <w:tcPr>
            <w:tcW w:w="1842"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Edificio residencial</w:t>
            </w:r>
          </w:p>
        </w:tc>
        <w:tc>
          <w:tcPr>
            <w:tcW w:w="170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Edificio de oficinas</w:t>
            </w:r>
          </w:p>
        </w:tc>
        <w:tc>
          <w:tcPr>
            <w:tcW w:w="212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Edificio comercial</w:t>
            </w:r>
          </w:p>
        </w:tc>
        <w:tc>
          <w:tcPr>
            <w:tcW w:w="141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Fábrica</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spacing w:before="40" w:after="40"/>
              <w:rPr>
                <w:lang w:val="es-ES_tradnl"/>
              </w:rPr>
            </w:pPr>
            <w:r w:rsidRPr="007A6DF0">
              <w:rPr>
                <w:lang w:val="es-ES_tradnl"/>
              </w:rPr>
              <w:t>Pasillo</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900 MHz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33</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20</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1,25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32</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1,9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28</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30</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2,1GHz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ja-JP"/>
              </w:rPr>
              <w:t>25,5</w:t>
            </w:r>
            <w:r w:rsidRPr="007A6DF0">
              <w:rPr>
                <w:vertAlign w:val="superscript"/>
                <w:lang w:val="es-ES_tradnl" w:eastAsia="ja-JP"/>
              </w:rPr>
              <w:t>(4)</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ja-JP"/>
              </w:rPr>
              <w:t>20</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21,1</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ja-JP"/>
              </w:rPr>
              <w:t>17</w:t>
            </w:r>
            <w:r w:rsidRPr="007A6DF0">
              <w:rPr>
                <w:vertAlign w:val="superscript"/>
                <w:lang w:val="es-ES_tradnl" w:eastAsia="ja-JP"/>
              </w:rPr>
              <w:t>(9)</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2,4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28</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30</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3,5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27</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2,625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ja-JP"/>
              </w:rPr>
              <w:t>44</w:t>
            </w:r>
            <w:r w:rsidRPr="007A6DF0">
              <w:rPr>
                <w:vertAlign w:val="superscript"/>
                <w:lang w:val="es-ES_tradnl" w:eastAsia="ja-JP"/>
              </w:rPr>
              <w:t>(5)</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33</w:t>
            </w:r>
            <w:r w:rsidRPr="007A6DF0">
              <w:rPr>
                <w:vertAlign w:val="superscript"/>
                <w:lang w:val="es-ES_tradnl" w:eastAsia="ja-JP"/>
              </w:rPr>
              <w:t>(6)</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4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28</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5,2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30</w:t>
            </w:r>
            <w:r w:rsidRPr="007A6DF0">
              <w:rPr>
                <w:vertAlign w:val="superscript"/>
                <w:lang w:val="es-ES_tradnl"/>
              </w:rPr>
              <w:t>(2)</w:t>
            </w:r>
            <w:r w:rsidRPr="007A6DF0">
              <w:rPr>
                <w:lang w:val="es-ES_tradnl"/>
              </w:rPr>
              <w:t xml:space="preserve"> </w:t>
            </w:r>
            <w:r w:rsidRPr="007A6DF0">
              <w:rPr>
                <w:lang w:val="es-ES_tradnl"/>
              </w:rPr>
              <w:br/>
              <w:t>28</w:t>
            </w:r>
            <w:r w:rsidRPr="007A6DF0">
              <w:rPr>
                <w:vertAlign w:val="superscript"/>
                <w:lang w:val="es-ES_tradnl"/>
              </w:rPr>
              <w:t>(3)</w:t>
            </w:r>
            <w:r w:rsidRPr="007A6DF0">
              <w:rPr>
                <w:lang w:val="es-ES_tradnl"/>
              </w:rPr>
              <w:t xml:space="preserve"> </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31</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5,8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24</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28 GHz</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ko-KR"/>
              </w:rPr>
              <w:t>27,6</w:t>
            </w:r>
            <w:r w:rsidRPr="007A6DF0">
              <w:rPr>
                <w:vertAlign w:val="superscript"/>
                <w:lang w:val="es-ES_tradnl" w:eastAsia="ja-JP"/>
              </w:rPr>
              <w:t>(8)</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60 GHz</w:t>
            </w:r>
            <w:r w:rsidRPr="007A6DF0">
              <w:rPr>
                <w:position w:val="6"/>
                <w:sz w:val="14"/>
                <w:lang w:val="es-ES_tradnl"/>
              </w:rPr>
              <w:t>(1)</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17</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16</w:t>
            </w:r>
            <w:r w:rsidRPr="007A6DF0">
              <w:rPr>
                <w:vertAlign w:val="superscript"/>
                <w:lang w:val="es-ES_tradnl"/>
              </w:rPr>
              <w:t>(</w:t>
            </w:r>
            <w:r w:rsidRPr="007A6DF0">
              <w:rPr>
                <w:vertAlign w:val="superscript"/>
                <w:lang w:val="es-ES_tradnl" w:eastAsia="ja-JP"/>
              </w:rPr>
              <w:t>7</w:t>
            </w:r>
            <w:r w:rsidRPr="007A6DF0">
              <w:rPr>
                <w:vertAlign w:val="superscript"/>
                <w:lang w:val="es-ES_tradnl"/>
              </w:rPr>
              <w:t>)</w:t>
            </w:r>
            <w:r w:rsidRPr="007A6DF0">
              <w:rPr>
                <w:vertAlign w:val="superscript"/>
                <w:lang w:val="es-ES_tradnl" w:eastAsia="ja-JP"/>
              </w:rPr>
              <w:t>(9)</w:t>
            </w:r>
          </w:p>
        </w:tc>
      </w:tr>
      <w:tr w:rsidR="001F77B3" w:rsidRPr="007A6DF0" w:rsidTr="008E512C">
        <w:trPr>
          <w:cantSplit/>
          <w:trHeight w:val="20"/>
          <w:jc w:val="center"/>
        </w:trPr>
        <w:tc>
          <w:tcPr>
            <w:tcW w:w="155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70 GHz</w:t>
            </w:r>
            <w:r w:rsidRPr="007A6DF0">
              <w:rPr>
                <w:vertAlign w:val="superscript"/>
                <w:lang w:val="es-ES_tradnl"/>
              </w:rPr>
              <w:t>(1)</w:t>
            </w:r>
          </w:p>
        </w:tc>
        <w:tc>
          <w:tcPr>
            <w:tcW w:w="1842"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701"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212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7"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bl>
    <w:p w:rsidR="001F77B3" w:rsidRPr="007A6DF0" w:rsidRDefault="001F77B3" w:rsidP="001F77B3">
      <w:pPr>
        <w:pStyle w:val="TableNo"/>
        <w:rPr>
          <w:i/>
          <w:iCs/>
          <w:lang w:val="es-ES_tradnl"/>
        </w:rPr>
      </w:pPr>
      <w:r w:rsidRPr="007A6DF0">
        <w:rPr>
          <w:i/>
          <w:iCs/>
          <w:lang w:val="es-ES_tradnl"/>
        </w:rPr>
        <w:lastRenderedPageBreak/>
        <w:t>Notas relativas al Cuadro 2</w:t>
      </w:r>
    </w:p>
    <w:tbl>
      <w:tblPr>
        <w:tblW w:w="10057" w:type="dxa"/>
        <w:jc w:val="center"/>
        <w:tblLayout w:type="fixed"/>
        <w:tblCellMar>
          <w:left w:w="107" w:type="dxa"/>
          <w:right w:w="107" w:type="dxa"/>
        </w:tblCellMar>
        <w:tblLook w:val="0000" w:firstRow="0" w:lastRow="0" w:firstColumn="0" w:lastColumn="0" w:noHBand="0" w:noVBand="0"/>
      </w:tblPr>
      <w:tblGrid>
        <w:gridCol w:w="10057"/>
      </w:tblGrid>
      <w:tr w:rsidR="001F77B3" w:rsidRPr="00297D25" w:rsidTr="008E512C">
        <w:trPr>
          <w:cantSplit/>
          <w:trHeight w:val="20"/>
          <w:jc w:val="center"/>
        </w:trPr>
        <w:tc>
          <w:tcPr>
            <w:tcW w:w="10057" w:type="dxa"/>
          </w:tcPr>
          <w:p w:rsidR="001F77B3" w:rsidRPr="007A6DF0" w:rsidRDefault="001F77B3" w:rsidP="008E512C">
            <w:pPr>
              <w:pStyle w:val="Tablelegend"/>
              <w:rPr>
                <w:vertAlign w:val="superscript"/>
                <w:lang w:val="es-ES_tradnl"/>
              </w:rPr>
            </w:pPr>
            <w:r w:rsidRPr="007A6DF0">
              <w:rPr>
                <w:position w:val="6"/>
                <w:sz w:val="18"/>
                <w:vertAlign w:val="superscript"/>
                <w:lang w:val="es-ES_tradnl"/>
              </w:rPr>
              <w:t>(1)</w:t>
            </w:r>
            <w:r w:rsidRPr="007A6DF0">
              <w:rPr>
                <w:lang w:val="es-ES_tradnl"/>
              </w:rPr>
              <w:tab/>
              <w:t>Para llegar a los valores de 60 GHz y 70 GHz se parte de la hipótesis de la propagación dentro de una sola sala o espacio y no se tiene en cuenta en modo alguno la transmisión a través de las paredes. La absorción gaseosa en torno a los 60 GHz es significativa para distancias superiores a unos 100 m, lo que puede afectar a las distancias de reutilización de frecuencias (véase la Recomendación UIT</w:t>
            </w:r>
            <w:r w:rsidRPr="007A6DF0">
              <w:rPr>
                <w:lang w:val="es-ES_tradnl"/>
              </w:rPr>
              <w:noBreakHyphen/>
              <w:t>R P.676).</w:t>
            </w:r>
          </w:p>
          <w:p w:rsidR="001F77B3" w:rsidRPr="007A6DF0" w:rsidRDefault="001F77B3" w:rsidP="008E512C">
            <w:pPr>
              <w:pStyle w:val="Tablelegend"/>
              <w:rPr>
                <w:lang w:val="es-ES_tradnl"/>
              </w:rPr>
            </w:pPr>
            <w:r w:rsidRPr="007A6DF0">
              <w:rPr>
                <w:position w:val="6"/>
                <w:sz w:val="18"/>
                <w:vertAlign w:val="superscript"/>
                <w:lang w:val="es-ES_tradnl"/>
              </w:rPr>
              <w:t>(2)</w:t>
            </w:r>
            <w:r w:rsidRPr="007A6DF0">
              <w:rPr>
                <w:lang w:val="es-ES_tradnl"/>
              </w:rPr>
              <w:tab/>
              <w:t>Apartamento: Edificio de uno o dos pisos que acoge varios hogares. En general, la mayoría de las paredes que separan las habitaciones son de cemento.</w:t>
            </w:r>
          </w:p>
          <w:p w:rsidR="001F77B3" w:rsidRPr="007A6DF0" w:rsidRDefault="001F77B3" w:rsidP="008E512C">
            <w:pPr>
              <w:pStyle w:val="Tablelegend"/>
              <w:rPr>
                <w:lang w:val="es-ES_tradnl"/>
              </w:rPr>
            </w:pPr>
            <w:r w:rsidRPr="007A6DF0">
              <w:rPr>
                <w:vertAlign w:val="superscript"/>
                <w:lang w:val="es-ES_tradnl"/>
              </w:rPr>
              <w:t>(3)</w:t>
            </w:r>
            <w:r w:rsidRPr="007A6DF0">
              <w:rPr>
                <w:lang w:val="es-ES_tradnl"/>
              </w:rPr>
              <w:tab/>
              <w:t>Casa: Edificio de uno o dos pisos que constituye un solo hogar. En general, la mayoría de las paredes que separan las habitaciones son de madera.</w:t>
            </w:r>
          </w:p>
          <w:p w:rsidR="001F77B3" w:rsidRPr="007A6DF0" w:rsidRDefault="001F77B3" w:rsidP="008E512C">
            <w:pPr>
              <w:pStyle w:val="Tablelegend"/>
              <w:rPr>
                <w:lang w:val="es-ES_tradnl"/>
              </w:rPr>
            </w:pPr>
            <w:r w:rsidRPr="007A6DF0">
              <w:rPr>
                <w:vertAlign w:val="superscript"/>
                <w:lang w:val="es-ES_tradnl"/>
              </w:rPr>
              <w:t>(4)</w:t>
            </w:r>
            <w:r w:rsidRPr="007A6DF0">
              <w:rPr>
                <w:vertAlign w:val="superscript"/>
                <w:lang w:val="es-ES_tradnl"/>
              </w:rPr>
              <w:tab/>
            </w:r>
            <w:r w:rsidRPr="007A6DF0">
              <w:rPr>
                <w:lang w:val="es-ES_tradnl"/>
              </w:rPr>
              <w:t xml:space="preserve">Sala de informática: habitación con varios ordenadores. </w:t>
            </w:r>
          </w:p>
          <w:p w:rsidR="001F77B3" w:rsidRPr="008E512C" w:rsidRDefault="001F77B3" w:rsidP="008E512C">
            <w:pPr>
              <w:pStyle w:val="Tablelegend"/>
              <w:rPr>
                <w:spacing w:val="-6"/>
                <w:lang w:val="es-ES_tradnl"/>
              </w:rPr>
            </w:pPr>
            <w:r w:rsidRPr="007A6DF0">
              <w:rPr>
                <w:vertAlign w:val="superscript"/>
                <w:lang w:val="es-ES_tradnl"/>
              </w:rPr>
              <w:t>(5)</w:t>
            </w:r>
            <w:r w:rsidRPr="007A6DF0">
              <w:rPr>
                <w:vertAlign w:val="superscript"/>
                <w:lang w:val="es-ES_tradnl"/>
              </w:rPr>
              <w:tab/>
            </w:r>
            <w:r w:rsidRPr="008E512C">
              <w:rPr>
                <w:spacing w:val="-6"/>
                <w:lang w:val="es-ES_tradnl"/>
              </w:rPr>
              <w:t xml:space="preserve">El transmisor y el receptor se encuentran en el mismo piso y ambas antenas se encuentran en un techo de altura 2,7m. </w:t>
            </w:r>
          </w:p>
          <w:p w:rsidR="001F77B3" w:rsidRPr="007A6DF0" w:rsidRDefault="001F77B3" w:rsidP="008E512C">
            <w:pPr>
              <w:pStyle w:val="Tablelegend"/>
              <w:rPr>
                <w:lang w:val="es-ES_tradnl"/>
              </w:rPr>
            </w:pPr>
            <w:r w:rsidRPr="007A6DF0">
              <w:rPr>
                <w:vertAlign w:val="superscript"/>
                <w:lang w:val="es-ES_tradnl"/>
              </w:rPr>
              <w:t>(6)</w:t>
            </w:r>
            <w:r w:rsidRPr="007A6DF0">
              <w:rPr>
                <w:vertAlign w:val="superscript"/>
                <w:lang w:val="es-ES_tradnl"/>
              </w:rPr>
              <w:tab/>
            </w:r>
            <w:r w:rsidRPr="007A6DF0">
              <w:rPr>
                <w:lang w:val="es-ES_tradnl"/>
              </w:rPr>
              <w:t xml:space="preserve">El trayecto entre el transmisor y el receptor se encuentra medio bloqueado por materiales metálicos y ambas antenas están situadas a una altura de 1,5 m. </w:t>
            </w:r>
          </w:p>
          <w:p w:rsidR="001F77B3" w:rsidRPr="007A6DF0" w:rsidRDefault="001F77B3" w:rsidP="008E512C">
            <w:pPr>
              <w:pStyle w:val="Tablelegend"/>
              <w:rPr>
                <w:lang w:val="es-ES_tradnl"/>
              </w:rPr>
            </w:pPr>
            <w:r w:rsidRPr="007A6DF0">
              <w:rPr>
                <w:vertAlign w:val="superscript"/>
                <w:lang w:val="es-ES_tradnl"/>
              </w:rPr>
              <w:t>(7)</w:t>
            </w:r>
            <w:r w:rsidRPr="007A6DF0">
              <w:rPr>
                <w:lang w:val="es-ES_tradnl"/>
              </w:rPr>
              <w:tab/>
              <w:t>Las antenas de transmisión y recepción tienen una apertura del haz de 15,4°.</w:t>
            </w:r>
          </w:p>
          <w:p w:rsidR="001F77B3" w:rsidRPr="007A6DF0" w:rsidRDefault="001F77B3" w:rsidP="008E512C">
            <w:pPr>
              <w:pStyle w:val="Tablelegend"/>
              <w:rPr>
                <w:lang w:val="es-ES_tradnl"/>
              </w:rPr>
            </w:pPr>
            <w:r w:rsidRPr="007A6DF0">
              <w:rPr>
                <w:vertAlign w:val="superscript"/>
                <w:lang w:val="es-ES_tradnl"/>
              </w:rPr>
              <w:t>(8)</w:t>
            </w:r>
            <w:r w:rsidRPr="007A6DF0">
              <w:rPr>
                <w:lang w:val="es-ES_tradnl"/>
              </w:rPr>
              <w:tab/>
              <w:t>Estación de ferrocarril (170 m</w:t>
            </w:r>
            <w:r w:rsidRPr="007A6DF0">
              <w:rPr>
                <w:lang w:val="es-ES_tradnl" w:eastAsia="ko-KR"/>
              </w:rPr>
              <w:t xml:space="preserve"> ×</w:t>
            </w:r>
            <w:r w:rsidRPr="007A6DF0">
              <w:rPr>
                <w:lang w:val="es-ES_tradnl"/>
              </w:rPr>
              <w:t xml:space="preserve"> 45 m</w:t>
            </w:r>
            <w:r w:rsidRPr="007A6DF0">
              <w:rPr>
                <w:lang w:val="es-ES_tradnl" w:eastAsia="ko-KR"/>
              </w:rPr>
              <w:t xml:space="preserve"> ×</w:t>
            </w:r>
            <w:r w:rsidRPr="007A6DF0">
              <w:rPr>
                <w:lang w:val="es-ES_tradnl"/>
              </w:rPr>
              <w:t xml:space="preserve"> 21 m(H)) y terminal de aeropuerto (650 m </w:t>
            </w:r>
            <w:r w:rsidRPr="007A6DF0">
              <w:rPr>
                <w:lang w:val="es-ES_tradnl" w:eastAsia="ko-KR"/>
              </w:rPr>
              <w:t>×</w:t>
            </w:r>
            <w:r w:rsidRPr="007A6DF0">
              <w:rPr>
                <w:lang w:val="es-ES_tradnl"/>
              </w:rPr>
              <w:t xml:space="preserve"> 82 m</w:t>
            </w:r>
            <w:r w:rsidRPr="007A6DF0">
              <w:rPr>
                <w:lang w:val="es-ES_tradnl" w:eastAsia="ko-KR"/>
              </w:rPr>
              <w:t xml:space="preserve"> ×</w:t>
            </w:r>
            <w:r w:rsidRPr="007A6DF0">
              <w:rPr>
                <w:lang w:val="es-ES_tradnl"/>
              </w:rPr>
              <w:t xml:space="preserve"> 20 m(H)):</w:t>
            </w:r>
            <w:r w:rsidRPr="007A6DF0">
              <w:rPr>
                <w:color w:val="000000"/>
                <w:lang w:val="es-ES_tradnl"/>
              </w:rPr>
              <w:t xml:space="preserve"> se trata de una caso NLoS, la antena con una apertura del haz a media potencia de </w:t>
            </w:r>
            <w:r w:rsidRPr="007A6DF0">
              <w:rPr>
                <w:lang w:val="es-ES_tradnl"/>
              </w:rPr>
              <w:t xml:space="preserve">60°para el transmisor se encuentra a un altura de 8 m, y la antena con una apertura del haz de 10° para el receptor se encuentra a 1,5 m sobre el suelo. El valor se obtuvo a partir de la ganancia máxima del trayecto teniendo en cuenta varias orientaciones de antenas de transmisión y de recepción. </w:t>
            </w:r>
          </w:p>
          <w:p w:rsidR="001F77B3" w:rsidRPr="007A6DF0" w:rsidRDefault="001F77B3" w:rsidP="008E512C">
            <w:pPr>
              <w:pStyle w:val="Tablelegend"/>
              <w:rPr>
                <w:position w:val="6"/>
                <w:sz w:val="18"/>
                <w:vertAlign w:val="superscript"/>
                <w:lang w:val="es-ES_tradnl"/>
              </w:rPr>
            </w:pPr>
            <w:r w:rsidRPr="007A6DF0">
              <w:rPr>
                <w:vertAlign w:val="superscript"/>
                <w:lang w:val="es-ES_tradnl"/>
              </w:rPr>
              <w:t>(9)</w:t>
            </w:r>
            <w:r w:rsidRPr="007A6DF0">
              <w:rPr>
                <w:lang w:val="es-ES_tradnl"/>
              </w:rPr>
              <w:tab/>
              <w:t xml:space="preserve">El transmisor y el receptor se encuentran en un pasillo con </w:t>
            </w:r>
            <w:r w:rsidRPr="007A6DF0">
              <w:rPr>
                <w:color w:val="000000"/>
                <w:lang w:val="es-ES_tradnl"/>
              </w:rPr>
              <w:t>visibilidad directa</w:t>
            </w:r>
            <w:r w:rsidRPr="007A6DF0">
              <w:rPr>
                <w:lang w:val="es-ES_tradnl"/>
              </w:rPr>
              <w:t xml:space="preserve"> (LoS).</w:t>
            </w:r>
            <w:r w:rsidRPr="007A6DF0">
              <w:rPr>
                <w:position w:val="6"/>
                <w:sz w:val="18"/>
                <w:vertAlign w:val="superscript"/>
                <w:lang w:val="es-ES_tradnl"/>
              </w:rPr>
              <w:t xml:space="preserve"> </w:t>
            </w:r>
          </w:p>
        </w:tc>
      </w:tr>
    </w:tbl>
    <w:p w:rsidR="001F77B3" w:rsidRPr="007A6DF0" w:rsidRDefault="001F77B3" w:rsidP="001F77B3">
      <w:pPr>
        <w:pStyle w:val="TableNo"/>
        <w:rPr>
          <w:lang w:val="es-ES_tradnl"/>
        </w:rPr>
      </w:pPr>
      <w:r w:rsidRPr="007A6DF0">
        <w:rPr>
          <w:lang w:val="es-ES_tradnl"/>
        </w:rPr>
        <w:t>CUADRO  3</w:t>
      </w:r>
    </w:p>
    <w:p w:rsidR="001F77B3" w:rsidRPr="007A6DF0" w:rsidRDefault="001F77B3" w:rsidP="001F77B3">
      <w:pPr>
        <w:pStyle w:val="Tabletitle"/>
        <w:rPr>
          <w:lang w:val="es-ES_tradnl"/>
        </w:rPr>
      </w:pPr>
      <w:r w:rsidRPr="007A6DF0">
        <w:rPr>
          <w:lang w:val="es-ES_tradnl"/>
        </w:rPr>
        <w:t xml:space="preserve">Factores de pérdida de penetración en el suelo, </w:t>
      </w:r>
      <w:r w:rsidRPr="007A6DF0">
        <w:rPr>
          <w:i/>
          <w:lang w:val="es-ES_tradnl"/>
        </w:rPr>
        <w:t>L</w:t>
      </w:r>
      <w:r w:rsidRPr="007A6DF0">
        <w:rPr>
          <w:i/>
          <w:vertAlign w:val="subscript"/>
          <w:lang w:val="es-ES_tradnl"/>
        </w:rPr>
        <w:t>f</w:t>
      </w:r>
      <w:r w:rsidRPr="007A6DF0">
        <w:rPr>
          <w:lang w:val="es-ES_tradnl"/>
        </w:rPr>
        <w:t xml:space="preserve"> (dB), siendo </w:t>
      </w:r>
      <w:r w:rsidRPr="007A6DF0">
        <w:rPr>
          <w:i/>
          <w:lang w:val="es-ES_tradnl"/>
        </w:rPr>
        <w:t>n</w:t>
      </w:r>
      <w:r w:rsidRPr="007A6DF0">
        <w:rPr>
          <w:lang w:val="es-ES_tradnl"/>
        </w:rPr>
        <w:br/>
        <w:t>el número de pisos penetrados, para el cálculo de la pérdida</w:t>
      </w:r>
      <w:r w:rsidRPr="007A6DF0">
        <w:rPr>
          <w:lang w:val="es-ES_tradnl"/>
        </w:rPr>
        <w:br/>
        <w:t>de transmisión en interiores (</w:t>
      </w:r>
      <w:r w:rsidRPr="007A6DF0">
        <w:rPr>
          <w:i/>
          <w:iCs/>
          <w:lang w:val="es-ES_tradnl"/>
        </w:rPr>
        <w:t>n</w:t>
      </w:r>
      <w:r w:rsidRPr="007A6DF0">
        <w:rPr>
          <w:lang w:val="es-ES_tradnl"/>
        </w:rPr>
        <w:t xml:space="preserve"> </w:t>
      </w:r>
      <w:r w:rsidRPr="007A6DF0">
        <w:rPr>
          <w:lang w:val="es-ES_tradnl"/>
        </w:rPr>
        <w:sym w:font="Symbol" w:char="F0B3"/>
      </w:r>
      <w:r w:rsidRPr="007A6DF0">
        <w:rPr>
          <w:lang w:val="es-ES_tradnl"/>
        </w:rPr>
        <w:t xml:space="preserve"> 1)</w:t>
      </w:r>
    </w:p>
    <w:tbl>
      <w:tblPr>
        <w:tblW w:w="9647" w:type="dxa"/>
        <w:jc w:val="center"/>
        <w:tblLayout w:type="fixed"/>
        <w:tblCellMar>
          <w:left w:w="107" w:type="dxa"/>
          <w:right w:w="107" w:type="dxa"/>
        </w:tblCellMar>
        <w:tblLook w:val="0000" w:firstRow="0" w:lastRow="0" w:firstColumn="0" w:lastColumn="0" w:noHBand="0" w:noVBand="0"/>
      </w:tblPr>
      <w:tblGrid>
        <w:gridCol w:w="8"/>
        <w:gridCol w:w="2409"/>
        <w:gridCol w:w="2410"/>
        <w:gridCol w:w="2410"/>
        <w:gridCol w:w="2402"/>
        <w:gridCol w:w="8"/>
      </w:tblGrid>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Frecuencia</w:t>
            </w:r>
          </w:p>
        </w:tc>
        <w:tc>
          <w:tcPr>
            <w:tcW w:w="2410"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residencial</w:t>
            </w:r>
          </w:p>
        </w:tc>
        <w:tc>
          <w:tcPr>
            <w:tcW w:w="2410"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de oficinas</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comercial</w:t>
            </w:r>
          </w:p>
        </w:tc>
      </w:tr>
      <w:tr w:rsidR="001F77B3" w:rsidRPr="007A6DF0" w:rsidTr="008E512C">
        <w:trPr>
          <w:gridBefore w:val="1"/>
          <w:wBefore w:w="8" w:type="dxa"/>
          <w:cantSplit/>
          <w:trHeight w:val="788"/>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900 MHz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9 (1 piso)</w:t>
            </w:r>
            <w:r w:rsidRPr="007A6DF0">
              <w:rPr>
                <w:lang w:val="es-ES_tradnl"/>
              </w:rPr>
              <w:br/>
              <w:t>19 (2 pisos)</w:t>
            </w:r>
            <w:r w:rsidRPr="007A6DF0">
              <w:rPr>
                <w:lang w:val="es-ES_tradnl"/>
              </w:rPr>
              <w:br/>
              <w:t>24 (3 pisos)</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1,8-2 GHz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 xml:space="preserve">4 </w:t>
            </w:r>
            <w:r w:rsidRPr="007A6DF0">
              <w:rPr>
                <w:i/>
                <w:lang w:val="es-ES_tradnl"/>
              </w:rPr>
              <w:t>n</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15 + 4 (</w:t>
            </w:r>
            <w:r w:rsidRPr="007A6DF0">
              <w:rPr>
                <w:i/>
                <w:lang w:val="es-ES_tradnl"/>
              </w:rPr>
              <w:t>n</w:t>
            </w:r>
            <w:r w:rsidRPr="007A6DF0">
              <w:rPr>
                <w:lang w:val="es-ES_tradnl"/>
              </w:rPr>
              <w:t xml:space="preserve"> – 1)</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 + 3 (</w:t>
            </w:r>
            <w:r w:rsidRPr="007A6DF0">
              <w:rPr>
                <w:i/>
                <w:lang w:val="es-ES_tradnl"/>
              </w:rPr>
              <w:t>n</w:t>
            </w:r>
            <w:r w:rsidRPr="007A6DF0">
              <w:rPr>
                <w:lang w:val="es-ES_tradnl"/>
              </w:rPr>
              <w:t xml:space="preserve"> – 1)</w:t>
            </w:r>
          </w:p>
        </w:tc>
      </w:tr>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2,4 GHz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r w:rsidRPr="007A6DF0">
              <w:rPr>
                <w:vertAlign w:val="superscript"/>
                <w:lang w:val="es-ES_tradnl"/>
              </w:rPr>
              <w:t>(1)</w:t>
            </w:r>
            <w:r w:rsidRPr="007A6DF0">
              <w:rPr>
                <w:lang w:val="es-ES_tradnl"/>
              </w:rPr>
              <w:t xml:space="preserve"> (apartamento)</w:t>
            </w:r>
            <w:r w:rsidRPr="007A6DF0">
              <w:rPr>
                <w:lang w:val="es-ES_tradnl"/>
              </w:rPr>
              <w:br/>
              <w:t>5 (casa)</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14</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3,5 GHz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18 (1 piso)</w:t>
            </w:r>
            <w:r w:rsidRPr="007A6DF0">
              <w:rPr>
                <w:lang w:val="es-ES_tradnl"/>
              </w:rPr>
              <w:br/>
              <w:t>26 (2 pisos)</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5,2 GHz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13</w:t>
            </w:r>
            <w:r w:rsidRPr="007A6DF0">
              <w:rPr>
                <w:vertAlign w:val="superscript"/>
                <w:lang w:val="es-ES_tradnl"/>
              </w:rPr>
              <w:t>(1)</w:t>
            </w:r>
            <w:r w:rsidRPr="007A6DF0">
              <w:rPr>
                <w:lang w:val="es-ES_tradnl"/>
              </w:rPr>
              <w:t xml:space="preserve"> (apartamento)</w:t>
            </w:r>
            <w:r w:rsidRPr="007A6DF0">
              <w:rPr>
                <w:lang w:val="es-ES_tradnl"/>
              </w:rPr>
              <w:br/>
              <w:t>7</w:t>
            </w:r>
            <w:r w:rsidRPr="007A6DF0">
              <w:rPr>
                <w:vertAlign w:val="superscript"/>
                <w:lang w:val="es-ES_tradnl"/>
              </w:rPr>
              <w:t>(2)</w:t>
            </w:r>
            <w:r w:rsidRPr="007A6DF0">
              <w:rPr>
                <w:lang w:val="es-ES_tradnl"/>
              </w:rPr>
              <w:t xml:space="preserve"> (casa)</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16 (1 piso)</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5,8 GHz</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410"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 (1 piso)</w:t>
            </w:r>
            <w:r w:rsidRPr="007A6DF0">
              <w:rPr>
                <w:lang w:val="es-ES_tradnl"/>
              </w:rPr>
              <w:br/>
              <w:t>28 (2 pisos)</w:t>
            </w:r>
          </w:p>
        </w:tc>
        <w:tc>
          <w:tcPr>
            <w:tcW w:w="2410" w:type="dxa"/>
            <w:gridSpan w:val="2"/>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297D25" w:rsidTr="008E512C">
        <w:trPr>
          <w:gridAfter w:val="1"/>
          <w:wAfter w:w="8" w:type="dxa"/>
          <w:cantSplit/>
          <w:jc w:val="center"/>
        </w:trPr>
        <w:tc>
          <w:tcPr>
            <w:tcW w:w="9639" w:type="dxa"/>
            <w:gridSpan w:val="5"/>
            <w:tcBorders>
              <w:top w:val="single" w:sz="4" w:space="0" w:color="auto"/>
            </w:tcBorders>
          </w:tcPr>
          <w:p w:rsidR="001F77B3" w:rsidRPr="007A6DF0" w:rsidRDefault="001F77B3" w:rsidP="008E512C">
            <w:pPr>
              <w:pStyle w:val="Tablelegend"/>
              <w:keepNext/>
              <w:keepLines/>
              <w:tabs>
                <w:tab w:val="clear" w:pos="284"/>
                <w:tab w:val="left" w:pos="283"/>
              </w:tabs>
              <w:rPr>
                <w:lang w:val="es-ES_tradnl"/>
              </w:rPr>
            </w:pPr>
            <w:r w:rsidRPr="007A6DF0">
              <w:rPr>
                <w:vertAlign w:val="superscript"/>
                <w:lang w:val="es-ES_tradnl"/>
              </w:rPr>
              <w:t>(1)</w:t>
            </w:r>
            <w:r w:rsidRPr="007A6DF0">
              <w:rPr>
                <w:lang w:val="es-ES_tradnl"/>
              </w:rPr>
              <w:tab/>
              <w:t>Pared de cemento.</w:t>
            </w:r>
          </w:p>
          <w:p w:rsidR="001F77B3" w:rsidRPr="007A6DF0" w:rsidRDefault="001F77B3" w:rsidP="008E512C">
            <w:pPr>
              <w:pStyle w:val="Tablelegend"/>
              <w:keepNext/>
              <w:keepLines/>
              <w:tabs>
                <w:tab w:val="clear" w:pos="284"/>
                <w:tab w:val="left" w:pos="283"/>
              </w:tabs>
              <w:rPr>
                <w:lang w:val="es-ES_tradnl"/>
              </w:rPr>
            </w:pPr>
            <w:r w:rsidRPr="007A6DF0">
              <w:rPr>
                <w:vertAlign w:val="superscript"/>
                <w:lang w:val="es-ES_tradnl"/>
              </w:rPr>
              <w:t>(2)</w:t>
            </w:r>
            <w:r w:rsidRPr="007A6DF0">
              <w:rPr>
                <w:lang w:val="es-ES_tradnl"/>
              </w:rPr>
              <w:tab/>
              <w:t>Conglomerado de madera.</w:t>
            </w:r>
          </w:p>
        </w:tc>
      </w:tr>
    </w:tbl>
    <w:p w:rsidR="001F77B3" w:rsidRPr="007A6DF0" w:rsidRDefault="001F77B3" w:rsidP="001F77B3">
      <w:pPr>
        <w:pStyle w:val="Tablefin"/>
        <w:rPr>
          <w:lang w:val="es-ES_tradnl"/>
        </w:rPr>
      </w:pPr>
    </w:p>
    <w:p w:rsidR="001F77B3" w:rsidRPr="007A6DF0" w:rsidRDefault="001F77B3" w:rsidP="001F77B3">
      <w:pPr>
        <w:rPr>
          <w:lang w:val="es-ES_tradnl"/>
        </w:rPr>
      </w:pPr>
      <w:r w:rsidRPr="007A6DF0">
        <w:rPr>
          <w:lang w:val="es-ES_tradnl"/>
        </w:rPr>
        <w:t>En las diferentes bandas de frecuencias en que no se disponga de un coeficiente de pérdida de potencia aplicable a los edificios residenciales, puede utilizarse el correspondiente a los edificios de oficinas.</w:t>
      </w:r>
    </w:p>
    <w:p w:rsidR="001F77B3" w:rsidRPr="007A6DF0" w:rsidRDefault="001F77B3" w:rsidP="001F77B3">
      <w:pPr>
        <w:rPr>
          <w:lang w:val="es-ES_tradnl"/>
        </w:rPr>
      </w:pPr>
      <w:r w:rsidRPr="007A6DF0">
        <w:rPr>
          <w:lang w:val="es-ES_tradnl"/>
        </w:rPr>
        <w:t>Hay que señalar que puede haber un límite al aislamiento previsto a través de varios pisos. La señal puede pasar por otros trayectos externos para completar el enlace con una pérdida total inferior a la pérdida de penetración a través de un gran número de pisos.</w:t>
      </w:r>
    </w:p>
    <w:p w:rsidR="001F77B3" w:rsidRPr="007A6DF0" w:rsidRDefault="001F77B3" w:rsidP="001F77B3">
      <w:pPr>
        <w:rPr>
          <w:lang w:val="es-ES_tradnl"/>
        </w:rPr>
      </w:pPr>
      <w:r w:rsidRPr="007A6DF0">
        <w:rPr>
          <w:lang w:val="es-ES_tradnl"/>
        </w:rPr>
        <w:lastRenderedPageBreak/>
        <w:t xml:space="preserve">Cuando se excluyen los trayectos externos, las mediciones en 5,2 GHz han demostrado que con incidencia normal la pérdida adicional media debida a un suelo de cemento reforzado típico con un techo falso suspendido es de 20 dB, con una desviación típica de 1,5 dB. Los dispositivos de iluminación aumentaron las pérdidas medias a 30 dB, con una desviación típica de 3 dB, y los conductos de aire bajo el suelo aumentaron las pérdidas medias a 36 dB, con una desviación típica de 5 dB. En modelos específicos al lugar tales como trazados de rayos deberán utilizarse estos valores en vez de </w:t>
      </w:r>
      <w:r w:rsidRPr="007A6DF0">
        <w:rPr>
          <w:i/>
          <w:iCs/>
          <w:lang w:val="es-ES_tradnl"/>
        </w:rPr>
        <w:t>L</w:t>
      </w:r>
      <w:r w:rsidRPr="007A6DF0">
        <w:rPr>
          <w:i/>
          <w:vertAlign w:val="subscript"/>
          <w:lang w:val="es-ES_tradnl"/>
        </w:rPr>
        <w:t>f</w:t>
      </w:r>
      <w:r w:rsidRPr="007A6DF0">
        <w:rPr>
          <w:lang w:val="es-ES_tradnl"/>
        </w:rPr>
        <w:t>.</w:t>
      </w:r>
    </w:p>
    <w:p w:rsidR="001F77B3" w:rsidRPr="007A6DF0" w:rsidRDefault="001F77B3" w:rsidP="001F77B3">
      <w:pPr>
        <w:rPr>
          <w:lang w:val="es-ES_tradnl"/>
        </w:rPr>
      </w:pPr>
      <w:r w:rsidRPr="007A6DF0">
        <w:rPr>
          <w:lang w:val="es-ES_tradnl"/>
        </w:rPr>
        <w:t>Las estadísticas de desvanecimiento debido a sombras en interiores son log-normales y los valores de desviación típica (dB) figuran en el Cuadro 4.</w:t>
      </w:r>
    </w:p>
    <w:p w:rsidR="001F77B3" w:rsidRPr="007A6DF0" w:rsidRDefault="001F77B3" w:rsidP="001F77B3">
      <w:pPr>
        <w:pStyle w:val="TableNo"/>
        <w:rPr>
          <w:lang w:val="es-ES_tradnl"/>
        </w:rPr>
      </w:pPr>
      <w:r w:rsidRPr="007A6DF0">
        <w:rPr>
          <w:lang w:val="es-ES_tradnl"/>
        </w:rPr>
        <w:t>CUADRO  4</w:t>
      </w:r>
    </w:p>
    <w:p w:rsidR="001F77B3" w:rsidRPr="007A6DF0" w:rsidRDefault="001F77B3" w:rsidP="001F77B3">
      <w:pPr>
        <w:pStyle w:val="Tabletitle"/>
        <w:rPr>
          <w:lang w:val="es-ES_tradnl"/>
        </w:rPr>
      </w:pPr>
      <w:r w:rsidRPr="007A6DF0">
        <w:rPr>
          <w:lang w:val="es-ES_tradnl"/>
        </w:rPr>
        <w:t>Estadísticas de desvanecimiento debido a sombras, desviación típica (dB)</w:t>
      </w:r>
      <w:r w:rsidRPr="007A6DF0">
        <w:rPr>
          <w:lang w:val="es-ES_tradnl"/>
        </w:rPr>
        <w:br/>
        <w:t>para el cálculo de la pérdida de transmisión en interiores</w:t>
      </w:r>
    </w:p>
    <w:tbl>
      <w:tblPr>
        <w:tblW w:w="0" w:type="auto"/>
        <w:jc w:val="center"/>
        <w:tblLayout w:type="fixed"/>
        <w:tblCellMar>
          <w:left w:w="107" w:type="dxa"/>
          <w:right w:w="107" w:type="dxa"/>
        </w:tblCellMar>
        <w:tblLook w:val="0000" w:firstRow="0" w:lastRow="0" w:firstColumn="0" w:lastColumn="0" w:noHBand="0" w:noVBand="0"/>
      </w:tblPr>
      <w:tblGrid>
        <w:gridCol w:w="2268"/>
        <w:gridCol w:w="2268"/>
        <w:gridCol w:w="2268"/>
        <w:gridCol w:w="2268"/>
      </w:tblGrid>
      <w:tr w:rsidR="001F77B3" w:rsidRPr="007A6DF0" w:rsidTr="008E512C">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Frecuencia</w:t>
            </w:r>
            <w:r w:rsidRPr="007A6DF0">
              <w:rPr>
                <w:lang w:val="es-ES_tradnl"/>
              </w:rPr>
              <w:br/>
              <w:t>(GHz)</w:t>
            </w:r>
          </w:p>
        </w:tc>
        <w:tc>
          <w:tcPr>
            <w:tcW w:w="226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residencial</w:t>
            </w:r>
          </w:p>
        </w:tc>
        <w:tc>
          <w:tcPr>
            <w:tcW w:w="226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de oficinas</w:t>
            </w:r>
          </w:p>
        </w:tc>
        <w:tc>
          <w:tcPr>
            <w:tcW w:w="226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Edificio comercial</w:t>
            </w:r>
          </w:p>
        </w:tc>
      </w:tr>
      <w:tr w:rsidR="001F77B3" w:rsidRPr="007A6DF0" w:rsidTr="008E512C">
        <w:trPr>
          <w:cantSplit/>
          <w:jc w:val="center"/>
        </w:trPr>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1,8-2</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p>
        </w:tc>
      </w:tr>
      <w:tr w:rsidR="001F77B3" w:rsidRPr="007A6DF0" w:rsidTr="008E512C">
        <w:trPr>
          <w:cantSplit/>
          <w:jc w:val="center"/>
        </w:trPr>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3,5</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jc w:val="center"/>
        </w:trPr>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5,2</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12</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jc w:val="center"/>
        </w:trPr>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5,8</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w:t>
            </w:r>
          </w:p>
        </w:tc>
      </w:tr>
      <w:tr w:rsidR="001F77B3" w:rsidRPr="007A6DF0" w:rsidTr="008E512C">
        <w:trPr>
          <w:cantSplit/>
          <w:jc w:val="center"/>
        </w:trPr>
        <w:tc>
          <w:tcPr>
            <w:tcW w:w="2268" w:type="dxa"/>
            <w:tcBorders>
              <w:top w:val="single" w:sz="6" w:space="0" w:color="auto"/>
              <w:left w:val="single" w:sz="6" w:space="0" w:color="auto"/>
              <w:bottom w:val="single" w:sz="4"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28</w:t>
            </w:r>
          </w:p>
        </w:tc>
        <w:tc>
          <w:tcPr>
            <w:tcW w:w="2268" w:type="dxa"/>
            <w:tcBorders>
              <w:top w:val="single" w:sz="6" w:space="0" w:color="auto"/>
              <w:left w:val="single" w:sz="6" w:space="0" w:color="auto"/>
              <w:bottom w:val="single" w:sz="4" w:space="0" w:color="auto"/>
              <w:right w:val="single" w:sz="6" w:space="0" w:color="auto"/>
            </w:tcBorders>
          </w:tcPr>
          <w:p w:rsidR="001F77B3" w:rsidRPr="007A6DF0" w:rsidRDefault="001F77B3" w:rsidP="008E512C">
            <w:pPr>
              <w:pStyle w:val="Tabletext"/>
              <w:jc w:val="center"/>
              <w:rPr>
                <w:lang w:val="es-ES_tradnl"/>
              </w:rPr>
            </w:pPr>
          </w:p>
        </w:tc>
        <w:tc>
          <w:tcPr>
            <w:tcW w:w="2268" w:type="dxa"/>
            <w:tcBorders>
              <w:top w:val="single" w:sz="6" w:space="0" w:color="auto"/>
              <w:left w:val="single" w:sz="6" w:space="0" w:color="auto"/>
              <w:bottom w:val="single" w:sz="4" w:space="0" w:color="auto"/>
              <w:right w:val="single" w:sz="6" w:space="0" w:color="auto"/>
            </w:tcBorders>
          </w:tcPr>
          <w:p w:rsidR="001F77B3" w:rsidRPr="007A6DF0" w:rsidRDefault="001F77B3" w:rsidP="008E512C">
            <w:pPr>
              <w:pStyle w:val="Tabletext"/>
              <w:jc w:val="center"/>
              <w:rPr>
                <w:lang w:val="es-ES_tradnl"/>
              </w:rPr>
            </w:pPr>
          </w:p>
        </w:tc>
        <w:tc>
          <w:tcPr>
            <w:tcW w:w="2268" w:type="dxa"/>
            <w:tcBorders>
              <w:top w:val="single" w:sz="6" w:space="0" w:color="auto"/>
              <w:left w:val="single" w:sz="6" w:space="0" w:color="auto"/>
              <w:bottom w:val="single" w:sz="4" w:space="0" w:color="auto"/>
              <w:right w:val="single" w:sz="6" w:space="0" w:color="auto"/>
            </w:tcBorders>
          </w:tcPr>
          <w:p w:rsidR="001F77B3" w:rsidRPr="007A6DF0" w:rsidRDefault="001F77B3" w:rsidP="008E512C">
            <w:pPr>
              <w:pStyle w:val="Tabletext"/>
              <w:jc w:val="center"/>
              <w:rPr>
                <w:lang w:val="es-ES_tradnl"/>
              </w:rPr>
            </w:pPr>
            <w:r w:rsidRPr="007A6DF0">
              <w:rPr>
                <w:lang w:val="es-ES_tradnl" w:eastAsia="ko-KR"/>
              </w:rPr>
              <w:t>6.7</w:t>
            </w:r>
            <w:r w:rsidRPr="007A6DF0">
              <w:rPr>
                <w:vertAlign w:val="superscript"/>
                <w:lang w:val="es-ES_tradnl" w:eastAsia="ja-JP"/>
              </w:rPr>
              <w:t>(</w:t>
            </w:r>
            <w:r w:rsidRPr="007A6DF0">
              <w:rPr>
                <w:vertAlign w:val="superscript"/>
                <w:lang w:val="es-ES_tradnl" w:eastAsia="ko-KR"/>
              </w:rPr>
              <w:t>1</w:t>
            </w:r>
            <w:r w:rsidRPr="007A6DF0">
              <w:rPr>
                <w:vertAlign w:val="superscript"/>
                <w:lang w:val="es-ES_tradnl" w:eastAsia="ja-JP"/>
              </w:rPr>
              <w:t>)</w:t>
            </w:r>
          </w:p>
        </w:tc>
      </w:tr>
      <w:tr w:rsidR="001F77B3" w:rsidRPr="00297D25" w:rsidTr="008E512C">
        <w:trPr>
          <w:cantSplit/>
          <w:jc w:val="center"/>
        </w:trPr>
        <w:tc>
          <w:tcPr>
            <w:tcW w:w="9072" w:type="dxa"/>
            <w:gridSpan w:val="4"/>
            <w:tcBorders>
              <w:top w:val="single" w:sz="4" w:space="0" w:color="auto"/>
            </w:tcBorders>
          </w:tcPr>
          <w:p w:rsidR="001F77B3" w:rsidRPr="007A6DF0" w:rsidRDefault="001F77B3" w:rsidP="008E512C">
            <w:pPr>
              <w:pStyle w:val="Tablelegend"/>
              <w:keepNext/>
              <w:keepLines/>
              <w:rPr>
                <w:lang w:val="es-ES_tradnl"/>
              </w:rPr>
            </w:pPr>
            <w:r w:rsidRPr="007A6DF0">
              <w:rPr>
                <w:vertAlign w:val="superscript"/>
                <w:lang w:val="es-ES_tradnl"/>
              </w:rPr>
              <w:t>(1)</w:t>
            </w:r>
            <w:r w:rsidRPr="007A6DF0">
              <w:rPr>
                <w:lang w:val="es-ES_tradnl"/>
              </w:rPr>
              <w:tab/>
              <w:t>Estación de ferrocarril (170 m</w:t>
            </w:r>
            <w:r w:rsidRPr="007A6DF0">
              <w:rPr>
                <w:lang w:val="es-ES_tradnl" w:eastAsia="ko-KR"/>
              </w:rPr>
              <w:t xml:space="preserve"> ×</w:t>
            </w:r>
            <w:r w:rsidRPr="007A6DF0">
              <w:rPr>
                <w:lang w:val="es-ES_tradnl"/>
              </w:rPr>
              <w:t xml:space="preserve"> 45 m</w:t>
            </w:r>
            <w:r w:rsidRPr="007A6DF0">
              <w:rPr>
                <w:lang w:val="es-ES_tradnl" w:eastAsia="ko-KR"/>
              </w:rPr>
              <w:t xml:space="preserve"> ×</w:t>
            </w:r>
            <w:r w:rsidRPr="007A6DF0">
              <w:rPr>
                <w:lang w:val="es-ES_tradnl"/>
              </w:rPr>
              <w:t xml:space="preserve"> 21 m(H)) y terminal de aeropuerto (650 m </w:t>
            </w:r>
            <w:r w:rsidRPr="007A6DF0">
              <w:rPr>
                <w:lang w:val="es-ES_tradnl" w:eastAsia="ko-KR"/>
              </w:rPr>
              <w:t>×</w:t>
            </w:r>
            <w:r w:rsidRPr="007A6DF0">
              <w:rPr>
                <w:lang w:val="es-ES_tradnl"/>
              </w:rPr>
              <w:t xml:space="preserve"> 82 m</w:t>
            </w:r>
            <w:r w:rsidRPr="007A6DF0">
              <w:rPr>
                <w:lang w:val="es-ES_tradnl" w:eastAsia="ko-KR"/>
              </w:rPr>
              <w:t xml:space="preserve"> ×</w:t>
            </w:r>
            <w:r w:rsidRPr="007A6DF0">
              <w:rPr>
                <w:lang w:val="es-ES_tradnl"/>
              </w:rPr>
              <w:t xml:space="preserve"> 20 m(H)):</w:t>
            </w:r>
            <w:r w:rsidRPr="007A6DF0">
              <w:rPr>
                <w:color w:val="000000"/>
                <w:lang w:val="es-ES_tradnl"/>
              </w:rPr>
              <w:t xml:space="preserve"> se trata de una caso NLoS, la antena con una apertura del haz a media potencia de </w:t>
            </w:r>
            <w:r w:rsidRPr="007A6DF0">
              <w:rPr>
                <w:lang w:val="es-ES_tradnl"/>
              </w:rPr>
              <w:t>60°para el transmisor se encuentra a un altura de 8 m, y la antena con una apertura del haz de 10° para el receptor se encuentra a 1,5 m sobre el suelo. El valor se obtuvo a partir de la ganancia máxima del trayecto teniendo en cuenta varias orientaciones de antenas de transmisión y de recepción.</w:t>
            </w:r>
          </w:p>
        </w:tc>
      </w:tr>
    </w:tbl>
    <w:p w:rsidR="001F77B3" w:rsidRPr="007A6DF0" w:rsidRDefault="001F77B3" w:rsidP="001F77B3">
      <w:pPr>
        <w:pStyle w:val="Tablefin"/>
        <w:rPr>
          <w:lang w:val="es-ES_tradnl"/>
        </w:rPr>
      </w:pPr>
    </w:p>
    <w:p w:rsidR="001F77B3" w:rsidRPr="007A6DF0" w:rsidRDefault="001F77B3" w:rsidP="001F77B3">
      <w:pPr>
        <w:rPr>
          <w:lang w:val="es-ES_tradnl"/>
        </w:rPr>
      </w:pPr>
      <w:r w:rsidRPr="007A6DF0">
        <w:rPr>
          <w:lang w:val="es-ES_tradnl"/>
        </w:rPr>
        <w:t>Aunque las mediciones se han realizado en condiciones diferentes, lo cual dificulta las comparaciones directas, y sólo se han comunicado resultados sobre un número limitado de bandas de frecuencias, se pueden sacar unas cuantas conclusiones generales, especialmente en el caso de la</w:t>
      </w:r>
      <w:r w:rsidR="008E512C">
        <w:rPr>
          <w:lang w:val="es-ES_tradnl"/>
        </w:rPr>
        <w:t xml:space="preserve"> banda 900</w:t>
      </w:r>
      <w:r w:rsidR="008E512C">
        <w:rPr>
          <w:lang w:val="es-ES_tradnl"/>
        </w:rPr>
        <w:noBreakHyphen/>
      </w:r>
      <w:r w:rsidRPr="007A6DF0">
        <w:rPr>
          <w:lang w:val="es-ES_tradnl"/>
        </w:rPr>
        <w:t>2 000 MHz.</w:t>
      </w:r>
    </w:p>
    <w:p w:rsidR="001F77B3" w:rsidRPr="007A6DF0" w:rsidRDefault="001F77B3" w:rsidP="001F77B3">
      <w:pPr>
        <w:pStyle w:val="enumlev1"/>
        <w:rPr>
          <w:lang w:val="es-ES_tradnl"/>
        </w:rPr>
      </w:pPr>
      <w:r w:rsidRPr="007A6DF0">
        <w:rPr>
          <w:lang w:val="es-ES_tradnl"/>
        </w:rPr>
        <w:t>–</w:t>
      </w:r>
      <w:r w:rsidRPr="007A6DF0">
        <w:rPr>
          <w:lang w:val="es-ES_tradnl"/>
        </w:rPr>
        <w:tab/>
        <w:t>En los trayectos con un componente de visibilidad directa predomina la pérdida en el espacio libre y estos trayectos tienen un coeficiente de aproximadamente 20 de pérdida de potencia debida a la distancia.</w:t>
      </w:r>
    </w:p>
    <w:p w:rsidR="001F77B3" w:rsidRPr="007A6DF0" w:rsidRDefault="001F77B3" w:rsidP="001F77B3">
      <w:pPr>
        <w:pStyle w:val="enumlev1"/>
        <w:rPr>
          <w:lang w:val="es-ES_tradnl"/>
        </w:rPr>
      </w:pPr>
      <w:r w:rsidRPr="007A6DF0">
        <w:rPr>
          <w:lang w:val="es-ES_tradnl"/>
        </w:rPr>
        <w:t>–</w:t>
      </w:r>
      <w:r w:rsidRPr="007A6DF0">
        <w:rPr>
          <w:lang w:val="es-ES_tradnl"/>
        </w:rPr>
        <w:tab/>
        <w:t>Las grandes salas abiertas tienen también un coeficiente de aproximadamente 20 de pérdida de potencia debida a la distancia; ello puede deberse a un importante componente de visibilidad directa en la mayoría de las zonas de la sala. A este respecto, pueden citarse los grandes almacenes, estadios deportivos y fábricas y oficinas sin separaciones interiores.</w:t>
      </w:r>
    </w:p>
    <w:p w:rsidR="001F77B3" w:rsidRPr="007A6DF0" w:rsidRDefault="001F77B3" w:rsidP="001F77B3">
      <w:pPr>
        <w:pStyle w:val="enumlev1"/>
        <w:rPr>
          <w:lang w:val="es-ES_tradnl"/>
        </w:rPr>
      </w:pPr>
      <w:r w:rsidRPr="007A6DF0">
        <w:rPr>
          <w:lang w:val="es-ES_tradnl"/>
        </w:rPr>
        <w:t>–</w:t>
      </w:r>
      <w:r w:rsidRPr="007A6DF0">
        <w:rPr>
          <w:lang w:val="es-ES_tradnl"/>
        </w:rPr>
        <w:tab/>
        <w:t>En los pasillos se registra una pérdida de trayecto inferior a la que se produce en espacio libre, con un coeficiente típico de aproximadamente 18 de pérdida de potencia debida a la distancia. Las tiendas de alimentación con largas estanterías lineales presentan la pérdida característica de los pasillos.</w:t>
      </w:r>
    </w:p>
    <w:p w:rsidR="001F77B3" w:rsidRPr="007A6DF0" w:rsidRDefault="001F77B3" w:rsidP="001F77B3">
      <w:pPr>
        <w:pStyle w:val="enumlev1"/>
        <w:rPr>
          <w:lang w:val="es-ES_tradnl"/>
        </w:rPr>
      </w:pPr>
      <w:r w:rsidRPr="007A6DF0">
        <w:rPr>
          <w:lang w:val="es-ES_tradnl"/>
        </w:rPr>
        <w:t>–</w:t>
      </w:r>
      <w:r w:rsidRPr="007A6DF0">
        <w:rPr>
          <w:lang w:val="es-ES_tradnl"/>
        </w:rPr>
        <w:tab/>
        <w:t>La propagación en torno a obstáculos y a través de paredes contribuye considerablemente a la pérdida que puede producirse al poder elevarse hasta un valor del orden de 40 el coeficiente de pérdida de potencia debida a la distancia en un entorno típico. A este respecto pueden citarse los espacios entre salas en edificios de oficinas con separaciones interiores.</w:t>
      </w:r>
    </w:p>
    <w:p w:rsidR="001F77B3" w:rsidRPr="007A6DF0" w:rsidRDefault="001F77B3" w:rsidP="001F77B3">
      <w:pPr>
        <w:pStyle w:val="enumlev1"/>
        <w:rPr>
          <w:lang w:val="es-ES_tradnl"/>
        </w:rPr>
      </w:pPr>
      <w:r w:rsidRPr="007A6DF0">
        <w:rPr>
          <w:lang w:val="es-ES_tradnl"/>
        </w:rPr>
        <w:lastRenderedPageBreak/>
        <w:t>–</w:t>
      </w:r>
      <w:r w:rsidRPr="007A6DF0">
        <w:rPr>
          <w:lang w:val="es-ES_tradnl"/>
        </w:rPr>
        <w:tab/>
        <w:t>En el caso de largos trayectos sin obstrucciones, puede producirse el primer umbral de zona de Fresnel. A esa distancia, el coeficiente de pérdida de potencia debida a la distancia puede pasar de 20 a 40 aproximadamente.</w:t>
      </w:r>
    </w:p>
    <w:p w:rsidR="001F77B3" w:rsidRPr="007A6DF0" w:rsidRDefault="001F77B3" w:rsidP="001F77B3">
      <w:pPr>
        <w:pStyle w:val="enumlev1"/>
        <w:rPr>
          <w:lang w:val="es-ES_tradnl"/>
        </w:rPr>
      </w:pPr>
      <w:r w:rsidRPr="007A6DF0">
        <w:rPr>
          <w:lang w:val="es-ES_tradnl"/>
        </w:rPr>
        <w:t>–</w:t>
      </w:r>
      <w:r w:rsidRPr="007A6DF0">
        <w:rPr>
          <w:lang w:val="es-ES_tradnl"/>
        </w:rPr>
        <w:tab/>
        <w:t>No siempre se observa o explica claramente la reducción del coeficiente de pérdida de trayecto con el aumento de la frecuencia para un entorno de oficina (Cuadro 2). Por otro lado, al aumentar la frecuencia, aumenta la pérdida debida a los obstáculos (por ejemplo, paredes, mobiliario), y las señales difractadas contribuyen menos a la potencia recibida; además, la zona de Fresnel está menos obstruida a frecuencias superiores, lo que produce una pérdida menor. La pérdida de trayecto real depende de estos mecanismos opuestos.</w:t>
      </w:r>
    </w:p>
    <w:p w:rsidR="001F77B3" w:rsidRPr="007A6DF0" w:rsidRDefault="001F77B3" w:rsidP="001F77B3">
      <w:pPr>
        <w:pStyle w:val="Heading2"/>
        <w:rPr>
          <w:lang w:val="es-ES_tradnl"/>
        </w:rPr>
      </w:pPr>
      <w:bookmarkStart w:id="15" w:name="_Toc108941585"/>
      <w:r w:rsidRPr="007A6DF0">
        <w:rPr>
          <w:lang w:val="es-ES_tradnl"/>
        </w:rPr>
        <w:t>3.2</w:t>
      </w:r>
      <w:r w:rsidRPr="007A6DF0">
        <w:rPr>
          <w:lang w:val="es-ES_tradnl"/>
        </w:rPr>
        <w:tab/>
        <w:t>Modelos específicos en cuanto al lugar de instalación</w:t>
      </w:r>
      <w:bookmarkEnd w:id="15"/>
    </w:p>
    <w:p w:rsidR="001F77B3" w:rsidRPr="007A6DF0" w:rsidRDefault="001F77B3" w:rsidP="001F77B3">
      <w:pPr>
        <w:rPr>
          <w:lang w:val="es-ES_tradnl"/>
        </w:rPr>
      </w:pPr>
      <w:r w:rsidRPr="007A6DF0">
        <w:rPr>
          <w:lang w:val="es-ES_tradnl"/>
        </w:rPr>
        <w:t>Para estimar la pérdida de trayecto o la intensidad de campo, también conviene utilizar modelos específicos en cuanto al lugar de instalación. Se dispone de modelos para predecir la intensidad de campo en interiores basados en la teoría uniforme de la difracción y técnicas de trazado de rayos. Para calcular la intensidad de campo en interiores se necesita información detallada sobre la estructura del edificio. Estos modelos combinan elementos empíricos con el método electromagnético teórico de la teoría uniforme de la difracción. El método tiene en cuenta los rayos directos, con una sola reflexión y una sola difracción, y puede ampliarse a múltiples difracciones o múltiples reflexiones, así como a combinaciones de rayos difractados y reflejados. Al incluir los rayos reflejados y difractados, la precisión de la predicción de la pérdida de trayecto aumenta considerablemente.</w:t>
      </w:r>
    </w:p>
    <w:p w:rsidR="001F77B3" w:rsidRPr="007A6DF0" w:rsidRDefault="001F77B3" w:rsidP="001F77B3">
      <w:pPr>
        <w:pStyle w:val="Heading1"/>
        <w:rPr>
          <w:lang w:val="es-ES_tradnl"/>
        </w:rPr>
      </w:pPr>
      <w:bookmarkStart w:id="16" w:name="_Toc392305220"/>
      <w:bookmarkStart w:id="17" w:name="_Toc108941586"/>
      <w:r w:rsidRPr="007A6DF0">
        <w:rPr>
          <w:lang w:val="es-ES_tradnl"/>
        </w:rPr>
        <w:t>4</w:t>
      </w:r>
      <w:r w:rsidRPr="007A6DF0">
        <w:rPr>
          <w:lang w:val="es-ES_tradnl"/>
        </w:rPr>
        <w:tab/>
        <w:t>Modelos de dispersión del retardo</w:t>
      </w:r>
      <w:bookmarkEnd w:id="16"/>
      <w:bookmarkEnd w:id="17"/>
    </w:p>
    <w:p w:rsidR="001F77B3" w:rsidRPr="007A6DF0" w:rsidRDefault="001F77B3" w:rsidP="001F77B3">
      <w:pPr>
        <w:pStyle w:val="Heading2"/>
        <w:rPr>
          <w:lang w:val="es-ES_tradnl"/>
        </w:rPr>
      </w:pPr>
      <w:bookmarkStart w:id="18" w:name="_Toc392305221"/>
      <w:bookmarkStart w:id="19" w:name="_Toc108941587"/>
      <w:r w:rsidRPr="007A6DF0">
        <w:rPr>
          <w:lang w:val="es-ES_tradnl"/>
        </w:rPr>
        <w:t>4.1</w:t>
      </w:r>
      <w:r w:rsidRPr="007A6DF0">
        <w:rPr>
          <w:lang w:val="es-ES_tradnl"/>
        </w:rPr>
        <w:tab/>
        <w:t>Trayectos múltiples</w:t>
      </w:r>
      <w:bookmarkEnd w:id="18"/>
      <w:bookmarkEnd w:id="19"/>
    </w:p>
    <w:p w:rsidR="001F77B3" w:rsidRPr="007A6DF0" w:rsidRDefault="001F77B3" w:rsidP="001F77B3">
      <w:pPr>
        <w:rPr>
          <w:lang w:val="es-ES_tradnl"/>
        </w:rPr>
      </w:pPr>
      <w:r w:rsidRPr="007A6DF0">
        <w:rPr>
          <w:lang w:val="es-ES_tradnl"/>
        </w:rPr>
        <w:t xml:space="preserve">El canal radioeléctrico de propagación móvil/portátil varía con el tiempo, la frecuencia y el desplazamiento espacial. Incluso en situación estática en que el transmisor y el receptor están fijos, el canal puede ser dinámico ya que puede haber dispersores y reflectores en movimiento. La expresión trayectos múltiples se justifica por el hecho de que, debido a la reflexión, la difracción y la dispersión, las ondas radioeléctricas pueden viajar por muchos trayectos de un transmisor a un receptor. Hay asociado con cada uno de esos trayectos un retardo proporcional a la longitud de los mismos. (Se puede obtener una estimación muy aproximada del retardo máximo que cabe esperar en un determinado entorno, tomando simplemente las dimensiones de una sala y sabiendo que el tiempo (ns) que tarda un impulso radioeléctrico en recorrer la distancia </w:t>
      </w:r>
      <w:r w:rsidRPr="007A6DF0">
        <w:rPr>
          <w:i/>
          <w:lang w:val="es-ES_tradnl"/>
        </w:rPr>
        <w:t>d</w:t>
      </w:r>
      <w:r w:rsidRPr="007A6DF0">
        <w:rPr>
          <w:lang w:val="es-ES_tradnl"/>
        </w:rPr>
        <w:t> (m) es de aproximadamente 3,3 </w:t>
      </w:r>
      <w:r w:rsidRPr="007A6DF0">
        <w:rPr>
          <w:i/>
          <w:lang w:val="es-ES_tradnl"/>
        </w:rPr>
        <w:t>d</w:t>
      </w:r>
      <w:r w:rsidRPr="007A6DF0">
        <w:rPr>
          <w:lang w:val="es-ES_tradnl"/>
        </w:rPr>
        <w:t>.) Estas señales retardadas, cada una de ellas con una amplitud asociada, forman un filtro lineal cuyas características varían con el tiempo.</w:t>
      </w:r>
    </w:p>
    <w:p w:rsidR="001F77B3" w:rsidRPr="007A6DF0" w:rsidRDefault="001F77B3" w:rsidP="001F77B3">
      <w:pPr>
        <w:pStyle w:val="Heading2"/>
        <w:rPr>
          <w:lang w:val="es-ES_tradnl"/>
        </w:rPr>
      </w:pPr>
      <w:bookmarkStart w:id="20" w:name="_Toc392305222"/>
      <w:bookmarkStart w:id="21" w:name="_Toc108941588"/>
      <w:r w:rsidRPr="007A6DF0">
        <w:rPr>
          <w:lang w:val="es-ES_tradnl"/>
        </w:rPr>
        <w:t>4.2</w:t>
      </w:r>
      <w:r w:rsidRPr="007A6DF0">
        <w:rPr>
          <w:lang w:val="es-ES_tradnl"/>
        </w:rPr>
        <w:tab/>
        <w:t>Respuesta a los impulsos</w:t>
      </w:r>
      <w:bookmarkEnd w:id="20"/>
      <w:bookmarkEnd w:id="21"/>
    </w:p>
    <w:p w:rsidR="001F77B3" w:rsidRPr="007A6DF0" w:rsidRDefault="001F77B3" w:rsidP="001F77B3">
      <w:pPr>
        <w:rPr>
          <w:lang w:val="es-ES_tradnl"/>
        </w:rPr>
      </w:pPr>
      <w:r w:rsidRPr="007A6DF0">
        <w:rPr>
          <w:lang w:val="es-ES_tradnl"/>
        </w:rPr>
        <w:t>El objetivo de la preparación de modelos de canales es ofrecer representaciones matemáticas precisas de la propagación radioeléctrica para utilizarlas en simulaciones de enlaces y sistemas radioeléctricos con el fin de elaborar modelos de instalación de sistemas. Como el canal radioeléctrico es lineal, queda descrito íntegramente por su respuesta a los impulsos. Una vez conocida la respuesta a los impulsos, puede determinarse la respuesta del canal radioeléctrico a cualquier elemento de entrada. En esto se basa la simulación de la calidad de funcionamiento de los enlaces.</w:t>
      </w:r>
    </w:p>
    <w:p w:rsidR="001F77B3" w:rsidRPr="007A6DF0" w:rsidRDefault="001F77B3" w:rsidP="001F77B3">
      <w:pPr>
        <w:rPr>
          <w:lang w:val="es-ES_tradnl"/>
        </w:rPr>
      </w:pPr>
      <w:r w:rsidRPr="007A6DF0">
        <w:rPr>
          <w:lang w:val="es-ES_tradnl"/>
        </w:rPr>
        <w:t xml:space="preserve">La respuesta a los impulsos se representa normalmente como densidad de potencia en función del exceso de retardo, con respecto a la primera señal detectable. Esta función suele denominarse perfil de retardo de potencia y se ejemplifica en la Fig. 1 de la Recomendación UIT-R P.1407, aunque la escala de tiempo de los canales en interiores debe medirse en nanosegundos y no en microsegundos. </w:t>
      </w:r>
      <w:r w:rsidRPr="007A6DF0">
        <w:rPr>
          <w:lang w:val="es-ES_tradnl"/>
        </w:rPr>
        <w:lastRenderedPageBreak/>
        <w:t>Esta Recomendación también contiene definiciones de varios parámetros que caracterizan los perfiles de respuesta a los impulsos.</w:t>
      </w:r>
    </w:p>
    <w:p w:rsidR="001F77B3" w:rsidRPr="007A6DF0" w:rsidRDefault="001F77B3" w:rsidP="001F77B3">
      <w:pPr>
        <w:rPr>
          <w:lang w:val="es-ES_tradnl"/>
        </w:rPr>
      </w:pPr>
      <w:r w:rsidRPr="007A6DF0">
        <w:rPr>
          <w:lang w:val="es-ES_tradnl"/>
        </w:rPr>
        <w:t xml:space="preserve">La respuesta de un canal a los impulsos varía con la posición del receptor y puede hacerlo también con el tiempo. En consecuencia, se mide y considera normalmente como una media de perfiles medidos en una longitud de onda para reducir los efectos del ruido, o en varias longitudes de onda para determinar un promedio espacial. Es importante definir claramente de qué media se habla e indicar cómo se ha calculado esa media. El procedimiento de promediación recomendado consiste en preparar un modelo estadístico de la siguiente forma: para cada estimación de la respuesta a los impulsos (perfil de retardo de potencia), hay que precisar los tiempos antes y después del retardo medio, </w:t>
      </w:r>
      <w:r w:rsidRPr="007A6DF0">
        <w:rPr>
          <w:i/>
          <w:lang w:val="es-ES_tradnl"/>
        </w:rPr>
        <w:t>T</w:t>
      </w:r>
      <w:r w:rsidRPr="007A6DF0">
        <w:rPr>
          <w:i/>
          <w:vertAlign w:val="subscript"/>
          <w:lang w:val="es-ES_tradnl"/>
        </w:rPr>
        <w:t>D</w:t>
      </w:r>
      <w:r w:rsidRPr="007A6DF0">
        <w:rPr>
          <w:lang w:val="es-ES_tradnl"/>
        </w:rPr>
        <w:t>, (véase la Recomendación UIT-R P.1407, por encima del cual la densidad de potencia no excede valores específicos (–10, –15, –20, –25, –30 dB) con respecto a la densidad de potencia máxima. El modelo queda constituido por el valor mediano y, si se desea, por el percentilo del 90% de las distribuciones de estos tiempos.</w:t>
      </w:r>
    </w:p>
    <w:p w:rsidR="001F77B3" w:rsidRPr="007A6DF0" w:rsidRDefault="001F77B3" w:rsidP="001F77B3">
      <w:pPr>
        <w:pStyle w:val="Heading2"/>
        <w:rPr>
          <w:lang w:val="es-ES_tradnl"/>
        </w:rPr>
      </w:pPr>
      <w:bookmarkStart w:id="22" w:name="_Toc108941589"/>
      <w:r w:rsidRPr="007A6DF0">
        <w:rPr>
          <w:lang w:val="es-ES_tradnl"/>
        </w:rPr>
        <w:t>4.3</w:t>
      </w:r>
      <w:r w:rsidRPr="007A6DF0">
        <w:rPr>
          <w:lang w:val="es-ES_tradnl"/>
        </w:rPr>
        <w:tab/>
        <w:t>Valor cuadrático medio (r.m.s.) de la dispersión del retardo</w:t>
      </w:r>
      <w:bookmarkEnd w:id="22"/>
    </w:p>
    <w:p w:rsidR="001F77B3" w:rsidRPr="007A6DF0" w:rsidRDefault="001F77B3" w:rsidP="001F77B3">
      <w:pPr>
        <w:rPr>
          <w:lang w:val="es-ES_tradnl"/>
        </w:rPr>
      </w:pPr>
      <w:r w:rsidRPr="007A6DF0">
        <w:rPr>
          <w:lang w:val="es-ES_tradnl"/>
        </w:rPr>
        <w:t>Como se ha indicado anteriormente, los perfiles del retardo de potencia suelen caracterizarse por uno o varios parámetros. Estos parámetros deberían calcularse a partir de perfiles promediados en un área cuyas dimensiones son equivalentes a varias longitudes de onda (aunque el parámetro del valor eficaz de la dispersión del retardo se halla algunas veces a partir de ciertos perfiles y los valores resultantes se promedian, pero en general el resultado no es el mismo que el que arroja un perfil promediado). Habría que comunicar un umbral de exclusión de ruido o criterio de aceptación, de, por ejemplo, 30 dB por debajo del valor máximo del perfil, junto con la dispersión del retardo resultante, que depende de este umbral.</w:t>
      </w:r>
    </w:p>
    <w:p w:rsidR="001F77B3" w:rsidRPr="007A6DF0" w:rsidRDefault="001F77B3" w:rsidP="001F77B3">
      <w:pPr>
        <w:rPr>
          <w:lang w:val="es-ES_tradnl"/>
        </w:rPr>
      </w:pPr>
      <w:r w:rsidRPr="007A6DF0">
        <w:rPr>
          <w:lang w:val="es-ES_tradnl"/>
        </w:rPr>
        <w:t>Aunque el valor eficaz de la dispersión del retardo se utiliza con gran frecuencia, no siempre define adecuadamente el perfil del retardo. En entornos de trayectos múltiples en los cuales la dispersión del retardo sobrepasa la duración de los símbolos, la BER para la MDP depende no tanto del valor eficaz de la dispersión del retardo como de la relación entre la potencia recibida de la onda deseada y la de la no deseada. Esto es particularmente evidente en el caso de sistemas de alta velocidad de símbolos, pero también se registra incluso a velocidades de símbolos bajas en las que hay una fuerte señal dominante entre los componentes de trayectos múltiples (desvanecimiento de Rice).</w:t>
      </w:r>
    </w:p>
    <w:p w:rsidR="001F77B3" w:rsidRPr="007A6DF0" w:rsidRDefault="001F77B3" w:rsidP="001F77B3">
      <w:pPr>
        <w:rPr>
          <w:lang w:val="es-ES_tradnl"/>
        </w:rPr>
      </w:pPr>
      <w:r w:rsidRPr="007A6DF0">
        <w:rPr>
          <w:lang w:val="es-ES_tradnl"/>
        </w:rPr>
        <w:t>Con todo, si se parte de un perfil de disminución exponencial, basta para expresar el valor eficaz de la dispersión del retardo en lugar del perfil de retardo de potencia. En este caso, la respuesta a los impulsos puede reconstruirse aproximadamente de la siguiente forma:</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lang w:val="es-ES_tradnl"/>
        </w:rPr>
        <w:tab/>
      </w:r>
      <w:r w:rsidRPr="007A6DF0">
        <w:rPr>
          <w:lang w:val="es-ES_tradnl"/>
        </w:rPr>
        <w:tab/>
      </w:r>
      <w:r w:rsidR="00567C09" w:rsidRPr="007A6DF0">
        <w:rPr>
          <w:position w:val="-34"/>
          <w:lang w:val="es-ES_tradnl"/>
        </w:rPr>
        <w:object w:dxaOrig="3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45pt;height:43pt" o:ole="">
            <v:imagedata r:id="rId13" o:title=""/>
          </v:shape>
          <o:OLEObject Type="Embed" ProgID="Equation.3" ShapeID="_x0000_i1025" DrawAspect="Content" ObjectID="_1549090136" r:id="rId14"/>
        </w:object>
      </w:r>
      <w:r w:rsidRPr="007A6DF0">
        <w:rPr>
          <w:lang w:val="es-ES_tradnl"/>
        </w:rPr>
        <w:tab/>
        <w:t>(2)</w:t>
      </w:r>
    </w:p>
    <w:p w:rsidR="001F77B3" w:rsidRPr="007A6DF0" w:rsidRDefault="001F77B3" w:rsidP="001F77B3">
      <w:pPr>
        <w:pStyle w:val="Blanc"/>
        <w:rPr>
          <w:lang w:val="es-ES_tradnl"/>
        </w:rPr>
      </w:pPr>
    </w:p>
    <w:p w:rsidR="001F77B3" w:rsidRPr="007A6DF0" w:rsidRDefault="001F77B3" w:rsidP="001F77B3">
      <w:pPr>
        <w:rPr>
          <w:lang w:val="es-ES_tradnl"/>
        </w:rPr>
      </w:pPr>
      <w:r w:rsidRPr="007A6DF0">
        <w:rPr>
          <w:lang w:val="es-ES_tradnl"/>
        </w:rPr>
        <w:t>donde:</w:t>
      </w:r>
    </w:p>
    <w:p w:rsidR="001F77B3" w:rsidRPr="007A6DF0" w:rsidRDefault="001F77B3" w:rsidP="001F77B3">
      <w:pPr>
        <w:pStyle w:val="Equationlegend"/>
        <w:rPr>
          <w:lang w:val="es-ES_tradnl"/>
        </w:rPr>
      </w:pPr>
      <w:r w:rsidRPr="007A6DF0">
        <w:rPr>
          <w:i/>
          <w:lang w:val="es-ES_tradnl"/>
        </w:rPr>
        <w:tab/>
        <w:t>S</w:t>
      </w:r>
      <w:r w:rsidRPr="007A6DF0">
        <w:rPr>
          <w:rFonts w:ascii="Tms Rmn" w:hAnsi="Tms Rmn"/>
          <w:sz w:val="12"/>
          <w:lang w:val="es-ES_tradnl"/>
        </w:rPr>
        <w:t> </w:t>
      </w:r>
      <w:r w:rsidRPr="007A6DF0">
        <w:rPr>
          <w:lang w:val="es-ES_tradnl"/>
        </w:rPr>
        <w:t>:</w:t>
      </w:r>
      <w:r w:rsidRPr="007A6DF0">
        <w:rPr>
          <w:lang w:val="es-ES_tradnl"/>
        </w:rPr>
        <w:tab/>
        <w:t>valor eficaz de la dispersión del retardo</w:t>
      </w:r>
    </w:p>
    <w:p w:rsidR="001F77B3" w:rsidRPr="007A6DF0" w:rsidRDefault="001F77B3" w:rsidP="001F77B3">
      <w:pPr>
        <w:pStyle w:val="Equationlegend"/>
        <w:rPr>
          <w:lang w:val="es-ES_tradnl"/>
        </w:rPr>
      </w:pPr>
      <w:r w:rsidRPr="007A6DF0">
        <w:rPr>
          <w:i/>
          <w:lang w:val="es-ES_tradnl"/>
        </w:rPr>
        <w:tab/>
        <w:t>t</w:t>
      </w:r>
      <w:r w:rsidRPr="007A6DF0">
        <w:rPr>
          <w:i/>
          <w:vertAlign w:val="subscript"/>
          <w:lang w:val="es-ES_tradnl"/>
        </w:rPr>
        <w:t>máx</w:t>
      </w:r>
      <w:r w:rsidRPr="007A6DF0">
        <w:rPr>
          <w:rFonts w:ascii="Tms Rmn" w:hAnsi="Tms Rmn"/>
          <w:sz w:val="12"/>
          <w:lang w:val="es-ES_tradnl"/>
        </w:rPr>
        <w:t> </w:t>
      </w:r>
      <w:r w:rsidRPr="007A6DF0">
        <w:rPr>
          <w:rFonts w:ascii="Tms Rmn" w:hAnsi="Tms Rmn"/>
          <w:lang w:val="es-ES_tradnl"/>
        </w:rPr>
        <w:t>:</w:t>
      </w:r>
      <w:r w:rsidRPr="007A6DF0">
        <w:rPr>
          <w:rFonts w:ascii="Tms Rmn" w:hAnsi="Tms Rmn"/>
          <w:lang w:val="es-ES_tradnl"/>
        </w:rPr>
        <w:tab/>
      </w:r>
      <w:r w:rsidRPr="007A6DF0">
        <w:rPr>
          <w:lang w:val="es-ES_tradnl"/>
        </w:rPr>
        <w:t>retardo máximo</w:t>
      </w:r>
    </w:p>
    <w:p w:rsidR="001F77B3" w:rsidRPr="007A6DF0" w:rsidRDefault="001F77B3" w:rsidP="001F77B3">
      <w:pPr>
        <w:pStyle w:val="Equationlegend"/>
        <w:rPr>
          <w:lang w:val="es-ES_tradnl"/>
        </w:rPr>
      </w:pPr>
      <w:r w:rsidRPr="007A6DF0">
        <w:rPr>
          <w:lang w:val="es-ES_tradnl"/>
        </w:rPr>
        <w:tab/>
      </w:r>
      <w:r w:rsidRPr="007A6DF0">
        <w:rPr>
          <w:lang w:val="es-ES_tradnl"/>
        </w:rPr>
        <w:tab/>
      </w:r>
      <w:r w:rsidRPr="007A6DF0">
        <w:rPr>
          <w:i/>
          <w:iCs/>
          <w:lang w:val="es-ES_tradnl"/>
        </w:rPr>
        <w:t>t</w:t>
      </w:r>
      <w:r w:rsidRPr="007A6DF0">
        <w:rPr>
          <w:i/>
          <w:iCs/>
          <w:vertAlign w:val="subscript"/>
          <w:lang w:val="es-ES_tradnl"/>
        </w:rPr>
        <w:t>máx</w:t>
      </w:r>
      <w:r w:rsidRPr="007A6DF0">
        <w:rPr>
          <w:lang w:val="es-ES_tradnl"/>
        </w:rPr>
        <w:t> </w:t>
      </w:r>
      <w:r w:rsidRPr="007A6DF0">
        <w:rPr>
          <w:lang w:val="es-ES_tradnl"/>
        </w:rPr>
        <w:sym w:font="Symbol" w:char="F03E"/>
      </w:r>
      <w:r w:rsidRPr="007A6DF0">
        <w:rPr>
          <w:lang w:val="es-ES_tradnl"/>
        </w:rPr>
        <w:sym w:font="Symbol" w:char="F03E"/>
      </w:r>
      <w:r w:rsidRPr="007A6DF0">
        <w:rPr>
          <w:lang w:val="es-ES_tradnl"/>
        </w:rPr>
        <w:t> </w:t>
      </w:r>
      <w:r w:rsidRPr="007A6DF0">
        <w:rPr>
          <w:i/>
          <w:iCs/>
          <w:lang w:val="es-ES_tradnl"/>
        </w:rPr>
        <w:t>S</w:t>
      </w:r>
      <w:r w:rsidRPr="007A6DF0">
        <w:rPr>
          <w:lang w:val="es-ES_tradnl"/>
        </w:rPr>
        <w:t>.</w:t>
      </w:r>
    </w:p>
    <w:p w:rsidR="001F77B3" w:rsidRPr="007A6DF0" w:rsidRDefault="001F77B3" w:rsidP="001F77B3">
      <w:pPr>
        <w:rPr>
          <w:lang w:val="es-ES_tradnl"/>
        </w:rPr>
      </w:pPr>
      <w:r w:rsidRPr="007A6DF0">
        <w:rPr>
          <w:lang w:val="es-ES_tradnl"/>
        </w:rPr>
        <w:t xml:space="preserve">La utilización del valor eficaz de la dispersión del retardo como parámetro de salida del modelo tiene la ventaja de que ese modelo puede expresarse simplemente en forma de cuadro. En el Cuadro 5 se indican una serie de parámetros característicos de la dispersión del retardo, estimados a partir de perfiles de retardo promediados para entornos en interiores. En el Cuadro 5, la columna B contiene valores medianos que se registran con frecuencia, las columnas A y C corresponden a los valores </w:t>
      </w:r>
      <w:r w:rsidRPr="007A6DF0">
        <w:rPr>
          <w:lang w:val="es-ES_tradnl"/>
        </w:rPr>
        <w:lastRenderedPageBreak/>
        <w:t>10% y 90% de la distribución acumulativa. Los valores que figuran en el Cuadro representan las dimensiones más grandes que pueden tener las salas en cada entorno.</w:t>
      </w:r>
    </w:p>
    <w:p w:rsidR="001F77B3" w:rsidRPr="007A6DF0" w:rsidRDefault="001F77B3" w:rsidP="001F77B3">
      <w:pPr>
        <w:pStyle w:val="TableNo"/>
        <w:rPr>
          <w:lang w:val="es-ES_tradnl"/>
        </w:rPr>
      </w:pPr>
      <w:r w:rsidRPr="007A6DF0">
        <w:rPr>
          <w:lang w:val="es-ES_tradnl"/>
        </w:rPr>
        <w:t>CUADRO  5</w:t>
      </w:r>
    </w:p>
    <w:p w:rsidR="001F77B3" w:rsidRPr="007A6DF0" w:rsidRDefault="001F77B3" w:rsidP="001F77B3">
      <w:pPr>
        <w:pStyle w:val="Tabletitle"/>
        <w:rPr>
          <w:lang w:val="es-ES_tradnl"/>
        </w:rPr>
      </w:pPr>
      <w:r w:rsidRPr="007A6DF0">
        <w:rPr>
          <w:lang w:val="es-ES_tradnl"/>
        </w:rPr>
        <w:t>Parámetros del valor eficaz de la dispersión del retardo</w:t>
      </w:r>
    </w:p>
    <w:tbl>
      <w:tblPr>
        <w:tblW w:w="9656" w:type="dxa"/>
        <w:jc w:val="center"/>
        <w:tblLayout w:type="fixed"/>
        <w:tblCellMar>
          <w:left w:w="107" w:type="dxa"/>
          <w:right w:w="107" w:type="dxa"/>
        </w:tblCellMar>
        <w:tblLook w:val="0000" w:firstRow="0" w:lastRow="0" w:firstColumn="0" w:lastColumn="0" w:noHBand="0" w:noVBand="0"/>
      </w:tblPr>
      <w:tblGrid>
        <w:gridCol w:w="867"/>
        <w:gridCol w:w="1393"/>
        <w:gridCol w:w="1418"/>
        <w:gridCol w:w="1276"/>
        <w:gridCol w:w="1275"/>
        <w:gridCol w:w="1134"/>
        <w:gridCol w:w="709"/>
        <w:gridCol w:w="851"/>
        <w:gridCol w:w="733"/>
      </w:tblGrid>
      <w:tr w:rsidR="001F77B3" w:rsidRPr="007A6DF0" w:rsidTr="00567C09">
        <w:trPr>
          <w:cantSplit/>
          <w:trHeight w:val="954"/>
          <w:jc w:val="center"/>
        </w:trPr>
        <w:tc>
          <w:tcPr>
            <w:tcW w:w="86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567C09">
            <w:pPr>
              <w:pStyle w:val="Tablehead"/>
              <w:rPr>
                <w:b w:val="0"/>
                <w:bCs/>
                <w:lang w:val="es-ES_tradnl"/>
              </w:rPr>
            </w:pPr>
            <w:bookmarkStart w:id="23" w:name="_Toc392305224"/>
            <w:r w:rsidRPr="007A6DF0">
              <w:rPr>
                <w:lang w:val="es-ES_tradnl"/>
              </w:rPr>
              <w:t>Frec.</w:t>
            </w:r>
            <w:r w:rsidR="00567C09">
              <w:rPr>
                <w:lang w:val="es-ES_tradnl"/>
              </w:rPr>
              <w:br/>
            </w:r>
            <w:r w:rsidRPr="007A6DF0">
              <w:rPr>
                <w:bCs/>
                <w:lang w:val="es-ES_tradnl"/>
              </w:rPr>
              <w:t>(GHz)</w:t>
            </w: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Entorno</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Polarización</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szCs w:val="22"/>
                <w:lang w:val="es-ES_tradnl"/>
              </w:rPr>
            </w:pPr>
            <w:r w:rsidRPr="007A6DF0">
              <w:rPr>
                <w:lang w:val="es-ES_tradnl"/>
              </w:rPr>
              <w:t xml:space="preserve">Resolución </w:t>
            </w:r>
            <w:r w:rsidRPr="007A6DF0">
              <w:rPr>
                <w:szCs w:val="22"/>
                <w:lang w:val="es-ES_tradnl"/>
              </w:rPr>
              <w:t>del retardo (ns)</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Apertura del haz de la antena Tx (grados)</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Apertura del haz de la antena Rx (grados)</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A</w:t>
            </w:r>
            <w:r w:rsidRPr="007A6DF0">
              <w:rPr>
                <w:lang w:val="es-ES_tradnl"/>
              </w:rPr>
              <w:br/>
              <w:t>(ns)</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B</w:t>
            </w:r>
            <w:r w:rsidRPr="007A6DF0">
              <w:rPr>
                <w:lang w:val="es-ES_tradnl"/>
              </w:rPr>
              <w:br/>
              <w:t>(ns)</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C</w:t>
            </w:r>
            <w:r w:rsidRPr="007A6DF0">
              <w:rPr>
                <w:lang w:val="es-ES_tradnl"/>
              </w:rPr>
              <w:br/>
              <w:t>(ns)</w:t>
            </w:r>
          </w:p>
        </w:tc>
      </w:tr>
      <w:tr w:rsidR="001F77B3" w:rsidRPr="007A6DF0" w:rsidTr="00567C09">
        <w:trPr>
          <w:cantSplit/>
          <w:trHeight w:val="561"/>
          <w:jc w:val="center"/>
        </w:trPr>
        <w:tc>
          <w:tcPr>
            <w:tcW w:w="867"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1,9</w:t>
            </w: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Edificios residenciales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20</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70</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150</w:t>
            </w:r>
          </w:p>
        </w:tc>
      </w:tr>
      <w:tr w:rsidR="001F77B3" w:rsidRPr="007A6DF0" w:rsidTr="00567C09">
        <w:trPr>
          <w:cantSplit/>
          <w:trHeight w:val="561"/>
          <w:jc w:val="center"/>
        </w:trPr>
        <w:tc>
          <w:tcPr>
            <w:tcW w:w="867" w:type="dxa"/>
            <w:vMerge/>
            <w:tcBorders>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Oficinas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100</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460</w:t>
            </w:r>
          </w:p>
        </w:tc>
      </w:tr>
      <w:tr w:rsidR="001F77B3" w:rsidRPr="007A6DF0" w:rsidTr="00567C09">
        <w:trPr>
          <w:cantSplit/>
          <w:trHeight w:val="569"/>
          <w:jc w:val="center"/>
        </w:trPr>
        <w:tc>
          <w:tcPr>
            <w:tcW w:w="867" w:type="dxa"/>
            <w:vMerge/>
            <w:tcBorders>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Edificios comerciales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55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150</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500</w:t>
            </w:r>
          </w:p>
        </w:tc>
      </w:tr>
      <w:tr w:rsidR="001F77B3" w:rsidRPr="007A6DF0" w:rsidTr="00567C09">
        <w:trPr>
          <w:cantSplit/>
          <w:trHeight w:val="569"/>
          <w:jc w:val="center"/>
        </w:trPr>
        <w:tc>
          <w:tcPr>
            <w:tcW w:w="867"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2,25</w:t>
            </w: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Estudio de TV</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4,2</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rPr>
              <w:t>–</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vertAlign w:val="superscript"/>
                <w:lang w:val="es-ES_tradnl" w:eastAsia="ja-JP"/>
              </w:rPr>
            </w:pPr>
            <w:r w:rsidRPr="007A6DF0">
              <w:rPr>
                <w:sz w:val="20"/>
                <w:lang w:val="es-ES_tradnl"/>
              </w:rPr>
              <w:t>13</w:t>
            </w:r>
            <w:r w:rsidRPr="007A6DF0">
              <w:rPr>
                <w:sz w:val="20"/>
                <w:vertAlign w:val="superscript"/>
                <w:lang w:val="es-ES_tradnl" w:eastAsia="ja-JP"/>
              </w:rPr>
              <w:t>(3)</w:t>
            </w:r>
          </w:p>
          <w:p w:rsidR="001F77B3" w:rsidRPr="007A6DF0" w:rsidRDefault="001F77B3" w:rsidP="008E512C">
            <w:pPr>
              <w:pStyle w:val="Tabletext"/>
              <w:jc w:val="center"/>
              <w:rPr>
                <w:lang w:val="es-ES_tradnl" w:eastAsia="ja-JP"/>
              </w:rPr>
            </w:pPr>
            <w:r w:rsidRPr="007A6DF0">
              <w:rPr>
                <w:lang w:val="es-ES_tradnl"/>
              </w:rPr>
              <w:t>26</w:t>
            </w:r>
            <w:r w:rsidRPr="007A6DF0">
              <w:rPr>
                <w:vertAlign w:val="superscript"/>
                <w:lang w:val="es-ES_tradnl" w:eastAsia="ja-JP"/>
              </w:rPr>
              <w:t>(3)</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rPr>
              <w:t>–</w:t>
            </w:r>
          </w:p>
        </w:tc>
      </w:tr>
      <w:tr w:rsidR="001F77B3" w:rsidRPr="007A6DF0" w:rsidTr="00567C09">
        <w:trPr>
          <w:cantSplit/>
          <w:trHeight w:val="569"/>
          <w:jc w:val="center"/>
        </w:trPr>
        <w:tc>
          <w:tcPr>
            <w:tcW w:w="867"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2,625</w:t>
            </w:r>
          </w:p>
        </w:tc>
        <w:tc>
          <w:tcPr>
            <w:tcW w:w="1393"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Oficina</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1,8</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vertAlign w:val="superscript"/>
                <w:lang w:val="es-ES_tradnl" w:eastAsia="ja-JP"/>
              </w:rPr>
            </w:pPr>
            <w:r w:rsidRPr="007A6DF0">
              <w:rPr>
                <w:lang w:val="es-ES_tradnl" w:eastAsia="ja-JP"/>
              </w:rPr>
              <w:t>Omni</w:t>
            </w:r>
            <w:r w:rsidRPr="007A6DF0">
              <w:rPr>
                <w:vertAlign w:val="superscript"/>
                <w:lang w:val="es-ES_tradnl" w:eastAsia="ja-JP"/>
              </w:rPr>
              <w:t>(1)</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(1)</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8</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7A6DF0">
              <w:rPr>
                <w:sz w:val="20"/>
                <w:lang w:val="es-ES_tradnl"/>
              </w:rPr>
              <w:t>11</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12,5</w:t>
            </w:r>
          </w:p>
        </w:tc>
      </w:tr>
      <w:tr w:rsidR="001F77B3" w:rsidRPr="007A6DF0" w:rsidTr="00567C09">
        <w:trPr>
          <w:cantSplit/>
          <w:trHeight w:val="569"/>
          <w:jc w:val="center"/>
        </w:trPr>
        <w:tc>
          <w:tcPr>
            <w:tcW w:w="867" w:type="dxa"/>
            <w:vMerge/>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vMerge/>
            <w:tcBorders>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1,8</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vertAlign w:val="superscript"/>
                <w:lang w:val="es-ES_tradnl" w:eastAsia="ja-JP"/>
              </w:rPr>
            </w:pPr>
            <w:r w:rsidRPr="007A6DF0">
              <w:rPr>
                <w:lang w:val="es-ES_tradnl" w:eastAsia="ja-JP"/>
              </w:rPr>
              <w:t>Omni</w:t>
            </w:r>
            <w:r w:rsidRPr="007A6DF0">
              <w:rPr>
                <w:vertAlign w:val="superscript"/>
                <w:lang w:val="es-ES_tradnl" w:eastAsia="ja-JP"/>
              </w:rPr>
              <w:t>(2)</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(2)</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szCs w:val="22"/>
                <w:lang w:val="es-ES_tradnl"/>
              </w:rPr>
            </w:pPr>
            <w:r w:rsidRPr="007A6DF0">
              <w:rPr>
                <w:szCs w:val="22"/>
                <w:lang w:val="es-ES_tradnl"/>
              </w:rPr>
              <w:t>10,74</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s-ES_tradnl"/>
              </w:rPr>
            </w:pPr>
            <w:r w:rsidRPr="007A6DF0">
              <w:rPr>
                <w:sz w:val="22"/>
                <w:szCs w:val="22"/>
                <w:lang w:val="es-ES_tradnl"/>
              </w:rPr>
              <w:t>13,74</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20,15</w:t>
            </w:r>
          </w:p>
        </w:tc>
      </w:tr>
      <w:tr w:rsidR="001F77B3" w:rsidRPr="007A6DF0" w:rsidTr="00567C09">
        <w:trPr>
          <w:cantSplit/>
          <w:trHeight w:val="569"/>
          <w:jc w:val="center"/>
        </w:trPr>
        <w:tc>
          <w:tcPr>
            <w:tcW w:w="867" w:type="dxa"/>
            <w:vMerge/>
            <w:tcBorders>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Pasillo</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1,8</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8,49</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s-ES_tradnl"/>
              </w:rPr>
            </w:pPr>
            <w:r w:rsidRPr="007A6DF0">
              <w:rPr>
                <w:sz w:val="22"/>
                <w:szCs w:val="22"/>
                <w:lang w:val="es-ES_tradnl"/>
              </w:rPr>
              <w:t>18,53</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25,16</w:t>
            </w:r>
          </w:p>
        </w:tc>
      </w:tr>
      <w:tr w:rsidR="001F77B3" w:rsidRPr="007A6DF0" w:rsidTr="00567C09">
        <w:trPr>
          <w:cantSplit/>
          <w:trHeight w:val="569"/>
          <w:jc w:val="center"/>
        </w:trPr>
        <w:tc>
          <w:tcPr>
            <w:tcW w:w="867" w:type="dxa"/>
            <w:vMerge/>
            <w:tcBorders>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Estudio de grabación</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1,8</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7,98</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s-ES_tradnl"/>
              </w:rPr>
            </w:pPr>
            <w:r w:rsidRPr="007A6DF0">
              <w:rPr>
                <w:sz w:val="22"/>
                <w:szCs w:val="22"/>
                <w:lang w:val="es-ES_tradnl"/>
              </w:rPr>
              <w:t>11,89</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14,47</w:t>
            </w:r>
          </w:p>
        </w:tc>
      </w:tr>
      <w:tr w:rsidR="001F77B3" w:rsidRPr="007A6DF0" w:rsidTr="00567C09">
        <w:trPr>
          <w:cantSplit/>
          <w:trHeight w:val="569"/>
          <w:jc w:val="center"/>
        </w:trPr>
        <w:tc>
          <w:tcPr>
            <w:tcW w:w="867" w:type="dxa"/>
            <w:vMerge/>
            <w:tcBorders>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Fábrica</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1,8</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51,5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val="es-ES_tradnl"/>
              </w:rPr>
            </w:pPr>
            <w:r w:rsidRPr="007A6DF0">
              <w:rPr>
                <w:sz w:val="22"/>
                <w:szCs w:val="22"/>
                <w:lang w:val="es-ES_tradnl"/>
              </w:rPr>
              <w:t>69,2</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rPr>
            </w:pPr>
            <w:r w:rsidRPr="007A6DF0">
              <w:rPr>
                <w:lang w:val="es-ES_tradnl"/>
              </w:rPr>
              <w:t>87,2</w:t>
            </w:r>
          </w:p>
        </w:tc>
      </w:tr>
      <w:tr w:rsidR="001F77B3" w:rsidRPr="007A6DF0" w:rsidTr="00567C09">
        <w:trPr>
          <w:cantSplit/>
          <w:trHeight w:val="561"/>
          <w:jc w:val="center"/>
        </w:trPr>
        <w:tc>
          <w:tcPr>
            <w:tcW w:w="867"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3,7</w:t>
            </w: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Edificios residenciales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22</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27</w:t>
            </w:r>
          </w:p>
        </w:tc>
      </w:tr>
      <w:tr w:rsidR="001F77B3" w:rsidRPr="007A6DF0" w:rsidTr="00567C09">
        <w:trPr>
          <w:cantSplit/>
          <w:trHeight w:val="393"/>
          <w:jc w:val="center"/>
        </w:trPr>
        <w:tc>
          <w:tcPr>
            <w:tcW w:w="867" w:type="dxa"/>
            <w:vMerge/>
            <w:tcBorders>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Oficinas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30</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38</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45</w:t>
            </w:r>
          </w:p>
        </w:tc>
      </w:tr>
      <w:tr w:rsidR="001F77B3" w:rsidRPr="007A6DF0" w:rsidTr="00567C09">
        <w:trPr>
          <w:cantSplit/>
          <w:trHeight w:val="561"/>
          <w:jc w:val="center"/>
        </w:trPr>
        <w:tc>
          <w:tcPr>
            <w:tcW w:w="867" w:type="dxa"/>
            <w:vMerge/>
            <w:tcBorders>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Edificios comerciales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105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145</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170</w:t>
            </w:r>
          </w:p>
        </w:tc>
      </w:tr>
      <w:tr w:rsidR="001F77B3" w:rsidRPr="007A6DF0" w:rsidTr="00567C09">
        <w:trPr>
          <w:cantSplit/>
          <w:trHeight w:val="561"/>
          <w:jc w:val="center"/>
        </w:trPr>
        <w:tc>
          <w:tcPr>
            <w:tcW w:w="867"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5,2</w:t>
            </w: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Edificios residenciales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17</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23</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30</w:t>
            </w:r>
          </w:p>
        </w:tc>
      </w:tr>
      <w:tr w:rsidR="001F77B3" w:rsidRPr="007A6DF0" w:rsidTr="00567C09">
        <w:trPr>
          <w:cantSplit/>
          <w:trHeight w:val="561"/>
          <w:jc w:val="center"/>
        </w:trPr>
        <w:tc>
          <w:tcPr>
            <w:tcW w:w="867" w:type="dxa"/>
            <w:vMerge/>
            <w:tcBorders>
              <w:left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Oficinas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38</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60</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110</w:t>
            </w:r>
          </w:p>
        </w:tc>
      </w:tr>
      <w:tr w:rsidR="001F77B3" w:rsidRPr="007A6DF0" w:rsidTr="00567C09">
        <w:trPr>
          <w:cantSplit/>
          <w:trHeight w:val="450"/>
          <w:jc w:val="center"/>
        </w:trPr>
        <w:tc>
          <w:tcPr>
            <w:tcW w:w="867" w:type="dxa"/>
            <w:vMerge/>
            <w:tcBorders>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p>
        </w:tc>
        <w:tc>
          <w:tcPr>
            <w:tcW w:w="139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Edificios comerciales</w:t>
            </w:r>
          </w:p>
        </w:tc>
        <w:tc>
          <w:tcPr>
            <w:tcW w:w="1418"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VV</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10</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keepNext/>
              <w:keepLines/>
              <w:jc w:val="center"/>
              <w:rPr>
                <w:lang w:val="es-ES_tradnl" w:eastAsia="ja-JP"/>
              </w:rPr>
            </w:pPr>
            <w:r w:rsidRPr="007A6DF0">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Del="00625C66" w:rsidRDefault="001F77B3" w:rsidP="008E512C">
            <w:pPr>
              <w:pStyle w:val="Tabletext"/>
              <w:keepNext/>
              <w:keepLines/>
              <w:jc w:val="center"/>
              <w:rPr>
                <w:lang w:val="es-ES_tradnl" w:eastAsia="ja-JP"/>
              </w:rPr>
            </w:pPr>
            <w:r w:rsidRPr="007A6DF0">
              <w:rPr>
                <w:lang w:val="es-ES_tradnl" w:eastAsia="ja-JP"/>
              </w:rPr>
              <w:t>135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Del="00625C66" w:rsidRDefault="001F77B3" w:rsidP="008E512C">
            <w:pPr>
              <w:pStyle w:val="Tabletext"/>
              <w:keepNext/>
              <w:keepLines/>
              <w:jc w:val="center"/>
              <w:rPr>
                <w:lang w:val="es-ES_tradnl" w:eastAsia="ja-JP"/>
              </w:rPr>
            </w:pPr>
            <w:r w:rsidRPr="007A6DF0">
              <w:rPr>
                <w:lang w:val="es-ES_tradnl" w:eastAsia="ja-JP"/>
              </w:rPr>
              <w:t>190</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Del="00625C66" w:rsidRDefault="001F77B3" w:rsidP="008E512C">
            <w:pPr>
              <w:pStyle w:val="Tabletext"/>
              <w:keepNext/>
              <w:keepLines/>
              <w:jc w:val="center"/>
              <w:rPr>
                <w:lang w:val="es-ES_tradnl" w:eastAsia="ja-JP"/>
              </w:rPr>
            </w:pPr>
            <w:r w:rsidRPr="007A6DF0">
              <w:rPr>
                <w:lang w:val="es-ES_tradnl" w:eastAsia="ja-JP"/>
              </w:rPr>
              <w:t>205</w:t>
            </w:r>
          </w:p>
        </w:tc>
      </w:tr>
      <w:tr w:rsidR="001F77B3" w:rsidRPr="007A6DF0" w:rsidTr="00567C09">
        <w:trPr>
          <w:cantSplit/>
          <w:trHeight w:val="450"/>
          <w:jc w:val="center"/>
        </w:trPr>
        <w:tc>
          <w:tcPr>
            <w:tcW w:w="867"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30</w:t>
            </w:r>
          </w:p>
        </w:tc>
        <w:tc>
          <w:tcPr>
            <w:tcW w:w="1393"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Red de ordenadores</w:t>
            </w:r>
          </w:p>
        </w:tc>
        <w:tc>
          <w:tcPr>
            <w:tcW w:w="1418" w:type="dxa"/>
            <w:vMerge w:val="restart"/>
            <w:tcBorders>
              <w:top w:val="single" w:sz="6" w:space="0" w:color="auto"/>
              <w:left w:val="single" w:sz="6" w:space="0" w:color="auto"/>
              <w:right w:val="single" w:sz="6" w:space="0" w:color="auto"/>
            </w:tcBorders>
            <w:vAlign w:val="center"/>
          </w:tcPr>
          <w:p w:rsidR="001F77B3" w:rsidRPr="007A6DF0" w:rsidRDefault="001F77B3" w:rsidP="008E512C">
            <w:pPr>
              <w:pStyle w:val="Tabletext"/>
              <w:jc w:val="center"/>
              <w:rPr>
                <w:vertAlign w:val="superscript"/>
                <w:lang w:val="es-ES_tradnl" w:eastAsia="ja-JP"/>
              </w:rPr>
            </w:pPr>
            <w:r w:rsidRPr="007A6DF0">
              <w:rPr>
                <w:lang w:val="es-ES_tradnl" w:eastAsia="ja-JP"/>
              </w:rPr>
              <w:t>Doble</w:t>
            </w:r>
            <w:r w:rsidRPr="007A6DF0">
              <w:rPr>
                <w:vertAlign w:val="superscript"/>
                <w:lang w:val="es-ES_tradnl" w:eastAsia="ja-JP"/>
              </w:rPr>
              <w:t>(4)</w:t>
            </w: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0,45</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35</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35</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1,2</w:t>
            </w:r>
            <w:r w:rsidRPr="007A6DF0">
              <w:rPr>
                <w:vertAlign w:val="superscript"/>
                <w:lang w:val="es-ES_tradnl" w:eastAsia="ja-JP"/>
              </w:rPr>
              <w:t>(5)</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2,5</w:t>
            </w:r>
            <w:r w:rsidRPr="007A6DF0">
              <w:rPr>
                <w:vertAlign w:val="superscript"/>
                <w:lang w:val="es-ES_tradnl" w:eastAsia="ja-JP"/>
              </w:rPr>
              <w:t>(5)</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14</w:t>
            </w:r>
            <w:r w:rsidRPr="007A6DF0">
              <w:rPr>
                <w:vertAlign w:val="superscript"/>
                <w:lang w:val="es-ES_tradnl" w:eastAsia="ja-JP"/>
              </w:rPr>
              <w:t>(5)</w:t>
            </w:r>
          </w:p>
        </w:tc>
      </w:tr>
      <w:tr w:rsidR="001F77B3" w:rsidRPr="007A6DF0" w:rsidTr="00567C09">
        <w:trPr>
          <w:cantSplit/>
          <w:trHeight w:val="450"/>
          <w:jc w:val="center"/>
        </w:trPr>
        <w:tc>
          <w:tcPr>
            <w:tcW w:w="867" w:type="dxa"/>
            <w:vMerge/>
            <w:tcBorders>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393" w:type="dxa"/>
            <w:vMerge/>
            <w:tcBorders>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418" w:type="dxa"/>
            <w:vMerge/>
            <w:tcBorders>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0,45</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35</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35</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1,6</w:t>
            </w:r>
            <w:r w:rsidRPr="007A6DF0">
              <w:rPr>
                <w:vertAlign w:val="superscript"/>
                <w:lang w:val="es-ES_tradnl" w:eastAsia="ja-JP"/>
              </w:rPr>
              <w:t>(7)</w:t>
            </w:r>
          </w:p>
        </w:tc>
        <w:tc>
          <w:tcPr>
            <w:tcW w:w="85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17,6</w:t>
            </w:r>
            <w:r w:rsidRPr="007A6DF0">
              <w:rPr>
                <w:vertAlign w:val="superscript"/>
                <w:lang w:val="es-ES_tradnl" w:eastAsia="ja-JP"/>
              </w:rPr>
              <w:t>(7)</w:t>
            </w:r>
          </w:p>
        </w:tc>
        <w:tc>
          <w:tcPr>
            <w:tcW w:w="733"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34</w:t>
            </w:r>
            <w:r w:rsidRPr="007A6DF0">
              <w:rPr>
                <w:vertAlign w:val="superscript"/>
                <w:lang w:val="es-ES_tradnl" w:eastAsia="ja-JP"/>
              </w:rPr>
              <w:t>(7)</w:t>
            </w:r>
          </w:p>
        </w:tc>
      </w:tr>
    </w:tbl>
    <w:p w:rsidR="001F77B3" w:rsidRPr="007A6DF0" w:rsidRDefault="001F77B3" w:rsidP="001F77B3">
      <w:pPr>
        <w:rPr>
          <w:lang w:val="es-ES_tradnl"/>
        </w:rPr>
      </w:pPr>
      <w:r w:rsidRPr="007A6DF0">
        <w:rPr>
          <w:lang w:val="es-ES_tradnl"/>
        </w:rPr>
        <w:br w:type="page"/>
      </w:r>
    </w:p>
    <w:p w:rsidR="001F77B3" w:rsidRPr="007A6DF0" w:rsidRDefault="001F77B3" w:rsidP="00567C09">
      <w:pPr>
        <w:pStyle w:val="TableNo"/>
        <w:rPr>
          <w:lang w:val="es-ES_tradnl"/>
        </w:rPr>
      </w:pPr>
      <w:r w:rsidRPr="007A6DF0">
        <w:rPr>
          <w:lang w:val="es-ES_tradnl"/>
        </w:rPr>
        <w:lastRenderedPageBreak/>
        <w:t>CUADRO  5 (</w:t>
      </w:r>
      <w:r w:rsidR="00567C09">
        <w:rPr>
          <w:i/>
          <w:iCs/>
          <w:lang w:val="es-ES_tradnl"/>
        </w:rPr>
        <w:t>f</w:t>
      </w:r>
      <w:r w:rsidRPr="007A6DF0">
        <w:rPr>
          <w:i/>
          <w:iCs/>
          <w:lang w:val="es-ES_tradnl"/>
        </w:rPr>
        <w:t>in</w:t>
      </w:r>
      <w:r w:rsidRPr="007A6DF0">
        <w:rPr>
          <w:lang w:val="es-ES_tradnl"/>
        </w:rPr>
        <w:t>)</w:t>
      </w:r>
    </w:p>
    <w:tbl>
      <w:tblPr>
        <w:tblW w:w="9656" w:type="dxa"/>
        <w:jc w:val="center"/>
        <w:tblLayout w:type="fixed"/>
        <w:tblCellMar>
          <w:left w:w="107" w:type="dxa"/>
          <w:right w:w="107" w:type="dxa"/>
        </w:tblCellMar>
        <w:tblLook w:val="0000" w:firstRow="0" w:lastRow="0" w:firstColumn="0" w:lastColumn="0" w:noHBand="0" w:noVBand="0"/>
      </w:tblPr>
      <w:tblGrid>
        <w:gridCol w:w="867"/>
        <w:gridCol w:w="1535"/>
        <w:gridCol w:w="1418"/>
        <w:gridCol w:w="1275"/>
        <w:gridCol w:w="1134"/>
        <w:gridCol w:w="1134"/>
        <w:gridCol w:w="709"/>
        <w:gridCol w:w="712"/>
        <w:gridCol w:w="872"/>
      </w:tblGrid>
      <w:tr w:rsidR="001F77B3" w:rsidRPr="007A6DF0" w:rsidTr="00297D25">
        <w:trPr>
          <w:cantSplit/>
          <w:trHeight w:val="450"/>
          <w:jc w:val="center"/>
        </w:trPr>
        <w:tc>
          <w:tcPr>
            <w:tcW w:w="867" w:type="dxa"/>
            <w:vMerge w:val="restart"/>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60</w:t>
            </w:r>
          </w:p>
        </w:tc>
        <w:tc>
          <w:tcPr>
            <w:tcW w:w="1535" w:type="dxa"/>
            <w:vMerge w:val="restart"/>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Red de ordenadores</w:t>
            </w:r>
          </w:p>
        </w:tc>
        <w:tc>
          <w:tcPr>
            <w:tcW w:w="1418" w:type="dxa"/>
            <w:tcBorders>
              <w:top w:val="single" w:sz="4" w:space="0" w:color="auto"/>
              <w:left w:val="single" w:sz="4"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0,22</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15,4</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15,4</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1</w:t>
            </w:r>
            <w:r w:rsidR="001F77B3" w:rsidRPr="007A6DF0">
              <w:rPr>
                <w:lang w:val="es-ES_tradnl" w:eastAsia="ja-JP"/>
              </w:rPr>
              <w:t>,</w:t>
            </w:r>
            <w:r>
              <w:rPr>
                <w:lang w:val="es-ES_tradnl" w:eastAsia="ja-JP"/>
              </w:rPr>
              <w:t>0</w:t>
            </w:r>
            <w:r w:rsidR="001F77B3" w:rsidRPr="007A6DF0">
              <w:rPr>
                <w:vertAlign w:val="superscript"/>
                <w:lang w:val="es-ES_tradnl" w:eastAsia="ja-JP"/>
              </w:rPr>
              <w:t>(8)</w:t>
            </w:r>
          </w:p>
        </w:tc>
        <w:tc>
          <w:tcPr>
            <w:tcW w:w="712"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5</w:t>
            </w:r>
            <w:r w:rsidR="001F77B3" w:rsidRPr="007A6DF0">
              <w:rPr>
                <w:lang w:val="es-ES_tradnl" w:eastAsia="ja-JP"/>
              </w:rPr>
              <w:t>,</w:t>
            </w:r>
            <w:r>
              <w:rPr>
                <w:lang w:val="es-ES_tradnl" w:eastAsia="ja-JP"/>
              </w:rPr>
              <w:t>2</w:t>
            </w:r>
            <w:r w:rsidR="001F77B3" w:rsidRPr="007A6DF0">
              <w:rPr>
                <w:vertAlign w:val="superscript"/>
                <w:lang w:val="es-ES_tradnl" w:eastAsia="ja-JP"/>
              </w:rPr>
              <w:t>(8)</w:t>
            </w:r>
          </w:p>
        </w:tc>
        <w:tc>
          <w:tcPr>
            <w:tcW w:w="872"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10</w:t>
            </w:r>
            <w:r w:rsidR="001F77B3" w:rsidRPr="007A6DF0">
              <w:rPr>
                <w:lang w:val="es-ES_tradnl" w:eastAsia="ja-JP"/>
              </w:rPr>
              <w:t>,</w:t>
            </w:r>
            <w:r>
              <w:rPr>
                <w:lang w:val="es-ES_tradnl" w:eastAsia="ja-JP"/>
              </w:rPr>
              <w:t>6</w:t>
            </w:r>
            <w:r w:rsidR="001F77B3" w:rsidRPr="007A6DF0">
              <w:rPr>
                <w:vertAlign w:val="superscript"/>
                <w:lang w:val="es-ES_tradnl" w:eastAsia="ja-JP"/>
              </w:rPr>
              <w:t>(8)</w:t>
            </w:r>
          </w:p>
        </w:tc>
      </w:tr>
      <w:tr w:rsidR="001F77B3" w:rsidRPr="007A6DF0" w:rsidTr="00297D25">
        <w:trPr>
          <w:cantSplit/>
          <w:trHeight w:val="450"/>
          <w:jc w:val="center"/>
        </w:trPr>
        <w:tc>
          <w:tcPr>
            <w:tcW w:w="867" w:type="dxa"/>
            <w:vMerge/>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p>
        </w:tc>
        <w:tc>
          <w:tcPr>
            <w:tcW w:w="1535" w:type="dxa"/>
            <w:vMerge/>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p>
        </w:tc>
        <w:tc>
          <w:tcPr>
            <w:tcW w:w="1418" w:type="dxa"/>
            <w:tcBorders>
              <w:top w:val="single" w:sz="4" w:space="0" w:color="auto"/>
              <w:left w:val="single" w:sz="4"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0,9</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15,4</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2</w:t>
            </w:r>
            <w:r w:rsidR="001F77B3" w:rsidRPr="007A6DF0">
              <w:rPr>
                <w:lang w:val="es-ES_tradnl" w:eastAsia="ja-JP"/>
              </w:rPr>
              <w:t>,</w:t>
            </w:r>
            <w:r>
              <w:rPr>
                <w:lang w:val="es-ES_tradnl" w:eastAsia="ja-JP"/>
              </w:rPr>
              <w:t>2</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297D25">
            <w:pPr>
              <w:pStyle w:val="Tabletext"/>
              <w:jc w:val="center"/>
              <w:rPr>
                <w:lang w:val="es-ES_tradnl" w:eastAsia="ja-JP"/>
              </w:rPr>
            </w:pPr>
            <w:r w:rsidRPr="007A6DF0">
              <w:rPr>
                <w:lang w:val="es-ES_tradnl" w:eastAsia="ja-JP"/>
              </w:rPr>
              <w:t>1</w:t>
            </w:r>
            <w:r w:rsidR="00297D25">
              <w:rPr>
                <w:lang w:val="es-ES_tradnl" w:eastAsia="ja-JP"/>
              </w:rPr>
              <w:t>,</w:t>
            </w:r>
            <w:bookmarkStart w:id="24" w:name="_GoBack"/>
            <w:bookmarkEnd w:id="24"/>
            <w:r w:rsidR="00297D25">
              <w:rPr>
                <w:lang w:val="es-ES_tradnl" w:eastAsia="ja-JP"/>
              </w:rPr>
              <w:t>0</w:t>
            </w:r>
            <w:r w:rsidRPr="007A6DF0">
              <w:rPr>
                <w:vertAlign w:val="superscript"/>
                <w:lang w:val="es-ES_tradnl" w:eastAsia="ja-JP"/>
              </w:rPr>
              <w:t>(9)</w:t>
            </w:r>
          </w:p>
        </w:tc>
        <w:tc>
          <w:tcPr>
            <w:tcW w:w="712"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12</w:t>
            </w:r>
            <w:r w:rsidR="001F77B3" w:rsidRPr="007A6DF0">
              <w:rPr>
                <w:vertAlign w:val="superscript"/>
                <w:lang w:val="es-ES_tradnl" w:eastAsia="ja-JP"/>
              </w:rPr>
              <w:t>(9)</w:t>
            </w:r>
          </w:p>
        </w:tc>
        <w:tc>
          <w:tcPr>
            <w:tcW w:w="872" w:type="dxa"/>
            <w:tcBorders>
              <w:top w:val="single" w:sz="6" w:space="0" w:color="auto"/>
              <w:left w:val="single" w:sz="6" w:space="0" w:color="auto"/>
              <w:bottom w:val="single" w:sz="6" w:space="0" w:color="auto"/>
              <w:right w:val="single" w:sz="6" w:space="0" w:color="auto"/>
            </w:tcBorders>
            <w:vAlign w:val="center"/>
          </w:tcPr>
          <w:p w:rsidR="001F77B3" w:rsidRPr="007A6DF0" w:rsidRDefault="00297D25" w:rsidP="00297D25">
            <w:pPr>
              <w:pStyle w:val="Tabletext"/>
              <w:jc w:val="center"/>
              <w:rPr>
                <w:lang w:val="es-ES_tradnl" w:eastAsia="ja-JP"/>
              </w:rPr>
            </w:pPr>
            <w:r>
              <w:rPr>
                <w:lang w:val="es-ES_tradnl" w:eastAsia="ja-JP"/>
              </w:rPr>
              <w:t>37,5</w:t>
            </w:r>
            <w:r w:rsidR="001F77B3" w:rsidRPr="007A6DF0">
              <w:rPr>
                <w:vertAlign w:val="superscript"/>
                <w:lang w:val="es-ES_tradnl" w:eastAsia="ja-JP"/>
              </w:rPr>
              <w:t>(9)</w:t>
            </w:r>
          </w:p>
        </w:tc>
      </w:tr>
      <w:tr w:rsidR="001F77B3" w:rsidRPr="007A6DF0" w:rsidTr="00297D25">
        <w:trPr>
          <w:cantSplit/>
          <w:trHeight w:val="450"/>
          <w:jc w:val="center"/>
        </w:trPr>
        <w:tc>
          <w:tcPr>
            <w:tcW w:w="867" w:type="dxa"/>
            <w:vMerge/>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p>
        </w:tc>
        <w:tc>
          <w:tcPr>
            <w:tcW w:w="1535" w:type="dxa"/>
            <w:vMerge w:val="restart"/>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vertAlign w:val="superscript"/>
                <w:lang w:val="es-ES_tradnl" w:eastAsia="ja-JP"/>
              </w:rPr>
            </w:pPr>
            <w:r w:rsidRPr="007A6DF0">
              <w:rPr>
                <w:lang w:val="es-ES_tradnl" w:eastAsia="ja-JP"/>
              </w:rPr>
              <w:t>Oficinas</w:t>
            </w:r>
            <w:r w:rsidRPr="007A6DF0">
              <w:rPr>
                <w:vertAlign w:val="superscript"/>
                <w:lang w:val="es-ES_tradnl" w:eastAsia="ja-JP"/>
              </w:rPr>
              <w:t>(6)</w:t>
            </w:r>
          </w:p>
        </w:tc>
        <w:tc>
          <w:tcPr>
            <w:tcW w:w="1418" w:type="dxa"/>
            <w:tcBorders>
              <w:top w:val="single" w:sz="4" w:space="0" w:color="auto"/>
              <w:left w:val="single" w:sz="4"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5"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0,22</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(10)</w:t>
            </w:r>
          </w:p>
        </w:tc>
        <w:tc>
          <w:tcPr>
            <w:tcW w:w="70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0,68</w:t>
            </w:r>
          </w:p>
        </w:tc>
        <w:tc>
          <w:tcPr>
            <w:tcW w:w="712"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1,7</w:t>
            </w:r>
          </w:p>
        </w:tc>
        <w:tc>
          <w:tcPr>
            <w:tcW w:w="872"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4</w:t>
            </w:r>
          </w:p>
        </w:tc>
      </w:tr>
      <w:tr w:rsidR="001F77B3" w:rsidRPr="007A6DF0" w:rsidTr="00297D25">
        <w:trPr>
          <w:cantSplit/>
          <w:trHeight w:val="450"/>
          <w:jc w:val="center"/>
        </w:trPr>
        <w:tc>
          <w:tcPr>
            <w:tcW w:w="867" w:type="dxa"/>
            <w:vMerge/>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p>
        </w:tc>
        <w:tc>
          <w:tcPr>
            <w:tcW w:w="1535" w:type="dxa"/>
            <w:vMerge/>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text"/>
              <w:jc w:val="center"/>
              <w:rPr>
                <w:lang w:val="es-ES_tradnl" w:eastAsia="ja-JP"/>
              </w:rPr>
            </w:pPr>
          </w:p>
        </w:tc>
        <w:tc>
          <w:tcPr>
            <w:tcW w:w="1418" w:type="dxa"/>
            <w:tcBorders>
              <w:top w:val="single" w:sz="4" w:space="0" w:color="auto"/>
              <w:left w:val="single" w:sz="4"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VV</w:t>
            </w:r>
          </w:p>
        </w:tc>
        <w:tc>
          <w:tcPr>
            <w:tcW w:w="1275"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0,22</w:t>
            </w:r>
          </w:p>
        </w:tc>
        <w:tc>
          <w:tcPr>
            <w:tcW w:w="1134"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(11)</w:t>
            </w:r>
          </w:p>
        </w:tc>
        <w:tc>
          <w:tcPr>
            <w:tcW w:w="1134"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Omni</w:t>
            </w:r>
            <w:r w:rsidRPr="007A6DF0">
              <w:rPr>
                <w:vertAlign w:val="superscript"/>
                <w:lang w:val="es-ES_tradnl" w:eastAsia="ja-JP"/>
              </w:rPr>
              <w:t>(11)</w:t>
            </w:r>
          </w:p>
        </w:tc>
        <w:tc>
          <w:tcPr>
            <w:tcW w:w="709"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0,45</w:t>
            </w:r>
          </w:p>
        </w:tc>
        <w:tc>
          <w:tcPr>
            <w:tcW w:w="712"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1,77</w:t>
            </w:r>
          </w:p>
        </w:tc>
        <w:tc>
          <w:tcPr>
            <w:tcW w:w="872" w:type="dxa"/>
            <w:tcBorders>
              <w:top w:val="single" w:sz="6" w:space="0" w:color="auto"/>
              <w:left w:val="single" w:sz="6" w:space="0" w:color="auto"/>
              <w:bottom w:val="single" w:sz="4" w:space="0" w:color="auto"/>
              <w:right w:val="single" w:sz="6" w:space="0" w:color="auto"/>
            </w:tcBorders>
            <w:vAlign w:val="center"/>
          </w:tcPr>
          <w:p w:rsidR="001F77B3" w:rsidRPr="007A6DF0" w:rsidRDefault="001F77B3" w:rsidP="008E512C">
            <w:pPr>
              <w:pStyle w:val="Tabletext"/>
              <w:jc w:val="center"/>
              <w:rPr>
                <w:lang w:val="es-ES_tradnl" w:eastAsia="ja-JP"/>
              </w:rPr>
            </w:pPr>
            <w:r w:rsidRPr="007A6DF0">
              <w:rPr>
                <w:lang w:val="es-ES_tradnl" w:eastAsia="ja-JP"/>
              </w:rPr>
              <w:t>5,2</w:t>
            </w:r>
          </w:p>
        </w:tc>
      </w:tr>
      <w:tr w:rsidR="001F77B3" w:rsidRPr="00297D25" w:rsidTr="008E512C">
        <w:trPr>
          <w:cantSplit/>
          <w:trHeight w:val="1845"/>
          <w:jc w:val="center"/>
        </w:trPr>
        <w:tc>
          <w:tcPr>
            <w:tcW w:w="9656" w:type="dxa"/>
            <w:gridSpan w:val="9"/>
            <w:tcBorders>
              <w:top w:val="single" w:sz="4" w:space="0" w:color="auto"/>
            </w:tcBorders>
            <w:vAlign w:val="center"/>
          </w:tcPr>
          <w:p w:rsidR="001F77B3" w:rsidRPr="007A6DF0" w:rsidRDefault="001F77B3" w:rsidP="008E512C">
            <w:pPr>
              <w:pStyle w:val="Tablelegend"/>
              <w:keepNext/>
              <w:keepLines/>
              <w:rPr>
                <w:vertAlign w:val="superscript"/>
                <w:lang w:val="es-ES_tradnl"/>
              </w:rPr>
            </w:pPr>
            <w:r w:rsidRPr="007A6DF0">
              <w:rPr>
                <w:vertAlign w:val="superscript"/>
                <w:lang w:val="es-ES_tradnl"/>
              </w:rPr>
              <w:t>(1)</w:t>
            </w:r>
            <w:r w:rsidRPr="007A6DF0">
              <w:rPr>
                <w:lang w:val="es-ES_tradnl"/>
              </w:rPr>
              <w:tab/>
              <w:t xml:space="preserve">Las antenas Tx y Rx se encuentran con una altura del techo de 2,6m y </w:t>
            </w:r>
            <w:r w:rsidRPr="007A6DF0">
              <w:rPr>
                <w:vertAlign w:val="superscript"/>
                <w:lang w:val="es-ES_tradnl"/>
              </w:rPr>
              <w:t xml:space="preserve">(2) </w:t>
            </w:r>
            <w:r w:rsidRPr="007A6DF0">
              <w:rPr>
                <w:lang w:val="es-ES_tradnl"/>
              </w:rPr>
              <w:t>una altura de escritorio</w:t>
            </w:r>
            <w:r w:rsidRPr="007A6DF0">
              <w:rPr>
                <w:lang w:val="es-ES_tradnl"/>
              </w:rPr>
              <w:br/>
              <w:t>de 1,5m .</w:t>
            </w:r>
          </w:p>
          <w:p w:rsidR="001F77B3" w:rsidRPr="007A6DF0" w:rsidRDefault="001F77B3" w:rsidP="008E512C">
            <w:pPr>
              <w:pStyle w:val="Tablelegend"/>
              <w:keepNext/>
              <w:keepLines/>
              <w:rPr>
                <w:vertAlign w:val="superscript"/>
                <w:lang w:val="es-ES_tradnl"/>
              </w:rPr>
            </w:pPr>
            <w:r w:rsidRPr="007A6DF0">
              <w:rPr>
                <w:vertAlign w:val="superscript"/>
                <w:lang w:val="es-ES_tradnl"/>
              </w:rPr>
              <w:t>(3)</w:t>
            </w:r>
            <w:r w:rsidRPr="007A6DF0">
              <w:rPr>
                <w:lang w:val="es-ES_tradnl"/>
              </w:rPr>
              <w:tab/>
              <w:t>Los valores superior e inferior corresponden a casos LoS y NLoS, respectivamente.</w:t>
            </w:r>
          </w:p>
          <w:p w:rsidR="001F77B3" w:rsidRPr="007A6DF0" w:rsidRDefault="001F77B3" w:rsidP="008E512C">
            <w:pPr>
              <w:pStyle w:val="Tablelegend"/>
              <w:keepNext/>
              <w:keepLines/>
              <w:rPr>
                <w:vertAlign w:val="superscript"/>
                <w:lang w:val="es-ES_tradnl"/>
              </w:rPr>
            </w:pPr>
            <w:r w:rsidRPr="007A6DF0">
              <w:rPr>
                <w:vertAlign w:val="superscript"/>
                <w:lang w:val="es-ES_tradnl"/>
              </w:rPr>
              <w:t>(4)</w:t>
            </w:r>
            <w:r w:rsidRPr="007A6DF0">
              <w:rPr>
                <w:lang w:val="es-ES_tradnl"/>
              </w:rPr>
              <w:tab/>
              <w:t xml:space="preserve">Valor medio de VV, VH, HV y HH. </w:t>
            </w:r>
          </w:p>
          <w:p w:rsidR="001F77B3" w:rsidRPr="007A6DF0" w:rsidRDefault="001F77B3" w:rsidP="008E512C">
            <w:pPr>
              <w:pStyle w:val="Tablelegend"/>
              <w:keepNext/>
              <w:keepLines/>
              <w:rPr>
                <w:vertAlign w:val="superscript"/>
                <w:lang w:val="es-ES_tradnl"/>
              </w:rPr>
            </w:pPr>
            <w:r w:rsidRPr="007A6DF0">
              <w:rPr>
                <w:vertAlign w:val="superscript"/>
                <w:lang w:val="es-ES_tradnl"/>
              </w:rPr>
              <w:t>(5)</w:t>
            </w:r>
            <w:r w:rsidRPr="007A6DF0">
              <w:rPr>
                <w:lang w:val="es-ES_tradnl"/>
              </w:rPr>
              <w:tab/>
              <w:t xml:space="preserve">Umbral de 20dB, </w:t>
            </w:r>
            <w:r w:rsidRPr="007A6DF0">
              <w:rPr>
                <w:vertAlign w:val="superscript"/>
                <w:lang w:val="es-ES_tradnl"/>
              </w:rPr>
              <w:t xml:space="preserve">(6) </w:t>
            </w:r>
            <w:r w:rsidRPr="007A6DF0">
              <w:rPr>
                <w:lang w:val="es-ES_tradnl"/>
              </w:rPr>
              <w:t xml:space="preserve">25 dB y </w:t>
            </w:r>
            <w:r w:rsidRPr="007A6DF0">
              <w:rPr>
                <w:vertAlign w:val="superscript"/>
                <w:lang w:val="es-ES_tradnl"/>
              </w:rPr>
              <w:t xml:space="preserve">(7) </w:t>
            </w:r>
            <w:r w:rsidRPr="007A6DF0">
              <w:rPr>
                <w:lang w:val="es-ES_tradnl"/>
              </w:rPr>
              <w:t xml:space="preserve">30 dB. </w:t>
            </w:r>
          </w:p>
          <w:p w:rsidR="001F77B3" w:rsidRPr="007A6DF0" w:rsidRDefault="001F77B3" w:rsidP="008E512C">
            <w:pPr>
              <w:pStyle w:val="Tablelegend"/>
              <w:keepNext/>
              <w:keepLines/>
              <w:rPr>
                <w:vertAlign w:val="superscript"/>
                <w:lang w:val="es-ES_tradnl"/>
              </w:rPr>
            </w:pPr>
            <w:r w:rsidRPr="007A6DF0">
              <w:rPr>
                <w:vertAlign w:val="superscript"/>
                <w:lang w:val="es-ES_tradnl"/>
              </w:rPr>
              <w:t>(8)</w:t>
            </w:r>
            <w:r w:rsidRPr="007A6DF0">
              <w:rPr>
                <w:lang w:val="es-ES_tradnl"/>
              </w:rPr>
              <w:tab/>
              <w:t xml:space="preserve">Umbral de 30 dB, el receptor apunta hacia el transmisor. </w:t>
            </w:r>
          </w:p>
          <w:p w:rsidR="001F77B3" w:rsidRPr="007A6DF0" w:rsidRDefault="001F77B3" w:rsidP="008E512C">
            <w:pPr>
              <w:pStyle w:val="Tablelegend"/>
              <w:keepNext/>
              <w:keepLines/>
              <w:rPr>
                <w:vertAlign w:val="superscript"/>
                <w:lang w:val="es-ES_tradnl"/>
              </w:rPr>
            </w:pPr>
            <w:r w:rsidRPr="007A6DF0">
              <w:rPr>
                <w:vertAlign w:val="superscript"/>
                <w:lang w:val="es-ES_tradnl"/>
              </w:rPr>
              <w:t>(9)</w:t>
            </w:r>
            <w:r w:rsidRPr="007A6DF0">
              <w:rPr>
                <w:lang w:val="es-ES_tradnl"/>
              </w:rPr>
              <w:tab/>
              <w:t xml:space="preserve">Umbral de 20 dB, la antena receptora con rotación de 360 grados. </w:t>
            </w:r>
          </w:p>
          <w:p w:rsidR="001F77B3" w:rsidRPr="007A6DF0" w:rsidRDefault="001F77B3" w:rsidP="008E512C">
            <w:pPr>
              <w:pStyle w:val="Tablelegend"/>
              <w:keepNext/>
              <w:keepLines/>
              <w:rPr>
                <w:lang w:val="es-ES_tradnl" w:eastAsia="ja-JP"/>
              </w:rPr>
            </w:pPr>
            <w:r w:rsidRPr="007A6DF0">
              <w:rPr>
                <w:vertAlign w:val="superscript"/>
                <w:lang w:val="es-ES_tradnl"/>
              </w:rPr>
              <w:t>(10)</w:t>
            </w:r>
            <w:r w:rsidRPr="007A6DF0">
              <w:rPr>
                <w:lang w:val="es-ES_tradnl"/>
              </w:rPr>
              <w:tab/>
              <w:t xml:space="preserve">Las Tx y Rx son antenas de transmisión de cuerpo a cuerpo </w:t>
            </w:r>
            <w:r w:rsidRPr="007A6DF0">
              <w:rPr>
                <w:lang w:val="es-ES_tradnl" w:eastAsia="ja-JP"/>
              </w:rPr>
              <w:t xml:space="preserve">y </w:t>
            </w:r>
            <w:r w:rsidRPr="007A6DF0">
              <w:rPr>
                <w:vertAlign w:val="superscript"/>
                <w:lang w:val="es-ES_tradnl" w:eastAsia="ja-JP"/>
              </w:rPr>
              <w:t xml:space="preserve">(11) </w:t>
            </w:r>
            <w:r w:rsidRPr="007A6DF0">
              <w:rPr>
                <w:lang w:val="es-ES_tradnl" w:eastAsia="ja-JP"/>
              </w:rPr>
              <w:t>de cuerpo a otro dispositivo externo.</w:t>
            </w:r>
          </w:p>
        </w:tc>
      </w:tr>
    </w:tbl>
    <w:p w:rsidR="001F77B3" w:rsidRPr="007A6DF0" w:rsidRDefault="001F77B3" w:rsidP="001F77B3">
      <w:pPr>
        <w:pStyle w:val="Tablefin"/>
        <w:rPr>
          <w:lang w:val="es-ES_tradnl"/>
        </w:rPr>
      </w:pPr>
    </w:p>
    <w:p w:rsidR="001F77B3" w:rsidRPr="007A6DF0" w:rsidRDefault="001F77B3" w:rsidP="001F77B3">
      <w:pPr>
        <w:rPr>
          <w:lang w:val="es-ES_tradnl"/>
        </w:rPr>
      </w:pPr>
      <w:r w:rsidRPr="007A6DF0">
        <w:rPr>
          <w:lang w:val="es-ES_tradnl"/>
        </w:rPr>
        <w:t>Dentro de un determinado edificio la dispersión del retardo tiende a aumentar con la distancia entre las antenas y, por tanto, con la pérdida del trayecto. El aumento de la distancia entre las antenas trae consigo una mayor probabilidad de que se obstruya el trayecto y de que la señal recibida consista únicamente en trayectos dispersados.</w:t>
      </w:r>
    </w:p>
    <w:p w:rsidR="001F77B3" w:rsidRPr="007A6DF0" w:rsidRDefault="001F77B3" w:rsidP="001F77B3">
      <w:pPr>
        <w:rPr>
          <w:lang w:val="es-ES_tradnl"/>
        </w:rPr>
      </w:pPr>
      <w:r w:rsidRPr="007A6DF0">
        <w:rPr>
          <w:lang w:val="es-ES_tradnl"/>
        </w:rPr>
        <w:t xml:space="preserve">El valor eficaz de la dispersión del retardo, </w:t>
      </w:r>
      <w:r w:rsidRPr="007A6DF0">
        <w:rPr>
          <w:i/>
          <w:iCs/>
          <w:lang w:val="es-ES_tradnl"/>
        </w:rPr>
        <w:t>S</w:t>
      </w:r>
      <w:r w:rsidRPr="007A6DF0">
        <w:rPr>
          <w:lang w:val="es-ES_tradnl"/>
        </w:rPr>
        <w:t xml:space="preserve">, es aproximadamente proporcional a la superficie del suelo, </w:t>
      </w:r>
      <w:r w:rsidRPr="007A6DF0">
        <w:rPr>
          <w:i/>
          <w:iCs/>
          <w:lang w:val="es-ES_tradnl"/>
        </w:rPr>
        <w:t>F</w:t>
      </w:r>
      <w:r w:rsidRPr="007A6DF0">
        <w:rPr>
          <w:i/>
          <w:iCs/>
          <w:vertAlign w:val="subscript"/>
          <w:lang w:val="es-ES_tradnl"/>
        </w:rPr>
        <w:t>s</w:t>
      </w:r>
      <w:r w:rsidRPr="007A6DF0">
        <w:rPr>
          <w:lang w:val="es-ES_tradnl"/>
        </w:rPr>
        <w:t>, y está dado por la ecuación (3).</w:t>
      </w:r>
    </w:p>
    <w:p w:rsidR="001F77B3" w:rsidRPr="007A6DF0" w:rsidRDefault="001F77B3" w:rsidP="001F77B3">
      <w:pPr>
        <w:pStyle w:val="Equation"/>
        <w:rPr>
          <w:lang w:val="es-ES_tradnl"/>
        </w:rPr>
      </w:pPr>
      <w:r w:rsidRPr="007A6DF0">
        <w:rPr>
          <w:lang w:val="es-ES_tradnl"/>
        </w:rPr>
        <w:tab/>
      </w:r>
      <w:r w:rsidRPr="007A6DF0">
        <w:rPr>
          <w:lang w:val="es-ES_tradnl"/>
        </w:rPr>
        <w:tab/>
        <w:t xml:space="preserve">10 log </w:t>
      </w:r>
      <w:r w:rsidRPr="007A6DF0">
        <w:rPr>
          <w:i/>
          <w:iCs/>
          <w:lang w:val="es-ES_tradnl"/>
        </w:rPr>
        <w:t>S</w:t>
      </w:r>
      <w:r w:rsidRPr="007A6DF0">
        <w:rPr>
          <w:lang w:val="es-ES_tradnl"/>
        </w:rPr>
        <w:t xml:space="preserve"> = </w:t>
      </w:r>
      <w:r w:rsidRPr="007A6DF0">
        <w:rPr>
          <w:lang w:val="es-ES_tradnl" w:eastAsia="ja-JP"/>
        </w:rPr>
        <w:t>2,3</w:t>
      </w:r>
      <w:r w:rsidRPr="007A6DF0">
        <w:rPr>
          <w:lang w:val="es-ES_tradnl"/>
        </w:rPr>
        <w:t xml:space="preserve"> log(</w:t>
      </w:r>
      <w:r w:rsidRPr="007A6DF0">
        <w:rPr>
          <w:i/>
          <w:iCs/>
          <w:lang w:val="es-ES_tradnl"/>
        </w:rPr>
        <w:t>F</w:t>
      </w:r>
      <w:r w:rsidRPr="007A6DF0">
        <w:rPr>
          <w:i/>
          <w:iCs/>
          <w:sz w:val="28"/>
          <w:szCs w:val="28"/>
          <w:vertAlign w:val="subscript"/>
          <w:lang w:val="es-ES_tradnl"/>
        </w:rPr>
        <w:t>s</w:t>
      </w:r>
      <w:r w:rsidRPr="007A6DF0">
        <w:rPr>
          <w:lang w:val="es-ES_tradnl"/>
        </w:rPr>
        <w:t>) + </w:t>
      </w:r>
      <w:r w:rsidRPr="007A6DF0">
        <w:rPr>
          <w:lang w:val="es-ES_tradnl" w:eastAsia="ja-JP"/>
        </w:rPr>
        <w:t>11,0</w:t>
      </w:r>
      <w:r w:rsidRPr="007A6DF0">
        <w:rPr>
          <w:lang w:val="es-ES_tradnl"/>
        </w:rPr>
        <w:tab/>
        <w:t>(3)</w:t>
      </w:r>
    </w:p>
    <w:p w:rsidR="001F77B3" w:rsidRPr="007A6DF0" w:rsidRDefault="001F77B3" w:rsidP="001F77B3">
      <w:pPr>
        <w:keepNext/>
        <w:keepLines/>
        <w:rPr>
          <w:lang w:val="es-ES_tradnl"/>
        </w:rPr>
      </w:pPr>
      <w:r w:rsidRPr="007A6DF0">
        <w:rPr>
          <w:lang w:val="es-ES_tradnl"/>
        </w:rPr>
        <w:t xml:space="preserve">donde las unidades de </w:t>
      </w:r>
      <w:r w:rsidRPr="007A6DF0">
        <w:rPr>
          <w:i/>
          <w:iCs/>
          <w:lang w:val="es-ES_tradnl"/>
        </w:rPr>
        <w:t>F</w:t>
      </w:r>
      <w:r w:rsidRPr="007A6DF0">
        <w:rPr>
          <w:i/>
          <w:iCs/>
          <w:vertAlign w:val="subscript"/>
          <w:lang w:val="es-ES_tradnl"/>
        </w:rPr>
        <w:t>s</w:t>
      </w:r>
      <w:r w:rsidRPr="007A6DF0">
        <w:rPr>
          <w:lang w:val="es-ES_tradnl"/>
        </w:rPr>
        <w:t xml:space="preserve"> y </w:t>
      </w:r>
      <w:r w:rsidRPr="007A6DF0">
        <w:rPr>
          <w:i/>
          <w:iCs/>
          <w:lang w:val="es-ES_tradnl"/>
        </w:rPr>
        <w:t>S</w:t>
      </w:r>
      <w:r w:rsidRPr="007A6DF0">
        <w:rPr>
          <w:lang w:val="es-ES_tradnl"/>
        </w:rPr>
        <w:t xml:space="preserve"> son m</w:t>
      </w:r>
      <w:r w:rsidRPr="007A6DF0">
        <w:rPr>
          <w:vertAlign w:val="superscript"/>
          <w:lang w:val="es-ES_tradnl"/>
        </w:rPr>
        <w:t>2</w:t>
      </w:r>
      <w:r w:rsidRPr="007A6DF0">
        <w:rPr>
          <w:lang w:val="es-ES_tradnl"/>
        </w:rPr>
        <w:t xml:space="preserve"> y ns, respectivamente.</w:t>
      </w:r>
    </w:p>
    <w:p w:rsidR="001F77B3" w:rsidRPr="007A6DF0" w:rsidRDefault="001F77B3" w:rsidP="001F77B3">
      <w:pPr>
        <w:rPr>
          <w:lang w:val="es-ES_tradnl"/>
        </w:rPr>
      </w:pPr>
      <w:r w:rsidRPr="007A6DF0">
        <w:rPr>
          <w:lang w:val="es-ES_tradnl"/>
        </w:rPr>
        <w:t>Esta ecuación se basa en las mediciones realizadas en la banda de 2 GHz para diversos tipos de salas, como oficina, hall, pasillo y gimnasio. La máxima superficie de suelo considerada para las mediciones fue de 1 000 m</w:t>
      </w:r>
      <w:r w:rsidRPr="007A6DF0">
        <w:rPr>
          <w:vertAlign w:val="superscript"/>
          <w:lang w:val="es-ES_tradnl"/>
        </w:rPr>
        <w:t>2</w:t>
      </w:r>
      <w:r w:rsidRPr="007A6DF0">
        <w:rPr>
          <w:lang w:val="es-ES_tradnl"/>
        </w:rPr>
        <w:t>. El valor mediano de error de estimación es de –1,6 ns y la desvi</w:t>
      </w:r>
      <w:r w:rsidR="00F668A3">
        <w:rPr>
          <w:lang w:val="es-ES_tradnl"/>
        </w:rPr>
        <w:t>ación típica de 24,3 </w:t>
      </w:r>
      <w:r w:rsidRPr="007A6DF0">
        <w:rPr>
          <w:lang w:val="es-ES_tradnl"/>
        </w:rPr>
        <w:t>ns.</w:t>
      </w:r>
    </w:p>
    <w:p w:rsidR="001F77B3" w:rsidRPr="007A6DF0" w:rsidRDefault="001F77B3" w:rsidP="001F77B3">
      <w:pPr>
        <w:rPr>
          <w:lang w:val="es-ES_tradnl"/>
        </w:rPr>
      </w:pPr>
      <w:r w:rsidRPr="007A6DF0">
        <w:rPr>
          <w:lang w:val="es-ES_tradnl"/>
        </w:rPr>
        <w:t xml:space="preserve">Cuando la dispersión del retardo </w:t>
      </w:r>
      <w:r w:rsidRPr="007A6DF0">
        <w:rPr>
          <w:i/>
          <w:iCs/>
          <w:lang w:val="es-ES_tradnl"/>
        </w:rPr>
        <w:t>S</w:t>
      </w:r>
      <w:r w:rsidRPr="007A6DF0">
        <w:rPr>
          <w:lang w:val="es-ES_tradnl"/>
        </w:rPr>
        <w:t xml:space="preserve"> se representa en dB, la desviación típica de </w:t>
      </w:r>
      <w:r w:rsidRPr="007A6DF0">
        <w:rPr>
          <w:i/>
          <w:iCs/>
          <w:lang w:val="es-ES_tradnl"/>
        </w:rPr>
        <w:t>S</w:t>
      </w:r>
      <w:r w:rsidRPr="007A6DF0">
        <w:rPr>
          <w:lang w:val="es-ES_tradnl"/>
        </w:rPr>
        <w:t xml:space="preserve"> se encuentra aproximadamente entre 0,7 y 1,2 dB.</w:t>
      </w:r>
    </w:p>
    <w:p w:rsidR="001F77B3" w:rsidRPr="007A6DF0" w:rsidRDefault="001F77B3" w:rsidP="001F77B3">
      <w:pPr>
        <w:pStyle w:val="Heading2"/>
        <w:rPr>
          <w:b w:val="0"/>
          <w:bCs/>
          <w:lang w:val="es-ES_tradnl"/>
        </w:rPr>
      </w:pPr>
      <w:bookmarkStart w:id="25" w:name="_Toc108941590"/>
      <w:r w:rsidRPr="007A6DF0">
        <w:rPr>
          <w:lang w:val="es-ES_tradnl"/>
        </w:rPr>
        <w:t>4.4</w:t>
      </w:r>
      <w:r w:rsidRPr="007A6DF0">
        <w:rPr>
          <w:lang w:val="es-ES_tradnl"/>
        </w:rPr>
        <w:tab/>
      </w:r>
      <w:bookmarkEnd w:id="23"/>
      <w:bookmarkEnd w:id="25"/>
      <w:r w:rsidRPr="007A6DF0">
        <w:rPr>
          <w:bCs/>
          <w:lang w:val="es-ES_tradnl"/>
        </w:rPr>
        <w:t xml:space="preserve">Estadísticas sobre selectividad de frecuencia </w:t>
      </w:r>
    </w:p>
    <w:p w:rsidR="001F77B3" w:rsidRPr="007A6DF0" w:rsidRDefault="001F77B3" w:rsidP="001F77B3">
      <w:pPr>
        <w:rPr>
          <w:lang w:val="es-ES_tradnl"/>
        </w:rPr>
      </w:pPr>
      <w:r w:rsidRPr="007A6DF0">
        <w:rPr>
          <w:lang w:val="es-ES_tradnl"/>
        </w:rPr>
        <w:t xml:space="preserve">La propagación por trayectos múltiples da lugar a una selectividad de frecuencias. La magnitud de la selectividad de frecuencia puede caracterizarse a partir de una anchura de banda coherente, una anchura de banda de desvanecimiento media y una frecuencia de cruce de nivel, según se explica en la Recomendación UIT-R P.1407. Los valores de la anchura de banda de desvanecimiento media que disminuyen por debajo del umbral de 6 dB a partir de mediciones realizadas en un entorno interior representativo del entorno de un laboratorio u oficina en la banda 2,38 GHz, y de un estudio de televisión en la banda 2,25 GHz son 27% y 21%, respectivamente. Los correspondientes valores de frecuencia de cruce de nivel son: 0,12 por MHz y 0,24 por MHz. </w:t>
      </w:r>
    </w:p>
    <w:p w:rsidR="001F77B3" w:rsidRPr="007A6DF0" w:rsidRDefault="001F77B3" w:rsidP="001F77B3">
      <w:pPr>
        <w:pStyle w:val="Heading2"/>
        <w:rPr>
          <w:lang w:val="es-ES_tradnl"/>
        </w:rPr>
      </w:pPr>
      <w:bookmarkStart w:id="26" w:name="_Toc392305225"/>
      <w:bookmarkStart w:id="27" w:name="_Toc108941591"/>
      <w:r w:rsidRPr="007A6DF0">
        <w:rPr>
          <w:lang w:val="es-ES_tradnl"/>
        </w:rPr>
        <w:t>4.5</w:t>
      </w:r>
      <w:r w:rsidRPr="007A6DF0">
        <w:rPr>
          <w:lang w:val="es-ES_tradnl"/>
        </w:rPr>
        <w:tab/>
        <w:t>Modelos para una instalación determinada</w:t>
      </w:r>
      <w:bookmarkEnd w:id="26"/>
      <w:bookmarkEnd w:id="27"/>
    </w:p>
    <w:p w:rsidR="001F77B3" w:rsidRPr="007A6DF0" w:rsidRDefault="001F77B3" w:rsidP="001F77B3">
      <w:pPr>
        <w:rPr>
          <w:lang w:val="es-ES_tradnl"/>
        </w:rPr>
      </w:pPr>
      <w:r w:rsidRPr="007A6DF0">
        <w:rPr>
          <w:lang w:val="es-ES_tradnl"/>
        </w:rPr>
        <w:t xml:space="preserve">Aunque los modelos estadísticos permiten obtener directrices de planificación, los modelos determinísticos (o para una instalación determinada) son muy útiles para los diseñadores de sistemas. Existen varias técnicas determinísticas para modelar la propagación. En el caso de aplicaciones en </w:t>
      </w:r>
      <w:r w:rsidRPr="007A6DF0">
        <w:rPr>
          <w:lang w:val="es-ES_tradnl"/>
        </w:rPr>
        <w:lastRenderedPageBreak/>
        <w:t>interiores, se ha estudiado especialmente la técnica de dominio temporal con diferencias finitas y la técnica de óptica geométrica. Esta última es más eficaz a efectos de cálculo que el dominio temporal con diferencias finitas.</w:t>
      </w:r>
    </w:p>
    <w:p w:rsidR="001F77B3" w:rsidRPr="007A6DF0" w:rsidRDefault="001F77B3" w:rsidP="001F77B3">
      <w:pPr>
        <w:rPr>
          <w:lang w:val="es-ES_tradnl"/>
        </w:rPr>
      </w:pPr>
      <w:r w:rsidRPr="007A6DF0">
        <w:rPr>
          <w:lang w:val="es-ES_tradnl"/>
        </w:rPr>
        <w:t>Hay dos enfoques básicos de la técnica de óptica geométrica, a saber, el de imagen y el de lanzamiento de rayos. En el de imagen se utilizan las imágenes del receptor con respecto a todas las superficies reflectantes del entorno. Se calculan las coordenadas de todas las imágenes y, a continuación, se trazan rayos hacia dichas imágenes.</w:t>
      </w:r>
    </w:p>
    <w:p w:rsidR="001F77B3" w:rsidRPr="007A6DF0" w:rsidRDefault="001F77B3" w:rsidP="001F77B3">
      <w:pPr>
        <w:rPr>
          <w:lang w:val="es-ES_tradnl"/>
        </w:rPr>
      </w:pPr>
      <w:r w:rsidRPr="007A6DF0">
        <w:rPr>
          <w:lang w:val="es-ES_tradnl"/>
        </w:rPr>
        <w:t>El lanzamiento de rayos consiste en lanzar cierto número de rayos de manera uniforme en el espacio en torno a la antena del transmisor. Los rayos son seguidos hasta que alcanzan el receptor o su amplitud se reduce por debajo de un límite especificado. Comparado con el enfoque de imagen, el de lanzamiento de rayos es más flexible, ya que los rayos difractados y dispersados pueden examinarse junto con las reflexiones especulares. Asimismo, la técnica de partición de rayos o el método de variación, permite ahorrar tiempo de cálculo, cuando se mantiene una resolución adecuada. El enfoque de lanzamiento de rayos es una técnica apropiada para predecir en una zona la respuesta de un canal a los impulsos, mientras que el enfoque de imagen se adecua a la predicción punto a punto.</w:t>
      </w:r>
    </w:p>
    <w:p w:rsidR="001F77B3" w:rsidRPr="007A6DF0" w:rsidRDefault="001F77B3" w:rsidP="001F77B3">
      <w:pPr>
        <w:keepNext/>
        <w:keepLines/>
        <w:rPr>
          <w:lang w:val="es-ES_tradnl"/>
        </w:rPr>
      </w:pPr>
      <w:r w:rsidRPr="007A6DF0">
        <w:rPr>
          <w:lang w:val="es-ES_tradnl"/>
        </w:rPr>
        <w:t>En los modelos determinísticos se hacen, por regla general, hipótesis sobre los efectos de los materiales de construcción a las frecuencias de que se trate (véase el § 7 relativo a las propiedades de los materiales de construcción). En un modelo para una instalación determinada debería tenerse en cuenta la geometría del entorno, así como la reflexión, la difracción y la transmisión a través de las paredes. La respuesta a los impulsos en un determinado punto viene dada por la siguiente fórmula:</w:t>
      </w:r>
    </w:p>
    <w:p w:rsidR="001F77B3" w:rsidRPr="007A6DF0" w:rsidRDefault="001F77B3" w:rsidP="001F77B3">
      <w:pPr>
        <w:pStyle w:val="Equation"/>
        <w:rPr>
          <w:lang w:val="es-ES_tradnl"/>
        </w:rPr>
      </w:pPr>
      <w:r w:rsidRPr="007A6DF0">
        <w:rPr>
          <w:lang w:val="es-ES_tradnl"/>
        </w:rPr>
        <w:tab/>
      </w:r>
      <w:r w:rsidRPr="007A6DF0">
        <w:rPr>
          <w:lang w:val="es-ES_tradnl"/>
        </w:rPr>
        <w:tab/>
      </w:r>
      <w:r w:rsidRPr="007A6DF0">
        <w:rPr>
          <w:position w:val="-34"/>
          <w:lang w:val="es-ES_tradnl"/>
        </w:rPr>
        <w:object w:dxaOrig="1040" w:dyaOrig="800">
          <v:shape id="_x0000_i1026" type="#_x0000_t75" style="width:49.95pt;height:43pt" o:ole="">
            <v:imagedata r:id="rId15" o:title=""/>
          </v:shape>
          <o:OLEObject Type="Embed" ProgID="Equation.3" ShapeID="_x0000_i1026" DrawAspect="Content" ObjectID="_1549090137" r:id="rId16"/>
        </w:object>
      </w:r>
      <w:r w:rsidRPr="007A6DF0">
        <w:rPr>
          <w:position w:val="-44"/>
          <w:lang w:val="es-ES_tradnl"/>
        </w:rPr>
        <w:object w:dxaOrig="4280" w:dyaOrig="999">
          <v:shape id="_x0000_i1027" type="#_x0000_t75" style="width:3in;height:49.95pt" o:ole="">
            <v:imagedata r:id="rId17" o:title=""/>
          </v:shape>
          <o:OLEObject Type="Embed" ProgID="Equation.3" ShapeID="_x0000_i1027" DrawAspect="Content" ObjectID="_1549090138" r:id="rId18"/>
        </w:object>
      </w:r>
      <w:r w:rsidRPr="007A6DF0">
        <w:rPr>
          <w:lang w:val="es-ES_tradnl"/>
        </w:rPr>
        <w:tab/>
        <w:t>(4)</w:t>
      </w:r>
    </w:p>
    <w:p w:rsidR="001F77B3" w:rsidRPr="007A6DF0" w:rsidRDefault="001F77B3" w:rsidP="001F77B3">
      <w:pPr>
        <w:rPr>
          <w:lang w:val="es-ES_tradnl"/>
        </w:rPr>
      </w:pPr>
      <w:r w:rsidRPr="007A6DF0">
        <w:rPr>
          <w:lang w:val="es-ES_tradnl"/>
        </w:rPr>
        <w:t>donde:</w:t>
      </w:r>
    </w:p>
    <w:p w:rsidR="001F77B3" w:rsidRPr="007A6DF0" w:rsidRDefault="001F77B3" w:rsidP="001F77B3">
      <w:pPr>
        <w:pStyle w:val="Equationlegend"/>
        <w:rPr>
          <w:lang w:val="es-ES_tradnl"/>
        </w:rPr>
      </w:pPr>
      <w:r w:rsidRPr="007A6DF0">
        <w:rPr>
          <w:lang w:val="es-ES_tradnl"/>
        </w:rPr>
        <w:tab/>
      </w:r>
      <w:r w:rsidRPr="007A6DF0">
        <w:rPr>
          <w:i/>
          <w:lang w:val="es-ES_tradnl"/>
        </w:rPr>
        <w:t>h</w:t>
      </w:r>
      <w:r w:rsidRPr="007A6DF0">
        <w:rPr>
          <w:lang w:val="es-ES_tradnl"/>
        </w:rPr>
        <w:t>(</w:t>
      </w:r>
      <w:r w:rsidRPr="007A6DF0">
        <w:rPr>
          <w:i/>
          <w:lang w:val="es-ES_tradnl"/>
        </w:rPr>
        <w:t>t</w:t>
      </w:r>
      <w:r w:rsidRPr="007A6DF0">
        <w:rPr>
          <w:lang w:val="es-ES_tradnl"/>
        </w:rPr>
        <w:t>)</w:t>
      </w:r>
      <w:r w:rsidRPr="007A6DF0">
        <w:rPr>
          <w:rFonts w:ascii="Tms Rmn" w:hAnsi="Tms Rmn"/>
          <w:sz w:val="12"/>
          <w:lang w:val="es-ES_tradnl"/>
        </w:rPr>
        <w:t> </w:t>
      </w:r>
      <w:r w:rsidRPr="007A6DF0">
        <w:rPr>
          <w:rFonts w:ascii="Tms Rmn" w:hAnsi="Tms Rmn"/>
          <w:lang w:val="es-ES_tradnl"/>
        </w:rPr>
        <w:t>:</w:t>
      </w:r>
      <w:r w:rsidRPr="007A6DF0">
        <w:rPr>
          <w:lang w:val="es-ES_tradnl"/>
        </w:rPr>
        <w:tab/>
        <w:t>respuesta de impulso</w:t>
      </w:r>
    </w:p>
    <w:p w:rsidR="001F77B3" w:rsidRPr="007A6DF0" w:rsidRDefault="001F77B3" w:rsidP="001F77B3">
      <w:pPr>
        <w:pStyle w:val="Equationlegend"/>
        <w:rPr>
          <w:lang w:val="es-ES_tradnl"/>
        </w:rPr>
      </w:pPr>
      <w:r w:rsidRPr="007A6DF0">
        <w:rPr>
          <w:lang w:val="es-ES_tradnl"/>
        </w:rPr>
        <w:tab/>
      </w:r>
      <w:r w:rsidRPr="007A6DF0">
        <w:rPr>
          <w:i/>
          <w:lang w:val="es-ES_tradnl"/>
        </w:rPr>
        <w:t>N</w:t>
      </w:r>
      <w:r w:rsidRPr="007A6DF0">
        <w:rPr>
          <w:rFonts w:ascii="Tms Rmn" w:hAnsi="Tms Rmn"/>
          <w:sz w:val="12"/>
          <w:lang w:val="es-ES_tradnl"/>
        </w:rPr>
        <w:t> </w:t>
      </w:r>
      <w:r w:rsidRPr="007A6DF0">
        <w:rPr>
          <w:rFonts w:ascii="Tms Rmn" w:hAnsi="Tms Rmn"/>
          <w:lang w:val="es-ES_tradnl"/>
        </w:rPr>
        <w:t>:</w:t>
      </w:r>
      <w:r w:rsidRPr="007A6DF0">
        <w:rPr>
          <w:rFonts w:ascii="Tms Rmn" w:hAnsi="Tms Rmn"/>
          <w:lang w:val="es-ES_tradnl"/>
        </w:rPr>
        <w:tab/>
      </w:r>
      <w:r w:rsidRPr="007A6DF0">
        <w:rPr>
          <w:lang w:val="es-ES_tradnl"/>
        </w:rPr>
        <w:t>número de rayos incidentes</w:t>
      </w:r>
    </w:p>
    <w:p w:rsidR="001F77B3" w:rsidRPr="007A6DF0" w:rsidRDefault="001F77B3" w:rsidP="001F77B3">
      <w:pPr>
        <w:pStyle w:val="Equationlegend"/>
        <w:rPr>
          <w:i/>
          <w:lang w:val="es-ES_tradnl"/>
        </w:rPr>
      </w:pPr>
      <w:r w:rsidRPr="007A6DF0">
        <w:rPr>
          <w:lang w:val="es-ES_tradnl"/>
        </w:rPr>
        <w:tab/>
      </w:r>
      <w:r w:rsidRPr="007A6DF0">
        <w:rPr>
          <w:i/>
          <w:lang w:val="es-ES_tradnl"/>
        </w:rPr>
        <w:t>M</w:t>
      </w:r>
      <w:r w:rsidRPr="007A6DF0">
        <w:rPr>
          <w:i/>
          <w:vertAlign w:val="subscript"/>
          <w:lang w:val="es-ES_tradnl"/>
        </w:rPr>
        <w:t>rn</w:t>
      </w:r>
      <w:r w:rsidRPr="007A6DF0">
        <w:rPr>
          <w:rFonts w:ascii="Tms Rmn" w:hAnsi="Tms Rmn"/>
          <w:sz w:val="12"/>
          <w:lang w:val="es-ES_tradnl"/>
        </w:rPr>
        <w:t> </w:t>
      </w:r>
      <w:r w:rsidRPr="007A6DF0">
        <w:rPr>
          <w:rFonts w:ascii="Tms Rmn" w:hAnsi="Tms Rmn"/>
          <w:lang w:val="es-ES_tradnl"/>
        </w:rPr>
        <w:t>:</w:t>
      </w:r>
      <w:r w:rsidRPr="007A6DF0">
        <w:rPr>
          <w:lang w:val="es-ES_tradnl"/>
        </w:rPr>
        <w:tab/>
        <w:t xml:space="preserve">número de reflexiones del rayo </w:t>
      </w:r>
      <w:r w:rsidRPr="007A6DF0">
        <w:rPr>
          <w:i/>
          <w:lang w:val="es-ES_tradnl"/>
        </w:rPr>
        <w:t>n</w:t>
      </w:r>
    </w:p>
    <w:p w:rsidR="001F77B3" w:rsidRPr="007A6DF0" w:rsidRDefault="001F77B3" w:rsidP="001F77B3">
      <w:pPr>
        <w:pStyle w:val="Equationlegend"/>
        <w:rPr>
          <w:i/>
          <w:lang w:val="es-ES_tradnl"/>
        </w:rPr>
      </w:pPr>
      <w:r w:rsidRPr="007A6DF0">
        <w:rPr>
          <w:lang w:val="es-ES_tradnl"/>
        </w:rPr>
        <w:tab/>
      </w:r>
      <w:r w:rsidRPr="007A6DF0">
        <w:rPr>
          <w:i/>
          <w:lang w:val="es-ES_tradnl"/>
        </w:rPr>
        <w:t>M</w:t>
      </w:r>
      <w:r w:rsidRPr="007A6DF0">
        <w:rPr>
          <w:i/>
          <w:vertAlign w:val="subscript"/>
          <w:lang w:val="es-ES_tradnl"/>
        </w:rPr>
        <w:t>pn</w:t>
      </w:r>
      <w:r w:rsidRPr="007A6DF0">
        <w:rPr>
          <w:sz w:val="12"/>
          <w:lang w:val="es-ES_tradnl"/>
        </w:rPr>
        <w:t> </w:t>
      </w:r>
      <w:r w:rsidRPr="007A6DF0">
        <w:rPr>
          <w:lang w:val="es-ES_tradnl"/>
        </w:rPr>
        <w:t>:</w:t>
      </w:r>
      <w:r w:rsidRPr="007A6DF0">
        <w:rPr>
          <w:position w:val="-4"/>
          <w:lang w:val="es-ES_tradnl"/>
        </w:rPr>
        <w:tab/>
      </w:r>
      <w:r w:rsidRPr="007A6DF0">
        <w:rPr>
          <w:lang w:val="es-ES_tradnl"/>
        </w:rPr>
        <w:t xml:space="preserve">número de penetraciones del rayo </w:t>
      </w:r>
      <w:r w:rsidRPr="007A6DF0">
        <w:rPr>
          <w:i/>
          <w:lang w:val="es-ES_tradnl"/>
        </w:rPr>
        <w:t>n</w:t>
      </w:r>
    </w:p>
    <w:p w:rsidR="001F77B3" w:rsidRPr="007A6DF0" w:rsidRDefault="001F77B3" w:rsidP="001F77B3">
      <w:pPr>
        <w:pStyle w:val="Equationlegend"/>
        <w:rPr>
          <w:lang w:val="es-ES_tradnl"/>
        </w:rPr>
      </w:pPr>
      <w:r w:rsidRPr="007A6DF0">
        <w:rPr>
          <w:lang w:val="es-ES_tradnl"/>
        </w:rPr>
        <w:tab/>
      </w:r>
      <w:r w:rsidRPr="007A6DF0">
        <w:rPr>
          <w:lang w:val="es-ES_tradnl"/>
        </w:rPr>
        <w:sym w:font="Symbol" w:char="F047"/>
      </w:r>
      <w:r w:rsidRPr="007A6DF0">
        <w:rPr>
          <w:i/>
          <w:iCs/>
          <w:vertAlign w:val="subscript"/>
          <w:lang w:val="es-ES_tradnl"/>
        </w:rPr>
        <w:t>nu</w:t>
      </w:r>
      <w:r w:rsidRPr="007A6DF0">
        <w:rPr>
          <w:rFonts w:ascii="Tms Rmn" w:hAnsi="Tms Rmn"/>
          <w:sz w:val="12"/>
          <w:lang w:val="es-ES_tradnl"/>
        </w:rPr>
        <w:t> </w:t>
      </w:r>
      <w:r w:rsidRPr="007A6DF0">
        <w:rPr>
          <w:rFonts w:ascii="Tms Rmn" w:hAnsi="Tms Rmn"/>
          <w:lang w:val="es-ES_tradnl"/>
        </w:rPr>
        <w:t>:</w:t>
      </w:r>
      <w:r w:rsidRPr="007A6DF0">
        <w:rPr>
          <w:lang w:val="es-ES_tradnl"/>
        </w:rPr>
        <w:tab/>
        <w:t xml:space="preserve">coeficiente de reflexión del rayo </w:t>
      </w:r>
      <w:r w:rsidRPr="007A6DF0">
        <w:rPr>
          <w:i/>
          <w:lang w:val="es-ES_tradnl"/>
        </w:rPr>
        <w:t>n</w:t>
      </w:r>
      <w:r w:rsidRPr="007A6DF0">
        <w:rPr>
          <w:lang w:val="es-ES_tradnl"/>
        </w:rPr>
        <w:t xml:space="preserve"> contra la </w:t>
      </w:r>
      <w:r w:rsidRPr="007A6DF0">
        <w:rPr>
          <w:i/>
          <w:lang w:val="es-ES_tradnl"/>
        </w:rPr>
        <w:t>u</w:t>
      </w:r>
      <w:r w:rsidRPr="007A6DF0">
        <w:rPr>
          <w:lang w:val="es-ES_tradnl"/>
        </w:rPr>
        <w:t>-ésima pared</w:t>
      </w:r>
    </w:p>
    <w:p w:rsidR="001F77B3" w:rsidRPr="007A6DF0" w:rsidRDefault="001F77B3" w:rsidP="001F77B3">
      <w:pPr>
        <w:pStyle w:val="Equationlegend"/>
        <w:rPr>
          <w:i/>
          <w:lang w:val="es-ES_tradnl"/>
        </w:rPr>
      </w:pPr>
      <w:r w:rsidRPr="007A6DF0">
        <w:rPr>
          <w:lang w:val="es-ES_tradnl"/>
        </w:rPr>
        <w:tab/>
      </w:r>
      <w:r w:rsidRPr="007A6DF0">
        <w:rPr>
          <w:i/>
          <w:lang w:val="es-ES_tradnl"/>
        </w:rPr>
        <w:t>P</w:t>
      </w:r>
      <w:r w:rsidRPr="007A6DF0">
        <w:rPr>
          <w:i/>
          <w:vertAlign w:val="subscript"/>
          <w:lang w:val="es-ES_tradnl"/>
        </w:rPr>
        <w:t>nv</w:t>
      </w:r>
      <w:r w:rsidRPr="007A6DF0">
        <w:rPr>
          <w:rFonts w:ascii="Tms Rmn" w:hAnsi="Tms Rmn"/>
          <w:sz w:val="12"/>
          <w:lang w:val="es-ES_tradnl"/>
        </w:rPr>
        <w:t> </w:t>
      </w:r>
      <w:r w:rsidRPr="007A6DF0">
        <w:rPr>
          <w:rFonts w:ascii="Tms Rmn" w:hAnsi="Tms Rmn"/>
          <w:lang w:val="es-ES_tradnl"/>
        </w:rPr>
        <w:t>:</w:t>
      </w:r>
      <w:r w:rsidRPr="007A6DF0">
        <w:rPr>
          <w:lang w:val="es-ES_tradnl"/>
        </w:rPr>
        <w:tab/>
        <w:t xml:space="preserve">coeficiente de penetración del rayo </w:t>
      </w:r>
      <w:r w:rsidRPr="007A6DF0">
        <w:rPr>
          <w:i/>
          <w:lang w:val="es-ES_tradnl"/>
        </w:rPr>
        <w:t>n</w:t>
      </w:r>
      <w:r w:rsidRPr="007A6DF0">
        <w:rPr>
          <w:lang w:val="es-ES_tradnl"/>
        </w:rPr>
        <w:t xml:space="preserve"> por la </w:t>
      </w:r>
      <w:r w:rsidRPr="007A6DF0">
        <w:rPr>
          <w:i/>
          <w:lang w:val="es-ES_tradnl"/>
        </w:rPr>
        <w:t>v</w:t>
      </w:r>
      <w:r w:rsidRPr="007A6DF0">
        <w:rPr>
          <w:lang w:val="es-ES_tradnl"/>
        </w:rPr>
        <w:t>-ésima pared</w:t>
      </w:r>
    </w:p>
    <w:p w:rsidR="001F77B3" w:rsidRPr="007A6DF0" w:rsidRDefault="001F77B3" w:rsidP="001F77B3">
      <w:pPr>
        <w:pStyle w:val="Equationlegend"/>
        <w:rPr>
          <w:i/>
          <w:lang w:val="es-ES_tradnl"/>
        </w:rPr>
      </w:pPr>
      <w:r w:rsidRPr="007A6DF0">
        <w:rPr>
          <w:lang w:val="es-ES_tradnl"/>
        </w:rPr>
        <w:tab/>
      </w:r>
      <w:r w:rsidRPr="007A6DF0">
        <w:rPr>
          <w:i/>
          <w:lang w:val="es-ES_tradnl"/>
        </w:rPr>
        <w:t>r</w:t>
      </w:r>
      <w:r w:rsidRPr="007A6DF0">
        <w:rPr>
          <w:i/>
          <w:vertAlign w:val="subscript"/>
          <w:lang w:val="es-ES_tradnl"/>
        </w:rPr>
        <w:t>n</w:t>
      </w:r>
      <w:r w:rsidRPr="007A6DF0">
        <w:rPr>
          <w:rFonts w:ascii="Tms Rmn" w:hAnsi="Tms Rmn"/>
          <w:sz w:val="12"/>
          <w:lang w:val="es-ES_tradnl"/>
        </w:rPr>
        <w:t> </w:t>
      </w:r>
      <w:r w:rsidRPr="007A6DF0">
        <w:rPr>
          <w:rFonts w:ascii="Tms Rmn" w:hAnsi="Tms Rmn"/>
          <w:lang w:val="es-ES_tradnl"/>
        </w:rPr>
        <w:t>:</w:t>
      </w:r>
      <w:r w:rsidRPr="007A6DF0">
        <w:rPr>
          <w:lang w:val="es-ES_tradnl"/>
        </w:rPr>
        <w:tab/>
        <w:t xml:space="preserve">longitud del trayecto del rayo </w:t>
      </w:r>
      <w:r w:rsidRPr="007A6DF0">
        <w:rPr>
          <w:i/>
          <w:lang w:val="es-ES_tradnl"/>
        </w:rPr>
        <w:t>n</w:t>
      </w:r>
    </w:p>
    <w:p w:rsidR="001F77B3" w:rsidRPr="007A6DF0" w:rsidRDefault="001F77B3" w:rsidP="001F77B3">
      <w:pPr>
        <w:pStyle w:val="Equationlegend"/>
        <w:rPr>
          <w:lang w:val="es-ES_tradnl"/>
        </w:rPr>
      </w:pPr>
      <w:r w:rsidRPr="007A6DF0">
        <w:rPr>
          <w:lang w:val="es-ES_tradnl"/>
        </w:rPr>
        <w:tab/>
      </w:r>
      <w:r w:rsidRPr="007A6DF0">
        <w:rPr>
          <w:lang w:val="es-ES_tradnl"/>
        </w:rPr>
        <w:sym w:font="Symbol" w:char="F074"/>
      </w:r>
      <w:r w:rsidRPr="007A6DF0">
        <w:rPr>
          <w:i/>
          <w:iCs/>
          <w:vertAlign w:val="subscript"/>
          <w:lang w:val="es-ES_tradnl"/>
        </w:rPr>
        <w:t>n</w:t>
      </w:r>
      <w:r w:rsidRPr="007A6DF0">
        <w:rPr>
          <w:rFonts w:ascii="Tms Rmn" w:hAnsi="Tms Rmn"/>
          <w:sz w:val="12"/>
          <w:lang w:val="es-ES_tradnl"/>
        </w:rPr>
        <w:t> </w:t>
      </w:r>
      <w:r w:rsidRPr="007A6DF0">
        <w:rPr>
          <w:rFonts w:ascii="Tms Rmn" w:hAnsi="Tms Rmn"/>
          <w:lang w:val="es-ES_tradnl"/>
        </w:rPr>
        <w:t>:</w:t>
      </w:r>
      <w:r w:rsidRPr="007A6DF0">
        <w:rPr>
          <w:lang w:val="es-ES_tradnl"/>
        </w:rPr>
        <w:tab/>
        <w:t xml:space="preserve">retardo del rayo </w:t>
      </w:r>
      <w:r w:rsidRPr="007A6DF0">
        <w:rPr>
          <w:i/>
          <w:lang w:val="es-ES_tradnl"/>
        </w:rPr>
        <w:t>n</w:t>
      </w:r>
      <w:r w:rsidRPr="007A6DF0">
        <w:rPr>
          <w:lang w:val="es-ES_tradnl"/>
        </w:rPr>
        <w:t>.</w:t>
      </w:r>
    </w:p>
    <w:p w:rsidR="001F77B3" w:rsidRPr="007A6DF0" w:rsidRDefault="001F77B3" w:rsidP="001F77B3">
      <w:pPr>
        <w:rPr>
          <w:lang w:val="es-ES_tradnl"/>
        </w:rPr>
      </w:pPr>
      <w:r w:rsidRPr="007A6DF0">
        <w:rPr>
          <w:lang w:val="es-ES_tradnl"/>
        </w:rPr>
        <w:t>Los rayos reflejados por las paredes y otras superficies, o que penetran a través de las mismas, se calculan recurriendo a las ecuaciones de Fresnel. En el § 7 se indican los valores medidos de la permisividad de ciertos materiales de construcción.</w:t>
      </w:r>
    </w:p>
    <w:p w:rsidR="001F77B3" w:rsidRPr="007A6DF0" w:rsidRDefault="001F77B3" w:rsidP="001F77B3">
      <w:pPr>
        <w:keepLines/>
        <w:rPr>
          <w:lang w:val="es-ES_tradnl"/>
        </w:rPr>
      </w:pPr>
      <w:r w:rsidRPr="007A6DF0">
        <w:rPr>
          <w:lang w:val="es-ES_tradnl"/>
        </w:rPr>
        <w:t>Además de los rayos que son reflejados o que penetran descritos en la ecuación (5), habría que incluir también los rayos difractados y dispersados para modelar adecuadamente las señales recibidas. Este caso se da sobre todo en corredores con esquinas y otras situaciones similares de propagación. Es posible aplicar la teoría uniforme de la difracción para calcular los rayos difractados.</w:t>
      </w:r>
    </w:p>
    <w:p w:rsidR="001F77B3" w:rsidRPr="007A6DF0" w:rsidRDefault="001F77B3" w:rsidP="001F77B3">
      <w:pPr>
        <w:pStyle w:val="Heading1"/>
        <w:rPr>
          <w:lang w:val="es-ES_tradnl"/>
        </w:rPr>
      </w:pPr>
      <w:bookmarkStart w:id="28" w:name="_Toc392305226"/>
      <w:bookmarkStart w:id="29" w:name="_Toc108941592"/>
      <w:r w:rsidRPr="007A6DF0">
        <w:rPr>
          <w:lang w:val="es-ES_tradnl"/>
        </w:rPr>
        <w:t>5</w:t>
      </w:r>
      <w:r w:rsidRPr="007A6DF0">
        <w:rPr>
          <w:lang w:val="es-ES_tradnl"/>
        </w:rPr>
        <w:tab/>
        <w:t>Efectos de la polarización y diagrama de radiación de la antena</w:t>
      </w:r>
      <w:bookmarkEnd w:id="28"/>
      <w:bookmarkEnd w:id="29"/>
    </w:p>
    <w:p w:rsidR="001F77B3" w:rsidRPr="007A6DF0" w:rsidRDefault="001F77B3" w:rsidP="001F77B3">
      <w:pPr>
        <w:rPr>
          <w:lang w:val="es-ES_tradnl"/>
        </w:rPr>
      </w:pPr>
      <w:r w:rsidRPr="007A6DF0">
        <w:rPr>
          <w:lang w:val="es-ES_tradnl"/>
        </w:rPr>
        <w:t xml:space="preserve">En interiores no sólo hay un trayecto directo sino también trayectos reflejados y difractados entre el transmisor y el receptor. Las características de reflexión de los materiales de construcción dependen de la polarización, el ángulo de incidencia y la permisividad compleja de los materiales, como se </w:t>
      </w:r>
      <w:r w:rsidRPr="007A6DF0">
        <w:rPr>
          <w:lang w:val="es-ES_tradnl"/>
        </w:rPr>
        <w:lastRenderedPageBreak/>
        <w:t>representa en la fórmula de reflexión de Fresnel. Los ángulos de incidencia de los componentes de trayectos múltiples se distribuyen en función de las anchuras de banda de la antena, las estructuras del edificio y el emplazamiento del transmisor y el receptor. En consecuencia, la polarización y el diagrama efectivo de radiación de antena pueden afectar significativamente las características de propagación en interiores.</w:t>
      </w:r>
    </w:p>
    <w:p w:rsidR="001F77B3" w:rsidRPr="007A6DF0" w:rsidRDefault="001F77B3" w:rsidP="001F77B3">
      <w:pPr>
        <w:pStyle w:val="Heading2"/>
        <w:rPr>
          <w:lang w:val="es-ES_tradnl"/>
        </w:rPr>
      </w:pPr>
      <w:r w:rsidRPr="007A6DF0">
        <w:rPr>
          <w:lang w:val="es-ES_tradnl"/>
        </w:rPr>
        <w:t>5.1</w:t>
      </w:r>
      <w:r w:rsidRPr="007A6DF0">
        <w:rPr>
          <w:lang w:val="es-ES_tradnl"/>
        </w:rPr>
        <w:tab/>
        <w:t>Visibilidad directa</w:t>
      </w:r>
    </w:p>
    <w:p w:rsidR="001F77B3" w:rsidRPr="007A6DF0" w:rsidRDefault="001F77B3" w:rsidP="001F77B3">
      <w:pPr>
        <w:pStyle w:val="Heading3"/>
        <w:rPr>
          <w:lang w:val="es-ES_tradnl" w:eastAsia="ja-JP"/>
        </w:rPr>
      </w:pPr>
      <w:r w:rsidRPr="007A6DF0">
        <w:rPr>
          <w:lang w:val="es-ES_tradnl" w:eastAsia="ja-JP"/>
        </w:rPr>
        <w:t>5.1.1</w:t>
      </w:r>
      <w:r w:rsidRPr="007A6DF0">
        <w:rPr>
          <w:lang w:val="es-ES_tradnl" w:eastAsia="ja-JP"/>
        </w:rPr>
        <w:tab/>
        <w:t>Efecto de la polarización</w:t>
      </w:r>
    </w:p>
    <w:p w:rsidR="001F77B3" w:rsidRPr="007A6DF0" w:rsidRDefault="001F77B3" w:rsidP="001F77B3">
      <w:pPr>
        <w:pStyle w:val="Heading4"/>
        <w:rPr>
          <w:lang w:val="es-ES_tradnl" w:eastAsia="ja-JP"/>
        </w:rPr>
      </w:pPr>
      <w:r w:rsidRPr="007A6DF0">
        <w:rPr>
          <w:lang w:val="es-ES_tradnl" w:eastAsia="ja-JP"/>
        </w:rPr>
        <w:t>5.1.1.1</w:t>
      </w:r>
      <w:r w:rsidRPr="007A6DF0">
        <w:rPr>
          <w:lang w:val="es-ES_tradnl" w:eastAsia="ja-JP"/>
        </w:rPr>
        <w:tab/>
        <w:t>Dispersión del retardo</w:t>
      </w:r>
    </w:p>
    <w:p w:rsidR="001F77B3" w:rsidRPr="007A6DF0" w:rsidRDefault="001F77B3" w:rsidP="001F77B3">
      <w:pPr>
        <w:keepNext/>
        <w:keepLines/>
        <w:rPr>
          <w:lang w:val="es-ES_tradnl"/>
        </w:rPr>
      </w:pPr>
      <w:r w:rsidRPr="007A6DF0">
        <w:rPr>
          <w:lang w:val="es-ES_tradnl"/>
        </w:rPr>
        <w:t>Es bien sabido que en los canales con visibilidad directa las antenas direccionales reducen la dispersión cuadrática media del retardo en comparación con las antenas omnidireccionales, y que la polarización circular también la reduce con respecto a la polarización lineal. De ahí que en este caso una antena de polarización circular direccional represente un medio eficaz para reducir la dispersión del retardo.</w:t>
      </w:r>
    </w:p>
    <w:p w:rsidR="001F77B3" w:rsidRPr="007A6DF0" w:rsidRDefault="001F77B3" w:rsidP="001F77B3">
      <w:pPr>
        <w:rPr>
          <w:lang w:val="es-ES_tradnl"/>
        </w:rPr>
      </w:pPr>
      <w:r w:rsidRPr="007A6DF0">
        <w:rPr>
          <w:lang w:val="es-ES_tradnl"/>
        </w:rPr>
        <w:t>El principal motivo de que la dispersión dependa de la polarización es que, cuando la señal de polarización circular incide en una superficie reflejante con un ángulo de incidencia inferior al ángulo de Brewster, se invierte el sentido de polarización de la señal de polarización circular reflejada. La inversión de la señal de polarización circular en cada reflexión significa que los componentes de trayectos múltiples que llegan después de una reflexión están polarizados ortogonalmente con respecto al componente de visibilidad directa, lo cual elimina una parte considerable de la interferencia por trayectos múltiples. Este efecto es independiente de la frecuencia como se ha predicho teóricamente y ha quedado demostrado en una serie de experimentos sobre propagación en interiores en la gama de 1,3 GHz a 60 GHz, y se aplica tanto en interiores como en exteriores. Como todos los materiales de construcción actuales tienen ángulos de Brewster superiores a 45°, los trayectos múltiples debidos a reflexiones puntuales (esto es, la fuente principal de componentes de trayectos múltiples) se suprimen, de hecho, en la mayoría de las salas, con independencia de la estructura interior y los materiales de la misma. Las posibles excepciones están constituidas por entornos en que ángulos de incidencia muy grandes predominan en los trayectos múltiples, por ejemplo en largos vestíbulos. Las variaciones del valor eficaz de la dispersión del retardo en un enlace en movimiento se reducen asimismo al utilizar antenas de polarización circular.</w:t>
      </w:r>
    </w:p>
    <w:p w:rsidR="001F77B3" w:rsidRPr="007A6DF0" w:rsidRDefault="001F77B3" w:rsidP="001F77B3">
      <w:pPr>
        <w:pStyle w:val="Heading4"/>
        <w:rPr>
          <w:lang w:val="es-ES_tradnl" w:eastAsia="ja-JP"/>
        </w:rPr>
      </w:pPr>
      <w:r w:rsidRPr="007A6DF0">
        <w:rPr>
          <w:lang w:val="es-ES_tradnl" w:eastAsia="ja-JP"/>
        </w:rPr>
        <w:t>5.1.1.2</w:t>
      </w:r>
      <w:r w:rsidRPr="007A6DF0">
        <w:rPr>
          <w:lang w:val="es-ES_tradnl" w:eastAsia="ja-JP"/>
        </w:rPr>
        <w:tab/>
        <w:t>Tasa de discriminación por polarización cruzada</w:t>
      </w:r>
    </w:p>
    <w:p w:rsidR="001F77B3" w:rsidRPr="007A6DF0" w:rsidRDefault="001F77B3" w:rsidP="001F77B3">
      <w:pPr>
        <w:rPr>
          <w:lang w:val="es-ES_tradnl" w:eastAsia="ja-JP"/>
        </w:rPr>
      </w:pPr>
      <w:r w:rsidRPr="007A6DF0">
        <w:rPr>
          <w:lang w:val="es-ES_tradnl" w:eastAsia="ja-JP"/>
        </w:rPr>
        <w:t>Las componentes de la señal con polarización cruzada se generan por reflexión y difracción. Es bien sabido que las características de la atenuación entre antenas con polarización ortogonal tienen un coeficiente de correlación muy pequeño. Se han elaborado sistemas MIMO (múltiples entradas, múltiples salidas) y técnicas de diversidad de polarización en antenas con polarización ortogonal que emplean estas características de la atenuación. Una de las soluciones para mejorar la potencia recibida es utilizar la técnica de diversidad de polarización, cuyo efecto depende sobremanera de la característica XPR.</w:t>
      </w:r>
    </w:p>
    <w:p w:rsidR="001F77B3" w:rsidRPr="007A6DF0" w:rsidRDefault="001F77B3" w:rsidP="001F77B3">
      <w:pPr>
        <w:rPr>
          <w:lang w:val="es-ES_tradnl" w:eastAsia="ja-JP"/>
        </w:rPr>
      </w:pPr>
      <w:r w:rsidRPr="007A6DF0">
        <w:rPr>
          <w:lang w:val="es-ES_tradnl" w:eastAsia="ja-JP"/>
        </w:rPr>
        <w:t xml:space="preserve">Por otra parte, la capacidad del canal puede mejorarse si se seleccionan adecuadamente las componentes de polarización cruzada en los sistemas MIMO. Así pues, la calidad de la comunicación en un sistema inalámbrico puede mejorarse utilizando eficazmente la información relativa a las ondas con polarización cruzada. </w:t>
      </w:r>
    </w:p>
    <w:p w:rsidR="001F77B3" w:rsidRPr="007A6DF0" w:rsidRDefault="001F77B3" w:rsidP="001F77B3">
      <w:pPr>
        <w:rPr>
          <w:lang w:val="es-ES_tradnl" w:eastAsia="ja-JP"/>
        </w:rPr>
      </w:pPr>
      <w:r w:rsidRPr="007A6DF0">
        <w:rPr>
          <w:lang w:val="es-ES_tradnl" w:eastAsia="ja-JP"/>
        </w:rPr>
        <w:t>En el Cuadro 6 se indican los resultados de la medición de la mediana y el valor medio de XPR en cada entorno.</w:t>
      </w:r>
    </w:p>
    <w:p w:rsidR="001F77B3" w:rsidRPr="007A6DF0" w:rsidRDefault="001F77B3" w:rsidP="001F77B3">
      <w:pPr>
        <w:pStyle w:val="TableNo"/>
        <w:rPr>
          <w:lang w:val="es-ES_tradnl" w:eastAsia="ja-JP"/>
        </w:rPr>
      </w:pPr>
      <w:r w:rsidRPr="007A6DF0">
        <w:rPr>
          <w:lang w:val="es-ES_tradnl"/>
        </w:rPr>
        <w:lastRenderedPageBreak/>
        <w:t>CUADRO 6</w:t>
      </w:r>
    </w:p>
    <w:p w:rsidR="001F77B3" w:rsidRPr="007A6DF0" w:rsidRDefault="001F77B3" w:rsidP="001F77B3">
      <w:pPr>
        <w:pStyle w:val="Tabletitle"/>
        <w:rPr>
          <w:lang w:val="es-ES_tradnl" w:eastAsia="ja-JP"/>
        </w:rPr>
      </w:pPr>
      <w:r w:rsidRPr="007A6DF0">
        <w:rPr>
          <w:lang w:val="es-ES_tradnl" w:eastAsia="ja-JP"/>
        </w:rPr>
        <w:t xml:space="preserve">Ejemplos de valores de XPR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701"/>
        <w:gridCol w:w="1701"/>
        <w:gridCol w:w="1701"/>
        <w:gridCol w:w="1701"/>
      </w:tblGrid>
      <w:tr w:rsidR="001F77B3" w:rsidRPr="007A6DF0" w:rsidTr="008E512C">
        <w:trPr>
          <w:jc w:val="center"/>
        </w:trPr>
        <w:tc>
          <w:tcPr>
            <w:tcW w:w="1701" w:type="dxa"/>
            <w:vAlign w:val="center"/>
          </w:tcPr>
          <w:p w:rsidR="001F77B3" w:rsidRPr="007A6DF0" w:rsidRDefault="001F77B3" w:rsidP="008E512C">
            <w:pPr>
              <w:pStyle w:val="Tablehead"/>
              <w:rPr>
                <w:lang w:val="es-ES_tradnl"/>
              </w:rPr>
            </w:pPr>
            <w:r w:rsidRPr="007A6DF0">
              <w:rPr>
                <w:lang w:val="es-ES_tradnl"/>
              </w:rPr>
              <w:t>Frecuencia</w:t>
            </w:r>
            <w:r w:rsidRPr="007A6DF0">
              <w:rPr>
                <w:lang w:val="es-ES_tradnl"/>
              </w:rPr>
              <w:br/>
              <w:t>(GHz)</w:t>
            </w:r>
          </w:p>
        </w:tc>
        <w:tc>
          <w:tcPr>
            <w:tcW w:w="1701" w:type="dxa"/>
            <w:vAlign w:val="center"/>
          </w:tcPr>
          <w:p w:rsidR="001F77B3" w:rsidRPr="007A6DF0" w:rsidRDefault="001F77B3" w:rsidP="008E512C">
            <w:pPr>
              <w:pStyle w:val="Tablehead"/>
              <w:rPr>
                <w:lang w:val="es-ES_tradnl"/>
              </w:rPr>
            </w:pPr>
            <w:r w:rsidRPr="007A6DF0">
              <w:rPr>
                <w:lang w:val="es-ES_tradnl"/>
              </w:rPr>
              <w:t>Ambiente</w:t>
            </w:r>
          </w:p>
        </w:tc>
        <w:tc>
          <w:tcPr>
            <w:tcW w:w="1701" w:type="dxa"/>
            <w:vAlign w:val="center"/>
          </w:tcPr>
          <w:p w:rsidR="001F77B3" w:rsidRPr="007A6DF0" w:rsidRDefault="001F77B3" w:rsidP="008E512C">
            <w:pPr>
              <w:pStyle w:val="Tablehead"/>
              <w:rPr>
                <w:lang w:val="es-ES_tradnl"/>
              </w:rPr>
            </w:pPr>
            <w:r w:rsidRPr="007A6DF0">
              <w:rPr>
                <w:lang w:val="es-ES_tradnl"/>
              </w:rPr>
              <w:t>Configuración</w:t>
            </w:r>
            <w:r w:rsidRPr="007A6DF0">
              <w:rPr>
                <w:lang w:val="es-ES_tradnl"/>
              </w:rPr>
              <w:br/>
              <w:t>de la antena</w:t>
            </w:r>
          </w:p>
        </w:tc>
        <w:tc>
          <w:tcPr>
            <w:tcW w:w="1701" w:type="dxa"/>
            <w:vAlign w:val="center"/>
          </w:tcPr>
          <w:p w:rsidR="001F77B3" w:rsidRPr="007A6DF0" w:rsidRDefault="001F77B3" w:rsidP="008E512C">
            <w:pPr>
              <w:pStyle w:val="Tablehead"/>
              <w:rPr>
                <w:lang w:val="es-ES_tradnl"/>
              </w:rPr>
            </w:pPr>
            <w:r w:rsidRPr="007A6DF0">
              <w:rPr>
                <w:lang w:val="es-ES_tradnl"/>
              </w:rPr>
              <w:t>XPR</w:t>
            </w:r>
            <w:r w:rsidRPr="007A6DF0">
              <w:rPr>
                <w:lang w:val="es-ES_tradnl"/>
              </w:rPr>
              <w:br/>
              <w:t>(dB)</w:t>
            </w:r>
          </w:p>
        </w:tc>
        <w:tc>
          <w:tcPr>
            <w:tcW w:w="1701" w:type="dxa"/>
            <w:vAlign w:val="center"/>
          </w:tcPr>
          <w:p w:rsidR="001F77B3" w:rsidRPr="007A6DF0" w:rsidRDefault="001F77B3" w:rsidP="008E512C">
            <w:pPr>
              <w:pStyle w:val="Tablehead"/>
              <w:rPr>
                <w:lang w:val="es-ES_tradnl"/>
              </w:rPr>
            </w:pPr>
            <w:r w:rsidRPr="007A6DF0">
              <w:rPr>
                <w:lang w:val="es-ES_tradnl"/>
              </w:rPr>
              <w:t>Observaciones</w:t>
            </w:r>
          </w:p>
        </w:tc>
      </w:tr>
      <w:tr w:rsidR="001F77B3" w:rsidRPr="007A6DF0" w:rsidTr="008E512C">
        <w:trPr>
          <w:jc w:val="center"/>
        </w:trPr>
        <w:tc>
          <w:tcPr>
            <w:tcW w:w="1701" w:type="dxa"/>
            <w:vMerge w:val="restart"/>
            <w:vAlign w:val="center"/>
          </w:tcPr>
          <w:p w:rsidR="001F77B3" w:rsidRPr="007A6DF0" w:rsidRDefault="001F77B3" w:rsidP="008E512C">
            <w:pPr>
              <w:pStyle w:val="Tabletext"/>
              <w:jc w:val="center"/>
              <w:rPr>
                <w:lang w:val="es-ES_tradnl" w:eastAsia="ja-JP"/>
              </w:rPr>
            </w:pPr>
            <w:r w:rsidRPr="007A6DF0">
              <w:rPr>
                <w:lang w:val="es-ES_tradnl" w:eastAsia="ja-JP"/>
              </w:rPr>
              <w:t>5,2</w:t>
            </w:r>
          </w:p>
        </w:tc>
        <w:tc>
          <w:tcPr>
            <w:tcW w:w="1701" w:type="dxa"/>
            <w:vAlign w:val="center"/>
          </w:tcPr>
          <w:p w:rsidR="001F77B3" w:rsidRPr="007A6DF0" w:rsidRDefault="001F77B3" w:rsidP="008E512C">
            <w:pPr>
              <w:pStyle w:val="Tabletext"/>
              <w:jc w:val="center"/>
              <w:rPr>
                <w:u w:val="single"/>
                <w:lang w:val="es-ES_tradnl" w:eastAsia="ja-JP"/>
              </w:rPr>
            </w:pPr>
            <w:r w:rsidRPr="007A6DF0">
              <w:rPr>
                <w:kern w:val="2"/>
                <w:lang w:val="es-ES_tradnl" w:eastAsia="ja-JP"/>
              </w:rPr>
              <w:t>Oficina</w:t>
            </w: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1</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N/A</w:t>
            </w:r>
          </w:p>
        </w:tc>
        <w:tc>
          <w:tcPr>
            <w:tcW w:w="1701" w:type="dxa"/>
            <w:vMerge w:val="restart"/>
            <w:vAlign w:val="center"/>
          </w:tcPr>
          <w:p w:rsidR="001F77B3" w:rsidRPr="007A6DF0" w:rsidRDefault="001F77B3" w:rsidP="008E512C">
            <w:pPr>
              <w:pStyle w:val="Tabletext"/>
              <w:jc w:val="center"/>
              <w:rPr>
                <w:lang w:val="es-ES_tradnl" w:eastAsia="ja-JP"/>
              </w:rPr>
            </w:pPr>
            <w:r w:rsidRPr="007A6DF0">
              <w:rPr>
                <w:lang w:val="es-ES_tradnl" w:eastAsia="ja-JP"/>
              </w:rPr>
              <w:t>Datos medidos</w:t>
            </w:r>
          </w:p>
        </w:tc>
      </w:tr>
      <w:tr w:rsidR="001F77B3" w:rsidRPr="007A6DF0" w:rsidTr="008E512C">
        <w:trPr>
          <w:jc w:val="center"/>
        </w:trPr>
        <w:tc>
          <w:tcPr>
            <w:tcW w:w="1701" w:type="dxa"/>
            <w:vMerge/>
            <w:vAlign w:val="center"/>
          </w:tcPr>
          <w:p w:rsidR="001F77B3" w:rsidRPr="007A6DF0" w:rsidRDefault="001F77B3" w:rsidP="008E512C">
            <w:pPr>
              <w:pStyle w:val="Tabletext"/>
              <w:jc w:val="center"/>
              <w:rPr>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2</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6,39 (mediana)</w:t>
            </w:r>
            <w:r w:rsidRPr="007A6DF0">
              <w:rPr>
                <w:lang w:val="es-ES_tradnl" w:eastAsia="ja-JP"/>
              </w:rPr>
              <w:br/>
              <w:t>6,55 (media)</w:t>
            </w:r>
          </w:p>
        </w:tc>
        <w:tc>
          <w:tcPr>
            <w:tcW w:w="1701" w:type="dxa"/>
            <w:vMerge/>
            <w:vAlign w:val="center"/>
          </w:tcPr>
          <w:p w:rsidR="001F77B3" w:rsidRPr="007A6DF0" w:rsidRDefault="001F77B3" w:rsidP="008E512C">
            <w:pPr>
              <w:pStyle w:val="Tabletext"/>
              <w:jc w:val="center"/>
              <w:rPr>
                <w:lang w:val="es-ES_tradnl" w:eastAsia="ja-JP"/>
              </w:rPr>
            </w:pPr>
          </w:p>
        </w:tc>
      </w:tr>
      <w:tr w:rsidR="001F77B3" w:rsidRPr="007A6DF0" w:rsidTr="008E512C">
        <w:trPr>
          <w:jc w:val="center"/>
        </w:trPr>
        <w:tc>
          <w:tcPr>
            <w:tcW w:w="1701" w:type="dxa"/>
            <w:vMerge/>
            <w:vAlign w:val="center"/>
          </w:tcPr>
          <w:p w:rsidR="001F77B3" w:rsidRPr="007A6DF0" w:rsidRDefault="001F77B3" w:rsidP="008E512C">
            <w:pPr>
              <w:pStyle w:val="Tabletext"/>
              <w:jc w:val="center"/>
              <w:rPr>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3</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4,74 (mediana)</w:t>
            </w:r>
            <w:r w:rsidRPr="007A6DF0">
              <w:rPr>
                <w:lang w:val="es-ES_tradnl" w:eastAsia="ja-JP"/>
              </w:rPr>
              <w:br/>
              <w:t>4,38 (media)</w:t>
            </w:r>
          </w:p>
        </w:tc>
        <w:tc>
          <w:tcPr>
            <w:tcW w:w="1701" w:type="dxa"/>
            <w:vMerge/>
            <w:vAlign w:val="center"/>
          </w:tcPr>
          <w:p w:rsidR="001F77B3" w:rsidRPr="007A6DF0" w:rsidRDefault="001F77B3" w:rsidP="008E512C">
            <w:pPr>
              <w:pStyle w:val="Tabletext"/>
              <w:jc w:val="center"/>
              <w:rPr>
                <w:lang w:val="es-ES_tradnl" w:eastAsia="ja-JP"/>
              </w:rPr>
            </w:pPr>
          </w:p>
        </w:tc>
      </w:tr>
      <w:tr w:rsidR="001F77B3" w:rsidRPr="007A6DF0" w:rsidTr="008E512C">
        <w:trPr>
          <w:jc w:val="center"/>
        </w:trPr>
        <w:tc>
          <w:tcPr>
            <w:tcW w:w="1701" w:type="dxa"/>
            <w:vMerge/>
            <w:vAlign w:val="center"/>
          </w:tcPr>
          <w:p w:rsidR="001F77B3" w:rsidRPr="007A6DF0" w:rsidRDefault="001F77B3" w:rsidP="008E512C">
            <w:pPr>
              <w:pStyle w:val="Tabletext"/>
              <w:jc w:val="center"/>
              <w:rPr>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r w:rsidRPr="007A6DF0">
              <w:rPr>
                <w:kern w:val="2"/>
                <w:lang w:val="es-ES_tradnl" w:eastAsia="ja-JP"/>
              </w:rPr>
              <w:t>Sala de conferencias</w:t>
            </w: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1</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8,36 (mediana)</w:t>
            </w:r>
            <w:r w:rsidRPr="007A6DF0">
              <w:rPr>
                <w:lang w:val="es-ES_tradnl" w:eastAsia="ja-JP"/>
              </w:rPr>
              <w:br/>
              <w:t>7,83 (media)</w:t>
            </w:r>
          </w:p>
        </w:tc>
        <w:tc>
          <w:tcPr>
            <w:tcW w:w="1701" w:type="dxa"/>
            <w:vMerge/>
            <w:vAlign w:val="center"/>
          </w:tcPr>
          <w:p w:rsidR="001F77B3" w:rsidRPr="007A6DF0" w:rsidRDefault="001F77B3" w:rsidP="008E512C">
            <w:pPr>
              <w:pStyle w:val="Tabletext"/>
              <w:jc w:val="center"/>
              <w:rPr>
                <w:lang w:val="es-ES_tradnl" w:eastAsia="ja-JP"/>
              </w:rPr>
            </w:pPr>
          </w:p>
        </w:tc>
      </w:tr>
      <w:tr w:rsidR="001F77B3" w:rsidRPr="007A6DF0" w:rsidTr="008E512C">
        <w:trPr>
          <w:jc w:val="center"/>
        </w:trPr>
        <w:tc>
          <w:tcPr>
            <w:tcW w:w="1701" w:type="dxa"/>
            <w:vMerge/>
            <w:vAlign w:val="center"/>
          </w:tcPr>
          <w:p w:rsidR="001F77B3" w:rsidRPr="007A6DF0" w:rsidRDefault="001F77B3" w:rsidP="008E512C">
            <w:pPr>
              <w:pStyle w:val="Tabletext"/>
              <w:jc w:val="center"/>
              <w:rPr>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2</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6,68 (mediana)</w:t>
            </w:r>
            <w:r w:rsidRPr="007A6DF0">
              <w:rPr>
                <w:lang w:val="es-ES_tradnl" w:eastAsia="ja-JP"/>
              </w:rPr>
              <w:br/>
              <w:t>6,33 (media)</w:t>
            </w:r>
          </w:p>
        </w:tc>
        <w:tc>
          <w:tcPr>
            <w:tcW w:w="1701" w:type="dxa"/>
            <w:vMerge/>
            <w:vAlign w:val="center"/>
          </w:tcPr>
          <w:p w:rsidR="001F77B3" w:rsidRPr="007A6DF0" w:rsidRDefault="001F77B3" w:rsidP="008E512C">
            <w:pPr>
              <w:pStyle w:val="Tabletext"/>
              <w:jc w:val="center"/>
              <w:rPr>
                <w:lang w:val="es-ES_tradnl" w:eastAsia="ja-JP"/>
              </w:rPr>
            </w:pPr>
          </w:p>
        </w:tc>
      </w:tr>
      <w:tr w:rsidR="001F77B3" w:rsidRPr="007A6DF0" w:rsidTr="008E512C">
        <w:trPr>
          <w:jc w:val="center"/>
        </w:trPr>
        <w:tc>
          <w:tcPr>
            <w:tcW w:w="1701" w:type="dxa"/>
            <w:vMerge/>
            <w:vAlign w:val="center"/>
          </w:tcPr>
          <w:p w:rsidR="001F77B3" w:rsidRPr="007A6DF0" w:rsidRDefault="001F77B3" w:rsidP="008E512C">
            <w:pPr>
              <w:pStyle w:val="Tabletext"/>
              <w:jc w:val="center"/>
              <w:rPr>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p>
        </w:tc>
        <w:tc>
          <w:tcPr>
            <w:tcW w:w="1701" w:type="dxa"/>
            <w:vAlign w:val="center"/>
          </w:tcPr>
          <w:p w:rsidR="001F77B3" w:rsidRPr="007A6DF0" w:rsidRDefault="001F77B3" w:rsidP="008E512C">
            <w:pPr>
              <w:pStyle w:val="Tabletext"/>
              <w:jc w:val="center"/>
              <w:rPr>
                <w:u w:val="single"/>
                <w:lang w:val="es-ES_tradnl" w:eastAsia="ja-JP"/>
              </w:rPr>
            </w:pPr>
            <w:r w:rsidRPr="007A6DF0">
              <w:rPr>
                <w:lang w:val="es-ES_tradnl" w:eastAsia="ja-JP"/>
              </w:rPr>
              <w:t>Caso 3</w:t>
            </w:r>
          </w:p>
        </w:tc>
        <w:tc>
          <w:tcPr>
            <w:tcW w:w="1701" w:type="dxa"/>
            <w:vAlign w:val="center"/>
          </w:tcPr>
          <w:p w:rsidR="001F77B3" w:rsidRPr="007A6DF0" w:rsidRDefault="001F77B3" w:rsidP="008E512C">
            <w:pPr>
              <w:pStyle w:val="Tabletext"/>
              <w:jc w:val="center"/>
              <w:rPr>
                <w:lang w:val="es-ES_tradnl" w:eastAsia="ja-JP"/>
              </w:rPr>
            </w:pPr>
            <w:r w:rsidRPr="007A6DF0">
              <w:rPr>
                <w:lang w:val="es-ES_tradnl" w:eastAsia="ja-JP"/>
              </w:rPr>
              <w:t>N/A</w:t>
            </w:r>
          </w:p>
        </w:tc>
        <w:tc>
          <w:tcPr>
            <w:tcW w:w="1701" w:type="dxa"/>
            <w:vMerge/>
            <w:vAlign w:val="center"/>
          </w:tcPr>
          <w:p w:rsidR="001F77B3" w:rsidRPr="007A6DF0" w:rsidRDefault="001F77B3" w:rsidP="008E512C">
            <w:pPr>
              <w:pStyle w:val="Tabletext"/>
              <w:jc w:val="center"/>
              <w:rPr>
                <w:lang w:val="es-ES_tradnl" w:eastAsia="ja-JP"/>
              </w:rPr>
            </w:pPr>
          </w:p>
        </w:tc>
      </w:tr>
      <w:tr w:rsidR="001F77B3" w:rsidRPr="00297D25" w:rsidTr="008E512C">
        <w:trPr>
          <w:jc w:val="center"/>
        </w:trPr>
        <w:tc>
          <w:tcPr>
            <w:tcW w:w="8504" w:type="dxa"/>
            <w:gridSpan w:val="5"/>
            <w:tcBorders>
              <w:left w:val="nil"/>
              <w:bottom w:val="nil"/>
              <w:right w:val="nil"/>
            </w:tcBorders>
            <w:vAlign w:val="center"/>
          </w:tcPr>
          <w:p w:rsidR="001F77B3" w:rsidRPr="007A6DF0" w:rsidRDefault="001F77B3" w:rsidP="008E512C">
            <w:pPr>
              <w:pStyle w:val="Tablelegend"/>
              <w:jc w:val="left"/>
              <w:rPr>
                <w:lang w:val="es-ES_tradnl" w:eastAsia="ja-JP"/>
              </w:rPr>
            </w:pPr>
            <w:r w:rsidRPr="007A6DF0">
              <w:rPr>
                <w:lang w:val="es-ES_tradnl" w:eastAsia="ja-JP"/>
              </w:rPr>
              <w:t>Caso 1: Antenas transmisora y receptora situadas por encima de la altura de los obstáculos.</w:t>
            </w:r>
          </w:p>
          <w:p w:rsidR="001F77B3" w:rsidRPr="007A6DF0" w:rsidRDefault="001F77B3" w:rsidP="008E512C">
            <w:pPr>
              <w:pStyle w:val="Tablelegend"/>
              <w:ind w:left="-85" w:firstLine="0"/>
              <w:jc w:val="left"/>
              <w:rPr>
                <w:lang w:val="es-ES_tradnl" w:eastAsia="ja-JP"/>
              </w:rPr>
            </w:pPr>
            <w:r w:rsidRPr="007A6DF0">
              <w:rPr>
                <w:lang w:val="es-ES_tradnl" w:eastAsia="ja-JP"/>
              </w:rPr>
              <w:t>Caso 2: Antena transmisora situada por encima de la altura de los obstáculos y la receptora a una altura similar a la de los obstáculos.</w:t>
            </w:r>
          </w:p>
          <w:p w:rsidR="001F77B3" w:rsidRPr="007A6DF0" w:rsidRDefault="001F77B3" w:rsidP="008E512C">
            <w:pPr>
              <w:pStyle w:val="Tablelegend"/>
              <w:jc w:val="left"/>
              <w:rPr>
                <w:lang w:val="es-ES_tradnl" w:eastAsia="ja-JP"/>
              </w:rPr>
            </w:pPr>
            <w:r w:rsidRPr="007A6DF0">
              <w:rPr>
                <w:lang w:val="es-ES_tradnl" w:eastAsia="ja-JP"/>
              </w:rPr>
              <w:t>Caso 3: Antenas transmisora y receptora situadas a una altura similar a la de los obstáculos.</w:t>
            </w:r>
          </w:p>
        </w:tc>
      </w:tr>
    </w:tbl>
    <w:p w:rsidR="001F77B3" w:rsidRPr="007A6DF0" w:rsidRDefault="001F77B3" w:rsidP="001F77B3">
      <w:pPr>
        <w:pStyle w:val="Tablefin"/>
        <w:rPr>
          <w:lang w:val="es-ES_tradnl" w:eastAsia="ja-JP"/>
        </w:rPr>
      </w:pPr>
    </w:p>
    <w:p w:rsidR="001F77B3" w:rsidRPr="007A6DF0" w:rsidRDefault="001F77B3" w:rsidP="001F77B3">
      <w:pPr>
        <w:pStyle w:val="Heading3"/>
        <w:rPr>
          <w:lang w:val="es-ES_tradnl" w:eastAsia="ja-JP"/>
        </w:rPr>
      </w:pPr>
      <w:r w:rsidRPr="007A6DF0">
        <w:rPr>
          <w:lang w:val="es-ES_tradnl" w:eastAsia="ja-JP"/>
        </w:rPr>
        <w:t>5.1.2</w:t>
      </w:r>
      <w:r w:rsidRPr="007A6DF0">
        <w:rPr>
          <w:lang w:val="es-ES_tradnl" w:eastAsia="ja-JP"/>
        </w:rPr>
        <w:tab/>
        <w:t>Efecto del diagrama de radiación de la antena</w:t>
      </w:r>
    </w:p>
    <w:p w:rsidR="001F77B3" w:rsidRPr="007A6DF0" w:rsidRDefault="001F77B3" w:rsidP="001F77B3">
      <w:pPr>
        <w:rPr>
          <w:lang w:val="es-ES_tradnl"/>
        </w:rPr>
      </w:pPr>
      <w:r w:rsidRPr="007A6DF0">
        <w:rPr>
          <w:lang w:val="es-ES_tradnl"/>
        </w:rPr>
        <w:t>Como los componentes de la propagación por trayectos múltiples tienen ángulos de incidencia diferentes, los componentes que quedan fuera de la anchura del haz de las antenas se filtran espacialmente si se utilizan antenas direccionales, a fin de reducir la dispersión del retardo. La medición de la propagación y las simulaciones de trazado de rayos efectuadas a 60 GHz en interiores, con una antena de transmisión omnidireccional y cuatro tipos diferentes de antenas receptoras (omnidireccional, de haz ancho, de bocina normal y de haz estrecho) dirigidas hacia la antena transmisora, revelan que la supresión de los componentes del retardo es más eficaz con anchuras de haz estrechas. En el Cuadro 7 se dan varios ejemplos de cómo depende de la directividad de la antena del valor eficaz de la dispersión estática del retardo no excedida en el percentilo del 90% y obtenida con simulaciones de trazado de rayos a 60 GHz en una oficina vacía. Hay que señalar que la reducción del valor eficaz de la dispersión del retardo no siempre es deseable, ya que puede entrañar un aumento de las gamas dinámicas del desvanecimiento de las señales de banda ancha, como resultado de la ausencia inherente de diversidad de frecuencias. Asimismo, hay que señalar que ciertos planes de transmisión se benefician de los efectos de los trayectos múltiples.</w:t>
      </w:r>
      <w:bookmarkStart w:id="30" w:name="_Toc392305228"/>
    </w:p>
    <w:p w:rsidR="001F77B3" w:rsidRPr="007A6DF0" w:rsidRDefault="001F77B3" w:rsidP="001F77B3">
      <w:pPr>
        <w:tabs>
          <w:tab w:val="clear" w:pos="794"/>
          <w:tab w:val="clear" w:pos="1191"/>
          <w:tab w:val="clear" w:pos="1588"/>
          <w:tab w:val="clear" w:pos="1985"/>
        </w:tabs>
        <w:overflowPunct/>
        <w:autoSpaceDE/>
        <w:autoSpaceDN/>
        <w:adjustRightInd/>
        <w:spacing w:before="0"/>
        <w:jc w:val="left"/>
        <w:textAlignment w:val="auto"/>
        <w:rPr>
          <w:lang w:val="es-ES_tradnl"/>
        </w:rPr>
      </w:pPr>
      <w:r w:rsidRPr="007A6DF0">
        <w:rPr>
          <w:lang w:val="es-ES_tradnl"/>
        </w:rPr>
        <w:br w:type="page"/>
      </w:r>
    </w:p>
    <w:p w:rsidR="001F77B3" w:rsidRPr="007A6DF0" w:rsidRDefault="001F77B3" w:rsidP="001F77B3">
      <w:pPr>
        <w:pStyle w:val="TableNo"/>
        <w:rPr>
          <w:lang w:val="es-ES_tradnl" w:eastAsia="ja-JP"/>
        </w:rPr>
      </w:pPr>
      <w:r w:rsidRPr="007A6DF0">
        <w:rPr>
          <w:lang w:val="es-ES_tradnl"/>
        </w:rPr>
        <w:lastRenderedPageBreak/>
        <w:t xml:space="preserve">CUADRO  </w:t>
      </w:r>
      <w:r w:rsidRPr="007A6DF0">
        <w:rPr>
          <w:lang w:val="es-ES_tradnl" w:eastAsia="ja-JP"/>
        </w:rPr>
        <w:t>7</w:t>
      </w:r>
    </w:p>
    <w:p w:rsidR="001F77B3" w:rsidRPr="007A6DF0" w:rsidRDefault="001F77B3" w:rsidP="001F77B3">
      <w:pPr>
        <w:pStyle w:val="Tabletitle"/>
        <w:rPr>
          <w:lang w:val="es-ES_tradnl"/>
        </w:rPr>
      </w:pPr>
      <w:r w:rsidRPr="007A6DF0">
        <w:rPr>
          <w:lang w:val="es-ES_tradnl"/>
        </w:rPr>
        <w:t>Ejemplo de dependencia del valor eficaz de la dispersión del retardo</w:t>
      </w:r>
      <w:r w:rsidRPr="007A6DF0">
        <w:rPr>
          <w:lang w:val="es-ES_tradnl"/>
        </w:rPr>
        <w:br/>
        <w:t>con respecto a la directividad de la antena</w:t>
      </w:r>
    </w:p>
    <w:tbl>
      <w:tblPr>
        <w:tblW w:w="0" w:type="auto"/>
        <w:jc w:val="center"/>
        <w:tblLayout w:type="fixed"/>
        <w:tblCellMar>
          <w:left w:w="107" w:type="dxa"/>
          <w:right w:w="107" w:type="dxa"/>
        </w:tblCellMar>
        <w:tblLook w:val="0000" w:firstRow="0" w:lastRow="0" w:firstColumn="0" w:lastColumn="0" w:noHBand="0" w:noVBand="0"/>
      </w:tblPr>
      <w:tblGrid>
        <w:gridCol w:w="1276"/>
        <w:gridCol w:w="1701"/>
        <w:gridCol w:w="1729"/>
        <w:gridCol w:w="2126"/>
        <w:gridCol w:w="1219"/>
        <w:gridCol w:w="1587"/>
      </w:tblGrid>
      <w:tr w:rsidR="001F77B3" w:rsidRPr="007A6DF0" w:rsidTr="008E512C">
        <w:trPr>
          <w:cantSplit/>
          <w:jc w:val="center"/>
        </w:trPr>
        <w:tc>
          <w:tcPr>
            <w:tcW w:w="127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Frecuencia (GHz)</w:t>
            </w:r>
          </w:p>
        </w:tc>
        <w:tc>
          <w:tcPr>
            <w:tcW w:w="1701"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Antena de transmisión</w:t>
            </w:r>
          </w:p>
        </w:tc>
        <w:tc>
          <w:tcPr>
            <w:tcW w:w="1729"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Anchura de haz de la antena</w:t>
            </w:r>
            <w:r w:rsidRPr="007A6DF0">
              <w:rPr>
                <w:lang w:val="es-ES_tradnl"/>
              </w:rPr>
              <w:br/>
              <w:t>de recepción</w:t>
            </w:r>
            <w:r w:rsidRPr="007A6DF0">
              <w:rPr>
                <w:lang w:val="es-ES_tradnl"/>
              </w:rPr>
              <w:br/>
              <w:t>(grados)</w:t>
            </w:r>
          </w:p>
        </w:tc>
        <w:tc>
          <w:tcPr>
            <w:tcW w:w="2126" w:type="dxa"/>
            <w:tcBorders>
              <w:top w:val="single" w:sz="6" w:space="0" w:color="auto"/>
              <w:left w:val="single" w:sz="6" w:space="0" w:color="auto"/>
              <w:bottom w:val="single" w:sz="6" w:space="0" w:color="auto"/>
              <w:right w:val="single" w:sz="6" w:space="0" w:color="auto"/>
            </w:tcBorders>
            <w:vAlign w:val="center"/>
          </w:tcPr>
          <w:p w:rsidR="001F77B3" w:rsidRPr="007A6DF0" w:rsidRDefault="001F77B3" w:rsidP="008E512C">
            <w:pPr>
              <w:pStyle w:val="Tablehead"/>
              <w:ind w:left="-28" w:right="-28"/>
              <w:rPr>
                <w:lang w:val="es-ES_tradnl"/>
              </w:rPr>
            </w:pPr>
            <w:r w:rsidRPr="007A6DF0">
              <w:rPr>
                <w:lang w:val="es-ES_tradnl"/>
              </w:rPr>
              <w:t>Valor eficaz de la dispersión estática</w:t>
            </w:r>
            <w:r w:rsidRPr="007A6DF0">
              <w:rPr>
                <w:lang w:val="es-ES_tradnl"/>
              </w:rPr>
              <w:br/>
              <w:t>del retardo (percentilo del 90%)</w:t>
            </w:r>
            <w:r w:rsidRPr="007A6DF0">
              <w:rPr>
                <w:lang w:val="es-ES_tradnl"/>
              </w:rPr>
              <w:br/>
              <w:t>(ns)</w:t>
            </w:r>
          </w:p>
        </w:tc>
        <w:tc>
          <w:tcPr>
            <w:tcW w:w="1219" w:type="dxa"/>
            <w:tcBorders>
              <w:top w:val="single" w:sz="6" w:space="0" w:color="auto"/>
              <w:left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Dimensión</w:t>
            </w:r>
            <w:r w:rsidRPr="007A6DF0">
              <w:rPr>
                <w:lang w:val="es-ES_tradnl"/>
              </w:rPr>
              <w:br/>
              <w:t>de la sala</w:t>
            </w:r>
            <w:r w:rsidRPr="007A6DF0">
              <w:rPr>
                <w:lang w:val="es-ES_tradnl"/>
              </w:rPr>
              <w:br/>
              <w:t>(m)</w:t>
            </w:r>
          </w:p>
        </w:tc>
        <w:tc>
          <w:tcPr>
            <w:tcW w:w="1587" w:type="dxa"/>
            <w:tcBorders>
              <w:top w:val="single" w:sz="6" w:space="0" w:color="auto"/>
              <w:left w:val="single" w:sz="6" w:space="0" w:color="auto"/>
              <w:right w:val="single" w:sz="6" w:space="0" w:color="auto"/>
            </w:tcBorders>
            <w:vAlign w:val="center"/>
          </w:tcPr>
          <w:p w:rsidR="001F77B3" w:rsidRPr="007A6DF0" w:rsidRDefault="001F77B3" w:rsidP="008E512C">
            <w:pPr>
              <w:pStyle w:val="Tablehead"/>
              <w:rPr>
                <w:lang w:val="es-ES_tradnl"/>
              </w:rPr>
            </w:pPr>
            <w:r w:rsidRPr="007A6DF0">
              <w:rPr>
                <w:lang w:val="es-ES_tradnl"/>
              </w:rPr>
              <w:t>Observaciones</w:t>
            </w:r>
          </w:p>
        </w:tc>
      </w:tr>
      <w:tr w:rsidR="001F77B3" w:rsidRPr="007A6DF0" w:rsidTr="008E512C">
        <w:trPr>
          <w:cantSplit/>
          <w:jc w:val="center"/>
        </w:trPr>
        <w:tc>
          <w:tcPr>
            <w:tcW w:w="1276" w:type="dxa"/>
            <w:tcBorders>
              <w:top w:val="single" w:sz="6" w:space="0" w:color="auto"/>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60</w:t>
            </w:r>
          </w:p>
        </w:tc>
        <w:tc>
          <w:tcPr>
            <w:tcW w:w="1701" w:type="dxa"/>
            <w:tcBorders>
              <w:top w:val="single" w:sz="6" w:space="0" w:color="auto"/>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Omnidireccional</w:t>
            </w: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Omnidireccional</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17</w:t>
            </w:r>
          </w:p>
        </w:tc>
        <w:tc>
          <w:tcPr>
            <w:tcW w:w="1219" w:type="dxa"/>
            <w:vMerge w:val="restart"/>
            <w:tcBorders>
              <w:top w:val="single" w:sz="6" w:space="0" w:color="auto"/>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13,5 </w:t>
            </w:r>
            <w:r w:rsidRPr="007A6DF0">
              <w:rPr>
                <w:lang w:val="es-ES_tradnl"/>
              </w:rPr>
              <w:sym w:font="Symbol" w:char="F0B4"/>
            </w:r>
            <w:r w:rsidRPr="007A6DF0">
              <w:rPr>
                <w:lang w:val="es-ES_tradnl"/>
              </w:rPr>
              <w:t> 7,8</w:t>
            </w:r>
          </w:p>
          <w:p w:rsidR="001F77B3" w:rsidRPr="007A6DF0" w:rsidRDefault="001F77B3" w:rsidP="008E512C">
            <w:pPr>
              <w:pStyle w:val="Tabletext"/>
              <w:jc w:val="center"/>
              <w:rPr>
                <w:lang w:val="es-ES_tradnl"/>
              </w:rPr>
            </w:pPr>
            <w:r w:rsidRPr="007A6DF0">
              <w:rPr>
                <w:lang w:val="es-ES_tradnl"/>
              </w:rPr>
              <w:t>Oficina vacía</w:t>
            </w:r>
          </w:p>
        </w:tc>
        <w:tc>
          <w:tcPr>
            <w:tcW w:w="1587" w:type="dxa"/>
            <w:vMerge w:val="restart"/>
            <w:tcBorders>
              <w:top w:val="single" w:sz="6" w:space="0" w:color="auto"/>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Trazado de rayos</w:t>
            </w:r>
          </w:p>
        </w:tc>
      </w:tr>
      <w:tr w:rsidR="001F77B3" w:rsidRPr="007A6DF0"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60</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16</w:t>
            </w:r>
          </w:p>
        </w:tc>
        <w:tc>
          <w:tcPr>
            <w:tcW w:w="1219" w:type="dxa"/>
            <w:vMerge/>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vMerge/>
            <w:tcBorders>
              <w:left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w:t>
            </w:r>
          </w:p>
        </w:tc>
        <w:tc>
          <w:tcPr>
            <w:tcW w:w="1219" w:type="dxa"/>
            <w:vMerge/>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w:t>
            </w:r>
          </w:p>
        </w:tc>
        <w:tc>
          <w:tcPr>
            <w:tcW w:w="1219"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tcBorders>
              <w:left w:val="single" w:sz="6" w:space="0" w:color="auto"/>
              <w:bottom w:val="single" w:sz="4"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Omnidireccional</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22</w:t>
            </w:r>
          </w:p>
        </w:tc>
        <w:tc>
          <w:tcPr>
            <w:tcW w:w="1219"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tcBorders>
              <w:top w:val="single" w:sz="4" w:space="0" w:color="auto"/>
              <w:left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297D25"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60</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21</w:t>
            </w:r>
          </w:p>
        </w:tc>
        <w:tc>
          <w:tcPr>
            <w:tcW w:w="1219" w:type="dxa"/>
            <w:vMerge w:val="restart"/>
            <w:tcBorders>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13,0 </w:t>
            </w:r>
            <w:r w:rsidRPr="007A6DF0">
              <w:rPr>
                <w:lang w:val="es-ES_tradnl"/>
              </w:rPr>
              <w:sym w:font="Symbol" w:char="F0B4"/>
            </w:r>
            <w:r w:rsidRPr="007A6DF0">
              <w:rPr>
                <w:lang w:val="es-ES_tradnl"/>
              </w:rPr>
              <w:t> 8,6</w:t>
            </w:r>
          </w:p>
          <w:p w:rsidR="001F77B3" w:rsidRPr="007A6DF0" w:rsidRDefault="001F77B3" w:rsidP="008E512C">
            <w:pPr>
              <w:pStyle w:val="Tabletext"/>
              <w:jc w:val="center"/>
              <w:rPr>
                <w:lang w:val="es-ES_tradnl"/>
              </w:rPr>
            </w:pPr>
            <w:r w:rsidRPr="007A6DF0">
              <w:rPr>
                <w:lang w:val="es-ES_tradnl"/>
              </w:rPr>
              <w:t>Oficina vacía</w:t>
            </w:r>
          </w:p>
        </w:tc>
        <w:tc>
          <w:tcPr>
            <w:tcW w:w="1587" w:type="dxa"/>
            <w:vMerge w:val="restart"/>
            <w:tcBorders>
              <w:left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Trazado de rayos sin visibilidad</w:t>
            </w:r>
            <w:r w:rsidRPr="007A6DF0">
              <w:rPr>
                <w:lang w:val="es-ES_tradnl"/>
              </w:rPr>
              <w:br/>
              <w:t>directa</w:t>
            </w:r>
          </w:p>
        </w:tc>
      </w:tr>
      <w:tr w:rsidR="001F77B3" w:rsidRPr="007A6DF0" w:rsidTr="008E512C">
        <w:trPr>
          <w:cantSplit/>
          <w:jc w:val="center"/>
        </w:trPr>
        <w:tc>
          <w:tcPr>
            <w:tcW w:w="1276"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10</w:t>
            </w:r>
          </w:p>
        </w:tc>
        <w:tc>
          <w:tcPr>
            <w:tcW w:w="1219" w:type="dxa"/>
            <w:vMerge/>
            <w:tcBorders>
              <w:left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vMerge/>
            <w:tcBorders>
              <w:left w:val="single" w:sz="6" w:space="0" w:color="auto"/>
              <w:right w:val="single" w:sz="6" w:space="0" w:color="auto"/>
            </w:tcBorders>
          </w:tcPr>
          <w:p w:rsidR="001F77B3" w:rsidRPr="007A6DF0" w:rsidRDefault="001F77B3" w:rsidP="008E512C">
            <w:pPr>
              <w:pStyle w:val="Tabletext"/>
              <w:jc w:val="center"/>
              <w:rPr>
                <w:lang w:val="es-ES_tradnl"/>
              </w:rPr>
            </w:pPr>
          </w:p>
        </w:tc>
      </w:tr>
      <w:tr w:rsidR="001F77B3" w:rsidRPr="007A6DF0" w:rsidTr="008E512C">
        <w:trPr>
          <w:cantSplit/>
          <w:jc w:val="center"/>
        </w:trPr>
        <w:tc>
          <w:tcPr>
            <w:tcW w:w="1276" w:type="dxa"/>
            <w:tcBorders>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c>
          <w:tcPr>
            <w:tcW w:w="1701" w:type="dxa"/>
            <w:tcBorders>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c>
          <w:tcPr>
            <w:tcW w:w="1729"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5</w:t>
            </w:r>
          </w:p>
        </w:tc>
        <w:tc>
          <w:tcPr>
            <w:tcW w:w="2126" w:type="dxa"/>
            <w:tcBorders>
              <w:top w:val="single" w:sz="6" w:space="0" w:color="auto"/>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r w:rsidRPr="007A6DF0">
              <w:rPr>
                <w:lang w:val="es-ES_tradnl"/>
              </w:rPr>
              <w:t>6</w:t>
            </w:r>
          </w:p>
        </w:tc>
        <w:tc>
          <w:tcPr>
            <w:tcW w:w="1219" w:type="dxa"/>
            <w:vMerge/>
            <w:tcBorders>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c>
          <w:tcPr>
            <w:tcW w:w="1587" w:type="dxa"/>
            <w:vMerge/>
            <w:tcBorders>
              <w:left w:val="single" w:sz="6" w:space="0" w:color="auto"/>
              <w:bottom w:val="single" w:sz="6" w:space="0" w:color="auto"/>
              <w:right w:val="single" w:sz="6" w:space="0" w:color="auto"/>
            </w:tcBorders>
          </w:tcPr>
          <w:p w:rsidR="001F77B3" w:rsidRPr="007A6DF0" w:rsidRDefault="001F77B3" w:rsidP="008E512C">
            <w:pPr>
              <w:pStyle w:val="Tabletext"/>
              <w:jc w:val="center"/>
              <w:rPr>
                <w:lang w:val="es-ES_tradnl"/>
              </w:rPr>
            </w:pPr>
          </w:p>
        </w:tc>
      </w:tr>
    </w:tbl>
    <w:p w:rsidR="001F77B3" w:rsidRPr="007A6DF0" w:rsidRDefault="001F77B3" w:rsidP="001F77B3">
      <w:pPr>
        <w:pStyle w:val="Tablefin"/>
        <w:rPr>
          <w:lang w:val="es-ES_tradnl"/>
        </w:rPr>
      </w:pPr>
      <w:bookmarkStart w:id="31" w:name="_Toc108941594"/>
    </w:p>
    <w:p w:rsidR="001F77B3" w:rsidRPr="007A6DF0" w:rsidRDefault="001F77B3" w:rsidP="001F77B3">
      <w:pPr>
        <w:pStyle w:val="Heading2"/>
        <w:rPr>
          <w:lang w:val="es-ES_tradnl"/>
        </w:rPr>
      </w:pPr>
      <w:r w:rsidRPr="007A6DF0">
        <w:rPr>
          <w:lang w:val="es-ES_tradnl"/>
        </w:rPr>
        <w:t>5.2</w:t>
      </w:r>
      <w:r w:rsidRPr="007A6DF0">
        <w:rPr>
          <w:lang w:val="es-ES_tradnl"/>
        </w:rPr>
        <w:tab/>
        <w:t>Trayecto obstruido</w:t>
      </w:r>
      <w:bookmarkEnd w:id="30"/>
      <w:bookmarkEnd w:id="31"/>
    </w:p>
    <w:p w:rsidR="001F77B3" w:rsidRPr="007A6DF0" w:rsidRDefault="001F77B3" w:rsidP="001F77B3">
      <w:pPr>
        <w:rPr>
          <w:lang w:val="es-ES_tradnl"/>
        </w:rPr>
      </w:pPr>
      <w:r w:rsidRPr="007A6DF0">
        <w:rPr>
          <w:lang w:val="es-ES_tradnl"/>
        </w:rPr>
        <w:t>Cuando el trayecto directo está obstruido, puede ser más complicado determinar la dependencia de la dispersión del retardo con respecto a la polarización y la directividad de la antena que en un trayecto de visibilidad directa. Se dispone de varios resultados de experimentos con trayectos obstruidos pero el resultado obtenido en un experimento a 2,4 GHz indica que la dependencia de la dispersión del retardo con respecto a la polarización y la directividad de la antena en el trayecto obstruido es muy diferente de la correspondiente a un trayecto de visibilidad directa. Por ejemplo, una antena omnidireccional polarizada horizontalmente en el transmisor y una antena receptora de polarización circular direccional arrojan un valor eficaz de las dispersiones del retardo más reducidas y el exceso de retardo máximo más bajo en el trayecto obstruido.</w:t>
      </w:r>
    </w:p>
    <w:p w:rsidR="001F77B3" w:rsidRPr="007A6DF0" w:rsidRDefault="001F77B3" w:rsidP="001F77B3">
      <w:pPr>
        <w:pStyle w:val="Heading2"/>
        <w:rPr>
          <w:lang w:val="es-ES_tradnl"/>
        </w:rPr>
      </w:pPr>
      <w:bookmarkStart w:id="32" w:name="_Toc392305229"/>
      <w:bookmarkStart w:id="33" w:name="_Toc108941595"/>
      <w:r w:rsidRPr="007A6DF0">
        <w:rPr>
          <w:lang w:val="es-ES_tradnl"/>
        </w:rPr>
        <w:t>5.3</w:t>
      </w:r>
      <w:r w:rsidRPr="007A6DF0">
        <w:rPr>
          <w:lang w:val="es-ES_tradnl"/>
        </w:rPr>
        <w:tab/>
        <w:t>Orientación del terminal móvil</w:t>
      </w:r>
      <w:bookmarkEnd w:id="32"/>
      <w:bookmarkEnd w:id="33"/>
    </w:p>
    <w:p w:rsidR="001F77B3" w:rsidRPr="007A6DF0" w:rsidRDefault="001F77B3" w:rsidP="001F77B3">
      <w:pPr>
        <w:rPr>
          <w:lang w:val="es-ES_tradnl"/>
        </w:rPr>
      </w:pPr>
      <w:r w:rsidRPr="007A6DF0">
        <w:rPr>
          <w:lang w:val="es-ES_tradnl"/>
        </w:rPr>
        <w:t>En los sistemas radioeléctricos portátiles los factores más importantes de la propagación son generalmente la reflexión y la dispersión de la señal. La energía suele dispersarse de la polarización transmitida a polarizaciones ortogonales. En esas condiciones, el acoplamiento de polarización cruzada aumenta la probabilidad de obtener niveles de recepción adecuados en aparatos de radio portátiles orientados aleatoriamente. Las mediciones del acoplamiento de polarización cruzada efectuadas a 816 MHz indican un alto nivel de acoplamiento.</w:t>
      </w:r>
    </w:p>
    <w:p w:rsidR="001F77B3" w:rsidRPr="007A6DF0" w:rsidRDefault="001F77B3" w:rsidP="00F668A3">
      <w:pPr>
        <w:pStyle w:val="Heading1"/>
        <w:keepNext w:val="0"/>
        <w:keepLines w:val="0"/>
        <w:rPr>
          <w:lang w:val="es-ES_tradnl"/>
        </w:rPr>
      </w:pPr>
      <w:bookmarkStart w:id="34" w:name="_Toc392305230"/>
      <w:bookmarkStart w:id="35" w:name="_Toc108941596"/>
      <w:r w:rsidRPr="007A6DF0">
        <w:rPr>
          <w:lang w:val="es-ES_tradnl"/>
        </w:rPr>
        <w:t>6</w:t>
      </w:r>
      <w:r w:rsidRPr="007A6DF0">
        <w:rPr>
          <w:lang w:val="es-ES_tradnl"/>
        </w:rPr>
        <w:tab/>
        <w:t>Efectos de la ubicación del transmisor y el receptor</w:t>
      </w:r>
      <w:bookmarkEnd w:id="34"/>
      <w:bookmarkEnd w:id="35"/>
    </w:p>
    <w:p w:rsidR="001F77B3" w:rsidRPr="007A6DF0" w:rsidRDefault="001F77B3" w:rsidP="00F668A3">
      <w:pPr>
        <w:rPr>
          <w:lang w:val="es-ES_tradnl"/>
        </w:rPr>
      </w:pPr>
      <w:r w:rsidRPr="007A6DF0">
        <w:rPr>
          <w:lang w:val="es-ES_tradnl"/>
        </w:rPr>
        <w:t xml:space="preserve">Se han hecho sólo unas pocas investigaciones experimentales y teóricas sobre los efectos de la ubicación del transmisor y el receptor sobre las características de propagación en interiores. Sin embargo, en general puede decirse que la estación de base debe situarse lo más alto posible cerca del techo de la sala para alcanzar trayectos de visibilidad directa lo más lejos posible. Tratándose de terminales portátiles, es evidente que la posición del terminal de usuario dependerá del movimiento del usuario más que de las limitaciones inherentes del diseño del sistema. Sin embargo, en el caso de los terminales portátiles se sugiere que la antena esté situada a una altura suficiente para garantizar visibilidad directa con la estación de base, siempre que sea posible. Asimismo, la elección del </w:t>
      </w:r>
      <w:r w:rsidRPr="007A6DF0">
        <w:rPr>
          <w:lang w:val="es-ES_tradnl"/>
        </w:rPr>
        <w:lastRenderedPageBreak/>
        <w:t>emplazamiento de la estación es un factor muy importante de los parámetros de configuración del sistema como, por ejemplo, los arreglos de diversidad espacial, la configuración de la zona, etc.</w:t>
      </w:r>
    </w:p>
    <w:p w:rsidR="001F77B3" w:rsidRPr="007A6DF0" w:rsidRDefault="001F77B3" w:rsidP="001F77B3">
      <w:pPr>
        <w:pStyle w:val="Heading1"/>
        <w:rPr>
          <w:lang w:val="es-ES_tradnl"/>
        </w:rPr>
      </w:pPr>
      <w:bookmarkStart w:id="36" w:name="_Toc392305231"/>
      <w:bookmarkStart w:id="37" w:name="_Toc108941597"/>
      <w:r w:rsidRPr="007A6DF0">
        <w:rPr>
          <w:lang w:val="es-ES_tradnl"/>
        </w:rPr>
        <w:t>7</w:t>
      </w:r>
      <w:r w:rsidRPr="007A6DF0">
        <w:rPr>
          <w:lang w:val="es-ES_tradnl"/>
        </w:rPr>
        <w:tab/>
        <w:t>Efectos de los materiales de construcción, los acabados y el mobiliario</w:t>
      </w:r>
      <w:bookmarkEnd w:id="36"/>
      <w:bookmarkEnd w:id="37"/>
    </w:p>
    <w:p w:rsidR="001F77B3" w:rsidRPr="007A6DF0" w:rsidRDefault="001F77B3" w:rsidP="001F77B3">
      <w:pPr>
        <w:rPr>
          <w:lang w:val="es-ES_tradnl"/>
        </w:rPr>
      </w:pPr>
      <w:r w:rsidRPr="007A6DF0">
        <w:rPr>
          <w:lang w:val="es-ES_tradnl"/>
        </w:rPr>
        <w:t xml:space="preserve">Las características de propagación en interiores se ven afectadas por la reflexión en los materiales de construcción y la transmisión a través de éstos. Las características de reflexión y transmisión de esos materiales dependen de la permisividad compleja de los mismos. Es probable que los modelos de predicción de la propagación para una ubicación determinada necesiten que se introduzcan datos básicos con información sobre la permisividad compleja de los materiales de construcción y sobre la estructura del edificio, y dicha información se encuentra disponible en la </w:t>
      </w:r>
      <w:r w:rsidRPr="007A6DF0">
        <w:rPr>
          <w:color w:val="000000"/>
          <w:lang w:val="es-ES_tradnl"/>
        </w:rPr>
        <w:t>Recomendación UIT</w:t>
      </w:r>
      <w:r w:rsidRPr="007A6DF0">
        <w:rPr>
          <w:color w:val="000000"/>
          <w:lang w:val="es-ES_tradnl"/>
        </w:rPr>
        <w:noBreakHyphen/>
        <w:t>R P.2040</w:t>
      </w:r>
      <w:r w:rsidRPr="007A6DF0">
        <w:rPr>
          <w:lang w:val="es-ES_tradnl"/>
        </w:rPr>
        <w:t>.</w:t>
      </w:r>
    </w:p>
    <w:p w:rsidR="001F77B3" w:rsidRPr="007A6DF0" w:rsidRDefault="001F77B3" w:rsidP="001F77B3">
      <w:pPr>
        <w:rPr>
          <w:lang w:val="es-ES_tradnl"/>
        </w:rPr>
      </w:pPr>
      <w:bookmarkStart w:id="38" w:name="_Toc392305232"/>
      <w:r w:rsidRPr="007A6DF0">
        <w:rPr>
          <w:lang w:val="es-ES_tradnl"/>
        </w:rPr>
        <w:t>Las reflexiones especulares de los materiales del suelo tales como entarimado de suelo y placas de hormigón se reducen considerablemente en las bandas de ondas milimétricas cuando los materiales se recubren con alfombras de superficie rugosa. Pueden obtenerse disminuciones similares poniendo cortinas en las ventanas. En consecuencia, cabe esperar que los efectos propios de los materiales cobren importancia a medida que aumenta la frecuencia.</w:t>
      </w:r>
    </w:p>
    <w:p w:rsidR="001F77B3" w:rsidRPr="007A6DF0" w:rsidRDefault="001F77B3" w:rsidP="001F77B3">
      <w:pPr>
        <w:rPr>
          <w:lang w:val="es-ES_tradnl"/>
        </w:rPr>
      </w:pPr>
      <w:r w:rsidRPr="007A6DF0">
        <w:rPr>
          <w:lang w:val="es-ES_tradnl"/>
        </w:rPr>
        <w:t>Además de las estructuras esenciales del edificio, el mobiliario y otros accesorios pueden afectar también significativamente a las características de propagación en interiores. Pueden considerarse como obstrucciones y se consideran en el modelo de pérdida de trayecto del § 3.</w:t>
      </w:r>
    </w:p>
    <w:p w:rsidR="001F77B3" w:rsidRPr="007A6DF0" w:rsidRDefault="001F77B3" w:rsidP="001F77B3">
      <w:pPr>
        <w:pStyle w:val="Heading1"/>
        <w:rPr>
          <w:lang w:val="es-ES_tradnl"/>
        </w:rPr>
      </w:pPr>
      <w:bookmarkStart w:id="39" w:name="_Toc108941598"/>
      <w:r w:rsidRPr="007A6DF0">
        <w:rPr>
          <w:lang w:val="es-ES_tradnl"/>
        </w:rPr>
        <w:t>8</w:t>
      </w:r>
      <w:r w:rsidRPr="007A6DF0">
        <w:rPr>
          <w:lang w:val="es-ES_tradnl"/>
        </w:rPr>
        <w:tab/>
        <w:t>Efecto de los movimientos de los objetos en una sala</w:t>
      </w:r>
      <w:bookmarkEnd w:id="38"/>
      <w:bookmarkEnd w:id="39"/>
    </w:p>
    <w:p w:rsidR="001F77B3" w:rsidRPr="007A6DF0" w:rsidRDefault="001F77B3" w:rsidP="001F77B3">
      <w:pPr>
        <w:rPr>
          <w:lang w:val="es-ES_tradnl"/>
        </w:rPr>
      </w:pPr>
      <w:r w:rsidRPr="007A6DF0">
        <w:rPr>
          <w:lang w:val="es-ES_tradnl"/>
        </w:rPr>
        <w:t>El movimiento de personas y objetos en una sala ocasiona variaciones temporales de las características de propagación en interiores. Sin embargo, estas variaciones son muy lentas en comparación con la velocidad de datos utilizada normalmente y, en consecuencia, pueden considerarse prácticamente como una variable aleatoria independiente del tiempo. Aparte de las personas situadas a proximidad de las antenas o en el trayecto directo, el movimiento de las personas en las oficinas y otros lugares dentro y fuera del edificio tienen un efecto desdeñable en las características de propagación.</w:t>
      </w:r>
    </w:p>
    <w:p w:rsidR="001F77B3" w:rsidRPr="007A6DF0" w:rsidRDefault="001F77B3" w:rsidP="001F77B3">
      <w:pPr>
        <w:rPr>
          <w:lang w:val="es-ES_tradnl"/>
        </w:rPr>
      </w:pPr>
      <w:r w:rsidRPr="007A6DF0">
        <w:rPr>
          <w:lang w:val="es-ES_tradnl"/>
        </w:rPr>
        <w:t>Las mediciones efectuadas con ambos terminales del enlace en posición fija indican que el desvanecimiento se produce en ráfagas (los datos estadísticos recogidos tienen un carácter marcadamente no estacionario), y se debe bien a la perturbación de las señales de trayectos múltiples en las zonas que rodean a un determinado enlace, o al ensombrecimiento provocado por el paso de personas a través del enlace.</w:t>
      </w:r>
    </w:p>
    <w:p w:rsidR="001F77B3" w:rsidRPr="007A6DF0" w:rsidRDefault="001F77B3" w:rsidP="001F77B3">
      <w:pPr>
        <w:rPr>
          <w:lang w:val="es-ES_tradnl"/>
        </w:rPr>
      </w:pPr>
      <w:r w:rsidRPr="007A6DF0">
        <w:rPr>
          <w:lang w:val="es-ES_tradnl"/>
        </w:rPr>
        <w:t xml:space="preserve">Las mediciones realizadas a 1,7 GHz indican que una persona que se introduce en el trayecto de una señal de visibilidad directa ocasiona una disminución de 6 a 8 dB del nivel de potencia recibida, y que el valor </w:t>
      </w:r>
      <w:r w:rsidRPr="007A6DF0">
        <w:rPr>
          <w:i/>
          <w:lang w:val="es-ES_tradnl"/>
        </w:rPr>
        <w:t>K</w:t>
      </w:r>
      <w:r w:rsidRPr="007A6DF0">
        <w:rPr>
          <w:lang w:val="es-ES_tradnl"/>
        </w:rPr>
        <w:t xml:space="preserve"> de la distribución de Nakagami-Rice se reduce considerablemente. En condiciones sin visibilidad directa, el movimiento de personas cerca de las antenas no afecta apreciablemente al canal.</w:t>
      </w:r>
    </w:p>
    <w:p w:rsidR="001F77B3" w:rsidRPr="007A6DF0" w:rsidRDefault="001F77B3" w:rsidP="001F77B3">
      <w:pPr>
        <w:keepNext/>
        <w:keepLines/>
        <w:rPr>
          <w:lang w:val="es-ES_tradnl"/>
        </w:rPr>
      </w:pPr>
      <w:r w:rsidRPr="007A6DF0">
        <w:rPr>
          <w:lang w:val="es-ES_tradnl"/>
        </w:rPr>
        <w:t>En el caso de un terminal portátil, la proximidad de la cabeza y el cuerpo del usuario afecta al nivel de la señal recibida. A 900 MHz y con una antena dipolo, las mediciones revelan que la intensidad de la señal recibida se reduce de 4 a 7 dB cuando el terminal se mantiene a nivel de la cintura, y de 1 a 2 dB cuando el terminal se mantiene a la altura de la cabeza del usuario, con respecto a la intensidad de la señal recibida cuando la antena está situada a varias longitudes de onda del cuerpo.</w:t>
      </w:r>
    </w:p>
    <w:p w:rsidR="001F77B3" w:rsidRPr="007A6DF0" w:rsidRDefault="001F77B3" w:rsidP="001F77B3">
      <w:pPr>
        <w:rPr>
          <w:lang w:val="es-ES_tradnl"/>
        </w:rPr>
      </w:pPr>
      <w:r w:rsidRPr="007A6DF0">
        <w:rPr>
          <w:lang w:val="es-ES_tradnl"/>
        </w:rPr>
        <w:t xml:space="preserve">Cuando la altura de la antena es inferior a 1 m aproximadamente, por ejemplo, en el caso de una aplicación característica de ordenador portátil o de mesa, el trayecto de visibilidad directa puede verse ensombrecido por personas que se desplazan en la vecindad del terminal del usuario. Para estas aplicaciones de datos revisten interés tanto la profundidad como la duración de los desvanecimientos. </w:t>
      </w:r>
      <w:r w:rsidRPr="007A6DF0">
        <w:rPr>
          <w:lang w:val="es-ES_tradnl"/>
        </w:rPr>
        <w:lastRenderedPageBreak/>
        <w:t>Las mediciones efectuadas a 37 GHz en un entorno de oficina interior han demostrado que con frecuencia se observan desvanecimientos de 10 a 15 dB. La duración de estos desvanecimientos debidos al ensombrecimiento producido por los cuerpos de personas que se mueven continuamente de manera aleatoria a través del trayecto con visibilidad directa sigue una distribución log-normal, en virtud de la cual la desviación media y normalizada dependen de la profundidad del desvanecimiento. Para esas mediciones, a una profundidad de desvanecimiento de 10 dB, la duración media fue de 0,11 s y la desviación normalizada de 0,47 s. A una profundidad de desvanecimiento de 15 dB, la duración media fue de 0,05 s y la desviación normalizada de 0,15 s.</w:t>
      </w:r>
    </w:p>
    <w:p w:rsidR="001F77B3" w:rsidRPr="007A6DF0" w:rsidRDefault="001F77B3" w:rsidP="001F77B3">
      <w:pPr>
        <w:rPr>
          <w:lang w:val="es-ES_tradnl" w:eastAsia="ja-JP"/>
        </w:rPr>
      </w:pPr>
      <w:r w:rsidRPr="007A6DF0">
        <w:rPr>
          <w:lang w:val="es-ES_tradnl"/>
        </w:rPr>
        <w:t>Las mediciones a 70</w:t>
      </w:r>
      <w:r w:rsidRPr="007A6DF0">
        <w:rPr>
          <w:rFonts w:eastAsia="MS Gothic"/>
          <w:lang w:val="es-ES_tradnl" w:eastAsia="ja-JP"/>
        </w:rPr>
        <w:t> </w:t>
      </w:r>
      <w:r w:rsidRPr="007A6DF0">
        <w:rPr>
          <w:lang w:val="es-ES_tradnl"/>
        </w:rPr>
        <w:t>GHz han demostrado que la duración media del desvanecimiento debida al apantallamiento de un cuerpo es de 0,52 s, 0,25</w:t>
      </w:r>
      <w:r w:rsidRPr="007A6DF0">
        <w:rPr>
          <w:rFonts w:eastAsia="MS Gothic"/>
          <w:lang w:val="es-ES_tradnl" w:eastAsia="ja-JP"/>
        </w:rPr>
        <w:t> </w:t>
      </w:r>
      <w:r w:rsidRPr="007A6DF0">
        <w:rPr>
          <w:lang w:val="es-ES_tradnl"/>
        </w:rPr>
        <w:t>s y 0,09</w:t>
      </w:r>
      <w:r w:rsidRPr="007A6DF0">
        <w:rPr>
          <w:rFonts w:eastAsia="MS Gothic"/>
          <w:lang w:val="es-ES_tradnl" w:eastAsia="ja-JP"/>
        </w:rPr>
        <w:t> </w:t>
      </w:r>
      <w:r w:rsidRPr="007A6DF0">
        <w:rPr>
          <w:lang w:val="es-ES_tradnl"/>
        </w:rPr>
        <w:t>s para una profundidad de desvanecimiento de 10</w:t>
      </w:r>
      <w:r w:rsidRPr="007A6DF0">
        <w:rPr>
          <w:rFonts w:eastAsia="MS Gothic"/>
          <w:lang w:val="es-ES_tradnl" w:eastAsia="ja-JP"/>
        </w:rPr>
        <w:t> </w:t>
      </w:r>
      <w:r w:rsidRPr="007A6DF0">
        <w:rPr>
          <w:lang w:val="es-ES_tradnl"/>
        </w:rPr>
        <w:t>dB, 20</w:t>
      </w:r>
      <w:r w:rsidRPr="007A6DF0">
        <w:rPr>
          <w:rFonts w:eastAsia="MS Gothic"/>
          <w:lang w:val="es-ES_tradnl" w:eastAsia="ja-JP"/>
        </w:rPr>
        <w:t> </w:t>
      </w:r>
      <w:r w:rsidRPr="007A6DF0">
        <w:rPr>
          <w:lang w:val="es-ES_tradnl"/>
        </w:rPr>
        <w:t>dB y 30</w:t>
      </w:r>
      <w:r w:rsidRPr="007A6DF0">
        <w:rPr>
          <w:rFonts w:eastAsia="MS Gothic"/>
          <w:lang w:val="es-ES_tradnl" w:eastAsia="ja-JP"/>
        </w:rPr>
        <w:t> </w:t>
      </w:r>
      <w:r w:rsidRPr="007A6DF0">
        <w:rPr>
          <w:lang w:val="es-ES_tradnl"/>
        </w:rPr>
        <w:t>dB, respectivamente, estimándose la velocidad media del movimiento de las personas a 0,74 m/s en direcciones aleatorias, y suponiendo que el grosor del cuerpo humano es de 0,3 m.</w:t>
      </w:r>
    </w:p>
    <w:p w:rsidR="001F77B3" w:rsidRPr="007A6DF0" w:rsidRDefault="001F77B3" w:rsidP="001F77B3">
      <w:pPr>
        <w:rPr>
          <w:lang w:val="es-ES_tradnl"/>
        </w:rPr>
      </w:pPr>
      <w:r w:rsidRPr="007A6DF0">
        <w:rPr>
          <w:lang w:val="es-ES_tradnl"/>
        </w:rPr>
        <w:t xml:space="preserve">Las mediciones indican que el número medio de sucesos de apantallamiento de un cuerpo en una hora causado por el movimiento humano en un entorno de oficina puede obtenerse con la fórmula: </w:t>
      </w:r>
    </w:p>
    <w:p w:rsidR="001F77B3" w:rsidRPr="007A6DF0" w:rsidRDefault="001F77B3" w:rsidP="001F77B3">
      <w:pPr>
        <w:pStyle w:val="Blanc"/>
        <w:rPr>
          <w:lang w:val="es-ES_tradnl"/>
        </w:rPr>
      </w:pPr>
    </w:p>
    <w:p w:rsidR="001F77B3" w:rsidRPr="007A6DF0" w:rsidRDefault="001F77B3" w:rsidP="001F77B3">
      <w:pPr>
        <w:pStyle w:val="Equation"/>
        <w:rPr>
          <w:lang w:val="es-ES_tradnl" w:eastAsia="ja-JP"/>
        </w:rPr>
      </w:pPr>
      <w:r w:rsidRPr="007A6DF0">
        <w:rPr>
          <w:lang w:val="es-ES_tradnl"/>
        </w:rPr>
        <w:tab/>
      </w:r>
      <w:r w:rsidRPr="007A6DF0">
        <w:rPr>
          <w:lang w:val="es-ES_tradnl"/>
        </w:rPr>
        <w:tab/>
      </w:r>
      <w:r w:rsidRPr="007A6DF0">
        <w:rPr>
          <w:position w:val="-14"/>
          <w:lang w:val="es-ES_tradnl"/>
        </w:rPr>
        <w:object w:dxaOrig="1380" w:dyaOrig="420">
          <v:shape id="_x0000_i1028" type="#_x0000_t75" style="width:1in;height:22.05pt" o:ole="">
            <v:imagedata r:id="rId19" o:title=""/>
          </v:shape>
          <o:OLEObject Type="Embed" ProgID="Equation.3" ShapeID="_x0000_i1028" DrawAspect="Content" ObjectID="_1549090139" r:id="rId20"/>
        </w:object>
      </w:r>
      <w:r w:rsidRPr="007A6DF0">
        <w:rPr>
          <w:lang w:val="es-ES_tradnl"/>
        </w:rPr>
        <w:tab/>
        <w:t>(5)</w:t>
      </w:r>
    </w:p>
    <w:p w:rsidR="001F77B3" w:rsidRPr="007A6DF0" w:rsidRDefault="001F77B3" w:rsidP="001F77B3">
      <w:pPr>
        <w:rPr>
          <w:lang w:val="es-ES_tradnl"/>
        </w:rPr>
      </w:pPr>
      <w:r w:rsidRPr="007A6DF0">
        <w:rPr>
          <w:lang w:val="es-ES_tradnl"/>
        </w:rPr>
        <w:t xml:space="preserve">donde </w:t>
      </w:r>
      <w:r w:rsidRPr="007A6DF0">
        <w:rPr>
          <w:i/>
          <w:lang w:val="es-ES_tradnl"/>
        </w:rPr>
        <w:t>D</w:t>
      </w:r>
      <w:r w:rsidRPr="007A6DF0">
        <w:rPr>
          <w:i/>
          <w:vertAlign w:val="subscript"/>
          <w:lang w:val="es-ES_tradnl"/>
        </w:rPr>
        <w:t>p</w:t>
      </w:r>
      <w:r w:rsidRPr="007A6DF0">
        <w:rPr>
          <w:rFonts w:eastAsia="MS Gothic"/>
          <w:lang w:val="es-ES_tradnl" w:eastAsia="ja-JP"/>
        </w:rPr>
        <w:t> </w:t>
      </w:r>
      <w:r w:rsidRPr="007A6DF0">
        <w:rPr>
          <w:lang w:val="es-ES_tradnl"/>
        </w:rPr>
        <w:t>(0,05</w:t>
      </w:r>
      <w:r w:rsidRPr="007A6DF0">
        <w:rPr>
          <w:rFonts w:eastAsia="MS Gothic"/>
          <w:lang w:val="es-ES_tradnl" w:eastAsia="ja-JP"/>
        </w:rPr>
        <w:t> </w:t>
      </w:r>
      <w:r w:rsidRPr="007A6DF0">
        <w:rPr>
          <w:u w:val="words"/>
          <w:lang w:val="es-ES_tradnl"/>
        </w:rPr>
        <w:t>&lt;</w:t>
      </w:r>
      <w:r w:rsidRPr="007A6DF0">
        <w:rPr>
          <w:rFonts w:eastAsia="MS Gothic"/>
          <w:lang w:val="es-ES_tradnl" w:eastAsia="ja-JP"/>
        </w:rPr>
        <w:t> </w:t>
      </w:r>
      <w:r w:rsidRPr="007A6DF0">
        <w:rPr>
          <w:i/>
          <w:iCs/>
          <w:lang w:val="es-ES_tradnl"/>
        </w:rPr>
        <w:t>D</w:t>
      </w:r>
      <w:r w:rsidRPr="007A6DF0">
        <w:rPr>
          <w:i/>
          <w:iCs/>
          <w:szCs w:val="24"/>
          <w:vertAlign w:val="subscript"/>
          <w:lang w:val="es-ES_tradnl"/>
        </w:rPr>
        <w:t>p</w:t>
      </w:r>
      <w:r w:rsidRPr="007A6DF0">
        <w:rPr>
          <w:rFonts w:eastAsia="MS Gothic"/>
          <w:lang w:val="es-ES_tradnl" w:eastAsia="ja-JP"/>
        </w:rPr>
        <w:t> </w:t>
      </w:r>
      <w:r w:rsidRPr="007A6DF0">
        <w:rPr>
          <w:u w:val="words"/>
          <w:lang w:val="es-ES_tradnl"/>
        </w:rPr>
        <w:t>&lt;</w:t>
      </w:r>
      <w:r w:rsidRPr="007A6DF0">
        <w:rPr>
          <w:rFonts w:eastAsia="MS Gothic"/>
          <w:lang w:val="es-ES_tradnl" w:eastAsia="ja-JP"/>
        </w:rPr>
        <w:t> </w:t>
      </w:r>
      <w:r w:rsidRPr="007A6DF0">
        <w:rPr>
          <w:lang w:val="es-ES_tradnl"/>
        </w:rPr>
        <w:t>0,08) es el número de personas por metro cuadrado en la sala. Por consiguiente, la duración total del desvanecimiento por hora se obtiene con la fórmula:</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lang w:val="es-ES_tradnl"/>
        </w:rPr>
        <w:tab/>
      </w:r>
      <w:r w:rsidRPr="007A6DF0">
        <w:rPr>
          <w:lang w:val="es-ES_tradnl"/>
        </w:rPr>
        <w:tab/>
      </w:r>
      <w:r w:rsidRPr="007A6DF0">
        <w:rPr>
          <w:position w:val="-12"/>
          <w:lang w:val="es-ES_tradnl"/>
        </w:rPr>
        <w:object w:dxaOrig="1160" w:dyaOrig="400">
          <v:shape id="_x0000_i1029" type="#_x0000_t75" style="width:57.5pt;height:22.05pt" o:ole="">
            <v:imagedata r:id="rId21" o:title=""/>
          </v:shape>
          <o:OLEObject Type="Embed" ProgID="Equation.3" ShapeID="_x0000_i1029" DrawAspect="Content" ObjectID="_1549090140" r:id="rId22"/>
        </w:object>
      </w:r>
      <w:r w:rsidRPr="007A6DF0">
        <w:rPr>
          <w:lang w:val="es-ES_tradnl"/>
        </w:rPr>
        <w:tab/>
        <w:t>(6)</w:t>
      </w:r>
    </w:p>
    <w:p w:rsidR="001F77B3" w:rsidRPr="007A6DF0" w:rsidRDefault="001F77B3" w:rsidP="001F77B3">
      <w:pPr>
        <w:rPr>
          <w:lang w:val="es-ES_tradnl"/>
        </w:rPr>
      </w:pPr>
      <w:r w:rsidRPr="007A6DF0">
        <w:rPr>
          <w:lang w:val="es-ES_tradnl"/>
        </w:rPr>
        <w:t xml:space="preserve">donde </w:t>
      </w:r>
      <w:r w:rsidRPr="007A6DF0">
        <w:rPr>
          <w:position w:val="-12"/>
          <w:lang w:val="es-ES_tradnl"/>
        </w:rPr>
        <w:object w:dxaOrig="300" w:dyaOrig="400">
          <v:shape id="_x0000_i1030" type="#_x0000_t75" style="width:14.5pt;height:22.05pt" o:ole="">
            <v:imagedata r:id="rId23" o:title=""/>
          </v:shape>
          <o:OLEObject Type="Embed" ProgID="Equation.3" ShapeID="_x0000_i1030" DrawAspect="Content" ObjectID="_1549090141" r:id="rId24"/>
        </w:object>
      </w:r>
      <w:r w:rsidRPr="007A6DF0">
        <w:rPr>
          <w:lang w:val="es-ES_tradnl"/>
        </w:rPr>
        <w:t xml:space="preserve"> es la duración media del desvanecimiento.</w:t>
      </w:r>
    </w:p>
    <w:p w:rsidR="001F77B3" w:rsidRPr="007A6DF0" w:rsidRDefault="001F77B3" w:rsidP="001F77B3">
      <w:pPr>
        <w:rPr>
          <w:b/>
          <w:i/>
          <w:iCs/>
          <w:lang w:val="es-ES_tradnl"/>
        </w:rPr>
      </w:pPr>
      <w:r w:rsidRPr="007A6DF0">
        <w:rPr>
          <w:lang w:val="es-ES_tradnl"/>
        </w:rPr>
        <w:t xml:space="preserve">El número de sucesos de apantallamiento de un cuerpo en una hora en una sala de exposiciones es de 180 a 280, siendo </w:t>
      </w:r>
      <w:r w:rsidRPr="007A6DF0">
        <w:rPr>
          <w:i/>
          <w:iCs/>
          <w:lang w:val="es-ES_tradnl"/>
        </w:rPr>
        <w:t>D</w:t>
      </w:r>
      <w:r w:rsidRPr="007A6DF0">
        <w:rPr>
          <w:i/>
          <w:iCs/>
          <w:szCs w:val="24"/>
          <w:vertAlign w:val="subscript"/>
          <w:lang w:val="es-ES_tradnl"/>
        </w:rPr>
        <w:t>p</w:t>
      </w:r>
      <w:r w:rsidRPr="007A6DF0">
        <w:rPr>
          <w:lang w:val="es-ES_tradnl"/>
        </w:rPr>
        <w:t xml:space="preserve"> de 0,09 a</w:t>
      </w:r>
      <w:r w:rsidRPr="007A6DF0">
        <w:rPr>
          <w:rFonts w:eastAsia="MS Gothic"/>
          <w:lang w:val="es-ES_tradnl" w:eastAsia="ja-JP"/>
        </w:rPr>
        <w:t> </w:t>
      </w:r>
      <w:r w:rsidRPr="007A6DF0">
        <w:rPr>
          <w:lang w:val="es-ES_tradnl"/>
        </w:rPr>
        <w:t>0,13.</w:t>
      </w:r>
    </w:p>
    <w:p w:rsidR="001F77B3" w:rsidRPr="007A6DF0" w:rsidRDefault="001F77B3" w:rsidP="001F77B3">
      <w:pPr>
        <w:keepNext/>
        <w:keepLines/>
        <w:rPr>
          <w:lang w:val="es-ES_tradnl"/>
        </w:rPr>
      </w:pPr>
      <w:r w:rsidRPr="007A6DF0">
        <w:rPr>
          <w:lang w:val="es-ES_tradnl"/>
        </w:rPr>
        <w:t xml:space="preserve">La dependencia de las pérdidas de trayecto con respecto a la distancia en una sala subterránea se ve afectada por el apantallamiento de cuerpos humanos. Las pérdidas de trayecto en una sala subterránea pueden estimarse mediante la siguiente ecuación, utilizando los parámetros del Cuadro 8. </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lang w:val="es-ES_tradnl"/>
        </w:rPr>
        <w:tab/>
      </w:r>
      <w:r w:rsidRPr="007A6DF0">
        <w:rPr>
          <w:lang w:val="es-ES_tradnl"/>
        </w:rPr>
        <w:tab/>
      </w:r>
      <w:r w:rsidR="00F668A3" w:rsidRPr="007A6DF0">
        <w:rPr>
          <w:position w:val="-12"/>
          <w:lang w:val="es-ES_tradnl"/>
        </w:rPr>
        <w:object w:dxaOrig="4920" w:dyaOrig="360">
          <v:shape id="_x0000_i1031" type="#_x0000_t75" style="width:229.95pt;height:20.4pt" o:ole="">
            <v:imagedata r:id="rId25" o:title=""/>
          </v:shape>
          <o:OLEObject Type="Embed" ProgID="Equation.3" ShapeID="_x0000_i1031" DrawAspect="Content" ObjectID="_1549090142" r:id="rId26"/>
        </w:object>
      </w:r>
      <w:r w:rsidRPr="007A6DF0">
        <w:rPr>
          <w:lang w:val="es-ES_tradnl"/>
        </w:rPr>
        <w:t>                dB</w:t>
      </w:r>
      <w:r w:rsidRPr="007A6DF0">
        <w:rPr>
          <w:lang w:val="es-ES_tradnl"/>
        </w:rPr>
        <w:tab/>
        <w:t>(7)</w:t>
      </w:r>
    </w:p>
    <w:p w:rsidR="001F77B3" w:rsidRPr="007A6DF0" w:rsidRDefault="001F77B3" w:rsidP="001F77B3">
      <w:pPr>
        <w:pStyle w:val="Blanc"/>
        <w:rPr>
          <w:lang w:val="es-ES_tradnl"/>
        </w:rPr>
      </w:pPr>
    </w:p>
    <w:p w:rsidR="001F77B3" w:rsidRPr="007A6DF0" w:rsidRDefault="001F77B3" w:rsidP="001F77B3">
      <w:pPr>
        <w:keepNext/>
        <w:keepLines/>
        <w:rPr>
          <w:lang w:val="es-ES_tradnl"/>
        </w:rPr>
      </w:pPr>
      <w:r w:rsidRPr="007A6DF0">
        <w:rPr>
          <w:lang w:val="es-ES_tradnl"/>
        </w:rPr>
        <w:t>donde:</w:t>
      </w:r>
    </w:p>
    <w:p w:rsidR="001F77B3" w:rsidRPr="007A6DF0" w:rsidRDefault="001F77B3" w:rsidP="001F77B3">
      <w:pPr>
        <w:pStyle w:val="Equationlegend"/>
        <w:keepNext/>
        <w:keepLines/>
        <w:rPr>
          <w:lang w:val="es-ES_tradnl"/>
        </w:rPr>
      </w:pPr>
      <w:r w:rsidRPr="007A6DF0">
        <w:rPr>
          <w:i/>
          <w:iCs/>
          <w:lang w:val="es-ES_tradnl"/>
        </w:rPr>
        <w:tab/>
        <w:t>f</w:t>
      </w:r>
      <w:r w:rsidRPr="007A6DF0">
        <w:rPr>
          <w:iCs/>
          <w:lang w:val="es-ES_tradnl"/>
        </w:rPr>
        <w:t>:</w:t>
      </w:r>
      <w:r w:rsidRPr="007A6DF0">
        <w:rPr>
          <w:i/>
          <w:iCs/>
          <w:lang w:val="es-ES_tradnl"/>
        </w:rPr>
        <w:tab/>
      </w:r>
      <w:r w:rsidRPr="007A6DF0">
        <w:rPr>
          <w:lang w:val="es-ES_tradnl"/>
        </w:rPr>
        <w:t xml:space="preserve">frecuencia (MHz) </w:t>
      </w:r>
    </w:p>
    <w:p w:rsidR="001F77B3" w:rsidRPr="007A6DF0" w:rsidRDefault="001F77B3" w:rsidP="001F77B3">
      <w:pPr>
        <w:pStyle w:val="Equationlegend"/>
        <w:keepNext/>
        <w:keepLines/>
        <w:rPr>
          <w:lang w:val="es-ES_tradnl"/>
        </w:rPr>
      </w:pPr>
      <w:r w:rsidRPr="007A6DF0">
        <w:rPr>
          <w:i/>
          <w:iCs/>
          <w:lang w:val="es-ES_tradnl"/>
        </w:rPr>
        <w:tab/>
        <w:t>x</w:t>
      </w:r>
      <w:r w:rsidRPr="007A6DF0">
        <w:rPr>
          <w:iCs/>
          <w:lang w:val="es-ES_tradnl"/>
        </w:rPr>
        <w:t>:</w:t>
      </w:r>
      <w:r w:rsidRPr="007A6DF0">
        <w:rPr>
          <w:lang w:val="es-ES_tradnl"/>
        </w:rPr>
        <w:t xml:space="preserve"> </w:t>
      </w:r>
      <w:r w:rsidRPr="007A6DF0">
        <w:rPr>
          <w:lang w:val="es-ES_tradnl"/>
        </w:rPr>
        <w:tab/>
        <w:t xml:space="preserve">distancia (m). </w:t>
      </w:r>
    </w:p>
    <w:p w:rsidR="001F77B3" w:rsidRPr="007A6DF0" w:rsidRDefault="001F77B3" w:rsidP="001F77B3">
      <w:pPr>
        <w:rPr>
          <w:lang w:val="es-ES_tradnl"/>
        </w:rPr>
      </w:pPr>
      <w:r w:rsidRPr="007A6DF0">
        <w:rPr>
          <w:lang w:val="es-ES_tradnl"/>
        </w:rPr>
        <w:t xml:space="preserve">Los parámetros en el caso sin </w:t>
      </w:r>
      <w:r w:rsidRPr="007A6DF0">
        <w:rPr>
          <w:bCs/>
          <w:lang w:val="es-ES_tradnl"/>
        </w:rPr>
        <w:t>visibilidad</w:t>
      </w:r>
      <w:r w:rsidRPr="007A6DF0">
        <w:rPr>
          <w:lang w:val="es-ES_tradnl"/>
        </w:rPr>
        <w:t xml:space="preserve"> directa se verifican en la banda de 5 GHz, y los del caso LOS son aplicables a la gama de frecuencias de 2 GHz a 20 GHz. La distancia </w:t>
      </w:r>
      <w:r w:rsidRPr="007A6DF0">
        <w:rPr>
          <w:i/>
          <w:iCs/>
          <w:lang w:val="es-ES_tradnl"/>
        </w:rPr>
        <w:t>x</w:t>
      </w:r>
      <w:r w:rsidRPr="007A6DF0">
        <w:rPr>
          <w:lang w:val="es-ES_tradnl"/>
        </w:rPr>
        <w:t xml:space="preserve"> oscila entre 10 m y 200 m.</w:t>
      </w:r>
    </w:p>
    <w:p w:rsidR="001F77B3" w:rsidRPr="007A6DF0" w:rsidRDefault="001F77B3" w:rsidP="001F77B3">
      <w:pPr>
        <w:rPr>
          <w:lang w:val="es-ES_tradnl"/>
        </w:rPr>
      </w:pPr>
      <w:r w:rsidRPr="007A6DF0">
        <w:rPr>
          <w:lang w:val="es-ES_tradnl"/>
        </w:rPr>
        <w:t>El entorno de una sala subterránea es de tipo compartimentado, formado por pasillos rectos con paredes de vidrio o cemento armado. El pasillo principal tiene 6 m de ancho, 3 m de alto y 190 m de largo. Se supone que un cuerpo humano típico mide 170 cm de altura y su envergadura entre los hombros es de 45 cm. La densidad de los pasantes es de aproximadamente 0,008 persona/m</w:t>
      </w:r>
      <w:r w:rsidRPr="007A6DF0">
        <w:rPr>
          <w:vertAlign w:val="superscript"/>
          <w:lang w:val="es-ES_tradnl"/>
        </w:rPr>
        <w:t>2</w:t>
      </w:r>
      <w:r w:rsidRPr="007A6DF0">
        <w:rPr>
          <w:lang w:val="es-ES_tradnl"/>
        </w:rPr>
        <w:t xml:space="preserve"> y 0,1 persona/m</w:t>
      </w:r>
      <w:r w:rsidRPr="007A6DF0">
        <w:rPr>
          <w:vertAlign w:val="superscript"/>
          <w:lang w:val="es-ES_tradnl"/>
        </w:rPr>
        <w:t>2</w:t>
      </w:r>
      <w:r w:rsidRPr="007A6DF0">
        <w:rPr>
          <w:lang w:val="es-ES_tradnl"/>
        </w:rPr>
        <w:t xml:space="preserve"> en un periodo de calma (temprano por la mañana o en horas bajas) y en periodo agitado (hora de comer o en horas punta), respectivamente. </w:t>
      </w:r>
    </w:p>
    <w:p w:rsidR="001F77B3" w:rsidRPr="007A6DF0" w:rsidRDefault="001F77B3" w:rsidP="001F77B3">
      <w:pPr>
        <w:pStyle w:val="TableNo"/>
        <w:rPr>
          <w:kern w:val="2"/>
          <w:lang w:val="es-ES_tradnl"/>
        </w:rPr>
      </w:pPr>
      <w:r w:rsidRPr="007A6DF0">
        <w:rPr>
          <w:lang w:val="es-ES_tradnl"/>
        </w:rPr>
        <w:lastRenderedPageBreak/>
        <w:t>CUADRO</w:t>
      </w:r>
      <w:r w:rsidRPr="007A6DF0">
        <w:rPr>
          <w:kern w:val="2"/>
          <w:lang w:val="es-ES_tradnl"/>
        </w:rPr>
        <w:t xml:space="preserve">  8</w:t>
      </w:r>
    </w:p>
    <w:p w:rsidR="001F77B3" w:rsidRPr="007A6DF0" w:rsidRDefault="001F77B3" w:rsidP="001F77B3">
      <w:pPr>
        <w:pStyle w:val="Tabletitle"/>
        <w:rPr>
          <w:kern w:val="2"/>
          <w:lang w:val="es-ES_tradnl"/>
        </w:rPr>
      </w:pPr>
      <w:r w:rsidRPr="007A6DF0">
        <w:rPr>
          <w:kern w:val="2"/>
          <w:lang w:val="es-ES_tradnl"/>
        </w:rPr>
        <w:t>Parámetros para modelar la función de pérdidas</w:t>
      </w:r>
      <w:r w:rsidRPr="007A6DF0">
        <w:rPr>
          <w:kern w:val="2"/>
          <w:lang w:val="es-ES_tradnl"/>
        </w:rPr>
        <w:br/>
        <w:t xml:space="preserve">de trayecto en la sala subterránea Yaesu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090"/>
        <w:gridCol w:w="1313"/>
        <w:gridCol w:w="837"/>
        <w:gridCol w:w="902"/>
        <w:gridCol w:w="1238"/>
        <w:gridCol w:w="1100"/>
      </w:tblGrid>
      <w:tr w:rsidR="001F77B3" w:rsidRPr="007A6DF0" w:rsidTr="008E512C">
        <w:trPr>
          <w:trHeight w:val="270"/>
          <w:jc w:val="center"/>
        </w:trPr>
        <w:tc>
          <w:tcPr>
            <w:tcW w:w="1425" w:type="dxa"/>
            <w:vMerge w:val="restart"/>
          </w:tcPr>
          <w:p w:rsidR="001F77B3" w:rsidRPr="007A6DF0" w:rsidRDefault="001F77B3" w:rsidP="008E512C">
            <w:pPr>
              <w:pStyle w:val="Tabletext"/>
              <w:rPr>
                <w:rFonts w:eastAsia="MS PGothic"/>
                <w:lang w:val="es-ES_tradnl"/>
              </w:rPr>
            </w:pPr>
          </w:p>
        </w:tc>
        <w:tc>
          <w:tcPr>
            <w:tcW w:w="3240" w:type="dxa"/>
            <w:gridSpan w:val="3"/>
          </w:tcPr>
          <w:p w:rsidR="001F77B3" w:rsidRPr="007A6DF0" w:rsidRDefault="001F77B3" w:rsidP="008E512C">
            <w:pPr>
              <w:pStyle w:val="Tablehead"/>
              <w:rPr>
                <w:rFonts w:eastAsia="MS PGothic"/>
                <w:kern w:val="2"/>
                <w:lang w:val="es-ES_tradnl"/>
              </w:rPr>
            </w:pPr>
            <w:r w:rsidRPr="007A6DF0">
              <w:rPr>
                <w:bCs/>
                <w:lang w:val="es-ES_tradnl"/>
              </w:rPr>
              <w:t>Visibilidad directa</w:t>
            </w:r>
          </w:p>
        </w:tc>
        <w:tc>
          <w:tcPr>
            <w:tcW w:w="3240" w:type="dxa"/>
            <w:gridSpan w:val="3"/>
          </w:tcPr>
          <w:p w:rsidR="001F77B3" w:rsidRPr="007A6DF0" w:rsidRDefault="001F77B3" w:rsidP="008E512C">
            <w:pPr>
              <w:pStyle w:val="Tablehead"/>
              <w:rPr>
                <w:rFonts w:eastAsia="MS PGothic"/>
                <w:kern w:val="2"/>
                <w:lang w:val="es-ES_tradnl"/>
              </w:rPr>
            </w:pPr>
            <w:r w:rsidRPr="007A6DF0">
              <w:rPr>
                <w:bCs/>
                <w:lang w:val="es-ES_tradnl"/>
              </w:rPr>
              <w:t>Sin visibilidad directa</w:t>
            </w:r>
          </w:p>
        </w:tc>
      </w:tr>
      <w:tr w:rsidR="001F77B3" w:rsidRPr="007A6DF0" w:rsidTr="008E512C">
        <w:trPr>
          <w:trHeight w:val="270"/>
          <w:jc w:val="center"/>
        </w:trPr>
        <w:tc>
          <w:tcPr>
            <w:tcW w:w="1425" w:type="dxa"/>
            <w:vMerge/>
          </w:tcPr>
          <w:p w:rsidR="001F77B3" w:rsidRPr="007A6DF0" w:rsidRDefault="001F77B3" w:rsidP="008E512C">
            <w:pPr>
              <w:pStyle w:val="Tabletext"/>
              <w:rPr>
                <w:rFonts w:eastAsia="MS PGothic"/>
                <w:lang w:val="es-ES_tradnl"/>
              </w:rPr>
            </w:pPr>
          </w:p>
        </w:tc>
        <w:tc>
          <w:tcPr>
            <w:tcW w:w="1090" w:type="dxa"/>
          </w:tcPr>
          <w:p w:rsidR="001F77B3" w:rsidRPr="007A6DF0" w:rsidRDefault="001F77B3" w:rsidP="008E512C">
            <w:pPr>
              <w:pStyle w:val="Tablehead"/>
              <w:rPr>
                <w:rFonts w:eastAsia="MS PGothic"/>
                <w:kern w:val="2"/>
                <w:lang w:val="es-ES_tradnl" w:eastAsia="ja-JP"/>
              </w:rPr>
            </w:pPr>
            <w:r w:rsidRPr="007A6DF0">
              <w:rPr>
                <w:rFonts w:eastAsia="MS PGothic"/>
                <w:kern w:val="2"/>
                <w:lang w:val="es-ES_tradnl" w:eastAsia="ja-JP"/>
              </w:rPr>
              <w:sym w:font="Symbol" w:char="F061"/>
            </w:r>
          </w:p>
        </w:tc>
        <w:tc>
          <w:tcPr>
            <w:tcW w:w="1313" w:type="dxa"/>
          </w:tcPr>
          <w:p w:rsidR="001F77B3" w:rsidRPr="007A6DF0" w:rsidRDefault="001F77B3" w:rsidP="008E512C">
            <w:pPr>
              <w:pStyle w:val="Tablehead"/>
              <w:rPr>
                <w:rFonts w:eastAsia="MS PGothic"/>
                <w:lang w:val="es-ES_tradnl" w:eastAsia="ja-JP"/>
              </w:rPr>
            </w:pPr>
            <w:r w:rsidRPr="007A6DF0">
              <w:rPr>
                <w:rFonts w:eastAsia="MS PGothic"/>
                <w:lang w:val="es-ES_tradnl"/>
              </w:rPr>
              <w:sym w:font="Symbol" w:char="F064"/>
            </w:r>
            <w:r w:rsidRPr="007A6DF0">
              <w:rPr>
                <w:rFonts w:eastAsia="MS PGothic"/>
                <w:lang w:val="es-ES_tradnl"/>
              </w:rPr>
              <w:t> </w:t>
            </w:r>
            <w:r w:rsidRPr="007A6DF0">
              <w:rPr>
                <w:rFonts w:eastAsia="MS PGothic"/>
                <w:lang w:val="es-ES_tradnl"/>
              </w:rPr>
              <w:br/>
            </w:r>
            <w:r w:rsidRPr="007A6DF0">
              <w:rPr>
                <w:rFonts w:eastAsia="MS PGothic"/>
                <w:lang w:val="es-ES_tradnl" w:eastAsia="ja-JP"/>
              </w:rPr>
              <w:t>(</w:t>
            </w:r>
            <w:r w:rsidRPr="007A6DF0">
              <w:rPr>
                <w:rFonts w:eastAsia="MS PGothic"/>
                <w:lang w:val="es-ES_tradnl"/>
              </w:rPr>
              <w:t>m</w:t>
            </w:r>
            <w:r w:rsidRPr="007A6DF0">
              <w:rPr>
                <w:rFonts w:eastAsia="MS PGothic"/>
                <w:vertAlign w:val="superscript"/>
                <w:lang w:val="es-ES_tradnl"/>
              </w:rPr>
              <w:t>−1</w:t>
            </w:r>
            <w:r w:rsidRPr="007A6DF0">
              <w:rPr>
                <w:rFonts w:eastAsia="MS PGothic"/>
                <w:lang w:val="es-ES_tradnl" w:eastAsia="ja-JP"/>
              </w:rPr>
              <w:t>)</w:t>
            </w:r>
          </w:p>
        </w:tc>
        <w:tc>
          <w:tcPr>
            <w:tcW w:w="837" w:type="dxa"/>
          </w:tcPr>
          <w:p w:rsidR="001F77B3" w:rsidRPr="007A6DF0" w:rsidRDefault="001F77B3" w:rsidP="008E512C">
            <w:pPr>
              <w:pStyle w:val="Tablehead"/>
              <w:rPr>
                <w:rFonts w:eastAsia="MS PGothic"/>
                <w:lang w:val="es-ES_tradnl" w:eastAsia="ja-JP"/>
              </w:rPr>
            </w:pPr>
            <w:r w:rsidRPr="007A6DF0">
              <w:rPr>
                <w:rFonts w:eastAsia="MS PGothic"/>
                <w:lang w:val="es-ES_tradnl"/>
              </w:rPr>
              <w:t>C</w:t>
            </w:r>
            <w:r w:rsidRPr="007A6DF0">
              <w:rPr>
                <w:rFonts w:eastAsia="MS PGothic"/>
                <w:lang w:val="es-ES_tradnl"/>
              </w:rPr>
              <w:br/>
            </w:r>
            <w:r w:rsidRPr="007A6DF0">
              <w:rPr>
                <w:rFonts w:eastAsia="MS PGothic"/>
                <w:lang w:val="es-ES_tradnl" w:eastAsia="ja-JP"/>
              </w:rPr>
              <w:t>(</w:t>
            </w:r>
            <w:r w:rsidRPr="007A6DF0">
              <w:rPr>
                <w:rFonts w:eastAsia="MS PGothic"/>
                <w:lang w:val="es-ES_tradnl"/>
              </w:rPr>
              <w:t>dB</w:t>
            </w:r>
            <w:r w:rsidRPr="007A6DF0">
              <w:rPr>
                <w:rFonts w:eastAsia="MS PGothic"/>
                <w:lang w:val="es-ES_tradnl" w:eastAsia="ja-JP"/>
              </w:rPr>
              <w:t>)</w:t>
            </w:r>
          </w:p>
        </w:tc>
        <w:tc>
          <w:tcPr>
            <w:tcW w:w="902" w:type="dxa"/>
          </w:tcPr>
          <w:p w:rsidR="001F77B3" w:rsidRPr="007A6DF0" w:rsidRDefault="001F77B3" w:rsidP="008E512C">
            <w:pPr>
              <w:pStyle w:val="Tablehead"/>
              <w:rPr>
                <w:rFonts w:eastAsia="MS PGothic"/>
                <w:kern w:val="2"/>
                <w:lang w:val="es-ES_tradnl" w:eastAsia="ja-JP"/>
              </w:rPr>
            </w:pPr>
            <w:r w:rsidRPr="007A6DF0">
              <w:rPr>
                <w:rFonts w:eastAsia="MS PGothic"/>
                <w:kern w:val="2"/>
                <w:lang w:val="es-ES_tradnl" w:eastAsia="ja-JP"/>
              </w:rPr>
              <w:sym w:font="Symbol" w:char="F061"/>
            </w:r>
          </w:p>
        </w:tc>
        <w:tc>
          <w:tcPr>
            <w:tcW w:w="1238" w:type="dxa"/>
          </w:tcPr>
          <w:p w:rsidR="001F77B3" w:rsidRPr="007A6DF0" w:rsidRDefault="001F77B3" w:rsidP="008E512C">
            <w:pPr>
              <w:pStyle w:val="Tablehead"/>
              <w:rPr>
                <w:rFonts w:eastAsia="MS PGothic"/>
                <w:lang w:val="es-ES_tradnl" w:eastAsia="ja-JP"/>
              </w:rPr>
            </w:pPr>
            <w:r w:rsidRPr="007A6DF0">
              <w:rPr>
                <w:rFonts w:eastAsia="MS PGothic"/>
                <w:lang w:val="es-ES_tradnl"/>
              </w:rPr>
              <w:sym w:font="Symbol" w:char="F064"/>
            </w:r>
            <w:r w:rsidRPr="007A6DF0">
              <w:rPr>
                <w:rFonts w:eastAsia="MS PGothic"/>
                <w:lang w:val="es-ES_tradnl"/>
              </w:rPr>
              <w:t> </w:t>
            </w:r>
            <w:r w:rsidRPr="007A6DF0">
              <w:rPr>
                <w:rFonts w:eastAsia="MS PGothic"/>
                <w:lang w:val="es-ES_tradnl"/>
              </w:rPr>
              <w:br/>
            </w:r>
            <w:r w:rsidRPr="007A6DF0">
              <w:rPr>
                <w:rFonts w:eastAsia="MS PGothic"/>
                <w:lang w:val="es-ES_tradnl" w:eastAsia="ja-JP"/>
              </w:rPr>
              <w:t>(</w:t>
            </w:r>
            <w:r w:rsidRPr="007A6DF0">
              <w:rPr>
                <w:rFonts w:eastAsia="MS PGothic"/>
                <w:lang w:val="es-ES_tradnl"/>
              </w:rPr>
              <w:t>m</w:t>
            </w:r>
            <w:r w:rsidRPr="007A6DF0">
              <w:rPr>
                <w:rFonts w:eastAsia="MS PGothic"/>
                <w:vertAlign w:val="superscript"/>
                <w:lang w:val="es-ES_tradnl"/>
              </w:rPr>
              <w:t>−1</w:t>
            </w:r>
            <w:r w:rsidRPr="007A6DF0">
              <w:rPr>
                <w:rFonts w:eastAsia="MS PGothic"/>
                <w:lang w:val="es-ES_tradnl" w:eastAsia="ja-JP"/>
              </w:rPr>
              <w:t>)</w:t>
            </w:r>
          </w:p>
        </w:tc>
        <w:tc>
          <w:tcPr>
            <w:tcW w:w="1100" w:type="dxa"/>
          </w:tcPr>
          <w:p w:rsidR="001F77B3" w:rsidRPr="007A6DF0" w:rsidRDefault="001F77B3" w:rsidP="008E512C">
            <w:pPr>
              <w:pStyle w:val="Tablehead"/>
              <w:rPr>
                <w:rFonts w:eastAsia="MS PGothic"/>
                <w:lang w:val="es-ES_tradnl" w:eastAsia="ja-JP"/>
              </w:rPr>
            </w:pPr>
            <w:r w:rsidRPr="007A6DF0">
              <w:rPr>
                <w:rFonts w:eastAsia="MS PGothic"/>
                <w:lang w:val="es-ES_tradnl"/>
              </w:rPr>
              <w:t>C</w:t>
            </w:r>
            <w:r w:rsidRPr="007A6DF0">
              <w:rPr>
                <w:rFonts w:eastAsia="MS PGothic"/>
                <w:lang w:val="es-ES_tradnl"/>
              </w:rPr>
              <w:br/>
            </w:r>
            <w:r w:rsidRPr="007A6DF0">
              <w:rPr>
                <w:rFonts w:eastAsia="MS PGothic"/>
                <w:lang w:val="es-ES_tradnl" w:eastAsia="ja-JP"/>
              </w:rPr>
              <w:t>(</w:t>
            </w:r>
            <w:r w:rsidRPr="007A6DF0">
              <w:rPr>
                <w:rFonts w:eastAsia="MS PGothic"/>
                <w:lang w:val="es-ES_tradnl"/>
              </w:rPr>
              <w:t>dB</w:t>
            </w:r>
            <w:r w:rsidRPr="007A6DF0">
              <w:rPr>
                <w:rFonts w:eastAsia="MS PGothic"/>
                <w:lang w:val="es-ES_tradnl" w:eastAsia="ja-JP"/>
              </w:rPr>
              <w:t>)</w:t>
            </w:r>
          </w:p>
        </w:tc>
      </w:tr>
      <w:tr w:rsidR="001F77B3" w:rsidRPr="007A6DF0" w:rsidTr="008E512C">
        <w:trPr>
          <w:trHeight w:val="270"/>
          <w:jc w:val="center"/>
        </w:trPr>
        <w:tc>
          <w:tcPr>
            <w:tcW w:w="1425" w:type="dxa"/>
          </w:tcPr>
          <w:p w:rsidR="001F77B3" w:rsidRPr="007A6DF0" w:rsidRDefault="001F77B3" w:rsidP="008E512C">
            <w:pPr>
              <w:pStyle w:val="Tabletext"/>
              <w:rPr>
                <w:rFonts w:eastAsia="MS PGothic"/>
                <w:lang w:val="es-ES_tradnl"/>
              </w:rPr>
            </w:pPr>
            <w:r w:rsidRPr="007A6DF0">
              <w:rPr>
                <w:rFonts w:eastAsia="MS PGothic"/>
                <w:lang w:val="es-ES_tradnl"/>
              </w:rPr>
              <w:t xml:space="preserve">Hora baja </w:t>
            </w:r>
          </w:p>
        </w:tc>
        <w:tc>
          <w:tcPr>
            <w:tcW w:w="1090" w:type="dxa"/>
          </w:tcPr>
          <w:p w:rsidR="001F77B3" w:rsidRPr="007A6DF0" w:rsidRDefault="001F77B3" w:rsidP="008E512C">
            <w:pPr>
              <w:pStyle w:val="Tabletext"/>
              <w:jc w:val="center"/>
              <w:rPr>
                <w:rFonts w:eastAsia="MS PGothic"/>
                <w:lang w:val="es-ES_tradnl"/>
              </w:rPr>
            </w:pPr>
            <w:r w:rsidRPr="007A6DF0">
              <w:rPr>
                <w:rFonts w:eastAsia="MS PGothic"/>
                <w:lang w:val="es-ES_tradnl"/>
              </w:rPr>
              <w:t>2,0</w:t>
            </w:r>
          </w:p>
        </w:tc>
        <w:tc>
          <w:tcPr>
            <w:tcW w:w="1313" w:type="dxa"/>
          </w:tcPr>
          <w:p w:rsidR="001F77B3" w:rsidRPr="007A6DF0" w:rsidRDefault="001F77B3" w:rsidP="008E512C">
            <w:pPr>
              <w:pStyle w:val="Tabletext"/>
              <w:jc w:val="center"/>
              <w:rPr>
                <w:rFonts w:eastAsia="MS PGothic"/>
                <w:lang w:val="es-ES_tradnl"/>
              </w:rPr>
            </w:pPr>
            <w:r w:rsidRPr="007A6DF0">
              <w:rPr>
                <w:rFonts w:eastAsia="MS PGothic"/>
                <w:lang w:val="es-ES_tradnl"/>
              </w:rPr>
              <w:t>0</w:t>
            </w:r>
          </w:p>
        </w:tc>
        <w:tc>
          <w:tcPr>
            <w:tcW w:w="837" w:type="dxa"/>
          </w:tcPr>
          <w:p w:rsidR="001F77B3" w:rsidRPr="007A6DF0" w:rsidRDefault="001F77B3" w:rsidP="008E512C">
            <w:pPr>
              <w:pStyle w:val="Tabletext"/>
              <w:jc w:val="center"/>
              <w:rPr>
                <w:rFonts w:eastAsia="MS PGothic"/>
                <w:lang w:val="es-ES_tradnl"/>
              </w:rPr>
            </w:pPr>
            <w:r w:rsidRPr="007A6DF0">
              <w:rPr>
                <w:rFonts w:eastAsia="MS PGothic"/>
                <w:lang w:val="es-ES_tradnl"/>
              </w:rPr>
              <w:t>–5</w:t>
            </w:r>
          </w:p>
        </w:tc>
        <w:tc>
          <w:tcPr>
            <w:tcW w:w="902" w:type="dxa"/>
          </w:tcPr>
          <w:p w:rsidR="001F77B3" w:rsidRPr="007A6DF0" w:rsidRDefault="001F77B3" w:rsidP="008E512C">
            <w:pPr>
              <w:pStyle w:val="Tabletext"/>
              <w:jc w:val="center"/>
              <w:rPr>
                <w:rFonts w:eastAsia="MS PGothic"/>
                <w:lang w:val="es-ES_tradnl"/>
              </w:rPr>
            </w:pPr>
            <w:r w:rsidRPr="007A6DF0">
              <w:rPr>
                <w:rFonts w:eastAsia="MS PGothic"/>
                <w:lang w:val="es-ES_tradnl"/>
              </w:rPr>
              <w:t>3,4</w:t>
            </w:r>
          </w:p>
        </w:tc>
        <w:tc>
          <w:tcPr>
            <w:tcW w:w="1238" w:type="dxa"/>
          </w:tcPr>
          <w:p w:rsidR="001F77B3" w:rsidRPr="007A6DF0" w:rsidRDefault="001F77B3" w:rsidP="008E512C">
            <w:pPr>
              <w:pStyle w:val="Tabletext"/>
              <w:jc w:val="center"/>
              <w:rPr>
                <w:rFonts w:eastAsia="MS PGothic"/>
                <w:lang w:val="es-ES_tradnl"/>
              </w:rPr>
            </w:pPr>
            <w:r w:rsidRPr="007A6DF0">
              <w:rPr>
                <w:rFonts w:eastAsia="MS PGothic"/>
                <w:lang w:val="es-ES_tradnl"/>
              </w:rPr>
              <w:t>0</w:t>
            </w:r>
          </w:p>
        </w:tc>
        <w:tc>
          <w:tcPr>
            <w:tcW w:w="1100" w:type="dxa"/>
          </w:tcPr>
          <w:p w:rsidR="001F77B3" w:rsidRPr="007A6DF0" w:rsidRDefault="001F77B3" w:rsidP="008E512C">
            <w:pPr>
              <w:pStyle w:val="Tabletext"/>
              <w:jc w:val="center"/>
              <w:rPr>
                <w:rFonts w:eastAsia="MS PGothic"/>
                <w:lang w:val="es-ES_tradnl"/>
              </w:rPr>
            </w:pPr>
            <w:r w:rsidRPr="007A6DF0">
              <w:rPr>
                <w:rFonts w:eastAsia="MS PGothic"/>
                <w:lang w:val="es-ES_tradnl"/>
              </w:rPr>
              <w:t>−45</w:t>
            </w:r>
          </w:p>
        </w:tc>
      </w:tr>
      <w:tr w:rsidR="001F77B3" w:rsidRPr="007A6DF0" w:rsidTr="008E512C">
        <w:trPr>
          <w:trHeight w:val="285"/>
          <w:jc w:val="center"/>
        </w:trPr>
        <w:tc>
          <w:tcPr>
            <w:tcW w:w="1425" w:type="dxa"/>
          </w:tcPr>
          <w:p w:rsidR="001F77B3" w:rsidRPr="007A6DF0" w:rsidRDefault="001F77B3" w:rsidP="008E512C">
            <w:pPr>
              <w:pStyle w:val="Tabletext"/>
              <w:rPr>
                <w:rFonts w:eastAsia="MS PGothic"/>
                <w:lang w:val="es-ES_tradnl"/>
              </w:rPr>
            </w:pPr>
            <w:r w:rsidRPr="007A6DF0">
              <w:rPr>
                <w:rFonts w:eastAsia="MS PGothic"/>
                <w:lang w:val="es-ES_tradnl"/>
              </w:rPr>
              <w:t>Hora punta</w:t>
            </w:r>
          </w:p>
        </w:tc>
        <w:tc>
          <w:tcPr>
            <w:tcW w:w="1090" w:type="dxa"/>
          </w:tcPr>
          <w:p w:rsidR="001F77B3" w:rsidRPr="007A6DF0" w:rsidRDefault="001F77B3" w:rsidP="008E512C">
            <w:pPr>
              <w:pStyle w:val="Tabletext"/>
              <w:jc w:val="center"/>
              <w:rPr>
                <w:rFonts w:eastAsia="MS PGothic"/>
                <w:lang w:val="es-ES_tradnl"/>
              </w:rPr>
            </w:pPr>
            <w:r w:rsidRPr="007A6DF0">
              <w:rPr>
                <w:rFonts w:eastAsia="MS PGothic"/>
                <w:lang w:val="es-ES_tradnl"/>
              </w:rPr>
              <w:t>2,0</w:t>
            </w:r>
          </w:p>
        </w:tc>
        <w:tc>
          <w:tcPr>
            <w:tcW w:w="1313" w:type="dxa"/>
          </w:tcPr>
          <w:p w:rsidR="001F77B3" w:rsidRPr="007A6DF0" w:rsidRDefault="001F77B3" w:rsidP="008E512C">
            <w:pPr>
              <w:pStyle w:val="Tabletext"/>
              <w:jc w:val="center"/>
              <w:rPr>
                <w:rFonts w:eastAsia="MS PGothic"/>
                <w:lang w:val="es-ES_tradnl"/>
              </w:rPr>
            </w:pPr>
            <w:r w:rsidRPr="007A6DF0">
              <w:rPr>
                <w:rFonts w:eastAsia="MS PGothic"/>
                <w:lang w:val="es-ES_tradnl"/>
              </w:rPr>
              <w:t>0,065</w:t>
            </w:r>
          </w:p>
        </w:tc>
        <w:tc>
          <w:tcPr>
            <w:tcW w:w="837" w:type="dxa"/>
          </w:tcPr>
          <w:p w:rsidR="001F77B3" w:rsidRPr="007A6DF0" w:rsidRDefault="001F77B3" w:rsidP="008E512C">
            <w:pPr>
              <w:pStyle w:val="Tabletext"/>
              <w:jc w:val="center"/>
              <w:rPr>
                <w:rFonts w:eastAsia="MS PGothic"/>
                <w:lang w:val="es-ES_tradnl"/>
              </w:rPr>
            </w:pPr>
            <w:r w:rsidRPr="007A6DF0">
              <w:rPr>
                <w:rFonts w:eastAsia="MS PGothic"/>
                <w:lang w:val="es-ES_tradnl"/>
              </w:rPr>
              <w:t>–5</w:t>
            </w:r>
          </w:p>
        </w:tc>
        <w:tc>
          <w:tcPr>
            <w:tcW w:w="902" w:type="dxa"/>
          </w:tcPr>
          <w:p w:rsidR="001F77B3" w:rsidRPr="007A6DF0" w:rsidRDefault="001F77B3" w:rsidP="008E512C">
            <w:pPr>
              <w:pStyle w:val="Tabletext"/>
              <w:jc w:val="center"/>
              <w:rPr>
                <w:rFonts w:eastAsia="MS PGothic"/>
                <w:lang w:val="es-ES_tradnl"/>
              </w:rPr>
            </w:pPr>
            <w:r w:rsidRPr="007A6DF0">
              <w:rPr>
                <w:rFonts w:eastAsia="MS PGothic"/>
                <w:lang w:val="es-ES_tradnl"/>
              </w:rPr>
              <w:t>3,4</w:t>
            </w:r>
          </w:p>
        </w:tc>
        <w:tc>
          <w:tcPr>
            <w:tcW w:w="1238" w:type="dxa"/>
          </w:tcPr>
          <w:p w:rsidR="001F77B3" w:rsidRPr="007A6DF0" w:rsidRDefault="001F77B3" w:rsidP="008E512C">
            <w:pPr>
              <w:pStyle w:val="Tabletext"/>
              <w:jc w:val="center"/>
              <w:rPr>
                <w:rFonts w:eastAsia="MS PGothic"/>
                <w:lang w:val="es-ES_tradnl"/>
              </w:rPr>
            </w:pPr>
            <w:r w:rsidRPr="007A6DF0">
              <w:rPr>
                <w:rFonts w:eastAsia="MS PGothic"/>
                <w:lang w:val="es-ES_tradnl"/>
              </w:rPr>
              <w:t>0,065</w:t>
            </w:r>
          </w:p>
        </w:tc>
        <w:tc>
          <w:tcPr>
            <w:tcW w:w="1100" w:type="dxa"/>
          </w:tcPr>
          <w:p w:rsidR="001F77B3" w:rsidRPr="007A6DF0" w:rsidRDefault="001F77B3" w:rsidP="008E512C">
            <w:pPr>
              <w:pStyle w:val="Tabletext"/>
              <w:jc w:val="center"/>
              <w:rPr>
                <w:rFonts w:eastAsia="MS PGothic"/>
                <w:lang w:val="es-ES_tradnl"/>
              </w:rPr>
            </w:pPr>
            <w:r w:rsidRPr="007A6DF0">
              <w:rPr>
                <w:rFonts w:eastAsia="MS PGothic"/>
                <w:lang w:val="es-ES_tradnl"/>
              </w:rPr>
              <w:t>−45</w:t>
            </w:r>
          </w:p>
        </w:tc>
      </w:tr>
    </w:tbl>
    <w:p w:rsidR="001F77B3" w:rsidRPr="007A6DF0" w:rsidRDefault="001F77B3" w:rsidP="001F77B3">
      <w:pPr>
        <w:pStyle w:val="Tablefin"/>
        <w:rPr>
          <w:lang w:val="es-ES_tradnl"/>
        </w:rPr>
      </w:pPr>
    </w:p>
    <w:p w:rsidR="001F77B3" w:rsidRPr="007A6DF0" w:rsidRDefault="001F77B3" w:rsidP="001F77B3">
      <w:pPr>
        <w:pStyle w:val="Heading1"/>
        <w:rPr>
          <w:lang w:val="es-ES_tradnl"/>
        </w:rPr>
      </w:pPr>
      <w:r w:rsidRPr="007A6DF0">
        <w:rPr>
          <w:lang w:val="es-ES_tradnl"/>
        </w:rPr>
        <w:t>9</w:t>
      </w:r>
      <w:r w:rsidRPr="007A6DF0">
        <w:rPr>
          <w:lang w:val="es-ES_tradnl"/>
        </w:rPr>
        <w:tab/>
        <w:t>Modelos de dispersión angulas</w:t>
      </w:r>
    </w:p>
    <w:p w:rsidR="001F77B3" w:rsidRPr="007A6DF0" w:rsidRDefault="001F77B3" w:rsidP="001F77B3">
      <w:pPr>
        <w:pStyle w:val="Heading2"/>
        <w:rPr>
          <w:lang w:val="es-ES_tradnl"/>
        </w:rPr>
      </w:pPr>
      <w:r w:rsidRPr="007A6DF0">
        <w:rPr>
          <w:lang w:val="es-ES_tradnl"/>
        </w:rPr>
        <w:t>9.1</w:t>
      </w:r>
      <w:r w:rsidRPr="007A6DF0">
        <w:rPr>
          <w:lang w:val="es-ES_tradnl"/>
        </w:rPr>
        <w:tab/>
        <w:t>Modelo de conglomerado</w:t>
      </w:r>
    </w:p>
    <w:p w:rsidR="001F77B3" w:rsidRPr="007A6DF0" w:rsidRDefault="001F77B3" w:rsidP="001F77B3">
      <w:pPr>
        <w:rPr>
          <w:lang w:val="es-ES_tradnl" w:eastAsia="ja-JP"/>
        </w:rPr>
      </w:pPr>
      <w:r w:rsidRPr="007A6DF0">
        <w:rPr>
          <w:lang w:val="es-ES_tradnl"/>
        </w:rPr>
        <w:t xml:space="preserve">En un modelo de propagación para sistemas de banda ancha que utilizan sistemas de antenas, se puede aplicar un modelo de conglomerado que combina las distribuciones temporal y angular. El conglomerado abarca las ondas dispersas que llegan al receptor dentro de un ángulo y un tiempo limitado, según se ilustra en la Fig. 1. En el § 4 se indican las características de retardo temporal. La distribución del ángulo de llegada del conglomerado </w:t>
      </w:r>
      <w:r w:rsidRPr="007A6DF0">
        <w:rPr>
          <w:rFonts w:ascii="Symbol" w:hAnsi="Symbol"/>
          <w:iCs/>
          <w:lang w:val="es-ES_tradnl" w:eastAsia="ja-JP"/>
        </w:rPr>
        <w:t></w:t>
      </w:r>
      <w:r w:rsidRPr="007A6DF0">
        <w:rPr>
          <w:i/>
          <w:iCs/>
          <w:szCs w:val="24"/>
          <w:vertAlign w:val="subscript"/>
          <w:lang w:val="es-ES_tradnl" w:eastAsia="ja-JP"/>
        </w:rPr>
        <w:t>i</w:t>
      </w:r>
      <w:r w:rsidRPr="007A6DF0">
        <w:rPr>
          <w:szCs w:val="24"/>
          <w:vertAlign w:val="subscript"/>
          <w:lang w:val="es-ES_tradnl" w:eastAsia="ja-JP"/>
        </w:rPr>
        <w:t xml:space="preserve"> </w:t>
      </w:r>
      <w:r w:rsidRPr="007A6DF0">
        <w:rPr>
          <w:szCs w:val="24"/>
          <w:lang w:val="es-ES_tradnl" w:eastAsia="ja-JP"/>
        </w:rPr>
        <w:t>basado en el ángulo de referencia (que se podría elegir arbitrariamente) para un entorno de interiores se expresa aproximadamente mediante una distribución uniforme en [</w:t>
      </w:r>
      <w:r w:rsidRPr="007A6DF0">
        <w:rPr>
          <w:lang w:val="es-ES_tradnl" w:eastAsia="ja-JP"/>
        </w:rPr>
        <w:t>0, 2</w:t>
      </w:r>
      <w:r w:rsidRPr="007A6DF0">
        <w:rPr>
          <w:lang w:val="es-ES_tradnl" w:eastAsia="ja-JP"/>
        </w:rPr>
        <w:sym w:font="Symbol" w:char="F070"/>
      </w:r>
      <w:r w:rsidRPr="007A6DF0">
        <w:rPr>
          <w:lang w:val="es-ES_tradnl" w:eastAsia="ja-JP"/>
        </w:rPr>
        <w:t>].</w:t>
      </w:r>
    </w:p>
    <w:p w:rsidR="001F77B3" w:rsidRPr="007A6DF0" w:rsidRDefault="001F77B3" w:rsidP="001F77B3">
      <w:pPr>
        <w:pStyle w:val="FigureNo"/>
        <w:rPr>
          <w:lang w:val="es-ES_tradnl" w:eastAsia="ja-JP"/>
        </w:rPr>
      </w:pPr>
      <w:r w:rsidRPr="007A6DF0">
        <w:rPr>
          <w:lang w:val="es-ES_tradnl" w:eastAsia="ja-JP"/>
        </w:rPr>
        <w:t>figura 1</w:t>
      </w:r>
    </w:p>
    <w:p w:rsidR="001F77B3" w:rsidRPr="007A6DF0" w:rsidRDefault="001F77B3" w:rsidP="001F77B3">
      <w:pPr>
        <w:pStyle w:val="Figuretitle"/>
        <w:rPr>
          <w:lang w:val="es-ES_tradnl"/>
        </w:rPr>
      </w:pPr>
      <w:r w:rsidRPr="007A6DF0">
        <w:rPr>
          <w:lang w:val="es-ES_tradnl"/>
        </w:rPr>
        <w:t>Imagen de un modelo de conglomerado</w:t>
      </w:r>
    </w:p>
    <w:p w:rsidR="001F77B3" w:rsidRPr="007A6DF0" w:rsidRDefault="00F668A3" w:rsidP="001F77B3">
      <w:pPr>
        <w:pStyle w:val="Figure"/>
        <w:rPr>
          <w:lang w:val="es-ES_tradnl"/>
        </w:rPr>
      </w:pPr>
      <w:r w:rsidRPr="007A6DF0">
        <w:rPr>
          <w:lang w:val="es-ES_tradnl"/>
        </w:rPr>
        <w:object w:dxaOrig="6772" w:dyaOrig="4003">
          <v:shape id="_x0000_i1032" type="#_x0000_t75" style="width:423.95pt;height:254.7pt" o:ole="">
            <v:imagedata r:id="rId27" o:title=""/>
          </v:shape>
          <o:OLEObject Type="Embed" ProgID="CorelDRAW.Graphic.14" ShapeID="_x0000_i1032" DrawAspect="Content" ObjectID="_1549090143" r:id="rId28"/>
        </w:object>
      </w:r>
    </w:p>
    <w:p w:rsidR="001F77B3" w:rsidRPr="007A6DF0" w:rsidRDefault="001F77B3" w:rsidP="001F77B3">
      <w:pPr>
        <w:pStyle w:val="Heading2"/>
        <w:rPr>
          <w:lang w:val="es-ES_tradnl"/>
        </w:rPr>
      </w:pPr>
      <w:r w:rsidRPr="007A6DF0">
        <w:rPr>
          <w:lang w:val="es-ES_tradnl"/>
        </w:rPr>
        <w:t>9.2</w:t>
      </w:r>
      <w:r w:rsidRPr="007A6DF0">
        <w:rPr>
          <w:lang w:val="es-ES_tradnl"/>
        </w:rPr>
        <w:tab/>
        <w:t xml:space="preserve">Distribución angular de las ondas de llegada dentro del conglomerado </w:t>
      </w:r>
      <w:r w:rsidRPr="007A6DF0">
        <w:rPr>
          <w:i/>
          <w:iCs/>
          <w:lang w:val="es-ES_tradnl"/>
        </w:rPr>
        <w:t>i</w:t>
      </w:r>
      <w:r w:rsidRPr="007A6DF0">
        <w:rPr>
          <w:lang w:val="es-ES_tradnl"/>
        </w:rPr>
        <w:t>-ésimo</w:t>
      </w:r>
    </w:p>
    <w:p w:rsidR="001F77B3" w:rsidRPr="007A6DF0" w:rsidRDefault="001F77B3" w:rsidP="001F77B3">
      <w:pPr>
        <w:rPr>
          <w:lang w:val="es-ES_tradnl"/>
        </w:rPr>
      </w:pPr>
      <w:r w:rsidRPr="007A6DF0">
        <w:rPr>
          <w:lang w:val="es-ES_tradnl" w:eastAsia="ja-JP"/>
        </w:rPr>
        <w:t>La función de densidad de probabilidad de la distribución angular de las ondas de llegada dentro de un conglomerado se expresa mediante la siguiente ecuación:</w:t>
      </w:r>
    </w:p>
    <w:p w:rsidR="001F77B3" w:rsidRPr="007A6DF0" w:rsidRDefault="001F77B3" w:rsidP="001F77B3">
      <w:pPr>
        <w:pStyle w:val="Equation"/>
        <w:rPr>
          <w:u w:val="single"/>
          <w:lang w:val="es-ES_tradnl" w:eastAsia="ja-JP"/>
        </w:rPr>
      </w:pPr>
      <w:r w:rsidRPr="007A6DF0">
        <w:rPr>
          <w:lang w:val="es-ES_tradnl"/>
        </w:rPr>
        <w:lastRenderedPageBreak/>
        <w:tab/>
      </w:r>
      <w:r w:rsidRPr="007A6DF0">
        <w:rPr>
          <w:lang w:val="es-ES_tradnl"/>
        </w:rPr>
        <w:tab/>
      </w:r>
      <w:r w:rsidRPr="007A6DF0">
        <w:rPr>
          <w:position w:val="-32"/>
          <w:lang w:val="es-ES_tradnl"/>
        </w:rPr>
        <w:object w:dxaOrig="4020" w:dyaOrig="760">
          <v:shape id="_x0000_i1033" type="#_x0000_t75" style="width:201.5pt;height:35.45pt" o:ole="">
            <v:imagedata r:id="rId29" o:title=""/>
          </v:shape>
          <o:OLEObject Type="Embed" ProgID="Equation.3" ShapeID="_x0000_i1033" DrawAspect="Content" ObjectID="_1549090144" r:id="rId30"/>
        </w:object>
      </w:r>
      <w:r w:rsidRPr="007A6DF0">
        <w:rPr>
          <w:lang w:val="es-ES_tradnl"/>
        </w:rPr>
        <w:tab/>
        <w:t>(8)</w:t>
      </w:r>
    </w:p>
    <w:p w:rsidR="001F77B3" w:rsidRPr="007A6DF0" w:rsidRDefault="001F77B3" w:rsidP="001F77B3">
      <w:pPr>
        <w:pStyle w:val="Blanc"/>
        <w:rPr>
          <w:lang w:val="es-ES_tradnl"/>
        </w:rPr>
      </w:pPr>
    </w:p>
    <w:p w:rsidR="001F77B3" w:rsidRPr="007A6DF0" w:rsidRDefault="001F77B3" w:rsidP="001F77B3">
      <w:pPr>
        <w:rPr>
          <w:lang w:val="es-ES_tradnl"/>
        </w:rPr>
      </w:pPr>
      <w:r w:rsidRPr="007A6DF0">
        <w:rPr>
          <w:lang w:val="es-ES_tradnl" w:eastAsia="ja-JP"/>
        </w:rPr>
        <w:t xml:space="preserve">siendo </w:t>
      </w:r>
      <w:r w:rsidRPr="007A6DF0">
        <w:rPr>
          <w:lang w:val="es-ES_tradnl" w:eastAsia="ja-JP"/>
        </w:rPr>
        <w:sym w:font="Symbol" w:char="F06A"/>
      </w:r>
      <w:r w:rsidRPr="007A6DF0">
        <w:rPr>
          <w:iCs/>
          <w:lang w:val="es-ES_tradnl"/>
        </w:rPr>
        <w:t xml:space="preserve"> </w:t>
      </w:r>
      <w:r w:rsidRPr="007A6DF0">
        <w:rPr>
          <w:lang w:val="es-ES_tradnl"/>
        </w:rPr>
        <w:t xml:space="preserve">el ángulo de llegada de las ondas de llegada dentro de un conglomerado en grados con referencia al ángulo de referencia y </w:t>
      </w:r>
      <w:r w:rsidRPr="007A6DF0">
        <w:rPr>
          <w:lang w:val="es-ES_tradnl"/>
        </w:rPr>
        <w:sym w:font="Symbol" w:char="F073"/>
      </w:r>
      <w:r w:rsidRPr="007A6DF0">
        <w:rPr>
          <w:vertAlign w:val="subscript"/>
          <w:lang w:val="es-ES_tradnl" w:eastAsia="ja-JP"/>
        </w:rPr>
        <w:t>i</w:t>
      </w:r>
      <w:r w:rsidRPr="007A6DF0">
        <w:rPr>
          <w:lang w:val="es-ES_tradnl"/>
        </w:rPr>
        <w:t xml:space="preserve"> la desviación normalizada de la dispersión angular (grados).</w:t>
      </w:r>
    </w:p>
    <w:p w:rsidR="001F77B3" w:rsidRPr="007A6DF0" w:rsidRDefault="001F77B3" w:rsidP="001F77B3">
      <w:pPr>
        <w:rPr>
          <w:lang w:val="es-ES_tradnl"/>
        </w:rPr>
      </w:pPr>
      <w:r w:rsidRPr="007A6DF0">
        <w:rPr>
          <w:lang w:val="es-ES_tradnl"/>
        </w:rPr>
        <w:t>En el Cuadro 9 se indican los parámetros de la dispersión angular en un entorno en interiores.</w:t>
      </w:r>
    </w:p>
    <w:p w:rsidR="001F77B3" w:rsidRPr="007A6DF0" w:rsidRDefault="001F77B3" w:rsidP="001F77B3">
      <w:pPr>
        <w:pStyle w:val="TableNo"/>
        <w:rPr>
          <w:lang w:val="es-ES_tradnl" w:eastAsia="ja-JP"/>
        </w:rPr>
      </w:pPr>
      <w:r w:rsidRPr="007A6DF0">
        <w:rPr>
          <w:lang w:val="es-ES_tradnl"/>
        </w:rPr>
        <w:t>CUADRO 9</w:t>
      </w:r>
    </w:p>
    <w:p w:rsidR="001F77B3" w:rsidRPr="007A6DF0" w:rsidRDefault="001F77B3" w:rsidP="001F77B3">
      <w:pPr>
        <w:pStyle w:val="Tabletitle"/>
        <w:rPr>
          <w:lang w:val="es-ES_tradnl"/>
        </w:rPr>
      </w:pPr>
      <w:r w:rsidRPr="007A6DF0">
        <w:rPr>
          <w:lang w:val="es-ES_tradnl"/>
        </w:rPr>
        <w:t>Parámetros de la dispersión angular en un entorno en interiores</w:t>
      </w: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1E0" w:firstRow="1" w:lastRow="1" w:firstColumn="1" w:lastColumn="1" w:noHBand="0" w:noVBand="0"/>
      </w:tblPr>
      <w:tblGrid>
        <w:gridCol w:w="1928"/>
        <w:gridCol w:w="1928"/>
        <w:gridCol w:w="1928"/>
        <w:gridCol w:w="1928"/>
        <w:gridCol w:w="1928"/>
      </w:tblGrid>
      <w:tr w:rsidR="001F77B3" w:rsidRPr="007A6DF0" w:rsidTr="008E512C">
        <w:trPr>
          <w:jc w:val="center"/>
        </w:trPr>
        <w:tc>
          <w:tcPr>
            <w:tcW w:w="1928" w:type="dxa"/>
            <w:vMerge w:val="restart"/>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head"/>
              <w:rPr>
                <w:lang w:val="es-ES_tradnl"/>
              </w:rPr>
            </w:pP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head"/>
              <w:rPr>
                <w:bCs/>
                <w:lang w:val="es-ES_tradnl"/>
              </w:rPr>
            </w:pPr>
            <w:r w:rsidRPr="007A6DF0">
              <w:rPr>
                <w:bCs/>
                <w:lang w:val="es-ES_tradnl"/>
              </w:rPr>
              <w:t>Visibilidad directa</w:t>
            </w: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head"/>
              <w:rPr>
                <w:bCs/>
                <w:lang w:val="es-ES_tradnl"/>
              </w:rPr>
            </w:pPr>
            <w:r w:rsidRPr="007A6DF0">
              <w:rPr>
                <w:bCs/>
                <w:lang w:val="es-ES_tradnl"/>
              </w:rPr>
              <w:t>Sin visibilidad directa</w:t>
            </w:r>
          </w:p>
        </w:tc>
      </w:tr>
      <w:tr w:rsidR="001F77B3" w:rsidRPr="007A6DF0" w:rsidTr="008E512C">
        <w:trPr>
          <w:jc w:val="center"/>
        </w:trPr>
        <w:tc>
          <w:tcPr>
            <w:tcW w:w="1928" w:type="dxa"/>
            <w:vMerge/>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head"/>
              <w:rPr>
                <w:lang w:val="es-ES_tradnl"/>
              </w:rPr>
            </w:pP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head"/>
              <w:rPr>
                <w:bCs/>
                <w:lang w:val="es-ES_tradnl"/>
              </w:rPr>
            </w:pPr>
            <w:r w:rsidRPr="007A6DF0">
              <w:rPr>
                <w:bCs/>
                <w:lang w:val="es-ES_tradnl"/>
              </w:rPr>
              <w:t>Media</w:t>
            </w:r>
            <w:r w:rsidRPr="007A6DF0">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head"/>
              <w:rPr>
                <w:bCs/>
                <w:lang w:val="es-ES_tradnl"/>
              </w:rPr>
            </w:pPr>
            <w:r w:rsidRPr="007A6DF0">
              <w:rPr>
                <w:bCs/>
                <w:lang w:val="es-ES_tradnl"/>
              </w:rPr>
              <w:t>Gama</w:t>
            </w:r>
            <w:r w:rsidRPr="007A6DF0">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head"/>
              <w:rPr>
                <w:bCs/>
                <w:lang w:val="es-ES_tradnl"/>
              </w:rPr>
            </w:pPr>
            <w:r w:rsidRPr="007A6DF0">
              <w:rPr>
                <w:bCs/>
                <w:lang w:val="es-ES_tradnl"/>
              </w:rPr>
              <w:t>Media</w:t>
            </w:r>
            <w:r w:rsidRPr="007A6DF0">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head"/>
              <w:rPr>
                <w:bCs/>
                <w:lang w:val="es-ES_tradnl"/>
              </w:rPr>
            </w:pPr>
            <w:r w:rsidRPr="007A6DF0">
              <w:rPr>
                <w:bCs/>
                <w:lang w:val="es-ES_tradnl"/>
              </w:rPr>
              <w:t>Gama</w:t>
            </w:r>
            <w:r w:rsidRPr="007A6DF0">
              <w:rPr>
                <w:bCs/>
                <w:lang w:val="es-ES_tradnl"/>
              </w:rPr>
              <w:br/>
              <w:t>(grados)</w:t>
            </w:r>
          </w:p>
        </w:tc>
      </w:tr>
      <w:tr w:rsidR="001F77B3" w:rsidRPr="007A6DF0" w:rsidTr="008E512C">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rPr>
                <w:lang w:val="es-ES_tradnl"/>
              </w:rPr>
            </w:pPr>
            <w:r w:rsidRPr="007A6DF0">
              <w:rPr>
                <w:lang w:val="es-ES_tradnl"/>
              </w:rPr>
              <w:t>Sala</w:t>
            </w:r>
          </w:p>
        </w:tc>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jc w:val="center"/>
              <w:rPr>
                <w:lang w:val="es-ES_tradnl"/>
              </w:rPr>
            </w:pPr>
            <w:r w:rsidRPr="007A6DF0">
              <w:rPr>
                <w:lang w:val="es-ES_tradnl"/>
              </w:rPr>
              <w:t>23,7</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21,8-25,6</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w:t>
            </w:r>
          </w:p>
        </w:tc>
      </w:tr>
      <w:tr w:rsidR="001F77B3" w:rsidRPr="007A6DF0" w:rsidTr="008E512C">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rPr>
                <w:lang w:val="es-ES_tradnl"/>
              </w:rPr>
            </w:pPr>
            <w:r w:rsidRPr="007A6DF0">
              <w:rPr>
                <w:lang w:val="es-ES_tradnl"/>
              </w:rPr>
              <w:t>Oficina</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lang w:val="es-ES_tradnl"/>
              </w:rPr>
            </w:pPr>
            <w:r w:rsidRPr="007A6DF0">
              <w:rPr>
                <w:lang w:val="es-ES_tradnl"/>
              </w:rPr>
              <w:t>14,8</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3,93-28,8</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lang w:val="es-ES_tradnl"/>
              </w:rPr>
            </w:pPr>
            <w:r w:rsidRPr="007A6DF0">
              <w:rPr>
                <w:lang w:val="es-ES_tradnl"/>
              </w:rPr>
              <w:t>54,0</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54</w:t>
            </w:r>
          </w:p>
        </w:tc>
      </w:tr>
      <w:tr w:rsidR="001F77B3" w:rsidRPr="007A6DF0" w:rsidTr="008E512C">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rPr>
                <w:lang w:val="es-ES_tradnl"/>
              </w:rPr>
            </w:pPr>
            <w:r w:rsidRPr="007A6DF0">
              <w:rPr>
                <w:lang w:val="es-ES_tradnl"/>
              </w:rPr>
              <w:t>Hogar</w:t>
            </w:r>
          </w:p>
        </w:tc>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jc w:val="center"/>
              <w:rPr>
                <w:lang w:val="es-ES_tradnl"/>
              </w:rPr>
            </w:pPr>
            <w:r w:rsidRPr="007A6DF0">
              <w:rPr>
                <w:lang w:val="es-ES_tradnl"/>
              </w:rPr>
              <w:t>21,4</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lang w:val="es-ES_tradnl"/>
              </w:rPr>
            </w:pPr>
            <w:r w:rsidRPr="007A6DF0">
              <w:rPr>
                <w:lang w:val="es-ES_tradnl"/>
              </w:rPr>
              <w:t>6,89-36</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lang w:val="es-ES_tradnl"/>
              </w:rPr>
            </w:pPr>
            <w:r w:rsidRPr="007A6DF0">
              <w:rPr>
                <w:lang w:val="es-ES_tradnl"/>
              </w:rPr>
              <w:t>25,5</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4,27-46,8</w:t>
            </w:r>
          </w:p>
        </w:tc>
      </w:tr>
      <w:tr w:rsidR="001F77B3" w:rsidRPr="007A6DF0" w:rsidTr="008E512C">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rPr>
                <w:lang w:val="es-ES_tradnl"/>
              </w:rPr>
            </w:pPr>
            <w:r w:rsidRPr="007A6DF0">
              <w:rPr>
                <w:lang w:val="es-ES_tradnl"/>
              </w:rPr>
              <w:t>Corredor</w:t>
            </w:r>
          </w:p>
        </w:tc>
        <w:tc>
          <w:tcPr>
            <w:tcW w:w="1928" w:type="dxa"/>
            <w:tcBorders>
              <w:top w:val="single" w:sz="2" w:space="0" w:color="auto"/>
              <w:left w:val="single" w:sz="2" w:space="0" w:color="auto"/>
              <w:bottom w:val="single" w:sz="2" w:space="0" w:color="auto"/>
              <w:right w:val="single" w:sz="2" w:space="0" w:color="auto"/>
            </w:tcBorders>
            <w:vAlign w:val="center"/>
          </w:tcPr>
          <w:p w:rsidR="001F77B3" w:rsidRPr="007A6DF0" w:rsidRDefault="001F77B3" w:rsidP="008E512C">
            <w:pPr>
              <w:pStyle w:val="Tabletext"/>
              <w:jc w:val="center"/>
              <w:rPr>
                <w:lang w:val="es-ES_tradnl"/>
              </w:rPr>
            </w:pPr>
            <w:r w:rsidRPr="007A6DF0">
              <w:rPr>
                <w:lang w:val="es-ES_tradnl"/>
              </w:rPr>
              <w:t>5</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5</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lang w:val="es-ES_tradnl"/>
              </w:rPr>
            </w:pPr>
            <w:r w:rsidRPr="007A6DF0">
              <w:rPr>
                <w:lang w:val="es-ES_tradnl"/>
              </w:rPr>
              <w:t>14,76</w:t>
            </w:r>
          </w:p>
        </w:tc>
        <w:tc>
          <w:tcPr>
            <w:tcW w:w="1928" w:type="dxa"/>
            <w:tcBorders>
              <w:top w:val="single" w:sz="2" w:space="0" w:color="auto"/>
              <w:left w:val="single" w:sz="2" w:space="0" w:color="auto"/>
              <w:bottom w:val="single" w:sz="2" w:space="0" w:color="auto"/>
              <w:right w:val="single" w:sz="2" w:space="0" w:color="auto"/>
            </w:tcBorders>
          </w:tcPr>
          <w:p w:rsidR="001F77B3" w:rsidRPr="007A6DF0" w:rsidRDefault="001F77B3" w:rsidP="008E512C">
            <w:pPr>
              <w:pStyle w:val="Tabletext"/>
              <w:jc w:val="center"/>
              <w:rPr>
                <w:u w:val="single"/>
                <w:lang w:val="es-ES_tradnl"/>
              </w:rPr>
            </w:pPr>
            <w:r w:rsidRPr="007A6DF0">
              <w:rPr>
                <w:lang w:val="es-ES_tradnl"/>
              </w:rPr>
              <w:t>2-37</w:t>
            </w:r>
          </w:p>
        </w:tc>
      </w:tr>
    </w:tbl>
    <w:p w:rsidR="001F77B3" w:rsidRPr="007A6DF0" w:rsidRDefault="001F77B3" w:rsidP="001F77B3">
      <w:pPr>
        <w:pStyle w:val="Tablefin"/>
        <w:rPr>
          <w:lang w:val="es-ES_tradnl"/>
        </w:rPr>
      </w:pPr>
    </w:p>
    <w:p w:rsidR="001F77B3" w:rsidRPr="007A6DF0" w:rsidRDefault="001F77B3" w:rsidP="001F77B3">
      <w:pPr>
        <w:keepNext/>
        <w:keepLines/>
        <w:rPr>
          <w:b/>
          <w:bCs/>
          <w:lang w:val="es-ES_tradnl"/>
        </w:rPr>
      </w:pPr>
      <w:r w:rsidRPr="007A6DF0">
        <w:rPr>
          <w:b/>
          <w:bCs/>
          <w:lang w:val="es-ES_tradnl"/>
        </w:rPr>
        <w:t>9.3</w:t>
      </w:r>
      <w:r w:rsidRPr="007A6DF0">
        <w:rPr>
          <w:b/>
          <w:bCs/>
          <w:lang w:val="es-ES_tradnl"/>
        </w:rPr>
        <w:tab/>
        <w:t xml:space="preserve">Dispersión angular de doble dirección </w:t>
      </w:r>
    </w:p>
    <w:p w:rsidR="001F77B3" w:rsidRPr="007A6DF0" w:rsidRDefault="001F77B3" w:rsidP="001F77B3">
      <w:pPr>
        <w:keepNext/>
        <w:keepLines/>
        <w:rPr>
          <w:lang w:val="es-ES_tradnl"/>
        </w:rPr>
      </w:pPr>
      <w:r w:rsidRPr="007A6DF0">
        <w:rPr>
          <w:lang w:val="es-ES_tradnl"/>
        </w:rPr>
        <w:t xml:space="preserve">En un modelo de propagación para comunicación de banda ancha con múltiples sistemas de antenas en el transmisor y el receptor, se puede aplicar una distribución angular en las estaciones transmisoras y receptoras. En el Cuadro 10 figura el valor eficaz promedio de la dispersión angular en un pasillo interno y en un entorno de oficinas para un umbral de 20 dB, a partir de mediciones con un ancho de banda de 240 MHz en la frecuencia 2,38 GHz. </w:t>
      </w:r>
    </w:p>
    <w:p w:rsidR="001F77B3" w:rsidRPr="007A6DF0" w:rsidRDefault="001F77B3" w:rsidP="001F77B3">
      <w:pPr>
        <w:pStyle w:val="TableNo"/>
        <w:rPr>
          <w:kern w:val="2"/>
          <w:lang w:val="es-ES_tradnl"/>
        </w:rPr>
      </w:pPr>
      <w:r w:rsidRPr="007A6DF0">
        <w:rPr>
          <w:kern w:val="2"/>
          <w:lang w:val="es-ES_tradnl"/>
        </w:rPr>
        <w:t>CUADRO 10</w:t>
      </w:r>
    </w:p>
    <w:p w:rsidR="001F77B3" w:rsidRPr="007A6DF0" w:rsidRDefault="001F77B3" w:rsidP="001F77B3">
      <w:pPr>
        <w:pStyle w:val="Tabletitle"/>
        <w:rPr>
          <w:lang w:val="es-ES_tradnl"/>
        </w:rPr>
      </w:pPr>
      <w:r w:rsidRPr="007A6DF0">
        <w:rPr>
          <w:lang w:val="es-ES_tradnl"/>
        </w:rPr>
        <w:t>Dispersión angular de doble dirección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51"/>
        <w:gridCol w:w="1874"/>
        <w:gridCol w:w="1775"/>
        <w:gridCol w:w="1874"/>
      </w:tblGrid>
      <w:tr w:rsidR="001F77B3" w:rsidRPr="00297D25" w:rsidTr="008E512C">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1F77B3" w:rsidRPr="007A6DF0" w:rsidRDefault="001F77B3" w:rsidP="008E512C">
            <w:pPr>
              <w:pStyle w:val="Tablehead"/>
              <w:rPr>
                <w:lang w:val="es-ES_tradnl"/>
              </w:rPr>
            </w:pPr>
          </w:p>
        </w:tc>
        <w:tc>
          <w:tcPr>
            <w:tcW w:w="1851"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Cs w:val="22"/>
                <w:lang w:val="es-ES_tradnl" w:eastAsia="ja-JP"/>
              </w:rPr>
            </w:pPr>
            <w:r w:rsidRPr="007A6DF0">
              <w:rPr>
                <w:b/>
                <w:bCs/>
                <w:sz w:val="22"/>
                <w:szCs w:val="22"/>
                <w:lang w:val="es-ES_tradnl"/>
              </w:rPr>
              <w:t>Altura estación 1 </w:t>
            </w:r>
            <w:r w:rsidRPr="007A6DF0">
              <w:rPr>
                <w:b/>
                <w:bCs/>
                <w:sz w:val="22"/>
                <w:szCs w:val="22"/>
                <w:lang w:val="es-ES_tradnl" w:eastAsia="ja-JP"/>
              </w:rP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Cs w:val="22"/>
                <w:lang w:val="es-ES_tradnl"/>
              </w:rPr>
            </w:pPr>
            <w:r w:rsidRPr="007A6DF0">
              <w:rPr>
                <w:b/>
                <w:bCs/>
                <w:sz w:val="22"/>
                <w:szCs w:val="22"/>
                <w:lang w:val="es-ES_tradnl" w:eastAsia="ja-JP"/>
              </w:rPr>
              <w:t xml:space="preserve">Valor eficaz de la dispersión angular en la estación </w:t>
            </w:r>
            <w:r w:rsidRPr="007A6DF0">
              <w:rPr>
                <w:b/>
                <w:bCs/>
                <w:sz w:val="22"/>
                <w:szCs w:val="22"/>
                <w:lang w:val="es-ES_tradnl"/>
              </w:rPr>
              <w:t>1 (grados)</w:t>
            </w:r>
          </w:p>
        </w:tc>
        <w:tc>
          <w:tcPr>
            <w:tcW w:w="1775"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lang w:val="es-ES_tradnl" w:eastAsia="ja-JP"/>
              </w:rPr>
            </w:pPr>
            <w:r w:rsidRPr="007A6DF0">
              <w:rPr>
                <w:b/>
                <w:bCs/>
                <w:sz w:val="22"/>
                <w:szCs w:val="22"/>
                <w:lang w:val="es-ES_tradnl"/>
              </w:rPr>
              <w:t xml:space="preserve">Altura estación 2 </w:t>
            </w:r>
            <w:r w:rsidRPr="007A6DF0">
              <w:rPr>
                <w:b/>
                <w:bCs/>
                <w:sz w:val="22"/>
                <w:szCs w:val="22"/>
                <w:lang w:val="es-ES_tradnl" w:eastAsia="ja-JP"/>
              </w:rP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lang w:val="es-ES_tradnl"/>
              </w:rPr>
            </w:pPr>
            <w:r w:rsidRPr="007A6DF0">
              <w:rPr>
                <w:b/>
                <w:bCs/>
                <w:sz w:val="22"/>
                <w:szCs w:val="22"/>
                <w:lang w:val="es-ES_tradnl" w:eastAsia="ja-JP"/>
              </w:rPr>
              <w:t xml:space="preserve">Valor eficaz de la dispersión angular en la estación 2 </w:t>
            </w:r>
            <w:r w:rsidRPr="007A6DF0">
              <w:rPr>
                <w:b/>
                <w:bCs/>
                <w:sz w:val="22"/>
                <w:szCs w:val="22"/>
                <w:lang w:val="es-ES_tradnl"/>
              </w:rPr>
              <w:t>(grados</w:t>
            </w:r>
            <w:r w:rsidRPr="007A6DF0">
              <w:rPr>
                <w:lang w:val="es-ES_tradnl"/>
              </w:rPr>
              <w:t>)</w:t>
            </w:r>
          </w:p>
        </w:tc>
      </w:tr>
      <w:tr w:rsidR="001F77B3" w:rsidRPr="007A6DF0" w:rsidTr="008E512C">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s-ES_tradnl"/>
              </w:rPr>
            </w:pPr>
            <w:r w:rsidRPr="007A6DF0">
              <w:rPr>
                <w:lang w:val="es-ES_tradnl"/>
              </w:rPr>
              <w:t>Pasillo y oficina</w:t>
            </w:r>
          </w:p>
        </w:tc>
        <w:tc>
          <w:tcPr>
            <w:tcW w:w="1851"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text"/>
              <w:jc w:val="center"/>
              <w:rPr>
                <w:lang w:val="es-ES_tradnl" w:eastAsia="ja-JP"/>
              </w:rPr>
            </w:pPr>
            <w:r w:rsidRPr="007A6DF0">
              <w:rPr>
                <w:lang w:val="es-ES_tradnl"/>
              </w:rPr>
              <w:t>1,9</w:t>
            </w:r>
          </w:p>
        </w:tc>
        <w:tc>
          <w:tcPr>
            <w:tcW w:w="1874"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text"/>
              <w:jc w:val="center"/>
              <w:rPr>
                <w:lang w:val="es-ES_tradnl"/>
              </w:rPr>
            </w:pPr>
            <w:r w:rsidRPr="007A6DF0">
              <w:rPr>
                <w:lang w:val="es-ES_tradnl"/>
              </w:rPr>
              <w:t>68,5</w:t>
            </w:r>
          </w:p>
        </w:tc>
        <w:tc>
          <w:tcPr>
            <w:tcW w:w="1775"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text"/>
              <w:jc w:val="center"/>
              <w:rPr>
                <w:lang w:val="es-ES_tradnl" w:eastAsia="ja-JP"/>
              </w:rPr>
            </w:pPr>
            <w:r w:rsidRPr="007A6DF0">
              <w:rPr>
                <w:lang w:val="es-ES_tradnl"/>
              </w:rPr>
              <w:t>1,7</w:t>
            </w:r>
          </w:p>
        </w:tc>
        <w:tc>
          <w:tcPr>
            <w:tcW w:w="1874" w:type="dxa"/>
            <w:tcBorders>
              <w:top w:val="single" w:sz="4" w:space="0" w:color="auto"/>
              <w:left w:val="single" w:sz="4" w:space="0" w:color="auto"/>
              <w:bottom w:val="single" w:sz="4" w:space="0" w:color="auto"/>
              <w:right w:val="single" w:sz="4" w:space="0" w:color="auto"/>
            </w:tcBorders>
            <w:vAlign w:val="center"/>
            <w:hideMark/>
          </w:tcPr>
          <w:p w:rsidR="001F77B3" w:rsidRPr="007A6DF0" w:rsidRDefault="001F77B3" w:rsidP="008E512C">
            <w:pPr>
              <w:pStyle w:val="Tabletext"/>
              <w:jc w:val="center"/>
              <w:rPr>
                <w:lang w:val="es-ES_tradnl"/>
              </w:rPr>
            </w:pPr>
            <w:r w:rsidRPr="007A6DF0">
              <w:rPr>
                <w:lang w:val="es-ES_tradnl"/>
              </w:rPr>
              <w:t>69,7</w:t>
            </w:r>
          </w:p>
        </w:tc>
      </w:tr>
    </w:tbl>
    <w:p w:rsidR="001F77B3" w:rsidRPr="007A6DF0" w:rsidRDefault="001F77B3" w:rsidP="001F77B3">
      <w:pPr>
        <w:pStyle w:val="Tablefin"/>
        <w:rPr>
          <w:lang w:val="es-ES_tradnl"/>
        </w:rPr>
      </w:pPr>
    </w:p>
    <w:p w:rsidR="001F77B3" w:rsidRPr="007A6DF0" w:rsidRDefault="001F77B3" w:rsidP="001F77B3">
      <w:pPr>
        <w:pStyle w:val="Heading1"/>
        <w:rPr>
          <w:lang w:val="es-ES_tradnl"/>
        </w:rPr>
      </w:pPr>
      <w:bookmarkStart w:id="40" w:name="_Toc108941599"/>
      <w:r w:rsidRPr="007A6DF0">
        <w:rPr>
          <w:lang w:val="es-ES_tradnl" w:eastAsia="ja-JP"/>
        </w:rPr>
        <w:t>10</w:t>
      </w:r>
      <w:r w:rsidRPr="007A6DF0">
        <w:rPr>
          <w:lang w:val="es-ES_tradnl"/>
        </w:rPr>
        <w:tab/>
        <w:t xml:space="preserve">Modelo estadístico en caso de utilización estática </w:t>
      </w:r>
    </w:p>
    <w:p w:rsidR="001F77B3" w:rsidRPr="007A6DF0" w:rsidRDefault="001F77B3" w:rsidP="001F77B3">
      <w:pPr>
        <w:rPr>
          <w:lang w:val="es-ES_tradnl"/>
        </w:rPr>
      </w:pPr>
      <w:r w:rsidRPr="007A6DF0">
        <w:rPr>
          <w:lang w:val="es-ES_tradnl"/>
        </w:rPr>
        <w:t>Cuando los terminales inalámbricos, tales como teléfonos celulares y WLAN, se utilizan en interiores, su posición suele ser estática. En este caso, el terminal inalámbrico no se mueve, pero el entorno que lo rodea cambia debido al movimiento de objetos que bloquean las señales, como por ejemplo personas. Para calcular con precisión la calidad de la comunicación en este entorno proporcionamos un modelo de canal para condiciones estáticas en interiores, que presenta las características estadísticas de la función de densidad de probabilidad (FDP) y la función de autocorrelación de la variación del nivel recibido al mismo tiempo.</w:t>
      </w:r>
    </w:p>
    <w:p w:rsidR="001F77B3" w:rsidRPr="007A6DF0" w:rsidRDefault="001F77B3" w:rsidP="001F77B3">
      <w:pPr>
        <w:rPr>
          <w:lang w:val="es-ES_tradnl" w:eastAsia="ja-JP"/>
        </w:rPr>
      </w:pPr>
      <w:r w:rsidRPr="007A6DF0">
        <w:rPr>
          <w:lang w:val="es-ES_tradnl" w:eastAsia="ja-JP"/>
        </w:rPr>
        <w:t>Se analizan los modelos de canales para entornos sin y con visibilidad directa en interiores.</w:t>
      </w:r>
    </w:p>
    <w:p w:rsidR="001F77B3" w:rsidRPr="007A6DF0" w:rsidRDefault="001F77B3" w:rsidP="001F77B3">
      <w:pPr>
        <w:pStyle w:val="Heading2"/>
        <w:rPr>
          <w:color w:val="000000"/>
          <w:lang w:val="es-ES_tradnl"/>
        </w:rPr>
      </w:pPr>
      <w:r w:rsidRPr="007A6DF0">
        <w:rPr>
          <w:color w:val="000000"/>
          <w:lang w:val="es-ES_tradnl" w:eastAsia="ja-JP"/>
        </w:rPr>
        <w:lastRenderedPageBreak/>
        <w:t>10</w:t>
      </w:r>
      <w:r w:rsidRPr="007A6DF0">
        <w:rPr>
          <w:color w:val="000000"/>
          <w:lang w:val="es-ES_tradnl"/>
        </w:rPr>
        <w:t>.1</w:t>
      </w:r>
      <w:r w:rsidRPr="007A6DF0">
        <w:rPr>
          <w:color w:val="000000"/>
          <w:lang w:val="es-ES_tradnl"/>
        </w:rPr>
        <w:tab/>
        <w:t>Definición</w:t>
      </w:r>
    </w:p>
    <w:p w:rsidR="001F77B3" w:rsidRPr="007A6DF0" w:rsidRDefault="001F77B3" w:rsidP="001F77B3">
      <w:pPr>
        <w:pStyle w:val="Equationlegend"/>
        <w:rPr>
          <w:lang w:val="es-ES_tradnl"/>
        </w:rPr>
      </w:pPr>
      <w:r w:rsidRPr="007A6DF0">
        <w:rPr>
          <w:i/>
          <w:iCs/>
          <w:lang w:val="es-ES_tradnl" w:eastAsia="ja-JP"/>
        </w:rPr>
        <w:tab/>
      </w:r>
      <w:r w:rsidRPr="007A6DF0">
        <w:rPr>
          <w:i/>
          <w:iCs/>
          <w:lang w:val="es-ES_tradnl"/>
        </w:rPr>
        <w:t>N</w:t>
      </w:r>
      <w:r w:rsidRPr="007A6DF0">
        <w:rPr>
          <w:i/>
          <w:iCs/>
          <w:vertAlign w:val="subscript"/>
          <w:lang w:val="es-ES_tradnl"/>
        </w:rPr>
        <w:t>persona</w:t>
      </w:r>
      <w:r w:rsidRPr="007A6DF0">
        <w:rPr>
          <w:lang w:val="es-ES_tradnl"/>
        </w:rPr>
        <w:t>:</w:t>
      </w:r>
      <w:r w:rsidRPr="007A6DF0">
        <w:rPr>
          <w:lang w:val="es-ES_tradnl" w:eastAsia="ja-JP"/>
        </w:rPr>
        <w:tab/>
      </w:r>
      <w:r w:rsidRPr="007A6DF0">
        <w:rPr>
          <w:lang w:val="es-ES_tradnl"/>
        </w:rPr>
        <w:t>número de personas en movimiento</w:t>
      </w:r>
    </w:p>
    <w:p w:rsidR="001F77B3" w:rsidRPr="007A6DF0" w:rsidRDefault="001F77B3" w:rsidP="001F77B3">
      <w:pPr>
        <w:pStyle w:val="Equationlegend"/>
        <w:rPr>
          <w:lang w:val="es-ES_tradnl"/>
        </w:rPr>
      </w:pPr>
      <w:r w:rsidRPr="007A6DF0">
        <w:rPr>
          <w:lang w:val="es-ES_tradnl"/>
        </w:rPr>
        <w:tab/>
      </w:r>
      <w:r w:rsidRPr="007A6DF0">
        <w:rPr>
          <w:lang w:val="es-ES_tradnl"/>
        </w:rPr>
        <w:sym w:font="Symbol" w:char="F044"/>
      </w:r>
      <w:r w:rsidRPr="007A6DF0">
        <w:rPr>
          <w:i/>
          <w:iCs/>
          <w:lang w:val="es-ES_tradnl"/>
        </w:rPr>
        <w:t>w</w:t>
      </w:r>
      <w:r w:rsidRPr="007A6DF0">
        <w:rPr>
          <w:lang w:val="es-ES_tradnl"/>
        </w:rPr>
        <w:t>:</w:t>
      </w:r>
      <w:r w:rsidRPr="007A6DF0">
        <w:rPr>
          <w:lang w:val="es-ES_tradnl" w:eastAsia="ja-JP"/>
        </w:rPr>
        <w:tab/>
        <w:t xml:space="preserve">diámetro </w:t>
      </w:r>
      <w:r w:rsidRPr="007A6DF0">
        <w:rPr>
          <w:lang w:val="es-ES_tradnl"/>
        </w:rPr>
        <w:t xml:space="preserve">equivalente a una persona en movimiento </w:t>
      </w:r>
      <w:r w:rsidRPr="007A6DF0">
        <w:rPr>
          <w:lang w:val="es-ES_tradnl" w:eastAsia="ja-JP"/>
        </w:rPr>
        <w:t>(</w:t>
      </w:r>
      <w:r w:rsidRPr="007A6DF0">
        <w:rPr>
          <w:lang w:val="es-ES_tradnl"/>
        </w:rPr>
        <w:t>m</w:t>
      </w:r>
      <w:r w:rsidRPr="007A6DF0">
        <w:rPr>
          <w:lang w:val="es-ES_tradnl" w:eastAsia="ja-JP"/>
        </w:rPr>
        <w:t>)</w:t>
      </w:r>
    </w:p>
    <w:p w:rsidR="001F77B3" w:rsidRPr="007A6DF0" w:rsidRDefault="001F77B3" w:rsidP="001F77B3">
      <w:pPr>
        <w:pStyle w:val="Equationlegend"/>
        <w:rPr>
          <w:lang w:val="es-ES_tradnl"/>
        </w:rPr>
      </w:pPr>
      <w:r w:rsidRPr="007A6DF0">
        <w:rPr>
          <w:i/>
          <w:iCs/>
          <w:lang w:val="es-ES_tradnl" w:eastAsia="ja-JP"/>
        </w:rPr>
        <w:tab/>
      </w:r>
      <w:r w:rsidRPr="007A6DF0">
        <w:rPr>
          <w:i/>
          <w:iCs/>
          <w:lang w:val="es-ES_tradnl"/>
        </w:rPr>
        <w:t>v</w:t>
      </w:r>
      <w:r w:rsidRPr="007A6DF0">
        <w:rPr>
          <w:lang w:val="es-ES_tradnl"/>
        </w:rPr>
        <w:t>:</w:t>
      </w:r>
      <w:r w:rsidRPr="007A6DF0">
        <w:rPr>
          <w:lang w:val="es-ES_tradnl" w:eastAsia="ja-JP"/>
        </w:rPr>
        <w:tab/>
      </w:r>
      <w:r w:rsidRPr="007A6DF0">
        <w:rPr>
          <w:lang w:val="es-ES_tradnl"/>
        </w:rPr>
        <w:t xml:space="preserve">velocidad de desplazamiento de la persona </w:t>
      </w:r>
      <w:r w:rsidRPr="007A6DF0">
        <w:rPr>
          <w:lang w:val="es-ES_tradnl" w:eastAsia="ja-JP"/>
        </w:rPr>
        <w:t>(</w:t>
      </w:r>
      <w:r w:rsidRPr="007A6DF0">
        <w:rPr>
          <w:lang w:val="es-ES_tradnl"/>
        </w:rPr>
        <w:t>m/s</w:t>
      </w:r>
      <w:r w:rsidRPr="007A6DF0">
        <w:rPr>
          <w:lang w:val="es-ES_tradnl" w:eastAsia="ja-JP"/>
        </w:rPr>
        <w:t>)</w:t>
      </w:r>
    </w:p>
    <w:p w:rsidR="001F77B3" w:rsidRPr="007A6DF0" w:rsidRDefault="001F77B3" w:rsidP="001F77B3">
      <w:pPr>
        <w:pStyle w:val="Equationlegend"/>
        <w:rPr>
          <w:lang w:val="es-ES_tradnl"/>
        </w:rPr>
      </w:pPr>
      <w:r w:rsidRPr="007A6DF0">
        <w:rPr>
          <w:i/>
          <w:iCs/>
          <w:lang w:val="es-ES_tradnl" w:eastAsia="ja-JP"/>
        </w:rPr>
        <w:tab/>
      </w:r>
      <w:r w:rsidRPr="007A6DF0">
        <w:rPr>
          <w:i/>
          <w:iCs/>
          <w:lang w:val="es-ES_tradnl"/>
        </w:rPr>
        <w:t>P</w:t>
      </w:r>
      <w:r w:rsidRPr="007A6DF0">
        <w:rPr>
          <w:i/>
          <w:iCs/>
          <w:vertAlign w:val="subscript"/>
          <w:lang w:val="es-ES_tradnl"/>
        </w:rPr>
        <w:t>m</w:t>
      </w:r>
      <w:r w:rsidRPr="007A6DF0">
        <w:rPr>
          <w:lang w:val="es-ES_tradnl"/>
        </w:rPr>
        <w:t>:</w:t>
      </w:r>
      <w:r w:rsidRPr="007A6DF0">
        <w:rPr>
          <w:lang w:val="es-ES_tradnl" w:eastAsia="ja-JP"/>
        </w:rPr>
        <w:tab/>
        <w:t xml:space="preserve">potencia </w:t>
      </w:r>
      <w:r w:rsidRPr="007A6DF0">
        <w:rPr>
          <w:lang w:val="es-ES_tradnl"/>
        </w:rPr>
        <w:t xml:space="preserve">total </w:t>
      </w:r>
      <w:r w:rsidRPr="007A6DF0">
        <w:rPr>
          <w:lang w:val="es-ES_tradnl" w:eastAsia="ja-JP"/>
        </w:rPr>
        <w:t>de trayectos múltiples</w:t>
      </w:r>
    </w:p>
    <w:p w:rsidR="001F77B3" w:rsidRPr="007A6DF0" w:rsidRDefault="001F77B3" w:rsidP="001F77B3">
      <w:pPr>
        <w:pStyle w:val="Equationlegend"/>
        <w:rPr>
          <w:lang w:val="es-ES_tradnl" w:eastAsia="ja-JP"/>
        </w:rPr>
      </w:pPr>
      <w:r w:rsidRPr="007A6DF0">
        <w:rPr>
          <w:i/>
          <w:iCs/>
          <w:lang w:val="es-ES_tradnl" w:eastAsia="ja-JP"/>
        </w:rPr>
        <w:tab/>
      </w:r>
      <w:r w:rsidRPr="007A6DF0">
        <w:rPr>
          <w:i/>
          <w:iCs/>
          <w:lang w:val="es-ES_tradnl"/>
        </w:rPr>
        <w:t>S</w:t>
      </w:r>
      <w:r w:rsidRPr="007A6DF0">
        <w:rPr>
          <w:lang w:val="es-ES_tradnl"/>
        </w:rPr>
        <w:t>(</w:t>
      </w:r>
      <w:r w:rsidRPr="007A6DF0">
        <w:rPr>
          <w:i/>
          <w:iCs/>
          <w:lang w:val="es-ES_tradnl"/>
        </w:rPr>
        <w:t>x</w:t>
      </w:r>
      <w:r w:rsidRPr="007A6DF0">
        <w:rPr>
          <w:lang w:val="es-ES_tradnl"/>
        </w:rPr>
        <w:t>,</w:t>
      </w:r>
      <w:r w:rsidRPr="007A6DF0">
        <w:rPr>
          <w:i/>
          <w:iCs/>
          <w:lang w:val="es-ES_tradnl"/>
        </w:rPr>
        <w:t>y</w:t>
      </w:r>
      <w:r w:rsidRPr="007A6DF0">
        <w:rPr>
          <w:lang w:val="es-ES_tradnl"/>
        </w:rPr>
        <w:t>):</w:t>
      </w:r>
      <w:r w:rsidRPr="007A6DF0">
        <w:rPr>
          <w:lang w:val="es-ES_tradnl" w:eastAsia="ja-JP"/>
        </w:rPr>
        <w:tab/>
      </w:r>
      <w:r w:rsidRPr="007A6DF0">
        <w:rPr>
          <w:lang w:val="es-ES_tradnl"/>
        </w:rPr>
        <w:t>disposición de la zona de movimiento</w:t>
      </w:r>
    </w:p>
    <w:p w:rsidR="001F77B3" w:rsidRPr="007A6DF0" w:rsidRDefault="001F77B3" w:rsidP="001F77B3">
      <w:pPr>
        <w:pStyle w:val="Equationlegend"/>
        <w:rPr>
          <w:lang w:val="es-ES_tradnl" w:eastAsia="ja-JP"/>
        </w:rPr>
      </w:pPr>
      <w:r w:rsidRPr="007A6DF0">
        <w:rPr>
          <w:i/>
          <w:iCs/>
          <w:lang w:val="es-ES_tradnl" w:eastAsia="ja-JP"/>
        </w:rPr>
        <w:tab/>
      </w:r>
      <w:r w:rsidRPr="007A6DF0">
        <w:rPr>
          <w:i/>
          <w:iCs/>
          <w:lang w:val="es-ES_tradnl"/>
        </w:rPr>
        <w:t>f</w:t>
      </w:r>
      <w:r w:rsidRPr="007A6DF0">
        <w:rPr>
          <w:i/>
          <w:iCs/>
          <w:vertAlign w:val="subscript"/>
          <w:lang w:val="es-ES_tradnl"/>
        </w:rPr>
        <w:t>T</w:t>
      </w:r>
      <w:r w:rsidRPr="007A6DF0">
        <w:rPr>
          <w:lang w:val="es-ES_tradnl"/>
        </w:rPr>
        <w:t xml:space="preserve"> </w:t>
      </w:r>
      <w:r w:rsidRPr="007A6DF0">
        <w:rPr>
          <w:lang w:val="es-ES_tradnl" w:eastAsia="ja-JP"/>
        </w:rPr>
        <w:t>:</w:t>
      </w:r>
      <w:r w:rsidRPr="007A6DF0">
        <w:rPr>
          <w:lang w:val="es-ES_tradnl" w:eastAsia="ja-JP"/>
        </w:rPr>
        <w:tab/>
        <w:t>desplazamiento máximo de frecuencia para el terminal móvil estático.</w:t>
      </w:r>
    </w:p>
    <w:p w:rsidR="001F77B3" w:rsidRPr="007A6DF0" w:rsidRDefault="001F77B3" w:rsidP="001F77B3">
      <w:pPr>
        <w:pStyle w:val="Equationlegend"/>
        <w:rPr>
          <w:lang w:val="es-ES_tradnl" w:eastAsia="ja-JP"/>
        </w:rPr>
      </w:pPr>
      <w:r w:rsidRPr="007A6DF0">
        <w:rPr>
          <w:i/>
          <w:iCs/>
          <w:lang w:val="es-ES_tradnl" w:eastAsia="ja-JP"/>
        </w:rPr>
        <w:tab/>
      </w:r>
      <w:r w:rsidRPr="007A6DF0">
        <w:rPr>
          <w:i/>
          <w:iCs/>
          <w:lang w:val="es-ES_tradnl"/>
        </w:rPr>
        <w:t>r</w:t>
      </w:r>
      <w:r w:rsidRPr="007A6DF0">
        <w:rPr>
          <w:i/>
          <w:iCs/>
          <w:vertAlign w:val="subscript"/>
          <w:lang w:val="es-ES_tradnl"/>
        </w:rPr>
        <w:t>p</w:t>
      </w:r>
      <w:r w:rsidRPr="007A6DF0">
        <w:rPr>
          <w:lang w:val="es-ES_tradnl"/>
        </w:rPr>
        <w:t>:</w:t>
      </w:r>
      <w:r w:rsidRPr="007A6DF0">
        <w:rPr>
          <w:lang w:val="es-ES_tradnl" w:eastAsia="ja-JP"/>
        </w:rPr>
        <w:tab/>
        <w:t>potencia recibida en el terminal móvil</w:t>
      </w:r>
    </w:p>
    <w:p w:rsidR="001F77B3" w:rsidRPr="007A6DF0" w:rsidRDefault="001F77B3" w:rsidP="001F77B3">
      <w:pPr>
        <w:pStyle w:val="Equationlegend"/>
        <w:rPr>
          <w:lang w:val="es-ES_tradnl" w:eastAsia="ja-JP"/>
        </w:rPr>
      </w:pPr>
      <w:r w:rsidRPr="007A6DF0">
        <w:rPr>
          <w:i/>
          <w:iCs/>
          <w:lang w:val="es-ES_tradnl" w:eastAsia="ja-JP"/>
        </w:rPr>
        <w:tab/>
        <w:t>f</w:t>
      </w:r>
      <w:r w:rsidRPr="007A6DF0">
        <w:rPr>
          <w:iCs/>
          <w:lang w:val="es-ES_tradnl" w:eastAsia="ja-JP"/>
        </w:rPr>
        <w:t>:</w:t>
      </w:r>
      <w:r w:rsidRPr="007A6DF0">
        <w:rPr>
          <w:iCs/>
          <w:lang w:val="es-ES_tradnl" w:eastAsia="ja-JP"/>
        </w:rPr>
        <w:tab/>
        <w:t>frecuencia (Hz)</w:t>
      </w:r>
    </w:p>
    <w:p w:rsidR="001F77B3" w:rsidRPr="007A6DF0" w:rsidRDefault="001F77B3" w:rsidP="001F77B3">
      <w:pPr>
        <w:pStyle w:val="Equationlegend"/>
        <w:rPr>
          <w:lang w:val="es-ES_tradnl"/>
        </w:rPr>
      </w:pPr>
      <w:r w:rsidRPr="007A6DF0">
        <w:rPr>
          <w:position w:val="-5"/>
          <w:lang w:val="es-ES_tradnl" w:eastAsia="ja-JP"/>
        </w:rPr>
        <w:tab/>
      </w:r>
      <w:r w:rsidRPr="007A6DF0">
        <w:rPr>
          <w:i/>
          <w:lang w:val="es-ES_tradnl"/>
        </w:rPr>
        <w:t>p</w:t>
      </w:r>
      <w:r w:rsidRPr="007A6DF0">
        <w:rPr>
          <w:lang w:val="es-ES_tradnl"/>
        </w:rPr>
        <w:t>(</w:t>
      </w:r>
      <w:r w:rsidRPr="007A6DF0">
        <w:rPr>
          <w:i/>
          <w:lang w:val="es-ES_tradnl"/>
        </w:rPr>
        <w:t>r</w:t>
      </w:r>
      <w:r w:rsidRPr="007A6DF0">
        <w:rPr>
          <w:i/>
          <w:vertAlign w:val="subscript"/>
          <w:lang w:val="es-ES_tradnl"/>
        </w:rPr>
        <w:t>p</w:t>
      </w:r>
      <w:r w:rsidRPr="007A6DF0">
        <w:rPr>
          <w:lang w:val="es-ES_tradnl"/>
        </w:rPr>
        <w:t>,</w:t>
      </w:r>
      <w:r w:rsidRPr="007A6DF0">
        <w:rPr>
          <w:i/>
          <w:lang w:val="es-ES_tradnl"/>
        </w:rPr>
        <w:t>k</w:t>
      </w:r>
      <w:r w:rsidRPr="007A6DF0">
        <w:rPr>
          <w:lang w:val="es-ES_tradnl"/>
        </w:rPr>
        <w:t>):</w:t>
      </w:r>
      <w:r w:rsidRPr="007A6DF0">
        <w:rPr>
          <w:lang w:val="es-ES_tradnl"/>
        </w:rPr>
        <w:tab/>
        <w:t xml:space="preserve">función de densidad de probabilidad (PDF) de la potencia recibida, definida como una distribución Nakagami-Rice con el factor </w:t>
      </w:r>
      <w:r w:rsidRPr="007A6DF0">
        <w:rPr>
          <w:i/>
          <w:iCs/>
          <w:lang w:val="es-ES_tradnl" w:eastAsia="ja-JP"/>
        </w:rPr>
        <w:t>K</w:t>
      </w:r>
    </w:p>
    <w:p w:rsidR="001F77B3" w:rsidRPr="007A6DF0" w:rsidRDefault="001F77B3" w:rsidP="001F77B3">
      <w:pPr>
        <w:pStyle w:val="Equationlegend"/>
        <w:rPr>
          <w:lang w:val="es-ES_tradnl"/>
        </w:rPr>
      </w:pPr>
      <w:r w:rsidRPr="007A6DF0">
        <w:rPr>
          <w:i/>
          <w:iCs/>
          <w:lang w:val="es-ES_tradnl" w:eastAsia="ja-JP"/>
        </w:rPr>
        <w:tab/>
      </w:r>
      <w:r w:rsidRPr="007A6DF0">
        <w:rPr>
          <w:i/>
          <w:iCs/>
          <w:lang w:val="es-ES_tradnl"/>
        </w:rPr>
        <w:t>K</w:t>
      </w:r>
      <w:r w:rsidRPr="007A6DF0">
        <w:rPr>
          <w:lang w:val="es-ES_tradnl"/>
        </w:rPr>
        <w:t>:</w:t>
      </w:r>
      <w:r w:rsidRPr="007A6DF0">
        <w:rPr>
          <w:lang w:val="es-ES_tradnl" w:eastAsia="ja-JP"/>
        </w:rPr>
        <w:tab/>
        <w:t xml:space="preserve">factor </w:t>
      </w:r>
      <w:r w:rsidRPr="007A6DF0">
        <w:rPr>
          <w:i/>
          <w:iCs/>
          <w:lang w:val="es-ES_tradnl"/>
        </w:rPr>
        <w:t>K</w:t>
      </w:r>
      <w:r w:rsidRPr="007A6DF0">
        <w:rPr>
          <w:lang w:val="es-ES_tradnl"/>
        </w:rPr>
        <w:t xml:space="preserve"> definido en la distribución Nakagami-Rice </w:t>
      </w:r>
    </w:p>
    <w:p w:rsidR="001F77B3" w:rsidRPr="007A6DF0" w:rsidRDefault="001F77B3" w:rsidP="001F77B3">
      <w:pPr>
        <w:pStyle w:val="Equationlegend"/>
        <w:rPr>
          <w:lang w:val="es-ES_tradnl"/>
        </w:rPr>
      </w:pPr>
      <w:r w:rsidRPr="007A6DF0">
        <w:rPr>
          <w:i/>
          <w:iCs/>
          <w:lang w:val="es-ES_tradnl" w:eastAsia="ja-JP"/>
        </w:rPr>
        <w:tab/>
      </w:r>
      <w:r w:rsidRPr="007A6DF0">
        <w:rPr>
          <w:i/>
          <w:iCs/>
          <w:lang w:val="es-ES_tradnl"/>
        </w:rPr>
        <w:t>R</w:t>
      </w:r>
      <w:r w:rsidRPr="007A6DF0">
        <w:rPr>
          <w:lang w:val="es-ES_tradnl"/>
        </w:rPr>
        <w:t>(</w:t>
      </w:r>
      <w:r w:rsidRPr="007A6DF0">
        <w:rPr>
          <w:lang w:val="es-ES_tradnl"/>
        </w:rPr>
        <w:sym w:font="Symbol" w:char="F044"/>
      </w:r>
      <w:r w:rsidRPr="007A6DF0">
        <w:rPr>
          <w:i/>
          <w:iCs/>
          <w:lang w:val="es-ES_tradnl"/>
        </w:rPr>
        <w:t>t</w:t>
      </w:r>
      <w:r w:rsidRPr="007A6DF0">
        <w:rPr>
          <w:lang w:val="es-ES_tradnl"/>
        </w:rPr>
        <w:t>):</w:t>
      </w:r>
      <w:r w:rsidRPr="007A6DF0">
        <w:rPr>
          <w:lang w:val="es-ES_tradnl" w:eastAsia="ja-JP"/>
        </w:rPr>
        <w:tab/>
      </w:r>
      <w:r w:rsidRPr="007A6DF0">
        <w:rPr>
          <w:lang w:val="es-ES_tradnl"/>
        </w:rPr>
        <w:t>función de autocorrelación de la función al nivel recibido</w:t>
      </w:r>
    </w:p>
    <w:p w:rsidR="001F77B3" w:rsidRPr="007A6DF0" w:rsidRDefault="001F77B3" w:rsidP="001F77B3">
      <w:pPr>
        <w:pStyle w:val="Equationlegend"/>
        <w:rPr>
          <w:lang w:val="es-ES_tradnl" w:eastAsia="ja-JP"/>
        </w:rPr>
      </w:pPr>
      <w:r w:rsidRPr="007A6DF0">
        <w:rPr>
          <w:i/>
          <w:iCs/>
          <w:lang w:val="es-ES_tradnl" w:eastAsia="ja-JP"/>
        </w:rPr>
        <w:tab/>
      </w:r>
      <w:r w:rsidRPr="007A6DF0">
        <w:rPr>
          <w:i/>
          <w:iCs/>
          <w:lang w:val="es-ES_tradnl"/>
        </w:rPr>
        <w:t>R</w:t>
      </w:r>
      <w:r w:rsidRPr="007A6DF0">
        <w:rPr>
          <w:i/>
          <w:iCs/>
          <w:vertAlign w:val="subscript"/>
          <w:lang w:val="es-ES_tradnl"/>
        </w:rPr>
        <w:t>N</w:t>
      </w:r>
      <w:r w:rsidRPr="007A6DF0">
        <w:rPr>
          <w:lang w:val="es-ES_tradnl"/>
        </w:rPr>
        <w:t>(</w:t>
      </w:r>
      <w:r w:rsidRPr="007A6DF0">
        <w:rPr>
          <w:lang w:val="es-ES_tradnl"/>
        </w:rPr>
        <w:sym w:font="Symbol" w:char="F044"/>
      </w:r>
      <w:r w:rsidRPr="007A6DF0">
        <w:rPr>
          <w:i/>
          <w:iCs/>
          <w:lang w:val="es-ES_tradnl"/>
        </w:rPr>
        <w:t>t</w:t>
      </w:r>
      <w:r w:rsidRPr="007A6DF0">
        <w:rPr>
          <w:lang w:val="es-ES_tradnl"/>
        </w:rPr>
        <w:t>):</w:t>
      </w:r>
      <w:r w:rsidRPr="007A6DF0">
        <w:rPr>
          <w:lang w:val="es-ES_tradnl" w:eastAsia="ja-JP"/>
        </w:rPr>
        <w:tab/>
        <w:t>coeficiente de correlación al nivel recibido</w:t>
      </w:r>
    </w:p>
    <w:p w:rsidR="001F77B3" w:rsidRPr="007A6DF0" w:rsidRDefault="001F77B3" w:rsidP="001F77B3">
      <w:pPr>
        <w:pStyle w:val="Equationlegend"/>
        <w:rPr>
          <w:iCs/>
          <w:lang w:val="es-ES_tradnl" w:eastAsia="ja-JP"/>
        </w:rPr>
      </w:pPr>
      <w:r w:rsidRPr="007A6DF0">
        <w:rPr>
          <w:i/>
          <w:iCs/>
          <w:lang w:val="es-ES_tradnl" w:eastAsia="ja-JP"/>
        </w:rPr>
        <w:tab/>
        <w:t>P</w:t>
      </w:r>
      <w:r w:rsidRPr="007A6DF0">
        <w:rPr>
          <w:iCs/>
          <w:lang w:val="es-ES_tradnl" w:eastAsia="ja-JP"/>
        </w:rPr>
        <w:t>(</w:t>
      </w:r>
      <w:r w:rsidRPr="007A6DF0">
        <w:rPr>
          <w:i/>
          <w:iCs/>
          <w:lang w:val="es-ES_tradnl" w:eastAsia="ja-JP"/>
        </w:rPr>
        <w:t>f</w:t>
      </w:r>
      <w:r w:rsidRPr="007A6DF0">
        <w:rPr>
          <w:iCs/>
          <w:lang w:val="es-ES_tradnl" w:eastAsia="ja-JP"/>
        </w:rPr>
        <w:t>):</w:t>
      </w:r>
      <w:r w:rsidRPr="007A6DF0">
        <w:rPr>
          <w:iCs/>
          <w:lang w:val="es-ES_tradnl" w:eastAsia="ja-JP"/>
        </w:rPr>
        <w:tab/>
        <w:t>espectro de potencias</w:t>
      </w:r>
    </w:p>
    <w:p w:rsidR="001F77B3" w:rsidRPr="007A6DF0" w:rsidRDefault="001F77B3" w:rsidP="001F77B3">
      <w:pPr>
        <w:pStyle w:val="Equationlegend"/>
        <w:rPr>
          <w:lang w:val="es-ES_tradnl" w:eastAsia="ja-JP"/>
        </w:rPr>
      </w:pPr>
      <w:r w:rsidRPr="007A6DF0">
        <w:rPr>
          <w:i/>
          <w:iCs/>
          <w:lang w:val="es-ES_tradnl" w:eastAsia="ja-JP"/>
        </w:rPr>
        <w:tab/>
        <w:t>P</w:t>
      </w:r>
      <w:r w:rsidRPr="007A6DF0">
        <w:rPr>
          <w:i/>
          <w:iCs/>
          <w:vertAlign w:val="subscript"/>
          <w:lang w:val="es-ES_tradnl" w:eastAsia="ja-JP"/>
        </w:rPr>
        <w:t>N</w:t>
      </w:r>
      <w:r w:rsidRPr="007A6DF0">
        <w:rPr>
          <w:iCs/>
          <w:lang w:val="es-ES_tradnl" w:eastAsia="ja-JP"/>
        </w:rPr>
        <w:t>(</w:t>
      </w:r>
      <w:r w:rsidRPr="007A6DF0">
        <w:rPr>
          <w:i/>
          <w:iCs/>
          <w:lang w:val="es-ES_tradnl" w:eastAsia="ja-JP"/>
        </w:rPr>
        <w:t>f</w:t>
      </w:r>
      <w:r w:rsidRPr="007A6DF0">
        <w:rPr>
          <w:iCs/>
          <w:lang w:val="es-ES_tradnl" w:eastAsia="ja-JP"/>
        </w:rPr>
        <w:t>):</w:t>
      </w:r>
      <w:r w:rsidRPr="007A6DF0">
        <w:rPr>
          <w:iCs/>
          <w:lang w:val="es-ES_tradnl" w:eastAsia="ja-JP"/>
        </w:rPr>
        <w:tab/>
        <w:t xml:space="preserve">espectro de potencias normalizado a la potencia </w:t>
      </w:r>
      <w:r w:rsidRPr="007A6DF0">
        <w:rPr>
          <w:i/>
          <w:iCs/>
          <w:lang w:val="es-ES_tradnl" w:eastAsia="ja-JP"/>
        </w:rPr>
        <w:t>P</w:t>
      </w:r>
      <w:r w:rsidRPr="007A6DF0">
        <w:rPr>
          <w:iCs/>
          <w:lang w:val="es-ES_tradnl" w:eastAsia="ja-JP"/>
        </w:rPr>
        <w:t>(0).</w:t>
      </w:r>
    </w:p>
    <w:p w:rsidR="001F77B3" w:rsidRPr="007A6DF0" w:rsidRDefault="001F77B3" w:rsidP="001F77B3">
      <w:pPr>
        <w:pStyle w:val="Heading2"/>
        <w:rPr>
          <w:color w:val="000000"/>
          <w:lang w:val="es-ES_tradnl"/>
        </w:rPr>
      </w:pPr>
      <w:r w:rsidRPr="007A6DF0">
        <w:rPr>
          <w:color w:val="000000"/>
          <w:lang w:val="es-ES_tradnl" w:eastAsia="ja-JP"/>
        </w:rPr>
        <w:t>10.2</w:t>
      </w:r>
      <w:r w:rsidRPr="007A6DF0">
        <w:rPr>
          <w:color w:val="000000"/>
          <w:lang w:val="es-ES_tradnl" w:eastAsia="ja-JP"/>
        </w:rPr>
        <w:tab/>
        <w:t>Modelo del sistema</w:t>
      </w:r>
    </w:p>
    <w:p w:rsidR="001F77B3" w:rsidRPr="007A6DF0" w:rsidRDefault="001F77B3" w:rsidP="001F77B3">
      <w:pPr>
        <w:rPr>
          <w:lang w:val="es-ES_tradnl" w:eastAsia="ja-JP"/>
        </w:rPr>
      </w:pPr>
      <w:r w:rsidRPr="007A6DF0">
        <w:rPr>
          <w:lang w:val="es-ES_tradnl"/>
        </w:rPr>
        <w:t xml:space="preserve">En la Fig. </w:t>
      </w:r>
      <w:r w:rsidRPr="007A6DF0">
        <w:rPr>
          <w:lang w:val="es-ES_tradnl" w:eastAsia="ja-JP"/>
        </w:rPr>
        <w:t>2</w:t>
      </w:r>
      <w:r w:rsidRPr="007A6DF0">
        <w:rPr>
          <w:lang w:val="es-ES_tradnl"/>
        </w:rPr>
        <w:t xml:space="preserve"> se muestra el modelo de sistema. Se considera que los únicos objetos que se mueven son personas; la </w:t>
      </w:r>
      <w:r w:rsidRPr="007A6DF0">
        <w:rPr>
          <w:i/>
          <w:iCs/>
          <w:lang w:val="es-ES_tradnl"/>
        </w:rPr>
        <w:t>i-</w:t>
      </w:r>
      <w:r w:rsidRPr="007A6DF0">
        <w:rPr>
          <w:lang w:val="es-ES_tradnl"/>
        </w:rPr>
        <w:t xml:space="preserve">ésima persona se representa por un disco de diámetro </w:t>
      </w:r>
      <w:r w:rsidRPr="007A6DF0">
        <w:rPr>
          <w:lang w:val="es-ES_tradnl"/>
        </w:rPr>
        <w:sym w:font="Symbol" w:char="F044"/>
      </w:r>
      <w:r w:rsidRPr="007A6DF0">
        <w:rPr>
          <w:i/>
          <w:iCs/>
          <w:lang w:val="es-ES_tradnl"/>
        </w:rPr>
        <w:t>w</w:t>
      </w:r>
      <w:r w:rsidRPr="007A6DF0">
        <w:rPr>
          <w:lang w:val="es-ES_tradnl"/>
        </w:rPr>
        <w:t> </w:t>
      </w:r>
      <w:r w:rsidRPr="007A6DF0">
        <w:rPr>
          <w:lang w:val="es-ES_tradnl" w:eastAsia="ja-JP"/>
        </w:rPr>
        <w:t>(</w:t>
      </w:r>
      <w:r w:rsidRPr="007A6DF0">
        <w:rPr>
          <w:lang w:val="es-ES_tradnl"/>
        </w:rPr>
        <w:t>m</w:t>
      </w:r>
      <w:r w:rsidRPr="007A6DF0">
        <w:rPr>
          <w:lang w:val="es-ES_tradnl" w:eastAsia="ja-JP"/>
        </w:rPr>
        <w:t>)</w:t>
      </w:r>
      <w:r w:rsidRPr="007A6DF0">
        <w:rPr>
          <w:lang w:val="es-ES_tradnl"/>
        </w:rPr>
        <w:t xml:space="preserve"> separado del terminal móvil </w:t>
      </w:r>
      <w:r w:rsidRPr="007A6DF0">
        <w:rPr>
          <w:lang w:val="es-ES_tradnl" w:eastAsia="ja-JP"/>
        </w:rPr>
        <w:t xml:space="preserve">(MT) </w:t>
      </w:r>
      <w:r w:rsidRPr="007A6DF0">
        <w:rPr>
          <w:lang w:val="es-ES_tradnl"/>
        </w:rPr>
        <w:t xml:space="preserve">una distancia </w:t>
      </w:r>
      <w:r w:rsidRPr="007A6DF0">
        <w:rPr>
          <w:i/>
          <w:iCs/>
          <w:lang w:val="es-ES_tradnl"/>
        </w:rPr>
        <w:t>r</w:t>
      </w:r>
      <w:r w:rsidRPr="007A6DF0">
        <w:rPr>
          <w:i/>
          <w:iCs/>
          <w:vertAlign w:val="subscript"/>
          <w:lang w:val="es-ES_tradnl"/>
        </w:rPr>
        <w:t>i</w:t>
      </w:r>
      <w:r w:rsidRPr="007A6DF0">
        <w:rPr>
          <w:iCs/>
          <w:lang w:val="es-ES_tradnl" w:eastAsia="ja-JP"/>
        </w:rPr>
        <w:t> (</w:t>
      </w:r>
      <w:r w:rsidRPr="007A6DF0">
        <w:rPr>
          <w:lang w:val="es-ES_tradnl"/>
        </w:rPr>
        <w:t>m</w:t>
      </w:r>
      <w:r w:rsidRPr="007A6DF0">
        <w:rPr>
          <w:lang w:val="es-ES_tradnl" w:eastAsia="ja-JP"/>
        </w:rPr>
        <w:t>)</w:t>
      </w:r>
      <w:r w:rsidRPr="007A6DF0">
        <w:rPr>
          <w:lang w:val="es-ES_tradnl"/>
        </w:rPr>
        <w:t>. Cada persona camina en dirección aleatoria entre 0 y 2</w:t>
      </w:r>
      <w:r w:rsidRPr="007A6DF0">
        <w:rPr>
          <w:lang w:val="es-ES_tradnl"/>
        </w:rPr>
        <w:sym w:font="Symbol" w:char="F070"/>
      </w:r>
      <w:r w:rsidRPr="007A6DF0">
        <w:rPr>
          <w:lang w:val="es-ES_tradnl"/>
        </w:rPr>
        <w:t xml:space="preserve"> a una velocidad constante de </w:t>
      </w:r>
      <w:r w:rsidRPr="007A6DF0">
        <w:rPr>
          <w:i/>
          <w:iCs/>
          <w:lang w:val="es-ES_tradnl"/>
        </w:rPr>
        <w:t>v</w:t>
      </w:r>
      <w:r w:rsidRPr="007A6DF0">
        <w:rPr>
          <w:lang w:val="es-ES_tradnl"/>
        </w:rPr>
        <w:t> </w:t>
      </w:r>
      <w:r w:rsidRPr="007A6DF0">
        <w:rPr>
          <w:lang w:val="es-ES_tradnl" w:eastAsia="ja-JP"/>
        </w:rPr>
        <w:t>(</w:t>
      </w:r>
      <w:r w:rsidRPr="007A6DF0">
        <w:rPr>
          <w:lang w:val="es-ES_tradnl"/>
        </w:rPr>
        <w:t>m/s</w:t>
      </w:r>
      <w:r w:rsidRPr="007A6DF0">
        <w:rPr>
          <w:lang w:val="es-ES_tradnl" w:eastAsia="ja-JP"/>
        </w:rPr>
        <w:t>)</w:t>
      </w:r>
      <w:r w:rsidRPr="007A6DF0">
        <w:rPr>
          <w:lang w:val="es-ES_tradnl"/>
        </w:rPr>
        <w:t xml:space="preserve"> y se desplaza dentro de una superficie arbitraria </w:t>
      </w:r>
      <w:r w:rsidRPr="007A6DF0">
        <w:rPr>
          <w:i/>
          <w:iCs/>
          <w:lang w:val="es-ES_tradnl"/>
        </w:rPr>
        <w:t>S</w:t>
      </w:r>
      <w:r w:rsidRPr="007A6DF0">
        <w:rPr>
          <w:lang w:val="es-ES_tradnl"/>
        </w:rPr>
        <w:t>(</w:t>
      </w:r>
      <w:r w:rsidRPr="007A6DF0">
        <w:rPr>
          <w:i/>
          <w:iCs/>
          <w:lang w:val="es-ES_tradnl"/>
        </w:rPr>
        <w:t>x</w:t>
      </w:r>
      <w:r w:rsidRPr="007A6DF0">
        <w:rPr>
          <w:lang w:val="es-ES_tradnl"/>
        </w:rPr>
        <w:t>,</w:t>
      </w:r>
      <w:r w:rsidRPr="007A6DF0">
        <w:rPr>
          <w:i/>
          <w:iCs/>
          <w:lang w:val="es-ES_tradnl"/>
        </w:rPr>
        <w:t>y</w:t>
      </w:r>
      <w:r w:rsidRPr="007A6DF0">
        <w:rPr>
          <w:lang w:val="es-ES_tradnl"/>
        </w:rPr>
        <w:t xml:space="preserve">) alrededor del </w:t>
      </w:r>
      <w:r w:rsidRPr="007A6DF0">
        <w:rPr>
          <w:lang w:val="es-ES_tradnl" w:eastAsia="ja-JP"/>
        </w:rPr>
        <w:t>MT</w:t>
      </w:r>
      <w:r w:rsidRPr="007A6DF0">
        <w:rPr>
          <w:lang w:val="es-ES_tradnl"/>
        </w:rPr>
        <w:t xml:space="preserve">. El número de personas que se mueven es </w:t>
      </w:r>
      <w:r w:rsidRPr="007A6DF0">
        <w:rPr>
          <w:i/>
          <w:iCs/>
          <w:lang w:val="es-ES_tradnl"/>
        </w:rPr>
        <w:t>N</w:t>
      </w:r>
      <w:r w:rsidRPr="007A6DF0">
        <w:rPr>
          <w:i/>
          <w:iCs/>
          <w:vertAlign w:val="subscript"/>
          <w:lang w:val="es-ES_tradnl"/>
        </w:rPr>
        <w:t>persona</w:t>
      </w:r>
      <w:r w:rsidRPr="007A6DF0">
        <w:rPr>
          <w:lang w:val="es-ES_tradnl"/>
        </w:rPr>
        <w:t xml:space="preserve"> y cada una de ellas absorbe una parte de la energía de los trayectos que atraviesan su anchura, </w:t>
      </w:r>
      <w:r w:rsidRPr="007A6DF0">
        <w:rPr>
          <w:lang w:val="es-ES_tradnl"/>
        </w:rPr>
        <w:sym w:font="Symbol" w:char="F044"/>
      </w:r>
      <w:r w:rsidRPr="007A6DF0">
        <w:rPr>
          <w:i/>
          <w:iCs/>
          <w:lang w:val="es-ES_tradnl"/>
        </w:rPr>
        <w:t>w</w:t>
      </w:r>
      <w:r w:rsidRPr="007A6DF0">
        <w:rPr>
          <w:lang w:val="es-ES_tradnl"/>
        </w:rPr>
        <w:t>. Los trayectos múltiples llegan al terminal de manera uniforme desde todas las direcciones horizontales.</w:t>
      </w:r>
      <w:r w:rsidRPr="007A6DF0">
        <w:rPr>
          <w:lang w:val="es-ES_tradnl" w:eastAsia="ja-JP"/>
        </w:rPr>
        <w:t xml:space="preserve"> En las Figs. 3 y 4 se muestra una representación típica de las habitaciones consideradas, rectangulares y circulares, respectivamente.</w:t>
      </w:r>
    </w:p>
    <w:p w:rsidR="001F77B3" w:rsidRPr="007A6DF0" w:rsidRDefault="001F77B3" w:rsidP="001F77B3">
      <w:pPr>
        <w:pStyle w:val="FigureNo"/>
        <w:rPr>
          <w:color w:val="000000"/>
          <w:lang w:val="es-ES_tradnl" w:eastAsia="ja-JP"/>
        </w:rPr>
      </w:pPr>
      <w:r w:rsidRPr="007A6DF0">
        <w:rPr>
          <w:color w:val="000000"/>
          <w:lang w:val="es-ES_tradnl" w:eastAsia="ja-JP"/>
        </w:rPr>
        <w:t>FIGURA 2</w:t>
      </w:r>
    </w:p>
    <w:p w:rsidR="001F77B3" w:rsidRPr="007A6DF0" w:rsidRDefault="001F77B3" w:rsidP="001F77B3">
      <w:pPr>
        <w:pStyle w:val="Figuretitle"/>
        <w:rPr>
          <w:color w:val="000000"/>
          <w:lang w:val="es-ES_tradnl" w:eastAsia="ja-JP"/>
        </w:rPr>
      </w:pPr>
      <w:r w:rsidRPr="007A6DF0">
        <w:rPr>
          <w:color w:val="000000"/>
          <w:lang w:val="es-ES_tradnl" w:eastAsia="ja-JP"/>
        </w:rPr>
        <w:t>Modelo de sistema</w:t>
      </w:r>
    </w:p>
    <w:p w:rsidR="001F77B3" w:rsidRPr="007A6DF0" w:rsidRDefault="00F668A3" w:rsidP="001F77B3">
      <w:pPr>
        <w:pStyle w:val="Figure"/>
        <w:rPr>
          <w:lang w:val="es-ES_tradnl" w:eastAsia="ja-JP"/>
        </w:rPr>
      </w:pPr>
      <w:r w:rsidRPr="007A6DF0">
        <w:rPr>
          <w:lang w:val="es-ES_tradnl" w:eastAsia="ja-JP"/>
        </w:rPr>
        <w:object w:dxaOrig="2919" w:dyaOrig="2074">
          <v:shape id="_x0000_i1034" type="#_x0000_t75" style="width:189.15pt;height:137.55pt" o:ole="">
            <v:imagedata r:id="rId31" o:title=""/>
          </v:shape>
          <o:OLEObject Type="Embed" ProgID="CorelDRAW.Graphic.14" ShapeID="_x0000_i1034" DrawAspect="Content" ObjectID="_1549090145" r:id="rId32"/>
        </w:object>
      </w:r>
    </w:p>
    <w:p w:rsidR="001F77B3" w:rsidRPr="007A6DF0" w:rsidRDefault="001F77B3" w:rsidP="001F77B3">
      <w:pPr>
        <w:rPr>
          <w:lang w:val="es-ES_tradnl" w:eastAsia="ja-JP"/>
        </w:rPr>
      </w:pPr>
    </w:p>
    <w:p w:rsidR="001F77B3" w:rsidRPr="007A6DF0" w:rsidRDefault="001F77B3" w:rsidP="001F77B3">
      <w:pPr>
        <w:pStyle w:val="FigureNo"/>
        <w:rPr>
          <w:lang w:val="es-ES_tradnl" w:eastAsia="ja-JP"/>
        </w:rPr>
      </w:pPr>
      <w:r w:rsidRPr="007A6DF0">
        <w:rPr>
          <w:lang w:val="es-ES_tradnl" w:eastAsia="ja-JP"/>
        </w:rPr>
        <w:lastRenderedPageBreak/>
        <w:t>FigurA 3</w:t>
      </w:r>
    </w:p>
    <w:p w:rsidR="001F77B3" w:rsidRPr="007A6DF0" w:rsidRDefault="001F77B3" w:rsidP="001F77B3">
      <w:pPr>
        <w:pStyle w:val="Figuretitle"/>
        <w:rPr>
          <w:lang w:val="es-ES_tradnl" w:eastAsia="ja-JP"/>
        </w:rPr>
      </w:pPr>
      <w:r w:rsidRPr="007A6DF0">
        <w:rPr>
          <w:lang w:val="es-ES_tradnl"/>
        </w:rPr>
        <w:t>Disposición en una habitación rectangular</w:t>
      </w:r>
    </w:p>
    <w:p w:rsidR="001F77B3" w:rsidRPr="007A6DF0" w:rsidRDefault="00F668A3" w:rsidP="001F77B3">
      <w:pPr>
        <w:pStyle w:val="Figure"/>
        <w:rPr>
          <w:lang w:val="es-ES_tradnl"/>
        </w:rPr>
      </w:pPr>
      <w:r w:rsidRPr="007A6DF0">
        <w:rPr>
          <w:lang w:val="es-ES_tradnl"/>
        </w:rPr>
        <w:object w:dxaOrig="4922" w:dyaOrig="2275">
          <v:shape id="_x0000_i1035" type="#_x0000_t75" style="width:326.7pt;height:151pt" o:ole="">
            <v:imagedata r:id="rId33" o:title=""/>
          </v:shape>
          <o:OLEObject Type="Embed" ProgID="CorelDRAW.Graphic.14" ShapeID="_x0000_i1035" DrawAspect="Content" ObjectID="_1549090146" r:id="rId34"/>
        </w:object>
      </w:r>
    </w:p>
    <w:p w:rsidR="001F77B3" w:rsidRPr="007A6DF0" w:rsidRDefault="001F77B3" w:rsidP="001F77B3">
      <w:pPr>
        <w:rPr>
          <w:lang w:val="es-ES_tradnl"/>
        </w:rPr>
      </w:pPr>
    </w:p>
    <w:p w:rsidR="001F77B3" w:rsidRPr="007A6DF0" w:rsidRDefault="001F77B3" w:rsidP="001F77B3">
      <w:pPr>
        <w:pStyle w:val="FigureNo"/>
        <w:rPr>
          <w:lang w:val="es-ES_tradnl" w:eastAsia="ja-JP"/>
        </w:rPr>
      </w:pPr>
      <w:r w:rsidRPr="007A6DF0">
        <w:rPr>
          <w:lang w:val="es-ES_tradnl"/>
        </w:rPr>
        <w:t xml:space="preserve">FIGURA </w:t>
      </w:r>
      <w:r w:rsidRPr="007A6DF0">
        <w:rPr>
          <w:lang w:val="es-ES_tradnl" w:eastAsia="ja-JP"/>
        </w:rPr>
        <w:t>4</w:t>
      </w:r>
    </w:p>
    <w:p w:rsidR="001F77B3" w:rsidRPr="007A6DF0" w:rsidRDefault="001F77B3" w:rsidP="001F77B3">
      <w:pPr>
        <w:pStyle w:val="Figuretitle"/>
        <w:rPr>
          <w:lang w:val="es-ES_tradnl" w:eastAsia="ja-JP"/>
        </w:rPr>
      </w:pPr>
      <w:r w:rsidRPr="007A6DF0">
        <w:rPr>
          <w:lang w:val="es-ES_tradnl"/>
        </w:rPr>
        <w:t>Disposición en una habitación circular</w:t>
      </w:r>
    </w:p>
    <w:p w:rsidR="001F77B3" w:rsidRPr="007A6DF0" w:rsidRDefault="00F668A3" w:rsidP="001F77B3">
      <w:pPr>
        <w:pStyle w:val="Figure"/>
        <w:rPr>
          <w:lang w:val="es-ES_tradnl" w:eastAsia="ja-JP"/>
        </w:rPr>
      </w:pPr>
      <w:r w:rsidRPr="007A6DF0">
        <w:rPr>
          <w:lang w:val="es-ES_tradnl"/>
        </w:rPr>
        <w:object w:dxaOrig="4822" w:dyaOrig="2584">
          <v:shape id="_x0000_i1036" type="#_x0000_t75" style="width:306.25pt;height:167.65pt" o:ole="">
            <v:imagedata r:id="rId35" o:title=""/>
          </v:shape>
          <o:OLEObject Type="Embed" ProgID="CorelDRAW.Graphic.14" ShapeID="_x0000_i1036" DrawAspect="Content" ObjectID="_1549090147" r:id="rId36"/>
        </w:object>
      </w:r>
    </w:p>
    <w:p w:rsidR="001F77B3" w:rsidRPr="007A6DF0" w:rsidRDefault="001F77B3" w:rsidP="001F77B3">
      <w:pPr>
        <w:pStyle w:val="Heading3"/>
        <w:rPr>
          <w:color w:val="000000"/>
          <w:lang w:val="es-ES_tradnl" w:eastAsia="ja-JP"/>
        </w:rPr>
      </w:pPr>
      <w:r w:rsidRPr="007A6DF0">
        <w:rPr>
          <w:color w:val="000000"/>
          <w:lang w:val="es-ES_tradnl" w:eastAsia="ja-JP"/>
        </w:rPr>
        <w:t>10</w:t>
      </w:r>
      <w:r w:rsidRPr="007A6DF0">
        <w:rPr>
          <w:color w:val="000000"/>
          <w:lang w:val="es-ES_tradnl"/>
        </w:rPr>
        <w:t>.2</w:t>
      </w:r>
      <w:r w:rsidRPr="007A6DF0">
        <w:rPr>
          <w:color w:val="000000"/>
          <w:lang w:val="es-ES_tradnl" w:eastAsia="ja-JP"/>
        </w:rPr>
        <w:t>.1</w:t>
      </w:r>
      <w:r w:rsidRPr="007A6DF0">
        <w:rPr>
          <w:color w:val="000000"/>
          <w:lang w:val="es-ES_tradnl"/>
        </w:rPr>
        <w:tab/>
        <w:t>Función de densidad de probabilidad de la potencia recibida</w:t>
      </w:r>
    </w:p>
    <w:p w:rsidR="001F77B3" w:rsidRPr="007A6DF0" w:rsidRDefault="001F77B3" w:rsidP="001F77B3">
      <w:pPr>
        <w:keepNext/>
        <w:keepLines/>
        <w:rPr>
          <w:color w:val="000000"/>
          <w:lang w:val="es-ES_tradnl"/>
        </w:rPr>
      </w:pPr>
      <w:r w:rsidRPr="007A6DF0">
        <w:rPr>
          <w:color w:val="000000"/>
          <w:lang w:val="es-ES_tradnl" w:eastAsia="ja-JP"/>
        </w:rPr>
        <w:t>La FD</w:t>
      </w:r>
      <w:r w:rsidRPr="007A6DF0">
        <w:rPr>
          <w:color w:val="000000"/>
          <w:lang w:val="es-ES_tradnl"/>
        </w:rPr>
        <w:t xml:space="preserve">P de la potencia recibida </w:t>
      </w:r>
      <w:r w:rsidRPr="007A6DF0">
        <w:rPr>
          <w:i/>
          <w:iCs/>
          <w:color w:val="000000"/>
          <w:lang w:val="es-ES_tradnl"/>
        </w:rPr>
        <w:t>r</w:t>
      </w:r>
      <w:r w:rsidRPr="007A6DF0">
        <w:rPr>
          <w:i/>
          <w:iCs/>
          <w:color w:val="000000"/>
          <w:vertAlign w:val="subscript"/>
          <w:lang w:val="es-ES_tradnl"/>
        </w:rPr>
        <w:t>p</w:t>
      </w:r>
      <w:r w:rsidRPr="007A6DF0">
        <w:rPr>
          <w:color w:val="000000"/>
          <w:lang w:val="es-ES_tradnl"/>
        </w:rPr>
        <w:t xml:space="preserve"> en el terminal móvil viene dada por la distribución Nakagami-Rice siguiente:</w:t>
      </w:r>
    </w:p>
    <w:p w:rsidR="001F77B3" w:rsidRPr="007A6DF0" w:rsidRDefault="001F77B3" w:rsidP="001F77B3">
      <w:pPr>
        <w:pStyle w:val="Equation"/>
        <w:rPr>
          <w:color w:val="000000"/>
          <w:lang w:val="es-ES_tradnl"/>
        </w:rPr>
      </w:pPr>
      <w:r w:rsidRPr="007A6DF0">
        <w:rPr>
          <w:lang w:val="es-ES_tradnl"/>
        </w:rPr>
        <w:tab/>
      </w:r>
      <w:r w:rsidRPr="007A6DF0">
        <w:rPr>
          <w:lang w:val="es-ES_tradnl"/>
        </w:rPr>
        <w:tab/>
      </w:r>
      <w:r w:rsidRPr="007A6DF0">
        <w:rPr>
          <w:position w:val="-16"/>
          <w:lang w:val="es-ES_tradnl"/>
        </w:rPr>
        <w:object w:dxaOrig="5420" w:dyaOrig="440">
          <v:shape id="_x0000_i1037" type="#_x0000_t75" style="width:274.05pt;height:22.05pt" o:ole="">
            <v:imagedata r:id="rId37" o:title=""/>
          </v:shape>
          <o:OLEObject Type="Embed" ProgID="Equation.3" ShapeID="_x0000_i1037" DrawAspect="Content" ObjectID="_1549090148" r:id="rId38"/>
        </w:object>
      </w:r>
      <w:r w:rsidRPr="007A6DF0">
        <w:rPr>
          <w:lang w:val="es-ES_tradnl"/>
        </w:rPr>
        <w:tab/>
        <w:t>(9)</w:t>
      </w:r>
    </w:p>
    <w:p w:rsidR="001F77B3" w:rsidRPr="007A6DF0" w:rsidRDefault="001F77B3" w:rsidP="001F77B3">
      <w:pPr>
        <w:rPr>
          <w:color w:val="000000"/>
          <w:lang w:val="es-ES_tradnl"/>
        </w:rPr>
      </w:pPr>
      <w:r w:rsidRPr="007A6DF0">
        <w:rPr>
          <w:color w:val="000000"/>
          <w:lang w:val="es-ES_tradnl"/>
        </w:rPr>
        <w:t xml:space="preserve">siendo </w:t>
      </w:r>
      <w:r w:rsidRPr="007A6DF0">
        <w:rPr>
          <w:i/>
          <w:iCs/>
          <w:color w:val="000000"/>
          <w:lang w:val="es-ES_tradnl"/>
        </w:rPr>
        <w:t>I</w:t>
      </w:r>
      <w:r w:rsidRPr="007A6DF0">
        <w:rPr>
          <w:color w:val="000000"/>
          <w:vertAlign w:val="subscript"/>
          <w:lang w:val="es-ES_tradnl"/>
        </w:rPr>
        <w:t>0</w:t>
      </w:r>
      <w:r w:rsidRPr="007A6DF0">
        <w:rPr>
          <w:color w:val="000000"/>
          <w:lang w:val="es-ES_tradnl"/>
        </w:rPr>
        <w:t>(</w:t>
      </w:r>
      <w:r w:rsidRPr="007A6DF0">
        <w:rPr>
          <w:i/>
          <w:iCs/>
          <w:color w:val="000000"/>
          <w:lang w:val="es-ES_tradnl"/>
        </w:rPr>
        <w:t>x</w:t>
      </w:r>
      <w:r w:rsidRPr="007A6DF0">
        <w:rPr>
          <w:color w:val="000000"/>
          <w:lang w:val="es-ES_tradnl"/>
        </w:rPr>
        <w:t xml:space="preserve">) la primera función Bessel modificada de orden 0 y </w:t>
      </w:r>
      <w:r w:rsidRPr="007A6DF0">
        <w:rPr>
          <w:i/>
          <w:iCs/>
          <w:color w:val="000000"/>
          <w:lang w:val="es-ES_tradnl"/>
        </w:rPr>
        <w:t>K</w:t>
      </w:r>
      <w:r w:rsidRPr="007A6DF0">
        <w:rPr>
          <w:color w:val="000000"/>
          <w:lang w:val="es-ES_tradnl"/>
        </w:rPr>
        <w:t xml:space="preserve"> el siguiente factor:</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lang w:val="es-ES_tradnl"/>
        </w:rPr>
        <w:tab/>
      </w:r>
      <w:r w:rsidRPr="007A6DF0">
        <w:rPr>
          <w:lang w:val="es-ES_tradnl"/>
        </w:rPr>
        <w:tab/>
      </w:r>
      <w:r w:rsidRPr="007A6DF0">
        <w:rPr>
          <w:position w:val="-32"/>
          <w:lang w:val="es-ES_tradnl"/>
        </w:rPr>
        <w:object w:dxaOrig="5899" w:dyaOrig="760">
          <v:shape id="_x0000_i1038" type="#_x0000_t75" style="width:295.5pt;height:35.45pt" o:ole="">
            <v:imagedata r:id="rId39" o:title=""/>
          </v:shape>
          <o:OLEObject Type="Embed" ProgID="Equation.3" ShapeID="_x0000_i1038" DrawAspect="Content" ObjectID="_1549090149" r:id="rId40"/>
        </w:object>
      </w:r>
      <w:r w:rsidRPr="007A6DF0">
        <w:rPr>
          <w:lang w:val="es-ES_tradnl"/>
        </w:rPr>
        <w:tab/>
        <w:t>(10)</w:t>
      </w:r>
    </w:p>
    <w:p w:rsidR="001F77B3" w:rsidRPr="007A6DF0" w:rsidRDefault="001F77B3" w:rsidP="001F77B3">
      <w:pPr>
        <w:pStyle w:val="Equation"/>
        <w:rPr>
          <w:lang w:val="es-ES_tradnl"/>
        </w:rPr>
      </w:pPr>
      <w:r w:rsidRPr="007A6DF0">
        <w:rPr>
          <w:lang w:val="es-ES_tradnl"/>
        </w:rPr>
        <w:t>donde:</w:t>
      </w:r>
    </w:p>
    <w:p w:rsidR="001F77B3" w:rsidRPr="007A6DF0" w:rsidRDefault="001F77B3" w:rsidP="001F77B3">
      <w:pPr>
        <w:pStyle w:val="Equation"/>
        <w:tabs>
          <w:tab w:val="clear" w:pos="794"/>
          <w:tab w:val="left" w:pos="0"/>
        </w:tabs>
        <w:rPr>
          <w:color w:val="000000"/>
          <w:lang w:val="es-ES_tradnl"/>
        </w:rPr>
      </w:pPr>
      <w:r w:rsidRPr="007A6DF0">
        <w:rPr>
          <w:position w:val="-194"/>
          <w:lang w:val="es-ES_tradnl"/>
        </w:rPr>
        <w:object w:dxaOrig="9320" w:dyaOrig="4000">
          <v:shape id="_x0000_i1039" type="#_x0000_t75" style="width:453.5pt;height:201.5pt" o:ole="">
            <v:imagedata r:id="rId41" o:title=""/>
          </v:shape>
          <o:OLEObject Type="Embed" ProgID="Equation.3" ShapeID="_x0000_i1039" DrawAspect="Content" ObjectID="_1549090150" r:id="rId42"/>
        </w:object>
      </w:r>
      <w:r w:rsidRPr="007A6DF0">
        <w:rPr>
          <w:lang w:val="es-ES_tradnl"/>
        </w:rPr>
        <w:tab/>
        <w:t>(11)</w:t>
      </w:r>
    </w:p>
    <w:p w:rsidR="001F77B3" w:rsidRPr="007A6DF0" w:rsidRDefault="001F77B3" w:rsidP="001F77B3">
      <w:pPr>
        <w:pStyle w:val="Equation"/>
        <w:rPr>
          <w:color w:val="000000"/>
          <w:lang w:val="es-ES_tradnl" w:eastAsia="ja-JP"/>
        </w:rPr>
      </w:pPr>
      <w:r w:rsidRPr="007A6DF0">
        <w:rPr>
          <w:color w:val="000000"/>
          <w:lang w:val="es-ES_tradnl"/>
        </w:rPr>
        <w:t xml:space="preserve">En esta ecuación </w:t>
      </w:r>
      <w:r w:rsidRPr="007A6DF0">
        <w:rPr>
          <w:i/>
          <w:color w:val="000000"/>
          <w:lang w:val="es-ES_tradnl" w:eastAsia="ja-JP"/>
        </w:rPr>
        <w:t>e</w:t>
      </w:r>
      <w:r w:rsidRPr="007A6DF0">
        <w:rPr>
          <w:i/>
          <w:color w:val="000000"/>
          <w:vertAlign w:val="subscript"/>
          <w:lang w:val="es-ES_tradnl" w:eastAsia="ja-JP"/>
        </w:rPr>
        <w:t>Directo</w:t>
      </w:r>
      <w:r w:rsidRPr="007A6DF0">
        <w:rPr>
          <w:color w:val="000000"/>
          <w:lang w:val="es-ES_tradnl" w:eastAsia="ja-JP"/>
        </w:rPr>
        <w:t>(</w:t>
      </w:r>
      <w:r w:rsidRPr="007A6DF0">
        <w:rPr>
          <w:i/>
          <w:color w:val="000000"/>
          <w:lang w:val="es-ES_tradnl" w:eastAsia="ja-JP"/>
        </w:rPr>
        <w:t>x</w:t>
      </w:r>
      <w:r w:rsidRPr="007A6DF0">
        <w:rPr>
          <w:color w:val="000000"/>
          <w:lang w:val="es-ES_tradnl" w:eastAsia="ja-JP"/>
        </w:rPr>
        <w:t xml:space="preserve">) </w:t>
      </w:r>
      <w:r w:rsidRPr="007A6DF0">
        <w:rPr>
          <w:color w:val="000000"/>
          <w:lang w:val="es-ES_tradnl"/>
        </w:rPr>
        <w:t xml:space="preserve">representa la envolvente </w:t>
      </w:r>
      <w:r w:rsidRPr="007A6DF0">
        <w:rPr>
          <w:color w:val="000000"/>
          <w:lang w:val="es-ES_tradnl" w:eastAsia="ja-JP"/>
        </w:rPr>
        <w:t xml:space="preserve">compleja del trayecto directo y </w:t>
      </w:r>
      <w:r w:rsidRPr="007A6DF0">
        <w:rPr>
          <w:i/>
          <w:lang w:val="es-ES_tradnl" w:eastAsia="ja-JP"/>
        </w:rPr>
        <w:t>e</w:t>
      </w:r>
      <w:r w:rsidRPr="007A6DF0">
        <w:rPr>
          <w:i/>
          <w:vertAlign w:val="subscript"/>
          <w:lang w:val="es-ES_tradnl" w:eastAsia="ja-JP"/>
        </w:rPr>
        <w:t>s</w:t>
      </w:r>
      <w:r w:rsidRPr="007A6DF0">
        <w:rPr>
          <w:lang w:val="es-ES_tradnl" w:eastAsia="ja-JP"/>
        </w:rPr>
        <w:t>(</w:t>
      </w:r>
      <w:r w:rsidRPr="007A6DF0">
        <w:rPr>
          <w:i/>
          <w:lang w:val="es-ES_tradnl" w:eastAsia="ja-JP"/>
        </w:rPr>
        <w:t>x</w:t>
      </w:r>
      <w:r w:rsidRPr="007A6DF0">
        <w:rPr>
          <w:lang w:val="es-ES_tradnl" w:eastAsia="ja-JP"/>
        </w:rPr>
        <w:t xml:space="preserve">) </w:t>
      </w:r>
      <w:r w:rsidRPr="007A6DF0">
        <w:rPr>
          <w:lang w:val="es-ES_tradnl"/>
        </w:rPr>
        <w:t>la envolvente compleja de trayectos múltiples sin objetos en movimiento alrededor del T</w:t>
      </w:r>
      <w:r w:rsidRPr="007A6DF0">
        <w:rPr>
          <w:color w:val="000000"/>
          <w:lang w:val="es-ES_tradnl" w:eastAsia="ja-JP"/>
        </w:rPr>
        <w:t>M en la posición </w:t>
      </w:r>
      <w:r w:rsidRPr="007A6DF0">
        <w:rPr>
          <w:i/>
          <w:color w:val="000000"/>
          <w:lang w:val="es-ES_tradnl" w:eastAsia="ja-JP"/>
        </w:rPr>
        <w:t>x</w:t>
      </w:r>
      <w:r w:rsidRPr="007A6DF0">
        <w:rPr>
          <w:color w:val="000000"/>
          <w:lang w:val="es-ES_tradnl" w:eastAsia="ja-JP"/>
        </w:rPr>
        <w:t>, que depende sólo del entorno estático que lo rodea;</w:t>
      </w:r>
      <w:r w:rsidRPr="007A6DF0">
        <w:rPr>
          <w:color w:val="000000"/>
          <w:lang w:val="es-ES_tradnl"/>
        </w:rPr>
        <w:t xml:space="preserve"> </w:t>
      </w:r>
      <w:r w:rsidRPr="007A6DF0">
        <w:rPr>
          <w:color w:val="000000"/>
          <w:lang w:val="es-ES_tradnl" w:eastAsia="ja-JP"/>
        </w:rPr>
        <w:t>sus valores no dependen del tiempo </w:t>
      </w:r>
      <w:r w:rsidRPr="007A6DF0">
        <w:rPr>
          <w:i/>
          <w:iCs/>
          <w:color w:val="000000"/>
          <w:lang w:val="es-ES_tradnl"/>
        </w:rPr>
        <w:t>t</w:t>
      </w:r>
      <w:r w:rsidRPr="007A6DF0">
        <w:rPr>
          <w:color w:val="000000"/>
          <w:lang w:val="es-ES_tradnl"/>
        </w:rPr>
        <w:t xml:space="preserve">. </w:t>
      </w:r>
      <w:r w:rsidRPr="007A6DF0">
        <w:rPr>
          <w:i/>
          <w:iCs/>
          <w:color w:val="000000"/>
          <w:lang w:val="es-ES_tradnl"/>
        </w:rPr>
        <w:t>P</w:t>
      </w:r>
      <w:r w:rsidRPr="007A6DF0">
        <w:rPr>
          <w:i/>
          <w:iCs/>
          <w:color w:val="000000"/>
          <w:vertAlign w:val="subscript"/>
          <w:lang w:val="es-ES_tradnl"/>
        </w:rPr>
        <w:t>m</w:t>
      </w:r>
      <w:r w:rsidRPr="007A6DF0">
        <w:rPr>
          <w:i/>
          <w:iCs/>
          <w:color w:val="000000"/>
          <w:lang w:val="es-ES_tradnl"/>
        </w:rPr>
        <w:t xml:space="preserve"> </w:t>
      </w:r>
      <w:r w:rsidRPr="007A6DF0">
        <w:rPr>
          <w:color w:val="000000"/>
          <w:lang w:val="es-ES_tradnl"/>
        </w:rPr>
        <w:t xml:space="preserve">representa la potencia total </w:t>
      </w:r>
      <w:r w:rsidRPr="007A6DF0">
        <w:rPr>
          <w:color w:val="000000"/>
          <w:lang w:val="es-ES_tradnl" w:eastAsia="ja-JP"/>
        </w:rPr>
        <w:t>de los múltiples trayectos.</w:t>
      </w:r>
      <w:r w:rsidRPr="007A6DF0">
        <w:rPr>
          <w:color w:val="000000"/>
          <w:lang w:val="es-ES_tradnl"/>
        </w:rPr>
        <w:t xml:space="preserve"> </w:t>
      </w:r>
      <w:r w:rsidRPr="007A6DF0">
        <w:rPr>
          <w:i/>
          <w:iCs/>
          <w:color w:val="000000"/>
          <w:lang w:val="es-ES_tradnl"/>
        </w:rPr>
        <w:t>S</w:t>
      </w:r>
      <w:r w:rsidRPr="007A6DF0">
        <w:rPr>
          <w:i/>
          <w:iCs/>
          <w:color w:val="000000"/>
          <w:vertAlign w:val="subscript"/>
          <w:lang w:val="es-ES_tradnl" w:eastAsia="ja-JP"/>
        </w:rPr>
        <w:t>Forma</w:t>
      </w:r>
      <w:r w:rsidRPr="007A6DF0">
        <w:rPr>
          <w:color w:val="000000"/>
          <w:lang w:val="es-ES_tradnl"/>
        </w:rPr>
        <w:t xml:space="preserve"> e</w:t>
      </w:r>
      <w:r w:rsidRPr="007A6DF0">
        <w:rPr>
          <w:color w:val="000000"/>
          <w:lang w:val="es-ES_tradnl" w:eastAsia="ja-JP"/>
        </w:rPr>
        <w:t xml:space="preserve">s un valor </w:t>
      </w:r>
      <w:r w:rsidRPr="007A6DF0">
        <w:rPr>
          <w:lang w:val="es-ES_tradnl"/>
        </w:rPr>
        <w:t>constante que queda determinado por la forma y dimensiones de la habitación.</w:t>
      </w:r>
    </w:p>
    <w:p w:rsidR="001F77B3" w:rsidRPr="007A6DF0" w:rsidRDefault="001F77B3" w:rsidP="001F77B3">
      <w:pPr>
        <w:pStyle w:val="Heading3"/>
        <w:rPr>
          <w:color w:val="000000"/>
          <w:lang w:val="es-ES_tradnl"/>
        </w:rPr>
      </w:pPr>
      <w:r w:rsidRPr="007A6DF0">
        <w:rPr>
          <w:color w:val="000000"/>
          <w:lang w:val="es-ES_tradnl" w:eastAsia="ja-JP"/>
        </w:rPr>
        <w:t>10</w:t>
      </w:r>
      <w:r w:rsidRPr="007A6DF0">
        <w:rPr>
          <w:color w:val="000000"/>
          <w:lang w:val="es-ES_tradnl"/>
        </w:rPr>
        <w:t>.</w:t>
      </w:r>
      <w:r w:rsidRPr="007A6DF0">
        <w:rPr>
          <w:color w:val="000000"/>
          <w:lang w:val="es-ES_tradnl" w:eastAsia="ja-JP"/>
        </w:rPr>
        <w:t>2.2</w:t>
      </w:r>
      <w:r w:rsidRPr="007A6DF0">
        <w:rPr>
          <w:color w:val="000000"/>
          <w:lang w:val="es-ES_tradnl"/>
        </w:rPr>
        <w:tab/>
        <w:t>Función de autocorrelación del nivel de seña recibido</w:t>
      </w:r>
    </w:p>
    <w:p w:rsidR="001F77B3" w:rsidRPr="007A6DF0" w:rsidRDefault="001F77B3" w:rsidP="001F77B3">
      <w:pPr>
        <w:rPr>
          <w:color w:val="000000"/>
          <w:lang w:val="es-ES_tradnl"/>
        </w:rPr>
      </w:pPr>
      <w:r w:rsidRPr="007A6DF0">
        <w:rPr>
          <w:color w:val="000000"/>
          <w:lang w:val="es-ES_tradnl"/>
        </w:rPr>
        <w:t xml:space="preserve">La función de autocorrelación </w:t>
      </w:r>
      <w:r w:rsidRPr="007A6DF0">
        <w:rPr>
          <w:i/>
          <w:iCs/>
          <w:color w:val="000000"/>
          <w:lang w:val="es-ES_tradnl"/>
        </w:rPr>
        <w:t>R</w:t>
      </w:r>
      <w:r w:rsidRPr="007A6DF0">
        <w:rPr>
          <w:color w:val="000000"/>
          <w:lang w:val="es-ES_tradnl"/>
        </w:rPr>
        <w:t>(</w:t>
      </w:r>
      <w:r w:rsidRPr="007A6DF0">
        <w:rPr>
          <w:color w:val="000000"/>
          <w:lang w:val="es-ES_tradnl"/>
        </w:rPr>
        <w:sym w:font="Symbol" w:char="F044"/>
      </w:r>
      <w:r w:rsidRPr="007A6DF0">
        <w:rPr>
          <w:i/>
          <w:iCs/>
          <w:color w:val="000000"/>
          <w:lang w:val="es-ES_tradnl"/>
        </w:rPr>
        <w:t>t</w:t>
      </w:r>
      <w:r w:rsidRPr="007A6DF0">
        <w:rPr>
          <w:color w:val="000000"/>
          <w:lang w:val="es-ES_tradnl"/>
        </w:rPr>
        <w:t xml:space="preserve">) </w:t>
      </w:r>
      <w:r w:rsidRPr="007A6DF0">
        <w:rPr>
          <w:lang w:val="es-ES_tradnl"/>
        </w:rPr>
        <w:t xml:space="preserve">del nivel de la señal compleja recibida en el intervalo de tiempo </w:t>
      </w:r>
      <w:r w:rsidRPr="007A6DF0">
        <w:rPr>
          <w:lang w:val="es-ES_tradnl"/>
        </w:rPr>
        <w:sym w:font="Symbol" w:char="F044"/>
      </w:r>
      <w:r w:rsidRPr="007A6DF0">
        <w:rPr>
          <w:i/>
          <w:iCs/>
          <w:color w:val="000000"/>
          <w:lang w:val="es-ES_tradnl"/>
        </w:rPr>
        <w:t>t</w:t>
      </w:r>
      <w:r w:rsidRPr="007A6DF0">
        <w:rPr>
          <w:color w:val="000000"/>
          <w:lang w:val="es-ES_tradnl"/>
        </w:rPr>
        <w:t xml:space="preserve"> viene dado por la siguiente expresión:</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position w:val="-164"/>
          <w:lang w:val="es-ES_tradnl"/>
        </w:rPr>
        <w:object w:dxaOrig="11600" w:dyaOrig="3400">
          <v:shape id="_x0000_i1040" type="#_x0000_t75" style="width:453.5pt;height:137pt" o:ole="">
            <v:imagedata r:id="rId43" o:title=""/>
          </v:shape>
          <o:OLEObject Type="Embed" ProgID="Equation.3" ShapeID="_x0000_i1040" DrawAspect="Content" ObjectID="_1549090151" r:id="rId44"/>
        </w:object>
      </w:r>
      <w:r w:rsidRPr="007A6DF0">
        <w:rPr>
          <w:lang w:val="es-ES_tradnl"/>
        </w:rPr>
        <w:tab/>
        <w:t>(12)</w:t>
      </w:r>
    </w:p>
    <w:p w:rsidR="001F77B3" w:rsidRPr="007A6DF0" w:rsidRDefault="001F77B3" w:rsidP="001F77B3">
      <w:pPr>
        <w:rPr>
          <w:color w:val="000000"/>
          <w:lang w:val="es-ES_tradnl" w:eastAsia="ja-JP"/>
        </w:rPr>
      </w:pPr>
      <w:r w:rsidRPr="007A6DF0">
        <w:rPr>
          <w:color w:val="000000"/>
          <w:lang w:val="es-ES_tradnl" w:eastAsia="ja-JP"/>
        </w:rPr>
        <w:t>siendo:</w:t>
      </w:r>
    </w:p>
    <w:p w:rsidR="001F77B3" w:rsidRPr="007A6DF0" w:rsidRDefault="001F77B3" w:rsidP="001F77B3">
      <w:pPr>
        <w:pStyle w:val="Equation"/>
        <w:rPr>
          <w:color w:val="000000"/>
          <w:lang w:val="es-ES_tradnl" w:eastAsia="ja-JP"/>
        </w:rPr>
      </w:pPr>
      <w:r w:rsidRPr="007A6DF0">
        <w:rPr>
          <w:color w:val="000000"/>
          <w:lang w:val="es-ES_tradnl"/>
        </w:rPr>
        <w:tab/>
      </w:r>
      <w:r w:rsidRPr="007A6DF0">
        <w:rPr>
          <w:color w:val="000000"/>
          <w:lang w:val="es-ES_tradnl"/>
        </w:rPr>
        <w:tab/>
      </w:r>
      <w:r w:rsidR="00F668A3" w:rsidRPr="007A6DF0">
        <w:rPr>
          <w:color w:val="000000"/>
          <w:position w:val="-12"/>
          <w:lang w:val="es-ES_tradnl"/>
        </w:rPr>
        <w:object w:dxaOrig="1100" w:dyaOrig="360">
          <v:shape id="_x0000_i1041" type="#_x0000_t75" style="width:72.55pt;height:18.25pt" o:ole="" filled="t">
            <v:fill color2="black"/>
            <v:imagedata r:id="rId45" o:title=""/>
          </v:shape>
          <o:OLEObject Type="Embed" ProgID="Equation.DSMT4" ShapeID="_x0000_i1041" DrawAspect="Content" ObjectID="_1549090152" r:id="rId46"/>
        </w:object>
      </w:r>
      <w:r w:rsidRPr="007A6DF0">
        <w:rPr>
          <w:color w:val="000000"/>
          <w:lang w:val="es-ES_tradnl" w:eastAsia="ja-JP"/>
        </w:rPr>
        <w:tab/>
      </w:r>
      <w:r w:rsidRPr="007A6DF0">
        <w:rPr>
          <w:color w:val="000000"/>
          <w:lang w:val="es-ES_tradnl"/>
        </w:rPr>
        <w:t>(13)</w:t>
      </w:r>
    </w:p>
    <w:p w:rsidR="001F77B3" w:rsidRPr="007A6DF0" w:rsidRDefault="001F77B3" w:rsidP="001F77B3">
      <w:pPr>
        <w:rPr>
          <w:rFonts w:eastAsia="MS PGothic"/>
          <w:color w:val="000000"/>
          <w:lang w:val="es-ES_tradnl" w:eastAsia="ja-JP"/>
        </w:rPr>
      </w:pPr>
      <w:r w:rsidRPr="007A6DF0">
        <w:rPr>
          <w:rFonts w:eastAsia="MS PGothic"/>
          <w:color w:val="000000"/>
          <w:lang w:val="es-ES_tradnl"/>
        </w:rPr>
        <w:t xml:space="preserve">En esta ecuación </w:t>
      </w:r>
      <w:r w:rsidRPr="007A6DF0">
        <w:rPr>
          <w:rFonts w:eastAsia="MS PGothic"/>
          <w:i/>
          <w:iCs/>
          <w:color w:val="000000"/>
          <w:lang w:val="es-ES_tradnl"/>
        </w:rPr>
        <w:t>f</w:t>
      </w:r>
      <w:r w:rsidRPr="007A6DF0">
        <w:rPr>
          <w:rFonts w:eastAsia="MS PGothic"/>
          <w:i/>
          <w:iCs/>
          <w:color w:val="000000"/>
          <w:vertAlign w:val="subscript"/>
          <w:lang w:val="es-ES_tradnl"/>
        </w:rPr>
        <w:t>T</w:t>
      </w:r>
      <w:r w:rsidRPr="007A6DF0">
        <w:rPr>
          <w:rFonts w:eastAsia="MS PGothic"/>
          <w:color w:val="000000"/>
          <w:lang w:val="es-ES_tradnl"/>
        </w:rPr>
        <w:t xml:space="preserve"> viene dado por la velocidad de desplazamiento </w:t>
      </w:r>
      <w:r w:rsidRPr="007A6DF0">
        <w:rPr>
          <w:rFonts w:eastAsia="MS PGothic"/>
          <w:i/>
          <w:iCs/>
          <w:lang w:val="es-ES_tradnl"/>
        </w:rPr>
        <w:t>v</w:t>
      </w:r>
      <w:r w:rsidRPr="007A6DF0">
        <w:rPr>
          <w:rFonts w:eastAsia="MS PGothic"/>
          <w:lang w:val="es-ES_tradnl"/>
        </w:rPr>
        <w:t xml:space="preserve"> y la anchura </w:t>
      </w:r>
      <w:r w:rsidRPr="007A6DF0">
        <w:rPr>
          <w:rFonts w:eastAsia="MS PGothic"/>
          <w:lang w:val="es-ES_tradnl"/>
        </w:rPr>
        <w:sym w:font="Symbol" w:char="F044"/>
      </w:r>
      <w:r w:rsidRPr="007A6DF0">
        <w:rPr>
          <w:i/>
          <w:iCs/>
          <w:lang w:val="es-ES_tradnl"/>
        </w:rPr>
        <w:t>w</w:t>
      </w:r>
      <w:r w:rsidRPr="007A6DF0">
        <w:rPr>
          <w:lang w:val="es-ES_tradnl"/>
        </w:rPr>
        <w:t xml:space="preserve"> </w:t>
      </w:r>
      <w:r w:rsidRPr="007A6DF0">
        <w:rPr>
          <w:rFonts w:eastAsia="MS PGothic"/>
          <w:lang w:val="es-ES_tradnl"/>
        </w:rPr>
        <w:t>de la persona en movimiento y puede considerarse como el desplazamiento máximo de frecuencia para el terminal móvil estático</w:t>
      </w:r>
      <w:r w:rsidRPr="007A6DF0">
        <w:rPr>
          <w:rFonts w:eastAsia="MS PGothic"/>
          <w:color w:val="000000"/>
          <w:lang w:val="es-ES_tradnl"/>
        </w:rPr>
        <w:t>.</w:t>
      </w:r>
    </w:p>
    <w:p w:rsidR="001F77B3" w:rsidRPr="007A6DF0" w:rsidRDefault="001F77B3" w:rsidP="001F77B3">
      <w:pPr>
        <w:pStyle w:val="Heading3"/>
        <w:rPr>
          <w:lang w:val="es-ES_tradnl" w:eastAsia="ja-JP"/>
        </w:rPr>
      </w:pPr>
      <w:r w:rsidRPr="007A6DF0">
        <w:rPr>
          <w:color w:val="000000"/>
          <w:lang w:val="es-ES_tradnl" w:eastAsia="ja-JP"/>
        </w:rPr>
        <w:t>10</w:t>
      </w:r>
      <w:r w:rsidRPr="007A6DF0">
        <w:rPr>
          <w:color w:val="000000"/>
          <w:lang w:val="es-ES_tradnl"/>
        </w:rPr>
        <w:t>.</w:t>
      </w:r>
      <w:r w:rsidRPr="007A6DF0">
        <w:rPr>
          <w:color w:val="000000"/>
          <w:lang w:val="es-ES_tradnl" w:eastAsia="ja-JP"/>
        </w:rPr>
        <w:t>2.3</w:t>
      </w:r>
      <w:r w:rsidRPr="007A6DF0">
        <w:rPr>
          <w:color w:val="000000"/>
          <w:lang w:val="es-ES_tradnl"/>
        </w:rPr>
        <w:tab/>
      </w:r>
      <w:r w:rsidRPr="007A6DF0">
        <w:rPr>
          <w:lang w:val="es-ES_tradnl"/>
        </w:rPr>
        <w:t>Espectro de potencia de la señal recibida</w:t>
      </w:r>
    </w:p>
    <w:p w:rsidR="001F77B3" w:rsidRPr="007A6DF0" w:rsidRDefault="001F77B3" w:rsidP="001F77B3">
      <w:pPr>
        <w:rPr>
          <w:lang w:val="es-ES_tradnl" w:eastAsia="ja-JP"/>
        </w:rPr>
      </w:pPr>
      <w:r w:rsidRPr="007A6DF0">
        <w:rPr>
          <w:lang w:val="es-ES_tradnl"/>
        </w:rPr>
        <w:t xml:space="preserve">El espectro de potencia </w:t>
      </w:r>
      <w:r w:rsidRPr="007A6DF0">
        <w:rPr>
          <w:i/>
          <w:lang w:val="es-ES_tradnl" w:eastAsia="ja-JP"/>
        </w:rPr>
        <w:t>P</w:t>
      </w:r>
      <w:r w:rsidRPr="007A6DF0">
        <w:rPr>
          <w:lang w:val="es-ES_tradnl" w:eastAsia="ja-JP"/>
        </w:rPr>
        <w:t>(</w:t>
      </w:r>
      <w:r w:rsidRPr="007A6DF0">
        <w:rPr>
          <w:i/>
          <w:lang w:val="es-ES_tradnl" w:eastAsia="ja-JP"/>
        </w:rPr>
        <w:t>f</w:t>
      </w:r>
      <w:r w:rsidRPr="007A6DF0">
        <w:rPr>
          <w:i/>
          <w:sz w:val="16"/>
          <w:szCs w:val="16"/>
          <w:lang w:val="es-ES_tradnl" w:eastAsia="ja-JP"/>
        </w:rPr>
        <w:t> </w:t>
      </w:r>
      <w:r w:rsidRPr="007A6DF0">
        <w:rPr>
          <w:lang w:val="es-ES_tradnl" w:eastAsia="ja-JP"/>
        </w:rPr>
        <w:t>)</w:t>
      </w:r>
      <w:r w:rsidRPr="007A6DF0">
        <w:rPr>
          <w:lang w:val="es-ES_tradnl"/>
        </w:rPr>
        <w:t xml:space="preserve"> en función de la frecuencia, que determina la variación de la envolvente compleja, viene dado por la transformada de Fourier de la función de autocorrelación </w:t>
      </w:r>
      <w:r w:rsidRPr="007A6DF0">
        <w:rPr>
          <w:i/>
          <w:iCs/>
          <w:lang w:val="es-ES_tradnl"/>
        </w:rPr>
        <w:t>R</w:t>
      </w:r>
      <w:r w:rsidRPr="007A6DF0">
        <w:rPr>
          <w:lang w:val="es-ES_tradnl"/>
        </w:rPr>
        <w:t>(</w:t>
      </w:r>
      <w:r w:rsidRPr="007A6DF0">
        <w:rPr>
          <w:lang w:val="es-ES_tradnl"/>
        </w:rPr>
        <w:sym w:font="Symbol" w:char="F044"/>
      </w:r>
      <w:r w:rsidRPr="007A6DF0">
        <w:rPr>
          <w:i/>
          <w:iCs/>
          <w:lang w:val="es-ES_tradnl"/>
        </w:rPr>
        <w:t>t</w:t>
      </w:r>
      <w:r w:rsidRPr="007A6DF0">
        <w:rPr>
          <w:lang w:val="es-ES_tradnl"/>
        </w:rPr>
        <w:t>) indicada en la ecuación (2</w:t>
      </w:r>
      <w:r w:rsidRPr="007A6DF0">
        <w:rPr>
          <w:lang w:val="es-ES_tradnl" w:eastAsia="ja-JP"/>
        </w:rPr>
        <w:t>2</w:t>
      </w:r>
      <w:r w:rsidRPr="007A6DF0">
        <w:rPr>
          <w:lang w:val="es-ES_tradnl"/>
        </w:rPr>
        <w:t>), esto es:</w:t>
      </w:r>
    </w:p>
    <w:p w:rsidR="001F77B3" w:rsidRPr="007A6DF0" w:rsidRDefault="001F77B3" w:rsidP="001F77B3">
      <w:pPr>
        <w:pStyle w:val="Blanc"/>
        <w:rPr>
          <w:lang w:val="es-ES_tradnl"/>
        </w:rPr>
      </w:pPr>
    </w:p>
    <w:p w:rsidR="001F77B3" w:rsidRPr="007A6DF0" w:rsidRDefault="001F77B3" w:rsidP="001F77B3">
      <w:pPr>
        <w:pStyle w:val="Equation"/>
        <w:rPr>
          <w:lang w:val="es-ES_tradnl"/>
        </w:rPr>
      </w:pPr>
      <w:r w:rsidRPr="007A6DF0">
        <w:rPr>
          <w:lang w:val="es-ES_tradnl"/>
        </w:rPr>
        <w:tab/>
      </w:r>
      <w:r w:rsidRPr="007A6DF0">
        <w:rPr>
          <w:lang w:val="es-ES_tradnl"/>
        </w:rPr>
        <w:tab/>
      </w:r>
      <w:r w:rsidRPr="007A6DF0">
        <w:rPr>
          <w:position w:val="-20"/>
          <w:lang w:val="es-ES_tradnl"/>
        </w:rPr>
        <w:object w:dxaOrig="2980" w:dyaOrig="560">
          <v:shape id="_x0000_i1042" type="#_x0000_t75" style="width:151.5pt;height:29pt" o:ole="" o:allowoverlap="f">
            <v:imagedata r:id="rId47" o:title=""/>
          </v:shape>
          <o:OLEObject Type="Embed" ProgID="Equation.3" ShapeID="_x0000_i1042" DrawAspect="Content" ObjectID="_1549090153" r:id="rId48"/>
        </w:object>
      </w:r>
      <w:r w:rsidRPr="007A6DF0">
        <w:rPr>
          <w:lang w:val="es-ES_tradnl" w:eastAsia="ja-JP"/>
        </w:rPr>
        <w:tab/>
      </w:r>
      <w:r w:rsidRPr="007A6DF0">
        <w:rPr>
          <w:lang w:val="es-ES_tradnl"/>
        </w:rPr>
        <w:t>(14)</w:t>
      </w:r>
    </w:p>
    <w:p w:rsidR="001F77B3" w:rsidRPr="007A6DF0" w:rsidRDefault="001F77B3" w:rsidP="001F77B3">
      <w:pPr>
        <w:rPr>
          <w:lang w:val="es-ES_tradnl"/>
        </w:rPr>
      </w:pPr>
      <w:r w:rsidRPr="007A6DF0">
        <w:rPr>
          <w:iCs/>
          <w:lang w:val="es-ES_tradnl" w:eastAsia="ja-JP"/>
        </w:rPr>
        <w:lastRenderedPageBreak/>
        <w:t>El espectro de potencia</w:t>
      </w:r>
      <w:r w:rsidRPr="007A6DF0">
        <w:rPr>
          <w:i/>
          <w:lang w:val="es-ES_tradnl" w:eastAsia="ja-JP"/>
        </w:rPr>
        <w:t xml:space="preserve"> P</w:t>
      </w:r>
      <w:r w:rsidRPr="007A6DF0">
        <w:rPr>
          <w:i/>
          <w:vertAlign w:val="subscript"/>
          <w:lang w:val="es-ES_tradnl" w:eastAsia="ja-JP"/>
        </w:rPr>
        <w:t>N</w:t>
      </w:r>
      <w:r w:rsidRPr="007A6DF0">
        <w:rPr>
          <w:lang w:val="es-ES_tradnl" w:eastAsia="ja-JP"/>
        </w:rPr>
        <w:t>(</w:t>
      </w:r>
      <w:r w:rsidRPr="007A6DF0">
        <w:rPr>
          <w:i/>
          <w:lang w:val="es-ES_tradnl" w:eastAsia="ja-JP"/>
        </w:rPr>
        <w:t>f</w:t>
      </w:r>
      <w:r w:rsidRPr="007A6DF0">
        <w:rPr>
          <w:i/>
          <w:sz w:val="16"/>
          <w:szCs w:val="16"/>
          <w:lang w:val="es-ES_tradnl" w:eastAsia="ja-JP"/>
        </w:rPr>
        <w:t> </w:t>
      </w:r>
      <w:r w:rsidRPr="007A6DF0">
        <w:rPr>
          <w:lang w:val="es-ES_tradnl" w:eastAsia="ja-JP"/>
        </w:rPr>
        <w:t>)</w:t>
      </w:r>
      <w:r w:rsidRPr="007A6DF0">
        <w:rPr>
          <w:lang w:val="es-ES_tradnl"/>
        </w:rPr>
        <w:t xml:space="preserve">, normalizado a la potencia </w:t>
      </w:r>
      <w:r w:rsidRPr="007A6DF0">
        <w:rPr>
          <w:i/>
          <w:iCs/>
          <w:lang w:val="es-ES_tradnl"/>
        </w:rPr>
        <w:t>P</w:t>
      </w:r>
      <w:r w:rsidRPr="007A6DF0">
        <w:rPr>
          <w:lang w:val="es-ES_tradnl"/>
        </w:rPr>
        <w:t xml:space="preserve">(0) a la frecuencia </w:t>
      </w:r>
      <w:r w:rsidRPr="007A6DF0">
        <w:rPr>
          <w:i/>
          <w:iCs/>
          <w:lang w:val="es-ES_tradnl"/>
        </w:rPr>
        <w:t>f </w:t>
      </w:r>
      <w:r w:rsidRPr="007A6DF0">
        <w:rPr>
          <w:lang w:val="es-ES_tradnl"/>
        </w:rPr>
        <w:t>= 0 Hz, puede aproximarse por el siguiente valor.</w:t>
      </w:r>
    </w:p>
    <w:p w:rsidR="001F77B3" w:rsidRPr="007A6DF0" w:rsidRDefault="001F77B3" w:rsidP="001F77B3">
      <w:pPr>
        <w:pStyle w:val="Blanc"/>
        <w:rPr>
          <w:lang w:val="es-ES_tradnl"/>
        </w:rPr>
      </w:pPr>
    </w:p>
    <w:p w:rsidR="001F77B3" w:rsidRPr="007A6DF0" w:rsidRDefault="001F77B3" w:rsidP="00F668A3">
      <w:pPr>
        <w:pStyle w:val="Equation"/>
        <w:rPr>
          <w:lang w:val="es-ES_tradnl"/>
        </w:rPr>
      </w:pPr>
      <w:r w:rsidRPr="007A6DF0">
        <w:rPr>
          <w:lang w:val="es-ES_tradnl"/>
        </w:rPr>
        <w:tab/>
      </w:r>
      <w:r w:rsidR="00F668A3" w:rsidRPr="007A6DF0">
        <w:rPr>
          <w:lang w:val="es-ES_tradnl"/>
        </w:rPr>
        <w:object w:dxaOrig="2060" w:dyaOrig="360">
          <v:shape id="_x0000_i1043" type="#_x0000_t75" style="width:86.5pt;height:19.35pt" o:ole="">
            <v:imagedata r:id="rId49" o:title=""/>
          </v:shape>
          <o:OLEObject Type="Embed" ProgID="Equation.3" ShapeID="_x0000_i1043" DrawAspect="Content" ObjectID="_1549090154" r:id="rId50"/>
        </w:object>
      </w:r>
    </w:p>
    <w:p w:rsidR="001F77B3" w:rsidRPr="007A6DF0" w:rsidRDefault="001F77B3" w:rsidP="001F77B3">
      <w:pPr>
        <w:pStyle w:val="Equation"/>
        <w:rPr>
          <w:lang w:val="es-ES_tradnl"/>
        </w:rPr>
      </w:pPr>
      <w:r w:rsidRPr="007A6DF0">
        <w:rPr>
          <w:position w:val="-70"/>
          <w:lang w:val="es-ES_tradnl"/>
        </w:rPr>
        <w:object w:dxaOrig="8260" w:dyaOrig="2600">
          <v:shape id="_x0000_i1044" type="#_x0000_t75" style="width:410.5pt;height:129.5pt" o:ole="">
            <v:imagedata r:id="rId51" o:title=""/>
          </v:shape>
          <o:OLEObject Type="Embed" ProgID="Equation.3" ShapeID="_x0000_i1044" DrawAspect="Content" ObjectID="_1549090155" r:id="rId52"/>
        </w:object>
      </w:r>
      <w:r w:rsidRPr="007A6DF0">
        <w:rPr>
          <w:lang w:val="es-ES_tradnl"/>
        </w:rPr>
        <w:tab/>
        <w:t>(15)</w:t>
      </w:r>
    </w:p>
    <w:p w:rsidR="001F77B3" w:rsidRPr="007A6DF0" w:rsidRDefault="001F77B3" w:rsidP="001F77B3">
      <w:pPr>
        <w:pStyle w:val="Equation"/>
        <w:rPr>
          <w:lang w:val="es-ES_tradnl"/>
        </w:rPr>
      </w:pPr>
      <w:r w:rsidRPr="007A6DF0">
        <w:rPr>
          <w:lang w:val="es-ES_tradnl"/>
        </w:rPr>
        <w:t xml:space="preserve">siendo </w:t>
      </w:r>
      <w:r w:rsidRPr="007A6DF0">
        <w:rPr>
          <w:lang w:val="es-ES_tradnl"/>
        </w:rPr>
        <w:sym w:font="Symbol" w:char="F064"/>
      </w:r>
      <w:r w:rsidRPr="007A6DF0">
        <w:rPr>
          <w:sz w:val="12"/>
          <w:lang w:val="es-ES_tradnl"/>
        </w:rPr>
        <w:t> </w:t>
      </w:r>
      <w:r w:rsidRPr="007A6DF0">
        <w:rPr>
          <w:lang w:val="es-ES_tradnl"/>
        </w:rPr>
        <w:t>(</w:t>
      </w:r>
      <w:r w:rsidRPr="007A6DF0">
        <w:rPr>
          <w:i/>
          <w:iCs/>
          <w:lang w:val="es-ES_tradnl"/>
        </w:rPr>
        <w:t>f</w:t>
      </w:r>
      <w:r w:rsidRPr="007A6DF0">
        <w:rPr>
          <w:i/>
          <w:iCs/>
          <w:sz w:val="16"/>
          <w:szCs w:val="16"/>
          <w:lang w:val="es-ES_tradnl"/>
        </w:rPr>
        <w:t> </w:t>
      </w:r>
      <w:r w:rsidRPr="007A6DF0">
        <w:rPr>
          <w:lang w:val="es-ES_tradnl"/>
        </w:rPr>
        <w:t xml:space="preserve">) la función delta de </w:t>
      </w:r>
      <w:r w:rsidRPr="007A6DF0">
        <w:rPr>
          <w:lang w:val="es-ES_tradnl" w:eastAsia="ja-JP"/>
        </w:rPr>
        <w:t>Dirac</w:t>
      </w:r>
      <w:r w:rsidRPr="007A6DF0">
        <w:rPr>
          <w:lang w:val="es-ES_tradnl"/>
        </w:rPr>
        <w:t>.</w:t>
      </w:r>
    </w:p>
    <w:p w:rsidR="001F77B3" w:rsidRPr="007A6DF0" w:rsidRDefault="001F77B3" w:rsidP="001F77B3">
      <w:pPr>
        <w:pStyle w:val="Heading3"/>
        <w:rPr>
          <w:lang w:val="es-ES_tradnl" w:eastAsia="ja-JP"/>
        </w:rPr>
      </w:pPr>
      <w:r w:rsidRPr="007A6DF0">
        <w:rPr>
          <w:lang w:val="es-ES_tradnl" w:eastAsia="ja-JP"/>
        </w:rPr>
        <w:t>10.2.4</w:t>
      </w:r>
      <w:r w:rsidRPr="007A6DF0">
        <w:rPr>
          <w:lang w:val="es-ES_tradnl" w:eastAsia="ja-JP"/>
        </w:rPr>
        <w:tab/>
        <w:t>Valores</w:t>
      </w:r>
    </w:p>
    <w:p w:rsidR="001F77B3" w:rsidRPr="007A6DF0" w:rsidRDefault="001F77B3" w:rsidP="001F77B3">
      <w:pPr>
        <w:rPr>
          <w:lang w:val="es-ES_tradnl" w:eastAsia="ja-JP"/>
        </w:rPr>
      </w:pPr>
      <w:r w:rsidRPr="007A6DF0">
        <w:rPr>
          <w:lang w:val="es-ES_tradnl"/>
        </w:rPr>
        <w:t xml:space="preserve">Se recomienda un valor de </w:t>
      </w:r>
      <w:r w:rsidRPr="007A6DF0">
        <w:rPr>
          <w:lang w:val="es-ES_tradnl"/>
        </w:rPr>
        <w:sym w:font="Symbol" w:char="F044"/>
      </w:r>
      <w:r w:rsidRPr="007A6DF0">
        <w:rPr>
          <w:bCs/>
          <w:i/>
          <w:iCs/>
          <w:lang w:val="es-ES_tradnl"/>
        </w:rPr>
        <w:t>w</w:t>
      </w:r>
      <w:r w:rsidRPr="007A6DF0">
        <w:rPr>
          <w:bCs/>
          <w:lang w:val="es-ES_tradnl"/>
        </w:rPr>
        <w:t xml:space="preserve"> igual a </w:t>
      </w:r>
      <w:r w:rsidRPr="007A6DF0">
        <w:rPr>
          <w:lang w:val="es-ES_tradnl"/>
        </w:rPr>
        <w:t>0,3 m, que es representativo de un hombre adulto medio.</w:t>
      </w:r>
    </w:p>
    <w:p w:rsidR="001F77B3" w:rsidRPr="007A6DF0" w:rsidRDefault="001F77B3" w:rsidP="001F77B3">
      <w:pPr>
        <w:pStyle w:val="Heading3"/>
        <w:rPr>
          <w:color w:val="000000"/>
          <w:lang w:val="es-ES_tradnl" w:eastAsia="ja-JP"/>
        </w:rPr>
      </w:pPr>
      <w:r w:rsidRPr="007A6DF0">
        <w:rPr>
          <w:color w:val="000000"/>
          <w:lang w:val="es-ES_tradnl" w:eastAsia="ja-JP"/>
        </w:rPr>
        <w:t>10.2.5</w:t>
      </w:r>
      <w:r w:rsidRPr="007A6DF0">
        <w:rPr>
          <w:color w:val="000000"/>
          <w:lang w:val="es-ES_tradnl" w:eastAsia="ja-JP"/>
        </w:rPr>
        <w:tab/>
      </w:r>
      <w:r w:rsidRPr="007A6DF0">
        <w:rPr>
          <w:color w:val="000000"/>
          <w:lang w:val="es-ES_tradnl"/>
        </w:rPr>
        <w:t>Ejemplos</w:t>
      </w:r>
    </w:p>
    <w:p w:rsidR="001F77B3" w:rsidRPr="007A6DF0" w:rsidRDefault="001F77B3" w:rsidP="001F77B3">
      <w:pPr>
        <w:rPr>
          <w:color w:val="000000"/>
          <w:lang w:val="es-ES_tradnl"/>
        </w:rPr>
      </w:pPr>
      <w:r w:rsidRPr="007A6DF0">
        <w:rPr>
          <w:color w:val="000000"/>
          <w:lang w:val="es-ES_tradnl"/>
        </w:rPr>
        <w:t xml:space="preserve">Suponiendo </w:t>
      </w:r>
      <w:r w:rsidRPr="007A6DF0">
        <w:rPr>
          <w:color w:val="000000"/>
          <w:lang w:val="es-ES_tradnl"/>
        </w:rPr>
        <w:sym w:font="Symbol" w:char="F044"/>
      </w:r>
      <w:r w:rsidRPr="007A6DF0">
        <w:rPr>
          <w:i/>
          <w:iCs/>
          <w:color w:val="000000"/>
          <w:lang w:val="es-ES_tradnl"/>
        </w:rPr>
        <w:t>w</w:t>
      </w:r>
      <w:r w:rsidRPr="007A6DF0">
        <w:rPr>
          <w:color w:val="000000"/>
          <w:lang w:val="es-ES_tradnl"/>
        </w:rPr>
        <w:t xml:space="preserve">, </w:t>
      </w:r>
      <w:r w:rsidRPr="007A6DF0">
        <w:rPr>
          <w:i/>
          <w:iCs/>
          <w:color w:val="000000"/>
          <w:lang w:val="es-ES_tradnl"/>
        </w:rPr>
        <w:t>v</w:t>
      </w:r>
      <w:r w:rsidRPr="007A6DF0">
        <w:rPr>
          <w:color w:val="000000"/>
          <w:lang w:val="es-ES_tradnl"/>
        </w:rPr>
        <w:t xml:space="preserve"> y </w:t>
      </w:r>
      <w:r w:rsidRPr="007A6DF0">
        <w:rPr>
          <w:i/>
          <w:iCs/>
          <w:color w:val="000000"/>
          <w:lang w:val="es-ES_tradnl"/>
        </w:rPr>
        <w:t>N</w:t>
      </w:r>
      <w:r w:rsidRPr="007A6DF0">
        <w:rPr>
          <w:i/>
          <w:iCs/>
          <w:color w:val="000000"/>
          <w:vertAlign w:val="subscript"/>
          <w:lang w:val="es-ES_tradnl"/>
        </w:rPr>
        <w:t>persona</w:t>
      </w:r>
      <w:r w:rsidRPr="007A6DF0">
        <w:rPr>
          <w:color w:val="000000"/>
          <w:lang w:val="es-ES_tradnl"/>
        </w:rPr>
        <w:t xml:space="preserve"> igual a 0,3 m, 1 m/s</w:t>
      </w:r>
      <w:r w:rsidRPr="007A6DF0">
        <w:rPr>
          <w:color w:val="000000"/>
          <w:lang w:val="es-ES_tradnl" w:eastAsia="ja-JP"/>
        </w:rPr>
        <w:t>,</w:t>
      </w:r>
      <w:r w:rsidRPr="007A6DF0">
        <w:rPr>
          <w:color w:val="000000"/>
          <w:lang w:val="es-ES_tradnl"/>
        </w:rPr>
        <w:t xml:space="preserve"> y 10, respectivamente</w:t>
      </w:r>
      <w:r w:rsidRPr="007A6DF0">
        <w:rPr>
          <w:color w:val="000000"/>
          <w:lang w:val="es-ES_tradnl" w:eastAsia="ja-JP"/>
        </w:rPr>
        <w:t>,</w:t>
      </w:r>
      <w:r w:rsidRPr="007A6DF0">
        <w:rPr>
          <w:color w:val="000000"/>
          <w:lang w:val="es-ES_tradnl"/>
        </w:rPr>
        <w:t xml:space="preserve"> y </w:t>
      </w:r>
      <w:r w:rsidRPr="007A6DF0">
        <w:rPr>
          <w:i/>
          <w:iCs/>
          <w:color w:val="000000"/>
          <w:lang w:val="es-ES_tradnl"/>
        </w:rPr>
        <w:t>r</w:t>
      </w:r>
      <w:r w:rsidRPr="007A6DF0">
        <w:rPr>
          <w:i/>
          <w:iCs/>
          <w:color w:val="000000"/>
          <w:vertAlign w:val="subscript"/>
          <w:lang w:val="es-ES_tradnl"/>
        </w:rPr>
        <w:t>máx</w:t>
      </w:r>
      <w:r w:rsidRPr="007A6DF0">
        <w:rPr>
          <w:color w:val="000000"/>
          <w:lang w:val="es-ES_tradnl"/>
        </w:rPr>
        <w:t xml:space="preserve"> </w:t>
      </w:r>
      <w:r w:rsidRPr="007A6DF0">
        <w:rPr>
          <w:color w:val="000000"/>
          <w:lang w:val="es-ES_tradnl" w:eastAsia="ja-JP"/>
        </w:rPr>
        <w:t xml:space="preserve">igual </w:t>
      </w:r>
      <w:r w:rsidRPr="007A6DF0">
        <w:rPr>
          <w:color w:val="000000"/>
          <w:lang w:val="es-ES_tradnl"/>
        </w:rPr>
        <w:t>10 m</w:t>
      </w:r>
      <w:r w:rsidRPr="007A6DF0">
        <w:rPr>
          <w:color w:val="000000"/>
          <w:lang w:val="es-ES_tradnl" w:eastAsia="ja-JP"/>
        </w:rPr>
        <w:t xml:space="preserve"> en el caso de la sala </w:t>
      </w:r>
      <w:r w:rsidRPr="007A6DF0">
        <w:rPr>
          <w:lang w:val="es-ES_tradnl"/>
        </w:rPr>
        <w:t>circular</w:t>
      </w:r>
      <w:r w:rsidRPr="007A6DF0">
        <w:rPr>
          <w:color w:val="000000"/>
          <w:lang w:val="es-ES_tradnl"/>
        </w:rPr>
        <w:t xml:space="preserve">, los valores de la FDP </w:t>
      </w:r>
      <w:r w:rsidRPr="007A6DF0">
        <w:rPr>
          <w:i/>
          <w:iCs/>
          <w:color w:val="000000"/>
          <w:lang w:val="es-ES_tradnl"/>
        </w:rPr>
        <w:t>p</w:t>
      </w:r>
      <w:r w:rsidRPr="007A6DF0">
        <w:rPr>
          <w:color w:val="000000"/>
          <w:lang w:val="es-ES_tradnl"/>
        </w:rPr>
        <w:t>(</w:t>
      </w:r>
      <w:r w:rsidRPr="007A6DF0">
        <w:rPr>
          <w:i/>
          <w:iCs/>
          <w:color w:val="000000"/>
          <w:lang w:val="es-ES_tradnl"/>
        </w:rPr>
        <w:t>r</w:t>
      </w:r>
      <w:r w:rsidRPr="007A6DF0">
        <w:rPr>
          <w:i/>
          <w:iCs/>
          <w:color w:val="000000"/>
          <w:vertAlign w:val="subscript"/>
          <w:lang w:val="es-ES_tradnl"/>
        </w:rPr>
        <w:t>p</w:t>
      </w:r>
      <w:r w:rsidRPr="007A6DF0">
        <w:rPr>
          <w:color w:val="000000"/>
          <w:lang w:val="es-ES_tradnl"/>
        </w:rPr>
        <w:t xml:space="preserve">, </w:t>
      </w:r>
      <w:r w:rsidRPr="007A6DF0">
        <w:rPr>
          <w:i/>
          <w:iCs/>
          <w:color w:val="000000"/>
          <w:lang w:val="es-ES_tradnl"/>
        </w:rPr>
        <w:t>K</w:t>
      </w:r>
      <w:r w:rsidRPr="007A6DF0">
        <w:rPr>
          <w:color w:val="000000"/>
          <w:lang w:val="es-ES_tradnl"/>
        </w:rPr>
        <w:t>(</w:t>
      </w:r>
      <w:r w:rsidRPr="007A6DF0">
        <w:rPr>
          <w:i/>
          <w:color w:val="000000"/>
          <w:lang w:val="es-ES_tradnl" w:eastAsia="ja-JP"/>
        </w:rPr>
        <w:t>x</w:t>
      </w:r>
      <w:r w:rsidRPr="007A6DF0">
        <w:rPr>
          <w:color w:val="000000"/>
          <w:lang w:val="es-ES_tradnl" w:eastAsia="ja-JP"/>
        </w:rPr>
        <w:t>)</w:t>
      </w:r>
      <w:r w:rsidRPr="007A6DF0">
        <w:rPr>
          <w:color w:val="000000"/>
          <w:lang w:val="es-ES_tradnl"/>
        </w:rPr>
        <w:t>)</w:t>
      </w:r>
      <w:r w:rsidRPr="007A6DF0">
        <w:rPr>
          <w:color w:val="000000"/>
          <w:lang w:val="es-ES_tradnl" w:eastAsia="ja-JP"/>
        </w:rPr>
        <w:t>,</w:t>
      </w:r>
      <w:r w:rsidRPr="007A6DF0">
        <w:rPr>
          <w:color w:val="000000"/>
          <w:lang w:val="es-ES_tradnl"/>
        </w:rPr>
        <w:t xml:space="preserve"> la función de autocorrelación </w:t>
      </w:r>
      <w:r w:rsidRPr="007A6DF0">
        <w:rPr>
          <w:i/>
          <w:iCs/>
          <w:color w:val="000000"/>
          <w:lang w:val="es-ES_tradnl"/>
        </w:rPr>
        <w:t>R</w:t>
      </w:r>
      <w:r w:rsidRPr="007A6DF0">
        <w:rPr>
          <w:i/>
          <w:iCs/>
          <w:color w:val="000000"/>
          <w:vertAlign w:val="subscript"/>
          <w:lang w:val="es-ES_tradnl"/>
        </w:rPr>
        <w:t>N</w:t>
      </w:r>
      <w:r w:rsidRPr="007A6DF0">
        <w:rPr>
          <w:color w:val="000000"/>
          <w:lang w:val="es-ES_tradnl"/>
        </w:rPr>
        <w:t>(</w:t>
      </w:r>
      <w:r w:rsidRPr="007A6DF0">
        <w:rPr>
          <w:color w:val="000000"/>
          <w:lang w:val="es-ES_tradnl"/>
        </w:rPr>
        <w:sym w:font="Symbol" w:char="F044"/>
      </w:r>
      <w:r w:rsidRPr="007A6DF0">
        <w:rPr>
          <w:i/>
          <w:iCs/>
          <w:color w:val="000000"/>
          <w:lang w:val="es-ES_tradnl"/>
        </w:rPr>
        <w:t>t</w:t>
      </w:r>
      <w:r w:rsidRPr="007A6DF0">
        <w:rPr>
          <w:color w:val="000000"/>
          <w:lang w:val="es-ES_tradnl"/>
        </w:rPr>
        <w:t xml:space="preserve">) </w:t>
      </w:r>
      <w:r w:rsidRPr="007A6DF0">
        <w:rPr>
          <w:lang w:val="es-ES_tradnl"/>
        </w:rPr>
        <w:t xml:space="preserve">y el espectro de potencia </w:t>
      </w:r>
      <w:r w:rsidRPr="007A6DF0">
        <w:rPr>
          <w:i/>
          <w:iCs/>
          <w:lang w:val="es-ES_tradnl"/>
        </w:rPr>
        <w:t>P</w:t>
      </w:r>
      <w:r w:rsidRPr="007A6DF0">
        <w:rPr>
          <w:i/>
          <w:iCs/>
          <w:vertAlign w:val="subscript"/>
          <w:lang w:val="es-ES_tradnl"/>
        </w:rPr>
        <w:t>N</w:t>
      </w:r>
      <w:r w:rsidRPr="007A6DF0">
        <w:rPr>
          <w:lang w:val="es-ES_tradnl"/>
        </w:rPr>
        <w:t>(</w:t>
      </w:r>
      <w:r w:rsidRPr="007A6DF0">
        <w:rPr>
          <w:i/>
          <w:iCs/>
          <w:lang w:val="es-ES_tradnl"/>
        </w:rPr>
        <w:t>f</w:t>
      </w:r>
      <w:r w:rsidRPr="007A6DF0">
        <w:rPr>
          <w:i/>
          <w:iCs/>
          <w:sz w:val="12"/>
          <w:szCs w:val="12"/>
          <w:lang w:val="es-ES_tradnl"/>
        </w:rPr>
        <w:t> </w:t>
      </w:r>
      <w:r w:rsidRPr="007A6DF0">
        <w:rPr>
          <w:lang w:val="es-ES_tradnl"/>
        </w:rPr>
        <w:t xml:space="preserve">), obtenidos a partir de las ecuaciones (9), (10) y (15), se indican en las Figs. 5, </w:t>
      </w:r>
      <w:r w:rsidRPr="007A6DF0">
        <w:rPr>
          <w:color w:val="000000"/>
          <w:lang w:val="es-ES_tradnl" w:eastAsia="ja-JP"/>
        </w:rPr>
        <w:t>6</w:t>
      </w:r>
      <w:r w:rsidRPr="007A6DF0">
        <w:rPr>
          <w:color w:val="000000"/>
          <w:lang w:val="es-ES_tradnl"/>
        </w:rPr>
        <w:t xml:space="preserve"> y 7</w:t>
      </w:r>
      <w:r w:rsidRPr="007A6DF0">
        <w:rPr>
          <w:lang w:val="es-ES_tradnl"/>
        </w:rPr>
        <w:t>, respectivamente</w:t>
      </w:r>
      <w:r w:rsidRPr="007A6DF0">
        <w:rPr>
          <w:color w:val="000000"/>
          <w:lang w:val="es-ES_tradnl"/>
        </w:rPr>
        <w:t>.</w:t>
      </w:r>
    </w:p>
    <w:p w:rsidR="001F77B3" w:rsidRPr="007A6DF0" w:rsidRDefault="001F77B3" w:rsidP="001F77B3">
      <w:pPr>
        <w:pStyle w:val="FigureNo"/>
        <w:rPr>
          <w:color w:val="000000"/>
          <w:lang w:val="es-ES_tradnl" w:eastAsia="ja-JP"/>
        </w:rPr>
      </w:pPr>
      <w:r w:rsidRPr="007A6DF0">
        <w:rPr>
          <w:color w:val="000000"/>
          <w:lang w:val="es-ES_tradnl" w:eastAsia="ja-JP"/>
        </w:rPr>
        <w:t>FIGURA 5</w:t>
      </w:r>
    </w:p>
    <w:p w:rsidR="001F77B3" w:rsidRPr="007A6DF0" w:rsidRDefault="001F77B3" w:rsidP="001F77B3">
      <w:pPr>
        <w:pStyle w:val="Figuretitle"/>
        <w:rPr>
          <w:color w:val="000000"/>
          <w:lang w:val="es-ES_tradnl" w:eastAsia="ja-JP"/>
        </w:rPr>
      </w:pPr>
      <w:r w:rsidRPr="007A6DF0">
        <w:rPr>
          <w:color w:val="000000"/>
          <w:lang w:val="es-ES_tradnl" w:eastAsia="ja-JP"/>
        </w:rPr>
        <w:t xml:space="preserve">Probabilidad acumulativa del nivel recibido en una sala </w:t>
      </w:r>
      <w:r w:rsidRPr="007A6DF0">
        <w:rPr>
          <w:lang w:val="es-ES_tradnl"/>
        </w:rPr>
        <w:t>circular</w:t>
      </w:r>
    </w:p>
    <w:p w:rsidR="001F77B3" w:rsidRPr="007A6DF0" w:rsidRDefault="002A5BCE" w:rsidP="001F77B3">
      <w:pPr>
        <w:pStyle w:val="Figure"/>
        <w:rPr>
          <w:lang w:val="es-ES_tradnl"/>
        </w:rPr>
      </w:pPr>
      <w:r w:rsidRPr="007A6DF0">
        <w:rPr>
          <w:lang w:val="es-ES_tradnl"/>
        </w:rPr>
        <w:object w:dxaOrig="5261" w:dyaOrig="2873">
          <v:shape id="_x0000_i1045" type="#_x0000_t75" style="width:347.65pt;height:188.6pt" o:ole="">
            <v:imagedata r:id="rId53" o:title=""/>
          </v:shape>
          <o:OLEObject Type="Embed" ProgID="CorelDRAW.Graphic.14" ShapeID="_x0000_i1045" DrawAspect="Content" ObjectID="_1549090156" r:id="rId54"/>
        </w:object>
      </w:r>
    </w:p>
    <w:p w:rsidR="001F77B3" w:rsidRPr="007A6DF0" w:rsidRDefault="001F77B3" w:rsidP="001F77B3">
      <w:pPr>
        <w:pStyle w:val="FigureNo"/>
        <w:rPr>
          <w:color w:val="000000"/>
          <w:lang w:val="es-ES_tradnl" w:eastAsia="ja-JP"/>
        </w:rPr>
      </w:pPr>
      <w:r w:rsidRPr="007A6DF0">
        <w:rPr>
          <w:color w:val="000000"/>
          <w:lang w:val="es-ES_tradnl" w:eastAsia="ja-JP"/>
        </w:rPr>
        <w:lastRenderedPageBreak/>
        <w:t>FIGURA 6</w:t>
      </w:r>
    </w:p>
    <w:p w:rsidR="001F77B3" w:rsidRPr="007A6DF0" w:rsidRDefault="001F77B3" w:rsidP="001F77B3">
      <w:pPr>
        <w:pStyle w:val="Figuretitle"/>
        <w:rPr>
          <w:color w:val="000000"/>
          <w:lang w:val="es-ES_tradnl" w:eastAsia="ja-JP"/>
        </w:rPr>
      </w:pPr>
      <w:r w:rsidRPr="007A6DF0">
        <w:rPr>
          <w:color w:val="000000"/>
          <w:lang w:val="es-ES_tradnl" w:eastAsia="ja-JP"/>
        </w:rPr>
        <w:t>Coeficiente de autocorrelación del nivel recibido en una sala circular</w:t>
      </w:r>
    </w:p>
    <w:p w:rsidR="001F77B3" w:rsidRPr="007A6DF0" w:rsidRDefault="00A871FA" w:rsidP="001F77B3">
      <w:pPr>
        <w:pStyle w:val="Figure"/>
        <w:rPr>
          <w:color w:val="000000"/>
          <w:lang w:val="es-ES_tradnl" w:eastAsia="ja-JP"/>
        </w:rPr>
      </w:pPr>
      <w:r w:rsidRPr="007A6DF0">
        <w:rPr>
          <w:lang w:val="es-ES_tradnl"/>
        </w:rPr>
        <w:object w:dxaOrig="5122" w:dyaOrig="2859">
          <v:shape id="_x0000_i1046" type="#_x0000_t75" style="width:340.65pt;height:188.6pt" o:ole="">
            <v:imagedata r:id="rId55" o:title=""/>
          </v:shape>
          <o:OLEObject Type="Embed" ProgID="CorelDRAW.Graphic.14" ShapeID="_x0000_i1046" DrawAspect="Content" ObjectID="_1549090157" r:id="rId56"/>
        </w:object>
      </w:r>
    </w:p>
    <w:p w:rsidR="001F77B3" w:rsidRPr="007A6DF0" w:rsidRDefault="001F77B3" w:rsidP="001F77B3">
      <w:pPr>
        <w:pStyle w:val="FigureNo"/>
        <w:rPr>
          <w:lang w:val="es-ES_tradnl" w:eastAsia="ja-JP"/>
        </w:rPr>
      </w:pPr>
      <w:r w:rsidRPr="007A6DF0">
        <w:rPr>
          <w:lang w:val="es-ES_tradnl"/>
        </w:rPr>
        <w:t xml:space="preserve">FIGURA </w:t>
      </w:r>
      <w:r w:rsidRPr="007A6DF0">
        <w:rPr>
          <w:lang w:val="es-ES_tradnl" w:eastAsia="ja-JP"/>
        </w:rPr>
        <w:t>7</w:t>
      </w:r>
    </w:p>
    <w:p w:rsidR="001F77B3" w:rsidRPr="007A6DF0" w:rsidRDefault="001F77B3" w:rsidP="001F77B3">
      <w:pPr>
        <w:pStyle w:val="Figuretitle"/>
        <w:rPr>
          <w:lang w:val="es-ES_tradnl" w:eastAsia="ja-JP"/>
        </w:rPr>
      </w:pPr>
      <w:r w:rsidRPr="007A6DF0">
        <w:rPr>
          <w:lang w:val="es-ES_tradnl"/>
        </w:rPr>
        <w:t>Espectro de potencia en una sala circular</w:t>
      </w:r>
    </w:p>
    <w:p w:rsidR="001F77B3" w:rsidRPr="007A6DF0" w:rsidRDefault="00A871FA" w:rsidP="001F77B3">
      <w:pPr>
        <w:pStyle w:val="Figure"/>
        <w:rPr>
          <w:lang w:val="es-ES_tradnl"/>
        </w:rPr>
      </w:pPr>
      <w:r w:rsidRPr="007A6DF0">
        <w:rPr>
          <w:lang w:val="es-ES_tradnl"/>
        </w:rPr>
        <w:object w:dxaOrig="5299" w:dyaOrig="3188">
          <v:shape id="_x0000_i1047" type="#_x0000_t75" style="width:340.1pt;height:205.25pt" o:ole="">
            <v:imagedata r:id="rId57" o:title=""/>
          </v:shape>
          <o:OLEObject Type="Embed" ProgID="CorelDraw.Graphic.16" ShapeID="_x0000_i1047" DrawAspect="Content" ObjectID="_1549090158" r:id="rId58"/>
        </w:object>
      </w:r>
    </w:p>
    <w:bookmarkEnd w:id="40"/>
    <w:p w:rsidR="001F77B3" w:rsidRPr="007A6DF0" w:rsidRDefault="001F77B3" w:rsidP="001F77B3">
      <w:pPr>
        <w:rPr>
          <w:lang w:val="es-ES_tradnl"/>
        </w:rPr>
      </w:pPr>
    </w:p>
    <w:p w:rsidR="001F77B3" w:rsidRPr="007A6DF0" w:rsidRDefault="001F77B3" w:rsidP="001F77B3">
      <w:pPr>
        <w:jc w:val="center"/>
        <w:rPr>
          <w:lang w:val="es-ES_tradnl"/>
        </w:rPr>
      </w:pPr>
      <w:r w:rsidRPr="007A6DF0">
        <w:rPr>
          <w:lang w:val="es-ES_tradnl"/>
        </w:rPr>
        <w:t>______________</w:t>
      </w:r>
    </w:p>
    <w:p w:rsidR="006173B0" w:rsidRDefault="006173B0" w:rsidP="006173B0">
      <w:pPr>
        <w:rPr>
          <w:lang w:val="es-ES_tradnl"/>
        </w:rPr>
      </w:pPr>
    </w:p>
    <w:sectPr w:rsidR="006173B0" w:rsidSect="00B1717A">
      <w:headerReference w:type="even" r:id="rId59"/>
      <w:head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8A3" w:rsidRDefault="00F668A3">
      <w:r>
        <w:separator/>
      </w:r>
    </w:p>
  </w:endnote>
  <w:endnote w:type="continuationSeparator" w:id="0">
    <w:p w:rsidR="00F668A3" w:rsidRDefault="00F66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8A3" w:rsidRDefault="00F668A3">
      <w:r>
        <w:separator/>
      </w:r>
    </w:p>
  </w:footnote>
  <w:footnote w:type="continuationSeparator" w:id="0">
    <w:p w:rsidR="00F668A3" w:rsidRDefault="00F668A3">
      <w:r>
        <w:continuationSeparator/>
      </w:r>
    </w:p>
  </w:footnote>
  <w:footnote w:id="1">
    <w:p w:rsidR="00297D25" w:rsidRPr="00E97408" w:rsidRDefault="00297D25" w:rsidP="00297D25">
      <w:pPr>
        <w:pStyle w:val="FootnoteText"/>
        <w:rPr>
          <w:lang w:val="es-ES_tradnl"/>
        </w:rPr>
      </w:pPr>
      <w:r w:rsidRPr="00E97408">
        <w:rPr>
          <w:rStyle w:val="FootnoteReference"/>
          <w:lang w:val="es-ES_tradnl"/>
        </w:rPr>
        <w:t>*</w:t>
      </w:r>
      <w:r w:rsidRPr="00E97408">
        <w:rPr>
          <w:lang w:val="es-ES_tradnl"/>
        </w:rPr>
        <w:t xml:space="preserve"> </w:t>
      </w:r>
      <w:r w:rsidRPr="00E97408">
        <w:rPr>
          <w:lang w:val="es-ES_tradnl"/>
        </w:rPr>
        <w:tab/>
      </w:r>
      <w:r>
        <w:rPr>
          <w:lang w:val="es-ES_tradnl"/>
        </w:rPr>
        <w:t>La Comisión de Estudio 3 de Radiocomunicaciones introdujo modificaciones redaccionales en esta Recomendación en 2016,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5734E">
      <w:rPr>
        <w:rStyle w:val="PageNumber"/>
        <w:b/>
        <w:bCs/>
        <w:noProof/>
      </w:rPr>
      <w:t>ii</w:t>
    </w:r>
    <w:r>
      <w:rPr>
        <w:rStyle w:val="PageNumber"/>
        <w:b/>
        <w:bCs/>
      </w:rPr>
      <w:fldChar w:fldCharType="end"/>
    </w:r>
    <w:r>
      <w:tab/>
    </w:r>
    <w:r w:rsidR="00F5734E">
      <w:fldChar w:fldCharType="begin"/>
    </w:r>
    <w:r w:rsidR="00F5734E">
      <w:instrText xml:space="preserve"> DOCPROPERTY "Header" \* MERGEFORMAT </w:instrText>
    </w:r>
    <w:r w:rsidR="00F5734E">
      <w:fldChar w:fldCharType="separate"/>
    </w:r>
    <w:r w:rsidR="00F5734E" w:rsidRPr="00F5734E">
      <w:rPr>
        <w:b/>
        <w:bCs/>
        <w:lang w:val="fr-CH"/>
      </w:rPr>
      <w:t xml:space="preserve">Rec. </w:t>
    </w:r>
    <w:r w:rsidR="00F5734E">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F5734E">
      <w:rPr>
        <w:b/>
        <w:bCs/>
        <w:noProof/>
      </w:rPr>
      <w:t>UIT-R  P.1238-8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pPr>
      <w:pStyle w:val="Header"/>
    </w:pPr>
    <w:r>
      <w:tab/>
    </w:r>
    <w:r w:rsidR="00F5734E">
      <w:fldChar w:fldCharType="begin"/>
    </w:r>
    <w:r w:rsidR="00F5734E">
      <w:instrText xml:space="preserve"> DOCPROPERTY "Header" \* MERGEFORMAT </w:instrText>
    </w:r>
    <w:r w:rsidR="00F5734E">
      <w:fldChar w:fldCharType="separate"/>
    </w:r>
    <w:r w:rsidR="00F5734E" w:rsidRPr="00F5734E">
      <w:rPr>
        <w:lang w:val="en-US"/>
      </w:rPr>
      <w:t xml:space="preserve">Rec. </w:t>
    </w:r>
    <w:r w:rsidR="00F5734E">
      <w:rPr>
        <w:lang w:val="en-US"/>
      </w:rPr>
      <w:fldChar w:fldCharType="end"/>
    </w:r>
    <w:r>
      <w:rPr>
        <w:b/>
        <w:bCs/>
      </w:rPr>
      <w:t xml:space="preserve">  </w:t>
    </w:r>
    <w:r>
      <w:rPr>
        <w:b/>
        <w:bCs/>
      </w:rPr>
      <w:fldChar w:fldCharType="begin"/>
    </w:r>
    <w:r>
      <w:rPr>
        <w:b/>
        <w:bCs/>
      </w:rPr>
      <w:instrText>styleref href</w:instrText>
    </w:r>
    <w:r>
      <w:rPr>
        <w:b/>
        <w:bCs/>
      </w:rPr>
      <w:fldChar w:fldCharType="separate"/>
    </w:r>
    <w:r w:rsidR="00F5734E">
      <w:rPr>
        <w:b/>
        <w:bCs/>
        <w:noProof/>
      </w:rPr>
      <w:t>UIT-R  P.1238-8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734E">
      <w:rPr>
        <w:rStyle w:val="PageNumber"/>
        <w:b/>
        <w:bCs/>
        <w:noProof/>
        <w:lang w:val="en-US"/>
      </w:rPr>
      <w:t>10</w:t>
    </w:r>
    <w:r>
      <w:rPr>
        <w:rStyle w:val="PageNumber"/>
        <w:b/>
        <w:bCs/>
      </w:rPr>
      <w:fldChar w:fldCharType="end"/>
    </w:r>
    <w:r>
      <w:rPr>
        <w:lang w:val="en-US"/>
      </w:rPr>
      <w:tab/>
    </w:r>
    <w:r w:rsidR="00F5734E">
      <w:fldChar w:fldCharType="begin"/>
    </w:r>
    <w:r w:rsidR="00F5734E">
      <w:instrText xml:space="preserve"> DOCPROPERTY "Header" \* MERGEFORMAT </w:instrText>
    </w:r>
    <w:r w:rsidR="00F5734E">
      <w:fldChar w:fldCharType="separate"/>
    </w:r>
    <w:r w:rsidR="00F5734E" w:rsidRPr="00F5734E">
      <w:rPr>
        <w:b/>
        <w:bCs/>
        <w:lang w:val="en-US"/>
      </w:rPr>
      <w:t xml:space="preserve">Rec. </w:t>
    </w:r>
    <w:r w:rsidR="00F5734E">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5734E">
      <w:rPr>
        <w:b/>
        <w:bCs/>
        <w:noProof/>
      </w:rPr>
      <w:t>UIT-R  P.1238-8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8A3" w:rsidRDefault="00F668A3">
    <w:pPr>
      <w:pStyle w:val="Header"/>
    </w:pPr>
    <w:r>
      <w:tab/>
    </w:r>
    <w:r w:rsidR="00F5734E">
      <w:fldChar w:fldCharType="begin"/>
    </w:r>
    <w:r w:rsidR="00F5734E">
      <w:instrText xml:space="preserve"> DOCPROPERTY "Header" \* MERGEFORMAT </w:instrText>
    </w:r>
    <w:r w:rsidR="00F5734E">
      <w:fldChar w:fldCharType="separate"/>
    </w:r>
    <w:r w:rsidR="00F5734E" w:rsidRPr="00F5734E">
      <w:rPr>
        <w:b/>
        <w:bCs/>
      </w:rPr>
      <w:t xml:space="preserve">Rec. </w:t>
    </w:r>
    <w:r w:rsidR="00F5734E">
      <w:rPr>
        <w:b/>
        <w:bCs/>
      </w:rPr>
      <w:fldChar w:fldCharType="end"/>
    </w:r>
    <w:r>
      <w:rPr>
        <w:b/>
        <w:bCs/>
      </w:rPr>
      <w:t xml:space="preserve"> </w:t>
    </w:r>
    <w:r>
      <w:rPr>
        <w:b/>
        <w:bCs/>
      </w:rPr>
      <w:fldChar w:fldCharType="begin"/>
    </w:r>
    <w:r>
      <w:rPr>
        <w:b/>
        <w:bCs/>
      </w:rPr>
      <w:instrText>styleref href</w:instrText>
    </w:r>
    <w:r>
      <w:rPr>
        <w:b/>
        <w:bCs/>
      </w:rPr>
      <w:fldChar w:fldCharType="separate"/>
    </w:r>
    <w:r w:rsidR="00F5734E">
      <w:rPr>
        <w:b/>
        <w:bCs/>
        <w:noProof/>
      </w:rPr>
      <w:t>UIT-R  P.1238-8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734E">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3307F3E"/>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7" w15:restartNumberingAfterBreak="0">
    <w:nsid w:val="0B667E58"/>
    <w:multiLevelType w:val="hybridMultilevel"/>
    <w:tmpl w:val="D26277BE"/>
    <w:lvl w:ilvl="0" w:tplc="7CE84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B2811BD"/>
    <w:multiLevelType w:val="hybridMultilevel"/>
    <w:tmpl w:val="876A6B16"/>
    <w:lvl w:ilvl="0" w:tplc="2D22F7C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5"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9" w15:restartNumberingAfterBreak="0">
    <w:nsid w:val="390775B2"/>
    <w:multiLevelType w:val="hybridMultilevel"/>
    <w:tmpl w:val="2370D8E0"/>
    <w:lvl w:ilvl="0" w:tplc="74EAB3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602A7D"/>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30" w15:restartNumberingAfterBreak="0">
    <w:nsid w:val="7056720E"/>
    <w:multiLevelType w:val="hybridMultilevel"/>
    <w:tmpl w:val="25D85102"/>
    <w:lvl w:ilvl="0" w:tplc="FD369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7FD03EF"/>
    <w:multiLevelType w:val="hybridMultilevel"/>
    <w:tmpl w:val="9C921EAE"/>
    <w:lvl w:ilvl="0" w:tplc="B00E7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8"/>
  </w:num>
  <w:num w:numId="3">
    <w:abstractNumId w:val="22"/>
  </w:num>
  <w:num w:numId="4">
    <w:abstractNumId w:val="3"/>
  </w:num>
  <w:num w:numId="5">
    <w:abstractNumId w:val="2"/>
  </w:num>
  <w:num w:numId="6">
    <w:abstractNumId w:val="31"/>
  </w:num>
  <w:num w:numId="7">
    <w:abstractNumId w:val="9"/>
  </w:num>
  <w:num w:numId="8">
    <w:abstractNumId w:val="10"/>
  </w:num>
  <w:num w:numId="9">
    <w:abstractNumId w:val="17"/>
  </w:num>
  <w:num w:numId="10">
    <w:abstractNumId w:val="14"/>
  </w:num>
  <w:num w:numId="11">
    <w:abstractNumId w:val="29"/>
  </w:num>
  <w:num w:numId="12">
    <w:abstractNumId w:val="24"/>
  </w:num>
  <w:num w:numId="13">
    <w:abstractNumId w:val="6"/>
  </w:num>
  <w:num w:numId="14">
    <w:abstractNumId w:val="4"/>
  </w:num>
  <w:num w:numId="15">
    <w:abstractNumId w:val="8"/>
  </w:num>
  <w:num w:numId="16">
    <w:abstractNumId w:val="32"/>
  </w:num>
  <w:num w:numId="17">
    <w:abstractNumId w:val="11"/>
  </w:num>
  <w:num w:numId="18">
    <w:abstractNumId w:val="27"/>
  </w:num>
  <w:num w:numId="19">
    <w:abstractNumId w:val="25"/>
  </w:num>
  <w:num w:numId="20">
    <w:abstractNumId w:val="34"/>
  </w:num>
  <w:num w:numId="21">
    <w:abstractNumId w:val="28"/>
  </w:num>
  <w:num w:numId="22">
    <w:abstractNumId w:val="26"/>
  </w:num>
  <w:num w:numId="23">
    <w:abstractNumId w:val="16"/>
  </w:num>
  <w:num w:numId="24">
    <w:abstractNumId w:val="23"/>
  </w:num>
  <w:num w:numId="25">
    <w:abstractNumId w:val="21"/>
  </w:num>
  <w:num w:numId="26">
    <w:abstractNumId w:val="0"/>
  </w:num>
  <w:num w:numId="27">
    <w:abstractNumId w:val="5"/>
  </w:num>
  <w:num w:numId="28">
    <w:abstractNumId w:val="15"/>
  </w:num>
  <w:num w:numId="29">
    <w:abstractNumId w:val="33"/>
  </w:num>
  <w:num w:numId="30">
    <w:abstractNumId w:val="7"/>
  </w:num>
  <w:num w:numId="31">
    <w:abstractNumId w:val="30"/>
  </w:num>
  <w:num w:numId="32">
    <w:abstractNumId w:val="20"/>
  </w:num>
  <w:num w:numId="33">
    <w:abstractNumId w:val="1"/>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E39C4"/>
    <w:rsid w:val="0014224E"/>
    <w:rsid w:val="001A2624"/>
    <w:rsid w:val="001F77B3"/>
    <w:rsid w:val="00297D25"/>
    <w:rsid w:val="002A5BCE"/>
    <w:rsid w:val="002D76C4"/>
    <w:rsid w:val="002F2EDD"/>
    <w:rsid w:val="00351670"/>
    <w:rsid w:val="00363835"/>
    <w:rsid w:val="00366CEE"/>
    <w:rsid w:val="003857C3"/>
    <w:rsid w:val="003C722D"/>
    <w:rsid w:val="003F2F48"/>
    <w:rsid w:val="00431839"/>
    <w:rsid w:val="004532F7"/>
    <w:rsid w:val="004B0E35"/>
    <w:rsid w:val="004C63FE"/>
    <w:rsid w:val="00567C09"/>
    <w:rsid w:val="005A6102"/>
    <w:rsid w:val="00607D68"/>
    <w:rsid w:val="006173B0"/>
    <w:rsid w:val="006230B0"/>
    <w:rsid w:val="00654F04"/>
    <w:rsid w:val="006B22C3"/>
    <w:rsid w:val="006C347C"/>
    <w:rsid w:val="00715FEE"/>
    <w:rsid w:val="00812AA7"/>
    <w:rsid w:val="00847DD5"/>
    <w:rsid w:val="008E0DA9"/>
    <w:rsid w:val="008E512C"/>
    <w:rsid w:val="00A6617B"/>
    <w:rsid w:val="00A871FA"/>
    <w:rsid w:val="00A93521"/>
    <w:rsid w:val="00AB0DC8"/>
    <w:rsid w:val="00AB0FD5"/>
    <w:rsid w:val="00B1717A"/>
    <w:rsid w:val="00B44E24"/>
    <w:rsid w:val="00B87252"/>
    <w:rsid w:val="00BA710C"/>
    <w:rsid w:val="00BF7841"/>
    <w:rsid w:val="00C15E7B"/>
    <w:rsid w:val="00D42AE3"/>
    <w:rsid w:val="00D62884"/>
    <w:rsid w:val="00D93B36"/>
    <w:rsid w:val="00DC024D"/>
    <w:rsid w:val="00DD79E2"/>
    <w:rsid w:val="00DF4176"/>
    <w:rsid w:val="00E3040B"/>
    <w:rsid w:val="00E5262C"/>
    <w:rsid w:val="00E777BE"/>
    <w:rsid w:val="00F0313A"/>
    <w:rsid w:val="00F031B3"/>
    <w:rsid w:val="00F14BF9"/>
    <w:rsid w:val="00F317F6"/>
    <w:rsid w:val="00F5734E"/>
    <w:rsid w:val="00F668A3"/>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0BEF1ADE"/>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5FEE"/>
    <w:pPr>
      <w:keepNext/>
      <w:keepLines/>
      <w:spacing w:before="480"/>
      <w:ind w:left="794" w:hanging="794"/>
      <w:outlineLvl w:val="0"/>
    </w:pPr>
    <w:rPr>
      <w:b/>
    </w:rPr>
  </w:style>
  <w:style w:type="paragraph" w:styleId="Heading2">
    <w:name w:val="heading 2"/>
    <w:basedOn w:val="Heading1"/>
    <w:next w:val="Normal"/>
    <w:link w:val="Heading2Char"/>
    <w:qFormat/>
    <w:rsid w:val="00715FEE"/>
    <w:pPr>
      <w:spacing w:before="320"/>
      <w:outlineLvl w:val="1"/>
    </w:pPr>
  </w:style>
  <w:style w:type="paragraph" w:styleId="Heading3">
    <w:name w:val="heading 3"/>
    <w:basedOn w:val="Heading1"/>
    <w:next w:val="Normal"/>
    <w:link w:val="Heading3Char"/>
    <w:qFormat/>
    <w:rsid w:val="00715FEE"/>
    <w:pPr>
      <w:spacing w:before="200"/>
      <w:outlineLvl w:val="2"/>
    </w:pPr>
  </w:style>
  <w:style w:type="paragraph" w:styleId="Heading4">
    <w:name w:val="heading 4"/>
    <w:basedOn w:val="Heading3"/>
    <w:next w:val="Normal"/>
    <w:link w:val="Heading4Char"/>
    <w:qFormat/>
    <w:rsid w:val="00715FEE"/>
    <w:pPr>
      <w:tabs>
        <w:tab w:val="clear" w:pos="794"/>
        <w:tab w:val="left" w:pos="992"/>
      </w:tabs>
      <w:ind w:left="992" w:hanging="992"/>
      <w:outlineLvl w:val="3"/>
    </w:pPr>
  </w:style>
  <w:style w:type="paragraph" w:styleId="Heading5">
    <w:name w:val="heading 5"/>
    <w:basedOn w:val="Heading4"/>
    <w:next w:val="Normal"/>
    <w:link w:val="Heading5Char"/>
    <w:qFormat/>
    <w:rsid w:val="00715FEE"/>
    <w:pPr>
      <w:outlineLvl w:val="4"/>
    </w:pPr>
  </w:style>
  <w:style w:type="paragraph" w:styleId="Heading6">
    <w:name w:val="heading 6"/>
    <w:basedOn w:val="Heading4"/>
    <w:next w:val="Normal"/>
    <w:link w:val="Heading6Char"/>
    <w:qFormat/>
    <w:rsid w:val="00715FEE"/>
    <w:pPr>
      <w:tabs>
        <w:tab w:val="clear" w:pos="992"/>
        <w:tab w:val="clear" w:pos="1191"/>
      </w:tabs>
      <w:ind w:left="1588" w:hanging="1588"/>
      <w:outlineLvl w:val="5"/>
    </w:pPr>
  </w:style>
  <w:style w:type="paragraph" w:styleId="Heading7">
    <w:name w:val="heading 7"/>
    <w:basedOn w:val="Heading6"/>
    <w:next w:val="Normal"/>
    <w:link w:val="Heading7Char"/>
    <w:qFormat/>
    <w:rsid w:val="00715FEE"/>
    <w:pPr>
      <w:outlineLvl w:val="6"/>
    </w:pPr>
  </w:style>
  <w:style w:type="paragraph" w:styleId="Heading8">
    <w:name w:val="heading 8"/>
    <w:basedOn w:val="Heading6"/>
    <w:next w:val="Normal"/>
    <w:link w:val="Heading8Char"/>
    <w:qFormat/>
    <w:rsid w:val="00715FEE"/>
    <w:pPr>
      <w:outlineLvl w:val="7"/>
    </w:pPr>
  </w:style>
  <w:style w:type="paragraph" w:styleId="Heading9">
    <w:name w:val="heading 9"/>
    <w:basedOn w:val="Heading6"/>
    <w:next w:val="Normal"/>
    <w:link w:val="Heading9Char"/>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A2624"/>
    <w:pPr>
      <w:spacing w:before="240"/>
    </w:pPr>
    <w:rPr>
      <w:sz w:val="22"/>
      <w:lang w:val="es-ES_tradnl"/>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link w:val="TableheadChar"/>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15FEE"/>
    <w:pPr>
      <w:keepNext/>
      <w:spacing w:before="360" w:after="120"/>
      <w:jc w:val="center"/>
    </w:pPr>
  </w:style>
  <w:style w:type="paragraph" w:customStyle="1" w:styleId="Tabletext">
    <w:name w:val="Table_text"/>
    <w:basedOn w:val="Normal"/>
    <w:link w:val="TabletextChar"/>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rsid w:val="00715FEE"/>
    <w:rPr>
      <w:position w:val="6"/>
      <w:sz w:val="18"/>
    </w:rPr>
  </w:style>
  <w:style w:type="paragraph" w:styleId="FootnoteText">
    <w:name w:val="footnote text"/>
    <w:basedOn w:val="Normal"/>
    <w:link w:val="FootnoteTextChar"/>
    <w:rsid w:val="00715FEE"/>
    <w:pPr>
      <w:keepLines/>
      <w:tabs>
        <w:tab w:val="left" w:pos="255"/>
      </w:tabs>
      <w:ind w:left="255" w:hanging="255"/>
    </w:pPr>
    <w:rPr>
      <w:sz w:val="22"/>
    </w:rPr>
  </w:style>
  <w:style w:type="paragraph" w:styleId="Index1">
    <w:name w:val="index 1"/>
    <w:basedOn w:val="Normal"/>
    <w:next w:val="Normal"/>
    <w:semiHidden/>
    <w:rsid w:val="00715FEE"/>
  </w:style>
  <w:style w:type="paragraph" w:styleId="Index2">
    <w:name w:val="index 2"/>
    <w:basedOn w:val="Normal"/>
    <w:next w:val="Normal"/>
    <w:semiHidden/>
    <w:rsid w:val="00715FEE"/>
    <w:pPr>
      <w:ind w:left="283"/>
    </w:pPr>
  </w:style>
  <w:style w:type="paragraph" w:styleId="Index3">
    <w:name w:val="index 3"/>
    <w:basedOn w:val="Normal"/>
    <w:next w:val="Normal"/>
    <w:semiHidden/>
    <w:rsid w:val="00715FEE"/>
    <w:pPr>
      <w:ind w:left="566"/>
    </w:pPr>
  </w:style>
  <w:style w:type="paragraph" w:styleId="IndexHeading">
    <w:name w:val="index heading"/>
    <w:basedOn w:val="Normal"/>
    <w:next w:val="Index1"/>
    <w:semiHidden/>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semiHidden/>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5FEE"/>
    <w:pPr>
      <w:tabs>
        <w:tab w:val="clear" w:pos="567"/>
        <w:tab w:val="left" w:pos="1276"/>
      </w:tabs>
      <w:spacing w:before="160"/>
      <w:ind w:left="1276" w:hanging="709"/>
    </w:pPr>
  </w:style>
  <w:style w:type="paragraph" w:styleId="TOC3">
    <w:name w:val="toc 3"/>
    <w:basedOn w:val="TOC2"/>
    <w:semiHidden/>
    <w:rsid w:val="00715FEE"/>
    <w:pPr>
      <w:tabs>
        <w:tab w:val="clear" w:pos="1276"/>
        <w:tab w:val="left" w:pos="2155"/>
      </w:tabs>
      <w:ind w:left="2155" w:hanging="879"/>
    </w:pPr>
  </w:style>
  <w:style w:type="paragraph" w:styleId="TOC4">
    <w:name w:val="toc 4"/>
    <w:basedOn w:val="TOC3"/>
    <w:semiHidden/>
    <w:rsid w:val="00715FEE"/>
    <w:pPr>
      <w:tabs>
        <w:tab w:val="left" w:pos="3261"/>
      </w:tabs>
      <w:spacing w:before="80"/>
      <w:ind w:left="3261" w:hanging="993"/>
    </w:pPr>
  </w:style>
  <w:style w:type="paragraph" w:styleId="TOC5">
    <w:name w:val="toc 5"/>
    <w:basedOn w:val="TOC4"/>
    <w:semiHidden/>
    <w:rsid w:val="00715FEE"/>
  </w:style>
  <w:style w:type="paragraph" w:styleId="TOC6">
    <w:name w:val="toc 6"/>
    <w:basedOn w:val="TOC4"/>
    <w:semiHidden/>
    <w:rsid w:val="00715FEE"/>
  </w:style>
  <w:style w:type="paragraph" w:styleId="TOC7">
    <w:name w:val="toc 7"/>
    <w:basedOn w:val="TOC4"/>
    <w:semiHidden/>
    <w:rsid w:val="00715FEE"/>
  </w:style>
  <w:style w:type="paragraph" w:styleId="TOC8">
    <w:name w:val="toc 8"/>
    <w:basedOn w:val="TOC4"/>
    <w:semiHidden/>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link w:val="FiguretitleChar"/>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15FEE"/>
    <w:pPr>
      <w:keepNext/>
      <w:spacing w:before="0" w:after="120"/>
      <w:jc w:val="center"/>
    </w:pPr>
    <w:rPr>
      <w:b/>
    </w:rPr>
  </w:style>
  <w:style w:type="paragraph" w:customStyle="1" w:styleId="Summary">
    <w:name w:val="Summary"/>
    <w:basedOn w:val="Normal"/>
    <w:next w:val="Normalaftertitle"/>
    <w:autoRedefine/>
    <w:rsid w:val="001A262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character" w:customStyle="1" w:styleId="Heading1Char">
    <w:name w:val="Heading 1 Char"/>
    <w:basedOn w:val="DefaultParagraphFont"/>
    <w:link w:val="Heading1"/>
    <w:rsid w:val="001F77B3"/>
    <w:rPr>
      <w:b/>
      <w:sz w:val="24"/>
      <w:lang w:val="fr-FR" w:eastAsia="en-US"/>
    </w:rPr>
  </w:style>
  <w:style w:type="character" w:customStyle="1" w:styleId="Heading2Char">
    <w:name w:val="Heading 2 Char"/>
    <w:basedOn w:val="DefaultParagraphFont"/>
    <w:link w:val="Heading2"/>
    <w:rsid w:val="001F77B3"/>
    <w:rPr>
      <w:b/>
      <w:sz w:val="24"/>
      <w:lang w:val="fr-FR" w:eastAsia="en-US"/>
    </w:rPr>
  </w:style>
  <w:style w:type="character" w:customStyle="1" w:styleId="Heading3Char">
    <w:name w:val="Heading 3 Char"/>
    <w:basedOn w:val="DefaultParagraphFont"/>
    <w:link w:val="Heading3"/>
    <w:rsid w:val="001F77B3"/>
    <w:rPr>
      <w:b/>
      <w:sz w:val="24"/>
      <w:lang w:val="fr-FR" w:eastAsia="en-US"/>
    </w:rPr>
  </w:style>
  <w:style w:type="character" w:customStyle="1" w:styleId="Heading4Char">
    <w:name w:val="Heading 4 Char"/>
    <w:basedOn w:val="DefaultParagraphFont"/>
    <w:link w:val="Heading4"/>
    <w:rsid w:val="001F77B3"/>
    <w:rPr>
      <w:b/>
      <w:sz w:val="24"/>
      <w:lang w:val="fr-FR" w:eastAsia="en-US"/>
    </w:rPr>
  </w:style>
  <w:style w:type="character" w:customStyle="1" w:styleId="Heading5Char">
    <w:name w:val="Heading 5 Char"/>
    <w:basedOn w:val="DefaultParagraphFont"/>
    <w:link w:val="Heading5"/>
    <w:rsid w:val="001F77B3"/>
    <w:rPr>
      <w:b/>
      <w:sz w:val="24"/>
      <w:lang w:val="fr-FR" w:eastAsia="en-US"/>
    </w:rPr>
  </w:style>
  <w:style w:type="character" w:customStyle="1" w:styleId="Heading6Char">
    <w:name w:val="Heading 6 Char"/>
    <w:basedOn w:val="DefaultParagraphFont"/>
    <w:link w:val="Heading6"/>
    <w:rsid w:val="001F77B3"/>
    <w:rPr>
      <w:b/>
      <w:sz w:val="24"/>
      <w:lang w:val="fr-FR" w:eastAsia="en-US"/>
    </w:rPr>
  </w:style>
  <w:style w:type="character" w:customStyle="1" w:styleId="Heading7Char">
    <w:name w:val="Heading 7 Char"/>
    <w:basedOn w:val="DefaultParagraphFont"/>
    <w:link w:val="Heading7"/>
    <w:rsid w:val="001F77B3"/>
    <w:rPr>
      <w:b/>
      <w:sz w:val="24"/>
      <w:lang w:val="fr-FR" w:eastAsia="en-US"/>
    </w:rPr>
  </w:style>
  <w:style w:type="character" w:customStyle="1" w:styleId="Heading8Char">
    <w:name w:val="Heading 8 Char"/>
    <w:basedOn w:val="DefaultParagraphFont"/>
    <w:link w:val="Heading8"/>
    <w:rsid w:val="001F77B3"/>
    <w:rPr>
      <w:b/>
      <w:sz w:val="24"/>
      <w:lang w:val="fr-FR" w:eastAsia="en-US"/>
    </w:rPr>
  </w:style>
  <w:style w:type="character" w:customStyle="1" w:styleId="Heading9Char">
    <w:name w:val="Heading 9 Char"/>
    <w:basedOn w:val="DefaultParagraphFont"/>
    <w:link w:val="Heading9"/>
    <w:rsid w:val="001F77B3"/>
    <w:rPr>
      <w:b/>
      <w:sz w:val="24"/>
      <w:lang w:val="fr-FR" w:eastAsia="en-US"/>
    </w:rPr>
  </w:style>
  <w:style w:type="character" w:customStyle="1" w:styleId="HeaderChar">
    <w:name w:val="Header Char"/>
    <w:basedOn w:val="DefaultParagraphFont"/>
    <w:link w:val="Header"/>
    <w:rsid w:val="001F77B3"/>
    <w:rPr>
      <w:sz w:val="24"/>
      <w:lang w:val="fr-FR" w:eastAsia="en-US"/>
    </w:rPr>
  </w:style>
  <w:style w:type="character" w:customStyle="1" w:styleId="FooterChar">
    <w:name w:val="Footer Char"/>
    <w:basedOn w:val="DefaultParagraphFont"/>
    <w:link w:val="Footer"/>
    <w:rsid w:val="001F77B3"/>
    <w:rPr>
      <w:noProof/>
      <w:sz w:val="18"/>
      <w:lang w:val="fr-FR" w:eastAsia="en-US"/>
    </w:rPr>
  </w:style>
  <w:style w:type="character" w:customStyle="1" w:styleId="FigureNoChar">
    <w:name w:val="Figure_No Char"/>
    <w:basedOn w:val="DefaultParagraphFont"/>
    <w:link w:val="FigureNo"/>
    <w:rsid w:val="001F77B3"/>
    <w:rPr>
      <w:caps/>
      <w:sz w:val="18"/>
      <w:lang w:val="fr-FR" w:eastAsia="en-US"/>
    </w:rPr>
  </w:style>
  <w:style w:type="character" w:customStyle="1" w:styleId="FootnoteTextChar">
    <w:name w:val="Footnote Text Char"/>
    <w:basedOn w:val="DefaultParagraphFont"/>
    <w:link w:val="FootnoteText"/>
    <w:rsid w:val="001F77B3"/>
    <w:rPr>
      <w:sz w:val="22"/>
      <w:lang w:val="fr-FR" w:eastAsia="en-US"/>
    </w:rPr>
  </w:style>
  <w:style w:type="character" w:styleId="FollowedHyperlink">
    <w:name w:val="FollowedHyperlink"/>
    <w:basedOn w:val="DefaultParagraphFont"/>
    <w:rsid w:val="001F77B3"/>
    <w:rPr>
      <w:color w:val="800080"/>
      <w:u w:val="single"/>
    </w:rPr>
  </w:style>
  <w:style w:type="character" w:styleId="Strong">
    <w:name w:val="Strong"/>
    <w:basedOn w:val="DefaultParagraphFont"/>
    <w:qFormat/>
    <w:rsid w:val="001F77B3"/>
    <w:rPr>
      <w:b/>
      <w:bCs/>
    </w:rPr>
  </w:style>
  <w:style w:type="character" w:customStyle="1" w:styleId="FiguretitleChar">
    <w:name w:val="Figure_title Char"/>
    <w:basedOn w:val="DefaultParagraphFont"/>
    <w:link w:val="Figuretitle"/>
    <w:locked/>
    <w:rsid w:val="001F77B3"/>
    <w:rPr>
      <w:rFonts w:ascii="Times New Roman Bold" w:hAnsi="Times New Roman Bold"/>
      <w:b/>
      <w:sz w:val="18"/>
      <w:lang w:val="fr-FR" w:eastAsia="en-US"/>
    </w:rPr>
  </w:style>
  <w:style w:type="character" w:customStyle="1" w:styleId="TableNoChar">
    <w:name w:val="Table_No Char"/>
    <w:basedOn w:val="DefaultParagraphFont"/>
    <w:link w:val="TableNo"/>
    <w:locked/>
    <w:rsid w:val="001F77B3"/>
    <w:rPr>
      <w:sz w:val="24"/>
      <w:lang w:val="fr-FR" w:eastAsia="en-US"/>
    </w:rPr>
  </w:style>
  <w:style w:type="character" w:customStyle="1" w:styleId="TabletitleChar">
    <w:name w:val="Table_title Char"/>
    <w:basedOn w:val="DefaultParagraphFont"/>
    <w:link w:val="Tabletitle"/>
    <w:locked/>
    <w:rsid w:val="001F77B3"/>
    <w:rPr>
      <w:b/>
      <w:sz w:val="24"/>
      <w:lang w:val="fr-FR" w:eastAsia="en-US"/>
    </w:rPr>
  </w:style>
  <w:style w:type="character" w:styleId="EndnoteReference">
    <w:name w:val="endnote reference"/>
    <w:basedOn w:val="DefaultParagraphFont"/>
    <w:rsid w:val="001F77B3"/>
    <w:rPr>
      <w:rFonts w:cs="Times New Roman"/>
      <w:vertAlign w:val="superscript"/>
    </w:rPr>
  </w:style>
  <w:style w:type="paragraph" w:customStyle="1" w:styleId="TableText0">
    <w:name w:val="Table_Text"/>
    <w:basedOn w:val="Normal"/>
    <w:rsid w:val="001F77B3"/>
    <w:pPr>
      <w:keepNext/>
      <w:spacing w:before="100" w:after="100" w:line="190" w:lineRule="exact"/>
    </w:pPr>
    <w:rPr>
      <w:sz w:val="18"/>
      <w:lang w:val="en-GB"/>
    </w:rPr>
  </w:style>
  <w:style w:type="character" w:customStyle="1" w:styleId="TablelegendChar">
    <w:name w:val="Table_legend Char"/>
    <w:link w:val="Tablelegend"/>
    <w:locked/>
    <w:rsid w:val="001F77B3"/>
    <w:rPr>
      <w:sz w:val="22"/>
      <w:lang w:val="fr-FR" w:eastAsia="en-US"/>
    </w:rPr>
  </w:style>
  <w:style w:type="character" w:customStyle="1" w:styleId="TableheadChar">
    <w:name w:val="Table_head Char"/>
    <w:basedOn w:val="DefaultParagraphFont"/>
    <w:link w:val="Tablehead"/>
    <w:locked/>
    <w:rsid w:val="001F77B3"/>
    <w:rPr>
      <w:b/>
      <w:sz w:val="22"/>
      <w:lang w:val="fr-FR" w:eastAsia="en-US"/>
    </w:rPr>
  </w:style>
  <w:style w:type="character" w:customStyle="1" w:styleId="TabletextChar">
    <w:name w:val="Table_text Char"/>
    <w:basedOn w:val="DefaultParagraphFont"/>
    <w:link w:val="Tabletext"/>
    <w:locked/>
    <w:rsid w:val="001F77B3"/>
    <w:rPr>
      <w:sz w:val="22"/>
      <w:lang w:val="fr-FR" w:eastAsia="en-US"/>
    </w:rPr>
  </w:style>
  <w:style w:type="paragraph" w:customStyle="1" w:styleId="Reasons">
    <w:name w:val="Reasons"/>
    <w:basedOn w:val="Normal"/>
    <w:qFormat/>
    <w:rsid w:val="001F77B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1F77B3"/>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1F77B3"/>
    <w:rPr>
      <w:rFonts w:ascii="Tahoma" w:hAnsi="Tahoma" w:cs="Tahoma"/>
      <w:sz w:val="16"/>
      <w:szCs w:val="16"/>
      <w:lang w:val="es-ES" w:eastAsia="en-US"/>
    </w:rPr>
  </w:style>
  <w:style w:type="paragraph" w:styleId="ListParagraph">
    <w:name w:val="List Paragraph"/>
    <w:basedOn w:val="Normal"/>
    <w:uiPriority w:val="34"/>
    <w:qFormat/>
    <w:rsid w:val="001F77B3"/>
    <w:pPr>
      <w:ind w:left="720"/>
      <w:contextualSpacing/>
    </w:pPr>
    <w:rPr>
      <w:lang w:val="es-ES"/>
    </w:rPr>
  </w:style>
  <w:style w:type="character" w:customStyle="1" w:styleId="TableNo0">
    <w:name w:val="Table_No Знак"/>
    <w:locked/>
    <w:rsid w:val="001F77B3"/>
    <w:rPr>
      <w:sz w:val="24"/>
      <w:lang w:val="fr-FR" w:eastAsia="en-US"/>
    </w:rPr>
  </w:style>
  <w:style w:type="character" w:customStyle="1" w:styleId="Tabletitle0">
    <w:name w:val="Table_title Знак"/>
    <w:locked/>
    <w:rsid w:val="001F77B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e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emf"/><Relationship Id="rId58" Type="http://schemas.openxmlformats.org/officeDocument/2006/relationships/oleObject" Target="embeddings/oleObject23.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61"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header" Target="header2.xml"/><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169</TotalTime>
  <Pages>26</Pages>
  <Words>9237</Words>
  <Characters>49020</Characters>
  <Application>Microsoft Office Word</Application>
  <DocSecurity>0</DocSecurity>
  <Lines>408</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58141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23</cp:revision>
  <cp:lastPrinted>2017-02-20T08:05:00Z</cp:lastPrinted>
  <dcterms:created xsi:type="dcterms:W3CDTF">2016-09-02T12:45:00Z</dcterms:created>
  <dcterms:modified xsi:type="dcterms:W3CDTF">2017-02-20T08:05:00Z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