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C76C0C" w:rsidRDefault="00FE79FE">
      <w:pPr>
        <w:rPr>
          <w:lang w:val="ru-RU"/>
        </w:rPr>
      </w:pPr>
      <w:bookmarkStart w:id="0" w:name="_GoBack"/>
      <w:bookmarkEnd w:id="0"/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013002" w:rsidRPr="00C76C0C" w:rsidRDefault="00013002">
      <w:pPr>
        <w:rPr>
          <w:lang w:val="ru-RU"/>
        </w:rPr>
      </w:pPr>
    </w:p>
    <w:p w:rsidR="00013002" w:rsidRPr="00C76C0C" w:rsidRDefault="00013002">
      <w:pPr>
        <w:rPr>
          <w:lang w:val="ru-RU"/>
        </w:rPr>
      </w:pPr>
    </w:p>
    <w:p w:rsidR="00013002" w:rsidRPr="00C76C0C" w:rsidRDefault="00013002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p w:rsidR="00FE79FE" w:rsidRPr="00C76C0C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C76C0C">
        <w:tc>
          <w:tcPr>
            <w:tcW w:w="10089" w:type="dxa"/>
          </w:tcPr>
          <w:p w:rsidR="00276D21" w:rsidRPr="00C76C0C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C76C0C" w:rsidRDefault="00131900" w:rsidP="00C4590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A83C2A"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</w:t>
            </w:r>
            <w:r w:rsidR="00C4590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GB"/>
              </w:rPr>
              <w:t>93</w:t>
            </w:r>
            <w:r w:rsidR="00A83C2A"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E79FE" w:rsidRPr="00C76C0C" w:rsidRDefault="00FE79FE" w:rsidP="00C459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C459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03</w:t>
            </w: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C76C0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C4590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12</w:t>
            </w: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76C0C">
        <w:tc>
          <w:tcPr>
            <w:tcW w:w="10089" w:type="dxa"/>
          </w:tcPr>
          <w:p w:rsidR="00013002" w:rsidRPr="00C76C0C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C76C0C" w:rsidRDefault="00C76C0C" w:rsidP="00C76C0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Технические характеристики 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ВЧ</w:t>
            </w: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радиомаяков – указателей мест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</w:t>
            </w: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бедствия,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использующих цифровой</w:t>
            </w: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избирательный вызов</w:t>
            </w:r>
          </w:p>
          <w:p w:rsidR="00A62A14" w:rsidRPr="00C76C0C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C76C0C">
        <w:tc>
          <w:tcPr>
            <w:tcW w:w="10089" w:type="dxa"/>
          </w:tcPr>
          <w:p w:rsidR="00013002" w:rsidRPr="00C76C0C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C76C0C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C76C0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E79FE" w:rsidRPr="00C76C0C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C76C0C" w:rsidRDefault="00FE79FE" w:rsidP="00CD659B">
      <w:pPr>
        <w:spacing w:before="80"/>
        <w:rPr>
          <w:i/>
          <w:lang w:val="ru-RU"/>
        </w:rPr>
      </w:pPr>
    </w:p>
    <w:p w:rsidR="00FE79FE" w:rsidRPr="00C76C0C" w:rsidRDefault="00FE79FE" w:rsidP="00CD659B">
      <w:pPr>
        <w:spacing w:before="80"/>
        <w:rPr>
          <w:i/>
          <w:lang w:val="ru-RU"/>
        </w:rPr>
      </w:pPr>
    </w:p>
    <w:p w:rsidR="00FE79FE" w:rsidRPr="00C76C0C" w:rsidRDefault="00FE79FE" w:rsidP="00CD659B">
      <w:pPr>
        <w:spacing w:before="80"/>
        <w:rPr>
          <w:i/>
          <w:lang w:val="ru-RU"/>
        </w:rPr>
      </w:pPr>
    </w:p>
    <w:p w:rsidR="00A71FE5" w:rsidRPr="00C76C0C" w:rsidRDefault="00A71FE5" w:rsidP="00CD659B">
      <w:pPr>
        <w:spacing w:before="80"/>
        <w:rPr>
          <w:i/>
          <w:lang w:val="ru-RU"/>
        </w:rPr>
      </w:pPr>
    </w:p>
    <w:p w:rsidR="00CD659B" w:rsidRPr="00C76C0C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C76C0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C76C0C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C76C0C">
        <w:rPr>
          <w:b/>
          <w:bCs/>
          <w:szCs w:val="22"/>
          <w:lang w:val="ru-RU"/>
        </w:rPr>
        <w:lastRenderedPageBreak/>
        <w:t>Предисловие</w:t>
      </w:r>
    </w:p>
    <w:p w:rsidR="006E56A2" w:rsidRPr="00C76C0C" w:rsidRDefault="006E56A2" w:rsidP="006E56A2">
      <w:pPr>
        <w:rPr>
          <w:sz w:val="20"/>
          <w:lang w:val="ru-RU"/>
        </w:rPr>
      </w:pPr>
      <w:r w:rsidRPr="00C76C0C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C76C0C" w:rsidRDefault="006E56A2" w:rsidP="006E56A2">
      <w:pPr>
        <w:rPr>
          <w:sz w:val="20"/>
          <w:lang w:val="ru-RU"/>
        </w:rPr>
      </w:pPr>
      <w:r w:rsidRPr="00C76C0C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C76C0C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C76C0C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C76C0C" w:rsidRDefault="006E56A2" w:rsidP="001A5DF7">
      <w:pPr>
        <w:rPr>
          <w:sz w:val="20"/>
          <w:lang w:val="ru-RU"/>
        </w:rPr>
      </w:pPr>
      <w:r w:rsidRPr="00C76C0C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C76C0C">
        <w:rPr>
          <w:sz w:val="20"/>
          <w:lang w:val="ru-RU"/>
        </w:rPr>
        <w:t xml:space="preserve"> 1</w:t>
      </w:r>
      <w:r w:rsidRPr="00C76C0C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C76C0C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C76C0C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C76C0C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C76C0C" w:rsidTr="00D40BEE">
        <w:trPr>
          <w:jc w:val="center"/>
        </w:trPr>
        <w:tc>
          <w:tcPr>
            <w:tcW w:w="8856" w:type="dxa"/>
            <w:gridSpan w:val="2"/>
          </w:tcPr>
          <w:p w:rsidR="006E56A2" w:rsidRPr="00C76C0C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C76C0C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C76C0C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C76C0C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C76C0C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C76C0C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C76C0C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C76C0C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76C0C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C76C0C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76C0C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C76C0C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C76C0C" w:rsidTr="00D40BEE">
        <w:trPr>
          <w:jc w:val="center"/>
        </w:trPr>
        <w:tc>
          <w:tcPr>
            <w:tcW w:w="1188" w:type="dxa"/>
          </w:tcPr>
          <w:p w:rsidR="006E56A2" w:rsidRPr="00C76C0C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C76C0C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C76C0C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C76C0C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C76C0C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C76C0C" w:rsidTr="00D40BEE">
        <w:trPr>
          <w:jc w:val="center"/>
        </w:trPr>
        <w:tc>
          <w:tcPr>
            <w:tcW w:w="8856" w:type="dxa"/>
          </w:tcPr>
          <w:p w:rsidR="006E56A2" w:rsidRPr="00C76C0C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C76C0C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C76C0C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C76C0C">
              <w:rPr>
                <w:i/>
                <w:iCs/>
                <w:sz w:val="20"/>
                <w:lang w:val="ru-RU"/>
              </w:rPr>
              <w:t> </w:t>
            </w:r>
            <w:r w:rsidRPr="00C76C0C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C76C0C">
              <w:rPr>
                <w:i/>
                <w:iCs/>
                <w:sz w:val="20"/>
                <w:lang w:val="ru-RU"/>
              </w:rPr>
              <w:t xml:space="preserve"> 1</w:t>
            </w:r>
            <w:r w:rsidRPr="00C76C0C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C76C0C" w:rsidRDefault="006E56A2" w:rsidP="00387A7D">
      <w:pPr>
        <w:spacing w:before="360"/>
        <w:jc w:val="right"/>
        <w:rPr>
          <w:sz w:val="20"/>
          <w:lang w:val="ru-RU"/>
        </w:rPr>
      </w:pPr>
      <w:r w:rsidRPr="00C76C0C">
        <w:rPr>
          <w:i/>
          <w:iCs/>
          <w:sz w:val="20"/>
          <w:lang w:val="ru-RU"/>
        </w:rPr>
        <w:t>Электронная публикация</w:t>
      </w:r>
      <w:r w:rsidRPr="00C76C0C">
        <w:rPr>
          <w:i/>
          <w:iCs/>
          <w:sz w:val="20"/>
          <w:lang w:val="ru-RU"/>
        </w:rPr>
        <w:br/>
      </w:r>
      <w:r w:rsidRPr="00C76C0C">
        <w:rPr>
          <w:sz w:val="20"/>
          <w:lang w:val="ru-RU"/>
        </w:rPr>
        <w:t>Женева, 201</w:t>
      </w:r>
      <w:r w:rsidR="00387A7D" w:rsidRPr="00C76C0C">
        <w:rPr>
          <w:sz w:val="20"/>
          <w:lang w:val="ru-RU"/>
        </w:rPr>
        <w:t>5</w:t>
      </w:r>
      <w:r w:rsidRPr="00C76C0C">
        <w:rPr>
          <w:sz w:val="20"/>
          <w:lang w:val="ru-RU"/>
        </w:rPr>
        <w:t xml:space="preserve"> г.</w:t>
      </w:r>
    </w:p>
    <w:p w:rsidR="006E56A2" w:rsidRPr="00C76C0C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C76C0C">
        <w:rPr>
          <w:sz w:val="20"/>
          <w:lang w:val="ru-RU"/>
        </w:rPr>
        <w:sym w:font="Symbol" w:char="F0E3"/>
      </w:r>
      <w:r w:rsidRPr="00C76C0C">
        <w:rPr>
          <w:sz w:val="20"/>
          <w:lang w:val="ru-RU"/>
        </w:rPr>
        <w:t xml:space="preserve"> ITU </w:t>
      </w:r>
      <w:bookmarkStart w:id="2" w:name="iiannee"/>
      <w:bookmarkEnd w:id="2"/>
      <w:r w:rsidRPr="00C76C0C">
        <w:rPr>
          <w:sz w:val="20"/>
          <w:lang w:val="ru-RU"/>
        </w:rPr>
        <w:t>201</w:t>
      </w:r>
      <w:r w:rsidR="00387A7D" w:rsidRPr="00C76C0C">
        <w:rPr>
          <w:sz w:val="20"/>
          <w:lang w:val="ru-RU"/>
        </w:rPr>
        <w:t>5</w:t>
      </w:r>
    </w:p>
    <w:p w:rsidR="00B62AB1" w:rsidRPr="00C76C0C" w:rsidRDefault="006E56A2" w:rsidP="00B62AB1">
      <w:pPr>
        <w:rPr>
          <w:sz w:val="18"/>
          <w:szCs w:val="18"/>
          <w:lang w:val="ru-RU"/>
        </w:rPr>
      </w:pPr>
      <w:r w:rsidRPr="00C76C0C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C76C0C">
        <w:rPr>
          <w:sz w:val="18"/>
          <w:szCs w:val="18"/>
          <w:lang w:val="ru-RU"/>
        </w:rPr>
        <w:t xml:space="preserve"> </w:t>
      </w:r>
    </w:p>
    <w:p w:rsidR="00B62AB1" w:rsidRPr="00C76C0C" w:rsidRDefault="00B62AB1" w:rsidP="00B62AB1">
      <w:pPr>
        <w:spacing w:before="160"/>
        <w:rPr>
          <w:i/>
          <w:sz w:val="20"/>
          <w:lang w:val="ru-RU"/>
        </w:rPr>
        <w:sectPr w:rsidR="00B62AB1" w:rsidRPr="00C76C0C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567502" w:rsidRPr="00C76C0C" w:rsidRDefault="00C906E6" w:rsidP="00C76C0C">
      <w:pPr>
        <w:pStyle w:val="RecNo"/>
        <w:spacing w:before="0"/>
        <w:rPr>
          <w:lang w:val="ru-RU"/>
        </w:rPr>
      </w:pPr>
      <w:bookmarkStart w:id="3" w:name="irecnoe"/>
      <w:bookmarkEnd w:id="3"/>
      <w:r w:rsidRPr="00C76C0C">
        <w:rPr>
          <w:lang w:val="ru-RU"/>
        </w:rPr>
        <w:lastRenderedPageBreak/>
        <w:t xml:space="preserve">РЕКОМЕНДАЦИЯ  </w:t>
      </w:r>
      <w:r w:rsidRPr="00C76C0C">
        <w:rPr>
          <w:rStyle w:val="href"/>
          <w:lang w:val="ru-RU"/>
        </w:rPr>
        <w:t>МСЭ-R  M.</w:t>
      </w:r>
      <w:r w:rsidR="00567502" w:rsidRPr="00C76C0C">
        <w:rPr>
          <w:rStyle w:val="href"/>
          <w:lang w:val="ru-RU"/>
        </w:rPr>
        <w:t>693-1</w:t>
      </w:r>
    </w:p>
    <w:p w:rsidR="00567502" w:rsidRPr="00C76C0C" w:rsidRDefault="00567502" w:rsidP="00567502">
      <w:pPr>
        <w:pStyle w:val="Rectitle"/>
        <w:rPr>
          <w:lang w:val="ru-RU"/>
        </w:rPr>
      </w:pPr>
      <w:r w:rsidRPr="00C76C0C">
        <w:rPr>
          <w:lang w:val="ru-RU"/>
        </w:rPr>
        <w:t>Технические характеристики ОВЧ радиомаяков – указателей места бедствия, использующих цифровой избирательный вызов</w:t>
      </w:r>
    </w:p>
    <w:p w:rsidR="00567502" w:rsidRPr="00C76C0C" w:rsidRDefault="00567502" w:rsidP="00D10B8D">
      <w:pPr>
        <w:pStyle w:val="Recdate"/>
        <w:rPr>
          <w:lang w:val="ru-RU"/>
        </w:rPr>
      </w:pPr>
      <w:r w:rsidRPr="00C76C0C">
        <w:rPr>
          <w:lang w:val="ru-RU"/>
        </w:rPr>
        <w:t>(1990-2012)</w:t>
      </w:r>
    </w:p>
    <w:p w:rsidR="00567502" w:rsidRPr="00C76C0C" w:rsidRDefault="00567502" w:rsidP="006146AA">
      <w:pPr>
        <w:pStyle w:val="HeadingSum"/>
      </w:pPr>
      <w:r w:rsidRPr="00C76C0C">
        <w:t>Сфера применения</w:t>
      </w:r>
    </w:p>
    <w:p w:rsidR="00567502" w:rsidRPr="00C76C0C" w:rsidRDefault="00567502" w:rsidP="00567502">
      <w:pPr>
        <w:pStyle w:val="Summary"/>
        <w:rPr>
          <w:rFonts w:asciiTheme="majorBidi" w:hAnsiTheme="majorBidi" w:cstheme="majorBidi"/>
          <w:lang w:val="ru-RU"/>
        </w:rPr>
      </w:pPr>
      <w:r w:rsidRPr="00C76C0C">
        <w:rPr>
          <w:rFonts w:asciiTheme="majorBidi" w:hAnsiTheme="majorBidi" w:cstheme="majorBidi"/>
          <w:lang w:val="ru-RU"/>
        </w:rPr>
        <w:t xml:space="preserve">В настоящей Рекомендации подробно описываются технические характеристики </w:t>
      </w:r>
      <w:r w:rsidRPr="00C76C0C">
        <w:rPr>
          <w:lang w:val="ru-RU"/>
        </w:rPr>
        <w:t xml:space="preserve">радиомаяка – указателя места бедствия. Этот радиомаяк работает в диапазоне ОВЧ в распределениях, предназначенных исключительно </w:t>
      </w:r>
      <w:r w:rsidRPr="00C76C0C">
        <w:rPr>
          <w:lang w:val="ru-RU" w:eastAsia="ja-JP"/>
        </w:rPr>
        <w:t>морской</w:t>
      </w:r>
      <w:r w:rsidRPr="00C76C0C">
        <w:rPr>
          <w:lang w:val="ru-RU"/>
        </w:rPr>
        <w:t xml:space="preserve"> подвижной службе, и использует систему цифрового избирательного вызова (ЦИВ), подробно описанную в Рекомендации МСЭ-R M.493. Для данного радиомаяка будет использоваться акроним РМУМБ ОВЧ. </w:t>
      </w:r>
    </w:p>
    <w:p w:rsidR="00567502" w:rsidRPr="00C76C0C" w:rsidRDefault="00567502" w:rsidP="006146AA">
      <w:pPr>
        <w:pStyle w:val="Normalaftertitle"/>
        <w:rPr>
          <w:lang w:val="ru-RU"/>
        </w:rPr>
      </w:pPr>
      <w:r w:rsidRPr="00C76C0C">
        <w:rPr>
          <w:lang w:val="ru-RU"/>
        </w:rPr>
        <w:t>Ассамблея радиосвязи МСЭ,</w:t>
      </w:r>
    </w:p>
    <w:p w:rsidR="00567502" w:rsidRPr="00C76C0C" w:rsidRDefault="00567502" w:rsidP="00567502">
      <w:pPr>
        <w:pStyle w:val="Call"/>
        <w:rPr>
          <w:lang w:val="ru-RU"/>
        </w:rPr>
      </w:pPr>
      <w:r w:rsidRPr="00C76C0C">
        <w:rPr>
          <w:lang w:val="ru-RU"/>
        </w:rPr>
        <w:t>учитывая</w:t>
      </w:r>
      <w:r w:rsidRPr="00C76C0C">
        <w:rPr>
          <w:i w:val="0"/>
          <w:iCs/>
          <w:lang w:val="ru-RU"/>
        </w:rPr>
        <w:t>,</w:t>
      </w:r>
    </w:p>
    <w:p w:rsidR="00567502" w:rsidRPr="00C76C0C" w:rsidRDefault="00567502" w:rsidP="00567502">
      <w:pPr>
        <w:rPr>
          <w:lang w:val="ru-RU"/>
        </w:rPr>
      </w:pPr>
      <w:r w:rsidRPr="00C76C0C">
        <w:rPr>
          <w:i/>
          <w:iCs/>
          <w:lang w:val="ru-RU"/>
        </w:rPr>
        <w:t>a)</w:t>
      </w:r>
      <w:r w:rsidRPr="00C76C0C">
        <w:rPr>
          <w:lang w:val="ru-RU"/>
        </w:rPr>
        <w:tab/>
        <w:t>что функции подачи сигнала бедствия и определения местоположения бедствия входят в перечень основных требований Глобальной морской системы для случаев бедствия и обеспечения безопасности (ГМСББ);</w:t>
      </w:r>
    </w:p>
    <w:p w:rsidR="00567502" w:rsidRPr="00C76C0C" w:rsidRDefault="00567502" w:rsidP="00567502">
      <w:pPr>
        <w:rPr>
          <w:lang w:val="ru-RU"/>
        </w:rPr>
      </w:pPr>
      <w:r w:rsidRPr="00C76C0C">
        <w:rPr>
          <w:i/>
          <w:lang w:val="ru-RU"/>
        </w:rPr>
        <w:t>b)</w:t>
      </w:r>
      <w:r w:rsidRPr="00C76C0C">
        <w:rPr>
          <w:lang w:val="ru-RU"/>
        </w:rPr>
        <w:tab/>
        <w:t>что характеристики системы ЦИВ приведены в Рекомендации МСЭ-R M.493;</w:t>
      </w:r>
    </w:p>
    <w:p w:rsidR="00567502" w:rsidRPr="00C76C0C" w:rsidRDefault="00567502" w:rsidP="00567502">
      <w:pPr>
        <w:rPr>
          <w:lang w:val="ru-RU"/>
        </w:rPr>
      </w:pPr>
      <w:r w:rsidRPr="00C76C0C">
        <w:rPr>
          <w:i/>
          <w:lang w:val="ru-RU"/>
        </w:rPr>
        <w:t>с)</w:t>
      </w:r>
      <w:r w:rsidRPr="00C76C0C">
        <w:rPr>
          <w:lang w:val="ru-RU"/>
        </w:rPr>
        <w:tab/>
        <w:t>что характеристики спасательного радиолокационного ответчика (SART) для целей определения местоположения приведены в Рекомендации МСЭ-R M.628,</w:t>
      </w:r>
    </w:p>
    <w:p w:rsidR="00567502" w:rsidRPr="00C76C0C" w:rsidRDefault="00567502" w:rsidP="00567502">
      <w:pPr>
        <w:pStyle w:val="Call"/>
        <w:rPr>
          <w:lang w:val="ru-RU"/>
        </w:rPr>
      </w:pPr>
      <w:r w:rsidRPr="00C76C0C">
        <w:rPr>
          <w:lang w:val="ru-RU"/>
        </w:rPr>
        <w:t>признавая</w:t>
      </w:r>
      <w:r w:rsidRPr="00C76C0C">
        <w:rPr>
          <w:i w:val="0"/>
          <w:iCs/>
          <w:lang w:val="ru-RU"/>
        </w:rPr>
        <w:t>,</w:t>
      </w:r>
    </w:p>
    <w:p w:rsidR="00567502" w:rsidRPr="00C76C0C" w:rsidRDefault="00567502" w:rsidP="00567502">
      <w:pPr>
        <w:rPr>
          <w:lang w:val="ru-RU"/>
        </w:rPr>
      </w:pPr>
      <w:r w:rsidRPr="00C76C0C">
        <w:rPr>
          <w:lang w:val="ru-RU"/>
        </w:rPr>
        <w:t>что в главе IV Международной конвенции по охране человече</w:t>
      </w:r>
      <w:r w:rsidR="006146AA">
        <w:rPr>
          <w:lang w:val="ru-RU"/>
        </w:rPr>
        <w:t>ской жизни на море (СОЛАС) 1974</w:t>
      </w:r>
      <w:r w:rsidR="006146AA">
        <w:rPr>
          <w:lang w:val="en-GB"/>
        </w:rPr>
        <w:t> </w:t>
      </w:r>
      <w:r w:rsidRPr="00C76C0C">
        <w:rPr>
          <w:lang w:val="ru-RU"/>
        </w:rPr>
        <w:t>года с поправками 1988 года допускается применение в районе мореплавания A1</w:t>
      </w:r>
      <w:r w:rsidRPr="00C76C0C">
        <w:rPr>
          <w:rStyle w:val="FootnoteReference"/>
          <w:szCs w:val="16"/>
          <w:lang w:val="ru-RU"/>
        </w:rPr>
        <w:footnoteReference w:id="1"/>
      </w:r>
      <w:r w:rsidRPr="00C76C0C">
        <w:rPr>
          <w:lang w:val="ru-RU"/>
        </w:rPr>
        <w:t xml:space="preserve"> радиомаяков РМУМБ ОВЧ ЦИВ вместо спутниковых РМУМБ;</w:t>
      </w:r>
    </w:p>
    <w:p w:rsidR="00567502" w:rsidRPr="00C76C0C" w:rsidRDefault="00567502" w:rsidP="00567502">
      <w:pPr>
        <w:pStyle w:val="Call"/>
        <w:rPr>
          <w:lang w:val="ru-RU"/>
        </w:rPr>
      </w:pPr>
      <w:r w:rsidRPr="00C76C0C">
        <w:rPr>
          <w:lang w:val="ru-RU"/>
        </w:rPr>
        <w:t>рекомендует</w:t>
      </w:r>
      <w:r w:rsidRPr="006146AA">
        <w:rPr>
          <w:i w:val="0"/>
          <w:iCs/>
          <w:lang w:val="ru-RU"/>
        </w:rPr>
        <w:t>,</w:t>
      </w:r>
    </w:p>
    <w:p w:rsidR="00567502" w:rsidRPr="00C76C0C" w:rsidRDefault="00567502" w:rsidP="006146AA">
      <w:pPr>
        <w:rPr>
          <w:lang w:val="ru-RU"/>
        </w:rPr>
      </w:pPr>
      <w:r w:rsidRPr="00C76C0C">
        <w:rPr>
          <w:lang w:val="ru-RU"/>
        </w:rPr>
        <w:t>чтобы технические характеристики радиомаяков РМУМБ ОВЧ ЦИВ соответствовали Приложению 1 и Рекомендации МСЭ-R M.493.</w:t>
      </w:r>
    </w:p>
    <w:p w:rsidR="006146AA" w:rsidRDefault="006146A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567502" w:rsidRPr="00C76C0C" w:rsidRDefault="00567502" w:rsidP="00567502">
      <w:pPr>
        <w:pStyle w:val="AnnexNoTitle"/>
        <w:rPr>
          <w:lang w:val="ru-RU"/>
        </w:rPr>
      </w:pPr>
      <w:r w:rsidRPr="00C76C0C">
        <w:rPr>
          <w:lang w:val="ru-RU"/>
        </w:rPr>
        <w:lastRenderedPageBreak/>
        <w:t>Приложение 1</w:t>
      </w:r>
      <w:r w:rsidRPr="00C76C0C">
        <w:rPr>
          <w:lang w:val="ru-RU"/>
        </w:rPr>
        <w:br/>
      </w:r>
      <w:r w:rsidRPr="00C76C0C">
        <w:rPr>
          <w:lang w:val="ru-RU"/>
        </w:rPr>
        <w:br/>
        <w:t xml:space="preserve">Минимальные технические характеристики </w:t>
      </w:r>
      <w:r w:rsidR="006146AA">
        <w:rPr>
          <w:lang w:val="ru-RU"/>
        </w:rPr>
        <w:br/>
      </w:r>
      <w:r w:rsidRPr="00C76C0C">
        <w:rPr>
          <w:lang w:val="ru-RU"/>
        </w:rPr>
        <w:t>радиомаяков РМУМБ ОВЧ ЦИВ</w:t>
      </w:r>
    </w:p>
    <w:p w:rsidR="00567502" w:rsidRPr="00C76C0C" w:rsidRDefault="00567502" w:rsidP="00EA7A07">
      <w:pPr>
        <w:pStyle w:val="Heading1"/>
        <w:rPr>
          <w:lang w:val="ru-RU"/>
        </w:rPr>
      </w:pPr>
      <w:r w:rsidRPr="00C76C0C">
        <w:rPr>
          <w:lang w:val="ru-RU"/>
        </w:rPr>
        <w:t>1</w:t>
      </w:r>
      <w:r w:rsidRPr="00C76C0C">
        <w:rPr>
          <w:lang w:val="ru-RU"/>
        </w:rPr>
        <w:tab/>
        <w:t xml:space="preserve">Общие </w:t>
      </w:r>
      <w:r w:rsidRPr="00EA7A07">
        <w:t>положения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Радиомаяки РМУМБ ОВЧ ЦИВ должны быть способны передавать сигналы бедствия посредством цифрового избирательного вызова и обеспечивать возможность определения местоположения или </w:t>
      </w:r>
      <w:r w:rsidRPr="00EA7A07">
        <w:t>радиолокационного</w:t>
      </w:r>
      <w:r w:rsidRPr="00C76C0C">
        <w:rPr>
          <w:lang w:val="ru-RU"/>
        </w:rPr>
        <w:t xml:space="preserve"> привода. В целях удовлетворения требований ГМССБ к системам определения местоположения в правиле IV/8.3.1</w:t>
      </w:r>
      <w:r w:rsidR="00EA7A07">
        <w:rPr>
          <w:lang w:val="ru-RU"/>
        </w:rPr>
        <w:t xml:space="preserve"> Конвенции СОЛАС 1974</w:t>
      </w:r>
      <w:r w:rsidR="00EA7A07">
        <w:rPr>
          <w:lang w:val="en-GB"/>
        </w:rPr>
        <w:t> </w:t>
      </w:r>
      <w:r w:rsidRPr="00C76C0C">
        <w:rPr>
          <w:lang w:val="ru-RU"/>
        </w:rPr>
        <w:t>года предусматривается, чтобы для выполнения этих функций использовался радиолокационный ответчик SART (см. Рекомендацию МСЭ-R M.628).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РМУМБ должен </w:t>
      </w:r>
      <w:r w:rsidRPr="00EA7A07">
        <w:t>иметь</w:t>
      </w:r>
      <w:r w:rsidRPr="00C76C0C">
        <w:rPr>
          <w:lang w:val="ru-RU"/>
        </w:rPr>
        <w:t xml:space="preserve"> в своем составе аккумулятор достаточной емкости, позволяющий работать, как минимум, в течение 48 часов.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РМУМБ должен быть способен работать в следующих условиях окружающей среды:</w:t>
      </w:r>
    </w:p>
    <w:p w:rsidR="00567502" w:rsidRPr="00C76C0C" w:rsidRDefault="00567502" w:rsidP="00EA7A07">
      <w:pPr>
        <w:pStyle w:val="enumlev2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</w:r>
      <w:r w:rsidRPr="00EA7A07">
        <w:t>температура</w:t>
      </w:r>
      <w:r w:rsidRPr="00C76C0C">
        <w:rPr>
          <w:lang w:val="ru-RU"/>
        </w:rPr>
        <w:t xml:space="preserve"> воздуха от –20° C до +55° C;</w:t>
      </w:r>
    </w:p>
    <w:p w:rsidR="00567502" w:rsidRPr="00C76C0C" w:rsidRDefault="00567502" w:rsidP="00567502">
      <w:pPr>
        <w:pStyle w:val="enumlev2"/>
        <w:rPr>
          <w:szCs w:val="22"/>
          <w:lang w:val="ru-RU"/>
        </w:rPr>
      </w:pPr>
      <w:r w:rsidRPr="00C76C0C">
        <w:rPr>
          <w:szCs w:val="22"/>
          <w:lang w:val="ru-RU"/>
        </w:rPr>
        <w:t>–</w:t>
      </w:r>
      <w:r w:rsidRPr="00C76C0C">
        <w:rPr>
          <w:szCs w:val="22"/>
          <w:lang w:val="ru-RU"/>
        </w:rPr>
        <w:tab/>
        <w:t>обледенение;</w:t>
      </w:r>
    </w:p>
    <w:p w:rsidR="00567502" w:rsidRPr="00C76C0C" w:rsidRDefault="00567502" w:rsidP="00567502">
      <w:pPr>
        <w:pStyle w:val="enumlev2"/>
        <w:rPr>
          <w:szCs w:val="22"/>
          <w:lang w:val="ru-RU"/>
        </w:rPr>
      </w:pPr>
      <w:r w:rsidRPr="00C76C0C">
        <w:rPr>
          <w:szCs w:val="22"/>
          <w:lang w:val="ru-RU"/>
        </w:rPr>
        <w:t>–</w:t>
      </w:r>
      <w:r w:rsidRPr="00C76C0C">
        <w:rPr>
          <w:szCs w:val="22"/>
          <w:lang w:val="ru-RU"/>
        </w:rPr>
        <w:tab/>
        <w:t>относительная скорость ветра до 100 узлов;</w:t>
      </w:r>
    </w:p>
    <w:p w:rsidR="00567502" w:rsidRPr="00C76C0C" w:rsidRDefault="00567502" w:rsidP="00567502">
      <w:pPr>
        <w:pStyle w:val="enumlev2"/>
        <w:rPr>
          <w:szCs w:val="22"/>
          <w:lang w:val="ru-RU"/>
        </w:rPr>
      </w:pPr>
      <w:r w:rsidRPr="00C76C0C">
        <w:rPr>
          <w:szCs w:val="22"/>
          <w:lang w:val="ru-RU"/>
        </w:rPr>
        <w:t>–</w:t>
      </w:r>
      <w:r w:rsidRPr="00C76C0C">
        <w:rPr>
          <w:szCs w:val="22"/>
          <w:lang w:val="ru-RU"/>
        </w:rPr>
        <w:tab/>
        <w:t>после хранения при температурах от –30° C до +65° C.</w:t>
      </w:r>
    </w:p>
    <w:p w:rsidR="00567502" w:rsidRPr="00C76C0C" w:rsidRDefault="00567502" w:rsidP="00EA7A07">
      <w:pPr>
        <w:pStyle w:val="Heading1"/>
        <w:rPr>
          <w:lang w:val="ru-RU"/>
        </w:rPr>
      </w:pPr>
      <w:r w:rsidRPr="00C76C0C">
        <w:rPr>
          <w:lang w:val="ru-RU"/>
        </w:rPr>
        <w:t>2</w:t>
      </w:r>
      <w:r w:rsidRPr="00C76C0C">
        <w:rPr>
          <w:lang w:val="ru-RU"/>
        </w:rPr>
        <w:tab/>
        <w:t xml:space="preserve">Передача </w:t>
      </w:r>
      <w:r w:rsidRPr="00EA7A07">
        <w:t>сигналов</w:t>
      </w:r>
      <w:r w:rsidRPr="00C76C0C">
        <w:rPr>
          <w:lang w:val="ru-RU"/>
        </w:rPr>
        <w:t xml:space="preserve"> бедствия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Сигналы бедствия должны передаваться на частоте 156,525 МГц с использованием класса излучения G2B.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Допустимое отклонение частоты не должно превышать 10 на миллион.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Необходимая ширина полосы должна быть менее 16 кГц.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Излучение должно иметь вертикальную поляризацию. Антенна должна быть ненаправленной в азимутальной плоскости и достаточно высокой для обеспечения приема радиопередач на максимально возможной территории района мореплавания A1.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>Выходная мощность</w:t>
      </w:r>
      <w:r w:rsidRPr="00C76C0C">
        <w:rPr>
          <w:rStyle w:val="FootnoteReference"/>
          <w:szCs w:val="16"/>
          <w:lang w:val="ru-RU"/>
        </w:rPr>
        <w:footnoteReference w:id="2"/>
      </w:r>
      <w:r w:rsidRPr="00C76C0C">
        <w:rPr>
          <w:lang w:val="ru-RU"/>
        </w:rPr>
        <w:t xml:space="preserve"> должна быть, как минимум, 100 мВт.</w:t>
      </w:r>
    </w:p>
    <w:p w:rsidR="00567502" w:rsidRPr="00C76C0C" w:rsidRDefault="00567502" w:rsidP="00EA7A07">
      <w:pPr>
        <w:pStyle w:val="Heading1"/>
        <w:rPr>
          <w:lang w:val="ru-RU"/>
        </w:rPr>
      </w:pPr>
      <w:r w:rsidRPr="00C76C0C">
        <w:rPr>
          <w:lang w:val="ru-RU"/>
        </w:rPr>
        <w:t>3</w:t>
      </w:r>
      <w:r w:rsidRPr="00C76C0C">
        <w:rPr>
          <w:lang w:val="ru-RU"/>
        </w:rPr>
        <w:tab/>
      </w:r>
      <w:r w:rsidRPr="00EA7A07">
        <w:t>Формат</w:t>
      </w:r>
      <w:r w:rsidRPr="00C76C0C">
        <w:rPr>
          <w:lang w:val="ru-RU"/>
        </w:rPr>
        <w:t xml:space="preserve"> сообщения ЦИВ и последовательность передачи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Технические характеристики сообщения ЦИВ должны соответствовать последовательности </w:t>
      </w:r>
      <w:r w:rsidRPr="00D10B8D">
        <w:rPr>
          <w:lang w:val="ru-RU"/>
        </w:rPr>
        <w:t>"</w:t>
      </w:r>
      <w:r w:rsidRPr="00C76C0C">
        <w:rPr>
          <w:lang w:val="ru-RU"/>
        </w:rPr>
        <w:t>сигнал бедствия</w:t>
      </w:r>
      <w:r w:rsidRPr="00D10B8D">
        <w:rPr>
          <w:lang w:val="ru-RU"/>
        </w:rPr>
        <w:t>"</w:t>
      </w:r>
      <w:r w:rsidRPr="00C76C0C">
        <w:rPr>
          <w:lang w:val="ru-RU"/>
        </w:rPr>
        <w:t>, определенной в Рекомендации МСЭ-R M.493.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Указание </w:t>
      </w:r>
      <w:r w:rsidRPr="00D10B8D">
        <w:rPr>
          <w:lang w:val="ru-RU"/>
        </w:rPr>
        <w:t>"</w:t>
      </w:r>
      <w:r w:rsidRPr="00C76C0C">
        <w:rPr>
          <w:lang w:val="ru-RU"/>
        </w:rPr>
        <w:t>тип бедствия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должно быть </w:t>
      </w:r>
      <w:r w:rsidRPr="00D10B8D">
        <w:rPr>
          <w:lang w:val="ru-RU"/>
        </w:rPr>
        <w:t>"</w:t>
      </w:r>
      <w:r w:rsidRPr="00C76C0C">
        <w:rPr>
          <w:lang w:val="ru-RU"/>
        </w:rPr>
        <w:t>излучение РМУМБ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(символ № 112).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Информацию </w:t>
      </w:r>
      <w:r w:rsidRPr="00D10B8D">
        <w:rPr>
          <w:lang w:val="ru-RU"/>
        </w:rPr>
        <w:t>"</w:t>
      </w:r>
      <w:r w:rsidRPr="00C76C0C">
        <w:rPr>
          <w:lang w:val="ru-RU"/>
        </w:rPr>
        <w:t>координаты места бедствия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и </w:t>
      </w:r>
      <w:r w:rsidRPr="00D10B8D">
        <w:rPr>
          <w:lang w:val="ru-RU"/>
        </w:rPr>
        <w:t>"</w:t>
      </w:r>
      <w:r w:rsidRPr="00C76C0C">
        <w:rPr>
          <w:lang w:val="ru-RU"/>
        </w:rPr>
        <w:t>время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в</w:t>
      </w:r>
      <w:r w:rsidR="004A2A93">
        <w:rPr>
          <w:lang w:val="ru-RU"/>
        </w:rPr>
        <w:t>ключать в последовательность не</w:t>
      </w:r>
      <w:r w:rsidR="004A2A93">
        <w:rPr>
          <w:lang w:val="en-GB"/>
        </w:rPr>
        <w:t> </w:t>
      </w:r>
      <w:r w:rsidRPr="00C76C0C">
        <w:rPr>
          <w:lang w:val="ru-RU"/>
        </w:rPr>
        <w:t>требуется. В таком случае должны быть включены, соответственно, цифра 9, повторенная 10 раз, и цифра 8, повторенная четыре раза, как определено в Рекомендации МСЭ-R M.493.</w:t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t>–</w:t>
      </w:r>
      <w:r w:rsidRPr="00C76C0C">
        <w:rPr>
          <w:lang w:val="ru-RU"/>
        </w:rPr>
        <w:tab/>
        <w:t xml:space="preserve">Указатель </w:t>
      </w:r>
      <w:r w:rsidRPr="00D10B8D">
        <w:rPr>
          <w:lang w:val="ru-RU"/>
        </w:rPr>
        <w:t>"</w:t>
      </w:r>
      <w:r w:rsidRPr="00C76C0C">
        <w:rPr>
          <w:lang w:val="ru-RU"/>
        </w:rPr>
        <w:t>тип последующей передачи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должен быть </w:t>
      </w:r>
      <w:r w:rsidRPr="00D10B8D">
        <w:rPr>
          <w:lang w:val="ru-RU"/>
        </w:rPr>
        <w:t>"</w:t>
      </w:r>
      <w:r w:rsidRPr="00C76C0C">
        <w:rPr>
          <w:lang w:val="ru-RU"/>
        </w:rPr>
        <w:t>нет информации</w:t>
      </w:r>
      <w:r w:rsidRPr="00D10B8D">
        <w:rPr>
          <w:lang w:val="ru-RU"/>
        </w:rPr>
        <w:t>"</w:t>
      </w:r>
      <w:r w:rsidRPr="00C76C0C">
        <w:rPr>
          <w:lang w:val="ru-RU"/>
        </w:rPr>
        <w:t xml:space="preserve"> (символ № 126), что указывает на то, что сеанса связи после сообщения не последует.</w:t>
      </w:r>
    </w:p>
    <w:p w:rsidR="00EA7A07" w:rsidRDefault="00EA7A0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567502" w:rsidRPr="00C76C0C" w:rsidRDefault="00567502" w:rsidP="00EA7A07">
      <w:pPr>
        <w:pStyle w:val="enumlev1"/>
        <w:rPr>
          <w:lang w:val="ru-RU"/>
        </w:rPr>
      </w:pPr>
      <w:r w:rsidRPr="00C76C0C">
        <w:rPr>
          <w:lang w:val="ru-RU"/>
        </w:rPr>
        <w:lastRenderedPageBreak/>
        <w:t>–</w:t>
      </w:r>
      <w:r w:rsidRPr="00C76C0C">
        <w:rPr>
          <w:lang w:val="ru-RU"/>
        </w:rPr>
        <w:tab/>
        <w:t>Сигналы бедствия должны передаваться в пакетах. Каждый пакет должен содержать пять следующих друг за другом последовательностей ЦИВ, и (</w:t>
      </w:r>
      <w:r w:rsidRPr="00C76C0C">
        <w:rPr>
          <w:i/>
          <w:lang w:val="ru-RU"/>
        </w:rPr>
        <w:t>N</w:t>
      </w:r>
      <w:r w:rsidRPr="00C76C0C">
        <w:rPr>
          <w:lang w:val="ru-RU"/>
        </w:rPr>
        <w:t xml:space="preserve"> + 1)-й пакет, передаваемый через промежуток времени</w:t>
      </w:r>
      <w:r w:rsidRPr="00C76C0C">
        <w:rPr>
          <w:i/>
          <w:lang w:val="ru-RU"/>
        </w:rPr>
        <w:t xml:space="preserve"> T</w:t>
      </w:r>
      <w:r w:rsidRPr="00C76C0C">
        <w:rPr>
          <w:i/>
          <w:vertAlign w:val="subscript"/>
          <w:lang w:val="ru-RU"/>
        </w:rPr>
        <w:t>n</w:t>
      </w:r>
      <w:r w:rsidRPr="00C76C0C">
        <w:rPr>
          <w:lang w:val="ru-RU"/>
        </w:rPr>
        <w:t xml:space="preserve"> после (</w:t>
      </w:r>
      <w:r w:rsidRPr="00C76C0C">
        <w:rPr>
          <w:i/>
          <w:lang w:val="ru-RU"/>
        </w:rPr>
        <w:t>N</w:t>
      </w:r>
      <w:r w:rsidRPr="00C76C0C">
        <w:rPr>
          <w:lang w:val="ru-RU"/>
        </w:rPr>
        <w:t>)-го пакета, как показано на рис. 1, где:</w:t>
      </w:r>
    </w:p>
    <w:p w:rsidR="00567502" w:rsidRPr="00C76C0C" w:rsidRDefault="00567502" w:rsidP="00EA7A07">
      <w:pPr>
        <w:pStyle w:val="Equation"/>
        <w:rPr>
          <w:lang w:val="ru-RU"/>
        </w:rPr>
      </w:pPr>
      <w:r w:rsidRPr="00C76C0C">
        <w:rPr>
          <w:i/>
          <w:lang w:val="ru-RU"/>
        </w:rPr>
        <w:tab/>
      </w:r>
      <w:r w:rsidRPr="00C76C0C">
        <w:rPr>
          <w:i/>
          <w:lang w:val="ru-RU"/>
        </w:rPr>
        <w:tab/>
        <w:t>T</w:t>
      </w:r>
      <w:r w:rsidRPr="00C76C0C">
        <w:rPr>
          <w:i/>
          <w:vertAlign w:val="subscript"/>
          <w:lang w:val="ru-RU"/>
        </w:rPr>
        <w:t>n</w:t>
      </w:r>
      <w:r w:rsidRPr="00C76C0C">
        <w:rPr>
          <w:lang w:val="ru-RU"/>
        </w:rPr>
        <w:t xml:space="preserve"> = (240 + 10 </w:t>
      </w:r>
      <w:r w:rsidRPr="00C76C0C">
        <w:rPr>
          <w:i/>
          <w:lang w:val="ru-RU"/>
        </w:rPr>
        <w:t>N</w:t>
      </w:r>
      <w:r w:rsidRPr="00C76C0C">
        <w:rPr>
          <w:lang w:val="ru-RU"/>
        </w:rPr>
        <w:t>) с (±5%); и</w:t>
      </w:r>
    </w:p>
    <w:p w:rsidR="00567502" w:rsidRPr="00C76C0C" w:rsidRDefault="00567502" w:rsidP="00EA7A07">
      <w:pPr>
        <w:pStyle w:val="Equation"/>
        <w:rPr>
          <w:lang w:val="ru-RU"/>
        </w:rPr>
      </w:pPr>
      <w:r w:rsidRPr="00C76C0C">
        <w:rPr>
          <w:i/>
          <w:lang w:val="ru-RU"/>
        </w:rPr>
        <w:tab/>
      </w:r>
      <w:r w:rsidRPr="00C76C0C">
        <w:rPr>
          <w:i/>
          <w:lang w:val="ru-RU"/>
        </w:rPr>
        <w:tab/>
        <w:t>N</w:t>
      </w:r>
      <w:r w:rsidRPr="00C76C0C">
        <w:rPr>
          <w:lang w:val="ru-RU"/>
        </w:rPr>
        <w:t xml:space="preserve"> = 0, 1, 2, 3, … и т. п.</w:t>
      </w:r>
    </w:p>
    <w:p w:rsidR="00567502" w:rsidRPr="00C76C0C" w:rsidRDefault="00567502" w:rsidP="00567502">
      <w:pPr>
        <w:pStyle w:val="FigureNo"/>
        <w:rPr>
          <w:lang w:val="ru-RU"/>
        </w:rPr>
      </w:pPr>
      <w:r w:rsidRPr="00C76C0C">
        <w:rPr>
          <w:lang w:val="ru-RU"/>
        </w:rPr>
        <w:t>Рисунок 1</w:t>
      </w:r>
    </w:p>
    <w:p w:rsidR="00567502" w:rsidRPr="00C76C0C" w:rsidRDefault="00567502" w:rsidP="00EA7A07">
      <w:pPr>
        <w:pStyle w:val="Figure"/>
        <w:rPr>
          <w:lang w:val="ru-RU"/>
        </w:rPr>
      </w:pPr>
      <w:r w:rsidRPr="00C76C0C">
        <w:rPr>
          <w:lang w:val="ru-RU"/>
        </w:rPr>
        <w:object w:dxaOrig="6236" w:dyaOrig="14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9.9pt;height:1in" o:ole="">
            <v:imagedata r:id="rId14" o:title=""/>
          </v:shape>
          <o:OLEObject Type="Embed" ProgID="CorelDRAW.Graphic.14" ShapeID="_x0000_i1025" DrawAspect="Content" ObjectID="_1496055442" r:id="rId15"/>
        </w:object>
      </w:r>
    </w:p>
    <w:p w:rsidR="00934ED7" w:rsidRPr="00C76C0C" w:rsidRDefault="00567502" w:rsidP="00EA7A07">
      <w:pPr>
        <w:spacing w:before="720"/>
        <w:jc w:val="center"/>
        <w:rPr>
          <w:lang w:val="ru-RU"/>
        </w:rPr>
      </w:pPr>
      <w:r w:rsidRPr="00C76C0C">
        <w:rPr>
          <w:lang w:val="ru-RU"/>
        </w:rPr>
        <w:t>______________</w:t>
      </w:r>
    </w:p>
    <w:sectPr w:rsidR="00934ED7" w:rsidRPr="00C76C0C" w:rsidSect="00C906E6"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  <w:footnote w:id="1">
    <w:p w:rsidR="00567502" w:rsidRPr="00567502" w:rsidRDefault="00567502" w:rsidP="00567502">
      <w:pPr>
        <w:pStyle w:val="FootnoteText"/>
        <w:rPr>
          <w:lang w:val="ru-RU"/>
        </w:rPr>
      </w:pPr>
      <w:r w:rsidRPr="00177470">
        <w:rPr>
          <w:rStyle w:val="FootnoteReference"/>
        </w:rPr>
        <w:footnoteRef/>
      </w:r>
      <w:r w:rsidRPr="00567502">
        <w:rPr>
          <w:lang w:val="ru-RU"/>
        </w:rPr>
        <w:t xml:space="preserve"> </w:t>
      </w:r>
      <w:r w:rsidRPr="00567502">
        <w:rPr>
          <w:lang w:val="ru-RU"/>
        </w:rPr>
        <w:tab/>
        <w:t xml:space="preserve">"Район мореплавания </w:t>
      </w:r>
      <w:r w:rsidRPr="00B27B9A">
        <w:t>A</w:t>
      </w:r>
      <w:r w:rsidRPr="00567502">
        <w:rPr>
          <w:lang w:val="ru-RU"/>
        </w:rPr>
        <w:t>1" означает район в пределах области обслужи</w:t>
      </w:r>
      <w:r w:rsidR="004A2A93">
        <w:rPr>
          <w:lang w:val="ru-RU"/>
        </w:rPr>
        <w:t>вания радиотелефонной связи, по</w:t>
      </w:r>
      <w:r w:rsidR="004A2A93">
        <w:rPr>
          <w:lang w:val="en-GB"/>
        </w:rPr>
        <w:t> </w:t>
      </w:r>
      <w:r w:rsidRPr="00567502">
        <w:rPr>
          <w:lang w:val="ru-RU"/>
        </w:rPr>
        <w:t>крайней мере, одной береговой ОВЧ станции с непрерывной доступностью для сигналов ЦИВ, как может быть определено правительством, подписавшим в Конвенцию СОЛАС 1974 года (с внесенными поправками).</w:t>
      </w:r>
    </w:p>
  </w:footnote>
  <w:footnote w:id="2">
    <w:p w:rsidR="00567502" w:rsidRPr="00567502" w:rsidRDefault="00567502" w:rsidP="00D10B8D">
      <w:pPr>
        <w:pStyle w:val="FootnoteText"/>
        <w:rPr>
          <w:lang w:val="ru-RU"/>
        </w:rPr>
      </w:pPr>
      <w:r w:rsidRPr="00177470">
        <w:rPr>
          <w:rStyle w:val="FootnoteReference"/>
        </w:rPr>
        <w:footnoteRef/>
      </w:r>
      <w:r w:rsidRPr="00567502">
        <w:rPr>
          <w:lang w:val="ru-RU"/>
        </w:rPr>
        <w:t xml:space="preserve"> </w:t>
      </w:r>
      <w:r w:rsidRPr="00567502">
        <w:rPr>
          <w:lang w:val="ru-RU"/>
        </w:rPr>
        <w:tab/>
        <w:t xml:space="preserve">Выходная мощность, необходимая для передачи сигнала бедствия с корабля на берег на максимальном удалении для района мореплавания </w:t>
      </w:r>
      <w:r w:rsidRPr="00573C9C">
        <w:t>A</w:t>
      </w:r>
      <w:r w:rsidRPr="00567502">
        <w:rPr>
          <w:lang w:val="ru-RU"/>
        </w:rPr>
        <w:t>1, должна быть, как минимум, 6</w:t>
      </w:r>
      <w:r w:rsidRPr="00573C9C">
        <w:t> </w:t>
      </w:r>
      <w:r w:rsidRPr="00D10B8D">
        <w:t>Вт</w:t>
      </w:r>
      <w:r w:rsidRPr="00567502">
        <w:rPr>
          <w:lang w:val="ru-RU"/>
        </w:rPr>
        <w:t xml:space="preserve"> при соответствующей высоте антенны над уровнем моря.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387A7D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60288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F5C">
      <w:rPr>
        <w:noProof/>
        <w:lang w:val="en-GB" w:eastAsia="zh-CN"/>
      </w:rPr>
      <w:drawing>
        <wp:anchor distT="0" distB="0" distL="114300" distR="114300" simplePos="0" relativeHeight="251657216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13DE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013DED">
      <w:rPr>
        <w:b/>
        <w:bCs/>
        <w:noProof/>
        <w:szCs w:val="22"/>
        <w:lang w:val="en-US"/>
      </w:rPr>
      <w:t>МСЭ-R  M.693-1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>
    <w:pPr>
      <w:pStyle w:val="Header"/>
    </w:pPr>
    <w:r>
      <w:tab/>
    </w:r>
    <w:fldSimple w:instr=" DOCPROPERTY &quot;Header&quot; \* MERGEFORMAT ">
      <w:r w:rsidR="00013DED" w:rsidRPr="00013DE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013DED">
      <w:rPr>
        <w:b/>
        <w:bCs/>
        <w:noProof/>
      </w:rPr>
      <w:t>МСЭ-R  M.693-1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13DED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13DED">
      <w:rPr>
        <w:b/>
        <w:bCs/>
        <w:noProof/>
        <w:szCs w:val="22"/>
        <w:lang w:val="en-US"/>
      </w:rPr>
      <w:t>МСЭ-R  M.693-1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13DED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13DED"/>
    <w:rsid w:val="00036EE3"/>
    <w:rsid w:val="00072484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7A7D"/>
    <w:rsid w:val="003C38BA"/>
    <w:rsid w:val="00420DFD"/>
    <w:rsid w:val="00437A76"/>
    <w:rsid w:val="00470E28"/>
    <w:rsid w:val="00475345"/>
    <w:rsid w:val="004934C5"/>
    <w:rsid w:val="004A2A93"/>
    <w:rsid w:val="004F1F5C"/>
    <w:rsid w:val="00556548"/>
    <w:rsid w:val="00567502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6AA"/>
    <w:rsid w:val="006149B1"/>
    <w:rsid w:val="00680D2B"/>
    <w:rsid w:val="00681B32"/>
    <w:rsid w:val="006B1D2B"/>
    <w:rsid w:val="006E1131"/>
    <w:rsid w:val="006E2037"/>
    <w:rsid w:val="006E56A2"/>
    <w:rsid w:val="006E6199"/>
    <w:rsid w:val="00712870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487A"/>
    <w:rsid w:val="00C45907"/>
    <w:rsid w:val="00C46BD9"/>
    <w:rsid w:val="00C47F82"/>
    <w:rsid w:val="00C55258"/>
    <w:rsid w:val="00C73560"/>
    <w:rsid w:val="00C76C0C"/>
    <w:rsid w:val="00C906E6"/>
    <w:rsid w:val="00CB0F14"/>
    <w:rsid w:val="00CD659B"/>
    <w:rsid w:val="00CE0A43"/>
    <w:rsid w:val="00CE257A"/>
    <w:rsid w:val="00D10B8D"/>
    <w:rsid w:val="00D50B74"/>
    <w:rsid w:val="00D54BEC"/>
    <w:rsid w:val="00D83556"/>
    <w:rsid w:val="00DF4176"/>
    <w:rsid w:val="00E17240"/>
    <w:rsid w:val="00E44309"/>
    <w:rsid w:val="00E74595"/>
    <w:rsid w:val="00EA7A07"/>
    <w:rsid w:val="00EB713A"/>
    <w:rsid w:val="00EB7C57"/>
    <w:rsid w:val="00ED2695"/>
    <w:rsid w:val="00EE2009"/>
    <w:rsid w:val="00EF18C8"/>
    <w:rsid w:val="00F074C2"/>
    <w:rsid w:val="00F30C9B"/>
    <w:rsid w:val="00F354B1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6E4FC-49FE-41C5-B327-FEAAC0FFA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</TotalTime>
  <Pages>5</Pages>
  <Words>829</Words>
  <Characters>5803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6572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24</cp:revision>
  <cp:lastPrinted>2015-06-17T12:06:00Z</cp:lastPrinted>
  <dcterms:created xsi:type="dcterms:W3CDTF">2011-03-15T14:46:00Z</dcterms:created>
  <dcterms:modified xsi:type="dcterms:W3CDTF">2015-06-17T12:09:00Z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