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7DB" w:rsidRPr="00575CB8" w:rsidRDefault="001A67DB" w:rsidP="001A67DB">
      <w:pPr>
        <w:rPr>
          <w:lang w:val="en-US"/>
        </w:rPr>
      </w:pPr>
    </w:p>
    <w:p w:rsidR="001A67DB" w:rsidRDefault="001A67DB" w:rsidP="001A67DB"/>
    <w:p w:rsidR="001A67DB" w:rsidRDefault="001A67DB" w:rsidP="001A67DB"/>
    <w:p w:rsidR="001A67DB" w:rsidRDefault="001A67DB" w:rsidP="001A67DB"/>
    <w:p w:rsidR="001A67DB" w:rsidRDefault="001A67DB" w:rsidP="001A67DB"/>
    <w:p w:rsidR="001A67DB" w:rsidRDefault="001A67DB" w:rsidP="001A67DB"/>
    <w:p w:rsidR="001A67DB" w:rsidRDefault="001A67DB" w:rsidP="001A67DB"/>
    <w:p w:rsidR="001A67DB" w:rsidRDefault="001A67DB" w:rsidP="001A67DB"/>
    <w:p w:rsidR="001A67DB" w:rsidRDefault="001A67DB" w:rsidP="001A67DB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1A67DB" w:rsidRPr="001A67DB" w:rsidTr="00606CEE">
        <w:tc>
          <w:tcPr>
            <w:tcW w:w="10089" w:type="dxa"/>
          </w:tcPr>
          <w:p w:rsidR="001A67DB" w:rsidRPr="00A07AEB" w:rsidRDefault="001A67DB" w:rsidP="00606CE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1A67DB" w:rsidRPr="00A07AEB" w:rsidRDefault="001A67DB" w:rsidP="001A67D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Recomendación  UIT-R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M.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690-3</w:t>
            </w:r>
          </w:p>
          <w:p w:rsidR="001A67DB" w:rsidRPr="00A07AEB" w:rsidRDefault="001A67DB" w:rsidP="006B0988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A07AE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02</w:t>
            </w:r>
            <w:r w:rsidRPr="00A07AE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 w:rsidR="006B0988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2015</w:t>
            </w:r>
            <w:r w:rsidRPr="00A07AE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1A67DB" w:rsidRPr="001A67DB" w:rsidTr="00606CEE">
        <w:tc>
          <w:tcPr>
            <w:tcW w:w="10089" w:type="dxa"/>
          </w:tcPr>
          <w:p w:rsidR="001A67DB" w:rsidRPr="0010336F" w:rsidRDefault="001A67DB" w:rsidP="00606CE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1A67DB" w:rsidRPr="0010336F" w:rsidRDefault="001A67DB" w:rsidP="00606CE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1A67DB" w:rsidRDefault="001A67DB" w:rsidP="001A67D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1A67D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Características técnicas de las radiobalizas de localización de siniestros (RLS)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 w:rsidRPr="001A67D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que funcionan con frecuencias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 w:rsidRPr="001A67D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portadoras de 121,5 MHz y 243 MHz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</w:t>
            </w:r>
          </w:p>
          <w:p w:rsidR="001A67DB" w:rsidRPr="00A07AEB" w:rsidRDefault="001A67DB" w:rsidP="00606CE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1A67DB" w:rsidRPr="001A67DB" w:rsidTr="00606CEE">
        <w:tc>
          <w:tcPr>
            <w:tcW w:w="10089" w:type="dxa"/>
          </w:tcPr>
          <w:p w:rsidR="001A67DB" w:rsidRPr="00A07AEB" w:rsidRDefault="001A67DB" w:rsidP="00606CEE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1A67DB" w:rsidRPr="00A07AEB" w:rsidRDefault="001A67DB" w:rsidP="00606CEE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1A67DB" w:rsidRPr="00A07AEB" w:rsidRDefault="001A67DB" w:rsidP="00606CEE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1A67DB" w:rsidRPr="00A07AEB" w:rsidRDefault="001A67DB" w:rsidP="00606C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Serie M</w:t>
            </w:r>
          </w:p>
          <w:p w:rsidR="001A67DB" w:rsidRPr="00A07AEB" w:rsidRDefault="001A67DB" w:rsidP="00606CEE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Servicios móviles, de </w:t>
            </w:r>
            <w:proofErr w:type="spellStart"/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radiodeterminación</w:t>
            </w:r>
            <w:proofErr w:type="spellEnd"/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,</w:t>
            </w: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br/>
              <w:t>de aficionados y otros servicios</w:t>
            </w: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br/>
              <w:t>por satélite conexos</w:t>
            </w:r>
          </w:p>
        </w:tc>
      </w:tr>
    </w:tbl>
    <w:p w:rsidR="001A67DB" w:rsidRPr="0026666F" w:rsidRDefault="001A67DB" w:rsidP="001A67DB">
      <w:pPr>
        <w:spacing w:before="80"/>
        <w:rPr>
          <w:i/>
          <w:sz w:val="22"/>
          <w:lang w:val="es-ES_tradnl"/>
        </w:rPr>
      </w:pPr>
    </w:p>
    <w:p w:rsidR="001A67DB" w:rsidRPr="0026666F" w:rsidRDefault="001A67DB" w:rsidP="001A67DB">
      <w:pPr>
        <w:spacing w:before="80"/>
        <w:rPr>
          <w:i/>
          <w:sz w:val="22"/>
          <w:lang w:val="es-ES_tradnl"/>
        </w:rPr>
      </w:pPr>
    </w:p>
    <w:p w:rsidR="001A67DB" w:rsidRPr="0026666F" w:rsidRDefault="001A67DB" w:rsidP="001A67DB">
      <w:pPr>
        <w:spacing w:before="80"/>
        <w:rPr>
          <w:i/>
          <w:sz w:val="22"/>
          <w:lang w:val="es-ES_tradnl"/>
        </w:rPr>
      </w:pPr>
    </w:p>
    <w:p w:rsidR="001A67DB" w:rsidRPr="0026666F" w:rsidRDefault="001A67DB" w:rsidP="001A67D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1A67DB" w:rsidRPr="0026666F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A67DB" w:rsidRPr="006C718C" w:rsidRDefault="001A67DB" w:rsidP="001A67DB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0" w:name="c2tope"/>
      <w:bookmarkEnd w:id="0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1A67DB" w:rsidRPr="006C718C" w:rsidRDefault="001A67DB" w:rsidP="001A67DB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1A67DB" w:rsidRPr="006C718C" w:rsidRDefault="001A67DB" w:rsidP="001A67DB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1A67DB" w:rsidRPr="00021E8A" w:rsidRDefault="001A67DB" w:rsidP="001A67DB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1A67DB" w:rsidRPr="00021E8A" w:rsidRDefault="001A67DB" w:rsidP="001A67DB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8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1A67DB" w:rsidRPr="007C36CA" w:rsidRDefault="001A67DB" w:rsidP="001A67DB">
      <w:pPr>
        <w:spacing w:before="0"/>
        <w:jc w:val="center"/>
        <w:rPr>
          <w:sz w:val="22"/>
          <w:lang w:val="es-ES_tradnl"/>
        </w:rPr>
      </w:pPr>
    </w:p>
    <w:p w:rsidR="001A67DB" w:rsidRPr="007C36CA" w:rsidRDefault="001A67DB" w:rsidP="001A67DB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1A67DB" w:rsidRPr="001A67DB" w:rsidTr="00606CEE">
        <w:tc>
          <w:tcPr>
            <w:tcW w:w="9360" w:type="dxa"/>
            <w:gridSpan w:val="2"/>
          </w:tcPr>
          <w:p w:rsidR="001A67DB" w:rsidRPr="00021E8A" w:rsidRDefault="001A67DB" w:rsidP="00606CEE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1A67DB" w:rsidRPr="00763D08" w:rsidRDefault="001A67DB" w:rsidP="00606CE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9" w:history="1">
              <w:r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1A67DB" w:rsidRPr="00036EE3" w:rsidTr="00606CEE">
        <w:tc>
          <w:tcPr>
            <w:tcW w:w="1140" w:type="dxa"/>
          </w:tcPr>
          <w:p w:rsidR="001A67DB" w:rsidRPr="00036EE3" w:rsidRDefault="001A67DB" w:rsidP="00606CEE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1A67DB" w:rsidRPr="00036EE3" w:rsidRDefault="001A67DB" w:rsidP="00606CE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proofErr w:type="spellStart"/>
            <w:r>
              <w:rPr>
                <w:bCs/>
                <w:sz w:val="20"/>
                <w:lang w:val="en-US"/>
              </w:rPr>
              <w:t>Título</w:t>
            </w:r>
            <w:proofErr w:type="spellEnd"/>
          </w:p>
        </w:tc>
      </w:tr>
      <w:tr w:rsidR="001A67DB" w:rsidRPr="00036EE3" w:rsidTr="00606CEE">
        <w:tc>
          <w:tcPr>
            <w:tcW w:w="1140" w:type="dxa"/>
          </w:tcPr>
          <w:p w:rsidR="001A67DB" w:rsidRPr="00036EE3" w:rsidRDefault="001A67DB" w:rsidP="00606CE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1A67DB" w:rsidRPr="00021E8A" w:rsidRDefault="001A67DB" w:rsidP="00606CE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Distribución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</w:t>
            </w:r>
            <w:proofErr w:type="spellStart"/>
            <w:r w:rsidRPr="00021E8A">
              <w:rPr>
                <w:b w:val="0"/>
                <w:bCs/>
                <w:sz w:val="20"/>
              </w:rPr>
              <w:t>por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</w:t>
            </w:r>
            <w:proofErr w:type="spellStart"/>
            <w:r w:rsidRPr="00021E8A">
              <w:rPr>
                <w:b w:val="0"/>
                <w:bCs/>
                <w:sz w:val="20"/>
              </w:rPr>
              <w:t>satélite</w:t>
            </w:r>
            <w:proofErr w:type="spellEnd"/>
          </w:p>
        </w:tc>
      </w:tr>
      <w:tr w:rsidR="001A67DB" w:rsidRPr="001A67DB" w:rsidTr="00606CEE">
        <w:tc>
          <w:tcPr>
            <w:tcW w:w="1140" w:type="dxa"/>
          </w:tcPr>
          <w:p w:rsidR="001A67DB" w:rsidRPr="00036EE3" w:rsidRDefault="001A67DB" w:rsidP="00606CE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</w:tcPr>
          <w:p w:rsidR="001A67DB" w:rsidRPr="00021E8A" w:rsidRDefault="001A67DB" w:rsidP="00606CE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s-ES_tradnl"/>
              </w:rPr>
            </w:pPr>
            <w:r w:rsidRPr="00021E8A">
              <w:rPr>
                <w:b w:val="0"/>
                <w:bCs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1A67DB" w:rsidRPr="00036EE3" w:rsidTr="00606CEE">
        <w:tc>
          <w:tcPr>
            <w:tcW w:w="1140" w:type="dxa"/>
          </w:tcPr>
          <w:p w:rsidR="001A67DB" w:rsidRPr="00036EE3" w:rsidRDefault="001A67DB" w:rsidP="00606CE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</w:tcPr>
          <w:p w:rsidR="001A67DB" w:rsidRPr="00021E8A" w:rsidRDefault="001A67DB" w:rsidP="00606CE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Servicio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de </w:t>
            </w:r>
            <w:proofErr w:type="spellStart"/>
            <w:r w:rsidRPr="00021E8A">
              <w:rPr>
                <w:b w:val="0"/>
                <w:bCs/>
                <w:sz w:val="20"/>
              </w:rPr>
              <w:t>radiodifusión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</w:t>
            </w:r>
            <w:r>
              <w:rPr>
                <w:b w:val="0"/>
                <w:bCs/>
                <w:sz w:val="20"/>
              </w:rPr>
              <w:t>(</w:t>
            </w:r>
            <w:proofErr w:type="spellStart"/>
            <w:r w:rsidRPr="00021E8A">
              <w:rPr>
                <w:b w:val="0"/>
                <w:bCs/>
                <w:sz w:val="20"/>
              </w:rPr>
              <w:t>sonora</w:t>
            </w:r>
            <w:proofErr w:type="spellEnd"/>
            <w:r>
              <w:rPr>
                <w:b w:val="0"/>
                <w:bCs/>
                <w:sz w:val="20"/>
              </w:rPr>
              <w:t>)</w:t>
            </w:r>
          </w:p>
        </w:tc>
      </w:tr>
      <w:tr w:rsidR="001A67DB" w:rsidRPr="00ED2695" w:rsidTr="00606CEE">
        <w:tc>
          <w:tcPr>
            <w:tcW w:w="1140" w:type="dxa"/>
            <w:shd w:val="clear" w:color="auto" w:fill="auto"/>
          </w:tcPr>
          <w:p w:rsidR="001A67DB" w:rsidRPr="00ED2695" w:rsidRDefault="001A67DB" w:rsidP="00606CE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shd w:val="clear" w:color="auto" w:fill="auto"/>
          </w:tcPr>
          <w:p w:rsidR="001A67DB" w:rsidRPr="00021E8A" w:rsidRDefault="001A67DB" w:rsidP="00606CE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Servicio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de </w:t>
            </w:r>
            <w:proofErr w:type="spellStart"/>
            <w:r w:rsidRPr="00021E8A">
              <w:rPr>
                <w:b w:val="0"/>
                <w:bCs/>
                <w:sz w:val="20"/>
              </w:rPr>
              <w:t>radiodifusión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(</w:t>
            </w:r>
            <w:proofErr w:type="spellStart"/>
            <w:r w:rsidRPr="00021E8A">
              <w:rPr>
                <w:b w:val="0"/>
                <w:bCs/>
                <w:sz w:val="20"/>
              </w:rPr>
              <w:t>televisión</w:t>
            </w:r>
            <w:proofErr w:type="spellEnd"/>
            <w:r w:rsidRPr="00021E8A">
              <w:rPr>
                <w:b w:val="0"/>
                <w:bCs/>
                <w:sz w:val="20"/>
              </w:rPr>
              <w:t>)</w:t>
            </w:r>
          </w:p>
        </w:tc>
      </w:tr>
      <w:tr w:rsidR="001A67DB" w:rsidRPr="00036EE3" w:rsidTr="00606CEE">
        <w:tc>
          <w:tcPr>
            <w:tcW w:w="1140" w:type="dxa"/>
            <w:shd w:val="clear" w:color="auto" w:fill="auto"/>
          </w:tcPr>
          <w:p w:rsidR="001A67DB" w:rsidRPr="00036EE3" w:rsidRDefault="001A67DB" w:rsidP="00606CE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shd w:val="clear" w:color="auto" w:fill="auto"/>
          </w:tcPr>
          <w:p w:rsidR="001A67DB" w:rsidRPr="00021E8A" w:rsidRDefault="001A67DB" w:rsidP="00606CE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fr-CH"/>
              </w:rPr>
            </w:pPr>
            <w:proofErr w:type="spellStart"/>
            <w:r w:rsidRPr="00021E8A">
              <w:rPr>
                <w:bCs/>
                <w:sz w:val="20"/>
              </w:rPr>
              <w:t>Servicio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fijo</w:t>
            </w:r>
            <w:proofErr w:type="spellEnd"/>
          </w:p>
        </w:tc>
      </w:tr>
      <w:tr w:rsidR="001A67DB" w:rsidRPr="001A67DB" w:rsidTr="00606CEE">
        <w:tc>
          <w:tcPr>
            <w:tcW w:w="1140" w:type="dxa"/>
            <w:shd w:val="clear" w:color="auto" w:fill="F3F3F3"/>
          </w:tcPr>
          <w:p w:rsidR="001A67DB" w:rsidRPr="001240BC" w:rsidRDefault="001A67DB" w:rsidP="00606CEE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1240BC">
              <w:rPr>
                <w:b/>
                <w:bCs/>
                <w:color w:val="000080"/>
                <w:sz w:val="20"/>
                <w:lang w:val="en-US"/>
              </w:rPr>
              <w:t>M</w:t>
            </w:r>
          </w:p>
        </w:tc>
        <w:tc>
          <w:tcPr>
            <w:tcW w:w="8220" w:type="dxa"/>
            <w:shd w:val="clear" w:color="auto" w:fill="F3F3F3"/>
          </w:tcPr>
          <w:p w:rsidR="001A67DB" w:rsidRPr="001240BC" w:rsidRDefault="001A67DB" w:rsidP="00606CEE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Cs/>
                <w:color w:val="000080"/>
                <w:sz w:val="20"/>
                <w:lang w:val="es-ES_tradnl"/>
              </w:rPr>
            </w:pPr>
            <w:r w:rsidRPr="001240BC">
              <w:rPr>
                <w:bCs/>
                <w:color w:val="000080"/>
                <w:sz w:val="20"/>
                <w:lang w:val="es-ES_tradnl"/>
              </w:rPr>
              <w:t xml:space="preserve">Servicios móviles, de </w:t>
            </w:r>
            <w:proofErr w:type="spellStart"/>
            <w:r w:rsidRPr="001240BC">
              <w:rPr>
                <w:bCs/>
                <w:color w:val="000080"/>
                <w:sz w:val="20"/>
                <w:lang w:val="es-ES_tradnl"/>
              </w:rPr>
              <w:t>radiodeterminación</w:t>
            </w:r>
            <w:proofErr w:type="spellEnd"/>
            <w:r w:rsidRPr="001240BC">
              <w:rPr>
                <w:bCs/>
                <w:color w:val="000080"/>
                <w:sz w:val="20"/>
                <w:lang w:val="es-ES_tradnl"/>
              </w:rPr>
              <w:t>, de aficionados y otros servicios por satélite conexos</w:t>
            </w:r>
          </w:p>
        </w:tc>
      </w:tr>
      <w:tr w:rsidR="001A67DB" w:rsidRPr="001A67DB" w:rsidTr="00606CEE">
        <w:tc>
          <w:tcPr>
            <w:tcW w:w="1140" w:type="dxa"/>
          </w:tcPr>
          <w:p w:rsidR="001A67DB" w:rsidRPr="00036EE3" w:rsidRDefault="001A67DB" w:rsidP="00606CE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</w:tcPr>
          <w:p w:rsidR="001A67DB" w:rsidRPr="00021E8A" w:rsidRDefault="001A67DB" w:rsidP="00606CEE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1A67DB" w:rsidRPr="00036EE3" w:rsidTr="00606CEE">
        <w:tc>
          <w:tcPr>
            <w:tcW w:w="1140" w:type="dxa"/>
          </w:tcPr>
          <w:p w:rsidR="001A67DB" w:rsidRPr="00036EE3" w:rsidRDefault="001A67DB" w:rsidP="00606CE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1A67DB" w:rsidRPr="00021E8A" w:rsidRDefault="001A67DB" w:rsidP="00606CE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Radioastronomía</w:t>
            </w:r>
            <w:proofErr w:type="spellEnd"/>
          </w:p>
        </w:tc>
      </w:tr>
      <w:tr w:rsidR="001A67DB" w:rsidRPr="001A67DB" w:rsidTr="00606CEE">
        <w:tc>
          <w:tcPr>
            <w:tcW w:w="1140" w:type="dxa"/>
          </w:tcPr>
          <w:p w:rsidR="001A67DB" w:rsidRPr="00036EE3" w:rsidRDefault="001A67DB" w:rsidP="00606CE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1A67DB" w:rsidRPr="00021E8A" w:rsidRDefault="001A67DB" w:rsidP="00606CE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1A67DB" w:rsidRPr="00036EE3" w:rsidTr="00606CEE">
        <w:tc>
          <w:tcPr>
            <w:tcW w:w="1140" w:type="dxa"/>
          </w:tcPr>
          <w:p w:rsidR="001A67DB" w:rsidRPr="00036EE3" w:rsidRDefault="001A67DB" w:rsidP="00606CE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1A67DB" w:rsidRPr="00021E8A" w:rsidRDefault="001A67DB" w:rsidP="00606CEE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Servicio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fijo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por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satélite</w:t>
            </w:r>
            <w:proofErr w:type="spellEnd"/>
          </w:p>
        </w:tc>
      </w:tr>
      <w:tr w:rsidR="001A67DB" w:rsidRPr="00036EE3" w:rsidTr="00606CEE">
        <w:tc>
          <w:tcPr>
            <w:tcW w:w="1140" w:type="dxa"/>
          </w:tcPr>
          <w:p w:rsidR="001A67DB" w:rsidRPr="00036EE3" w:rsidRDefault="001A67DB" w:rsidP="00606CE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1A67DB" w:rsidRPr="00021E8A" w:rsidRDefault="001A67DB" w:rsidP="00606CEE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Aplicaciones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espaciales</w:t>
            </w:r>
            <w:proofErr w:type="spellEnd"/>
            <w:r w:rsidRPr="00021E8A">
              <w:rPr>
                <w:bCs/>
                <w:sz w:val="20"/>
              </w:rPr>
              <w:t xml:space="preserve"> y </w:t>
            </w:r>
            <w:proofErr w:type="spellStart"/>
            <w:r w:rsidRPr="00021E8A">
              <w:rPr>
                <w:bCs/>
                <w:sz w:val="20"/>
              </w:rPr>
              <w:t>meteorología</w:t>
            </w:r>
            <w:proofErr w:type="spellEnd"/>
          </w:p>
        </w:tc>
      </w:tr>
      <w:tr w:rsidR="001A67DB" w:rsidRPr="001A67DB" w:rsidTr="00606CEE">
        <w:tc>
          <w:tcPr>
            <w:tcW w:w="1140" w:type="dxa"/>
          </w:tcPr>
          <w:p w:rsidR="001A67DB" w:rsidRPr="00036EE3" w:rsidRDefault="001A67DB" w:rsidP="00606CE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1A67DB" w:rsidRPr="00021E8A" w:rsidRDefault="001A67DB" w:rsidP="00606CEE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1A67DB" w:rsidRPr="00036EE3" w:rsidTr="00606CEE">
        <w:tc>
          <w:tcPr>
            <w:tcW w:w="1140" w:type="dxa"/>
            <w:shd w:val="clear" w:color="auto" w:fill="auto"/>
          </w:tcPr>
          <w:p w:rsidR="001A67DB" w:rsidRPr="001240BC" w:rsidRDefault="001A67DB" w:rsidP="00606CE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1A67DB" w:rsidRPr="001240BC" w:rsidRDefault="001A67DB" w:rsidP="00606CEE">
            <w:pPr>
              <w:spacing w:before="30" w:after="30"/>
              <w:jc w:val="left"/>
              <w:rPr>
                <w:sz w:val="20"/>
                <w:lang w:val="en-US"/>
              </w:rPr>
            </w:pPr>
            <w:proofErr w:type="spellStart"/>
            <w:r w:rsidRPr="001240BC">
              <w:rPr>
                <w:sz w:val="20"/>
              </w:rPr>
              <w:t>Gestión</w:t>
            </w:r>
            <w:proofErr w:type="spellEnd"/>
            <w:r w:rsidRPr="001240BC">
              <w:rPr>
                <w:sz w:val="20"/>
              </w:rPr>
              <w:t xml:space="preserve"> </w:t>
            </w:r>
            <w:proofErr w:type="spellStart"/>
            <w:r w:rsidRPr="001240BC">
              <w:rPr>
                <w:sz w:val="20"/>
              </w:rPr>
              <w:t>del</w:t>
            </w:r>
            <w:proofErr w:type="spellEnd"/>
            <w:r w:rsidRPr="001240BC">
              <w:rPr>
                <w:sz w:val="20"/>
              </w:rPr>
              <w:t xml:space="preserve"> </w:t>
            </w:r>
            <w:proofErr w:type="spellStart"/>
            <w:r w:rsidRPr="001240BC">
              <w:rPr>
                <w:sz w:val="20"/>
              </w:rPr>
              <w:t>espectro</w:t>
            </w:r>
            <w:proofErr w:type="spellEnd"/>
          </w:p>
        </w:tc>
      </w:tr>
      <w:tr w:rsidR="001A67DB" w:rsidRPr="00036EE3" w:rsidTr="00606CEE">
        <w:tc>
          <w:tcPr>
            <w:tcW w:w="1140" w:type="dxa"/>
          </w:tcPr>
          <w:p w:rsidR="001A67DB" w:rsidRPr="00036EE3" w:rsidRDefault="001A67DB" w:rsidP="00606CE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1A67DB" w:rsidRPr="00021E8A" w:rsidRDefault="001A67DB" w:rsidP="00606CEE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Periodismo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electrónico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por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satélite</w:t>
            </w:r>
            <w:proofErr w:type="spellEnd"/>
          </w:p>
        </w:tc>
      </w:tr>
      <w:tr w:rsidR="001A67DB" w:rsidRPr="001A67DB" w:rsidTr="00606CEE">
        <w:tc>
          <w:tcPr>
            <w:tcW w:w="1140" w:type="dxa"/>
          </w:tcPr>
          <w:p w:rsidR="001A67DB" w:rsidRPr="00036EE3" w:rsidRDefault="001A67DB" w:rsidP="00606CE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1A67DB" w:rsidRPr="00021E8A" w:rsidRDefault="001A67DB" w:rsidP="00606CEE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1A67DB" w:rsidRPr="00036EE3" w:rsidTr="00606CEE">
        <w:tc>
          <w:tcPr>
            <w:tcW w:w="1140" w:type="dxa"/>
          </w:tcPr>
          <w:p w:rsidR="001A67DB" w:rsidRPr="00036EE3" w:rsidRDefault="001A67DB" w:rsidP="00606CEE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1A67DB" w:rsidRPr="00021E8A" w:rsidRDefault="001A67DB" w:rsidP="00606CEE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Vocabulario</w:t>
            </w:r>
            <w:proofErr w:type="spellEnd"/>
            <w:r w:rsidRPr="00021E8A">
              <w:rPr>
                <w:bCs/>
                <w:sz w:val="20"/>
              </w:rPr>
              <w:t xml:space="preserve"> y </w:t>
            </w:r>
            <w:proofErr w:type="spellStart"/>
            <w:r w:rsidRPr="00021E8A">
              <w:rPr>
                <w:bCs/>
                <w:sz w:val="20"/>
              </w:rPr>
              <w:t>cuestiones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afines</w:t>
            </w:r>
            <w:proofErr w:type="spellEnd"/>
          </w:p>
        </w:tc>
      </w:tr>
    </w:tbl>
    <w:p w:rsidR="001A67DB" w:rsidRPr="00036EE3" w:rsidRDefault="001A67DB" w:rsidP="001A67DB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1A67DB" w:rsidTr="00606CEE">
        <w:tc>
          <w:tcPr>
            <w:tcW w:w="720" w:type="dxa"/>
          </w:tcPr>
          <w:p w:rsidR="001A67DB" w:rsidRDefault="001A67DB" w:rsidP="00606CEE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1A67DB" w:rsidRPr="001A67DB" w:rsidTr="00606CEE">
        <w:tc>
          <w:tcPr>
            <w:tcW w:w="9360" w:type="dxa"/>
          </w:tcPr>
          <w:p w:rsidR="001A67DB" w:rsidRPr="00A07AEB" w:rsidRDefault="001A67DB" w:rsidP="00606CEE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A07AEB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A07AEB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A07AEB">
              <w:rPr>
                <w:i/>
                <w:iCs/>
                <w:sz w:val="20"/>
                <w:lang w:val="es-ES_tradnl"/>
              </w:rPr>
              <w:br/>
              <w:t>Resolución UIT-R 1.</w:t>
            </w:r>
          </w:p>
        </w:tc>
      </w:tr>
    </w:tbl>
    <w:p w:rsidR="001A67DB" w:rsidRPr="00763D08" w:rsidRDefault="001A67DB" w:rsidP="001A67DB">
      <w:pPr>
        <w:spacing w:before="0"/>
        <w:jc w:val="center"/>
        <w:rPr>
          <w:sz w:val="22"/>
          <w:lang w:val="es-ES_tradnl"/>
        </w:rPr>
      </w:pPr>
    </w:p>
    <w:p w:rsidR="001A67DB" w:rsidRPr="00763D08" w:rsidRDefault="001A67DB" w:rsidP="001A67DB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1A67DB" w:rsidRPr="00763D08" w:rsidRDefault="001A67DB" w:rsidP="001A67DB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>
        <w:rPr>
          <w:sz w:val="20"/>
          <w:lang w:val="es-ES_tradnl"/>
        </w:rPr>
        <w:t>15</w:t>
      </w:r>
    </w:p>
    <w:p w:rsidR="001A67DB" w:rsidRPr="00763D08" w:rsidRDefault="001A67DB" w:rsidP="001A67DB">
      <w:pPr>
        <w:spacing w:before="0"/>
        <w:jc w:val="center"/>
        <w:rPr>
          <w:sz w:val="22"/>
          <w:lang w:val="es-ES_tradnl"/>
        </w:rPr>
      </w:pPr>
    </w:p>
    <w:p w:rsidR="001A67DB" w:rsidRPr="00763D08" w:rsidRDefault="001A67DB" w:rsidP="001A67DB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1" w:name="iiannee"/>
      <w:bookmarkEnd w:id="1"/>
      <w:r w:rsidRPr="00763D08">
        <w:rPr>
          <w:sz w:val="20"/>
          <w:lang w:val="es-ES_tradnl"/>
        </w:rPr>
        <w:t>20</w:t>
      </w:r>
      <w:r>
        <w:rPr>
          <w:sz w:val="20"/>
          <w:lang w:val="es-ES_tradnl"/>
        </w:rPr>
        <w:t>15</w:t>
      </w:r>
    </w:p>
    <w:p w:rsidR="001A67DB" w:rsidRPr="006C718C" w:rsidRDefault="001A67DB" w:rsidP="001A67DB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1A67DB" w:rsidRPr="006C718C" w:rsidRDefault="001A67DB" w:rsidP="001A67DB">
      <w:pPr>
        <w:spacing w:before="160"/>
        <w:rPr>
          <w:i/>
          <w:sz w:val="20"/>
          <w:highlight w:val="yellow"/>
          <w:lang w:val="es-ES_tradnl"/>
        </w:rPr>
        <w:sectPr w:rsidR="001A67DB" w:rsidRPr="006C718C" w:rsidSect="00CB1354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1A67DB" w:rsidRPr="0010336F" w:rsidRDefault="001A67DB" w:rsidP="006B0988">
      <w:pPr>
        <w:pStyle w:val="RecNo"/>
        <w:spacing w:before="0"/>
        <w:rPr>
          <w:lang w:val="es-ES_tradnl"/>
        </w:rPr>
      </w:pPr>
      <w:bookmarkStart w:id="2" w:name="irecnoe"/>
      <w:bookmarkEnd w:id="2"/>
      <w:r w:rsidRPr="00763D08">
        <w:rPr>
          <w:lang w:val="es-ES_tradnl"/>
        </w:rPr>
        <w:lastRenderedPageBreak/>
        <w:t xml:space="preserve">RECOMENDACIÓN  </w:t>
      </w:r>
      <w:r w:rsidRPr="0010336F">
        <w:rPr>
          <w:rStyle w:val="href"/>
          <w:lang w:val="es-ES_tradnl"/>
        </w:rPr>
        <w:t xml:space="preserve">UIT-R  </w:t>
      </w:r>
      <w:r>
        <w:rPr>
          <w:rStyle w:val="href"/>
          <w:lang w:val="es-ES_tradnl"/>
        </w:rPr>
        <w:t>M</w:t>
      </w:r>
      <w:r w:rsidRPr="0010336F">
        <w:rPr>
          <w:rStyle w:val="href"/>
          <w:lang w:val="es-ES_tradnl"/>
        </w:rPr>
        <w:t>.</w:t>
      </w:r>
      <w:r w:rsidR="006B0988">
        <w:rPr>
          <w:rStyle w:val="href"/>
          <w:lang w:val="es-ES_tradnl"/>
        </w:rPr>
        <w:t>690-3</w:t>
      </w:r>
    </w:p>
    <w:p w:rsidR="001A67DB" w:rsidRPr="001A67DB" w:rsidRDefault="001A67DB" w:rsidP="001A67DB">
      <w:pPr>
        <w:pStyle w:val="Rectitle"/>
        <w:rPr>
          <w:lang w:val="es-ES_tradnl"/>
        </w:rPr>
      </w:pPr>
      <w:r w:rsidRPr="001A67DB">
        <w:rPr>
          <w:lang w:val="es-ES_tradnl"/>
        </w:rPr>
        <w:t>Características técnicas de las radiobalizas de localización de siniestros (RLS) que funcionan con frecuencias portadoras de 121,5 MHz y 243 MHz</w:t>
      </w:r>
    </w:p>
    <w:p w:rsidR="001A67DB" w:rsidRPr="001A67DB" w:rsidRDefault="001A67DB" w:rsidP="001A67DB">
      <w:pPr>
        <w:pStyle w:val="Recdate"/>
        <w:rPr>
          <w:lang w:val="es-ES_tradnl"/>
        </w:rPr>
      </w:pPr>
      <w:r w:rsidRPr="001A67DB">
        <w:rPr>
          <w:lang w:val="es-ES_tradnl"/>
        </w:rPr>
        <w:t>(2009</w:t>
      </w:r>
      <w:r w:rsidRPr="001A67DB">
        <w:rPr>
          <w:lang w:val="es-ES_tradnl"/>
        </w:rPr>
        <w:noBreakHyphen/>
        <w:t>2013-2012-2015)</w:t>
      </w:r>
    </w:p>
    <w:p w:rsidR="001A67DB" w:rsidRPr="00544AE8" w:rsidRDefault="001A67DB" w:rsidP="001A67DB">
      <w:pPr>
        <w:pStyle w:val="HeadingSum"/>
        <w:jc w:val="left"/>
        <w:rPr>
          <w:lang w:eastAsia="zh-CN"/>
        </w:rPr>
      </w:pPr>
      <w:r>
        <w:rPr>
          <w:lang w:eastAsia="zh-CN"/>
        </w:rPr>
        <w:t>Cometido</w:t>
      </w:r>
    </w:p>
    <w:p w:rsidR="001A67DB" w:rsidRPr="00544AE8" w:rsidRDefault="001A67DB" w:rsidP="001A67DB">
      <w:pPr>
        <w:pStyle w:val="Summary"/>
        <w:spacing w:after="0"/>
        <w:jc w:val="left"/>
        <w:rPr>
          <w:lang w:eastAsia="zh-CN"/>
        </w:rPr>
      </w:pPr>
      <w:r w:rsidRPr="00544AE8">
        <w:rPr>
          <w:lang w:eastAsia="zh-CN"/>
        </w:rPr>
        <w:t>Esta Recomendación contiene las características técnicas que deben satisfacer las radiobalizas de localización de siniestros (RLS) destinadas a funcionar en las frecuencias portadoras de 121,5 MHz y 243</w:t>
      </w:r>
      <w:r>
        <w:rPr>
          <w:lang w:eastAsia="zh-CN"/>
        </w:rPr>
        <w:t> </w:t>
      </w:r>
      <w:r w:rsidRPr="00544AE8">
        <w:rPr>
          <w:lang w:eastAsia="zh-CN"/>
        </w:rPr>
        <w:t>MHz.</w:t>
      </w:r>
    </w:p>
    <w:p w:rsidR="001A67DB" w:rsidRDefault="001A67DB" w:rsidP="001A67DB">
      <w:pPr>
        <w:pStyle w:val="Summary"/>
        <w:jc w:val="left"/>
        <w:rPr>
          <w:lang w:eastAsia="zh-CN"/>
        </w:rPr>
      </w:pPr>
      <w:r w:rsidRPr="00544AE8">
        <w:rPr>
          <w:lang w:eastAsia="zh-CN"/>
        </w:rPr>
        <w:t>Las características adicionales de las RLS incorporadas en aeronaves se especifican en los anexos correspondientes del Convenio sobre la Aviación Civil Internacional.</w:t>
      </w:r>
    </w:p>
    <w:p w:rsidR="001A67DB" w:rsidRPr="001A67DB" w:rsidRDefault="001A67DB" w:rsidP="001A67DB">
      <w:pPr>
        <w:pStyle w:val="Headingb"/>
        <w:jc w:val="left"/>
        <w:rPr>
          <w:lang w:val="es-ES_tradnl" w:eastAsia="zh-CN"/>
        </w:rPr>
      </w:pPr>
      <w:r w:rsidRPr="001A67DB">
        <w:rPr>
          <w:lang w:val="es-ES_tradnl" w:eastAsia="zh-CN"/>
        </w:rPr>
        <w:t>Palabras clave</w:t>
      </w:r>
    </w:p>
    <w:p w:rsidR="001A67DB" w:rsidRPr="001A67DB" w:rsidRDefault="001A67DB" w:rsidP="001A67DB">
      <w:pPr>
        <w:jc w:val="left"/>
        <w:rPr>
          <w:lang w:val="es-ES_tradnl" w:eastAsia="zh-CN"/>
        </w:rPr>
      </w:pPr>
      <w:r w:rsidRPr="001A67DB">
        <w:rPr>
          <w:lang w:val="es-ES_tradnl" w:eastAsia="zh-CN"/>
        </w:rPr>
        <w:t>Marítimo, RLS, 121,5 MHz, 243 MHz, características</w:t>
      </w:r>
    </w:p>
    <w:p w:rsidR="001A67DB" w:rsidRPr="001A67DB" w:rsidRDefault="001A67DB" w:rsidP="001A67DB">
      <w:pPr>
        <w:pStyle w:val="Headingb"/>
        <w:jc w:val="left"/>
        <w:rPr>
          <w:lang w:val="es-ES_tradnl" w:eastAsia="zh-CN"/>
        </w:rPr>
      </w:pPr>
      <w:r w:rsidRPr="001A67DB">
        <w:rPr>
          <w:lang w:val="es-ES_tradnl" w:eastAsia="zh-CN"/>
        </w:rPr>
        <w:t>Abreviaturas/Glosario</w:t>
      </w:r>
    </w:p>
    <w:p w:rsidR="001A67DB" w:rsidRPr="001A67DB" w:rsidRDefault="001A67DB" w:rsidP="001A67DB">
      <w:pPr>
        <w:jc w:val="left"/>
        <w:rPr>
          <w:lang w:val="es-ES_tradnl" w:eastAsia="zh-CN"/>
        </w:rPr>
      </w:pPr>
      <w:r w:rsidRPr="001A67DB">
        <w:rPr>
          <w:lang w:val="es-ES_tradnl" w:eastAsia="zh-CN"/>
        </w:rPr>
        <w:t>RLS</w:t>
      </w:r>
      <w:r w:rsidRPr="001A67DB">
        <w:rPr>
          <w:lang w:val="es-ES_tradnl" w:eastAsia="zh-CN"/>
        </w:rPr>
        <w:tab/>
        <w:t>Radiobaliza de localización de siniestros</w:t>
      </w:r>
    </w:p>
    <w:p w:rsidR="001A67DB" w:rsidRPr="001A67DB" w:rsidRDefault="001A67DB" w:rsidP="001A67DB">
      <w:pPr>
        <w:jc w:val="left"/>
        <w:rPr>
          <w:lang w:val="es-ES_tradnl" w:eastAsia="zh-CN"/>
        </w:rPr>
      </w:pPr>
      <w:r w:rsidRPr="001A67DB">
        <w:rPr>
          <w:lang w:val="es-ES_tradnl" w:eastAsia="zh-CN"/>
        </w:rPr>
        <w:t>OACI</w:t>
      </w:r>
      <w:r w:rsidRPr="001A67DB">
        <w:rPr>
          <w:lang w:val="es-ES_tradnl" w:eastAsia="zh-CN"/>
        </w:rPr>
        <w:tab/>
        <w:t>Organización de la Aviación Civil Internacional</w:t>
      </w:r>
    </w:p>
    <w:p w:rsidR="001A67DB" w:rsidRPr="00214464" w:rsidRDefault="001A67DB" w:rsidP="001A67DB">
      <w:pPr>
        <w:pStyle w:val="Normalaftertitle0"/>
        <w:rPr>
          <w:lang w:val="es-ES_tradnl" w:eastAsia="zh-CN"/>
        </w:rPr>
      </w:pPr>
      <w:r w:rsidRPr="00214464">
        <w:rPr>
          <w:lang w:val="es-ES_tradnl" w:eastAsia="zh-CN"/>
        </w:rPr>
        <w:t>La Asamblea de Radiocomunicaciones de la UIT,</w:t>
      </w:r>
    </w:p>
    <w:p w:rsidR="001A67DB" w:rsidRPr="001A67DB" w:rsidRDefault="001A67DB" w:rsidP="001A67DB">
      <w:pPr>
        <w:pStyle w:val="Call"/>
        <w:jc w:val="left"/>
        <w:rPr>
          <w:lang w:val="es-ES_tradnl" w:eastAsia="zh-CN"/>
        </w:rPr>
      </w:pPr>
      <w:r w:rsidRPr="001A67DB">
        <w:rPr>
          <w:lang w:val="es-ES_tradnl" w:eastAsia="zh-CN"/>
        </w:rPr>
        <w:t>considerando</w:t>
      </w:r>
    </w:p>
    <w:p w:rsidR="001A67DB" w:rsidRPr="001A67DB" w:rsidRDefault="001A67DB" w:rsidP="001A67DB">
      <w:pPr>
        <w:jc w:val="left"/>
        <w:rPr>
          <w:lang w:val="es-ES_tradnl" w:eastAsia="zh-CN"/>
        </w:rPr>
      </w:pPr>
      <w:r w:rsidRPr="007B5701">
        <w:rPr>
          <w:i/>
          <w:iCs/>
          <w:lang w:val="es-ES_tradnl" w:eastAsia="zh-CN"/>
        </w:rPr>
        <w:t>a)</w:t>
      </w:r>
      <w:r w:rsidRPr="001A67DB">
        <w:rPr>
          <w:lang w:val="es-ES_tradnl" w:eastAsia="zh-CN"/>
        </w:rPr>
        <w:tab/>
        <w:t>que el Reglamento de Radiocomunicaciones define la finalidad de las señales de las radiobalizas de localización de siniestros (RLS);</w:t>
      </w:r>
    </w:p>
    <w:p w:rsidR="001A67DB" w:rsidRPr="001A67DB" w:rsidRDefault="001A67DB" w:rsidP="001A67DB">
      <w:pPr>
        <w:jc w:val="left"/>
        <w:rPr>
          <w:lang w:val="es-ES_tradnl" w:eastAsia="zh-CN"/>
        </w:rPr>
      </w:pPr>
      <w:r w:rsidRPr="007B5701">
        <w:rPr>
          <w:i/>
          <w:iCs/>
          <w:lang w:val="es-ES_tradnl" w:eastAsia="zh-CN"/>
        </w:rPr>
        <w:t>b)</w:t>
      </w:r>
      <w:r w:rsidRPr="001A67DB">
        <w:rPr>
          <w:lang w:val="es-ES_tradnl" w:eastAsia="zh-CN"/>
        </w:rPr>
        <w:tab/>
        <w:t>que las administraciones que autorizan el uso de RLS que funcionan en las frecuencias portadoras de 121,5 MHz y 243 MHz deben asegurarse de que tales RLS cumplen las Recomendaciones UIT-R pertinentes y las normas y prácticas recomendadas por la OACI,</w:t>
      </w:r>
    </w:p>
    <w:p w:rsidR="001A67DB" w:rsidRPr="001A67DB" w:rsidRDefault="001A67DB" w:rsidP="001A67DB">
      <w:pPr>
        <w:pStyle w:val="Call"/>
        <w:jc w:val="left"/>
        <w:rPr>
          <w:lang w:val="es-ES_tradnl" w:eastAsia="zh-CN"/>
        </w:rPr>
      </w:pPr>
      <w:r w:rsidRPr="001A67DB">
        <w:rPr>
          <w:lang w:val="es-ES_tradnl" w:eastAsia="zh-CN"/>
        </w:rPr>
        <w:t>recomienda</w:t>
      </w:r>
    </w:p>
    <w:p w:rsidR="001A67DB" w:rsidRPr="001A67DB" w:rsidRDefault="001A67DB" w:rsidP="001A67DB">
      <w:pPr>
        <w:jc w:val="left"/>
        <w:rPr>
          <w:lang w:val="es-ES_tradnl" w:eastAsia="zh-CN"/>
        </w:rPr>
      </w:pPr>
      <w:r w:rsidRPr="001A67DB">
        <w:rPr>
          <w:lang w:val="es-ES_tradnl" w:eastAsia="zh-CN"/>
        </w:rPr>
        <w:t>que las características técnicas de las radiobalizas de localización de siniestros que funcionen con frecuencias portadoras de 121,5 MHz y 243 MHz estén conformes con el Anexo 1.</w:t>
      </w:r>
    </w:p>
    <w:p w:rsidR="001A67DB" w:rsidRPr="001A67DB" w:rsidRDefault="001A67DB" w:rsidP="001A67DB">
      <w:pPr>
        <w:spacing w:before="136"/>
        <w:jc w:val="left"/>
        <w:rPr>
          <w:sz w:val="20"/>
          <w:lang w:val="es-ES_tradnl" w:eastAsia="zh-CN"/>
        </w:rPr>
      </w:pPr>
    </w:p>
    <w:p w:rsidR="001A67DB" w:rsidRPr="001A67DB" w:rsidRDefault="001A67DB" w:rsidP="001A67DB">
      <w:pPr>
        <w:spacing w:before="136"/>
        <w:jc w:val="left"/>
        <w:rPr>
          <w:sz w:val="20"/>
          <w:lang w:val="es-ES_tradnl" w:eastAsia="zh-CN"/>
        </w:rPr>
      </w:pPr>
    </w:p>
    <w:p w:rsidR="004C3E46" w:rsidRDefault="004C3E46" w:rsidP="001A67DB">
      <w:pPr>
        <w:pStyle w:val="AnnexNoTitle"/>
        <w:rPr>
          <w:lang w:val="es-ES_tradnl" w:eastAsia="zh-CN"/>
        </w:rPr>
      </w:pPr>
      <w:r>
        <w:rPr>
          <w:lang w:val="es-ES_tradnl" w:eastAsia="zh-CN"/>
        </w:rPr>
        <w:br w:type="page"/>
      </w:r>
    </w:p>
    <w:p w:rsidR="001A67DB" w:rsidRPr="001A67DB" w:rsidRDefault="001A67DB" w:rsidP="001A67DB">
      <w:pPr>
        <w:pStyle w:val="AnnexNoTitle"/>
        <w:rPr>
          <w:b w:val="0"/>
          <w:bCs/>
          <w:szCs w:val="24"/>
          <w:lang w:val="es-ES_tradnl" w:eastAsia="zh-CN"/>
        </w:rPr>
      </w:pPr>
      <w:r w:rsidRPr="001A67DB">
        <w:rPr>
          <w:lang w:val="es-ES_tradnl" w:eastAsia="zh-CN"/>
        </w:rPr>
        <w:lastRenderedPageBreak/>
        <w:t>Anexo 1</w:t>
      </w:r>
      <w:r w:rsidRPr="001A67DB">
        <w:rPr>
          <w:lang w:val="es-ES_tradnl" w:eastAsia="zh-CN"/>
        </w:rPr>
        <w:br/>
      </w:r>
      <w:r w:rsidRPr="001A67DB">
        <w:rPr>
          <w:lang w:val="es-ES_tradnl" w:eastAsia="zh-CN"/>
        </w:rPr>
        <w:br/>
      </w:r>
      <w:r w:rsidRPr="001A67DB">
        <w:rPr>
          <w:bCs/>
          <w:szCs w:val="24"/>
          <w:lang w:val="es-ES_tradnl" w:eastAsia="zh-CN"/>
        </w:rPr>
        <w:t xml:space="preserve">Características técnicas de las radiobalizas de localización de siniestros </w:t>
      </w:r>
      <w:r w:rsidRPr="001A67DB">
        <w:rPr>
          <w:bCs/>
          <w:szCs w:val="24"/>
          <w:lang w:val="es-ES_tradnl" w:eastAsia="zh-CN"/>
        </w:rPr>
        <w:br/>
        <w:t>que funcionan con frecuencias portadoras de 121,5 MHz y 243 MHz</w:t>
      </w:r>
    </w:p>
    <w:p w:rsidR="001A67DB" w:rsidRPr="001A67DB" w:rsidRDefault="001A67DB" w:rsidP="004C3E46">
      <w:pPr>
        <w:pStyle w:val="Normalaftertitle0"/>
        <w:rPr>
          <w:lang w:eastAsia="zh-CN"/>
        </w:rPr>
      </w:pPr>
      <w:r w:rsidRPr="001A67DB">
        <w:rPr>
          <w:lang w:eastAsia="zh-CN"/>
        </w:rPr>
        <w:t>Las radiobalizas de localización de siniestros que utilizan las frecuencias portadoras de 121,5 MHz y 243 MHz reunirán las siguientes condiciones (véase la Nota 1):</w:t>
      </w:r>
    </w:p>
    <w:p w:rsidR="001A67DB" w:rsidRPr="001A67DB" w:rsidRDefault="001A67DB" w:rsidP="001A67DB">
      <w:pPr>
        <w:pStyle w:val="enumlev1"/>
        <w:jc w:val="left"/>
        <w:rPr>
          <w:lang w:val="es-ES_tradnl" w:eastAsia="zh-CN"/>
        </w:rPr>
      </w:pPr>
      <w:r w:rsidRPr="001A67DB">
        <w:rPr>
          <w:lang w:val="es-ES_tradnl" w:eastAsia="zh-CN"/>
        </w:rPr>
        <w:t>a)</w:t>
      </w:r>
      <w:r w:rsidRPr="001A67DB">
        <w:rPr>
          <w:lang w:val="es-ES_tradnl" w:eastAsia="zh-CN"/>
        </w:rPr>
        <w:tab/>
        <w:t>la emisión en condiciones y posiciones normales de las antenas estará polarizada verticalmente y será esencialmente omnidireccional en el plano horizontal;</w:t>
      </w:r>
    </w:p>
    <w:p w:rsidR="001A67DB" w:rsidRPr="001A67DB" w:rsidRDefault="001A67DB" w:rsidP="001A67DB">
      <w:pPr>
        <w:pStyle w:val="enumlev1"/>
        <w:jc w:val="left"/>
        <w:rPr>
          <w:lang w:val="es-ES_tradnl" w:eastAsia="zh-CN"/>
        </w:rPr>
      </w:pPr>
      <w:r w:rsidRPr="001A67DB">
        <w:rPr>
          <w:lang w:val="es-ES_tradnl" w:eastAsia="zh-CN"/>
        </w:rPr>
        <w:t>b)</w:t>
      </w:r>
      <w:r w:rsidRPr="001A67DB">
        <w:rPr>
          <w:lang w:val="es-ES_tradnl" w:eastAsia="zh-CN"/>
        </w:rPr>
        <w:tab/>
        <w:t>las frecuencias portadoras estarán moduladas en amplitud (ciclo de trabajo mínimo del 33%), con un índ</w:t>
      </w:r>
      <w:bookmarkStart w:id="3" w:name="_GoBack"/>
      <w:bookmarkEnd w:id="3"/>
      <w:r w:rsidRPr="001A67DB">
        <w:rPr>
          <w:lang w:val="es-ES_tradnl" w:eastAsia="zh-CN"/>
        </w:rPr>
        <w:t>ice de modulación de 0,85 como mínimo;</w:t>
      </w:r>
    </w:p>
    <w:p w:rsidR="001A67DB" w:rsidRPr="001A67DB" w:rsidRDefault="001A67DB" w:rsidP="001A67DB">
      <w:pPr>
        <w:pStyle w:val="enumlev1"/>
        <w:jc w:val="left"/>
        <w:rPr>
          <w:lang w:val="es-ES_tradnl" w:eastAsia="zh-CN"/>
        </w:rPr>
      </w:pPr>
      <w:r w:rsidRPr="001A67DB">
        <w:rPr>
          <w:lang w:val="es-ES_tradnl" w:eastAsia="zh-CN"/>
        </w:rPr>
        <w:t>c)</w:t>
      </w:r>
      <w:r w:rsidRPr="001A67DB">
        <w:rPr>
          <w:lang w:val="es-ES_tradnl" w:eastAsia="zh-CN"/>
        </w:rPr>
        <w:tab/>
        <w:t>la emisión consistirá en una señal de audiofrecuencia característica, lograda mediante la modulación en amplitud de las frecuencias portadoras con un barrido de audiofrecuencia ascendente o descendente en una gama no menor que 700 Hz entre 300 y 1 600 Hz y con una frecuencia de repetición de barrido de 2 a 4 veces por segundo;</w:t>
      </w:r>
    </w:p>
    <w:p w:rsidR="001A67DB" w:rsidRPr="001A67DB" w:rsidRDefault="001A67DB" w:rsidP="001A67DB">
      <w:pPr>
        <w:pStyle w:val="enumlev1"/>
        <w:jc w:val="left"/>
        <w:rPr>
          <w:lang w:val="es-ES_tradnl" w:eastAsia="zh-CN"/>
        </w:rPr>
      </w:pPr>
      <w:r w:rsidRPr="001A67DB">
        <w:rPr>
          <w:lang w:val="es-ES_tradnl" w:eastAsia="zh-CN"/>
        </w:rPr>
        <w:t>d)</w:t>
      </w:r>
      <w:r w:rsidRPr="001A67DB">
        <w:rPr>
          <w:lang w:val="es-ES_tradnl" w:eastAsia="zh-CN"/>
        </w:rPr>
        <w:tab/>
        <w:t>la emisión debe incluir una frecuencia portadora claramente definida distinta de las componentes de banda lateral por modulación; en particular, al menos el 30% de la potencia debe en todo instante estar dentro de:</w:t>
      </w:r>
    </w:p>
    <w:p w:rsidR="001A67DB" w:rsidRPr="001A67DB" w:rsidRDefault="001A67DB" w:rsidP="001A67DB">
      <w:pPr>
        <w:pStyle w:val="enumlev2"/>
        <w:jc w:val="left"/>
        <w:rPr>
          <w:lang w:val="es-ES_tradnl" w:eastAsia="zh-CN"/>
        </w:rPr>
      </w:pPr>
      <w:r w:rsidRPr="001A67DB">
        <w:rPr>
          <w:lang w:val="es-ES_tradnl" w:eastAsia="zh-CN"/>
        </w:rPr>
        <w:t>± 30 Hz de la frecuencia portadora en 121,5 MHz;</w:t>
      </w:r>
    </w:p>
    <w:p w:rsidR="001A67DB" w:rsidRPr="001A67DB" w:rsidRDefault="001A67DB" w:rsidP="001A67DB">
      <w:pPr>
        <w:pStyle w:val="enumlev2"/>
        <w:jc w:val="left"/>
        <w:rPr>
          <w:lang w:val="es-ES_tradnl" w:eastAsia="zh-CN"/>
        </w:rPr>
      </w:pPr>
      <w:r w:rsidRPr="001A67DB">
        <w:rPr>
          <w:lang w:val="es-ES_tradnl" w:eastAsia="zh-CN"/>
        </w:rPr>
        <w:t>± 60 Hz de la frecuencia portadora en 243 MHz;</w:t>
      </w:r>
    </w:p>
    <w:p w:rsidR="001A67DB" w:rsidRPr="001A67DB" w:rsidRDefault="001A67DB" w:rsidP="001A67DB">
      <w:pPr>
        <w:pStyle w:val="enumlev1"/>
        <w:jc w:val="left"/>
        <w:rPr>
          <w:lang w:val="es-ES_tradnl" w:eastAsia="zh-CN"/>
        </w:rPr>
      </w:pPr>
      <w:r w:rsidRPr="001A67DB">
        <w:rPr>
          <w:lang w:val="es-ES_tradnl" w:eastAsia="zh-CN"/>
        </w:rPr>
        <w:t>e)</w:t>
      </w:r>
      <w:r w:rsidRPr="001A67DB">
        <w:rPr>
          <w:lang w:val="es-ES_tradnl" w:eastAsia="zh-CN"/>
        </w:rPr>
        <w:tab/>
        <w:t>la clase de emisión será A3X; sin embargo, podrá emplearse cualquier tipo de modulación que reúna los requisitos indicados en los b), c) y d) anteriores, a condición de que no perjudique la localización precisa de la radiobaliza.</w:t>
      </w:r>
    </w:p>
    <w:p w:rsidR="001A67DB" w:rsidRPr="001A67DB" w:rsidRDefault="001A67DB" w:rsidP="001A67DB">
      <w:pPr>
        <w:pStyle w:val="Note"/>
        <w:jc w:val="left"/>
        <w:rPr>
          <w:lang w:val="es-ES_tradnl" w:eastAsia="zh-CN"/>
        </w:rPr>
      </w:pPr>
      <w:r w:rsidRPr="001A67DB">
        <w:rPr>
          <w:lang w:val="es-ES_tradnl" w:eastAsia="zh-CN"/>
        </w:rPr>
        <w:t>NOTA 1 – En los anexos pertinentes al Convenio sobre Aviación Civil Internacional se especifican características adicionales para las radiobalizas de localización de siniestros instaladas en aeronaves.</w:t>
      </w:r>
    </w:p>
    <w:p w:rsidR="001A67DB" w:rsidRPr="001A67DB" w:rsidRDefault="001A67DB" w:rsidP="001A67DB">
      <w:pPr>
        <w:spacing w:before="136"/>
        <w:jc w:val="left"/>
        <w:rPr>
          <w:sz w:val="20"/>
          <w:lang w:val="es-ES_tradnl" w:eastAsia="zh-CN"/>
        </w:rPr>
      </w:pPr>
    </w:p>
    <w:p w:rsidR="001A67DB" w:rsidRPr="001A67DB" w:rsidRDefault="001A67DB" w:rsidP="001A67DB">
      <w:pPr>
        <w:pBdr>
          <w:top w:val="single" w:sz="6" w:space="1" w:color="auto"/>
        </w:pBdr>
        <w:tabs>
          <w:tab w:val="clear" w:pos="794"/>
          <w:tab w:val="clear" w:pos="1191"/>
          <w:tab w:val="clear" w:pos="1588"/>
          <w:tab w:val="clear" w:pos="1985"/>
        </w:tabs>
        <w:spacing w:before="240"/>
        <w:ind w:left="3997" w:right="3997"/>
        <w:jc w:val="center"/>
        <w:rPr>
          <w:sz w:val="20"/>
          <w:lang w:val="es-ES_tradnl" w:eastAsia="zh-CN"/>
        </w:rPr>
      </w:pPr>
    </w:p>
    <w:p w:rsidR="00A6617B" w:rsidRPr="00A6617B" w:rsidRDefault="00A6617B" w:rsidP="00242AEE">
      <w:pPr>
        <w:pStyle w:val="HeadingSum"/>
      </w:pPr>
    </w:p>
    <w:sectPr w:rsidR="00A6617B" w:rsidRPr="00A6617B" w:rsidSect="00812A1D">
      <w:headerReference w:type="even" r:id="rId12"/>
      <w:headerReference w:type="default" r:id="rId13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67DB" w:rsidRDefault="001A67DB">
      <w:r>
        <w:separator/>
      </w:r>
    </w:p>
  </w:endnote>
  <w:endnote w:type="continuationSeparator" w:id="0">
    <w:p w:rsidR="001A67DB" w:rsidRDefault="001A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67DB" w:rsidRDefault="001A67DB">
      <w:r>
        <w:separator/>
      </w:r>
    </w:p>
  </w:footnote>
  <w:footnote w:type="continuationSeparator" w:id="0">
    <w:p w:rsidR="001A67DB" w:rsidRDefault="001A67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67DB" w:rsidRDefault="001A67DB">
    <w:pPr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67DB" w:rsidRDefault="001A67DB" w:rsidP="00CB1354">
    <w:pPr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60288" behindDoc="0" locked="0" layoutInCell="1" allowOverlap="1" wp14:anchorId="2017DA6B" wp14:editId="4E22FE88">
          <wp:simplePos x="0" y="0"/>
          <wp:positionH relativeFrom="margin">
            <wp:posOffset>0</wp:posOffset>
          </wp:positionH>
          <wp:positionV relativeFrom="margin">
            <wp:posOffset>8754745</wp:posOffset>
          </wp:positionV>
          <wp:extent cx="1247775" cy="935831"/>
          <wp:effectExtent l="0" t="0" r="0" b="0"/>
          <wp:wrapSquare wrapText="bothSides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logo-Blue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35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2F8B8212" wp14:editId="1609BE2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67DB" w:rsidRDefault="001A67DB" w:rsidP="001B395D">
    <w:pPr>
      <w:pStyle w:val="Header"/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7B5701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>
      <w:tab/>
    </w:r>
    <w:r>
      <w:fldChar w:fldCharType="begin"/>
    </w:r>
    <w:r>
      <w:instrText xml:space="preserve"> DOCPROPERTY "Header" \* MERGEFORMAT </w:instrText>
    </w:r>
    <w:r>
      <w:fldChar w:fldCharType="separate"/>
    </w:r>
    <w:r w:rsidRPr="00574749">
      <w:rPr>
        <w:b/>
        <w:bCs/>
      </w:rPr>
      <w:t xml:space="preserve">Rec. </w:t>
    </w:r>
    <w:r>
      <w:rPr>
        <w:b/>
        <w:bCs/>
      </w:rPr>
      <w:fldChar w:fldCharType="end"/>
    </w:r>
    <w:r w:rsidRPr="001B395D">
      <w:rPr>
        <w:b/>
        <w:bCs/>
      </w:rPr>
      <w:t xml:space="preserve"> </w:t>
    </w:r>
    <w:r w:rsidRPr="001B395D">
      <w:rPr>
        <w:b/>
        <w:bCs/>
      </w:rPr>
      <w:fldChar w:fldCharType="begin"/>
    </w:r>
    <w:r w:rsidRPr="001B395D">
      <w:rPr>
        <w:b/>
        <w:bCs/>
      </w:rPr>
      <w:instrText>styleref href</w:instrText>
    </w:r>
    <w:r w:rsidRPr="001B395D">
      <w:rPr>
        <w:b/>
        <w:bCs/>
      </w:rPr>
      <w:fldChar w:fldCharType="separate"/>
    </w:r>
    <w:r w:rsidR="007B5701">
      <w:rPr>
        <w:b/>
        <w:bCs/>
        <w:noProof/>
      </w:rPr>
      <w:t>UIT-R  M.690-3</w:t>
    </w:r>
    <w:r w:rsidRPr="001B395D"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67DB" w:rsidRDefault="001A67DB">
    <w:r>
      <w:tab/>
    </w:r>
    <w:r>
      <w:fldChar w:fldCharType="begin"/>
    </w:r>
    <w:r>
      <w:instrText xml:space="preserve"> DOCPROPERTY "Header" \* MERGEFORMAT </w:instrText>
    </w:r>
    <w:r>
      <w:fldChar w:fldCharType="separate"/>
    </w:r>
    <w:r w:rsidRPr="00574749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UIT-R  M.1841-1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4C3E46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1A67DB" w:rsidRPr="001A67DB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4C3E46">
      <w:rPr>
        <w:b/>
        <w:bCs/>
        <w:noProof/>
      </w:rPr>
      <w:t>UIT-R  M.690-3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</w:pPr>
    <w:r>
      <w:tab/>
    </w:r>
    <w:r w:rsidR="004C3E46">
      <w:fldChar w:fldCharType="begin"/>
    </w:r>
    <w:r w:rsidR="004C3E46">
      <w:instrText xml:space="preserve"> DOCPROPERTY "Header" \* MERGEFORMAT </w:instrText>
    </w:r>
    <w:r w:rsidR="004C3E46">
      <w:fldChar w:fldCharType="separate"/>
    </w:r>
    <w:r w:rsidR="001A67DB" w:rsidRPr="001A67DB">
      <w:rPr>
        <w:b/>
        <w:bCs/>
      </w:rPr>
      <w:t xml:space="preserve">Rec. </w:t>
    </w:r>
    <w:r w:rsidR="004C3E46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4C3E46">
      <w:rPr>
        <w:b/>
        <w:bCs/>
        <w:noProof/>
      </w:rPr>
      <w:t>UIT-R  M.690-3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4C3E46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7DB"/>
    <w:rsid w:val="001A67DB"/>
    <w:rsid w:val="00217EBF"/>
    <w:rsid w:val="00242AEE"/>
    <w:rsid w:val="002D76C4"/>
    <w:rsid w:val="004C3E46"/>
    <w:rsid w:val="0052529D"/>
    <w:rsid w:val="00607D68"/>
    <w:rsid w:val="006B0988"/>
    <w:rsid w:val="007468DA"/>
    <w:rsid w:val="007B5701"/>
    <w:rsid w:val="00812A1D"/>
    <w:rsid w:val="009E00A8"/>
    <w:rsid w:val="00A6617B"/>
    <w:rsid w:val="00AB0DC8"/>
    <w:rsid w:val="00B44E24"/>
    <w:rsid w:val="00DF4176"/>
    <w:rsid w:val="00F57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B3D3E5EA-BB45-40CC-B493-809E749F3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67D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uiPriority w:val="99"/>
    <w:rsid w:val="001A67DB"/>
    <w:rPr>
      <w:color w:val="0000FF"/>
      <w:u w:val="single"/>
    </w:rPr>
  </w:style>
  <w:style w:type="character" w:customStyle="1" w:styleId="TableheadChar">
    <w:name w:val="Table_head Char"/>
    <w:basedOn w:val="DefaultParagraphFont"/>
    <w:link w:val="Tablehead"/>
    <w:locked/>
    <w:rsid w:val="001A67DB"/>
    <w:rPr>
      <w:b/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1A67DB"/>
    <w:rPr>
      <w:sz w:val="22"/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1A67DB"/>
    <w:rPr>
      <w:b/>
      <w:sz w:val="24"/>
      <w:lang w:val="fr-FR" w:eastAsia="en-US"/>
    </w:rPr>
  </w:style>
  <w:style w:type="character" w:customStyle="1" w:styleId="FooterChar">
    <w:name w:val="Footer Char"/>
    <w:link w:val="Footer"/>
    <w:rsid w:val="001A67DB"/>
    <w:rPr>
      <w:noProof/>
      <w:sz w:val="18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1A67DB"/>
    <w:rPr>
      <w:sz w:val="24"/>
      <w:lang w:val="fr-FR" w:eastAsia="en-US"/>
    </w:rPr>
  </w:style>
  <w:style w:type="paragraph" w:customStyle="1" w:styleId="Normalaftertitle0">
    <w:name w:val="Normal after title"/>
    <w:basedOn w:val="Normal"/>
    <w:next w:val="Normal"/>
    <w:rsid w:val="001A67DB"/>
    <w:pPr>
      <w:spacing w:before="320"/>
      <w:jc w:val="left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es" TargetMode="External"/><Relationship Id="rId13" Type="http://schemas.openxmlformats.org/officeDocument/2006/relationships/header" Target="header6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5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es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talano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7</TotalTime>
  <Pages>4</Pages>
  <Words>848</Words>
  <Characters>5153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5990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Catalano Moreira, Rossana</dc:creator>
  <cp:keywords/>
  <dc:description/>
  <cp:lastModifiedBy>Catalano Moreira, Rossana</cp:lastModifiedBy>
  <cp:revision>6</cp:revision>
  <cp:lastPrinted>2005-02-10T15:54:00Z</cp:lastPrinted>
  <dcterms:created xsi:type="dcterms:W3CDTF">2015-06-26T14:06:00Z</dcterms:created>
  <dcterms:modified xsi:type="dcterms:W3CDTF">2015-06-26T14:14:00Z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