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B3E" w:rsidRDefault="00504B3E" w:rsidP="00504B3E">
      <w:bookmarkStart w:id="0" w:name="_GoBack"/>
      <w:bookmarkEnd w:id="0"/>
    </w:p>
    <w:p w:rsidR="00504B3E" w:rsidRDefault="00504B3E" w:rsidP="00504B3E"/>
    <w:p w:rsidR="00504B3E" w:rsidRDefault="00504B3E" w:rsidP="00504B3E"/>
    <w:p w:rsidR="00504B3E" w:rsidRDefault="00504B3E" w:rsidP="00504B3E"/>
    <w:p w:rsidR="00504B3E" w:rsidRDefault="00504B3E" w:rsidP="00504B3E"/>
    <w:p w:rsidR="00504B3E" w:rsidRDefault="00504B3E" w:rsidP="00504B3E"/>
    <w:p w:rsidR="00504B3E" w:rsidRDefault="00504B3E" w:rsidP="00504B3E"/>
    <w:p w:rsidR="00504B3E" w:rsidRDefault="00504B3E" w:rsidP="00504B3E"/>
    <w:p w:rsidR="00504B3E" w:rsidRDefault="00504B3E" w:rsidP="00504B3E"/>
    <w:p w:rsidR="00504B3E" w:rsidRDefault="00504B3E" w:rsidP="00504B3E"/>
    <w:p w:rsidR="00504B3E" w:rsidRDefault="00504B3E" w:rsidP="00504B3E"/>
    <w:p w:rsidR="00504B3E" w:rsidRDefault="00504B3E" w:rsidP="00504B3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04B3E" w:rsidRPr="00A443C2" w:rsidTr="00D91571">
        <w:tc>
          <w:tcPr>
            <w:tcW w:w="10089" w:type="dxa"/>
          </w:tcPr>
          <w:p w:rsidR="00504B3E" w:rsidRPr="00B033C8" w:rsidRDefault="00504B3E" w:rsidP="00D9157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04B3E" w:rsidRPr="00A443C2" w:rsidRDefault="00504B3E" w:rsidP="00504B3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690-3</w:t>
            </w:r>
          </w:p>
          <w:p w:rsidR="00504B3E" w:rsidRPr="00A443C2" w:rsidRDefault="00504B3E" w:rsidP="00504B3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03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2015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504B3E" w:rsidRPr="00F54FBD" w:rsidTr="00D91571">
        <w:tc>
          <w:tcPr>
            <w:tcW w:w="10089" w:type="dxa"/>
          </w:tcPr>
          <w:p w:rsidR="00504B3E" w:rsidRDefault="00504B3E" w:rsidP="00D9157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504B3E" w:rsidRDefault="00504B3E" w:rsidP="00504B3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504B3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Caractéristiques techniques des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504B3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radiobalises de localisation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504B3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des sinistres fonctionnant sur les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504B3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fréquences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504B3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porteuses 121,5 MHz et 243 MHz</w:t>
            </w:r>
          </w:p>
          <w:p w:rsidR="00504B3E" w:rsidRPr="00F54FBD" w:rsidRDefault="00504B3E" w:rsidP="00D9157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504B3E" w:rsidRPr="00F54FBD" w:rsidTr="00D91571">
        <w:tc>
          <w:tcPr>
            <w:tcW w:w="10089" w:type="dxa"/>
          </w:tcPr>
          <w:p w:rsidR="00504B3E" w:rsidRPr="00F54FBD" w:rsidRDefault="00504B3E" w:rsidP="00D9157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04B3E" w:rsidRPr="00F54FBD" w:rsidRDefault="00504B3E" w:rsidP="00D9157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04B3E" w:rsidRPr="00F54FBD" w:rsidRDefault="00504B3E" w:rsidP="00D9157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504B3E" w:rsidRPr="00F54FBD" w:rsidRDefault="00504B3E" w:rsidP="00D9157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</w:p>
          <w:p w:rsidR="00504B3E" w:rsidRPr="00F54FBD" w:rsidRDefault="00504B3E" w:rsidP="00D91571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Services mobile, de radiorepérage et d’amateur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y compris les services par satellite associés</w:t>
            </w:r>
          </w:p>
        </w:tc>
      </w:tr>
    </w:tbl>
    <w:p w:rsidR="00504B3E" w:rsidRPr="00F54FBD" w:rsidRDefault="00504B3E" w:rsidP="00504B3E">
      <w:pPr>
        <w:spacing w:before="80"/>
        <w:rPr>
          <w:i/>
          <w:sz w:val="22"/>
        </w:rPr>
      </w:pPr>
    </w:p>
    <w:p w:rsidR="00504B3E" w:rsidRPr="00F54FBD" w:rsidRDefault="00504B3E" w:rsidP="00504B3E">
      <w:pPr>
        <w:spacing w:before="80"/>
        <w:rPr>
          <w:i/>
          <w:sz w:val="22"/>
        </w:rPr>
      </w:pPr>
    </w:p>
    <w:p w:rsidR="00504B3E" w:rsidRPr="00F54FBD" w:rsidRDefault="00504B3E" w:rsidP="00504B3E">
      <w:pPr>
        <w:spacing w:before="80"/>
        <w:rPr>
          <w:i/>
          <w:sz w:val="22"/>
        </w:rPr>
      </w:pPr>
    </w:p>
    <w:p w:rsidR="00504B3E" w:rsidRPr="00F54FBD" w:rsidRDefault="00504B3E" w:rsidP="00504B3E">
      <w:pPr>
        <w:spacing w:before="80"/>
        <w:rPr>
          <w:i/>
          <w:sz w:val="22"/>
        </w:rPr>
      </w:pPr>
    </w:p>
    <w:p w:rsidR="00504B3E" w:rsidRPr="00F54FBD" w:rsidRDefault="00504B3E" w:rsidP="00504B3E">
      <w:pPr>
        <w:spacing w:before="80"/>
        <w:rPr>
          <w:i/>
          <w:sz w:val="22"/>
        </w:rPr>
      </w:pPr>
    </w:p>
    <w:p w:rsidR="00504B3E" w:rsidRPr="00F54FBD" w:rsidRDefault="00504B3E" w:rsidP="00504B3E">
      <w:pPr>
        <w:spacing w:before="80"/>
        <w:rPr>
          <w:i/>
          <w:sz w:val="22"/>
        </w:rPr>
      </w:pPr>
    </w:p>
    <w:p w:rsidR="00504B3E" w:rsidRPr="00F54FBD" w:rsidRDefault="00504B3E" w:rsidP="00504B3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504B3E" w:rsidRPr="00F54FB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04B3E" w:rsidRPr="00F54FBD" w:rsidRDefault="00504B3E" w:rsidP="00504B3E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504B3E" w:rsidRPr="00F54FBD" w:rsidRDefault="00504B3E" w:rsidP="00504B3E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504B3E" w:rsidRPr="00F54FBD" w:rsidRDefault="00504B3E" w:rsidP="00504B3E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504B3E" w:rsidRPr="00E44CBB" w:rsidRDefault="00504B3E" w:rsidP="00504B3E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504B3E" w:rsidRPr="00E44CBB" w:rsidRDefault="00504B3E" w:rsidP="00504B3E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504B3E" w:rsidRPr="00C95B6F" w:rsidRDefault="00504B3E" w:rsidP="00504B3E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504B3E" w:rsidRPr="009454F8" w:rsidTr="00D91571">
        <w:tc>
          <w:tcPr>
            <w:tcW w:w="9360" w:type="dxa"/>
            <w:gridSpan w:val="2"/>
          </w:tcPr>
          <w:p w:rsidR="00504B3E" w:rsidRPr="009454F8" w:rsidRDefault="00504B3E" w:rsidP="00D91571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504B3E" w:rsidRPr="009454F8" w:rsidRDefault="00504B3E" w:rsidP="00D9157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504B3E" w:rsidRPr="00036EE3" w:rsidTr="00D91571">
        <w:tc>
          <w:tcPr>
            <w:tcW w:w="1140" w:type="dxa"/>
          </w:tcPr>
          <w:p w:rsidR="00504B3E" w:rsidRPr="00614CC6" w:rsidRDefault="00504B3E" w:rsidP="00D91571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504B3E" w:rsidRPr="00036EE3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504B3E" w:rsidRPr="009454F8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504B3E" w:rsidRPr="00036EE3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504B3E" w:rsidRPr="00ED2695" w:rsidTr="00D91571">
        <w:tc>
          <w:tcPr>
            <w:tcW w:w="1140" w:type="dxa"/>
            <w:shd w:val="clear" w:color="auto" w:fill="auto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504B3E" w:rsidRPr="00614CC6" w:rsidRDefault="00504B3E" w:rsidP="00D9157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504B3E" w:rsidRPr="00036EE3" w:rsidTr="00D91571">
        <w:tc>
          <w:tcPr>
            <w:tcW w:w="1140" w:type="dxa"/>
            <w:shd w:val="clear" w:color="auto" w:fill="auto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504B3E" w:rsidRPr="00614CC6" w:rsidRDefault="00504B3E" w:rsidP="00D9157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504B3E" w:rsidRPr="00592F9F" w:rsidTr="00D91571">
        <w:tc>
          <w:tcPr>
            <w:tcW w:w="1140" w:type="dxa"/>
            <w:shd w:val="clear" w:color="auto" w:fill="F3F3F3"/>
          </w:tcPr>
          <w:p w:rsidR="00504B3E" w:rsidRPr="00592F9F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92F9F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504B3E" w:rsidRPr="00592F9F" w:rsidRDefault="00504B3E" w:rsidP="00D9157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592F9F">
              <w:rPr>
                <w:bCs/>
                <w:color w:val="000080"/>
                <w:sz w:val="20"/>
              </w:rPr>
              <w:t>Services mobile, de radiorepérage et d'amateur y compris les services par satellite associés</w:t>
            </w:r>
          </w:p>
        </w:tc>
      </w:tr>
      <w:tr w:rsidR="00504B3E" w:rsidRPr="00036EE3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504B3E" w:rsidRPr="00036EE3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504B3E" w:rsidRPr="00036EE3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504B3E" w:rsidRPr="00036EE3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504B3E" w:rsidRPr="00036EE3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504B3E" w:rsidRPr="00614CC6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504B3E" w:rsidRPr="00036EE3" w:rsidTr="00D91571">
        <w:tc>
          <w:tcPr>
            <w:tcW w:w="1140" w:type="dxa"/>
            <w:shd w:val="clear" w:color="auto" w:fill="auto"/>
          </w:tcPr>
          <w:p w:rsidR="00504B3E" w:rsidRPr="00592F9F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504B3E" w:rsidRPr="00592F9F" w:rsidRDefault="00504B3E" w:rsidP="00D9157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504B3E" w:rsidRPr="00036EE3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504B3E" w:rsidRPr="00614CC6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504B3E" w:rsidRPr="00036EE3" w:rsidTr="00D91571">
        <w:tc>
          <w:tcPr>
            <w:tcW w:w="1140" w:type="dxa"/>
          </w:tcPr>
          <w:p w:rsidR="00504B3E" w:rsidRPr="00614CC6" w:rsidRDefault="00504B3E" w:rsidP="00D9157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504B3E" w:rsidRPr="00614CC6" w:rsidRDefault="00504B3E" w:rsidP="00D91571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504B3E" w:rsidRPr="00036EE3" w:rsidRDefault="00504B3E" w:rsidP="00504B3E">
      <w:pPr>
        <w:spacing w:before="0"/>
        <w:jc w:val="center"/>
        <w:rPr>
          <w:sz w:val="20"/>
          <w:lang w:val="en-US"/>
        </w:rPr>
      </w:pPr>
    </w:p>
    <w:p w:rsidR="00504B3E" w:rsidRPr="00036EE3" w:rsidRDefault="00504B3E" w:rsidP="00504B3E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504B3E" w:rsidRPr="00756B4D" w:rsidTr="00D91571">
        <w:tc>
          <w:tcPr>
            <w:tcW w:w="9360" w:type="dxa"/>
          </w:tcPr>
          <w:p w:rsidR="00504B3E" w:rsidRPr="00756B4D" w:rsidRDefault="00504B3E" w:rsidP="00D91571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504B3E" w:rsidRPr="00756B4D" w:rsidRDefault="00504B3E" w:rsidP="00504B3E">
      <w:pPr>
        <w:spacing w:before="0"/>
        <w:jc w:val="center"/>
        <w:rPr>
          <w:sz w:val="22"/>
        </w:rPr>
      </w:pPr>
    </w:p>
    <w:p w:rsidR="00504B3E" w:rsidRPr="00614CC6" w:rsidRDefault="00504B3E" w:rsidP="00504B3E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504B3E" w:rsidRPr="00614CC6" w:rsidRDefault="00504B3E" w:rsidP="00504B3E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15</w:t>
      </w:r>
    </w:p>
    <w:p w:rsidR="00504B3E" w:rsidRPr="00614CC6" w:rsidRDefault="00504B3E" w:rsidP="00504B3E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15</w:t>
      </w:r>
    </w:p>
    <w:p w:rsidR="00504B3E" w:rsidRPr="00614CC6" w:rsidRDefault="00504B3E" w:rsidP="00504B3E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504B3E" w:rsidRPr="00614CC6" w:rsidRDefault="00504B3E" w:rsidP="00504B3E">
      <w:pPr>
        <w:spacing w:before="160"/>
        <w:rPr>
          <w:i/>
          <w:sz w:val="20"/>
          <w:highlight w:val="yellow"/>
        </w:rPr>
        <w:sectPr w:rsidR="00504B3E" w:rsidRPr="00614CC6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04B3E" w:rsidRPr="00756B4D" w:rsidRDefault="00504B3E" w:rsidP="00504B3E">
      <w:pPr>
        <w:pStyle w:val="RecNo"/>
        <w:spacing w:before="0"/>
      </w:pPr>
      <w:bookmarkStart w:id="3" w:name="irecnoe"/>
      <w:bookmarkEnd w:id="3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>-R  M.</w:t>
      </w:r>
      <w:r>
        <w:rPr>
          <w:rStyle w:val="href"/>
        </w:rPr>
        <w:t>690-3</w:t>
      </w:r>
    </w:p>
    <w:p w:rsidR="00504B3E" w:rsidRDefault="00504B3E" w:rsidP="00504B3E">
      <w:pPr>
        <w:pStyle w:val="Rectitle"/>
      </w:pPr>
      <w:r>
        <w:t>Caractéristiques techniques des radiobalises de localisation</w:t>
      </w:r>
      <w:r>
        <w:br/>
        <w:t>des sinistres fonctionnant sur les fréquences</w:t>
      </w:r>
      <w:r>
        <w:br/>
        <w:t>porteuses 121,5 MHz et 243 MHz</w:t>
      </w:r>
    </w:p>
    <w:p w:rsidR="00504B3E" w:rsidRDefault="00504B3E" w:rsidP="00A7575D">
      <w:pPr>
        <w:pStyle w:val="Recdate"/>
      </w:pPr>
      <w:r>
        <w:t>(1990-1995-2012-2015)</w:t>
      </w:r>
    </w:p>
    <w:p w:rsidR="00504B3E" w:rsidRDefault="00504B3E" w:rsidP="00504B3E">
      <w:pPr>
        <w:pStyle w:val="headfoot"/>
        <w:rPr>
          <w:color w:val="FFFFFF"/>
          <w:lang w:val="fr-FR"/>
        </w:rPr>
      </w:pPr>
      <w:r>
        <w:rPr>
          <w:color w:val="FFFFFF"/>
          <w:lang w:val="fr-FR"/>
        </w:rPr>
        <w:t>Rec. UIT-R M.690-1</w:t>
      </w:r>
    </w:p>
    <w:p w:rsidR="00504B3E" w:rsidRPr="003104D1" w:rsidRDefault="00A7575D" w:rsidP="00A7575D">
      <w:pPr>
        <w:pStyle w:val="HeadingSum"/>
        <w:rPr>
          <w:lang w:val="fr-CH"/>
        </w:rPr>
      </w:pPr>
      <w:r w:rsidRPr="003104D1">
        <w:rPr>
          <w:lang w:val="fr-CH"/>
        </w:rPr>
        <w:t>Domaine d'</w:t>
      </w:r>
      <w:r w:rsidR="00504B3E" w:rsidRPr="003104D1">
        <w:rPr>
          <w:lang w:val="fr-CH"/>
        </w:rPr>
        <w:t>application</w:t>
      </w:r>
    </w:p>
    <w:p w:rsidR="00504B3E" w:rsidRPr="003104D1" w:rsidRDefault="00504B3E" w:rsidP="00A7575D">
      <w:pPr>
        <w:pStyle w:val="Summary"/>
        <w:rPr>
          <w:lang w:val="fr-CH"/>
        </w:rPr>
      </w:pPr>
      <w:r w:rsidRPr="003104D1">
        <w:rPr>
          <w:lang w:val="fr-CH"/>
        </w:rPr>
        <w:t>Cette Recommandation indique les caractéristiques techniques auxquelles les radiobalises de localisation des sinistres (RLS), destinées à être exploitées sur les fréquences porteuses 121,5 MHz et 243 MHz, doivent se conformer.</w:t>
      </w:r>
    </w:p>
    <w:p w:rsidR="00504B3E" w:rsidRPr="000E4F0F" w:rsidRDefault="00504B3E" w:rsidP="000E4F0F">
      <w:pPr>
        <w:pStyle w:val="Summary"/>
        <w:rPr>
          <w:lang w:val="fr-CH"/>
        </w:rPr>
      </w:pPr>
      <w:r w:rsidRPr="000E4F0F">
        <w:rPr>
          <w:lang w:val="fr-CH"/>
        </w:rPr>
        <w:t>Des caractéristiques supplémentaires pour les RLS destinées à être installées à bord d'aéronefs sont indiquées dans les Annexes pertinentes de la Convention de l'Organisation de l'aviation civile internationale.</w:t>
      </w:r>
    </w:p>
    <w:p w:rsidR="00504B3E" w:rsidRDefault="00504B3E" w:rsidP="00504B3E">
      <w:pPr>
        <w:pStyle w:val="Headingb"/>
      </w:pPr>
      <w:r>
        <w:t>Mots clés</w:t>
      </w:r>
    </w:p>
    <w:p w:rsidR="00504B3E" w:rsidRDefault="00504B3E" w:rsidP="00504B3E">
      <w:r>
        <w:t>Maritime, RLS, 121,5 MHz, 243 MHz, caractéristiques</w:t>
      </w:r>
    </w:p>
    <w:p w:rsidR="00504B3E" w:rsidRDefault="00504B3E" w:rsidP="00504B3E">
      <w:pPr>
        <w:pStyle w:val="Headingb"/>
      </w:pPr>
      <w:r w:rsidRPr="00F905A9">
        <w:t>Abréviations/glossaire</w:t>
      </w:r>
    </w:p>
    <w:p w:rsidR="00504B3E" w:rsidRDefault="00504B3E" w:rsidP="000E4F0F">
      <w:r>
        <w:t>OACI</w:t>
      </w:r>
      <w:r w:rsidR="000E4F0F">
        <w:tab/>
      </w:r>
      <w:r w:rsidRPr="002E5F6C">
        <w:t>Organisation de l'aviation civile internationale</w:t>
      </w:r>
    </w:p>
    <w:p w:rsidR="000E4F0F" w:rsidRDefault="000E4F0F" w:rsidP="000E4F0F">
      <w:r>
        <w:t>RLS</w:t>
      </w:r>
      <w:r>
        <w:tab/>
        <w:t>Radiobalise de localisation des sinistres</w:t>
      </w:r>
    </w:p>
    <w:p w:rsidR="00504B3E" w:rsidRDefault="00504B3E" w:rsidP="000E4F0F">
      <w:pPr>
        <w:pStyle w:val="Normalaftertitle"/>
      </w:pPr>
      <w:r>
        <w:t>L'Assemblée des radiocommunications de l'UIT,</w:t>
      </w:r>
    </w:p>
    <w:p w:rsidR="00504B3E" w:rsidRPr="00833ADE" w:rsidRDefault="00504B3E" w:rsidP="00504B3E">
      <w:pPr>
        <w:pStyle w:val="Call"/>
        <w:rPr>
          <w:lang w:val="fr-CH"/>
        </w:rPr>
      </w:pPr>
      <w:r w:rsidRPr="00833ADE">
        <w:rPr>
          <w:lang w:val="fr-CH"/>
        </w:rPr>
        <w:t>considérant</w:t>
      </w:r>
    </w:p>
    <w:p w:rsidR="00504B3E" w:rsidRPr="00683E36" w:rsidRDefault="00504B3E" w:rsidP="00504B3E">
      <w:pPr>
        <w:rPr>
          <w:szCs w:val="24"/>
        </w:rPr>
      </w:pPr>
      <w:r w:rsidRPr="005475DF">
        <w:rPr>
          <w:i/>
          <w:iCs/>
          <w:szCs w:val="24"/>
        </w:rPr>
        <w:t>a)</w:t>
      </w:r>
      <w:r w:rsidRPr="00683E36">
        <w:rPr>
          <w:szCs w:val="24"/>
        </w:rPr>
        <w:tab/>
        <w:t>que le Règlement des radiocommunications définit la fonction des signaux des radiobalises de localisation des sinistres (RLS);</w:t>
      </w:r>
    </w:p>
    <w:p w:rsidR="00504B3E" w:rsidRPr="00683E36" w:rsidRDefault="00504B3E" w:rsidP="00504B3E">
      <w:pPr>
        <w:rPr>
          <w:szCs w:val="24"/>
        </w:rPr>
      </w:pPr>
      <w:r w:rsidRPr="005475DF">
        <w:rPr>
          <w:i/>
          <w:iCs/>
          <w:szCs w:val="24"/>
        </w:rPr>
        <w:t>b)</w:t>
      </w:r>
      <w:r w:rsidRPr="00683E36">
        <w:rPr>
          <w:szCs w:val="24"/>
        </w:rPr>
        <w:tab/>
        <w:t>que les administrations autorisant l'utilisation de RLS fonctionnant sur les fréquences porteuses 121,5 MHz et 243 MHz devraient s'assurer que ces RLS sont conformes aux dispositions des Recommandations UIT-R pertinentes ainsi qu'aux normes et aux pratiques recommandées de l'OACI,</w:t>
      </w:r>
    </w:p>
    <w:p w:rsidR="00504B3E" w:rsidRPr="00683E36" w:rsidRDefault="00504B3E" w:rsidP="00504B3E">
      <w:pPr>
        <w:pStyle w:val="Call"/>
      </w:pPr>
      <w:r w:rsidRPr="00683E36">
        <w:t>recommande</w:t>
      </w:r>
    </w:p>
    <w:p w:rsidR="00504B3E" w:rsidRPr="00683E36" w:rsidRDefault="00A039A0" w:rsidP="00504B3E">
      <w:pPr>
        <w:rPr>
          <w:szCs w:val="24"/>
        </w:rPr>
      </w:pPr>
      <w:r w:rsidRPr="00A039A0">
        <w:rPr>
          <w:b/>
          <w:bCs/>
          <w:szCs w:val="24"/>
        </w:rPr>
        <w:t>1</w:t>
      </w:r>
      <w:r>
        <w:rPr>
          <w:szCs w:val="24"/>
        </w:rPr>
        <w:tab/>
      </w:r>
      <w:r w:rsidR="00504B3E" w:rsidRPr="00683E36">
        <w:rPr>
          <w:szCs w:val="24"/>
        </w:rPr>
        <w:t>d'utiliser, pour les RLS fonctionnant sur les fréquences porteuses 121,5 MHz et 243 MHz, des caractéristiques techniques conformes aux dispositions de l'Annexe 1.</w:t>
      </w:r>
    </w:p>
    <w:p w:rsidR="00504B3E" w:rsidRDefault="00504B3E" w:rsidP="00A039A0"/>
    <w:p w:rsidR="00A039A0" w:rsidRDefault="00A039A0" w:rsidP="00A039A0"/>
    <w:p w:rsidR="00DE278C" w:rsidRDefault="00DE278C" w:rsidP="00A039A0">
      <w:pPr>
        <w:pStyle w:val="AnnexNoTitle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04B3E" w:rsidRDefault="00504B3E" w:rsidP="00A039A0">
      <w:pPr>
        <w:pStyle w:val="AnnexNoTitle"/>
      </w:pPr>
      <w:r w:rsidRPr="003104D1">
        <w:rPr>
          <w:szCs w:val="28"/>
        </w:rPr>
        <w:lastRenderedPageBreak/>
        <w:t>Annexe 1</w:t>
      </w:r>
      <w:r w:rsidR="00A039A0" w:rsidRPr="003104D1">
        <w:rPr>
          <w:szCs w:val="28"/>
        </w:rPr>
        <w:br/>
      </w:r>
      <w:r w:rsidR="00A039A0">
        <w:rPr>
          <w:sz w:val="24"/>
          <w:szCs w:val="24"/>
        </w:rPr>
        <w:br/>
      </w:r>
      <w:r>
        <w:t>Caractéristiques techniques des radiobalises de localisation</w:t>
      </w:r>
      <w:r>
        <w:br/>
        <w:t xml:space="preserve">des sinistres fonctionnant sur les fréquences </w:t>
      </w:r>
      <w:r>
        <w:br/>
        <w:t>porteuses 121,5 MHz et 243 MHz</w:t>
      </w:r>
    </w:p>
    <w:p w:rsidR="00504B3E" w:rsidRDefault="00504B3E" w:rsidP="00DE278C">
      <w:pPr>
        <w:pStyle w:val="Normalaftertitle"/>
      </w:pPr>
      <w:r>
        <w:t xml:space="preserve">Les radiobalises de localisation des sinistres fonctionnant sur les fréquences porteuses 121,5 MHz et </w:t>
      </w:r>
      <w:r w:rsidRPr="00287C45">
        <w:t>243</w:t>
      </w:r>
      <w:r>
        <w:t xml:space="preserve"> MHz doivent satisfaire aux conditions suivantes (voir la Note 1):</w:t>
      </w:r>
    </w:p>
    <w:p w:rsidR="00504B3E" w:rsidRDefault="00504B3E" w:rsidP="00504B3E">
      <w:pPr>
        <w:pStyle w:val="enumlev1"/>
      </w:pPr>
      <w:r>
        <w:t>a)</w:t>
      </w:r>
      <w:r>
        <w:tab/>
        <w:t>dans les conditions et positions normales des antennes, l'émission doit être polarisée verticalement et essentiellement équidirective dans le plan horizontal;</w:t>
      </w:r>
    </w:p>
    <w:p w:rsidR="00504B3E" w:rsidRDefault="00504B3E" w:rsidP="00504B3E">
      <w:pPr>
        <w:pStyle w:val="enumlev1"/>
      </w:pPr>
      <w:r>
        <w:t>b)</w:t>
      </w:r>
      <w:r>
        <w:tab/>
        <w:t>les fréquences porteuses doivent être modulées en amplitude (facteur d'utilisation minimal de 33%) avec un taux de modulation minimal de 0,85;</w:t>
      </w:r>
    </w:p>
    <w:p w:rsidR="00504B3E" w:rsidRDefault="00504B3E" w:rsidP="00504B3E">
      <w:pPr>
        <w:pStyle w:val="enumlev1"/>
      </w:pPr>
      <w:r>
        <w:t>c)</w:t>
      </w:r>
      <w:r>
        <w:tab/>
        <w:t xml:space="preserve">l'émission doit consister en un signal audiofréquence caractéristique, obtenu par modulation en </w:t>
      </w:r>
      <w:r w:rsidRPr="005475DF">
        <w:t>amplitude</w:t>
      </w:r>
      <w:r>
        <w:t xml:space="preserve"> des fréquences porteuses avec un balayage audiofréquence vers le haut et vers le bas d'au moins 700 Hz dans la gamme comprise entre 300 Hz et 1 600 Hz et répété à raison de 2 à 4 fois par seconde;</w:t>
      </w:r>
    </w:p>
    <w:p w:rsidR="00504B3E" w:rsidRDefault="00504B3E" w:rsidP="00504B3E">
      <w:pPr>
        <w:pStyle w:val="enumlev1"/>
      </w:pPr>
      <w:r>
        <w:t>d)</w:t>
      </w:r>
      <w:r>
        <w:tab/>
        <w:t>l'émission devrait comporter une fréquence porteuse bien définie et distincte des éléments de modulation en bande latérale; en particulier, au moins 30% de la puissance devraient être contenus, à tout moment:</w:t>
      </w:r>
    </w:p>
    <w:p w:rsidR="00504B3E" w:rsidRDefault="00504B3E" w:rsidP="00DE278C">
      <w:pPr>
        <w:pStyle w:val="enumlev2"/>
      </w:pPr>
      <w:r>
        <w:t>–</w:t>
      </w:r>
      <w:r>
        <w:tab/>
        <w:t xml:space="preserve">dans les limites de </w:t>
      </w:r>
      <w:r>
        <w:rPr>
          <w:rFonts w:ascii="Symbol" w:hAnsi="Symbol"/>
        </w:rPr>
        <w:t></w:t>
      </w:r>
      <w:r>
        <w:t>30 Hz de la fréquence porteuse, sur la fréquence 121,5 MHz,</w:t>
      </w:r>
    </w:p>
    <w:p w:rsidR="00504B3E" w:rsidRDefault="00504B3E" w:rsidP="00DE278C">
      <w:pPr>
        <w:pStyle w:val="enumlev2"/>
      </w:pPr>
      <w:r>
        <w:t>–</w:t>
      </w:r>
      <w:r>
        <w:tab/>
        <w:t xml:space="preserve">dans les limites de </w:t>
      </w:r>
      <w:r>
        <w:rPr>
          <w:rFonts w:ascii="Symbol" w:hAnsi="Symbol"/>
        </w:rPr>
        <w:t></w:t>
      </w:r>
      <w:r>
        <w:t>60 Hz de la fréquence porteuse, sur la fréquence 243 MHz;</w:t>
      </w:r>
      <w:r>
        <w:rPr>
          <w:position w:val="6"/>
          <w:sz w:val="12"/>
        </w:rPr>
        <w:t xml:space="preserve"> </w:t>
      </w:r>
    </w:p>
    <w:p w:rsidR="00504B3E" w:rsidRDefault="00504B3E" w:rsidP="00504B3E">
      <w:pPr>
        <w:pStyle w:val="enumlev1"/>
      </w:pPr>
      <w:r>
        <w:t>e)</w:t>
      </w:r>
      <w:r>
        <w:tab/>
        <w:t>la classe d'émission doit être la classe A3X; cependant, tout type de modulation satisfaisant aux conditions spécifiées en</w:t>
      </w:r>
      <w:r>
        <w:rPr>
          <w:i/>
        </w:rPr>
        <w:t xml:space="preserve"> </w:t>
      </w:r>
      <w:r>
        <w:t>b),</w:t>
      </w:r>
      <w:r>
        <w:rPr>
          <w:i/>
        </w:rPr>
        <w:t xml:space="preserve"> </w:t>
      </w:r>
      <w:r>
        <w:t>c) et</w:t>
      </w:r>
      <w:r>
        <w:rPr>
          <w:i/>
        </w:rPr>
        <w:t xml:space="preserve"> </w:t>
      </w:r>
      <w:r>
        <w:t>d) ci-dessus peut être utilisé, à condition que cela n'empêche pas la localisation précise de la radiobalise.</w:t>
      </w:r>
    </w:p>
    <w:p w:rsidR="00504B3E" w:rsidRDefault="00504B3E" w:rsidP="00504B3E">
      <w:pPr>
        <w:pStyle w:val="Note"/>
      </w:pPr>
      <w:r>
        <w:t>NOTE 1 – Les Annexes pertinentes de la Convention de l'aviation civile internationale spécifient les caractéristiques supplémentaires applicables aux RLS installées sur les aéronefs.</w:t>
      </w:r>
    </w:p>
    <w:p w:rsidR="00A6617B" w:rsidRDefault="00A6617B" w:rsidP="00504B3E"/>
    <w:p w:rsidR="00DE278C" w:rsidRDefault="00DE278C" w:rsidP="00504B3E"/>
    <w:p w:rsidR="00DE278C" w:rsidRPr="003104D1" w:rsidRDefault="00DE278C" w:rsidP="00DE278C">
      <w:pPr>
        <w:pStyle w:val="Line"/>
        <w:rPr>
          <w:lang w:val="fr-CH"/>
        </w:rPr>
      </w:pPr>
    </w:p>
    <w:sectPr w:rsidR="00DE278C" w:rsidRPr="003104D1" w:rsidSect="00A7575D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B3E" w:rsidRDefault="00504B3E">
      <w:r>
        <w:separator/>
      </w:r>
    </w:p>
  </w:endnote>
  <w:endnote w:type="continuationSeparator" w:id="0">
    <w:p w:rsidR="00504B3E" w:rsidRDefault="00504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B3E" w:rsidRDefault="00504B3E">
      <w:r>
        <w:separator/>
      </w:r>
    </w:p>
  </w:footnote>
  <w:footnote w:type="continuationSeparator" w:id="0">
    <w:p w:rsidR="00504B3E" w:rsidRDefault="00504B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B3E" w:rsidRDefault="00504B3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B3E" w:rsidRDefault="00504B3E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60288" behindDoc="0" locked="0" layoutInCell="1" allowOverlap="1" wp14:anchorId="7DF6818F" wp14:editId="74D53EDC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3D97E20" wp14:editId="39C8635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B3E" w:rsidRPr="00837CB5" w:rsidRDefault="00504B3E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6049B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="0016049B">
      <w:fldChar w:fldCharType="begin"/>
    </w:r>
    <w:r w:rsidR="0016049B">
      <w:instrText xml:space="preserve"> DOCPRO</w:instrText>
    </w:r>
    <w:r w:rsidR="0016049B">
      <w:instrText xml:space="preserve">PERTY "Header" \* MERGEFORMAT </w:instrText>
    </w:r>
    <w:r w:rsidR="0016049B">
      <w:fldChar w:fldCharType="separate"/>
    </w:r>
    <w:r w:rsidR="0016049B" w:rsidRPr="0016049B">
      <w:rPr>
        <w:b/>
        <w:bCs/>
      </w:rPr>
      <w:t xml:space="preserve">Rec. </w:t>
    </w:r>
    <w:r w:rsidR="0016049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16049B">
      <w:rPr>
        <w:b/>
        <w:bCs/>
        <w:noProof/>
      </w:rPr>
      <w:t>UIT-R  M.690-3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B3E" w:rsidRDefault="00504B3E">
    <w:pPr>
      <w:pStyle w:val="Header"/>
    </w:pPr>
    <w:r>
      <w:tab/>
    </w:r>
    <w:r w:rsidR="0016049B">
      <w:fldChar w:fldCharType="begin"/>
    </w:r>
    <w:r w:rsidR="0016049B">
      <w:instrText xml:space="preserve"> DOCPROPERTY "Header" \* MERGEFORMAT </w:instrText>
    </w:r>
    <w:r w:rsidR="0016049B">
      <w:fldChar w:fldCharType="separate"/>
    </w:r>
    <w:r w:rsidR="0016049B" w:rsidRPr="0016049B">
      <w:rPr>
        <w:b/>
        <w:bCs/>
      </w:rPr>
      <w:t xml:space="preserve">Rec. </w:t>
    </w:r>
    <w:r w:rsidR="0016049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6049B">
      <w:rPr>
        <w:b/>
        <w:bCs/>
        <w:noProof/>
      </w:rPr>
      <w:t>UIT-R  M.690-3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6049B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16049B" w:rsidRPr="0016049B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6049B">
      <w:rPr>
        <w:b/>
        <w:bCs/>
        <w:noProof/>
      </w:rPr>
      <w:t>UIT-R  M.690-3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16049B">
      <w:fldChar w:fldCharType="begin"/>
    </w:r>
    <w:r w:rsidR="0016049B">
      <w:instrText xml:space="preserve"> DOCPROPERTY "Header" \* MERGEFORMAT </w:instrText>
    </w:r>
    <w:r w:rsidR="0016049B">
      <w:fldChar w:fldCharType="separate"/>
    </w:r>
    <w:r w:rsidR="0016049B" w:rsidRPr="0016049B">
      <w:rPr>
        <w:b/>
        <w:bCs/>
      </w:rPr>
      <w:t xml:space="preserve">Rec. </w:t>
    </w:r>
    <w:r w:rsidR="0016049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6049B">
      <w:rPr>
        <w:b/>
        <w:bCs/>
        <w:noProof/>
      </w:rPr>
      <w:t>UIT-R  M.690-3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6049B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70"/>
  <w:displayBackgroundShape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B3E"/>
    <w:rsid w:val="000E4F0F"/>
    <w:rsid w:val="0016049B"/>
    <w:rsid w:val="00217EBF"/>
    <w:rsid w:val="00242AEE"/>
    <w:rsid w:val="002D76C4"/>
    <w:rsid w:val="003104D1"/>
    <w:rsid w:val="00504B3E"/>
    <w:rsid w:val="0052529D"/>
    <w:rsid w:val="00607D68"/>
    <w:rsid w:val="00723CE3"/>
    <w:rsid w:val="007468DA"/>
    <w:rsid w:val="009E00A8"/>
    <w:rsid w:val="00A039A0"/>
    <w:rsid w:val="00A6617B"/>
    <w:rsid w:val="00A7575D"/>
    <w:rsid w:val="00AB0DC8"/>
    <w:rsid w:val="00B44E24"/>
    <w:rsid w:val="00DE278C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D0E0ECDE-5EBD-410C-A593-D923B06D4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B3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A7575D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504B3E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504B3E"/>
    <w:rPr>
      <w:sz w:val="24"/>
      <w:lang w:val="fr-FR" w:eastAsia="en-US"/>
    </w:rPr>
  </w:style>
  <w:style w:type="character" w:styleId="Hyperlink">
    <w:name w:val="Hyperlink"/>
    <w:basedOn w:val="DefaultParagraphFont"/>
    <w:rsid w:val="00504B3E"/>
    <w:rPr>
      <w:color w:val="0000FF"/>
      <w:u w:val="single"/>
    </w:rPr>
  </w:style>
  <w:style w:type="character" w:customStyle="1" w:styleId="CallChar">
    <w:name w:val="Call Char"/>
    <w:basedOn w:val="DefaultParagraphFont"/>
    <w:link w:val="Call"/>
    <w:rsid w:val="00504B3E"/>
    <w:rPr>
      <w:i/>
      <w:sz w:val="24"/>
      <w:lang w:val="fr-FR" w:eastAsia="en-US"/>
    </w:rPr>
  </w:style>
  <w:style w:type="paragraph" w:customStyle="1" w:styleId="Annex">
    <w:name w:val="Annex_#"/>
    <w:basedOn w:val="Normal"/>
    <w:next w:val="Normal"/>
    <w:rsid w:val="00504B3E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 w:eastAsia="zh-CN"/>
    </w:rPr>
  </w:style>
  <w:style w:type="paragraph" w:customStyle="1" w:styleId="AnnexTitle">
    <w:name w:val="Annex_Title"/>
    <w:basedOn w:val="Normal"/>
    <w:next w:val="Normal"/>
    <w:rsid w:val="00504B3E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jc w:val="center"/>
    </w:pPr>
    <w:rPr>
      <w:b/>
      <w:bCs/>
      <w:szCs w:val="24"/>
      <w:lang w:val="en-GB" w:eastAsia="zh-CN"/>
    </w:rPr>
  </w:style>
  <w:style w:type="paragraph" w:customStyle="1" w:styleId="RecTitle0">
    <w:name w:val="Rec_Title"/>
    <w:basedOn w:val="Normal"/>
    <w:next w:val="Normal"/>
    <w:rsid w:val="00504B3E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jc w:val="center"/>
    </w:pPr>
    <w:rPr>
      <w:b/>
      <w:bCs/>
      <w:sz w:val="20"/>
      <w:lang w:val="en-GB" w:eastAsia="zh-CN"/>
    </w:rPr>
  </w:style>
  <w:style w:type="paragraph" w:customStyle="1" w:styleId="RecTitleDate">
    <w:name w:val="Rec_Title/Date"/>
    <w:basedOn w:val="Normal"/>
    <w:next w:val="headfoot"/>
    <w:rsid w:val="00504B3E"/>
    <w:pPr>
      <w:keepNext/>
      <w:keepLines/>
      <w:tabs>
        <w:tab w:val="clear" w:pos="794"/>
        <w:tab w:val="clear" w:pos="1191"/>
        <w:tab w:val="clear" w:pos="1588"/>
        <w:tab w:val="clear" w:pos="1985"/>
        <w:tab w:val="right" w:pos="9696"/>
      </w:tabs>
      <w:spacing w:before="136"/>
      <w:jc w:val="right"/>
    </w:pPr>
    <w:rPr>
      <w:sz w:val="20"/>
      <w:lang w:val="en-GB" w:eastAsia="zh-CN"/>
    </w:rPr>
  </w:style>
  <w:style w:type="paragraph" w:customStyle="1" w:styleId="headfoot">
    <w:name w:val="head_foot"/>
    <w:basedOn w:val="Normal"/>
    <w:next w:val="Normal"/>
    <w:rsid w:val="00504B3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</TotalTime>
  <Pages>1</Pages>
  <Words>859</Words>
  <Characters>5339</Characters>
  <Application>Microsoft Office Word</Application>
  <DocSecurity>0</DocSecurity>
  <Lines>190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 Radiocommunication Sector</dc:creator>
  <cp:keywords/>
  <dc:description/>
  <cp:lastModifiedBy>Gachet, Christelle</cp:lastModifiedBy>
  <cp:revision>8</cp:revision>
  <cp:lastPrinted>2015-06-18T14:02:00Z</cp:lastPrinted>
  <dcterms:created xsi:type="dcterms:W3CDTF">2015-06-18T13:41:00Z</dcterms:created>
  <dcterms:modified xsi:type="dcterms:W3CDTF">2015-06-18T14:02:00Z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