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04BE" w14:textId="77777777" w:rsidR="00FE79FE" w:rsidRDefault="00FE79FE"/>
    <w:p w14:paraId="64E4CBF5" w14:textId="77777777" w:rsidR="00013002" w:rsidRDefault="00013002" w:rsidP="00DE5556">
      <w:pPr>
        <w:tabs>
          <w:tab w:val="clear" w:pos="794"/>
          <w:tab w:val="clear" w:pos="1191"/>
          <w:tab w:val="clear" w:pos="1588"/>
          <w:tab w:val="clear" w:pos="1985"/>
        </w:tabs>
      </w:pPr>
    </w:p>
    <w:p w14:paraId="3871552A" w14:textId="613FAFEF" w:rsidR="00D5024B" w:rsidRPr="00F111D6" w:rsidRDefault="00D5024B" w:rsidP="00D5024B">
      <w:pPr>
        <w:pStyle w:val="CoverNumber"/>
        <w:rPr>
          <w:lang w:val="es-ES"/>
        </w:rPr>
      </w:pPr>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 xml:space="preserve">IT-R </w:t>
      </w:r>
      <w:r w:rsidR="00E14ACF" w:rsidRPr="00E14ACF">
        <w:rPr>
          <w:lang w:val="es-ES"/>
        </w:rPr>
        <w:t>M.633-5</w:t>
      </w:r>
    </w:p>
    <w:p w14:paraId="6EDCF9F5" w14:textId="693207E5" w:rsidR="00D5024B" w:rsidRPr="00F111D6" w:rsidRDefault="00D5024B" w:rsidP="00D5024B">
      <w:pPr>
        <w:pStyle w:val="CoverDate"/>
        <w:rPr>
          <w:lang w:val="es-ES"/>
        </w:rPr>
      </w:pPr>
      <w:r w:rsidRPr="00F111D6">
        <w:rPr>
          <w:lang w:val="es-ES"/>
        </w:rPr>
        <w:t>(</w:t>
      </w:r>
      <w:r w:rsidR="00E14ACF" w:rsidRPr="00E14ACF">
        <w:rPr>
          <w:lang w:val="es-ES"/>
        </w:rPr>
        <w:t>11/2023</w:t>
      </w:r>
      <w:r w:rsidRPr="00F111D6">
        <w:rPr>
          <w:lang w:val="es-ES"/>
        </w:rPr>
        <w:t>)</w:t>
      </w:r>
    </w:p>
    <w:p w14:paraId="2E6E13B5" w14:textId="77777777"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EC4D79">
        <w:rPr>
          <w:lang w:val="es-ES"/>
        </w:rPr>
        <w:t>M</w:t>
      </w:r>
      <w:r w:rsidR="00D5024B" w:rsidRPr="00F111D6">
        <w:rPr>
          <w:lang w:val="es-ES"/>
        </w:rPr>
        <w:t xml:space="preserve">: </w:t>
      </w:r>
      <w:r w:rsidR="00EC4D79" w:rsidRPr="00EC4D79">
        <w:rPr>
          <w:lang w:val="es-ES"/>
        </w:rPr>
        <w:t>Servicios móviles, de radiodeterminación, de aficionados y otros servicios por satélite conexos</w:t>
      </w:r>
    </w:p>
    <w:p w14:paraId="4FF6C937" w14:textId="29631D6A" w:rsidR="00D5024B" w:rsidRPr="00F111D6" w:rsidRDefault="00E14ACF" w:rsidP="00D5024B">
      <w:pPr>
        <w:pStyle w:val="CoverTitle"/>
        <w:rPr>
          <w:lang w:val="es-ES"/>
        </w:rPr>
      </w:pPr>
      <w:r w:rsidRPr="00E14ACF">
        <w:rPr>
          <w:lang w:val="es-ES"/>
        </w:rPr>
        <w:t>Características de transmisión de una radiobaliza de localización de siniestros por satélite (RLS por satélite) que utiliza un sistema de satélites en la banda de 406,0-406,1 MHz</w:t>
      </w:r>
    </w:p>
    <w:p w14:paraId="06120E56" w14:textId="77777777" w:rsidR="00A71FE5" w:rsidRPr="00F111D6" w:rsidRDefault="00A71FE5" w:rsidP="005373E0"/>
    <w:p w14:paraId="7DBC9F4D" w14:textId="77777777" w:rsidR="00EE47C4" w:rsidRPr="00F111D6" w:rsidRDefault="00EE47C4" w:rsidP="005373E0">
      <w:pPr>
        <w:sectPr w:rsidR="00EE47C4" w:rsidRPr="00F111D6"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483857AA"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0" w:name="c2tope"/>
      <w:bookmarkEnd w:id="0"/>
      <w:r w:rsidRPr="006C718C">
        <w:rPr>
          <w:bCs/>
          <w:sz w:val="24"/>
          <w:szCs w:val="24"/>
          <w:lang w:val="es-ES_tradnl"/>
        </w:rPr>
        <w:lastRenderedPageBreak/>
        <w:t>Prólogo</w:t>
      </w:r>
    </w:p>
    <w:p w14:paraId="3487F6FD" w14:textId="77777777"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5F1B26C5" w14:textId="77777777"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2FAB2BC2" w14:textId="77777777" w:rsidR="0069322D" w:rsidRPr="00021E8A" w:rsidRDefault="0069322D" w:rsidP="0069322D">
      <w:pPr>
        <w:pStyle w:val="Heading1"/>
        <w:spacing w:before="340"/>
        <w:jc w:val="center"/>
        <w:rPr>
          <w:szCs w:val="24"/>
          <w:lang w:val="es-ES_tradnl"/>
        </w:rPr>
      </w:pPr>
      <w:r w:rsidRPr="007C36CA">
        <w:rPr>
          <w:lang w:val="es-ES_tradnl"/>
        </w:rPr>
        <w:t>Política sobre Derechos de Propiedad Intelectual</w:t>
      </w:r>
      <w:r w:rsidRPr="00021E8A">
        <w:rPr>
          <w:szCs w:val="24"/>
          <w:lang w:val="es-ES_tradnl"/>
        </w:rPr>
        <w:t xml:space="preserve"> (IPR)</w:t>
      </w:r>
    </w:p>
    <w:p w14:paraId="54BA834C" w14:textId="77777777"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1"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124BE1F0" w14:textId="77777777" w:rsidR="0069322D" w:rsidRPr="007C36CA" w:rsidRDefault="0069322D" w:rsidP="0069322D">
      <w:pPr>
        <w:spacing w:before="0"/>
        <w:jc w:val="center"/>
        <w:rPr>
          <w:sz w:val="22"/>
          <w:lang w:val="es-ES_tradnl"/>
        </w:rPr>
      </w:pPr>
    </w:p>
    <w:p w14:paraId="04277A2D"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EC4D79" w14:paraId="4BAE7401" w14:textId="77777777" w:rsidTr="0069322D">
        <w:tc>
          <w:tcPr>
            <w:tcW w:w="9360" w:type="dxa"/>
            <w:gridSpan w:val="2"/>
          </w:tcPr>
          <w:p w14:paraId="7986B67C" w14:textId="3F4A9982"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Series de las Recomendaciones UIT-R</w:t>
            </w:r>
          </w:p>
          <w:p w14:paraId="40139E58"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2"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2C3DAE13" w14:textId="77777777" w:rsidTr="00B96572">
        <w:tc>
          <w:tcPr>
            <w:tcW w:w="1140" w:type="dxa"/>
            <w:tcBorders>
              <w:bottom w:val="nil"/>
            </w:tcBorders>
            <w:vAlign w:val="bottom"/>
          </w:tcPr>
          <w:p w14:paraId="7EA522A0" w14:textId="77777777" w:rsidR="0069322D" w:rsidRPr="009B71D2" w:rsidRDefault="0069322D" w:rsidP="009B71D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ind w:left="57"/>
              <w:jc w:val="left"/>
              <w:rPr>
                <w:bCs/>
                <w:sz w:val="20"/>
                <w:lang w:val="en-US"/>
              </w:rPr>
            </w:pPr>
            <w:r w:rsidRPr="00036EE3">
              <w:rPr>
                <w:bCs/>
                <w:sz w:val="20"/>
                <w:lang w:val="en-US"/>
              </w:rPr>
              <w:t>Series</w:t>
            </w:r>
          </w:p>
        </w:tc>
        <w:tc>
          <w:tcPr>
            <w:tcW w:w="8220" w:type="dxa"/>
            <w:tcBorders>
              <w:bottom w:val="nil"/>
            </w:tcBorders>
            <w:vAlign w:val="bottom"/>
          </w:tcPr>
          <w:p w14:paraId="202E5348" w14:textId="7414B91B" w:rsidR="0069322D" w:rsidRPr="00036EE3"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r>
              <w:rPr>
                <w:bCs/>
                <w:sz w:val="20"/>
                <w:lang w:val="en-US"/>
              </w:rPr>
              <w:t>T</w:t>
            </w:r>
            <w:r w:rsidR="0098718C">
              <w:rPr>
                <w:bCs/>
                <w:sz w:val="20"/>
                <w:lang w:val="en-US"/>
              </w:rPr>
              <w:t>í</w:t>
            </w:r>
            <w:r>
              <w:rPr>
                <w:bCs/>
                <w:sz w:val="20"/>
                <w:lang w:val="en-US"/>
              </w:rPr>
              <w:t>tulo</w:t>
            </w:r>
          </w:p>
        </w:tc>
      </w:tr>
      <w:tr w:rsidR="0069322D" w:rsidRPr="004532F7" w14:paraId="45157C50" w14:textId="77777777" w:rsidTr="0069322D">
        <w:tc>
          <w:tcPr>
            <w:tcW w:w="1140" w:type="dxa"/>
            <w:tcBorders>
              <w:top w:val="nil"/>
              <w:bottom w:val="nil"/>
            </w:tcBorders>
            <w:shd w:val="clear" w:color="auto" w:fill="auto"/>
          </w:tcPr>
          <w:p w14:paraId="554BDC3A" w14:textId="77777777" w:rsidR="0069322D" w:rsidRPr="009B71D2" w:rsidRDefault="0069322D" w:rsidP="009B71D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ind w:left="57"/>
              <w:rPr>
                <w:b/>
                <w:bCs/>
                <w:sz w:val="20"/>
              </w:rPr>
            </w:pPr>
            <w:r w:rsidRPr="009B71D2">
              <w:rPr>
                <w:b/>
                <w:bCs/>
                <w:sz w:val="20"/>
              </w:rPr>
              <w:t>BO</w:t>
            </w:r>
          </w:p>
        </w:tc>
        <w:tc>
          <w:tcPr>
            <w:tcW w:w="8220" w:type="dxa"/>
            <w:tcBorders>
              <w:top w:val="nil"/>
              <w:bottom w:val="nil"/>
            </w:tcBorders>
            <w:shd w:val="clear" w:color="auto" w:fill="auto"/>
          </w:tcPr>
          <w:p w14:paraId="5A4C884B" w14:textId="77777777" w:rsidR="0069322D" w:rsidRPr="00603F8B" w:rsidRDefault="0069322D" w:rsidP="00603F8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4532F7">
              <w:rPr>
                <w:sz w:val="20"/>
              </w:rPr>
              <w:t>Distribución por satélite</w:t>
            </w:r>
          </w:p>
        </w:tc>
      </w:tr>
      <w:tr w:rsidR="0069322D" w:rsidRPr="00EC4D79" w14:paraId="47FC4F87" w14:textId="77777777" w:rsidTr="0069322D">
        <w:tc>
          <w:tcPr>
            <w:tcW w:w="1140" w:type="dxa"/>
            <w:tcBorders>
              <w:top w:val="nil"/>
              <w:bottom w:val="nil"/>
            </w:tcBorders>
            <w:shd w:val="clear" w:color="auto" w:fill="auto"/>
          </w:tcPr>
          <w:p w14:paraId="644EE572" w14:textId="77777777" w:rsidR="0069322D" w:rsidRPr="009B71D2" w:rsidRDefault="0069322D" w:rsidP="009B71D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ind w:left="57"/>
              <w:rPr>
                <w:b/>
                <w:bCs/>
                <w:sz w:val="20"/>
              </w:rPr>
            </w:pPr>
            <w:r w:rsidRPr="009B71D2">
              <w:rPr>
                <w:b/>
                <w:bCs/>
                <w:sz w:val="20"/>
              </w:rPr>
              <w:t>BR</w:t>
            </w:r>
          </w:p>
        </w:tc>
        <w:tc>
          <w:tcPr>
            <w:tcW w:w="8220" w:type="dxa"/>
            <w:tcBorders>
              <w:top w:val="nil"/>
              <w:bottom w:val="nil"/>
            </w:tcBorders>
            <w:shd w:val="clear" w:color="auto" w:fill="auto"/>
          </w:tcPr>
          <w:p w14:paraId="41C54531" w14:textId="77777777" w:rsidR="0069322D" w:rsidRPr="00603F8B" w:rsidRDefault="0069322D" w:rsidP="00603F8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603F8B">
              <w:rPr>
                <w:sz w:val="20"/>
              </w:rPr>
              <w:t>Registro para producción, archivo y reproducción; películas en televisión</w:t>
            </w:r>
          </w:p>
        </w:tc>
      </w:tr>
      <w:tr w:rsidR="0069322D" w:rsidRPr="00847DD5" w14:paraId="269C8BAE" w14:textId="77777777" w:rsidTr="0069322D">
        <w:tc>
          <w:tcPr>
            <w:tcW w:w="1140" w:type="dxa"/>
            <w:tcBorders>
              <w:top w:val="nil"/>
              <w:bottom w:val="nil"/>
            </w:tcBorders>
            <w:shd w:val="clear" w:color="auto" w:fill="auto"/>
          </w:tcPr>
          <w:p w14:paraId="3583C902" w14:textId="77777777" w:rsidR="0069322D" w:rsidRPr="009B71D2" w:rsidRDefault="0069322D" w:rsidP="009B71D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ind w:left="57"/>
              <w:rPr>
                <w:b/>
                <w:bCs/>
                <w:sz w:val="20"/>
              </w:rPr>
            </w:pPr>
            <w:r w:rsidRPr="009B71D2">
              <w:rPr>
                <w:b/>
                <w:bCs/>
                <w:sz w:val="20"/>
              </w:rPr>
              <w:t>BS</w:t>
            </w:r>
          </w:p>
        </w:tc>
        <w:tc>
          <w:tcPr>
            <w:tcW w:w="8220" w:type="dxa"/>
            <w:tcBorders>
              <w:top w:val="nil"/>
              <w:bottom w:val="nil"/>
            </w:tcBorders>
            <w:shd w:val="clear" w:color="auto" w:fill="auto"/>
          </w:tcPr>
          <w:p w14:paraId="1BC318D6" w14:textId="77777777" w:rsidR="0069322D" w:rsidRPr="00603F8B" w:rsidRDefault="0069322D" w:rsidP="00603F8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603F8B">
              <w:rPr>
                <w:sz w:val="20"/>
              </w:rPr>
              <w:t>Servicio de radiodifusión (sonora)</w:t>
            </w:r>
          </w:p>
        </w:tc>
      </w:tr>
      <w:tr w:rsidR="0069322D" w:rsidRPr="00ED2695" w14:paraId="2ABFE4D4" w14:textId="77777777" w:rsidTr="008B56B2">
        <w:tc>
          <w:tcPr>
            <w:tcW w:w="1140" w:type="dxa"/>
            <w:tcBorders>
              <w:top w:val="nil"/>
              <w:bottom w:val="nil"/>
            </w:tcBorders>
            <w:shd w:val="clear" w:color="auto" w:fill="auto"/>
          </w:tcPr>
          <w:p w14:paraId="5EA7660E" w14:textId="77777777" w:rsidR="0069322D" w:rsidRPr="009B71D2" w:rsidRDefault="0069322D" w:rsidP="009B71D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ind w:left="57"/>
              <w:rPr>
                <w:b/>
                <w:bCs/>
                <w:sz w:val="20"/>
              </w:rPr>
            </w:pPr>
            <w:r w:rsidRPr="009B71D2">
              <w:rPr>
                <w:b/>
                <w:bCs/>
                <w:sz w:val="20"/>
              </w:rPr>
              <w:t>BT</w:t>
            </w:r>
          </w:p>
        </w:tc>
        <w:tc>
          <w:tcPr>
            <w:tcW w:w="8220" w:type="dxa"/>
            <w:tcBorders>
              <w:top w:val="nil"/>
              <w:bottom w:val="nil"/>
            </w:tcBorders>
            <w:shd w:val="clear" w:color="auto" w:fill="auto"/>
          </w:tcPr>
          <w:p w14:paraId="57030ABD" w14:textId="77777777" w:rsidR="0069322D" w:rsidRPr="00603F8B" w:rsidRDefault="0069322D" w:rsidP="00603F8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603F8B">
              <w:rPr>
                <w:sz w:val="20"/>
              </w:rPr>
              <w:t>Servicio de radiodifusión (televisión)</w:t>
            </w:r>
          </w:p>
        </w:tc>
      </w:tr>
      <w:tr w:rsidR="008B56B2" w:rsidRPr="008B56B2" w14:paraId="0F95A087" w14:textId="77777777" w:rsidTr="00EC4D79">
        <w:tc>
          <w:tcPr>
            <w:tcW w:w="1140" w:type="dxa"/>
            <w:tcBorders>
              <w:top w:val="nil"/>
              <w:bottom w:val="nil"/>
            </w:tcBorders>
            <w:shd w:val="clear" w:color="auto" w:fill="FFFFFF" w:themeFill="background1"/>
          </w:tcPr>
          <w:p w14:paraId="1EBA6FA3" w14:textId="77777777" w:rsidR="0069322D" w:rsidRPr="009B71D2" w:rsidRDefault="0069322D" w:rsidP="009B71D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ind w:left="57"/>
              <w:rPr>
                <w:b/>
                <w:bCs/>
                <w:sz w:val="20"/>
              </w:rPr>
            </w:pPr>
            <w:r w:rsidRPr="009B71D2">
              <w:rPr>
                <w:b/>
                <w:bCs/>
                <w:sz w:val="20"/>
              </w:rPr>
              <w:t>F</w:t>
            </w:r>
          </w:p>
        </w:tc>
        <w:tc>
          <w:tcPr>
            <w:tcW w:w="8220" w:type="dxa"/>
            <w:tcBorders>
              <w:top w:val="nil"/>
              <w:bottom w:val="nil"/>
            </w:tcBorders>
            <w:shd w:val="clear" w:color="auto" w:fill="FFFFFF" w:themeFill="background1"/>
          </w:tcPr>
          <w:p w14:paraId="715972CA" w14:textId="77777777" w:rsidR="0069322D" w:rsidRPr="00603F8B"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8B56B2">
              <w:rPr>
                <w:sz w:val="20"/>
              </w:rPr>
              <w:t>Servicio fijo</w:t>
            </w:r>
          </w:p>
        </w:tc>
      </w:tr>
      <w:tr w:rsidR="00EC4D79" w:rsidRPr="00EC4D79" w14:paraId="1B8AB4B5" w14:textId="77777777" w:rsidTr="00EC4D79">
        <w:tc>
          <w:tcPr>
            <w:tcW w:w="1140" w:type="dxa"/>
            <w:tcBorders>
              <w:top w:val="nil"/>
              <w:bottom w:val="nil"/>
            </w:tcBorders>
            <w:shd w:val="clear" w:color="auto" w:fill="F2F2F2" w:themeFill="background1" w:themeFillShade="F2"/>
          </w:tcPr>
          <w:p w14:paraId="7A3C194E" w14:textId="77777777" w:rsidR="0069322D" w:rsidRPr="009B71D2" w:rsidRDefault="0069322D" w:rsidP="009B71D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ind w:left="57"/>
              <w:rPr>
                <w:b/>
                <w:bCs/>
                <w:color w:val="000080"/>
                <w:sz w:val="20"/>
              </w:rPr>
            </w:pPr>
            <w:r w:rsidRPr="009B71D2">
              <w:rPr>
                <w:b/>
                <w:bCs/>
                <w:color w:val="000080"/>
                <w:sz w:val="20"/>
              </w:rPr>
              <w:t>M</w:t>
            </w:r>
          </w:p>
        </w:tc>
        <w:tc>
          <w:tcPr>
            <w:tcW w:w="8220" w:type="dxa"/>
            <w:tcBorders>
              <w:top w:val="nil"/>
              <w:bottom w:val="nil"/>
            </w:tcBorders>
            <w:shd w:val="clear" w:color="auto" w:fill="F2F2F2" w:themeFill="background1" w:themeFillShade="F2"/>
          </w:tcPr>
          <w:p w14:paraId="6EA3C35D" w14:textId="77777777" w:rsidR="0069322D" w:rsidRPr="009B71D2" w:rsidRDefault="0069322D" w:rsidP="009B71D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b/>
                <w:bCs/>
                <w:color w:val="000080"/>
                <w:sz w:val="20"/>
              </w:rPr>
            </w:pPr>
            <w:r w:rsidRPr="009B71D2">
              <w:rPr>
                <w:b/>
                <w:bCs/>
                <w:color w:val="000080"/>
                <w:sz w:val="20"/>
              </w:rPr>
              <w:t>Servicios móviles, de radiodeterminación, de aficionados y otros servicios por satélite conexos</w:t>
            </w:r>
          </w:p>
        </w:tc>
      </w:tr>
      <w:tr w:rsidR="0069322D" w:rsidRPr="00EC4D79" w14:paraId="7369BEF4" w14:textId="77777777" w:rsidTr="0069322D">
        <w:tc>
          <w:tcPr>
            <w:tcW w:w="1140" w:type="dxa"/>
            <w:tcBorders>
              <w:top w:val="nil"/>
              <w:bottom w:val="nil"/>
            </w:tcBorders>
            <w:shd w:val="clear" w:color="auto" w:fill="auto"/>
          </w:tcPr>
          <w:p w14:paraId="33434937" w14:textId="77777777" w:rsidR="0069322D" w:rsidRPr="009B71D2" w:rsidRDefault="0069322D" w:rsidP="009B71D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ind w:left="57"/>
              <w:rPr>
                <w:b/>
                <w:bCs/>
                <w:sz w:val="20"/>
              </w:rPr>
            </w:pPr>
            <w:r w:rsidRPr="009B71D2">
              <w:rPr>
                <w:b/>
                <w:bCs/>
                <w:sz w:val="20"/>
              </w:rPr>
              <w:t>P</w:t>
            </w:r>
          </w:p>
        </w:tc>
        <w:tc>
          <w:tcPr>
            <w:tcW w:w="8220" w:type="dxa"/>
            <w:tcBorders>
              <w:top w:val="nil"/>
              <w:bottom w:val="nil"/>
            </w:tcBorders>
            <w:shd w:val="clear" w:color="auto" w:fill="auto"/>
          </w:tcPr>
          <w:p w14:paraId="375C8511" w14:textId="77777777" w:rsidR="0069322D" w:rsidRPr="00F95576" w:rsidRDefault="0069322D" w:rsidP="000B4BD9">
            <w:pPr>
              <w:spacing w:before="30" w:after="30"/>
              <w:jc w:val="left"/>
              <w:rPr>
                <w:sz w:val="20"/>
                <w:lang w:val="es-ES_tradnl"/>
              </w:rPr>
            </w:pPr>
            <w:r w:rsidRPr="00F95576">
              <w:rPr>
                <w:sz w:val="20"/>
                <w:lang w:val="es-ES_tradnl"/>
              </w:rPr>
              <w:t>Propagación de las ondas radioeléctricas</w:t>
            </w:r>
          </w:p>
        </w:tc>
      </w:tr>
      <w:tr w:rsidR="0069322D" w:rsidRPr="00DE71F7" w14:paraId="141E242D" w14:textId="77777777" w:rsidTr="0069322D">
        <w:tc>
          <w:tcPr>
            <w:tcW w:w="1140" w:type="dxa"/>
            <w:tcBorders>
              <w:top w:val="nil"/>
              <w:bottom w:val="nil"/>
            </w:tcBorders>
            <w:shd w:val="clear" w:color="auto" w:fill="auto"/>
          </w:tcPr>
          <w:p w14:paraId="3ACF986B" w14:textId="77777777" w:rsidR="0069322D" w:rsidRPr="009B71D2" w:rsidRDefault="0069322D" w:rsidP="009B71D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ind w:left="57"/>
              <w:rPr>
                <w:b/>
                <w:bCs/>
                <w:sz w:val="20"/>
              </w:rPr>
            </w:pPr>
            <w:r w:rsidRPr="009B71D2">
              <w:rPr>
                <w:b/>
                <w:bCs/>
                <w:sz w:val="20"/>
              </w:rPr>
              <w:t>RA</w:t>
            </w:r>
          </w:p>
        </w:tc>
        <w:tc>
          <w:tcPr>
            <w:tcW w:w="8220" w:type="dxa"/>
            <w:tcBorders>
              <w:top w:val="nil"/>
              <w:bottom w:val="nil"/>
            </w:tcBorders>
            <w:shd w:val="clear" w:color="auto" w:fill="auto"/>
          </w:tcPr>
          <w:p w14:paraId="49170B6D" w14:textId="77777777" w:rsidR="0069322D" w:rsidRPr="00DE71F7"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DE71F7">
              <w:rPr>
                <w:sz w:val="20"/>
              </w:rPr>
              <w:t>Radioastronomía</w:t>
            </w:r>
          </w:p>
        </w:tc>
      </w:tr>
      <w:tr w:rsidR="0069322D" w:rsidRPr="00EC4D79" w14:paraId="1184B803" w14:textId="77777777" w:rsidTr="0069322D">
        <w:tc>
          <w:tcPr>
            <w:tcW w:w="1140" w:type="dxa"/>
            <w:tcBorders>
              <w:top w:val="nil"/>
              <w:bottom w:val="nil"/>
            </w:tcBorders>
            <w:shd w:val="clear" w:color="auto" w:fill="auto"/>
          </w:tcPr>
          <w:p w14:paraId="635E8213" w14:textId="77777777" w:rsidR="0069322D" w:rsidRPr="009B71D2" w:rsidRDefault="0069322D" w:rsidP="009B71D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ind w:left="57"/>
              <w:rPr>
                <w:b/>
                <w:bCs/>
                <w:sz w:val="20"/>
              </w:rPr>
            </w:pPr>
            <w:r w:rsidRPr="009B71D2">
              <w:rPr>
                <w:b/>
                <w:bCs/>
                <w:sz w:val="20"/>
              </w:rPr>
              <w:t>RS</w:t>
            </w:r>
          </w:p>
        </w:tc>
        <w:tc>
          <w:tcPr>
            <w:tcW w:w="8220" w:type="dxa"/>
            <w:tcBorders>
              <w:top w:val="nil"/>
              <w:bottom w:val="nil"/>
            </w:tcBorders>
            <w:shd w:val="clear" w:color="auto" w:fill="auto"/>
          </w:tcPr>
          <w:p w14:paraId="3BB107CB" w14:textId="77777777" w:rsidR="0069322D" w:rsidRPr="00D1238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D12388">
              <w:rPr>
                <w:sz w:val="20"/>
                <w:lang w:val="es-ES_tradnl"/>
              </w:rPr>
              <w:t>Sistemas de detección a distancia</w:t>
            </w:r>
          </w:p>
        </w:tc>
      </w:tr>
      <w:tr w:rsidR="0069322D" w:rsidRPr="00025336" w14:paraId="2A95BC06" w14:textId="77777777" w:rsidTr="00EC4D79">
        <w:tc>
          <w:tcPr>
            <w:tcW w:w="1140" w:type="dxa"/>
            <w:tcBorders>
              <w:top w:val="nil"/>
              <w:bottom w:val="nil"/>
            </w:tcBorders>
            <w:shd w:val="clear" w:color="auto" w:fill="auto"/>
          </w:tcPr>
          <w:p w14:paraId="2B940696" w14:textId="77777777" w:rsidR="0069322D" w:rsidRPr="009B71D2" w:rsidRDefault="0069322D" w:rsidP="009B71D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ind w:left="57"/>
              <w:rPr>
                <w:b/>
                <w:bCs/>
                <w:sz w:val="20"/>
              </w:rPr>
            </w:pPr>
            <w:r w:rsidRPr="009B71D2">
              <w:rPr>
                <w:b/>
                <w:bCs/>
                <w:sz w:val="20"/>
              </w:rPr>
              <w:t>S</w:t>
            </w:r>
          </w:p>
        </w:tc>
        <w:tc>
          <w:tcPr>
            <w:tcW w:w="8220" w:type="dxa"/>
            <w:tcBorders>
              <w:top w:val="nil"/>
              <w:bottom w:val="nil"/>
            </w:tcBorders>
            <w:shd w:val="clear" w:color="auto" w:fill="auto"/>
          </w:tcPr>
          <w:p w14:paraId="68CD6482" w14:textId="77777777" w:rsidR="0069322D" w:rsidRPr="00603F8B" w:rsidRDefault="0069322D" w:rsidP="00603F8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603F8B">
              <w:rPr>
                <w:sz w:val="20"/>
                <w:lang w:val="es-ES_tradnl"/>
              </w:rPr>
              <w:t>Servicio fijo por satélite</w:t>
            </w:r>
          </w:p>
        </w:tc>
      </w:tr>
      <w:tr w:rsidR="00EC4D79" w:rsidRPr="00EC4D79" w14:paraId="7E9D143B" w14:textId="77777777" w:rsidTr="00EC4D79">
        <w:tc>
          <w:tcPr>
            <w:tcW w:w="1140" w:type="dxa"/>
            <w:tcBorders>
              <w:top w:val="nil"/>
              <w:bottom w:val="nil"/>
            </w:tcBorders>
            <w:shd w:val="clear" w:color="auto" w:fill="FFFFFF" w:themeFill="background1"/>
          </w:tcPr>
          <w:p w14:paraId="4D5B0221" w14:textId="77777777" w:rsidR="0069322D" w:rsidRPr="009B71D2" w:rsidRDefault="0069322D" w:rsidP="009B71D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ind w:left="57"/>
              <w:rPr>
                <w:b/>
                <w:bCs/>
                <w:sz w:val="20"/>
              </w:rPr>
            </w:pPr>
            <w:r w:rsidRPr="009B71D2">
              <w:rPr>
                <w:b/>
                <w:bCs/>
                <w:sz w:val="20"/>
              </w:rPr>
              <w:t>SA</w:t>
            </w:r>
          </w:p>
        </w:tc>
        <w:tc>
          <w:tcPr>
            <w:tcW w:w="8220" w:type="dxa"/>
            <w:tcBorders>
              <w:top w:val="nil"/>
              <w:bottom w:val="nil"/>
            </w:tcBorders>
            <w:shd w:val="clear" w:color="auto" w:fill="FFFFFF" w:themeFill="background1"/>
          </w:tcPr>
          <w:p w14:paraId="376D7E8F" w14:textId="77777777" w:rsidR="0069322D" w:rsidRPr="00603F8B" w:rsidRDefault="0069322D" w:rsidP="00603F8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603F8B">
              <w:rPr>
                <w:sz w:val="20"/>
                <w:lang w:val="es-ES_tradnl"/>
              </w:rPr>
              <w:t>Aplicaciones espaciales y meteorología</w:t>
            </w:r>
          </w:p>
        </w:tc>
      </w:tr>
      <w:tr w:rsidR="0069322D" w:rsidRPr="00EC4D79" w14:paraId="7325420E" w14:textId="77777777" w:rsidTr="0069322D">
        <w:tc>
          <w:tcPr>
            <w:tcW w:w="1140" w:type="dxa"/>
            <w:tcBorders>
              <w:top w:val="nil"/>
            </w:tcBorders>
          </w:tcPr>
          <w:p w14:paraId="6B1E04EE" w14:textId="77777777" w:rsidR="0069322D" w:rsidRPr="009B71D2" w:rsidRDefault="0069322D" w:rsidP="009B71D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ind w:left="57"/>
              <w:rPr>
                <w:b/>
                <w:bCs/>
                <w:sz w:val="20"/>
              </w:rPr>
            </w:pPr>
            <w:r w:rsidRPr="009B71D2">
              <w:rPr>
                <w:b/>
                <w:bCs/>
                <w:sz w:val="20"/>
              </w:rPr>
              <w:t>SF</w:t>
            </w:r>
          </w:p>
        </w:tc>
        <w:tc>
          <w:tcPr>
            <w:tcW w:w="8220" w:type="dxa"/>
            <w:tcBorders>
              <w:top w:val="nil"/>
            </w:tcBorders>
          </w:tcPr>
          <w:p w14:paraId="79B01512" w14:textId="77777777" w:rsidR="0069322D" w:rsidRPr="00603F8B" w:rsidRDefault="0069322D" w:rsidP="00603F8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603F8B">
              <w:rPr>
                <w:sz w:val="20"/>
                <w:lang w:val="es-ES_tradnl"/>
              </w:rPr>
              <w:t>Compartición de frecuencias y coordinación entre los sistemas del servicio fijo por satélite y del servicio fijo</w:t>
            </w:r>
          </w:p>
        </w:tc>
      </w:tr>
      <w:tr w:rsidR="0069322D" w:rsidRPr="00036EE3" w14:paraId="10DDA84C" w14:textId="77777777" w:rsidTr="0069322D">
        <w:tc>
          <w:tcPr>
            <w:tcW w:w="1140" w:type="dxa"/>
            <w:shd w:val="clear" w:color="auto" w:fill="auto"/>
          </w:tcPr>
          <w:p w14:paraId="7764104A" w14:textId="77777777" w:rsidR="0069322D" w:rsidRPr="009B71D2" w:rsidRDefault="0069322D" w:rsidP="009B71D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ind w:left="57"/>
              <w:rPr>
                <w:b/>
                <w:bCs/>
                <w:sz w:val="20"/>
              </w:rPr>
            </w:pPr>
            <w:r w:rsidRPr="009B71D2">
              <w:rPr>
                <w:b/>
                <w:bCs/>
                <w:sz w:val="20"/>
              </w:rPr>
              <w:t>SM</w:t>
            </w:r>
          </w:p>
        </w:tc>
        <w:tc>
          <w:tcPr>
            <w:tcW w:w="8220" w:type="dxa"/>
            <w:shd w:val="clear" w:color="auto" w:fill="auto"/>
          </w:tcPr>
          <w:p w14:paraId="54D1D4CD" w14:textId="77777777" w:rsidR="0069322D" w:rsidRPr="00603F8B" w:rsidRDefault="0069322D" w:rsidP="00603F8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603F8B">
              <w:rPr>
                <w:sz w:val="20"/>
                <w:lang w:val="es-ES_tradnl"/>
              </w:rPr>
              <w:t>Gestión del espectro</w:t>
            </w:r>
          </w:p>
        </w:tc>
      </w:tr>
      <w:tr w:rsidR="0069322D" w:rsidRPr="00036EE3" w14:paraId="036ADBD5" w14:textId="77777777" w:rsidTr="0069322D">
        <w:tc>
          <w:tcPr>
            <w:tcW w:w="1140" w:type="dxa"/>
          </w:tcPr>
          <w:p w14:paraId="228E2DB3" w14:textId="77777777" w:rsidR="0069322D" w:rsidRPr="009B71D2" w:rsidRDefault="0069322D" w:rsidP="009B71D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ind w:left="57"/>
              <w:rPr>
                <w:b/>
                <w:bCs/>
                <w:sz w:val="20"/>
              </w:rPr>
            </w:pPr>
            <w:r w:rsidRPr="009B71D2">
              <w:rPr>
                <w:b/>
                <w:bCs/>
                <w:sz w:val="20"/>
              </w:rPr>
              <w:t>SNG</w:t>
            </w:r>
          </w:p>
        </w:tc>
        <w:tc>
          <w:tcPr>
            <w:tcW w:w="8220" w:type="dxa"/>
          </w:tcPr>
          <w:p w14:paraId="437BE772" w14:textId="77777777" w:rsidR="0069322D" w:rsidRPr="00603F8B" w:rsidRDefault="0069322D" w:rsidP="00603F8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603F8B">
              <w:rPr>
                <w:sz w:val="20"/>
                <w:lang w:val="es-ES_tradnl"/>
              </w:rPr>
              <w:t>Periodismo electrónico por satélite</w:t>
            </w:r>
          </w:p>
        </w:tc>
      </w:tr>
      <w:tr w:rsidR="0069322D" w:rsidRPr="00EC4D79" w14:paraId="169BDB21" w14:textId="77777777" w:rsidTr="0069322D">
        <w:tc>
          <w:tcPr>
            <w:tcW w:w="1140" w:type="dxa"/>
          </w:tcPr>
          <w:p w14:paraId="35801E92" w14:textId="77777777" w:rsidR="0069322D" w:rsidRPr="009B71D2" w:rsidRDefault="0069322D" w:rsidP="009B71D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ind w:left="57"/>
              <w:rPr>
                <w:b/>
                <w:bCs/>
                <w:sz w:val="20"/>
              </w:rPr>
            </w:pPr>
            <w:r w:rsidRPr="009B71D2">
              <w:rPr>
                <w:b/>
                <w:bCs/>
                <w:sz w:val="20"/>
              </w:rPr>
              <w:t>TF</w:t>
            </w:r>
          </w:p>
        </w:tc>
        <w:tc>
          <w:tcPr>
            <w:tcW w:w="8220" w:type="dxa"/>
          </w:tcPr>
          <w:p w14:paraId="0F21969E" w14:textId="77777777" w:rsidR="0069322D" w:rsidRPr="00603F8B" w:rsidRDefault="0069322D" w:rsidP="00603F8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603F8B">
              <w:rPr>
                <w:sz w:val="20"/>
                <w:lang w:val="es-ES_tradnl"/>
              </w:rPr>
              <w:t>Emisiones de frecuencias patrón y señales horarias</w:t>
            </w:r>
          </w:p>
        </w:tc>
      </w:tr>
      <w:tr w:rsidR="0069322D" w:rsidRPr="00036EE3" w14:paraId="1B0FEBEA" w14:textId="77777777" w:rsidTr="0069322D">
        <w:tc>
          <w:tcPr>
            <w:tcW w:w="1140" w:type="dxa"/>
          </w:tcPr>
          <w:p w14:paraId="74324F83" w14:textId="77777777" w:rsidR="0069322D" w:rsidRPr="009B71D2" w:rsidRDefault="0069322D" w:rsidP="009B71D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ind w:left="57"/>
              <w:rPr>
                <w:b/>
                <w:bCs/>
                <w:sz w:val="20"/>
              </w:rPr>
            </w:pPr>
            <w:r w:rsidRPr="009B71D2">
              <w:rPr>
                <w:b/>
                <w:bCs/>
                <w:sz w:val="20"/>
              </w:rPr>
              <w:t>V</w:t>
            </w:r>
          </w:p>
        </w:tc>
        <w:tc>
          <w:tcPr>
            <w:tcW w:w="8220" w:type="dxa"/>
          </w:tcPr>
          <w:p w14:paraId="49213C37" w14:textId="77777777" w:rsidR="0069322D" w:rsidRPr="00603F8B" w:rsidRDefault="0069322D" w:rsidP="00603F8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140"/>
              <w:rPr>
                <w:sz w:val="20"/>
                <w:lang w:val="es-ES_tradnl"/>
              </w:rPr>
            </w:pPr>
            <w:r w:rsidRPr="00603F8B">
              <w:rPr>
                <w:sz w:val="20"/>
                <w:lang w:val="es-ES_tradnl"/>
              </w:rPr>
              <w:t>Vocabulario y cuestiones afines</w:t>
            </w:r>
          </w:p>
        </w:tc>
      </w:tr>
    </w:tbl>
    <w:p w14:paraId="4CDA32FE"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49C0949A" w14:textId="77777777" w:rsidTr="000B4BD9">
        <w:tc>
          <w:tcPr>
            <w:tcW w:w="720" w:type="dxa"/>
          </w:tcPr>
          <w:p w14:paraId="69E322F2"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EC4D79" w14:paraId="4C405050" w14:textId="77777777" w:rsidTr="00B96572">
        <w:tc>
          <w:tcPr>
            <w:tcW w:w="9360" w:type="dxa"/>
          </w:tcPr>
          <w:p w14:paraId="7C11A6FE" w14:textId="77777777" w:rsidR="0069322D" w:rsidRPr="00F111D6" w:rsidRDefault="0069322D" w:rsidP="00B96572">
            <w:pPr>
              <w:spacing w:before="92" w:after="92"/>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 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5A55F895" w14:textId="77777777" w:rsidR="0069322D" w:rsidRPr="00763D08" w:rsidRDefault="0069322D" w:rsidP="0069322D">
      <w:pPr>
        <w:spacing w:before="0"/>
        <w:jc w:val="center"/>
        <w:rPr>
          <w:sz w:val="22"/>
          <w:lang w:val="es-ES_tradnl"/>
        </w:rPr>
      </w:pPr>
    </w:p>
    <w:p w14:paraId="2F2E5F12"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21020172" w14:textId="652D88BD"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w:t>
      </w:r>
      <w:r w:rsidR="0038686D">
        <w:rPr>
          <w:sz w:val="20"/>
          <w:lang w:val="es-ES_tradnl"/>
        </w:rPr>
        <w:t>4</w:t>
      </w:r>
    </w:p>
    <w:p w14:paraId="64FE25F6" w14:textId="77777777" w:rsidR="0069322D" w:rsidRPr="00763D08" w:rsidRDefault="0069322D" w:rsidP="0069322D">
      <w:pPr>
        <w:spacing w:before="0" w:after="120"/>
        <w:jc w:val="center"/>
        <w:rPr>
          <w:sz w:val="22"/>
          <w:lang w:val="es-ES_tradnl"/>
        </w:rPr>
      </w:pPr>
    </w:p>
    <w:p w14:paraId="05034D60" w14:textId="448B97A5"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1" w:name="iiannee"/>
      <w:bookmarkEnd w:id="1"/>
      <w:r w:rsidRPr="00763D08">
        <w:rPr>
          <w:sz w:val="20"/>
          <w:lang w:val="es-ES_tradnl"/>
        </w:rPr>
        <w:t>20</w:t>
      </w:r>
      <w:r w:rsidR="00B96572">
        <w:rPr>
          <w:sz w:val="20"/>
          <w:lang w:val="es-ES_tradnl"/>
        </w:rPr>
        <w:t>2</w:t>
      </w:r>
      <w:r w:rsidR="0038686D">
        <w:rPr>
          <w:sz w:val="20"/>
          <w:lang w:val="es-ES_tradnl"/>
        </w:rPr>
        <w:t>4</w:t>
      </w:r>
    </w:p>
    <w:p w14:paraId="6ABC0AC7" w14:textId="77777777" w:rsidR="00D5024B" w:rsidRPr="00F111D6" w:rsidRDefault="0069322D" w:rsidP="0069322D">
      <w:pPr>
        <w:rPr>
          <w:sz w:val="18"/>
          <w:szCs w:val="18"/>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4AF66941" w14:textId="77777777" w:rsidR="007565CC" w:rsidRPr="00F111D6" w:rsidRDefault="007565CC" w:rsidP="00A971A1">
      <w:pPr>
        <w:spacing w:before="160"/>
        <w:rPr>
          <w:i/>
          <w:sz w:val="20"/>
        </w:rPr>
        <w:sectPr w:rsidR="007565CC" w:rsidRPr="00F111D6"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6A30D135" w14:textId="732F23F9" w:rsidR="00B874C6" w:rsidRDefault="00F17CED" w:rsidP="003E2E6C">
      <w:pPr>
        <w:pStyle w:val="RecNo"/>
        <w:spacing w:before="0"/>
      </w:pPr>
      <w:bookmarkStart w:id="2" w:name="irecnoe"/>
      <w:bookmarkEnd w:id="2"/>
      <w:r w:rsidRPr="005E5F20">
        <w:lastRenderedPageBreak/>
        <w:t>RECOMENDACIÓN</w:t>
      </w:r>
      <w:r w:rsidR="00B874C6" w:rsidRPr="00F17CED">
        <w:t xml:space="preserve">  </w:t>
      </w:r>
      <w:r w:rsidR="00A25EE2" w:rsidRPr="00F17CED">
        <w:rPr>
          <w:rStyle w:val="href"/>
        </w:rPr>
        <w:t>UI</w:t>
      </w:r>
      <w:r w:rsidR="00B874C6" w:rsidRPr="00F17CED">
        <w:rPr>
          <w:rStyle w:val="href"/>
        </w:rPr>
        <w:t xml:space="preserve">T-R  </w:t>
      </w:r>
      <w:r w:rsidR="00EC4D79">
        <w:rPr>
          <w:rStyle w:val="href"/>
        </w:rPr>
        <w:t>M</w:t>
      </w:r>
      <w:r w:rsidR="00B874C6" w:rsidRPr="00F17CED">
        <w:rPr>
          <w:rStyle w:val="href"/>
        </w:rPr>
        <w:t>.</w:t>
      </w:r>
      <w:r w:rsidR="00E14ACF">
        <w:rPr>
          <w:rStyle w:val="href"/>
        </w:rPr>
        <w:t>633-5</w:t>
      </w:r>
      <w:r w:rsidR="005E5F20">
        <w:rPr>
          <w:rStyle w:val="FootnoteReference"/>
        </w:rPr>
        <w:footnoteReference w:customMarkFollows="1" w:id="1"/>
        <w:t>*</w:t>
      </w:r>
    </w:p>
    <w:p w14:paraId="1FAC859A" w14:textId="4104EB17" w:rsidR="00E14ACF" w:rsidRPr="00E14ACF" w:rsidRDefault="00E14ACF" w:rsidP="00E14ACF">
      <w:pPr>
        <w:pStyle w:val="Rectitle"/>
      </w:pPr>
      <w:r w:rsidRPr="00E14ACF">
        <w:t>Características de transmisión de una radiobaliza de localización</w:t>
      </w:r>
      <w:r w:rsidRPr="00E14ACF">
        <w:br/>
        <w:t xml:space="preserve">de siniestros por satélite (RLS por satélite) que utiliza un sistema </w:t>
      </w:r>
      <w:r w:rsidRPr="00E14ACF">
        <w:br/>
        <w:t>de satélites en la banda de 406,0-406,1</w:t>
      </w:r>
      <w:r w:rsidR="00F611BF">
        <w:t> </w:t>
      </w:r>
      <w:r w:rsidRPr="00E14ACF">
        <w:t>MHz</w:t>
      </w:r>
    </w:p>
    <w:p w14:paraId="6841293A" w14:textId="77777777" w:rsidR="00E14ACF" w:rsidRPr="00E14ACF" w:rsidRDefault="00E14ACF" w:rsidP="005E5F20">
      <w:pPr>
        <w:pStyle w:val="Recdate"/>
      </w:pPr>
      <w:r w:rsidRPr="00E14ACF">
        <w:t>(1986-1990-2000-2004-2010-2023)</w:t>
      </w:r>
    </w:p>
    <w:p w14:paraId="32884855" w14:textId="77777777" w:rsidR="00E14ACF" w:rsidRPr="00E14ACF" w:rsidRDefault="00E14ACF" w:rsidP="0038686D">
      <w:pPr>
        <w:pStyle w:val="HeadingSum"/>
      </w:pPr>
      <w:r w:rsidRPr="0038686D">
        <w:t>Cometido</w:t>
      </w:r>
    </w:p>
    <w:p w14:paraId="314BC5EA" w14:textId="7301C224" w:rsidR="00E14ACF" w:rsidRPr="00E14ACF" w:rsidRDefault="00E14ACF" w:rsidP="005E5F20">
      <w:pPr>
        <w:pStyle w:val="Summary"/>
      </w:pPr>
      <w:r w:rsidRPr="00E14ACF">
        <w:t>En esta Recomendación se facilitan las características de transmisión de un sistema de radiobalizas de localización de siniestros por satélite (RLS por satélite) que opera en la banda de 406,0</w:t>
      </w:r>
      <w:r w:rsidR="00096E1E">
        <w:noBreakHyphen/>
      </w:r>
      <w:r w:rsidRPr="00E14ACF">
        <w:t>406,1 MHz.</w:t>
      </w:r>
    </w:p>
    <w:p w14:paraId="42F45E1A" w14:textId="77777777" w:rsidR="00E14ACF" w:rsidRPr="00E14ACF" w:rsidRDefault="00E14ACF" w:rsidP="005E5F20">
      <w:pPr>
        <w:pStyle w:val="Headingb"/>
      </w:pPr>
      <w:r w:rsidRPr="00E14ACF">
        <w:t>Palabras clave</w:t>
      </w:r>
    </w:p>
    <w:p w14:paraId="33CAD8D9" w14:textId="77777777" w:rsidR="00E14ACF" w:rsidRPr="00E14ACF" w:rsidRDefault="00E14ACF" w:rsidP="00E14ACF">
      <w:r w:rsidRPr="00E14ACF">
        <w:t>Satélite, RLS, baliza</w:t>
      </w:r>
    </w:p>
    <w:p w14:paraId="07EDC8AA" w14:textId="77777777" w:rsidR="00E14ACF" w:rsidRPr="00E14ACF" w:rsidRDefault="00E14ACF" w:rsidP="005E5F20">
      <w:pPr>
        <w:pStyle w:val="Headingb"/>
      </w:pPr>
      <w:bookmarkStart w:id="3" w:name="_Toc369007122"/>
      <w:r w:rsidRPr="00E14ACF">
        <w:t>Abreviaturas/Glosar</w:t>
      </w:r>
      <w:bookmarkEnd w:id="3"/>
      <w:r w:rsidRPr="00E14ACF">
        <w:t>io</w:t>
      </w:r>
    </w:p>
    <w:p w14:paraId="3D3EF5B7" w14:textId="77777777" w:rsidR="00096E1E" w:rsidRPr="00E14ACF" w:rsidRDefault="00096E1E" w:rsidP="00096E1E">
      <w:pPr>
        <w:tabs>
          <w:tab w:val="clear" w:pos="794"/>
        </w:tabs>
      </w:pPr>
      <w:r w:rsidRPr="00E14ACF">
        <w:t>ELT</w:t>
      </w:r>
      <w:r w:rsidRPr="00E14ACF">
        <w:tab/>
        <w:t>Transmisor localizador de siniestros (</w:t>
      </w:r>
      <w:r w:rsidRPr="00E14ACF">
        <w:rPr>
          <w:i/>
          <w:iCs/>
        </w:rPr>
        <w:t>emergency locator transmitter</w:t>
      </w:r>
      <w:r w:rsidRPr="00E14ACF">
        <w:t>)</w:t>
      </w:r>
    </w:p>
    <w:p w14:paraId="29D95715" w14:textId="77777777" w:rsidR="00096E1E" w:rsidRPr="00E14ACF" w:rsidRDefault="00096E1E" w:rsidP="00096E1E">
      <w:pPr>
        <w:tabs>
          <w:tab w:val="clear" w:pos="794"/>
        </w:tabs>
      </w:pPr>
      <w:r w:rsidRPr="00E14ACF">
        <w:t>PLB</w:t>
      </w:r>
      <w:r w:rsidRPr="00E14ACF">
        <w:tab/>
        <w:t>Baliza de localización personal (</w:t>
      </w:r>
      <w:r w:rsidRPr="00E14ACF">
        <w:rPr>
          <w:i/>
          <w:iCs/>
        </w:rPr>
        <w:t>personal locator beacon</w:t>
      </w:r>
      <w:r w:rsidRPr="00E14ACF">
        <w:t>)</w:t>
      </w:r>
    </w:p>
    <w:p w14:paraId="58859D37" w14:textId="77777777" w:rsidR="00096E1E" w:rsidRPr="00E14ACF" w:rsidRDefault="00096E1E" w:rsidP="00096E1E">
      <w:pPr>
        <w:tabs>
          <w:tab w:val="clear" w:pos="794"/>
        </w:tabs>
      </w:pPr>
      <w:r w:rsidRPr="00E14ACF">
        <w:t>RLS</w:t>
      </w:r>
      <w:r w:rsidRPr="00E14ACF">
        <w:tab/>
        <w:t>Radiobaliza de localización de siniestros</w:t>
      </w:r>
    </w:p>
    <w:p w14:paraId="4837CE57" w14:textId="1E268A31" w:rsidR="00E14ACF" w:rsidRPr="00E14ACF" w:rsidRDefault="00E14ACF" w:rsidP="00130372">
      <w:pPr>
        <w:tabs>
          <w:tab w:val="clear" w:pos="794"/>
        </w:tabs>
        <w:ind w:left="1191" w:hanging="1191"/>
      </w:pPr>
      <w:r w:rsidRPr="00E14ACF">
        <w:t>SOLAS</w:t>
      </w:r>
      <w:r w:rsidRPr="00E14ACF">
        <w:tab/>
        <w:t>Convenio internacional para la seguridad de la vida humana en el mar</w:t>
      </w:r>
      <w:r w:rsidR="00130372">
        <w:t xml:space="preserve"> (</w:t>
      </w:r>
      <w:r w:rsidR="00130372" w:rsidRPr="00130372">
        <w:rPr>
          <w:i/>
          <w:iCs/>
        </w:rPr>
        <w:t>safety of life at sea</w:t>
      </w:r>
      <w:r w:rsidR="00130372">
        <w:t>)</w:t>
      </w:r>
    </w:p>
    <w:p w14:paraId="106722BD" w14:textId="77777777" w:rsidR="00E14ACF" w:rsidRPr="00E14ACF" w:rsidRDefault="00E14ACF" w:rsidP="005E5F20">
      <w:pPr>
        <w:pStyle w:val="Headingb"/>
      </w:pPr>
      <w:r w:rsidRPr="00E14ACF">
        <w:t>Recomendaciones e Informes UIT conexos</w:t>
      </w:r>
    </w:p>
    <w:p w14:paraId="5FAC6228" w14:textId="580B4AAE" w:rsidR="00E14ACF" w:rsidRPr="00E14ACF" w:rsidRDefault="00E14ACF" w:rsidP="00096E1E">
      <w:pPr>
        <w:pStyle w:val="Reftext"/>
      </w:pPr>
      <w:r w:rsidRPr="00E14ACF">
        <w:t xml:space="preserve">Recomendación UIT-R </w:t>
      </w:r>
      <w:hyperlink r:id="rId15" w:history="1">
        <w:r w:rsidRPr="000141C3">
          <w:t>M.1478</w:t>
        </w:r>
      </w:hyperlink>
      <w:r w:rsidRPr="00E14ACF">
        <w:t xml:space="preserve"> – Criterios de protección de los instrumentos Cospas-Sarsat de búsqueda y salvamento en la banda 406-406,1</w:t>
      </w:r>
      <w:r w:rsidR="00130372">
        <w:t> </w:t>
      </w:r>
      <w:r w:rsidRPr="00E14ACF">
        <w:t>MHz</w:t>
      </w:r>
    </w:p>
    <w:p w14:paraId="733E8CE4" w14:textId="21206385" w:rsidR="00E14ACF" w:rsidRPr="00E14ACF" w:rsidRDefault="00E14ACF" w:rsidP="00096E1E">
      <w:pPr>
        <w:pStyle w:val="Reftext"/>
      </w:pPr>
      <w:r w:rsidRPr="00E14ACF">
        <w:t xml:space="preserve">Informe UIT-R </w:t>
      </w:r>
      <w:hyperlink r:id="rId16" w:history="1">
        <w:r w:rsidRPr="000141C3">
          <w:t>M.2359</w:t>
        </w:r>
      </w:hyperlink>
      <w:r w:rsidRPr="00E14ACF">
        <w:t xml:space="preserve"> – Protección de la banda 406-406,1</w:t>
      </w:r>
      <w:r w:rsidR="00130372">
        <w:t> </w:t>
      </w:r>
      <w:r w:rsidRPr="00E14ACF">
        <w:t>MHz</w:t>
      </w:r>
    </w:p>
    <w:p w14:paraId="41B00A67" w14:textId="77777777" w:rsidR="00E14ACF" w:rsidRPr="00E14ACF" w:rsidRDefault="00E14ACF" w:rsidP="00096E1E">
      <w:pPr>
        <w:pStyle w:val="Normalaftertitle"/>
      </w:pPr>
      <w:r w:rsidRPr="00E14ACF">
        <w:t>La Asamblea de Radiocomunicaciones de la UIT,</w:t>
      </w:r>
    </w:p>
    <w:p w14:paraId="198BE9C3" w14:textId="77777777" w:rsidR="00E14ACF" w:rsidRPr="00E14ACF" w:rsidRDefault="00E14ACF" w:rsidP="005E5F20">
      <w:pPr>
        <w:pStyle w:val="Call"/>
      </w:pPr>
      <w:r w:rsidRPr="00E14ACF">
        <w:t>considerando</w:t>
      </w:r>
    </w:p>
    <w:p w14:paraId="2793973D" w14:textId="77777777" w:rsidR="00E14ACF" w:rsidRPr="00E14ACF" w:rsidRDefault="00E14ACF" w:rsidP="00E14ACF">
      <w:r w:rsidRPr="00E14ACF">
        <w:rPr>
          <w:i/>
          <w:iCs/>
        </w:rPr>
        <w:t>a)</w:t>
      </w:r>
      <w:r w:rsidRPr="00E14ACF">
        <w:tab/>
        <w:t>que las RLS por satélite pueden utilizarse para alerta de socorro en los sistemas terrestres, marítimos y aeronáuticos;</w:t>
      </w:r>
    </w:p>
    <w:p w14:paraId="641DB7E1" w14:textId="77777777" w:rsidR="00E14ACF" w:rsidRPr="00E14ACF" w:rsidRDefault="00E14ACF" w:rsidP="00E14ACF">
      <w:r w:rsidRPr="00E14ACF">
        <w:rPr>
          <w:i/>
          <w:iCs/>
        </w:rPr>
        <w:t>b)</w:t>
      </w:r>
      <w:r w:rsidRPr="00E14ACF">
        <w:tab/>
        <w:t>que pueden emplearse RLS por satélite con características de transmisión similares (pero otras diferencias de diseño) en diversos entornos de funcionamiento, en los que se les atribuyen diferentes denominaciones, como RLS por satélite en el entorno marítimo, transmisor localizador de siniestros (ELT) en el ámbito de la aviación y baliza de localización personal (PLB) cuando se trata de un dispositivo que transporta una persona;</w:t>
      </w:r>
    </w:p>
    <w:p w14:paraId="63241FD5" w14:textId="77777777" w:rsidR="00E14ACF" w:rsidRPr="00E14ACF" w:rsidRDefault="00E14ACF" w:rsidP="00E14ACF">
      <w:r w:rsidRPr="00E14ACF">
        <w:rPr>
          <w:i/>
          <w:iCs/>
        </w:rPr>
        <w:t>c)</w:t>
      </w:r>
      <w:r w:rsidRPr="00E14ACF">
        <w:tab/>
        <w:t>que las RLS por satélite constituyen uno de los medios prioritarios de alerta de socorro en el Sistema Mundial de Socorro y Seguridad Marítimos (SMSSM) de la Organización Marítima Internacional (OMI);</w:t>
      </w:r>
    </w:p>
    <w:p w14:paraId="7BE61A33" w14:textId="07FF8850" w:rsidR="00E14ACF" w:rsidRPr="00E14ACF" w:rsidRDefault="00E14ACF" w:rsidP="00E14ACF">
      <w:r w:rsidRPr="00E14ACF">
        <w:rPr>
          <w:i/>
          <w:iCs/>
        </w:rPr>
        <w:lastRenderedPageBreak/>
        <w:t>d)</w:t>
      </w:r>
      <w:r w:rsidRPr="00E14ACF">
        <w:tab/>
        <w:t xml:space="preserve">que todos los barcos a los que se refiere el Capítulo IV del </w:t>
      </w:r>
      <w:bookmarkStart w:id="4" w:name="_Hlk157162817"/>
      <w:r w:rsidRPr="00E14ACF">
        <w:t xml:space="preserve">Convenio </w:t>
      </w:r>
      <w:r w:rsidR="00603F8B" w:rsidRPr="00E14ACF">
        <w:t>internacional para la seguridad de la vida humana en el mar</w:t>
      </w:r>
      <w:bookmarkEnd w:id="4"/>
      <w:r w:rsidRPr="00E14ACF">
        <w:t>, 1974 (SOLAS), en su versión revisada, están obligados a llevar una RLS por satélite que opere en la banda de frecuencias de 406,0-406,1 MHz;</w:t>
      </w:r>
    </w:p>
    <w:p w14:paraId="4587FEFA" w14:textId="75366FB8" w:rsidR="00E14ACF" w:rsidRPr="00E14ACF" w:rsidRDefault="00E14ACF" w:rsidP="00E14ACF">
      <w:r w:rsidRPr="00E14ACF">
        <w:rPr>
          <w:i/>
          <w:iCs/>
        </w:rPr>
        <w:t>e)</w:t>
      </w:r>
      <w:r w:rsidRPr="00E14ACF">
        <w:tab/>
        <w:t>que todas las aeronaves y helicópteros a los que se aplican las Partes I, II y III del Anexo 6 del Convenio de Aviación Civil Internacional tienen que llevar al menos una RLS por satélite que funcione en la banda de 406,0-406,1</w:t>
      </w:r>
      <w:r w:rsidR="00603F8B">
        <w:t> </w:t>
      </w:r>
      <w:r w:rsidRPr="00E14ACF">
        <w:t>MHz (a la que se hace referencia como ELT en la documentación de la OACI),</w:t>
      </w:r>
    </w:p>
    <w:p w14:paraId="0D4D9EC1" w14:textId="77777777" w:rsidR="00E14ACF" w:rsidRPr="00E14ACF" w:rsidRDefault="00E14ACF" w:rsidP="005E5F20">
      <w:pPr>
        <w:pStyle w:val="Call"/>
      </w:pPr>
      <w:r w:rsidRPr="00E14ACF">
        <w:t>observando</w:t>
      </w:r>
    </w:p>
    <w:p w14:paraId="75D01519" w14:textId="77777777" w:rsidR="00E14ACF" w:rsidRPr="00E14ACF" w:rsidRDefault="00E14ACF" w:rsidP="00E14ACF">
      <w:r w:rsidRPr="00E14ACF">
        <w:rPr>
          <w:i/>
          <w:iCs/>
        </w:rPr>
        <w:t>a)</w:t>
      </w:r>
      <w:r w:rsidRPr="00E14ACF">
        <w:tab/>
        <w:t>la disponibilidad actual y prevista de satélites operacionales del tipo Cospas</w:t>
      </w:r>
      <w:r w:rsidRPr="00E14ACF">
        <w:noBreakHyphen/>
        <w:t>Sarsat en órbita;</w:t>
      </w:r>
    </w:p>
    <w:p w14:paraId="4AC648C2" w14:textId="77777777" w:rsidR="00E14ACF" w:rsidRPr="00E14ACF" w:rsidRDefault="00E14ACF" w:rsidP="00E14ACF">
      <w:r w:rsidRPr="00E14ACF">
        <w:rPr>
          <w:i/>
          <w:iCs/>
        </w:rPr>
        <w:t>b)</w:t>
      </w:r>
      <w:r w:rsidRPr="00E14ACF">
        <w:tab/>
        <w:t>la disponibilidad actual y prevista del sistema terrestre Cospas</w:t>
      </w:r>
      <w:r w:rsidRPr="00E14ACF">
        <w:noBreakHyphen/>
        <w:t>Sarsat,</w:t>
      </w:r>
    </w:p>
    <w:p w14:paraId="33E20AE0" w14:textId="77777777" w:rsidR="00E14ACF" w:rsidRPr="00E14ACF" w:rsidRDefault="00E14ACF" w:rsidP="005E5F20">
      <w:pPr>
        <w:pStyle w:val="Call"/>
      </w:pPr>
      <w:r w:rsidRPr="00E14ACF">
        <w:t>recomienda</w:t>
      </w:r>
    </w:p>
    <w:p w14:paraId="01C80966" w14:textId="2956C269" w:rsidR="00E14ACF" w:rsidRPr="003D55C3" w:rsidRDefault="00E14ACF" w:rsidP="00E14ACF">
      <w:pPr>
        <w:rPr>
          <w:lang w:val="es-ES"/>
        </w:rPr>
      </w:pPr>
      <w:r w:rsidRPr="003D55C3">
        <w:rPr>
          <w:lang w:val="es-ES"/>
        </w:rPr>
        <w:t>que las características de transmisión y los formatos de datos de las RLS por satélite que funcionen mediante un sistema de satélites en la banda de 406,0-406,1</w:t>
      </w:r>
      <w:r w:rsidR="00096E1E" w:rsidRPr="003D55C3">
        <w:rPr>
          <w:lang w:val="es-ES"/>
        </w:rPr>
        <w:t> </w:t>
      </w:r>
      <w:r w:rsidRPr="003D55C3">
        <w:rPr>
          <w:lang w:val="es-ES"/>
        </w:rPr>
        <w:t>MHz sean conformes con la Especificación de las balizas de socorro Cospas-Sarsat en la banda de 406</w:t>
      </w:r>
      <w:r w:rsidR="00096E1E" w:rsidRPr="003D55C3">
        <w:rPr>
          <w:lang w:val="es-ES"/>
        </w:rPr>
        <w:t> </w:t>
      </w:r>
      <w:r w:rsidRPr="003D55C3">
        <w:rPr>
          <w:lang w:val="es-ES"/>
        </w:rPr>
        <w:t>MHz que figura en la versión revisada del Documento Cospas</w:t>
      </w:r>
      <w:r w:rsidRPr="003D55C3">
        <w:rPr>
          <w:lang w:val="es-ES"/>
        </w:rPr>
        <w:noBreakHyphen/>
        <w:t>Sarsat C/S T.001, o con la Especificación de las balizas de socorro Cospas-Sarsat de segunda generación en la banda de 406 MHz que figura en la versión revisada del Documento Cospas-Sarsat C/S T.018.</w:t>
      </w:r>
    </w:p>
    <w:p w14:paraId="721D2F3F" w14:textId="26F4151F" w:rsidR="00E14ACF" w:rsidRPr="00E14ACF" w:rsidRDefault="00E14ACF" w:rsidP="003D55C3">
      <w:r w:rsidRPr="00E14ACF">
        <w:t>NOTA 1 – Es posible obtener gratuitamente una copia de la versión más reciente de los Documentos C/S T.001 o C/S T.018 revisados en la Secretaría del sistema Cospas-Sarsat (</w:t>
      </w:r>
      <w:hyperlink r:id="rId17" w:history="1">
        <w:r w:rsidR="00096E1E" w:rsidRPr="00EA7423">
          <w:rPr>
            <w:rStyle w:val="Hyperlink"/>
          </w:rPr>
          <w:t>mail@cospas-sarsat.int</w:t>
        </w:r>
      </w:hyperlink>
      <w:r w:rsidRPr="00E14ACF">
        <w:t>) o en el sitio web del sistema Cospas-Sarsat (</w:t>
      </w:r>
      <w:hyperlink r:id="rId18" w:history="1">
        <w:r w:rsidR="00096E1E" w:rsidRPr="00EA7423">
          <w:rPr>
            <w:rStyle w:val="Hyperlink"/>
          </w:rPr>
          <w:t>http://www.cospas-sarsat.int</w:t>
        </w:r>
      </w:hyperlink>
      <w:r w:rsidRPr="00E14ACF">
        <w:t>).</w:t>
      </w:r>
    </w:p>
    <w:p w14:paraId="22C00C9B" w14:textId="77777777" w:rsidR="005E5F20" w:rsidRPr="00096E1E" w:rsidRDefault="005E5F20" w:rsidP="00411C49">
      <w:pPr>
        <w:pStyle w:val="Reasons"/>
        <w:rPr>
          <w:lang w:val="es-ES"/>
        </w:rPr>
      </w:pPr>
    </w:p>
    <w:p w14:paraId="3CB052B4" w14:textId="77777777" w:rsidR="005E5F20" w:rsidRDefault="005E5F20">
      <w:pPr>
        <w:jc w:val="center"/>
      </w:pPr>
      <w:r>
        <w:t>______________</w:t>
      </w:r>
    </w:p>
    <w:sectPr w:rsidR="005E5F20" w:rsidSect="007565CC">
      <w:footerReference w:type="default" r:id="rId19"/>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8F94F" w14:textId="77777777" w:rsidR="00E14ACF" w:rsidRDefault="00E14ACF">
      <w:r>
        <w:separator/>
      </w:r>
    </w:p>
  </w:endnote>
  <w:endnote w:type="continuationSeparator" w:id="0">
    <w:p w14:paraId="57DB7498" w14:textId="77777777" w:rsidR="00E14ACF" w:rsidRDefault="00E1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2534" w14:textId="77777777" w:rsidR="00301DB3" w:rsidRDefault="00301DB3">
    <w:pPr>
      <w:pStyle w:val="Footer"/>
    </w:pPr>
    <w:r>
      <w:drawing>
        <wp:anchor distT="0" distB="0" distL="0" distR="0" simplePos="0" relativeHeight="251656192" behindDoc="0" locked="0" layoutInCell="1" allowOverlap="1" wp14:anchorId="36EE514F" wp14:editId="6FB21EE2">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D67E"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D543" w14:textId="77777777" w:rsidR="00E14ACF" w:rsidRDefault="00E14ACF">
      <w:r>
        <w:separator/>
      </w:r>
    </w:p>
  </w:footnote>
  <w:footnote w:type="continuationSeparator" w:id="0">
    <w:p w14:paraId="2D4F395C" w14:textId="77777777" w:rsidR="00E14ACF" w:rsidRDefault="00E14ACF">
      <w:r>
        <w:continuationSeparator/>
      </w:r>
    </w:p>
  </w:footnote>
  <w:footnote w:id="1">
    <w:p w14:paraId="7283FDEA" w14:textId="63B5A5B9" w:rsidR="005E5F20" w:rsidRDefault="005E5F20">
      <w:pPr>
        <w:pStyle w:val="FootnoteText"/>
      </w:pPr>
      <w:r>
        <w:rPr>
          <w:rStyle w:val="FootnoteReference"/>
        </w:rPr>
        <w:t>*</w:t>
      </w:r>
      <w:r>
        <w:tab/>
      </w:r>
      <w:r w:rsidRPr="005E5F20">
        <w:t>Esta Recomendación debe señalarse a la atención de la Organización Marítima Internacional (OMI), de la Organización de Aviación Civil Internacional (OACI), de la Organización Internacional de Telecomunicaciones Móviles por Satélite (IMSO) y la Secretaría del sistema Cospas-Sarsat.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07BD"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46FCB8CE" w14:textId="77777777" w:rsidTr="0019307B">
      <w:tc>
        <w:tcPr>
          <w:tcW w:w="4634" w:type="dxa"/>
          <w:vAlign w:val="center"/>
        </w:tcPr>
        <w:p w14:paraId="4DB5B642"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F1DD838"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6B1E05">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6B1E05">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779D799D" w14:textId="77777777" w:rsidTr="0019307B">
      <w:tc>
        <w:tcPr>
          <w:tcW w:w="4634" w:type="dxa"/>
          <w:vAlign w:val="center"/>
        </w:tcPr>
        <w:p w14:paraId="684A9638"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1071C4F4"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6F4F65FB"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69E86DEC" wp14:editId="14CDF3A5">
          <wp:simplePos x="0" y="0"/>
          <wp:positionH relativeFrom="column">
            <wp:posOffset>-252095</wp:posOffset>
          </wp:positionH>
          <wp:positionV relativeFrom="paragraph">
            <wp:posOffset>-562165</wp:posOffset>
          </wp:positionV>
          <wp:extent cx="1781299" cy="383901"/>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3C08AC8D" wp14:editId="33D06C20">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EDCD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4084864"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5DD0C55D" wp14:editId="2D307467">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93539"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666D" w14:textId="527CFCA8"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11D6">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7A3D9C">
      <w:rPr>
        <w:b/>
        <w:bCs/>
        <w:lang w:val="en-US"/>
      </w:rPr>
      <w:t xml:space="preserve">Rec. </w:t>
    </w:r>
    <w:r>
      <w:rPr>
        <w:b/>
        <w:bCs/>
        <w:lang w:val="en-US"/>
      </w:rPr>
      <w:fldChar w:fldCharType="end"/>
    </w:r>
    <w:r w:rsidRPr="00F111D6">
      <w:rPr>
        <w:b/>
        <w:bCs/>
      </w:rPr>
      <w:t xml:space="preserve"> </w:t>
    </w:r>
    <w:r>
      <w:rPr>
        <w:b/>
        <w:bCs/>
      </w:rPr>
      <w:fldChar w:fldCharType="begin"/>
    </w:r>
    <w:r>
      <w:rPr>
        <w:b/>
        <w:bCs/>
        <w:lang w:val="en-US"/>
      </w:rPr>
      <w:instrText>styleref href</w:instrText>
    </w:r>
    <w:r>
      <w:rPr>
        <w:b/>
        <w:bCs/>
      </w:rPr>
      <w:fldChar w:fldCharType="separate"/>
    </w:r>
    <w:r w:rsidR="007A3D9C">
      <w:rPr>
        <w:b/>
        <w:bCs/>
        <w:noProof/>
        <w:lang w:val="en-US"/>
      </w:rPr>
      <w:t>UIT-R  M.633-5</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FE73" w14:textId="0194A407"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7A3D9C">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7A3D9C">
      <w:rPr>
        <w:b/>
        <w:bCs/>
        <w:noProof/>
      </w:rPr>
      <w:t>UIT-R  M.633-5</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8E7DFB"/>
    <w:multiLevelType w:val="hybridMultilevel"/>
    <w:tmpl w:val="E500E7C8"/>
    <w:lvl w:ilvl="0" w:tplc="F0FA538E">
      <w:start w:val="2"/>
      <w:numFmt w:val="bullet"/>
      <w:lvlText w:val=""/>
      <w:lvlJc w:val="left"/>
      <w:pPr>
        <w:ind w:left="720" w:hanging="360"/>
      </w:pPr>
      <w:rPr>
        <w:rFonts w:ascii="Symbol" w:eastAsia="Times New Roman" w:hAnsi="Symbol" w:cs="Times New Roman"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54826637">
    <w:abstractNumId w:val="0"/>
  </w:num>
  <w:num w:numId="2" w16cid:durableId="602148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CF"/>
    <w:rsid w:val="00013002"/>
    <w:rsid w:val="000141C3"/>
    <w:rsid w:val="000246E0"/>
    <w:rsid w:val="00036EE3"/>
    <w:rsid w:val="00072484"/>
    <w:rsid w:val="00095530"/>
    <w:rsid w:val="00096612"/>
    <w:rsid w:val="00096E1E"/>
    <w:rsid w:val="000A4A32"/>
    <w:rsid w:val="000B1B2B"/>
    <w:rsid w:val="000B7683"/>
    <w:rsid w:val="000D0677"/>
    <w:rsid w:val="000D3C92"/>
    <w:rsid w:val="000E0548"/>
    <w:rsid w:val="000E6A6E"/>
    <w:rsid w:val="00102934"/>
    <w:rsid w:val="00120C75"/>
    <w:rsid w:val="00130372"/>
    <w:rsid w:val="00147110"/>
    <w:rsid w:val="001511A6"/>
    <w:rsid w:val="00171C4D"/>
    <w:rsid w:val="0017562F"/>
    <w:rsid w:val="0019307B"/>
    <w:rsid w:val="001B0927"/>
    <w:rsid w:val="001B164E"/>
    <w:rsid w:val="001B7886"/>
    <w:rsid w:val="001C4108"/>
    <w:rsid w:val="001F38BB"/>
    <w:rsid w:val="002058CE"/>
    <w:rsid w:val="002165F1"/>
    <w:rsid w:val="00233211"/>
    <w:rsid w:val="00260B24"/>
    <w:rsid w:val="0027411A"/>
    <w:rsid w:val="00276D21"/>
    <w:rsid w:val="00282DCF"/>
    <w:rsid w:val="00296D7F"/>
    <w:rsid w:val="002A5D45"/>
    <w:rsid w:val="002B3CF6"/>
    <w:rsid w:val="002B3E59"/>
    <w:rsid w:val="002C768A"/>
    <w:rsid w:val="002D0BD7"/>
    <w:rsid w:val="002D76C4"/>
    <w:rsid w:val="002F5199"/>
    <w:rsid w:val="00301DB3"/>
    <w:rsid w:val="00305119"/>
    <w:rsid w:val="003157F1"/>
    <w:rsid w:val="00346EC2"/>
    <w:rsid w:val="00356B5D"/>
    <w:rsid w:val="00357707"/>
    <w:rsid w:val="0036627C"/>
    <w:rsid w:val="0038686D"/>
    <w:rsid w:val="003D55C3"/>
    <w:rsid w:val="003E2E6C"/>
    <w:rsid w:val="003E5516"/>
    <w:rsid w:val="003F4B75"/>
    <w:rsid w:val="00410651"/>
    <w:rsid w:val="00420DFD"/>
    <w:rsid w:val="00425BC7"/>
    <w:rsid w:val="00437A76"/>
    <w:rsid w:val="004604B2"/>
    <w:rsid w:val="00470E28"/>
    <w:rsid w:val="0047379B"/>
    <w:rsid w:val="00474170"/>
    <w:rsid w:val="00477729"/>
    <w:rsid w:val="004842E2"/>
    <w:rsid w:val="00486EB3"/>
    <w:rsid w:val="004934C5"/>
    <w:rsid w:val="004A6FEB"/>
    <w:rsid w:val="004E61FF"/>
    <w:rsid w:val="005373E0"/>
    <w:rsid w:val="00556548"/>
    <w:rsid w:val="00571B1C"/>
    <w:rsid w:val="00576D47"/>
    <w:rsid w:val="00586EF8"/>
    <w:rsid w:val="005B0371"/>
    <w:rsid w:val="005B49AB"/>
    <w:rsid w:val="005B50E7"/>
    <w:rsid w:val="005C4BAB"/>
    <w:rsid w:val="005E12A5"/>
    <w:rsid w:val="005E5F20"/>
    <w:rsid w:val="005E69F0"/>
    <w:rsid w:val="005E7B4F"/>
    <w:rsid w:val="005F003B"/>
    <w:rsid w:val="005F2E73"/>
    <w:rsid w:val="00601882"/>
    <w:rsid w:val="00603F8B"/>
    <w:rsid w:val="00607D68"/>
    <w:rsid w:val="00613212"/>
    <w:rsid w:val="006149B1"/>
    <w:rsid w:val="00640332"/>
    <w:rsid w:val="00680D2B"/>
    <w:rsid w:val="00681B32"/>
    <w:rsid w:val="0069322D"/>
    <w:rsid w:val="00697887"/>
    <w:rsid w:val="006B1D2B"/>
    <w:rsid w:val="006B1E05"/>
    <w:rsid w:val="006C37D5"/>
    <w:rsid w:val="006E1131"/>
    <w:rsid w:val="006E2037"/>
    <w:rsid w:val="006E6199"/>
    <w:rsid w:val="006F536F"/>
    <w:rsid w:val="00712870"/>
    <w:rsid w:val="00714AC0"/>
    <w:rsid w:val="0074147D"/>
    <w:rsid w:val="00743D85"/>
    <w:rsid w:val="00744F8B"/>
    <w:rsid w:val="00747D6E"/>
    <w:rsid w:val="00753CF4"/>
    <w:rsid w:val="007565CC"/>
    <w:rsid w:val="007624B1"/>
    <w:rsid w:val="00763B9A"/>
    <w:rsid w:val="007A0BC8"/>
    <w:rsid w:val="007A3D9C"/>
    <w:rsid w:val="007A6AA8"/>
    <w:rsid w:val="007B1357"/>
    <w:rsid w:val="007B3343"/>
    <w:rsid w:val="008310C9"/>
    <w:rsid w:val="008335F0"/>
    <w:rsid w:val="00834306"/>
    <w:rsid w:val="00841046"/>
    <w:rsid w:val="00853CC5"/>
    <w:rsid w:val="00877E6E"/>
    <w:rsid w:val="008B083A"/>
    <w:rsid w:val="008B56B2"/>
    <w:rsid w:val="008C7848"/>
    <w:rsid w:val="008F7497"/>
    <w:rsid w:val="00906589"/>
    <w:rsid w:val="00906AD6"/>
    <w:rsid w:val="00917AF2"/>
    <w:rsid w:val="0092418A"/>
    <w:rsid w:val="00934ED7"/>
    <w:rsid w:val="00940D16"/>
    <w:rsid w:val="009543C3"/>
    <w:rsid w:val="00966E1B"/>
    <w:rsid w:val="00972F51"/>
    <w:rsid w:val="00984A02"/>
    <w:rsid w:val="0098718C"/>
    <w:rsid w:val="009947C0"/>
    <w:rsid w:val="009A4039"/>
    <w:rsid w:val="009A41F9"/>
    <w:rsid w:val="009B71D2"/>
    <w:rsid w:val="009D4BBD"/>
    <w:rsid w:val="009F2D2C"/>
    <w:rsid w:val="009F2D88"/>
    <w:rsid w:val="009F5580"/>
    <w:rsid w:val="00A03C0E"/>
    <w:rsid w:val="00A16BE1"/>
    <w:rsid w:val="00A239D1"/>
    <w:rsid w:val="00A25EE2"/>
    <w:rsid w:val="00A31928"/>
    <w:rsid w:val="00A35B27"/>
    <w:rsid w:val="00A507D4"/>
    <w:rsid w:val="00A5147A"/>
    <w:rsid w:val="00A62A14"/>
    <w:rsid w:val="00A6617B"/>
    <w:rsid w:val="00A71FE5"/>
    <w:rsid w:val="00A7534B"/>
    <w:rsid w:val="00A76007"/>
    <w:rsid w:val="00A86DD2"/>
    <w:rsid w:val="00A936CB"/>
    <w:rsid w:val="00A971A1"/>
    <w:rsid w:val="00AA3AD8"/>
    <w:rsid w:val="00AB0DC8"/>
    <w:rsid w:val="00AB405C"/>
    <w:rsid w:val="00AC015D"/>
    <w:rsid w:val="00AE698D"/>
    <w:rsid w:val="00AF0286"/>
    <w:rsid w:val="00AF5326"/>
    <w:rsid w:val="00B019A2"/>
    <w:rsid w:val="00B0286E"/>
    <w:rsid w:val="00B033C8"/>
    <w:rsid w:val="00B111CE"/>
    <w:rsid w:val="00B118D4"/>
    <w:rsid w:val="00B33425"/>
    <w:rsid w:val="00B42334"/>
    <w:rsid w:val="00B44E24"/>
    <w:rsid w:val="00B54ECC"/>
    <w:rsid w:val="00B60AC0"/>
    <w:rsid w:val="00B714F3"/>
    <w:rsid w:val="00B75A52"/>
    <w:rsid w:val="00B874C6"/>
    <w:rsid w:val="00B87B6B"/>
    <w:rsid w:val="00B9169E"/>
    <w:rsid w:val="00B96572"/>
    <w:rsid w:val="00BB7886"/>
    <w:rsid w:val="00BC5D77"/>
    <w:rsid w:val="00BD4283"/>
    <w:rsid w:val="00BF487A"/>
    <w:rsid w:val="00BF5544"/>
    <w:rsid w:val="00C15F3E"/>
    <w:rsid w:val="00C46BD9"/>
    <w:rsid w:val="00C55258"/>
    <w:rsid w:val="00C73560"/>
    <w:rsid w:val="00C84DB7"/>
    <w:rsid w:val="00C87A35"/>
    <w:rsid w:val="00CB0F14"/>
    <w:rsid w:val="00CD659B"/>
    <w:rsid w:val="00CE0A43"/>
    <w:rsid w:val="00CF130D"/>
    <w:rsid w:val="00D00118"/>
    <w:rsid w:val="00D0483A"/>
    <w:rsid w:val="00D16749"/>
    <w:rsid w:val="00D5024B"/>
    <w:rsid w:val="00D61962"/>
    <w:rsid w:val="00D72623"/>
    <w:rsid w:val="00D83556"/>
    <w:rsid w:val="00DE5556"/>
    <w:rsid w:val="00DF4176"/>
    <w:rsid w:val="00E0095C"/>
    <w:rsid w:val="00E14ACF"/>
    <w:rsid w:val="00E17240"/>
    <w:rsid w:val="00E222BE"/>
    <w:rsid w:val="00E74595"/>
    <w:rsid w:val="00E77485"/>
    <w:rsid w:val="00EB1CB6"/>
    <w:rsid w:val="00EB7C57"/>
    <w:rsid w:val="00EC4D79"/>
    <w:rsid w:val="00ED2695"/>
    <w:rsid w:val="00ED3CA8"/>
    <w:rsid w:val="00EE04BA"/>
    <w:rsid w:val="00EE47C4"/>
    <w:rsid w:val="00EF2D52"/>
    <w:rsid w:val="00F111D6"/>
    <w:rsid w:val="00F17CED"/>
    <w:rsid w:val="00F30C9B"/>
    <w:rsid w:val="00F354B1"/>
    <w:rsid w:val="00F354D7"/>
    <w:rsid w:val="00F611BF"/>
    <w:rsid w:val="00F6343F"/>
    <w:rsid w:val="00F72776"/>
    <w:rsid w:val="00F77360"/>
    <w:rsid w:val="00F92A40"/>
    <w:rsid w:val="00FB0E4E"/>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05661243"/>
  <w15:docId w15:val="{97A5A96C-3DDC-4B73-B46A-5958605B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686D"/>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qFormat/>
    <w:rsid w:val="0038686D"/>
    <w:pPr>
      <w:keepNext/>
      <w:keepLines/>
      <w:spacing w:before="480"/>
      <w:ind w:left="794" w:hanging="794"/>
      <w:outlineLvl w:val="0"/>
    </w:pPr>
    <w:rPr>
      <w:b/>
    </w:rPr>
  </w:style>
  <w:style w:type="paragraph" w:styleId="Heading2">
    <w:name w:val="heading 2"/>
    <w:basedOn w:val="Heading1"/>
    <w:next w:val="Normal"/>
    <w:qFormat/>
    <w:rsid w:val="0038686D"/>
    <w:pPr>
      <w:spacing w:before="320"/>
      <w:outlineLvl w:val="1"/>
    </w:pPr>
  </w:style>
  <w:style w:type="paragraph" w:styleId="Heading3">
    <w:name w:val="heading 3"/>
    <w:basedOn w:val="Heading1"/>
    <w:next w:val="Normal"/>
    <w:qFormat/>
    <w:rsid w:val="0038686D"/>
    <w:pPr>
      <w:spacing w:before="200"/>
      <w:outlineLvl w:val="2"/>
    </w:pPr>
  </w:style>
  <w:style w:type="paragraph" w:styleId="Heading4">
    <w:name w:val="heading 4"/>
    <w:basedOn w:val="Heading3"/>
    <w:next w:val="Normal"/>
    <w:qFormat/>
    <w:rsid w:val="0038686D"/>
    <w:pPr>
      <w:tabs>
        <w:tab w:val="clear" w:pos="794"/>
        <w:tab w:val="left" w:pos="992"/>
      </w:tabs>
      <w:ind w:left="992" w:hanging="992"/>
      <w:outlineLvl w:val="3"/>
    </w:pPr>
  </w:style>
  <w:style w:type="paragraph" w:styleId="Heading5">
    <w:name w:val="heading 5"/>
    <w:basedOn w:val="Heading4"/>
    <w:next w:val="Normal"/>
    <w:qFormat/>
    <w:rsid w:val="0038686D"/>
    <w:pPr>
      <w:outlineLvl w:val="4"/>
    </w:pPr>
  </w:style>
  <w:style w:type="paragraph" w:styleId="Heading6">
    <w:name w:val="heading 6"/>
    <w:basedOn w:val="Heading4"/>
    <w:next w:val="Normal"/>
    <w:qFormat/>
    <w:rsid w:val="0038686D"/>
    <w:pPr>
      <w:tabs>
        <w:tab w:val="clear" w:pos="992"/>
        <w:tab w:val="clear" w:pos="1191"/>
      </w:tabs>
      <w:ind w:left="1588" w:hanging="1588"/>
      <w:outlineLvl w:val="5"/>
    </w:pPr>
  </w:style>
  <w:style w:type="paragraph" w:styleId="Heading7">
    <w:name w:val="heading 7"/>
    <w:basedOn w:val="Heading6"/>
    <w:next w:val="Normal"/>
    <w:qFormat/>
    <w:rsid w:val="0038686D"/>
    <w:pPr>
      <w:outlineLvl w:val="6"/>
    </w:pPr>
  </w:style>
  <w:style w:type="paragraph" w:styleId="Heading8">
    <w:name w:val="heading 8"/>
    <w:basedOn w:val="Heading6"/>
    <w:next w:val="Normal"/>
    <w:qFormat/>
    <w:rsid w:val="0038686D"/>
    <w:pPr>
      <w:outlineLvl w:val="7"/>
    </w:pPr>
  </w:style>
  <w:style w:type="paragraph" w:styleId="Heading9">
    <w:name w:val="heading 9"/>
    <w:basedOn w:val="Heading6"/>
    <w:next w:val="Normal"/>
    <w:qFormat/>
    <w:rsid w:val="0038686D"/>
    <w:pPr>
      <w:jc w:val="left"/>
      <w:outlineLvl w:val="8"/>
    </w:pPr>
  </w:style>
  <w:style w:type="character" w:default="1" w:styleId="DefaultParagraphFont">
    <w:name w:val="Default Paragraph Font"/>
    <w:uiPriority w:val="1"/>
    <w:semiHidden/>
    <w:unhideWhenUsed/>
    <w:rsid w:val="003868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686D"/>
  </w:style>
  <w:style w:type="paragraph" w:styleId="Header">
    <w:name w:val="header"/>
    <w:basedOn w:val="Normal"/>
    <w:link w:val="HeaderChar"/>
    <w:rsid w:val="0038686D"/>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38686D"/>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38686D"/>
  </w:style>
  <w:style w:type="paragraph" w:customStyle="1" w:styleId="Headingb">
    <w:name w:val="Heading_b"/>
    <w:basedOn w:val="Heading3"/>
    <w:next w:val="Normal"/>
    <w:rsid w:val="0038686D"/>
    <w:pPr>
      <w:spacing w:before="160"/>
      <w:ind w:left="0" w:firstLine="0"/>
      <w:outlineLvl w:val="9"/>
    </w:pPr>
  </w:style>
  <w:style w:type="paragraph" w:customStyle="1" w:styleId="Headingi">
    <w:name w:val="Heading_i"/>
    <w:basedOn w:val="Heading3"/>
    <w:next w:val="Normal"/>
    <w:rsid w:val="0038686D"/>
    <w:pPr>
      <w:spacing w:before="160"/>
      <w:ind w:left="0" w:firstLine="0"/>
    </w:pPr>
    <w:rPr>
      <w:b w:val="0"/>
      <w:i/>
    </w:rPr>
  </w:style>
  <w:style w:type="character" w:customStyle="1" w:styleId="href">
    <w:name w:val="href"/>
    <w:basedOn w:val="DefaultParagraphFont"/>
    <w:rsid w:val="0038686D"/>
  </w:style>
  <w:style w:type="paragraph" w:customStyle="1" w:styleId="AnnexNoTitle">
    <w:name w:val="Annex_NoTitle"/>
    <w:basedOn w:val="Normal"/>
    <w:next w:val="Normalaftertitle"/>
    <w:rsid w:val="0038686D"/>
    <w:pPr>
      <w:keepNext/>
      <w:keepLines/>
      <w:spacing w:before="480" w:after="80"/>
      <w:jc w:val="center"/>
    </w:pPr>
    <w:rPr>
      <w:b/>
      <w:sz w:val="28"/>
    </w:rPr>
  </w:style>
  <w:style w:type="paragraph" w:customStyle="1" w:styleId="Normalaftertitle">
    <w:name w:val="Normal_after_title"/>
    <w:basedOn w:val="Normal"/>
    <w:next w:val="Normal"/>
    <w:rsid w:val="0038686D"/>
    <w:pPr>
      <w:spacing w:before="320"/>
    </w:pPr>
  </w:style>
  <w:style w:type="paragraph" w:customStyle="1" w:styleId="enumlev2">
    <w:name w:val="enumlev2"/>
    <w:basedOn w:val="enumlev1"/>
    <w:rsid w:val="0038686D"/>
    <w:pPr>
      <w:ind w:left="1191" w:hanging="397"/>
    </w:pPr>
  </w:style>
  <w:style w:type="paragraph" w:customStyle="1" w:styleId="enumlev1">
    <w:name w:val="enumlev1"/>
    <w:basedOn w:val="Normal"/>
    <w:rsid w:val="0038686D"/>
    <w:pPr>
      <w:spacing w:before="80"/>
      <w:ind w:left="794" w:hanging="794"/>
    </w:pPr>
  </w:style>
  <w:style w:type="paragraph" w:customStyle="1" w:styleId="enumlev3">
    <w:name w:val="enumlev3"/>
    <w:basedOn w:val="enumlev2"/>
    <w:rsid w:val="0038686D"/>
    <w:pPr>
      <w:ind w:left="1588"/>
    </w:pPr>
  </w:style>
  <w:style w:type="paragraph" w:customStyle="1" w:styleId="Note">
    <w:name w:val="Note"/>
    <w:basedOn w:val="Normal"/>
    <w:rsid w:val="0038686D"/>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38686D"/>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38686D"/>
    <w:pPr>
      <w:keepNext/>
      <w:keepLines/>
      <w:spacing w:before="240"/>
      <w:jc w:val="center"/>
    </w:pPr>
    <w:rPr>
      <w:b/>
      <w:sz w:val="28"/>
    </w:rPr>
  </w:style>
  <w:style w:type="paragraph" w:customStyle="1" w:styleId="Recref">
    <w:name w:val="Rec_ref"/>
    <w:basedOn w:val="Normal"/>
    <w:next w:val="Recdate"/>
    <w:rsid w:val="0038686D"/>
    <w:pPr>
      <w:jc w:val="center"/>
    </w:pPr>
  </w:style>
  <w:style w:type="paragraph" w:customStyle="1" w:styleId="Recdate">
    <w:name w:val="Rec_date"/>
    <w:basedOn w:val="Recref"/>
    <w:next w:val="Normalaftertitle"/>
    <w:rsid w:val="0038686D"/>
    <w:pPr>
      <w:jc w:val="right"/>
    </w:pPr>
  </w:style>
  <w:style w:type="paragraph" w:customStyle="1" w:styleId="HeadingSum">
    <w:name w:val="Heading_Sum"/>
    <w:basedOn w:val="Headingb"/>
    <w:next w:val="Normal"/>
    <w:autoRedefine/>
    <w:rsid w:val="0038686D"/>
    <w:pPr>
      <w:spacing w:before="240"/>
    </w:pPr>
    <w:rPr>
      <w:sz w:val="22"/>
      <w:lang w:val="es-ES_tradnl"/>
    </w:rPr>
  </w:style>
  <w:style w:type="paragraph" w:customStyle="1" w:styleId="AppendixNoTitle">
    <w:name w:val="Appendix_NoTitle"/>
    <w:basedOn w:val="AnnexNoTitle"/>
    <w:next w:val="Normal"/>
    <w:rsid w:val="0038686D"/>
  </w:style>
  <w:style w:type="paragraph" w:customStyle="1" w:styleId="Tablefin">
    <w:name w:val="Table_fin"/>
    <w:basedOn w:val="Normal"/>
    <w:next w:val="Normal"/>
    <w:rsid w:val="0038686D"/>
    <w:pPr>
      <w:spacing w:before="0"/>
    </w:pPr>
    <w:rPr>
      <w:sz w:val="20"/>
    </w:rPr>
  </w:style>
  <w:style w:type="paragraph" w:customStyle="1" w:styleId="Tablehead">
    <w:name w:val="Table_head"/>
    <w:basedOn w:val="Normal"/>
    <w:next w:val="Normal"/>
    <w:rsid w:val="0038686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868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38686D"/>
    <w:pPr>
      <w:keepNext/>
      <w:spacing w:before="360" w:after="120"/>
      <w:jc w:val="center"/>
    </w:pPr>
  </w:style>
  <w:style w:type="paragraph" w:customStyle="1" w:styleId="Tabletext">
    <w:name w:val="Table_text"/>
    <w:basedOn w:val="Normal"/>
    <w:rsid w:val="003868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38686D"/>
    <w:pPr>
      <w:tabs>
        <w:tab w:val="clear" w:pos="1191"/>
        <w:tab w:val="clear" w:pos="1588"/>
        <w:tab w:val="clear" w:pos="1985"/>
        <w:tab w:val="center" w:pos="4820"/>
        <w:tab w:val="right" w:pos="9639"/>
      </w:tabs>
    </w:pPr>
  </w:style>
  <w:style w:type="paragraph" w:customStyle="1" w:styleId="Equationlegend">
    <w:name w:val="Equation_legend"/>
    <w:basedOn w:val="NormalIndent"/>
    <w:rsid w:val="0038686D"/>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38686D"/>
    <w:pPr>
      <w:ind w:left="794"/>
    </w:pPr>
  </w:style>
  <w:style w:type="paragraph" w:customStyle="1" w:styleId="Figurelegend">
    <w:name w:val="Figure_legend"/>
    <w:basedOn w:val="Normal"/>
    <w:rsid w:val="0038686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38686D"/>
    <w:pPr>
      <w:keepNext/>
      <w:keepLines/>
      <w:spacing w:before="480" w:after="80"/>
      <w:jc w:val="center"/>
    </w:pPr>
    <w:rPr>
      <w:caps/>
      <w:sz w:val="18"/>
    </w:rPr>
  </w:style>
  <w:style w:type="paragraph" w:customStyle="1" w:styleId="Figuretitle">
    <w:name w:val="Figure_title"/>
    <w:basedOn w:val="Normal"/>
    <w:next w:val="Figure"/>
    <w:rsid w:val="0038686D"/>
    <w:pPr>
      <w:keepNext/>
      <w:spacing w:before="0" w:after="120"/>
      <w:jc w:val="center"/>
    </w:pPr>
    <w:rPr>
      <w:rFonts w:ascii="Times New Roman Bold" w:hAnsi="Times New Roman Bold"/>
      <w:b/>
      <w:sz w:val="18"/>
    </w:rPr>
  </w:style>
  <w:style w:type="paragraph" w:customStyle="1" w:styleId="Figure">
    <w:name w:val="Figure"/>
    <w:basedOn w:val="FigureNo"/>
    <w:next w:val="Normal"/>
    <w:rsid w:val="0038686D"/>
    <w:pPr>
      <w:keepNext w:val="0"/>
      <w:spacing w:before="0" w:after="240"/>
    </w:pPr>
  </w:style>
  <w:style w:type="paragraph" w:customStyle="1" w:styleId="tocpart">
    <w:name w:val="tocpart"/>
    <w:basedOn w:val="Normal"/>
    <w:rsid w:val="0038686D"/>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38686D"/>
    <w:pPr>
      <w:keepNext/>
      <w:keepLines/>
      <w:spacing w:before="480"/>
      <w:jc w:val="center"/>
    </w:pPr>
    <w:rPr>
      <w:sz w:val="28"/>
    </w:rPr>
  </w:style>
  <w:style w:type="paragraph" w:customStyle="1" w:styleId="Arttitle">
    <w:name w:val="Art_title"/>
    <w:basedOn w:val="Normal"/>
    <w:next w:val="Normalaftertitle"/>
    <w:rsid w:val="0038686D"/>
    <w:pPr>
      <w:keepNext/>
      <w:keepLines/>
      <w:spacing w:before="240"/>
      <w:jc w:val="center"/>
    </w:pPr>
    <w:rPr>
      <w:b/>
      <w:sz w:val="28"/>
    </w:rPr>
  </w:style>
  <w:style w:type="paragraph" w:customStyle="1" w:styleId="Blanc">
    <w:name w:val="Blanc"/>
    <w:basedOn w:val="Normal"/>
    <w:next w:val="Tabletext"/>
    <w:rsid w:val="0038686D"/>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38686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38686D"/>
    <w:pPr>
      <w:keepNext/>
      <w:keepLines/>
      <w:spacing w:before="160"/>
      <w:ind w:left="794"/>
    </w:pPr>
    <w:rPr>
      <w:i/>
    </w:rPr>
  </w:style>
  <w:style w:type="paragraph" w:customStyle="1" w:styleId="ChapNo">
    <w:name w:val="Chap_No"/>
    <w:basedOn w:val="ArtNo"/>
    <w:next w:val="Chaptitle"/>
    <w:rsid w:val="0038686D"/>
    <w:rPr>
      <w:b/>
    </w:rPr>
  </w:style>
  <w:style w:type="paragraph" w:customStyle="1" w:styleId="Chaptitle">
    <w:name w:val="Chap_title"/>
    <w:basedOn w:val="Arttitle"/>
    <w:next w:val="Normalaftertitle"/>
    <w:rsid w:val="0038686D"/>
  </w:style>
  <w:style w:type="character" w:styleId="FootnoteReference">
    <w:name w:val="footnote reference"/>
    <w:basedOn w:val="DefaultParagraphFont"/>
    <w:semiHidden/>
    <w:rsid w:val="0038686D"/>
    <w:rPr>
      <w:position w:val="6"/>
      <w:sz w:val="18"/>
    </w:rPr>
  </w:style>
  <w:style w:type="paragraph" w:styleId="FootnoteText">
    <w:name w:val="footnote text"/>
    <w:basedOn w:val="Normal"/>
    <w:rsid w:val="0038686D"/>
    <w:pPr>
      <w:keepLines/>
      <w:tabs>
        <w:tab w:val="left" w:pos="255"/>
      </w:tabs>
      <w:ind w:left="255" w:hanging="255"/>
    </w:pPr>
    <w:rPr>
      <w:sz w:val="22"/>
    </w:rPr>
  </w:style>
  <w:style w:type="paragraph" w:styleId="Index1">
    <w:name w:val="index 1"/>
    <w:basedOn w:val="Normal"/>
    <w:next w:val="Normal"/>
    <w:semiHidden/>
    <w:rsid w:val="0038686D"/>
  </w:style>
  <w:style w:type="paragraph" w:styleId="Index2">
    <w:name w:val="index 2"/>
    <w:basedOn w:val="Normal"/>
    <w:next w:val="Normal"/>
    <w:semiHidden/>
    <w:rsid w:val="0038686D"/>
    <w:pPr>
      <w:ind w:left="283"/>
    </w:pPr>
  </w:style>
  <w:style w:type="paragraph" w:styleId="Index3">
    <w:name w:val="index 3"/>
    <w:basedOn w:val="Normal"/>
    <w:next w:val="Normal"/>
    <w:semiHidden/>
    <w:rsid w:val="0038686D"/>
    <w:pPr>
      <w:ind w:left="566"/>
    </w:pPr>
  </w:style>
  <w:style w:type="paragraph" w:styleId="IndexHeading">
    <w:name w:val="index heading"/>
    <w:basedOn w:val="Normal"/>
    <w:next w:val="Index1"/>
    <w:semiHidden/>
    <w:rsid w:val="0038686D"/>
  </w:style>
  <w:style w:type="paragraph" w:customStyle="1" w:styleId="Line">
    <w:name w:val="Line"/>
    <w:basedOn w:val="Normal"/>
    <w:next w:val="Normal"/>
    <w:rsid w:val="0038686D"/>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38686D"/>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38686D"/>
  </w:style>
  <w:style w:type="paragraph" w:customStyle="1" w:styleId="Partref">
    <w:name w:val="Part_ref"/>
    <w:basedOn w:val="Normal"/>
    <w:next w:val="Normal"/>
    <w:rsid w:val="0038686D"/>
    <w:pPr>
      <w:keepNext/>
      <w:keepLines/>
      <w:spacing w:after="280"/>
      <w:jc w:val="center"/>
    </w:pPr>
  </w:style>
  <w:style w:type="paragraph" w:customStyle="1" w:styleId="Parttitle">
    <w:name w:val="Part_title"/>
    <w:basedOn w:val="Normal"/>
    <w:next w:val="Normalaftertitle"/>
    <w:rsid w:val="0038686D"/>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38686D"/>
  </w:style>
  <w:style w:type="paragraph" w:customStyle="1" w:styleId="QuestionNo">
    <w:name w:val="Question_No"/>
    <w:basedOn w:val="RecNo"/>
    <w:next w:val="Normal"/>
    <w:rsid w:val="0038686D"/>
  </w:style>
  <w:style w:type="paragraph" w:customStyle="1" w:styleId="Questionref">
    <w:name w:val="Question_ref"/>
    <w:basedOn w:val="Recref"/>
    <w:next w:val="Questiondate"/>
    <w:rsid w:val="0038686D"/>
  </w:style>
  <w:style w:type="paragraph" w:customStyle="1" w:styleId="Questiontitle">
    <w:name w:val="Question_title"/>
    <w:basedOn w:val="Normal"/>
    <w:next w:val="Questionref"/>
    <w:rsid w:val="0038686D"/>
  </w:style>
  <w:style w:type="paragraph" w:customStyle="1" w:styleId="Reftext">
    <w:name w:val="Ref_text"/>
    <w:basedOn w:val="Normal"/>
    <w:rsid w:val="0038686D"/>
    <w:pPr>
      <w:ind w:left="794" w:hanging="794"/>
    </w:pPr>
    <w:rPr>
      <w:sz w:val="22"/>
    </w:rPr>
  </w:style>
  <w:style w:type="paragraph" w:customStyle="1" w:styleId="Reftitle">
    <w:name w:val="Ref_title"/>
    <w:basedOn w:val="Normal"/>
    <w:next w:val="Reftext"/>
    <w:rsid w:val="0038686D"/>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38686D"/>
  </w:style>
  <w:style w:type="paragraph" w:customStyle="1" w:styleId="RepNo">
    <w:name w:val="Rep_No"/>
    <w:basedOn w:val="RecNo"/>
    <w:next w:val="Reptitle"/>
    <w:rsid w:val="0038686D"/>
  </w:style>
  <w:style w:type="paragraph" w:customStyle="1" w:styleId="Reptitle">
    <w:name w:val="Rep_title"/>
    <w:basedOn w:val="Rectitle"/>
    <w:next w:val="Repref"/>
    <w:rsid w:val="0038686D"/>
  </w:style>
  <w:style w:type="paragraph" w:customStyle="1" w:styleId="Repref">
    <w:name w:val="Rep_ref"/>
    <w:basedOn w:val="Recref"/>
    <w:next w:val="Repdate"/>
    <w:rsid w:val="0038686D"/>
  </w:style>
  <w:style w:type="paragraph" w:customStyle="1" w:styleId="Resdate">
    <w:name w:val="Res_date"/>
    <w:basedOn w:val="Recdate"/>
    <w:next w:val="Normalaftertitle"/>
    <w:rsid w:val="0038686D"/>
  </w:style>
  <w:style w:type="paragraph" w:customStyle="1" w:styleId="ResNo">
    <w:name w:val="Res_No"/>
    <w:basedOn w:val="RecNo"/>
    <w:next w:val="Restitle"/>
    <w:rsid w:val="0038686D"/>
  </w:style>
  <w:style w:type="paragraph" w:customStyle="1" w:styleId="Restitle">
    <w:name w:val="Res_title"/>
    <w:basedOn w:val="Normal"/>
    <w:next w:val="Resref"/>
    <w:rsid w:val="0038686D"/>
    <w:pPr>
      <w:spacing w:before="240"/>
      <w:jc w:val="center"/>
    </w:pPr>
    <w:rPr>
      <w:b/>
      <w:sz w:val="28"/>
    </w:rPr>
  </w:style>
  <w:style w:type="paragraph" w:customStyle="1" w:styleId="Resref">
    <w:name w:val="Res_ref"/>
    <w:basedOn w:val="Recref"/>
    <w:next w:val="Resdate"/>
    <w:rsid w:val="0038686D"/>
  </w:style>
  <w:style w:type="paragraph" w:customStyle="1" w:styleId="SectionNo">
    <w:name w:val="Section_No"/>
    <w:basedOn w:val="Normal"/>
    <w:next w:val="Normal"/>
    <w:rsid w:val="0038686D"/>
  </w:style>
  <w:style w:type="paragraph" w:customStyle="1" w:styleId="Sectiontitle">
    <w:name w:val="Section_title"/>
    <w:basedOn w:val="Normal"/>
    <w:next w:val="Normalaftertitle"/>
    <w:rsid w:val="0038686D"/>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38686D"/>
    <w:pPr>
      <w:tabs>
        <w:tab w:val="clear" w:pos="794"/>
        <w:tab w:val="clear" w:pos="1191"/>
        <w:tab w:val="clear" w:pos="1588"/>
        <w:tab w:val="clear" w:pos="1985"/>
        <w:tab w:val="right" w:pos="9611"/>
      </w:tabs>
    </w:pPr>
    <w:rPr>
      <w:i/>
    </w:rPr>
  </w:style>
  <w:style w:type="paragraph" w:styleId="TOC1">
    <w:name w:val="toc 1"/>
    <w:basedOn w:val="Normal"/>
    <w:semiHidden/>
    <w:rsid w:val="0038686D"/>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38686D"/>
    <w:pPr>
      <w:tabs>
        <w:tab w:val="clear" w:pos="567"/>
        <w:tab w:val="left" w:pos="1276"/>
      </w:tabs>
      <w:spacing w:before="160"/>
      <w:ind w:left="1276" w:hanging="709"/>
    </w:pPr>
  </w:style>
  <w:style w:type="paragraph" w:styleId="TOC3">
    <w:name w:val="toc 3"/>
    <w:basedOn w:val="TOC2"/>
    <w:semiHidden/>
    <w:rsid w:val="0038686D"/>
    <w:pPr>
      <w:tabs>
        <w:tab w:val="clear" w:pos="1276"/>
        <w:tab w:val="left" w:pos="2155"/>
      </w:tabs>
      <w:ind w:left="2155" w:hanging="879"/>
    </w:pPr>
  </w:style>
  <w:style w:type="paragraph" w:styleId="TOC4">
    <w:name w:val="toc 4"/>
    <w:basedOn w:val="TOC3"/>
    <w:semiHidden/>
    <w:rsid w:val="0038686D"/>
    <w:pPr>
      <w:tabs>
        <w:tab w:val="left" w:pos="3261"/>
      </w:tabs>
      <w:spacing w:before="80"/>
      <w:ind w:left="3261" w:hanging="993"/>
    </w:pPr>
  </w:style>
  <w:style w:type="paragraph" w:styleId="TOC5">
    <w:name w:val="toc 5"/>
    <w:basedOn w:val="TOC4"/>
    <w:semiHidden/>
    <w:rsid w:val="0038686D"/>
  </w:style>
  <w:style w:type="paragraph" w:styleId="TOC6">
    <w:name w:val="toc 6"/>
    <w:basedOn w:val="TOC4"/>
    <w:semiHidden/>
    <w:rsid w:val="0038686D"/>
  </w:style>
  <w:style w:type="paragraph" w:styleId="TOC7">
    <w:name w:val="toc 7"/>
    <w:basedOn w:val="TOC4"/>
    <w:semiHidden/>
    <w:rsid w:val="0038686D"/>
  </w:style>
  <w:style w:type="paragraph" w:styleId="TOC8">
    <w:name w:val="toc 8"/>
    <w:basedOn w:val="TOC4"/>
    <w:semiHidden/>
    <w:rsid w:val="0038686D"/>
  </w:style>
  <w:style w:type="paragraph" w:customStyle="1" w:styleId="Annexref">
    <w:name w:val="Annex_ref"/>
    <w:basedOn w:val="Normal"/>
    <w:next w:val="Normalaftertitle"/>
    <w:rsid w:val="0038686D"/>
    <w:pPr>
      <w:keepNext/>
      <w:keepLines/>
      <w:spacing w:after="280"/>
      <w:jc w:val="center"/>
    </w:pPr>
  </w:style>
  <w:style w:type="paragraph" w:customStyle="1" w:styleId="Appendixref">
    <w:name w:val="Appendix_ref"/>
    <w:basedOn w:val="Annexref"/>
    <w:next w:val="Normalaftertitle"/>
    <w:rsid w:val="0038686D"/>
  </w:style>
  <w:style w:type="paragraph" w:customStyle="1" w:styleId="Tabletitle">
    <w:name w:val="Table_title"/>
    <w:basedOn w:val="Normal"/>
    <w:next w:val="Tablehead"/>
    <w:rsid w:val="0038686D"/>
    <w:pPr>
      <w:keepNext/>
      <w:spacing w:before="0" w:after="120"/>
      <w:jc w:val="center"/>
    </w:pPr>
    <w:rPr>
      <w:b/>
    </w:rPr>
  </w:style>
  <w:style w:type="paragraph" w:customStyle="1" w:styleId="Summary">
    <w:name w:val="Summary"/>
    <w:basedOn w:val="Normal"/>
    <w:next w:val="Normalaftertitle"/>
    <w:autoRedefine/>
    <w:rsid w:val="0038686D"/>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38686D"/>
    <w:pPr>
      <w:ind w:left="-85" w:firstLine="0"/>
    </w:pPr>
    <w:rPr>
      <w:lang w:val="en-US"/>
    </w:rPr>
  </w:style>
  <w:style w:type="character" w:customStyle="1" w:styleId="HeaderChar">
    <w:name w:val="Header Char"/>
    <w:basedOn w:val="DefaultParagraphFont"/>
    <w:link w:val="Header"/>
    <w:rsid w:val="00EE47C4"/>
    <w:rPr>
      <w:sz w:val="24"/>
      <w:lang w:val="en-GB"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Reasons">
    <w:name w:val="Reasons"/>
    <w:basedOn w:val="Normal"/>
    <w:qFormat/>
    <w:rsid w:val="005E5F20"/>
    <w:pPr>
      <w:tabs>
        <w:tab w:val="clear" w:pos="794"/>
        <w:tab w:val="clear" w:pos="1191"/>
        <w:tab w:val="clear" w:pos="1588"/>
        <w:tab w:val="clear" w:pos="1985"/>
      </w:tabs>
      <w:overflowPunct/>
      <w:autoSpaceDE/>
      <w:autoSpaceDN/>
      <w:adjustRightInd/>
      <w:spacing w:before="0"/>
      <w:jc w:val="left"/>
      <w:textAlignment w:val="auto"/>
    </w:pPr>
    <w:rPr>
      <w:lang w:val="en-US"/>
    </w:rPr>
  </w:style>
  <w:style w:type="character" w:styleId="FollowedHyperlink">
    <w:name w:val="FollowedHyperlink"/>
    <w:basedOn w:val="DefaultParagraphFont"/>
    <w:semiHidden/>
    <w:unhideWhenUsed/>
    <w:rsid w:val="00096E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cospas-sarsat.i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publ/R-REC/es" TargetMode="External"/><Relationship Id="rId17" Type="http://schemas.openxmlformats.org/officeDocument/2006/relationships/hyperlink" Target="mailto:mail@cospas-sarsat.int" TargetMode="External"/><Relationship Id="rId2" Type="http://schemas.openxmlformats.org/officeDocument/2006/relationships/numbering" Target="numbering.xml"/><Relationship Id="rId16" Type="http://schemas.openxmlformats.org/officeDocument/2006/relationships/hyperlink" Target="https://www.itu.int/pub/R-REP-M.2359/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s" TargetMode="External"/><Relationship Id="rId5" Type="http://schemas.openxmlformats.org/officeDocument/2006/relationships/webSettings" Target="webSettings.xml"/><Relationship Id="rId15" Type="http://schemas.openxmlformats.org/officeDocument/2006/relationships/hyperlink" Target="https://www.itu.int/rec/R-REC-M.1478/es"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6F12F-50B9-4A78-BCA9-3F62827C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50</TotalTime>
  <Pages>4</Pages>
  <Words>907</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ITU-R REC M Spanish template</vt:lpstr>
    </vt:vector>
  </TitlesOfParts>
  <Manager/>
  <Company>ITU</Company>
  <LinksUpToDate>false</LinksUpToDate>
  <CharactersWithSpaces>6512</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REC M Spanish template</dc:title>
  <dc:subject/>
  <dc:creator>Spanish83</dc:creator>
  <cp:keywords/>
  <dc:description>2023-03-17 Version 1</dc:description>
  <cp:lastModifiedBy>Catalano Moreira, Rossana</cp:lastModifiedBy>
  <cp:revision>15</cp:revision>
  <cp:lastPrinted>2024-01-26T13:37:00Z</cp:lastPrinted>
  <dcterms:created xsi:type="dcterms:W3CDTF">2024-01-26T10:38:00Z</dcterms:created>
  <dcterms:modified xsi:type="dcterms:W3CDTF">2024-01-26T13:44:00Z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